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ascii="宋体" w:hAnsi="宋体" w:cs="宋体"/>
          <w:b/>
          <w:bCs/>
          <w:color w:val="auto"/>
          <w:sz w:val="44"/>
          <w:szCs w:val="44"/>
        </w:rPr>
      </w:pPr>
    </w:p>
    <w:p>
      <w:pPr>
        <w:pStyle w:val="2"/>
        <w:rPr>
          <w:rFonts w:ascii="宋体" w:hAnsi="宋体" w:cs="宋体"/>
          <w:b/>
          <w:bCs/>
          <w:color w:val="auto"/>
          <w:sz w:val="44"/>
          <w:szCs w:val="44"/>
        </w:rPr>
      </w:pPr>
      <w:bookmarkStart w:id="225" w:name="_GoBack"/>
      <w:bookmarkEnd w:id="225"/>
    </w:p>
    <w:p>
      <w:pPr>
        <w:pStyle w:val="2"/>
        <w:rPr>
          <w:rFonts w:ascii="宋体" w:hAnsi="宋体" w:cs="宋体"/>
          <w:b/>
          <w:bCs/>
          <w:color w:val="auto"/>
          <w:sz w:val="44"/>
          <w:szCs w:val="44"/>
        </w:rPr>
      </w:pPr>
    </w:p>
    <w:p>
      <w:pPr>
        <w:spacing w:line="1000" w:lineRule="exact"/>
        <w:ind w:right="-319" w:rightChars="-152"/>
        <w:jc w:val="center"/>
        <w:rPr>
          <w:rFonts w:hint="eastAsia" w:ascii="宋体" w:hAnsi="宋体" w:eastAsia="宋体" w:cs="宋体"/>
          <w:b/>
          <w:bCs/>
          <w:color w:val="auto"/>
          <w:sz w:val="44"/>
          <w:szCs w:val="44"/>
          <w:lang w:eastAsia="zh-CN"/>
        </w:rPr>
      </w:pPr>
      <w:r>
        <w:rPr>
          <w:rFonts w:hint="eastAsia" w:ascii="宋体" w:hAnsi="宋体" w:cs="宋体"/>
          <w:b/>
          <w:bCs/>
          <w:color w:val="auto"/>
          <w:sz w:val="44"/>
          <w:szCs w:val="44"/>
          <w:lang w:eastAsia="zh-CN"/>
        </w:rPr>
        <w:t>克拉玛依市第三人民医院电子病历系统项目</w:t>
      </w:r>
    </w:p>
    <w:p>
      <w:pPr>
        <w:spacing w:line="360" w:lineRule="auto"/>
        <w:rPr>
          <w:rFonts w:ascii="宋体" w:hAnsi="宋体" w:cs="宋体"/>
          <w:b/>
          <w:color w:val="auto"/>
          <w:sz w:val="30"/>
          <w:szCs w:val="30"/>
        </w:rPr>
      </w:pPr>
    </w:p>
    <w:p>
      <w:pPr>
        <w:pStyle w:val="2"/>
        <w:jc w:val="center"/>
        <w:rPr>
          <w:rFonts w:ascii="宋体" w:hAnsi="宋体" w:cs="宋体"/>
          <w:b/>
          <w:color w:val="auto"/>
          <w:sz w:val="30"/>
          <w:szCs w:val="30"/>
        </w:rPr>
      </w:pPr>
      <w:r>
        <w:rPr>
          <w:rFonts w:hint="eastAsia" w:ascii="宋体" w:hAnsi="宋体" w:eastAsia="宋体" w:cs="宋体"/>
          <w:b/>
          <w:bCs/>
          <w:color w:val="auto"/>
          <w:kern w:val="2"/>
          <w:sz w:val="44"/>
          <w:szCs w:val="44"/>
          <w:lang w:val="en-US" w:eastAsia="zh-CN" w:bidi="ar-SA"/>
        </w:rPr>
        <w:t>招标文件</w:t>
      </w:r>
    </w:p>
    <w:p>
      <w:pPr>
        <w:spacing w:line="660" w:lineRule="exact"/>
        <w:jc w:val="center"/>
        <w:rPr>
          <w:rFonts w:ascii="宋体" w:hAnsi="宋体" w:cs="宋体"/>
          <w:color w:val="auto"/>
          <w:sz w:val="24"/>
        </w:rPr>
      </w:pPr>
      <w:r>
        <w:rPr>
          <w:rFonts w:hint="eastAsia" w:ascii="宋体" w:hAnsi="宋体" w:cs="宋体"/>
          <w:b/>
          <w:color w:val="auto"/>
          <w:sz w:val="28"/>
          <w:szCs w:val="28"/>
        </w:rPr>
        <w:t>（编号：YXZB[ZC]</w:t>
      </w:r>
      <w:r>
        <w:rPr>
          <w:rFonts w:hint="eastAsia" w:ascii="宋体" w:hAnsi="宋体" w:cs="宋体"/>
          <w:b/>
          <w:color w:val="auto"/>
          <w:sz w:val="28"/>
          <w:szCs w:val="28"/>
          <w:lang w:val="en-US" w:eastAsia="zh-CN"/>
        </w:rPr>
        <w:t>2023-01</w:t>
      </w:r>
      <w:r>
        <w:rPr>
          <w:rFonts w:hint="eastAsia" w:ascii="宋体" w:hAnsi="宋体" w:cs="宋体"/>
          <w:b/>
          <w:color w:val="auto"/>
          <w:sz w:val="28"/>
          <w:szCs w:val="28"/>
        </w:rPr>
        <w:t>）</w:t>
      </w:r>
    </w:p>
    <w:p>
      <w:pPr>
        <w:pStyle w:val="9"/>
        <w:rPr>
          <w:rFonts w:ascii="宋体" w:hAnsi="宋体" w:cs="宋体"/>
          <w:b/>
          <w:bCs/>
          <w:color w:val="auto"/>
          <w:sz w:val="32"/>
          <w:szCs w:val="32"/>
        </w:rPr>
      </w:pPr>
    </w:p>
    <w:p>
      <w:pPr>
        <w:pStyle w:val="9"/>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spacing w:line="480" w:lineRule="auto"/>
        <w:ind w:firstLine="1124" w:firstLineChars="400"/>
        <w:rPr>
          <w:rFonts w:hint="eastAsia" w:ascii="宋体" w:hAnsi="宋体" w:eastAsia="宋体" w:cs="宋体"/>
          <w:b/>
          <w:bCs/>
          <w:color w:val="auto"/>
          <w:sz w:val="28"/>
          <w:szCs w:val="28"/>
          <w:lang w:eastAsia="zh-CN"/>
        </w:rPr>
      </w:pPr>
      <w:r>
        <w:rPr>
          <w:rFonts w:hint="eastAsia" w:ascii="宋体" w:hAnsi="宋体" w:cs="宋体"/>
          <w:b/>
          <w:bCs/>
          <w:color w:val="auto"/>
          <w:sz w:val="28"/>
          <w:szCs w:val="28"/>
        </w:rPr>
        <w:t>采 购 人：</w:t>
      </w:r>
      <w:r>
        <w:rPr>
          <w:rFonts w:hint="eastAsia" w:ascii="宋体" w:hAnsi="宋体" w:cs="宋体"/>
          <w:b/>
          <w:bCs/>
          <w:color w:val="auto"/>
          <w:sz w:val="28"/>
          <w:szCs w:val="28"/>
          <w:lang w:eastAsia="zh-CN"/>
        </w:rPr>
        <w:t>克拉玛依市第三人民医院</w:t>
      </w:r>
    </w:p>
    <w:p>
      <w:pPr>
        <w:spacing w:line="480" w:lineRule="auto"/>
        <w:ind w:firstLine="1124" w:firstLineChars="400"/>
        <w:rPr>
          <w:rFonts w:hint="eastAsia" w:ascii="宋体" w:hAnsi="宋体" w:eastAsia="宋体" w:cs="宋体"/>
          <w:b/>
          <w:bCs/>
          <w:color w:val="auto"/>
          <w:sz w:val="28"/>
          <w:szCs w:val="28"/>
          <w:lang w:eastAsia="zh-CN"/>
        </w:rPr>
      </w:pPr>
      <w:r>
        <w:rPr>
          <w:rFonts w:hint="eastAsia" w:ascii="宋体" w:hAnsi="宋体" w:cs="宋体"/>
          <w:b/>
          <w:bCs/>
          <w:color w:val="auto"/>
          <w:sz w:val="28"/>
          <w:szCs w:val="28"/>
        </w:rPr>
        <w:t>联 系 人：</w:t>
      </w:r>
      <w:r>
        <w:rPr>
          <w:rFonts w:hint="eastAsia" w:ascii="宋体" w:hAnsi="宋体" w:cs="宋体"/>
          <w:b/>
          <w:bCs/>
          <w:color w:val="auto"/>
          <w:sz w:val="28"/>
          <w:szCs w:val="28"/>
          <w:lang w:val="en-US" w:eastAsia="zh-CN"/>
        </w:rPr>
        <w:t>陈春雨</w:t>
      </w:r>
    </w:p>
    <w:p>
      <w:pPr>
        <w:spacing w:line="480" w:lineRule="auto"/>
        <w:ind w:firstLine="1124" w:firstLineChars="4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rPr>
        <w:t>联系电话：</w:t>
      </w:r>
      <w:r>
        <w:rPr>
          <w:rFonts w:hint="eastAsia" w:ascii="宋体" w:hAnsi="宋体" w:cs="宋体"/>
          <w:b/>
          <w:bCs/>
          <w:color w:val="auto"/>
          <w:sz w:val="28"/>
          <w:szCs w:val="28"/>
          <w:highlight w:val="none"/>
          <w:lang w:eastAsia="zh-CN"/>
        </w:rPr>
        <w:t>0990-69</w:t>
      </w:r>
      <w:r>
        <w:rPr>
          <w:rFonts w:hint="eastAsia" w:ascii="宋体" w:hAnsi="宋体" w:cs="宋体"/>
          <w:b/>
          <w:bCs/>
          <w:color w:val="auto"/>
          <w:sz w:val="28"/>
          <w:szCs w:val="28"/>
          <w:highlight w:val="none"/>
          <w:lang w:val="en-US" w:eastAsia="zh-CN"/>
        </w:rPr>
        <w:t>60602</w:t>
      </w:r>
    </w:p>
    <w:p>
      <w:pPr>
        <w:spacing w:line="480" w:lineRule="auto"/>
        <w:ind w:firstLine="1124" w:firstLineChars="400"/>
        <w:rPr>
          <w:rFonts w:ascii="宋体" w:hAnsi="宋体" w:cs="宋体"/>
          <w:b/>
          <w:bCs/>
          <w:color w:val="auto"/>
          <w:sz w:val="28"/>
          <w:szCs w:val="28"/>
        </w:rPr>
      </w:pPr>
      <w:r>
        <w:rPr>
          <w:rFonts w:hint="eastAsia" w:ascii="宋体" w:hAnsi="宋体" w:cs="宋体"/>
          <w:b/>
          <w:bCs/>
          <w:color w:val="auto"/>
          <w:sz w:val="28"/>
          <w:szCs w:val="28"/>
        </w:rPr>
        <w:t>采购代理机构：新疆永信工程造价咨询有限公司</w:t>
      </w:r>
    </w:p>
    <w:p>
      <w:pPr>
        <w:spacing w:line="480" w:lineRule="auto"/>
        <w:ind w:firstLine="1124" w:firstLineChars="400"/>
        <w:rPr>
          <w:rFonts w:ascii="宋体" w:hAnsi="宋体" w:cs="宋体"/>
          <w:b/>
          <w:bCs/>
          <w:color w:val="auto"/>
          <w:sz w:val="28"/>
          <w:szCs w:val="28"/>
        </w:rPr>
      </w:pPr>
      <w:r>
        <w:rPr>
          <w:rFonts w:hint="eastAsia" w:ascii="宋体" w:hAnsi="宋体" w:cs="宋体"/>
          <w:b/>
          <w:bCs/>
          <w:color w:val="auto"/>
          <w:sz w:val="28"/>
          <w:szCs w:val="28"/>
        </w:rPr>
        <w:t>联 系 人：</w:t>
      </w:r>
      <w:r>
        <w:rPr>
          <w:rFonts w:hint="eastAsia" w:ascii="宋体" w:hAnsi="宋体" w:cs="宋体"/>
          <w:b/>
          <w:bCs/>
          <w:color w:val="auto"/>
          <w:sz w:val="28"/>
          <w:szCs w:val="28"/>
          <w:lang w:val="en-US" w:eastAsia="zh-CN"/>
        </w:rPr>
        <w:t>黄艳丽、</w:t>
      </w:r>
      <w:r>
        <w:rPr>
          <w:rFonts w:hint="eastAsia" w:ascii="宋体" w:hAnsi="宋体" w:cs="宋体"/>
          <w:b/>
          <w:bCs/>
          <w:color w:val="auto"/>
          <w:sz w:val="28"/>
          <w:szCs w:val="28"/>
        </w:rPr>
        <w:t>邵彩霞</w:t>
      </w:r>
    </w:p>
    <w:p>
      <w:pPr>
        <w:spacing w:line="480" w:lineRule="auto"/>
        <w:rPr>
          <w:rFonts w:hint="default" w:ascii="宋体" w:hAnsi="宋体" w:eastAsia="宋体" w:cs="宋体"/>
          <w:color w:val="auto"/>
          <w:sz w:val="28"/>
          <w:szCs w:val="28"/>
          <w:lang w:val="en-US" w:eastAsia="zh-CN"/>
        </w:rPr>
      </w:pPr>
      <w:r>
        <w:rPr>
          <w:rFonts w:hint="eastAsia" w:ascii="宋体" w:hAnsi="宋体" w:cs="宋体"/>
          <w:b/>
          <w:bCs/>
          <w:color w:val="auto"/>
          <w:sz w:val="28"/>
          <w:szCs w:val="28"/>
        </w:rPr>
        <w:t xml:space="preserve">        联系电话：</w:t>
      </w:r>
      <w:r>
        <w:rPr>
          <w:rFonts w:hint="eastAsia" w:ascii="宋体" w:hAnsi="宋体" w:cs="宋体"/>
          <w:b/>
          <w:bCs/>
          <w:color w:val="auto"/>
          <w:sz w:val="28"/>
          <w:szCs w:val="28"/>
          <w:lang w:val="en-US" w:eastAsia="zh-CN"/>
        </w:rPr>
        <w:t>15999392492、13899588072</w:t>
      </w:r>
    </w:p>
    <w:p>
      <w:pPr>
        <w:spacing w:line="360" w:lineRule="auto"/>
        <w:jc w:val="center"/>
        <w:rPr>
          <w:rFonts w:ascii="宋体" w:hAnsi="宋体" w:cs="宋体"/>
          <w:b/>
          <w:color w:val="auto"/>
          <w:sz w:val="28"/>
          <w:szCs w:val="28"/>
        </w:rPr>
      </w:pPr>
    </w:p>
    <w:p>
      <w:pPr>
        <w:pStyle w:val="9"/>
        <w:rPr>
          <w:rFonts w:ascii="宋体" w:hAnsi="宋体" w:cs="宋体"/>
          <w:color w:val="auto"/>
        </w:rPr>
      </w:pPr>
    </w:p>
    <w:p>
      <w:pPr>
        <w:spacing w:line="360" w:lineRule="auto"/>
        <w:jc w:val="center"/>
        <w:rPr>
          <w:rFonts w:ascii="宋体" w:hAnsi="宋体" w:cs="宋体"/>
          <w:color w:val="auto"/>
        </w:rPr>
      </w:pPr>
      <w:r>
        <w:rPr>
          <w:rFonts w:hint="eastAsia" w:ascii="宋体" w:hAnsi="宋体" w:cs="宋体"/>
          <w:b/>
          <w:color w:val="auto"/>
          <w:sz w:val="28"/>
          <w:szCs w:val="28"/>
          <w:lang w:val="en-US" w:eastAsia="zh-CN"/>
        </w:rPr>
        <w:t>2023年3月</w:t>
      </w:r>
    </w:p>
    <w:p>
      <w:pPr>
        <w:pageBreakBefore/>
        <w:spacing w:line="500" w:lineRule="exact"/>
        <w:jc w:val="center"/>
        <w:rPr>
          <w:rFonts w:hint="eastAsia" w:ascii="宋体" w:hAnsi="宋体" w:cs="宋体"/>
          <w:b/>
          <w:bCs/>
          <w:color w:val="auto"/>
          <w:sz w:val="32"/>
          <w:szCs w:val="32"/>
        </w:rPr>
        <w:sectPr>
          <w:headerReference r:id="rId3" w:type="default"/>
          <w:pgSz w:w="11906" w:h="16838"/>
          <w:pgMar w:top="1440" w:right="1080" w:bottom="1440" w:left="1080" w:header="851" w:footer="992" w:gutter="0"/>
          <w:pgNumType w:fmt="numberInDash"/>
          <w:cols w:space="425" w:num="1"/>
          <w:docGrid w:type="lines" w:linePitch="312" w:charSpace="0"/>
        </w:sectPr>
      </w:pPr>
    </w:p>
    <w:p>
      <w:pPr>
        <w:pageBreakBefore/>
        <w:spacing w:line="500" w:lineRule="exact"/>
        <w:jc w:val="center"/>
        <w:rPr>
          <w:rFonts w:ascii="宋体" w:hAnsi="宋体" w:cs="宋体"/>
          <w:b/>
          <w:color w:val="auto"/>
          <w:kern w:val="2"/>
          <w:sz w:val="24"/>
          <w:szCs w:val="24"/>
          <w:highlight w:val="none"/>
        </w:rPr>
      </w:pPr>
      <w:r>
        <w:rPr>
          <w:rFonts w:hint="eastAsia" w:ascii="宋体" w:hAnsi="宋体" w:cs="宋体"/>
          <w:b/>
          <w:bCs/>
          <w:color w:val="auto"/>
          <w:sz w:val="32"/>
          <w:szCs w:val="32"/>
          <w:highlight w:val="none"/>
        </w:rPr>
        <w:t>总  目  录</w:t>
      </w:r>
    </w:p>
    <w:p>
      <w:pPr>
        <w:pStyle w:val="27"/>
        <w:tabs>
          <w:tab w:val="right" w:leader="dot" w:pos="9185"/>
        </w:tabs>
        <w:spacing w:line="600" w:lineRule="auto"/>
        <w:rPr>
          <w:rFonts w:hint="eastAsia" w:ascii="宋体" w:hAnsi="宋体" w:eastAsia="宋体" w:cs="宋体"/>
          <w:b/>
          <w:color w:val="auto"/>
          <w:kern w:val="2"/>
          <w:sz w:val="24"/>
          <w:szCs w:val="24"/>
          <w:lang w:eastAsia="zh-CN"/>
        </w:rPr>
      </w:pPr>
      <w:r>
        <w:rPr>
          <w:rFonts w:hint="eastAsia" w:ascii="宋体" w:hAnsi="宋体" w:cs="宋体"/>
          <w:b/>
          <w:color w:val="auto"/>
          <w:kern w:val="2"/>
          <w:sz w:val="24"/>
          <w:szCs w:val="24"/>
        </w:rPr>
        <w:t>第一章、</w:t>
      </w:r>
      <w:r>
        <w:rPr>
          <w:rFonts w:hint="eastAsia" w:ascii="宋体" w:hAnsi="宋体" w:cs="宋体"/>
          <w:b/>
          <w:color w:val="auto"/>
          <w:kern w:val="2"/>
          <w:sz w:val="24"/>
          <w:szCs w:val="24"/>
          <w:lang w:eastAsia="zh-CN"/>
        </w:rPr>
        <w:t>招标</w:t>
      </w:r>
      <w:r>
        <w:rPr>
          <w:rFonts w:hint="eastAsia" w:ascii="宋体" w:hAnsi="宋体" w:cs="宋体"/>
          <w:b/>
          <w:color w:val="auto"/>
          <w:kern w:val="2"/>
          <w:sz w:val="24"/>
          <w:szCs w:val="24"/>
        </w:rPr>
        <w:t>公告</w:t>
      </w:r>
      <w:r>
        <w:rPr>
          <w:rFonts w:hint="eastAsia" w:ascii="宋体" w:hAnsi="宋体" w:cs="宋体"/>
          <w:b/>
          <w:color w:val="auto"/>
          <w:kern w:val="2"/>
          <w:sz w:val="24"/>
          <w:szCs w:val="24"/>
        </w:rPr>
        <w:tab/>
      </w:r>
      <w:r>
        <w:rPr>
          <w:rFonts w:hint="eastAsia" w:ascii="宋体" w:hAnsi="宋体" w:cs="宋体"/>
          <w:b/>
          <w:color w:val="auto"/>
          <w:kern w:val="2"/>
          <w:sz w:val="24"/>
          <w:szCs w:val="24"/>
          <w:lang w:val="en-US" w:eastAsia="zh-CN"/>
        </w:rPr>
        <w:t>4</w:t>
      </w:r>
    </w:p>
    <w:p>
      <w:pPr>
        <w:pStyle w:val="27"/>
        <w:tabs>
          <w:tab w:val="right" w:leader="dot" w:pos="9185"/>
        </w:tabs>
        <w:spacing w:line="600" w:lineRule="auto"/>
        <w:rPr>
          <w:rFonts w:hint="eastAsia" w:ascii="宋体" w:hAnsi="宋体" w:eastAsia="宋体" w:cs="宋体"/>
          <w:b/>
          <w:color w:val="auto"/>
          <w:kern w:val="2"/>
          <w:sz w:val="24"/>
          <w:szCs w:val="24"/>
          <w:lang w:eastAsia="zh-CN"/>
        </w:rPr>
      </w:pPr>
      <w:r>
        <w:rPr>
          <w:rFonts w:hint="eastAsia" w:ascii="宋体" w:hAnsi="宋体" w:cs="宋体"/>
          <w:b/>
          <w:color w:val="auto"/>
          <w:kern w:val="2"/>
          <w:sz w:val="24"/>
          <w:szCs w:val="24"/>
        </w:rPr>
        <w:t>第二章、供应商须知</w:t>
      </w:r>
      <w:r>
        <w:rPr>
          <w:rFonts w:hint="eastAsia" w:ascii="宋体" w:hAnsi="宋体" w:cs="宋体"/>
          <w:b/>
          <w:color w:val="auto"/>
          <w:kern w:val="2"/>
          <w:sz w:val="24"/>
          <w:szCs w:val="24"/>
        </w:rPr>
        <w:tab/>
      </w:r>
      <w:r>
        <w:rPr>
          <w:rFonts w:hint="eastAsia" w:ascii="宋体" w:hAnsi="宋体" w:cs="宋体"/>
          <w:b/>
          <w:color w:val="auto"/>
          <w:kern w:val="2"/>
          <w:sz w:val="24"/>
          <w:szCs w:val="24"/>
          <w:lang w:val="en-US" w:eastAsia="zh-CN"/>
        </w:rPr>
        <w:t>7</w:t>
      </w:r>
    </w:p>
    <w:p>
      <w:pPr>
        <w:pStyle w:val="27"/>
        <w:tabs>
          <w:tab w:val="right" w:leader="dot" w:pos="9185"/>
        </w:tabs>
        <w:spacing w:line="600" w:lineRule="auto"/>
        <w:rPr>
          <w:rFonts w:hint="eastAsia" w:ascii="宋体" w:hAnsi="宋体" w:eastAsia="宋体" w:cs="宋体"/>
          <w:b/>
          <w:color w:val="auto"/>
          <w:kern w:val="2"/>
          <w:sz w:val="24"/>
          <w:szCs w:val="24"/>
          <w:lang w:eastAsia="zh-CN"/>
        </w:rPr>
      </w:pPr>
      <w:r>
        <w:rPr>
          <w:rFonts w:hint="eastAsia" w:ascii="宋体" w:hAnsi="宋体" w:cs="宋体"/>
          <w:b/>
          <w:color w:val="auto"/>
          <w:kern w:val="2"/>
          <w:sz w:val="24"/>
          <w:szCs w:val="24"/>
        </w:rPr>
        <w:t>第三章、项目采购需求</w:t>
      </w:r>
      <w:r>
        <w:rPr>
          <w:rFonts w:hint="eastAsia" w:ascii="宋体" w:hAnsi="宋体" w:cs="宋体"/>
          <w:b/>
          <w:color w:val="auto"/>
          <w:kern w:val="2"/>
          <w:sz w:val="24"/>
          <w:szCs w:val="24"/>
        </w:rPr>
        <w:tab/>
      </w:r>
      <w:r>
        <w:rPr>
          <w:rFonts w:hint="eastAsia" w:ascii="宋体" w:hAnsi="宋体" w:cs="宋体"/>
          <w:b/>
          <w:color w:val="auto"/>
          <w:kern w:val="2"/>
          <w:sz w:val="24"/>
          <w:szCs w:val="24"/>
        </w:rPr>
        <w:t>2</w:t>
      </w:r>
      <w:r>
        <w:rPr>
          <w:rFonts w:hint="eastAsia" w:ascii="宋体" w:hAnsi="宋体" w:cs="宋体"/>
          <w:b/>
          <w:color w:val="auto"/>
          <w:kern w:val="2"/>
          <w:sz w:val="24"/>
          <w:szCs w:val="24"/>
          <w:lang w:val="en-US" w:eastAsia="zh-CN"/>
        </w:rPr>
        <w:t>5</w:t>
      </w:r>
    </w:p>
    <w:p>
      <w:pPr>
        <w:pStyle w:val="27"/>
        <w:tabs>
          <w:tab w:val="right" w:leader="dot" w:pos="9185"/>
        </w:tabs>
        <w:spacing w:line="600" w:lineRule="auto"/>
        <w:rPr>
          <w:rFonts w:hint="default" w:ascii="宋体" w:hAnsi="宋体" w:eastAsia="宋体" w:cs="宋体"/>
          <w:b/>
          <w:color w:val="auto"/>
          <w:kern w:val="2"/>
          <w:sz w:val="24"/>
          <w:szCs w:val="24"/>
          <w:lang w:val="en-US" w:eastAsia="zh-CN"/>
        </w:rPr>
      </w:pPr>
      <w:r>
        <w:rPr>
          <w:rFonts w:hint="eastAsia" w:ascii="宋体" w:hAnsi="宋体" w:cs="宋体"/>
          <w:b/>
          <w:color w:val="auto"/>
          <w:kern w:val="2"/>
          <w:sz w:val="24"/>
          <w:szCs w:val="24"/>
        </w:rPr>
        <w:t>第四章、合同协议书</w:t>
      </w:r>
      <w:r>
        <w:rPr>
          <w:rFonts w:hint="eastAsia" w:ascii="宋体" w:hAnsi="宋体" w:cs="宋体"/>
          <w:b/>
          <w:color w:val="auto"/>
          <w:kern w:val="2"/>
          <w:sz w:val="24"/>
          <w:szCs w:val="24"/>
        </w:rPr>
        <w:tab/>
      </w:r>
      <w:r>
        <w:rPr>
          <w:rFonts w:hint="eastAsia" w:ascii="宋体" w:hAnsi="宋体" w:cs="宋体"/>
          <w:b/>
          <w:color w:val="auto"/>
          <w:kern w:val="2"/>
          <w:sz w:val="24"/>
          <w:szCs w:val="24"/>
          <w:lang w:val="en-US" w:eastAsia="zh-CN"/>
        </w:rPr>
        <w:t>49</w:t>
      </w:r>
    </w:p>
    <w:p>
      <w:pPr>
        <w:pStyle w:val="27"/>
        <w:tabs>
          <w:tab w:val="right" w:leader="dot" w:pos="9185"/>
        </w:tabs>
        <w:spacing w:line="600" w:lineRule="auto"/>
        <w:rPr>
          <w:rFonts w:hint="default" w:ascii="宋体" w:hAnsi="宋体" w:eastAsia="宋体" w:cs="宋体"/>
          <w:b/>
          <w:color w:val="auto"/>
          <w:kern w:val="2"/>
          <w:sz w:val="24"/>
          <w:szCs w:val="24"/>
          <w:lang w:val="en-US" w:eastAsia="zh-CN"/>
        </w:rPr>
      </w:pPr>
      <w:r>
        <w:rPr>
          <w:rFonts w:hint="eastAsia" w:ascii="宋体" w:hAnsi="宋体" w:cs="宋体"/>
          <w:b/>
          <w:color w:val="auto"/>
          <w:kern w:val="2"/>
          <w:sz w:val="24"/>
          <w:szCs w:val="24"/>
        </w:rPr>
        <w:t>第五章、</w:t>
      </w:r>
      <w:r>
        <w:rPr>
          <w:rFonts w:hint="eastAsia" w:ascii="宋体" w:hAnsi="宋体" w:cs="宋体"/>
          <w:b/>
          <w:color w:val="auto"/>
          <w:kern w:val="2"/>
          <w:sz w:val="24"/>
          <w:szCs w:val="24"/>
          <w:lang w:eastAsia="zh-CN"/>
        </w:rPr>
        <w:t>投标文件</w:t>
      </w:r>
      <w:r>
        <w:rPr>
          <w:rFonts w:hint="eastAsia" w:ascii="宋体" w:hAnsi="宋体" w:cs="宋体"/>
          <w:b/>
          <w:color w:val="auto"/>
          <w:kern w:val="2"/>
          <w:sz w:val="24"/>
          <w:szCs w:val="24"/>
        </w:rPr>
        <w:t>格式</w:t>
      </w:r>
      <w:r>
        <w:rPr>
          <w:rFonts w:hint="eastAsia" w:ascii="宋体" w:hAnsi="宋体" w:cs="宋体"/>
          <w:b/>
          <w:color w:val="auto"/>
          <w:kern w:val="2"/>
          <w:sz w:val="24"/>
          <w:szCs w:val="24"/>
        </w:rPr>
        <w:tab/>
      </w:r>
      <w:r>
        <w:rPr>
          <w:rFonts w:hint="eastAsia" w:ascii="宋体" w:hAnsi="宋体" w:cs="宋体"/>
          <w:b/>
          <w:color w:val="auto"/>
          <w:kern w:val="2"/>
          <w:sz w:val="24"/>
          <w:szCs w:val="24"/>
          <w:lang w:val="en-US" w:eastAsia="zh-CN"/>
        </w:rPr>
        <w:t>51</w:t>
      </w:r>
    </w:p>
    <w:p>
      <w:pPr>
        <w:pStyle w:val="27"/>
        <w:tabs>
          <w:tab w:val="right" w:leader="dot" w:pos="9185"/>
        </w:tabs>
        <w:spacing w:line="600" w:lineRule="auto"/>
        <w:rPr>
          <w:rFonts w:hint="default" w:ascii="宋体" w:hAnsi="宋体" w:eastAsia="宋体" w:cs="宋体"/>
          <w:b/>
          <w:color w:val="auto"/>
          <w:kern w:val="2"/>
          <w:sz w:val="24"/>
          <w:szCs w:val="24"/>
          <w:lang w:val="en-US" w:eastAsia="zh-CN"/>
        </w:rPr>
      </w:pPr>
      <w:r>
        <w:rPr>
          <w:rFonts w:hint="eastAsia" w:ascii="宋体" w:hAnsi="宋体" w:cs="宋体"/>
          <w:b/>
          <w:color w:val="auto"/>
          <w:kern w:val="2"/>
          <w:sz w:val="24"/>
          <w:szCs w:val="24"/>
        </w:rPr>
        <w:t>第六章、评标标准（综合评估法）</w:t>
      </w:r>
      <w:r>
        <w:rPr>
          <w:rFonts w:hint="eastAsia" w:ascii="宋体" w:hAnsi="宋体" w:cs="宋体"/>
          <w:b/>
          <w:color w:val="auto"/>
          <w:kern w:val="2"/>
          <w:sz w:val="24"/>
          <w:szCs w:val="24"/>
        </w:rPr>
        <w:tab/>
      </w:r>
      <w:r>
        <w:rPr>
          <w:rFonts w:hint="eastAsia" w:ascii="宋体" w:hAnsi="宋体" w:cs="宋体"/>
          <w:b/>
          <w:color w:val="auto"/>
          <w:kern w:val="2"/>
          <w:sz w:val="24"/>
          <w:szCs w:val="24"/>
          <w:lang w:val="en-US" w:eastAsia="zh-CN"/>
        </w:rPr>
        <w:t>65</w:t>
      </w:r>
    </w:p>
    <w:p>
      <w:pPr>
        <w:spacing w:line="312" w:lineRule="auto"/>
        <w:jc w:val="center"/>
        <w:rPr>
          <w:rFonts w:ascii="宋体" w:hAnsi="宋体" w:cs="宋体"/>
          <w:b/>
          <w:color w:val="auto"/>
          <w:sz w:val="30"/>
          <w:szCs w:val="30"/>
        </w:rPr>
      </w:pPr>
    </w:p>
    <w:p>
      <w:pPr>
        <w:spacing w:line="312" w:lineRule="auto"/>
        <w:jc w:val="center"/>
        <w:rPr>
          <w:rFonts w:ascii="宋体" w:hAnsi="宋体" w:cs="宋体"/>
          <w:b/>
          <w:color w:val="auto"/>
          <w:sz w:val="30"/>
          <w:szCs w:val="30"/>
        </w:rPr>
      </w:pPr>
    </w:p>
    <w:p>
      <w:pPr>
        <w:spacing w:line="312" w:lineRule="auto"/>
        <w:jc w:val="center"/>
        <w:rPr>
          <w:rFonts w:ascii="宋体" w:hAnsi="宋体" w:cs="宋体"/>
          <w:b/>
          <w:color w:val="auto"/>
          <w:sz w:val="30"/>
          <w:szCs w:val="30"/>
        </w:rPr>
      </w:pPr>
    </w:p>
    <w:p>
      <w:pPr>
        <w:spacing w:line="312" w:lineRule="auto"/>
        <w:jc w:val="center"/>
        <w:rPr>
          <w:rFonts w:ascii="宋体" w:hAnsi="宋体" w:cs="宋体"/>
          <w:b/>
          <w:color w:val="auto"/>
          <w:sz w:val="30"/>
          <w:szCs w:val="30"/>
        </w:rPr>
      </w:pPr>
    </w:p>
    <w:p>
      <w:pPr>
        <w:spacing w:line="312" w:lineRule="auto"/>
        <w:jc w:val="center"/>
        <w:rPr>
          <w:rFonts w:ascii="宋体" w:hAnsi="宋体" w:cs="宋体"/>
          <w:b/>
          <w:color w:val="auto"/>
          <w:sz w:val="30"/>
          <w:szCs w:val="30"/>
        </w:rPr>
      </w:pPr>
    </w:p>
    <w:p>
      <w:pPr>
        <w:spacing w:line="312" w:lineRule="auto"/>
        <w:jc w:val="center"/>
        <w:rPr>
          <w:rFonts w:ascii="宋体" w:hAnsi="宋体" w:cs="宋体"/>
          <w:b/>
          <w:color w:val="auto"/>
          <w:sz w:val="30"/>
          <w:szCs w:val="30"/>
        </w:rPr>
      </w:pPr>
    </w:p>
    <w:p>
      <w:pPr>
        <w:tabs>
          <w:tab w:val="left" w:pos="1230"/>
          <w:tab w:val="left" w:pos="1275"/>
        </w:tabs>
        <w:spacing w:line="340" w:lineRule="exact"/>
        <w:jc w:val="center"/>
        <w:rPr>
          <w:rFonts w:hint="eastAsia" w:ascii="宋体" w:hAnsi="宋体" w:cs="宋体"/>
          <w:b/>
          <w:bCs/>
          <w:color w:val="auto"/>
          <w:sz w:val="32"/>
          <w:szCs w:val="32"/>
        </w:rPr>
      </w:pPr>
      <w:r>
        <w:rPr>
          <w:rFonts w:hint="eastAsia" w:ascii="宋体" w:hAnsi="宋体" w:cs="宋体"/>
          <w:b/>
          <w:bCs/>
          <w:color w:val="auto"/>
          <w:sz w:val="32"/>
          <w:szCs w:val="32"/>
        </w:rPr>
        <w:br w:type="page"/>
      </w:r>
    </w:p>
    <w:p>
      <w:pPr>
        <w:spacing w:line="360" w:lineRule="auto"/>
        <w:jc w:val="center"/>
        <w:rPr>
          <w:rFonts w:ascii="宋体" w:hAnsi="宋体" w:cs="宋体"/>
          <w:b/>
          <w:color w:val="auto"/>
          <w:sz w:val="28"/>
          <w:szCs w:val="28"/>
        </w:rPr>
      </w:pPr>
      <w:bookmarkStart w:id="0" w:name="_Toc19876_WPSOffice_Level1"/>
      <w:r>
        <w:rPr>
          <w:rFonts w:hint="eastAsia" w:ascii="宋体" w:hAnsi="宋体" w:cs="宋体"/>
          <w:b/>
          <w:color w:val="auto"/>
          <w:sz w:val="28"/>
          <w:szCs w:val="28"/>
        </w:rPr>
        <w:t>前</w:t>
      </w:r>
      <w:r>
        <w:rPr>
          <w:rFonts w:hint="eastAsia" w:ascii="宋体" w:hAnsi="宋体" w:cs="宋体"/>
          <w:b/>
          <w:color w:val="auto"/>
          <w:sz w:val="28"/>
          <w:szCs w:val="28"/>
          <w:lang w:val="en-US" w:eastAsia="zh-CN"/>
        </w:rPr>
        <w:t xml:space="preserve"> </w:t>
      </w:r>
      <w:r>
        <w:rPr>
          <w:rFonts w:hint="eastAsia" w:ascii="宋体" w:hAnsi="宋体" w:cs="宋体"/>
          <w:b/>
          <w:color w:val="auto"/>
          <w:sz w:val="28"/>
          <w:szCs w:val="28"/>
        </w:rPr>
        <w:t>附</w:t>
      </w:r>
      <w:r>
        <w:rPr>
          <w:rFonts w:hint="eastAsia" w:ascii="宋体" w:hAnsi="宋体" w:cs="宋体"/>
          <w:b/>
          <w:color w:val="auto"/>
          <w:sz w:val="28"/>
          <w:szCs w:val="28"/>
          <w:lang w:val="en-US" w:eastAsia="zh-CN"/>
        </w:rPr>
        <w:t xml:space="preserve"> </w:t>
      </w:r>
      <w:r>
        <w:rPr>
          <w:rFonts w:hint="eastAsia" w:ascii="宋体" w:hAnsi="宋体" w:cs="宋体"/>
          <w:b/>
          <w:color w:val="auto"/>
          <w:sz w:val="28"/>
          <w:szCs w:val="28"/>
        </w:rPr>
        <w:t>表</w:t>
      </w:r>
      <w:bookmarkEnd w:id="0"/>
    </w:p>
    <w:tbl>
      <w:tblPr>
        <w:tblStyle w:val="20"/>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9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661" w:type="dxa"/>
            <w:vAlign w:val="center"/>
          </w:tcPr>
          <w:p>
            <w:pPr>
              <w:pStyle w:val="11"/>
              <w:spacing w:line="360" w:lineRule="exact"/>
              <w:jc w:val="center"/>
              <w:rPr>
                <w:rFonts w:hAnsi="宋体" w:cs="宋体"/>
                <w:color w:val="auto"/>
              </w:rPr>
            </w:pPr>
            <w:r>
              <w:rPr>
                <w:rFonts w:hint="eastAsia" w:hAnsi="宋体" w:cs="宋体"/>
                <w:color w:val="auto"/>
              </w:rPr>
              <w:t>项号</w:t>
            </w:r>
          </w:p>
        </w:tc>
        <w:tc>
          <w:tcPr>
            <w:tcW w:w="9378" w:type="dxa"/>
            <w:vAlign w:val="center"/>
          </w:tcPr>
          <w:p>
            <w:pPr>
              <w:pStyle w:val="11"/>
              <w:spacing w:line="360" w:lineRule="exact"/>
              <w:jc w:val="center"/>
              <w:rPr>
                <w:rFonts w:hAnsi="宋体" w:cs="宋体"/>
                <w:color w:val="auto"/>
              </w:rPr>
            </w:pPr>
            <w:r>
              <w:rPr>
                <w:rFonts w:hint="eastAsia" w:hAnsi="宋体" w:cs="宋体"/>
                <w:color w:val="auto"/>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61" w:type="dxa"/>
            <w:vAlign w:val="center"/>
          </w:tcPr>
          <w:p>
            <w:pPr>
              <w:pStyle w:val="11"/>
              <w:spacing w:line="360" w:lineRule="exact"/>
              <w:jc w:val="center"/>
              <w:rPr>
                <w:rFonts w:hAnsi="宋体" w:cs="宋体"/>
                <w:color w:val="auto"/>
              </w:rPr>
            </w:pPr>
            <w:r>
              <w:rPr>
                <w:rFonts w:hint="eastAsia" w:hAnsi="宋体" w:cs="宋体"/>
                <w:color w:val="auto"/>
              </w:rPr>
              <w:t>1</w:t>
            </w:r>
          </w:p>
        </w:tc>
        <w:tc>
          <w:tcPr>
            <w:tcW w:w="9378" w:type="dxa"/>
            <w:vAlign w:val="center"/>
          </w:tcPr>
          <w:p>
            <w:pPr>
              <w:pStyle w:val="11"/>
              <w:spacing w:line="360" w:lineRule="exact"/>
              <w:jc w:val="left"/>
              <w:rPr>
                <w:rFonts w:hint="eastAsia" w:hAnsi="宋体" w:eastAsia="宋体" w:cs="宋体"/>
                <w:color w:val="auto"/>
                <w:kern w:val="0"/>
                <w:lang w:eastAsia="zh-CN"/>
              </w:rPr>
            </w:pPr>
            <w:r>
              <w:rPr>
                <w:rFonts w:hint="eastAsia" w:hAnsi="宋体" w:cs="宋体"/>
                <w:color w:val="auto"/>
              </w:rPr>
              <w:t>项目名称：</w:t>
            </w:r>
            <w:r>
              <w:rPr>
                <w:rFonts w:hint="eastAsia" w:hAnsi="宋体" w:cs="宋体"/>
                <w:color w:val="auto"/>
                <w:lang w:eastAsia="zh-CN"/>
              </w:rPr>
              <w:t>克拉玛依市第三人民医院电子病历系统项目</w:t>
            </w:r>
          </w:p>
          <w:p>
            <w:pPr>
              <w:pStyle w:val="11"/>
              <w:spacing w:line="360" w:lineRule="exact"/>
              <w:jc w:val="left"/>
              <w:rPr>
                <w:rFonts w:hint="default" w:hAnsi="宋体" w:eastAsia="宋体" w:cs="宋体"/>
                <w:color w:val="auto"/>
                <w:lang w:val="en-US" w:eastAsia="zh-CN"/>
              </w:rPr>
            </w:pPr>
            <w:r>
              <w:rPr>
                <w:rFonts w:hint="eastAsia" w:hAnsi="宋体" w:cs="宋体"/>
                <w:color w:val="auto"/>
                <w:highlight w:val="none"/>
                <w:lang w:eastAsia="zh-CN"/>
              </w:rPr>
              <w:t>招标</w:t>
            </w:r>
            <w:r>
              <w:rPr>
                <w:rFonts w:hint="eastAsia" w:hAnsi="宋体" w:cs="宋体"/>
                <w:color w:val="auto"/>
                <w:highlight w:val="none"/>
              </w:rPr>
              <w:t>文件编号</w:t>
            </w:r>
            <w:r>
              <w:rPr>
                <w:rFonts w:hint="eastAsia" w:hAnsi="宋体" w:cs="宋体"/>
                <w:color w:val="auto"/>
              </w:rPr>
              <w:t>：</w:t>
            </w:r>
            <w:r>
              <w:rPr>
                <w:rFonts w:hint="eastAsia" w:hAnsi="宋体" w:cs="宋体"/>
                <w:color w:val="auto"/>
                <w:lang w:eastAsia="zh-CN"/>
              </w:rPr>
              <w:t>YXZB[ZC]2023-01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661" w:type="dxa"/>
            <w:vAlign w:val="center"/>
          </w:tcPr>
          <w:p>
            <w:pPr>
              <w:pStyle w:val="11"/>
              <w:spacing w:line="360" w:lineRule="exact"/>
              <w:jc w:val="center"/>
              <w:rPr>
                <w:rFonts w:hAnsi="宋体" w:cs="宋体"/>
                <w:color w:val="auto"/>
              </w:rPr>
            </w:pPr>
            <w:r>
              <w:rPr>
                <w:rFonts w:hint="eastAsia" w:hAnsi="宋体" w:cs="宋体"/>
                <w:color w:val="auto"/>
              </w:rPr>
              <w:t>2</w:t>
            </w:r>
          </w:p>
        </w:tc>
        <w:tc>
          <w:tcPr>
            <w:tcW w:w="9378" w:type="dxa"/>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Style w:val="23"/>
                <w:rFonts w:hint="eastAsia" w:ascii="宋体" w:hAnsi="宋体" w:eastAsia="宋体" w:cs="宋体"/>
                <w:b w:val="0"/>
                <w:color w:val="auto"/>
                <w:kern w:val="0"/>
                <w:szCs w:val="21"/>
                <w:lang w:eastAsia="zh-CN"/>
              </w:rPr>
            </w:pPr>
            <w:r>
              <w:rPr>
                <w:rStyle w:val="23"/>
                <w:rFonts w:hint="eastAsia" w:ascii="宋体" w:hAnsi="宋体" w:cs="宋体"/>
                <w:b w:val="0"/>
                <w:color w:val="auto"/>
                <w:kern w:val="0"/>
                <w:szCs w:val="21"/>
              </w:rPr>
              <w:t>采购人：</w:t>
            </w:r>
            <w:r>
              <w:rPr>
                <w:rStyle w:val="23"/>
                <w:rFonts w:hint="eastAsia" w:ascii="宋体" w:hAnsi="宋体" w:cs="宋体"/>
                <w:b w:val="0"/>
                <w:color w:val="auto"/>
                <w:kern w:val="0"/>
                <w:szCs w:val="21"/>
                <w:lang w:eastAsia="zh-CN"/>
              </w:rPr>
              <w:t>克拉玛依市第三人民医院</w:t>
            </w:r>
          </w:p>
          <w:p>
            <w:pPr>
              <w:keepNext w:val="0"/>
              <w:keepLines w:val="0"/>
              <w:pageBreakBefore w:val="0"/>
              <w:kinsoku/>
              <w:wordWrap/>
              <w:overflowPunct/>
              <w:topLinePunct w:val="0"/>
              <w:autoSpaceDE/>
              <w:autoSpaceDN/>
              <w:bidi w:val="0"/>
              <w:adjustRightInd/>
              <w:snapToGrid/>
              <w:spacing w:line="280" w:lineRule="exact"/>
              <w:jc w:val="left"/>
              <w:textAlignment w:val="auto"/>
              <w:rPr>
                <w:rStyle w:val="23"/>
                <w:rFonts w:hint="eastAsia" w:ascii="宋体" w:hAnsi="宋体" w:eastAsia="宋体" w:cs="宋体"/>
                <w:b w:val="0"/>
                <w:color w:val="auto"/>
                <w:kern w:val="0"/>
                <w:szCs w:val="21"/>
                <w:lang w:eastAsia="zh-CN"/>
              </w:rPr>
            </w:pPr>
            <w:r>
              <w:rPr>
                <w:rStyle w:val="23"/>
                <w:rFonts w:hint="eastAsia" w:ascii="宋体" w:hAnsi="宋体" w:cs="宋体"/>
                <w:b w:val="0"/>
                <w:color w:val="auto"/>
                <w:kern w:val="0"/>
                <w:szCs w:val="21"/>
              </w:rPr>
              <w:t>联系人：</w:t>
            </w:r>
            <w:r>
              <w:rPr>
                <w:rStyle w:val="23"/>
                <w:rFonts w:hint="eastAsia" w:ascii="宋体" w:hAnsi="宋体" w:eastAsia="宋体" w:cs="宋体"/>
                <w:b w:val="0"/>
                <w:color w:val="auto"/>
                <w:kern w:val="0"/>
                <w:sz w:val="21"/>
                <w:szCs w:val="21"/>
                <w:lang w:val="en-US" w:eastAsia="zh-CN" w:bidi="ar-SA"/>
              </w:rPr>
              <w:t>陈春雨</w:t>
            </w:r>
          </w:p>
          <w:p>
            <w:pPr>
              <w:keepNext w:val="0"/>
              <w:keepLines w:val="0"/>
              <w:pageBreakBefore w:val="0"/>
              <w:kinsoku/>
              <w:wordWrap/>
              <w:overflowPunct/>
              <w:topLinePunct w:val="0"/>
              <w:autoSpaceDE/>
              <w:autoSpaceDN/>
              <w:bidi w:val="0"/>
              <w:adjustRightInd/>
              <w:snapToGrid/>
              <w:spacing w:line="280" w:lineRule="exact"/>
              <w:jc w:val="left"/>
              <w:textAlignment w:val="auto"/>
              <w:rPr>
                <w:rStyle w:val="23"/>
                <w:rFonts w:hint="default" w:ascii="宋体" w:hAnsi="宋体" w:eastAsia="宋体" w:cs="宋体"/>
                <w:b w:val="0"/>
                <w:color w:val="auto"/>
                <w:kern w:val="0"/>
                <w:szCs w:val="21"/>
                <w:lang w:val="en-US" w:eastAsia="zh-CN"/>
              </w:rPr>
            </w:pPr>
            <w:r>
              <w:rPr>
                <w:rStyle w:val="23"/>
                <w:rFonts w:hint="eastAsia" w:ascii="宋体" w:hAnsi="宋体" w:cs="宋体"/>
                <w:b w:val="0"/>
                <w:color w:val="auto"/>
                <w:kern w:val="0"/>
                <w:szCs w:val="21"/>
              </w:rPr>
              <w:t>联系电话</w:t>
            </w:r>
            <w:r>
              <w:rPr>
                <w:rStyle w:val="23"/>
                <w:rFonts w:hint="eastAsia" w:ascii="宋体" w:hAnsi="宋体" w:cs="宋体"/>
                <w:b w:val="0"/>
                <w:color w:val="auto"/>
                <w:kern w:val="0"/>
                <w:szCs w:val="21"/>
                <w:highlight w:val="none"/>
              </w:rPr>
              <w:t>：</w:t>
            </w:r>
            <w:r>
              <w:rPr>
                <w:rStyle w:val="23"/>
                <w:rFonts w:hint="eastAsia" w:ascii="宋体" w:hAnsi="宋体" w:cs="宋体"/>
                <w:b w:val="0"/>
                <w:color w:val="auto"/>
                <w:kern w:val="0"/>
                <w:szCs w:val="21"/>
                <w:highlight w:val="none"/>
                <w:lang w:eastAsia="zh-CN"/>
              </w:rPr>
              <w:t>0990-69</w:t>
            </w:r>
            <w:r>
              <w:rPr>
                <w:rStyle w:val="23"/>
                <w:rFonts w:hint="eastAsia" w:ascii="宋体" w:hAnsi="宋体" w:cs="宋体"/>
                <w:b w:val="0"/>
                <w:color w:val="auto"/>
                <w:kern w:val="0"/>
                <w:szCs w:val="21"/>
                <w:highlight w:val="none"/>
                <w:lang w:val="en-US" w:eastAsia="zh-CN"/>
              </w:rPr>
              <w:t>60602</w:t>
            </w:r>
          </w:p>
          <w:p>
            <w:pPr>
              <w:pStyle w:val="17"/>
              <w:keepNext w:val="0"/>
              <w:keepLines w:val="0"/>
              <w:pageBreakBefore w:val="0"/>
              <w:kinsoku/>
              <w:wordWrap/>
              <w:overflowPunct/>
              <w:topLinePunct w:val="0"/>
              <w:autoSpaceDE/>
              <w:autoSpaceDN/>
              <w:bidi w:val="0"/>
              <w:adjustRightInd/>
              <w:snapToGrid/>
              <w:spacing w:before="75" w:beforeAutospacing="0" w:after="75" w:afterAutospacing="0" w:line="280" w:lineRule="exact"/>
              <w:textAlignment w:val="auto"/>
              <w:rPr>
                <w:rFonts w:cs="宋体"/>
                <w:color w:val="auto"/>
                <w:sz w:val="21"/>
                <w:szCs w:val="21"/>
              </w:rPr>
            </w:pPr>
            <w:r>
              <w:rPr>
                <w:rStyle w:val="23"/>
                <w:rFonts w:hint="eastAsia" w:cs="宋体"/>
                <w:b w:val="0"/>
                <w:color w:val="auto"/>
                <w:sz w:val="21"/>
                <w:szCs w:val="21"/>
              </w:rPr>
              <w:t>地址：</w:t>
            </w:r>
            <w:r>
              <w:rPr>
                <w:rStyle w:val="23"/>
                <w:rFonts w:hint="eastAsia" w:ascii="宋体" w:hAnsi="宋体" w:eastAsia="宋体" w:cs="宋体"/>
                <w:b w:val="0"/>
                <w:color w:val="auto"/>
                <w:kern w:val="0"/>
                <w:sz w:val="21"/>
                <w:szCs w:val="21"/>
                <w:lang w:val="en-US" w:eastAsia="zh-CN" w:bidi="ar-SA"/>
              </w:rPr>
              <w:t>新疆维吾尔自治区克拉玛依市乌尔禾区龙口路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61" w:type="dxa"/>
            <w:vAlign w:val="center"/>
          </w:tcPr>
          <w:p>
            <w:pPr>
              <w:pStyle w:val="11"/>
              <w:spacing w:line="360" w:lineRule="exact"/>
              <w:jc w:val="center"/>
              <w:rPr>
                <w:rFonts w:hAnsi="宋体" w:cs="宋体"/>
                <w:color w:val="auto"/>
              </w:rPr>
            </w:pPr>
            <w:r>
              <w:rPr>
                <w:rFonts w:hint="eastAsia" w:hAnsi="宋体" w:cs="宋体"/>
                <w:color w:val="auto"/>
              </w:rPr>
              <w:t>3</w:t>
            </w:r>
          </w:p>
        </w:tc>
        <w:tc>
          <w:tcPr>
            <w:tcW w:w="9378" w:type="dxa"/>
            <w:vAlign w:val="center"/>
          </w:tcPr>
          <w:p>
            <w:pPr>
              <w:pStyle w:val="17"/>
              <w:keepNext w:val="0"/>
              <w:keepLines w:val="0"/>
              <w:pageBreakBefore w:val="0"/>
              <w:kinsoku/>
              <w:wordWrap/>
              <w:overflowPunct/>
              <w:topLinePunct w:val="0"/>
              <w:autoSpaceDE/>
              <w:autoSpaceDN/>
              <w:bidi w:val="0"/>
              <w:adjustRightInd/>
              <w:snapToGrid/>
              <w:spacing w:before="75" w:beforeAutospacing="0" w:after="75" w:afterAutospacing="0" w:line="280" w:lineRule="exact"/>
              <w:textAlignment w:val="auto"/>
              <w:rPr>
                <w:rFonts w:cs="宋体"/>
                <w:color w:val="auto"/>
                <w:sz w:val="21"/>
                <w:szCs w:val="21"/>
              </w:rPr>
            </w:pPr>
            <w:r>
              <w:rPr>
                <w:rFonts w:hint="eastAsia" w:cs="宋体"/>
                <w:color w:val="auto"/>
                <w:sz w:val="21"/>
                <w:szCs w:val="21"/>
              </w:rPr>
              <w:t>采购代理机构：新疆永信工程造价咨询有限公司 </w:t>
            </w:r>
          </w:p>
          <w:p>
            <w:pPr>
              <w:pStyle w:val="17"/>
              <w:keepNext w:val="0"/>
              <w:keepLines w:val="0"/>
              <w:pageBreakBefore w:val="0"/>
              <w:kinsoku/>
              <w:wordWrap/>
              <w:overflowPunct/>
              <w:topLinePunct w:val="0"/>
              <w:autoSpaceDE/>
              <w:autoSpaceDN/>
              <w:bidi w:val="0"/>
              <w:adjustRightInd/>
              <w:snapToGrid/>
              <w:spacing w:before="75" w:beforeAutospacing="0" w:after="75" w:afterAutospacing="0" w:line="280" w:lineRule="exact"/>
              <w:textAlignment w:val="auto"/>
              <w:rPr>
                <w:rFonts w:cs="宋体"/>
                <w:color w:val="auto"/>
                <w:sz w:val="21"/>
                <w:szCs w:val="21"/>
              </w:rPr>
            </w:pPr>
            <w:r>
              <w:rPr>
                <w:rStyle w:val="23"/>
                <w:rFonts w:hint="eastAsia" w:cs="宋体"/>
                <w:b w:val="0"/>
                <w:color w:val="auto"/>
                <w:sz w:val="21"/>
                <w:szCs w:val="21"/>
              </w:rPr>
              <w:t>联系人：</w:t>
            </w:r>
            <w:r>
              <w:rPr>
                <w:rStyle w:val="23"/>
                <w:rFonts w:hint="eastAsia" w:cs="宋体"/>
                <w:b w:val="0"/>
                <w:color w:val="auto"/>
                <w:sz w:val="21"/>
                <w:szCs w:val="21"/>
                <w:lang w:val="en-US" w:eastAsia="zh-CN"/>
              </w:rPr>
              <w:t>黄艳丽、</w:t>
            </w:r>
            <w:r>
              <w:rPr>
                <w:rFonts w:hint="eastAsia" w:cs="宋体"/>
                <w:color w:val="auto"/>
                <w:sz w:val="21"/>
                <w:szCs w:val="21"/>
              </w:rPr>
              <w:t>邵彩霞</w:t>
            </w:r>
          </w:p>
          <w:p>
            <w:pPr>
              <w:pStyle w:val="17"/>
              <w:keepNext w:val="0"/>
              <w:keepLines w:val="0"/>
              <w:pageBreakBefore w:val="0"/>
              <w:kinsoku/>
              <w:wordWrap/>
              <w:overflowPunct/>
              <w:topLinePunct w:val="0"/>
              <w:autoSpaceDE/>
              <w:autoSpaceDN/>
              <w:bidi w:val="0"/>
              <w:adjustRightInd/>
              <w:snapToGrid/>
              <w:spacing w:before="75" w:beforeAutospacing="0" w:after="75" w:afterAutospacing="0" w:line="280" w:lineRule="exact"/>
              <w:textAlignment w:val="auto"/>
              <w:rPr>
                <w:rFonts w:hint="eastAsia" w:cs="宋体"/>
                <w:color w:val="auto"/>
                <w:sz w:val="21"/>
                <w:szCs w:val="21"/>
              </w:rPr>
            </w:pPr>
            <w:r>
              <w:rPr>
                <w:rStyle w:val="23"/>
                <w:rFonts w:hint="eastAsia" w:cs="宋体"/>
                <w:b w:val="0"/>
                <w:color w:val="auto"/>
                <w:sz w:val="21"/>
                <w:szCs w:val="21"/>
              </w:rPr>
              <w:t>联系电话：</w:t>
            </w:r>
            <w:r>
              <w:rPr>
                <w:rFonts w:hint="eastAsia" w:cs="宋体"/>
                <w:color w:val="auto"/>
                <w:sz w:val="21"/>
                <w:szCs w:val="21"/>
                <w:lang w:val="en-US" w:eastAsia="zh-CN"/>
              </w:rPr>
              <w:t>15999392492、13899588072</w:t>
            </w:r>
            <w:r>
              <w:rPr>
                <w:rFonts w:hint="eastAsia" w:cs="宋体"/>
                <w:color w:val="auto"/>
                <w:sz w:val="21"/>
                <w:szCs w:val="21"/>
              </w:rPr>
              <w:t>  </w:t>
            </w:r>
          </w:p>
          <w:p>
            <w:pPr>
              <w:keepNext w:val="0"/>
              <w:keepLines w:val="0"/>
              <w:pageBreakBefore w:val="0"/>
              <w:kinsoku/>
              <w:wordWrap/>
              <w:overflowPunct/>
              <w:topLinePunct w:val="0"/>
              <w:autoSpaceDE/>
              <w:autoSpaceDN/>
              <w:bidi w:val="0"/>
              <w:adjustRightInd/>
              <w:snapToGrid/>
              <w:spacing w:line="280" w:lineRule="exact"/>
              <w:jc w:val="left"/>
              <w:textAlignment w:val="auto"/>
              <w:rPr>
                <w:rFonts w:ascii="宋体" w:hAnsi="宋体" w:cs="宋体"/>
                <w:color w:val="auto"/>
                <w:szCs w:val="21"/>
              </w:rPr>
            </w:pPr>
            <w:r>
              <w:rPr>
                <w:rStyle w:val="23"/>
                <w:rFonts w:hint="eastAsia" w:ascii="宋体" w:hAnsi="宋体" w:cs="宋体"/>
                <w:b w:val="0"/>
                <w:color w:val="auto"/>
                <w:szCs w:val="21"/>
              </w:rPr>
              <w:t>地址：</w:t>
            </w:r>
            <w:r>
              <w:rPr>
                <w:rFonts w:hint="eastAsia" w:ascii="宋体" w:hAnsi="宋体" w:cs="宋体"/>
                <w:color w:val="auto"/>
                <w:szCs w:val="21"/>
              </w:rPr>
              <w:t>新疆克拉玛依市胜利路47号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61" w:type="dxa"/>
            <w:vAlign w:val="center"/>
          </w:tcPr>
          <w:p>
            <w:pPr>
              <w:pStyle w:val="11"/>
              <w:spacing w:line="360" w:lineRule="exact"/>
              <w:jc w:val="center"/>
              <w:rPr>
                <w:rFonts w:hAnsi="宋体" w:cs="宋体"/>
                <w:color w:val="auto"/>
              </w:rPr>
            </w:pPr>
            <w:r>
              <w:rPr>
                <w:rFonts w:hint="eastAsia" w:hAnsi="宋体" w:cs="宋体"/>
                <w:color w:val="auto"/>
              </w:rPr>
              <w:t>4</w:t>
            </w:r>
          </w:p>
        </w:tc>
        <w:tc>
          <w:tcPr>
            <w:tcW w:w="9378" w:type="dxa"/>
            <w:vAlign w:val="center"/>
          </w:tcPr>
          <w:p>
            <w:pPr>
              <w:pStyle w:val="11"/>
              <w:spacing w:line="360" w:lineRule="exact"/>
              <w:jc w:val="left"/>
              <w:rPr>
                <w:rFonts w:hAnsi="宋体" w:cs="宋体"/>
                <w:color w:val="auto"/>
              </w:rPr>
            </w:pPr>
            <w:r>
              <w:rPr>
                <w:rFonts w:hint="eastAsia" w:hAnsi="宋体" w:cs="宋体"/>
                <w:color w:val="auto"/>
                <w:lang w:eastAsia="zh-CN"/>
              </w:rPr>
              <w:t>投标文件</w:t>
            </w:r>
            <w:r>
              <w:rPr>
                <w:rFonts w:hint="eastAsia" w:hAnsi="宋体" w:cs="宋体"/>
                <w:color w:val="auto"/>
              </w:rPr>
              <w:t>有效期：递交</w:t>
            </w:r>
            <w:r>
              <w:rPr>
                <w:rFonts w:hint="eastAsia" w:hAnsi="宋体" w:cs="宋体"/>
                <w:color w:val="auto"/>
                <w:lang w:eastAsia="zh-CN"/>
              </w:rPr>
              <w:t>投标文件</w:t>
            </w:r>
            <w:r>
              <w:rPr>
                <w:rFonts w:hint="eastAsia" w:hAnsi="宋体" w:cs="宋体"/>
                <w:color w:val="auto"/>
              </w:rPr>
              <w:t>截止之日起60天（日历日）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61" w:type="dxa"/>
            <w:vAlign w:val="center"/>
          </w:tcPr>
          <w:p>
            <w:pPr>
              <w:pStyle w:val="11"/>
              <w:spacing w:line="360" w:lineRule="exact"/>
              <w:jc w:val="center"/>
              <w:rPr>
                <w:rFonts w:hAnsi="宋体" w:cs="宋体"/>
                <w:color w:val="auto"/>
              </w:rPr>
            </w:pPr>
            <w:r>
              <w:rPr>
                <w:rFonts w:hint="eastAsia" w:hAnsi="宋体" w:cs="宋体"/>
                <w:color w:val="auto"/>
              </w:rPr>
              <w:t>5</w:t>
            </w:r>
          </w:p>
        </w:tc>
        <w:tc>
          <w:tcPr>
            <w:tcW w:w="9378" w:type="dxa"/>
            <w:vAlign w:val="center"/>
          </w:tcPr>
          <w:p>
            <w:pPr>
              <w:pStyle w:val="11"/>
              <w:spacing w:line="360" w:lineRule="exact"/>
              <w:jc w:val="left"/>
              <w:rPr>
                <w:rFonts w:hAnsi="宋体" w:cs="宋体"/>
                <w:color w:val="auto"/>
              </w:rPr>
            </w:pPr>
            <w:r>
              <w:rPr>
                <w:rFonts w:hint="eastAsia" w:hAnsi="宋体" w:cs="宋体"/>
                <w:color w:val="auto"/>
                <w:lang w:eastAsia="zh-CN"/>
              </w:rPr>
              <w:t>投标文件</w:t>
            </w:r>
            <w:r>
              <w:rPr>
                <w:rFonts w:hint="eastAsia" w:hAnsi="宋体" w:cs="宋体"/>
                <w:color w:val="auto"/>
              </w:rPr>
              <w:t>的份数：</w:t>
            </w:r>
            <w:r>
              <w:rPr>
                <w:rFonts w:hint="eastAsia" w:hAnsi="宋体" w:cs="宋体"/>
                <w:b/>
                <w:bCs/>
                <w:color w:val="auto"/>
                <w:highlight w:val="none"/>
                <w:lang w:eastAsia="zh-CN"/>
              </w:rPr>
              <w:t>在</w:t>
            </w:r>
            <w:r>
              <w:rPr>
                <w:rFonts w:hint="eastAsia" w:hAnsi="宋体" w:cs="宋体"/>
                <w:b/>
                <w:bCs/>
                <w:color w:val="auto"/>
                <w:highlight w:val="none"/>
              </w:rPr>
              <w:t>递交</w:t>
            </w:r>
            <w:r>
              <w:rPr>
                <w:rFonts w:hint="eastAsia" w:hAnsi="宋体" w:cs="宋体"/>
                <w:b/>
                <w:bCs/>
                <w:color w:val="auto"/>
                <w:highlight w:val="none"/>
                <w:lang w:val="en-US" w:eastAsia="zh-CN"/>
              </w:rPr>
              <w:t>投标</w:t>
            </w:r>
            <w:r>
              <w:rPr>
                <w:rFonts w:hint="eastAsia" w:hAnsi="宋体" w:cs="宋体"/>
                <w:b/>
                <w:bCs/>
                <w:color w:val="auto"/>
                <w:highlight w:val="none"/>
                <w:lang w:eastAsia="zh-CN"/>
              </w:rPr>
              <w:t>文件</w:t>
            </w:r>
            <w:r>
              <w:rPr>
                <w:rFonts w:hint="eastAsia" w:hAnsi="宋体" w:cs="宋体"/>
                <w:b/>
                <w:bCs/>
                <w:color w:val="auto"/>
                <w:highlight w:val="none"/>
              </w:rPr>
              <w:t>时间</w:t>
            </w:r>
            <w:r>
              <w:rPr>
                <w:rFonts w:hint="eastAsia" w:hAnsi="宋体" w:cs="宋体"/>
                <w:b/>
                <w:bCs/>
                <w:color w:val="auto"/>
                <w:highlight w:val="none"/>
                <w:lang w:eastAsia="zh-CN"/>
              </w:rPr>
              <w:t>内各供应商在“新疆政府采购网政采云平台”递交电子版</w:t>
            </w:r>
            <w:r>
              <w:rPr>
                <w:rFonts w:hint="eastAsia" w:hAnsi="宋体" w:cs="宋体"/>
                <w:b/>
                <w:bCs/>
                <w:color w:val="auto"/>
                <w:highlight w:val="none"/>
                <w:lang w:val="en-US" w:eastAsia="zh-CN"/>
              </w:rPr>
              <w:t>投标</w:t>
            </w:r>
            <w:r>
              <w:rPr>
                <w:rFonts w:hint="eastAsia" w:hAnsi="宋体" w:cs="宋体"/>
                <w:b/>
                <w:bCs/>
                <w:color w:val="auto"/>
                <w:highlight w:val="none"/>
                <w:lang w:eastAsia="zh-CN"/>
              </w:rPr>
              <w:t>文件，供应商递交</w:t>
            </w:r>
            <w:r>
              <w:rPr>
                <w:rFonts w:hint="eastAsia" w:hAnsi="宋体" w:cs="宋体"/>
                <w:b/>
                <w:bCs/>
                <w:color w:val="auto"/>
                <w:highlight w:val="none"/>
              </w:rPr>
              <w:t>的</w:t>
            </w:r>
            <w:r>
              <w:rPr>
                <w:rFonts w:hint="eastAsia" w:hAnsi="宋体" w:cs="宋体"/>
                <w:b/>
                <w:bCs/>
                <w:color w:val="auto"/>
                <w:highlight w:val="none"/>
                <w:lang w:eastAsia="zh-CN"/>
              </w:rPr>
              <w:t>电子版</w:t>
            </w:r>
            <w:r>
              <w:rPr>
                <w:rFonts w:hint="eastAsia" w:hAnsi="宋体" w:cs="宋体"/>
                <w:b/>
                <w:bCs/>
                <w:color w:val="auto"/>
                <w:highlight w:val="none"/>
                <w:lang w:val="en-US" w:eastAsia="zh-CN"/>
              </w:rPr>
              <w:t>投标</w:t>
            </w:r>
            <w:r>
              <w:rPr>
                <w:rFonts w:hint="eastAsia" w:hAnsi="宋体" w:cs="宋体"/>
                <w:b/>
                <w:bCs/>
                <w:color w:val="auto"/>
                <w:highlight w:val="none"/>
                <w:lang w:eastAsia="zh-CN"/>
              </w:rPr>
              <w:t>文件</w:t>
            </w:r>
            <w:r>
              <w:rPr>
                <w:rFonts w:hint="eastAsia" w:hAnsi="宋体" w:cs="宋体"/>
                <w:b/>
                <w:bCs/>
                <w:color w:val="auto"/>
                <w:highlight w:val="none"/>
              </w:rPr>
              <w:t>必须唯一有效，</w:t>
            </w:r>
            <w:r>
              <w:rPr>
                <w:rFonts w:hint="eastAsia" w:hAnsi="宋体" w:cs="宋体"/>
                <w:b/>
                <w:bCs/>
                <w:color w:val="auto"/>
                <w:highlight w:val="none"/>
                <w:lang w:val="en-US" w:eastAsia="zh-CN"/>
              </w:rPr>
              <w:t>投标</w:t>
            </w:r>
            <w:r>
              <w:rPr>
                <w:rFonts w:hint="eastAsia" w:hAnsi="宋体" w:cs="宋体"/>
                <w:b/>
                <w:bCs/>
                <w:color w:val="auto"/>
                <w:highlight w:val="none"/>
                <w:lang w:eastAsia="zh-CN"/>
              </w:rPr>
              <w:t>文件</w:t>
            </w:r>
            <w:r>
              <w:rPr>
                <w:rFonts w:hint="eastAsia" w:hAnsi="宋体" w:cs="宋体"/>
                <w:b/>
                <w:bCs/>
                <w:color w:val="auto"/>
                <w:highlight w:val="none"/>
              </w:rPr>
              <w:t>内要求有盖章及签字的必须有盖章签字，所盖章必须是红章。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661" w:type="dxa"/>
            <w:vAlign w:val="center"/>
          </w:tcPr>
          <w:p>
            <w:pPr>
              <w:pStyle w:val="11"/>
              <w:spacing w:line="360" w:lineRule="exact"/>
              <w:jc w:val="center"/>
              <w:rPr>
                <w:rFonts w:hAnsi="宋体" w:cs="宋体"/>
                <w:color w:val="auto"/>
              </w:rPr>
            </w:pPr>
            <w:r>
              <w:rPr>
                <w:rFonts w:hint="eastAsia" w:hAnsi="宋体" w:cs="宋体"/>
                <w:color w:val="auto"/>
              </w:rPr>
              <w:t>6</w:t>
            </w:r>
          </w:p>
        </w:tc>
        <w:tc>
          <w:tcPr>
            <w:tcW w:w="9378" w:type="dxa"/>
            <w:vAlign w:val="center"/>
          </w:tcPr>
          <w:p>
            <w:pPr>
              <w:pStyle w:val="11"/>
              <w:spacing w:line="360" w:lineRule="exact"/>
              <w:jc w:val="left"/>
              <w:rPr>
                <w:rFonts w:hAnsi="宋体" w:cs="宋体"/>
                <w:color w:val="auto"/>
              </w:rPr>
            </w:pPr>
            <w:r>
              <w:rPr>
                <w:rFonts w:hint="eastAsia" w:ascii="宋体" w:hAnsi="宋体" w:eastAsia="宋体" w:cs="宋体"/>
                <w:color w:val="auto"/>
              </w:rPr>
              <w:t>采购人不统一组织各供应商实地考察。</w:t>
            </w:r>
            <w:r>
              <w:rPr>
                <w:rFonts w:hint="eastAsia" w:hAnsi="宋体" w:cs="宋体"/>
                <w:color w:val="auto"/>
              </w:rPr>
              <w:t>于</w:t>
            </w:r>
            <w:r>
              <w:rPr>
                <w:rFonts w:hint="eastAsia" w:hAnsi="宋体" w:cs="宋体"/>
                <w:color w:val="auto"/>
                <w:lang w:val="en-US" w:eastAsia="zh-CN"/>
              </w:rPr>
              <w:t>规定截止时间前</w:t>
            </w:r>
            <w:r>
              <w:rPr>
                <w:rFonts w:hint="eastAsia" w:hAnsi="宋体" w:cs="宋体"/>
                <w:color w:val="auto"/>
              </w:rPr>
              <w:t>以书面形式</w:t>
            </w:r>
            <w:r>
              <w:rPr>
                <w:rFonts w:hint="eastAsia" w:ascii="宋体" w:hAnsi="宋体" w:eastAsia="宋体" w:cs="宋体"/>
                <w:color w:val="auto"/>
              </w:rPr>
              <w:t>（必须加盖供应商公章）送达或传真至采购代理机构（同时将疑问电子版发</w:t>
            </w:r>
            <w:r>
              <w:rPr>
                <w:rFonts w:hint="eastAsia" w:hAnsi="宋体" w:cs="宋体"/>
                <w:color w:val="auto"/>
                <w:lang w:val="en-US" w:eastAsia="zh-CN"/>
              </w:rPr>
              <w:t>353715545</w:t>
            </w:r>
            <w:r>
              <w:rPr>
                <w:rFonts w:hint="eastAsia" w:ascii="宋体" w:hAnsi="宋体" w:eastAsia="宋体" w:cs="宋体"/>
                <w:color w:val="auto"/>
              </w:rPr>
              <w:t>@qq.com）。</w:t>
            </w:r>
            <w:r>
              <w:rPr>
                <w:rFonts w:hint="eastAsia" w:hAnsi="宋体" w:cs="宋体"/>
                <w:color w:val="auto"/>
              </w:rPr>
              <w:t>采购人和采购代理机构将视情况以书面形式予以答复，</w:t>
            </w:r>
            <w:r>
              <w:rPr>
                <w:rFonts w:hint="eastAsia" w:ascii="宋体" w:hAnsi="宋体" w:eastAsia="宋体" w:cs="宋体"/>
                <w:color w:val="auto"/>
              </w:rPr>
              <w:t>并发至</w:t>
            </w:r>
            <w:r>
              <w:rPr>
                <w:rFonts w:hint="eastAsia" w:hAnsi="宋体" w:cs="宋体"/>
                <w:color w:val="auto"/>
                <w:lang w:eastAsia="zh-CN"/>
              </w:rPr>
              <w:t>新疆政府采购网政采云平台</w:t>
            </w:r>
            <w:r>
              <w:rPr>
                <w:rFonts w:hint="eastAsia" w:ascii="宋体" w:hAnsi="宋体" w:eastAsia="宋体" w:cs="宋体"/>
                <w:color w:val="auto"/>
              </w:rPr>
              <w:t>各供应商</w:t>
            </w:r>
            <w:r>
              <w:rPr>
                <w:rFonts w:hint="eastAsia" w:hAnsi="宋体" w:eastAsia="宋体" w:cs="宋体"/>
                <w:color w:val="auto"/>
                <w:lang w:eastAsia="zh-CN"/>
              </w:rPr>
              <w:t>自行查阅下载</w:t>
            </w: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661" w:type="dxa"/>
            <w:vAlign w:val="center"/>
          </w:tcPr>
          <w:p>
            <w:pPr>
              <w:pStyle w:val="11"/>
              <w:spacing w:line="360" w:lineRule="exact"/>
              <w:jc w:val="center"/>
              <w:rPr>
                <w:rFonts w:hAnsi="宋体" w:cs="宋体"/>
                <w:color w:val="auto"/>
              </w:rPr>
            </w:pPr>
            <w:r>
              <w:rPr>
                <w:rFonts w:hint="eastAsia" w:hAnsi="宋体" w:cs="宋体"/>
                <w:color w:val="auto"/>
              </w:rPr>
              <w:t>7</w:t>
            </w:r>
          </w:p>
        </w:tc>
        <w:tc>
          <w:tcPr>
            <w:tcW w:w="9378" w:type="dxa"/>
            <w:vAlign w:val="center"/>
          </w:tcPr>
          <w:p>
            <w:pPr>
              <w:pStyle w:val="11"/>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递交</w:t>
            </w:r>
            <w:r>
              <w:rPr>
                <w:rFonts w:hint="eastAsia" w:hAnsi="宋体" w:cs="宋体"/>
                <w:color w:val="auto"/>
                <w:highlight w:val="none"/>
                <w:lang w:eastAsia="zh-CN"/>
              </w:rPr>
              <w:t>投标文件</w:t>
            </w:r>
            <w:r>
              <w:rPr>
                <w:rFonts w:hint="eastAsia" w:hAnsi="宋体" w:cs="宋体"/>
                <w:color w:val="auto"/>
                <w:highlight w:val="none"/>
              </w:rPr>
              <w:t>时间：</w:t>
            </w:r>
            <w:r>
              <w:rPr>
                <w:rFonts w:hint="eastAsia" w:hAnsi="宋体" w:cs="宋体"/>
                <w:color w:val="auto"/>
                <w:highlight w:val="none"/>
                <w:lang w:val="en-US" w:eastAsia="zh-CN"/>
              </w:rPr>
              <w:t>2023年3月22日</w:t>
            </w:r>
            <w:r>
              <w:rPr>
                <w:rFonts w:hint="eastAsia" w:hAnsi="宋体" w:cs="宋体"/>
                <w:color w:val="auto"/>
                <w:highlight w:val="none"/>
              </w:rPr>
              <w:t>1</w:t>
            </w:r>
            <w:r>
              <w:rPr>
                <w:rFonts w:hint="eastAsia" w:hAnsi="宋体" w:cs="宋体"/>
                <w:color w:val="auto"/>
                <w:highlight w:val="none"/>
                <w:lang w:val="en-US" w:eastAsia="zh-CN"/>
              </w:rPr>
              <w:t>6</w:t>
            </w:r>
            <w:r>
              <w:rPr>
                <w:rFonts w:hint="eastAsia" w:hAnsi="宋体" w:cs="宋体"/>
                <w:color w:val="auto"/>
                <w:highlight w:val="none"/>
              </w:rPr>
              <w:t>:</w:t>
            </w:r>
            <w:r>
              <w:rPr>
                <w:rFonts w:hint="eastAsia" w:hAnsi="宋体" w:cs="宋体"/>
                <w:color w:val="auto"/>
                <w:highlight w:val="none"/>
                <w:lang w:val="en-US" w:eastAsia="zh-CN"/>
              </w:rPr>
              <w:t>0</w:t>
            </w:r>
            <w:r>
              <w:rPr>
                <w:rFonts w:hint="eastAsia" w:hAnsi="宋体" w:cs="宋体"/>
                <w:color w:val="auto"/>
                <w:highlight w:val="none"/>
              </w:rPr>
              <w:t>0-1</w:t>
            </w:r>
            <w:r>
              <w:rPr>
                <w:rFonts w:hint="eastAsia" w:hAnsi="宋体" w:cs="宋体"/>
                <w:color w:val="auto"/>
                <w:highlight w:val="none"/>
                <w:lang w:val="en-US" w:eastAsia="zh-CN"/>
              </w:rPr>
              <w:t>6</w:t>
            </w:r>
            <w:r>
              <w:rPr>
                <w:rFonts w:hint="eastAsia" w:hAnsi="宋体" w:cs="宋体"/>
                <w:color w:val="auto"/>
                <w:highlight w:val="none"/>
              </w:rPr>
              <w:t>:</w:t>
            </w:r>
            <w:r>
              <w:rPr>
                <w:rFonts w:hint="eastAsia" w:hAnsi="宋体" w:cs="宋体"/>
                <w:color w:val="auto"/>
                <w:highlight w:val="none"/>
                <w:lang w:val="en-US" w:eastAsia="zh-CN"/>
              </w:rPr>
              <w:t>30</w:t>
            </w:r>
          </w:p>
          <w:p>
            <w:pPr>
              <w:pStyle w:val="11"/>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递交</w:t>
            </w:r>
            <w:r>
              <w:rPr>
                <w:rFonts w:hint="eastAsia" w:hAnsi="宋体" w:cs="宋体"/>
                <w:color w:val="auto"/>
                <w:highlight w:val="none"/>
                <w:lang w:eastAsia="zh-CN"/>
              </w:rPr>
              <w:t>投标文件</w:t>
            </w:r>
            <w:r>
              <w:rPr>
                <w:rFonts w:hint="eastAsia" w:hAnsi="宋体" w:cs="宋体"/>
                <w:color w:val="auto"/>
                <w:highlight w:val="none"/>
              </w:rPr>
              <w:t>截止时间：</w:t>
            </w:r>
            <w:r>
              <w:rPr>
                <w:rFonts w:hint="eastAsia" w:hAnsi="宋体" w:cs="宋体"/>
                <w:color w:val="auto"/>
                <w:highlight w:val="none"/>
                <w:lang w:val="en-US" w:eastAsia="zh-CN"/>
              </w:rPr>
              <w:t>2023年3月22日</w:t>
            </w:r>
            <w:r>
              <w:rPr>
                <w:rFonts w:hint="eastAsia" w:hAnsi="宋体" w:cs="宋体"/>
                <w:color w:val="auto"/>
                <w:highlight w:val="none"/>
              </w:rPr>
              <w:t>1</w:t>
            </w:r>
            <w:r>
              <w:rPr>
                <w:rFonts w:hint="eastAsia" w:hAnsi="宋体" w:cs="宋体"/>
                <w:color w:val="auto"/>
                <w:highlight w:val="none"/>
                <w:lang w:val="en-US" w:eastAsia="zh-CN"/>
              </w:rPr>
              <w:t>6</w:t>
            </w:r>
            <w:r>
              <w:rPr>
                <w:rFonts w:hint="eastAsia" w:hAnsi="宋体" w:cs="宋体"/>
                <w:color w:val="auto"/>
                <w:highlight w:val="none"/>
              </w:rPr>
              <w:t>:</w:t>
            </w:r>
            <w:r>
              <w:rPr>
                <w:rFonts w:hint="eastAsia" w:hAnsi="宋体" w:cs="宋体"/>
                <w:color w:val="auto"/>
                <w:highlight w:val="none"/>
                <w:lang w:val="en-US" w:eastAsia="zh-CN"/>
              </w:rPr>
              <w:t>30</w:t>
            </w:r>
          </w:p>
          <w:p>
            <w:pPr>
              <w:pStyle w:val="11"/>
              <w:spacing w:line="360" w:lineRule="exact"/>
              <w:jc w:val="left"/>
              <w:rPr>
                <w:rFonts w:hAnsi="宋体" w:cs="宋体"/>
                <w:color w:val="auto"/>
                <w:highlight w:val="none"/>
              </w:rPr>
            </w:pPr>
            <w:r>
              <w:rPr>
                <w:rFonts w:hint="eastAsia" w:hAnsi="宋体" w:cs="宋体"/>
                <w:color w:val="auto"/>
                <w:highlight w:val="none"/>
              </w:rPr>
              <w:t>递交</w:t>
            </w:r>
            <w:r>
              <w:rPr>
                <w:rFonts w:hint="eastAsia" w:hAnsi="宋体" w:cs="宋体"/>
                <w:color w:val="auto"/>
                <w:highlight w:val="none"/>
                <w:lang w:eastAsia="zh-CN"/>
              </w:rPr>
              <w:t>投标文件</w:t>
            </w:r>
            <w:r>
              <w:rPr>
                <w:rFonts w:hint="eastAsia" w:hAnsi="宋体" w:cs="宋体"/>
                <w:color w:val="auto"/>
                <w:highlight w:val="none"/>
              </w:rPr>
              <w:t>地点：</w:t>
            </w:r>
            <w:r>
              <w:rPr>
                <w:rFonts w:hint="eastAsia" w:hAnsi="宋体" w:cs="宋体"/>
                <w:color w:val="auto"/>
                <w:lang w:val="en-US" w:eastAsia="zh-CN"/>
              </w:rPr>
              <w:t>新疆政府采购网政采云平台</w:t>
            </w:r>
            <w:r>
              <w:rPr>
                <w:rFonts w:hint="eastAsia" w:hAnsi="宋体" w:eastAsia="宋体" w:cs="宋体"/>
                <w:color w:val="auto"/>
                <w:lang w:val="en-US" w:eastAsia="zh-CN"/>
              </w:rPr>
              <w:t>线上递交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61" w:type="dxa"/>
            <w:vAlign w:val="center"/>
          </w:tcPr>
          <w:p>
            <w:pPr>
              <w:pStyle w:val="11"/>
              <w:spacing w:line="360" w:lineRule="exact"/>
              <w:jc w:val="center"/>
              <w:rPr>
                <w:rFonts w:hAnsi="宋体" w:cs="宋体"/>
                <w:color w:val="auto"/>
              </w:rPr>
            </w:pPr>
            <w:r>
              <w:rPr>
                <w:rFonts w:hint="eastAsia" w:hAnsi="宋体" w:cs="宋体"/>
                <w:color w:val="auto"/>
              </w:rPr>
              <w:t>8</w:t>
            </w:r>
          </w:p>
        </w:tc>
        <w:tc>
          <w:tcPr>
            <w:tcW w:w="9378" w:type="dxa"/>
            <w:vAlign w:val="center"/>
          </w:tcPr>
          <w:p>
            <w:pPr>
              <w:pStyle w:val="11"/>
              <w:spacing w:line="360" w:lineRule="exact"/>
              <w:jc w:val="left"/>
              <w:rPr>
                <w:rFonts w:hint="default" w:hAnsi="宋体" w:eastAsia="宋体" w:cs="宋体"/>
                <w:color w:val="auto"/>
                <w:highlight w:val="none"/>
                <w:lang w:val="en-US" w:eastAsia="zh-CN"/>
              </w:rPr>
            </w:pPr>
            <w:r>
              <w:rPr>
                <w:rFonts w:hint="eastAsia" w:hAnsi="宋体" w:cs="宋体"/>
                <w:color w:val="auto"/>
                <w:highlight w:val="none"/>
                <w:lang w:eastAsia="zh-CN"/>
              </w:rPr>
              <w:t>开标</w:t>
            </w:r>
            <w:r>
              <w:rPr>
                <w:rFonts w:hint="eastAsia" w:hAnsi="宋体" w:cs="宋体"/>
                <w:color w:val="auto"/>
                <w:highlight w:val="none"/>
              </w:rPr>
              <w:t>时间：</w:t>
            </w:r>
            <w:r>
              <w:rPr>
                <w:rFonts w:hint="eastAsia" w:hAnsi="宋体" w:cs="宋体"/>
                <w:color w:val="auto"/>
                <w:highlight w:val="none"/>
                <w:lang w:val="en-US" w:eastAsia="zh-CN"/>
              </w:rPr>
              <w:t>2023年3月22日</w:t>
            </w:r>
            <w:r>
              <w:rPr>
                <w:rFonts w:hint="eastAsia" w:hAnsi="宋体" w:cs="宋体"/>
                <w:color w:val="auto"/>
                <w:highlight w:val="none"/>
              </w:rPr>
              <w:t>1</w:t>
            </w:r>
            <w:r>
              <w:rPr>
                <w:rFonts w:hint="eastAsia" w:hAnsi="宋体" w:cs="宋体"/>
                <w:color w:val="auto"/>
                <w:highlight w:val="none"/>
                <w:lang w:val="en-US" w:eastAsia="zh-CN"/>
              </w:rPr>
              <w:t>6</w:t>
            </w:r>
            <w:r>
              <w:rPr>
                <w:rFonts w:hint="eastAsia" w:hAnsi="宋体" w:cs="宋体"/>
                <w:color w:val="auto"/>
                <w:highlight w:val="none"/>
              </w:rPr>
              <w:t>:</w:t>
            </w:r>
            <w:r>
              <w:rPr>
                <w:rFonts w:hint="eastAsia" w:hAnsi="宋体" w:cs="宋体"/>
                <w:color w:val="auto"/>
                <w:highlight w:val="none"/>
                <w:lang w:val="en-US" w:eastAsia="zh-CN"/>
              </w:rPr>
              <w:t>30</w:t>
            </w:r>
          </w:p>
          <w:p>
            <w:pPr>
              <w:pStyle w:val="11"/>
              <w:spacing w:line="360" w:lineRule="exact"/>
              <w:jc w:val="left"/>
              <w:rPr>
                <w:rFonts w:hAnsi="宋体" w:cs="宋体"/>
                <w:color w:val="auto"/>
                <w:highlight w:val="none"/>
              </w:rPr>
            </w:pPr>
            <w:r>
              <w:rPr>
                <w:rFonts w:hint="eastAsia" w:hAnsi="宋体" w:cs="宋体"/>
                <w:color w:val="auto"/>
                <w:highlight w:val="none"/>
                <w:lang w:eastAsia="zh-CN"/>
              </w:rPr>
              <w:t>开标</w:t>
            </w:r>
            <w:r>
              <w:rPr>
                <w:rFonts w:hint="eastAsia" w:hAnsi="宋体" w:cs="宋体"/>
                <w:color w:val="auto"/>
                <w:highlight w:val="none"/>
              </w:rPr>
              <w:t>地点：</w:t>
            </w:r>
            <w:r>
              <w:rPr>
                <w:rFonts w:hint="eastAsia" w:hAnsi="宋体" w:cs="宋体"/>
                <w:color w:val="auto"/>
                <w:highlight w:val="none"/>
                <w:lang w:val="zh-CN"/>
              </w:rPr>
              <w:t>新疆永信工程造价咨询有限公司</w:t>
            </w:r>
            <w:r>
              <w:rPr>
                <w:rFonts w:hint="eastAsia" w:hAnsi="宋体" w:cs="宋体"/>
                <w:color w:val="auto"/>
                <w:highlight w:val="none"/>
              </w:rPr>
              <w:t>4楼401-3开标室</w:t>
            </w:r>
            <w:r>
              <w:rPr>
                <w:rFonts w:hint="eastAsia" w:hAnsi="宋体" w:cs="宋体"/>
                <w:color w:val="auto"/>
                <w:highlight w:val="none"/>
                <w:lang w:val="zh-CN"/>
              </w:rPr>
              <w:t>（克拉玛依市胜利路47号）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661" w:type="dxa"/>
            <w:vAlign w:val="center"/>
          </w:tcPr>
          <w:p>
            <w:pPr>
              <w:pStyle w:val="11"/>
              <w:spacing w:line="360" w:lineRule="exact"/>
              <w:jc w:val="center"/>
              <w:rPr>
                <w:rFonts w:hAnsi="宋体" w:cs="宋体"/>
                <w:color w:val="auto"/>
              </w:rPr>
            </w:pPr>
            <w:r>
              <w:rPr>
                <w:rFonts w:hint="eastAsia" w:hAnsi="宋体" w:cs="宋体"/>
                <w:color w:val="auto"/>
              </w:rPr>
              <w:t>9</w:t>
            </w:r>
          </w:p>
        </w:tc>
        <w:tc>
          <w:tcPr>
            <w:tcW w:w="9378" w:type="dxa"/>
            <w:vAlign w:val="center"/>
          </w:tcPr>
          <w:p>
            <w:pPr>
              <w:pStyle w:val="11"/>
              <w:spacing w:line="360" w:lineRule="exact"/>
              <w:jc w:val="left"/>
              <w:rPr>
                <w:rFonts w:hAnsi="宋体" w:cs="宋体"/>
                <w:color w:val="auto"/>
              </w:rPr>
            </w:pPr>
            <w:r>
              <w:rPr>
                <w:rFonts w:hint="eastAsia" w:hAnsi="宋体" w:cs="宋体"/>
                <w:b/>
                <w:bCs/>
                <w:color w:val="auto"/>
              </w:rPr>
              <w:t>采购项目预算</w:t>
            </w:r>
            <w:r>
              <w:rPr>
                <w:rFonts w:hint="eastAsia" w:hAnsi="宋体" w:cs="宋体"/>
                <w:b/>
                <w:bCs/>
                <w:color w:val="auto"/>
                <w:lang w:val="en-US" w:eastAsia="zh-CN"/>
              </w:rPr>
              <w:t>：1600000.00元（大写：</w:t>
            </w:r>
            <w:r>
              <w:rPr>
                <w:rFonts w:hint="eastAsia" w:hAnsi="宋体" w:cs="宋体"/>
                <w:b/>
                <w:bCs/>
                <w:color w:val="auto"/>
                <w:highlight w:val="none"/>
                <w:lang w:val="en-US" w:eastAsia="zh-CN"/>
              </w:rPr>
              <w:t>人民币壹佰陆拾万元整），</w:t>
            </w:r>
            <w:r>
              <w:rPr>
                <w:rFonts w:hint="eastAsia" w:hAnsi="宋体" w:cs="宋体"/>
                <w:b/>
                <w:bCs/>
                <w:color w:val="auto"/>
              </w:rPr>
              <w:t>供应商的商务报价如超过采购预算，则该供应商的</w:t>
            </w:r>
            <w:r>
              <w:rPr>
                <w:rFonts w:hint="eastAsia" w:hAnsi="宋体" w:cs="宋体"/>
                <w:b/>
                <w:bCs/>
                <w:color w:val="auto"/>
                <w:lang w:eastAsia="zh-CN"/>
              </w:rPr>
              <w:t>投标文件</w:t>
            </w:r>
            <w:r>
              <w:rPr>
                <w:rFonts w:hint="eastAsia" w:hAnsi="宋体" w:cs="宋体"/>
                <w:b/>
                <w:bCs/>
                <w:color w:val="auto"/>
              </w:rPr>
              <w:t>作废标处理。</w:t>
            </w:r>
          </w:p>
        </w:tc>
      </w:tr>
    </w:tbl>
    <w:p>
      <w:pPr>
        <w:tabs>
          <w:tab w:val="left" w:pos="1230"/>
          <w:tab w:val="left" w:pos="1275"/>
        </w:tabs>
        <w:spacing w:line="340" w:lineRule="exact"/>
        <w:jc w:val="both"/>
        <w:rPr>
          <w:rFonts w:hint="eastAsia" w:ascii="宋体" w:hAnsi="宋体" w:cs="宋体"/>
          <w:b/>
          <w:bCs/>
          <w:color w:val="auto"/>
          <w:sz w:val="32"/>
          <w:szCs w:val="32"/>
          <w:highlight w:val="none"/>
        </w:rPr>
      </w:pPr>
    </w:p>
    <w:p>
      <w:pPr>
        <w:keepNext w:val="0"/>
        <w:keepLines w:val="0"/>
        <w:pageBreakBefore w:val="0"/>
        <w:widowControl w:val="0"/>
        <w:tabs>
          <w:tab w:val="left" w:pos="1230"/>
          <w:tab w:val="left" w:pos="1275"/>
        </w:tabs>
        <w:kinsoku/>
        <w:wordWrap/>
        <w:overflowPunct/>
        <w:topLinePunct w:val="0"/>
        <w:autoSpaceDE/>
        <w:autoSpaceDN/>
        <w:bidi w:val="0"/>
        <w:adjustRightInd/>
        <w:snapToGrid/>
        <w:spacing w:line="480" w:lineRule="exact"/>
        <w:jc w:val="center"/>
        <w:textAlignment w:val="auto"/>
        <w:rPr>
          <w:rFonts w:hint="eastAsia" w:ascii="宋体" w:hAnsi="宋体" w:cs="宋体"/>
          <w:b/>
          <w:bCs/>
          <w:color w:val="auto"/>
          <w:sz w:val="32"/>
          <w:szCs w:val="32"/>
          <w:highlight w:val="none"/>
        </w:rPr>
      </w:pPr>
    </w:p>
    <w:p>
      <w:pPr>
        <w:keepNext w:val="0"/>
        <w:keepLines w:val="0"/>
        <w:pageBreakBefore w:val="0"/>
        <w:widowControl w:val="0"/>
        <w:tabs>
          <w:tab w:val="left" w:pos="1230"/>
          <w:tab w:val="left" w:pos="1275"/>
        </w:tabs>
        <w:kinsoku/>
        <w:wordWrap/>
        <w:overflowPunct/>
        <w:topLinePunct w:val="0"/>
        <w:autoSpaceDE/>
        <w:autoSpaceDN/>
        <w:bidi w:val="0"/>
        <w:adjustRightInd/>
        <w:snapToGrid/>
        <w:spacing w:line="480" w:lineRule="exact"/>
        <w:jc w:val="center"/>
        <w:textAlignment w:val="auto"/>
        <w:rPr>
          <w:rFonts w:hint="eastAsia" w:ascii="宋体" w:hAnsi="宋体" w:cs="宋体"/>
          <w:b/>
          <w:bCs/>
          <w:color w:val="auto"/>
          <w:sz w:val="32"/>
          <w:szCs w:val="32"/>
          <w:highlight w:val="none"/>
        </w:rPr>
      </w:pPr>
    </w:p>
    <w:p>
      <w:pPr>
        <w:keepNext w:val="0"/>
        <w:keepLines w:val="0"/>
        <w:pageBreakBefore/>
        <w:widowControl w:val="0"/>
        <w:tabs>
          <w:tab w:val="left" w:pos="1230"/>
          <w:tab w:val="left" w:pos="1275"/>
        </w:tabs>
        <w:kinsoku/>
        <w:wordWrap/>
        <w:overflowPunct/>
        <w:topLinePunct w:val="0"/>
        <w:autoSpaceDE/>
        <w:autoSpaceDN/>
        <w:bidi w:val="0"/>
        <w:adjustRightInd/>
        <w:snapToGrid/>
        <w:spacing w:line="480" w:lineRule="exact"/>
        <w:jc w:val="center"/>
        <w:textAlignment w:val="auto"/>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rPr>
        <w:t>第一章、</w:t>
      </w:r>
      <w:r>
        <w:rPr>
          <w:rFonts w:hint="eastAsia" w:ascii="宋体" w:hAnsi="宋体" w:cs="宋体"/>
          <w:b/>
          <w:bCs/>
          <w:color w:val="auto"/>
          <w:sz w:val="32"/>
          <w:szCs w:val="32"/>
          <w:highlight w:val="none"/>
          <w:lang w:eastAsia="zh-CN"/>
        </w:rPr>
        <w:t>招标</w:t>
      </w:r>
      <w:r>
        <w:rPr>
          <w:rFonts w:hint="eastAsia" w:ascii="宋体" w:hAnsi="宋体" w:cs="宋体"/>
          <w:b/>
          <w:bCs/>
          <w:color w:val="auto"/>
          <w:sz w:val="32"/>
          <w:szCs w:val="32"/>
          <w:highlight w:val="none"/>
        </w:rPr>
        <w:t>公告</w:t>
      </w:r>
    </w:p>
    <w:p>
      <w:pPr>
        <w:pStyle w:val="9"/>
        <w:rPr>
          <w:rFonts w:hint="eastAsia"/>
          <w:color w:val="auto"/>
          <w:lang w:eastAsia="zh-CN"/>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克拉玛依市第三人民医院电子病历系统项目</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none"/>
          <w:lang w:val="en-US" w:eastAsia="zh-CN"/>
        </w:rPr>
        <w:t>招标</w:t>
      </w:r>
      <w:r>
        <w:rPr>
          <w:rFonts w:hint="eastAsia" w:ascii="宋体" w:hAnsi="宋体" w:eastAsia="宋体" w:cs="宋体"/>
          <w:color w:val="auto"/>
          <w:sz w:val="24"/>
          <w:szCs w:val="24"/>
        </w:rPr>
        <w:t>项目的潜在供应商应在</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highlight w:val="none"/>
          <w:u w:val="single"/>
        </w:rPr>
        <w:t>新疆政府采购网政采云平台（www.zcygov.cn）</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szCs w:val="24"/>
        </w:rPr>
        <w:t>获取</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文件，</w:t>
      </w:r>
      <w:r>
        <w:rPr>
          <w:rFonts w:hint="eastAsia" w:ascii="宋体" w:hAnsi="宋体" w:eastAsia="宋体" w:cs="宋体"/>
          <w:color w:val="auto"/>
          <w:sz w:val="24"/>
          <w:szCs w:val="24"/>
          <w:highlight w:val="none"/>
        </w:rPr>
        <w:t>并于</w:t>
      </w:r>
      <w:r>
        <w:rPr>
          <w:rFonts w:hint="eastAsia" w:ascii="宋体" w:hAnsi="宋体" w:cs="宋体"/>
          <w:color w:val="auto"/>
          <w:sz w:val="24"/>
          <w:szCs w:val="24"/>
          <w:highlight w:val="none"/>
          <w:u w:val="single"/>
          <w:shd w:val="clear" w:color="FFFFFF"/>
          <w:lang w:val="en-US" w:eastAsia="zh-CN"/>
        </w:rPr>
        <w:t>2023年3月22日</w:t>
      </w:r>
      <w:r>
        <w:rPr>
          <w:rFonts w:hint="eastAsia" w:ascii="宋体" w:hAnsi="宋体" w:eastAsia="宋体" w:cs="宋体"/>
          <w:bCs/>
          <w:color w:val="auto"/>
          <w:sz w:val="24"/>
          <w:szCs w:val="24"/>
          <w:highlight w:val="none"/>
          <w:u w:val="single"/>
          <w:shd w:val="clear" w:color="FFFFFF"/>
          <w:lang w:val="en-US" w:eastAsia="zh-CN"/>
        </w:rPr>
        <w:t>1</w:t>
      </w:r>
      <w:r>
        <w:rPr>
          <w:rFonts w:hint="eastAsia" w:ascii="宋体" w:hAnsi="宋体" w:cs="宋体"/>
          <w:bCs/>
          <w:color w:val="auto"/>
          <w:sz w:val="24"/>
          <w:szCs w:val="24"/>
          <w:highlight w:val="none"/>
          <w:u w:val="single"/>
          <w:shd w:val="clear" w:color="FFFFFF"/>
          <w:lang w:val="en-US" w:eastAsia="zh-CN"/>
        </w:rPr>
        <w:t>6</w:t>
      </w:r>
      <w:r>
        <w:rPr>
          <w:rFonts w:hint="eastAsia" w:ascii="宋体" w:hAnsi="宋体" w:eastAsia="宋体" w:cs="宋体"/>
          <w:bCs/>
          <w:color w:val="auto"/>
          <w:sz w:val="24"/>
          <w:szCs w:val="24"/>
          <w:highlight w:val="none"/>
          <w:u w:val="single"/>
          <w:shd w:val="clear" w:color="FFFFFF"/>
        </w:rPr>
        <w:t>点</w:t>
      </w:r>
      <w:r>
        <w:rPr>
          <w:rFonts w:hint="eastAsia" w:ascii="宋体" w:hAnsi="宋体" w:cs="宋体"/>
          <w:bCs/>
          <w:color w:val="auto"/>
          <w:sz w:val="24"/>
          <w:szCs w:val="24"/>
          <w:highlight w:val="none"/>
          <w:u w:val="single"/>
          <w:shd w:val="clear" w:color="FFFFFF"/>
          <w:lang w:val="en-US" w:eastAsia="zh-CN"/>
        </w:rPr>
        <w:t>30</w:t>
      </w:r>
      <w:r>
        <w:rPr>
          <w:rFonts w:hint="eastAsia" w:ascii="宋体" w:hAnsi="宋体" w:eastAsia="宋体" w:cs="宋体"/>
          <w:bCs/>
          <w:color w:val="auto"/>
          <w:sz w:val="24"/>
          <w:szCs w:val="24"/>
          <w:highlight w:val="none"/>
          <w:u w:val="single"/>
          <w:shd w:val="clear" w:color="FFFFFF"/>
        </w:rPr>
        <w:t>分</w:t>
      </w:r>
      <w:r>
        <w:rPr>
          <w:rFonts w:hint="eastAsia" w:ascii="宋体" w:hAnsi="宋体" w:eastAsia="宋体" w:cs="宋体"/>
          <w:bCs/>
          <w:color w:val="auto"/>
          <w:sz w:val="24"/>
          <w:szCs w:val="24"/>
          <w:highlight w:val="none"/>
        </w:rPr>
        <w:t>（北京时间）</w:t>
      </w:r>
      <w:r>
        <w:rPr>
          <w:rFonts w:hint="eastAsia" w:ascii="宋体" w:hAnsi="宋体" w:eastAsia="宋体" w:cs="宋体"/>
          <w:color w:val="auto"/>
          <w:sz w:val="24"/>
          <w:szCs w:val="24"/>
        </w:rPr>
        <w:t>前提交</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1" w:name="_Toc28359012"/>
      <w:bookmarkStart w:id="2" w:name="_Toc28359089"/>
      <w:bookmarkStart w:id="3" w:name="_Toc35393629"/>
      <w:bookmarkStart w:id="4" w:name="_Toc35393798"/>
      <w:r>
        <w:rPr>
          <w:rFonts w:hint="eastAsia" w:ascii="宋体" w:hAnsi="宋体" w:eastAsia="宋体" w:cs="宋体"/>
          <w:b/>
          <w:bCs/>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cs="宋体"/>
          <w:color w:val="auto"/>
          <w:sz w:val="24"/>
          <w:szCs w:val="24"/>
          <w:highlight w:val="none"/>
          <w:lang w:eastAsia="zh-CN"/>
        </w:rPr>
        <w:t>YXZB[ZC]2023-01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克拉玛依市第三人民医院电子病历系统项目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w:t>
      </w:r>
      <w:r>
        <w:rPr>
          <w:rFonts w:hint="eastAsia" w:ascii="宋体" w:hAnsi="宋体" w:eastAsia="宋体" w:cs="宋体"/>
          <w:color w:val="auto"/>
          <w:sz w:val="24"/>
          <w:szCs w:val="24"/>
          <w:highlight w:val="none"/>
        </w:rPr>
        <w:t>额</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1600000</w:t>
      </w:r>
      <w:r>
        <w:rPr>
          <w:rFonts w:hint="eastAsia" w:ascii="宋体" w:hAnsi="宋体" w:eastAsia="宋体" w:cs="宋体"/>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最高限价（如有）：</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1600000</w:t>
      </w:r>
      <w:r>
        <w:rPr>
          <w:rFonts w:hint="eastAsia" w:ascii="宋体" w:hAnsi="宋体" w:eastAsia="宋体" w:cs="宋体"/>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采购需求：详见</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合同履行期限：详见</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5" w:name="_Toc28359013"/>
      <w:bookmarkStart w:id="6" w:name="_Toc35393799"/>
      <w:bookmarkStart w:id="7" w:name="_Toc35393630"/>
      <w:bookmarkStart w:id="8" w:name="_Toc28359090"/>
      <w:r>
        <w:rPr>
          <w:rFonts w:hint="eastAsia" w:ascii="宋体" w:hAnsi="宋体" w:eastAsia="宋体" w:cs="宋体"/>
          <w:b/>
          <w:bCs/>
          <w:color w:val="auto"/>
          <w:sz w:val="24"/>
          <w:szCs w:val="24"/>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bookmarkStart w:id="9" w:name="_Toc28359091"/>
      <w:bookmarkStart w:id="10" w:name="_Toc28359014"/>
      <w:r>
        <w:rPr>
          <w:rFonts w:hint="eastAsia" w:ascii="宋体" w:hAnsi="宋体" w:cs="宋体"/>
          <w:color w:val="auto"/>
          <w:sz w:val="24"/>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u w:val="none"/>
        </w:rPr>
      </w:pPr>
      <w:r>
        <w:rPr>
          <w:rFonts w:hint="eastAsia" w:ascii="宋体" w:hAnsi="宋体" w:cs="宋体"/>
          <w:color w:val="auto"/>
          <w:sz w:val="24"/>
          <w:highlight w:val="none"/>
          <w:u w:val="none"/>
        </w:rPr>
        <w:t>2.落实政府采购政策需满足的资格要求：按照《财政部 工业和信息化部关于印发&lt;政府采购促进中小企业发展暂行办法&gt;的通知》（财库〔2020〕46号）的规定，落实促进中小企业发展政策。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.本项目不接受联合体投标</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11" w:name="_Toc35393800"/>
      <w:bookmarkStart w:id="12" w:name="_Toc35393631"/>
      <w:r>
        <w:rPr>
          <w:rFonts w:hint="eastAsia" w:ascii="宋体" w:hAnsi="宋体" w:eastAsia="宋体" w:cs="宋体"/>
          <w:b/>
          <w:bCs/>
          <w:color w:val="auto"/>
          <w:sz w:val="24"/>
          <w:szCs w:val="24"/>
        </w:rPr>
        <w:t>三、获取</w:t>
      </w:r>
      <w:r>
        <w:rPr>
          <w:rFonts w:hint="eastAsia" w:ascii="宋体" w:hAnsi="宋体" w:cs="宋体"/>
          <w:b/>
          <w:bCs/>
          <w:color w:val="auto"/>
          <w:sz w:val="24"/>
          <w:szCs w:val="24"/>
          <w:lang w:eastAsia="zh-CN"/>
        </w:rPr>
        <w:t>招标</w:t>
      </w:r>
      <w:r>
        <w:rPr>
          <w:rFonts w:hint="eastAsia" w:ascii="宋体" w:hAnsi="宋体" w:eastAsia="宋体" w:cs="宋体"/>
          <w:b/>
          <w:bCs/>
          <w:color w:val="auto"/>
          <w:sz w:val="24"/>
          <w:szCs w:val="24"/>
        </w:rPr>
        <w:t>文件</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2023年3月2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2023年3月9</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 xml:space="preserve">13:00 </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lang w:val="en-US" w:eastAsia="zh-CN"/>
        </w:rPr>
        <w:t>16:00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19:00</w:t>
      </w:r>
      <w:r>
        <w:rPr>
          <w:rFonts w:hint="eastAsia" w:ascii="宋体" w:hAnsi="宋体" w:eastAsia="宋体" w:cs="宋体"/>
          <w:color w:val="auto"/>
          <w:sz w:val="24"/>
          <w:szCs w:val="24"/>
          <w:highlight w:val="none"/>
        </w:rPr>
        <w:t>（北京时间，法定节假日除外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新疆政府采购网政采云平台（www.zcygov.cn）</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线上</w:t>
      </w:r>
      <w:r>
        <w:rPr>
          <w:rFonts w:hint="eastAsia"/>
          <w:color w:val="auto"/>
          <w:sz w:val="24"/>
          <w:szCs w:val="24"/>
        </w:rPr>
        <w:t>获取</w:t>
      </w:r>
      <w:r>
        <w:rPr>
          <w:rFonts w:hint="eastAsia"/>
          <w:color w:val="auto"/>
          <w:sz w:val="24"/>
          <w:szCs w:val="24"/>
          <w:lang w:eastAsia="zh-CN"/>
        </w:rPr>
        <w:t>，</w:t>
      </w:r>
      <w:r>
        <w:rPr>
          <w:rFonts w:hint="eastAsia" w:ascii="宋体" w:hAnsi="宋体" w:eastAsia="宋体" w:cs="宋体"/>
          <w:color w:val="auto"/>
          <w:sz w:val="24"/>
          <w:szCs w:val="24"/>
          <w:lang w:eastAsia="zh-CN"/>
        </w:rPr>
        <w:t>供应商登录政采云平台https://www.zcygov.cn/,在线申请获取</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eastAsia="zh-CN"/>
        </w:rPr>
        <w:t>文件（进入“项目采购”应用，在获取采购文件菜单中选择项目，申请获取采购文件，审核通过后可下载招标文件，如有操作性问题，可与政采云在线客服进行咨询，咨询电话</w:t>
      </w:r>
      <w:r>
        <w:rPr>
          <w:rFonts w:hint="eastAsia" w:ascii="宋体" w:hAnsi="宋体" w:cs="宋体"/>
          <w:color w:val="auto"/>
          <w:sz w:val="24"/>
          <w:szCs w:val="24"/>
          <w:lang w:val="en-US" w:eastAsia="zh-CN"/>
        </w:rPr>
        <w:t>95763</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售价：</w:t>
      </w:r>
      <w:r>
        <w:rPr>
          <w:rFonts w:hint="eastAsia" w:ascii="宋体" w:hAnsi="宋体" w:cs="宋体"/>
          <w:color w:val="auto"/>
          <w:sz w:val="24"/>
          <w:szCs w:val="24"/>
          <w:lang w:val="en-US" w:eastAsia="zh-CN"/>
        </w:rPr>
        <w:t>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13" w:name="_Toc28359092"/>
      <w:bookmarkStart w:id="14" w:name="_Toc28359015"/>
      <w:bookmarkStart w:id="15" w:name="_Toc35393801"/>
      <w:bookmarkStart w:id="16" w:name="_Toc35393632"/>
      <w:r>
        <w:rPr>
          <w:rFonts w:hint="eastAsia" w:ascii="宋体" w:hAnsi="宋体" w:eastAsia="宋体" w:cs="宋体"/>
          <w:b/>
          <w:bCs/>
          <w:color w:val="auto"/>
          <w:sz w:val="24"/>
          <w:szCs w:val="24"/>
        </w:rPr>
        <w:t>四、</w:t>
      </w:r>
      <w:r>
        <w:rPr>
          <w:rFonts w:hint="eastAsia" w:ascii="宋体" w:hAnsi="宋体" w:cs="宋体"/>
          <w:b/>
          <w:bCs/>
          <w:color w:val="auto"/>
          <w:sz w:val="24"/>
          <w:szCs w:val="24"/>
          <w:lang w:eastAsia="zh-CN"/>
        </w:rPr>
        <w:t>投标文</w:t>
      </w:r>
      <w:r>
        <w:rPr>
          <w:rFonts w:hint="eastAsia" w:ascii="宋体" w:hAnsi="宋体" w:cs="宋体"/>
          <w:b/>
          <w:bCs/>
          <w:color w:val="auto"/>
          <w:sz w:val="24"/>
          <w:szCs w:val="24"/>
          <w:highlight w:val="none"/>
          <w:lang w:eastAsia="zh-CN"/>
        </w:rPr>
        <w:t>件</w:t>
      </w:r>
      <w:r>
        <w:rPr>
          <w:rFonts w:hint="eastAsia" w:ascii="宋体" w:hAnsi="宋体" w:eastAsia="宋体" w:cs="宋体"/>
          <w:b/>
          <w:bCs/>
          <w:color w:val="auto"/>
          <w:sz w:val="24"/>
          <w:szCs w:val="24"/>
          <w:highlight w:val="none"/>
        </w:rPr>
        <w:t>提交</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single"/>
          <w:lang w:val="en-US" w:eastAsia="zh-CN"/>
        </w:rPr>
        <w:t>2023年3月22日</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aps w:val="0"/>
          <w:color w:val="auto"/>
          <w:spacing w:val="0"/>
          <w:sz w:val="24"/>
          <w:szCs w:val="24"/>
          <w:highlight w:val="none"/>
          <w:shd w:val="clear" w:fill="FFFFFF"/>
        </w:rPr>
        <w:t>投标地点（网址）：</w:t>
      </w:r>
      <w:r>
        <w:rPr>
          <w:rFonts w:hint="eastAsia" w:ascii="宋体" w:hAnsi="宋体" w:eastAsia="宋体" w:cs="宋体"/>
          <w:color w:val="auto"/>
          <w:sz w:val="24"/>
          <w:szCs w:val="24"/>
          <w:highlight w:val="none"/>
        </w:rPr>
        <w:t>新疆政府采购网政采云平台（www.zcygov.cn）</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17" w:name="_Toc28359016"/>
      <w:bookmarkStart w:id="18" w:name="_Toc28359093"/>
      <w:bookmarkStart w:id="19" w:name="_Toc35393633"/>
      <w:bookmarkStart w:id="20" w:name="_Toc35393802"/>
      <w:r>
        <w:rPr>
          <w:rFonts w:hint="eastAsia" w:ascii="宋体" w:hAnsi="宋体" w:eastAsia="宋体" w:cs="宋体"/>
          <w:b/>
          <w:bCs/>
          <w:color w:val="auto"/>
          <w:sz w:val="24"/>
          <w:szCs w:val="24"/>
          <w:highlight w:val="none"/>
        </w:rPr>
        <w:t>五、开启</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2023年3月22日16</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i w:val="0"/>
          <w:caps w:val="0"/>
          <w:color w:val="auto"/>
          <w:spacing w:val="0"/>
          <w:sz w:val="24"/>
          <w:szCs w:val="24"/>
          <w:shd w:val="clear" w:fill="FFFFFF"/>
        </w:rPr>
        <w:t>开标地点：新疆政府采购网政采云平台（www.zcygov.cn）</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zh-CN"/>
        </w:rPr>
        <w:t>新疆永信工程造价咨询有限公司</w:t>
      </w:r>
      <w:r>
        <w:rPr>
          <w:rFonts w:hint="eastAsia" w:ascii="宋体" w:hAnsi="宋体" w:eastAsia="宋体" w:cs="宋体"/>
          <w:i w:val="0"/>
          <w:caps w:val="0"/>
          <w:color w:val="auto"/>
          <w:spacing w:val="0"/>
          <w:sz w:val="24"/>
          <w:szCs w:val="24"/>
          <w:shd w:val="clear" w:fill="FFFFFF"/>
        </w:rPr>
        <w:t>4楼401-3开标室</w:t>
      </w:r>
      <w:r>
        <w:rPr>
          <w:rFonts w:hint="eastAsia" w:ascii="宋体" w:hAnsi="宋体" w:eastAsia="宋体" w:cs="宋体"/>
          <w:i w:val="0"/>
          <w:caps w:val="0"/>
          <w:color w:val="auto"/>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21" w:name="_Toc28359094"/>
      <w:bookmarkStart w:id="22" w:name="_Toc28359017"/>
      <w:bookmarkStart w:id="23" w:name="_Toc35393803"/>
      <w:bookmarkStart w:id="24" w:name="_Toc35393634"/>
      <w:r>
        <w:rPr>
          <w:rFonts w:hint="eastAsia" w:ascii="宋体" w:hAnsi="宋体" w:eastAsia="宋体" w:cs="宋体"/>
          <w:b/>
          <w:bCs/>
          <w:color w:val="auto"/>
          <w:sz w:val="24"/>
          <w:szCs w:val="24"/>
        </w:rPr>
        <w:t>六、公告期限</w:t>
      </w:r>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25" w:name="_Toc35393804"/>
      <w:bookmarkStart w:id="26" w:name="_Toc35393635"/>
      <w:r>
        <w:rPr>
          <w:rFonts w:hint="eastAsia" w:ascii="宋体" w:hAnsi="宋体" w:eastAsia="宋体" w:cs="宋体"/>
          <w:b/>
          <w:bCs/>
          <w:color w:val="auto"/>
          <w:sz w:val="24"/>
          <w:szCs w:val="24"/>
        </w:rPr>
        <w:t>七、其他补充事宜</w:t>
      </w:r>
      <w:bookmarkEnd w:id="25"/>
      <w:bookmarkEnd w:id="26"/>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w:t>
      </w:r>
      <w:r>
        <w:rPr>
          <w:rFonts w:hint="eastAsia" w:cs="宋体"/>
          <w:color w:val="auto"/>
          <w:kern w:val="2"/>
          <w:sz w:val="24"/>
          <w:szCs w:val="24"/>
          <w:highlight w:val="none"/>
          <w:lang w:val="en-US" w:eastAsia="zh-CN" w:bidi="ar-SA"/>
        </w:rPr>
        <w:t>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95763。</w:t>
      </w:r>
      <w:r>
        <w:rPr>
          <w:rFonts w:hint="eastAsia" w:ascii="宋体" w:hAnsi="宋体" w:eastAsia="宋体" w:cs="宋体"/>
          <w:color w:val="auto"/>
          <w:kern w:val="2"/>
          <w:sz w:val="24"/>
          <w:szCs w:val="24"/>
          <w:highlight w:val="none"/>
          <w:lang w:val="en-US" w:eastAsia="zh-CN" w:bidi="ar-SA"/>
        </w:rPr>
        <w:t>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2、本项目实行网上投标，采用电子投标文件，若供应商参与投标，应自行承担投标一切费用。</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3.供应商应在开标前应确保成为新疆政府采购网正式注册入库供应商，并完成CA数字证书申领。因未注册入库、未办理CA数字证书等原因造成无法投标或投标失败等后果由供应商自行承担。</w:t>
      </w:r>
      <w:r>
        <w:rPr>
          <w:rFonts w:hint="eastAsia" w:ascii="宋体" w:hAnsi="宋体" w:eastAsia="宋体" w:cs="宋体"/>
          <w:color w:val="auto"/>
          <w:kern w:val="2"/>
          <w:sz w:val="24"/>
          <w:szCs w:val="24"/>
          <w:highlight w:val="none"/>
          <w:lang w:val="en-US" w:eastAsia="zh-CN" w:bidi="ar-SA"/>
        </w:rPr>
        <w:t>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 xml:space="preserve">4.供应商应使用最新版本的CA驱动和政采云投标客户端，客户端下载、安装完成后，可通过账号密码或CA登录客户端进行投标文件制作。在使用政采云投标客户端时，建议使用谷歌浏览器，电脑配置满足win7+64位以上操作系统（不能用mac或者linux系统）。客户端请至新疆政府采购网（www.ccgp-xinjiang.gov.cn）下载专区查看，如有问题可拨打政采云客户服务热线95763进行咨询。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5.供应商应当在投标截止时间前，将生成的“电子加密投标文件”上传递交至“政府采购云平台”，投标截止时间以后上传递交的投标文件将被“政府采购云平台”拒收。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6.供应商登录政采云平台，在开标时间后30分钟内用“项目采购-开标评标”功能进行解密投标文件。若供应商在规定时间内未按时解密的，视为无效投标。解密与加密投标文件须使用同一个CA。</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27" w:name="_Toc35393805"/>
      <w:bookmarkStart w:id="28" w:name="_Toc35393636"/>
      <w:bookmarkStart w:id="29" w:name="_Toc28359018"/>
      <w:bookmarkStart w:id="30" w:name="_Toc28359095"/>
      <w:r>
        <w:rPr>
          <w:rFonts w:hint="eastAsia" w:ascii="宋体" w:hAnsi="宋体" w:eastAsia="宋体" w:cs="宋体"/>
          <w:b/>
          <w:bCs/>
          <w:color w:val="auto"/>
          <w:sz w:val="24"/>
          <w:szCs w:val="24"/>
        </w:rPr>
        <w:t>八、凡对本次采购提出询问，请按以下方式联系。</w:t>
      </w:r>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bookmarkStart w:id="31" w:name="_Toc35393806"/>
      <w:bookmarkStart w:id="32" w:name="_Toc28359019"/>
      <w:bookmarkStart w:id="33" w:name="_Toc28359096"/>
      <w:bookmarkStart w:id="34" w:name="_Toc35393637"/>
      <w:r>
        <w:rPr>
          <w:rFonts w:hint="eastAsia" w:ascii="宋体" w:hAnsi="宋体" w:eastAsia="宋体" w:cs="宋体"/>
          <w:color w:val="auto"/>
          <w:sz w:val="24"/>
          <w:szCs w:val="24"/>
          <w:u w:val="none"/>
        </w:rPr>
        <w:t>1.采购人信息</w:t>
      </w:r>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名    称：</w:t>
      </w:r>
      <w:r>
        <w:rPr>
          <w:rFonts w:hint="eastAsia" w:ascii="宋体" w:hAnsi="宋体" w:cs="宋体"/>
          <w:color w:val="auto"/>
          <w:sz w:val="24"/>
          <w:szCs w:val="24"/>
          <w:u w:val="none"/>
          <w:lang w:eastAsia="zh-CN"/>
        </w:rPr>
        <w:t>克拉玛依市第三人民医院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    址：</w:t>
      </w:r>
      <w:r>
        <w:rPr>
          <w:rFonts w:hint="eastAsia" w:ascii="宋体" w:hAnsi="宋体" w:cs="宋体"/>
          <w:color w:val="auto"/>
          <w:sz w:val="24"/>
          <w:szCs w:val="24"/>
          <w:u w:val="none"/>
          <w:lang w:val="en-US" w:eastAsia="zh-CN"/>
        </w:rPr>
        <w:t>新疆维吾尔自治区克拉玛依市乌尔禾区龙口路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联系方式：</w:t>
      </w:r>
      <w:r>
        <w:rPr>
          <w:rFonts w:hint="eastAsia" w:ascii="宋体" w:hAnsi="宋体" w:cs="宋体"/>
          <w:color w:val="auto"/>
          <w:sz w:val="24"/>
          <w:szCs w:val="24"/>
          <w:u w:val="none"/>
          <w:lang w:eastAsia="zh-CN"/>
        </w:rPr>
        <w:t>0990-6960602</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bookmarkStart w:id="35" w:name="_Toc35393807"/>
      <w:bookmarkStart w:id="36" w:name="_Toc28359020"/>
      <w:bookmarkStart w:id="37" w:name="_Toc35393638"/>
      <w:bookmarkStart w:id="38" w:name="_Toc28359097"/>
      <w:r>
        <w:rPr>
          <w:rFonts w:hint="eastAsia" w:ascii="宋体" w:hAnsi="宋体" w:eastAsia="宋体" w:cs="宋体"/>
          <w:color w:val="auto"/>
          <w:sz w:val="24"/>
          <w:szCs w:val="24"/>
          <w:u w:val="none"/>
        </w:rPr>
        <w:t>2.采购代理机构信息</w:t>
      </w:r>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名    称：</w:t>
      </w:r>
      <w:r>
        <w:rPr>
          <w:rFonts w:hint="eastAsia" w:ascii="宋体" w:hAnsi="宋体" w:eastAsia="宋体" w:cs="宋体"/>
          <w:color w:val="auto"/>
          <w:sz w:val="24"/>
          <w:szCs w:val="24"/>
          <w:u w:val="none"/>
          <w:lang w:eastAsia="zh-CN"/>
        </w:rPr>
        <w:t>新疆永信工程造价咨询有限公司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　　址：</w:t>
      </w:r>
      <w:r>
        <w:rPr>
          <w:rFonts w:hint="eastAsia" w:ascii="宋体" w:hAnsi="宋体" w:eastAsia="宋体" w:cs="宋体"/>
          <w:color w:val="auto"/>
          <w:sz w:val="24"/>
          <w:szCs w:val="24"/>
          <w:u w:val="none"/>
          <w:lang w:eastAsia="zh-CN"/>
        </w:rPr>
        <w:t>新疆克拉玛依市胜利路47号</w:t>
      </w:r>
    </w:p>
    <w:p>
      <w:pPr>
        <w:pStyle w:val="17"/>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联系方式：15999392492　</w:t>
      </w:r>
    </w:p>
    <w:p>
      <w:pPr>
        <w:pStyle w:val="17"/>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sz w:val="24"/>
          <w:szCs w:val="24"/>
          <w:u w:val="none"/>
          <w:lang w:val="en-US" w:eastAsia="zh-CN"/>
        </w:rPr>
      </w:pPr>
      <w:bookmarkStart w:id="39" w:name="_Toc35393808"/>
      <w:bookmarkStart w:id="40" w:name="_Toc28359021"/>
      <w:bookmarkStart w:id="41" w:name="_Toc28359098"/>
      <w:bookmarkStart w:id="42" w:name="_Toc35393639"/>
      <w:r>
        <w:rPr>
          <w:rFonts w:hint="eastAsia" w:ascii="宋体" w:hAnsi="宋体" w:eastAsia="宋体" w:cs="宋体"/>
          <w:color w:val="auto"/>
          <w:sz w:val="24"/>
          <w:szCs w:val="24"/>
          <w:u w:val="none"/>
          <w:lang w:val="en-US" w:eastAsia="zh-CN"/>
        </w:rPr>
        <w:t>3.项目联系方式</w:t>
      </w:r>
      <w:bookmarkEnd w:id="39"/>
      <w:bookmarkEnd w:id="40"/>
      <w:bookmarkEnd w:id="41"/>
      <w:bookmarkEnd w:id="42"/>
    </w:p>
    <w:p>
      <w:pPr>
        <w:pStyle w:val="17"/>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项目联系人：黄艳丽、邵彩霞</w:t>
      </w:r>
    </w:p>
    <w:p>
      <w:pPr>
        <w:pStyle w:val="9"/>
        <w:keepNext w:val="0"/>
        <w:keepLines w:val="0"/>
        <w:pageBreakBefore w:val="0"/>
        <w:kinsoku/>
        <w:wordWrap/>
        <w:overflowPunct/>
        <w:topLinePunct w:val="0"/>
        <w:autoSpaceDE/>
        <w:autoSpaceDN/>
        <w:bidi w:val="0"/>
        <w:adjustRightInd/>
        <w:snapToGrid/>
        <w:spacing w:line="420" w:lineRule="exact"/>
        <w:ind w:firstLine="480" w:firstLineChars="200"/>
        <w:textAlignment w:val="auto"/>
        <w:rPr>
          <w:rStyle w:val="23"/>
          <w:rFonts w:hint="eastAsia" w:ascii="宋体" w:hAnsi="宋体" w:eastAsia="宋体" w:cs="宋体"/>
          <w:b w:val="0"/>
          <w:bCs/>
          <w:color w:val="auto"/>
          <w:sz w:val="24"/>
          <w:lang w:eastAsia="zh-CN"/>
        </w:rPr>
      </w:pPr>
      <w:r>
        <w:rPr>
          <w:rFonts w:hint="eastAsia" w:ascii="宋体" w:hAnsi="宋体" w:eastAsia="宋体" w:cs="宋体"/>
          <w:color w:val="auto"/>
          <w:sz w:val="24"/>
          <w:szCs w:val="24"/>
          <w:u w:val="none"/>
          <w:lang w:val="en-US" w:eastAsia="zh-CN"/>
        </w:rPr>
        <w:t>电　　 话：15999392492、13899588072</w:t>
      </w:r>
      <w:r>
        <w:rPr>
          <w:rStyle w:val="23"/>
          <w:rFonts w:hint="eastAsia" w:ascii="宋体" w:hAnsi="宋体" w:cs="宋体"/>
          <w:b w:val="0"/>
          <w:bCs/>
          <w:color w:val="auto"/>
          <w:sz w:val="24"/>
          <w:szCs w:val="24"/>
          <w:lang w:val="en-US" w:eastAsia="zh-CN"/>
        </w:rPr>
        <w:t xml:space="preserve"> </w:t>
      </w:r>
    </w:p>
    <w:p>
      <w:pPr>
        <w:keepNext w:val="0"/>
        <w:keepLines w:val="0"/>
        <w:pageBreakBefore/>
        <w:widowControl w:val="0"/>
        <w:kinsoku/>
        <w:wordWrap/>
        <w:overflowPunct/>
        <w:topLinePunct w:val="0"/>
        <w:autoSpaceDE/>
        <w:autoSpaceDN/>
        <w:bidi w:val="0"/>
        <w:adjustRightInd/>
        <w:snapToGrid/>
        <w:jc w:val="center"/>
        <w:textAlignment w:val="auto"/>
        <w:rPr>
          <w:rFonts w:ascii="宋体" w:hAnsi="宋体" w:cs="宋体"/>
          <w:b/>
          <w:bCs/>
          <w:color w:val="auto"/>
          <w:sz w:val="24"/>
        </w:rPr>
      </w:pPr>
      <w:bookmarkStart w:id="43" w:name="_Toc17277_WPSOffice_Level1"/>
      <w:r>
        <w:rPr>
          <w:rFonts w:hint="eastAsia" w:ascii="宋体" w:hAnsi="宋体" w:cs="宋体"/>
          <w:b/>
          <w:bCs/>
          <w:color w:val="auto"/>
          <w:sz w:val="30"/>
          <w:szCs w:val="30"/>
        </w:rPr>
        <w:t>第二章、供应商须知</w:t>
      </w:r>
      <w:bookmarkEnd w:id="43"/>
    </w:p>
    <w:p>
      <w:pPr>
        <w:rPr>
          <w:rFonts w:ascii="宋体" w:hAnsi="宋体" w:cs="宋体"/>
          <w:b/>
          <w:bCs/>
          <w:color w:val="auto"/>
          <w:sz w:val="24"/>
        </w:rPr>
      </w:pPr>
      <w:r>
        <w:rPr>
          <w:rFonts w:hint="eastAsia" w:ascii="宋体" w:hAnsi="宋体" w:cs="宋体"/>
          <w:b/>
          <w:bCs/>
          <w:color w:val="auto"/>
          <w:sz w:val="24"/>
        </w:rPr>
        <w:t>一、说明</w:t>
      </w:r>
    </w:p>
    <w:p>
      <w:pPr>
        <w:pStyle w:val="11"/>
        <w:spacing w:line="360" w:lineRule="auto"/>
        <w:ind w:firstLine="480" w:firstLineChars="200"/>
        <w:outlineLvl w:val="1"/>
        <w:rPr>
          <w:rFonts w:hAnsi="宋体" w:cs="宋体"/>
          <w:color w:val="auto"/>
          <w:sz w:val="24"/>
        </w:rPr>
      </w:pPr>
      <w:bookmarkStart w:id="44" w:name="_Toc246216180"/>
      <w:bookmarkStart w:id="45" w:name="_Toc243906311"/>
      <w:bookmarkStart w:id="46" w:name="_Toc233274811"/>
      <w:bookmarkStart w:id="47" w:name="_Toc243907571"/>
      <w:bookmarkStart w:id="48" w:name="_Toc6629"/>
      <w:r>
        <w:rPr>
          <w:rFonts w:hint="eastAsia" w:hAnsi="宋体" w:cs="宋体"/>
          <w:color w:val="auto"/>
          <w:sz w:val="24"/>
        </w:rPr>
        <w:t>1、适用范围</w:t>
      </w:r>
      <w:bookmarkEnd w:id="44"/>
      <w:bookmarkEnd w:id="45"/>
      <w:bookmarkEnd w:id="46"/>
      <w:bookmarkEnd w:id="47"/>
      <w:r>
        <w:rPr>
          <w:rFonts w:hint="eastAsia" w:hAnsi="宋体" w:cs="宋体"/>
          <w:color w:val="auto"/>
          <w:sz w:val="24"/>
        </w:rPr>
        <w:t>及招标依据</w:t>
      </w:r>
      <w:bookmarkEnd w:id="48"/>
    </w:p>
    <w:p>
      <w:pPr>
        <w:pStyle w:val="11"/>
        <w:spacing w:line="360" w:lineRule="auto"/>
        <w:ind w:firstLine="480" w:firstLineChars="200"/>
        <w:rPr>
          <w:rFonts w:hAnsi="宋体" w:cs="宋体"/>
          <w:color w:val="auto"/>
          <w:sz w:val="24"/>
        </w:rPr>
      </w:pPr>
      <w:r>
        <w:rPr>
          <w:rFonts w:hint="eastAsia" w:hAnsi="宋体" w:cs="宋体"/>
          <w:color w:val="auto"/>
          <w:sz w:val="24"/>
        </w:rPr>
        <w:t>1.1 适用范围</w:t>
      </w:r>
    </w:p>
    <w:p>
      <w:pPr>
        <w:pStyle w:val="11"/>
        <w:spacing w:line="360" w:lineRule="auto"/>
        <w:ind w:firstLine="480" w:firstLineChars="200"/>
        <w:rPr>
          <w:rFonts w:hAnsi="宋体" w:cs="宋体"/>
          <w:color w:val="auto"/>
          <w:sz w:val="24"/>
        </w:rPr>
      </w:pPr>
      <w:r>
        <w:rPr>
          <w:rFonts w:hint="eastAsia" w:hAnsi="宋体" w:cs="宋体"/>
          <w:color w:val="auto"/>
          <w:sz w:val="24"/>
        </w:rPr>
        <w:t>本</w:t>
      </w:r>
      <w:r>
        <w:rPr>
          <w:rFonts w:hint="eastAsia" w:hAnsi="宋体" w:cs="宋体"/>
          <w:color w:val="auto"/>
          <w:sz w:val="24"/>
          <w:lang w:eastAsia="zh-CN"/>
        </w:rPr>
        <w:t>招标</w:t>
      </w:r>
      <w:r>
        <w:rPr>
          <w:rFonts w:hint="eastAsia" w:hAnsi="宋体" w:cs="宋体"/>
          <w:color w:val="auto"/>
          <w:sz w:val="24"/>
        </w:rPr>
        <w:t>文件仅适用于</w:t>
      </w:r>
      <w:r>
        <w:rPr>
          <w:rFonts w:hint="eastAsia" w:hAnsi="宋体" w:cs="宋体"/>
          <w:color w:val="auto"/>
          <w:sz w:val="24"/>
          <w:lang w:eastAsia="zh-CN"/>
        </w:rPr>
        <w:t>克拉玛依市第三人民医院电子病历系统项目。</w:t>
      </w:r>
    </w:p>
    <w:p>
      <w:pPr>
        <w:pStyle w:val="11"/>
        <w:spacing w:line="360" w:lineRule="auto"/>
        <w:ind w:firstLine="480" w:firstLineChars="200"/>
        <w:rPr>
          <w:rFonts w:hAnsi="宋体" w:cs="宋体"/>
          <w:color w:val="auto"/>
          <w:sz w:val="24"/>
        </w:rPr>
      </w:pPr>
      <w:r>
        <w:rPr>
          <w:rFonts w:hint="eastAsia" w:hAnsi="宋体" w:cs="宋体"/>
          <w:color w:val="auto"/>
          <w:sz w:val="24"/>
        </w:rPr>
        <w:t>1.2招标依据</w:t>
      </w:r>
    </w:p>
    <w:p>
      <w:pPr>
        <w:widowControl/>
        <w:spacing w:line="360" w:lineRule="auto"/>
        <w:ind w:firstLine="480" w:firstLineChars="200"/>
        <w:rPr>
          <w:rFonts w:hint="eastAsia" w:ascii="宋体" w:hAnsi="宋体" w:eastAsia="宋体" w:cs="宋体"/>
          <w:color w:val="auto"/>
          <w:kern w:val="2"/>
          <w:sz w:val="24"/>
          <w:szCs w:val="21"/>
          <w:lang w:val="en-US" w:eastAsia="zh-CN" w:bidi="ar-SA"/>
        </w:rPr>
      </w:pPr>
      <w:bookmarkStart w:id="49" w:name="_Toc243906312"/>
      <w:bookmarkStart w:id="50" w:name="_Toc243907572"/>
      <w:bookmarkStart w:id="51" w:name="_Toc246216181"/>
      <w:bookmarkStart w:id="52" w:name="_Toc233274812"/>
      <w:bookmarkStart w:id="53" w:name="_Toc20877"/>
      <w:r>
        <w:rPr>
          <w:rFonts w:hint="eastAsia" w:ascii="宋体" w:hAnsi="宋体" w:eastAsia="宋体" w:cs="宋体"/>
          <w:color w:val="auto"/>
          <w:kern w:val="2"/>
          <w:sz w:val="24"/>
          <w:szCs w:val="21"/>
          <w:lang w:val="en-US" w:eastAsia="zh-CN" w:bidi="ar-SA"/>
        </w:rPr>
        <w:t>根据《中华人民共和国政府采购法》、《中华人民共和国政府采购法实施条例》、《政府采购货物和服务招标投标管理办法》（财政部令第87号）及有关法律、法规。</w:t>
      </w:r>
    </w:p>
    <w:p>
      <w:pPr>
        <w:pStyle w:val="11"/>
        <w:spacing w:line="360" w:lineRule="auto"/>
        <w:ind w:firstLine="480" w:firstLineChars="200"/>
        <w:outlineLvl w:val="1"/>
        <w:rPr>
          <w:rFonts w:hAnsi="宋体" w:cs="宋体"/>
          <w:color w:val="auto"/>
          <w:sz w:val="24"/>
        </w:rPr>
      </w:pPr>
      <w:r>
        <w:rPr>
          <w:rFonts w:hint="eastAsia" w:hAnsi="宋体" w:cs="宋体"/>
          <w:color w:val="auto"/>
          <w:sz w:val="24"/>
        </w:rPr>
        <w:t>2、定义</w:t>
      </w:r>
      <w:bookmarkEnd w:id="49"/>
      <w:bookmarkEnd w:id="50"/>
      <w:bookmarkEnd w:id="51"/>
      <w:bookmarkEnd w:id="52"/>
      <w:bookmarkEnd w:id="53"/>
    </w:p>
    <w:p>
      <w:pPr>
        <w:pStyle w:val="11"/>
        <w:spacing w:line="360" w:lineRule="auto"/>
        <w:ind w:firstLine="480" w:firstLineChars="200"/>
        <w:rPr>
          <w:rFonts w:hAnsi="宋体" w:cs="宋体"/>
          <w:color w:val="auto"/>
          <w:sz w:val="24"/>
        </w:rPr>
      </w:pPr>
      <w:r>
        <w:rPr>
          <w:rFonts w:hint="eastAsia" w:hAnsi="宋体" w:cs="宋体"/>
          <w:color w:val="auto"/>
          <w:sz w:val="24"/>
        </w:rPr>
        <w:t>2.1 “采购人”系指</w:t>
      </w:r>
      <w:r>
        <w:rPr>
          <w:rFonts w:hint="eastAsia" w:hAnsi="宋体" w:cs="宋体"/>
          <w:color w:val="auto"/>
          <w:sz w:val="24"/>
          <w:lang w:eastAsia="zh-CN"/>
        </w:rPr>
        <w:t>克拉玛依市第三人民医院</w:t>
      </w:r>
      <w:r>
        <w:rPr>
          <w:rFonts w:hint="eastAsia" w:hAnsi="宋体" w:cs="宋体"/>
          <w:color w:val="auto"/>
          <w:sz w:val="24"/>
        </w:rPr>
        <w:t>，在签订和执行合同阶段称“买方”。</w:t>
      </w:r>
    </w:p>
    <w:p>
      <w:pPr>
        <w:pStyle w:val="11"/>
        <w:spacing w:line="360" w:lineRule="auto"/>
        <w:ind w:firstLine="480" w:firstLineChars="200"/>
        <w:rPr>
          <w:rFonts w:hAnsi="宋体" w:cs="宋体"/>
          <w:color w:val="auto"/>
          <w:sz w:val="24"/>
        </w:rPr>
      </w:pPr>
      <w:r>
        <w:rPr>
          <w:rFonts w:hint="eastAsia" w:hAnsi="宋体" w:cs="宋体"/>
          <w:color w:val="auto"/>
          <w:sz w:val="24"/>
        </w:rPr>
        <w:t xml:space="preserve">2.2 </w:t>
      </w:r>
      <w:r>
        <w:rPr>
          <w:rFonts w:hint="eastAsia" w:hAnsi="宋体" w:cs="宋体"/>
          <w:color w:val="auto"/>
          <w:sz w:val="24"/>
          <w:szCs w:val="24"/>
        </w:rPr>
        <w:t>“采购代理机构”</w:t>
      </w:r>
      <w:r>
        <w:rPr>
          <w:rFonts w:hint="eastAsia" w:hAnsi="宋体" w:cs="宋体"/>
          <w:color w:val="auto"/>
          <w:sz w:val="24"/>
        </w:rPr>
        <w:t>系指</w:t>
      </w:r>
      <w:r>
        <w:rPr>
          <w:rFonts w:hint="eastAsia" w:hAnsi="宋体" w:cs="宋体"/>
          <w:color w:val="auto"/>
          <w:sz w:val="24"/>
          <w:lang w:val="zh-CN"/>
        </w:rPr>
        <w:t>新疆永信工程造价咨询有限公司</w:t>
      </w:r>
      <w:r>
        <w:rPr>
          <w:rFonts w:hint="eastAsia" w:hAnsi="宋体" w:cs="宋体"/>
          <w:color w:val="auto"/>
          <w:sz w:val="24"/>
        </w:rPr>
        <w:t>。</w:t>
      </w:r>
    </w:p>
    <w:p>
      <w:pPr>
        <w:pStyle w:val="11"/>
        <w:spacing w:line="360" w:lineRule="auto"/>
        <w:ind w:firstLine="480" w:firstLineChars="200"/>
        <w:rPr>
          <w:rFonts w:hAnsi="宋体" w:cs="宋体"/>
          <w:color w:val="auto"/>
          <w:sz w:val="24"/>
          <w:lang w:val="zh-CN"/>
        </w:rPr>
      </w:pPr>
      <w:bookmarkStart w:id="54" w:name="_Toc243907573"/>
      <w:bookmarkStart w:id="55" w:name="_Toc243906313"/>
      <w:bookmarkStart w:id="56" w:name="_Toc233274813"/>
      <w:bookmarkStart w:id="57" w:name="_Toc246216182"/>
      <w:r>
        <w:rPr>
          <w:rFonts w:hint="eastAsia" w:hAnsi="宋体" w:cs="宋体"/>
          <w:color w:val="auto"/>
          <w:sz w:val="24"/>
          <w:lang w:val="zh-CN"/>
        </w:rPr>
        <w:t>2.3 “供应商”系指具备资格并响应招标文件要求提交投标文件的法人，供应商若中标，在签订和执行合同阶段称“卖方”。</w:t>
      </w:r>
    </w:p>
    <w:p>
      <w:pPr>
        <w:pStyle w:val="11"/>
        <w:spacing w:line="360" w:lineRule="auto"/>
        <w:ind w:firstLine="480" w:firstLineChars="200"/>
        <w:rPr>
          <w:rFonts w:hAnsi="宋体" w:cs="宋体"/>
          <w:color w:val="auto"/>
          <w:sz w:val="24"/>
          <w:lang w:val="zh-CN"/>
        </w:rPr>
      </w:pPr>
      <w:r>
        <w:rPr>
          <w:rFonts w:hint="eastAsia" w:hAnsi="宋体" w:cs="宋体"/>
          <w:color w:val="auto"/>
          <w:sz w:val="24"/>
          <w:lang w:val="zh-CN"/>
        </w:rPr>
        <w:t>2.4 “招标文件”系指由采购人向供应商发出的本采购项目的全部文件（包括修改文件、项目采购需求、补充文件、答疑纪要、各种通知和附件等）。</w:t>
      </w:r>
    </w:p>
    <w:p>
      <w:pPr>
        <w:pStyle w:val="11"/>
        <w:spacing w:line="360" w:lineRule="auto"/>
        <w:ind w:firstLine="480" w:firstLineChars="200"/>
        <w:rPr>
          <w:rFonts w:hAnsi="宋体" w:cs="宋体"/>
          <w:color w:val="auto"/>
          <w:sz w:val="24"/>
          <w:shd w:val="clear" w:color="FFFFFF" w:fill="D9D9D9"/>
          <w:lang w:val="zh-CN"/>
        </w:rPr>
      </w:pPr>
      <w:r>
        <w:rPr>
          <w:rFonts w:hint="eastAsia" w:hAnsi="宋体" w:cs="宋体"/>
          <w:color w:val="auto"/>
          <w:sz w:val="24"/>
          <w:lang w:val="zh-CN"/>
        </w:rPr>
        <w:t>2.5 “投标文件”系指供应商根据招标文件提交的所有文件。</w:t>
      </w:r>
    </w:p>
    <w:p>
      <w:pPr>
        <w:pStyle w:val="11"/>
        <w:spacing w:line="360" w:lineRule="auto"/>
        <w:ind w:firstLine="480" w:firstLineChars="200"/>
        <w:rPr>
          <w:rFonts w:hint="eastAsia" w:hAnsi="宋体" w:cs="宋体"/>
          <w:color w:val="auto"/>
          <w:sz w:val="24"/>
          <w:highlight w:val="none"/>
        </w:rPr>
      </w:pPr>
      <w:r>
        <w:rPr>
          <w:rFonts w:hint="eastAsia" w:hAnsi="宋体" w:cs="宋体"/>
          <w:color w:val="auto"/>
          <w:sz w:val="24"/>
          <w:lang w:val="zh-CN"/>
        </w:rPr>
        <w:t>2.</w:t>
      </w:r>
      <w:r>
        <w:rPr>
          <w:rFonts w:hint="eastAsia" w:hAnsi="宋体" w:cs="宋体"/>
          <w:color w:val="auto"/>
          <w:sz w:val="24"/>
          <w:lang w:val="en-US" w:eastAsia="zh-CN"/>
        </w:rPr>
        <w:t>6</w:t>
      </w:r>
      <w:r>
        <w:rPr>
          <w:rFonts w:hint="eastAsia" w:hAnsi="宋体" w:cs="宋体"/>
          <w:color w:val="auto"/>
          <w:sz w:val="24"/>
          <w:lang w:val="zh-CN"/>
        </w:rPr>
        <w:t xml:space="preserve"> “服务”</w:t>
      </w:r>
      <w:r>
        <w:rPr>
          <w:rFonts w:hint="eastAsia" w:hAnsi="宋体" w:cs="宋体"/>
          <w:color w:val="auto"/>
          <w:sz w:val="24"/>
        </w:rPr>
        <w:t>系指按合同条款、项目采购需求、本</w:t>
      </w:r>
      <w:r>
        <w:rPr>
          <w:rFonts w:hint="eastAsia" w:hAnsi="宋体" w:cs="宋体"/>
          <w:color w:val="auto"/>
          <w:sz w:val="24"/>
          <w:lang w:eastAsia="zh-CN"/>
        </w:rPr>
        <w:t>招标</w:t>
      </w:r>
      <w:r>
        <w:rPr>
          <w:rFonts w:hint="eastAsia" w:hAnsi="宋体" w:cs="宋体"/>
          <w:color w:val="auto"/>
          <w:sz w:val="24"/>
        </w:rPr>
        <w:t>文件规定，</w:t>
      </w:r>
      <w:r>
        <w:rPr>
          <w:rFonts w:hint="eastAsia" w:hAnsi="宋体" w:cs="宋体"/>
          <w:color w:val="auto"/>
          <w:sz w:val="24"/>
          <w:highlight w:val="none"/>
          <w:lang w:val="en-US" w:eastAsia="zh-CN"/>
        </w:rPr>
        <w:t>中标人保证完成</w:t>
      </w:r>
      <w:r>
        <w:rPr>
          <w:rFonts w:hint="eastAsia" w:hAnsi="宋体" w:cs="宋体"/>
          <w:color w:val="auto"/>
          <w:sz w:val="24"/>
          <w:highlight w:val="none"/>
          <w:lang w:eastAsia="zh-CN"/>
        </w:rPr>
        <w:t>克拉玛依市第三人民医院电子病历系统项目</w:t>
      </w:r>
      <w:r>
        <w:rPr>
          <w:rFonts w:hint="eastAsia" w:hAnsi="宋体" w:cs="宋体"/>
          <w:color w:val="auto"/>
          <w:sz w:val="24"/>
          <w:highlight w:val="none"/>
          <w:lang w:val="en-US" w:eastAsia="zh-CN"/>
        </w:rPr>
        <w:t>的全部工作，完成信息系统建设，提升医院医疗服务能力，建立健全医院门急诊、住院电子病历，安全有效的保护患者病例信息，为患者提供更加便捷的就医环境，有效缩短了民众窗口的等待时间，提高了服务效率。</w:t>
      </w:r>
      <w:r>
        <w:rPr>
          <w:rFonts w:hint="eastAsia" w:hAnsi="宋体" w:cs="宋体"/>
          <w:color w:val="auto"/>
          <w:sz w:val="24"/>
          <w:highlight w:val="none"/>
          <w:lang w:eastAsia="zh-CN"/>
        </w:rPr>
        <w:t>以及合同条款、项目采购需求、本采购文件约定的全部内容，并配合采购人完成与此服务相关的全部责任和义务</w:t>
      </w:r>
      <w:r>
        <w:rPr>
          <w:rFonts w:hint="eastAsia" w:ascii="Times New Roman" w:hAnsi="宋体" w:eastAsia="宋体" w:cs="宋体"/>
          <w:color w:val="auto"/>
          <w:kern w:val="2"/>
          <w:sz w:val="24"/>
          <w:szCs w:val="24"/>
          <w:highlight w:val="none"/>
          <w:lang w:val="en-US" w:eastAsia="zh-CN" w:bidi="ar-SA"/>
        </w:rPr>
        <w:t>。</w:t>
      </w:r>
    </w:p>
    <w:p>
      <w:pPr>
        <w:pStyle w:val="11"/>
        <w:spacing w:line="360" w:lineRule="auto"/>
        <w:ind w:firstLine="480" w:firstLineChars="200"/>
        <w:rPr>
          <w:rFonts w:hAnsi="宋体" w:cs="宋体"/>
          <w:color w:val="auto"/>
          <w:sz w:val="24"/>
          <w:lang w:val="zh-CN"/>
        </w:rPr>
      </w:pPr>
      <w:r>
        <w:rPr>
          <w:rFonts w:hint="eastAsia" w:hAnsi="宋体" w:cs="宋体"/>
          <w:color w:val="auto"/>
          <w:sz w:val="24"/>
          <w:lang w:val="zh-CN"/>
        </w:rPr>
        <w:t>2.</w:t>
      </w:r>
      <w:r>
        <w:rPr>
          <w:rFonts w:hint="eastAsia" w:hAnsi="宋体" w:cs="宋体"/>
          <w:color w:val="auto"/>
          <w:sz w:val="24"/>
          <w:lang w:val="en-US" w:eastAsia="zh-CN"/>
        </w:rPr>
        <w:t>7</w:t>
      </w:r>
      <w:r>
        <w:rPr>
          <w:rFonts w:hint="eastAsia" w:hAnsi="宋体" w:cs="宋体"/>
          <w:color w:val="auto"/>
          <w:sz w:val="24"/>
        </w:rPr>
        <w:t xml:space="preserve"> </w:t>
      </w:r>
      <w:r>
        <w:rPr>
          <w:rFonts w:hint="eastAsia" w:hAnsi="宋体" w:cs="宋体"/>
          <w:color w:val="auto"/>
          <w:sz w:val="24"/>
          <w:lang w:val="zh-CN"/>
        </w:rPr>
        <w:t xml:space="preserve">凡提及的“天、日期、星期、月份和年份”系指公历日历的日历天、日期、星期、月份和年份。 </w:t>
      </w:r>
    </w:p>
    <w:p>
      <w:pPr>
        <w:pStyle w:val="11"/>
        <w:spacing w:line="360" w:lineRule="auto"/>
        <w:ind w:firstLine="480" w:firstLineChars="200"/>
        <w:rPr>
          <w:rFonts w:hAnsi="宋体" w:cs="宋体"/>
          <w:color w:val="auto"/>
          <w:sz w:val="24"/>
        </w:rPr>
      </w:pPr>
      <w:r>
        <w:rPr>
          <w:rFonts w:hint="eastAsia" w:hAnsi="宋体" w:cs="宋体"/>
          <w:color w:val="auto"/>
          <w:sz w:val="24"/>
        </w:rPr>
        <w:t>3、</w:t>
      </w:r>
      <w:bookmarkEnd w:id="54"/>
      <w:bookmarkEnd w:id="55"/>
      <w:bookmarkEnd w:id="56"/>
      <w:bookmarkEnd w:id="57"/>
      <w:r>
        <w:rPr>
          <w:rFonts w:hint="eastAsia" w:hAnsi="宋体" w:cs="宋体"/>
          <w:color w:val="auto"/>
          <w:sz w:val="24"/>
        </w:rPr>
        <w:t>采购范围及服务期限</w:t>
      </w:r>
    </w:p>
    <w:p>
      <w:pPr>
        <w:spacing w:line="360" w:lineRule="auto"/>
        <w:ind w:firstLine="482" w:firstLineChars="200"/>
        <w:rPr>
          <w:rFonts w:hint="eastAsia" w:ascii="Times New Roman" w:hAnsi="宋体" w:cs="宋体"/>
          <w:color w:val="auto"/>
          <w:sz w:val="24"/>
          <w:highlight w:val="none"/>
          <w:lang w:eastAsia="zh-CN"/>
        </w:rPr>
      </w:pPr>
      <w:r>
        <w:rPr>
          <w:rFonts w:hint="eastAsia" w:ascii="宋体" w:hAnsi="宋体" w:cs="宋体"/>
          <w:b/>
          <w:bCs/>
          <w:color w:val="auto"/>
          <w:sz w:val="24"/>
        </w:rPr>
        <w:t>3.1采购范围</w:t>
      </w:r>
      <w:r>
        <w:rPr>
          <w:rFonts w:hint="eastAsia" w:ascii="宋体" w:hAnsi="宋体" w:cs="宋体"/>
          <w:color w:val="auto"/>
          <w:sz w:val="24"/>
        </w:rPr>
        <w:t>：</w:t>
      </w:r>
      <w:r>
        <w:rPr>
          <w:rFonts w:hint="eastAsia" w:hAnsi="宋体" w:cs="宋体"/>
          <w:color w:val="auto"/>
          <w:sz w:val="24"/>
          <w:highlight w:val="none"/>
          <w:lang w:val="en-US" w:eastAsia="zh-CN"/>
        </w:rPr>
        <w:t>中标人保证完成</w:t>
      </w:r>
      <w:r>
        <w:rPr>
          <w:rFonts w:hint="eastAsia" w:hAnsi="宋体" w:cs="宋体"/>
          <w:color w:val="auto"/>
          <w:sz w:val="24"/>
          <w:highlight w:val="none"/>
          <w:lang w:eastAsia="zh-CN"/>
        </w:rPr>
        <w:t>克拉玛依市第三人民医院电子病历系统项目</w:t>
      </w:r>
      <w:r>
        <w:rPr>
          <w:rFonts w:hint="eastAsia" w:hAnsi="宋体" w:cs="宋体"/>
          <w:color w:val="auto"/>
          <w:sz w:val="24"/>
          <w:highlight w:val="none"/>
          <w:lang w:val="en-US" w:eastAsia="zh-CN"/>
        </w:rPr>
        <w:t>的全部工作，完成信息系统建设，提升医院医疗服务能力，建立健全医院门急诊、住院电子病历，安全有效的保护患者病例信息，为患者提供更加便捷的就医环境，有效缩短了民众窗口的等待时间，提高了服务效率。</w:t>
      </w:r>
      <w:r>
        <w:rPr>
          <w:rFonts w:hint="eastAsia" w:hAnsi="宋体" w:cs="宋体"/>
          <w:color w:val="auto"/>
          <w:sz w:val="24"/>
          <w:highlight w:val="none"/>
          <w:lang w:eastAsia="zh-CN"/>
        </w:rPr>
        <w:t>以及合同条款、项目采购需求、本采购文件约定的全部内容，并配合采购人完成与此服务相关的全部责任和义务</w:t>
      </w:r>
      <w:r>
        <w:rPr>
          <w:rFonts w:hint="eastAsia" w:ascii="Times New Roman" w:hAnsi="宋体" w:cs="宋体"/>
          <w:color w:val="auto"/>
          <w:sz w:val="24"/>
          <w:highlight w:val="none"/>
          <w:lang w:eastAsia="zh-CN"/>
        </w:rPr>
        <w:t>。</w:t>
      </w:r>
      <w:r>
        <w:rPr>
          <w:rFonts w:hint="eastAsia" w:hAnsi="宋体" w:cs="宋体"/>
          <w:color w:val="auto"/>
          <w:sz w:val="24"/>
          <w:highlight w:val="none"/>
          <w:lang w:val="en-US" w:eastAsia="zh-CN"/>
        </w:rPr>
        <w:t>具体采购明细和要求详见“采购项目内容及规格要求”。</w:t>
      </w:r>
    </w:p>
    <w:p>
      <w:pPr>
        <w:pStyle w:val="8"/>
        <w:spacing w:line="360" w:lineRule="auto"/>
        <w:ind w:firstLine="482" w:firstLineChars="200"/>
        <w:rPr>
          <w:rFonts w:hint="eastAsia" w:ascii="宋体" w:hAnsi="宋体" w:cs="宋体"/>
          <w:color w:val="auto"/>
          <w:sz w:val="24"/>
          <w:szCs w:val="24"/>
          <w:highlight w:val="none"/>
          <w:lang w:val="en-US" w:eastAsia="zh-CN"/>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2</w:t>
      </w:r>
      <w:r>
        <w:rPr>
          <w:rFonts w:hint="eastAsia" w:ascii="宋体" w:hAnsi="宋体" w:eastAsia="宋体" w:cs="宋体"/>
          <w:b/>
          <w:bCs/>
          <w:color w:val="auto"/>
          <w:kern w:val="2"/>
          <w:sz w:val="24"/>
          <w:szCs w:val="24"/>
          <w:highlight w:val="none"/>
          <w:lang w:val="en-US" w:eastAsia="zh-CN" w:bidi="ar-SA"/>
        </w:rPr>
        <w:t>服务期</w:t>
      </w:r>
      <w:r>
        <w:rPr>
          <w:rFonts w:hint="eastAsia" w:ascii="宋体" w:hAnsi="宋体" w:cs="宋体"/>
          <w:b/>
          <w:bCs/>
          <w:color w:val="auto"/>
          <w:sz w:val="24"/>
          <w:highlight w:val="none"/>
        </w:rPr>
        <w:t>：</w:t>
      </w:r>
      <w:r>
        <w:rPr>
          <w:rFonts w:hint="eastAsia" w:ascii="宋体" w:hAnsi="宋体" w:cs="宋体"/>
          <w:color w:val="auto"/>
          <w:sz w:val="24"/>
          <w:szCs w:val="24"/>
          <w:highlight w:val="none"/>
          <w:lang w:val="en-US" w:eastAsia="zh-CN"/>
        </w:rPr>
        <w:t>自签订合同之日起1个月内实施完成并进行验收，系统验收提供三年的免费服务期。</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4</w:t>
      </w:r>
      <w:r>
        <w:rPr>
          <w:rFonts w:hint="eastAsia" w:ascii="宋体" w:hAnsi="宋体" w:cs="宋体"/>
          <w:color w:val="auto"/>
          <w:sz w:val="24"/>
        </w:rPr>
        <w:t>、合格供应商资格要求</w:t>
      </w:r>
    </w:p>
    <w:p>
      <w:pPr>
        <w:spacing w:line="360" w:lineRule="auto"/>
        <w:ind w:firstLine="480" w:firstLineChars="200"/>
        <w:rPr>
          <w:rFonts w:ascii="宋体" w:hAnsi="宋体" w:cs="宋体"/>
          <w:color w:val="auto"/>
          <w:sz w:val="24"/>
        </w:rPr>
      </w:pPr>
      <w:r>
        <w:rPr>
          <w:rFonts w:hint="eastAsia" w:ascii="宋体" w:hAnsi="宋体" w:cs="宋体"/>
          <w:color w:val="auto"/>
          <w:sz w:val="24"/>
        </w:rPr>
        <w:t>4.1详见第一章“</w:t>
      </w:r>
      <w:r>
        <w:rPr>
          <w:rFonts w:hint="eastAsia" w:ascii="宋体" w:hAnsi="宋体" w:cs="宋体"/>
          <w:color w:val="auto"/>
          <w:sz w:val="24"/>
          <w:lang w:eastAsia="zh-CN"/>
        </w:rPr>
        <w:t>招标</w:t>
      </w:r>
      <w:r>
        <w:rPr>
          <w:rFonts w:hint="eastAsia" w:ascii="宋体" w:hAnsi="宋体" w:cs="宋体"/>
          <w:color w:val="auto"/>
          <w:sz w:val="24"/>
        </w:rPr>
        <w:t>公告”中的供应商资格要求。</w:t>
      </w:r>
    </w:p>
    <w:p>
      <w:pPr>
        <w:spacing w:line="360" w:lineRule="auto"/>
        <w:ind w:firstLine="480" w:firstLineChars="200"/>
        <w:rPr>
          <w:rFonts w:ascii="宋体" w:hAnsi="宋体" w:cs="宋体"/>
          <w:color w:val="auto"/>
          <w:sz w:val="24"/>
        </w:rPr>
      </w:pPr>
      <w:r>
        <w:rPr>
          <w:rFonts w:hint="eastAsia" w:ascii="宋体" w:hAnsi="宋体" w:cs="宋体"/>
          <w:color w:val="auto"/>
          <w:sz w:val="24"/>
        </w:rPr>
        <w:t>4.2采购有关规定</w:t>
      </w:r>
    </w:p>
    <w:p>
      <w:pPr>
        <w:snapToGrid w:val="0"/>
        <w:spacing w:line="360" w:lineRule="auto"/>
        <w:ind w:firstLine="472" w:firstLineChars="196"/>
        <w:rPr>
          <w:rFonts w:ascii="宋体" w:hAnsi="宋体" w:cs="宋体"/>
          <w:b/>
          <w:bCs/>
          <w:color w:val="auto"/>
          <w:sz w:val="24"/>
        </w:rPr>
      </w:pPr>
      <w:r>
        <w:rPr>
          <w:rFonts w:hint="eastAsia" w:ascii="宋体" w:hAnsi="宋体" w:cs="宋体"/>
          <w:b/>
          <w:bCs/>
          <w:color w:val="auto"/>
          <w:sz w:val="24"/>
        </w:rPr>
        <w:t>4.2.1供应商负责人为同一人或者存在直接控股、管理关系的不同供应商，不得参加同一合同项下的政府采购活动。</w:t>
      </w:r>
    </w:p>
    <w:p>
      <w:pPr>
        <w:snapToGrid w:val="0"/>
        <w:spacing w:line="360" w:lineRule="auto"/>
        <w:ind w:firstLine="479" w:firstLineChars="199"/>
        <w:rPr>
          <w:rFonts w:ascii="宋体" w:hAnsi="宋体" w:cs="宋体"/>
          <w:b/>
          <w:bCs/>
          <w:color w:val="auto"/>
          <w:sz w:val="24"/>
        </w:rPr>
      </w:pPr>
      <w:r>
        <w:rPr>
          <w:rFonts w:hint="eastAsia" w:ascii="宋体" w:hAnsi="宋体" w:cs="宋体"/>
          <w:b/>
          <w:bCs/>
          <w:color w:val="auto"/>
          <w:sz w:val="24"/>
        </w:rPr>
        <w:t>4.2.2为采购项目提供整体设计、规范编制或者项目管理、监理、检测等服务的供应商，不得再参加该采购项目的其他采购活动。</w:t>
      </w:r>
    </w:p>
    <w:p>
      <w:pPr>
        <w:snapToGrid w:val="0"/>
        <w:spacing w:line="360" w:lineRule="auto"/>
        <w:ind w:firstLine="479" w:firstLineChars="199"/>
        <w:rPr>
          <w:rFonts w:ascii="宋体" w:hAnsi="宋体" w:cs="宋体"/>
          <w:b/>
          <w:bCs/>
          <w:color w:val="auto"/>
          <w:sz w:val="24"/>
        </w:rPr>
      </w:pPr>
      <w:r>
        <w:rPr>
          <w:rFonts w:hint="eastAsia" w:ascii="宋体" w:hAnsi="宋体" w:cs="宋体"/>
          <w:b/>
          <w:bCs/>
          <w:color w:val="auto"/>
          <w:sz w:val="24"/>
        </w:rPr>
        <w:t>4.2.3在单一品目的货物采购招标中，同一品牌同一型号的产品有多家供应商参加采购，只能按照一家供应商计算。</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4.2.4同一分包的货物，制造商参与采购的，不得再委托代理商参与采购。</w:t>
      </w:r>
    </w:p>
    <w:p>
      <w:pPr>
        <w:pStyle w:val="34"/>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5、回避。政府采购活动中，采购人员及相关人员与供应商有下列利害关系之一的，应当回避：</w:t>
      </w:r>
    </w:p>
    <w:p>
      <w:pPr>
        <w:pStyle w:val="34"/>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5.1参加采购活动前3年内与供应商存在劳动关系；</w:t>
      </w:r>
    </w:p>
    <w:p>
      <w:pPr>
        <w:pStyle w:val="34"/>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5.2参加采购活动前3年内担任供应商的董事、监事；</w:t>
      </w:r>
    </w:p>
    <w:p>
      <w:pPr>
        <w:pStyle w:val="34"/>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5.3参加采购活动前3年内是供应商的控股股东或者实际控制人；</w:t>
      </w:r>
    </w:p>
    <w:p>
      <w:pPr>
        <w:pStyle w:val="34"/>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5.4与供应商的法定代表人或者负责人有夫妻、直系血亲、三代以内旁系血亲或者近姻亲关系；</w:t>
      </w:r>
    </w:p>
    <w:p>
      <w:pPr>
        <w:pStyle w:val="34"/>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5.5与供应商有其他可能影响政府采购活动公平、公正进行的关系。</w:t>
      </w:r>
    </w:p>
    <w:p>
      <w:pPr>
        <w:pStyle w:val="34"/>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hAnsi="宋体" w:cs="宋体"/>
          <w:color w:val="auto"/>
          <w:kern w:val="2"/>
          <w:sz w:val="24"/>
          <w:szCs w:val="24"/>
          <w:lang w:eastAsia="zh-CN"/>
        </w:rPr>
        <w:t>评标</w:t>
      </w:r>
      <w:r>
        <w:rPr>
          <w:rFonts w:hint="eastAsia" w:hAnsi="宋体" w:cs="宋体"/>
          <w:color w:val="auto"/>
          <w:kern w:val="2"/>
          <w:sz w:val="24"/>
          <w:szCs w:val="24"/>
        </w:rPr>
        <w:t>小组成员。</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1"/>
        <w:spacing w:line="360" w:lineRule="auto"/>
        <w:ind w:firstLine="480" w:firstLineChars="200"/>
        <w:rPr>
          <w:rFonts w:hAnsi="宋体" w:cs="宋体"/>
          <w:color w:val="auto"/>
          <w:sz w:val="24"/>
        </w:rPr>
      </w:pPr>
      <w:bookmarkStart w:id="58" w:name="_Toc233274816"/>
      <w:bookmarkStart w:id="59" w:name="_Toc243907576"/>
      <w:bookmarkStart w:id="60" w:name="_Toc245897276"/>
      <w:bookmarkStart w:id="61" w:name="_Toc243906316"/>
      <w:r>
        <w:rPr>
          <w:rFonts w:hint="eastAsia" w:hAnsi="宋体" w:cs="宋体"/>
          <w:color w:val="auto"/>
          <w:sz w:val="24"/>
        </w:rPr>
        <w:t>6、实地考察和费用</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6.1实地考察</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采购人不组织统一实地考察。供应商须对采购项目的现场及采购项目所涉及的国家、自治区、克拉玛依地区、相关部门等与此相关的政策进行充分的调查、研究，参观并考察项目情况及其周围环境（包括当地气候条件及自然环境等）以取得所有与准备</w:t>
      </w:r>
      <w:r>
        <w:rPr>
          <w:rFonts w:hint="eastAsia" w:hAnsi="宋体" w:cs="宋体"/>
          <w:color w:val="auto"/>
          <w:sz w:val="24"/>
          <w:szCs w:val="24"/>
          <w:lang w:eastAsia="zh-CN"/>
        </w:rPr>
        <w:t>投标</w:t>
      </w:r>
      <w:r>
        <w:rPr>
          <w:rFonts w:hint="eastAsia" w:hAnsi="宋体" w:cs="宋体"/>
          <w:color w:val="auto"/>
          <w:sz w:val="24"/>
          <w:szCs w:val="24"/>
        </w:rPr>
        <w:t>和实施</w:t>
      </w:r>
      <w:r>
        <w:rPr>
          <w:rFonts w:hint="eastAsia" w:hAnsi="宋体" w:cs="宋体"/>
          <w:color w:val="auto"/>
          <w:sz w:val="24"/>
          <w:szCs w:val="24"/>
          <w:lang w:eastAsia="zh-CN"/>
        </w:rPr>
        <w:t>投标</w:t>
      </w:r>
      <w:r>
        <w:rPr>
          <w:rFonts w:hint="eastAsia" w:hAnsi="宋体" w:cs="宋体"/>
          <w:color w:val="auto"/>
          <w:sz w:val="24"/>
          <w:szCs w:val="24"/>
        </w:rPr>
        <w:t>有关的必要资料及信息。实地考察所发生的任何费用均由供应商自理。</w:t>
      </w:r>
    </w:p>
    <w:p>
      <w:pPr>
        <w:pStyle w:val="11"/>
        <w:spacing w:line="360" w:lineRule="auto"/>
        <w:ind w:firstLine="480" w:firstLineChars="200"/>
        <w:rPr>
          <w:rFonts w:hAnsi="宋体" w:cs="宋体"/>
          <w:color w:val="auto"/>
          <w:sz w:val="24"/>
        </w:rPr>
      </w:pPr>
      <w:r>
        <w:rPr>
          <w:rFonts w:hint="eastAsia" w:hAnsi="宋体" w:cs="宋体"/>
          <w:color w:val="auto"/>
          <w:sz w:val="24"/>
        </w:rPr>
        <w:t>6.2参与</w:t>
      </w:r>
      <w:r>
        <w:rPr>
          <w:rFonts w:hint="eastAsia" w:hAnsi="宋体" w:cs="宋体"/>
          <w:color w:val="auto"/>
          <w:sz w:val="24"/>
          <w:lang w:eastAsia="zh-CN"/>
        </w:rPr>
        <w:t>投标</w:t>
      </w:r>
      <w:r>
        <w:rPr>
          <w:rFonts w:hint="eastAsia" w:hAnsi="宋体" w:cs="宋体"/>
          <w:color w:val="auto"/>
          <w:sz w:val="24"/>
        </w:rPr>
        <w:t>费用</w:t>
      </w:r>
    </w:p>
    <w:p>
      <w:pPr>
        <w:pStyle w:val="11"/>
        <w:spacing w:line="360" w:lineRule="auto"/>
        <w:ind w:firstLine="480" w:firstLineChars="200"/>
        <w:rPr>
          <w:rFonts w:hAnsi="宋体" w:cs="宋体"/>
          <w:color w:val="auto"/>
          <w:sz w:val="24"/>
        </w:rPr>
      </w:pPr>
      <w:r>
        <w:rPr>
          <w:rFonts w:hint="eastAsia" w:hAnsi="宋体" w:cs="宋体"/>
          <w:color w:val="auto"/>
          <w:sz w:val="24"/>
        </w:rPr>
        <w:t>6.2.1供应商应承担所有与</w:t>
      </w:r>
      <w:r>
        <w:rPr>
          <w:rFonts w:hint="eastAsia" w:hAnsi="宋体" w:cs="宋体"/>
          <w:color w:val="auto"/>
          <w:sz w:val="24"/>
          <w:lang w:eastAsia="zh-CN"/>
        </w:rPr>
        <w:t>投标</w:t>
      </w:r>
      <w:r>
        <w:rPr>
          <w:rFonts w:hint="eastAsia" w:hAnsi="宋体" w:cs="宋体"/>
          <w:color w:val="auto"/>
          <w:sz w:val="24"/>
        </w:rPr>
        <w:t>准备和</w:t>
      </w:r>
      <w:r>
        <w:rPr>
          <w:rFonts w:hint="eastAsia" w:hAnsi="宋体" w:cs="宋体"/>
          <w:color w:val="auto"/>
          <w:sz w:val="24"/>
          <w:lang w:eastAsia="zh-CN"/>
        </w:rPr>
        <w:t>投标</w:t>
      </w:r>
      <w:r>
        <w:rPr>
          <w:rFonts w:hint="eastAsia" w:hAnsi="宋体" w:cs="宋体"/>
          <w:color w:val="auto"/>
          <w:sz w:val="24"/>
        </w:rPr>
        <w:t>有关的全部费用，不论</w:t>
      </w:r>
      <w:r>
        <w:rPr>
          <w:rFonts w:hint="eastAsia" w:hAnsi="宋体" w:cs="宋体"/>
          <w:color w:val="auto"/>
          <w:sz w:val="24"/>
          <w:lang w:eastAsia="zh-CN"/>
        </w:rPr>
        <w:t>投标</w:t>
      </w:r>
      <w:r>
        <w:rPr>
          <w:rFonts w:hint="eastAsia" w:hAnsi="宋体" w:cs="宋体"/>
          <w:color w:val="auto"/>
          <w:sz w:val="24"/>
        </w:rPr>
        <w:t>结果如何，采购人和采购代理机构无义务和责任承担供应商所发生的一切费用。</w:t>
      </w:r>
    </w:p>
    <w:p>
      <w:pPr>
        <w:pStyle w:val="11"/>
        <w:spacing w:line="360" w:lineRule="auto"/>
        <w:ind w:firstLine="480" w:firstLineChars="200"/>
        <w:rPr>
          <w:rFonts w:hAnsi="宋体" w:cs="宋体"/>
          <w:color w:val="auto"/>
          <w:sz w:val="24"/>
        </w:rPr>
      </w:pPr>
      <w:r>
        <w:rPr>
          <w:rFonts w:hint="eastAsia" w:hAnsi="宋体" w:cs="宋体"/>
          <w:color w:val="auto"/>
          <w:sz w:val="24"/>
        </w:rPr>
        <w:t>6.2.2供应商在</w:t>
      </w:r>
      <w:r>
        <w:rPr>
          <w:rFonts w:hint="eastAsia" w:hAnsi="宋体" w:cs="宋体"/>
          <w:color w:val="auto"/>
          <w:sz w:val="24"/>
          <w:lang w:eastAsia="zh-CN"/>
        </w:rPr>
        <w:t>投标</w:t>
      </w:r>
      <w:r>
        <w:rPr>
          <w:rFonts w:hint="eastAsia" w:hAnsi="宋体" w:cs="宋体"/>
          <w:color w:val="auto"/>
          <w:sz w:val="24"/>
        </w:rPr>
        <w:t>准备、实地考察和</w:t>
      </w:r>
      <w:r>
        <w:rPr>
          <w:rFonts w:hint="eastAsia" w:hAnsi="宋体" w:cs="宋体"/>
          <w:color w:val="auto"/>
          <w:sz w:val="24"/>
          <w:lang w:eastAsia="zh-CN"/>
        </w:rPr>
        <w:t>投标</w:t>
      </w:r>
      <w:r>
        <w:rPr>
          <w:rFonts w:hint="eastAsia" w:hAnsi="宋体" w:cs="宋体"/>
          <w:color w:val="auto"/>
          <w:sz w:val="24"/>
        </w:rPr>
        <w:t>的全过程中，如果发生人身伤亡、财物或其它任何损失，不论何种原因所造成，均由供应商自行承担全部责任和损失。</w:t>
      </w:r>
    </w:p>
    <w:p>
      <w:pPr>
        <w:pStyle w:val="11"/>
        <w:spacing w:line="360" w:lineRule="auto"/>
        <w:ind w:firstLine="480" w:firstLineChars="200"/>
        <w:rPr>
          <w:rFonts w:hAnsi="宋体" w:cs="宋体"/>
          <w:color w:val="auto"/>
          <w:sz w:val="24"/>
          <w:lang w:val="zh-CN"/>
        </w:rPr>
      </w:pPr>
      <w:r>
        <w:rPr>
          <w:rFonts w:hint="eastAsia" w:hAnsi="宋体" w:cs="宋体"/>
          <w:color w:val="auto"/>
          <w:sz w:val="24"/>
        </w:rPr>
        <w:t>7</w:t>
      </w:r>
      <w:r>
        <w:rPr>
          <w:rFonts w:hint="eastAsia" w:hAnsi="宋体" w:cs="宋体"/>
          <w:color w:val="auto"/>
          <w:sz w:val="24"/>
          <w:lang w:val="zh-CN"/>
        </w:rPr>
        <w:t>、法律适用</w:t>
      </w:r>
      <w:bookmarkEnd w:id="58"/>
      <w:bookmarkEnd w:id="59"/>
      <w:bookmarkEnd w:id="60"/>
      <w:bookmarkEnd w:id="61"/>
    </w:p>
    <w:p>
      <w:pPr>
        <w:pStyle w:val="11"/>
        <w:spacing w:line="360" w:lineRule="auto"/>
        <w:ind w:firstLine="480" w:firstLineChars="200"/>
        <w:rPr>
          <w:rFonts w:hAnsi="宋体" w:cs="宋体"/>
          <w:color w:val="auto"/>
          <w:sz w:val="24"/>
          <w:lang w:val="zh-CN"/>
        </w:rPr>
      </w:pPr>
      <w:r>
        <w:rPr>
          <w:rFonts w:hint="eastAsia" w:hAnsi="宋体" w:cs="宋体"/>
          <w:color w:val="auto"/>
          <w:sz w:val="24"/>
        </w:rPr>
        <w:t>7</w:t>
      </w:r>
      <w:r>
        <w:rPr>
          <w:rFonts w:hint="eastAsia" w:hAnsi="宋体" w:cs="宋体"/>
          <w:color w:val="auto"/>
          <w:sz w:val="24"/>
          <w:lang w:val="zh-CN"/>
        </w:rPr>
        <w:t>.1本次</w:t>
      </w:r>
      <w:r>
        <w:rPr>
          <w:rFonts w:hint="eastAsia" w:hAnsi="宋体" w:cs="宋体"/>
          <w:color w:val="auto"/>
          <w:sz w:val="24"/>
          <w:lang w:eastAsia="zh-CN"/>
        </w:rPr>
        <w:t>投标</w:t>
      </w:r>
      <w:r>
        <w:rPr>
          <w:rFonts w:hint="eastAsia" w:hAnsi="宋体" w:cs="宋体"/>
          <w:color w:val="auto"/>
          <w:sz w:val="24"/>
          <w:lang w:val="zh-CN"/>
        </w:rPr>
        <w:t>活动及由本次</w:t>
      </w:r>
      <w:r>
        <w:rPr>
          <w:rFonts w:hint="eastAsia" w:hAnsi="宋体" w:cs="宋体"/>
          <w:color w:val="auto"/>
          <w:sz w:val="24"/>
          <w:lang w:eastAsia="zh-CN"/>
        </w:rPr>
        <w:t>投标</w:t>
      </w:r>
      <w:r>
        <w:rPr>
          <w:rFonts w:hint="eastAsia" w:hAnsi="宋体" w:cs="宋体"/>
          <w:color w:val="auto"/>
          <w:sz w:val="24"/>
          <w:lang w:val="zh-CN"/>
        </w:rPr>
        <w:t>产生的合同受中国法律制约和保护。</w:t>
      </w:r>
    </w:p>
    <w:p>
      <w:pPr>
        <w:pStyle w:val="11"/>
        <w:spacing w:line="360" w:lineRule="auto"/>
        <w:ind w:firstLine="480" w:firstLineChars="200"/>
        <w:rPr>
          <w:rFonts w:hAnsi="宋体" w:cs="宋体"/>
          <w:color w:val="auto"/>
          <w:sz w:val="24"/>
          <w:lang w:val="zh-CN"/>
        </w:rPr>
      </w:pPr>
      <w:bookmarkStart w:id="62" w:name="_Toc245897277"/>
      <w:bookmarkStart w:id="63" w:name="_Toc233274817"/>
      <w:bookmarkStart w:id="64" w:name="_Toc243906317"/>
      <w:bookmarkStart w:id="65" w:name="_Toc243907577"/>
      <w:r>
        <w:rPr>
          <w:rFonts w:hint="eastAsia" w:hAnsi="宋体" w:cs="宋体"/>
          <w:color w:val="auto"/>
          <w:sz w:val="24"/>
        </w:rPr>
        <w:t>8</w:t>
      </w:r>
      <w:r>
        <w:rPr>
          <w:rFonts w:hint="eastAsia" w:hAnsi="宋体" w:cs="宋体"/>
          <w:color w:val="auto"/>
          <w:sz w:val="24"/>
          <w:lang w:val="zh-CN"/>
        </w:rPr>
        <w:t>、招标文件的约束力</w:t>
      </w:r>
      <w:bookmarkEnd w:id="62"/>
      <w:bookmarkEnd w:id="63"/>
      <w:bookmarkEnd w:id="64"/>
      <w:bookmarkEnd w:id="65"/>
    </w:p>
    <w:p>
      <w:pPr>
        <w:pStyle w:val="11"/>
        <w:spacing w:line="360" w:lineRule="auto"/>
        <w:ind w:firstLine="480" w:firstLineChars="200"/>
        <w:rPr>
          <w:rFonts w:hAnsi="宋体" w:cs="宋体"/>
          <w:color w:val="auto"/>
          <w:sz w:val="24"/>
          <w:lang w:val="zh-CN"/>
        </w:rPr>
      </w:pPr>
      <w:r>
        <w:rPr>
          <w:rFonts w:hint="eastAsia" w:hAnsi="宋体" w:cs="宋体"/>
          <w:color w:val="auto"/>
          <w:sz w:val="24"/>
        </w:rPr>
        <w:t>8</w:t>
      </w:r>
      <w:r>
        <w:rPr>
          <w:rFonts w:hint="eastAsia" w:hAnsi="宋体" w:cs="宋体"/>
          <w:color w:val="auto"/>
          <w:sz w:val="24"/>
          <w:lang w:val="zh-CN"/>
        </w:rPr>
        <w:t>.1供应商若中标，即被认为接受了本招标文件中的所有条件和规定。是采购人与中标供应商签订合同的依据且是合同的组成部分。</w:t>
      </w:r>
    </w:p>
    <w:p>
      <w:pPr>
        <w:pStyle w:val="11"/>
        <w:spacing w:line="360" w:lineRule="auto"/>
        <w:rPr>
          <w:rFonts w:hAnsi="宋体" w:cs="宋体"/>
          <w:b/>
          <w:bCs/>
          <w:color w:val="auto"/>
          <w:sz w:val="28"/>
          <w:szCs w:val="28"/>
        </w:rPr>
      </w:pPr>
      <w:r>
        <w:rPr>
          <w:rFonts w:hint="eastAsia" w:hAnsi="宋体" w:cs="宋体"/>
          <w:b/>
          <w:bCs/>
          <w:color w:val="auto"/>
          <w:sz w:val="28"/>
          <w:szCs w:val="28"/>
        </w:rPr>
        <w:t>二、</w:t>
      </w:r>
      <w:r>
        <w:rPr>
          <w:rFonts w:hint="eastAsia" w:hAnsi="宋体" w:cs="宋体"/>
          <w:b/>
          <w:bCs/>
          <w:color w:val="auto"/>
          <w:sz w:val="28"/>
          <w:szCs w:val="28"/>
          <w:lang w:eastAsia="zh-CN"/>
        </w:rPr>
        <w:t>招标</w:t>
      </w:r>
      <w:r>
        <w:rPr>
          <w:rFonts w:hint="eastAsia" w:hAnsi="宋体" w:cs="宋体"/>
          <w:b/>
          <w:bCs/>
          <w:color w:val="auto"/>
          <w:sz w:val="28"/>
          <w:szCs w:val="28"/>
        </w:rPr>
        <w:t>文件</w:t>
      </w:r>
    </w:p>
    <w:p>
      <w:pPr>
        <w:pStyle w:val="11"/>
        <w:spacing w:line="360" w:lineRule="auto"/>
        <w:ind w:firstLine="480" w:firstLineChars="200"/>
        <w:rPr>
          <w:rFonts w:hAnsi="宋体" w:cs="宋体"/>
          <w:color w:val="auto"/>
          <w:sz w:val="24"/>
        </w:rPr>
      </w:pPr>
      <w:bookmarkStart w:id="66" w:name="_Toc246216188"/>
      <w:bookmarkStart w:id="67" w:name="_Toc233274819"/>
      <w:bookmarkStart w:id="68" w:name="_Toc243907579"/>
      <w:bookmarkStart w:id="69" w:name="_Toc243906319"/>
      <w:r>
        <w:rPr>
          <w:rFonts w:hint="eastAsia" w:hAnsi="宋体" w:cs="宋体"/>
          <w:color w:val="auto"/>
          <w:sz w:val="24"/>
        </w:rPr>
        <w:t>9、</w:t>
      </w:r>
      <w:r>
        <w:rPr>
          <w:rFonts w:hint="eastAsia" w:hAnsi="宋体" w:cs="宋体"/>
          <w:color w:val="auto"/>
          <w:sz w:val="24"/>
          <w:lang w:eastAsia="zh-CN"/>
        </w:rPr>
        <w:t>招标</w:t>
      </w:r>
      <w:r>
        <w:rPr>
          <w:rFonts w:hint="eastAsia" w:hAnsi="宋体" w:cs="宋体"/>
          <w:color w:val="auto"/>
          <w:sz w:val="24"/>
        </w:rPr>
        <w:t>文件的组成</w:t>
      </w:r>
      <w:bookmarkEnd w:id="66"/>
      <w:bookmarkEnd w:id="67"/>
      <w:bookmarkEnd w:id="68"/>
      <w:bookmarkEnd w:id="69"/>
    </w:p>
    <w:p>
      <w:pPr>
        <w:pStyle w:val="11"/>
        <w:spacing w:line="360" w:lineRule="auto"/>
        <w:ind w:firstLine="480" w:firstLineChars="200"/>
        <w:rPr>
          <w:rFonts w:hAnsi="宋体" w:cs="宋体"/>
          <w:color w:val="auto"/>
          <w:sz w:val="24"/>
        </w:rPr>
      </w:pPr>
      <w:r>
        <w:rPr>
          <w:rFonts w:hint="eastAsia" w:hAnsi="宋体" w:cs="宋体"/>
          <w:color w:val="auto"/>
          <w:sz w:val="24"/>
        </w:rPr>
        <w:t>9.1 本</w:t>
      </w:r>
      <w:r>
        <w:rPr>
          <w:rFonts w:hint="eastAsia" w:hAnsi="宋体" w:cs="宋体"/>
          <w:color w:val="auto"/>
          <w:sz w:val="24"/>
          <w:lang w:eastAsia="zh-CN"/>
        </w:rPr>
        <w:t>招标</w:t>
      </w:r>
      <w:r>
        <w:rPr>
          <w:rFonts w:hint="eastAsia" w:hAnsi="宋体" w:cs="宋体"/>
          <w:color w:val="auto"/>
          <w:sz w:val="24"/>
        </w:rPr>
        <w:t>文件是对</w:t>
      </w:r>
      <w:r>
        <w:rPr>
          <w:rFonts w:hint="eastAsia" w:hAnsi="宋体" w:cs="宋体"/>
          <w:color w:val="auto"/>
          <w:sz w:val="24"/>
          <w:lang w:eastAsia="zh-CN"/>
        </w:rPr>
        <w:t>克拉玛依市第三人民医院电子病历系统项目招标</w:t>
      </w:r>
      <w:r>
        <w:rPr>
          <w:rFonts w:hint="eastAsia" w:hAnsi="宋体" w:cs="宋体"/>
          <w:color w:val="auto"/>
          <w:sz w:val="24"/>
        </w:rPr>
        <w:t>程序、合同条款进行说明。</w:t>
      </w:r>
      <w:r>
        <w:rPr>
          <w:rFonts w:hint="eastAsia" w:hAnsi="宋体" w:cs="宋体"/>
          <w:color w:val="auto"/>
          <w:sz w:val="24"/>
          <w:lang w:eastAsia="zh-CN"/>
        </w:rPr>
        <w:t>招标</w:t>
      </w:r>
      <w:r>
        <w:rPr>
          <w:rFonts w:hint="eastAsia" w:hAnsi="宋体" w:cs="宋体"/>
          <w:color w:val="auto"/>
          <w:sz w:val="24"/>
        </w:rPr>
        <w:t>文件包括下列内容：</w:t>
      </w:r>
    </w:p>
    <w:p>
      <w:pPr>
        <w:pStyle w:val="11"/>
        <w:spacing w:line="360" w:lineRule="auto"/>
        <w:ind w:firstLine="480" w:firstLineChars="200"/>
        <w:rPr>
          <w:rFonts w:hint="eastAsia" w:hAnsi="宋体" w:cs="宋体"/>
          <w:color w:val="auto"/>
          <w:sz w:val="24"/>
        </w:rPr>
      </w:pPr>
      <w:r>
        <w:rPr>
          <w:rFonts w:hint="eastAsia" w:hAnsi="宋体" w:cs="宋体"/>
          <w:color w:val="auto"/>
          <w:sz w:val="24"/>
        </w:rPr>
        <w:t>第一章、</w:t>
      </w:r>
      <w:r>
        <w:rPr>
          <w:rFonts w:hint="eastAsia" w:hAnsi="宋体" w:cs="宋体"/>
          <w:color w:val="auto"/>
          <w:sz w:val="24"/>
          <w:lang w:eastAsia="zh-CN"/>
        </w:rPr>
        <w:t>招标</w:t>
      </w:r>
      <w:r>
        <w:rPr>
          <w:rFonts w:hint="eastAsia" w:hAnsi="宋体" w:cs="宋体"/>
          <w:color w:val="auto"/>
          <w:sz w:val="24"/>
        </w:rPr>
        <w:t>公告</w:t>
      </w:r>
    </w:p>
    <w:p>
      <w:pPr>
        <w:pStyle w:val="11"/>
        <w:spacing w:line="360" w:lineRule="auto"/>
        <w:ind w:firstLine="480" w:firstLineChars="200"/>
        <w:rPr>
          <w:rFonts w:hint="eastAsia" w:hAnsi="宋体" w:cs="宋体"/>
          <w:color w:val="auto"/>
          <w:sz w:val="24"/>
        </w:rPr>
      </w:pPr>
      <w:r>
        <w:rPr>
          <w:rFonts w:hint="eastAsia" w:hAnsi="宋体" w:cs="宋体"/>
          <w:color w:val="auto"/>
          <w:sz w:val="24"/>
        </w:rPr>
        <w:t>第二章、供应商须知</w:t>
      </w:r>
    </w:p>
    <w:p>
      <w:pPr>
        <w:pStyle w:val="11"/>
        <w:spacing w:line="360" w:lineRule="auto"/>
        <w:ind w:firstLine="480" w:firstLineChars="200"/>
        <w:rPr>
          <w:rFonts w:hint="eastAsia" w:hAnsi="宋体" w:cs="宋体"/>
          <w:color w:val="auto"/>
          <w:sz w:val="24"/>
        </w:rPr>
      </w:pPr>
      <w:r>
        <w:rPr>
          <w:rFonts w:hint="eastAsia" w:hAnsi="宋体" w:cs="宋体"/>
          <w:color w:val="auto"/>
          <w:sz w:val="24"/>
        </w:rPr>
        <w:t>第三章、项目采购需求</w:t>
      </w:r>
    </w:p>
    <w:p>
      <w:pPr>
        <w:pStyle w:val="11"/>
        <w:spacing w:line="360" w:lineRule="auto"/>
        <w:ind w:firstLine="480" w:firstLineChars="200"/>
        <w:rPr>
          <w:rFonts w:hint="eastAsia" w:hAnsi="宋体" w:cs="宋体"/>
          <w:color w:val="auto"/>
          <w:sz w:val="24"/>
        </w:rPr>
      </w:pPr>
      <w:r>
        <w:rPr>
          <w:rFonts w:hint="eastAsia" w:hAnsi="宋体" w:cs="宋体"/>
          <w:color w:val="auto"/>
          <w:sz w:val="24"/>
        </w:rPr>
        <w:t>第四章、合同协议书</w:t>
      </w:r>
    </w:p>
    <w:p>
      <w:pPr>
        <w:pStyle w:val="11"/>
        <w:spacing w:line="360" w:lineRule="auto"/>
        <w:ind w:firstLine="480" w:firstLineChars="200"/>
        <w:rPr>
          <w:rFonts w:hint="eastAsia" w:hAnsi="宋体" w:cs="宋体"/>
          <w:color w:val="auto"/>
          <w:sz w:val="24"/>
        </w:rPr>
      </w:pPr>
      <w:r>
        <w:rPr>
          <w:rFonts w:hint="eastAsia" w:hAnsi="宋体" w:cs="宋体"/>
          <w:color w:val="auto"/>
          <w:sz w:val="24"/>
        </w:rPr>
        <w:t>第五章、</w:t>
      </w:r>
      <w:r>
        <w:rPr>
          <w:rFonts w:hint="eastAsia" w:hAnsi="宋体" w:cs="宋体"/>
          <w:color w:val="auto"/>
          <w:sz w:val="24"/>
          <w:lang w:eastAsia="zh-CN"/>
        </w:rPr>
        <w:t>投标文件</w:t>
      </w:r>
      <w:r>
        <w:rPr>
          <w:rFonts w:hint="eastAsia" w:hAnsi="宋体" w:cs="宋体"/>
          <w:color w:val="auto"/>
          <w:sz w:val="24"/>
        </w:rPr>
        <w:t>格式</w:t>
      </w:r>
    </w:p>
    <w:p>
      <w:pPr>
        <w:pStyle w:val="11"/>
        <w:spacing w:line="360" w:lineRule="auto"/>
        <w:ind w:firstLine="480" w:firstLineChars="200"/>
        <w:rPr>
          <w:rFonts w:hAnsi="宋体" w:cs="宋体"/>
          <w:color w:val="auto"/>
          <w:sz w:val="24"/>
        </w:rPr>
      </w:pPr>
      <w:r>
        <w:rPr>
          <w:rFonts w:hint="eastAsia" w:hAnsi="宋体" w:cs="宋体"/>
          <w:color w:val="auto"/>
          <w:sz w:val="24"/>
        </w:rPr>
        <w:t>第六章、评标标准（综合评估法）</w:t>
      </w:r>
    </w:p>
    <w:p>
      <w:pPr>
        <w:pStyle w:val="11"/>
        <w:spacing w:line="360" w:lineRule="auto"/>
        <w:ind w:firstLine="480" w:firstLineChars="200"/>
        <w:rPr>
          <w:rFonts w:hAnsi="宋体" w:cs="宋体"/>
          <w:color w:val="auto"/>
          <w:sz w:val="24"/>
        </w:rPr>
      </w:pPr>
      <w:r>
        <w:rPr>
          <w:rFonts w:hint="eastAsia" w:hAnsi="宋体" w:cs="宋体"/>
          <w:color w:val="auto"/>
          <w:sz w:val="24"/>
        </w:rPr>
        <w:t xml:space="preserve">9.2 </w:t>
      </w:r>
      <w:r>
        <w:rPr>
          <w:rFonts w:hint="eastAsia" w:hAnsi="宋体" w:cs="宋体"/>
          <w:color w:val="auto"/>
          <w:sz w:val="24"/>
          <w:lang w:eastAsia="zh-CN"/>
        </w:rPr>
        <w:t>招标</w:t>
      </w:r>
      <w:r>
        <w:rPr>
          <w:rFonts w:hint="eastAsia" w:hAnsi="宋体" w:cs="宋体"/>
          <w:color w:val="auto"/>
          <w:sz w:val="24"/>
        </w:rPr>
        <w:t>文件以中文编印，以中文文本为准。</w:t>
      </w:r>
    </w:p>
    <w:p>
      <w:pPr>
        <w:pStyle w:val="11"/>
        <w:spacing w:line="360" w:lineRule="auto"/>
        <w:ind w:firstLine="480" w:firstLineChars="200"/>
        <w:rPr>
          <w:rFonts w:hAnsi="宋体" w:cs="宋体"/>
          <w:color w:val="auto"/>
          <w:sz w:val="24"/>
        </w:rPr>
      </w:pPr>
      <w:r>
        <w:rPr>
          <w:rFonts w:hint="eastAsia" w:hAnsi="宋体" w:cs="宋体"/>
          <w:color w:val="auto"/>
          <w:sz w:val="24"/>
        </w:rPr>
        <w:t>9.3 除非有特殊要求，</w:t>
      </w:r>
      <w:r>
        <w:rPr>
          <w:rFonts w:hint="eastAsia" w:hAnsi="宋体" w:cs="宋体"/>
          <w:color w:val="auto"/>
          <w:sz w:val="24"/>
          <w:lang w:eastAsia="zh-CN"/>
        </w:rPr>
        <w:t>招标</w:t>
      </w:r>
      <w:r>
        <w:rPr>
          <w:rFonts w:hint="eastAsia" w:hAnsi="宋体" w:cs="宋体"/>
          <w:color w:val="auto"/>
          <w:sz w:val="24"/>
        </w:rPr>
        <w:t>文件不单独提供采购项目使用地的自然环境、气候条件、劳动力及公用设施等情况，供应商被视为熟悉上述条件或若</w:t>
      </w:r>
      <w:r>
        <w:rPr>
          <w:rFonts w:hint="eastAsia" w:hAnsi="宋体" w:cs="宋体"/>
          <w:color w:val="auto"/>
          <w:sz w:val="24"/>
          <w:lang w:val="zh-CN"/>
        </w:rPr>
        <w:t>中标</w:t>
      </w:r>
      <w:r>
        <w:rPr>
          <w:rFonts w:hint="eastAsia" w:hAnsi="宋体" w:cs="宋体"/>
          <w:color w:val="auto"/>
          <w:sz w:val="24"/>
        </w:rPr>
        <w:t>履行合同有关的一切情况。</w:t>
      </w:r>
    </w:p>
    <w:p>
      <w:pPr>
        <w:pStyle w:val="11"/>
        <w:spacing w:line="360" w:lineRule="auto"/>
        <w:ind w:firstLine="480" w:firstLineChars="200"/>
        <w:rPr>
          <w:rFonts w:hAnsi="宋体" w:cs="宋体"/>
          <w:color w:val="auto"/>
          <w:sz w:val="24"/>
        </w:rPr>
      </w:pPr>
      <w:r>
        <w:rPr>
          <w:rFonts w:hint="eastAsia" w:hAnsi="宋体" w:cs="宋体"/>
          <w:color w:val="auto"/>
          <w:sz w:val="24"/>
        </w:rPr>
        <w:t>9.4采购人向供应商提供的有关数据和资料，是采购人现有的能被供应商利用的资料，供应商对此做出的推论、理解和结论自行负责。</w:t>
      </w:r>
    </w:p>
    <w:p>
      <w:pPr>
        <w:pStyle w:val="11"/>
        <w:spacing w:line="360" w:lineRule="auto"/>
        <w:ind w:firstLine="480" w:firstLineChars="200"/>
        <w:rPr>
          <w:rFonts w:hAnsi="宋体" w:cs="宋体"/>
          <w:color w:val="auto"/>
          <w:sz w:val="24"/>
        </w:rPr>
      </w:pPr>
      <w:bookmarkStart w:id="70" w:name="_Toc243906320"/>
      <w:bookmarkStart w:id="71" w:name="_Toc233274820"/>
      <w:bookmarkStart w:id="72" w:name="_Toc245897280"/>
      <w:bookmarkStart w:id="73" w:name="_Toc243907580"/>
      <w:r>
        <w:rPr>
          <w:rFonts w:hint="eastAsia" w:hAnsi="宋体" w:cs="宋体"/>
          <w:color w:val="auto"/>
          <w:sz w:val="24"/>
        </w:rPr>
        <w:t>10、</w:t>
      </w:r>
      <w:r>
        <w:rPr>
          <w:rFonts w:hint="eastAsia" w:hAnsi="宋体" w:cs="宋体"/>
          <w:color w:val="auto"/>
          <w:sz w:val="24"/>
          <w:lang w:eastAsia="zh-CN"/>
        </w:rPr>
        <w:t>招标</w:t>
      </w:r>
      <w:r>
        <w:rPr>
          <w:rFonts w:hint="eastAsia" w:hAnsi="宋体" w:cs="宋体"/>
          <w:color w:val="auto"/>
          <w:sz w:val="24"/>
        </w:rPr>
        <w:t>文件的澄清</w:t>
      </w:r>
      <w:bookmarkEnd w:id="70"/>
      <w:bookmarkEnd w:id="71"/>
      <w:bookmarkEnd w:id="72"/>
      <w:bookmarkEnd w:id="73"/>
    </w:p>
    <w:p>
      <w:pPr>
        <w:pStyle w:val="11"/>
        <w:spacing w:line="360" w:lineRule="auto"/>
        <w:ind w:firstLine="480" w:firstLineChars="200"/>
        <w:rPr>
          <w:rFonts w:hAnsi="宋体" w:cs="宋体"/>
          <w:color w:val="auto"/>
          <w:sz w:val="24"/>
        </w:rPr>
      </w:pPr>
      <w:r>
        <w:rPr>
          <w:rFonts w:hint="eastAsia" w:hAnsi="宋体" w:cs="宋体"/>
          <w:color w:val="auto"/>
          <w:sz w:val="24"/>
        </w:rPr>
        <w:t>10.1 供应商对</w:t>
      </w:r>
      <w:r>
        <w:rPr>
          <w:rFonts w:hint="eastAsia" w:hAnsi="宋体" w:cs="宋体"/>
          <w:color w:val="auto"/>
          <w:sz w:val="24"/>
          <w:lang w:eastAsia="zh-CN"/>
        </w:rPr>
        <w:t>招标</w:t>
      </w:r>
      <w:r>
        <w:rPr>
          <w:rFonts w:hint="eastAsia" w:hAnsi="宋体" w:cs="宋体"/>
          <w:color w:val="auto"/>
          <w:sz w:val="24"/>
        </w:rPr>
        <w:t>文件如有疑问，可要求澄清，应按</w:t>
      </w:r>
      <w:r>
        <w:rPr>
          <w:rFonts w:hint="eastAsia" w:hAnsi="宋体" w:cs="宋体"/>
          <w:color w:val="auto"/>
          <w:sz w:val="24"/>
          <w:lang w:eastAsia="zh-CN"/>
        </w:rPr>
        <w:t>招标</w:t>
      </w:r>
      <w:r>
        <w:rPr>
          <w:rFonts w:hint="eastAsia" w:hAnsi="宋体" w:cs="宋体"/>
          <w:color w:val="auto"/>
          <w:sz w:val="24"/>
        </w:rPr>
        <w:t>文件“供应商须知前附表第6条”以书面形式（必须加盖供应商公章）送达或传真至采购代理机构（同时将疑问电子版发至</w:t>
      </w:r>
      <w:r>
        <w:rPr>
          <w:rFonts w:hint="eastAsia" w:hAnsi="宋体" w:cs="宋体"/>
          <w:color w:val="auto"/>
          <w:sz w:val="24"/>
          <w:lang w:val="en-US" w:eastAsia="zh-CN"/>
        </w:rPr>
        <w:t>353715545</w:t>
      </w:r>
      <w:r>
        <w:rPr>
          <w:rFonts w:hint="eastAsia" w:hAnsi="宋体" w:cs="宋体"/>
          <w:color w:val="auto"/>
          <w:sz w:val="24"/>
        </w:rPr>
        <w:t>@qq.com）。采购人和采购代理机构将视情况予以答复，并发至</w:t>
      </w:r>
      <w:r>
        <w:rPr>
          <w:rFonts w:hint="eastAsia" w:hAnsi="宋体" w:cs="宋体"/>
          <w:color w:val="auto"/>
          <w:sz w:val="24"/>
          <w:lang w:val="en-US" w:eastAsia="zh-CN"/>
        </w:rPr>
        <w:t>新疆政府采购网政采云平台</w:t>
      </w:r>
      <w:r>
        <w:rPr>
          <w:rFonts w:hint="eastAsia" w:hAnsi="宋体" w:cs="宋体"/>
          <w:color w:val="auto"/>
          <w:sz w:val="24"/>
          <w:lang w:eastAsia="zh-CN"/>
        </w:rPr>
        <w:t>各</w:t>
      </w:r>
      <w:r>
        <w:rPr>
          <w:rFonts w:hint="eastAsia" w:hAnsi="宋体" w:cs="宋体"/>
          <w:color w:val="auto"/>
          <w:sz w:val="24"/>
        </w:rPr>
        <w:t>位供应商</w:t>
      </w:r>
      <w:r>
        <w:rPr>
          <w:rFonts w:hint="eastAsia" w:hAnsi="宋体" w:cs="宋体"/>
          <w:color w:val="auto"/>
          <w:sz w:val="24"/>
          <w:lang w:val="en-US" w:eastAsia="zh-CN"/>
        </w:rPr>
        <w:t>自行登录网站查阅。</w:t>
      </w:r>
      <w:r>
        <w:rPr>
          <w:rFonts w:hint="eastAsia" w:hAnsi="宋体" w:cs="宋体"/>
          <w:color w:val="auto"/>
          <w:sz w:val="24"/>
        </w:rPr>
        <w:t>答复中包括所提问题，但不包括问题的来源。</w:t>
      </w:r>
    </w:p>
    <w:p>
      <w:pPr>
        <w:pStyle w:val="11"/>
        <w:spacing w:line="360" w:lineRule="auto"/>
        <w:ind w:firstLine="480" w:firstLineChars="200"/>
        <w:rPr>
          <w:rFonts w:hAnsi="宋体" w:cs="宋体"/>
          <w:color w:val="auto"/>
          <w:sz w:val="24"/>
        </w:rPr>
      </w:pPr>
      <w:r>
        <w:rPr>
          <w:rFonts w:hint="eastAsia" w:hAnsi="宋体" w:cs="宋体"/>
          <w:color w:val="auto"/>
          <w:sz w:val="24"/>
        </w:rPr>
        <w:t>10.2 如果上述答复涉及对</w:t>
      </w:r>
      <w:r>
        <w:rPr>
          <w:rFonts w:hint="eastAsia" w:hAnsi="宋体" w:cs="宋体"/>
          <w:color w:val="auto"/>
          <w:sz w:val="24"/>
          <w:lang w:eastAsia="zh-CN"/>
        </w:rPr>
        <w:t>招标</w:t>
      </w:r>
      <w:r>
        <w:rPr>
          <w:rFonts w:hint="eastAsia" w:hAnsi="宋体" w:cs="宋体"/>
          <w:color w:val="auto"/>
          <w:sz w:val="24"/>
        </w:rPr>
        <w:t>文件的修改或补充，则它将被视为</w:t>
      </w:r>
      <w:r>
        <w:rPr>
          <w:rFonts w:hint="eastAsia" w:hAnsi="宋体" w:cs="宋体"/>
          <w:color w:val="auto"/>
          <w:sz w:val="24"/>
          <w:lang w:eastAsia="zh-CN"/>
        </w:rPr>
        <w:t>招标</w:t>
      </w:r>
      <w:r>
        <w:rPr>
          <w:rFonts w:hint="eastAsia" w:hAnsi="宋体" w:cs="宋体"/>
          <w:color w:val="auto"/>
          <w:sz w:val="24"/>
        </w:rPr>
        <w:t>文件的组成部分。凡原先所发</w:t>
      </w:r>
      <w:r>
        <w:rPr>
          <w:rFonts w:hint="eastAsia" w:hAnsi="宋体" w:cs="宋体"/>
          <w:color w:val="auto"/>
          <w:sz w:val="24"/>
          <w:lang w:eastAsia="zh-CN"/>
        </w:rPr>
        <w:t>招标</w:t>
      </w:r>
      <w:r>
        <w:rPr>
          <w:rFonts w:hint="eastAsia" w:hAnsi="宋体" w:cs="宋体"/>
          <w:color w:val="auto"/>
          <w:sz w:val="24"/>
        </w:rPr>
        <w:t>文件中的内容与答复中的内容不一致之处，以最后</w:t>
      </w:r>
      <w:r>
        <w:rPr>
          <w:rFonts w:hint="eastAsia" w:hAnsi="宋体" w:cs="宋体"/>
          <w:color w:val="auto"/>
          <w:sz w:val="24"/>
          <w:lang w:eastAsia="zh-CN"/>
        </w:rPr>
        <w:t>发布</w:t>
      </w:r>
      <w:r>
        <w:rPr>
          <w:rFonts w:hint="eastAsia" w:hAnsi="宋体" w:cs="宋体"/>
          <w:color w:val="auto"/>
          <w:sz w:val="24"/>
        </w:rPr>
        <w:t>答复为准。任何电话或口头咨询和答复的意思解释均不具有法律约束力。</w:t>
      </w:r>
    </w:p>
    <w:p>
      <w:pPr>
        <w:pStyle w:val="11"/>
        <w:spacing w:line="360" w:lineRule="auto"/>
        <w:ind w:firstLine="480" w:firstLineChars="200"/>
        <w:rPr>
          <w:rFonts w:hint="eastAsia" w:hAnsi="宋体" w:cs="宋体"/>
          <w:color w:val="auto"/>
          <w:sz w:val="24"/>
          <w:lang w:eastAsia="zh-CN"/>
        </w:rPr>
      </w:pPr>
      <w:bookmarkStart w:id="74" w:name="_Toc245897281"/>
      <w:bookmarkStart w:id="75" w:name="_Toc243906321"/>
      <w:bookmarkStart w:id="76" w:name="_Toc243907581"/>
      <w:bookmarkStart w:id="77" w:name="_Toc233274821"/>
      <w:r>
        <w:rPr>
          <w:rFonts w:hint="eastAsia" w:hAnsi="宋体" w:cs="宋体"/>
          <w:color w:val="auto"/>
          <w:sz w:val="24"/>
          <w:lang w:eastAsia="zh-CN"/>
        </w:rPr>
        <w:t>11、招标文件的修改和补充</w:t>
      </w:r>
      <w:bookmarkEnd w:id="74"/>
      <w:bookmarkEnd w:id="75"/>
      <w:bookmarkEnd w:id="76"/>
      <w:bookmarkEnd w:id="77"/>
    </w:p>
    <w:p>
      <w:pPr>
        <w:pStyle w:val="11"/>
        <w:spacing w:line="360" w:lineRule="auto"/>
        <w:ind w:firstLine="480" w:firstLineChars="200"/>
        <w:rPr>
          <w:rFonts w:hint="eastAsia" w:hAnsi="宋体" w:cs="宋体"/>
          <w:color w:val="auto"/>
          <w:sz w:val="24"/>
          <w:lang w:eastAsia="zh-CN"/>
        </w:rPr>
      </w:pPr>
      <w:r>
        <w:rPr>
          <w:rFonts w:hint="eastAsia" w:hAnsi="宋体" w:cs="宋体"/>
          <w:color w:val="auto"/>
          <w:sz w:val="24"/>
          <w:lang w:eastAsia="zh-CN"/>
        </w:rPr>
        <w:t>11.1在递交响应文件截止日期前的任何时候，采购人可主动地或依据供应商要求澄清的疑问而修改、补充竞争性磋商文件，采购代理机构将对修改和补充的内容发至</w:t>
      </w:r>
      <w:r>
        <w:rPr>
          <w:rFonts w:hint="eastAsia" w:hAnsi="宋体" w:cs="宋体"/>
          <w:color w:val="auto"/>
          <w:sz w:val="24"/>
          <w:lang w:val="en-US" w:eastAsia="zh-CN"/>
        </w:rPr>
        <w:t>新疆政府采购网政采云平台，</w:t>
      </w:r>
      <w:r>
        <w:rPr>
          <w:rFonts w:hint="eastAsia" w:hAnsi="宋体" w:cs="宋体"/>
          <w:color w:val="auto"/>
          <w:sz w:val="24"/>
          <w:lang w:eastAsia="zh-CN"/>
        </w:rPr>
        <w:t>所有获取竞争性磋商文件的每位供应商</w:t>
      </w:r>
      <w:r>
        <w:rPr>
          <w:rFonts w:hint="eastAsia" w:hAnsi="宋体" w:cs="宋体"/>
          <w:color w:val="auto"/>
          <w:sz w:val="24"/>
          <w:lang w:val="en-US" w:eastAsia="zh-CN"/>
        </w:rPr>
        <w:t>自行登录网站查阅</w:t>
      </w:r>
      <w:r>
        <w:rPr>
          <w:rFonts w:hint="eastAsia" w:hAnsi="宋体" w:cs="宋体"/>
          <w:color w:val="auto"/>
          <w:sz w:val="24"/>
          <w:lang w:eastAsia="zh-CN"/>
        </w:rPr>
        <w:t>，修改和/或补充文件将作为竞争性磋商文件的组成部分，对所有供应商具有约束力。</w:t>
      </w:r>
    </w:p>
    <w:p>
      <w:pPr>
        <w:pStyle w:val="11"/>
        <w:spacing w:line="360" w:lineRule="auto"/>
        <w:ind w:firstLine="480" w:firstLineChars="200"/>
        <w:rPr>
          <w:rFonts w:hint="eastAsia" w:hAnsi="宋体" w:cs="宋体"/>
          <w:color w:val="auto"/>
          <w:sz w:val="24"/>
          <w:lang w:eastAsia="zh-CN"/>
        </w:rPr>
      </w:pPr>
      <w:r>
        <w:rPr>
          <w:rFonts w:hint="eastAsia" w:hAnsi="宋体" w:cs="宋体"/>
          <w:color w:val="auto"/>
          <w:sz w:val="24"/>
          <w:lang w:eastAsia="zh-CN"/>
        </w:rPr>
        <w:t>11.2为使供应商在准备投标文件时有合理的时间考虑招标文件的修改和/或补充，采购代理机构可延长递交投标文件截止时间和开启时间，但至少应当在规定的递交投标文件的截止时间3个工作日前</w:t>
      </w:r>
      <w:r>
        <w:rPr>
          <w:rFonts w:hint="eastAsia" w:hAnsi="宋体" w:cs="宋体"/>
          <w:color w:val="auto"/>
          <w:sz w:val="24"/>
          <w:lang w:val="en-US" w:eastAsia="zh-CN"/>
        </w:rPr>
        <w:t>在新疆政府采购网</w:t>
      </w:r>
      <w:r>
        <w:rPr>
          <w:rFonts w:hint="eastAsia" w:hAnsi="宋体" w:cs="宋体"/>
          <w:color w:val="auto"/>
          <w:sz w:val="24"/>
          <w:lang w:eastAsia="zh-CN"/>
        </w:rPr>
        <w:t>通知所有领取招标文件的每位供应商。</w:t>
      </w:r>
    </w:p>
    <w:p>
      <w:pPr>
        <w:pStyle w:val="11"/>
        <w:numPr>
          <w:ilvl w:val="0"/>
          <w:numId w:val="3"/>
        </w:numPr>
        <w:spacing w:line="360" w:lineRule="auto"/>
        <w:rPr>
          <w:rFonts w:hAnsi="宋体" w:cs="宋体"/>
          <w:b/>
          <w:bCs/>
          <w:color w:val="auto"/>
          <w:sz w:val="24"/>
        </w:rPr>
      </w:pPr>
      <w:r>
        <w:rPr>
          <w:rFonts w:hint="eastAsia" w:hAnsi="宋体" w:cs="宋体"/>
          <w:b/>
          <w:bCs/>
          <w:color w:val="auto"/>
          <w:sz w:val="24"/>
          <w:lang w:eastAsia="zh-CN"/>
        </w:rPr>
        <w:t>投标文件</w:t>
      </w:r>
      <w:r>
        <w:rPr>
          <w:rFonts w:hint="eastAsia" w:hAnsi="宋体" w:cs="宋体"/>
          <w:b/>
          <w:bCs/>
          <w:color w:val="auto"/>
          <w:sz w:val="24"/>
        </w:rPr>
        <w:t>的编写</w:t>
      </w:r>
    </w:p>
    <w:p>
      <w:pPr>
        <w:pStyle w:val="11"/>
        <w:spacing w:line="360" w:lineRule="auto"/>
        <w:ind w:firstLine="480" w:firstLineChars="200"/>
        <w:outlineLvl w:val="1"/>
        <w:rPr>
          <w:rFonts w:hAnsi="宋体" w:cs="宋体"/>
          <w:color w:val="auto"/>
          <w:sz w:val="24"/>
          <w:szCs w:val="24"/>
        </w:rPr>
      </w:pPr>
      <w:bookmarkStart w:id="78" w:name="_Toc233274823"/>
      <w:bookmarkStart w:id="79" w:name="_Toc245897283"/>
      <w:bookmarkStart w:id="80" w:name="_Toc243907583"/>
      <w:bookmarkStart w:id="81" w:name="_Toc243906323"/>
      <w:bookmarkStart w:id="82" w:name="_Toc24796"/>
      <w:r>
        <w:rPr>
          <w:rFonts w:hint="eastAsia" w:hAnsi="宋体" w:cs="宋体"/>
          <w:color w:val="auto"/>
          <w:sz w:val="24"/>
          <w:szCs w:val="24"/>
        </w:rPr>
        <w:t>1</w:t>
      </w:r>
      <w:bookmarkEnd w:id="78"/>
      <w:r>
        <w:rPr>
          <w:rFonts w:hint="eastAsia" w:hAnsi="宋体" w:cs="宋体"/>
          <w:color w:val="auto"/>
          <w:sz w:val="24"/>
          <w:szCs w:val="24"/>
        </w:rPr>
        <w:t>2、</w:t>
      </w:r>
      <w:r>
        <w:rPr>
          <w:rFonts w:hint="eastAsia" w:hAnsi="宋体" w:cs="宋体"/>
          <w:color w:val="auto"/>
          <w:sz w:val="24"/>
          <w:szCs w:val="24"/>
          <w:lang w:eastAsia="zh-CN"/>
        </w:rPr>
        <w:t>投标文件</w:t>
      </w:r>
      <w:r>
        <w:rPr>
          <w:rFonts w:hint="eastAsia" w:hAnsi="宋体" w:cs="宋体"/>
          <w:color w:val="auto"/>
          <w:sz w:val="24"/>
          <w:szCs w:val="24"/>
        </w:rPr>
        <w:t>的编写</w:t>
      </w:r>
      <w:bookmarkEnd w:id="79"/>
      <w:bookmarkEnd w:id="80"/>
      <w:bookmarkEnd w:id="81"/>
    </w:p>
    <w:p>
      <w:pPr>
        <w:spacing w:line="360" w:lineRule="auto"/>
        <w:ind w:firstLine="481"/>
        <w:rPr>
          <w:rFonts w:ascii="宋体" w:hAnsi="宋体" w:cs="宋体"/>
          <w:color w:val="auto"/>
          <w:sz w:val="24"/>
        </w:rPr>
      </w:pPr>
      <w:r>
        <w:rPr>
          <w:rFonts w:hint="eastAsia" w:ascii="宋体" w:hAnsi="宋体" w:cs="宋体"/>
          <w:color w:val="auto"/>
          <w:sz w:val="24"/>
        </w:rPr>
        <w:t>12.1供应商必须详细阅读</w:t>
      </w:r>
      <w:r>
        <w:rPr>
          <w:rFonts w:hint="eastAsia" w:ascii="宋体" w:hAnsi="宋体" w:cs="宋体"/>
          <w:color w:val="auto"/>
          <w:sz w:val="24"/>
          <w:lang w:eastAsia="zh-CN"/>
        </w:rPr>
        <w:t>招标</w:t>
      </w:r>
      <w:r>
        <w:rPr>
          <w:rFonts w:hint="eastAsia" w:ascii="宋体" w:hAnsi="宋体" w:cs="宋体"/>
          <w:color w:val="auto"/>
          <w:sz w:val="24"/>
        </w:rPr>
        <w:t>文件的章、节、条款、格式等所有内容，按</w:t>
      </w:r>
      <w:r>
        <w:rPr>
          <w:rFonts w:hint="eastAsia" w:ascii="宋体" w:hAnsi="宋体" w:cs="宋体"/>
          <w:color w:val="auto"/>
          <w:sz w:val="24"/>
          <w:lang w:eastAsia="zh-CN"/>
        </w:rPr>
        <w:t>招标</w:t>
      </w:r>
      <w:r>
        <w:rPr>
          <w:rFonts w:hint="eastAsia" w:ascii="宋体" w:hAnsi="宋体" w:cs="宋体"/>
          <w:color w:val="auto"/>
          <w:sz w:val="24"/>
        </w:rPr>
        <w:t>文件的要求提交</w:t>
      </w:r>
      <w:r>
        <w:rPr>
          <w:rFonts w:hint="eastAsia" w:ascii="宋体" w:hAnsi="宋体" w:cs="宋体"/>
          <w:color w:val="auto"/>
          <w:sz w:val="24"/>
          <w:lang w:eastAsia="zh-CN"/>
        </w:rPr>
        <w:t>投标文件</w:t>
      </w:r>
      <w:r>
        <w:rPr>
          <w:rFonts w:hint="eastAsia" w:ascii="宋体" w:hAnsi="宋体" w:cs="宋体"/>
          <w:color w:val="auto"/>
          <w:sz w:val="24"/>
        </w:rPr>
        <w:t>，并保证所提供的全部文件及相关资料的真实性，以使其对</w:t>
      </w:r>
      <w:r>
        <w:rPr>
          <w:rFonts w:hint="eastAsia" w:ascii="宋体" w:hAnsi="宋体" w:cs="宋体"/>
          <w:color w:val="auto"/>
          <w:sz w:val="24"/>
          <w:lang w:eastAsia="zh-CN"/>
        </w:rPr>
        <w:t>招标</w:t>
      </w:r>
      <w:r>
        <w:rPr>
          <w:rFonts w:hint="eastAsia" w:ascii="宋体" w:hAnsi="宋体" w:cs="宋体"/>
          <w:color w:val="auto"/>
          <w:sz w:val="24"/>
        </w:rPr>
        <w:t>文件做出实质性响应。供应商应仔细阅读并充分理解</w:t>
      </w:r>
      <w:r>
        <w:rPr>
          <w:rFonts w:hint="eastAsia" w:ascii="宋体" w:hAnsi="宋体" w:cs="宋体"/>
          <w:color w:val="auto"/>
          <w:sz w:val="24"/>
          <w:lang w:eastAsia="zh-CN"/>
        </w:rPr>
        <w:t>招标</w:t>
      </w:r>
      <w:r>
        <w:rPr>
          <w:rFonts w:hint="eastAsia" w:ascii="宋体" w:hAnsi="宋体" w:cs="宋体"/>
          <w:color w:val="auto"/>
          <w:sz w:val="24"/>
        </w:rPr>
        <w:t>文件、项目采购需求、合同条款后编制</w:t>
      </w:r>
      <w:r>
        <w:rPr>
          <w:rFonts w:hint="eastAsia" w:ascii="宋体" w:hAnsi="宋体" w:cs="宋体"/>
          <w:color w:val="auto"/>
          <w:sz w:val="24"/>
          <w:lang w:eastAsia="zh-CN"/>
        </w:rPr>
        <w:t>投标文件</w:t>
      </w:r>
      <w:r>
        <w:rPr>
          <w:rFonts w:hint="eastAsia" w:ascii="宋体" w:hAnsi="宋体" w:cs="宋体"/>
          <w:color w:val="auto"/>
          <w:sz w:val="24"/>
        </w:rPr>
        <w:t>。</w:t>
      </w:r>
    </w:p>
    <w:p>
      <w:pPr>
        <w:pStyle w:val="11"/>
        <w:spacing w:line="360" w:lineRule="auto"/>
        <w:ind w:firstLine="480" w:firstLineChars="200"/>
        <w:outlineLvl w:val="1"/>
        <w:rPr>
          <w:rFonts w:hAnsi="宋体" w:cs="宋体"/>
          <w:color w:val="auto"/>
          <w:sz w:val="24"/>
          <w:szCs w:val="24"/>
        </w:rPr>
      </w:pPr>
      <w:bookmarkStart w:id="83" w:name="_Toc243907584"/>
      <w:bookmarkStart w:id="84" w:name="_Toc245897284"/>
      <w:bookmarkStart w:id="85" w:name="_Toc233274824"/>
      <w:bookmarkStart w:id="86" w:name="_Toc243906324"/>
      <w:r>
        <w:rPr>
          <w:rFonts w:hint="eastAsia" w:hAnsi="宋体" w:cs="宋体"/>
          <w:color w:val="auto"/>
          <w:sz w:val="24"/>
          <w:szCs w:val="24"/>
        </w:rPr>
        <w:t>13、</w:t>
      </w:r>
      <w:r>
        <w:rPr>
          <w:rFonts w:hint="eastAsia" w:hAnsi="宋体" w:cs="宋体"/>
          <w:color w:val="auto"/>
          <w:sz w:val="24"/>
          <w:szCs w:val="24"/>
          <w:lang w:eastAsia="zh-CN"/>
        </w:rPr>
        <w:t>投标文件</w:t>
      </w:r>
      <w:r>
        <w:rPr>
          <w:rFonts w:hint="eastAsia" w:hAnsi="宋体" w:cs="宋体"/>
          <w:color w:val="auto"/>
          <w:sz w:val="24"/>
          <w:szCs w:val="24"/>
        </w:rPr>
        <w:t>的语言及计量单位</w:t>
      </w:r>
      <w:bookmarkEnd w:id="83"/>
      <w:bookmarkEnd w:id="84"/>
      <w:bookmarkEnd w:id="85"/>
      <w:bookmarkEnd w:id="86"/>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 xml:space="preserve">13.1 </w:t>
      </w:r>
      <w:r>
        <w:rPr>
          <w:rFonts w:hint="eastAsia" w:hAnsi="宋体" w:cs="宋体"/>
          <w:color w:val="auto"/>
          <w:sz w:val="24"/>
          <w:szCs w:val="24"/>
          <w:lang w:eastAsia="zh-CN"/>
        </w:rPr>
        <w:t>投标文件</w:t>
      </w:r>
      <w:r>
        <w:rPr>
          <w:rFonts w:hint="eastAsia" w:hAnsi="宋体" w:cs="宋体"/>
          <w:color w:val="auto"/>
          <w:sz w:val="24"/>
          <w:szCs w:val="24"/>
        </w:rPr>
        <w:t>及供应商和采购人及采购代理机构就有关</w:t>
      </w:r>
      <w:r>
        <w:rPr>
          <w:rFonts w:hint="eastAsia" w:hAnsi="宋体" w:cs="宋体"/>
          <w:color w:val="auto"/>
          <w:sz w:val="24"/>
          <w:szCs w:val="24"/>
          <w:lang w:eastAsia="zh-CN"/>
        </w:rPr>
        <w:t>发布</w:t>
      </w:r>
      <w:r>
        <w:rPr>
          <w:rFonts w:hint="eastAsia" w:hAnsi="宋体" w:cs="宋体"/>
          <w:color w:val="auto"/>
          <w:sz w:val="24"/>
          <w:szCs w:val="24"/>
        </w:rPr>
        <w:t>的所有文件和来往函件，应以中文书写。供应商可以提交用其他语言（原文）打印的资料，但必须翻译成中文，当原文和译文（中文）之间存有差异和/或矛盾时，以中文为准。</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13.2 除在</w:t>
      </w:r>
      <w:r>
        <w:rPr>
          <w:rFonts w:hint="eastAsia" w:hAnsi="宋体" w:cs="宋体"/>
          <w:color w:val="auto"/>
          <w:sz w:val="24"/>
          <w:szCs w:val="24"/>
          <w:lang w:eastAsia="zh-CN"/>
        </w:rPr>
        <w:t>招标</w:t>
      </w:r>
      <w:r>
        <w:rPr>
          <w:rFonts w:hint="eastAsia" w:hAnsi="宋体" w:cs="宋体"/>
          <w:color w:val="auto"/>
          <w:sz w:val="24"/>
          <w:szCs w:val="24"/>
        </w:rPr>
        <w:t>文件的项目采购需求中另有规定外，计量单位应使用中华人民共和国法定计量单位（国际单位制和国家选定的其它计量单位）。如供应商采用其它计量单位，需事先得到采购人的同意。</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14、知识产权</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14.2 采购人享有本项目实施过程中产生的知识成果及知识产权。</w:t>
      </w:r>
    </w:p>
    <w:p>
      <w:pPr>
        <w:spacing w:line="360" w:lineRule="auto"/>
        <w:ind w:firstLine="480" w:firstLineChars="200"/>
        <w:rPr>
          <w:rFonts w:ascii="宋体" w:hAnsi="宋体" w:cs="宋体"/>
          <w:color w:val="auto"/>
          <w:sz w:val="24"/>
        </w:rPr>
      </w:pPr>
      <w:r>
        <w:rPr>
          <w:rFonts w:hint="eastAsia" w:ascii="宋体" w:hAnsi="宋体" w:cs="宋体"/>
          <w:color w:val="auto"/>
          <w:sz w:val="24"/>
        </w:rPr>
        <w:t>14.3供应商如欲在项目实施过程中采用自有知识成果，需在</w:t>
      </w:r>
      <w:r>
        <w:rPr>
          <w:rFonts w:hint="eastAsia" w:ascii="宋体" w:hAnsi="宋体" w:cs="宋体"/>
          <w:color w:val="auto"/>
          <w:sz w:val="24"/>
          <w:lang w:eastAsia="zh-CN"/>
        </w:rPr>
        <w:t>投标文件</w:t>
      </w:r>
      <w:r>
        <w:rPr>
          <w:rFonts w:hint="eastAsia" w:ascii="宋体" w:hAnsi="宋体" w:cs="宋体"/>
          <w:color w:val="auto"/>
          <w:sz w:val="24"/>
        </w:rPr>
        <w:t>中声明，并提供相关知识产权证明文件。使用该知识成果后，供应商需承诺提供无限期技术支持，采购人享有永久使用权。</w:t>
      </w:r>
    </w:p>
    <w:p>
      <w:pPr>
        <w:spacing w:line="360" w:lineRule="auto"/>
        <w:ind w:firstLine="460" w:firstLineChars="192"/>
        <w:rPr>
          <w:rFonts w:ascii="宋体" w:hAnsi="宋体" w:cs="宋体"/>
          <w:color w:val="auto"/>
          <w:sz w:val="24"/>
        </w:rPr>
      </w:pPr>
      <w:r>
        <w:rPr>
          <w:rFonts w:hint="eastAsia" w:ascii="宋体" w:hAnsi="宋体" w:cs="宋体"/>
          <w:color w:val="auto"/>
          <w:sz w:val="24"/>
        </w:rPr>
        <w:t xml:space="preserve">14.4 供应商如采用其所不拥有的知识产权，则在其商务报价中必须包括合法获取该知识产权的相关费用。 </w:t>
      </w:r>
    </w:p>
    <w:p>
      <w:pPr>
        <w:pStyle w:val="11"/>
        <w:spacing w:line="360" w:lineRule="auto"/>
        <w:ind w:firstLine="480" w:firstLineChars="200"/>
        <w:outlineLvl w:val="1"/>
        <w:rPr>
          <w:rFonts w:hAnsi="宋体" w:cs="宋体"/>
          <w:b/>
          <w:color w:val="auto"/>
          <w:sz w:val="24"/>
          <w:szCs w:val="24"/>
        </w:rPr>
      </w:pPr>
      <w:bookmarkStart w:id="87" w:name="_Toc245897285"/>
      <w:bookmarkStart w:id="88" w:name="_Toc243906325"/>
      <w:bookmarkStart w:id="89" w:name="_Toc233274825"/>
      <w:bookmarkStart w:id="90" w:name="_Toc243907585"/>
      <w:r>
        <w:rPr>
          <w:rFonts w:hint="eastAsia" w:hAnsi="宋体" w:cs="宋体"/>
          <w:color w:val="auto"/>
          <w:sz w:val="24"/>
          <w:szCs w:val="24"/>
        </w:rPr>
        <w:t>15、</w:t>
      </w:r>
      <w:r>
        <w:rPr>
          <w:rFonts w:hint="eastAsia" w:hAnsi="宋体" w:cs="宋体"/>
          <w:color w:val="auto"/>
          <w:sz w:val="24"/>
          <w:szCs w:val="24"/>
          <w:lang w:eastAsia="zh-CN"/>
        </w:rPr>
        <w:t>投标文件</w:t>
      </w:r>
      <w:r>
        <w:rPr>
          <w:rFonts w:hint="eastAsia" w:hAnsi="宋体" w:cs="宋体"/>
          <w:color w:val="auto"/>
          <w:sz w:val="24"/>
          <w:szCs w:val="24"/>
        </w:rPr>
        <w:t>的组成</w:t>
      </w:r>
      <w:bookmarkEnd w:id="87"/>
      <w:bookmarkEnd w:id="88"/>
      <w:bookmarkEnd w:id="89"/>
      <w:bookmarkEnd w:id="90"/>
    </w:p>
    <w:p>
      <w:pPr>
        <w:pStyle w:val="11"/>
        <w:spacing w:line="360" w:lineRule="auto"/>
        <w:ind w:firstLine="482" w:firstLineChars="200"/>
        <w:outlineLvl w:val="1"/>
        <w:rPr>
          <w:rFonts w:hAnsi="宋体" w:cs="宋体"/>
          <w:b/>
          <w:color w:val="auto"/>
          <w:sz w:val="24"/>
          <w:szCs w:val="24"/>
        </w:rPr>
      </w:pPr>
      <w:r>
        <w:rPr>
          <w:rFonts w:hint="eastAsia" w:hAnsi="宋体" w:cs="宋体"/>
          <w:b/>
          <w:bCs/>
          <w:color w:val="auto"/>
          <w:sz w:val="24"/>
          <w:lang w:eastAsia="zh-CN"/>
        </w:rPr>
        <w:t>投标文件</w:t>
      </w:r>
      <w:r>
        <w:rPr>
          <w:rFonts w:hint="eastAsia" w:ascii="宋体" w:hAnsi="宋体" w:cs="宋体"/>
          <w:b/>
          <w:bCs/>
          <w:color w:val="auto"/>
          <w:sz w:val="24"/>
        </w:rPr>
        <w:t>由商务</w:t>
      </w:r>
      <w:r>
        <w:rPr>
          <w:rFonts w:hint="eastAsia" w:hAnsi="宋体" w:cs="宋体"/>
          <w:b/>
          <w:bCs/>
          <w:color w:val="auto"/>
          <w:sz w:val="24"/>
          <w:lang w:eastAsia="zh-CN"/>
        </w:rPr>
        <w:t>部分</w:t>
      </w:r>
      <w:r>
        <w:rPr>
          <w:rFonts w:hint="eastAsia" w:ascii="宋体" w:hAnsi="宋体" w:cs="宋体"/>
          <w:b/>
          <w:bCs/>
          <w:color w:val="auto"/>
          <w:sz w:val="24"/>
        </w:rPr>
        <w:t>和技术</w:t>
      </w:r>
      <w:r>
        <w:rPr>
          <w:rFonts w:hint="eastAsia" w:hAnsi="宋体" w:cs="宋体"/>
          <w:b/>
          <w:bCs/>
          <w:color w:val="auto"/>
          <w:sz w:val="24"/>
          <w:lang w:eastAsia="zh-CN"/>
        </w:rPr>
        <w:t>部分</w:t>
      </w:r>
      <w:r>
        <w:rPr>
          <w:rFonts w:hint="eastAsia" w:ascii="宋体" w:hAnsi="宋体" w:cs="宋体"/>
          <w:b/>
          <w:bCs/>
          <w:color w:val="auto"/>
          <w:sz w:val="24"/>
        </w:rPr>
        <w:t>组成，商务</w:t>
      </w:r>
      <w:r>
        <w:rPr>
          <w:rFonts w:hint="eastAsia" w:hAnsi="宋体" w:cs="宋体"/>
          <w:b/>
          <w:bCs/>
          <w:color w:val="auto"/>
          <w:sz w:val="24"/>
          <w:lang w:eastAsia="zh-CN"/>
        </w:rPr>
        <w:t>部分</w:t>
      </w:r>
      <w:r>
        <w:rPr>
          <w:rFonts w:hint="eastAsia" w:ascii="宋体" w:hAnsi="宋体" w:cs="宋体"/>
          <w:b/>
          <w:bCs/>
          <w:color w:val="auto"/>
          <w:sz w:val="24"/>
        </w:rPr>
        <w:t>与技术</w:t>
      </w:r>
      <w:r>
        <w:rPr>
          <w:rFonts w:hint="eastAsia" w:hAnsi="宋体" w:cs="宋体"/>
          <w:b/>
          <w:bCs/>
          <w:color w:val="auto"/>
          <w:sz w:val="24"/>
          <w:lang w:eastAsia="zh-CN"/>
        </w:rPr>
        <w:t>部分</w:t>
      </w:r>
      <w:r>
        <w:rPr>
          <w:rFonts w:hint="eastAsia" w:ascii="宋体" w:hAnsi="宋体" w:cs="宋体"/>
          <w:b/>
          <w:bCs/>
          <w:color w:val="auto"/>
          <w:sz w:val="24"/>
        </w:rPr>
        <w:t>装订在一起，采用明标的形式。</w:t>
      </w:r>
      <w:r>
        <w:rPr>
          <w:rFonts w:hint="eastAsia" w:hAnsi="宋体" w:cs="宋体"/>
          <w:b/>
          <w:color w:val="auto"/>
          <w:sz w:val="24"/>
          <w:szCs w:val="24"/>
          <w:lang w:eastAsia="zh-CN"/>
        </w:rPr>
        <w:t>投标文件</w:t>
      </w:r>
      <w:r>
        <w:rPr>
          <w:rFonts w:hint="eastAsia" w:hAnsi="宋体" w:cs="宋体"/>
          <w:b/>
          <w:color w:val="auto"/>
          <w:sz w:val="24"/>
          <w:szCs w:val="24"/>
        </w:rPr>
        <w:t>需编制目录及页码。</w:t>
      </w:r>
      <w:r>
        <w:rPr>
          <w:rFonts w:hint="eastAsia" w:hAnsi="宋体" w:cs="宋体"/>
          <w:b/>
          <w:color w:val="auto"/>
          <w:sz w:val="24"/>
          <w:szCs w:val="24"/>
          <w:lang w:eastAsia="zh-CN"/>
        </w:rPr>
        <w:t>投标文件</w:t>
      </w:r>
      <w:r>
        <w:rPr>
          <w:rFonts w:hint="eastAsia" w:hAnsi="宋体" w:cs="宋体"/>
          <w:b/>
          <w:color w:val="auto"/>
          <w:sz w:val="24"/>
          <w:szCs w:val="24"/>
        </w:rPr>
        <w:t>包括但不限于以下内容，各供应商应对照“第三章、项目采购需求”及“第六章、评标标准（综合评估法）”提供相关的证明资料：</w:t>
      </w:r>
    </w:p>
    <w:p>
      <w:pPr>
        <w:numPr>
          <w:ilvl w:val="0"/>
          <w:numId w:val="4"/>
        </w:numPr>
        <w:spacing w:line="360" w:lineRule="auto"/>
        <w:jc w:val="left"/>
        <w:rPr>
          <w:rFonts w:ascii="宋体" w:hAnsi="宋体" w:cs="宋体"/>
          <w:color w:val="auto"/>
          <w:sz w:val="24"/>
        </w:rPr>
      </w:pPr>
      <w:r>
        <w:rPr>
          <w:rFonts w:hint="eastAsia" w:ascii="宋体" w:hAnsi="宋体" w:cs="宋体"/>
          <w:color w:val="auto"/>
          <w:sz w:val="24"/>
          <w:lang w:eastAsia="zh-CN"/>
        </w:rPr>
        <w:t>投标文件</w:t>
      </w:r>
      <w:r>
        <w:rPr>
          <w:rFonts w:hint="eastAsia" w:ascii="宋体" w:hAnsi="宋体" w:cs="宋体"/>
          <w:color w:val="auto"/>
          <w:sz w:val="24"/>
        </w:rPr>
        <w:t>封面；</w:t>
      </w:r>
    </w:p>
    <w:p>
      <w:pPr>
        <w:numPr>
          <w:ilvl w:val="0"/>
          <w:numId w:val="4"/>
        </w:numPr>
        <w:spacing w:line="360" w:lineRule="auto"/>
        <w:jc w:val="left"/>
        <w:rPr>
          <w:rFonts w:ascii="宋体" w:hAnsi="宋体" w:cs="宋体"/>
          <w:color w:val="auto"/>
          <w:sz w:val="24"/>
        </w:rPr>
      </w:pPr>
      <w:r>
        <w:rPr>
          <w:rFonts w:hint="eastAsia" w:ascii="宋体" w:hAnsi="宋体" w:cs="宋体"/>
          <w:color w:val="auto"/>
          <w:sz w:val="24"/>
          <w:lang w:eastAsia="zh-CN"/>
        </w:rPr>
        <w:t>投标</w:t>
      </w:r>
      <w:r>
        <w:rPr>
          <w:rFonts w:hint="eastAsia" w:ascii="宋体" w:hAnsi="宋体" w:cs="宋体"/>
          <w:color w:val="auto"/>
          <w:sz w:val="24"/>
        </w:rPr>
        <w:t>函（详见格式1）；</w:t>
      </w:r>
    </w:p>
    <w:p>
      <w:pPr>
        <w:numPr>
          <w:ilvl w:val="0"/>
          <w:numId w:val="4"/>
        </w:numPr>
        <w:spacing w:line="360" w:lineRule="auto"/>
        <w:rPr>
          <w:rFonts w:ascii="宋体" w:hAnsi="宋体" w:cs="宋体"/>
          <w:bCs/>
          <w:color w:val="auto"/>
          <w:sz w:val="24"/>
        </w:rPr>
      </w:pPr>
      <w:r>
        <w:rPr>
          <w:rFonts w:hint="eastAsia" w:ascii="宋体" w:hAnsi="宋体" w:cs="宋体"/>
          <w:b/>
          <w:bCs/>
          <w:color w:val="auto"/>
          <w:sz w:val="24"/>
        </w:rPr>
        <w:t>商务报价一览表（详见格式2）</w:t>
      </w:r>
      <w:r>
        <w:rPr>
          <w:rFonts w:hint="eastAsia" w:ascii="宋体" w:hAnsi="宋体" w:cs="宋体"/>
          <w:color w:val="auto"/>
          <w:sz w:val="24"/>
        </w:rPr>
        <w:t>；</w:t>
      </w:r>
    </w:p>
    <w:p>
      <w:pPr>
        <w:numPr>
          <w:ilvl w:val="0"/>
          <w:numId w:val="4"/>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rPr>
        <w:t>商务条款响应偏离表（详见格式</w:t>
      </w: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eastAsia="zh-CN"/>
        </w:rPr>
        <w:t>；</w:t>
      </w:r>
    </w:p>
    <w:p>
      <w:pPr>
        <w:numPr>
          <w:ilvl w:val="0"/>
          <w:numId w:val="4"/>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lang w:val="en-US" w:eastAsia="zh-CN"/>
        </w:rPr>
        <w:t>技术偏离表</w:t>
      </w:r>
      <w:r>
        <w:rPr>
          <w:rFonts w:hint="eastAsia" w:ascii="宋体" w:hAnsi="宋体" w:cs="宋体"/>
          <w:color w:val="auto"/>
          <w:sz w:val="24"/>
        </w:rPr>
        <w:t>（详见格式</w:t>
      </w:r>
      <w:r>
        <w:rPr>
          <w:rFonts w:hint="eastAsia" w:ascii="宋体" w:hAnsi="宋体" w:cs="宋体"/>
          <w:color w:val="auto"/>
          <w:sz w:val="24"/>
          <w:lang w:val="en-US" w:eastAsia="zh-CN"/>
        </w:rPr>
        <w:t>4</w:t>
      </w:r>
      <w:r>
        <w:rPr>
          <w:rFonts w:hint="eastAsia" w:ascii="宋体" w:hAnsi="宋体" w:cs="宋体"/>
          <w:color w:val="auto"/>
          <w:sz w:val="24"/>
        </w:rPr>
        <w:t>）</w:t>
      </w:r>
    </w:p>
    <w:p>
      <w:pPr>
        <w:numPr>
          <w:ilvl w:val="0"/>
          <w:numId w:val="4"/>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rPr>
        <w:t>法定代表人资格证明书（详见格式</w:t>
      </w:r>
      <w:r>
        <w:rPr>
          <w:rFonts w:hint="eastAsia" w:ascii="宋体" w:hAnsi="宋体" w:cs="宋体"/>
          <w:color w:val="auto"/>
          <w:sz w:val="24"/>
          <w:lang w:val="en-US" w:eastAsia="zh-CN"/>
        </w:rPr>
        <w:t>5</w:t>
      </w:r>
      <w:r>
        <w:rPr>
          <w:rFonts w:hint="eastAsia" w:ascii="宋体" w:hAnsi="宋体" w:cs="宋体"/>
          <w:color w:val="auto"/>
          <w:sz w:val="24"/>
        </w:rPr>
        <w:t>）；</w:t>
      </w:r>
    </w:p>
    <w:p>
      <w:pPr>
        <w:numPr>
          <w:ilvl w:val="0"/>
          <w:numId w:val="4"/>
        </w:numPr>
        <w:tabs>
          <w:tab w:val="left" w:pos="360"/>
          <w:tab w:val="left" w:pos="1800"/>
        </w:tabs>
        <w:spacing w:line="360" w:lineRule="auto"/>
        <w:jc w:val="left"/>
        <w:rPr>
          <w:rFonts w:hint="eastAsia" w:ascii="宋体" w:hAnsi="宋体" w:cs="宋体"/>
          <w:color w:val="auto"/>
          <w:sz w:val="24"/>
        </w:rPr>
      </w:pPr>
      <w:r>
        <w:rPr>
          <w:rFonts w:hint="eastAsia" w:ascii="宋体" w:hAnsi="宋体" w:cs="宋体"/>
          <w:color w:val="auto"/>
          <w:sz w:val="24"/>
        </w:rPr>
        <w:t>法定代表人授权书（详见格式</w:t>
      </w:r>
      <w:r>
        <w:rPr>
          <w:rFonts w:hint="eastAsia" w:ascii="宋体" w:hAnsi="宋体" w:cs="宋体"/>
          <w:color w:val="auto"/>
          <w:sz w:val="24"/>
          <w:lang w:val="en-US" w:eastAsia="zh-CN"/>
        </w:rPr>
        <w:t>6</w:t>
      </w:r>
      <w:r>
        <w:rPr>
          <w:rFonts w:hint="eastAsia" w:ascii="宋体" w:hAnsi="宋体" w:cs="宋体"/>
          <w:color w:val="auto"/>
          <w:sz w:val="24"/>
        </w:rPr>
        <w:t>）；</w:t>
      </w:r>
    </w:p>
    <w:p>
      <w:pPr>
        <w:numPr>
          <w:ilvl w:val="0"/>
          <w:numId w:val="4"/>
        </w:numPr>
        <w:tabs>
          <w:tab w:val="left" w:pos="360"/>
          <w:tab w:val="left" w:pos="1800"/>
        </w:tabs>
        <w:spacing w:line="360" w:lineRule="auto"/>
        <w:jc w:val="left"/>
        <w:rPr>
          <w:rFonts w:hint="eastAsia" w:ascii="宋体" w:hAnsi="宋体" w:cs="宋体"/>
          <w:color w:val="auto"/>
          <w:sz w:val="24"/>
        </w:rPr>
      </w:pPr>
      <w:r>
        <w:rPr>
          <w:rFonts w:hint="eastAsia" w:ascii="宋体" w:hAnsi="宋体" w:cs="宋体"/>
          <w:color w:val="auto"/>
          <w:sz w:val="24"/>
        </w:rPr>
        <w:t>供应商资格声明（详见格式</w:t>
      </w:r>
      <w:r>
        <w:rPr>
          <w:rFonts w:hint="eastAsia" w:ascii="宋体" w:hAnsi="宋体" w:cs="宋体"/>
          <w:color w:val="auto"/>
          <w:sz w:val="24"/>
          <w:lang w:val="en-US" w:eastAsia="zh-CN"/>
        </w:rPr>
        <w:t>7</w:t>
      </w:r>
      <w:r>
        <w:rPr>
          <w:rFonts w:hint="eastAsia" w:ascii="宋体" w:hAnsi="宋体" w:cs="宋体"/>
          <w:color w:val="auto"/>
          <w:sz w:val="24"/>
        </w:rPr>
        <w:t>）；</w:t>
      </w:r>
    </w:p>
    <w:p>
      <w:pPr>
        <w:numPr>
          <w:ilvl w:val="0"/>
          <w:numId w:val="4"/>
        </w:numPr>
        <w:tabs>
          <w:tab w:val="left" w:pos="360"/>
          <w:tab w:val="left" w:pos="1800"/>
        </w:tabs>
        <w:spacing w:line="360" w:lineRule="auto"/>
        <w:jc w:val="left"/>
        <w:rPr>
          <w:rFonts w:hint="eastAsia" w:ascii="宋体" w:hAnsi="宋体" w:cs="宋体"/>
          <w:color w:val="auto"/>
          <w:sz w:val="24"/>
        </w:rPr>
      </w:pPr>
      <w:r>
        <w:rPr>
          <w:rFonts w:hint="eastAsia" w:ascii="宋体" w:hAnsi="宋体" w:cs="宋体"/>
          <w:color w:val="auto"/>
          <w:sz w:val="24"/>
        </w:rPr>
        <w:t>中小企业声明函（详见格式</w:t>
      </w:r>
      <w:r>
        <w:rPr>
          <w:rFonts w:hint="eastAsia" w:ascii="宋体" w:hAnsi="宋体" w:cs="宋体"/>
          <w:color w:val="auto"/>
          <w:sz w:val="24"/>
          <w:lang w:val="en-US" w:eastAsia="zh-CN"/>
        </w:rPr>
        <w:t>8</w:t>
      </w:r>
      <w:r>
        <w:rPr>
          <w:rFonts w:hint="eastAsia" w:ascii="宋体" w:hAnsi="宋体" w:cs="宋体"/>
          <w:color w:val="auto"/>
          <w:sz w:val="24"/>
        </w:rPr>
        <w:t>）；</w:t>
      </w:r>
    </w:p>
    <w:p>
      <w:pPr>
        <w:numPr>
          <w:ilvl w:val="0"/>
          <w:numId w:val="4"/>
        </w:numPr>
        <w:tabs>
          <w:tab w:val="left" w:pos="360"/>
          <w:tab w:val="left" w:pos="1800"/>
        </w:tabs>
        <w:spacing w:line="360" w:lineRule="auto"/>
        <w:jc w:val="left"/>
        <w:rPr>
          <w:rFonts w:hint="eastAsia" w:ascii="宋体" w:hAnsi="宋体" w:cs="宋体"/>
          <w:color w:val="auto"/>
          <w:sz w:val="24"/>
        </w:rPr>
      </w:pPr>
      <w:r>
        <w:rPr>
          <w:rFonts w:hint="eastAsia" w:ascii="宋体" w:hAnsi="宋体" w:cs="宋体"/>
          <w:color w:val="auto"/>
          <w:sz w:val="24"/>
        </w:rPr>
        <w:t>有效期内的企业营业执照（复印件）；</w:t>
      </w:r>
    </w:p>
    <w:p>
      <w:pPr>
        <w:numPr>
          <w:ilvl w:val="0"/>
          <w:numId w:val="4"/>
        </w:numPr>
        <w:spacing w:line="360" w:lineRule="auto"/>
        <w:rPr>
          <w:rFonts w:ascii="宋体" w:hAnsi="宋体" w:cs="宋体"/>
          <w:color w:val="auto"/>
          <w:sz w:val="24"/>
        </w:rPr>
      </w:pPr>
      <w:r>
        <w:rPr>
          <w:rFonts w:hint="eastAsia" w:ascii="宋体" w:hAnsi="宋体" w:cs="宋体"/>
          <w:color w:val="auto"/>
          <w:sz w:val="24"/>
        </w:rPr>
        <w:t>项目负责人简历表（格式详见附表</w:t>
      </w:r>
      <w:r>
        <w:rPr>
          <w:rFonts w:hint="eastAsia" w:ascii="宋体" w:hAnsi="宋体" w:cs="宋体"/>
          <w:color w:val="auto"/>
          <w:sz w:val="24"/>
          <w:lang w:val="en-US" w:eastAsia="zh-CN"/>
        </w:rPr>
        <w:t>9</w:t>
      </w:r>
      <w:r>
        <w:rPr>
          <w:rFonts w:hint="eastAsia" w:ascii="宋体" w:hAnsi="宋体" w:cs="宋体"/>
          <w:color w:val="auto"/>
          <w:sz w:val="24"/>
        </w:rPr>
        <w:t>）；</w:t>
      </w:r>
    </w:p>
    <w:p>
      <w:pPr>
        <w:numPr>
          <w:ilvl w:val="0"/>
          <w:numId w:val="4"/>
        </w:numPr>
        <w:spacing w:line="360" w:lineRule="auto"/>
        <w:rPr>
          <w:rFonts w:ascii="宋体" w:hAnsi="宋体" w:cs="宋体"/>
          <w:color w:val="auto"/>
          <w:sz w:val="24"/>
        </w:rPr>
      </w:pPr>
      <w:r>
        <w:rPr>
          <w:rFonts w:hint="eastAsia" w:ascii="宋体" w:hAnsi="宋体" w:cs="宋体"/>
          <w:color w:val="auto"/>
          <w:sz w:val="24"/>
        </w:rPr>
        <w:t>项目管理、服务及其它人员情况表（详见格式</w:t>
      </w: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w:t>
      </w:r>
    </w:p>
    <w:p>
      <w:pPr>
        <w:numPr>
          <w:ilvl w:val="0"/>
          <w:numId w:val="4"/>
        </w:numPr>
        <w:spacing w:line="360" w:lineRule="auto"/>
        <w:rPr>
          <w:rFonts w:ascii="宋体" w:hAnsi="宋体" w:cs="宋体"/>
          <w:color w:val="auto"/>
          <w:sz w:val="24"/>
        </w:rPr>
      </w:pPr>
      <w:r>
        <w:rPr>
          <w:rFonts w:hint="eastAsia" w:ascii="宋体" w:hAnsi="宋体" w:cs="宋体"/>
          <w:color w:val="auto"/>
          <w:sz w:val="24"/>
        </w:rPr>
        <w:t>近三年（自</w:t>
      </w:r>
      <w:r>
        <w:rPr>
          <w:rFonts w:hint="eastAsia" w:ascii="宋体" w:hAnsi="宋体" w:cs="宋体"/>
          <w:color w:val="auto"/>
          <w:sz w:val="24"/>
          <w:highlight w:val="none"/>
          <w:lang w:val="en-US" w:eastAsia="zh-CN"/>
        </w:rPr>
        <w:t>2020</w:t>
      </w:r>
      <w:r>
        <w:rPr>
          <w:rFonts w:hint="eastAsia" w:ascii="宋体" w:hAnsi="宋体" w:cs="宋体"/>
          <w:color w:val="auto"/>
          <w:sz w:val="24"/>
          <w:highlight w:val="none"/>
          <w:lang w:eastAsia="zh-CN"/>
        </w:rPr>
        <w:t>年1月1日</w:t>
      </w:r>
      <w:r>
        <w:rPr>
          <w:rFonts w:hint="eastAsia" w:ascii="宋体" w:hAnsi="宋体" w:cs="宋体"/>
          <w:color w:val="auto"/>
          <w:sz w:val="24"/>
        </w:rPr>
        <w:t>至今）同类项目业绩表（详见格式</w:t>
      </w:r>
      <w:r>
        <w:rPr>
          <w:rFonts w:hint="eastAsia" w:ascii="宋体" w:hAnsi="宋体" w:cs="宋体"/>
          <w:color w:val="auto"/>
          <w:sz w:val="24"/>
          <w:lang w:val="en-US" w:eastAsia="zh-CN"/>
        </w:rPr>
        <w:t>11</w:t>
      </w:r>
      <w:r>
        <w:rPr>
          <w:rFonts w:hint="eastAsia" w:ascii="宋体" w:hAnsi="宋体" w:cs="宋体"/>
          <w:color w:val="auto"/>
          <w:sz w:val="24"/>
        </w:rPr>
        <w:t>）；</w:t>
      </w:r>
    </w:p>
    <w:p>
      <w:pPr>
        <w:numPr>
          <w:ilvl w:val="0"/>
          <w:numId w:val="4"/>
        </w:numPr>
        <w:spacing w:line="360" w:lineRule="auto"/>
        <w:rPr>
          <w:color w:val="auto"/>
        </w:rPr>
      </w:pPr>
      <w:r>
        <w:rPr>
          <w:rFonts w:hint="eastAsia" w:ascii="宋体" w:hAnsi="宋体" w:cs="宋体"/>
          <w:color w:val="auto"/>
          <w:sz w:val="24"/>
        </w:rPr>
        <w:t>提供上一年度的财务报表/财务报告（包括资产负债表、损益表、利润表、现金流量表及财务状况说明书，新成立的公司提供情况说明）；</w:t>
      </w:r>
    </w:p>
    <w:p>
      <w:pPr>
        <w:numPr>
          <w:ilvl w:val="0"/>
          <w:numId w:val="4"/>
        </w:numPr>
        <w:spacing w:line="360" w:lineRule="auto"/>
        <w:rPr>
          <w:rFonts w:hint="eastAsia" w:ascii="宋体" w:hAnsi="宋体" w:cs="宋体"/>
          <w:color w:val="auto"/>
          <w:sz w:val="24"/>
        </w:rPr>
      </w:pPr>
      <w:r>
        <w:rPr>
          <w:rFonts w:hint="eastAsia" w:ascii="宋体" w:hAnsi="宋体" w:cs="宋体"/>
          <w:color w:val="auto"/>
          <w:sz w:val="24"/>
          <w:lang w:val="en-US" w:eastAsia="zh-CN"/>
        </w:rPr>
        <w:t>建立健全的质量管理制度（自拟格式</w:t>
      </w:r>
      <w:r>
        <w:rPr>
          <w:rFonts w:hint="eastAsia" w:ascii="宋体" w:hAnsi="宋体" w:cs="宋体"/>
          <w:color w:val="auto"/>
          <w:sz w:val="24"/>
          <w:lang w:eastAsia="zh-CN"/>
        </w:rPr>
        <w:t>）</w:t>
      </w:r>
      <w:r>
        <w:rPr>
          <w:rFonts w:hint="eastAsia" w:ascii="宋体" w:hAnsi="宋体" w:cs="宋体"/>
          <w:color w:val="auto"/>
          <w:sz w:val="24"/>
          <w:lang w:val="en-US" w:eastAsia="zh-CN"/>
        </w:rPr>
        <w:t>；</w:t>
      </w:r>
    </w:p>
    <w:p>
      <w:pPr>
        <w:numPr>
          <w:ilvl w:val="0"/>
          <w:numId w:val="4"/>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rPr>
        <w:t>质量保证措施、服务计划及验收计划</w:t>
      </w:r>
      <w:r>
        <w:rPr>
          <w:rFonts w:hint="eastAsia" w:ascii="宋体" w:hAnsi="宋体" w:cs="宋体"/>
          <w:color w:val="auto"/>
          <w:sz w:val="24"/>
          <w:lang w:eastAsia="zh-CN"/>
        </w:rPr>
        <w:t>（</w:t>
      </w:r>
      <w:r>
        <w:rPr>
          <w:rFonts w:hint="eastAsia" w:ascii="宋体" w:hAnsi="宋体" w:cs="宋体"/>
          <w:color w:val="auto"/>
          <w:sz w:val="24"/>
          <w:lang w:val="en-US" w:eastAsia="zh-CN"/>
        </w:rPr>
        <w:t>自拟格式</w:t>
      </w:r>
      <w:r>
        <w:rPr>
          <w:rFonts w:hint="eastAsia" w:ascii="宋体" w:hAnsi="宋体" w:cs="宋体"/>
          <w:color w:val="auto"/>
          <w:sz w:val="24"/>
          <w:lang w:eastAsia="zh-CN"/>
        </w:rPr>
        <w:t>）</w:t>
      </w:r>
      <w:r>
        <w:rPr>
          <w:rFonts w:hint="eastAsia" w:ascii="宋体" w:hAnsi="宋体" w:cs="宋体"/>
          <w:color w:val="auto"/>
          <w:sz w:val="24"/>
        </w:rPr>
        <w:t>；</w:t>
      </w:r>
    </w:p>
    <w:p>
      <w:pPr>
        <w:numPr>
          <w:ilvl w:val="0"/>
          <w:numId w:val="4"/>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lang w:val="en-US" w:eastAsia="zh-CN"/>
        </w:rPr>
        <w:t>售后服务方案及实质性的承诺</w:t>
      </w:r>
      <w:r>
        <w:rPr>
          <w:rFonts w:hint="eastAsia" w:ascii="宋体" w:hAnsi="宋体" w:cs="宋体"/>
          <w:color w:val="auto"/>
          <w:sz w:val="24"/>
          <w:lang w:eastAsia="zh-CN"/>
        </w:rPr>
        <w:t>（</w:t>
      </w:r>
      <w:r>
        <w:rPr>
          <w:rFonts w:hint="eastAsia" w:ascii="宋体" w:hAnsi="宋体" w:cs="宋体"/>
          <w:color w:val="auto"/>
          <w:sz w:val="24"/>
          <w:lang w:val="en-US" w:eastAsia="zh-CN"/>
        </w:rPr>
        <w:t>自拟格式</w:t>
      </w:r>
      <w:r>
        <w:rPr>
          <w:rFonts w:hint="eastAsia" w:ascii="宋体" w:hAnsi="宋体" w:cs="宋体"/>
          <w:color w:val="auto"/>
          <w:sz w:val="24"/>
          <w:lang w:eastAsia="zh-CN"/>
        </w:rPr>
        <w:t>）；</w:t>
      </w:r>
    </w:p>
    <w:p>
      <w:pPr>
        <w:numPr>
          <w:ilvl w:val="0"/>
          <w:numId w:val="4"/>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lang w:val="en-US" w:eastAsia="zh-CN"/>
        </w:rPr>
        <w:t>管理的突发状况及应急措施</w:t>
      </w:r>
      <w:r>
        <w:rPr>
          <w:rFonts w:hint="eastAsia" w:ascii="宋体" w:hAnsi="宋体" w:cs="宋体"/>
          <w:color w:val="auto"/>
          <w:sz w:val="24"/>
          <w:lang w:eastAsia="zh-CN"/>
        </w:rPr>
        <w:t>（</w:t>
      </w:r>
      <w:r>
        <w:rPr>
          <w:rFonts w:hint="eastAsia" w:ascii="宋体" w:hAnsi="宋体" w:cs="宋体"/>
          <w:color w:val="auto"/>
          <w:sz w:val="24"/>
          <w:lang w:val="en-US" w:eastAsia="zh-CN"/>
        </w:rPr>
        <w:t>自拟格式</w:t>
      </w:r>
      <w:r>
        <w:rPr>
          <w:rFonts w:hint="eastAsia" w:ascii="宋体" w:hAnsi="宋体" w:cs="宋体"/>
          <w:color w:val="auto"/>
          <w:sz w:val="24"/>
          <w:lang w:eastAsia="zh-CN"/>
        </w:rPr>
        <w:t>）；</w:t>
      </w:r>
    </w:p>
    <w:p>
      <w:pPr>
        <w:numPr>
          <w:ilvl w:val="0"/>
          <w:numId w:val="4"/>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rPr>
        <w:t>资格性/符合性自查表（详见格式</w:t>
      </w:r>
      <w:r>
        <w:rPr>
          <w:rFonts w:hint="eastAsia" w:ascii="宋体" w:hAnsi="宋体" w:cs="宋体"/>
          <w:color w:val="auto"/>
          <w:sz w:val="24"/>
          <w:lang w:val="en-US" w:eastAsia="zh-CN"/>
        </w:rPr>
        <w:t>12</w:t>
      </w:r>
      <w:r>
        <w:rPr>
          <w:rFonts w:hint="eastAsia" w:ascii="宋体" w:hAnsi="宋体" w:cs="宋体"/>
          <w:color w:val="auto"/>
          <w:sz w:val="24"/>
        </w:rPr>
        <w:t>）；</w:t>
      </w:r>
    </w:p>
    <w:p>
      <w:pPr>
        <w:numPr>
          <w:ilvl w:val="0"/>
          <w:numId w:val="4"/>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rPr>
        <w:t>其它与本项目有关的能证明企业实力的各项证明资料；</w:t>
      </w:r>
    </w:p>
    <w:p>
      <w:pPr>
        <w:numPr>
          <w:ilvl w:val="0"/>
          <w:numId w:val="4"/>
        </w:numPr>
        <w:spacing w:line="360" w:lineRule="auto"/>
        <w:rPr>
          <w:rFonts w:ascii="宋体" w:hAnsi="宋体" w:cs="宋体"/>
          <w:color w:val="auto"/>
          <w:sz w:val="24"/>
        </w:rPr>
      </w:pPr>
      <w:r>
        <w:rPr>
          <w:rFonts w:hint="eastAsia" w:ascii="宋体" w:hAnsi="宋体" w:cs="宋体"/>
          <w:color w:val="auto"/>
          <w:sz w:val="24"/>
          <w:lang w:eastAsia="zh-CN"/>
        </w:rPr>
        <w:t>招标</w:t>
      </w:r>
      <w:r>
        <w:rPr>
          <w:rFonts w:hint="eastAsia" w:ascii="宋体" w:hAnsi="宋体" w:cs="宋体"/>
          <w:color w:val="auto"/>
          <w:sz w:val="24"/>
        </w:rPr>
        <w:t>文件要求提供的其它材料以及供应商认为需要提交的材料。</w:t>
      </w:r>
    </w:p>
    <w:p>
      <w:pPr>
        <w:pStyle w:val="11"/>
        <w:spacing w:line="360" w:lineRule="auto"/>
        <w:ind w:firstLine="482" w:firstLineChars="200"/>
        <w:rPr>
          <w:rFonts w:hAnsi="宋体" w:cs="宋体"/>
          <w:b/>
          <w:color w:val="auto"/>
          <w:sz w:val="24"/>
          <w:szCs w:val="24"/>
        </w:rPr>
      </w:pPr>
      <w:r>
        <w:rPr>
          <w:rFonts w:hint="eastAsia" w:hAnsi="宋体" w:cs="宋体"/>
          <w:b/>
          <w:color w:val="auto"/>
          <w:sz w:val="24"/>
          <w:szCs w:val="24"/>
        </w:rPr>
        <w:t>特别说明：①上述各种证件、证书复印件须加盖供应商公章。如未按要求加盖供应商公章者，可能导致其</w:t>
      </w:r>
      <w:r>
        <w:rPr>
          <w:rFonts w:hint="eastAsia" w:hAnsi="宋体" w:cs="宋体"/>
          <w:b/>
          <w:color w:val="auto"/>
          <w:sz w:val="24"/>
          <w:szCs w:val="24"/>
          <w:lang w:eastAsia="zh-CN"/>
        </w:rPr>
        <w:t>投标文件</w:t>
      </w:r>
      <w:r>
        <w:rPr>
          <w:rFonts w:hint="eastAsia" w:hAnsi="宋体" w:cs="宋体"/>
          <w:b/>
          <w:color w:val="auto"/>
          <w:sz w:val="24"/>
          <w:szCs w:val="24"/>
        </w:rPr>
        <w:t>无效。</w:t>
      </w:r>
    </w:p>
    <w:p>
      <w:pPr>
        <w:pStyle w:val="11"/>
        <w:spacing w:line="360" w:lineRule="auto"/>
        <w:ind w:firstLine="482" w:firstLineChars="200"/>
        <w:rPr>
          <w:rFonts w:hAnsi="宋体" w:cs="宋体"/>
          <w:b/>
          <w:color w:val="auto"/>
          <w:sz w:val="24"/>
          <w:szCs w:val="24"/>
        </w:rPr>
      </w:pPr>
      <w:r>
        <w:rPr>
          <w:rFonts w:hint="eastAsia" w:hAnsi="宋体" w:cs="宋体"/>
          <w:b/>
          <w:color w:val="auto"/>
          <w:sz w:val="24"/>
          <w:szCs w:val="24"/>
        </w:rPr>
        <w:t>②供应商应如实提供资料，并保证真实可靠，不得弄虚作假。如供应商隐瞒事实真相、弄虚作假，一经查实，取消该供应商的</w:t>
      </w:r>
      <w:r>
        <w:rPr>
          <w:rFonts w:hint="eastAsia" w:hAnsi="宋体" w:cs="宋体"/>
          <w:b/>
          <w:color w:val="auto"/>
          <w:sz w:val="24"/>
          <w:szCs w:val="24"/>
          <w:lang w:eastAsia="zh-CN"/>
        </w:rPr>
        <w:t>投标</w:t>
      </w:r>
      <w:r>
        <w:rPr>
          <w:rFonts w:hint="eastAsia" w:hAnsi="宋体" w:cs="宋体"/>
          <w:b/>
          <w:color w:val="auto"/>
          <w:sz w:val="24"/>
          <w:szCs w:val="24"/>
        </w:rPr>
        <w:t>资格，若</w:t>
      </w:r>
      <w:r>
        <w:rPr>
          <w:rFonts w:hint="eastAsia" w:hAnsi="宋体" w:cs="宋体"/>
          <w:b/>
          <w:color w:val="auto"/>
          <w:sz w:val="24"/>
          <w:szCs w:val="24"/>
          <w:lang w:eastAsia="zh-CN"/>
        </w:rPr>
        <w:t>中标</w:t>
      </w:r>
      <w:r>
        <w:rPr>
          <w:rFonts w:hint="eastAsia" w:hAnsi="宋体" w:cs="宋体"/>
          <w:b/>
          <w:color w:val="auto"/>
          <w:sz w:val="24"/>
          <w:szCs w:val="24"/>
        </w:rPr>
        <w:t>的，取消其</w:t>
      </w:r>
      <w:r>
        <w:rPr>
          <w:rFonts w:hint="eastAsia" w:hAnsi="宋体" w:cs="宋体"/>
          <w:b/>
          <w:color w:val="auto"/>
          <w:sz w:val="24"/>
          <w:szCs w:val="24"/>
          <w:lang w:eastAsia="zh-CN"/>
        </w:rPr>
        <w:t>中标</w:t>
      </w:r>
      <w:r>
        <w:rPr>
          <w:rFonts w:hint="eastAsia" w:hAnsi="宋体" w:cs="宋体"/>
          <w:b/>
          <w:color w:val="auto"/>
          <w:sz w:val="24"/>
          <w:szCs w:val="24"/>
        </w:rPr>
        <w:t>资格。</w:t>
      </w:r>
    </w:p>
    <w:p>
      <w:pPr>
        <w:pStyle w:val="11"/>
        <w:spacing w:line="360" w:lineRule="auto"/>
        <w:ind w:firstLine="480"/>
        <w:outlineLvl w:val="1"/>
        <w:rPr>
          <w:rFonts w:hAnsi="宋体" w:cs="宋体"/>
          <w:color w:val="auto"/>
          <w:sz w:val="24"/>
          <w:szCs w:val="24"/>
        </w:rPr>
      </w:pPr>
      <w:bookmarkStart w:id="91" w:name="_Toc245897286"/>
      <w:bookmarkStart w:id="92" w:name="_Toc243907587"/>
      <w:bookmarkStart w:id="93" w:name="_Toc243906326"/>
      <w:bookmarkStart w:id="94" w:name="_Toc246216196"/>
      <w:bookmarkStart w:id="95" w:name="_Toc233274827"/>
      <w:r>
        <w:rPr>
          <w:rFonts w:hint="eastAsia" w:hAnsi="宋体" w:cs="宋体"/>
          <w:color w:val="auto"/>
          <w:sz w:val="24"/>
          <w:szCs w:val="24"/>
        </w:rPr>
        <w:t>16、</w:t>
      </w:r>
      <w:r>
        <w:rPr>
          <w:rFonts w:hint="eastAsia" w:hAnsi="宋体" w:cs="宋体"/>
          <w:color w:val="auto"/>
          <w:sz w:val="24"/>
          <w:szCs w:val="24"/>
          <w:lang w:eastAsia="zh-CN"/>
        </w:rPr>
        <w:t>投标文件</w:t>
      </w:r>
      <w:r>
        <w:rPr>
          <w:rFonts w:hint="eastAsia" w:hAnsi="宋体" w:cs="宋体"/>
          <w:color w:val="auto"/>
          <w:sz w:val="24"/>
          <w:szCs w:val="24"/>
        </w:rPr>
        <w:t>格式</w:t>
      </w:r>
      <w:bookmarkEnd w:id="91"/>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16.1供应商应按</w:t>
      </w:r>
      <w:r>
        <w:rPr>
          <w:rFonts w:hint="eastAsia" w:hAnsi="宋体" w:cs="宋体"/>
          <w:color w:val="auto"/>
          <w:sz w:val="24"/>
          <w:szCs w:val="24"/>
          <w:lang w:eastAsia="zh-CN"/>
        </w:rPr>
        <w:t>招标</w:t>
      </w:r>
      <w:r>
        <w:rPr>
          <w:rFonts w:hint="eastAsia" w:hAnsi="宋体" w:cs="宋体"/>
          <w:color w:val="auto"/>
          <w:sz w:val="24"/>
          <w:szCs w:val="24"/>
        </w:rPr>
        <w:t>文件提供的格式及商务报价说明完整地填写所提供的合同货物、服务以及单价等内容。</w:t>
      </w:r>
    </w:p>
    <w:p>
      <w:pPr>
        <w:pStyle w:val="11"/>
        <w:spacing w:line="360" w:lineRule="auto"/>
        <w:ind w:firstLine="480" w:firstLineChars="200"/>
        <w:outlineLvl w:val="1"/>
        <w:rPr>
          <w:rFonts w:hAnsi="宋体" w:cs="宋体"/>
          <w:color w:val="auto"/>
          <w:sz w:val="24"/>
          <w:szCs w:val="24"/>
        </w:rPr>
      </w:pPr>
      <w:r>
        <w:rPr>
          <w:rFonts w:hint="eastAsia" w:hAnsi="宋体" w:cs="宋体"/>
          <w:color w:val="auto"/>
          <w:sz w:val="24"/>
          <w:szCs w:val="24"/>
        </w:rPr>
        <w:t>17、商务报价</w:t>
      </w:r>
      <w:bookmarkEnd w:id="92"/>
      <w:bookmarkEnd w:id="93"/>
      <w:bookmarkEnd w:id="94"/>
      <w:bookmarkEnd w:id="95"/>
    </w:p>
    <w:p>
      <w:pPr>
        <w:spacing w:line="360" w:lineRule="auto"/>
        <w:ind w:firstLine="480" w:firstLineChars="200"/>
        <w:rPr>
          <w:rFonts w:ascii="宋体" w:hAnsi="宋体" w:cs="宋体"/>
          <w:color w:val="auto"/>
          <w:sz w:val="24"/>
        </w:rPr>
      </w:pPr>
      <w:r>
        <w:rPr>
          <w:rFonts w:hint="eastAsia" w:ascii="宋体" w:hAnsi="宋体" w:cs="宋体"/>
          <w:color w:val="auto"/>
          <w:sz w:val="24"/>
        </w:rPr>
        <w:t>17.1供应商的商务报价应是为采购人提供全部合同服务，并保证正常使用</w:t>
      </w:r>
      <w:r>
        <w:rPr>
          <w:rFonts w:hint="eastAsia" w:ascii="宋体" w:hAnsi="宋体" w:cs="宋体"/>
          <w:color w:val="auto"/>
          <w:sz w:val="24"/>
          <w:lang w:eastAsia="zh-CN"/>
        </w:rPr>
        <w:t>以及合同条款、项目采购需求</w:t>
      </w:r>
      <w:r>
        <w:rPr>
          <w:rFonts w:hint="eastAsia" w:ascii="宋体" w:hAnsi="宋体" w:cs="宋体"/>
          <w:color w:val="auto"/>
          <w:sz w:val="24"/>
        </w:rPr>
        <w:t>、本</w:t>
      </w:r>
      <w:r>
        <w:rPr>
          <w:rFonts w:hint="eastAsia" w:ascii="宋体" w:hAnsi="宋体" w:cs="宋体"/>
          <w:color w:val="auto"/>
          <w:sz w:val="24"/>
          <w:lang w:eastAsia="zh-CN"/>
        </w:rPr>
        <w:t>招标</w:t>
      </w:r>
      <w:r>
        <w:rPr>
          <w:rFonts w:hint="eastAsia" w:ascii="宋体" w:hAnsi="宋体" w:cs="宋体"/>
          <w:color w:val="auto"/>
          <w:sz w:val="24"/>
        </w:rPr>
        <w:t>文件约定的所有费用的总和。</w:t>
      </w:r>
    </w:p>
    <w:p>
      <w:pPr>
        <w:spacing w:line="360" w:lineRule="auto"/>
        <w:ind w:firstLine="480" w:firstLineChars="200"/>
        <w:rPr>
          <w:rFonts w:ascii="宋体" w:hAnsi="宋体" w:cs="宋体"/>
          <w:b/>
          <w:color w:val="auto"/>
          <w:sz w:val="24"/>
        </w:rPr>
      </w:pPr>
      <w:r>
        <w:rPr>
          <w:rFonts w:hint="eastAsia" w:ascii="宋体" w:hAnsi="宋体" w:cs="宋体"/>
          <w:color w:val="auto"/>
          <w:sz w:val="24"/>
        </w:rPr>
        <w:t>任何因供应商忽视或误解采购范围、项目采购需求、合同条款和项目现场情况，若</w:t>
      </w:r>
      <w:r>
        <w:rPr>
          <w:rFonts w:hint="eastAsia" w:ascii="宋体" w:hAnsi="宋体" w:cs="宋体"/>
          <w:color w:val="auto"/>
          <w:sz w:val="24"/>
          <w:lang w:eastAsia="zh-CN"/>
        </w:rPr>
        <w:t>中标</w:t>
      </w:r>
      <w:r>
        <w:rPr>
          <w:rFonts w:hint="eastAsia" w:ascii="宋体" w:hAnsi="宋体" w:cs="宋体"/>
          <w:color w:val="auto"/>
          <w:sz w:val="24"/>
        </w:rPr>
        <w:t>，采购人将不予批准由此而产生的索赔或服务期限延长申请。</w:t>
      </w:r>
    </w:p>
    <w:p>
      <w:pPr>
        <w:spacing w:line="360" w:lineRule="auto"/>
        <w:ind w:firstLine="482" w:firstLineChars="200"/>
        <w:rPr>
          <w:rFonts w:ascii="宋体" w:hAnsi="宋体" w:cs="宋体"/>
          <w:color w:val="auto"/>
          <w:sz w:val="24"/>
        </w:rPr>
      </w:pPr>
      <w:r>
        <w:rPr>
          <w:rFonts w:hint="eastAsia" w:ascii="宋体" w:hAnsi="宋体" w:cs="宋体"/>
          <w:b/>
          <w:color w:val="auto"/>
          <w:sz w:val="24"/>
        </w:rPr>
        <w:t>商务报价中不得包含合同条款、项目采购需求、本</w:t>
      </w:r>
      <w:r>
        <w:rPr>
          <w:rFonts w:hint="eastAsia" w:ascii="宋体" w:hAnsi="宋体" w:cs="宋体"/>
          <w:b/>
          <w:color w:val="auto"/>
          <w:sz w:val="24"/>
          <w:lang w:eastAsia="zh-CN"/>
        </w:rPr>
        <w:t>招标</w:t>
      </w:r>
      <w:r>
        <w:rPr>
          <w:rFonts w:hint="eastAsia" w:ascii="宋体" w:hAnsi="宋体" w:cs="宋体"/>
          <w:b/>
          <w:color w:val="auto"/>
          <w:sz w:val="24"/>
        </w:rPr>
        <w:t>文件要求以外的其他内容。</w:t>
      </w:r>
    </w:p>
    <w:p>
      <w:pPr>
        <w:spacing w:line="360" w:lineRule="auto"/>
        <w:ind w:firstLine="480" w:firstLineChars="200"/>
        <w:rPr>
          <w:rFonts w:ascii="宋体" w:hAnsi="宋体" w:cs="宋体"/>
          <w:color w:val="auto"/>
          <w:sz w:val="24"/>
        </w:rPr>
      </w:pPr>
      <w:r>
        <w:rPr>
          <w:rFonts w:hint="eastAsia" w:ascii="宋体" w:hAnsi="宋体" w:cs="宋体"/>
          <w:color w:val="auto"/>
          <w:sz w:val="24"/>
        </w:rPr>
        <w:t>17.2商务报价总价应包括的内容和计价因素</w:t>
      </w:r>
    </w:p>
    <w:p>
      <w:pPr>
        <w:spacing w:line="360" w:lineRule="auto"/>
        <w:ind w:left="360"/>
        <w:rPr>
          <w:rFonts w:hint="eastAsia" w:hAnsi="宋体" w:cs="宋体"/>
          <w:color w:val="auto"/>
          <w:sz w:val="24"/>
          <w:szCs w:val="22"/>
          <w:highlight w:val="none"/>
          <w:lang w:val="en-US" w:eastAsia="zh-CN"/>
        </w:rPr>
      </w:pPr>
      <w:r>
        <w:rPr>
          <w:rFonts w:hint="eastAsia" w:hAnsi="宋体" w:cs="宋体"/>
          <w:color w:val="auto"/>
          <w:sz w:val="24"/>
          <w:szCs w:val="22"/>
          <w:lang w:val="en-US" w:eastAsia="zh-CN"/>
        </w:rPr>
        <w:t>（1）</w:t>
      </w:r>
      <w:r>
        <w:rPr>
          <w:rFonts w:hint="eastAsia" w:hAnsi="宋体" w:cs="宋体"/>
          <w:color w:val="auto"/>
          <w:sz w:val="24"/>
          <w:highlight w:val="none"/>
          <w:lang w:val="en-US" w:eastAsia="zh-CN"/>
        </w:rPr>
        <w:t>中标人保证完成</w:t>
      </w:r>
      <w:r>
        <w:rPr>
          <w:rFonts w:hint="eastAsia" w:hAnsi="宋体" w:cs="宋体"/>
          <w:color w:val="auto"/>
          <w:sz w:val="24"/>
          <w:highlight w:val="none"/>
          <w:lang w:eastAsia="zh-CN"/>
        </w:rPr>
        <w:t>克拉玛依市第三人民医院电子病历系统项目</w:t>
      </w:r>
      <w:r>
        <w:rPr>
          <w:rFonts w:hint="eastAsia" w:hAnsi="宋体" w:cs="宋体"/>
          <w:color w:val="auto"/>
          <w:sz w:val="24"/>
          <w:highlight w:val="none"/>
          <w:lang w:val="en-US" w:eastAsia="zh-CN"/>
        </w:rPr>
        <w:t>的全部工作，完成信息系统建设，提升医院医疗服务能力，建立健全医院门急诊、住院电子病历，安全有效的保护患者病例信息，为患者提供更加便捷的就医环境，有效缩短了民众窗口的等待时间，提高了服务效率。</w:t>
      </w:r>
      <w:r>
        <w:rPr>
          <w:rFonts w:hint="eastAsia" w:hAnsi="宋体" w:cs="宋体"/>
          <w:color w:val="auto"/>
          <w:sz w:val="24"/>
          <w:highlight w:val="none"/>
          <w:lang w:eastAsia="zh-CN"/>
        </w:rPr>
        <w:t>以及合同条款、项目采购需求、本采购文件约定的全部内容，并配合采购人完成与此服务相关的全部责任和义务</w:t>
      </w:r>
      <w:r>
        <w:rPr>
          <w:rFonts w:hint="eastAsia" w:hAnsi="宋体" w:cs="宋体"/>
          <w:color w:val="auto"/>
          <w:sz w:val="24"/>
          <w:szCs w:val="22"/>
          <w:highlight w:val="none"/>
          <w:lang w:val="en-US" w:eastAsia="zh-CN"/>
        </w:rPr>
        <w:t>。</w:t>
      </w:r>
    </w:p>
    <w:p>
      <w:pPr>
        <w:spacing w:line="360" w:lineRule="auto"/>
        <w:ind w:firstLine="240" w:firstLineChars="100"/>
        <w:rPr>
          <w:rFonts w:ascii="宋体" w:hAnsi="宋体" w:cs="宋体"/>
          <w:color w:val="auto"/>
          <w:sz w:val="24"/>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）供应商根据对本</w:t>
      </w:r>
      <w:r>
        <w:rPr>
          <w:rFonts w:hint="eastAsia" w:ascii="宋体" w:hAnsi="宋体" w:cs="宋体"/>
          <w:bCs/>
          <w:color w:val="auto"/>
          <w:sz w:val="24"/>
          <w:highlight w:val="none"/>
          <w:lang w:eastAsia="zh-CN"/>
        </w:rPr>
        <w:t>招标</w:t>
      </w:r>
      <w:r>
        <w:rPr>
          <w:rFonts w:hint="eastAsia" w:ascii="宋体" w:hAnsi="宋体" w:cs="宋体"/>
          <w:bCs/>
          <w:color w:val="auto"/>
          <w:sz w:val="24"/>
          <w:highlight w:val="none"/>
        </w:rPr>
        <w:t>文件、项目采购需</w:t>
      </w:r>
      <w:r>
        <w:rPr>
          <w:rFonts w:hint="eastAsia" w:ascii="宋体" w:hAnsi="宋体" w:cs="宋体"/>
          <w:bCs/>
          <w:color w:val="auto"/>
          <w:sz w:val="24"/>
        </w:rPr>
        <w:t>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0" w:firstLineChars="200"/>
        <w:rPr>
          <w:rFonts w:hint="eastAsia" w:ascii="宋体" w:hAnsi="宋体" w:cs="宋体"/>
          <w:color w:val="auto"/>
          <w:sz w:val="24"/>
        </w:rPr>
      </w:pPr>
      <w:bookmarkStart w:id="96" w:name="_Toc246216197"/>
      <w:bookmarkStart w:id="97" w:name="_Toc243907588"/>
      <w:bookmarkStart w:id="98" w:name="_Toc243906327"/>
      <w:bookmarkStart w:id="99" w:name="_Toc233274828"/>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采购范围、本</w:t>
      </w:r>
      <w:r>
        <w:rPr>
          <w:rFonts w:hint="eastAsia" w:ascii="宋体" w:hAnsi="宋体" w:cs="宋体"/>
          <w:color w:val="auto"/>
          <w:sz w:val="24"/>
          <w:lang w:val="en-US" w:eastAsia="zh-CN"/>
        </w:rPr>
        <w:t>招标</w:t>
      </w:r>
      <w:r>
        <w:rPr>
          <w:rFonts w:hint="eastAsia" w:ascii="宋体" w:hAnsi="宋体" w:cs="宋体"/>
          <w:color w:val="auto"/>
          <w:sz w:val="24"/>
        </w:rPr>
        <w:t>文件及合同约定等完成本采购项目的全部费用（包括：调研、勘察、用车、差旅、</w:t>
      </w:r>
      <w:r>
        <w:rPr>
          <w:rFonts w:hint="eastAsia" w:ascii="宋体" w:hAnsi="宋体" w:cs="宋体"/>
          <w:color w:val="auto"/>
          <w:sz w:val="24"/>
          <w:lang w:val="en-US" w:eastAsia="zh-CN"/>
        </w:rPr>
        <w:t>保险、</w:t>
      </w:r>
      <w:r>
        <w:rPr>
          <w:rFonts w:hint="eastAsia" w:ascii="宋体" w:hAnsi="宋体" w:cs="宋体"/>
          <w:color w:val="auto"/>
          <w:sz w:val="24"/>
        </w:rPr>
        <w:t>税</w:t>
      </w:r>
      <w:r>
        <w:rPr>
          <w:rFonts w:hint="eastAsia" w:ascii="宋体" w:hAnsi="宋体" w:cs="宋体"/>
          <w:color w:val="auto"/>
          <w:sz w:val="24"/>
          <w:lang w:val="en-US" w:eastAsia="zh-CN"/>
        </w:rPr>
        <w:t>费</w:t>
      </w:r>
      <w:r>
        <w:rPr>
          <w:rFonts w:hint="eastAsia" w:ascii="宋体" w:hAnsi="宋体" w:cs="宋体"/>
          <w:color w:val="auto"/>
          <w:sz w:val="24"/>
        </w:rPr>
        <w:t>等所有相关费用）</w:t>
      </w:r>
      <w:r>
        <w:rPr>
          <w:rFonts w:hint="eastAsia" w:ascii="宋体" w:hAnsi="宋体" w:cs="宋体"/>
          <w:color w:val="auto"/>
          <w:sz w:val="24"/>
          <w:lang w:val="en-US" w:eastAsia="zh-CN"/>
        </w:rPr>
        <w:t>以及</w:t>
      </w:r>
      <w:r>
        <w:rPr>
          <w:rFonts w:hint="eastAsia" w:ascii="宋体" w:hAnsi="宋体" w:cs="宋体"/>
          <w:color w:val="auto"/>
          <w:sz w:val="24"/>
        </w:rPr>
        <w:t>供应商认为需包含的其它费用</w:t>
      </w:r>
      <w:r>
        <w:rPr>
          <w:rFonts w:hint="eastAsia" w:ascii="宋体" w:hAnsi="宋体" w:cs="宋体"/>
          <w:color w:val="auto"/>
          <w:sz w:val="24"/>
          <w:lang w:eastAsia="zh-CN"/>
        </w:rPr>
        <w:t>。</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17.3供应商应按照</w:t>
      </w:r>
      <w:r>
        <w:rPr>
          <w:rFonts w:hint="eastAsia" w:ascii="宋体" w:hAnsi="宋体" w:cs="宋体"/>
          <w:color w:val="auto"/>
          <w:sz w:val="24"/>
          <w:lang w:eastAsia="zh-CN"/>
        </w:rPr>
        <w:t>招标</w:t>
      </w:r>
      <w:r>
        <w:rPr>
          <w:rFonts w:hint="eastAsia" w:ascii="宋体" w:hAnsi="宋体" w:cs="宋体"/>
          <w:color w:val="auto"/>
          <w:sz w:val="24"/>
        </w:rPr>
        <w:t>文件所附的格式完整地填写商务报价一览表。供应商应对采购范围</w:t>
      </w:r>
      <w:r>
        <w:rPr>
          <w:rFonts w:hint="eastAsia" w:ascii="宋体" w:hAnsi="宋体" w:cs="宋体"/>
          <w:color w:val="auto"/>
          <w:sz w:val="24"/>
          <w:lang w:val="en-US" w:eastAsia="zh-CN"/>
        </w:rPr>
        <w:t>内的全部内容进行报价。</w:t>
      </w:r>
    </w:p>
    <w:p>
      <w:pPr>
        <w:spacing w:line="360" w:lineRule="auto"/>
        <w:ind w:firstLine="480" w:firstLineChars="200"/>
        <w:rPr>
          <w:rFonts w:hint="eastAsia" w:ascii="宋体" w:hAnsi="宋体" w:cs="宋体"/>
          <w:b/>
          <w:bCs/>
          <w:color w:val="auto"/>
          <w:sz w:val="24"/>
          <w:lang w:val="en-US" w:eastAsia="zh-CN"/>
        </w:rPr>
      </w:pPr>
      <w:r>
        <w:rPr>
          <w:rFonts w:hint="eastAsia" w:ascii="宋体" w:hAnsi="宋体" w:cs="宋体"/>
          <w:color w:val="auto"/>
          <w:sz w:val="24"/>
          <w:lang w:val="en-US" w:eastAsia="zh-CN"/>
        </w:rPr>
        <w:t>17.4</w:t>
      </w:r>
      <w:r>
        <w:rPr>
          <w:rFonts w:hint="eastAsia" w:ascii="宋体" w:hAnsi="宋体" w:cs="宋体"/>
          <w:b/>
          <w:bCs/>
          <w:color w:val="auto"/>
          <w:sz w:val="24"/>
          <w:lang w:val="en-US" w:eastAsia="zh-CN"/>
        </w:rPr>
        <w:t>采购代理费：本项目采购代理费经与采购人协调，确定由中标供应商进行支付，总金额为人民币1.58万元（大写：人民币壹万伍仟捌佰元整），中标供应商领取中标通知书时支付采购代理费。此部分费用供应商自行考虑计入本次投标报价中，不因供应商漏报或忽略而后期追加费用。</w:t>
      </w:r>
    </w:p>
    <w:p>
      <w:pPr>
        <w:spacing w:line="360" w:lineRule="auto"/>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 xml:space="preserve">单位名称：新疆永信工程造价咨询有限公司  </w:t>
      </w:r>
    </w:p>
    <w:p>
      <w:pPr>
        <w:spacing w:line="360" w:lineRule="auto"/>
        <w:ind w:firstLine="482" w:firstLineChars="200"/>
        <w:rPr>
          <w:rFonts w:hint="default" w:ascii="宋体" w:hAnsi="宋体" w:cs="宋体"/>
          <w:b/>
          <w:bCs/>
          <w:color w:val="auto"/>
          <w:sz w:val="24"/>
          <w:lang w:val="en-US" w:eastAsia="zh-CN"/>
        </w:rPr>
      </w:pPr>
      <w:r>
        <w:rPr>
          <w:rFonts w:hint="eastAsia" w:ascii="宋体" w:hAnsi="宋体" w:cs="宋体"/>
          <w:b/>
          <w:bCs/>
          <w:color w:val="auto"/>
          <w:sz w:val="24"/>
          <w:lang w:val="en-US" w:eastAsia="zh-CN"/>
        </w:rPr>
        <w:t>开户行：中国工商银行股份有限公司克拉玛依东风支行</w:t>
      </w:r>
    </w:p>
    <w:p>
      <w:pPr>
        <w:spacing w:line="360" w:lineRule="auto"/>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 xml:space="preserve">银行账号：3003022009200012194           </w:t>
      </w:r>
    </w:p>
    <w:p>
      <w:pPr>
        <w:spacing w:line="360" w:lineRule="auto"/>
        <w:ind w:firstLine="482" w:firstLineChars="200"/>
        <w:rPr>
          <w:rFonts w:hint="default" w:ascii="宋体" w:hAnsi="宋体" w:cs="宋体"/>
          <w:b/>
          <w:bCs/>
          <w:color w:val="auto"/>
          <w:sz w:val="24"/>
          <w:lang w:val="en-US" w:eastAsia="zh-CN"/>
        </w:rPr>
      </w:pPr>
      <w:r>
        <w:rPr>
          <w:rFonts w:hint="eastAsia" w:ascii="宋体" w:hAnsi="宋体" w:cs="宋体"/>
          <w:b/>
          <w:bCs/>
          <w:color w:val="auto"/>
          <w:sz w:val="24"/>
          <w:lang w:val="en-US" w:eastAsia="zh-CN"/>
        </w:rPr>
        <w:t>行  号：102882000045</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lang w:val="en-US" w:eastAsia="zh-CN"/>
        </w:rPr>
        <w:t>财务联系电话：18609906001、0990-6883442</w:t>
      </w:r>
    </w:p>
    <w:p>
      <w:pPr>
        <w:spacing w:line="360" w:lineRule="auto"/>
        <w:ind w:firstLine="480" w:firstLineChars="200"/>
        <w:rPr>
          <w:rFonts w:ascii="宋体" w:hAnsi="宋体" w:cs="宋体"/>
          <w:color w:val="auto"/>
          <w:sz w:val="24"/>
        </w:rPr>
      </w:pPr>
      <w:r>
        <w:rPr>
          <w:rFonts w:hint="eastAsia" w:ascii="宋体" w:hAnsi="宋体" w:cs="宋体"/>
          <w:color w:val="auto"/>
          <w:sz w:val="24"/>
        </w:rPr>
        <w:t>17.</w:t>
      </w:r>
      <w:r>
        <w:rPr>
          <w:rFonts w:hint="eastAsia" w:ascii="宋体" w:hAnsi="宋体" w:cs="宋体"/>
          <w:color w:val="auto"/>
          <w:sz w:val="24"/>
          <w:lang w:val="en-US" w:eastAsia="zh-CN"/>
        </w:rPr>
        <w:t>5</w:t>
      </w:r>
      <w:r>
        <w:rPr>
          <w:rFonts w:hint="eastAsia" w:ascii="宋体" w:hAnsi="宋体" w:cs="宋体"/>
          <w:color w:val="auto"/>
          <w:sz w:val="24"/>
        </w:rPr>
        <w:t>供应商若</w:t>
      </w:r>
      <w:r>
        <w:rPr>
          <w:rFonts w:hint="eastAsia" w:ascii="宋体" w:hAnsi="宋体" w:cs="宋体"/>
          <w:color w:val="auto"/>
          <w:sz w:val="24"/>
          <w:lang w:eastAsia="zh-CN"/>
        </w:rPr>
        <w:t>中标</w:t>
      </w:r>
      <w:r>
        <w:rPr>
          <w:rFonts w:hint="eastAsia" w:ascii="宋体" w:hAnsi="宋体" w:cs="宋体"/>
          <w:color w:val="auto"/>
          <w:sz w:val="24"/>
        </w:rPr>
        <w:t>，不得以任何理由在合同执行期间予以价格调整。任何包含价格调整的要求将被认为是非响应而予以拒绝。</w:t>
      </w:r>
    </w:p>
    <w:bookmarkEnd w:id="96"/>
    <w:bookmarkEnd w:id="97"/>
    <w:bookmarkEnd w:id="98"/>
    <w:bookmarkEnd w:id="99"/>
    <w:p>
      <w:pPr>
        <w:pStyle w:val="11"/>
        <w:spacing w:line="360" w:lineRule="auto"/>
        <w:ind w:firstLine="480" w:firstLineChars="200"/>
        <w:rPr>
          <w:rFonts w:hAnsi="宋体" w:cs="宋体"/>
          <w:color w:val="auto"/>
          <w:sz w:val="24"/>
          <w:szCs w:val="24"/>
        </w:rPr>
      </w:pPr>
      <w:bookmarkStart w:id="100" w:name="_Toc245897288"/>
      <w:r>
        <w:rPr>
          <w:rFonts w:hint="eastAsia" w:hAnsi="宋体" w:cs="宋体"/>
          <w:color w:val="auto"/>
          <w:sz w:val="24"/>
          <w:szCs w:val="24"/>
        </w:rPr>
        <w:t>18、商务报价货币</w:t>
      </w:r>
      <w:bookmarkEnd w:id="100"/>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18.1商务报价一览表和</w:t>
      </w:r>
      <w:r>
        <w:rPr>
          <w:rFonts w:hint="eastAsia" w:hAnsi="宋体" w:cs="宋体"/>
          <w:color w:val="auto"/>
          <w:sz w:val="24"/>
          <w:szCs w:val="24"/>
          <w:lang w:eastAsia="zh-CN"/>
        </w:rPr>
        <w:t>投标文件</w:t>
      </w:r>
      <w:r>
        <w:rPr>
          <w:rFonts w:hint="eastAsia" w:hAnsi="宋体" w:cs="宋体"/>
          <w:color w:val="auto"/>
          <w:sz w:val="24"/>
          <w:szCs w:val="24"/>
        </w:rPr>
        <w:t>中的所有报价一律使用人民币（RMB）填报。</w:t>
      </w:r>
    </w:p>
    <w:p>
      <w:pPr>
        <w:pStyle w:val="11"/>
        <w:spacing w:line="360" w:lineRule="auto"/>
        <w:ind w:firstLine="480" w:firstLineChars="200"/>
        <w:rPr>
          <w:rFonts w:hAnsi="宋体" w:cs="宋体"/>
          <w:color w:val="auto"/>
          <w:sz w:val="24"/>
          <w:szCs w:val="24"/>
          <w:highlight w:val="red"/>
        </w:rPr>
      </w:pPr>
      <w:bookmarkStart w:id="101" w:name="_Toc245897289"/>
      <w:bookmarkStart w:id="102" w:name="_Toc243906328"/>
      <w:bookmarkStart w:id="103" w:name="_Toc233274829"/>
      <w:bookmarkStart w:id="104" w:name="_Toc243907589"/>
      <w:r>
        <w:rPr>
          <w:rFonts w:hint="eastAsia" w:hAnsi="宋体" w:cs="宋体"/>
          <w:color w:val="auto"/>
          <w:sz w:val="24"/>
          <w:szCs w:val="24"/>
        </w:rPr>
        <w:t>19、供应商资格证明文件</w:t>
      </w:r>
      <w:bookmarkEnd w:id="101"/>
      <w:bookmarkEnd w:id="102"/>
      <w:bookmarkEnd w:id="103"/>
      <w:bookmarkEnd w:id="104"/>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19.1 供应商必须提交证明其有资格参加</w:t>
      </w:r>
      <w:r>
        <w:rPr>
          <w:rFonts w:hint="eastAsia" w:hAnsi="宋体" w:cs="宋体"/>
          <w:color w:val="auto"/>
          <w:sz w:val="24"/>
          <w:szCs w:val="24"/>
          <w:lang w:eastAsia="zh-CN"/>
        </w:rPr>
        <w:t>投标</w:t>
      </w:r>
      <w:r>
        <w:rPr>
          <w:rFonts w:hint="eastAsia" w:hAnsi="宋体" w:cs="宋体"/>
          <w:color w:val="auto"/>
          <w:sz w:val="24"/>
          <w:szCs w:val="24"/>
        </w:rPr>
        <w:t>和</w:t>
      </w:r>
      <w:r>
        <w:rPr>
          <w:rFonts w:hint="eastAsia" w:hAnsi="宋体" w:cs="宋体"/>
          <w:color w:val="auto"/>
          <w:sz w:val="24"/>
          <w:szCs w:val="24"/>
          <w:lang w:eastAsia="zh-CN"/>
        </w:rPr>
        <w:t>中标</w:t>
      </w:r>
      <w:r>
        <w:rPr>
          <w:rFonts w:hint="eastAsia" w:hAnsi="宋体" w:cs="宋体"/>
          <w:color w:val="auto"/>
          <w:sz w:val="24"/>
          <w:szCs w:val="24"/>
        </w:rPr>
        <w:t>后有能力履行合同的文件。</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19.2供应商须提交证明其拟供货物和服务符合</w:t>
      </w:r>
      <w:r>
        <w:rPr>
          <w:rFonts w:hint="eastAsia" w:hAnsi="宋体" w:cs="宋体"/>
          <w:color w:val="auto"/>
          <w:sz w:val="24"/>
          <w:szCs w:val="24"/>
          <w:lang w:eastAsia="zh-CN"/>
        </w:rPr>
        <w:t>招标</w:t>
      </w:r>
      <w:r>
        <w:rPr>
          <w:rFonts w:hint="eastAsia" w:hAnsi="宋体" w:cs="宋体"/>
          <w:color w:val="auto"/>
          <w:sz w:val="24"/>
          <w:szCs w:val="24"/>
        </w:rPr>
        <w:t>文件、项目采购需求规定的技术</w:t>
      </w:r>
      <w:r>
        <w:rPr>
          <w:rFonts w:hint="eastAsia" w:hAnsi="宋体" w:cs="宋体"/>
          <w:color w:val="auto"/>
          <w:sz w:val="24"/>
          <w:szCs w:val="24"/>
          <w:lang w:eastAsia="zh-CN"/>
        </w:rPr>
        <w:t>投标文件</w:t>
      </w:r>
      <w:r>
        <w:rPr>
          <w:rFonts w:hint="eastAsia" w:hAnsi="宋体" w:cs="宋体"/>
          <w:color w:val="auto"/>
          <w:sz w:val="24"/>
          <w:szCs w:val="24"/>
        </w:rPr>
        <w:t>，作为</w:t>
      </w:r>
      <w:r>
        <w:rPr>
          <w:rFonts w:hint="eastAsia" w:hAnsi="宋体" w:cs="宋体"/>
          <w:color w:val="auto"/>
          <w:sz w:val="24"/>
          <w:szCs w:val="24"/>
          <w:lang w:eastAsia="zh-CN"/>
        </w:rPr>
        <w:t>投标文件</w:t>
      </w:r>
      <w:r>
        <w:rPr>
          <w:rFonts w:hint="eastAsia" w:hAnsi="宋体" w:cs="宋体"/>
          <w:color w:val="auto"/>
          <w:sz w:val="24"/>
          <w:szCs w:val="24"/>
        </w:rPr>
        <w:t>的一部分。</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19.3上述文件可以是文字资料、图纸和数据，并须提供主要技术性能的详细描述及设备清单和所提供服务的详细说明；</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19.4供应商应逐条对</w:t>
      </w:r>
      <w:r>
        <w:rPr>
          <w:rFonts w:hint="eastAsia" w:hAnsi="宋体" w:cs="宋体"/>
          <w:color w:val="auto"/>
          <w:sz w:val="24"/>
          <w:szCs w:val="24"/>
          <w:lang w:eastAsia="zh-CN"/>
        </w:rPr>
        <w:t>招标</w:t>
      </w:r>
      <w:r>
        <w:rPr>
          <w:rFonts w:hint="eastAsia" w:hAnsi="宋体" w:cs="宋体"/>
          <w:color w:val="auto"/>
          <w:sz w:val="24"/>
          <w:szCs w:val="24"/>
        </w:rPr>
        <w:t>文件、项目采购需求、合同条款等进行仔细阅读，提出自己提供的服务是否对其做出了实质性的响应。</w:t>
      </w:r>
    </w:p>
    <w:p>
      <w:pPr>
        <w:pStyle w:val="11"/>
        <w:spacing w:line="360" w:lineRule="auto"/>
        <w:ind w:firstLine="480" w:firstLineChars="200"/>
        <w:rPr>
          <w:rFonts w:hAnsi="宋体" w:cs="宋体"/>
          <w:color w:val="auto"/>
          <w:sz w:val="24"/>
          <w:szCs w:val="24"/>
        </w:rPr>
      </w:pPr>
      <w:bookmarkStart w:id="105" w:name="_Toc245897291"/>
      <w:bookmarkStart w:id="106" w:name="_Toc243906330"/>
      <w:bookmarkStart w:id="107" w:name="_Toc233274831"/>
      <w:bookmarkStart w:id="108" w:name="_Toc243907591"/>
      <w:r>
        <w:rPr>
          <w:rFonts w:hint="eastAsia" w:hAnsi="宋体" w:cs="宋体"/>
          <w:color w:val="auto"/>
          <w:sz w:val="24"/>
          <w:szCs w:val="24"/>
        </w:rPr>
        <w:t>20、</w:t>
      </w:r>
      <w:r>
        <w:rPr>
          <w:rFonts w:hint="eastAsia" w:hAnsi="宋体" w:cs="宋体"/>
          <w:color w:val="auto"/>
          <w:sz w:val="24"/>
          <w:szCs w:val="24"/>
          <w:lang w:eastAsia="zh-CN"/>
        </w:rPr>
        <w:t>投标文件</w:t>
      </w:r>
      <w:r>
        <w:rPr>
          <w:rFonts w:hint="eastAsia" w:hAnsi="宋体" w:cs="宋体"/>
          <w:color w:val="auto"/>
          <w:sz w:val="24"/>
          <w:szCs w:val="24"/>
        </w:rPr>
        <w:t>有效期</w:t>
      </w:r>
      <w:bookmarkEnd w:id="105"/>
      <w:bookmarkEnd w:id="106"/>
      <w:bookmarkEnd w:id="107"/>
      <w:bookmarkEnd w:id="108"/>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20.1</w:t>
      </w:r>
      <w:r>
        <w:rPr>
          <w:rFonts w:hint="eastAsia" w:hAnsi="宋体" w:cs="宋体"/>
          <w:color w:val="auto"/>
          <w:sz w:val="24"/>
          <w:szCs w:val="24"/>
          <w:lang w:eastAsia="zh-CN"/>
        </w:rPr>
        <w:t>投标文件</w:t>
      </w:r>
      <w:r>
        <w:rPr>
          <w:rFonts w:hint="eastAsia" w:hAnsi="宋体" w:cs="宋体"/>
          <w:color w:val="auto"/>
          <w:sz w:val="24"/>
          <w:szCs w:val="24"/>
        </w:rPr>
        <w:t>有效期为递交</w:t>
      </w:r>
      <w:r>
        <w:rPr>
          <w:rFonts w:hint="eastAsia" w:hAnsi="宋体" w:cs="宋体"/>
          <w:color w:val="auto"/>
          <w:sz w:val="24"/>
          <w:szCs w:val="24"/>
          <w:lang w:eastAsia="zh-CN"/>
        </w:rPr>
        <w:t>投标文件</w:t>
      </w:r>
      <w:r>
        <w:rPr>
          <w:rFonts w:hint="eastAsia" w:hAnsi="宋体" w:cs="宋体"/>
          <w:color w:val="auto"/>
          <w:sz w:val="24"/>
          <w:szCs w:val="24"/>
        </w:rPr>
        <w:t>截止之日起60天（日历日）。供应商的</w:t>
      </w:r>
      <w:r>
        <w:rPr>
          <w:rFonts w:hint="eastAsia" w:hAnsi="宋体" w:cs="宋体"/>
          <w:color w:val="auto"/>
          <w:sz w:val="24"/>
          <w:szCs w:val="24"/>
          <w:lang w:eastAsia="zh-CN"/>
        </w:rPr>
        <w:t>投标文件</w:t>
      </w:r>
      <w:r>
        <w:rPr>
          <w:rFonts w:hint="eastAsia" w:hAnsi="宋体" w:cs="宋体"/>
          <w:color w:val="auto"/>
          <w:sz w:val="24"/>
          <w:szCs w:val="24"/>
        </w:rPr>
        <w:t>有效期比规定的有效期短的，将被视为非响应而予以拒绝。</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20.2 特殊情况下，在原有效期届满之前，采购人可征得供应商的同意延长其有效期，这种要求与答复均应以书面形式。供应商拒绝延长的，其</w:t>
      </w:r>
      <w:r>
        <w:rPr>
          <w:rFonts w:hint="eastAsia" w:hAnsi="宋体" w:cs="宋体"/>
          <w:color w:val="auto"/>
          <w:sz w:val="24"/>
          <w:szCs w:val="24"/>
          <w:lang w:eastAsia="zh-CN"/>
        </w:rPr>
        <w:t>投标文件</w:t>
      </w:r>
      <w:r>
        <w:rPr>
          <w:rFonts w:hint="eastAsia" w:hAnsi="宋体" w:cs="宋体"/>
          <w:color w:val="auto"/>
          <w:sz w:val="24"/>
          <w:szCs w:val="24"/>
        </w:rPr>
        <w:t>失效。同意延长有效期的供应商，既不要求也不允许其修改</w:t>
      </w:r>
      <w:r>
        <w:rPr>
          <w:rFonts w:hint="eastAsia" w:hAnsi="宋体" w:cs="宋体"/>
          <w:color w:val="auto"/>
          <w:sz w:val="24"/>
          <w:szCs w:val="24"/>
          <w:lang w:eastAsia="zh-CN"/>
        </w:rPr>
        <w:t>投标文件</w:t>
      </w:r>
      <w:r>
        <w:rPr>
          <w:rFonts w:hint="eastAsia" w:hAnsi="宋体" w:cs="宋体"/>
          <w:color w:val="auto"/>
          <w:sz w:val="24"/>
          <w:szCs w:val="24"/>
        </w:rPr>
        <w:t>。</w:t>
      </w:r>
    </w:p>
    <w:p>
      <w:pPr>
        <w:pStyle w:val="11"/>
        <w:spacing w:line="360" w:lineRule="auto"/>
        <w:ind w:firstLine="480" w:firstLineChars="200"/>
        <w:rPr>
          <w:rFonts w:hint="eastAsia" w:hAnsi="宋体" w:cs="宋体"/>
          <w:color w:val="auto"/>
          <w:sz w:val="24"/>
          <w:szCs w:val="24"/>
        </w:rPr>
      </w:pPr>
      <w:r>
        <w:rPr>
          <w:rFonts w:hint="eastAsia" w:hAnsi="宋体" w:cs="宋体"/>
          <w:color w:val="auto"/>
          <w:sz w:val="24"/>
          <w:szCs w:val="24"/>
        </w:rPr>
        <w:t>21、</w:t>
      </w:r>
      <w:r>
        <w:rPr>
          <w:rFonts w:hint="eastAsia" w:hAnsi="宋体" w:cs="宋体"/>
          <w:color w:val="auto"/>
          <w:sz w:val="24"/>
          <w:szCs w:val="24"/>
          <w:lang w:eastAsia="zh-CN"/>
        </w:rPr>
        <w:t>投标文件</w:t>
      </w:r>
      <w:r>
        <w:rPr>
          <w:rFonts w:hint="eastAsia" w:hAnsi="宋体" w:cs="宋体"/>
          <w:color w:val="auto"/>
          <w:sz w:val="24"/>
          <w:szCs w:val="24"/>
        </w:rPr>
        <w:t>的签署及规定</w:t>
      </w:r>
    </w:p>
    <w:p>
      <w:pPr>
        <w:pStyle w:val="11"/>
        <w:keepNext w:val="0"/>
        <w:keepLines w:val="0"/>
        <w:pageBreakBefore w:val="0"/>
        <w:kinsoku/>
        <w:wordWrap/>
        <w:overflowPunct/>
        <w:topLinePunct w:val="0"/>
        <w:autoSpaceDE/>
        <w:autoSpaceDN/>
        <w:bidi w:val="0"/>
        <w:spacing w:line="440" w:lineRule="exact"/>
        <w:ind w:firstLine="480" w:firstLineChars="200"/>
        <w:rPr>
          <w:rFonts w:hint="eastAsia" w:hAnsi="宋体" w:cs="宋体"/>
          <w:color w:val="auto"/>
          <w:sz w:val="24"/>
        </w:rPr>
      </w:pPr>
      <w:r>
        <w:rPr>
          <w:rFonts w:hint="eastAsia" w:hAnsi="宋体" w:cs="宋体"/>
          <w:color w:val="auto"/>
          <w:sz w:val="24"/>
        </w:rPr>
        <w:t>2</w:t>
      </w:r>
      <w:r>
        <w:rPr>
          <w:rFonts w:hint="eastAsia" w:hAnsi="宋体" w:cs="宋体"/>
          <w:color w:val="auto"/>
          <w:sz w:val="24"/>
          <w:lang w:val="en-US" w:eastAsia="zh-CN"/>
        </w:rPr>
        <w:t>1</w:t>
      </w:r>
      <w:r>
        <w:rPr>
          <w:rFonts w:hint="eastAsia" w:hAnsi="宋体" w:cs="宋体"/>
          <w:color w:val="auto"/>
          <w:sz w:val="24"/>
        </w:rPr>
        <w:t>.1</w:t>
      </w:r>
      <w:r>
        <w:rPr>
          <w:rFonts w:hint="eastAsia" w:ascii="宋体" w:hAnsi="宋体" w:eastAsia="宋体" w:cs="宋体"/>
          <w:color w:val="auto"/>
          <w:sz w:val="24"/>
          <w:szCs w:val="24"/>
        </w:rPr>
        <w:t>供应商应</w:t>
      </w:r>
      <w:r>
        <w:rPr>
          <w:rFonts w:hint="eastAsia" w:hAnsi="宋体" w:eastAsia="宋体" w:cs="宋体"/>
          <w:color w:val="auto"/>
          <w:sz w:val="24"/>
          <w:szCs w:val="24"/>
          <w:lang w:eastAsia="zh-CN"/>
        </w:rPr>
        <w:t>按前附表</w:t>
      </w:r>
      <w:r>
        <w:rPr>
          <w:rFonts w:hint="eastAsia" w:ascii="宋体" w:hAnsi="宋体" w:eastAsia="宋体" w:cs="宋体"/>
          <w:color w:val="auto"/>
          <w:sz w:val="24"/>
          <w:szCs w:val="24"/>
        </w:rPr>
        <w:t>第5条规定的</w:t>
      </w:r>
      <w:r>
        <w:rPr>
          <w:rFonts w:hint="eastAsia" w:hAnsi="宋体" w:eastAsia="宋体" w:cs="宋体"/>
          <w:color w:val="auto"/>
          <w:sz w:val="24"/>
          <w:szCs w:val="24"/>
          <w:lang w:eastAsia="zh-CN"/>
        </w:rPr>
        <w:t>要求提交</w:t>
      </w:r>
      <w:r>
        <w:rPr>
          <w:rFonts w:hint="eastAsia" w:hAnsi="宋体" w:cs="宋体"/>
          <w:color w:val="auto"/>
          <w:sz w:val="24"/>
          <w:szCs w:val="24"/>
          <w:lang w:eastAsia="zh-CN"/>
        </w:rPr>
        <w:t>投标文件</w:t>
      </w:r>
      <w:r>
        <w:rPr>
          <w:rFonts w:hint="eastAsia" w:ascii="宋体" w:hAnsi="宋体" w:eastAsia="宋体" w:cs="宋体"/>
          <w:color w:val="auto"/>
          <w:sz w:val="24"/>
          <w:szCs w:val="24"/>
        </w:rPr>
        <w:t>，</w:t>
      </w:r>
      <w:r>
        <w:rPr>
          <w:rFonts w:hint="eastAsia" w:hAnsi="宋体" w:cs="宋体"/>
          <w:color w:val="auto"/>
          <w:sz w:val="24"/>
          <w:szCs w:val="24"/>
          <w:lang w:eastAsia="zh-CN"/>
        </w:rPr>
        <w:t>投标文件</w:t>
      </w:r>
      <w:r>
        <w:rPr>
          <w:rFonts w:hint="eastAsia" w:ascii="宋体" w:hAnsi="宋体" w:eastAsia="宋体" w:cs="宋体"/>
          <w:color w:val="auto"/>
          <w:sz w:val="24"/>
          <w:szCs w:val="24"/>
        </w:rPr>
        <w:t>内要求有盖章及签字的必须有盖章签字，所盖章必须是红章。</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21.</w:t>
      </w:r>
      <w:r>
        <w:rPr>
          <w:rFonts w:hint="eastAsia" w:hAnsi="宋体" w:cs="宋体"/>
          <w:color w:val="auto"/>
          <w:sz w:val="24"/>
          <w:szCs w:val="24"/>
          <w:lang w:val="en-US" w:eastAsia="zh-CN"/>
        </w:rPr>
        <w:t>2</w:t>
      </w:r>
      <w:r>
        <w:rPr>
          <w:rFonts w:hint="eastAsia" w:hAnsi="宋体" w:cs="宋体"/>
          <w:color w:val="auto"/>
          <w:sz w:val="24"/>
          <w:szCs w:val="24"/>
        </w:rPr>
        <w:t>除供应商对错误做必要修改外，</w:t>
      </w:r>
      <w:r>
        <w:rPr>
          <w:rFonts w:hint="eastAsia" w:hAnsi="宋体" w:cs="宋体"/>
          <w:color w:val="auto"/>
          <w:sz w:val="24"/>
          <w:szCs w:val="24"/>
          <w:lang w:eastAsia="zh-CN"/>
        </w:rPr>
        <w:t>投标文件</w:t>
      </w:r>
      <w:r>
        <w:rPr>
          <w:rFonts w:hint="eastAsia" w:hAnsi="宋体" w:cs="宋体"/>
          <w:color w:val="auto"/>
          <w:sz w:val="24"/>
          <w:szCs w:val="24"/>
        </w:rPr>
        <w:t>中不许有增删、涂改或改写。若确有修改必须由签署</w:t>
      </w:r>
      <w:r>
        <w:rPr>
          <w:rFonts w:hint="eastAsia" w:hAnsi="宋体" w:cs="宋体"/>
          <w:color w:val="auto"/>
          <w:sz w:val="24"/>
          <w:szCs w:val="24"/>
          <w:lang w:eastAsia="zh-CN"/>
        </w:rPr>
        <w:t>投标文件</w:t>
      </w:r>
      <w:r>
        <w:rPr>
          <w:rFonts w:hint="eastAsia" w:hAnsi="宋体" w:cs="宋体"/>
          <w:color w:val="auto"/>
          <w:sz w:val="24"/>
          <w:szCs w:val="24"/>
        </w:rPr>
        <w:t>的委托代理人签字或盖章。</w:t>
      </w:r>
    </w:p>
    <w:p>
      <w:pPr>
        <w:pStyle w:val="11"/>
        <w:spacing w:line="360" w:lineRule="auto"/>
        <w:outlineLvl w:val="1"/>
        <w:rPr>
          <w:rFonts w:hAnsi="宋体" w:cs="宋体"/>
          <w:b/>
          <w:bCs/>
          <w:color w:val="auto"/>
          <w:sz w:val="24"/>
          <w:szCs w:val="24"/>
        </w:rPr>
      </w:pPr>
      <w:r>
        <w:rPr>
          <w:rFonts w:hint="eastAsia" w:hAnsi="宋体" w:cs="宋体"/>
          <w:b/>
          <w:bCs/>
          <w:color w:val="auto"/>
          <w:sz w:val="24"/>
          <w:szCs w:val="24"/>
        </w:rPr>
        <w:t>四、</w:t>
      </w:r>
      <w:r>
        <w:rPr>
          <w:rFonts w:hint="eastAsia" w:hAnsi="宋体" w:cs="宋体"/>
          <w:b/>
          <w:bCs/>
          <w:color w:val="auto"/>
          <w:sz w:val="24"/>
          <w:szCs w:val="24"/>
          <w:lang w:eastAsia="zh-CN"/>
        </w:rPr>
        <w:t>投标文件</w:t>
      </w:r>
      <w:r>
        <w:rPr>
          <w:rFonts w:hint="eastAsia" w:hAnsi="宋体" w:cs="宋体"/>
          <w:b/>
          <w:bCs/>
          <w:color w:val="auto"/>
          <w:sz w:val="24"/>
          <w:szCs w:val="24"/>
        </w:rPr>
        <w:t>的递交、修改和撤回</w:t>
      </w:r>
      <w:bookmarkEnd w:id="82"/>
    </w:p>
    <w:p>
      <w:pPr>
        <w:spacing w:line="360" w:lineRule="auto"/>
        <w:ind w:firstLine="480" w:firstLineChars="200"/>
        <w:outlineLvl w:val="1"/>
        <w:rPr>
          <w:rFonts w:ascii="宋体" w:hAnsi="宋体" w:cs="宋体"/>
          <w:color w:val="auto"/>
          <w:sz w:val="24"/>
        </w:rPr>
      </w:pPr>
      <w:bookmarkStart w:id="109" w:name="_Toc245897295"/>
      <w:bookmarkStart w:id="110" w:name="_Toc243906334"/>
      <w:bookmarkStart w:id="111" w:name="_Toc233274835"/>
      <w:bookmarkStart w:id="112" w:name="_Toc243907595"/>
      <w:bookmarkStart w:id="113" w:name="_Toc245897296"/>
      <w:bookmarkStart w:id="114" w:name="_Toc233274836"/>
      <w:bookmarkStart w:id="115" w:name="_Toc243907596"/>
      <w:bookmarkStart w:id="116" w:name="_Toc243906335"/>
      <w:bookmarkStart w:id="117" w:name="_Toc246216209"/>
      <w:bookmarkStart w:id="118" w:name="_Toc19823"/>
      <w:bookmarkStart w:id="119" w:name="_Toc243906339"/>
      <w:bookmarkStart w:id="120" w:name="_Toc233274840"/>
      <w:bookmarkStart w:id="121" w:name="_Toc243907600"/>
      <w:r>
        <w:rPr>
          <w:rFonts w:hint="eastAsia" w:ascii="宋体" w:hAnsi="宋体" w:cs="宋体"/>
          <w:color w:val="auto"/>
          <w:sz w:val="24"/>
        </w:rPr>
        <w:t>22、</w:t>
      </w:r>
      <w:r>
        <w:rPr>
          <w:rFonts w:hint="eastAsia" w:ascii="宋体" w:hAnsi="宋体" w:cs="宋体"/>
          <w:color w:val="auto"/>
          <w:sz w:val="24"/>
          <w:lang w:eastAsia="zh-CN"/>
        </w:rPr>
        <w:t>投标文件</w:t>
      </w:r>
      <w:r>
        <w:rPr>
          <w:rFonts w:hint="eastAsia" w:ascii="宋体" w:hAnsi="宋体" w:cs="宋体"/>
          <w:color w:val="auto"/>
          <w:sz w:val="24"/>
        </w:rPr>
        <w:t>的标记</w:t>
      </w:r>
      <w:bookmarkEnd w:id="109"/>
      <w:bookmarkEnd w:id="110"/>
      <w:bookmarkEnd w:id="111"/>
      <w:bookmarkEnd w:id="112"/>
    </w:p>
    <w:p>
      <w:pPr>
        <w:pStyle w:val="11"/>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r>
        <w:rPr>
          <w:rFonts w:hint="eastAsia" w:ascii="宋体" w:hAnsi="宋体" w:cs="宋体"/>
          <w:color w:val="auto"/>
          <w:sz w:val="24"/>
        </w:rPr>
        <w:t>22.1</w:t>
      </w:r>
      <w:r>
        <w:rPr>
          <w:rFonts w:hint="eastAsia" w:ascii="宋体" w:hAnsi="宋体" w:eastAsia="宋体" w:cs="宋体"/>
          <w:color w:val="auto"/>
          <w:kern w:val="2"/>
          <w:sz w:val="24"/>
          <w:szCs w:val="24"/>
          <w:lang w:val="en-US" w:eastAsia="zh-CN" w:bidi="ar-SA"/>
        </w:rPr>
        <w:t>投标文件</w:t>
      </w:r>
      <w:bookmarkStart w:id="122" w:name="_Toc29459"/>
      <w:r>
        <w:rPr>
          <w:rFonts w:hint="eastAsia" w:ascii="宋体" w:hAnsi="宋体" w:eastAsia="宋体" w:cs="宋体"/>
          <w:color w:val="auto"/>
          <w:kern w:val="2"/>
          <w:sz w:val="24"/>
          <w:szCs w:val="24"/>
          <w:lang w:val="en-US" w:eastAsia="zh-CN" w:bidi="ar-SA"/>
        </w:rPr>
        <w:t>封面应写明“项目名称”、“招标文件编号”、“供应商名称”</w:t>
      </w:r>
      <w:r>
        <w:rPr>
          <w:rFonts w:hint="eastAsia"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“地址”</w:t>
      </w:r>
      <w:r>
        <w:rPr>
          <w:rFonts w:hint="eastAsia"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联系人</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和</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联系方式</w:t>
      </w:r>
      <w:r>
        <w:rPr>
          <w:rFonts w:hint="eastAsia" w:ascii="宋体" w:hAnsi="宋体" w:eastAsia="宋体" w:cs="宋体"/>
          <w:color w:val="auto"/>
          <w:kern w:val="2"/>
          <w:sz w:val="24"/>
          <w:szCs w:val="24"/>
          <w:lang w:val="en-US" w:eastAsia="zh-CN" w:bidi="ar-SA"/>
        </w:rPr>
        <w:t>”等。</w:t>
      </w:r>
      <w:bookmarkEnd w:id="122"/>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23、递交</w:t>
      </w:r>
      <w:r>
        <w:rPr>
          <w:rFonts w:hint="eastAsia" w:ascii="宋体" w:hAnsi="宋体" w:cs="宋体"/>
          <w:color w:val="auto"/>
          <w:sz w:val="24"/>
          <w:lang w:eastAsia="zh-CN"/>
        </w:rPr>
        <w:t>投标文件</w:t>
      </w:r>
      <w:r>
        <w:rPr>
          <w:rFonts w:hint="eastAsia" w:ascii="宋体" w:hAnsi="宋体" w:cs="宋体"/>
          <w:color w:val="auto"/>
          <w:sz w:val="24"/>
        </w:rPr>
        <w:t>截止时间</w:t>
      </w:r>
      <w:bookmarkEnd w:id="113"/>
      <w:bookmarkEnd w:id="114"/>
      <w:bookmarkEnd w:id="115"/>
      <w:bookmarkEnd w:id="116"/>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23.1 所有</w:t>
      </w:r>
      <w:r>
        <w:rPr>
          <w:rFonts w:hint="eastAsia" w:ascii="宋体" w:hAnsi="宋体" w:cs="宋体"/>
          <w:color w:val="auto"/>
          <w:sz w:val="24"/>
          <w:lang w:eastAsia="zh-CN"/>
        </w:rPr>
        <w:t>投标文件</w:t>
      </w:r>
      <w:r>
        <w:rPr>
          <w:rFonts w:hint="eastAsia" w:ascii="宋体" w:hAnsi="宋体" w:cs="宋体"/>
          <w:color w:val="auto"/>
          <w:sz w:val="24"/>
        </w:rPr>
        <w:t>都必须按采购人在</w:t>
      </w:r>
      <w:r>
        <w:rPr>
          <w:rFonts w:hint="eastAsia" w:ascii="宋体" w:hAnsi="宋体" w:eastAsia="宋体" w:cs="宋体"/>
          <w:color w:val="auto"/>
          <w:kern w:val="2"/>
          <w:sz w:val="24"/>
          <w:szCs w:val="24"/>
          <w:lang w:val="en-US" w:eastAsia="zh-CN" w:bidi="ar-SA"/>
        </w:rPr>
        <w:t>前附表</w:t>
      </w:r>
      <w:r>
        <w:rPr>
          <w:rFonts w:hint="eastAsia" w:ascii="宋体" w:hAnsi="宋体" w:cs="宋体"/>
          <w:color w:val="auto"/>
          <w:sz w:val="24"/>
        </w:rPr>
        <w:t>中规定的截止时间之前</w:t>
      </w:r>
      <w:r>
        <w:rPr>
          <w:rFonts w:hint="eastAsia" w:ascii="宋体" w:hAnsi="宋体" w:eastAsia="宋体" w:cs="宋体"/>
          <w:color w:val="auto"/>
          <w:kern w:val="2"/>
          <w:sz w:val="24"/>
          <w:szCs w:val="24"/>
          <w:lang w:val="en-US" w:eastAsia="zh-CN" w:bidi="ar-SA"/>
        </w:rPr>
        <w:t>电子递交</w:t>
      </w:r>
      <w:r>
        <w:rPr>
          <w:rFonts w:hint="eastAsia" w:ascii="宋体" w:hAnsi="宋体" w:cs="宋体"/>
          <w:color w:val="auto"/>
          <w:sz w:val="24"/>
        </w:rPr>
        <w:t>。</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23.2出现因</w:t>
      </w:r>
      <w:r>
        <w:rPr>
          <w:rFonts w:hint="eastAsia" w:ascii="宋体" w:hAnsi="宋体" w:cs="宋体"/>
          <w:color w:val="auto"/>
          <w:sz w:val="24"/>
          <w:lang w:eastAsia="zh-CN"/>
        </w:rPr>
        <w:t>招标</w:t>
      </w:r>
      <w:r>
        <w:rPr>
          <w:rFonts w:hint="eastAsia" w:ascii="宋体" w:hAnsi="宋体" w:cs="宋体"/>
          <w:color w:val="auto"/>
          <w:sz w:val="24"/>
        </w:rPr>
        <w:t>文件的修改推迟截止日期时，则按采购代理机构修改通知规定的时间递交</w:t>
      </w:r>
      <w:r>
        <w:rPr>
          <w:rFonts w:hint="eastAsia" w:ascii="宋体" w:hAnsi="宋体" w:cs="宋体"/>
          <w:color w:val="auto"/>
          <w:sz w:val="24"/>
          <w:lang w:eastAsia="zh-CN"/>
        </w:rPr>
        <w:t>投标文件</w:t>
      </w:r>
      <w:r>
        <w:rPr>
          <w:rFonts w:hint="eastAsia" w:ascii="宋体" w:hAnsi="宋体" w:cs="宋体"/>
          <w:color w:val="auto"/>
          <w:sz w:val="24"/>
        </w:rPr>
        <w:t>。在此情况下，采购人和采购代理机构与供应商之间受截止期制约的所有权利和义务应延长至新的截止期。</w:t>
      </w:r>
    </w:p>
    <w:p>
      <w:pPr>
        <w:widowControl/>
        <w:spacing w:line="360" w:lineRule="auto"/>
        <w:ind w:firstLine="480" w:firstLineChars="200"/>
        <w:rPr>
          <w:rFonts w:hint="eastAsia" w:ascii="宋体" w:hAnsi="宋体" w:eastAsia="宋体" w:cs="宋体"/>
          <w:color w:val="auto"/>
          <w:sz w:val="24"/>
          <w:lang w:eastAsia="zh-CN"/>
        </w:rPr>
      </w:pPr>
      <w:bookmarkStart w:id="123" w:name="_Toc243907597"/>
      <w:bookmarkStart w:id="124" w:name="_Toc245897297"/>
      <w:bookmarkStart w:id="125" w:name="_Toc243906336"/>
      <w:bookmarkStart w:id="126" w:name="_Toc233274837"/>
      <w:r>
        <w:rPr>
          <w:rFonts w:hint="eastAsia" w:ascii="宋体" w:hAnsi="宋体" w:cs="宋体"/>
          <w:color w:val="auto"/>
          <w:sz w:val="24"/>
        </w:rPr>
        <w:t>24、迟交的</w:t>
      </w:r>
      <w:bookmarkEnd w:id="123"/>
      <w:bookmarkEnd w:id="124"/>
      <w:bookmarkEnd w:id="125"/>
      <w:bookmarkEnd w:id="126"/>
      <w:r>
        <w:rPr>
          <w:rFonts w:hint="eastAsia" w:ascii="宋体" w:hAnsi="宋体" w:cs="宋体"/>
          <w:color w:val="auto"/>
          <w:sz w:val="24"/>
          <w:lang w:eastAsia="zh-CN"/>
        </w:rPr>
        <w:t>投标文件</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24.1 采购人将拒绝并原封退回在其规定的截止时间后送达的</w:t>
      </w:r>
      <w:r>
        <w:rPr>
          <w:rFonts w:hint="eastAsia" w:ascii="宋体" w:hAnsi="宋体" w:cs="宋体"/>
          <w:color w:val="auto"/>
          <w:sz w:val="24"/>
          <w:lang w:eastAsia="zh-CN"/>
        </w:rPr>
        <w:t>投标文件</w:t>
      </w:r>
      <w:r>
        <w:rPr>
          <w:rFonts w:hint="eastAsia" w:ascii="宋体" w:hAnsi="宋体" w:cs="宋体"/>
          <w:color w:val="auto"/>
          <w:sz w:val="24"/>
        </w:rPr>
        <w:t>。</w:t>
      </w:r>
    </w:p>
    <w:p>
      <w:pPr>
        <w:widowControl/>
        <w:spacing w:line="360" w:lineRule="auto"/>
        <w:ind w:firstLine="480" w:firstLineChars="200"/>
        <w:rPr>
          <w:rFonts w:ascii="宋体" w:hAnsi="宋体" w:cs="宋体"/>
          <w:color w:val="auto"/>
          <w:sz w:val="24"/>
        </w:rPr>
      </w:pPr>
      <w:bookmarkStart w:id="127" w:name="_Toc233274838"/>
      <w:bookmarkStart w:id="128" w:name="_Toc243907598"/>
      <w:bookmarkStart w:id="129" w:name="_Toc243906337"/>
      <w:bookmarkStart w:id="130" w:name="_Toc245897298"/>
      <w:r>
        <w:rPr>
          <w:rFonts w:hint="eastAsia" w:ascii="宋体" w:hAnsi="宋体" w:cs="宋体"/>
          <w:color w:val="auto"/>
          <w:sz w:val="24"/>
        </w:rPr>
        <w:t>25、</w:t>
      </w:r>
      <w:r>
        <w:rPr>
          <w:rFonts w:hint="eastAsia" w:ascii="宋体" w:hAnsi="宋体" w:cs="宋体"/>
          <w:color w:val="auto"/>
          <w:sz w:val="24"/>
          <w:lang w:eastAsia="zh-CN"/>
        </w:rPr>
        <w:t>投标文件</w:t>
      </w:r>
      <w:r>
        <w:rPr>
          <w:rFonts w:hint="eastAsia" w:ascii="宋体" w:hAnsi="宋体" w:cs="宋体"/>
          <w:color w:val="auto"/>
          <w:sz w:val="24"/>
        </w:rPr>
        <w:t>的修改和撤回</w:t>
      </w:r>
      <w:bookmarkEnd w:id="127"/>
      <w:bookmarkEnd w:id="128"/>
      <w:bookmarkEnd w:id="129"/>
      <w:bookmarkEnd w:id="130"/>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25.1 供应商在提交</w:t>
      </w:r>
      <w:r>
        <w:rPr>
          <w:rFonts w:hint="eastAsia" w:ascii="宋体" w:hAnsi="宋体" w:cs="宋体"/>
          <w:color w:val="auto"/>
          <w:sz w:val="24"/>
          <w:lang w:eastAsia="zh-CN"/>
        </w:rPr>
        <w:t>投标文件</w:t>
      </w:r>
      <w:r>
        <w:rPr>
          <w:rFonts w:hint="eastAsia" w:ascii="宋体" w:hAnsi="宋体" w:cs="宋体"/>
          <w:color w:val="auto"/>
          <w:sz w:val="24"/>
        </w:rPr>
        <w:t>后可在截止时间前对其</w:t>
      </w:r>
      <w:r>
        <w:rPr>
          <w:rFonts w:hint="eastAsia" w:ascii="宋体" w:hAnsi="宋体" w:cs="宋体"/>
          <w:color w:val="auto"/>
          <w:sz w:val="24"/>
          <w:lang w:eastAsia="zh-CN"/>
        </w:rPr>
        <w:t>投标文件</w:t>
      </w:r>
      <w:r>
        <w:rPr>
          <w:rFonts w:hint="eastAsia" w:ascii="宋体" w:hAnsi="宋体" w:cs="宋体"/>
          <w:color w:val="auto"/>
          <w:sz w:val="24"/>
        </w:rPr>
        <w:t>进行修改或撤回，但采购人须在截止时间之前收到该修改或撤回的书面通知，该通知须有法定代表人或经有效授权的委托代理人签字或盖章。</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25.2 供应商对</w:t>
      </w:r>
      <w:r>
        <w:rPr>
          <w:rFonts w:hint="eastAsia" w:ascii="宋体" w:hAnsi="宋体" w:cs="宋体"/>
          <w:color w:val="auto"/>
          <w:sz w:val="24"/>
          <w:lang w:eastAsia="zh-CN"/>
        </w:rPr>
        <w:t>投标文件</w:t>
      </w:r>
      <w:r>
        <w:rPr>
          <w:rFonts w:hint="eastAsia" w:ascii="宋体" w:hAnsi="宋体" w:cs="宋体"/>
          <w:color w:val="auto"/>
          <w:sz w:val="24"/>
        </w:rPr>
        <w:t>修改的书面材料或撤回的通知应按第22条和第23条规定进行编写、密封、标记和递交，并注明“修改</w:t>
      </w:r>
      <w:r>
        <w:rPr>
          <w:rFonts w:hint="eastAsia" w:ascii="宋体" w:hAnsi="宋体" w:cs="宋体"/>
          <w:color w:val="auto"/>
          <w:sz w:val="24"/>
          <w:lang w:eastAsia="zh-CN"/>
        </w:rPr>
        <w:t>投标文件</w:t>
      </w:r>
      <w:r>
        <w:rPr>
          <w:rFonts w:hint="eastAsia" w:ascii="宋体" w:hAnsi="宋体" w:cs="宋体"/>
          <w:color w:val="auto"/>
          <w:sz w:val="24"/>
        </w:rPr>
        <w:t>”或“撤回</w:t>
      </w:r>
      <w:r>
        <w:rPr>
          <w:rFonts w:hint="eastAsia" w:ascii="宋体" w:hAnsi="宋体" w:cs="宋体"/>
          <w:color w:val="auto"/>
          <w:sz w:val="24"/>
          <w:lang w:eastAsia="zh-CN"/>
        </w:rPr>
        <w:t>投标文件</w:t>
      </w:r>
      <w:r>
        <w:rPr>
          <w:rFonts w:hint="eastAsia" w:ascii="宋体" w:hAnsi="宋体" w:cs="宋体"/>
          <w:color w:val="auto"/>
          <w:sz w:val="24"/>
        </w:rPr>
        <w:t>”字样。</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25.3截止时间之后，供应商不得对</w:t>
      </w:r>
      <w:r>
        <w:rPr>
          <w:rFonts w:hint="eastAsia" w:ascii="宋体" w:hAnsi="宋体" w:cs="宋体"/>
          <w:color w:val="auto"/>
          <w:sz w:val="24"/>
          <w:lang w:eastAsia="zh-CN"/>
        </w:rPr>
        <w:t>投标文件</w:t>
      </w:r>
      <w:r>
        <w:rPr>
          <w:rFonts w:hint="eastAsia" w:ascii="宋体" w:hAnsi="宋体" w:cs="宋体"/>
          <w:color w:val="auto"/>
          <w:sz w:val="24"/>
        </w:rPr>
        <w:t>做任何修改。</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25.4 供应商不得在截止时间起至</w:t>
      </w:r>
      <w:r>
        <w:rPr>
          <w:rFonts w:hint="eastAsia" w:ascii="宋体" w:hAnsi="宋体" w:cs="宋体"/>
          <w:color w:val="auto"/>
          <w:sz w:val="24"/>
          <w:lang w:eastAsia="zh-CN"/>
        </w:rPr>
        <w:t>投标文件</w:t>
      </w:r>
      <w:r>
        <w:rPr>
          <w:rFonts w:hint="eastAsia" w:ascii="宋体" w:hAnsi="宋体" w:cs="宋体"/>
          <w:color w:val="auto"/>
          <w:sz w:val="24"/>
        </w:rPr>
        <w:t>有效期期满前撤回</w:t>
      </w:r>
      <w:r>
        <w:rPr>
          <w:rFonts w:hint="eastAsia" w:ascii="宋体" w:hAnsi="宋体" w:cs="宋体"/>
          <w:color w:val="auto"/>
          <w:sz w:val="24"/>
          <w:lang w:eastAsia="zh-CN"/>
        </w:rPr>
        <w:t>投标文件</w:t>
      </w:r>
      <w:r>
        <w:rPr>
          <w:rFonts w:hint="eastAsia" w:ascii="宋体" w:hAnsi="宋体" w:cs="宋体"/>
          <w:color w:val="auto"/>
          <w:sz w:val="24"/>
        </w:rPr>
        <w:t>。</w:t>
      </w:r>
    </w:p>
    <w:p>
      <w:pPr>
        <w:widowControl/>
        <w:spacing w:line="360" w:lineRule="auto"/>
        <w:ind w:firstLine="480" w:firstLineChars="200"/>
        <w:rPr>
          <w:rFonts w:hint="eastAsia" w:ascii="宋体" w:hAnsi="宋体" w:eastAsia="宋体" w:cs="宋体"/>
          <w:color w:val="auto"/>
          <w:sz w:val="24"/>
          <w:lang w:eastAsia="zh-CN"/>
        </w:rPr>
      </w:pPr>
      <w:bookmarkStart w:id="131" w:name="_Toc245897299"/>
      <w:bookmarkStart w:id="132" w:name="_Toc243906338"/>
      <w:bookmarkStart w:id="133" w:name="_Toc233274839"/>
      <w:bookmarkStart w:id="134" w:name="_Toc243907599"/>
      <w:r>
        <w:rPr>
          <w:rFonts w:hint="eastAsia" w:ascii="宋体" w:hAnsi="宋体" w:cs="宋体"/>
          <w:color w:val="auto"/>
          <w:sz w:val="24"/>
        </w:rPr>
        <w:t>26、递交</w:t>
      </w:r>
      <w:bookmarkEnd w:id="131"/>
      <w:bookmarkEnd w:id="132"/>
      <w:bookmarkEnd w:id="133"/>
      <w:bookmarkEnd w:id="134"/>
      <w:r>
        <w:rPr>
          <w:rFonts w:hint="eastAsia" w:ascii="宋体" w:hAnsi="宋体" w:cs="宋体"/>
          <w:color w:val="auto"/>
          <w:sz w:val="24"/>
          <w:lang w:eastAsia="zh-CN"/>
        </w:rPr>
        <w:t>投标文件</w:t>
      </w:r>
    </w:p>
    <w:p>
      <w:pPr>
        <w:pStyle w:val="11"/>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35" w:name="_Toc28405"/>
      <w:r>
        <w:rPr>
          <w:rFonts w:hint="eastAsia" w:ascii="宋体" w:hAnsi="宋体" w:eastAsia="宋体" w:cs="宋体"/>
          <w:color w:val="auto"/>
          <w:kern w:val="2"/>
          <w:sz w:val="24"/>
          <w:szCs w:val="24"/>
          <w:lang w:val="en-US" w:eastAsia="zh-CN" w:bidi="ar-SA"/>
        </w:rPr>
        <w:t>26.1本项目实行“不见面”网上评标系统，供应商的法定代表人或其委托代理人无需到开标现场递交投标文件，但在开标、评标过程中请各供应商法定代表人或授权委托人等待在电脑屏幕跟前，及时配合开标、评标过程中的工作，直至采购代理机构告知开标、评标结束，如在开标、评标过程中未及时处理造成影响的后果由供应商自行承担</w:t>
      </w:r>
      <w:r>
        <w:rPr>
          <w:rFonts w:hint="eastAsia" w:hAnsi="宋体" w:cs="宋体"/>
          <w:color w:val="auto"/>
          <w:sz w:val="24"/>
          <w:szCs w:val="24"/>
        </w:rPr>
        <w:t>。</w:t>
      </w:r>
      <w:bookmarkEnd w:id="135"/>
    </w:p>
    <w:p>
      <w:pPr>
        <w:pStyle w:val="11"/>
        <w:keepNext w:val="0"/>
        <w:keepLines w:val="0"/>
        <w:pageBreakBefore w:val="0"/>
        <w:kinsoku/>
        <w:wordWrap/>
        <w:overflowPunct/>
        <w:topLinePunct w:val="0"/>
        <w:autoSpaceDE/>
        <w:autoSpaceDN/>
        <w:bidi w:val="0"/>
        <w:spacing w:line="440" w:lineRule="exact"/>
        <w:ind w:firstLine="482" w:firstLineChars="200"/>
        <w:outlineLvl w:val="1"/>
        <w:rPr>
          <w:rFonts w:hint="eastAsia" w:hAnsi="宋体" w:cs="宋体"/>
          <w:b/>
          <w:bCs/>
          <w:color w:val="auto"/>
          <w:sz w:val="24"/>
          <w:szCs w:val="24"/>
        </w:rPr>
      </w:pPr>
      <w:bookmarkStart w:id="136" w:name="_Toc27757"/>
      <w:r>
        <w:rPr>
          <w:rFonts w:hint="eastAsia" w:hAnsi="宋体" w:cs="宋体"/>
          <w:b/>
          <w:bCs/>
          <w:color w:val="auto"/>
          <w:sz w:val="24"/>
          <w:szCs w:val="24"/>
        </w:rPr>
        <w:t>2</w:t>
      </w:r>
      <w:r>
        <w:rPr>
          <w:rFonts w:hint="eastAsia" w:hAnsi="宋体" w:cs="宋体"/>
          <w:b/>
          <w:bCs/>
          <w:color w:val="auto"/>
          <w:sz w:val="24"/>
          <w:szCs w:val="24"/>
          <w:lang w:val="en-US" w:eastAsia="zh-CN"/>
        </w:rPr>
        <w:t>6</w:t>
      </w:r>
      <w:r>
        <w:rPr>
          <w:rFonts w:hint="eastAsia" w:hAnsi="宋体" w:cs="宋体"/>
          <w:b/>
          <w:bCs/>
          <w:color w:val="auto"/>
          <w:sz w:val="24"/>
          <w:szCs w:val="24"/>
        </w:rPr>
        <w:t>.2有下列情形之一的，采购人不予接收其投标文件</w:t>
      </w:r>
      <w:bookmarkEnd w:id="136"/>
    </w:p>
    <w:p>
      <w:pPr>
        <w:widowControl/>
        <w:spacing w:line="360" w:lineRule="auto"/>
        <w:ind w:firstLine="480" w:firstLineChars="200"/>
        <w:rPr>
          <w:rFonts w:ascii="宋体" w:hAnsi="宋体" w:cs="宋体"/>
          <w:color w:val="auto"/>
          <w:sz w:val="24"/>
        </w:rPr>
      </w:pPr>
      <w:r>
        <w:rPr>
          <w:rFonts w:hint="eastAsia" w:hAnsi="宋体" w:cs="宋体"/>
          <w:color w:val="auto"/>
          <w:sz w:val="24"/>
          <w:szCs w:val="24"/>
        </w:rPr>
        <w:t>供应商在递交</w:t>
      </w:r>
      <w:r>
        <w:rPr>
          <w:rFonts w:hint="eastAsia" w:hAnsi="宋体" w:cs="宋体"/>
          <w:color w:val="auto"/>
          <w:sz w:val="24"/>
          <w:szCs w:val="24"/>
          <w:lang w:eastAsia="zh-CN"/>
        </w:rPr>
        <w:t>投标文件</w:t>
      </w:r>
      <w:r>
        <w:rPr>
          <w:rFonts w:hint="eastAsia" w:hAnsi="宋体" w:cs="宋体"/>
          <w:color w:val="auto"/>
          <w:sz w:val="24"/>
          <w:szCs w:val="24"/>
        </w:rPr>
        <w:t>截止时间后</w:t>
      </w:r>
      <w:r>
        <w:rPr>
          <w:rFonts w:hint="eastAsia" w:ascii="宋体" w:hAnsi="宋体" w:eastAsia="宋体" w:cs="宋体"/>
          <w:color w:val="auto"/>
          <w:kern w:val="2"/>
          <w:sz w:val="24"/>
          <w:szCs w:val="24"/>
          <w:lang w:val="en-US" w:eastAsia="zh-CN" w:bidi="ar-SA"/>
        </w:rPr>
        <w:t>电子递交</w:t>
      </w:r>
      <w:r>
        <w:rPr>
          <w:rFonts w:hint="eastAsia" w:hAnsi="宋体" w:cs="宋体"/>
          <w:color w:val="auto"/>
          <w:sz w:val="24"/>
          <w:szCs w:val="24"/>
        </w:rPr>
        <w:t>或未</w:t>
      </w:r>
      <w:r>
        <w:rPr>
          <w:rFonts w:hint="eastAsia" w:ascii="宋体" w:hAnsi="宋体" w:eastAsia="宋体" w:cs="宋体"/>
          <w:color w:val="auto"/>
          <w:kern w:val="2"/>
          <w:sz w:val="24"/>
          <w:szCs w:val="24"/>
          <w:lang w:val="en-US" w:eastAsia="zh-CN" w:bidi="ar-SA"/>
        </w:rPr>
        <w:t>电子递交</w:t>
      </w:r>
      <w:r>
        <w:rPr>
          <w:rFonts w:hint="eastAsia" w:hAnsi="宋体" w:cs="宋体"/>
          <w:color w:val="auto"/>
          <w:sz w:val="24"/>
          <w:szCs w:val="24"/>
        </w:rPr>
        <w:t>到指定地点的</w:t>
      </w:r>
      <w:r>
        <w:rPr>
          <w:rFonts w:hint="eastAsia" w:hAnsi="宋体" w:cs="宋体"/>
          <w:color w:val="auto"/>
          <w:sz w:val="24"/>
          <w:szCs w:val="24"/>
          <w:lang w:eastAsia="zh-CN"/>
        </w:rPr>
        <w:t>投标文件</w:t>
      </w:r>
      <w:r>
        <w:rPr>
          <w:rFonts w:hint="eastAsia" w:ascii="宋体" w:hAnsi="宋体" w:cs="宋体"/>
          <w:color w:val="auto"/>
          <w:sz w:val="24"/>
        </w:rPr>
        <w:t>。</w:t>
      </w:r>
    </w:p>
    <w:p>
      <w:pPr>
        <w:spacing w:line="360" w:lineRule="auto"/>
        <w:outlineLvl w:val="1"/>
        <w:rPr>
          <w:rFonts w:ascii="宋体" w:hAnsi="宋体" w:cs="宋体"/>
          <w:b/>
          <w:bCs/>
          <w:color w:val="auto"/>
          <w:sz w:val="24"/>
          <w:highlight w:val="none"/>
        </w:rPr>
      </w:pPr>
      <w:r>
        <w:rPr>
          <w:rFonts w:hint="eastAsia" w:ascii="宋体" w:hAnsi="宋体" w:cs="宋体"/>
          <w:b/>
          <w:bCs/>
          <w:color w:val="auto"/>
          <w:sz w:val="24"/>
          <w:highlight w:val="none"/>
        </w:rPr>
        <w:t>五、</w:t>
      </w:r>
      <w:bookmarkEnd w:id="117"/>
      <w:bookmarkEnd w:id="118"/>
      <w:bookmarkEnd w:id="119"/>
      <w:bookmarkEnd w:id="120"/>
      <w:bookmarkEnd w:id="121"/>
      <w:r>
        <w:rPr>
          <w:rFonts w:hint="eastAsia" w:ascii="宋体" w:hAnsi="宋体" w:cs="宋体"/>
          <w:b/>
          <w:bCs/>
          <w:color w:val="auto"/>
          <w:sz w:val="24"/>
          <w:highlight w:val="none"/>
        </w:rPr>
        <w:t>开标、</w:t>
      </w:r>
      <w:r>
        <w:rPr>
          <w:rFonts w:hint="eastAsia" w:ascii="宋体" w:hAnsi="宋体" w:cs="宋体"/>
          <w:b/>
          <w:color w:val="auto"/>
          <w:sz w:val="24"/>
          <w:highlight w:val="none"/>
        </w:rPr>
        <w:t>评标</w:t>
      </w:r>
      <w:r>
        <w:rPr>
          <w:rFonts w:hint="eastAsia" w:ascii="宋体" w:hAnsi="宋体" w:cs="宋体"/>
          <w:b/>
          <w:bCs/>
          <w:color w:val="auto"/>
          <w:sz w:val="24"/>
          <w:highlight w:val="none"/>
        </w:rPr>
        <w:t>、确定中标供应商</w:t>
      </w:r>
    </w:p>
    <w:p>
      <w:pPr>
        <w:spacing w:line="360" w:lineRule="auto"/>
        <w:ind w:firstLine="480" w:firstLineChars="200"/>
        <w:outlineLvl w:val="1"/>
        <w:rPr>
          <w:rFonts w:ascii="宋体" w:hAnsi="宋体" w:cs="宋体"/>
          <w:color w:val="auto"/>
          <w:sz w:val="24"/>
        </w:rPr>
      </w:pPr>
      <w:bookmarkStart w:id="137" w:name="_Toc243906340"/>
      <w:bookmarkStart w:id="138" w:name="_Toc243907601"/>
      <w:bookmarkStart w:id="139" w:name="_Toc233274841"/>
      <w:bookmarkStart w:id="140" w:name="_Toc245897301"/>
      <w:bookmarkStart w:id="141" w:name="_Toc243907609"/>
      <w:bookmarkStart w:id="142" w:name="_Toc233274847"/>
      <w:bookmarkStart w:id="143" w:name="_Toc245897308"/>
      <w:bookmarkStart w:id="144" w:name="_Toc243906348"/>
      <w:bookmarkStart w:id="145" w:name="_Toc22731"/>
      <w:r>
        <w:rPr>
          <w:rFonts w:hint="eastAsia" w:ascii="宋体" w:hAnsi="宋体" w:cs="宋体"/>
          <w:color w:val="auto"/>
          <w:sz w:val="24"/>
        </w:rPr>
        <w:t>27、</w:t>
      </w:r>
      <w:bookmarkEnd w:id="137"/>
      <w:bookmarkEnd w:id="138"/>
      <w:bookmarkEnd w:id="139"/>
      <w:bookmarkEnd w:id="140"/>
      <w:r>
        <w:rPr>
          <w:rFonts w:hint="eastAsia" w:ascii="宋体" w:hAnsi="宋体" w:cs="宋体"/>
          <w:color w:val="auto"/>
          <w:sz w:val="24"/>
          <w:lang w:eastAsia="zh-CN"/>
        </w:rPr>
        <w:t>开标</w:t>
      </w:r>
      <w:r>
        <w:rPr>
          <w:rFonts w:hint="eastAsia" w:ascii="宋体" w:hAnsi="宋体" w:cs="宋体"/>
          <w:color w:val="auto"/>
          <w:sz w:val="24"/>
        </w:rPr>
        <w:t>会议</w:t>
      </w:r>
    </w:p>
    <w:p>
      <w:pPr>
        <w:spacing w:line="360" w:lineRule="auto"/>
        <w:ind w:firstLine="480" w:firstLineChars="200"/>
        <w:rPr>
          <w:rFonts w:ascii="宋体" w:hAnsi="宋体" w:cs="宋体"/>
          <w:color w:val="auto"/>
          <w:sz w:val="24"/>
        </w:rPr>
      </w:pPr>
      <w:r>
        <w:rPr>
          <w:rFonts w:hint="eastAsia" w:ascii="宋体" w:hAnsi="宋体" w:cs="宋体"/>
          <w:color w:val="auto"/>
          <w:sz w:val="24"/>
        </w:rPr>
        <w:t>27.1采购人在本供应商须知前附表第8项规定的时间和地点组织</w:t>
      </w:r>
      <w:r>
        <w:rPr>
          <w:rFonts w:hint="eastAsia" w:ascii="宋体" w:hAnsi="宋体" w:cs="宋体"/>
          <w:color w:val="auto"/>
          <w:sz w:val="24"/>
          <w:lang w:eastAsia="zh-CN"/>
        </w:rPr>
        <w:t>评标</w:t>
      </w:r>
      <w:r>
        <w:rPr>
          <w:rFonts w:hint="eastAsia" w:ascii="宋体" w:hAnsi="宋体" w:cs="宋体"/>
          <w:color w:val="auto"/>
          <w:sz w:val="24"/>
        </w:rPr>
        <w:t>会议。</w:t>
      </w:r>
    </w:p>
    <w:p>
      <w:pPr>
        <w:spacing w:line="360" w:lineRule="auto"/>
        <w:ind w:firstLine="480" w:firstLineChars="200"/>
        <w:rPr>
          <w:rFonts w:ascii="宋体" w:hAnsi="宋体" w:cs="宋体"/>
          <w:color w:val="auto"/>
          <w:sz w:val="24"/>
        </w:rPr>
      </w:pPr>
      <w:r>
        <w:rPr>
          <w:rFonts w:hint="eastAsia" w:ascii="宋体" w:hAnsi="宋体" w:cs="宋体"/>
          <w:color w:val="auto"/>
          <w:sz w:val="24"/>
        </w:rPr>
        <w:t>27.2</w:t>
      </w:r>
      <w:r>
        <w:rPr>
          <w:rFonts w:hint="eastAsia" w:ascii="宋体" w:hAnsi="宋体" w:eastAsia="宋体" w:cs="宋体"/>
          <w:b/>
          <w:color w:val="auto"/>
          <w:kern w:val="2"/>
          <w:sz w:val="24"/>
          <w:szCs w:val="24"/>
          <w:lang w:val="en-US" w:eastAsia="zh-CN" w:bidi="ar-SA"/>
        </w:rPr>
        <w:t>本项目实行“不见面”网上评标系统，供应商的法定代表人或其委托代理人无需到开标现场递交投标文件</w:t>
      </w:r>
      <w:r>
        <w:rPr>
          <w:rFonts w:hint="eastAsia" w:ascii="宋体" w:hAnsi="宋体" w:cs="宋体"/>
          <w:color w:val="auto"/>
          <w:sz w:val="24"/>
        </w:rPr>
        <w:t>。</w:t>
      </w:r>
    </w:p>
    <w:p>
      <w:pPr>
        <w:pStyle w:val="9"/>
        <w:ind w:firstLine="482" w:firstLineChars="200"/>
        <w:rPr>
          <w:rFonts w:ascii="宋体" w:hAnsi="宋体" w:cs="宋体"/>
          <w:b/>
          <w:color w:val="auto"/>
          <w:sz w:val="24"/>
        </w:rPr>
      </w:pPr>
      <w:r>
        <w:rPr>
          <w:rFonts w:hint="eastAsia" w:ascii="宋体" w:hAnsi="宋体" w:cs="宋体"/>
          <w:b/>
          <w:color w:val="auto"/>
          <w:sz w:val="24"/>
        </w:rPr>
        <w:t>27.3供应商法定代表人委托代理人须是本企业的人员。</w:t>
      </w:r>
    </w:p>
    <w:p>
      <w:pPr>
        <w:spacing w:line="360" w:lineRule="auto"/>
        <w:ind w:firstLine="480" w:firstLineChars="200"/>
        <w:rPr>
          <w:rFonts w:ascii="宋体" w:hAnsi="宋体" w:cs="宋体"/>
          <w:color w:val="auto"/>
          <w:sz w:val="24"/>
        </w:rPr>
      </w:pPr>
      <w:r>
        <w:rPr>
          <w:rFonts w:hint="eastAsia" w:ascii="宋体" w:hAnsi="宋体" w:cs="宋体"/>
          <w:color w:val="auto"/>
          <w:sz w:val="24"/>
        </w:rPr>
        <w:t>27.4</w:t>
      </w:r>
      <w:r>
        <w:rPr>
          <w:rFonts w:hint="eastAsia" w:ascii="宋体" w:hAnsi="宋体" w:cs="宋体"/>
          <w:color w:val="auto"/>
          <w:sz w:val="24"/>
          <w:lang w:eastAsia="zh-CN"/>
        </w:rPr>
        <w:t>评标</w:t>
      </w:r>
      <w:r>
        <w:rPr>
          <w:rFonts w:hint="eastAsia" w:ascii="宋体" w:hAnsi="宋体" w:cs="宋体"/>
          <w:color w:val="auto"/>
          <w:sz w:val="24"/>
        </w:rPr>
        <w:t>会议由采购代理机构组织并主持。</w:t>
      </w:r>
    </w:p>
    <w:p>
      <w:pPr>
        <w:spacing w:line="360" w:lineRule="auto"/>
        <w:ind w:firstLine="480" w:firstLineChars="200"/>
        <w:rPr>
          <w:rFonts w:ascii="宋体" w:hAnsi="宋体" w:cs="宋体"/>
          <w:color w:val="auto"/>
          <w:sz w:val="24"/>
        </w:rPr>
      </w:pPr>
      <w:r>
        <w:rPr>
          <w:rFonts w:hint="eastAsia" w:ascii="宋体" w:hAnsi="宋体" w:cs="宋体"/>
          <w:color w:val="auto"/>
          <w:sz w:val="24"/>
        </w:rPr>
        <w:t>27.5在</w:t>
      </w:r>
      <w:r>
        <w:rPr>
          <w:rFonts w:hint="eastAsia" w:ascii="宋体" w:hAnsi="宋体" w:cs="宋体"/>
          <w:color w:val="auto"/>
          <w:sz w:val="24"/>
          <w:lang w:eastAsia="zh-CN"/>
        </w:rPr>
        <w:t>评标</w:t>
      </w:r>
      <w:r>
        <w:rPr>
          <w:rFonts w:hint="eastAsia" w:ascii="宋体" w:hAnsi="宋体" w:cs="宋体"/>
          <w:color w:val="auto"/>
          <w:sz w:val="24"/>
        </w:rPr>
        <w:t>过程中，工作人员如发现</w:t>
      </w:r>
      <w:r>
        <w:rPr>
          <w:rFonts w:hint="eastAsia" w:ascii="宋体" w:hAnsi="宋体" w:cs="宋体"/>
          <w:color w:val="auto"/>
          <w:sz w:val="24"/>
          <w:lang w:eastAsia="zh-CN"/>
        </w:rPr>
        <w:t>投标文件</w:t>
      </w:r>
      <w:r>
        <w:rPr>
          <w:rFonts w:hint="eastAsia" w:ascii="宋体" w:hAnsi="宋体" w:cs="宋体"/>
          <w:color w:val="auto"/>
          <w:sz w:val="24"/>
        </w:rPr>
        <w:t>组成部分不齐全，由评标委员会认定其有效性。评标委员会认定的无效</w:t>
      </w:r>
      <w:r>
        <w:rPr>
          <w:rFonts w:hint="eastAsia" w:ascii="宋体" w:hAnsi="宋体" w:cs="宋体"/>
          <w:color w:val="auto"/>
          <w:sz w:val="24"/>
          <w:lang w:eastAsia="zh-CN"/>
        </w:rPr>
        <w:t>投标文件</w:t>
      </w:r>
      <w:r>
        <w:rPr>
          <w:rFonts w:hint="eastAsia" w:ascii="宋体" w:hAnsi="宋体" w:cs="宋体"/>
          <w:color w:val="auto"/>
          <w:sz w:val="24"/>
        </w:rPr>
        <w:t>将不进入详细评标阶段。</w:t>
      </w:r>
    </w:p>
    <w:p>
      <w:pPr>
        <w:spacing w:line="360" w:lineRule="auto"/>
        <w:ind w:firstLine="480" w:firstLineChars="200"/>
        <w:outlineLvl w:val="1"/>
        <w:rPr>
          <w:rFonts w:ascii="宋体" w:hAnsi="宋体" w:cs="宋体"/>
          <w:color w:val="auto"/>
          <w:sz w:val="24"/>
        </w:rPr>
      </w:pPr>
      <w:bookmarkStart w:id="146" w:name="_Toc243906341"/>
      <w:bookmarkStart w:id="147" w:name="_Toc245897302"/>
      <w:bookmarkStart w:id="148" w:name="_Toc233274842"/>
      <w:bookmarkStart w:id="149" w:name="_Toc243907602"/>
      <w:bookmarkStart w:id="150" w:name="_Toc233274843"/>
      <w:bookmarkStart w:id="151" w:name="_Toc243907605"/>
      <w:bookmarkStart w:id="152" w:name="_Toc243906344"/>
      <w:bookmarkStart w:id="153" w:name="_Toc245897304"/>
      <w:r>
        <w:rPr>
          <w:rFonts w:hint="eastAsia" w:ascii="宋体" w:hAnsi="宋体" w:cs="宋体"/>
          <w:color w:val="auto"/>
          <w:sz w:val="24"/>
        </w:rPr>
        <w:t>28、</w:t>
      </w:r>
      <w:bookmarkEnd w:id="146"/>
      <w:bookmarkEnd w:id="147"/>
      <w:bookmarkEnd w:id="148"/>
      <w:bookmarkEnd w:id="149"/>
      <w:r>
        <w:rPr>
          <w:rFonts w:hint="eastAsia" w:ascii="宋体" w:hAnsi="宋体" w:cs="宋体"/>
          <w:b/>
          <w:bCs/>
          <w:color w:val="auto"/>
          <w:sz w:val="24"/>
        </w:rPr>
        <w:t>评标委员会</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28</w:t>
      </w:r>
      <w:r>
        <w:rPr>
          <w:rFonts w:hint="eastAsia" w:ascii="宋体" w:hAnsi="宋体" w:cs="宋体"/>
          <w:color w:val="auto"/>
          <w:sz w:val="24"/>
        </w:rPr>
        <w:t>.1成立评标委员会。采购代理机构根据本次采购的特点和有关规定组成评标委员会，评标委员会根据招标文件、投标文件和采购标准对供应商进行评价、比较，向采购人推荐中标候选人。</w:t>
      </w:r>
    </w:p>
    <w:p>
      <w:pPr>
        <w:widowControl/>
        <w:numPr>
          <w:ilvl w:val="0"/>
          <w:numId w:val="0"/>
        </w:num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w:t>
      </w:r>
      <w:r>
        <w:rPr>
          <w:rFonts w:hint="eastAsia" w:ascii="宋体" w:hAnsi="宋体" w:cs="宋体"/>
          <w:color w:val="auto"/>
          <w:sz w:val="24"/>
          <w:lang w:val="en-US" w:eastAsia="zh-CN"/>
        </w:rPr>
        <w:t>8</w:t>
      </w:r>
      <w:r>
        <w:rPr>
          <w:rFonts w:hint="eastAsia" w:ascii="宋体" w:hAnsi="宋体" w:cs="宋体"/>
          <w:color w:val="auto"/>
          <w:sz w:val="24"/>
        </w:rPr>
        <w:t>.2评标委员会由采购人代表和有关专家共</w:t>
      </w:r>
      <w:r>
        <w:rPr>
          <w:rFonts w:hint="eastAsia" w:ascii="宋体" w:hAnsi="宋体" w:cs="宋体"/>
          <w:color w:val="auto"/>
          <w:sz w:val="24"/>
          <w:lang w:val="en-US" w:eastAsia="zh-CN"/>
        </w:rPr>
        <w:t>5</w:t>
      </w:r>
      <w:r>
        <w:rPr>
          <w:rFonts w:hint="eastAsia" w:ascii="宋体" w:hAnsi="宋体" w:cs="宋体"/>
          <w:color w:val="auto"/>
          <w:sz w:val="24"/>
        </w:rPr>
        <w:t>人或以上的单数组成，其中专家的人数不得少于成员总数的三分之二</w:t>
      </w:r>
      <w:r>
        <w:rPr>
          <w:rFonts w:hint="eastAsia" w:ascii="宋体" w:hAnsi="宋体" w:cs="宋体"/>
          <w:color w:val="auto"/>
          <w:sz w:val="24"/>
          <w:lang w:eastAsia="zh-CN"/>
        </w:rPr>
        <w:t>。</w:t>
      </w:r>
    </w:p>
    <w:p>
      <w:pPr>
        <w:keepNext w:val="0"/>
        <w:keepLines w:val="0"/>
        <w:pageBreakBefore w:val="0"/>
        <w:kinsoku/>
        <w:wordWrap/>
        <w:overflowPunct/>
        <w:topLinePunct w:val="0"/>
        <w:autoSpaceDE/>
        <w:autoSpaceDN/>
        <w:bidi w:val="0"/>
        <w:spacing w:line="440" w:lineRule="exact"/>
        <w:ind w:firstLine="482" w:firstLineChars="200"/>
        <w:rPr>
          <w:rFonts w:hint="eastAsia"/>
          <w:color w:val="auto"/>
        </w:rPr>
      </w:pPr>
      <w:r>
        <w:rPr>
          <w:rFonts w:hint="eastAsia" w:ascii="宋体" w:hAnsi="宋体" w:cs="宋体"/>
          <w:b/>
          <w:color w:val="auto"/>
          <w:sz w:val="24"/>
          <w:lang w:val="en-US" w:eastAsia="zh-CN"/>
        </w:rPr>
        <w:t>29</w:t>
      </w:r>
      <w:r>
        <w:rPr>
          <w:rFonts w:hint="eastAsia" w:ascii="宋体" w:hAnsi="宋体" w:cs="宋体"/>
          <w:b/>
          <w:color w:val="auto"/>
          <w:sz w:val="24"/>
        </w:rPr>
        <w:t>、评标</w:t>
      </w:r>
    </w:p>
    <w:p>
      <w:pPr>
        <w:widowControl/>
        <w:spacing w:line="360" w:lineRule="auto"/>
        <w:ind w:firstLine="480" w:firstLineChars="20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29.1评标程序</w:t>
      </w:r>
    </w:p>
    <w:p>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A登录开标系统。 </w:t>
      </w:r>
    </w:p>
    <w:p>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B递交投标文件。供应商投标文件须在投标截止时间前上传电子版投标文件，否则为无效</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 xml:space="preserve">。 </w:t>
      </w:r>
    </w:p>
    <w:p>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注：有时间限制，</w:t>
      </w:r>
      <w:r>
        <w:rPr>
          <w:rFonts w:hint="eastAsia" w:ascii="宋体" w:hAnsi="宋体" w:cs="宋体"/>
          <w:color w:val="auto"/>
          <w:sz w:val="24"/>
          <w:lang w:val="en-US" w:eastAsia="zh-CN"/>
        </w:rPr>
        <w:t>响应</w:t>
      </w:r>
      <w:r>
        <w:rPr>
          <w:rFonts w:hint="eastAsia" w:ascii="宋体" w:hAnsi="宋体" w:eastAsia="宋体" w:cs="宋体"/>
          <w:color w:val="auto"/>
          <w:sz w:val="24"/>
          <w:lang w:val="en-US" w:eastAsia="zh-CN"/>
        </w:rPr>
        <w:t>截止时间止不允许供应商上传</w:t>
      </w:r>
      <w:r>
        <w:rPr>
          <w:rFonts w:hint="eastAsia" w:ascii="宋体" w:hAnsi="宋体" w:cs="宋体"/>
          <w:color w:val="auto"/>
          <w:sz w:val="24"/>
          <w:lang w:val="en-US" w:eastAsia="zh-CN"/>
        </w:rPr>
        <w:t>投标文件</w:t>
      </w:r>
      <w:r>
        <w:rPr>
          <w:rFonts w:hint="eastAsia" w:ascii="宋体" w:hAnsi="宋体" w:eastAsia="宋体" w:cs="宋体"/>
          <w:color w:val="auto"/>
          <w:sz w:val="24"/>
          <w:lang w:val="en-US" w:eastAsia="zh-CN"/>
        </w:rPr>
        <w:t>包括截止时间临界点。供应商必须在</w:t>
      </w:r>
      <w:r>
        <w:rPr>
          <w:rFonts w:hint="eastAsia" w:ascii="宋体" w:hAnsi="宋体" w:cs="宋体"/>
          <w:color w:val="auto"/>
          <w:sz w:val="24"/>
          <w:lang w:val="en-US" w:eastAsia="zh-CN"/>
        </w:rPr>
        <w:t>新疆政府采购网政采云平台</w:t>
      </w:r>
      <w:r>
        <w:rPr>
          <w:rFonts w:hint="eastAsia" w:ascii="宋体" w:hAnsi="宋体" w:eastAsia="宋体" w:cs="宋体"/>
          <w:color w:val="auto"/>
          <w:sz w:val="24"/>
          <w:lang w:val="en-US" w:eastAsia="zh-CN"/>
        </w:rPr>
        <w:t>系统规定的</w:t>
      </w:r>
      <w:r>
        <w:rPr>
          <w:rFonts w:hint="eastAsia" w:ascii="宋体" w:hAnsi="宋体" w:cs="宋体"/>
          <w:color w:val="auto"/>
          <w:sz w:val="24"/>
          <w:lang w:val="en-US" w:eastAsia="zh-CN"/>
        </w:rPr>
        <w:t>投标</w:t>
      </w:r>
      <w:r>
        <w:rPr>
          <w:rFonts w:hint="eastAsia" w:ascii="宋体" w:hAnsi="宋体" w:eastAsia="宋体" w:cs="宋体"/>
          <w:color w:val="auto"/>
          <w:sz w:val="24"/>
          <w:lang w:val="en-US" w:eastAsia="zh-CN"/>
        </w:rPr>
        <w:t>时间内上传</w:t>
      </w:r>
      <w:r>
        <w:rPr>
          <w:rFonts w:hint="eastAsia" w:ascii="宋体" w:hAnsi="宋体" w:cs="宋体"/>
          <w:color w:val="auto"/>
          <w:sz w:val="24"/>
          <w:lang w:val="en-US" w:eastAsia="zh-CN"/>
        </w:rPr>
        <w:t>投标文件。</w:t>
      </w:r>
    </w:p>
    <w:p>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C投标文件解密。采购代理机构在开标过程中触发“开始解密”功能后，供应商在有效的解密时间（30分钟）内对自家投标文件及时进行解密。 </w:t>
      </w:r>
    </w:p>
    <w:p>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注：供应商登录开标系统后，系统会提示信息通知供应商进行投标文件的解密工作，如果投标文件在有效时间内未进行解密，则系统默认供应商放弃此项目投标资格。</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b/>
          <w:color w:val="auto"/>
          <w:sz w:val="24"/>
        </w:rPr>
      </w:pPr>
      <w:r>
        <w:rPr>
          <w:rFonts w:hint="eastAsia" w:ascii="宋体" w:hAnsi="宋体" w:eastAsia="宋体" w:cs="宋体"/>
          <w:color w:val="auto"/>
          <w:sz w:val="24"/>
          <w:lang w:val="en-US" w:eastAsia="zh-CN"/>
        </w:rPr>
        <w:t>D开启报价签字时间规定在20分钟之内，请各供应商及时进行签字确认。</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lang w:val="en-US" w:eastAsia="zh-CN"/>
        </w:rPr>
      </w:pPr>
      <w:r>
        <w:rPr>
          <w:rFonts w:hint="eastAsia" w:ascii="宋体" w:hAnsi="宋体" w:cs="宋体"/>
          <w:b/>
          <w:color w:val="auto"/>
          <w:sz w:val="24"/>
          <w:lang w:val="en-US" w:eastAsia="zh-CN"/>
        </w:rPr>
        <w:t>29</w:t>
      </w:r>
      <w:r>
        <w:rPr>
          <w:rFonts w:hint="eastAsia" w:ascii="宋体" w:hAnsi="宋体" w:cs="宋体"/>
          <w:b/>
          <w:color w:val="auto"/>
          <w:sz w:val="24"/>
        </w:rPr>
        <w:t>.</w:t>
      </w:r>
      <w:r>
        <w:rPr>
          <w:rFonts w:hint="eastAsia" w:ascii="宋体" w:hAnsi="宋体" w:cs="宋体"/>
          <w:b/>
          <w:color w:val="auto"/>
          <w:sz w:val="24"/>
          <w:lang w:val="en-US" w:eastAsia="zh-CN"/>
        </w:rPr>
        <w:t>2</w:t>
      </w:r>
      <w:r>
        <w:rPr>
          <w:rFonts w:hint="eastAsia" w:ascii="宋体" w:hAnsi="宋体" w:cs="宋体"/>
          <w:b/>
          <w:color w:val="auto"/>
          <w:sz w:val="24"/>
        </w:rPr>
        <w:t>评标委员会在评标过程中，不得改变招标文件所确定的技术和服务等要求、评审程序、评定中标的标准和合同文本等事项。</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lang w:val="en-US" w:eastAsia="zh-CN"/>
        </w:rPr>
        <w:t>29</w:t>
      </w:r>
      <w:r>
        <w:rPr>
          <w:rFonts w:hint="eastAsia" w:ascii="宋体" w:hAnsi="宋体" w:cs="宋体"/>
          <w:b/>
          <w:color w:val="auto"/>
          <w:sz w:val="24"/>
        </w:rPr>
        <w:t>.</w:t>
      </w:r>
      <w:r>
        <w:rPr>
          <w:rFonts w:hint="eastAsia" w:ascii="宋体" w:hAnsi="宋体" w:cs="宋体"/>
          <w:b/>
          <w:color w:val="auto"/>
          <w:sz w:val="24"/>
          <w:lang w:val="en-US" w:eastAsia="zh-CN"/>
        </w:rPr>
        <w:t>3</w:t>
      </w:r>
      <w:r>
        <w:rPr>
          <w:rFonts w:hint="eastAsia" w:ascii="宋体" w:hAnsi="宋体" w:cs="宋体"/>
          <w:b/>
          <w:color w:val="auto"/>
          <w:sz w:val="24"/>
        </w:rPr>
        <w:t>参加采购活动的供应商，应当按照招标文件的规定一次报出不得更改的价格。</w:t>
      </w:r>
    </w:p>
    <w:p>
      <w:pPr>
        <w:widowControl/>
        <w:spacing w:line="360" w:lineRule="auto"/>
        <w:ind w:firstLine="482" w:firstLineChars="200"/>
        <w:rPr>
          <w:rFonts w:ascii="宋体" w:hAnsi="宋体" w:cs="宋体"/>
          <w:color w:val="auto"/>
          <w:sz w:val="24"/>
        </w:rPr>
      </w:pPr>
      <w:r>
        <w:rPr>
          <w:rFonts w:hint="eastAsia" w:ascii="宋体" w:hAnsi="宋体" w:cs="宋体"/>
          <w:b/>
          <w:color w:val="auto"/>
          <w:sz w:val="24"/>
          <w:lang w:val="en-US" w:eastAsia="zh-CN"/>
        </w:rPr>
        <w:t>29</w:t>
      </w:r>
      <w:r>
        <w:rPr>
          <w:rFonts w:hint="eastAsia" w:ascii="宋体" w:hAnsi="宋体" w:cs="宋体"/>
          <w:b/>
          <w:color w:val="auto"/>
          <w:sz w:val="24"/>
        </w:rPr>
        <w:t>.</w:t>
      </w:r>
      <w:r>
        <w:rPr>
          <w:rFonts w:hint="eastAsia" w:ascii="宋体" w:hAnsi="宋体" w:cs="宋体"/>
          <w:b/>
          <w:color w:val="auto"/>
          <w:sz w:val="24"/>
          <w:lang w:val="en-US" w:eastAsia="zh-CN"/>
        </w:rPr>
        <w:t>4</w:t>
      </w:r>
      <w:r>
        <w:rPr>
          <w:rFonts w:hint="eastAsia" w:ascii="宋体" w:hAnsi="宋体" w:cs="宋体"/>
          <w:b/>
          <w:color w:val="auto"/>
          <w:sz w:val="24"/>
        </w:rPr>
        <w:t>如果投标文件实质上没有响应招标文件的要求，评标委员会将予以拒绝，供应商不得通过修正或撤消不符合要求的偏离或保留，而使其成为实质上响应。</w:t>
      </w:r>
    </w:p>
    <w:bookmarkEnd w:id="150"/>
    <w:bookmarkEnd w:id="151"/>
    <w:bookmarkEnd w:id="152"/>
    <w:bookmarkEnd w:id="153"/>
    <w:p>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color w:val="auto"/>
          <w:sz w:val="24"/>
        </w:rPr>
      </w:pPr>
      <w:bookmarkStart w:id="154" w:name="_Toc20715"/>
      <w:bookmarkStart w:id="155" w:name="_Toc224624488"/>
      <w:bookmarkStart w:id="156" w:name="_Toc224623451"/>
      <w:bookmarkStart w:id="157" w:name="_Toc224622928"/>
      <w:bookmarkStart w:id="158" w:name="_Toc224623663"/>
      <w:bookmarkStart w:id="159" w:name="_Toc243907606"/>
      <w:bookmarkStart w:id="160" w:name="_Toc224624767"/>
      <w:bookmarkStart w:id="161" w:name="_Toc224620150"/>
      <w:bookmarkStart w:id="162" w:name="_Toc245897305"/>
      <w:bookmarkStart w:id="163" w:name="_Toc224624628"/>
      <w:bookmarkStart w:id="164" w:name="_Toc243906345"/>
      <w:bookmarkStart w:id="165" w:name="_Toc224623557"/>
      <w:bookmarkStart w:id="166" w:name="_Toc224620071"/>
      <w:r>
        <w:rPr>
          <w:rFonts w:hint="eastAsia" w:ascii="宋体" w:hAnsi="宋体" w:cs="宋体"/>
          <w:b/>
          <w:color w:val="auto"/>
          <w:sz w:val="24"/>
          <w:lang w:val="en-US" w:eastAsia="zh-CN"/>
        </w:rPr>
        <w:t>30</w:t>
      </w:r>
      <w:r>
        <w:rPr>
          <w:rFonts w:hint="eastAsia" w:ascii="宋体" w:hAnsi="宋体" w:cs="宋体"/>
          <w:b/>
          <w:color w:val="auto"/>
          <w:sz w:val="24"/>
        </w:rPr>
        <w:t>、重大偏离</w:t>
      </w:r>
      <w:bookmarkEnd w:id="154"/>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重大偏离是指实质上影响合同的采购范围、质量和性能、项目周期等，或者实质上不满足招标文件的要求，而且限制了采购人的权力或减轻了供应商的义务。纠正或承认这些偏离将会对其他实质上响应要求的供应商合理的竞争地位产生不公正的影响。</w:t>
      </w:r>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rPr>
      </w:pPr>
      <w:bookmarkStart w:id="167" w:name="_Toc22298"/>
      <w:r>
        <w:rPr>
          <w:rFonts w:hint="eastAsia" w:ascii="宋体" w:hAnsi="宋体" w:cs="宋体"/>
          <w:b/>
          <w:color w:val="auto"/>
          <w:sz w:val="24"/>
        </w:rPr>
        <w:t>3</w:t>
      </w:r>
      <w:r>
        <w:rPr>
          <w:rFonts w:hint="eastAsia" w:ascii="宋体" w:hAnsi="宋体" w:cs="宋体"/>
          <w:b/>
          <w:color w:val="auto"/>
          <w:sz w:val="24"/>
          <w:lang w:val="en-US" w:eastAsia="zh-CN"/>
        </w:rPr>
        <w:t>1</w:t>
      </w:r>
      <w:r>
        <w:rPr>
          <w:rFonts w:hint="eastAsia" w:ascii="宋体" w:hAnsi="宋体" w:cs="宋体"/>
          <w:b/>
          <w:color w:val="auto"/>
          <w:sz w:val="24"/>
        </w:rPr>
        <w:t>、</w:t>
      </w:r>
      <w:bookmarkEnd w:id="167"/>
      <w:r>
        <w:rPr>
          <w:rFonts w:hint="eastAsia" w:ascii="宋体" w:hAnsi="宋体" w:cs="宋体"/>
          <w:b/>
          <w:color w:val="auto"/>
          <w:sz w:val="24"/>
        </w:rPr>
        <w:t>在招标采购中，出现下列情形之一的，应予废标</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1</w:t>
      </w:r>
      <w:r>
        <w:rPr>
          <w:rFonts w:hint="eastAsia" w:ascii="宋体" w:hAnsi="宋体" w:cs="宋体"/>
          <w:b/>
          <w:color w:val="auto"/>
          <w:sz w:val="24"/>
        </w:rPr>
        <w:t>.1符合专业条件的供应商或者对招标文件作实质响应的供应商不足三家的；</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1</w:t>
      </w:r>
      <w:r>
        <w:rPr>
          <w:rFonts w:hint="eastAsia" w:ascii="宋体" w:hAnsi="宋体" w:cs="宋体"/>
          <w:b/>
          <w:color w:val="auto"/>
          <w:sz w:val="24"/>
        </w:rPr>
        <w:t>.2出现影响采购公正的违法、违规行为的；</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1</w:t>
      </w:r>
      <w:r>
        <w:rPr>
          <w:rFonts w:hint="eastAsia" w:ascii="宋体" w:hAnsi="宋体" w:cs="宋体"/>
          <w:b/>
          <w:color w:val="auto"/>
          <w:sz w:val="24"/>
        </w:rPr>
        <w:t>.3因重大变故，采购任务取消的；</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1</w:t>
      </w:r>
      <w:r>
        <w:rPr>
          <w:rFonts w:hint="eastAsia" w:ascii="宋体" w:hAnsi="宋体" w:cs="宋体"/>
          <w:b/>
          <w:color w:val="auto"/>
          <w:sz w:val="24"/>
        </w:rPr>
        <w:t>.4《中华人民共和国政府采购法》及相关法律法规及招标文件明确规定废标的其他情形。</w:t>
      </w:r>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rPr>
      </w:pPr>
      <w:bookmarkStart w:id="168" w:name="_Toc15179"/>
      <w:r>
        <w:rPr>
          <w:rFonts w:hint="eastAsia" w:ascii="宋体" w:hAnsi="宋体" w:cs="宋体"/>
          <w:b/>
          <w:color w:val="auto"/>
          <w:sz w:val="24"/>
        </w:rPr>
        <w:t>3</w:t>
      </w:r>
      <w:r>
        <w:rPr>
          <w:rFonts w:hint="eastAsia" w:ascii="宋体" w:hAnsi="宋体" w:cs="宋体"/>
          <w:b/>
          <w:color w:val="auto"/>
          <w:sz w:val="24"/>
          <w:lang w:val="en-US" w:eastAsia="zh-CN"/>
        </w:rPr>
        <w:t>2</w:t>
      </w:r>
      <w:r>
        <w:rPr>
          <w:rFonts w:hint="eastAsia" w:ascii="宋体" w:hAnsi="宋体" w:cs="宋体"/>
          <w:b/>
          <w:color w:val="auto"/>
          <w:sz w:val="24"/>
        </w:rPr>
        <w:t>、供应商串通投标</w:t>
      </w:r>
      <w:bookmarkEnd w:id="168"/>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有下列情形之一的，视为供应商串通投标，其投标无效：</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2</w:t>
      </w:r>
      <w:r>
        <w:rPr>
          <w:rFonts w:hint="eastAsia" w:ascii="宋体" w:hAnsi="宋体" w:cs="宋体"/>
          <w:b/>
          <w:color w:val="auto"/>
          <w:sz w:val="24"/>
        </w:rPr>
        <w:t>.1不同供应商的投标文件由同一单位或者个人编制；</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2</w:t>
      </w:r>
      <w:r>
        <w:rPr>
          <w:rFonts w:hint="eastAsia" w:ascii="宋体" w:hAnsi="宋体" w:cs="宋体"/>
          <w:b/>
          <w:color w:val="auto"/>
          <w:sz w:val="24"/>
        </w:rPr>
        <w:t>.2不同供应商委托同一单位或者个人办理投标事宜；</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2</w:t>
      </w:r>
      <w:r>
        <w:rPr>
          <w:rFonts w:hint="eastAsia" w:ascii="宋体" w:hAnsi="宋体" w:cs="宋体"/>
          <w:b/>
          <w:color w:val="auto"/>
          <w:sz w:val="24"/>
        </w:rPr>
        <w:t>.3不同供应商的投标文件载明的项目管理成员或者联系人员为同一人；</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2</w:t>
      </w:r>
      <w:r>
        <w:rPr>
          <w:rFonts w:hint="eastAsia" w:ascii="宋体" w:hAnsi="宋体" w:cs="宋体"/>
          <w:b/>
          <w:color w:val="auto"/>
          <w:sz w:val="24"/>
        </w:rPr>
        <w:t>.4不同供应商的投标文件异常一致或者投标报价呈规律性差异；</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2</w:t>
      </w:r>
      <w:r>
        <w:rPr>
          <w:rFonts w:hint="eastAsia" w:ascii="宋体" w:hAnsi="宋体" w:cs="宋体"/>
          <w:b/>
          <w:color w:val="auto"/>
          <w:sz w:val="24"/>
        </w:rPr>
        <w:t>.5不同供应商的投标文件相互混装；</w:t>
      </w:r>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rPr>
      </w:pPr>
      <w:bookmarkStart w:id="169" w:name="_Toc6184"/>
      <w:r>
        <w:rPr>
          <w:rFonts w:hint="eastAsia" w:ascii="宋体" w:hAnsi="宋体" w:cs="宋体"/>
          <w:b/>
          <w:color w:val="auto"/>
          <w:sz w:val="24"/>
        </w:rPr>
        <w:t>3</w:t>
      </w:r>
      <w:r>
        <w:rPr>
          <w:rFonts w:hint="eastAsia" w:ascii="宋体" w:hAnsi="宋体" w:cs="宋体"/>
          <w:b/>
          <w:color w:val="auto"/>
          <w:sz w:val="24"/>
          <w:lang w:val="en-US" w:eastAsia="zh-CN"/>
        </w:rPr>
        <w:t>3</w:t>
      </w:r>
      <w:r>
        <w:rPr>
          <w:rFonts w:hint="eastAsia" w:ascii="宋体" w:hAnsi="宋体" w:cs="宋体"/>
          <w:b/>
          <w:color w:val="auto"/>
          <w:sz w:val="24"/>
        </w:rPr>
        <w:t>、投标无效：供应商存在下列情况之一的，其投标无效:</w:t>
      </w:r>
      <w:bookmarkEnd w:id="169"/>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rPr>
      </w:pPr>
      <w:bookmarkStart w:id="170" w:name="_Toc23413"/>
      <w:r>
        <w:rPr>
          <w:rFonts w:hint="eastAsia" w:ascii="宋体" w:hAnsi="宋体" w:cs="宋体"/>
          <w:b/>
          <w:color w:val="auto"/>
          <w:sz w:val="24"/>
          <w:szCs w:val="20"/>
        </w:rPr>
        <w:t>3</w:t>
      </w:r>
      <w:r>
        <w:rPr>
          <w:rFonts w:hint="eastAsia" w:ascii="宋体" w:hAnsi="宋体" w:cs="宋体"/>
          <w:b/>
          <w:color w:val="auto"/>
          <w:sz w:val="24"/>
          <w:szCs w:val="20"/>
          <w:lang w:val="en-US" w:eastAsia="zh-CN"/>
        </w:rPr>
        <w:t>3</w:t>
      </w:r>
      <w:r>
        <w:rPr>
          <w:rFonts w:hint="eastAsia" w:ascii="宋体" w:hAnsi="宋体" w:cs="宋体"/>
          <w:b/>
          <w:color w:val="auto"/>
          <w:sz w:val="24"/>
          <w:szCs w:val="20"/>
        </w:rPr>
        <w:t>.</w:t>
      </w:r>
      <w:r>
        <w:rPr>
          <w:rFonts w:hint="eastAsia" w:ascii="宋体" w:hAnsi="宋体" w:cs="宋体"/>
          <w:b/>
          <w:color w:val="auto"/>
          <w:sz w:val="24"/>
          <w:szCs w:val="20"/>
          <w:lang w:val="en-US" w:eastAsia="zh-CN"/>
        </w:rPr>
        <w:t>1</w:t>
      </w:r>
      <w:r>
        <w:rPr>
          <w:rFonts w:hint="eastAsia" w:ascii="宋体" w:hAnsi="宋体" w:cs="宋体"/>
          <w:b/>
          <w:color w:val="auto"/>
          <w:sz w:val="24"/>
        </w:rPr>
        <w:t>投标文件未经供应商盖章和单位负责人签字的；</w:t>
      </w:r>
      <w:bookmarkEnd w:id="170"/>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rPr>
      </w:pPr>
      <w:bookmarkStart w:id="171" w:name="_Toc10757"/>
      <w:r>
        <w:rPr>
          <w:rFonts w:hint="eastAsia" w:ascii="宋体" w:hAnsi="宋体" w:cs="宋体"/>
          <w:b/>
          <w:color w:val="auto"/>
          <w:sz w:val="24"/>
          <w:szCs w:val="20"/>
        </w:rPr>
        <w:t>3</w:t>
      </w:r>
      <w:r>
        <w:rPr>
          <w:rFonts w:hint="eastAsia" w:ascii="宋体" w:hAnsi="宋体" w:cs="宋体"/>
          <w:b/>
          <w:color w:val="auto"/>
          <w:sz w:val="24"/>
          <w:szCs w:val="20"/>
          <w:lang w:val="en-US" w:eastAsia="zh-CN"/>
        </w:rPr>
        <w:t>3</w:t>
      </w:r>
      <w:r>
        <w:rPr>
          <w:rFonts w:hint="eastAsia" w:ascii="宋体" w:hAnsi="宋体" w:cs="宋体"/>
          <w:b/>
          <w:color w:val="auto"/>
          <w:sz w:val="24"/>
          <w:szCs w:val="20"/>
        </w:rPr>
        <w:t>.</w:t>
      </w:r>
      <w:r>
        <w:rPr>
          <w:rFonts w:hint="eastAsia" w:ascii="宋体" w:hAnsi="宋体" w:cs="宋体"/>
          <w:b/>
          <w:color w:val="auto"/>
          <w:sz w:val="24"/>
          <w:szCs w:val="20"/>
          <w:lang w:val="en-US" w:eastAsia="zh-CN"/>
        </w:rPr>
        <w:t>2</w:t>
      </w:r>
      <w:r>
        <w:rPr>
          <w:rFonts w:hint="eastAsia" w:ascii="宋体" w:hAnsi="宋体" w:cs="宋体"/>
          <w:b/>
          <w:color w:val="auto"/>
          <w:sz w:val="24"/>
          <w:szCs w:val="20"/>
        </w:rPr>
        <w:t>不具备招标文件中规定的资格要求的；</w:t>
      </w:r>
      <w:bookmarkEnd w:id="171"/>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rPr>
      </w:pPr>
      <w:bookmarkStart w:id="172" w:name="_Toc3541"/>
      <w:r>
        <w:rPr>
          <w:rFonts w:hint="eastAsia" w:ascii="宋体" w:hAnsi="宋体" w:cs="宋体"/>
          <w:b/>
          <w:color w:val="auto"/>
          <w:sz w:val="24"/>
          <w:szCs w:val="20"/>
        </w:rPr>
        <w:t>3</w:t>
      </w:r>
      <w:r>
        <w:rPr>
          <w:rFonts w:hint="eastAsia" w:ascii="宋体" w:hAnsi="宋体" w:cs="宋体"/>
          <w:b/>
          <w:color w:val="auto"/>
          <w:sz w:val="24"/>
          <w:szCs w:val="20"/>
          <w:lang w:val="en-US" w:eastAsia="zh-CN"/>
        </w:rPr>
        <w:t>3</w:t>
      </w:r>
      <w:r>
        <w:rPr>
          <w:rFonts w:hint="eastAsia" w:ascii="宋体" w:hAnsi="宋体" w:cs="宋体"/>
          <w:b/>
          <w:color w:val="auto"/>
          <w:sz w:val="24"/>
          <w:szCs w:val="20"/>
        </w:rPr>
        <w:t>.</w:t>
      </w:r>
      <w:r>
        <w:rPr>
          <w:rFonts w:hint="eastAsia" w:ascii="宋体" w:hAnsi="宋体" w:cs="宋体"/>
          <w:b/>
          <w:color w:val="auto"/>
          <w:sz w:val="24"/>
          <w:szCs w:val="20"/>
          <w:lang w:val="en-US" w:eastAsia="zh-CN"/>
        </w:rPr>
        <w:t>3</w:t>
      </w:r>
      <w:r>
        <w:rPr>
          <w:rFonts w:hint="eastAsia" w:ascii="宋体" w:hAnsi="宋体" w:cs="宋体"/>
          <w:b/>
          <w:color w:val="auto"/>
          <w:sz w:val="24"/>
        </w:rPr>
        <w:t>未按中标文件规定的格式填写，内容不全或关键字迹模糊、无法辨认的；</w:t>
      </w:r>
      <w:bookmarkEnd w:id="172"/>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rPr>
      </w:pPr>
      <w:bookmarkStart w:id="173" w:name="_Toc5591"/>
      <w:r>
        <w:rPr>
          <w:rFonts w:hint="eastAsia" w:ascii="宋体" w:hAnsi="宋体" w:cs="宋体"/>
          <w:b/>
          <w:color w:val="auto"/>
          <w:sz w:val="24"/>
        </w:rPr>
        <w:t>3</w:t>
      </w:r>
      <w:r>
        <w:rPr>
          <w:rFonts w:hint="eastAsia" w:ascii="宋体" w:hAnsi="宋体" w:cs="宋体"/>
          <w:b/>
          <w:color w:val="auto"/>
          <w:sz w:val="24"/>
          <w:lang w:val="en-US" w:eastAsia="zh-CN"/>
        </w:rPr>
        <w:t>3</w:t>
      </w:r>
      <w:r>
        <w:rPr>
          <w:rFonts w:hint="eastAsia" w:ascii="宋体" w:hAnsi="宋体" w:cs="宋体"/>
          <w:b/>
          <w:color w:val="auto"/>
          <w:sz w:val="24"/>
        </w:rPr>
        <w:t>.</w:t>
      </w:r>
      <w:r>
        <w:rPr>
          <w:rFonts w:hint="eastAsia" w:ascii="宋体" w:hAnsi="宋体" w:cs="宋体"/>
          <w:b/>
          <w:color w:val="auto"/>
          <w:sz w:val="24"/>
          <w:lang w:val="en-US" w:eastAsia="zh-CN"/>
        </w:rPr>
        <w:t>4</w:t>
      </w:r>
      <w:r>
        <w:rPr>
          <w:rFonts w:hint="eastAsia" w:ascii="宋体" w:hAnsi="宋体" w:cs="宋体"/>
          <w:b/>
          <w:color w:val="auto"/>
          <w:sz w:val="24"/>
        </w:rPr>
        <w:t>同一供应商提供两份或多份不同的投标文件，或在一份投标文件中对同一招标货物报有两个或多个报价，且未说明哪一个为最终报价的；</w:t>
      </w:r>
      <w:bookmarkEnd w:id="173"/>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rPr>
      </w:pPr>
      <w:bookmarkStart w:id="174" w:name="_Toc15791"/>
      <w:r>
        <w:rPr>
          <w:rFonts w:hint="eastAsia" w:ascii="宋体" w:hAnsi="宋体" w:cs="宋体"/>
          <w:b/>
          <w:color w:val="auto"/>
          <w:sz w:val="24"/>
        </w:rPr>
        <w:t>3</w:t>
      </w:r>
      <w:r>
        <w:rPr>
          <w:rFonts w:hint="eastAsia" w:ascii="宋体" w:hAnsi="宋体" w:cs="宋体"/>
          <w:b/>
          <w:color w:val="auto"/>
          <w:sz w:val="24"/>
          <w:lang w:val="en-US" w:eastAsia="zh-CN"/>
        </w:rPr>
        <w:t>3</w:t>
      </w:r>
      <w:r>
        <w:rPr>
          <w:rFonts w:hint="eastAsia" w:ascii="宋体" w:hAnsi="宋体" w:cs="宋体"/>
          <w:b/>
          <w:color w:val="auto"/>
          <w:sz w:val="24"/>
        </w:rPr>
        <w:t>.</w:t>
      </w:r>
      <w:r>
        <w:rPr>
          <w:rFonts w:hint="eastAsia" w:ascii="宋体" w:hAnsi="宋体" w:cs="宋体"/>
          <w:b/>
          <w:color w:val="auto"/>
          <w:sz w:val="24"/>
          <w:lang w:val="en-US" w:eastAsia="zh-CN"/>
        </w:rPr>
        <w:t>5</w:t>
      </w:r>
      <w:r>
        <w:rPr>
          <w:rFonts w:hint="eastAsia" w:ascii="宋体" w:hAnsi="宋体" w:cs="宋体"/>
          <w:b/>
          <w:color w:val="auto"/>
          <w:sz w:val="24"/>
        </w:rPr>
        <w:t>供应商的商务报价高于采购预算的</w:t>
      </w:r>
      <w:r>
        <w:rPr>
          <w:rFonts w:hint="eastAsia" w:ascii="宋体" w:hAnsi="宋体" w:cs="宋体"/>
          <w:b/>
          <w:color w:val="auto"/>
          <w:sz w:val="24"/>
          <w:szCs w:val="20"/>
        </w:rPr>
        <w:t>；</w:t>
      </w:r>
      <w:bookmarkEnd w:id="174"/>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rPr>
      </w:pPr>
      <w:bookmarkStart w:id="175" w:name="_Toc14333"/>
      <w:r>
        <w:rPr>
          <w:rFonts w:hint="eastAsia" w:ascii="宋体" w:hAnsi="宋体" w:cs="宋体"/>
          <w:b/>
          <w:color w:val="auto"/>
          <w:sz w:val="24"/>
          <w:szCs w:val="20"/>
        </w:rPr>
        <w:t>3</w:t>
      </w:r>
      <w:r>
        <w:rPr>
          <w:rFonts w:hint="eastAsia" w:ascii="宋体" w:hAnsi="宋体" w:cs="宋体"/>
          <w:b/>
          <w:color w:val="auto"/>
          <w:sz w:val="24"/>
          <w:szCs w:val="20"/>
          <w:lang w:val="en-US" w:eastAsia="zh-CN"/>
        </w:rPr>
        <w:t>3</w:t>
      </w:r>
      <w:r>
        <w:rPr>
          <w:rFonts w:hint="eastAsia" w:ascii="宋体" w:hAnsi="宋体" w:cs="宋体"/>
          <w:b/>
          <w:color w:val="auto"/>
          <w:sz w:val="24"/>
          <w:szCs w:val="20"/>
        </w:rPr>
        <w:t>.</w:t>
      </w:r>
      <w:r>
        <w:rPr>
          <w:rFonts w:hint="eastAsia" w:ascii="宋体" w:hAnsi="宋体" w:cs="宋体"/>
          <w:b/>
          <w:color w:val="auto"/>
          <w:sz w:val="24"/>
          <w:szCs w:val="20"/>
          <w:lang w:val="en-US" w:eastAsia="zh-CN"/>
        </w:rPr>
        <w:t>6</w:t>
      </w:r>
      <w:r>
        <w:rPr>
          <w:rFonts w:hint="eastAsia" w:ascii="宋体" w:hAnsi="宋体" w:cs="宋体"/>
          <w:b/>
          <w:color w:val="auto"/>
          <w:sz w:val="24"/>
          <w:szCs w:val="20"/>
        </w:rPr>
        <w:t>投标文件含有采购人不能接受的附加条件的;</w:t>
      </w:r>
      <w:bookmarkEnd w:id="175"/>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color w:val="auto"/>
          <w:sz w:val="24"/>
        </w:rPr>
      </w:pPr>
      <w:r>
        <w:rPr>
          <w:rFonts w:hint="eastAsia" w:ascii="宋体" w:hAnsi="宋体" w:cs="宋体"/>
          <w:b/>
          <w:color w:val="auto"/>
          <w:sz w:val="24"/>
          <w:szCs w:val="20"/>
        </w:rPr>
        <w:t>3</w:t>
      </w:r>
      <w:r>
        <w:rPr>
          <w:rFonts w:hint="eastAsia" w:ascii="宋体" w:hAnsi="宋体" w:cs="宋体"/>
          <w:b/>
          <w:color w:val="auto"/>
          <w:sz w:val="24"/>
          <w:szCs w:val="20"/>
          <w:lang w:val="en-US" w:eastAsia="zh-CN"/>
        </w:rPr>
        <w:t>3</w:t>
      </w:r>
      <w:r>
        <w:rPr>
          <w:rFonts w:hint="eastAsia" w:ascii="宋体" w:hAnsi="宋体" w:cs="宋体"/>
          <w:b/>
          <w:color w:val="auto"/>
          <w:sz w:val="24"/>
          <w:szCs w:val="20"/>
        </w:rPr>
        <w:t>.</w:t>
      </w:r>
      <w:r>
        <w:rPr>
          <w:rFonts w:hint="eastAsia" w:ascii="宋体" w:hAnsi="宋体" w:cs="宋体"/>
          <w:b/>
          <w:color w:val="auto"/>
          <w:sz w:val="24"/>
          <w:szCs w:val="20"/>
          <w:lang w:val="en-US" w:eastAsia="zh-CN"/>
        </w:rPr>
        <w:t>7</w:t>
      </w:r>
      <w:r>
        <w:rPr>
          <w:rFonts w:hint="eastAsia" w:ascii="宋体" w:hAnsi="宋体" w:cs="宋体"/>
          <w:b/>
          <w:color w:val="auto"/>
          <w:sz w:val="24"/>
          <w:szCs w:val="20"/>
        </w:rPr>
        <w:t>《中华人民共和国政府采购法》、《中华人民共和国政府采购法实施条例》、《政府采购货物和服务招标投标管理办法》及相关法律法规及招标文件明确规定可以作无效投标文件的其他情形。</w:t>
      </w:r>
      <w:bookmarkEnd w:id="155"/>
      <w:bookmarkEnd w:id="156"/>
      <w:bookmarkEnd w:id="157"/>
      <w:bookmarkEnd w:id="158"/>
      <w:bookmarkEnd w:id="159"/>
      <w:bookmarkEnd w:id="160"/>
      <w:bookmarkEnd w:id="161"/>
      <w:bookmarkEnd w:id="162"/>
      <w:bookmarkEnd w:id="163"/>
      <w:bookmarkEnd w:id="164"/>
      <w:bookmarkEnd w:id="165"/>
      <w:bookmarkEnd w:id="166"/>
    </w:p>
    <w:p>
      <w:pPr>
        <w:keepNext w:val="0"/>
        <w:keepLines w:val="0"/>
        <w:pageBreakBefore w:val="0"/>
        <w:kinsoku/>
        <w:wordWrap/>
        <w:overflowPunct/>
        <w:topLinePunct w:val="0"/>
        <w:autoSpaceDE/>
        <w:autoSpaceDN/>
        <w:bidi w:val="0"/>
        <w:spacing w:line="440" w:lineRule="exact"/>
        <w:ind w:firstLine="482" w:firstLineChars="200"/>
        <w:outlineLvl w:val="1"/>
        <w:rPr>
          <w:rFonts w:ascii="宋体" w:hAnsi="宋体" w:cs="宋体"/>
          <w:b/>
          <w:color w:val="auto"/>
          <w:sz w:val="24"/>
        </w:rPr>
      </w:pPr>
      <w:r>
        <w:rPr>
          <w:rFonts w:hint="eastAsia" w:ascii="宋体" w:hAnsi="宋体" w:cs="宋体"/>
          <w:b/>
          <w:color w:val="auto"/>
          <w:sz w:val="24"/>
        </w:rPr>
        <w:t>34、评标办法及定标原则</w:t>
      </w:r>
    </w:p>
    <w:bookmarkEnd w:id="141"/>
    <w:bookmarkEnd w:id="142"/>
    <w:bookmarkEnd w:id="143"/>
    <w:bookmarkEnd w:id="144"/>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szCs w:val="20"/>
        </w:rPr>
      </w:pPr>
      <w:r>
        <w:rPr>
          <w:rFonts w:hint="eastAsia" w:ascii="宋体" w:hAnsi="宋体" w:cs="宋体"/>
          <w:b/>
          <w:color w:val="auto"/>
          <w:sz w:val="24"/>
          <w:szCs w:val="20"/>
        </w:rPr>
        <w:t>3</w:t>
      </w:r>
      <w:r>
        <w:rPr>
          <w:rFonts w:hint="eastAsia" w:ascii="宋体" w:hAnsi="宋体" w:cs="宋体"/>
          <w:b/>
          <w:color w:val="auto"/>
          <w:sz w:val="24"/>
          <w:szCs w:val="20"/>
          <w:lang w:val="en-US" w:eastAsia="zh-CN"/>
        </w:rPr>
        <w:t>4</w:t>
      </w:r>
      <w:r>
        <w:rPr>
          <w:rFonts w:hint="eastAsia" w:ascii="宋体" w:hAnsi="宋体" w:cs="宋体"/>
          <w:b/>
          <w:color w:val="auto"/>
          <w:sz w:val="24"/>
          <w:szCs w:val="20"/>
        </w:rPr>
        <w:t>.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szCs w:val="20"/>
        </w:rPr>
      </w:pPr>
      <w:r>
        <w:rPr>
          <w:rFonts w:hint="eastAsia" w:ascii="宋体" w:hAnsi="宋体" w:cs="宋体"/>
          <w:b/>
          <w:color w:val="auto"/>
          <w:sz w:val="24"/>
          <w:szCs w:val="20"/>
        </w:rPr>
        <w:t>3</w:t>
      </w:r>
      <w:r>
        <w:rPr>
          <w:rFonts w:hint="eastAsia" w:ascii="宋体" w:hAnsi="宋体" w:cs="宋体"/>
          <w:b/>
          <w:color w:val="auto"/>
          <w:sz w:val="24"/>
          <w:szCs w:val="20"/>
          <w:lang w:val="en-US" w:eastAsia="zh-CN"/>
        </w:rPr>
        <w:t>4</w:t>
      </w:r>
      <w:r>
        <w:rPr>
          <w:rFonts w:hint="eastAsia" w:ascii="宋体" w:hAnsi="宋体" w:cs="宋体"/>
          <w:b/>
          <w:color w:val="auto"/>
          <w:sz w:val="24"/>
          <w:szCs w:val="20"/>
        </w:rPr>
        <w:t>.1.2登录“中国执行信息公开网”（网址：</w:t>
      </w:r>
      <w:r>
        <w:rPr>
          <w:rFonts w:hint="eastAsia" w:ascii="宋体" w:hAnsi="宋体" w:cs="宋体"/>
          <w:b/>
          <w:color w:val="auto"/>
          <w:sz w:val="24"/>
          <w:szCs w:val="20"/>
        </w:rPr>
        <w:drawing>
          <wp:inline distT="0" distB="0" distL="114300" distR="114300">
            <wp:extent cx="190500" cy="144780"/>
            <wp:effectExtent l="0" t="0" r="0" b="7620"/>
            <wp:docPr id="1" name="图片 1" descr="[5UQ[BL(6~BS2JV6W}N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UQ[BL(6~BS2JV6W}N6[%S"/>
                    <pic:cNvPicPr>
                      <a:picLocks noChangeAspect="1"/>
                    </pic:cNvPicPr>
                  </pic:nvPicPr>
                  <pic:blipFill>
                    <a:blip r:embed="rId9"/>
                    <a:stretch>
                      <a:fillRect/>
                    </a:stretch>
                  </pic:blipFill>
                  <pic:spPr>
                    <a:xfrm>
                      <a:off x="0" y="0"/>
                      <a:ext cx="190500" cy="144780"/>
                    </a:xfrm>
                    <a:prstGeom prst="rect">
                      <a:avLst/>
                    </a:prstGeom>
                    <a:noFill/>
                    <a:ln>
                      <a:noFill/>
                    </a:ln>
                  </pic:spPr>
                </pic:pic>
              </a:graphicData>
            </a:graphic>
          </wp:inline>
        </w:drawing>
      </w:r>
      <w:r>
        <w:rPr>
          <w:rFonts w:hint="eastAsia" w:ascii="宋体" w:hAnsi="宋体" w:cs="宋体"/>
          <w:b/>
          <w:color w:val="auto"/>
          <w:sz w:val="24"/>
          <w:szCs w:val="20"/>
        </w:rPr>
        <w:t xml:space="preserve">shixin.court.gov.cn）失信被执行人名单库查询。（如查询到该公司信息，说明该公司为失信被执行人），拒绝参与政府采购活动，同时对信用信息查询记录和证据进行打印存档。 </w:t>
      </w:r>
    </w:p>
    <w:p>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4</w:t>
      </w:r>
      <w:r>
        <w:rPr>
          <w:rFonts w:hint="eastAsia" w:ascii="宋体" w:hAnsi="宋体" w:cs="宋体"/>
          <w:b/>
          <w:color w:val="auto"/>
          <w:sz w:val="24"/>
          <w:szCs w:val="20"/>
          <w:highlight w:val="none"/>
        </w:rPr>
        <w:t>.2评标方法：本项目评审采用综合评分法，总分100分，其中</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报价</w:t>
      </w:r>
      <w:r>
        <w:rPr>
          <w:rFonts w:hint="eastAsia" w:ascii="宋体" w:hAnsi="宋体" w:cs="宋体"/>
          <w:b/>
          <w:color w:val="auto"/>
          <w:sz w:val="24"/>
          <w:highlight w:val="none"/>
          <w:lang w:val="en-US" w:eastAsia="zh-CN"/>
        </w:rPr>
        <w:t>20</w:t>
      </w:r>
      <w:r>
        <w:rPr>
          <w:rFonts w:hint="eastAsia" w:ascii="宋体" w:hAnsi="宋体" w:cs="宋体"/>
          <w:b/>
          <w:color w:val="auto"/>
          <w:sz w:val="24"/>
          <w:highlight w:val="none"/>
        </w:rPr>
        <w:t>分、商务部分</w:t>
      </w:r>
      <w:r>
        <w:rPr>
          <w:rFonts w:hint="eastAsia" w:ascii="宋体" w:hAnsi="宋体" w:cs="宋体"/>
          <w:b/>
          <w:color w:val="auto"/>
          <w:sz w:val="24"/>
          <w:szCs w:val="20"/>
          <w:highlight w:val="none"/>
          <w:lang w:val="en-US" w:eastAsia="zh-CN"/>
        </w:rPr>
        <w:t>40</w:t>
      </w:r>
      <w:r>
        <w:rPr>
          <w:rFonts w:hint="eastAsia" w:ascii="宋体" w:hAnsi="宋体" w:cs="宋体"/>
          <w:b/>
          <w:color w:val="auto"/>
          <w:sz w:val="24"/>
          <w:szCs w:val="20"/>
          <w:highlight w:val="none"/>
        </w:rPr>
        <w:t>分、技术部分</w:t>
      </w:r>
      <w:r>
        <w:rPr>
          <w:rFonts w:hint="eastAsia" w:ascii="宋体" w:hAnsi="宋体" w:cs="宋体"/>
          <w:b/>
          <w:color w:val="auto"/>
          <w:sz w:val="24"/>
          <w:szCs w:val="20"/>
          <w:highlight w:val="none"/>
          <w:lang w:val="en-US" w:eastAsia="zh-CN"/>
        </w:rPr>
        <w:t>40</w:t>
      </w:r>
      <w:r>
        <w:rPr>
          <w:rFonts w:hint="eastAsia" w:ascii="宋体" w:hAnsi="宋体" w:cs="宋体"/>
          <w:b/>
          <w:color w:val="auto"/>
          <w:sz w:val="24"/>
          <w:szCs w:val="20"/>
          <w:highlight w:val="none"/>
        </w:rPr>
        <w:t>分，具体评</w:t>
      </w:r>
      <w:r>
        <w:rPr>
          <w:rFonts w:hint="eastAsia" w:ascii="宋体" w:hAnsi="宋体" w:cs="宋体"/>
          <w:b/>
          <w:color w:val="auto"/>
          <w:sz w:val="24"/>
          <w:szCs w:val="20"/>
          <w:highlight w:val="none"/>
          <w:lang w:eastAsia="zh-CN"/>
        </w:rPr>
        <w:t>标方法</w:t>
      </w:r>
      <w:r>
        <w:rPr>
          <w:rFonts w:hint="eastAsia" w:ascii="宋体" w:hAnsi="宋体" w:cs="宋体"/>
          <w:b/>
          <w:color w:val="auto"/>
          <w:sz w:val="24"/>
          <w:szCs w:val="20"/>
          <w:highlight w:val="none"/>
        </w:rPr>
        <w:t>详见本</w:t>
      </w:r>
      <w:r>
        <w:rPr>
          <w:rFonts w:hint="eastAsia" w:ascii="宋体" w:hAnsi="宋体" w:cs="宋体"/>
          <w:b/>
          <w:color w:val="auto"/>
          <w:sz w:val="24"/>
          <w:szCs w:val="20"/>
          <w:highlight w:val="none"/>
          <w:lang w:eastAsia="zh-CN"/>
        </w:rPr>
        <w:t>招标</w:t>
      </w:r>
      <w:r>
        <w:rPr>
          <w:rFonts w:hint="eastAsia" w:ascii="宋体" w:hAnsi="宋体" w:cs="宋体"/>
          <w:b/>
          <w:color w:val="auto"/>
          <w:sz w:val="24"/>
          <w:szCs w:val="20"/>
          <w:highlight w:val="none"/>
        </w:rPr>
        <w:t>文件第六章“评标标准（综合评分法）”</w:t>
      </w:r>
    </w:p>
    <w:p>
      <w:pPr>
        <w:spacing w:line="360" w:lineRule="auto"/>
        <w:ind w:firstLine="482" w:firstLineChars="200"/>
        <w:rPr>
          <w:rFonts w:hint="default" w:ascii="宋体" w:hAnsi="宋体" w:cs="宋体"/>
          <w:b/>
          <w:color w:val="auto"/>
          <w:sz w:val="24"/>
          <w:szCs w:val="20"/>
          <w:lang w:val="en-US" w:eastAsia="zh-CN"/>
        </w:rPr>
      </w:pPr>
      <w:r>
        <w:rPr>
          <w:rFonts w:hint="eastAsia" w:ascii="宋体" w:hAnsi="宋体" w:cs="宋体"/>
          <w:b/>
          <w:color w:val="auto"/>
          <w:sz w:val="24"/>
          <w:szCs w:val="20"/>
          <w:lang w:val="en-US" w:eastAsia="zh-CN"/>
        </w:rPr>
        <w:t xml:space="preserve">   本项目分两阶段评审，初审和详细评审，通过初审单位将进入第二阶段详细评审。</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34.3</w:t>
      </w:r>
      <w:r>
        <w:rPr>
          <w:rFonts w:hint="eastAsia" w:ascii="宋体" w:hAnsi="宋体" w:cs="宋体"/>
          <w:b/>
          <w:color w:val="auto"/>
          <w:sz w:val="24"/>
          <w:lang w:eastAsia="zh-CN"/>
        </w:rPr>
        <w:t>投标文件</w:t>
      </w:r>
      <w:r>
        <w:rPr>
          <w:rFonts w:hint="eastAsia" w:ascii="宋体" w:hAnsi="宋体" w:cs="宋体"/>
          <w:b/>
          <w:color w:val="auto"/>
          <w:sz w:val="24"/>
        </w:rPr>
        <w:t>初审。初审分为资格性审查和符合性审查。</w:t>
      </w:r>
      <w:r>
        <w:rPr>
          <w:rFonts w:hint="eastAsia" w:ascii="宋体" w:hAnsi="宋体" w:cs="宋体"/>
          <w:b/>
          <w:color w:val="auto"/>
          <w:sz w:val="24"/>
          <w:lang w:eastAsia="zh-CN"/>
        </w:rPr>
        <w:t>投标文件</w:t>
      </w:r>
      <w:r>
        <w:rPr>
          <w:rFonts w:hint="eastAsia" w:ascii="宋体" w:hAnsi="宋体" w:cs="宋体"/>
          <w:b/>
          <w:color w:val="auto"/>
          <w:sz w:val="24"/>
        </w:rPr>
        <w:t>初审由</w:t>
      </w:r>
      <w:r>
        <w:rPr>
          <w:rFonts w:hint="eastAsia" w:ascii="宋体" w:hAnsi="宋体" w:cs="宋体"/>
          <w:b/>
          <w:color w:val="auto"/>
          <w:sz w:val="24"/>
          <w:lang w:eastAsia="zh-CN"/>
        </w:rPr>
        <w:t>评标委员会</w:t>
      </w:r>
      <w:r>
        <w:rPr>
          <w:rFonts w:hint="eastAsia" w:ascii="宋体" w:hAnsi="宋体" w:cs="宋体"/>
          <w:b/>
          <w:color w:val="auto"/>
          <w:sz w:val="24"/>
        </w:rPr>
        <w:t>根据各供应商</w:t>
      </w:r>
      <w:r>
        <w:rPr>
          <w:rFonts w:hint="eastAsia" w:ascii="宋体" w:hAnsi="宋体" w:cs="宋体"/>
          <w:b/>
          <w:color w:val="auto"/>
          <w:sz w:val="24"/>
          <w:lang w:eastAsia="zh-CN"/>
        </w:rPr>
        <w:t>投标文件</w:t>
      </w:r>
      <w:r>
        <w:rPr>
          <w:rFonts w:hint="eastAsia" w:ascii="宋体" w:hAnsi="宋体" w:cs="宋体"/>
          <w:b/>
          <w:color w:val="auto"/>
          <w:sz w:val="24"/>
        </w:rPr>
        <w:t>进行评审，</w:t>
      </w:r>
      <w:r>
        <w:rPr>
          <w:rFonts w:hint="eastAsia" w:ascii="宋体" w:hAnsi="宋体" w:cs="宋体"/>
          <w:b/>
          <w:color w:val="auto"/>
          <w:sz w:val="24"/>
          <w:szCs w:val="20"/>
        </w:rPr>
        <w:t>初</w:t>
      </w:r>
      <w:r>
        <w:rPr>
          <w:rFonts w:hint="eastAsia" w:ascii="宋体" w:hAnsi="宋体" w:cs="宋体"/>
          <w:b/>
          <w:color w:val="auto"/>
          <w:sz w:val="24"/>
        </w:rPr>
        <w:t>审内容详见第六章“评审标准（综合评分法）。未通过初审的供应商其</w:t>
      </w:r>
      <w:r>
        <w:rPr>
          <w:rFonts w:hint="eastAsia" w:ascii="宋体" w:hAnsi="宋体" w:cs="宋体"/>
          <w:b/>
          <w:color w:val="auto"/>
          <w:sz w:val="24"/>
          <w:lang w:eastAsia="zh-CN"/>
        </w:rPr>
        <w:t>投标文件</w:t>
      </w:r>
      <w:r>
        <w:rPr>
          <w:rFonts w:hint="eastAsia" w:ascii="宋体" w:hAnsi="宋体" w:cs="宋体"/>
          <w:b/>
          <w:color w:val="auto"/>
          <w:sz w:val="24"/>
        </w:rPr>
        <w:t>按照无效</w:t>
      </w:r>
      <w:r>
        <w:rPr>
          <w:rFonts w:hint="eastAsia" w:ascii="宋体" w:hAnsi="宋体" w:cs="宋体"/>
          <w:b/>
          <w:color w:val="auto"/>
          <w:sz w:val="24"/>
          <w:lang w:eastAsia="zh-CN"/>
        </w:rPr>
        <w:t>投标文件</w:t>
      </w:r>
      <w:r>
        <w:rPr>
          <w:rFonts w:hint="eastAsia" w:ascii="宋体" w:hAnsi="宋体" w:cs="宋体"/>
          <w:b/>
          <w:color w:val="auto"/>
          <w:sz w:val="24"/>
        </w:rPr>
        <w:t>处理。</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34.3.1资格性检查。依据法律法规和</w:t>
      </w:r>
      <w:r>
        <w:rPr>
          <w:rFonts w:hint="eastAsia" w:ascii="宋体" w:hAnsi="宋体" w:cs="宋体"/>
          <w:b/>
          <w:color w:val="auto"/>
          <w:sz w:val="24"/>
          <w:lang w:eastAsia="zh-CN"/>
        </w:rPr>
        <w:t>招标</w:t>
      </w:r>
      <w:r>
        <w:rPr>
          <w:rFonts w:hint="eastAsia" w:ascii="宋体" w:hAnsi="宋体" w:cs="宋体"/>
          <w:b/>
          <w:color w:val="auto"/>
          <w:sz w:val="24"/>
        </w:rPr>
        <w:t>文件的规定，对</w:t>
      </w:r>
      <w:r>
        <w:rPr>
          <w:rFonts w:hint="eastAsia" w:ascii="宋体" w:hAnsi="宋体" w:cs="宋体"/>
          <w:b/>
          <w:color w:val="auto"/>
          <w:sz w:val="24"/>
          <w:lang w:eastAsia="zh-CN"/>
        </w:rPr>
        <w:t>投标文件</w:t>
      </w:r>
      <w:r>
        <w:rPr>
          <w:rFonts w:hint="eastAsia" w:ascii="宋体" w:hAnsi="宋体" w:cs="宋体"/>
          <w:b/>
          <w:color w:val="auto"/>
          <w:sz w:val="24"/>
        </w:rPr>
        <w:t>中的资格条件等进行审查，以确定供应商是否具备</w:t>
      </w:r>
      <w:r>
        <w:rPr>
          <w:rFonts w:hint="eastAsia" w:ascii="宋体" w:hAnsi="宋体" w:cs="宋体"/>
          <w:b/>
          <w:color w:val="auto"/>
          <w:sz w:val="24"/>
          <w:lang w:eastAsia="zh-CN"/>
        </w:rPr>
        <w:t>投标</w:t>
      </w:r>
      <w:r>
        <w:rPr>
          <w:rFonts w:hint="eastAsia" w:ascii="宋体" w:hAnsi="宋体" w:cs="宋体"/>
          <w:b/>
          <w:color w:val="auto"/>
          <w:sz w:val="24"/>
        </w:rPr>
        <w:t>资格。</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34.3.2符合性检查。依据</w:t>
      </w:r>
      <w:r>
        <w:rPr>
          <w:rFonts w:hint="eastAsia" w:ascii="宋体" w:hAnsi="宋体" w:cs="宋体"/>
          <w:b/>
          <w:color w:val="auto"/>
          <w:sz w:val="24"/>
          <w:lang w:eastAsia="zh-CN"/>
        </w:rPr>
        <w:t>招标</w:t>
      </w:r>
      <w:r>
        <w:rPr>
          <w:rFonts w:hint="eastAsia" w:ascii="宋体" w:hAnsi="宋体" w:cs="宋体"/>
          <w:b/>
          <w:color w:val="auto"/>
          <w:sz w:val="24"/>
        </w:rPr>
        <w:t>文件的规定，从</w:t>
      </w:r>
      <w:r>
        <w:rPr>
          <w:rFonts w:hint="eastAsia" w:ascii="宋体" w:hAnsi="宋体" w:cs="宋体"/>
          <w:b/>
          <w:color w:val="auto"/>
          <w:sz w:val="24"/>
          <w:lang w:eastAsia="zh-CN"/>
        </w:rPr>
        <w:t>投标文件</w:t>
      </w:r>
      <w:r>
        <w:rPr>
          <w:rFonts w:hint="eastAsia" w:ascii="宋体" w:hAnsi="宋体" w:cs="宋体"/>
          <w:b/>
          <w:color w:val="auto"/>
          <w:sz w:val="24"/>
        </w:rPr>
        <w:t>的有效性、完整性和对</w:t>
      </w:r>
      <w:r>
        <w:rPr>
          <w:rFonts w:hint="eastAsia" w:ascii="宋体" w:hAnsi="宋体" w:cs="宋体"/>
          <w:b/>
          <w:color w:val="auto"/>
          <w:sz w:val="24"/>
          <w:lang w:eastAsia="zh-CN"/>
        </w:rPr>
        <w:t>招标</w:t>
      </w:r>
      <w:r>
        <w:rPr>
          <w:rFonts w:hint="eastAsia" w:ascii="宋体" w:hAnsi="宋体" w:cs="宋体"/>
          <w:b/>
          <w:color w:val="auto"/>
          <w:sz w:val="24"/>
        </w:rPr>
        <w:t>文件的响应程度进行审查，以确定是否对</w:t>
      </w:r>
      <w:r>
        <w:rPr>
          <w:rFonts w:hint="eastAsia" w:ascii="宋体" w:hAnsi="宋体" w:cs="宋体"/>
          <w:b/>
          <w:color w:val="auto"/>
          <w:sz w:val="24"/>
          <w:lang w:eastAsia="zh-CN"/>
        </w:rPr>
        <w:t>招标</w:t>
      </w:r>
      <w:r>
        <w:rPr>
          <w:rFonts w:hint="eastAsia" w:ascii="宋体" w:hAnsi="宋体" w:cs="宋体"/>
          <w:b/>
          <w:color w:val="auto"/>
          <w:sz w:val="24"/>
        </w:rPr>
        <w:t>文件的实质性要求作出响应。</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34.</w:t>
      </w:r>
      <w:r>
        <w:rPr>
          <w:rFonts w:hint="eastAsia" w:ascii="宋体" w:hAnsi="宋体" w:cs="宋体"/>
          <w:b/>
          <w:color w:val="auto"/>
          <w:sz w:val="24"/>
          <w:lang w:val="en-US" w:eastAsia="zh-CN"/>
        </w:rPr>
        <w:t>4</w:t>
      </w:r>
      <w:r>
        <w:rPr>
          <w:rFonts w:hint="eastAsia" w:ascii="宋体" w:hAnsi="宋体" w:cs="宋体"/>
          <w:b/>
          <w:color w:val="auto"/>
          <w:sz w:val="24"/>
        </w:rPr>
        <w:t>澄清有关问题。对</w:t>
      </w:r>
      <w:r>
        <w:rPr>
          <w:rFonts w:hint="eastAsia" w:ascii="宋体" w:hAnsi="宋体" w:cs="宋体"/>
          <w:b/>
          <w:color w:val="auto"/>
          <w:sz w:val="24"/>
          <w:lang w:eastAsia="zh-CN"/>
        </w:rPr>
        <w:t>投标文件</w:t>
      </w:r>
      <w:r>
        <w:rPr>
          <w:rFonts w:hint="eastAsia" w:ascii="宋体" w:hAnsi="宋体" w:cs="宋体"/>
          <w:b/>
          <w:color w:val="auto"/>
          <w:sz w:val="24"/>
        </w:rPr>
        <w:t>中含义不明确、同类问题表述不一致或者有明显文字和计算错误的内容，</w:t>
      </w:r>
      <w:r>
        <w:rPr>
          <w:rFonts w:hint="eastAsia" w:ascii="宋体" w:hAnsi="宋体" w:cs="宋体"/>
          <w:b/>
          <w:color w:val="auto"/>
          <w:sz w:val="24"/>
          <w:lang w:eastAsia="zh-CN"/>
        </w:rPr>
        <w:t>评标委员会</w:t>
      </w:r>
      <w:r>
        <w:rPr>
          <w:rFonts w:hint="eastAsia" w:ascii="宋体" w:hAnsi="宋体" w:cs="宋体"/>
          <w:b/>
          <w:color w:val="auto"/>
          <w:sz w:val="24"/>
        </w:rPr>
        <w:t>可以书面形式要求供应商作出必要的澄清、说明或者纠正。供应商的澄清、说明或者补正应当采用书面形式，由其授权的代表签字，并不得超出</w:t>
      </w:r>
      <w:r>
        <w:rPr>
          <w:rFonts w:hint="eastAsia" w:ascii="宋体" w:hAnsi="宋体" w:cs="宋体"/>
          <w:b/>
          <w:color w:val="auto"/>
          <w:sz w:val="24"/>
          <w:lang w:eastAsia="zh-CN"/>
        </w:rPr>
        <w:t>投标文件</w:t>
      </w:r>
      <w:r>
        <w:rPr>
          <w:rFonts w:hint="eastAsia" w:ascii="宋体" w:hAnsi="宋体" w:cs="宋体"/>
          <w:b/>
          <w:color w:val="auto"/>
          <w:sz w:val="24"/>
        </w:rPr>
        <w:t>的范围或者改变</w:t>
      </w:r>
      <w:r>
        <w:rPr>
          <w:rFonts w:hint="eastAsia" w:ascii="宋体" w:hAnsi="宋体" w:cs="宋体"/>
          <w:b/>
          <w:color w:val="auto"/>
          <w:sz w:val="24"/>
          <w:lang w:eastAsia="zh-CN"/>
        </w:rPr>
        <w:t>投标文件</w:t>
      </w:r>
      <w:r>
        <w:rPr>
          <w:rFonts w:hint="eastAsia" w:ascii="宋体" w:hAnsi="宋体" w:cs="宋体"/>
          <w:b/>
          <w:color w:val="auto"/>
          <w:sz w:val="24"/>
        </w:rPr>
        <w:t>的实质性内容。</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34.</w:t>
      </w:r>
      <w:r>
        <w:rPr>
          <w:rFonts w:hint="eastAsia" w:ascii="宋体" w:hAnsi="宋体" w:cs="宋体"/>
          <w:b/>
          <w:color w:val="auto"/>
          <w:sz w:val="24"/>
          <w:lang w:val="en-US" w:eastAsia="zh-CN"/>
        </w:rPr>
        <w:t>5</w:t>
      </w:r>
      <w:r>
        <w:rPr>
          <w:rFonts w:hint="eastAsia" w:ascii="宋体" w:hAnsi="宋体" w:cs="宋体"/>
          <w:b/>
          <w:color w:val="auto"/>
          <w:sz w:val="24"/>
        </w:rPr>
        <w:t>比较与评价。</w:t>
      </w:r>
      <w:r>
        <w:rPr>
          <w:rFonts w:hint="eastAsia" w:hAnsi="宋体" w:cs="宋体"/>
          <w:b/>
          <w:color w:val="auto"/>
          <w:sz w:val="24"/>
        </w:rPr>
        <w:t>评标委员会</w:t>
      </w:r>
      <w:r>
        <w:rPr>
          <w:rFonts w:hint="eastAsia" w:ascii="宋体" w:hAnsi="宋体" w:cs="宋体"/>
          <w:b/>
          <w:color w:val="auto"/>
          <w:sz w:val="24"/>
        </w:rPr>
        <w:t>按</w:t>
      </w:r>
      <w:r>
        <w:rPr>
          <w:rFonts w:hint="eastAsia" w:ascii="宋体" w:hAnsi="宋体" w:cs="宋体"/>
          <w:b/>
          <w:color w:val="auto"/>
          <w:sz w:val="24"/>
          <w:lang w:eastAsia="zh-CN"/>
        </w:rPr>
        <w:t>招标</w:t>
      </w:r>
      <w:r>
        <w:rPr>
          <w:rFonts w:hint="eastAsia" w:ascii="宋体" w:hAnsi="宋体" w:cs="宋体"/>
          <w:b/>
          <w:color w:val="auto"/>
          <w:sz w:val="24"/>
        </w:rPr>
        <w:t>文件中规定的</w:t>
      </w:r>
      <w:r>
        <w:rPr>
          <w:rFonts w:hint="eastAsia" w:ascii="宋体" w:hAnsi="宋体" w:cs="宋体"/>
          <w:b/>
          <w:color w:val="auto"/>
          <w:sz w:val="24"/>
          <w:lang w:eastAsia="zh-CN"/>
        </w:rPr>
        <w:t>评标</w:t>
      </w:r>
      <w:r>
        <w:rPr>
          <w:rFonts w:hint="eastAsia" w:ascii="宋体" w:hAnsi="宋体" w:cs="宋体"/>
          <w:b/>
          <w:color w:val="auto"/>
          <w:sz w:val="24"/>
        </w:rPr>
        <w:t>方法和标准，</w:t>
      </w:r>
      <w:r>
        <w:rPr>
          <w:rFonts w:hint="eastAsia" w:hAnsi="宋体" w:cs="宋体"/>
          <w:b/>
          <w:color w:val="auto"/>
          <w:sz w:val="24"/>
        </w:rPr>
        <w:t>对投标文件进行商务部分和技术部分评估，综合比较与评价</w:t>
      </w:r>
      <w:r>
        <w:rPr>
          <w:rFonts w:hint="eastAsia" w:ascii="宋体" w:hAnsi="宋体" w:cs="宋体"/>
          <w:b/>
          <w:color w:val="auto"/>
          <w:sz w:val="24"/>
        </w:rPr>
        <w:t>。</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szCs w:val="20"/>
        </w:rPr>
      </w:pPr>
      <w:r>
        <w:rPr>
          <w:rFonts w:hint="eastAsia" w:ascii="宋体" w:hAnsi="宋体" w:cs="宋体"/>
          <w:b/>
          <w:bCs/>
          <w:color w:val="auto"/>
          <w:sz w:val="24"/>
          <w:szCs w:val="20"/>
        </w:rPr>
        <w:t>3</w:t>
      </w:r>
      <w:r>
        <w:rPr>
          <w:rFonts w:hint="eastAsia" w:ascii="宋体" w:hAnsi="宋体" w:cs="宋体"/>
          <w:b/>
          <w:bCs/>
          <w:color w:val="auto"/>
          <w:sz w:val="24"/>
          <w:szCs w:val="20"/>
          <w:lang w:val="en-US" w:eastAsia="zh-CN"/>
        </w:rPr>
        <w:t>5、</w:t>
      </w:r>
      <w:r>
        <w:rPr>
          <w:rFonts w:hint="eastAsia" w:ascii="宋体" w:hAnsi="宋体" w:cs="宋体"/>
          <w:b/>
          <w:bCs/>
          <w:color w:val="auto"/>
          <w:sz w:val="24"/>
          <w:szCs w:val="20"/>
        </w:rPr>
        <w:t>商务报价错误的修正</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3</w:t>
      </w:r>
      <w:r>
        <w:rPr>
          <w:rFonts w:hint="eastAsia" w:ascii="宋体" w:hAnsi="宋体" w:cs="宋体"/>
          <w:b/>
          <w:bCs/>
          <w:color w:val="auto"/>
          <w:sz w:val="24"/>
          <w:lang w:val="en-US" w:eastAsia="zh-CN"/>
        </w:rPr>
        <w:t>5.1</w:t>
      </w:r>
      <w:r>
        <w:rPr>
          <w:rFonts w:hint="eastAsia" w:ascii="宋体" w:hAnsi="宋体" w:cs="宋体"/>
          <w:b/>
          <w:bCs/>
          <w:color w:val="auto"/>
          <w:sz w:val="24"/>
        </w:rPr>
        <w:t>如果发现商务报价存在计算或表达上错误，则按下列原则进行修正：</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（1）开标时，投标文件中开标一览表(报价表)内容与投标文件中明细表内容不一致的，以开标一览表(报价表)为准。</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（2）投标文件的大写金额和小写金额不一致的，以大写金额为准；</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3）总价金额与按单价汇总金额不一致的，以单价金额计算结果为准；单价金额小数点或者百分比有明显错位的，以开标一览表的总价为准，并修改单价；对不同文字文本投标文件的解释发生异议的，以中文文本为准。</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color w:val="auto"/>
          <w:sz w:val="24"/>
          <w:szCs w:val="20"/>
        </w:rPr>
      </w:pPr>
      <w:r>
        <w:rPr>
          <w:rFonts w:hint="eastAsia" w:ascii="宋体" w:hAnsi="宋体" w:cs="宋体"/>
          <w:b/>
          <w:bCs/>
          <w:color w:val="auto"/>
          <w:sz w:val="24"/>
        </w:rPr>
        <w:t>3</w:t>
      </w:r>
      <w:r>
        <w:rPr>
          <w:rFonts w:hint="eastAsia" w:ascii="宋体" w:hAnsi="宋体" w:cs="宋体"/>
          <w:b/>
          <w:bCs/>
          <w:color w:val="auto"/>
          <w:sz w:val="24"/>
          <w:lang w:val="en-US" w:eastAsia="zh-CN"/>
        </w:rPr>
        <w:t>5.</w:t>
      </w:r>
      <w:r>
        <w:rPr>
          <w:rFonts w:hint="eastAsia" w:ascii="宋体" w:hAnsi="宋体" w:cs="宋体"/>
          <w:b/>
          <w:bCs/>
          <w:color w:val="auto"/>
          <w:sz w:val="24"/>
        </w:rPr>
        <w:t>2同时出现两种以上不一致的，按照前款规定的顺序修正。修正后的报价按照财政部公布第87号令 《政府采购货物和服务招标投标管理办法》第五十一条第二款的规定经供应商确认后产生约束力，供应商不确认的，其投标无效。</w:t>
      </w:r>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rPr>
      </w:pPr>
      <w:bookmarkStart w:id="176" w:name="_Toc9198"/>
      <w:r>
        <w:rPr>
          <w:rFonts w:hint="eastAsia" w:ascii="宋体" w:hAnsi="宋体" w:cs="宋体"/>
          <w:b/>
          <w:color w:val="auto"/>
          <w:sz w:val="24"/>
        </w:rPr>
        <w:t>3</w:t>
      </w:r>
      <w:r>
        <w:rPr>
          <w:rFonts w:hint="eastAsia" w:ascii="宋体" w:hAnsi="宋体" w:cs="宋体"/>
          <w:b/>
          <w:color w:val="auto"/>
          <w:sz w:val="24"/>
          <w:lang w:val="en-US" w:eastAsia="zh-CN"/>
        </w:rPr>
        <w:t>5.3</w:t>
      </w:r>
      <w:r>
        <w:rPr>
          <w:rFonts w:hint="eastAsia" w:ascii="宋体" w:hAnsi="宋体" w:cs="宋体"/>
          <w:b/>
          <w:color w:val="auto"/>
          <w:sz w:val="24"/>
        </w:rPr>
        <w:t>评标委员会认为供应商的报价明显低于其他供应商的报价，有可能影响产品质量或者不能诚信履约的，应当要求其在评标现场合理的时间内提供书面说明，必要时提交相关证明材料；供应商不能证明其报价合理性的，评标委员会应当将其作为无效投标处理。</w:t>
      </w:r>
      <w:bookmarkEnd w:id="176"/>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6</w:t>
      </w:r>
      <w:r>
        <w:rPr>
          <w:rFonts w:hint="eastAsia" w:ascii="宋体" w:hAnsi="宋体" w:cs="宋体"/>
          <w:color w:val="auto"/>
          <w:sz w:val="24"/>
        </w:rPr>
        <w:t>、</w:t>
      </w:r>
      <w:r>
        <w:rPr>
          <w:rFonts w:hint="eastAsia" w:ascii="宋体" w:hAnsi="宋体" w:cs="宋体"/>
          <w:b/>
          <w:bCs/>
          <w:color w:val="auto"/>
          <w:sz w:val="24"/>
        </w:rPr>
        <w:t>确定</w:t>
      </w:r>
      <w:r>
        <w:rPr>
          <w:rFonts w:hint="eastAsia" w:ascii="宋体" w:hAnsi="宋体" w:cs="宋体"/>
          <w:b/>
          <w:color w:val="auto"/>
          <w:sz w:val="24"/>
          <w:lang w:val="en-US" w:eastAsia="zh-CN"/>
        </w:rPr>
        <w:t>中标供应商</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6</w:t>
      </w:r>
      <w:r>
        <w:rPr>
          <w:rFonts w:hint="eastAsia" w:ascii="宋体" w:hAnsi="宋体" w:cs="宋体"/>
          <w:b/>
          <w:color w:val="auto"/>
          <w:sz w:val="24"/>
        </w:rPr>
        <w:t>.1各供应商的</w:t>
      </w:r>
      <w:r>
        <w:rPr>
          <w:rFonts w:hint="eastAsia" w:ascii="宋体" w:hAnsi="宋体" w:cs="宋体"/>
          <w:b/>
          <w:color w:val="auto"/>
          <w:sz w:val="24"/>
          <w:lang w:eastAsia="zh-CN"/>
        </w:rPr>
        <w:t>综合</w:t>
      </w:r>
      <w:r>
        <w:rPr>
          <w:rFonts w:hint="eastAsia" w:ascii="宋体" w:hAnsi="宋体" w:cs="宋体"/>
          <w:b/>
          <w:color w:val="auto"/>
          <w:sz w:val="24"/>
        </w:rPr>
        <w:t>得分由高至低排序，</w:t>
      </w:r>
      <w:r>
        <w:rPr>
          <w:rFonts w:hint="eastAsia" w:ascii="宋体" w:hAnsi="宋体" w:cs="宋体"/>
          <w:b/>
          <w:color w:val="auto"/>
          <w:sz w:val="24"/>
          <w:lang w:eastAsia="zh-CN"/>
        </w:rPr>
        <w:t>综合</w:t>
      </w:r>
      <w:r>
        <w:rPr>
          <w:rFonts w:hint="eastAsia" w:ascii="宋体" w:hAnsi="宋体" w:cs="宋体"/>
          <w:b/>
          <w:color w:val="auto"/>
          <w:sz w:val="24"/>
        </w:rPr>
        <w:t>得分排列前3名的供应商被推荐为</w:t>
      </w:r>
      <w:r>
        <w:rPr>
          <w:rFonts w:hint="eastAsia" w:ascii="宋体" w:hAnsi="宋体" w:cs="宋体"/>
          <w:b/>
          <w:color w:val="auto"/>
          <w:sz w:val="24"/>
          <w:lang w:val="en-US" w:eastAsia="zh-CN"/>
        </w:rPr>
        <w:t>中标</w:t>
      </w:r>
      <w:r>
        <w:rPr>
          <w:rFonts w:hint="eastAsia" w:ascii="宋体" w:hAnsi="宋体" w:cs="宋体"/>
          <w:b/>
          <w:color w:val="auto"/>
          <w:sz w:val="24"/>
        </w:rPr>
        <w:t>候选供应商。</w:t>
      </w:r>
      <w:r>
        <w:rPr>
          <w:rFonts w:hint="eastAsia" w:ascii="宋体" w:hAnsi="宋体" w:cs="宋体"/>
          <w:b/>
          <w:color w:val="auto"/>
          <w:sz w:val="24"/>
          <w:lang w:eastAsia="zh-CN"/>
        </w:rPr>
        <w:t>综合</w:t>
      </w:r>
      <w:r>
        <w:rPr>
          <w:rFonts w:hint="eastAsia" w:ascii="宋体" w:hAnsi="宋体" w:cs="宋体"/>
          <w:b/>
          <w:color w:val="auto"/>
          <w:sz w:val="24"/>
        </w:rPr>
        <w:t>得分相同的，</w:t>
      </w:r>
      <w:r>
        <w:rPr>
          <w:rFonts w:hint="eastAsia" w:ascii="宋体" w:hAnsi="宋体" w:cs="宋体"/>
          <w:b/>
          <w:color w:val="auto"/>
          <w:sz w:val="24"/>
          <w:lang w:eastAsia="zh-CN"/>
        </w:rPr>
        <w:t>则</w:t>
      </w:r>
      <w:r>
        <w:rPr>
          <w:rFonts w:hint="eastAsia" w:ascii="宋体" w:hAnsi="宋体" w:cs="宋体"/>
          <w:b/>
          <w:color w:val="auto"/>
          <w:sz w:val="24"/>
        </w:rPr>
        <w:t>按</w:t>
      </w:r>
      <w:r>
        <w:rPr>
          <w:rFonts w:hint="eastAsia" w:ascii="宋体" w:hAnsi="宋体" w:cs="宋体"/>
          <w:b/>
          <w:color w:val="auto"/>
          <w:sz w:val="24"/>
          <w:lang w:eastAsia="zh-CN"/>
        </w:rPr>
        <w:t>投标</w:t>
      </w:r>
      <w:r>
        <w:rPr>
          <w:rFonts w:hint="eastAsia" w:ascii="宋体" w:hAnsi="宋体" w:cs="宋体"/>
          <w:b/>
          <w:color w:val="auto"/>
          <w:sz w:val="24"/>
        </w:rPr>
        <w:t>报价由低到高的顺序推荐。如综合得分且投标报价</w:t>
      </w:r>
      <w:r>
        <w:rPr>
          <w:rFonts w:hint="eastAsia" w:ascii="宋体" w:hAnsi="宋体" w:cs="宋体"/>
          <w:b/>
          <w:color w:val="auto"/>
          <w:sz w:val="24"/>
          <w:lang w:val="en-US" w:eastAsia="zh-CN"/>
        </w:rPr>
        <w:t>均</w:t>
      </w:r>
      <w:r>
        <w:rPr>
          <w:rFonts w:hint="eastAsia" w:ascii="宋体" w:hAnsi="宋体" w:cs="宋体"/>
          <w:b/>
          <w:color w:val="auto"/>
          <w:sz w:val="24"/>
        </w:rPr>
        <w:t>相同，则按技术得分由高至低顺序排列，如出现综合得分、投标报价且技术得分也均相同时，则由评标委员会投票确定其排序</w:t>
      </w:r>
      <w:r>
        <w:rPr>
          <w:rFonts w:hint="eastAsia" w:ascii="宋体" w:hAnsi="宋体" w:cs="宋体"/>
          <w:color w:val="auto"/>
          <w:sz w:val="24"/>
        </w:rPr>
        <w:t>。</w:t>
      </w:r>
    </w:p>
    <w:p>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6</w:t>
      </w:r>
      <w:r>
        <w:rPr>
          <w:rFonts w:hint="eastAsia" w:ascii="宋体" w:hAnsi="宋体" w:cs="宋体"/>
          <w:b/>
          <w:color w:val="auto"/>
          <w:sz w:val="24"/>
        </w:rPr>
        <w:t>.2 采购人根据评标委员会推荐的</w:t>
      </w:r>
      <w:r>
        <w:rPr>
          <w:rFonts w:hint="eastAsia" w:ascii="宋体" w:hAnsi="宋体" w:cs="宋体"/>
          <w:b/>
          <w:color w:val="auto"/>
          <w:sz w:val="24"/>
          <w:lang w:val="en-US" w:eastAsia="zh-CN"/>
        </w:rPr>
        <w:t>中标</w:t>
      </w:r>
      <w:r>
        <w:rPr>
          <w:rFonts w:hint="eastAsia" w:ascii="宋体" w:hAnsi="宋体" w:cs="宋体"/>
          <w:b/>
          <w:color w:val="auto"/>
          <w:sz w:val="24"/>
        </w:rPr>
        <w:t>候选供应商及有关规定确定</w:t>
      </w:r>
      <w:r>
        <w:rPr>
          <w:rFonts w:hint="eastAsia" w:ascii="宋体" w:hAnsi="宋体" w:cs="宋体"/>
          <w:b/>
          <w:color w:val="auto"/>
          <w:sz w:val="24"/>
          <w:lang w:val="en-US" w:eastAsia="zh-CN"/>
        </w:rPr>
        <w:t>1家中标供应商</w:t>
      </w:r>
      <w:r>
        <w:rPr>
          <w:rFonts w:hint="eastAsia" w:ascii="宋体" w:hAnsi="宋体" w:cs="宋体"/>
          <w:b/>
          <w:color w:val="auto"/>
          <w:sz w:val="24"/>
        </w:rPr>
        <w:t>。</w:t>
      </w:r>
    </w:p>
    <w:p>
      <w:pPr>
        <w:keepNext w:val="0"/>
        <w:keepLines w:val="0"/>
        <w:pageBreakBefore w:val="0"/>
        <w:kinsoku/>
        <w:wordWrap/>
        <w:overflowPunct/>
        <w:topLinePunct w:val="0"/>
        <w:autoSpaceDE/>
        <w:autoSpaceDN/>
        <w:bidi w:val="0"/>
        <w:spacing w:line="440" w:lineRule="exact"/>
        <w:ind w:firstLine="482" w:firstLineChars="200"/>
        <w:rPr>
          <w:rFonts w:ascii="仿宋_GB2312" w:hAnsi="仿宋_GB2312" w:eastAsia="仿宋_GB2312" w:cs="仿宋_GB2312"/>
          <w:b/>
          <w:color w:val="auto"/>
          <w:sz w:val="24"/>
          <w:szCs w:val="20"/>
        </w:rPr>
      </w:pPr>
      <w:r>
        <w:rPr>
          <w:rFonts w:hint="eastAsia" w:ascii="宋体" w:hAnsi="宋体" w:cs="宋体"/>
          <w:b/>
          <w:color w:val="auto"/>
          <w:sz w:val="24"/>
        </w:rPr>
        <w:t>注：评分计算保留两位小数，第三位小数四舍五入</w:t>
      </w:r>
      <w:r>
        <w:rPr>
          <w:rFonts w:hint="eastAsia" w:ascii="仿宋_GB2312" w:hAnsi="仿宋_GB2312" w:eastAsia="仿宋_GB2312" w:cs="仿宋_GB2312"/>
          <w:b/>
          <w:color w:val="auto"/>
          <w:sz w:val="24"/>
          <w:szCs w:val="20"/>
        </w:rPr>
        <w:t>。</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6</w:t>
      </w:r>
      <w:r>
        <w:rPr>
          <w:rFonts w:hint="eastAsia" w:ascii="宋体" w:hAnsi="宋体" w:cs="宋体"/>
          <w:b/>
          <w:color w:val="auto"/>
          <w:sz w:val="24"/>
        </w:rPr>
        <w:t>.3采购代理机构应当在评审结束后2个工作日内将评审报告送采购人确认。</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6</w:t>
      </w:r>
      <w:r>
        <w:rPr>
          <w:rFonts w:hint="eastAsia" w:ascii="宋体" w:hAnsi="宋体" w:cs="宋体"/>
          <w:b/>
          <w:color w:val="auto"/>
          <w:sz w:val="24"/>
        </w:rPr>
        <w:t>.4采购人应当在收到评标报告后5个工作日内，按照评标报告中推荐的</w:t>
      </w:r>
      <w:r>
        <w:rPr>
          <w:rFonts w:hint="eastAsia" w:ascii="宋体" w:hAnsi="宋体" w:cs="宋体"/>
          <w:b/>
          <w:color w:val="auto"/>
          <w:sz w:val="24"/>
          <w:lang w:val="en-US" w:eastAsia="zh-CN"/>
        </w:rPr>
        <w:t>中标候选供应商</w:t>
      </w:r>
      <w:r>
        <w:rPr>
          <w:rFonts w:hint="eastAsia" w:ascii="宋体" w:hAnsi="宋体" w:cs="宋体"/>
          <w:b/>
          <w:color w:val="auto"/>
          <w:sz w:val="24"/>
        </w:rPr>
        <w:t>顺序确定</w:t>
      </w:r>
      <w:r>
        <w:rPr>
          <w:rFonts w:hint="eastAsia" w:ascii="宋体" w:hAnsi="宋体" w:cs="宋体"/>
          <w:b/>
          <w:color w:val="auto"/>
          <w:sz w:val="24"/>
          <w:lang w:val="en-US" w:eastAsia="zh-CN"/>
        </w:rPr>
        <w:t>中标供应商</w:t>
      </w:r>
      <w:r>
        <w:rPr>
          <w:rFonts w:hint="eastAsia" w:ascii="宋体" w:hAnsi="宋体" w:cs="宋体"/>
          <w:b/>
          <w:color w:val="auto"/>
          <w:sz w:val="24"/>
        </w:rPr>
        <w:t>；也可以事先授权评标委员会直接确定</w:t>
      </w:r>
      <w:r>
        <w:rPr>
          <w:rFonts w:hint="eastAsia" w:ascii="宋体" w:hAnsi="宋体" w:cs="宋体"/>
          <w:b/>
          <w:color w:val="auto"/>
          <w:sz w:val="24"/>
          <w:lang w:val="en-US" w:eastAsia="zh-CN"/>
        </w:rPr>
        <w:t>中标供应商</w:t>
      </w:r>
      <w:r>
        <w:rPr>
          <w:rFonts w:hint="eastAsia" w:ascii="宋体" w:hAnsi="宋体" w:cs="宋体"/>
          <w:b/>
          <w:color w:val="auto"/>
          <w:sz w:val="24"/>
        </w:rPr>
        <w:t>。</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szCs w:val="20"/>
        </w:rPr>
      </w:pPr>
      <w:r>
        <w:rPr>
          <w:rFonts w:hint="eastAsia" w:ascii="宋体" w:hAnsi="宋体" w:cs="宋体"/>
          <w:b/>
          <w:color w:val="auto"/>
          <w:sz w:val="24"/>
          <w:szCs w:val="20"/>
        </w:rPr>
        <w:t>3</w:t>
      </w:r>
      <w:r>
        <w:rPr>
          <w:rFonts w:hint="eastAsia" w:ascii="宋体" w:hAnsi="宋体" w:cs="宋体"/>
          <w:b/>
          <w:color w:val="auto"/>
          <w:sz w:val="24"/>
          <w:szCs w:val="20"/>
          <w:lang w:val="en-US" w:eastAsia="zh-CN"/>
        </w:rPr>
        <w:t>6</w:t>
      </w:r>
      <w:r>
        <w:rPr>
          <w:rFonts w:hint="eastAsia" w:ascii="宋体" w:hAnsi="宋体" w:cs="宋体"/>
          <w:b/>
          <w:color w:val="auto"/>
          <w:sz w:val="24"/>
          <w:szCs w:val="20"/>
        </w:rPr>
        <w:t>.5</w:t>
      </w:r>
      <w:r>
        <w:rPr>
          <w:rFonts w:hint="eastAsia" w:ascii="宋体" w:hAnsi="宋体" w:cs="宋体"/>
          <w:b/>
          <w:color w:val="auto"/>
          <w:sz w:val="24"/>
          <w:szCs w:val="20"/>
          <w:lang w:val="en-US" w:eastAsia="zh-CN"/>
        </w:rPr>
        <w:t>中标供应商</w:t>
      </w:r>
      <w:r>
        <w:rPr>
          <w:rFonts w:hint="eastAsia" w:ascii="宋体" w:hAnsi="宋体" w:cs="宋体"/>
          <w:b/>
          <w:color w:val="auto"/>
          <w:sz w:val="24"/>
          <w:szCs w:val="20"/>
        </w:rPr>
        <w:t>因不可抗力或者自身原因不能履行政府采购合同的，采购人可以与排位在中标供应商之后第一位的候选人签订政府采购合同，以此类推。</w:t>
      </w:r>
    </w:p>
    <w:p>
      <w:pPr>
        <w:spacing w:line="360" w:lineRule="auto"/>
        <w:ind w:firstLine="482" w:firstLineChars="200"/>
        <w:outlineLvl w:val="1"/>
        <w:rPr>
          <w:rFonts w:hint="eastAsia" w:ascii="宋体" w:hAnsi="宋体" w:cs="宋体"/>
          <w:color w:val="auto"/>
          <w:sz w:val="24"/>
        </w:rPr>
      </w:pPr>
      <w:r>
        <w:rPr>
          <w:rFonts w:hint="eastAsia" w:ascii="宋体" w:hAnsi="宋体" w:cs="宋体"/>
          <w:b/>
          <w:color w:val="auto"/>
          <w:sz w:val="24"/>
          <w:szCs w:val="20"/>
        </w:rPr>
        <w:t>3</w:t>
      </w:r>
      <w:r>
        <w:rPr>
          <w:rFonts w:hint="eastAsia" w:ascii="宋体" w:hAnsi="宋体" w:cs="宋体"/>
          <w:b/>
          <w:color w:val="auto"/>
          <w:sz w:val="24"/>
          <w:szCs w:val="20"/>
          <w:lang w:val="en-US" w:eastAsia="zh-CN"/>
        </w:rPr>
        <w:t>6</w:t>
      </w:r>
      <w:r>
        <w:rPr>
          <w:rFonts w:hint="eastAsia" w:ascii="宋体" w:hAnsi="宋体" w:cs="宋体"/>
          <w:b/>
          <w:color w:val="auto"/>
          <w:sz w:val="24"/>
          <w:szCs w:val="20"/>
        </w:rPr>
        <w:t>.6在确定</w:t>
      </w:r>
      <w:r>
        <w:rPr>
          <w:rFonts w:hint="eastAsia" w:ascii="宋体" w:hAnsi="宋体" w:cs="宋体"/>
          <w:b/>
          <w:color w:val="auto"/>
          <w:sz w:val="24"/>
          <w:szCs w:val="20"/>
          <w:lang w:val="en-US" w:eastAsia="zh-CN"/>
        </w:rPr>
        <w:t>中标供应商</w:t>
      </w:r>
      <w:r>
        <w:rPr>
          <w:rFonts w:hint="eastAsia" w:ascii="宋体" w:hAnsi="宋体" w:cs="宋体"/>
          <w:b/>
          <w:color w:val="auto"/>
          <w:sz w:val="24"/>
          <w:szCs w:val="20"/>
        </w:rPr>
        <w:t>前，招标采购单位不得与供应商就投标价格、投标方案等实质性内容进行谈判。</w:t>
      </w:r>
    </w:p>
    <w:p>
      <w:pPr>
        <w:spacing w:line="360" w:lineRule="auto"/>
        <w:ind w:firstLine="480" w:firstLineChars="200"/>
        <w:outlineLvl w:val="1"/>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7</w:t>
      </w:r>
      <w:r>
        <w:rPr>
          <w:rFonts w:hint="eastAsia" w:ascii="宋体" w:hAnsi="宋体" w:cs="宋体"/>
          <w:color w:val="auto"/>
          <w:sz w:val="24"/>
        </w:rPr>
        <w:t>、采购人依法接受和拒绝任一或所有供应商的权力</w:t>
      </w:r>
    </w:p>
    <w:p>
      <w:pPr>
        <w:keepNext w:val="0"/>
        <w:keepLines w:val="0"/>
        <w:pageBreakBefore w:val="0"/>
        <w:kinsoku/>
        <w:wordWrap/>
        <w:overflowPunct/>
        <w:topLinePunct w:val="0"/>
        <w:autoSpaceDE/>
        <w:autoSpaceDN/>
        <w:bidi w:val="0"/>
        <w:spacing w:line="440" w:lineRule="exact"/>
        <w:ind w:firstLine="480" w:firstLineChars="200"/>
        <w:rPr>
          <w:rFonts w:ascii="宋体" w:hAnsi="宋体" w:cs="宋体"/>
          <w:color w:val="auto"/>
          <w:sz w:val="24"/>
        </w:rPr>
      </w:pPr>
      <w:r>
        <w:rPr>
          <w:rFonts w:hint="eastAsia" w:ascii="宋体" w:hAnsi="宋体" w:cs="宋体"/>
          <w:color w:val="auto"/>
          <w:sz w:val="24"/>
        </w:rPr>
        <w:t>采购人保留确定中标供应商之前的任何时候依法接受或拒绝任一或所有供应商的权力，对受影响的供应商不承担任何责任，也无义务向受影响的供应商解释采取这一行动的理由。</w:t>
      </w:r>
    </w:p>
    <w:p>
      <w:pPr>
        <w:keepNext w:val="0"/>
        <w:keepLines w:val="0"/>
        <w:pageBreakBefore w:val="0"/>
        <w:kinsoku/>
        <w:wordWrap/>
        <w:overflowPunct/>
        <w:topLinePunct w:val="0"/>
        <w:autoSpaceDE/>
        <w:autoSpaceDN/>
        <w:bidi w:val="0"/>
        <w:spacing w:line="440" w:lineRule="exact"/>
        <w:ind w:firstLine="480" w:firstLineChars="200"/>
        <w:outlineLvl w:val="1"/>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w:t>
      </w:r>
      <w:r>
        <w:rPr>
          <w:rFonts w:hint="eastAsia" w:ascii="宋体" w:hAnsi="宋体" w:cs="宋体"/>
          <w:color w:val="auto"/>
          <w:sz w:val="24"/>
          <w:lang w:val="en-US" w:eastAsia="zh-CN"/>
        </w:rPr>
        <w:t>中标通知书</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.1采购人确定</w:t>
      </w:r>
      <w:r>
        <w:rPr>
          <w:rFonts w:hint="eastAsia" w:ascii="宋体" w:hAnsi="宋体" w:cs="宋体"/>
          <w:color w:val="auto"/>
          <w:sz w:val="24"/>
          <w:lang w:val="en-US" w:eastAsia="zh-CN"/>
        </w:rPr>
        <w:t>中标供应商</w:t>
      </w:r>
      <w:r>
        <w:rPr>
          <w:rFonts w:hint="eastAsia" w:ascii="宋体" w:hAnsi="宋体" w:cs="宋体"/>
          <w:color w:val="auto"/>
          <w:sz w:val="24"/>
        </w:rPr>
        <w:t>后，及时通知采购代理机构，采购代理机构将按程序公告中标结果，同时向</w:t>
      </w:r>
      <w:r>
        <w:rPr>
          <w:rFonts w:hint="eastAsia" w:ascii="宋体" w:hAnsi="宋体" w:cs="宋体"/>
          <w:color w:val="auto"/>
          <w:sz w:val="24"/>
          <w:lang w:val="en-US" w:eastAsia="zh-CN"/>
        </w:rPr>
        <w:t>中标供应商</w:t>
      </w:r>
      <w:r>
        <w:rPr>
          <w:rFonts w:hint="eastAsia" w:ascii="宋体" w:hAnsi="宋体" w:cs="宋体"/>
          <w:color w:val="auto"/>
          <w:sz w:val="24"/>
        </w:rPr>
        <w:t>发出</w:t>
      </w:r>
      <w:r>
        <w:rPr>
          <w:rFonts w:hint="eastAsia" w:ascii="宋体" w:hAnsi="宋体" w:cs="宋体"/>
          <w:color w:val="auto"/>
          <w:sz w:val="24"/>
          <w:lang w:val="en-US" w:eastAsia="zh-CN"/>
        </w:rPr>
        <w:t>中标通知书</w:t>
      </w:r>
      <w:r>
        <w:rPr>
          <w:rFonts w:hint="eastAsia" w:ascii="宋体" w:hAnsi="宋体" w:cs="宋体"/>
          <w:color w:val="auto"/>
          <w:sz w:val="24"/>
        </w:rPr>
        <w:t>，</w:t>
      </w:r>
      <w:r>
        <w:rPr>
          <w:rFonts w:hint="eastAsia" w:ascii="宋体" w:hAnsi="宋体" w:cs="宋体"/>
          <w:color w:val="auto"/>
          <w:sz w:val="24"/>
          <w:lang w:val="en-US" w:eastAsia="zh-CN"/>
        </w:rPr>
        <w:t>中标通知书</w:t>
      </w:r>
      <w:r>
        <w:rPr>
          <w:rFonts w:hint="eastAsia" w:ascii="宋体" w:hAnsi="宋体" w:cs="宋体"/>
          <w:color w:val="auto"/>
          <w:sz w:val="24"/>
        </w:rPr>
        <w:t>一经发出即发生法律效力。</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.2《</w:t>
      </w:r>
      <w:r>
        <w:rPr>
          <w:rFonts w:hint="eastAsia" w:ascii="宋体" w:hAnsi="宋体" w:cs="宋体"/>
          <w:color w:val="auto"/>
          <w:sz w:val="24"/>
          <w:lang w:val="en-US" w:eastAsia="zh-CN"/>
        </w:rPr>
        <w:t>中标通知书</w:t>
      </w:r>
      <w:r>
        <w:rPr>
          <w:rFonts w:hint="eastAsia" w:ascii="宋体" w:hAnsi="宋体" w:cs="宋体"/>
          <w:color w:val="auto"/>
          <w:sz w:val="24"/>
        </w:rPr>
        <w:t>》将是合同的组成部分。</w:t>
      </w:r>
    </w:p>
    <w:p>
      <w:pPr>
        <w:keepNext w:val="0"/>
        <w:keepLines w:val="0"/>
        <w:pageBreakBefore w:val="0"/>
        <w:kinsoku/>
        <w:wordWrap/>
        <w:overflowPunct/>
        <w:topLinePunct w:val="0"/>
        <w:autoSpaceDE/>
        <w:autoSpaceDN/>
        <w:bidi w:val="0"/>
        <w:spacing w:line="440" w:lineRule="exact"/>
        <w:ind w:firstLine="480" w:firstLineChars="200"/>
        <w:outlineLvl w:val="1"/>
        <w:rPr>
          <w:rFonts w:hint="eastAsia" w:ascii="宋体" w:hAnsi="宋体" w:cs="宋体"/>
          <w:color w:val="auto"/>
          <w:sz w:val="24"/>
        </w:rPr>
      </w:pPr>
      <w:bookmarkStart w:id="177" w:name="_Toc5897"/>
      <w:r>
        <w:rPr>
          <w:rFonts w:hint="eastAsia" w:ascii="宋体" w:hAnsi="宋体" w:cs="宋体"/>
          <w:color w:val="auto"/>
          <w:sz w:val="24"/>
          <w:lang w:val="en-US" w:eastAsia="zh-CN"/>
        </w:rPr>
        <w:t>39</w:t>
      </w:r>
      <w:r>
        <w:rPr>
          <w:rFonts w:hint="eastAsia" w:ascii="宋体" w:hAnsi="宋体" w:cs="宋体"/>
          <w:color w:val="auto"/>
          <w:sz w:val="24"/>
        </w:rPr>
        <w:t>、纪律与保密事项</w:t>
      </w:r>
      <w:bookmarkEnd w:id="177"/>
    </w:p>
    <w:p>
      <w:pPr>
        <w:keepNext w:val="0"/>
        <w:keepLines w:val="0"/>
        <w:pageBreakBefore w:val="0"/>
        <w:kinsoku/>
        <w:wordWrap/>
        <w:overflowPunct/>
        <w:topLinePunct w:val="0"/>
        <w:autoSpaceDE/>
        <w:autoSpaceDN/>
        <w:bidi w:val="0"/>
        <w:spacing w:line="440" w:lineRule="exact"/>
        <w:ind w:firstLine="482"/>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.1凡参与公开招标工作的有关人员均应自觉接受有关主管部门的监督，不得向他人透露可能影响公平竞争的有关公开的其他情况。</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.2领取本招标文件及其它相关资料者，应对文件进行保密，不得用作本次公开以外的任何用途。由采购人向供应商提供的技术资料和所有其它资料，均视为保密资料，除非得到采购人的同意，不得向第三方透露。</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.3供应商不得与采购人串通，不得向采购人或者评标委员会成员行贿谋取</w:t>
      </w:r>
      <w:r>
        <w:rPr>
          <w:rFonts w:hint="eastAsia" w:ascii="宋体" w:hAnsi="宋体" w:cs="宋体"/>
          <w:color w:val="auto"/>
          <w:sz w:val="24"/>
          <w:lang w:eastAsia="zh-CN"/>
        </w:rPr>
        <w:t>中标</w:t>
      </w:r>
      <w:r>
        <w:rPr>
          <w:rFonts w:hint="eastAsia" w:ascii="宋体" w:hAnsi="宋体" w:cs="宋体"/>
          <w:color w:val="auto"/>
          <w:sz w:val="24"/>
        </w:rPr>
        <w:t>，不得以他人名义参与公开或者以其它任何方式弄虚作假骗取参与公开；供应商不得以任何方式干扰、影响评审工作。</w:t>
      </w:r>
      <w:r>
        <w:rPr>
          <w:rFonts w:hint="eastAsia" w:ascii="宋体" w:hAnsi="宋体" w:cs="宋体"/>
          <w:b/>
          <w:bCs/>
          <w:color w:val="auto"/>
          <w:sz w:val="24"/>
        </w:rPr>
        <w:t>如果供应商或者其他利害关系人通过捏造事实、伪造证明材料等方式提出质疑，干扰政府采购活动正常进行的，属于严重不良行为，采购人、采购代理机构将提请财政部门将其列入不良行为记录名单，并依法予以处罚</w:t>
      </w:r>
      <w:r>
        <w:rPr>
          <w:rFonts w:hint="eastAsia" w:ascii="宋体" w:hAnsi="宋体" w:cs="宋体"/>
          <w:color w:val="auto"/>
          <w:sz w:val="24"/>
        </w:rPr>
        <w:t>。</w:t>
      </w:r>
    </w:p>
    <w:p>
      <w:pPr>
        <w:keepNext w:val="0"/>
        <w:keepLines w:val="0"/>
        <w:pageBreakBefore w:val="0"/>
        <w:kinsoku/>
        <w:wordWrap/>
        <w:overflowPunct/>
        <w:topLinePunct w:val="0"/>
        <w:autoSpaceDE/>
        <w:autoSpaceDN/>
        <w:bidi w:val="0"/>
        <w:spacing w:line="440" w:lineRule="exact"/>
        <w:ind w:firstLine="481"/>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4供应商不得在公开采购过程中互相串通、结盟、损害公开的公正性和竞争性，或以任何方式影响其他供应商参与正当公开。扰乱公开市场，破坏公平竞争原则。如供应商在公开招标过程中互相串通，一经查实，将取消公开招标资格。</w:t>
      </w:r>
    </w:p>
    <w:p>
      <w:pPr>
        <w:keepNext w:val="0"/>
        <w:keepLines w:val="0"/>
        <w:pageBreakBefore w:val="0"/>
        <w:kinsoku/>
        <w:wordWrap/>
        <w:overflowPunct/>
        <w:topLinePunct w:val="0"/>
        <w:autoSpaceDE/>
        <w:autoSpaceDN/>
        <w:bidi w:val="0"/>
        <w:spacing w:line="440" w:lineRule="exact"/>
        <w:ind w:firstLine="482"/>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.5 公开之日起直至授予中标供应商合同为止，凡属于对投标文件的审查、澄清、评价、比较有关的资料和中标候选人的推荐情况及与评审有关的其他任何情况均严格保密。</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.6从公开之日起至授予合同期间，供应商试图向评标委员会、采购代理机构施加任何影响或对采购人的比较及授予合同的决定进行影响，都可能导致其投标文件被拒绝。</w:t>
      </w:r>
    </w:p>
    <w:p>
      <w:pPr>
        <w:keepNext w:val="0"/>
        <w:keepLines w:val="0"/>
        <w:pageBreakBefore w:val="0"/>
        <w:kinsoku/>
        <w:wordWrap/>
        <w:overflowPunct/>
        <w:topLinePunct w:val="0"/>
        <w:autoSpaceDE/>
        <w:autoSpaceDN/>
        <w:bidi w:val="0"/>
        <w:spacing w:line="440" w:lineRule="exact"/>
        <w:ind w:firstLine="482"/>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.7除供应商被要求对投标文件进行澄清外，从公开之时起至授予合同期间，供应商不得就与其投标文件有关的事项主动与评标委员会、采购代理机构以及采购人联系。</w:t>
      </w:r>
    </w:p>
    <w:p>
      <w:pPr>
        <w:keepNext w:val="0"/>
        <w:keepLines w:val="0"/>
        <w:pageBreakBefore w:val="0"/>
        <w:kinsoku/>
        <w:wordWrap/>
        <w:overflowPunct/>
        <w:topLinePunct w:val="0"/>
        <w:autoSpaceDE/>
        <w:autoSpaceDN/>
        <w:bidi w:val="0"/>
        <w:spacing w:line="440" w:lineRule="exact"/>
        <w:ind w:firstLine="482"/>
        <w:rPr>
          <w:color w:val="auto"/>
        </w:rPr>
      </w:pPr>
      <w:r>
        <w:rPr>
          <w:rFonts w:hint="eastAsia" w:ascii="宋体" w:hAnsi="宋体" w:cs="宋体"/>
          <w:color w:val="auto"/>
          <w:sz w:val="24"/>
          <w:lang w:val="en-US" w:eastAsia="zh-CN"/>
        </w:rPr>
        <w:t>39</w:t>
      </w:r>
      <w:r>
        <w:rPr>
          <w:rFonts w:hint="eastAsia" w:ascii="宋体" w:hAnsi="宋体" w:cs="宋体"/>
          <w:color w:val="auto"/>
          <w:sz w:val="24"/>
        </w:rPr>
        <w:t>.8中标供应商确定后，采购人不对未中标供应商就评审过程以及未能中标原因作出任何解释，未中标供应商不得向评标委员会或其他有关人员询问评审过程的情况和索取评审过程的资料。</w:t>
      </w:r>
    </w:p>
    <w:p>
      <w:pPr>
        <w:pStyle w:val="11"/>
        <w:spacing w:line="360" w:lineRule="auto"/>
        <w:outlineLvl w:val="1"/>
        <w:rPr>
          <w:rFonts w:hAnsi="宋体" w:cs="宋体"/>
          <w:b/>
          <w:bCs/>
          <w:color w:val="auto"/>
          <w:sz w:val="24"/>
          <w:szCs w:val="24"/>
        </w:rPr>
      </w:pPr>
      <w:r>
        <w:rPr>
          <w:rFonts w:hint="eastAsia" w:hAnsi="宋体" w:cs="宋体"/>
          <w:b/>
          <w:bCs/>
          <w:color w:val="auto"/>
          <w:sz w:val="24"/>
          <w:szCs w:val="24"/>
        </w:rPr>
        <w:t>六、授予合同</w:t>
      </w:r>
      <w:bookmarkEnd w:id="145"/>
      <w:bookmarkStart w:id="178" w:name="_Toc243906355"/>
      <w:bookmarkStart w:id="179" w:name="_Toc243907618"/>
      <w:bookmarkStart w:id="180" w:name="_Toc233274853"/>
      <w:bookmarkStart w:id="181" w:name="_Toc245897315"/>
    </w:p>
    <w:bookmarkEnd w:id="178"/>
    <w:bookmarkEnd w:id="179"/>
    <w:bookmarkEnd w:id="180"/>
    <w:bookmarkEnd w:id="181"/>
    <w:p>
      <w:pPr>
        <w:pStyle w:val="11"/>
        <w:spacing w:line="360" w:lineRule="auto"/>
        <w:ind w:firstLine="480" w:firstLineChars="200"/>
        <w:outlineLvl w:val="1"/>
        <w:rPr>
          <w:rFonts w:hAnsi="宋体" w:cs="宋体"/>
          <w:bCs/>
          <w:color w:val="auto"/>
          <w:sz w:val="24"/>
          <w:szCs w:val="24"/>
        </w:rPr>
      </w:pPr>
      <w:r>
        <w:rPr>
          <w:rFonts w:hint="eastAsia" w:hAnsi="宋体" w:cs="宋体"/>
          <w:bCs/>
          <w:color w:val="auto"/>
          <w:sz w:val="24"/>
          <w:szCs w:val="24"/>
          <w:lang w:val="en-US" w:eastAsia="zh-CN"/>
        </w:rPr>
        <w:t>40</w:t>
      </w:r>
      <w:r>
        <w:rPr>
          <w:rFonts w:hint="eastAsia" w:hAnsi="宋体" w:cs="宋体"/>
          <w:bCs/>
          <w:color w:val="auto"/>
          <w:sz w:val="24"/>
          <w:szCs w:val="24"/>
        </w:rPr>
        <w:t>、授予合同标准</w:t>
      </w:r>
    </w:p>
    <w:p>
      <w:pPr>
        <w:pStyle w:val="11"/>
        <w:spacing w:line="360" w:lineRule="auto"/>
        <w:ind w:firstLine="480" w:firstLineChars="200"/>
        <w:rPr>
          <w:rFonts w:hAnsi="宋体" w:cs="宋体"/>
          <w:bCs/>
          <w:color w:val="auto"/>
          <w:sz w:val="24"/>
          <w:szCs w:val="24"/>
        </w:rPr>
      </w:pPr>
      <w:r>
        <w:rPr>
          <w:rFonts w:hint="eastAsia" w:hAnsi="宋体" w:cs="宋体"/>
          <w:bCs/>
          <w:color w:val="auto"/>
          <w:sz w:val="24"/>
          <w:szCs w:val="24"/>
          <w:lang w:val="en-US" w:eastAsia="zh-CN"/>
        </w:rPr>
        <w:t>40</w:t>
      </w:r>
      <w:r>
        <w:rPr>
          <w:rFonts w:hint="eastAsia" w:hAnsi="宋体" w:cs="宋体"/>
          <w:bCs/>
          <w:color w:val="auto"/>
          <w:sz w:val="24"/>
          <w:szCs w:val="24"/>
        </w:rPr>
        <w:t>.1本采购项目的采购合同将授予按本须知第3</w:t>
      </w:r>
      <w:r>
        <w:rPr>
          <w:rFonts w:hint="eastAsia" w:hAnsi="宋体" w:cs="宋体"/>
          <w:bCs/>
          <w:color w:val="auto"/>
          <w:sz w:val="24"/>
          <w:szCs w:val="24"/>
          <w:lang w:val="en-US" w:eastAsia="zh-CN"/>
        </w:rPr>
        <w:t>6</w:t>
      </w:r>
      <w:r>
        <w:rPr>
          <w:rFonts w:hint="eastAsia" w:hAnsi="宋体" w:cs="宋体"/>
          <w:bCs/>
          <w:color w:val="auto"/>
          <w:sz w:val="24"/>
          <w:szCs w:val="24"/>
        </w:rPr>
        <w:t>条所确定</w:t>
      </w:r>
      <w:r>
        <w:rPr>
          <w:rFonts w:hint="eastAsia" w:hAnsi="宋体" w:cs="宋体"/>
          <w:color w:val="auto"/>
          <w:sz w:val="24"/>
          <w:lang w:val="en-US" w:eastAsia="zh-CN"/>
        </w:rPr>
        <w:t>中标供应商</w:t>
      </w:r>
      <w:r>
        <w:rPr>
          <w:rFonts w:hint="eastAsia" w:hAnsi="宋体" w:cs="宋体"/>
          <w:bCs/>
          <w:color w:val="auto"/>
          <w:sz w:val="24"/>
          <w:szCs w:val="24"/>
        </w:rPr>
        <w:t>。</w:t>
      </w:r>
    </w:p>
    <w:p>
      <w:pPr>
        <w:pStyle w:val="11"/>
        <w:spacing w:line="360" w:lineRule="auto"/>
        <w:ind w:firstLine="480" w:firstLineChars="200"/>
        <w:outlineLvl w:val="1"/>
        <w:rPr>
          <w:rFonts w:hAnsi="宋体" w:cs="宋体"/>
          <w:color w:val="auto"/>
          <w:sz w:val="24"/>
          <w:szCs w:val="24"/>
        </w:rPr>
      </w:pPr>
      <w:bookmarkStart w:id="182" w:name="_Toc233274855"/>
      <w:bookmarkStart w:id="183" w:name="_Toc243907620"/>
      <w:bookmarkStart w:id="184" w:name="_Toc243906357"/>
      <w:bookmarkStart w:id="185" w:name="_Toc245897317"/>
      <w:r>
        <w:rPr>
          <w:rFonts w:hint="eastAsia" w:hAnsi="宋体" w:cs="宋体"/>
          <w:color w:val="auto"/>
          <w:sz w:val="24"/>
          <w:szCs w:val="24"/>
          <w:lang w:val="en-US" w:eastAsia="zh-CN"/>
        </w:rPr>
        <w:t>41</w:t>
      </w:r>
      <w:r>
        <w:rPr>
          <w:rFonts w:hint="eastAsia" w:hAnsi="宋体" w:cs="宋体"/>
          <w:color w:val="auto"/>
          <w:sz w:val="24"/>
          <w:szCs w:val="24"/>
        </w:rPr>
        <w:t>、签订合同</w:t>
      </w:r>
      <w:bookmarkEnd w:id="182"/>
      <w:bookmarkEnd w:id="183"/>
      <w:bookmarkEnd w:id="184"/>
      <w:bookmarkEnd w:id="185"/>
    </w:p>
    <w:p>
      <w:pPr>
        <w:pStyle w:val="11"/>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86" w:name="_Toc28470"/>
      <w:bookmarkStart w:id="187" w:name="_Toc243907621"/>
      <w:bookmarkStart w:id="188" w:name="_Toc245897318"/>
      <w:r>
        <w:rPr>
          <w:rFonts w:hint="eastAsia" w:hAnsi="宋体" w:cs="宋体"/>
          <w:color w:val="auto"/>
          <w:sz w:val="24"/>
          <w:szCs w:val="24"/>
        </w:rPr>
        <w:t>4</w:t>
      </w:r>
      <w:r>
        <w:rPr>
          <w:rFonts w:hint="eastAsia" w:hAnsi="宋体" w:cs="宋体"/>
          <w:color w:val="auto"/>
          <w:sz w:val="24"/>
          <w:szCs w:val="24"/>
          <w:lang w:val="en-US" w:eastAsia="zh-CN"/>
        </w:rPr>
        <w:t>1</w:t>
      </w:r>
      <w:r>
        <w:rPr>
          <w:rFonts w:hint="eastAsia" w:hAnsi="宋体" w:cs="宋体"/>
          <w:color w:val="auto"/>
          <w:sz w:val="24"/>
          <w:szCs w:val="24"/>
        </w:rPr>
        <w:t>.1采购人应当中标交通知书发出之日起三十日内，按照招标文件和</w:t>
      </w:r>
      <w:r>
        <w:rPr>
          <w:rFonts w:hint="eastAsia" w:hAnsi="宋体" w:cs="宋体"/>
          <w:color w:val="auto"/>
          <w:sz w:val="24"/>
          <w:lang w:val="en-US" w:eastAsia="zh-CN"/>
        </w:rPr>
        <w:t>中标供应商</w:t>
      </w:r>
      <w:r>
        <w:rPr>
          <w:rFonts w:hint="eastAsia" w:hAnsi="宋体" w:cs="宋体"/>
          <w:color w:val="auto"/>
          <w:sz w:val="24"/>
          <w:szCs w:val="24"/>
        </w:rPr>
        <w:t>的投标文件订立书面合同。</w:t>
      </w:r>
      <w:r>
        <w:rPr>
          <w:rFonts w:hint="eastAsia" w:hAnsi="宋体" w:cs="宋体"/>
          <w:color w:val="auto"/>
          <w:sz w:val="24"/>
          <w:lang w:val="en-US" w:eastAsia="zh-CN"/>
        </w:rPr>
        <w:t>中标供应商</w:t>
      </w:r>
      <w:r>
        <w:rPr>
          <w:rFonts w:hint="eastAsia" w:hAnsi="宋体" w:cs="宋体"/>
          <w:color w:val="auto"/>
          <w:sz w:val="24"/>
          <w:szCs w:val="24"/>
        </w:rPr>
        <w:t>不得要求订立背离本投标文件合同条款等投标文件实质性内容的其他协议。</w:t>
      </w:r>
      <w:bookmarkEnd w:id="186"/>
    </w:p>
    <w:p>
      <w:pPr>
        <w:pStyle w:val="11"/>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89" w:name="_Toc10011"/>
      <w:r>
        <w:rPr>
          <w:rFonts w:hint="eastAsia" w:hAnsi="宋体" w:cs="宋体"/>
          <w:color w:val="auto"/>
          <w:sz w:val="24"/>
          <w:szCs w:val="24"/>
        </w:rPr>
        <w:t>4</w:t>
      </w:r>
      <w:r>
        <w:rPr>
          <w:rFonts w:hint="eastAsia" w:hAnsi="宋体" w:cs="宋体"/>
          <w:color w:val="auto"/>
          <w:sz w:val="24"/>
          <w:szCs w:val="24"/>
          <w:lang w:val="en-US" w:eastAsia="zh-CN"/>
        </w:rPr>
        <w:t>1</w:t>
      </w:r>
      <w:r>
        <w:rPr>
          <w:rFonts w:hint="eastAsia" w:hAnsi="宋体" w:cs="宋体"/>
          <w:color w:val="auto"/>
          <w:sz w:val="24"/>
          <w:szCs w:val="24"/>
        </w:rPr>
        <w:t xml:space="preserve">.2 </w:t>
      </w:r>
      <w:r>
        <w:rPr>
          <w:rFonts w:hint="eastAsia" w:hAnsi="宋体" w:cs="宋体"/>
          <w:color w:val="auto"/>
          <w:sz w:val="24"/>
          <w:lang w:val="en-US" w:eastAsia="zh-CN"/>
        </w:rPr>
        <w:t>中标通知书</w:t>
      </w:r>
      <w:r>
        <w:rPr>
          <w:rFonts w:hint="eastAsia" w:hAnsi="宋体" w:cs="宋体"/>
          <w:color w:val="auto"/>
          <w:sz w:val="24"/>
          <w:szCs w:val="24"/>
        </w:rPr>
        <w:t>、</w:t>
      </w:r>
      <w:r>
        <w:rPr>
          <w:rFonts w:hint="eastAsia" w:hAnsi="宋体" w:cs="宋体"/>
          <w:color w:val="auto"/>
          <w:sz w:val="24"/>
          <w:lang w:val="en-US" w:eastAsia="zh-CN"/>
        </w:rPr>
        <w:t>中标供应商</w:t>
      </w:r>
      <w:r>
        <w:rPr>
          <w:rFonts w:hint="eastAsia" w:hAnsi="宋体" w:cs="宋体"/>
          <w:color w:val="auto"/>
          <w:sz w:val="24"/>
          <w:szCs w:val="24"/>
        </w:rPr>
        <w:t>的投标文件及其项目需求及技术要求、本招标文件（含修改文件或补充文件）及答疑纪要等，均为签订合同的依据。</w:t>
      </w:r>
      <w:bookmarkEnd w:id="189"/>
    </w:p>
    <w:p>
      <w:pPr>
        <w:pStyle w:val="11"/>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90" w:name="_Toc31200"/>
      <w:r>
        <w:rPr>
          <w:rFonts w:hint="eastAsia" w:hAnsi="宋体" w:cs="宋体"/>
          <w:color w:val="auto"/>
          <w:sz w:val="24"/>
          <w:szCs w:val="24"/>
        </w:rPr>
        <w:t>4</w:t>
      </w:r>
      <w:r>
        <w:rPr>
          <w:rFonts w:hint="eastAsia" w:hAnsi="宋体" w:cs="宋体"/>
          <w:color w:val="auto"/>
          <w:sz w:val="24"/>
          <w:szCs w:val="24"/>
          <w:lang w:val="en-US" w:eastAsia="zh-CN"/>
        </w:rPr>
        <w:t>1</w:t>
      </w:r>
      <w:r>
        <w:rPr>
          <w:rFonts w:hint="eastAsia" w:hAnsi="宋体" w:cs="宋体"/>
          <w:color w:val="auto"/>
          <w:sz w:val="24"/>
          <w:szCs w:val="24"/>
        </w:rPr>
        <w:t>.3采购人如不按本须知第42.1条规定与</w:t>
      </w:r>
      <w:r>
        <w:rPr>
          <w:rFonts w:hint="eastAsia" w:hAnsi="宋体" w:cs="宋体"/>
          <w:color w:val="auto"/>
          <w:sz w:val="24"/>
          <w:lang w:val="en-US" w:eastAsia="zh-CN"/>
        </w:rPr>
        <w:t>中标供应商</w:t>
      </w:r>
      <w:r>
        <w:rPr>
          <w:rFonts w:hint="eastAsia" w:hAnsi="宋体" w:cs="宋体"/>
          <w:color w:val="auto"/>
          <w:sz w:val="24"/>
          <w:szCs w:val="24"/>
        </w:rPr>
        <w:t>签订合同，或者采购人、</w:t>
      </w:r>
      <w:r>
        <w:rPr>
          <w:rFonts w:hint="eastAsia" w:hAnsi="宋体" w:cs="宋体"/>
          <w:color w:val="auto"/>
          <w:sz w:val="24"/>
          <w:lang w:val="en-US" w:eastAsia="zh-CN"/>
        </w:rPr>
        <w:t>中标供应商</w:t>
      </w:r>
      <w:r>
        <w:rPr>
          <w:rFonts w:hint="eastAsia" w:hAnsi="宋体" w:cs="宋体"/>
          <w:color w:val="auto"/>
          <w:sz w:val="24"/>
          <w:szCs w:val="24"/>
        </w:rPr>
        <w:t>签订背离合同实质性内容的协议，由监督管理部门责令其改正。</w:t>
      </w:r>
      <w:bookmarkEnd w:id="190"/>
    </w:p>
    <w:p>
      <w:pPr>
        <w:pStyle w:val="11"/>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91" w:name="_Toc17125"/>
      <w:r>
        <w:rPr>
          <w:rFonts w:hint="eastAsia" w:hAnsi="宋体" w:cs="宋体"/>
          <w:color w:val="auto"/>
          <w:sz w:val="24"/>
          <w:szCs w:val="24"/>
        </w:rPr>
        <w:t>4</w:t>
      </w:r>
      <w:r>
        <w:rPr>
          <w:rFonts w:hint="eastAsia" w:hAnsi="宋体" w:cs="宋体"/>
          <w:color w:val="auto"/>
          <w:sz w:val="24"/>
          <w:szCs w:val="24"/>
          <w:lang w:val="en-US" w:eastAsia="zh-CN"/>
        </w:rPr>
        <w:t>1</w:t>
      </w:r>
      <w:r>
        <w:rPr>
          <w:rFonts w:hint="eastAsia" w:hAnsi="宋体" w:cs="宋体"/>
          <w:color w:val="auto"/>
          <w:sz w:val="24"/>
          <w:szCs w:val="24"/>
        </w:rPr>
        <w:t>.4</w:t>
      </w:r>
      <w:r>
        <w:rPr>
          <w:rFonts w:hint="eastAsia" w:hAnsi="宋体" w:cs="宋体"/>
          <w:color w:val="auto"/>
          <w:sz w:val="24"/>
          <w:lang w:val="en-US" w:eastAsia="zh-CN"/>
        </w:rPr>
        <w:t>中标供应商</w:t>
      </w:r>
      <w:r>
        <w:rPr>
          <w:rFonts w:hint="eastAsia" w:hAnsi="宋体" w:cs="宋体"/>
          <w:color w:val="auto"/>
          <w:sz w:val="24"/>
          <w:szCs w:val="24"/>
        </w:rPr>
        <w:t>如不按本须知第42.1条规定与采购人签订合同，则按违约处理，采购人将有权取消</w:t>
      </w:r>
      <w:r>
        <w:rPr>
          <w:rFonts w:hint="eastAsia" w:hAnsi="宋体" w:cs="宋体"/>
          <w:color w:val="auto"/>
          <w:sz w:val="24"/>
          <w:lang w:val="en-US" w:eastAsia="zh-CN"/>
        </w:rPr>
        <w:t>中标供应商</w:t>
      </w:r>
      <w:r>
        <w:rPr>
          <w:rFonts w:hint="eastAsia" w:hAnsi="宋体" w:cs="宋体"/>
          <w:color w:val="auto"/>
          <w:sz w:val="24"/>
          <w:szCs w:val="24"/>
        </w:rPr>
        <w:t>资格，给采购人造成损失，还应当予以赔偿，同时依法承担相应的法律责任。</w:t>
      </w:r>
      <w:bookmarkEnd w:id="191"/>
    </w:p>
    <w:p>
      <w:pPr>
        <w:pStyle w:val="11"/>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92" w:name="_Toc20940"/>
      <w:r>
        <w:rPr>
          <w:rFonts w:hint="eastAsia" w:hAnsi="宋体" w:cs="宋体"/>
          <w:color w:val="auto"/>
          <w:sz w:val="24"/>
          <w:szCs w:val="24"/>
        </w:rPr>
        <w:t>4</w:t>
      </w:r>
      <w:r>
        <w:rPr>
          <w:rFonts w:hint="eastAsia" w:hAnsi="宋体" w:cs="宋体"/>
          <w:color w:val="auto"/>
          <w:sz w:val="24"/>
          <w:szCs w:val="24"/>
          <w:lang w:val="en-US" w:eastAsia="zh-CN"/>
        </w:rPr>
        <w:t>1</w:t>
      </w:r>
      <w:r>
        <w:rPr>
          <w:rFonts w:hint="eastAsia" w:hAnsi="宋体" w:cs="宋体"/>
          <w:color w:val="auto"/>
          <w:sz w:val="24"/>
          <w:szCs w:val="24"/>
        </w:rPr>
        <w:t>.5</w:t>
      </w:r>
      <w:r>
        <w:rPr>
          <w:rFonts w:hint="eastAsia" w:hAnsi="宋体" w:cs="宋体"/>
          <w:color w:val="auto"/>
          <w:sz w:val="24"/>
          <w:lang w:val="en-US" w:eastAsia="zh-CN"/>
        </w:rPr>
        <w:t>中标供应商</w:t>
      </w:r>
      <w:r>
        <w:rPr>
          <w:rFonts w:hint="eastAsia" w:hAnsi="宋体" w:cs="宋体"/>
          <w:color w:val="auto"/>
          <w:sz w:val="24"/>
          <w:szCs w:val="24"/>
          <w:lang w:val="en-US" w:eastAsia="zh-CN"/>
        </w:rPr>
        <w:t>拒绝与</w:t>
      </w:r>
      <w:r>
        <w:rPr>
          <w:rFonts w:hint="eastAsia" w:hAnsi="宋体" w:cs="宋体"/>
          <w:color w:val="auto"/>
          <w:sz w:val="24"/>
          <w:szCs w:val="24"/>
        </w:rPr>
        <w:t>采购人</w:t>
      </w:r>
      <w:r>
        <w:rPr>
          <w:rFonts w:hint="eastAsia" w:hAnsi="宋体" w:cs="宋体"/>
          <w:color w:val="auto"/>
          <w:sz w:val="24"/>
          <w:szCs w:val="24"/>
          <w:lang w:val="en-US" w:eastAsia="zh-CN"/>
        </w:rPr>
        <w:t>签订合同的</w:t>
      </w:r>
      <w:r>
        <w:rPr>
          <w:rFonts w:hint="eastAsia" w:hAnsi="宋体" w:cs="宋体"/>
          <w:color w:val="auto"/>
          <w:sz w:val="24"/>
          <w:szCs w:val="24"/>
        </w:rPr>
        <w:t>，采购人可</w:t>
      </w:r>
      <w:r>
        <w:rPr>
          <w:rFonts w:hint="eastAsia" w:hAnsi="宋体" w:cs="宋体"/>
          <w:color w:val="auto"/>
          <w:sz w:val="24"/>
          <w:szCs w:val="24"/>
          <w:lang w:val="en-US" w:eastAsia="zh-CN"/>
        </w:rPr>
        <w:t>以按照推荐的</w:t>
      </w:r>
      <w:r>
        <w:rPr>
          <w:rFonts w:hint="eastAsia" w:hAnsi="宋体" w:cs="宋体"/>
          <w:color w:val="auto"/>
          <w:sz w:val="24"/>
          <w:lang w:val="en-US" w:eastAsia="zh-CN"/>
        </w:rPr>
        <w:t>中标候选供应商</w:t>
      </w:r>
      <w:r>
        <w:rPr>
          <w:rFonts w:hint="eastAsia" w:hAnsi="宋体" w:cs="宋体"/>
          <w:color w:val="auto"/>
          <w:sz w:val="24"/>
          <w:szCs w:val="24"/>
          <w:lang w:val="en-US" w:eastAsia="zh-CN"/>
        </w:rPr>
        <w:t>名单排序，确定下一候选人为</w:t>
      </w:r>
      <w:r>
        <w:rPr>
          <w:rFonts w:hint="eastAsia" w:hAnsi="宋体" w:cs="宋体"/>
          <w:color w:val="auto"/>
          <w:sz w:val="24"/>
          <w:lang w:val="en-US" w:eastAsia="zh-CN"/>
        </w:rPr>
        <w:t>中标供应商</w:t>
      </w:r>
      <w:r>
        <w:rPr>
          <w:rFonts w:hint="eastAsia" w:hAnsi="宋体" w:cs="宋体"/>
          <w:color w:val="auto"/>
          <w:sz w:val="24"/>
          <w:szCs w:val="24"/>
          <w:lang w:val="en-US" w:eastAsia="zh-CN"/>
        </w:rPr>
        <w:t>，也可以重新开展采购活动</w:t>
      </w:r>
      <w:r>
        <w:rPr>
          <w:rFonts w:hint="eastAsia" w:hAnsi="宋体" w:cs="宋体"/>
          <w:color w:val="auto"/>
          <w:sz w:val="24"/>
          <w:szCs w:val="24"/>
        </w:rPr>
        <w:t>。</w:t>
      </w:r>
      <w:bookmarkEnd w:id="192"/>
    </w:p>
    <w:p>
      <w:pPr>
        <w:spacing w:line="360" w:lineRule="auto"/>
        <w:ind w:firstLine="480" w:firstLineChars="200"/>
        <w:outlineLvl w:val="1"/>
        <w:rPr>
          <w:rFonts w:ascii="宋体" w:hAnsi="宋体" w:cs="宋体"/>
          <w:bCs/>
          <w:color w:val="auto"/>
          <w:sz w:val="24"/>
        </w:rPr>
      </w:pPr>
      <w:r>
        <w:rPr>
          <w:rFonts w:hint="eastAsia" w:ascii="宋体" w:hAnsi="宋体" w:cs="宋体"/>
          <w:bCs/>
          <w:color w:val="auto"/>
          <w:sz w:val="24"/>
        </w:rPr>
        <w:t>4</w:t>
      </w:r>
      <w:r>
        <w:rPr>
          <w:rFonts w:hint="eastAsia" w:ascii="宋体" w:hAnsi="宋体" w:cs="宋体"/>
          <w:bCs/>
          <w:color w:val="auto"/>
          <w:sz w:val="24"/>
          <w:lang w:val="en-US" w:eastAsia="zh-CN"/>
        </w:rPr>
        <w:t>2</w:t>
      </w:r>
      <w:r>
        <w:rPr>
          <w:rFonts w:hint="eastAsia" w:ascii="宋体" w:hAnsi="宋体" w:cs="宋体"/>
          <w:bCs/>
          <w:color w:val="auto"/>
          <w:sz w:val="24"/>
        </w:rPr>
        <w:t>、合同的签订准则</w:t>
      </w:r>
      <w:bookmarkEnd w:id="187"/>
      <w:bookmarkEnd w:id="188"/>
    </w:p>
    <w:p>
      <w:pPr>
        <w:spacing w:line="360" w:lineRule="auto"/>
        <w:ind w:firstLine="480" w:firstLineChars="200"/>
        <w:rPr>
          <w:rFonts w:ascii="宋体" w:hAnsi="宋体" w:cs="宋体"/>
          <w:bCs/>
          <w:color w:val="auto"/>
          <w:sz w:val="24"/>
        </w:rPr>
      </w:pPr>
      <w:r>
        <w:rPr>
          <w:rFonts w:hint="eastAsia" w:ascii="宋体" w:hAnsi="宋体" w:cs="宋体"/>
          <w:bCs/>
          <w:color w:val="auto"/>
          <w:sz w:val="24"/>
        </w:rPr>
        <w:t>4</w:t>
      </w:r>
      <w:r>
        <w:rPr>
          <w:rFonts w:hint="eastAsia" w:ascii="宋体" w:hAnsi="宋体" w:cs="宋体"/>
          <w:bCs/>
          <w:color w:val="auto"/>
          <w:sz w:val="24"/>
          <w:lang w:val="en-US" w:eastAsia="zh-CN"/>
        </w:rPr>
        <w:t>2</w:t>
      </w:r>
      <w:r>
        <w:rPr>
          <w:rFonts w:hint="eastAsia" w:ascii="宋体" w:hAnsi="宋体" w:cs="宋体"/>
          <w:bCs/>
          <w:color w:val="auto"/>
          <w:sz w:val="24"/>
        </w:rPr>
        <w:t>.1合同签订必须由采购人、</w:t>
      </w:r>
      <w:r>
        <w:rPr>
          <w:rFonts w:hint="eastAsia" w:ascii="宋体" w:hAnsi="宋体" w:cs="宋体"/>
          <w:color w:val="auto"/>
          <w:sz w:val="24"/>
          <w:lang w:val="en-US" w:eastAsia="zh-CN"/>
        </w:rPr>
        <w:t>中标供应商</w:t>
      </w:r>
      <w:r>
        <w:rPr>
          <w:rFonts w:hint="eastAsia" w:ascii="宋体" w:hAnsi="宋体" w:cs="宋体"/>
          <w:bCs/>
          <w:color w:val="auto"/>
          <w:sz w:val="24"/>
        </w:rPr>
        <w:t>双方法定代表人或其委托代理人签署并加盖法人公章后方能生效。</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4</w:t>
      </w:r>
      <w:r>
        <w:rPr>
          <w:rFonts w:hint="eastAsia" w:ascii="宋体" w:hAnsi="宋体" w:cs="宋体"/>
          <w:bCs/>
          <w:color w:val="auto"/>
          <w:sz w:val="24"/>
          <w:lang w:val="en-US" w:eastAsia="zh-CN"/>
        </w:rPr>
        <w:t>2</w:t>
      </w:r>
      <w:r>
        <w:rPr>
          <w:rFonts w:hint="eastAsia" w:ascii="宋体" w:hAnsi="宋体" w:cs="宋体"/>
          <w:bCs/>
          <w:color w:val="auto"/>
          <w:sz w:val="24"/>
        </w:rPr>
        <w:t>.2合同转包（实质性要求）</w:t>
      </w:r>
    </w:p>
    <w:p>
      <w:pPr>
        <w:spacing w:line="360" w:lineRule="auto"/>
        <w:ind w:firstLine="480" w:firstLineChars="200"/>
        <w:rPr>
          <w:rFonts w:ascii="宋体" w:hAnsi="宋体" w:cs="宋体"/>
          <w:bCs/>
          <w:color w:val="auto"/>
          <w:sz w:val="24"/>
        </w:rPr>
      </w:pPr>
      <w:r>
        <w:rPr>
          <w:rFonts w:hint="eastAsia" w:hAnsi="宋体" w:cs="宋体"/>
          <w:color w:val="auto"/>
          <w:sz w:val="24"/>
          <w:szCs w:val="24"/>
        </w:rPr>
        <w:t>本采购项目严禁中标供应商将任何采购合同义务转包。本项目所称转包，是指中标供应商将采购合同义务转让给第三人，并退出现有采购合同当事人双方的权利义务关系，受让人（即第三人）成为采购合同的另一方当事人的行为</w:t>
      </w:r>
      <w:r>
        <w:rPr>
          <w:rFonts w:hint="eastAsia" w:ascii="宋体" w:hAnsi="宋体" w:cs="宋体"/>
          <w:bCs/>
          <w:color w:val="auto"/>
          <w:sz w:val="24"/>
        </w:rPr>
        <w:t>。</w:t>
      </w:r>
    </w:p>
    <w:p>
      <w:pPr>
        <w:spacing w:line="360" w:lineRule="auto"/>
        <w:ind w:firstLine="480" w:firstLineChars="200"/>
        <w:rPr>
          <w:rFonts w:ascii="宋体" w:hAnsi="宋体" w:cs="宋体"/>
          <w:bCs/>
          <w:color w:val="auto"/>
          <w:sz w:val="24"/>
        </w:rPr>
      </w:pPr>
      <w:r>
        <w:rPr>
          <w:rFonts w:hint="eastAsia" w:ascii="宋体" w:hAnsi="宋体" w:cs="宋体"/>
          <w:color w:val="auto"/>
          <w:sz w:val="24"/>
          <w:lang w:val="en-US" w:eastAsia="zh-CN"/>
        </w:rPr>
        <w:t>中标供应商</w:t>
      </w:r>
      <w:r>
        <w:rPr>
          <w:rFonts w:hint="eastAsia" w:ascii="宋体" w:hAnsi="宋体" w:cs="宋体"/>
          <w:bCs/>
          <w:color w:val="auto"/>
          <w:sz w:val="24"/>
        </w:rPr>
        <w:t>转包的，视同拒绝履行政府采购合同义务，将依法追究法律责任。</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4</w:t>
      </w:r>
      <w:r>
        <w:rPr>
          <w:rFonts w:hint="eastAsia" w:ascii="宋体" w:hAnsi="宋体" w:cs="宋体"/>
          <w:bCs/>
          <w:color w:val="auto"/>
          <w:sz w:val="24"/>
          <w:lang w:val="en-US" w:eastAsia="zh-CN"/>
        </w:rPr>
        <w:t>2</w:t>
      </w:r>
      <w:r>
        <w:rPr>
          <w:rFonts w:hint="eastAsia" w:ascii="宋体" w:hAnsi="宋体" w:cs="宋体"/>
          <w:bCs/>
          <w:color w:val="auto"/>
          <w:sz w:val="24"/>
        </w:rPr>
        <w:t>.3补充合同</w:t>
      </w:r>
    </w:p>
    <w:p>
      <w:pPr>
        <w:spacing w:line="360" w:lineRule="auto"/>
        <w:ind w:firstLine="480" w:firstLineChars="200"/>
        <w:rPr>
          <w:rFonts w:ascii="宋体" w:hAnsi="宋体" w:cs="宋体"/>
          <w:bCs/>
          <w:color w:val="auto"/>
        </w:rPr>
      </w:pPr>
      <w:r>
        <w:rPr>
          <w:rFonts w:hint="eastAsia" w:ascii="宋体" w:hAnsi="宋体" w:cs="宋体"/>
          <w:bCs/>
          <w:color w:val="auto"/>
          <w:sz w:val="24"/>
        </w:rPr>
        <w:t>采购合同履行过程中，采购人需要追加与合同标的相同的货物或者服务的，在不改变合同其他条款的前提下，可以与</w:t>
      </w:r>
      <w:r>
        <w:rPr>
          <w:rFonts w:hint="eastAsia" w:ascii="宋体" w:hAnsi="宋体" w:cs="宋体"/>
          <w:color w:val="auto"/>
          <w:sz w:val="24"/>
          <w:lang w:val="en-US" w:eastAsia="zh-CN"/>
        </w:rPr>
        <w:t>中标供应商</w:t>
      </w:r>
      <w:r>
        <w:rPr>
          <w:rFonts w:hint="eastAsia" w:ascii="宋体" w:hAnsi="宋体" w:cs="宋体"/>
          <w:bCs/>
          <w:color w:val="auto"/>
          <w:sz w:val="24"/>
        </w:rPr>
        <w:t>协商签订补充合同，但所有补充合同的采购金额不得超过</w:t>
      </w:r>
      <w:r>
        <w:rPr>
          <w:rFonts w:hint="eastAsia" w:ascii="宋体" w:hAnsi="宋体" w:eastAsia="宋体" w:cs="宋体"/>
          <w:b/>
          <w:bCs/>
          <w:color w:val="auto"/>
          <w:kern w:val="2"/>
          <w:sz w:val="24"/>
          <w:szCs w:val="24"/>
          <w:lang w:val="en-US" w:eastAsia="zh-CN" w:bidi="ar-SA"/>
        </w:rPr>
        <w:t>原合同采购金额的百分之十</w:t>
      </w:r>
      <w:r>
        <w:rPr>
          <w:rFonts w:hint="eastAsia" w:ascii="宋体" w:hAnsi="宋体" w:cs="宋体"/>
          <w:bCs/>
          <w:color w:val="auto"/>
          <w:sz w:val="24"/>
        </w:rPr>
        <w:t xml:space="preserve">，该补充合同应当在原政府采购合同履行过程中，不得在原政府采购合同履行结束后，且采购货物、工程和服务的名称、价格、履约方式、验收标准等必须与原政府采购合同一致。 </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3</w:t>
      </w:r>
      <w:r>
        <w:rPr>
          <w:rFonts w:hint="eastAsia" w:ascii="宋体" w:hAnsi="宋体" w:cs="宋体"/>
          <w:color w:val="auto"/>
          <w:sz w:val="24"/>
        </w:rPr>
        <w:t>、验收</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3</w:t>
      </w:r>
      <w:r>
        <w:rPr>
          <w:rFonts w:hint="eastAsia" w:ascii="宋体" w:hAnsi="宋体" w:cs="宋体"/>
          <w:color w:val="auto"/>
          <w:sz w:val="24"/>
        </w:rPr>
        <w:t>.1本项目采购人将严格按照政府采购相关法律法规以及《克拉玛依市政府采购项目需求论证和履约验收管理办法》（克财发〔2016〕9号）的要求进行验收。</w:t>
      </w:r>
    </w:p>
    <w:p>
      <w:pPr>
        <w:pStyle w:val="11"/>
        <w:spacing w:line="360" w:lineRule="auto"/>
        <w:outlineLvl w:val="1"/>
        <w:rPr>
          <w:rFonts w:hAnsi="宋体" w:cs="宋体"/>
          <w:b/>
          <w:bCs/>
          <w:color w:val="auto"/>
          <w:sz w:val="24"/>
          <w:szCs w:val="24"/>
        </w:rPr>
      </w:pPr>
      <w:r>
        <w:rPr>
          <w:rFonts w:hint="eastAsia" w:hAnsi="宋体" w:cs="宋体"/>
          <w:b/>
          <w:bCs/>
          <w:color w:val="auto"/>
          <w:sz w:val="24"/>
          <w:szCs w:val="24"/>
        </w:rPr>
        <w:t>七、询问、质疑、投诉</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4</w:t>
      </w:r>
      <w:r>
        <w:rPr>
          <w:rFonts w:hint="eastAsia" w:ascii="宋体" w:hAnsi="宋体" w:cs="宋体"/>
          <w:color w:val="auto"/>
          <w:sz w:val="24"/>
        </w:rPr>
        <w:t>、询问</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4</w:t>
      </w:r>
      <w:r>
        <w:rPr>
          <w:rFonts w:hint="eastAsia" w:ascii="宋体" w:hAnsi="宋体" w:cs="宋体"/>
          <w:color w:val="auto"/>
          <w:sz w:val="24"/>
        </w:rPr>
        <w:t>.1供应商对采购活动事项有疑问的，可以向采购人或采购代理机构提出询问，采购人或采购代理机构应当在三个工作日内对供应商依法提出的询问作出答复，但答复的内容不得涉及商业秘密。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、质疑</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.1 供应商认为招标文件、采购过程和中标结果使自己的合法权益受到损害的，可以在知道或者应知其权益受到损害之日起七个工作日内，将质疑文件原件和必要的证明材料送达采购代理机构。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ascii="宋体" w:hAnsi="宋体" w:cs="宋体"/>
          <w:color w:val="auto"/>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.2供应商如对</w:t>
      </w:r>
      <w:r>
        <w:rPr>
          <w:rFonts w:hint="eastAsia" w:ascii="宋体" w:hAnsi="宋体" w:cs="宋体"/>
          <w:color w:val="auto"/>
          <w:sz w:val="24"/>
          <w:lang w:eastAsia="zh-CN"/>
        </w:rPr>
        <w:t>招标</w:t>
      </w:r>
      <w:r>
        <w:rPr>
          <w:rFonts w:hint="eastAsia" w:ascii="宋体" w:hAnsi="宋体" w:cs="宋体"/>
          <w:color w:val="auto"/>
          <w:sz w:val="24"/>
        </w:rPr>
        <w:t>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 xml:space="preserve">.3上述应知其权益受到损害之日是指： </w:t>
      </w:r>
    </w:p>
    <w:p>
      <w:pPr>
        <w:spacing w:line="360" w:lineRule="auto"/>
        <w:ind w:firstLine="480" w:firstLineChars="200"/>
        <w:rPr>
          <w:rFonts w:ascii="宋体" w:hAnsi="宋体" w:cs="宋体"/>
          <w:color w:val="auto"/>
          <w:sz w:val="24"/>
        </w:rPr>
      </w:pPr>
      <w:r>
        <w:rPr>
          <w:rFonts w:hint="eastAsia" w:ascii="宋体" w:hAnsi="宋体" w:cs="宋体"/>
          <w:color w:val="auto"/>
          <w:sz w:val="24"/>
        </w:rPr>
        <w:t>（1）对</w:t>
      </w:r>
      <w:r>
        <w:rPr>
          <w:rFonts w:hint="eastAsia" w:ascii="宋体" w:hAnsi="宋体" w:cs="宋体"/>
          <w:color w:val="auto"/>
          <w:sz w:val="24"/>
          <w:lang w:eastAsia="zh-CN"/>
        </w:rPr>
        <w:t>招标</w:t>
      </w:r>
      <w:r>
        <w:rPr>
          <w:rFonts w:hint="eastAsia" w:ascii="宋体" w:hAnsi="宋体" w:cs="宋体"/>
          <w:color w:val="auto"/>
          <w:sz w:val="24"/>
        </w:rPr>
        <w:t>文件提出质疑的，为</w:t>
      </w:r>
      <w:r>
        <w:rPr>
          <w:rFonts w:hint="eastAsia" w:ascii="宋体" w:hAnsi="宋体" w:cs="宋体"/>
          <w:color w:val="auto"/>
          <w:sz w:val="24"/>
          <w:lang w:eastAsia="zh-CN"/>
        </w:rPr>
        <w:t>招标</w:t>
      </w:r>
      <w:r>
        <w:rPr>
          <w:rFonts w:hint="eastAsia" w:ascii="宋体" w:hAnsi="宋体" w:cs="宋体"/>
          <w:color w:val="auto"/>
          <w:sz w:val="24"/>
        </w:rPr>
        <w:t xml:space="preserve">文件公告期限届满之日起计算； </w:t>
      </w:r>
    </w:p>
    <w:p>
      <w:pPr>
        <w:spacing w:line="360" w:lineRule="auto"/>
        <w:ind w:firstLine="480" w:firstLineChars="200"/>
        <w:rPr>
          <w:rFonts w:ascii="宋体" w:hAnsi="宋体" w:cs="宋体"/>
          <w:color w:val="auto"/>
          <w:sz w:val="24"/>
        </w:rPr>
      </w:pPr>
      <w:r>
        <w:rPr>
          <w:rFonts w:hint="eastAsia" w:ascii="宋体" w:hAnsi="宋体" w:cs="宋体"/>
          <w:color w:val="auto"/>
          <w:sz w:val="24"/>
        </w:rPr>
        <w:t>（2）对采购过程提出质疑的，自采购程序环节结束之日起计算；</w:t>
      </w:r>
    </w:p>
    <w:p>
      <w:pPr>
        <w:spacing w:line="360" w:lineRule="auto"/>
        <w:ind w:firstLine="480" w:firstLineChars="200"/>
        <w:rPr>
          <w:rFonts w:ascii="宋体" w:hAnsi="宋体" w:cs="宋体"/>
          <w:color w:val="auto"/>
          <w:sz w:val="24"/>
        </w:rPr>
      </w:pPr>
      <w:r>
        <w:rPr>
          <w:rFonts w:hint="eastAsia" w:ascii="宋体" w:hAnsi="宋体" w:cs="宋体"/>
          <w:color w:val="auto"/>
          <w:sz w:val="24"/>
        </w:rPr>
        <w:t>（3）对中标结果提出质疑的，自中标或者</w:t>
      </w:r>
      <w:r>
        <w:rPr>
          <w:rFonts w:hint="eastAsia" w:ascii="宋体" w:hAnsi="宋体" w:cs="宋体"/>
          <w:color w:val="auto"/>
          <w:sz w:val="24"/>
          <w:lang w:eastAsia="zh-CN"/>
        </w:rPr>
        <w:t>中标</w:t>
      </w:r>
      <w:r>
        <w:rPr>
          <w:rFonts w:hint="eastAsia" w:ascii="宋体" w:hAnsi="宋体" w:cs="宋体"/>
          <w:color w:val="auto"/>
          <w:sz w:val="24"/>
        </w:rPr>
        <w:t>结果公告期限届满之日起计算。</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.4质疑供应商在法定质疑期内应当一次性提出针对同一采购环节提出质疑。</w:t>
      </w:r>
    </w:p>
    <w:p>
      <w:pPr>
        <w:pStyle w:val="34"/>
        <w:spacing w:line="360" w:lineRule="auto"/>
        <w:ind w:left="1" w:firstLine="482" w:firstLineChars="200"/>
        <w:rPr>
          <w:rFonts w:hAnsi="宋体" w:cs="宋体"/>
          <w:color w:val="auto"/>
          <w:kern w:val="2"/>
          <w:sz w:val="24"/>
          <w:szCs w:val="24"/>
        </w:rPr>
      </w:pPr>
      <w:r>
        <w:rPr>
          <w:rFonts w:hint="eastAsia" w:hAnsi="宋体" w:cs="宋体"/>
          <w:b/>
          <w:bCs/>
          <w:color w:val="auto"/>
          <w:kern w:val="2"/>
          <w:sz w:val="24"/>
          <w:szCs w:val="24"/>
        </w:rPr>
        <w:t>4</w:t>
      </w:r>
      <w:r>
        <w:rPr>
          <w:rFonts w:hint="eastAsia" w:hAnsi="宋体" w:cs="宋体"/>
          <w:b/>
          <w:bCs/>
          <w:color w:val="auto"/>
          <w:kern w:val="2"/>
          <w:sz w:val="24"/>
          <w:szCs w:val="24"/>
          <w:lang w:val="en-US" w:eastAsia="zh-CN"/>
        </w:rPr>
        <w:t>5</w:t>
      </w:r>
      <w:r>
        <w:rPr>
          <w:rFonts w:hint="eastAsia" w:hAnsi="宋体" w:cs="宋体"/>
          <w:b/>
          <w:bCs/>
          <w:color w:val="auto"/>
          <w:kern w:val="2"/>
          <w:sz w:val="24"/>
          <w:szCs w:val="24"/>
        </w:rPr>
        <w:t>.5质疑文件应包括以下主要内容，并按照“谁主张、谁举证”的原则，附上相关证明材料。否则，采购代理机构不予受理【财政部发布了《政府采购投标人质疑函范本》和《政府采购投标人投诉书范本》，两范本指投标人（供应商）提出质疑、投诉人提起投诉时，应提交的质疑函、投诉书和必要的证明材料（下载路径：中国政府采购网→下载专区）】：　　</w:t>
      </w:r>
      <w:r>
        <w:rPr>
          <w:rFonts w:hint="eastAsia" w:hAnsi="宋体" w:cs="宋体"/>
          <w:color w:val="auto"/>
          <w:kern w:val="2"/>
          <w:sz w:val="24"/>
          <w:szCs w:val="24"/>
        </w:rPr>
        <w:t>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（1）供应商的姓名或者名称、地址、邮编、联系人及联系电话（包括座机、手机、传真号码等）； </w:t>
      </w:r>
    </w:p>
    <w:p>
      <w:pPr>
        <w:spacing w:line="360" w:lineRule="auto"/>
        <w:ind w:firstLine="480" w:firstLineChars="200"/>
        <w:rPr>
          <w:rFonts w:ascii="宋体" w:hAnsi="宋体" w:cs="宋体"/>
          <w:color w:val="auto"/>
          <w:sz w:val="24"/>
        </w:rPr>
      </w:pPr>
      <w:r>
        <w:rPr>
          <w:rFonts w:hint="eastAsia" w:ascii="宋体" w:hAnsi="宋体" w:cs="宋体"/>
          <w:color w:val="auto"/>
          <w:sz w:val="24"/>
        </w:rPr>
        <w:t>（2）质疑项目的名称、项目编号、包号、采购公告发布时间、递交</w:t>
      </w:r>
      <w:r>
        <w:rPr>
          <w:rFonts w:hint="eastAsia" w:ascii="宋体" w:hAnsi="宋体" w:cs="宋体"/>
          <w:color w:val="auto"/>
          <w:sz w:val="24"/>
          <w:lang w:eastAsia="zh-CN"/>
        </w:rPr>
        <w:t>投标文件</w:t>
      </w:r>
      <w:r>
        <w:rPr>
          <w:rFonts w:hint="eastAsia" w:ascii="宋体" w:hAnsi="宋体" w:cs="宋体"/>
          <w:color w:val="auto"/>
          <w:sz w:val="24"/>
        </w:rPr>
        <w:t>或</w:t>
      </w:r>
      <w:r>
        <w:rPr>
          <w:rFonts w:hint="eastAsia" w:ascii="宋体" w:hAnsi="宋体" w:cs="宋体"/>
          <w:color w:val="auto"/>
          <w:sz w:val="24"/>
          <w:lang w:eastAsia="zh-CN"/>
        </w:rPr>
        <w:t>投标文件</w:t>
      </w:r>
      <w:r>
        <w:rPr>
          <w:rFonts w:hint="eastAsia" w:ascii="宋体" w:hAnsi="宋体" w:cs="宋体"/>
          <w:color w:val="auto"/>
          <w:sz w:val="24"/>
        </w:rPr>
        <w:t xml:space="preserve">截止时间；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（3）具体、明确的质疑事项和与质疑事项相关的请求；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（5）必要的法律依据； </w:t>
      </w:r>
    </w:p>
    <w:p>
      <w:pPr>
        <w:spacing w:line="360" w:lineRule="auto"/>
        <w:ind w:firstLine="480" w:firstLineChars="200"/>
        <w:rPr>
          <w:rFonts w:ascii="宋体" w:hAnsi="宋体" w:cs="宋体"/>
          <w:color w:val="auto"/>
          <w:sz w:val="24"/>
        </w:rPr>
      </w:pPr>
      <w:r>
        <w:rPr>
          <w:rFonts w:hint="eastAsia" w:ascii="宋体" w:hAnsi="宋体" w:cs="宋体"/>
          <w:color w:val="auto"/>
          <w:sz w:val="24"/>
        </w:rPr>
        <w:t>（6）提起质疑的日期；</w:t>
      </w:r>
    </w:p>
    <w:p>
      <w:pPr>
        <w:spacing w:line="360" w:lineRule="auto"/>
        <w:ind w:firstLine="480" w:firstLineChars="200"/>
        <w:rPr>
          <w:rFonts w:ascii="宋体" w:hAnsi="宋体" w:cs="宋体"/>
          <w:color w:val="auto"/>
          <w:sz w:val="24"/>
        </w:rPr>
      </w:pPr>
      <w:r>
        <w:rPr>
          <w:rFonts w:hint="eastAsia" w:ascii="宋体" w:hAnsi="宋体" w:cs="宋体"/>
          <w:color w:val="auto"/>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宋体" w:hAnsi="宋体" w:cs="宋体"/>
          <w:color w:val="auto"/>
          <w:sz w:val="24"/>
        </w:rPr>
      </w:pPr>
      <w:r>
        <w:rPr>
          <w:rFonts w:hint="eastAsia" w:ascii="宋体" w:hAnsi="宋体" w:cs="宋体"/>
          <w:color w:val="auto"/>
          <w:sz w:val="24"/>
        </w:rPr>
        <w:t>（8）供应商委托代理质疑的，应当提交授权委托书，并载明代理人的姓名或者名称、代理事项、 具体权限、期限和相关事项。</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.6质疑供应商是指直接参加本项目采购活动的供应商，未参加政府采购活动的供应商或在采购活动中自身权益未受到损害的供应商所提出的质疑不予受理。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.7采购人、采购代理机构在收到供应商的书面质疑后将及时组织调查核实，在七个工作日内作出答复，并以书面形式通知质疑供应商和其他有关供应商，答复的内容不涉及商业秘密。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482" w:firstLineChars="200"/>
        <w:rPr>
          <w:rFonts w:ascii="宋体" w:hAnsi="宋体" w:cs="宋体"/>
          <w:b/>
          <w:color w:val="auto"/>
          <w:sz w:val="24"/>
        </w:rPr>
      </w:pPr>
      <w:r>
        <w:rPr>
          <w:rFonts w:hint="eastAsia" w:ascii="宋体" w:hAnsi="宋体" w:cs="宋体"/>
          <w:b/>
          <w:color w:val="auto"/>
          <w:sz w:val="24"/>
        </w:rPr>
        <w:t>4</w:t>
      </w:r>
      <w:r>
        <w:rPr>
          <w:rFonts w:hint="eastAsia" w:ascii="宋体" w:hAnsi="宋体" w:cs="宋体"/>
          <w:b/>
          <w:color w:val="auto"/>
          <w:sz w:val="24"/>
          <w:lang w:val="en-US" w:eastAsia="zh-CN"/>
        </w:rPr>
        <w:t>6</w:t>
      </w:r>
      <w:r>
        <w:rPr>
          <w:rFonts w:hint="eastAsia" w:ascii="宋体" w:hAnsi="宋体" w:cs="宋体"/>
          <w:b/>
          <w:color w:val="auto"/>
          <w:sz w:val="24"/>
        </w:rPr>
        <w:t>、投诉</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6</w:t>
      </w:r>
      <w:r>
        <w:rPr>
          <w:rFonts w:hint="eastAsia" w:ascii="宋体" w:hAnsi="宋体" w:cs="宋体"/>
          <w:color w:val="auto"/>
          <w:sz w:val="24"/>
        </w:rPr>
        <w:t>.1 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6</w:t>
      </w:r>
      <w:r>
        <w:rPr>
          <w:rFonts w:hint="eastAsia" w:ascii="宋体" w:hAnsi="宋体" w:cs="宋体"/>
          <w:color w:val="auto"/>
          <w:sz w:val="24"/>
        </w:rPr>
        <w:t>.2供应商投诉的事项不得超出已质疑事项的范围，但基于质疑答复内容提出的投诉事项除外。</w:t>
      </w:r>
    </w:p>
    <w:p>
      <w:pPr>
        <w:spacing w:line="360" w:lineRule="auto"/>
        <w:ind w:firstLine="482" w:firstLineChars="200"/>
        <w:rPr>
          <w:rFonts w:ascii="宋体" w:hAnsi="宋体" w:cs="宋体"/>
          <w:b/>
          <w:color w:val="auto"/>
          <w:sz w:val="24"/>
        </w:rPr>
      </w:pPr>
      <w:r>
        <w:rPr>
          <w:rFonts w:hint="eastAsia" w:ascii="宋体" w:hAnsi="宋体" w:cs="宋体"/>
          <w:b/>
          <w:color w:val="auto"/>
          <w:sz w:val="24"/>
        </w:rPr>
        <w:t>4</w:t>
      </w:r>
      <w:r>
        <w:rPr>
          <w:rFonts w:hint="eastAsia" w:ascii="宋体" w:hAnsi="宋体" w:cs="宋体"/>
          <w:b/>
          <w:color w:val="auto"/>
          <w:sz w:val="24"/>
          <w:lang w:val="en-US" w:eastAsia="zh-CN"/>
        </w:rPr>
        <w:t>7</w:t>
      </w:r>
      <w:r>
        <w:rPr>
          <w:rFonts w:hint="eastAsia" w:ascii="宋体" w:hAnsi="宋体" w:cs="宋体"/>
          <w:b/>
          <w:color w:val="auto"/>
          <w:sz w:val="24"/>
        </w:rPr>
        <w:t>、诚实信用</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7</w:t>
      </w:r>
      <w:r>
        <w:rPr>
          <w:rFonts w:hint="eastAsia" w:ascii="宋体" w:hAnsi="宋体" w:cs="宋体"/>
          <w:color w:val="auto"/>
          <w:sz w:val="24"/>
        </w:rPr>
        <w:t>.1供应商不得虚假质疑和恶意质疑，并对质疑内容的真实性承担责任。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napToGrid w:val="0"/>
        <w:spacing w:line="360" w:lineRule="auto"/>
        <w:jc w:val="left"/>
        <w:rPr>
          <w:rFonts w:ascii="宋体" w:hAnsi="宋体" w:cs="宋体"/>
          <w:b/>
          <w:bCs/>
          <w:color w:val="auto"/>
          <w:sz w:val="24"/>
        </w:rPr>
      </w:pPr>
      <w:r>
        <w:rPr>
          <w:rFonts w:hint="eastAsia" w:ascii="宋体" w:hAnsi="宋体" w:cs="宋体"/>
          <w:b/>
          <w:bCs/>
          <w:color w:val="auto"/>
          <w:sz w:val="24"/>
        </w:rPr>
        <w:t>八、义务、工作纪律</w:t>
      </w:r>
    </w:p>
    <w:p>
      <w:pPr>
        <w:tabs>
          <w:tab w:val="left" w:pos="7665"/>
        </w:tabs>
        <w:spacing w:line="360" w:lineRule="auto"/>
        <w:ind w:firstLine="482" w:firstLineChars="200"/>
        <w:rPr>
          <w:rFonts w:ascii="宋体" w:hAnsi="宋体" w:cs="宋体"/>
          <w:color w:val="auto"/>
          <w:sz w:val="24"/>
        </w:rPr>
      </w:pPr>
      <w:bookmarkStart w:id="193" w:name="_Toc28505_WPSOffice_Level1"/>
      <w:r>
        <w:rPr>
          <w:rFonts w:hint="eastAsia" w:ascii="宋体" w:hAnsi="宋体" w:cs="宋体"/>
          <w:b/>
          <w:bCs/>
          <w:color w:val="auto"/>
          <w:sz w:val="24"/>
        </w:rPr>
        <w:t>4</w:t>
      </w:r>
      <w:r>
        <w:rPr>
          <w:rFonts w:hint="eastAsia" w:ascii="宋体" w:hAnsi="宋体" w:cs="宋体"/>
          <w:b/>
          <w:bCs/>
          <w:color w:val="auto"/>
          <w:sz w:val="24"/>
          <w:lang w:val="en-US" w:eastAsia="zh-CN"/>
        </w:rPr>
        <w:t>8</w:t>
      </w:r>
      <w:r>
        <w:rPr>
          <w:rFonts w:hint="eastAsia" w:ascii="宋体" w:hAnsi="宋体" w:cs="宋体"/>
          <w:b/>
          <w:bCs/>
          <w:color w:val="auto"/>
          <w:sz w:val="24"/>
        </w:rPr>
        <w:t>、采购人或者采购代理机构负责组织评标工作，并履行下列职责：</w:t>
      </w:r>
    </w:p>
    <w:p>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8</w:t>
      </w:r>
      <w:r>
        <w:rPr>
          <w:rFonts w:hint="eastAsia" w:ascii="宋体" w:hAnsi="宋体" w:cs="宋体"/>
          <w:color w:val="auto"/>
          <w:sz w:val="24"/>
        </w:rPr>
        <w:t>.1核对评审专家身份和采购人代表授权函，对评审专家在政府采购活动中的职责履行情况予以记录，并及时将有关违法违规行为向财政部门报告；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8</w:t>
      </w:r>
      <w:r>
        <w:rPr>
          <w:rFonts w:hint="eastAsia" w:ascii="宋体" w:hAnsi="宋体" w:cs="宋体"/>
          <w:color w:val="auto"/>
          <w:sz w:val="24"/>
        </w:rPr>
        <w:t>.2宣布评标纪律；</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4</w:t>
      </w:r>
      <w:r>
        <w:rPr>
          <w:rFonts w:hint="eastAsia" w:ascii="宋体" w:hAnsi="宋体" w:cs="宋体"/>
          <w:color w:val="auto"/>
          <w:sz w:val="24"/>
          <w:lang w:val="en-US" w:eastAsia="zh-CN"/>
        </w:rPr>
        <w:t>8</w:t>
      </w:r>
      <w:r>
        <w:rPr>
          <w:rFonts w:hint="eastAsia" w:ascii="宋体" w:hAnsi="宋体" w:cs="宋体"/>
          <w:color w:val="auto"/>
          <w:sz w:val="24"/>
        </w:rPr>
        <w:t>.3公布供应商名单，告知评审专家应当回避的情形；</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4</w:t>
      </w:r>
      <w:r>
        <w:rPr>
          <w:rFonts w:hint="eastAsia" w:ascii="宋体" w:hAnsi="宋体" w:cs="宋体"/>
          <w:color w:val="auto"/>
          <w:sz w:val="24"/>
          <w:lang w:val="en-US" w:eastAsia="zh-CN"/>
        </w:rPr>
        <w:t>8</w:t>
      </w:r>
      <w:r>
        <w:rPr>
          <w:rFonts w:hint="eastAsia" w:ascii="宋体" w:hAnsi="宋体" w:cs="宋体"/>
          <w:color w:val="auto"/>
          <w:sz w:val="24"/>
        </w:rPr>
        <w:t>.4组织评标委员会推选评标组长，采购人代表不得担任组长；</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4</w:t>
      </w:r>
      <w:r>
        <w:rPr>
          <w:rFonts w:hint="eastAsia" w:ascii="宋体" w:hAnsi="宋体" w:cs="宋体"/>
          <w:color w:val="auto"/>
          <w:sz w:val="24"/>
          <w:lang w:val="en-US" w:eastAsia="zh-CN"/>
        </w:rPr>
        <w:t>8</w:t>
      </w:r>
      <w:r>
        <w:rPr>
          <w:rFonts w:hint="eastAsia" w:ascii="宋体" w:hAnsi="宋体" w:cs="宋体"/>
          <w:color w:val="auto"/>
          <w:sz w:val="24"/>
        </w:rPr>
        <w:t>.5在评标期间采取必要的通讯管理措施，保证评标活动不受外界干扰；</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4</w:t>
      </w:r>
      <w:r>
        <w:rPr>
          <w:rFonts w:hint="eastAsia" w:ascii="宋体" w:hAnsi="宋体" w:cs="宋体"/>
          <w:color w:val="auto"/>
          <w:sz w:val="24"/>
          <w:lang w:val="en-US" w:eastAsia="zh-CN"/>
        </w:rPr>
        <w:t>8</w:t>
      </w:r>
      <w:r>
        <w:rPr>
          <w:rFonts w:hint="eastAsia" w:ascii="宋体" w:hAnsi="宋体" w:cs="宋体"/>
          <w:color w:val="auto"/>
          <w:sz w:val="24"/>
        </w:rPr>
        <w:t>.6根据评标委员会的要求介绍政府采购相关政策法规、</w:t>
      </w:r>
      <w:r>
        <w:rPr>
          <w:rFonts w:hint="eastAsia" w:ascii="宋体" w:hAnsi="宋体" w:cs="宋体"/>
          <w:color w:val="auto"/>
          <w:sz w:val="24"/>
          <w:lang w:eastAsia="zh-CN"/>
        </w:rPr>
        <w:t>招标</w:t>
      </w:r>
      <w:r>
        <w:rPr>
          <w:rFonts w:hint="eastAsia" w:ascii="宋体" w:hAnsi="宋体" w:cs="宋体"/>
          <w:color w:val="auto"/>
          <w:sz w:val="24"/>
        </w:rPr>
        <w:t>文件；</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4</w:t>
      </w:r>
      <w:r>
        <w:rPr>
          <w:rFonts w:hint="eastAsia" w:ascii="宋体" w:hAnsi="宋体" w:cs="宋体"/>
          <w:color w:val="auto"/>
          <w:sz w:val="24"/>
          <w:lang w:val="en-US" w:eastAsia="zh-CN"/>
        </w:rPr>
        <w:t>8</w:t>
      </w:r>
      <w:r>
        <w:rPr>
          <w:rFonts w:hint="eastAsia" w:ascii="宋体" w:hAnsi="宋体" w:cs="宋体"/>
          <w:color w:val="auto"/>
          <w:sz w:val="24"/>
        </w:rPr>
        <w:t>.7维护评标秩序，监督评标委员会依照</w:t>
      </w:r>
      <w:r>
        <w:rPr>
          <w:rFonts w:hint="eastAsia" w:ascii="宋体" w:hAnsi="宋体" w:cs="宋体"/>
          <w:color w:val="auto"/>
          <w:sz w:val="24"/>
          <w:lang w:eastAsia="zh-CN"/>
        </w:rPr>
        <w:t>招标</w:t>
      </w:r>
      <w:r>
        <w:rPr>
          <w:rFonts w:hint="eastAsia" w:ascii="宋体" w:hAnsi="宋体" w:cs="宋体"/>
          <w:color w:val="auto"/>
          <w:sz w:val="24"/>
        </w:rPr>
        <w:t>文件规定的评标程序、方法和标准进行独立评审，及时制止和纠正采购人代表、评审专家的倾向性言论或者违法违规行为；</w:t>
      </w:r>
    </w:p>
    <w:p>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8</w:t>
      </w:r>
      <w:r>
        <w:rPr>
          <w:rFonts w:hint="eastAsia" w:ascii="宋体" w:hAnsi="宋体" w:cs="宋体"/>
          <w:color w:val="auto"/>
          <w:sz w:val="24"/>
        </w:rPr>
        <w:t>.8核对评标结果，有本办法第六十四条规定情形的，要求评标委员会复核或者书面说明理由，评标委员会拒绝的，应予记录并向本级财政部门报告；</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4</w:t>
      </w:r>
      <w:r>
        <w:rPr>
          <w:rFonts w:hint="eastAsia" w:ascii="宋体" w:hAnsi="宋体" w:cs="宋体"/>
          <w:color w:val="auto"/>
          <w:sz w:val="24"/>
          <w:lang w:val="en-US" w:eastAsia="zh-CN"/>
        </w:rPr>
        <w:t>8</w:t>
      </w:r>
      <w:r>
        <w:rPr>
          <w:rFonts w:hint="eastAsia" w:ascii="宋体" w:hAnsi="宋体" w:cs="宋体"/>
          <w:color w:val="auto"/>
          <w:sz w:val="24"/>
        </w:rPr>
        <w:t>.9处理与评标有关的其他事项</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采购人可以在评标前说明项目背景和采购需求，说明内容不得含有歧视性、倾向性意见，不得超出</w:t>
      </w:r>
      <w:r>
        <w:rPr>
          <w:rFonts w:hint="eastAsia" w:ascii="宋体" w:hAnsi="宋体" w:cs="宋体"/>
          <w:color w:val="auto"/>
          <w:sz w:val="24"/>
          <w:lang w:eastAsia="zh-CN"/>
        </w:rPr>
        <w:t>招标</w:t>
      </w:r>
      <w:r>
        <w:rPr>
          <w:rFonts w:hint="eastAsia" w:ascii="宋体" w:hAnsi="宋体" w:cs="宋体"/>
          <w:color w:val="auto"/>
          <w:sz w:val="24"/>
        </w:rPr>
        <w:t>文件所述范围。说明应当提交书面材料，并随</w:t>
      </w:r>
      <w:r>
        <w:rPr>
          <w:rFonts w:hint="eastAsia" w:ascii="宋体" w:hAnsi="宋体" w:cs="宋体"/>
          <w:color w:val="auto"/>
          <w:sz w:val="24"/>
          <w:lang w:eastAsia="zh-CN"/>
        </w:rPr>
        <w:t>招标</w:t>
      </w:r>
      <w:r>
        <w:rPr>
          <w:rFonts w:hint="eastAsia" w:ascii="宋体" w:hAnsi="宋体" w:cs="宋体"/>
          <w:color w:val="auto"/>
          <w:sz w:val="24"/>
        </w:rPr>
        <w:t>文件一并存档。</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4</w:t>
      </w:r>
      <w:r>
        <w:rPr>
          <w:rFonts w:hint="eastAsia" w:ascii="宋体" w:hAnsi="宋体" w:cs="宋体"/>
          <w:bCs/>
          <w:color w:val="auto"/>
          <w:sz w:val="24"/>
          <w:lang w:val="en-US" w:eastAsia="zh-CN"/>
        </w:rPr>
        <w:t>9</w:t>
      </w:r>
      <w:r>
        <w:rPr>
          <w:rFonts w:hint="eastAsia" w:ascii="宋体" w:hAnsi="宋体" w:cs="宋体"/>
          <w:bCs/>
          <w:color w:val="auto"/>
          <w:sz w:val="24"/>
        </w:rPr>
        <w:t>、</w:t>
      </w:r>
      <w:r>
        <w:rPr>
          <w:rFonts w:hint="eastAsia" w:ascii="宋体" w:hAnsi="宋体" w:cs="宋体"/>
          <w:color w:val="auto"/>
          <w:sz w:val="24"/>
        </w:rPr>
        <w:t>评标委员会</w:t>
      </w:r>
      <w:r>
        <w:rPr>
          <w:rFonts w:hint="eastAsia" w:ascii="宋体" w:hAnsi="宋体" w:cs="宋体"/>
          <w:bCs/>
          <w:color w:val="auto"/>
          <w:sz w:val="24"/>
          <w:lang w:eastAsia="zh-CN"/>
        </w:rPr>
        <w:t>评标</w:t>
      </w:r>
      <w:r>
        <w:rPr>
          <w:rFonts w:hint="eastAsia" w:ascii="宋体" w:hAnsi="宋体" w:cs="宋体"/>
          <w:bCs/>
          <w:color w:val="auto"/>
          <w:sz w:val="24"/>
        </w:rPr>
        <w:t>在政府采购活动中承担以下义务：</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49.1</w:t>
      </w:r>
      <w:r>
        <w:rPr>
          <w:rFonts w:hint="eastAsia" w:ascii="宋体" w:hAnsi="宋体" w:cs="宋体"/>
          <w:bCs/>
          <w:color w:val="auto"/>
          <w:sz w:val="24"/>
        </w:rPr>
        <w:t>遵守评审工作纪律；</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49.2</w:t>
      </w:r>
      <w:r>
        <w:rPr>
          <w:rFonts w:hint="eastAsia" w:ascii="宋体" w:hAnsi="宋体" w:cs="宋体"/>
          <w:bCs/>
          <w:color w:val="auto"/>
          <w:sz w:val="24"/>
        </w:rPr>
        <w:t>按照客观、公正、审慎的原则，根据</w:t>
      </w:r>
      <w:r>
        <w:rPr>
          <w:rFonts w:hint="eastAsia" w:ascii="宋体" w:hAnsi="宋体" w:cs="宋体"/>
          <w:bCs/>
          <w:color w:val="auto"/>
          <w:sz w:val="24"/>
          <w:lang w:eastAsia="zh-CN"/>
        </w:rPr>
        <w:t>招标</w:t>
      </w:r>
      <w:r>
        <w:rPr>
          <w:rFonts w:hint="eastAsia" w:ascii="宋体" w:hAnsi="宋体" w:cs="宋体"/>
          <w:bCs/>
          <w:color w:val="auto"/>
          <w:sz w:val="24"/>
        </w:rPr>
        <w:t>文件规定的评审程序、评审方法和评审标准进行独立评审；</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49.3</w:t>
      </w:r>
      <w:r>
        <w:rPr>
          <w:rFonts w:hint="eastAsia" w:ascii="宋体" w:hAnsi="宋体" w:cs="宋体"/>
          <w:bCs/>
          <w:color w:val="auto"/>
          <w:sz w:val="24"/>
        </w:rPr>
        <w:t>不得泄露评审文件、评审情况和在评审过程中获悉的商业秘密；</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49.4</w:t>
      </w:r>
      <w:r>
        <w:rPr>
          <w:rFonts w:hint="eastAsia" w:ascii="宋体" w:hAnsi="宋体" w:cs="宋体"/>
          <w:bCs/>
          <w:color w:val="auto"/>
          <w:sz w:val="24"/>
        </w:rPr>
        <w:t>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49.5</w:t>
      </w:r>
      <w:r>
        <w:rPr>
          <w:rFonts w:hint="eastAsia" w:ascii="宋体" w:hAnsi="宋体" w:cs="宋体"/>
          <w:bCs/>
          <w:color w:val="auto"/>
          <w:sz w:val="24"/>
        </w:rPr>
        <w:t>发现</w:t>
      </w:r>
      <w:r>
        <w:rPr>
          <w:rFonts w:hint="eastAsia" w:ascii="宋体" w:hAnsi="宋体" w:cs="宋体"/>
          <w:bCs/>
          <w:color w:val="auto"/>
          <w:sz w:val="24"/>
          <w:lang w:eastAsia="zh-CN"/>
        </w:rPr>
        <w:t>招标</w:t>
      </w:r>
      <w:r>
        <w:rPr>
          <w:rFonts w:hint="eastAsia" w:ascii="宋体" w:hAnsi="宋体" w:cs="宋体"/>
          <w:bCs/>
          <w:color w:val="auto"/>
          <w:sz w:val="24"/>
        </w:rPr>
        <w:t>文件内容违反国家有关强制性规定或者</w:t>
      </w:r>
      <w:r>
        <w:rPr>
          <w:rFonts w:hint="eastAsia" w:ascii="宋体" w:hAnsi="宋体" w:cs="宋体"/>
          <w:bCs/>
          <w:color w:val="auto"/>
          <w:sz w:val="24"/>
          <w:lang w:eastAsia="zh-CN"/>
        </w:rPr>
        <w:t>招标</w:t>
      </w:r>
      <w:r>
        <w:rPr>
          <w:rFonts w:hint="eastAsia" w:ascii="宋体" w:hAnsi="宋体" w:cs="宋体"/>
          <w:bCs/>
          <w:color w:val="auto"/>
          <w:sz w:val="24"/>
        </w:rPr>
        <w:t>文件存在歧义、重大缺陷导致评审工作无法进行时，停止评审并向采购人或者采购代理机构书面说明情况；</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49.6</w:t>
      </w:r>
      <w:r>
        <w:rPr>
          <w:rFonts w:hint="eastAsia" w:ascii="宋体" w:hAnsi="宋体" w:cs="宋体"/>
          <w:bCs/>
          <w:color w:val="auto"/>
          <w:sz w:val="24"/>
        </w:rPr>
        <w:t>及时向财政、监察等部门举报在评审过程中受到非法干预的情况；</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49.7</w:t>
      </w:r>
      <w:r>
        <w:rPr>
          <w:rFonts w:hint="eastAsia" w:ascii="宋体" w:hAnsi="宋体" w:cs="宋体"/>
          <w:bCs/>
          <w:color w:val="auto"/>
          <w:sz w:val="24"/>
        </w:rPr>
        <w:t>配合答复处理供应商的询问、质疑和投诉等事项；</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49.8</w:t>
      </w:r>
      <w:r>
        <w:rPr>
          <w:rFonts w:hint="eastAsia" w:ascii="宋体" w:hAnsi="宋体" w:cs="宋体"/>
          <w:bCs/>
          <w:color w:val="auto"/>
          <w:sz w:val="24"/>
        </w:rPr>
        <w:t>法律、法规和规章规定的其他义务。</w:t>
      </w:r>
    </w:p>
    <w:p>
      <w:pPr>
        <w:tabs>
          <w:tab w:val="left" w:pos="7665"/>
        </w:tabs>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w:t>
      </w:r>
      <w:r>
        <w:rPr>
          <w:rFonts w:hint="eastAsia" w:ascii="宋体" w:hAnsi="宋体" w:cs="宋体"/>
          <w:bCs/>
          <w:color w:val="auto"/>
          <w:sz w:val="24"/>
          <w:lang w:eastAsia="zh-CN"/>
        </w:rPr>
        <w:t>评标委员会</w:t>
      </w:r>
      <w:r>
        <w:rPr>
          <w:rFonts w:hint="eastAsia" w:ascii="宋体" w:hAnsi="宋体" w:cs="宋体"/>
          <w:bCs/>
          <w:color w:val="auto"/>
          <w:sz w:val="24"/>
        </w:rPr>
        <w:t>在政府采购活动中应当遵守以下工作纪律：</w:t>
      </w:r>
    </w:p>
    <w:p>
      <w:pPr>
        <w:tabs>
          <w:tab w:val="left" w:pos="7665"/>
        </w:tabs>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.1不得参加与自己有《中华人民共和国政府采购法实施条例》第九条规定的利害关系的政府采购项目的评标活动。发现参加了与自己有利害关系的评审活动，须主动提出回避，退出评审；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.2评审前，应当将通讯工具或者相关电子设备交由采购代理机构统一保管；</w:t>
      </w:r>
    </w:p>
    <w:p>
      <w:pPr>
        <w:tabs>
          <w:tab w:val="left" w:pos="7665"/>
        </w:tabs>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.3评审过程中，不得与外界联系，因发生不可预见情况，确实需要与外界联系的，应当在监督人员监督之下办理；</w:t>
      </w:r>
    </w:p>
    <w:p>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.4评审过程中，不得发表影响评审公正的倾向性、歧视性言论，不得征询或者接受采购人的倾向性意见，不得明示或暗示供应商在澄清时表达与其</w:t>
      </w:r>
      <w:r>
        <w:rPr>
          <w:rFonts w:hint="eastAsia" w:ascii="宋体" w:hAnsi="宋体" w:cs="宋体"/>
          <w:bCs/>
          <w:color w:val="auto"/>
          <w:sz w:val="24"/>
          <w:lang w:eastAsia="zh-CN"/>
        </w:rPr>
        <w:t>投标</w:t>
      </w:r>
      <w:r>
        <w:rPr>
          <w:rFonts w:hint="eastAsia" w:ascii="宋体" w:hAnsi="宋体" w:cs="宋体"/>
          <w:bCs/>
          <w:color w:val="auto"/>
          <w:sz w:val="24"/>
        </w:rPr>
        <w:t>文件原义不同的意见，不得以招标文件没有规定的评审方法和标准作为评审的依据，不得修改或者细化评审程序、评审方法、评审因素和评审标准，不得违规撰写评审意见，不得拒绝对自己的评审意见签字确认；</w:t>
      </w:r>
    </w:p>
    <w:p>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.5在评审过程中和评审结束后，不得记录、复制或带走任何评审资料，不得向外界透露评审内容；</w:t>
      </w:r>
    </w:p>
    <w:p>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.6评审现场服从采购代理机构工作人员的管理，接受现场监督人员的合法监督；</w:t>
      </w:r>
    </w:p>
    <w:p>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50</w:t>
      </w:r>
      <w:r>
        <w:rPr>
          <w:rFonts w:hint="eastAsia" w:ascii="宋体" w:hAnsi="宋体" w:cs="宋体"/>
          <w:bCs/>
          <w:color w:val="auto"/>
          <w:sz w:val="24"/>
        </w:rPr>
        <w:t>.7遵守有关廉洁自律规定，不得私下接触供应商，不得收受供应商及有关业务单位和个人的财物或好处，不得接受采购代理机构的请托。</w:t>
      </w:r>
    </w:p>
    <w:bookmarkEnd w:id="193"/>
    <w:p>
      <w:pPr>
        <w:pStyle w:val="9"/>
        <w:keepNext w:val="0"/>
        <w:keepLines w:val="0"/>
        <w:pageBreakBefore/>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kern w:val="2"/>
          <w:sz w:val="30"/>
          <w:szCs w:val="30"/>
          <w:highlight w:val="none"/>
          <w:lang w:val="en-US" w:eastAsia="zh-CN" w:bidi="ar-SA"/>
        </w:rPr>
      </w:pPr>
      <w:bookmarkStart w:id="194" w:name="_Toc14014_WPSOffice_Level1"/>
      <w:r>
        <w:rPr>
          <w:rFonts w:hint="eastAsia" w:ascii="宋体" w:hAnsi="宋体" w:eastAsia="宋体" w:cs="宋体"/>
          <w:b/>
          <w:color w:val="auto"/>
          <w:kern w:val="2"/>
          <w:sz w:val="30"/>
          <w:szCs w:val="30"/>
          <w:highlight w:val="none"/>
          <w:lang w:val="en-US" w:eastAsia="zh-CN" w:bidi="ar-SA"/>
        </w:rPr>
        <w:t>第三章、项目采购需求</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、总则</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1.1本章条款仅限于</w:t>
      </w:r>
      <w:r>
        <w:rPr>
          <w:rFonts w:hint="eastAsia" w:ascii="宋体" w:hAnsi="宋体" w:cs="宋体"/>
          <w:color w:val="auto"/>
          <w:sz w:val="24"/>
          <w:highlight w:val="none"/>
          <w:lang w:eastAsia="zh-CN"/>
        </w:rPr>
        <w:t>克拉玛依市第三人民医院电子病历系统项目。</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1.2本章条款提出的是最低限度的技术要求，并未对一切技术细节做出规定，也未引述有关规范条文，</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不得以本文件未提出要求为理由而规避国家和行业强制规范、标准的规定，</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应保证提供符合本章条款和相关标准的服务。</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1.3如果</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没有以书面形式对本章条款提出异议，</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人就可以认为</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提供的成果符合本章条款的要求。</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中，应对</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文件中的服务进行详细的说明。</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1.5在签订合同之后，</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人有权提出因规范标准有变化而产生的一些补充要求。</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t>1.6本章条款使用标准如与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所执行标准发生矛盾时，按较高标准执行。</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二</w:t>
      </w:r>
      <w:r>
        <w:rPr>
          <w:rFonts w:hint="eastAsia" w:ascii="宋体" w:hAnsi="宋体" w:eastAsia="宋体" w:cs="宋体"/>
          <w:b/>
          <w:bCs/>
          <w:color w:val="auto"/>
          <w:sz w:val="24"/>
          <w:highlight w:val="none"/>
        </w:rPr>
        <w:t>、执行的规范和标准</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本项目必须遵循国家规范和标准并应按最新版本执行，若标准、规范出现矛盾时，以最新、最高标准规范执行。</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项目技术要求</w:t>
      </w:r>
    </w:p>
    <w:p>
      <w:pPr>
        <w:pStyle w:val="3"/>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项目概述</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2019年8月22日，国家卫生计生委印发了《关于进一步推进以电子病历为核心的医疗机构信息化建设工作的通知》，通知里详细说明了要持续推进以电子病历为核心的医疗机构信息化建设有关工作要求。《通知》要求到2019年，辖区内所有三级医院要达到电子病历应用水平分级评价3级以上，即实现医院内不同部门间数据交换；到2020年，要达到分级评价4级以上，即医院内实现全院信息共享，并具备医疗决策支持功能。并明令医疗机构要加强信息系统安全防护，做好医疗数据安全存储和容灾备份，防控患者医疗信息泄露风险。严格执行信息安全和健康医疗数据保密规定，严格管理患者信息、诊疗数据等，保护患者隐私，保障信息安全。患者信息等敏感数据要储存在境内。</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此次项目建设讲按照国家电子病历系统应用水平分级评价四级相关要求进行建设，通过本次项目建设，以评促建、以评促改，建设模式先进、流程优化、管理配套、支撑有力、运作高效的智慧医院信息系统。优化服务流程，保障患者安全，提高患者满意度，实现临床医护人员业务一体化应用，提升工作效率。</w:t>
      </w:r>
    </w:p>
    <w:p>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3"/>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 xml:space="preserve">2 </w:t>
      </w:r>
      <w:r>
        <w:rPr>
          <w:rFonts w:hint="eastAsia" w:ascii="宋体" w:hAnsi="宋体" w:eastAsia="宋体" w:cs="宋体"/>
          <w:b/>
          <w:bCs/>
          <w:color w:val="auto"/>
          <w:sz w:val="28"/>
          <w:szCs w:val="28"/>
          <w:lang w:val="en-US" w:eastAsia="zh-CN"/>
        </w:rPr>
        <w:t>项目建设软件系统需求</w:t>
      </w:r>
    </w:p>
    <w:p>
      <w:pPr>
        <w:pStyle w:val="4"/>
        <w:pageBreakBefore w:val="0"/>
        <w:widowControl w:val="0"/>
        <w:numPr>
          <w:ilvl w:val="1"/>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建设内容</w:t>
      </w:r>
    </w:p>
    <w:p>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本项目建设的软件系统如下：</w:t>
      </w:r>
    </w:p>
    <w:tbl>
      <w:tblPr>
        <w:tblStyle w:val="2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410"/>
        <w:gridCol w:w="368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1980" w:type="dxa"/>
            <w:shd w:val="clear" w:color="000000" w:fill="00B0F0"/>
            <w:vAlign w:val="center"/>
          </w:tcPr>
          <w:p>
            <w:pPr>
              <w:widowControl/>
              <w:spacing w:line="240" w:lineRule="auto"/>
              <w:jc w:val="center"/>
              <w:rPr>
                <w:rFonts w:cs="Arial"/>
                <w:color w:val="auto"/>
                <w:kern w:val="0"/>
                <w:sz w:val="21"/>
                <w:szCs w:val="21"/>
              </w:rPr>
            </w:pPr>
            <w:r>
              <w:rPr>
                <w:rFonts w:cs="Arial"/>
                <w:color w:val="auto"/>
                <w:kern w:val="0"/>
                <w:sz w:val="21"/>
                <w:szCs w:val="21"/>
              </w:rPr>
              <w:t>大类</w:t>
            </w:r>
          </w:p>
        </w:tc>
        <w:tc>
          <w:tcPr>
            <w:tcW w:w="2410" w:type="dxa"/>
            <w:shd w:val="clear" w:color="000000" w:fill="00B0F0"/>
            <w:vAlign w:val="center"/>
          </w:tcPr>
          <w:p>
            <w:pPr>
              <w:widowControl/>
              <w:spacing w:line="240" w:lineRule="auto"/>
              <w:jc w:val="center"/>
              <w:rPr>
                <w:rFonts w:cs="Arial"/>
                <w:color w:val="auto"/>
                <w:kern w:val="0"/>
                <w:sz w:val="21"/>
                <w:szCs w:val="21"/>
              </w:rPr>
            </w:pPr>
            <w:r>
              <w:rPr>
                <w:rFonts w:cs="Arial"/>
                <w:color w:val="auto"/>
                <w:kern w:val="0"/>
                <w:sz w:val="21"/>
                <w:szCs w:val="21"/>
              </w:rPr>
              <w:t>模块分类</w:t>
            </w:r>
          </w:p>
        </w:tc>
        <w:tc>
          <w:tcPr>
            <w:tcW w:w="3685" w:type="dxa"/>
            <w:shd w:val="clear" w:color="000000" w:fill="00B0F0"/>
            <w:vAlign w:val="center"/>
          </w:tcPr>
          <w:p>
            <w:pPr>
              <w:widowControl/>
              <w:spacing w:line="240" w:lineRule="auto"/>
              <w:jc w:val="center"/>
              <w:rPr>
                <w:rFonts w:cs="Arial"/>
                <w:color w:val="auto"/>
                <w:kern w:val="0"/>
                <w:sz w:val="21"/>
                <w:szCs w:val="21"/>
              </w:rPr>
            </w:pPr>
            <w:r>
              <w:rPr>
                <w:rFonts w:cs="Arial"/>
                <w:color w:val="auto"/>
                <w:kern w:val="0"/>
                <w:sz w:val="21"/>
                <w:szCs w:val="21"/>
              </w:rPr>
              <w:t>模块名称</w:t>
            </w:r>
          </w:p>
        </w:tc>
        <w:tc>
          <w:tcPr>
            <w:tcW w:w="992" w:type="dxa"/>
            <w:shd w:val="clear" w:color="000000" w:fill="00B0F0"/>
            <w:vAlign w:val="center"/>
          </w:tcPr>
          <w:p>
            <w:pPr>
              <w:widowControl/>
              <w:spacing w:line="240" w:lineRule="auto"/>
              <w:jc w:val="center"/>
              <w:rPr>
                <w:rFonts w:cs="Arial"/>
                <w:color w:val="auto"/>
                <w:kern w:val="0"/>
                <w:sz w:val="21"/>
                <w:szCs w:val="21"/>
              </w:rPr>
            </w:pPr>
            <w:r>
              <w:rPr>
                <w:rFonts w:hint="eastAsia" w:cs="Arial"/>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restart"/>
            <w:shd w:val="clear" w:color="auto" w:fill="auto"/>
            <w:vAlign w:val="center"/>
          </w:tcPr>
          <w:p>
            <w:pPr>
              <w:widowControl/>
              <w:spacing w:line="240" w:lineRule="auto"/>
              <w:jc w:val="center"/>
              <w:rPr>
                <w:rFonts w:cs="Arial"/>
                <w:b/>
                <w:bCs/>
                <w:color w:val="auto"/>
                <w:kern w:val="0"/>
                <w:sz w:val="22"/>
                <w:szCs w:val="22"/>
              </w:rPr>
            </w:pPr>
            <w:r>
              <w:rPr>
                <w:rFonts w:cs="Arial"/>
                <w:b/>
                <w:bCs/>
                <w:color w:val="auto"/>
                <w:kern w:val="0"/>
                <w:sz w:val="22"/>
                <w:szCs w:val="22"/>
              </w:rPr>
              <w:t>临床信息系统(CIS)</w:t>
            </w:r>
          </w:p>
        </w:tc>
        <w:tc>
          <w:tcPr>
            <w:tcW w:w="2410" w:type="dxa"/>
            <w:vMerge w:val="restart"/>
            <w:shd w:val="clear" w:color="auto" w:fill="auto"/>
            <w:vAlign w:val="center"/>
          </w:tcPr>
          <w:p>
            <w:pPr>
              <w:widowControl/>
              <w:spacing w:line="240" w:lineRule="auto"/>
              <w:jc w:val="center"/>
              <w:rPr>
                <w:rFonts w:cs="Arial"/>
                <w:b/>
                <w:bCs/>
                <w:color w:val="auto"/>
                <w:kern w:val="0"/>
                <w:sz w:val="22"/>
                <w:szCs w:val="22"/>
              </w:rPr>
            </w:pPr>
            <w:r>
              <w:rPr>
                <w:rFonts w:cs="Arial"/>
                <w:b/>
                <w:bCs/>
                <w:color w:val="auto"/>
                <w:kern w:val="0"/>
                <w:sz w:val="22"/>
                <w:szCs w:val="22"/>
              </w:rPr>
              <w:t>电子病历</w:t>
            </w: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门诊医生病历系统</w:t>
            </w:r>
          </w:p>
        </w:tc>
        <w:tc>
          <w:tcPr>
            <w:tcW w:w="992" w:type="dxa"/>
            <w:vMerge w:val="restart"/>
            <w:vAlign w:val="center"/>
          </w:tcPr>
          <w:p>
            <w:pPr>
              <w:spacing w:line="240" w:lineRule="auto"/>
              <w:jc w:val="center"/>
              <w:rPr>
                <w:rFonts w:cs="宋体"/>
                <w:color w:val="auto"/>
                <w:kern w:val="0"/>
                <w:sz w:val="22"/>
                <w:szCs w:val="22"/>
              </w:rPr>
            </w:pPr>
            <w:r>
              <w:rPr>
                <w:rFonts w:hint="eastAsia" w:cs="宋体"/>
                <w:color w:val="auto"/>
                <w:kern w:val="0"/>
                <w:sz w:val="22"/>
                <w:szCs w:val="22"/>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vAlign w:val="center"/>
          </w:tcPr>
          <w:p>
            <w:pPr>
              <w:widowControl/>
              <w:spacing w:line="240" w:lineRule="auto"/>
              <w:jc w:val="left"/>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住院医生病历系统</w:t>
            </w:r>
          </w:p>
        </w:tc>
        <w:tc>
          <w:tcPr>
            <w:tcW w:w="992" w:type="dxa"/>
            <w:vMerge w:val="continue"/>
            <w:vAlign w:val="center"/>
          </w:tcPr>
          <w:p>
            <w:pPr>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vAlign w:val="center"/>
          </w:tcPr>
          <w:p>
            <w:pPr>
              <w:widowControl/>
              <w:spacing w:line="240" w:lineRule="auto"/>
              <w:jc w:val="left"/>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临床护理病历系统</w:t>
            </w:r>
          </w:p>
        </w:tc>
        <w:tc>
          <w:tcPr>
            <w:tcW w:w="992" w:type="dxa"/>
            <w:vMerge w:val="continue"/>
            <w:vAlign w:val="center"/>
          </w:tcPr>
          <w:p>
            <w:pPr>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vAlign w:val="center"/>
          </w:tcPr>
          <w:p>
            <w:pPr>
              <w:widowControl/>
              <w:spacing w:line="240" w:lineRule="auto"/>
              <w:jc w:val="left"/>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病案信息管理系统</w:t>
            </w:r>
          </w:p>
        </w:tc>
        <w:tc>
          <w:tcPr>
            <w:tcW w:w="992" w:type="dxa"/>
            <w:vMerge w:val="continue"/>
            <w:vAlign w:val="center"/>
          </w:tcPr>
          <w:p>
            <w:pPr>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vAlign w:val="center"/>
          </w:tcPr>
          <w:p>
            <w:pPr>
              <w:widowControl/>
              <w:spacing w:line="240" w:lineRule="auto"/>
              <w:jc w:val="left"/>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临床病历质控系统</w:t>
            </w:r>
          </w:p>
        </w:tc>
        <w:tc>
          <w:tcPr>
            <w:tcW w:w="992" w:type="dxa"/>
            <w:vMerge w:val="continue"/>
            <w:vAlign w:val="center"/>
          </w:tcPr>
          <w:p>
            <w:pPr>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vAlign w:val="center"/>
          </w:tcPr>
          <w:p>
            <w:pPr>
              <w:widowControl/>
              <w:spacing w:line="240" w:lineRule="auto"/>
              <w:jc w:val="left"/>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HQMS上报系统</w:t>
            </w:r>
          </w:p>
        </w:tc>
        <w:tc>
          <w:tcPr>
            <w:tcW w:w="992" w:type="dxa"/>
            <w:vMerge w:val="continue"/>
            <w:vAlign w:val="center"/>
          </w:tcPr>
          <w:p>
            <w:pPr>
              <w:spacing w:line="240" w:lineRule="auto"/>
              <w:jc w:val="center"/>
              <w:rPr>
                <w:rFonts w:cs="Arial"/>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宋体"/>
                <w:b/>
                <w:bCs/>
                <w:color w:val="auto"/>
                <w:kern w:val="0"/>
                <w:sz w:val="22"/>
                <w:szCs w:val="22"/>
                <w:highlight w:val="yellow"/>
              </w:rPr>
            </w:pPr>
          </w:p>
        </w:tc>
        <w:tc>
          <w:tcPr>
            <w:tcW w:w="3685" w:type="dxa"/>
            <w:shd w:val="clear" w:color="auto" w:fill="auto"/>
            <w:vAlign w:val="center"/>
          </w:tcPr>
          <w:p>
            <w:pPr>
              <w:widowControl/>
              <w:spacing w:line="240" w:lineRule="auto"/>
              <w:jc w:val="left"/>
              <w:rPr>
                <w:rFonts w:cs="Arial"/>
                <w:color w:val="auto"/>
                <w:kern w:val="0"/>
                <w:sz w:val="22"/>
                <w:szCs w:val="22"/>
                <w:highlight w:val="yellow"/>
              </w:rPr>
            </w:pPr>
            <w:r>
              <w:rPr>
                <w:rFonts w:cs="Arial"/>
                <w:color w:val="auto"/>
                <w:kern w:val="0"/>
                <w:sz w:val="22"/>
                <w:szCs w:val="22"/>
              </w:rPr>
              <w:t>病历模版编辑器</w:t>
            </w:r>
          </w:p>
        </w:tc>
        <w:tc>
          <w:tcPr>
            <w:tcW w:w="992" w:type="dxa"/>
            <w:vMerge w:val="continue"/>
            <w:vAlign w:val="center"/>
          </w:tcPr>
          <w:p>
            <w:pPr>
              <w:widowControl/>
              <w:spacing w:line="240" w:lineRule="auto"/>
              <w:jc w:val="center"/>
              <w:rPr>
                <w:rFonts w:cs="Arial"/>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宋体"/>
                <w:b/>
                <w:bCs/>
                <w:color w:val="auto"/>
                <w:kern w:val="0"/>
                <w:sz w:val="22"/>
                <w:szCs w:val="22"/>
                <w:highlight w:val="yellow"/>
              </w:rPr>
            </w:pPr>
          </w:p>
        </w:tc>
        <w:tc>
          <w:tcPr>
            <w:tcW w:w="3685" w:type="dxa"/>
            <w:shd w:val="clear" w:color="auto" w:fill="auto"/>
            <w:vAlign w:val="center"/>
          </w:tcPr>
          <w:p>
            <w:pPr>
              <w:widowControl/>
              <w:spacing w:line="240" w:lineRule="auto"/>
              <w:jc w:val="left"/>
              <w:rPr>
                <w:rFonts w:cs="Arial"/>
                <w:color w:val="auto"/>
                <w:kern w:val="0"/>
                <w:sz w:val="22"/>
                <w:szCs w:val="22"/>
                <w:highlight w:val="yellow"/>
              </w:rPr>
            </w:pPr>
            <w:r>
              <w:rPr>
                <w:rFonts w:cs="Arial"/>
                <w:color w:val="auto"/>
                <w:kern w:val="0"/>
                <w:sz w:val="22"/>
                <w:szCs w:val="22"/>
              </w:rPr>
              <w:t>运维管理配置系统</w:t>
            </w:r>
          </w:p>
        </w:tc>
        <w:tc>
          <w:tcPr>
            <w:tcW w:w="992" w:type="dxa"/>
            <w:vMerge w:val="continue"/>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restart"/>
            <w:vAlign w:val="center"/>
          </w:tcPr>
          <w:p>
            <w:pPr>
              <w:widowControl/>
              <w:spacing w:line="240" w:lineRule="auto"/>
              <w:jc w:val="left"/>
              <w:rPr>
                <w:rFonts w:cs="Arial"/>
                <w:b/>
                <w:bCs/>
                <w:color w:val="auto"/>
                <w:kern w:val="0"/>
                <w:sz w:val="22"/>
                <w:szCs w:val="22"/>
              </w:rPr>
            </w:pPr>
            <w:r>
              <w:rPr>
                <w:rFonts w:cs="Arial"/>
                <w:b/>
                <w:bCs/>
                <w:color w:val="auto"/>
                <w:kern w:val="0"/>
                <w:sz w:val="22"/>
                <w:szCs w:val="22"/>
              </w:rPr>
              <w:t>医院管理信息系统（HIS）</w:t>
            </w:r>
          </w:p>
        </w:tc>
        <w:tc>
          <w:tcPr>
            <w:tcW w:w="2410" w:type="dxa"/>
            <w:vMerge w:val="restart"/>
            <w:shd w:val="clear" w:color="auto" w:fill="auto"/>
            <w:vAlign w:val="center"/>
          </w:tcPr>
          <w:p>
            <w:pPr>
              <w:widowControl/>
              <w:spacing w:line="240" w:lineRule="auto"/>
              <w:jc w:val="center"/>
              <w:rPr>
                <w:rFonts w:cs="宋体"/>
                <w:b/>
                <w:bCs/>
                <w:color w:val="auto"/>
                <w:kern w:val="0"/>
                <w:sz w:val="22"/>
                <w:szCs w:val="22"/>
                <w:highlight w:val="yellow"/>
              </w:rPr>
            </w:pPr>
            <w:r>
              <w:rPr>
                <w:rFonts w:cs="Arial"/>
                <w:b/>
                <w:bCs/>
                <w:color w:val="auto"/>
                <w:kern w:val="0"/>
                <w:sz w:val="22"/>
                <w:szCs w:val="22"/>
              </w:rPr>
              <w:t>门诊管理</w:t>
            </w: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门急诊挂号收费系统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门急诊医生工作站</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门急诊护士工作站</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restart"/>
            <w:shd w:val="clear" w:color="auto" w:fill="auto"/>
            <w:vAlign w:val="center"/>
          </w:tcPr>
          <w:p>
            <w:pPr>
              <w:widowControl/>
              <w:spacing w:line="240" w:lineRule="auto"/>
              <w:jc w:val="center"/>
              <w:rPr>
                <w:rFonts w:cs="Arial"/>
                <w:b/>
                <w:bCs/>
                <w:color w:val="auto"/>
                <w:kern w:val="0"/>
                <w:sz w:val="22"/>
                <w:szCs w:val="22"/>
              </w:rPr>
            </w:pPr>
            <w:r>
              <w:rPr>
                <w:rFonts w:cs="Arial"/>
                <w:b/>
                <w:bCs/>
                <w:color w:val="auto"/>
                <w:kern w:val="0"/>
                <w:sz w:val="22"/>
                <w:szCs w:val="22"/>
              </w:rPr>
              <w:t>住院管理</w:t>
            </w: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住院登记收费系统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住院医生工作站</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住院护士工作站</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restart"/>
            <w:shd w:val="clear" w:color="auto" w:fill="auto"/>
            <w:vAlign w:val="center"/>
          </w:tcPr>
          <w:p>
            <w:pPr>
              <w:widowControl/>
              <w:spacing w:line="240" w:lineRule="auto"/>
              <w:jc w:val="center"/>
              <w:rPr>
                <w:rFonts w:cs="Arial"/>
                <w:b/>
                <w:bCs/>
                <w:color w:val="auto"/>
                <w:kern w:val="0"/>
                <w:sz w:val="22"/>
                <w:szCs w:val="22"/>
              </w:rPr>
            </w:pPr>
            <w:r>
              <w:rPr>
                <w:rFonts w:cs="Arial"/>
                <w:b/>
                <w:bCs/>
                <w:color w:val="auto"/>
                <w:kern w:val="0"/>
                <w:sz w:val="22"/>
                <w:szCs w:val="22"/>
              </w:rPr>
              <w:t>医技管理</w:t>
            </w: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医技计费管理系统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医技电子申请单系统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手术麻醉排台管理系统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restart"/>
            <w:shd w:val="clear" w:color="auto" w:fill="auto"/>
            <w:vAlign w:val="center"/>
          </w:tcPr>
          <w:p>
            <w:pPr>
              <w:widowControl/>
              <w:spacing w:line="240" w:lineRule="auto"/>
              <w:jc w:val="center"/>
              <w:rPr>
                <w:rFonts w:cs="Arial"/>
                <w:b/>
                <w:bCs/>
                <w:color w:val="auto"/>
                <w:kern w:val="0"/>
                <w:sz w:val="22"/>
                <w:szCs w:val="22"/>
              </w:rPr>
            </w:pPr>
            <w:r>
              <w:rPr>
                <w:rFonts w:cs="Arial"/>
                <w:b/>
                <w:bCs/>
                <w:color w:val="auto"/>
                <w:kern w:val="0"/>
                <w:sz w:val="22"/>
                <w:szCs w:val="22"/>
              </w:rPr>
              <w:t>药品管理</w:t>
            </w: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药库管理系统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门急诊药房管理系统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住院药房管理系统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shd w:val="clear" w:color="auto" w:fill="auto"/>
            <w:vAlign w:val="center"/>
          </w:tcPr>
          <w:p>
            <w:pPr>
              <w:widowControl/>
              <w:spacing w:line="240" w:lineRule="auto"/>
              <w:jc w:val="center"/>
              <w:rPr>
                <w:rFonts w:cs="Arial"/>
                <w:b/>
                <w:bCs/>
                <w:color w:val="auto"/>
                <w:kern w:val="0"/>
                <w:sz w:val="22"/>
                <w:szCs w:val="22"/>
              </w:rPr>
            </w:pPr>
            <w:r>
              <w:rPr>
                <w:rFonts w:cs="Arial"/>
                <w:b/>
                <w:bCs/>
                <w:color w:val="auto"/>
                <w:kern w:val="0"/>
                <w:sz w:val="22"/>
                <w:szCs w:val="22"/>
              </w:rPr>
              <w:t>数据利用</w:t>
            </w: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医院综合查询报表系统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restart"/>
            <w:shd w:val="clear" w:color="auto" w:fill="auto"/>
            <w:vAlign w:val="center"/>
          </w:tcPr>
          <w:p>
            <w:pPr>
              <w:widowControl/>
              <w:spacing w:line="240" w:lineRule="auto"/>
              <w:jc w:val="center"/>
              <w:rPr>
                <w:rFonts w:cs="Arial"/>
                <w:b/>
                <w:bCs/>
                <w:color w:val="auto"/>
                <w:kern w:val="0"/>
                <w:sz w:val="22"/>
                <w:szCs w:val="22"/>
              </w:rPr>
            </w:pPr>
            <w:r>
              <w:rPr>
                <w:rFonts w:hint="eastAsia" w:cs="Arial"/>
                <w:b/>
                <w:bCs/>
                <w:color w:val="auto"/>
                <w:kern w:val="0"/>
                <w:sz w:val="22"/>
                <w:szCs w:val="22"/>
              </w:rPr>
              <w:t>医疗物资耗材</w:t>
            </w:r>
          </w:p>
        </w:tc>
        <w:tc>
          <w:tcPr>
            <w:tcW w:w="3685" w:type="dxa"/>
            <w:shd w:val="clear" w:color="auto" w:fill="auto"/>
            <w:vAlign w:val="center"/>
          </w:tcPr>
          <w:p>
            <w:pPr>
              <w:widowControl/>
              <w:spacing w:line="240" w:lineRule="auto"/>
              <w:jc w:val="left"/>
              <w:rPr>
                <w:rFonts w:cs="Arial"/>
                <w:color w:val="auto"/>
                <w:kern w:val="0"/>
                <w:sz w:val="22"/>
                <w:szCs w:val="22"/>
              </w:rPr>
            </w:pPr>
            <w:r>
              <w:rPr>
                <w:rFonts w:hint="eastAsia" w:cs="Arial"/>
                <w:color w:val="auto"/>
                <w:kern w:val="0"/>
                <w:sz w:val="22"/>
                <w:szCs w:val="22"/>
              </w:rPr>
              <w:t>供应室管理系统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hint="eastAsia" w:cs="Arial"/>
                <w:b/>
                <w:bCs/>
                <w:color w:val="auto"/>
                <w:kern w:val="0"/>
                <w:sz w:val="22"/>
                <w:szCs w:val="22"/>
              </w:rPr>
            </w:pPr>
          </w:p>
        </w:tc>
        <w:tc>
          <w:tcPr>
            <w:tcW w:w="3685" w:type="dxa"/>
            <w:shd w:val="clear" w:color="auto" w:fill="auto"/>
            <w:vAlign w:val="center"/>
          </w:tcPr>
          <w:p>
            <w:pPr>
              <w:widowControl/>
              <w:spacing w:line="240" w:lineRule="auto"/>
              <w:jc w:val="left"/>
              <w:rPr>
                <w:rFonts w:hint="eastAsia" w:cs="Arial"/>
                <w:color w:val="auto"/>
                <w:kern w:val="0"/>
                <w:sz w:val="22"/>
                <w:szCs w:val="22"/>
              </w:rPr>
            </w:pPr>
            <w:r>
              <w:rPr>
                <w:rFonts w:hint="eastAsia" w:cs="Arial"/>
                <w:color w:val="auto"/>
                <w:kern w:val="0"/>
                <w:sz w:val="22"/>
                <w:szCs w:val="22"/>
              </w:rPr>
              <w:t>物资库房管理系统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restart"/>
            <w:shd w:val="clear" w:color="auto" w:fill="auto"/>
            <w:vAlign w:val="center"/>
          </w:tcPr>
          <w:p>
            <w:pPr>
              <w:widowControl/>
              <w:spacing w:line="240" w:lineRule="auto"/>
              <w:jc w:val="center"/>
              <w:rPr>
                <w:rFonts w:hint="eastAsia" w:cs="Arial"/>
                <w:b/>
                <w:bCs/>
                <w:color w:val="auto"/>
                <w:kern w:val="0"/>
                <w:sz w:val="22"/>
                <w:szCs w:val="22"/>
              </w:rPr>
            </w:pPr>
            <w:r>
              <w:rPr>
                <w:rFonts w:cs="Arial"/>
                <w:b/>
                <w:bCs/>
                <w:color w:val="auto"/>
                <w:kern w:val="0"/>
                <w:sz w:val="22"/>
                <w:szCs w:val="22"/>
              </w:rPr>
              <w:t>医疗管理</w:t>
            </w:r>
          </w:p>
        </w:tc>
        <w:tc>
          <w:tcPr>
            <w:tcW w:w="3685" w:type="dxa"/>
            <w:shd w:val="clear" w:color="auto" w:fill="auto"/>
            <w:vAlign w:val="center"/>
          </w:tcPr>
          <w:p>
            <w:pPr>
              <w:widowControl/>
              <w:spacing w:line="240" w:lineRule="auto"/>
              <w:jc w:val="left"/>
              <w:rPr>
                <w:rFonts w:hint="eastAsia" w:cs="Arial"/>
                <w:color w:val="auto"/>
                <w:kern w:val="0"/>
                <w:sz w:val="22"/>
                <w:szCs w:val="22"/>
              </w:rPr>
            </w:pPr>
            <w:r>
              <w:rPr>
                <w:rFonts w:hint="eastAsia" w:cs="宋体"/>
                <w:color w:val="auto"/>
                <w:kern w:val="0"/>
                <w:sz w:val="22"/>
                <w:szCs w:val="22"/>
              </w:rPr>
              <w:t>临床路径管理系统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Arial"/>
                <w:b/>
                <w:bCs/>
                <w:color w:val="auto"/>
                <w:kern w:val="0"/>
                <w:sz w:val="22"/>
                <w:szCs w:val="22"/>
              </w:rPr>
            </w:pPr>
          </w:p>
        </w:tc>
        <w:tc>
          <w:tcPr>
            <w:tcW w:w="3685" w:type="dxa"/>
            <w:shd w:val="clear" w:color="auto" w:fill="auto"/>
            <w:vAlign w:val="center"/>
          </w:tcPr>
          <w:p>
            <w:pPr>
              <w:widowControl/>
              <w:spacing w:line="240" w:lineRule="auto"/>
              <w:jc w:val="left"/>
              <w:rPr>
                <w:rFonts w:hint="eastAsia" w:cs="宋体"/>
                <w:color w:val="auto"/>
                <w:kern w:val="0"/>
                <w:sz w:val="22"/>
                <w:szCs w:val="22"/>
              </w:rPr>
            </w:pPr>
            <w:r>
              <w:rPr>
                <w:rFonts w:cs="Arial"/>
                <w:color w:val="auto"/>
                <w:kern w:val="0"/>
                <w:sz w:val="22"/>
                <w:szCs w:val="22"/>
              </w:rPr>
              <w:t>传染病上报管理系统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抗生素分级管理系统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不良事件上报</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vMerge w:val="continue"/>
            <w:shd w:val="clear" w:color="auto" w:fill="auto"/>
            <w:vAlign w:val="center"/>
          </w:tcPr>
          <w:p>
            <w:pPr>
              <w:widowControl/>
              <w:spacing w:line="240" w:lineRule="auto"/>
              <w:jc w:val="center"/>
              <w:rPr>
                <w:rFonts w:cs="Arial"/>
                <w:b/>
                <w:bCs/>
                <w:color w:val="auto"/>
                <w:kern w:val="0"/>
                <w:sz w:val="22"/>
                <w:szCs w:val="22"/>
              </w:rPr>
            </w:pP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手术分级管理系统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shd w:val="clear" w:color="auto" w:fill="auto"/>
            <w:vAlign w:val="center"/>
          </w:tcPr>
          <w:p>
            <w:pPr>
              <w:widowControl/>
              <w:spacing w:line="240" w:lineRule="auto"/>
              <w:jc w:val="center"/>
              <w:rPr>
                <w:rFonts w:cs="Arial"/>
                <w:b/>
                <w:bCs/>
                <w:color w:val="auto"/>
                <w:kern w:val="0"/>
                <w:sz w:val="22"/>
                <w:szCs w:val="22"/>
              </w:rPr>
            </w:pPr>
            <w:r>
              <w:rPr>
                <w:rFonts w:cs="Arial"/>
                <w:b/>
                <w:bCs/>
                <w:color w:val="auto"/>
                <w:kern w:val="0"/>
                <w:sz w:val="22"/>
                <w:szCs w:val="22"/>
              </w:rPr>
              <w:t>运维管理</w:t>
            </w:r>
          </w:p>
        </w:tc>
        <w:tc>
          <w:tcPr>
            <w:tcW w:w="3685" w:type="dxa"/>
            <w:shd w:val="clear" w:color="auto" w:fill="auto"/>
            <w:vAlign w:val="center"/>
          </w:tcPr>
          <w:p>
            <w:pPr>
              <w:widowControl/>
              <w:spacing w:line="240" w:lineRule="auto"/>
              <w:jc w:val="left"/>
              <w:rPr>
                <w:rFonts w:cs="Arial"/>
                <w:color w:val="auto"/>
                <w:kern w:val="0"/>
                <w:sz w:val="22"/>
                <w:szCs w:val="22"/>
              </w:rPr>
            </w:pPr>
            <w:r>
              <w:rPr>
                <w:rFonts w:cs="Arial"/>
                <w:color w:val="auto"/>
                <w:kern w:val="0"/>
                <w:sz w:val="22"/>
                <w:szCs w:val="22"/>
              </w:rPr>
              <w:t>运维管理系统</w:t>
            </w:r>
          </w:p>
        </w:tc>
        <w:tc>
          <w:tcPr>
            <w:tcW w:w="992" w:type="dxa"/>
            <w:vAlign w:val="center"/>
          </w:tcPr>
          <w:p>
            <w:pPr>
              <w:widowControl/>
              <w:spacing w:line="240" w:lineRule="auto"/>
              <w:jc w:val="center"/>
              <w:rPr>
                <w:rFonts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0" w:type="dxa"/>
            <w:vMerge w:val="continue"/>
            <w:vAlign w:val="center"/>
          </w:tcPr>
          <w:p>
            <w:pPr>
              <w:widowControl/>
              <w:spacing w:line="240" w:lineRule="auto"/>
              <w:jc w:val="left"/>
              <w:rPr>
                <w:rFonts w:cs="Arial"/>
                <w:b/>
                <w:bCs/>
                <w:color w:val="auto"/>
                <w:kern w:val="0"/>
                <w:sz w:val="22"/>
                <w:szCs w:val="22"/>
              </w:rPr>
            </w:pPr>
          </w:p>
        </w:tc>
        <w:tc>
          <w:tcPr>
            <w:tcW w:w="2410" w:type="dxa"/>
            <w:shd w:val="clear" w:color="auto" w:fill="auto"/>
            <w:vAlign w:val="center"/>
          </w:tcPr>
          <w:p>
            <w:pPr>
              <w:widowControl/>
              <w:spacing w:line="240" w:lineRule="auto"/>
              <w:jc w:val="center"/>
              <w:rPr>
                <w:rFonts w:cs="Arial"/>
                <w:b/>
                <w:bCs/>
                <w:color w:val="auto"/>
                <w:kern w:val="0"/>
                <w:sz w:val="22"/>
                <w:szCs w:val="22"/>
              </w:rPr>
            </w:pPr>
            <w:r>
              <w:rPr>
                <w:rFonts w:hint="eastAsia" w:cs="Arial"/>
                <w:b/>
                <w:bCs/>
                <w:color w:val="auto"/>
                <w:kern w:val="0"/>
                <w:sz w:val="22"/>
                <w:szCs w:val="22"/>
              </w:rPr>
              <w:t>外部接口</w:t>
            </w:r>
          </w:p>
        </w:tc>
        <w:tc>
          <w:tcPr>
            <w:tcW w:w="3685" w:type="dxa"/>
            <w:shd w:val="clear" w:color="auto" w:fill="auto"/>
            <w:vAlign w:val="center"/>
          </w:tcPr>
          <w:p>
            <w:pPr>
              <w:widowControl/>
              <w:spacing w:line="240" w:lineRule="auto"/>
              <w:jc w:val="left"/>
              <w:rPr>
                <w:rFonts w:cs="Arial"/>
                <w:color w:val="auto"/>
                <w:kern w:val="0"/>
                <w:sz w:val="22"/>
                <w:szCs w:val="22"/>
              </w:rPr>
            </w:pPr>
            <w:r>
              <w:rPr>
                <w:rFonts w:hint="eastAsia" w:cs="Arial"/>
                <w:color w:val="auto"/>
                <w:kern w:val="0"/>
                <w:sz w:val="22"/>
                <w:szCs w:val="22"/>
              </w:rPr>
              <w:t>医保、LIS、PACS接口</w:t>
            </w:r>
          </w:p>
        </w:tc>
        <w:tc>
          <w:tcPr>
            <w:tcW w:w="992" w:type="dxa"/>
            <w:vAlign w:val="center"/>
          </w:tcPr>
          <w:p>
            <w:pPr>
              <w:widowControl/>
              <w:spacing w:line="240" w:lineRule="auto"/>
              <w:jc w:val="center"/>
              <w:rPr>
                <w:rFonts w:cs="宋体"/>
                <w:color w:val="auto"/>
                <w:kern w:val="0"/>
                <w:sz w:val="22"/>
                <w:szCs w:val="22"/>
              </w:rPr>
            </w:pPr>
          </w:p>
        </w:tc>
      </w:tr>
    </w:tbl>
    <w:p>
      <w:pPr>
        <w:pStyle w:val="4"/>
        <w:pageBreakBefore w:val="0"/>
        <w:widowControl w:val="0"/>
        <w:numPr>
          <w:ilvl w:val="1"/>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2.2</w:t>
      </w:r>
      <w:r>
        <w:rPr>
          <w:rFonts w:hint="eastAsia" w:ascii="宋体" w:hAnsi="宋体" w:eastAsia="宋体" w:cs="宋体"/>
          <w:color w:val="auto"/>
          <w:sz w:val="28"/>
          <w:szCs w:val="28"/>
        </w:rPr>
        <w:t>结构化电子病历系统（EMR）</w:t>
      </w:r>
    </w:p>
    <w:p>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bookmarkStart w:id="195" w:name="_Toc10106878"/>
      <w:r>
        <w:rPr>
          <w:rFonts w:hint="eastAsia" w:ascii="宋体" w:hAnsi="宋体" w:eastAsia="宋体" w:cs="宋体"/>
          <w:color w:val="auto"/>
          <w:sz w:val="24"/>
          <w:szCs w:val="24"/>
          <w:lang w:val="en-US" w:eastAsia="zh-CN"/>
        </w:rPr>
        <w:t xml:space="preserve">2.2.1 </w:t>
      </w:r>
      <w:r>
        <w:rPr>
          <w:rFonts w:hint="eastAsia" w:ascii="宋体" w:hAnsi="宋体" w:eastAsia="宋体" w:cs="宋体"/>
          <w:color w:val="auto"/>
          <w:sz w:val="24"/>
          <w:szCs w:val="24"/>
        </w:rPr>
        <w:t>门诊医生病历系统</w:t>
      </w:r>
      <w:bookmarkEnd w:id="195"/>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门诊电子病历系统主要是提供门诊医生病历的书写，实现病历无纸化管理。同时也为医院质量管理部门提供宝贵的质控数据，提高医院医疗质量。要求如下：</w:t>
      </w:r>
    </w:p>
    <w:p>
      <w:pPr>
        <w:pageBreakBefore w:val="0"/>
        <w:widowControl w:val="0"/>
        <w:numPr>
          <w:ilvl w:val="0"/>
          <w:numId w:val="5"/>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要求支持门诊病历书写，病历书写符合卫生部下发的《电子病历系统功能规范》的要求。</w:t>
      </w:r>
    </w:p>
    <w:p>
      <w:pPr>
        <w:pageBreakBefore w:val="0"/>
        <w:widowControl w:val="0"/>
        <w:numPr>
          <w:ilvl w:val="0"/>
          <w:numId w:val="5"/>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要求支持专科模板的定制，要求可以根据不同的使用科室灵活定制电子病历模板。</w:t>
      </w:r>
    </w:p>
    <w:p>
      <w:pPr>
        <w:pageBreakBefore w:val="0"/>
        <w:widowControl w:val="0"/>
        <w:numPr>
          <w:ilvl w:val="0"/>
          <w:numId w:val="5"/>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具有专业电子病历编辑器，编辑界面可达到所见即所得的效果，电子病历模板支持专科要求模板编辑器进行量身定制。</w:t>
      </w:r>
    </w:p>
    <w:p>
      <w:pPr>
        <w:pageBreakBefore w:val="0"/>
        <w:widowControl w:val="0"/>
        <w:numPr>
          <w:ilvl w:val="0"/>
          <w:numId w:val="5"/>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要求支持所见即所得的痕迹保留技术，支持三级医生检诊制。</w:t>
      </w:r>
    </w:p>
    <w:p>
      <w:pPr>
        <w:pageBreakBefore w:val="0"/>
        <w:widowControl w:val="0"/>
        <w:numPr>
          <w:ilvl w:val="0"/>
          <w:numId w:val="5"/>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要求支持医生维护个人模板和科室模板，方便医生病历书写。</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要求支持病历质量监控，可生成病历质控报表，便于质控分析。</w:t>
      </w:r>
    </w:p>
    <w:p>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bookmarkStart w:id="196" w:name="_Toc10106880"/>
      <w:r>
        <w:rPr>
          <w:rFonts w:hint="eastAsia" w:ascii="宋体" w:hAnsi="宋体" w:eastAsia="宋体" w:cs="宋体"/>
          <w:color w:val="auto"/>
          <w:sz w:val="28"/>
          <w:szCs w:val="28"/>
          <w:lang w:val="en-US" w:eastAsia="zh-CN"/>
        </w:rPr>
        <w:t xml:space="preserve">2.2.2 </w:t>
      </w:r>
      <w:r>
        <w:rPr>
          <w:rFonts w:hint="eastAsia" w:ascii="宋体" w:hAnsi="宋体" w:eastAsia="宋体" w:cs="宋体"/>
          <w:color w:val="auto"/>
          <w:sz w:val="28"/>
          <w:szCs w:val="28"/>
        </w:rPr>
        <w:t>住院医生病历系统</w:t>
      </w:r>
      <w:bookmarkEnd w:id="196"/>
    </w:p>
    <w:p>
      <w:pPr>
        <w:pageBreakBefore w:val="0"/>
        <w:widowControl w:val="0"/>
        <w:numPr>
          <w:ilvl w:val="0"/>
          <w:numId w:val="0"/>
        </w:numPr>
        <w:kinsoku/>
        <w:wordWrap/>
        <w:overflowPunct/>
        <w:topLinePunct w:val="0"/>
        <w:autoSpaceDE/>
        <w:autoSpaceDN/>
        <w:bidi w:val="0"/>
        <w:adjustRightInd/>
        <w:snapToGrid/>
        <w:spacing w:line="440" w:lineRule="exact"/>
        <w:ind w:left="48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照卫计委及地方卫生主管部门《病历书写规范》的要求，提供完整及规范的电子病历系统，覆盖本院各种医学文档的内容。用于协助医务人员方便快速地处理在医疗活动过程中形成的文字、符号、图表、影像等资料，需具备以下功能：</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文书范围主要包括：住院病案首页、首次病程、病程记录、出院小结、住院记录、体温单、医嘱单、化验单（检验报告）、医学影像检查资料、麻醉记录单、手术以及手术护理记录单、病理资料、护理记录、出院记录（或死亡记录）、病程记录（含抢救记录）、疑难病例讨论记录、会诊意见、上级医生查房记录、死亡病例讨论记录等</w:t>
      </w:r>
      <w:r>
        <w:rPr>
          <w:rFonts w:hint="eastAsia" w:ascii="宋体" w:hAnsi="宋体" w:cs="宋体"/>
          <w:color w:val="auto"/>
          <w:kern w:val="2"/>
          <w:sz w:val="24"/>
          <w:szCs w:val="24"/>
          <w:lang w:val="en-US" w:eastAsia="zh-CN" w:bidi="ar-SA"/>
        </w:rPr>
        <w:t>；</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能支持三级检诊，医生按照等级，具有不同的书写、修改权限，对于下级医生病历的修改，保留所见即所得的痕迹；</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须具有专用电子病历编辑器，编辑界面应达到所见即所得的效果</w:t>
      </w:r>
      <w:r>
        <w:rPr>
          <w:rFonts w:hint="eastAsia" w:ascii="宋体" w:hAnsi="宋体" w:cs="宋体"/>
          <w:color w:val="auto"/>
          <w:kern w:val="2"/>
          <w:sz w:val="24"/>
          <w:szCs w:val="24"/>
          <w:lang w:val="en-US" w:eastAsia="zh-CN" w:bidi="ar-SA"/>
        </w:rPr>
        <w:t>；</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病历书写与自由语言描述在同一界面下完成</w:t>
      </w:r>
      <w:r>
        <w:rPr>
          <w:rFonts w:hint="eastAsia" w:ascii="宋体" w:hAnsi="宋体" w:cs="宋体"/>
          <w:color w:val="auto"/>
          <w:kern w:val="2"/>
          <w:sz w:val="24"/>
          <w:szCs w:val="24"/>
          <w:lang w:val="en-US" w:eastAsia="zh-CN" w:bidi="ar-SA"/>
        </w:rPr>
        <w:t>；</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实现知识库、医学术语等内容自定义动态的插入病历文书中</w:t>
      </w:r>
      <w:r>
        <w:rPr>
          <w:rFonts w:hint="eastAsia" w:ascii="宋体" w:hAnsi="宋体" w:cs="宋体"/>
          <w:color w:val="auto"/>
          <w:kern w:val="2"/>
          <w:sz w:val="24"/>
          <w:szCs w:val="24"/>
          <w:lang w:val="en-US" w:eastAsia="zh-CN" w:bidi="ar-SA"/>
        </w:rPr>
        <w:t>；</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能将检验、检查数据插入到病历当中的任意位置</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支持用户自定义数据元和术语选项的电子病历录入</w:t>
      </w:r>
      <w:r>
        <w:rPr>
          <w:rFonts w:hint="eastAsia" w:ascii="宋体" w:hAnsi="宋体" w:cs="宋体"/>
          <w:color w:val="auto"/>
          <w:kern w:val="2"/>
          <w:sz w:val="24"/>
          <w:szCs w:val="24"/>
          <w:lang w:val="en-US" w:eastAsia="zh-CN" w:bidi="ar-SA"/>
        </w:rPr>
        <w:t>；</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具备图文并茂编辑、图形图像标注功能。</w:t>
      </w:r>
    </w:p>
    <w:p>
      <w:pPr>
        <w:pStyle w:val="5"/>
        <w:spacing w:line="360" w:lineRule="auto"/>
        <w:rPr>
          <w:rFonts w:hint="eastAsia" w:ascii="宋体" w:hAnsi="宋体" w:eastAsia="宋体" w:cs="宋体"/>
          <w:color w:val="auto"/>
          <w:sz w:val="28"/>
          <w:szCs w:val="28"/>
        </w:rPr>
      </w:pPr>
      <w:bookmarkStart w:id="197" w:name="_Toc10106881"/>
      <w:r>
        <w:rPr>
          <w:rFonts w:hint="eastAsia" w:ascii="宋体" w:hAnsi="宋体" w:eastAsia="宋体" w:cs="宋体"/>
          <w:color w:val="auto"/>
          <w:sz w:val="28"/>
          <w:szCs w:val="28"/>
          <w:lang w:val="en-US" w:eastAsia="zh-CN"/>
        </w:rPr>
        <w:t xml:space="preserve">2.2.3 </w:t>
      </w:r>
      <w:r>
        <w:rPr>
          <w:rFonts w:hint="eastAsia" w:ascii="宋体" w:hAnsi="宋体" w:eastAsia="宋体" w:cs="宋体"/>
          <w:color w:val="auto"/>
          <w:sz w:val="28"/>
          <w:szCs w:val="28"/>
        </w:rPr>
        <w:t>临床护理病历系统</w:t>
      </w:r>
      <w:bookmarkEnd w:id="197"/>
    </w:p>
    <w:p>
      <w:pPr>
        <w:pageBreakBefore w:val="0"/>
        <w:widowControl w:val="0"/>
        <w:numPr>
          <w:ilvl w:val="0"/>
          <w:numId w:val="0"/>
        </w:numPr>
        <w:kinsoku/>
        <w:wordWrap/>
        <w:overflowPunct/>
        <w:topLinePunct w:val="0"/>
        <w:autoSpaceDE/>
        <w:autoSpaceDN/>
        <w:bidi w:val="0"/>
        <w:adjustRightInd/>
        <w:snapToGrid/>
        <w:spacing w:line="440" w:lineRule="exact"/>
        <w:ind w:left="480" w:leftChars="0" w:firstLine="480" w:firstLineChars="200"/>
        <w:textAlignment w:val="auto"/>
        <w:rPr>
          <w:rFonts w:hint="eastAsia" w:ascii="宋体" w:hAnsi="宋体" w:eastAsia="宋体" w:cs="宋体"/>
          <w:color w:val="auto"/>
          <w:kern w:val="2"/>
          <w:sz w:val="24"/>
          <w:szCs w:val="24"/>
          <w:lang w:val="en-US" w:eastAsia="zh-CN" w:bidi="ar-SA"/>
        </w:rPr>
      </w:pPr>
      <w:bookmarkStart w:id="198" w:name="_Toc392249080"/>
      <w:bookmarkStart w:id="199" w:name="_Toc379527845"/>
      <w:r>
        <w:rPr>
          <w:rFonts w:hint="eastAsia" w:ascii="宋体" w:hAnsi="宋体" w:eastAsia="宋体" w:cs="宋体"/>
          <w:color w:val="auto"/>
          <w:kern w:val="2"/>
          <w:sz w:val="24"/>
          <w:szCs w:val="24"/>
          <w:lang w:val="en-US" w:eastAsia="zh-CN" w:bidi="ar-SA"/>
        </w:rPr>
        <w:t>协助护理人员对患者的病情观察和实施护理措施的原始记载，包括病人医嘱校对、护理医嘱录入与管理、体温单、医嘱单、护理入院录、首次护程录、一般患者护理记录、特殊患者护理记录等项目，并能够根据相应记录生成各类图表。具体要求如下：</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具备查阅病人的住院医生书写的病史资料。</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具备对入院护理评估单、护理记录单、护理计划单、重危病人的监护和特护记录单等护理表单内容的书写。</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具备个性化定制各类护理表单。</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具备描绘或者填写住院病人的体温单。</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具备对护理表单及体温单的打印和连续打印。</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具备护士书写辅助录入功能，方便护士书写病历。</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具备对护理病历质量进行提示。</w:t>
      </w:r>
    </w:p>
    <w:p>
      <w:pPr>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系统具有科室交接班记录，提供病区病床登记、病区床态图、病人住、入院变动情况等功能。</w:t>
      </w:r>
      <w:bookmarkEnd w:id="198"/>
      <w:bookmarkEnd w:id="199"/>
    </w:p>
    <w:p>
      <w:pPr>
        <w:pStyle w:val="5"/>
        <w:spacing w:line="360" w:lineRule="auto"/>
        <w:rPr>
          <w:rFonts w:hint="eastAsia" w:ascii="宋体" w:hAnsi="宋体" w:eastAsia="宋体" w:cs="宋体"/>
          <w:color w:val="auto"/>
          <w:sz w:val="28"/>
          <w:szCs w:val="28"/>
        </w:rPr>
      </w:pPr>
      <w:bookmarkStart w:id="200" w:name="_Toc10106882"/>
      <w:r>
        <w:rPr>
          <w:rFonts w:hint="eastAsia" w:ascii="宋体" w:hAnsi="宋体" w:eastAsia="宋体" w:cs="宋体"/>
          <w:color w:val="auto"/>
          <w:sz w:val="28"/>
          <w:szCs w:val="28"/>
          <w:lang w:val="en-US" w:eastAsia="zh-CN"/>
        </w:rPr>
        <w:t xml:space="preserve">2.2.4 </w:t>
      </w:r>
      <w:r>
        <w:rPr>
          <w:rFonts w:hint="eastAsia" w:ascii="宋体" w:hAnsi="宋体" w:eastAsia="宋体" w:cs="宋体"/>
          <w:color w:val="auto"/>
          <w:sz w:val="28"/>
          <w:szCs w:val="28"/>
        </w:rPr>
        <w:t>病案管理系统</w:t>
      </w:r>
      <w:bookmarkEnd w:id="200"/>
    </w:p>
    <w:p>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要求实现病案编码管理、流通功能、纸质病历管理实现病历失踪闭环系统。病案管理与流通是电子病历系统的重要组成部分，是电子病案室的重要管理窗口，也是以电子病历对病人服务的管理窗口。病案系统还承担了首页校对和统计查询综合报表的功能。病案关联系统可管理上传图片病历，纸质病历催缴、签收真正实现纸质病历与电子病历结合的综合管理系统</w:t>
      </w:r>
      <w:r>
        <w:rPr>
          <w:rFonts w:hint="eastAsia" w:ascii="宋体" w:hAnsi="宋体" w:eastAsia="宋体" w:cs="宋体"/>
          <w:color w:val="auto"/>
          <w:sz w:val="24"/>
          <w:szCs w:val="24"/>
          <w:lang w:val="en-US" w:eastAsia="zh-CN"/>
        </w:rPr>
        <w:t>。</w:t>
      </w:r>
    </w:p>
    <w:p>
      <w:pPr>
        <w:pStyle w:val="5"/>
        <w:spacing w:line="360" w:lineRule="auto"/>
        <w:rPr>
          <w:rFonts w:hint="eastAsia" w:ascii="宋体" w:hAnsi="宋体" w:eastAsia="宋体" w:cs="宋体"/>
          <w:color w:val="auto"/>
          <w:sz w:val="28"/>
          <w:szCs w:val="28"/>
          <w:lang w:val="en-US" w:eastAsia="zh-CN"/>
        </w:rPr>
      </w:pPr>
      <w:bookmarkStart w:id="201" w:name="_Toc10106883"/>
      <w:r>
        <w:rPr>
          <w:rFonts w:hint="eastAsia" w:ascii="宋体" w:hAnsi="宋体" w:eastAsia="宋体" w:cs="宋体"/>
          <w:color w:val="auto"/>
          <w:sz w:val="28"/>
          <w:szCs w:val="28"/>
          <w:lang w:val="en-US" w:eastAsia="zh-CN"/>
        </w:rPr>
        <w:t>2.2.5 临床病历质控系统</w:t>
      </w:r>
      <w:bookmarkEnd w:id="201"/>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病历质控系统要求涵盖医生质控、科室质控、质控科质控等，形成从医生到科室质控员、从科室质控员到质控科质控员的完整三级质控体系，支持时限质控、环节内容质控、拷贝控制、智能判断、自动评分、回退管理、整改反馈、科室评分、终末评分、重点病人关注、终末指标管理、首页综合查询统计等功能。</w:t>
      </w:r>
    </w:p>
    <w:p>
      <w:pPr>
        <w:pStyle w:val="5"/>
        <w:spacing w:line="360" w:lineRule="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2.2.6 </w:t>
      </w:r>
      <w:r>
        <w:rPr>
          <w:rFonts w:hint="eastAsia" w:ascii="宋体" w:hAnsi="宋体" w:eastAsia="宋体" w:cs="宋体"/>
          <w:color w:val="auto"/>
          <w:sz w:val="28"/>
          <w:szCs w:val="28"/>
          <w:lang w:val="en-US" w:eastAsia="zh-CN"/>
        </w:rPr>
        <w:t>HQMS上报系统</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HQMS是卫健委医政医管司开展的医疗服务监管信息网络直报工作。HQMS医院质量监测系统,是综合运用计算机软件与网络技术，对医院内所发生的各种医疗过程信息尤其是医疗质量数据信息进行审核，使之符合卫健委上报标准，从而使医院方便快捷地完成数据上报。通过与发布的标准进行上传配置，在实现数据上报前对首页数据进行校对，有错误的由系统生日日志，可追踪错误的内容，及时反馈给医生进行整改，按照分配的上报时间，实现自动定时的上报，减少人工操作。</w:t>
      </w:r>
    </w:p>
    <w:p>
      <w:pPr>
        <w:pStyle w:val="5"/>
        <w:spacing w:line="360" w:lineRule="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2.2.7 </w:t>
      </w:r>
      <w:r>
        <w:rPr>
          <w:rFonts w:hint="eastAsia" w:ascii="宋体" w:hAnsi="宋体" w:eastAsia="宋体" w:cs="宋体"/>
          <w:color w:val="auto"/>
          <w:sz w:val="28"/>
          <w:szCs w:val="28"/>
          <w:lang w:val="en-US" w:eastAsia="zh-CN"/>
        </w:rPr>
        <w:t>病历模版编辑器</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要求提供结构化模版编辑器，支持符合结构化模版编辑特点的可视化结构化编辑功能，管理人员可对结构化病历中的节点进行各项特性的配置。具体要求如下：</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支持按照卫生部《电子病历基本架构与数据标准》要求的标准数据元库，数据元管理符合数据组分组要求，可在标准数据元基础上进行扩展。</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具有统一的字典管理功能，标准数据元值域代码维护功能，使医院数据形成统一标准。</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具备模版导入导出功能，已经编辑好的模版可进行导出备份。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模版维护可按照病种、科室分类，方便专科结构化模版制作管理。</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具有片段维护功能，可维护标准化结构化片段。</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结构化信息节点编辑提供单选、多选、有无选、操作控制等编辑功能，支持医生快速录入。</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可对信息节点字典选项按照不同病种进行分发，既能够字典统一，又能够方便医生选择。</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提供可视化快速信息节点插入功能，支持模版快速结构化。</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提供信息节点关联标准片段编辑功能，可通过快捷方式选择片段。</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提供选择项关联片段编辑功能。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提供科室病种维护功能，为建立按病种分类的标准化模版提供支持。</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提供特殊的结构化编辑功能，满足手术等结构化数据共享首页的需求。</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提供信息同步的控制功能，在不需要自动同步的地方信息不会自动同步。</w:t>
      </w:r>
    </w:p>
    <w:p>
      <w:pPr>
        <w:pStyle w:val="5"/>
        <w:spacing w:line="360" w:lineRule="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2.2.8 </w:t>
      </w:r>
      <w:r>
        <w:rPr>
          <w:rFonts w:hint="eastAsia" w:ascii="宋体" w:hAnsi="宋体" w:eastAsia="宋体" w:cs="宋体"/>
          <w:color w:val="auto"/>
          <w:sz w:val="28"/>
          <w:szCs w:val="28"/>
          <w:lang w:val="en-US" w:eastAsia="zh-CN"/>
        </w:rPr>
        <w:t>运维管理配置系统</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运维管理配置系统就是管理工作站,主要内容要求包括模板管理、报表管理、医嘱配置，护理统计配置，特殊病历配置、门诊处方配置、用户管理、批量录入配置、数据库管理、病历独占监控、检查检验接口配置等内容。</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用户管理</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电子病历运维管理系统的用户，系统安装配置后直接同步HIS用户，个别未同步的用户可指定同步用户，同时电子病历也应支持自己添加的用户。</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系统参数设置</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系统参数配置涵盖系统方方面面的设置，最大限度的满足医院的个性化需求。</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菜单权限管理</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菜单配置管理管理不同系统，不同用户需要哪些菜单、屏蔽哪些菜单，添加哪些固定菜单。</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数据库连接配置</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实现数据库连接配置：用来切换电子病历数据库，HIS数据库，临床路径数据库。如原先应用层连接的是A数据库，现在要切换到B数据库，即可在应用层登陆管理工作站，切换连接的库。</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外部数据接入</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实现对外部系统的数据引用的配置，如医生站新建病历时引用血库里的内容。</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日志审计</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可以对用户的各种操作进行查询，导出，以便后面方便查询。</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服务器监测</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系统常会用到一些外围的服务与程序，这些服务与程序有时会因为某种原因而停止，影响我们系统工作。实现监测功能，在登录医生工作站时可检测这些服务或程序是否打开，若停止，则打开。</w:t>
      </w:r>
    </w:p>
    <w:p>
      <w:pPr>
        <w:keepNext/>
        <w:keepLines/>
        <w:numPr>
          <w:ilvl w:val="0"/>
          <w:numId w:val="0"/>
        </w:numPr>
        <w:spacing w:before="260" w:after="260" w:line="416" w:lineRule="auto"/>
        <w:outlineLvl w:val="1"/>
        <w:rPr>
          <w:rFonts w:ascii="Times New Roman" w:hAnsi="Times New Roman" w:eastAsia="黑体"/>
          <w:b/>
          <w:bCs/>
          <w:color w:val="auto"/>
          <w:sz w:val="30"/>
          <w:szCs w:val="32"/>
        </w:rPr>
      </w:pPr>
      <w:bookmarkStart w:id="202" w:name="_Toc20751926"/>
      <w:bookmarkStart w:id="203" w:name="_Toc20751789"/>
      <w:r>
        <w:rPr>
          <w:rFonts w:hint="eastAsia" w:ascii="Times New Roman" w:hAnsi="Times New Roman" w:eastAsia="黑体"/>
          <w:b/>
          <w:bCs/>
          <w:color w:val="auto"/>
          <w:sz w:val="30"/>
          <w:szCs w:val="32"/>
          <w:lang w:val="en-US" w:eastAsia="zh-CN"/>
        </w:rPr>
        <w:t>2.3</w:t>
      </w:r>
      <w:r>
        <w:rPr>
          <w:rFonts w:hint="eastAsia" w:ascii="Times New Roman" w:hAnsi="Times New Roman" w:eastAsia="黑体"/>
          <w:b/>
          <w:bCs/>
          <w:color w:val="auto"/>
          <w:sz w:val="30"/>
          <w:szCs w:val="32"/>
        </w:rPr>
        <w:t>医院管理信息系统（</w:t>
      </w:r>
      <w:r>
        <w:rPr>
          <w:rFonts w:ascii="Times New Roman" w:hAnsi="Times New Roman" w:eastAsia="黑体"/>
          <w:b/>
          <w:bCs/>
          <w:color w:val="auto"/>
          <w:sz w:val="30"/>
          <w:szCs w:val="32"/>
        </w:rPr>
        <w:t>HIS</w:t>
      </w:r>
      <w:r>
        <w:rPr>
          <w:rFonts w:hint="eastAsia" w:ascii="Times New Roman" w:hAnsi="Times New Roman" w:eastAsia="黑体"/>
          <w:b/>
          <w:bCs/>
          <w:color w:val="auto"/>
          <w:sz w:val="30"/>
          <w:szCs w:val="32"/>
        </w:rPr>
        <w:t>）</w:t>
      </w:r>
      <w:bookmarkEnd w:id="202"/>
      <w:bookmarkEnd w:id="203"/>
    </w:p>
    <w:p>
      <w:pPr>
        <w:pStyle w:val="5"/>
        <w:rPr>
          <w:color w:val="auto"/>
        </w:rPr>
      </w:pPr>
      <w:r>
        <w:rPr>
          <w:rFonts w:hint="eastAsia"/>
          <w:color w:val="auto"/>
          <w:lang w:val="en-US" w:eastAsia="zh-CN"/>
        </w:rPr>
        <w:t>2.3.1</w:t>
      </w:r>
      <w:r>
        <w:rPr>
          <w:rFonts w:hint="eastAsia"/>
          <w:color w:val="auto"/>
        </w:rPr>
        <w:t>门诊管理</w:t>
      </w:r>
    </w:p>
    <w:p>
      <w:pPr>
        <w:pStyle w:val="6"/>
        <w:rPr>
          <w:color w:val="auto"/>
        </w:rPr>
      </w:pPr>
      <w:r>
        <w:rPr>
          <w:rFonts w:hint="eastAsia"/>
          <w:color w:val="auto"/>
          <w:lang w:val="en-US" w:eastAsia="zh-CN"/>
        </w:rPr>
        <w:t>2.3.1.1</w:t>
      </w:r>
      <w:r>
        <w:rPr>
          <w:rFonts w:hint="eastAsia"/>
          <w:color w:val="auto"/>
        </w:rPr>
        <w:t>门急诊挂号收费系统</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预约挂号可完成门诊病人基本信息的登记、修改和维护，完成门急诊病人的预约挂号工作，能对操作员的挂号发票进行完善的跟踪管理，操作员可以随时结帐，班组向财务交款前执行班组结帐，财务按操作员结账单和班组的结帐单做帐，按结帐单形成门诊财务收入报表。</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收费功能通过划卡（同时支持手工输入）调出病人的电子处方（同时支持手工录入处方），划价收费，依据病人身份（医保、自费、公疗等）进行费用结算，收取部分或全部自费费用金额，打印收据及病人费用清单，已收费的处方或申请单传送到医生站、门诊药房、检查、检验等相应科室。要求具备以下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基础代码的设置，包括：环境参数、诊别、时间、科室名称及代号、挂号类别、专家名单、合同单位等名称。</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号表处理功能：号表建立、录入、修改和查询等功能。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挂号处理功能：</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1）支持医保、自费等多种身份的病人挂号；</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2）支持现金、刷卡等多种收费方式；</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3）支持窗口挂号、预约挂号功能。挂号员根据病人请求快速选择诊别、科室、号别、医生，生成挂号信息，打印挂号单，并产生就诊病人基本信息等功能；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退号处理功能：能完成病人退号，并正确处理病人看病日期、诊别、类别、号别以及应退费用和相关统计等。</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查询功能：能完成预约号、退号、病人、科室、医师的挂号状况、医师出诊时间、科室挂号现状等查询。</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门急诊挂号收费核算功能：能即时完成会计科目、收费项目和科室核算等。</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门急诊病人统计功能：能实现提供按科室、门诊工作量统计的功能。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能录入病人基本信息，并进入统一的病历数据库。</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基础代码：包括医院科室代码字典、医生人员字典、收费科目字典、药品名称、规格、收费类别、病人交费类别等有关字典。</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划价功能：支持划价收费一体化。</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收费处理功能：</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支持从系统中自动获取或直接录入患者收费信息：包括患者姓名、病历号、结算类别、医疗类别、临床诊断、医生编码，开处方科室名称、药品/诊疗项目名称、数量等收费有关信息，系统自动划价，输入所收费用，系统自动找零，支持手工收费和医保刷卡通过读卡收费；</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处理退款功能：必须按现行会计制度和有关规定严格管理退款过程，程序必须使用冲帐方式退款，保留操作全过程的记录。严格发票号管理，建立完善的发票登记系统，建议同时使用发票号和机器生成号管理发票；</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门急诊收费报销凭证打印功能：按财政和卫生行政部门规定格式打印报销凭证，要求打印并保留存根，计算机生成的凭证序号必须连续，不得出现重号。</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 xml:space="preserve">结算功能： </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1）日结功能：完成日收费员报帐汇总，完成日收费科目汇总，科目明细汇总，科室核算统计汇总；</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2）月结处理功能：完成全院月收费科目汇总，科室核算统计汇总；</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统计查询功能：</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1）患者费用查询；</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2）收费员工作量统计；</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3）病人基本信息维护；</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报表打印输出功能</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1）打印日汇总表：按收费贷方科目汇总和合计，以便收费员结帐。</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2）打印日收费明细表：按收费借方和贷方科目打印，以便会计进行日记帐。</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3）打印日收费存根：按收费凭证内容打印，以便会计存档。</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4）打印日科室核算表：包括诊疗科室和检查治疗科室工作量统计。</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支持门急诊现金支票、汇票支付管理。</w:t>
      </w:r>
    </w:p>
    <w:p>
      <w:pPr>
        <w:pStyle w:val="6"/>
        <w:rPr>
          <w:color w:val="auto"/>
        </w:rPr>
      </w:pPr>
      <w:bookmarkStart w:id="204" w:name="_Toc20751930"/>
      <w:r>
        <w:rPr>
          <w:rFonts w:hint="eastAsia"/>
          <w:color w:val="auto"/>
          <w:lang w:val="en-US" w:eastAsia="zh-CN"/>
        </w:rPr>
        <w:t>2.3.1.2门急诊医生工作站</w:t>
      </w:r>
      <w:bookmarkEnd w:id="204"/>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门急诊医生工作站要求支持医生处理门诊记录、检查、检验、诊断、处方、治疗处置、卫生材料、手术、收入院等诊疗活动。需具备以下功能：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自动获取或提供如病人基本信息：就诊卡号、病案号、姓名、性别、年龄、公费医保费用类别等。</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门诊处方录入：门诊病人的处方录入、修改、查看等工作。支持模版录入，支持与合理用药咨询软件内嵌接口，临床医生可随时查询临床用药信息，可自动进行处方配伍禁忌、不良反应、相互作用、剂量审核等相关合理用药审核。费用信息：项目名称、规格、价格、医保公费费用类别、数量等。</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能够限制医院一张处方所能开的药品品种数量。</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门诊草药处方：门诊草药处方录入、修改、查看等，支持模版录入。</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门诊处置单：支持治疗处置单录入，支持模版录入。</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检验申请单：填写检验申请，提交生成收费信息。支持自动生成相关卫生材料的关联费用。支持检验项目套餐组合，医生可设置个人常用项目清单。提供查看报告接口，在医生工作站应能查看相应检验结果。</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病理申请单：填写病理申请，提交生成收费信息。提供查看报告接口，在医生工作站应能查看相应病理检查结果及相关影像。</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门诊手术申请：填写手术申请，提交生成收费信息。</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工作日志：门诊医生可书写门诊工作日志。</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申请住院：门诊医生可填写住院申请单，并与住院处信息集成将申请信息发送到住院处。</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就诊管理：医生对病人就诊的诊毕、待诊等操作管理。</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传染病报告卡：医生可以进行门诊病人传染病报告卡填报。</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死亡报告卡：医生可以进行门诊病人死亡报告卡登记，对于特殊病人（如产妇、儿童等）可进行特殊信息填报。</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病人信息：显示就诊病人列表，查看病人基本信息，支持用条码等方式直接查询病人就诊记录。</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支持打印处方、申请单、指引单功能，处方打印能自动适应格式匹配（如：医保处方、毒麻处方、麻醉处方、精神类处方等）。</w:t>
      </w:r>
    </w:p>
    <w:p>
      <w:pPr>
        <w:pStyle w:val="6"/>
        <w:rPr>
          <w:color w:val="auto"/>
        </w:rPr>
      </w:pPr>
      <w:bookmarkStart w:id="205" w:name="_Toc20751931"/>
      <w:r>
        <w:rPr>
          <w:rFonts w:hint="eastAsia"/>
          <w:color w:val="auto"/>
          <w:lang w:val="en-US" w:eastAsia="zh-CN"/>
        </w:rPr>
        <w:t>2.3.1.3门急诊护士工作站</w:t>
      </w:r>
      <w:bookmarkEnd w:id="205"/>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门急诊护士工作站是协助门急诊护士对门急诊病人完成日常医疗工作的计算机应用程序。其主要支持护士处理医生下达的注射、治疗、换药、手术等工作，对注射治疗等执行情况及卫生材料、药品等进行管理。要求具备以下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支持病人皮试结果登记并划价计费功能；如皮试不通过，作废原处方不能发药，可处理病人分几天多次注射的情况。</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输液执行：确认需要执行的输液单，打印贴瓶单、输液卡；记录执行时间、执行人、皮试情况。</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120出诊登记、抢救登记及划价计费功能。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急诊留诊室观查病人管理功能。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护士排班功能。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统计查询及打印功能：包括注射人次、静脉、肌注人次及其他治疗人次等工作量统计。</w:t>
      </w:r>
    </w:p>
    <w:p>
      <w:pPr>
        <w:pStyle w:val="5"/>
        <w:rPr>
          <w:color w:val="auto"/>
        </w:rPr>
      </w:pPr>
      <w:bookmarkStart w:id="206" w:name="_Toc20751933"/>
      <w:r>
        <w:rPr>
          <w:rFonts w:hint="eastAsia"/>
          <w:color w:val="auto"/>
          <w:lang w:val="en-US" w:eastAsia="zh-CN"/>
        </w:rPr>
        <w:t>2.3.2住院管理</w:t>
      </w:r>
    </w:p>
    <w:p>
      <w:pPr>
        <w:pStyle w:val="6"/>
        <w:rPr>
          <w:color w:val="auto"/>
        </w:rPr>
      </w:pPr>
      <w:r>
        <w:rPr>
          <w:rFonts w:hint="eastAsia"/>
          <w:color w:val="auto"/>
          <w:lang w:val="en-US" w:eastAsia="zh-CN"/>
        </w:rPr>
        <w:t>2.3.2.1住院登记收费系统</w:t>
      </w:r>
      <w:bookmarkEnd w:id="206"/>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要求住院登记收费系统具备以下功能：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入院管理：</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1）预约入院登记；</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2）建病案首页；</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3）病案首页录入；</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4）打印病案首页；</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5）支持医保患者按医保规定程序办理入院登记；</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预交金管理：（要求支持现金、支票、银联卡）</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1）交纳预交金管理，打印预交金收据凭证；</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2）预交金日结并打印清单；</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3）按照不同方式统计预交金并打印清单；</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4）按照不同方式查询须交金并打印清单；</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住院病历管理功能：</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1）为首次住院病人建立住院病历；</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2）病历号维护功能；</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3）检索病历号；</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出院管理：</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1）出院登记；</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2）出院招回；</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3）出入院统计；</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查询统计：</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1）空床查询、统计：对各部门的空床信息进行查询统计，打印清单。</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2）病人查询：查询患者的住院信息、打印清单。</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床位管理功能：</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1）具有增加、删除、定义床位属性功能；</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2）处理病人选床、转床、转科功能；</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3）打印床位日报表；</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病人费用管理：</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1）读取医嘱并计算费用；</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2）病人费用录入：具有单项费用录入和全项费用录入功能选择，可以从检查、诊察、治疗、药房、病房费用发生处录入或集中费用单据由收费处录入；</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3）病人结帐：具备病人住院期间的结算和出院总结算，以及病人出院后再召回病人功能；</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4）住院病人预交金使用最低限额警告功能；</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5）病人费用查询：提供病人／家属查询自己的各种费用使用情况；</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6）病人欠费和退费管理功能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划价收费功能：包括对药品和诊疗项目自动划价收费</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住院财务管理：</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1）日结账：包括当日病人预交金、入院病人预交费、在院病人各项费用、出院病人结帐和退款等统计汇总；</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2）旬、月、季、年结帐：包括住院病人预交金、出院病人结帐等帐务处理；</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3）住院财务分析：应具有住院收费财务管理的月、季、年度和不同年、季、月度的收费经济分析评价功能；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住院收费科室工作量统计：</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1）月科室工作量统计：完成月科室、病房、药房、检查治疗科室工作量统计和费用汇总工作；</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2）年科室工作量统计：完成年度全院、科室、病房、药房、检查治疗科室工作量统计、费用汇总功能；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查询统计功能：包括药品、诊疗项目(名称、用量、使用者名称、单价等相关信息）查询、科室收入统计、患者住院信息查询、病人查询、结算查询和住院发票查询；</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支持旬报功能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打印输出功能：</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1）打印各种统计查询内容；</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2）打印病人报销凭证和住院费用清单：凭证格式必须符合财政和卫生行政部门的统一要求或承认的凭证格式和报销收费科目，符合会计制度的规定，住院费用清单需要满足有关部门的要求；</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3）打印日结帐汇总表；</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4）打印日结帐明细表；</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5）打印月、旬结帐报表；</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6）打印科室核算月统计报表；</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7）打印病人预交金清单；</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8）打印病人欠款清单；</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9）打印月、季、年收费统计报表；</w:t>
      </w:r>
    </w:p>
    <w:p>
      <w:pPr>
        <w:pStyle w:val="6"/>
        <w:rPr>
          <w:color w:val="auto"/>
        </w:rPr>
      </w:pPr>
      <w:bookmarkStart w:id="207" w:name="_Toc20751934"/>
      <w:r>
        <w:rPr>
          <w:rFonts w:hint="eastAsia"/>
          <w:color w:val="auto"/>
          <w:lang w:val="en-US" w:eastAsia="zh-CN"/>
        </w:rPr>
        <w:t>2.3.2.2住院医生工作站</w:t>
      </w:r>
      <w:bookmarkEnd w:id="207"/>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住院医生工作站是辅助医师处理诊断、处方、检查、检验、治疗处置、手术、护理、卫生材料以及转科、出院等信息，查询患者费用，查询药物、检查、检验、医保相关信息，具备以下功能：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自动获取或提供如下信息。</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1）医生主管范围内病人基本信息：姓名、性别、年龄、住院病历号、病区、床号、入院诊断、病情状态、护理等级、费用情况等。</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2）医生信息：科室、姓名、职称、诊疗时间等。</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3）费用信息：项目名称、规格、价格、医保费用类别、数量等。</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支持医生处理医嘱：检查、检验、处方、治疗处置、卫生材料、手术、护理、转科、出院等。检验医嘱须注明检体，检查医嘱须注明检查部位。</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提供医院、科室、医生常用临床项目字典，医嘱组套、模板及相应编辑功能。 </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提供处方的自动监测和咨询功能：药品剂量、药品相互作用、配伍禁忌、适应症等。</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提供长期和临时医嘱处理功能，包括医嘱的开立、停止和作废。</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支持医生查询相关资料：历次门诊、住院信息，检验捡查结果，并提供比较功能。提供医嘱执行情况、病床使用情况、处方、患者费用明细等查询。</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支持医生按照国际疾病分类标准下达诊断(入院、出院、术前、术后、转入、转出等）；支持疾病编码、拼音、汉字等多重检索。</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自动审核录入医嘱的完整性，提供对所有医嘱进行审核确认功能，根据确 认后的医嘱自动定时产生用药信息和医嘱执行单，记录医生姓名及时间，一经确认不得更改。</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所有医嘱均提供备注功能，医师可以输入相关注意事项。</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支持所有医嘱和申请单打印功能，符合有关医疗文件的格式要求，必须 提供医生、操作员签字栏，打印结果由处方医师签字生效。</w:t>
      </w:r>
    </w:p>
    <w:p>
      <w:pPr>
        <w:pStyle w:val="6"/>
        <w:rPr>
          <w:rFonts w:ascii="Times New Roman" w:hAnsi="Times New Roman"/>
          <w:color w:val="auto"/>
          <w:szCs w:val="32"/>
        </w:rPr>
      </w:pPr>
      <w:bookmarkStart w:id="208" w:name="_Toc20751935"/>
      <w:r>
        <w:rPr>
          <w:rFonts w:hint="eastAsia"/>
          <w:color w:val="auto"/>
          <w:lang w:val="en-US" w:eastAsia="zh-CN"/>
        </w:rPr>
        <w:t>2.3.2.3住院护士工作站</w:t>
      </w:r>
      <w:bookmarkEnd w:id="208"/>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住院护士工作站是协助病区护士对住院患者完成日常的护理工作的计算机应用程序。其主要任务是协助护士核对并处理医生下达的长期和临时医嘱，对医嘱执行情况进行管理，同时协助护士完成护理及病区床位管理等日常工作，要求具备以下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床位管理</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1）病区床位使用情况一览表(显示床号、病历号、姓名、性别、年龄、诊断、病情、护理等级、陪护、饮食情况）。</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2）病区一次性卫生材料消耗量查询，卫生材料申请单打印。</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医嘱处理</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1）审核医嘱(新开立、停止、作费），查询、打印病区医嘱审核处理情况。</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2）记录病人生命体征及相关项目。</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3）打印长期及临时医嘱单（具备续打功能），重整长期医嘱。</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4）打印、查询病区对药单（领药单），支持对药单分类维护。</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5）打印、查询病区长期、临时医嘱治疗单（口服、注射、输液、辅治疗等），支持治疗单分类维护。打印、查询输液记录卡及瓶签。</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护理管理：护理记录、护理计划、护理评价单、护士排班、护理质量控制。</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费用管理</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1）护士站收费（一次性材料、治疗费等），具备模板功能。</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2）停止及作废医嘱退费申请。 </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3）病区（病人）迟费情况一览表。</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4）住院费用清单（含每日费用清单）查询打印。</w:t>
      </w:r>
    </w:p>
    <w:p>
      <w:pPr>
        <w:pStyle w:val="5"/>
        <w:rPr>
          <w:color w:val="auto"/>
        </w:rPr>
      </w:pPr>
      <w:bookmarkStart w:id="209" w:name="_Toc20751937"/>
      <w:r>
        <w:rPr>
          <w:rFonts w:hint="eastAsia"/>
          <w:color w:val="auto"/>
          <w:lang w:val="en-US" w:eastAsia="zh-CN"/>
        </w:rPr>
        <w:t>2.3.3医技管理</w:t>
      </w:r>
    </w:p>
    <w:p>
      <w:pPr>
        <w:pStyle w:val="6"/>
        <w:rPr>
          <w:color w:val="auto"/>
        </w:rPr>
      </w:pPr>
      <w:r>
        <w:rPr>
          <w:rFonts w:hint="eastAsia"/>
          <w:color w:val="auto"/>
          <w:lang w:val="en-US" w:eastAsia="zh-CN"/>
        </w:rPr>
        <w:t>2.3.3.1医技计费管理系统</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支持为门诊、住院检验科、门诊治疗室及其所属各组检查功能科室、治疗、理疗室等科室提供申请单、费用管理等，需具备以下功能：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能接收医生站的各种功能单据（或自己补开功能单据），进行扣费与结果登记；</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支持在授权下的单据价格修改和非挂号情况下的检验、检查等单据制作与扣费；</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可代理挂号；</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可进行台帐查询与工作量统计；摄片登记及借阅管理功能；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支持接收医生站的手术申请并根据手术申请进行麻醉安排、手术排台、排台信息反馈等功能；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手术麻醉医师能根据手术麻将系统及住院临床电子病历进行手术医嘱、手术病历的下达、手麻事件的纪录；</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麻醉护理人员完成手术事件的护理、管理纪录。</w:t>
      </w:r>
    </w:p>
    <w:p>
      <w:pPr>
        <w:spacing w:line="360" w:lineRule="auto"/>
        <w:ind w:firstLine="480"/>
        <w:rPr>
          <w:rFonts w:hint="eastAsia" w:ascii="Times New Roman" w:hAnsi="Times New Roman" w:eastAsia="宋体" w:cs="Times New Roman"/>
          <w:color w:val="auto"/>
          <w:kern w:val="2"/>
          <w:sz w:val="28"/>
          <w:szCs w:val="20"/>
          <w:lang w:val="en-US" w:eastAsia="zh-CN" w:bidi="ar-SA"/>
        </w:rPr>
      </w:pPr>
      <w:bookmarkStart w:id="210" w:name="_Toc20751938"/>
      <w:r>
        <w:rPr>
          <w:rFonts w:hint="eastAsia" w:ascii="Times New Roman" w:hAnsi="Times New Roman" w:eastAsia="宋体" w:cs="Times New Roman"/>
          <w:color w:val="auto"/>
          <w:kern w:val="2"/>
          <w:sz w:val="28"/>
          <w:szCs w:val="20"/>
          <w:lang w:val="en-US" w:eastAsia="zh-CN" w:bidi="ar-SA"/>
        </w:rPr>
        <w:t>2.3.3.</w:t>
      </w:r>
      <w:r>
        <w:rPr>
          <w:rFonts w:hint="eastAsia" w:cs="Times New Roman"/>
          <w:color w:val="auto"/>
          <w:kern w:val="2"/>
          <w:sz w:val="28"/>
          <w:szCs w:val="20"/>
          <w:lang w:val="en-US" w:eastAsia="zh-CN" w:bidi="ar-SA"/>
        </w:rPr>
        <w:t>2</w:t>
      </w:r>
      <w:r>
        <w:rPr>
          <w:rFonts w:hint="eastAsia" w:ascii="Times New Roman" w:hAnsi="Times New Roman" w:eastAsia="宋体" w:cs="Times New Roman"/>
          <w:color w:val="auto"/>
          <w:kern w:val="2"/>
          <w:sz w:val="28"/>
          <w:szCs w:val="20"/>
          <w:lang w:val="en-US" w:eastAsia="zh-CN" w:bidi="ar-SA"/>
        </w:rPr>
        <w:t>医技电子申请单系统</w:t>
      </w:r>
      <w:bookmarkEnd w:id="210"/>
    </w:p>
    <w:p>
      <w:pPr>
        <w:spacing w:line="360" w:lineRule="auto"/>
        <w:ind w:firstLine="787" w:firstLineChars="328"/>
        <w:rPr>
          <w:rFonts w:hint="eastAsia" w:ascii="宋体" w:hAnsi="宋体" w:eastAsia="宋体" w:cs="宋体"/>
          <w:color w:val="auto"/>
          <w:sz w:val="24"/>
          <w:szCs w:val="24"/>
        </w:rPr>
      </w:pPr>
      <w:r>
        <w:rPr>
          <w:rFonts w:hint="eastAsia" w:ascii="宋体" w:hAnsi="宋体" w:eastAsia="宋体" w:cs="宋体"/>
          <w:color w:val="auto"/>
          <w:sz w:val="24"/>
          <w:szCs w:val="24"/>
        </w:rPr>
        <w:t>对检验、检查、治疗、病理、输血、放疗等医技项目实现电子申请单管理，实现智能开单、推送、接收、查询、反馈等管理。要求具备以下功能：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提供门诊、住院申请单录入的功能，包括检验申请、检查申请、手术申请、治疗申请、病理申请、输血申请、放疗申请等电子申请单的开立、保存、修改和删除等。</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支持申请单录入时常用项目快捷选择。</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支持申请单录入时注意事项提醒的功能。</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支持智能控制前置必做项目。</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支持申请单中必填项目内容的提醒，保障申请单信息详细、完整。</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支持医嘱与申请单的交互，可相互自动生成。</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可自动从病历获取病史及疾病诊断等相关信息。</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能够根据预先设置的申请单格式，自动调用患者病史、疾病诊断、相关的历次报告等信息；也支持手工调用。</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根据申请项目的执行科室、部位/标本等信息，实现申请单及项目的智能组合。</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提供常用项目模板，可手工维护或自动生成。</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提供项目类别定制各申请单样式模板。</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申请单保存时自动生成条码。通过条码来实现申请单的流转与定位，保证医嘱指令顺利执行。</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支持所有申请单打印，符合有关医疗文件的格式要求。</w:t>
      </w:r>
    </w:p>
    <w:p>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能实时查看申请单执行反馈情况和收费等相关信息。</w:t>
      </w:r>
    </w:p>
    <w:p>
      <w:pPr>
        <w:pStyle w:val="6"/>
        <w:rPr>
          <w:rFonts w:hint="eastAsia" w:ascii="Times New Roman" w:hAnsi="Times New Roman" w:eastAsia="宋体" w:cs="Times New Roman"/>
          <w:color w:val="auto"/>
          <w:kern w:val="2"/>
          <w:sz w:val="28"/>
          <w:szCs w:val="20"/>
          <w:lang w:val="en-US" w:eastAsia="zh-CN" w:bidi="ar-SA"/>
        </w:rPr>
      </w:pPr>
      <w:r>
        <w:rPr>
          <w:rFonts w:hint="eastAsia" w:ascii="Times New Roman" w:hAnsi="Times New Roman" w:eastAsia="宋体" w:cs="Times New Roman"/>
          <w:color w:val="auto"/>
          <w:kern w:val="2"/>
          <w:sz w:val="28"/>
          <w:szCs w:val="20"/>
          <w:lang w:val="en-US" w:eastAsia="zh-CN" w:bidi="ar-SA"/>
        </w:rPr>
        <w:t>2.3.3.</w:t>
      </w:r>
      <w:r>
        <w:rPr>
          <w:rFonts w:hint="eastAsia" w:cs="Times New Roman"/>
          <w:color w:val="auto"/>
          <w:kern w:val="2"/>
          <w:sz w:val="28"/>
          <w:szCs w:val="20"/>
          <w:lang w:val="en-US" w:eastAsia="zh-CN" w:bidi="ar-SA"/>
        </w:rPr>
        <w:t>3</w:t>
      </w:r>
      <w:r>
        <w:rPr>
          <w:rFonts w:hint="eastAsia" w:ascii="Times New Roman" w:hAnsi="Times New Roman" w:eastAsia="宋体" w:cs="Times New Roman"/>
          <w:color w:val="auto"/>
          <w:kern w:val="2"/>
          <w:sz w:val="28"/>
          <w:szCs w:val="20"/>
          <w:lang w:val="en-US" w:eastAsia="zh-CN" w:bidi="ar-SA"/>
        </w:rPr>
        <w:t>手术麻醉排台计费系统</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手术麻醉排台计费系统是指专用于住院病人手术与麻醉的申请、审批、安排以及术后有关信息的记录和跟踪等功能的计算机应用程序。医院手术、麻醉的安排是一个复杂的过程，合理、有效、安全的手术、麻醉管理能有效保证医院手术的正常进行。主要包括：为门诊、病区的手术申请进行审核、手术排台、人员安排及调整、麻醉安排与调整，术中术后用药、麻醉用药、手术情况登记与计费、麻醉情况登记及计费，手术器械的领用与归还，手术麻醉的退药与退费，手术随访；手术室本身的配置管理；提供各类收入的统计查询等功能。</w:t>
      </w:r>
    </w:p>
    <w:p>
      <w:pPr>
        <w:pStyle w:val="5"/>
        <w:rPr>
          <w:color w:val="auto"/>
        </w:rPr>
      </w:pPr>
      <w:bookmarkStart w:id="211" w:name="_Toc20751941"/>
      <w:r>
        <w:rPr>
          <w:rFonts w:hint="eastAsia"/>
          <w:color w:val="auto"/>
          <w:lang w:val="en-US" w:eastAsia="zh-CN"/>
        </w:rPr>
        <w:t>2.3.4药品管理</w:t>
      </w:r>
    </w:p>
    <w:p>
      <w:pPr>
        <w:pStyle w:val="6"/>
        <w:rPr>
          <w:color w:val="auto"/>
        </w:rPr>
      </w:pPr>
      <w:r>
        <w:rPr>
          <w:rFonts w:hint="eastAsia" w:ascii="Times New Roman" w:hAnsi="Times New Roman" w:eastAsia="宋体" w:cs="Times New Roman"/>
          <w:color w:val="auto"/>
          <w:kern w:val="2"/>
          <w:sz w:val="28"/>
          <w:szCs w:val="20"/>
          <w:lang w:val="en-US" w:eastAsia="zh-CN" w:bidi="ar-SA"/>
        </w:rPr>
        <w:t>2.3.</w:t>
      </w:r>
      <w:r>
        <w:rPr>
          <w:rFonts w:hint="eastAsia" w:cs="Times New Roman"/>
          <w:color w:val="auto"/>
          <w:kern w:val="2"/>
          <w:sz w:val="28"/>
          <w:szCs w:val="20"/>
          <w:lang w:val="en-US" w:eastAsia="zh-CN" w:bidi="ar-SA"/>
        </w:rPr>
        <w:t>4</w:t>
      </w:r>
      <w:r>
        <w:rPr>
          <w:rFonts w:hint="eastAsia" w:ascii="Times New Roman" w:hAnsi="Times New Roman" w:eastAsia="宋体" w:cs="Times New Roman"/>
          <w:color w:val="auto"/>
          <w:kern w:val="2"/>
          <w:sz w:val="28"/>
          <w:szCs w:val="20"/>
          <w:lang w:val="en-US" w:eastAsia="zh-CN" w:bidi="ar-SA"/>
        </w:rPr>
        <w:t>.</w:t>
      </w:r>
      <w:r>
        <w:rPr>
          <w:rFonts w:hint="eastAsia" w:cs="Times New Roman"/>
          <w:color w:val="auto"/>
          <w:kern w:val="2"/>
          <w:sz w:val="28"/>
          <w:szCs w:val="20"/>
          <w:lang w:val="en-US" w:eastAsia="zh-CN" w:bidi="ar-SA"/>
        </w:rPr>
        <w:t>1</w:t>
      </w:r>
      <w:r>
        <w:rPr>
          <w:rFonts w:hint="eastAsia" w:ascii="Times New Roman" w:hAnsi="Times New Roman" w:eastAsia="宋体" w:cs="Times New Roman"/>
          <w:color w:val="auto"/>
          <w:kern w:val="2"/>
          <w:sz w:val="28"/>
          <w:szCs w:val="20"/>
          <w:lang w:val="en-US" w:eastAsia="zh-CN" w:bidi="ar-SA"/>
        </w:rPr>
        <w:t>药库管理系统</w:t>
      </w:r>
      <w:bookmarkEnd w:id="211"/>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药库管理系统需具备以下功能：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rPr>
        <w:t>可扩展到多个药库库存单元（中草药、西药、成药）；</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支持根据药品上月耗量或库存限量自动生成采购计划；支持采购计划的多级审核；支持采购单的发送及到货确认功能；支持采购单转成入库单；</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支持药品的采购入库、退药入库、盘盈入库、赠送入库、调拨入库、领用出库、报损出库、退货出库、盘亏出库、调拨出库等多种出入库类别，且可根据要求增删。可自动接收科室领药单，并转化为出库单；</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在录入出入库单药品信息时，可自动获取药品名称、规格、批号、发票号、进货价、零售价、生产厂家、供货商、包装单位、发药单位等药品信息，以及医疗保险信息中的医疗保险类别、处方药标志、中标标志等并可随时生成各种药品的入库明细、出库明细、盘点明细、调价明细、调拨明细、报损明细、退药明细以及上面各项的汇总数据，且提供打印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药品零售价格可根据院方公式自动计算；</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rPr>
        <w:t>支持汇款凭证根据供应商的采购入库单自动汇总统计及打印功能；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zh-CN"/>
        </w:rPr>
        <w:t>提供药品库存的日结、月结、年结功能，并能校对帐目及库存的平衡关系；</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zh-CN"/>
        </w:rPr>
        <w:t>可追踪各个药品的明细流水帐，可随时查验任一品种的库存变化入、出、存明细信息。提供药品的核算功能，可统计分析各药房的消耗、库存；</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zh-CN"/>
        </w:rPr>
        <w:t>提供药品字典库维护功能（如品种、价格、单位、计量、特殊标志等），支持一药多名操作，判断识别，实现统一规范药品名称；</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zh-CN"/>
        </w:rPr>
        <w:t>提供药品的有效期管理、可自动报警和统计过期药品的品种数和金额，并有库存量，全院库存分布提示功能；</w:t>
      </w:r>
    </w:p>
    <w:p>
      <w:pPr>
        <w:pStyle w:val="6"/>
        <w:rPr>
          <w:rFonts w:ascii="Times New Roman" w:hAnsi="Times New Roman"/>
          <w:color w:val="auto"/>
          <w:szCs w:val="32"/>
        </w:rPr>
      </w:pPr>
      <w:bookmarkStart w:id="212" w:name="_Toc20751942"/>
      <w:r>
        <w:rPr>
          <w:rFonts w:hint="eastAsia" w:ascii="Times New Roman" w:hAnsi="Times New Roman" w:eastAsia="宋体" w:cs="Times New Roman"/>
          <w:color w:val="auto"/>
          <w:kern w:val="2"/>
          <w:sz w:val="28"/>
          <w:szCs w:val="20"/>
          <w:lang w:val="en-US" w:eastAsia="zh-CN" w:bidi="ar-SA"/>
        </w:rPr>
        <w:t>2.3.</w:t>
      </w:r>
      <w:r>
        <w:rPr>
          <w:rFonts w:hint="eastAsia" w:cs="Times New Roman"/>
          <w:color w:val="auto"/>
          <w:kern w:val="2"/>
          <w:sz w:val="28"/>
          <w:szCs w:val="20"/>
          <w:lang w:val="en-US" w:eastAsia="zh-CN" w:bidi="ar-SA"/>
        </w:rPr>
        <w:t>4</w:t>
      </w:r>
      <w:r>
        <w:rPr>
          <w:rFonts w:hint="eastAsia" w:ascii="Times New Roman" w:hAnsi="Times New Roman" w:eastAsia="宋体" w:cs="Times New Roman"/>
          <w:color w:val="auto"/>
          <w:kern w:val="2"/>
          <w:sz w:val="28"/>
          <w:szCs w:val="20"/>
          <w:lang w:val="en-US" w:eastAsia="zh-CN" w:bidi="ar-SA"/>
        </w:rPr>
        <w:t>.</w:t>
      </w:r>
      <w:r>
        <w:rPr>
          <w:rFonts w:hint="eastAsia" w:cs="Times New Roman"/>
          <w:color w:val="auto"/>
          <w:kern w:val="2"/>
          <w:sz w:val="28"/>
          <w:szCs w:val="20"/>
          <w:lang w:val="en-US" w:eastAsia="zh-CN" w:bidi="ar-SA"/>
        </w:rPr>
        <w:t>2</w:t>
      </w:r>
      <w:r>
        <w:rPr>
          <w:rFonts w:hint="eastAsia" w:ascii="Times New Roman" w:hAnsi="Times New Roman" w:eastAsia="宋体" w:cs="Times New Roman"/>
          <w:color w:val="auto"/>
          <w:kern w:val="2"/>
          <w:sz w:val="28"/>
          <w:szCs w:val="20"/>
          <w:lang w:val="en-US" w:eastAsia="zh-CN" w:bidi="ar-SA"/>
        </w:rPr>
        <w:t>门急诊药房管理系统</w:t>
      </w:r>
      <w:bookmarkEnd w:id="212"/>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门急诊药房管理系统需具备以下功能：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rPr>
        <w:t>可自动获取药品名称、规格、批号、价格、生产厂家、药品来源、药品剂型、药品属性、药品类别、医保编码、领药人、开方医生和门诊患者等药品基本信息。</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提供对门诊患者的处方执行划价功能。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提供对门诊收费的药品明细执行发药核对确认，消减库存的功能，并统计日处方量和各类别的处方量。</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可实现为住院患者划价、记帐和按医嘱执行发药。</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为门诊收费设置包装数、低限报警值、控制药品以及药品别名等功能。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rPr>
        <w:t>门诊收费的药品金额和药房的发药金额执行对帐。</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zh-CN"/>
        </w:rPr>
        <w:t>可自动生成药品进药计划申请单，并发往药库。</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zh-CN"/>
        </w:rPr>
        <w:t>提供对药库发到本药房的药品的出库单进行入库确认。</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zh-CN"/>
        </w:rPr>
        <w:t>提供本药房药品的调拨、盘点、报损、调换和退药功能。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zh-CN"/>
        </w:rPr>
        <w:t>具有药房药品的日结、月结和年结算功能，并自动比较会计帐及实物帐的平衡关系。</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zh-CN"/>
        </w:rPr>
        <w:t>可随时查询某日和任意时间段的入库药品消耗，以及任意某一药品的入、出、存明细帐。</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zh-CN"/>
        </w:rPr>
        <w:t>提供药品的有效期管理、可自动报警和统计过期药品的品种数和金额，并有库存量提示功能。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zh-CN"/>
        </w:rPr>
        <w:t>对毒麻药品、精神药品的种类、贵重药品、院内制剂、进口药品、自费药等均有特定的判断识别处理。</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14、</w:t>
      </w:r>
      <w:r>
        <w:rPr>
          <w:rFonts w:hint="eastAsia" w:ascii="宋体" w:hAnsi="宋体" w:eastAsia="宋体" w:cs="宋体"/>
          <w:color w:val="auto"/>
          <w:sz w:val="24"/>
          <w:szCs w:val="24"/>
          <w:lang w:val="zh-CN"/>
        </w:rPr>
        <w:t>支持多个门诊药房管理。</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zh-CN"/>
        </w:rPr>
        <w:t>支持药品批次管理。</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16、</w:t>
      </w:r>
      <w:r>
        <w:rPr>
          <w:rFonts w:hint="eastAsia" w:ascii="宋体" w:hAnsi="宋体" w:eastAsia="宋体" w:cs="宋体"/>
          <w:color w:val="auto"/>
          <w:sz w:val="24"/>
          <w:szCs w:val="24"/>
          <w:lang w:val="zh-CN"/>
        </w:rPr>
        <w:t>支持二级审核发药。</w:t>
      </w:r>
    </w:p>
    <w:p>
      <w:pPr>
        <w:pStyle w:val="6"/>
        <w:rPr>
          <w:rFonts w:ascii="Times New Roman" w:hAnsi="Times New Roman"/>
          <w:color w:val="auto"/>
          <w:szCs w:val="32"/>
        </w:rPr>
      </w:pPr>
      <w:bookmarkStart w:id="213" w:name="_Toc20751944"/>
      <w:r>
        <w:rPr>
          <w:rFonts w:hint="eastAsia" w:ascii="Times New Roman" w:hAnsi="Times New Roman" w:eastAsia="宋体" w:cs="Times New Roman"/>
          <w:color w:val="auto"/>
          <w:kern w:val="2"/>
          <w:sz w:val="28"/>
          <w:szCs w:val="20"/>
          <w:lang w:val="en-US" w:eastAsia="zh-CN" w:bidi="ar-SA"/>
        </w:rPr>
        <w:t>2.3.</w:t>
      </w:r>
      <w:r>
        <w:rPr>
          <w:rFonts w:hint="eastAsia" w:cs="Times New Roman"/>
          <w:color w:val="auto"/>
          <w:kern w:val="2"/>
          <w:sz w:val="28"/>
          <w:szCs w:val="20"/>
          <w:lang w:val="en-US" w:eastAsia="zh-CN" w:bidi="ar-SA"/>
        </w:rPr>
        <w:t>4</w:t>
      </w:r>
      <w:r>
        <w:rPr>
          <w:rFonts w:hint="eastAsia" w:ascii="Times New Roman" w:hAnsi="Times New Roman" w:eastAsia="宋体" w:cs="Times New Roman"/>
          <w:color w:val="auto"/>
          <w:kern w:val="2"/>
          <w:sz w:val="28"/>
          <w:szCs w:val="20"/>
          <w:lang w:val="en-US" w:eastAsia="zh-CN" w:bidi="ar-SA"/>
        </w:rPr>
        <w:t>.</w:t>
      </w:r>
      <w:r>
        <w:rPr>
          <w:rFonts w:hint="eastAsia" w:cs="Times New Roman"/>
          <w:color w:val="auto"/>
          <w:kern w:val="2"/>
          <w:sz w:val="28"/>
          <w:szCs w:val="20"/>
          <w:lang w:val="en-US" w:eastAsia="zh-CN" w:bidi="ar-SA"/>
        </w:rPr>
        <w:t>3</w:t>
      </w:r>
      <w:r>
        <w:rPr>
          <w:rFonts w:hint="eastAsia" w:ascii="Times New Roman" w:hAnsi="Times New Roman" w:eastAsia="宋体" w:cs="Times New Roman"/>
          <w:color w:val="auto"/>
          <w:kern w:val="2"/>
          <w:sz w:val="28"/>
          <w:szCs w:val="20"/>
          <w:lang w:val="en-US" w:eastAsia="zh-CN" w:bidi="ar-SA"/>
        </w:rPr>
        <w:t>住院药房管理系统</w:t>
      </w:r>
      <w:bookmarkEnd w:id="213"/>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住院药房管理系统需具备以下功能：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rPr>
        <w:t>可自动获取药品名称、规格、批号、价格、生产厂家、药品来源、药品剂型、属性、类别和住院患者等药品基本信息；</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支持根据药品上月耗量或库存限量自动生成药品请领单，并发送至相关科室。</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支持药品的退药入库、盘盈入库、领用入库、调拨入库、处方出库、报损出库、退药出库、盘亏出库、调拨出库等多种出入库类别，且可根据要求增删。可自动接收科室领药单，并转化为出库单。</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药房具有可用库存数量及库存量预减管理功能，以便医生开单或处方输入后减少可用库存，下次处方能根据可用库存控制开单数量，保证发药时库存充分（发药后减少实际库存）。</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提供对药库发到本药房的药品的出库单或其他药房发送的调拨单进行入库确认。</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rPr>
        <w:t>具有药房药品的日结、月结和年结算功能，并自动比较会计帐及实物帐的</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zh-CN"/>
        </w:rPr>
        <w:t>可随时查询某日和任意时间段的入库药品消耗，以及任意某一药品的入、出、存明细帐。</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zh-CN"/>
        </w:rPr>
        <w:t>提供药品的有效期管理、可自动报警和统计过期药品的品种数和金额。</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zh-CN"/>
        </w:rPr>
        <w:t>对毒麻药品、精神药品的种类、贵重药品、院内制剂、进口药品、自费药等均有特定的判断识别处理。</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zh-CN"/>
        </w:rPr>
        <w:t>支持药品批次管理；要求可根据参数设置药品“先入先出”或“效期先出”原则。</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zh-CN"/>
        </w:rPr>
        <w:t>统计查询：支持以上所有工作相关统计、查询和打印功能。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zh-CN"/>
        </w:rPr>
        <w:t>具有条码管理功能。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zh-CN"/>
        </w:rPr>
        <w:t>对贵重、毒麻、精神类等特殊药品单独管理。</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14、</w:t>
      </w:r>
      <w:r>
        <w:rPr>
          <w:rFonts w:hint="eastAsia" w:ascii="宋体" w:hAnsi="宋体" w:eastAsia="宋体" w:cs="宋体"/>
          <w:color w:val="auto"/>
          <w:sz w:val="24"/>
          <w:szCs w:val="24"/>
          <w:lang w:val="zh-CN"/>
        </w:rPr>
        <w:t>具有分别按患者的临时医嘱和长期医嘱执行确认上帐功能，并自动生成针剂、片剂、输液、毒麻和其它等类型的摆药单和统领单，同时追踪各药品的库存及患者的押金等，打印中草药处方单，并实现对特殊医嘱、隔日医嘱等的处理；</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zh-CN"/>
        </w:rPr>
        <w:t>可对病区的退药单进行执行确认，同时返回预交金至病人住院预交金余额。</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16、</w:t>
      </w:r>
      <w:r>
        <w:rPr>
          <w:rFonts w:hint="eastAsia" w:ascii="宋体" w:hAnsi="宋体" w:eastAsia="宋体" w:cs="宋体"/>
          <w:color w:val="auto"/>
          <w:sz w:val="24"/>
          <w:szCs w:val="24"/>
          <w:lang w:val="zh-CN"/>
        </w:rPr>
        <w:t>提供对隔日医嘱的处理，并支持预发多日用药。</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17、</w:t>
      </w:r>
      <w:r>
        <w:rPr>
          <w:rFonts w:hint="eastAsia" w:ascii="宋体" w:hAnsi="宋体" w:eastAsia="宋体" w:cs="宋体"/>
          <w:color w:val="auto"/>
          <w:sz w:val="24"/>
          <w:szCs w:val="24"/>
          <w:lang w:val="zh-CN"/>
        </w:rPr>
        <w:t>对每一张配药单均有唯一的标示号识别。</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18、</w:t>
      </w:r>
      <w:r>
        <w:rPr>
          <w:rFonts w:hint="eastAsia" w:ascii="宋体" w:hAnsi="宋体" w:eastAsia="宋体" w:cs="宋体"/>
          <w:color w:val="auto"/>
          <w:sz w:val="24"/>
          <w:szCs w:val="24"/>
          <w:lang w:val="zh-CN"/>
        </w:rPr>
        <w:t>支持动态药房，护士可到任意药房领药，并减发药药房的库存。</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19、</w:t>
      </w:r>
      <w:r>
        <w:rPr>
          <w:rFonts w:hint="eastAsia" w:ascii="宋体" w:hAnsi="宋体" w:eastAsia="宋体" w:cs="宋体"/>
          <w:color w:val="auto"/>
          <w:sz w:val="24"/>
          <w:szCs w:val="24"/>
          <w:lang w:val="zh-CN"/>
        </w:rPr>
        <w:t>支持根据药品分类摆药（如大输液、片剂药品等）。</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zh-CN"/>
        </w:rPr>
        <w:t>支持出院病人带药功能。</w:t>
      </w:r>
    </w:p>
    <w:p>
      <w:pPr>
        <w:pStyle w:val="5"/>
        <w:rPr>
          <w:color w:val="auto"/>
        </w:rPr>
      </w:pPr>
      <w:bookmarkStart w:id="214" w:name="_Toc20751946"/>
      <w:r>
        <w:rPr>
          <w:rFonts w:hint="eastAsia"/>
          <w:color w:val="auto"/>
          <w:lang w:val="en-US" w:eastAsia="zh-CN"/>
        </w:rPr>
        <w:t>2.3.5数据利用</w:t>
      </w:r>
    </w:p>
    <w:p>
      <w:pPr>
        <w:pStyle w:val="6"/>
        <w:rPr>
          <w:rFonts w:ascii="Times New Roman" w:hAnsi="Times New Roman"/>
          <w:color w:val="auto"/>
          <w:szCs w:val="32"/>
        </w:rPr>
      </w:pPr>
      <w:r>
        <w:rPr>
          <w:rFonts w:hint="eastAsia" w:ascii="Times New Roman" w:hAnsi="Times New Roman" w:eastAsia="宋体" w:cs="Times New Roman"/>
          <w:color w:val="auto"/>
          <w:kern w:val="2"/>
          <w:sz w:val="28"/>
          <w:szCs w:val="20"/>
          <w:lang w:val="en-US" w:eastAsia="zh-CN" w:bidi="ar-SA"/>
        </w:rPr>
        <w:t>2.3.</w:t>
      </w:r>
      <w:r>
        <w:rPr>
          <w:rFonts w:hint="eastAsia" w:cs="Times New Roman"/>
          <w:color w:val="auto"/>
          <w:kern w:val="2"/>
          <w:sz w:val="28"/>
          <w:szCs w:val="20"/>
          <w:lang w:val="en-US" w:eastAsia="zh-CN" w:bidi="ar-SA"/>
        </w:rPr>
        <w:t>5</w:t>
      </w:r>
      <w:r>
        <w:rPr>
          <w:rFonts w:hint="eastAsia" w:ascii="Times New Roman" w:hAnsi="Times New Roman" w:eastAsia="宋体" w:cs="Times New Roman"/>
          <w:color w:val="auto"/>
          <w:kern w:val="2"/>
          <w:sz w:val="28"/>
          <w:szCs w:val="20"/>
          <w:lang w:val="en-US" w:eastAsia="zh-CN" w:bidi="ar-SA"/>
        </w:rPr>
        <w:t>.</w:t>
      </w:r>
      <w:r>
        <w:rPr>
          <w:rFonts w:hint="eastAsia" w:cs="Times New Roman"/>
          <w:color w:val="auto"/>
          <w:kern w:val="2"/>
          <w:sz w:val="28"/>
          <w:szCs w:val="20"/>
          <w:lang w:val="en-US" w:eastAsia="zh-CN" w:bidi="ar-SA"/>
        </w:rPr>
        <w:t>1</w:t>
      </w:r>
      <w:r>
        <w:rPr>
          <w:rFonts w:hint="eastAsia" w:ascii="Times New Roman" w:hAnsi="Times New Roman" w:eastAsia="宋体" w:cs="Times New Roman"/>
          <w:color w:val="auto"/>
          <w:kern w:val="2"/>
          <w:sz w:val="28"/>
          <w:szCs w:val="20"/>
          <w:lang w:val="en-US" w:eastAsia="zh-CN" w:bidi="ar-SA"/>
        </w:rPr>
        <w:t>医院综合查询报表系统</w:t>
      </w:r>
      <w:bookmarkEnd w:id="214"/>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要求医院综合查询报表系统能够实现以下功能：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rPr>
        <w:t>数据收集包括：门诊病人统计数据、急诊医疗统计数据、住院病人统计数据、医技科室工作量统计数据。</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提供门急诊统计报表：门急诊日报表、月报表、季报表、半年报表和年报表。</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门诊挂号统计。</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病房统计报表：病房日报表、月报表、季报表、半年报表和年报表。</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病人分类统计报表。</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rPr>
        <w:t>对卫生主管部门的报表：</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1）医院医疗工作月报表。（医院住院动态表、医疗质量指标）</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2）医院住院病人疾病分类报表。</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3）损伤和中毒小计的外部原因分类表。</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4）住院病人手术分类报表。</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5）单病种疾病分类报表。</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zh-CN"/>
        </w:rPr>
        <w:t>统计综合分析：</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1)门诊工作情况。</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2)病房工作情况（含病房床位周转情况)。</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3)出院病人分病种统计报表。</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4)手术与麻醉分类报表。</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5)医技科室工作量统计。</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6)临床科室人均医疗费用报表。</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7)医院工作指标、各类费用报表。</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8)医院部分病种住院医疗费用报表。</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zh-CN"/>
        </w:rPr>
        <w:t>运行要求：</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1）数据输入：既能从网络工作站输入数据亦能人工收集数据集中输入。</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2）数据处理：一次性输入数据、自动生成日报、月报、季报、半年报、年报以及各类统计分析报表。</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3）查询显示数据：查询显示多种组合的数据信息，有模糊查询功能</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4）修改更正数据：对未存档数据允许修改。</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5）输出打印：打印统计报表和多种分析图表。输出符合报表要求的电子报表。</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6）允许对报表格式进行修改和自定义，并且有创建报表功能，支持对其他分系统的数据进行组合形成报表。</w:t>
      </w:r>
    </w:p>
    <w:p>
      <w:pPr>
        <w:pStyle w:val="5"/>
        <w:rPr>
          <w:color w:val="auto"/>
        </w:rPr>
      </w:pPr>
      <w:r>
        <w:rPr>
          <w:rFonts w:hint="eastAsia"/>
          <w:color w:val="auto"/>
          <w:lang w:val="en-US" w:eastAsia="zh-CN"/>
        </w:rPr>
        <w:t>2.3.6医疗物资耗材</w:t>
      </w:r>
    </w:p>
    <w:p>
      <w:pPr>
        <w:pStyle w:val="6"/>
        <w:rPr>
          <w:color w:val="auto"/>
        </w:rPr>
      </w:pPr>
      <w:r>
        <w:rPr>
          <w:rFonts w:hint="eastAsia" w:ascii="Times New Roman" w:hAnsi="Times New Roman" w:eastAsia="宋体" w:cs="Times New Roman"/>
          <w:color w:val="auto"/>
          <w:kern w:val="2"/>
          <w:sz w:val="28"/>
          <w:szCs w:val="20"/>
          <w:lang w:val="en-US" w:eastAsia="zh-CN" w:bidi="ar-SA"/>
        </w:rPr>
        <w:t>2.3.</w:t>
      </w:r>
      <w:r>
        <w:rPr>
          <w:rFonts w:hint="eastAsia" w:cs="Times New Roman"/>
          <w:color w:val="auto"/>
          <w:kern w:val="2"/>
          <w:sz w:val="28"/>
          <w:szCs w:val="20"/>
          <w:lang w:val="en-US" w:eastAsia="zh-CN" w:bidi="ar-SA"/>
        </w:rPr>
        <w:t>6</w:t>
      </w:r>
      <w:r>
        <w:rPr>
          <w:rFonts w:hint="eastAsia" w:ascii="Times New Roman" w:hAnsi="Times New Roman" w:eastAsia="宋体" w:cs="Times New Roman"/>
          <w:color w:val="auto"/>
          <w:kern w:val="2"/>
          <w:sz w:val="28"/>
          <w:szCs w:val="20"/>
          <w:lang w:val="en-US" w:eastAsia="zh-CN" w:bidi="ar-SA"/>
        </w:rPr>
        <w:t>.</w:t>
      </w:r>
      <w:r>
        <w:rPr>
          <w:rFonts w:hint="eastAsia" w:cs="Times New Roman"/>
          <w:color w:val="auto"/>
          <w:kern w:val="2"/>
          <w:sz w:val="28"/>
          <w:szCs w:val="20"/>
          <w:lang w:val="en-US" w:eastAsia="zh-CN" w:bidi="ar-SA"/>
        </w:rPr>
        <w:t>1设备资产管理系统</w:t>
      </w:r>
    </w:p>
    <w:p>
      <w:pPr>
        <w:spacing w:line="360" w:lineRule="auto"/>
        <w:ind w:firstLine="480"/>
        <w:rPr>
          <w:rFonts w:hint="eastAsia" w:ascii="宋体" w:hAnsi="宋体" w:eastAsia="宋体" w:cs="宋体"/>
          <w:color w:val="auto"/>
          <w:sz w:val="24"/>
          <w:szCs w:val="24"/>
          <w:lang w:val="zh-CN"/>
        </w:rPr>
      </w:pPr>
      <w:bookmarkStart w:id="215" w:name="_Toc356322467"/>
      <w:r>
        <w:rPr>
          <w:rFonts w:hint="eastAsia" w:ascii="宋体" w:hAnsi="宋体" w:eastAsia="宋体" w:cs="宋体"/>
          <w:color w:val="auto"/>
          <w:sz w:val="24"/>
          <w:szCs w:val="24"/>
          <w:lang w:val="zh-CN"/>
        </w:rPr>
        <w:t>设备资产管理系统针对医院固定资产的实际情况，按具体品种、规格、型号、性能、用途及要求，灵活归类，标准编码，实现已有资产信息的登记、维护，查询、报表管理等各项基本功能。随着医院业务的变化，建立健全仓储保管制度，固定资产的购进、领用、转移、报损有严格的凭证管理，对入库验收，出库调拨，消耗报废、及时登记进行过程跟踪，有严密的审核机制，并可定期盘存清查。</w:t>
      </w:r>
    </w:p>
    <w:bookmarkEnd w:id="215"/>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设备管理系统采用全生命周期管理，让资产设备形成一个完整的全生命周期的业务流。科室申购过程 =&gt;科室采购过程=&gt;在院未使用过程=&gt;在院在使用过程(维修、养护、计量、折旧，其他)=&gt;报废消亡过程 =&gt;历史时间轴查询。</w:t>
      </w:r>
    </w:p>
    <w:p>
      <w:pPr>
        <w:pStyle w:val="5"/>
        <w:rPr>
          <w:rFonts w:hint="eastAsia"/>
          <w:color w:val="auto"/>
          <w:lang w:val="zh-CN" w:eastAsia="zh-CN"/>
        </w:rPr>
      </w:pPr>
      <w:r>
        <w:rPr>
          <w:rFonts w:hint="eastAsia" w:ascii="Times New Roman" w:hAnsi="Times New Roman" w:eastAsia="宋体" w:cs="Times New Roman"/>
          <w:color w:val="auto"/>
          <w:kern w:val="2"/>
          <w:sz w:val="28"/>
          <w:szCs w:val="20"/>
          <w:lang w:val="en-US" w:eastAsia="zh-CN" w:bidi="ar-SA"/>
        </w:rPr>
        <w:t>2.3.</w:t>
      </w:r>
      <w:r>
        <w:rPr>
          <w:rFonts w:hint="eastAsia" w:cs="Times New Roman"/>
          <w:color w:val="auto"/>
          <w:kern w:val="2"/>
          <w:sz w:val="28"/>
          <w:szCs w:val="20"/>
          <w:lang w:val="en-US" w:eastAsia="zh-CN" w:bidi="ar-SA"/>
        </w:rPr>
        <w:t>6</w:t>
      </w:r>
      <w:r>
        <w:rPr>
          <w:rFonts w:hint="eastAsia" w:ascii="Times New Roman" w:hAnsi="Times New Roman" w:eastAsia="宋体" w:cs="Times New Roman"/>
          <w:color w:val="auto"/>
          <w:kern w:val="2"/>
          <w:sz w:val="28"/>
          <w:szCs w:val="20"/>
          <w:lang w:val="en-US" w:eastAsia="zh-CN" w:bidi="ar-SA"/>
        </w:rPr>
        <w:t>.</w:t>
      </w:r>
      <w:r>
        <w:rPr>
          <w:rFonts w:hint="eastAsia" w:cs="Times New Roman"/>
          <w:color w:val="auto"/>
          <w:kern w:val="2"/>
          <w:sz w:val="28"/>
          <w:szCs w:val="20"/>
          <w:lang w:val="en-US" w:eastAsia="zh-CN" w:bidi="ar-SA"/>
        </w:rPr>
        <w:t>2</w:t>
      </w:r>
      <w:r>
        <w:rPr>
          <w:rFonts w:hint="eastAsia" w:ascii="Times New Roman" w:hAnsi="Times New Roman" w:eastAsia="宋体" w:cs="Times New Roman"/>
          <w:color w:val="auto"/>
          <w:kern w:val="2"/>
          <w:sz w:val="28"/>
          <w:szCs w:val="20"/>
          <w:lang w:val="zh-CN" w:eastAsia="zh-CN" w:bidi="ar-SA"/>
        </w:rPr>
        <w:t>物资库房管理系统</w:t>
      </w:r>
    </w:p>
    <w:p>
      <w:pPr>
        <w:spacing w:line="360" w:lineRule="auto"/>
        <w:ind w:firstLine="480"/>
        <w:rPr>
          <w:color w:val="auto"/>
        </w:rPr>
      </w:pPr>
      <w:r>
        <w:rPr>
          <w:rFonts w:hint="eastAsia" w:ascii="宋体" w:hAnsi="宋体" w:eastAsia="宋体" w:cs="宋体"/>
          <w:color w:val="auto"/>
          <w:sz w:val="24"/>
          <w:szCs w:val="24"/>
          <w:lang w:val="zh-CN"/>
        </w:rPr>
        <w:t>物资材料管理包含低值耗材、办公用品的申请、审批、核对的全过程管理，可接入院外后勤物资供应链信息，提供请领、出入库、库存管理、采购等管理(支持在线请领流程)。功能包括：请领管理、出入库管理、物资调价、物资盘点、标识码管理、批次管理、台账管理等。</w:t>
      </w:r>
    </w:p>
    <w:p>
      <w:pPr>
        <w:pStyle w:val="5"/>
        <w:rPr>
          <w:color w:val="auto"/>
        </w:rPr>
      </w:pPr>
      <w:r>
        <w:rPr>
          <w:rFonts w:hint="eastAsia"/>
          <w:color w:val="auto"/>
          <w:lang w:val="en-US" w:eastAsia="zh-CN"/>
        </w:rPr>
        <w:t>2.3.7医疗管理</w:t>
      </w:r>
    </w:p>
    <w:bookmarkEnd w:id="209"/>
    <w:p>
      <w:pPr>
        <w:pStyle w:val="6"/>
        <w:rPr>
          <w:color w:val="auto"/>
        </w:rPr>
      </w:pPr>
      <w:bookmarkStart w:id="216" w:name="_Toc20751939"/>
      <w:r>
        <w:rPr>
          <w:rFonts w:hint="eastAsia" w:ascii="Times New Roman" w:hAnsi="Times New Roman" w:eastAsia="宋体" w:cs="Times New Roman"/>
          <w:color w:val="auto"/>
          <w:kern w:val="2"/>
          <w:sz w:val="28"/>
          <w:szCs w:val="20"/>
          <w:lang w:val="en-US" w:eastAsia="zh-CN" w:bidi="ar-SA"/>
        </w:rPr>
        <w:t>2.3.</w:t>
      </w:r>
      <w:r>
        <w:rPr>
          <w:rFonts w:hint="eastAsia" w:cs="Times New Roman"/>
          <w:color w:val="auto"/>
          <w:kern w:val="2"/>
          <w:sz w:val="28"/>
          <w:szCs w:val="20"/>
          <w:lang w:val="en-US" w:eastAsia="zh-CN" w:bidi="ar-SA"/>
        </w:rPr>
        <w:t>7</w:t>
      </w:r>
      <w:r>
        <w:rPr>
          <w:rFonts w:hint="eastAsia" w:ascii="Times New Roman" w:hAnsi="Times New Roman" w:eastAsia="宋体" w:cs="Times New Roman"/>
          <w:color w:val="auto"/>
          <w:kern w:val="2"/>
          <w:sz w:val="28"/>
          <w:szCs w:val="20"/>
          <w:lang w:val="en-US" w:eastAsia="zh-CN" w:bidi="ar-SA"/>
        </w:rPr>
        <w:t>.</w:t>
      </w:r>
      <w:r>
        <w:rPr>
          <w:rFonts w:hint="eastAsia" w:cs="Times New Roman"/>
          <w:color w:val="auto"/>
          <w:kern w:val="2"/>
          <w:sz w:val="28"/>
          <w:szCs w:val="20"/>
          <w:lang w:val="en-US" w:eastAsia="zh-CN" w:bidi="ar-SA"/>
        </w:rPr>
        <w:t>1</w:t>
      </w:r>
      <w:r>
        <w:rPr>
          <w:rFonts w:hint="eastAsia" w:ascii="Times New Roman" w:hAnsi="Times New Roman" w:eastAsia="宋体" w:cs="Times New Roman"/>
          <w:color w:val="auto"/>
          <w:kern w:val="2"/>
          <w:sz w:val="28"/>
          <w:szCs w:val="20"/>
          <w:lang w:val="en-US" w:eastAsia="zh-CN" w:bidi="ar-SA"/>
        </w:rPr>
        <w:t>临床路径管理系统</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临床路径管理系统主要包括临床路径的制定、调用、质量管理与控制及费用控制等日常业务，满足以下功能：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rPr>
        <w:t>路径制定</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rPr>
        <w:t>定义路径进入、排除条件</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定义路径内容（含主路径和子路径）</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子路径进入条件判断</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变异记录</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临床路径告知单</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进入/退出路径：支持判断进行/退出路径的条件并执行。</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使用路径：支持预约安排、路径执行判断、变异记录等功能。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路径使用评估：在执行路径过程中可以标记各项评估指标，便于生成各种报告。</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路径统计功能：支持路径使用统计、路径执行情况统计、变异记录统计等。</w:t>
      </w:r>
    </w:p>
    <w:p>
      <w:pPr>
        <w:pStyle w:val="6"/>
        <w:rPr>
          <w:rFonts w:hint="eastAsia" w:ascii="Times New Roman" w:hAnsi="Times New Roman" w:eastAsia="宋体" w:cs="Times New Roman"/>
          <w:color w:val="auto"/>
          <w:kern w:val="2"/>
          <w:sz w:val="28"/>
          <w:szCs w:val="20"/>
          <w:lang w:val="en-US" w:eastAsia="zh-CN" w:bidi="ar-SA"/>
        </w:rPr>
      </w:pPr>
      <w:bookmarkStart w:id="217" w:name="_Toc20751950"/>
      <w:r>
        <w:rPr>
          <w:rFonts w:hint="eastAsia" w:ascii="Times New Roman" w:hAnsi="Times New Roman" w:eastAsia="宋体" w:cs="Times New Roman"/>
          <w:color w:val="auto"/>
          <w:kern w:val="2"/>
          <w:sz w:val="28"/>
          <w:szCs w:val="20"/>
          <w:lang w:val="en-US" w:eastAsia="zh-CN" w:bidi="ar-SA"/>
        </w:rPr>
        <w:t>2.3.7.</w:t>
      </w:r>
      <w:r>
        <w:rPr>
          <w:rFonts w:hint="eastAsia" w:cs="Times New Roman"/>
          <w:color w:val="auto"/>
          <w:kern w:val="2"/>
          <w:sz w:val="28"/>
          <w:szCs w:val="20"/>
          <w:lang w:val="en-US" w:eastAsia="zh-CN" w:bidi="ar-SA"/>
        </w:rPr>
        <w:t>2</w:t>
      </w:r>
      <w:r>
        <w:rPr>
          <w:rFonts w:hint="eastAsia" w:ascii="Times New Roman" w:hAnsi="Times New Roman" w:eastAsia="宋体" w:cs="Times New Roman"/>
          <w:color w:val="auto"/>
          <w:kern w:val="2"/>
          <w:sz w:val="28"/>
          <w:szCs w:val="20"/>
          <w:lang w:val="en-US" w:eastAsia="zh-CN" w:bidi="ar-SA"/>
        </w:rPr>
        <w:t>传染病上报管理系统</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支持为医院传染病上报提供统一的管理平台，提升疫情上报的准确性和及时性，使卫生决策和疾病控制部门更快、更准地掌握传染病疫情动态，以便及时有效地进行传染病的预防和控制，系统主要功能要求包括：</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rPr>
        <w:t>传染病上报登记：</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1)门诊：门诊医生在录入门诊诊断时，系统能够自动判断是否传染病，自动弹出传染病登记卡，也可以事后补填传染病登记卡。每天自动生成试用抗结核药物的病人信息报表、传染病登记统计表等。</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住院：住院在录入住院诊断时，系统自动判断是否传染病，自动弹出传染病登记卡，也可在专门窗口填写传染病报告卡。另外还提供死亡报告卡、恶性肿瘤、慢性病报告卡。每天自动生成出院诊断传染病明细报表、慢性非传染病疾病统计报表等。</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基础数据维护：传染病诊断及相关信息维护。</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统计查询：根据用户自定义条件进行统计查询，并支持查询结果的导出、打印功能。</w:t>
      </w:r>
    </w:p>
    <w:p>
      <w:pPr>
        <w:pStyle w:val="6"/>
        <w:rPr>
          <w:color w:val="auto"/>
        </w:rPr>
      </w:pPr>
      <w:r>
        <w:rPr>
          <w:rFonts w:hint="eastAsia" w:ascii="Times New Roman" w:hAnsi="Times New Roman" w:eastAsia="宋体" w:cs="Times New Roman"/>
          <w:color w:val="auto"/>
          <w:kern w:val="2"/>
          <w:sz w:val="28"/>
          <w:szCs w:val="20"/>
          <w:lang w:val="en-US" w:eastAsia="zh-CN" w:bidi="ar-SA"/>
        </w:rPr>
        <w:t>2.3.7.</w:t>
      </w:r>
      <w:r>
        <w:rPr>
          <w:rFonts w:hint="eastAsia" w:cs="Times New Roman"/>
          <w:color w:val="auto"/>
          <w:kern w:val="2"/>
          <w:sz w:val="28"/>
          <w:szCs w:val="20"/>
          <w:lang w:val="en-US" w:eastAsia="zh-CN" w:bidi="ar-SA"/>
        </w:rPr>
        <w:t>3</w:t>
      </w:r>
      <w:r>
        <w:rPr>
          <w:rFonts w:hint="eastAsia" w:ascii="Times New Roman" w:hAnsi="Times New Roman" w:eastAsia="宋体" w:cs="Times New Roman"/>
          <w:color w:val="auto"/>
          <w:kern w:val="2"/>
          <w:sz w:val="28"/>
          <w:szCs w:val="20"/>
          <w:lang w:val="en-US" w:eastAsia="zh-CN" w:bidi="ar-SA"/>
        </w:rPr>
        <w:t>抗生素分级管理系统</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为医院抗生素类药品的权限管理、临床应用及使用情况等临床用药提供监管的工作平台，系统主要功能包括抗菌药物权限管理、抗菌药物临床应用调查、抗菌药物DDD值统计、抗菌药物使用情况分析等。主要实现功能要求如下：</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rPr>
        <w:t>支持抗菌药物目录动态管理，能新增、删除抗菌药物目录项。</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已清退或者更换的抗菌药物品种或品规12个月内不能重新进入抗菌药物供应目录。</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调整后的抗菌药物供应目录总品种数不能增加。</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支持设置门诊和住院药物抗菌药物的三线级别。</w:t>
      </w:r>
    </w:p>
    <w:p>
      <w:pPr>
        <w:pStyle w:val="6"/>
        <w:rPr>
          <w:color w:val="auto"/>
        </w:rPr>
      </w:pPr>
      <w:r>
        <w:rPr>
          <w:rFonts w:hint="eastAsia" w:ascii="Times New Roman" w:hAnsi="Times New Roman" w:eastAsia="宋体" w:cs="Times New Roman"/>
          <w:color w:val="auto"/>
          <w:kern w:val="2"/>
          <w:sz w:val="28"/>
          <w:szCs w:val="20"/>
          <w:lang w:val="en-US" w:eastAsia="zh-CN" w:bidi="ar-SA"/>
        </w:rPr>
        <w:t>2.3.7.</w:t>
      </w:r>
      <w:r>
        <w:rPr>
          <w:rFonts w:hint="eastAsia" w:cs="Times New Roman"/>
          <w:color w:val="auto"/>
          <w:kern w:val="2"/>
          <w:sz w:val="28"/>
          <w:szCs w:val="20"/>
          <w:lang w:val="en-US" w:eastAsia="zh-CN" w:bidi="ar-SA"/>
        </w:rPr>
        <w:t>4</w:t>
      </w:r>
      <w:r>
        <w:rPr>
          <w:rFonts w:hint="eastAsia" w:ascii="Times New Roman" w:hAnsi="Times New Roman" w:eastAsia="宋体" w:cs="Times New Roman"/>
          <w:color w:val="auto"/>
          <w:kern w:val="2"/>
          <w:sz w:val="28"/>
          <w:szCs w:val="20"/>
          <w:lang w:val="en-US" w:eastAsia="zh-CN" w:bidi="ar-SA"/>
        </w:rPr>
        <w:t>不良事件上报</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不良事件报告系统为医院院内药物不良相关事件、输血不良相关事件、医疗不良相关事件以及设备物资不良相关事件的上报和查询提供统一的管理平台，提升不良事件上报的准确性和及时性，使医院相关部门能更快、更准地掌握不良事件发生发展的动向，以便及时有效地进行不良事件的预防和控制。</w:t>
      </w:r>
    </w:p>
    <w:p>
      <w:pPr>
        <w:pStyle w:val="6"/>
        <w:rPr>
          <w:rFonts w:ascii="Times New Roman" w:hAnsi="Times New Roman"/>
          <w:color w:val="auto"/>
          <w:szCs w:val="32"/>
        </w:rPr>
      </w:pPr>
      <w:r>
        <w:rPr>
          <w:rFonts w:hint="eastAsia" w:ascii="Times New Roman" w:hAnsi="Times New Roman" w:eastAsia="宋体" w:cs="Times New Roman"/>
          <w:color w:val="auto"/>
          <w:kern w:val="2"/>
          <w:sz w:val="28"/>
          <w:szCs w:val="20"/>
          <w:lang w:val="en-US" w:eastAsia="zh-CN" w:bidi="ar-SA"/>
        </w:rPr>
        <w:t>2.3.7.</w:t>
      </w:r>
      <w:r>
        <w:rPr>
          <w:rFonts w:hint="eastAsia" w:cs="Times New Roman"/>
          <w:color w:val="auto"/>
          <w:kern w:val="2"/>
          <w:sz w:val="28"/>
          <w:szCs w:val="20"/>
          <w:lang w:val="en-US" w:eastAsia="zh-CN" w:bidi="ar-SA"/>
        </w:rPr>
        <w:t>5</w:t>
      </w:r>
      <w:r>
        <w:rPr>
          <w:rFonts w:hint="eastAsia" w:ascii="Times New Roman" w:hAnsi="Times New Roman" w:eastAsia="宋体" w:cs="Times New Roman"/>
          <w:color w:val="auto"/>
          <w:kern w:val="2"/>
          <w:sz w:val="28"/>
          <w:szCs w:val="20"/>
          <w:lang w:val="en-US" w:eastAsia="zh-CN" w:bidi="ar-SA"/>
        </w:rPr>
        <w:t>手术分级管理系统</w:t>
      </w:r>
      <w:bookmarkEnd w:id="217"/>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以手术分级目录为基础,为具有不同专业技术职务任职资格的手术医生授予相应的手术权限，在手术申请流程中实现分级审批，保障手术安全进行。具体功能要求包括：手术等级设置、手术分级授权、分级审批流程等。</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rPr>
        <w:t>手术等级设置</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根据医疗机构级别和登记的诊疗科目，遵循国家、地方级的手术分级标准及ICD-9手术编码设置不同的手术等级。</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手术分级授权</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支持按医生手术职称自动或人工进行手术分级授权和审核，包括手术分级授权的新增、修改、删除、查询等功能。</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手术级别管理</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医生开具手术申请单时，根据手术技术难度、复杂性和风险度(如麻醉类型、是否输血、是否有附加手术等条件)进行手术级别确认。</w:t>
      </w:r>
    </w:p>
    <w:p>
      <w:pPr>
        <w:spacing w:line="360" w:lineRule="auto"/>
        <w:ind w:firstLine="48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分级审批管理</w:t>
      </w:r>
    </w:p>
    <w:p>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支持对不同级别手术由不同级别医生进行审批，对资格准人手术、高度风险手术、急诊手术、新技术新项目科研手术等特殊手术分级审批。</w:t>
      </w:r>
    </w:p>
    <w:bookmarkEnd w:id="216"/>
    <w:p>
      <w:pPr>
        <w:pStyle w:val="5"/>
        <w:rPr>
          <w:color w:val="auto"/>
        </w:rPr>
      </w:pPr>
      <w:bookmarkStart w:id="218" w:name="_Toc20751952"/>
      <w:r>
        <w:rPr>
          <w:rFonts w:hint="eastAsia"/>
          <w:color w:val="auto"/>
          <w:lang w:val="en-US" w:eastAsia="zh-CN"/>
        </w:rPr>
        <w:t>2.3.8</w:t>
      </w:r>
      <w:r>
        <w:rPr>
          <w:rFonts w:hint="eastAsia"/>
          <w:color w:val="auto"/>
        </w:rPr>
        <w:t>运维管理</w:t>
      </w:r>
    </w:p>
    <w:p>
      <w:pPr>
        <w:pStyle w:val="6"/>
        <w:rPr>
          <w:rFonts w:ascii="Times New Roman" w:hAnsi="Times New Roman"/>
          <w:color w:val="auto"/>
        </w:rPr>
      </w:pPr>
      <w:r>
        <w:rPr>
          <w:rFonts w:hint="eastAsia" w:ascii="Times New Roman" w:hAnsi="Times New Roman" w:eastAsia="宋体" w:cs="Times New Roman"/>
          <w:color w:val="auto"/>
          <w:kern w:val="2"/>
          <w:sz w:val="28"/>
          <w:szCs w:val="20"/>
          <w:lang w:val="en-US" w:eastAsia="zh-CN" w:bidi="ar-SA"/>
        </w:rPr>
        <w:t>2.3.</w:t>
      </w:r>
      <w:r>
        <w:rPr>
          <w:rFonts w:hint="eastAsia" w:cs="Times New Roman"/>
          <w:color w:val="auto"/>
          <w:kern w:val="2"/>
          <w:sz w:val="28"/>
          <w:szCs w:val="20"/>
          <w:lang w:val="en-US" w:eastAsia="zh-CN" w:bidi="ar-SA"/>
        </w:rPr>
        <w:t>8</w:t>
      </w:r>
      <w:r>
        <w:rPr>
          <w:rFonts w:hint="eastAsia" w:ascii="Times New Roman" w:hAnsi="Times New Roman" w:eastAsia="宋体" w:cs="Times New Roman"/>
          <w:color w:val="auto"/>
          <w:kern w:val="2"/>
          <w:sz w:val="28"/>
          <w:szCs w:val="20"/>
          <w:lang w:val="en-US" w:eastAsia="zh-CN" w:bidi="ar-SA"/>
        </w:rPr>
        <w:t>.</w:t>
      </w:r>
      <w:r>
        <w:rPr>
          <w:rFonts w:hint="eastAsia" w:cs="Times New Roman"/>
          <w:color w:val="auto"/>
          <w:kern w:val="2"/>
          <w:sz w:val="28"/>
          <w:szCs w:val="20"/>
          <w:lang w:val="en-US" w:eastAsia="zh-CN" w:bidi="ar-SA"/>
        </w:rPr>
        <w:t>1</w:t>
      </w:r>
      <w:r>
        <w:rPr>
          <w:rFonts w:hint="eastAsia" w:ascii="Times New Roman" w:hAnsi="Times New Roman" w:eastAsia="宋体" w:cs="Times New Roman"/>
          <w:color w:val="auto"/>
          <w:kern w:val="2"/>
          <w:sz w:val="28"/>
          <w:szCs w:val="20"/>
          <w:lang w:val="en-US" w:eastAsia="zh-CN" w:bidi="ar-SA"/>
        </w:rPr>
        <w:t>运维管理系统</w:t>
      </w:r>
      <w:bookmarkEnd w:id="218"/>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要求对系统的安全和扩展负责，提供可视化的安装、卸载、升级、版本管理、人员角色管理、权限管理等功能，系统配置的安全备份与恢复，系统字典表的维护与维护授权，系统运行模式、系统参数的配置与调整，系统运行状态的监控与干预；重大的业务扩展（增加部门、增加费别等），各类资源（员工、药品、部门、单据等）的管理与授权</w:t>
      </w:r>
      <w:bookmarkStart w:id="219" w:name="_Toc316370810"/>
      <w:r>
        <w:rPr>
          <w:rFonts w:hint="eastAsia" w:ascii="宋体" w:hAnsi="宋体" w:eastAsia="宋体" w:cs="Times New Roman"/>
          <w:color w:val="auto"/>
          <w:sz w:val="24"/>
        </w:rPr>
        <w:t>。</w:t>
      </w:r>
      <w:bookmarkEnd w:id="219"/>
    </w:p>
    <w:p>
      <w:pPr>
        <w:pStyle w:val="5"/>
        <w:rPr>
          <w:color w:val="auto"/>
        </w:rPr>
      </w:pPr>
      <w:r>
        <w:rPr>
          <w:rFonts w:hint="eastAsia" w:ascii="Times New Roman" w:hAnsi="Times New Roman" w:eastAsia="宋体" w:cs="Times New Roman"/>
          <w:color w:val="auto"/>
          <w:kern w:val="2"/>
          <w:sz w:val="28"/>
          <w:szCs w:val="20"/>
          <w:lang w:val="en-US" w:eastAsia="zh-CN" w:bidi="ar-SA"/>
        </w:rPr>
        <w:t>2.3.</w:t>
      </w:r>
      <w:r>
        <w:rPr>
          <w:rFonts w:hint="eastAsia" w:cs="Times New Roman"/>
          <w:color w:val="auto"/>
          <w:kern w:val="2"/>
          <w:sz w:val="28"/>
          <w:szCs w:val="20"/>
          <w:lang w:val="en-US" w:eastAsia="zh-CN" w:bidi="ar-SA"/>
        </w:rPr>
        <w:t>9</w:t>
      </w:r>
      <w:r>
        <w:rPr>
          <w:rFonts w:hint="eastAsia"/>
          <w:color w:val="auto"/>
        </w:rPr>
        <w:t>外部接口</w:t>
      </w:r>
    </w:p>
    <w:p>
      <w:pPr>
        <w:pStyle w:val="2"/>
        <w:ind w:firstLine="480" w:firstLineChars="200"/>
        <w:rPr>
          <w:rFonts w:hint="eastAsia" w:ascii="宋体" w:hAnsi="宋体" w:cs="宋体"/>
          <w:b/>
          <w:bCs/>
          <w:color w:val="auto"/>
          <w:kern w:val="2"/>
          <w:sz w:val="28"/>
          <w:szCs w:val="28"/>
          <w:lang w:val="en-US" w:eastAsia="zh-CN" w:bidi="ar-SA"/>
        </w:rPr>
      </w:pPr>
      <w:r>
        <w:rPr>
          <w:rFonts w:hint="eastAsia" w:ascii="宋体" w:hAnsi="宋体" w:eastAsia="宋体" w:cs="Times New Roman"/>
          <w:color w:val="auto"/>
          <w:kern w:val="2"/>
          <w:sz w:val="24"/>
          <w:szCs w:val="24"/>
          <w:lang w:val="en-US" w:eastAsia="zh-CN" w:bidi="ar-SA"/>
        </w:rPr>
        <w:t>要求实现HIS系统与外部其他系统的接口，包括：医保接口（普通医保、农保）、卫生统计系统接口、PACS接口、LIS接口。</w:t>
      </w:r>
    </w:p>
    <w:p>
      <w:pPr>
        <w:pStyle w:val="3"/>
        <w:spacing w:line="360" w:lineRule="auto"/>
        <w:jc w:val="center"/>
        <w:rPr>
          <w:rFonts w:hint="eastAsia" w:ascii="宋体" w:hAnsi="宋体" w:eastAsia="宋体" w:cs="宋体"/>
          <w:b/>
          <w:bCs/>
          <w:color w:val="auto"/>
          <w:kern w:val="2"/>
          <w:sz w:val="28"/>
          <w:szCs w:val="28"/>
          <w:lang w:val="en-US" w:eastAsia="zh-CN" w:bidi="ar-SA"/>
        </w:rPr>
      </w:pPr>
      <w:r>
        <w:rPr>
          <w:rFonts w:hint="eastAsia" w:ascii="宋体" w:hAnsi="宋体" w:cs="宋体"/>
          <w:b/>
          <w:bCs/>
          <w:color w:val="auto"/>
          <w:kern w:val="2"/>
          <w:sz w:val="28"/>
          <w:szCs w:val="28"/>
          <w:lang w:val="en-US" w:eastAsia="zh-CN" w:bidi="ar-SA"/>
        </w:rPr>
        <w:t xml:space="preserve">3 </w:t>
      </w:r>
      <w:r>
        <w:rPr>
          <w:rFonts w:hint="eastAsia" w:ascii="宋体" w:hAnsi="宋体" w:eastAsia="宋体" w:cs="宋体"/>
          <w:b/>
          <w:bCs/>
          <w:color w:val="auto"/>
          <w:kern w:val="2"/>
          <w:sz w:val="28"/>
          <w:szCs w:val="28"/>
          <w:lang w:val="en-US" w:eastAsia="zh-CN" w:bidi="ar-SA"/>
        </w:rPr>
        <w:t>技术服务要求</w:t>
      </w:r>
    </w:p>
    <w:p>
      <w:pPr>
        <w:pStyle w:val="4"/>
        <w:numPr>
          <w:ilvl w:val="1"/>
          <w:numId w:val="0"/>
        </w:numPr>
        <w:spacing w:line="360" w:lineRule="auto"/>
        <w:ind w:left="709" w:leftChars="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3.1 实施要求</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根据项目的整体需求并结合实际情况，本次招标内容要求在签订合同之日起3个月内实施完成。</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1、中标人应负责将本项目在投标人单位内部开发、测试合格后，再到招标方提供的设备上，经检验后进行安装调试，直至验收合格。</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2、中标人必须确保在整个项目过程中遵守国家及行业相关法规、标准和规范。</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3、中标人必须在对整个项目过程进行科学、有效的项目管理</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4、投标人在投标文件中，应针对项目制定合理的实施步骤，包含需求调研、客户化改造、测试、数据准备、培训考核等</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5、投标人在投标文件中应提供切实可行的实施工作进度保障方案及控制措施，以确保项目质量和进度。</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6、投标人应在投标文件中明确承诺保证项目建设团队的主要人员的稳定性。中标人不得在未经招标人同意的情况下更换项目经理。</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7、如在项目实施过程中需要调整内容、进度等，需经双方共同同意，按合同变更程序办理。</w:t>
      </w:r>
    </w:p>
    <w:p>
      <w:pPr>
        <w:pStyle w:val="4"/>
        <w:numPr>
          <w:ilvl w:val="1"/>
          <w:numId w:val="0"/>
        </w:numPr>
        <w:spacing w:line="360" w:lineRule="auto"/>
        <w:ind w:left="709" w:leftChars="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3.2 培训要求</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中标人必须根据系统软件的功能和特点，充分考虑到系统使用人员的实际水平，提出详细的系统培训方案。目标是通过系统培训以达到系统管理人员能够具备独立管理中标人所提供的系统软件和日常的维护处理能力，各级业务人员能够熟练使用系统软件，确保应用系统能够真正的用起来。</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1、中标人必须针对本系统软件及采用的相关技术等提出全面培训计划和培训方案并征得采购人同意后实施，培训服务工作须满足招标文件要求。</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2、培训对象应分为普通业务操作员、系统管理员，中标人必须针对不同的对象制定不同的培训计划，并分别培训。</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3、中标人应保证提供有经验的教员，使采购方相关人员在培训后能够独立地对系统进行管理、维护，而不需中标人的人员在场指导。</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4、培训内容包括应用软件操作、操作系统、后台数据库管理等培训。</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5、中标人必须为所有被培训人员进行现场培训。</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6、业务系统操作培训工作应在系统安装之前结束。</w:t>
      </w:r>
    </w:p>
    <w:p>
      <w:pPr>
        <w:spacing w:line="360" w:lineRule="auto"/>
        <w:ind w:firstLine="480"/>
        <w:rPr>
          <w:rFonts w:hint="eastAsia" w:ascii="宋体" w:hAnsi="宋体" w:eastAsia="宋体" w:cs="Times New Roman"/>
          <w:color w:val="auto"/>
          <w:sz w:val="24"/>
        </w:rPr>
      </w:pPr>
      <w:r>
        <w:rPr>
          <w:rFonts w:hint="eastAsia" w:ascii="宋体" w:hAnsi="宋体" w:eastAsia="宋体" w:cs="Times New Roman"/>
          <w:color w:val="auto"/>
          <w:sz w:val="24"/>
        </w:rPr>
        <w:t>7、与培训相关的费用，投标人应当一并计算在投标报价中。</w:t>
      </w:r>
    </w:p>
    <w:p>
      <w:pPr>
        <w:pStyle w:val="4"/>
        <w:numPr>
          <w:ilvl w:val="1"/>
          <w:numId w:val="0"/>
        </w:numPr>
        <w:spacing w:line="360" w:lineRule="auto"/>
        <w:ind w:left="709" w:leftChars="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3.3 验收及售后服务要求</w:t>
      </w:r>
    </w:p>
    <w:p>
      <w:pPr>
        <w:pStyle w:val="43"/>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1、系统正式运行一个月后进行软件系统验收，验收人员由采购人相关人员与中标人代表共同组成。</w:t>
      </w:r>
    </w:p>
    <w:p>
      <w:pPr>
        <w:pStyle w:val="43"/>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2、中标人应负责对本次项目采购的各功能软件、提供一年的免费服务期（起始日期为系统验收第二天起）。</w:t>
      </w:r>
    </w:p>
    <w:p>
      <w:pPr>
        <w:pStyle w:val="43"/>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3、服务期内的技术服务</w:t>
      </w:r>
    </w:p>
    <w:p>
      <w:pPr>
        <w:pStyle w:val="43"/>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rPr>
        <w:t>优化服务。提供在正常条件下改进系统性能的各项建议，包括系统资源分配与效率改进建议、软件配置规划和性能优化建议、系统容量预测建议等。</w:t>
      </w:r>
    </w:p>
    <w:p>
      <w:pPr>
        <w:pStyle w:val="43"/>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rPr>
        <w:t>咨询服务。提供系统软件应用和维护技术咨询服务。</w:t>
      </w:r>
    </w:p>
    <w:p>
      <w:pPr>
        <w:pStyle w:val="43"/>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rPr>
        <w:t>电话或现场技术服务。提供电话或现场技术服务。</w:t>
      </w:r>
    </w:p>
    <w:p>
      <w:pPr>
        <w:pStyle w:val="43"/>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中标人必须按招标方指定的方式提供7×24小时支持维护服务并在30分钟内响应，维护方式包括邮件、电话、远程维护、现场服务等方式。必须保证有足够的人员及技术支持电话负责本系统运维工作，对于与所供产品有关的问题无法远程解决的必须派人现场解决的问题，保证在收到现场服务通知后，4小时内到达现场，24小时内未解决的成交供应商应提供详细的应急解决方案。</w:t>
      </w:r>
    </w:p>
    <w:p>
      <w:pPr>
        <w:pStyle w:val="43"/>
        <w:ind w:firstLine="480"/>
        <w:rPr>
          <w:color w:val="auto"/>
        </w:rPr>
      </w:pPr>
    </w:p>
    <w:p>
      <w:pPr>
        <w:pStyle w:val="35"/>
        <w:keepNext w:val="0"/>
        <w:keepLines w:val="0"/>
        <w:pageBreakBefore w:val="0"/>
        <w:widowControl w:val="0"/>
        <w:kinsoku/>
        <w:wordWrap/>
        <w:overflowPunct/>
        <w:topLinePunct w:val="0"/>
        <w:autoSpaceDE/>
        <w:autoSpaceDN/>
        <w:bidi w:val="0"/>
        <w:adjustRightInd/>
        <w:spacing w:line="480" w:lineRule="exact"/>
        <w:ind w:left="0" w:leftChars="0" w:firstLine="281" w:firstLineChars="100"/>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 xml:space="preserve">4 </w:t>
      </w:r>
      <w:r>
        <w:rPr>
          <w:rFonts w:hint="eastAsia" w:ascii="宋体" w:hAnsi="宋体" w:eastAsia="宋体" w:cs="宋体"/>
          <w:b/>
          <w:bCs/>
          <w:color w:val="auto"/>
          <w:kern w:val="2"/>
          <w:sz w:val="28"/>
          <w:szCs w:val="28"/>
          <w:highlight w:val="none"/>
          <w:lang w:val="en-US" w:eastAsia="zh-CN" w:bidi="ar-SA"/>
        </w:rPr>
        <w:t>付款方式</w:t>
      </w:r>
    </w:p>
    <w:p>
      <w:pPr>
        <w:pStyle w:val="35"/>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签订完成，采购方支付合同总价款的20%作为预付款，合同期满全部服务完成并满足服务要求后，采购方再次支付合同总价款的75%，剩余合同总价款的5%作为质量保证金，在服务期满一年后无任何经济纠纷后结清（无息）。</w:t>
      </w:r>
    </w:p>
    <w:p>
      <w:pPr>
        <w:pStyle w:val="35"/>
        <w:keepNext w:val="0"/>
        <w:keepLines w:val="0"/>
        <w:pageBreakBefore w:val="0"/>
        <w:widowControl w:val="0"/>
        <w:kinsoku/>
        <w:wordWrap/>
        <w:overflowPunct/>
        <w:topLinePunct w:val="0"/>
        <w:autoSpaceDE/>
        <w:autoSpaceDN/>
        <w:bidi w:val="0"/>
        <w:adjustRightInd/>
        <w:spacing w:line="480" w:lineRule="exact"/>
        <w:ind w:left="0" w:leftChars="0" w:firstLine="281" w:firstLineChars="10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5 其他</w:t>
      </w:r>
    </w:p>
    <w:p>
      <w:pPr>
        <w:pStyle w:val="35"/>
        <w:spacing w:line="440" w:lineRule="exact"/>
        <w:rPr>
          <w:rFonts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供应商在</w:t>
      </w:r>
      <w:r>
        <w:rPr>
          <w:rFonts w:hint="eastAsia" w:ascii="宋体" w:hAnsi="宋体" w:eastAsia="宋体" w:cs="宋体"/>
          <w:color w:val="auto"/>
          <w:lang w:val="en-US" w:eastAsia="zh-CN"/>
        </w:rPr>
        <w:t>投标</w:t>
      </w:r>
      <w:r>
        <w:rPr>
          <w:rFonts w:hint="eastAsia" w:ascii="宋体" w:hAnsi="宋体" w:eastAsia="宋体" w:cs="宋体"/>
          <w:color w:val="auto"/>
        </w:rPr>
        <w:t>文件中的承诺内容必须达到本篇及采购文件其他条款的要求。</w:t>
      </w:r>
    </w:p>
    <w:p>
      <w:pPr>
        <w:pStyle w:val="35"/>
        <w:spacing w:line="440" w:lineRule="exact"/>
        <w:rPr>
          <w:rFonts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其他未尽事宜由供需双方在采购合同中详细约定。</w:t>
      </w:r>
    </w:p>
    <w:p>
      <w:pPr>
        <w:pStyle w:val="35"/>
        <w:spacing w:line="440" w:lineRule="exact"/>
        <w:ind w:left="0" w:leftChars="0" w:firstLine="0" w:firstLineChars="0"/>
        <w:rPr>
          <w:rFonts w:hint="default" w:asciiTheme="minorEastAsia" w:hAnsiTheme="minorEastAsia" w:eastAsiaTheme="minorEastAsia" w:cstheme="minorEastAsia"/>
          <w:b/>
          <w:bCs/>
          <w:color w:val="auto"/>
          <w:kern w:val="2"/>
          <w:sz w:val="24"/>
          <w:szCs w:val="24"/>
          <w:highlight w:val="none"/>
          <w:lang w:val="en-US" w:eastAsia="zh-CN" w:bidi="ar-SA"/>
        </w:rPr>
        <w:sectPr>
          <w:footerReference r:id="rId4" w:type="default"/>
          <w:pgSz w:w="11906" w:h="16838"/>
          <w:pgMar w:top="1440" w:right="1083" w:bottom="1440" w:left="1083" w:header="851" w:footer="992" w:gutter="0"/>
          <w:pgNumType w:fmt="numberInDash"/>
          <w:cols w:space="0" w:num="1"/>
          <w:rtlGutter w:val="0"/>
          <w:docGrid w:type="lines" w:linePitch="314" w:charSpace="0"/>
        </w:sectPr>
      </w:pPr>
    </w:p>
    <w:p>
      <w:pPr>
        <w:keepNext w:val="0"/>
        <w:keepLines w:val="0"/>
        <w:pageBreakBefore/>
        <w:widowControl w:val="0"/>
        <w:numPr>
          <w:ilvl w:val="0"/>
          <w:numId w:val="6"/>
        </w:numPr>
        <w:tabs>
          <w:tab w:val="left" w:pos="7665"/>
        </w:tabs>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rPr>
        <w:t>合同协议书（主要内容）</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ascii="宋体" w:hAnsi="宋体" w:eastAsia="宋体" w:cs="宋体"/>
          <w:b/>
          <w:color w:val="auto"/>
          <w:szCs w:val="21"/>
          <w:u w:val="single"/>
        </w:rPr>
      </w:pPr>
      <w:r>
        <w:rPr>
          <w:rFonts w:hint="eastAsia" w:ascii="宋体" w:hAnsi="宋体" w:eastAsia="宋体" w:cs="宋体"/>
          <w:b/>
          <w:color w:val="auto"/>
          <w:szCs w:val="21"/>
          <w:lang w:val="en-US" w:eastAsia="zh-CN"/>
        </w:rPr>
        <w:t>采购</w:t>
      </w:r>
      <w:r>
        <w:rPr>
          <w:rFonts w:hint="eastAsia" w:ascii="宋体" w:hAnsi="宋体" w:eastAsia="宋体" w:cs="宋体"/>
          <w:b/>
          <w:color w:val="auto"/>
          <w:szCs w:val="21"/>
        </w:rPr>
        <w:t>人（全称）：</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供应商（全称）：</w:t>
      </w:r>
    </w:p>
    <w:p>
      <w:pPr>
        <w:keepLines w:val="0"/>
        <w:pageBreakBefore w:val="0"/>
        <w:widowControl w:val="0"/>
        <w:kinsoku/>
        <w:wordWrap/>
        <w:overflowPunct/>
        <w:topLinePunct w:val="0"/>
        <w:autoSpaceDE/>
        <w:autoSpaceDN/>
        <w:bidi w:val="0"/>
        <w:adjustRightInd/>
        <w:snapToGrid/>
        <w:spacing w:line="4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根据 </w:t>
      </w:r>
      <w:r>
        <w:rPr>
          <w:rFonts w:hint="eastAsia" w:ascii="宋体" w:hAnsi="宋体" w:eastAsia="宋体" w:cs="宋体"/>
          <w:color w:val="auto"/>
          <w:sz w:val="21"/>
          <w:szCs w:val="21"/>
          <w:u w:val="single"/>
        </w:rPr>
        <w:t xml:space="preserve">              项目</w:t>
      </w:r>
      <w:r>
        <w:rPr>
          <w:rFonts w:hint="eastAsia" w:ascii="宋体" w:hAnsi="宋体" w:eastAsia="宋体" w:cs="宋体"/>
          <w:color w:val="auto"/>
          <w:sz w:val="21"/>
          <w:szCs w:val="21"/>
        </w:rPr>
        <w:t>的采购结果，按照《中华人民共和国政府采购法》、</w:t>
      </w:r>
      <w:r>
        <w:rPr>
          <w:rFonts w:hint="eastAsia" w:asciiTheme="majorEastAsia" w:hAnsiTheme="majorEastAsia" w:eastAsiaTheme="majorEastAsia" w:cstheme="majorEastAsia"/>
          <w:color w:val="auto"/>
          <w:szCs w:val="21"/>
        </w:rPr>
        <w:t>《中华人民共和国民法典》</w:t>
      </w:r>
      <w:r>
        <w:rPr>
          <w:rFonts w:hint="eastAsia" w:ascii="宋体" w:hAnsi="宋体" w:eastAsia="宋体" w:cs="宋体"/>
          <w:color w:val="auto"/>
          <w:sz w:val="21"/>
          <w:szCs w:val="21"/>
        </w:rPr>
        <w:t>的规定，</w:t>
      </w:r>
      <w:r>
        <w:rPr>
          <w:rFonts w:hint="eastAsia" w:ascii="宋体" w:hAnsi="宋体" w:eastAsia="宋体" w:cs="宋体"/>
          <w:color w:val="auto"/>
          <w:kern w:val="28"/>
          <w:sz w:val="21"/>
          <w:szCs w:val="21"/>
        </w:rPr>
        <w:t>经双方协商，</w:t>
      </w:r>
      <w:r>
        <w:rPr>
          <w:rFonts w:hint="eastAsia" w:ascii="宋体" w:hAnsi="宋体" w:eastAsia="宋体" w:cs="宋体"/>
          <w:color w:val="auto"/>
          <w:sz w:val="21"/>
          <w:szCs w:val="21"/>
        </w:rPr>
        <w:t>本着平等互利和诚实信用的原则，</w:t>
      </w:r>
      <w:r>
        <w:rPr>
          <w:rFonts w:hint="eastAsia" w:ascii="宋体" w:hAnsi="宋体" w:eastAsia="宋体" w:cs="宋体"/>
          <w:color w:val="auto"/>
          <w:kern w:val="28"/>
          <w:sz w:val="21"/>
          <w:szCs w:val="21"/>
        </w:rPr>
        <w:t>一致同意签订本合同如下。</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rPr>
        <w:t>服务内容</w:t>
      </w:r>
      <w:r>
        <w:rPr>
          <w:rFonts w:hint="eastAsia" w:ascii="宋体" w:hAnsi="宋体" w:eastAsia="宋体" w:cs="宋体"/>
          <w:b/>
          <w:color w:val="auto"/>
          <w:sz w:val="21"/>
          <w:szCs w:val="21"/>
          <w:lang w:eastAsia="zh-CN"/>
        </w:rPr>
        <w:t>：</w:t>
      </w:r>
      <w:r>
        <w:rPr>
          <w:rFonts w:hint="eastAsia" w:ascii="宋体" w:hAnsi="宋体" w:eastAsia="宋体" w:cs="宋体"/>
          <w:color w:val="auto"/>
          <w:szCs w:val="21"/>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rPr>
        <w:t>合同金额</w:t>
      </w:r>
      <w:r>
        <w:rPr>
          <w:rFonts w:hint="eastAsia" w:ascii="宋体" w:hAnsi="宋体" w:eastAsia="宋体" w:cs="宋体"/>
          <w:b/>
          <w:color w:val="auto"/>
          <w:sz w:val="21"/>
          <w:szCs w:val="21"/>
          <w:lang w:eastAsia="zh-CN"/>
        </w:rPr>
        <w:t>：</w:t>
      </w:r>
      <w:r>
        <w:rPr>
          <w:rFonts w:hint="eastAsia" w:ascii="宋体" w:hAnsi="宋体" w:eastAsia="宋体" w:cs="宋体"/>
          <w:color w:val="auto"/>
          <w:szCs w:val="21"/>
          <w:u w:val="single"/>
        </w:rPr>
        <w:t xml:space="preserve">                                    </w:t>
      </w:r>
    </w:p>
    <w:p>
      <w:pPr>
        <w:keepLines w:val="0"/>
        <w:pageBreakBefore w:val="0"/>
        <w:widowControl w:val="0"/>
        <w:tabs>
          <w:tab w:val="left" w:pos="851"/>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合同金额为（大写）：_________________元（￥_______________元）人民币。</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服务要求及标准</w:t>
      </w:r>
      <w:r>
        <w:rPr>
          <w:rFonts w:hint="eastAsia" w:ascii="宋体" w:hAnsi="宋体" w:eastAsia="宋体" w:cs="宋体"/>
          <w:b/>
          <w:color w:val="auto"/>
          <w:sz w:val="21"/>
          <w:szCs w:val="21"/>
          <w:lang w:eastAsia="zh-CN"/>
        </w:rPr>
        <w:t>：</w:t>
      </w:r>
      <w:r>
        <w:rPr>
          <w:rFonts w:hint="eastAsia" w:ascii="宋体" w:hAnsi="宋体" w:eastAsia="宋体" w:cs="宋体"/>
          <w:color w:val="auto"/>
          <w:szCs w:val="21"/>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rPr>
        <w:t>服务期限、服务地点</w:t>
      </w:r>
    </w:p>
    <w:p>
      <w:pPr>
        <w:keepLines w:val="0"/>
        <w:pageBreakBefore w:val="0"/>
        <w:widowControl w:val="0"/>
        <w:tabs>
          <w:tab w:val="left" w:pos="851"/>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服务期限：</w:t>
      </w:r>
      <w:r>
        <w:rPr>
          <w:rFonts w:hint="eastAsia" w:ascii="宋体" w:hAnsi="宋体" w:eastAsia="宋体" w:cs="宋体"/>
          <w:color w:val="auto"/>
          <w:szCs w:val="21"/>
          <w:u w:val="single"/>
        </w:rPr>
        <w:t xml:space="preserve">                                    </w:t>
      </w:r>
    </w:p>
    <w:p>
      <w:pPr>
        <w:keepLines w:val="0"/>
        <w:pageBreakBefore w:val="0"/>
        <w:widowControl w:val="0"/>
        <w:tabs>
          <w:tab w:val="left" w:pos="851"/>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服务地点：</w:t>
      </w:r>
      <w:r>
        <w:rPr>
          <w:rFonts w:hint="eastAsia" w:ascii="宋体" w:hAnsi="宋体" w:eastAsia="宋体" w:cs="宋体"/>
          <w:color w:val="auto"/>
          <w:szCs w:val="21"/>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1476" w:leftChars="0" w:hanging="1476" w:hangingChars="7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五、</w:t>
      </w:r>
      <w:r>
        <w:rPr>
          <w:rFonts w:hint="eastAsia" w:ascii="宋体" w:hAnsi="宋体" w:eastAsia="宋体" w:cs="宋体"/>
          <w:b/>
          <w:color w:val="auto"/>
          <w:sz w:val="21"/>
          <w:szCs w:val="21"/>
        </w:rPr>
        <w:t>付款方式</w:t>
      </w:r>
      <w:r>
        <w:rPr>
          <w:rFonts w:hint="eastAsia" w:ascii="宋体" w:hAnsi="宋体" w:eastAsia="宋体" w:cs="宋体"/>
          <w:b/>
          <w:color w:val="auto"/>
          <w:sz w:val="21"/>
          <w:szCs w:val="21"/>
          <w:lang w:eastAsia="zh-CN"/>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eastAsia="zh-CN"/>
        </w:rPr>
        <w:t>。</w:t>
      </w:r>
      <w:r>
        <w:rPr>
          <w:rFonts w:hint="eastAsia" w:ascii="宋体" w:hAnsi="宋体" w:eastAsia="宋体" w:cs="宋体"/>
          <w:color w:val="auto"/>
          <w:szCs w:val="21"/>
          <w:highlight w:val="none"/>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六、</w:t>
      </w:r>
      <w:r>
        <w:rPr>
          <w:rFonts w:hint="eastAsia" w:ascii="宋体" w:hAnsi="宋体" w:eastAsia="宋体" w:cs="宋体"/>
          <w:b/>
          <w:bCs/>
          <w:color w:val="auto"/>
          <w:sz w:val="21"/>
          <w:szCs w:val="21"/>
        </w:rPr>
        <w:t>服务考核办法</w:t>
      </w:r>
      <w:r>
        <w:rPr>
          <w:rFonts w:hint="eastAsia" w:ascii="宋体" w:hAnsi="宋体" w:eastAsia="宋体" w:cs="宋体"/>
          <w:b/>
          <w:bCs/>
          <w:color w:val="auto"/>
          <w:sz w:val="21"/>
          <w:szCs w:val="21"/>
          <w:lang w:eastAsia="zh-CN"/>
        </w:rPr>
        <w:t>：</w:t>
      </w:r>
      <w:r>
        <w:rPr>
          <w:rFonts w:hint="eastAsia" w:ascii="宋体" w:hAnsi="宋体" w:eastAsia="宋体" w:cs="宋体"/>
          <w:color w:val="auto"/>
          <w:szCs w:val="21"/>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七、</w:t>
      </w:r>
      <w:r>
        <w:rPr>
          <w:rFonts w:hint="eastAsia" w:ascii="宋体" w:hAnsi="宋体" w:eastAsia="宋体" w:cs="宋体"/>
          <w:b/>
          <w:color w:val="auto"/>
          <w:sz w:val="21"/>
          <w:szCs w:val="21"/>
        </w:rPr>
        <w:t>违约责任与赔偿损失</w:t>
      </w:r>
      <w:r>
        <w:rPr>
          <w:rFonts w:hint="eastAsia" w:ascii="宋体" w:hAnsi="宋体" w:eastAsia="宋体" w:cs="宋体"/>
          <w:b/>
          <w:color w:val="auto"/>
          <w:sz w:val="21"/>
          <w:szCs w:val="21"/>
          <w:lang w:eastAsia="zh-CN"/>
        </w:rPr>
        <w:t>：</w:t>
      </w:r>
      <w:r>
        <w:rPr>
          <w:rFonts w:hint="eastAsia" w:ascii="宋体" w:hAnsi="宋体" w:eastAsia="宋体" w:cs="宋体"/>
          <w:color w:val="auto"/>
          <w:szCs w:val="21"/>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八、</w:t>
      </w:r>
      <w:r>
        <w:rPr>
          <w:rFonts w:hint="eastAsia" w:ascii="宋体" w:hAnsi="宋体" w:eastAsia="宋体" w:cs="宋体"/>
          <w:b/>
          <w:color w:val="auto"/>
          <w:sz w:val="21"/>
          <w:szCs w:val="21"/>
        </w:rPr>
        <w:t>争议的解决</w:t>
      </w:r>
    </w:p>
    <w:p>
      <w:pPr>
        <w:keepLines w:val="0"/>
        <w:pageBreakBefore w:val="0"/>
        <w:widowControl w:val="0"/>
        <w:tabs>
          <w:tab w:val="left" w:pos="851"/>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合同执行过程中发生的任何争议，如双方不能通过友好协商解决，按相关法律法规处理(合同双方一致同意提请</w:t>
      </w:r>
      <w:r>
        <w:rPr>
          <w:rFonts w:hint="eastAsia" w:ascii="宋体" w:hAnsi="宋体" w:cs="宋体"/>
          <w:color w:val="auto"/>
          <w:sz w:val="21"/>
          <w:szCs w:val="21"/>
          <w:lang w:val="en-US" w:eastAsia="zh-CN"/>
        </w:rPr>
        <w:t>乌尔禾</w:t>
      </w:r>
      <w:r>
        <w:rPr>
          <w:rFonts w:hint="eastAsia" w:ascii="宋体" w:hAnsi="宋体" w:eastAsia="宋体" w:cs="宋体"/>
          <w:color w:val="auto"/>
          <w:sz w:val="21"/>
          <w:szCs w:val="21"/>
        </w:rPr>
        <w:t>区仲裁委员会仲裁或向甲方所在地的人民法院提起诉讼)。</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九、</w:t>
      </w:r>
      <w:r>
        <w:rPr>
          <w:rFonts w:hint="eastAsia" w:ascii="宋体" w:hAnsi="宋体" w:eastAsia="宋体" w:cs="宋体"/>
          <w:b/>
          <w:color w:val="auto"/>
          <w:sz w:val="21"/>
          <w:szCs w:val="21"/>
        </w:rPr>
        <w:t>不可抗力</w:t>
      </w:r>
    </w:p>
    <w:p>
      <w:pPr>
        <w:keepLines w:val="0"/>
        <w:pageBreakBefore w:val="0"/>
        <w:widowControl w:val="0"/>
        <w:tabs>
          <w:tab w:val="left" w:pos="851"/>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十、</w:t>
      </w:r>
      <w:r>
        <w:rPr>
          <w:rFonts w:hint="eastAsia" w:ascii="宋体" w:hAnsi="宋体" w:eastAsia="宋体" w:cs="宋体"/>
          <w:b/>
          <w:color w:val="auto"/>
          <w:sz w:val="21"/>
          <w:szCs w:val="21"/>
        </w:rPr>
        <w:t>税费</w:t>
      </w:r>
    </w:p>
    <w:p>
      <w:pPr>
        <w:keepLines w:val="0"/>
        <w:pageBreakBefore w:val="0"/>
        <w:widowControl w:val="0"/>
        <w:tabs>
          <w:tab w:val="left" w:pos="851"/>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在中国境内、外发生的与本合同执行有关的一切税费均由乙方负担。</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十一、</w:t>
      </w:r>
      <w:r>
        <w:rPr>
          <w:rFonts w:hint="eastAsia" w:ascii="宋体" w:hAnsi="宋体" w:eastAsia="宋体" w:cs="宋体"/>
          <w:b/>
          <w:color w:val="auto"/>
          <w:sz w:val="21"/>
          <w:szCs w:val="21"/>
        </w:rPr>
        <w:t>其它</w:t>
      </w:r>
    </w:p>
    <w:p>
      <w:pPr>
        <w:keepLines w:val="0"/>
        <w:pageBreakBefore w:val="0"/>
        <w:widowControl w:val="0"/>
        <w:tabs>
          <w:tab w:val="left" w:pos="851"/>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本合同所有附件、</w:t>
      </w:r>
      <w:r>
        <w:rPr>
          <w:rFonts w:hint="eastAsia" w:ascii="宋体" w:hAnsi="宋体" w:cs="宋体"/>
          <w:color w:val="auto"/>
          <w:sz w:val="21"/>
          <w:szCs w:val="21"/>
          <w:lang w:eastAsia="zh-CN"/>
        </w:rPr>
        <w:t>招标</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、投标文件、中标通知书均为合同的有效组成部分，与本合同具有同等法律效力。</w:t>
      </w:r>
    </w:p>
    <w:p>
      <w:pPr>
        <w:keepLines w:val="0"/>
        <w:pageBreakBefore w:val="0"/>
        <w:widowControl w:val="0"/>
        <w:tabs>
          <w:tab w:val="left" w:pos="851"/>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在执行本合同的过程中，所有经双方签署确认的文件（包括会议纪要、补充协议、往来信函）即成为本合同的有效组成部分。</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如一方地址、电话、传真号码有变更，应在变更当日内书面通知对方，否则，应承担相应责任。</w:t>
      </w:r>
    </w:p>
    <w:p>
      <w:pPr>
        <w:pStyle w:val="6"/>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bCs/>
          <w:color w:val="auto"/>
          <w:sz w:val="21"/>
          <w:szCs w:val="21"/>
        </w:rPr>
      </w:pPr>
      <w:bookmarkStart w:id="220" w:name="_Toc351203489"/>
      <w:r>
        <w:rPr>
          <w:rFonts w:hint="eastAsia" w:ascii="宋体" w:hAnsi="宋体" w:cs="宋体"/>
          <w:b/>
          <w:color w:val="auto"/>
          <w:sz w:val="21"/>
          <w:szCs w:val="21"/>
          <w:lang w:val="en-US" w:eastAsia="zh-CN"/>
        </w:rPr>
        <w:t>十二</w:t>
      </w:r>
      <w:r>
        <w:rPr>
          <w:rFonts w:hint="eastAsia" w:ascii="宋体" w:hAnsi="宋体" w:cs="宋体"/>
          <w:b/>
          <w:color w:val="auto"/>
          <w:sz w:val="21"/>
          <w:szCs w:val="21"/>
        </w:rPr>
        <w:t>、签订时间</w:t>
      </w:r>
      <w:bookmarkEnd w:id="220"/>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bCs/>
          <w:color w:val="auto"/>
          <w:szCs w:val="21"/>
        </w:rPr>
      </w:pPr>
      <w:r>
        <w:rPr>
          <w:rFonts w:hint="eastAsia" w:ascii="宋体" w:hAnsi="宋体" w:eastAsia="宋体" w:cs="宋体"/>
          <w:bCs/>
          <w:color w:val="auto"/>
          <w:szCs w:val="21"/>
        </w:rPr>
        <w:t>本合同于年月日签订。</w:t>
      </w:r>
    </w:p>
    <w:p>
      <w:pPr>
        <w:pStyle w:val="6"/>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bCs/>
          <w:color w:val="auto"/>
          <w:sz w:val="21"/>
          <w:szCs w:val="21"/>
        </w:rPr>
      </w:pPr>
      <w:bookmarkStart w:id="221" w:name="_Toc351203490"/>
      <w:r>
        <w:rPr>
          <w:rFonts w:hint="eastAsia" w:ascii="宋体" w:hAnsi="宋体" w:cs="宋体"/>
          <w:b/>
          <w:color w:val="auto"/>
          <w:sz w:val="21"/>
          <w:szCs w:val="21"/>
        </w:rPr>
        <w:t>十</w:t>
      </w:r>
      <w:r>
        <w:rPr>
          <w:rFonts w:hint="eastAsia" w:ascii="宋体" w:hAnsi="宋体" w:cs="宋体"/>
          <w:b/>
          <w:color w:val="auto"/>
          <w:sz w:val="21"/>
          <w:szCs w:val="21"/>
          <w:lang w:val="en-US" w:eastAsia="zh-CN"/>
        </w:rPr>
        <w:t>三</w:t>
      </w:r>
      <w:r>
        <w:rPr>
          <w:rFonts w:hint="eastAsia" w:ascii="宋体" w:hAnsi="宋体" w:cs="宋体"/>
          <w:b/>
          <w:color w:val="auto"/>
          <w:sz w:val="21"/>
          <w:szCs w:val="21"/>
        </w:rPr>
        <w:t>、签订地点</w:t>
      </w:r>
      <w:bookmarkEnd w:id="221"/>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bCs/>
          <w:color w:val="auto"/>
          <w:szCs w:val="21"/>
        </w:rPr>
      </w:pPr>
      <w:r>
        <w:rPr>
          <w:rFonts w:hint="eastAsia" w:ascii="宋体" w:hAnsi="宋体" w:eastAsia="宋体" w:cs="宋体"/>
          <w:bCs/>
          <w:color w:val="auto"/>
          <w:szCs w:val="21"/>
        </w:rPr>
        <w:t>本合同在签订。</w:t>
      </w:r>
    </w:p>
    <w:p>
      <w:pPr>
        <w:pStyle w:val="6"/>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bCs/>
          <w:color w:val="auto"/>
          <w:sz w:val="21"/>
          <w:szCs w:val="21"/>
        </w:rPr>
      </w:pPr>
      <w:bookmarkStart w:id="222" w:name="_Toc351203491"/>
      <w:r>
        <w:rPr>
          <w:rFonts w:hint="eastAsia" w:ascii="宋体" w:hAnsi="宋体" w:cs="宋体"/>
          <w:b/>
          <w:color w:val="auto"/>
          <w:sz w:val="21"/>
          <w:szCs w:val="21"/>
        </w:rPr>
        <w:t>十</w:t>
      </w:r>
      <w:r>
        <w:rPr>
          <w:rFonts w:hint="eastAsia" w:ascii="宋体" w:hAnsi="宋体" w:cs="宋体"/>
          <w:b/>
          <w:color w:val="auto"/>
          <w:sz w:val="21"/>
          <w:szCs w:val="21"/>
          <w:lang w:val="en-US" w:eastAsia="zh-CN"/>
        </w:rPr>
        <w:t>四</w:t>
      </w:r>
      <w:r>
        <w:rPr>
          <w:rFonts w:hint="eastAsia" w:ascii="宋体" w:hAnsi="宋体" w:cs="宋体"/>
          <w:b/>
          <w:color w:val="auto"/>
          <w:sz w:val="21"/>
          <w:szCs w:val="21"/>
        </w:rPr>
        <w:t>、补充协议</w:t>
      </w:r>
      <w:bookmarkEnd w:id="222"/>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b/>
          <w:bCs/>
          <w:color w:val="auto"/>
          <w:szCs w:val="21"/>
        </w:rPr>
      </w:pPr>
      <w:r>
        <w:rPr>
          <w:rFonts w:hint="eastAsia" w:ascii="宋体" w:hAnsi="宋体" w:eastAsia="宋体" w:cs="宋体"/>
          <w:bCs/>
          <w:color w:val="auto"/>
          <w:szCs w:val="21"/>
        </w:rPr>
        <w:t>合同未尽事宜，合同当事人另行签订补充协议，补充协议是合同的组成部分。</w:t>
      </w:r>
    </w:p>
    <w:p>
      <w:pPr>
        <w:pStyle w:val="6"/>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bCs/>
          <w:color w:val="auto"/>
          <w:sz w:val="21"/>
          <w:szCs w:val="21"/>
        </w:rPr>
      </w:pPr>
      <w:bookmarkStart w:id="223" w:name="_Toc351203492"/>
      <w:r>
        <w:rPr>
          <w:rFonts w:hint="eastAsia" w:ascii="宋体" w:hAnsi="宋体" w:cs="宋体"/>
          <w:b/>
          <w:color w:val="auto"/>
          <w:sz w:val="21"/>
          <w:szCs w:val="21"/>
        </w:rPr>
        <w:t>十</w:t>
      </w:r>
      <w:r>
        <w:rPr>
          <w:rFonts w:hint="eastAsia" w:ascii="宋体" w:hAnsi="宋体" w:cs="宋体"/>
          <w:b/>
          <w:color w:val="auto"/>
          <w:sz w:val="21"/>
          <w:szCs w:val="21"/>
          <w:lang w:val="en-US" w:eastAsia="zh-CN"/>
        </w:rPr>
        <w:t>五</w:t>
      </w:r>
      <w:r>
        <w:rPr>
          <w:rFonts w:hint="eastAsia" w:ascii="宋体" w:hAnsi="宋体" w:cs="宋体"/>
          <w:b/>
          <w:color w:val="auto"/>
          <w:sz w:val="21"/>
          <w:szCs w:val="21"/>
        </w:rPr>
        <w:t>、合同生效</w:t>
      </w:r>
      <w:bookmarkEnd w:id="223"/>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bCs/>
          <w:color w:val="auto"/>
          <w:szCs w:val="21"/>
        </w:rPr>
      </w:pPr>
      <w:r>
        <w:rPr>
          <w:rFonts w:hint="eastAsia" w:ascii="宋体" w:hAnsi="宋体" w:eastAsia="宋体" w:cs="宋体"/>
          <w:bCs/>
          <w:color w:val="auto"/>
          <w:szCs w:val="21"/>
        </w:rPr>
        <w:t>本合同自生效。</w:t>
      </w:r>
    </w:p>
    <w:p>
      <w:pPr>
        <w:pStyle w:val="6"/>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bCs/>
          <w:color w:val="auto"/>
          <w:sz w:val="21"/>
          <w:szCs w:val="21"/>
        </w:rPr>
      </w:pPr>
      <w:bookmarkStart w:id="224" w:name="_Toc351203493"/>
      <w:r>
        <w:rPr>
          <w:rFonts w:hint="eastAsia" w:ascii="宋体" w:hAnsi="宋体" w:cs="宋体"/>
          <w:b/>
          <w:color w:val="auto"/>
          <w:sz w:val="21"/>
          <w:szCs w:val="21"/>
        </w:rPr>
        <w:t>十</w:t>
      </w:r>
      <w:r>
        <w:rPr>
          <w:rFonts w:hint="eastAsia" w:ascii="宋体" w:hAnsi="宋体" w:cs="宋体"/>
          <w:b/>
          <w:color w:val="auto"/>
          <w:sz w:val="21"/>
          <w:szCs w:val="21"/>
          <w:lang w:val="en-US" w:eastAsia="zh-CN"/>
        </w:rPr>
        <w:t>六</w:t>
      </w:r>
      <w:r>
        <w:rPr>
          <w:rFonts w:hint="eastAsia" w:ascii="宋体" w:hAnsi="宋体" w:cs="宋体"/>
          <w:b/>
          <w:color w:val="auto"/>
          <w:sz w:val="21"/>
          <w:szCs w:val="21"/>
        </w:rPr>
        <w:t>、合同份数</w:t>
      </w:r>
      <w:bookmarkEnd w:id="224"/>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bCs/>
          <w:color w:val="auto"/>
          <w:szCs w:val="21"/>
        </w:rPr>
      </w:pPr>
      <w:r>
        <w:rPr>
          <w:rFonts w:hint="eastAsia" w:ascii="宋体" w:hAnsi="宋体" w:eastAsia="宋体" w:cs="宋体"/>
          <w:bCs/>
          <w:color w:val="auto"/>
          <w:szCs w:val="21"/>
        </w:rPr>
        <w:t>本合同一式</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rPr>
        <w:t>份，均具有同等法律效力，发包人执</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rPr>
        <w:t>份，承包人执</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rPr>
        <w:t>份。</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bCs/>
          <w:color w:val="auto"/>
          <w:szCs w:val="21"/>
        </w:rPr>
      </w:pP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 xml:space="preserve">：  (公章)                       </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  (公章)</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u w:val="single"/>
        </w:rPr>
      </w:pP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法定代表人或其委托代理人：           法定代表人或其委托代理人：</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（签字）                            （签字）</w:t>
      </w:r>
    </w:p>
    <w:p>
      <w:pPr>
        <w:keepLines w:val="0"/>
        <w:pageBreakBefore w:val="0"/>
        <w:widowControl w:val="0"/>
        <w:tabs>
          <w:tab w:val="left" w:pos="4410"/>
        </w:tabs>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组织机构代码：</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 xml:space="preserve">          组织机构代码：</w:t>
      </w:r>
      <w:r>
        <w:rPr>
          <w:rFonts w:hint="eastAsia" w:ascii="宋体" w:hAnsi="宋体" w:eastAsia="宋体" w:cs="宋体"/>
          <w:color w:val="auto"/>
          <w:szCs w:val="21"/>
          <w:u w:val="single"/>
        </w:rPr>
        <w:t xml:space="preserve">  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 xml:space="preserve">         地  址：</w:t>
      </w:r>
      <w:r>
        <w:rPr>
          <w:rFonts w:hint="eastAsia" w:ascii="宋体" w:hAnsi="宋体" w:eastAsia="宋体" w:cs="宋体"/>
          <w:color w:val="auto"/>
          <w:szCs w:val="21"/>
          <w:u w:val="single"/>
        </w:rPr>
        <w:t xml:space="preserve">  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邮政编码：</w:t>
      </w:r>
      <w:r>
        <w:rPr>
          <w:rFonts w:hint="eastAsia" w:ascii="宋体" w:hAnsi="宋体" w:eastAsia="宋体" w:cs="宋体"/>
          <w:color w:val="auto"/>
          <w:szCs w:val="21"/>
          <w:u w:val="single"/>
        </w:rPr>
        <w:t xml:space="preserve">      </w:t>
      </w:r>
      <w:r>
        <w:rPr>
          <w:rFonts w:hint="eastAsia" w:ascii="宋体" w:hAnsi="宋体" w:eastAsia="宋体" w:cs="宋体"/>
          <w:color w:val="auto"/>
          <w:szCs w:val="21"/>
        </w:rPr>
        <w:t xml:space="preserve">         邮政编码：</w:t>
      </w:r>
      <w:r>
        <w:rPr>
          <w:rFonts w:hint="eastAsia" w:ascii="宋体" w:hAnsi="宋体" w:eastAsia="宋体" w:cs="宋体"/>
          <w:color w:val="auto"/>
          <w:szCs w:val="21"/>
          <w:u w:val="single"/>
        </w:rPr>
        <w:t xml:space="preserve">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 xml:space="preserve">          法定代表人：</w:t>
      </w:r>
      <w:r>
        <w:rPr>
          <w:rFonts w:hint="eastAsia" w:ascii="宋体" w:hAnsi="宋体" w:eastAsia="宋体" w:cs="宋体"/>
          <w:color w:val="auto"/>
          <w:szCs w:val="21"/>
          <w:u w:val="single"/>
        </w:rPr>
        <w:t xml:space="preserve">      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委托代理人：</w:t>
      </w:r>
      <w:r>
        <w:rPr>
          <w:rFonts w:hint="eastAsia" w:ascii="宋体" w:hAnsi="宋体" w:eastAsia="宋体" w:cs="宋体"/>
          <w:color w:val="auto"/>
          <w:szCs w:val="21"/>
          <w:u w:val="single"/>
        </w:rPr>
        <w:t xml:space="preserve">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电  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电  话：</w:t>
      </w:r>
      <w:r>
        <w:rPr>
          <w:rFonts w:hint="eastAsia" w:ascii="宋体" w:hAnsi="宋体" w:eastAsia="宋体" w:cs="宋体"/>
          <w:color w:val="auto"/>
          <w:szCs w:val="21"/>
          <w:u w:val="single"/>
        </w:rPr>
        <w:t xml:space="preserve">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传  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传  真：</w:t>
      </w:r>
      <w:r>
        <w:rPr>
          <w:rFonts w:hint="eastAsia" w:ascii="宋体" w:hAnsi="宋体" w:eastAsia="宋体" w:cs="宋体"/>
          <w:color w:val="auto"/>
          <w:szCs w:val="21"/>
          <w:u w:val="single"/>
        </w:rPr>
        <w:t xml:space="preserve">  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 xml:space="preserve">电子信箱：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电子信箱：</w:t>
      </w:r>
      <w:r>
        <w:rPr>
          <w:rFonts w:hint="eastAsia" w:ascii="宋体" w:hAnsi="宋体" w:eastAsia="宋体" w:cs="宋体"/>
          <w:color w:val="auto"/>
          <w:szCs w:val="21"/>
          <w:u w:val="single"/>
        </w:rPr>
        <w:t xml:space="preserve">   </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开户银行：             开户银行：   </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rPr>
      </w:pPr>
      <w:r>
        <w:rPr>
          <w:rFonts w:hint="eastAsia" w:ascii="宋体" w:hAnsi="宋体" w:eastAsia="宋体" w:cs="宋体"/>
          <w:color w:val="auto"/>
          <w:szCs w:val="21"/>
        </w:rPr>
        <w:t>账  号：                 账  号：</w:t>
      </w:r>
    </w:p>
    <w:p>
      <w:pPr>
        <w:pageBreakBefore/>
        <w:tabs>
          <w:tab w:val="left" w:pos="7665"/>
        </w:tabs>
        <w:spacing w:line="360" w:lineRule="auto"/>
        <w:ind w:firstLine="301" w:firstLineChars="100"/>
        <w:jc w:val="center"/>
        <w:rPr>
          <w:rFonts w:ascii="宋体" w:hAnsi="宋体" w:cs="宋体"/>
          <w:color w:val="auto"/>
          <w:sz w:val="24"/>
        </w:rPr>
      </w:pPr>
      <w:r>
        <w:rPr>
          <w:rFonts w:hint="eastAsia" w:ascii="宋体" w:hAnsi="宋体" w:cs="宋体"/>
          <w:b/>
          <w:bCs/>
          <w:color w:val="auto"/>
          <w:sz w:val="30"/>
          <w:szCs w:val="30"/>
        </w:rPr>
        <w:t>第五章、</w:t>
      </w:r>
      <w:bookmarkEnd w:id="194"/>
      <w:r>
        <w:rPr>
          <w:rFonts w:hint="eastAsia" w:ascii="宋体" w:hAnsi="宋体" w:cs="宋体"/>
          <w:b/>
          <w:bCs/>
          <w:color w:val="auto"/>
          <w:sz w:val="30"/>
          <w:szCs w:val="30"/>
          <w:lang w:eastAsia="zh-CN"/>
        </w:rPr>
        <w:t>投标文件</w:t>
      </w:r>
      <w:r>
        <w:rPr>
          <w:rFonts w:hint="eastAsia" w:ascii="宋体" w:hAnsi="宋体" w:cs="宋体"/>
          <w:b/>
          <w:bCs/>
          <w:color w:val="auto"/>
          <w:sz w:val="30"/>
          <w:szCs w:val="30"/>
        </w:rPr>
        <w:t>格式</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lang w:eastAsia="zh-CN"/>
        </w:rPr>
        <w:t>投标文件</w:t>
      </w:r>
      <w:r>
        <w:rPr>
          <w:rFonts w:hint="eastAsia" w:hAnsi="宋体" w:cs="宋体"/>
          <w:color w:val="auto"/>
          <w:sz w:val="24"/>
          <w:szCs w:val="24"/>
        </w:rPr>
        <w:t>封面</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附表1、</w:t>
      </w:r>
      <w:r>
        <w:rPr>
          <w:rFonts w:hint="eastAsia" w:hAnsi="宋体" w:cs="宋体"/>
          <w:color w:val="auto"/>
          <w:sz w:val="24"/>
          <w:szCs w:val="24"/>
          <w:lang w:eastAsia="zh-CN"/>
        </w:rPr>
        <w:t>投标</w:t>
      </w:r>
      <w:r>
        <w:rPr>
          <w:rFonts w:hint="eastAsia" w:hAnsi="宋体" w:cs="宋体"/>
          <w:color w:val="auto"/>
          <w:sz w:val="24"/>
          <w:szCs w:val="24"/>
        </w:rPr>
        <w:t>函</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附表2、商务报价一览表</w:t>
      </w:r>
    </w:p>
    <w:p>
      <w:pPr>
        <w:pStyle w:val="11"/>
        <w:spacing w:line="360" w:lineRule="auto"/>
        <w:ind w:firstLine="480" w:firstLineChars="200"/>
        <w:rPr>
          <w:rFonts w:hint="eastAsia" w:hAnsi="宋体" w:cs="宋体"/>
          <w:color w:val="auto"/>
          <w:sz w:val="24"/>
          <w:szCs w:val="24"/>
        </w:rPr>
      </w:pPr>
      <w:r>
        <w:rPr>
          <w:rFonts w:hint="eastAsia" w:hAnsi="宋体" w:cs="宋体"/>
          <w:color w:val="auto"/>
          <w:sz w:val="24"/>
          <w:szCs w:val="24"/>
        </w:rPr>
        <w:t>附表</w:t>
      </w:r>
      <w:r>
        <w:rPr>
          <w:rFonts w:hint="eastAsia" w:hAnsi="宋体" w:cs="宋体"/>
          <w:color w:val="auto"/>
          <w:sz w:val="24"/>
          <w:szCs w:val="24"/>
          <w:lang w:val="en-US" w:eastAsia="zh-CN"/>
        </w:rPr>
        <w:t>3</w:t>
      </w:r>
      <w:r>
        <w:rPr>
          <w:rFonts w:hint="eastAsia" w:hAnsi="宋体" w:cs="宋体"/>
          <w:color w:val="auto"/>
          <w:sz w:val="24"/>
          <w:szCs w:val="24"/>
        </w:rPr>
        <w:t>、商务条款</w:t>
      </w:r>
      <w:r>
        <w:rPr>
          <w:rFonts w:hint="eastAsia" w:hAnsi="宋体" w:cs="宋体"/>
          <w:color w:val="auto"/>
          <w:sz w:val="24"/>
          <w:szCs w:val="24"/>
          <w:lang w:val="en-US" w:eastAsia="zh-CN"/>
        </w:rPr>
        <w:t>响应</w:t>
      </w:r>
      <w:r>
        <w:rPr>
          <w:rFonts w:hint="eastAsia" w:hAnsi="宋体" w:cs="宋体"/>
          <w:color w:val="auto"/>
          <w:sz w:val="24"/>
          <w:szCs w:val="24"/>
        </w:rPr>
        <w:t>偏离表</w:t>
      </w:r>
    </w:p>
    <w:p>
      <w:pPr>
        <w:pStyle w:val="11"/>
        <w:spacing w:line="360" w:lineRule="auto"/>
        <w:ind w:firstLine="480" w:firstLineChars="200"/>
        <w:rPr>
          <w:rFonts w:hint="eastAsia" w:hAnsi="宋体" w:cs="宋体"/>
          <w:color w:val="auto"/>
          <w:sz w:val="24"/>
          <w:szCs w:val="24"/>
        </w:rPr>
      </w:pPr>
      <w:r>
        <w:rPr>
          <w:rFonts w:hint="eastAsia" w:hAnsi="宋体" w:cs="宋体"/>
          <w:color w:val="auto"/>
          <w:sz w:val="24"/>
          <w:szCs w:val="24"/>
        </w:rPr>
        <w:t>附表</w:t>
      </w:r>
      <w:r>
        <w:rPr>
          <w:rFonts w:hint="eastAsia" w:hAnsi="宋体" w:cs="宋体"/>
          <w:color w:val="auto"/>
          <w:sz w:val="24"/>
          <w:szCs w:val="24"/>
          <w:lang w:val="en-US" w:eastAsia="zh-CN"/>
        </w:rPr>
        <w:t>4</w:t>
      </w:r>
      <w:r>
        <w:rPr>
          <w:rFonts w:hint="eastAsia" w:hAnsi="宋体" w:cs="宋体"/>
          <w:color w:val="auto"/>
          <w:sz w:val="24"/>
          <w:szCs w:val="24"/>
        </w:rPr>
        <w:t>、</w:t>
      </w:r>
      <w:r>
        <w:rPr>
          <w:rFonts w:hint="eastAsia" w:ascii="宋体" w:hAnsi="宋体" w:cs="宋体"/>
          <w:color w:val="auto"/>
          <w:sz w:val="24"/>
          <w:lang w:val="en-US" w:eastAsia="zh-CN"/>
        </w:rPr>
        <w:t>技术偏离表</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附表</w:t>
      </w:r>
      <w:r>
        <w:rPr>
          <w:rFonts w:hint="eastAsia" w:hAnsi="宋体" w:cs="宋体"/>
          <w:color w:val="auto"/>
          <w:sz w:val="24"/>
          <w:szCs w:val="24"/>
          <w:lang w:val="en-US" w:eastAsia="zh-CN"/>
        </w:rPr>
        <w:t>5</w:t>
      </w:r>
      <w:r>
        <w:rPr>
          <w:rFonts w:hint="eastAsia" w:hAnsi="宋体" w:cs="宋体"/>
          <w:color w:val="auto"/>
          <w:sz w:val="24"/>
          <w:szCs w:val="24"/>
        </w:rPr>
        <w:t>、法定代表人资格证明书</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附表</w:t>
      </w:r>
      <w:r>
        <w:rPr>
          <w:rFonts w:hint="eastAsia" w:hAnsi="宋体" w:cs="宋体"/>
          <w:color w:val="auto"/>
          <w:sz w:val="24"/>
          <w:szCs w:val="24"/>
          <w:lang w:val="en-US" w:eastAsia="zh-CN"/>
        </w:rPr>
        <w:t>6</w:t>
      </w:r>
      <w:r>
        <w:rPr>
          <w:rFonts w:hint="eastAsia" w:hAnsi="宋体" w:cs="宋体"/>
          <w:color w:val="auto"/>
          <w:sz w:val="24"/>
          <w:szCs w:val="24"/>
        </w:rPr>
        <w:t>、法定代表人授权书</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附表</w:t>
      </w:r>
      <w:r>
        <w:rPr>
          <w:rFonts w:hint="eastAsia" w:hAnsi="宋体" w:cs="宋体"/>
          <w:color w:val="auto"/>
          <w:sz w:val="24"/>
          <w:szCs w:val="24"/>
          <w:lang w:val="en-US" w:eastAsia="zh-CN"/>
        </w:rPr>
        <w:t>7</w:t>
      </w:r>
      <w:r>
        <w:rPr>
          <w:rFonts w:hint="eastAsia" w:hAnsi="宋体" w:cs="宋体"/>
          <w:color w:val="auto"/>
          <w:sz w:val="24"/>
          <w:szCs w:val="24"/>
        </w:rPr>
        <w:t>、</w:t>
      </w:r>
      <w:r>
        <w:rPr>
          <w:rFonts w:hint="eastAsia" w:hAnsi="宋体" w:cs="宋体"/>
          <w:color w:val="auto"/>
          <w:sz w:val="24"/>
          <w:szCs w:val="24"/>
          <w:lang w:eastAsia="zh-CN"/>
        </w:rPr>
        <w:t>供应商</w:t>
      </w:r>
      <w:r>
        <w:rPr>
          <w:rFonts w:hint="eastAsia" w:hAnsi="宋体" w:cs="宋体"/>
          <w:color w:val="auto"/>
          <w:sz w:val="24"/>
          <w:szCs w:val="24"/>
        </w:rPr>
        <w:t>资格声明</w:t>
      </w:r>
    </w:p>
    <w:p>
      <w:pPr>
        <w:pStyle w:val="11"/>
        <w:spacing w:line="360" w:lineRule="auto"/>
        <w:ind w:firstLine="480" w:firstLineChars="200"/>
        <w:rPr>
          <w:rFonts w:hAnsi="宋体" w:cs="宋体"/>
          <w:color w:val="auto"/>
          <w:sz w:val="24"/>
          <w:szCs w:val="24"/>
        </w:rPr>
      </w:pPr>
      <w:r>
        <w:rPr>
          <w:rFonts w:hint="eastAsia" w:hAnsi="宋体" w:cs="宋体"/>
          <w:color w:val="auto"/>
          <w:sz w:val="24"/>
          <w:szCs w:val="24"/>
        </w:rPr>
        <w:t>附表</w:t>
      </w:r>
      <w:r>
        <w:rPr>
          <w:rFonts w:hint="eastAsia" w:hAnsi="宋体" w:cs="宋体"/>
          <w:color w:val="auto"/>
          <w:sz w:val="24"/>
          <w:szCs w:val="24"/>
          <w:lang w:val="en-US" w:eastAsia="zh-CN"/>
        </w:rPr>
        <w:t>8</w:t>
      </w:r>
      <w:r>
        <w:rPr>
          <w:rFonts w:hint="eastAsia" w:hAnsi="宋体" w:cs="宋体"/>
          <w:color w:val="auto"/>
          <w:sz w:val="24"/>
          <w:szCs w:val="24"/>
        </w:rPr>
        <w:t>、中小企业声明函</w:t>
      </w:r>
    </w:p>
    <w:p>
      <w:pPr>
        <w:pStyle w:val="11"/>
        <w:spacing w:line="360" w:lineRule="auto"/>
        <w:ind w:firstLine="480" w:firstLineChars="200"/>
        <w:rPr>
          <w:rFonts w:hAnsi="宋体" w:cs="宋体"/>
          <w:color w:val="auto"/>
          <w:sz w:val="24"/>
        </w:rPr>
      </w:pPr>
      <w:r>
        <w:rPr>
          <w:rFonts w:hint="eastAsia" w:hAnsi="宋体" w:cs="宋体"/>
          <w:color w:val="auto"/>
          <w:sz w:val="24"/>
          <w:szCs w:val="24"/>
        </w:rPr>
        <w:t>附表</w:t>
      </w:r>
      <w:r>
        <w:rPr>
          <w:rFonts w:hint="eastAsia" w:hAnsi="宋体" w:cs="宋体"/>
          <w:color w:val="auto"/>
          <w:sz w:val="24"/>
          <w:szCs w:val="24"/>
          <w:lang w:val="en-US" w:eastAsia="zh-CN"/>
        </w:rPr>
        <w:t>9</w:t>
      </w:r>
      <w:r>
        <w:rPr>
          <w:rFonts w:hint="eastAsia" w:hAnsi="宋体" w:cs="宋体"/>
          <w:color w:val="auto"/>
          <w:sz w:val="24"/>
          <w:szCs w:val="24"/>
        </w:rPr>
        <w:t>、</w:t>
      </w:r>
      <w:r>
        <w:rPr>
          <w:rFonts w:hint="eastAsia" w:hAnsi="宋体" w:cs="宋体"/>
          <w:color w:val="auto"/>
          <w:sz w:val="24"/>
        </w:rPr>
        <w:t>项目负责人简历表</w:t>
      </w:r>
    </w:p>
    <w:p>
      <w:pPr>
        <w:pStyle w:val="11"/>
        <w:spacing w:line="360" w:lineRule="auto"/>
        <w:ind w:firstLine="480" w:firstLineChars="200"/>
        <w:rPr>
          <w:rFonts w:hint="eastAsia" w:hAnsi="宋体" w:cs="宋体"/>
          <w:color w:val="auto"/>
          <w:sz w:val="24"/>
        </w:rPr>
      </w:pPr>
      <w:r>
        <w:rPr>
          <w:rFonts w:hint="eastAsia" w:hAnsi="宋体" w:cs="宋体"/>
          <w:color w:val="auto"/>
          <w:sz w:val="24"/>
        </w:rPr>
        <w:t>附表</w:t>
      </w:r>
      <w:r>
        <w:rPr>
          <w:rFonts w:hint="eastAsia" w:hAnsi="宋体" w:cs="宋体"/>
          <w:color w:val="auto"/>
          <w:sz w:val="24"/>
          <w:lang w:val="en-US" w:eastAsia="zh-CN"/>
        </w:rPr>
        <w:t>10</w:t>
      </w:r>
      <w:r>
        <w:rPr>
          <w:rFonts w:hint="eastAsia" w:hAnsi="宋体" w:cs="宋体"/>
          <w:color w:val="auto"/>
          <w:sz w:val="24"/>
        </w:rPr>
        <w:t>、项目管理、服务及其它人员情况表</w:t>
      </w:r>
    </w:p>
    <w:p>
      <w:pPr>
        <w:pStyle w:val="11"/>
        <w:spacing w:line="360" w:lineRule="auto"/>
        <w:ind w:firstLine="480" w:firstLineChars="200"/>
        <w:rPr>
          <w:rFonts w:hAnsi="宋体" w:cs="宋体"/>
          <w:color w:val="auto"/>
          <w:sz w:val="24"/>
          <w:szCs w:val="24"/>
        </w:rPr>
      </w:pPr>
      <w:r>
        <w:rPr>
          <w:rFonts w:hint="eastAsia" w:hAnsi="宋体" w:cs="宋体"/>
          <w:color w:val="auto"/>
          <w:sz w:val="24"/>
        </w:rPr>
        <w:t>附表</w:t>
      </w:r>
      <w:r>
        <w:rPr>
          <w:rFonts w:hint="eastAsia" w:hAnsi="宋体" w:cs="宋体"/>
          <w:color w:val="auto"/>
          <w:sz w:val="24"/>
          <w:lang w:val="en-US" w:eastAsia="zh-CN"/>
        </w:rPr>
        <w:t>11</w:t>
      </w:r>
      <w:r>
        <w:rPr>
          <w:rFonts w:hint="eastAsia" w:hAnsi="宋体" w:cs="宋体"/>
          <w:color w:val="auto"/>
          <w:sz w:val="24"/>
        </w:rPr>
        <w:t>、</w:t>
      </w:r>
      <w:r>
        <w:rPr>
          <w:rFonts w:hint="eastAsia" w:hAnsi="宋体" w:cs="宋体"/>
          <w:color w:val="auto"/>
          <w:sz w:val="24"/>
          <w:szCs w:val="24"/>
        </w:rPr>
        <w:t>近三年（自</w:t>
      </w:r>
      <w:r>
        <w:rPr>
          <w:rFonts w:hint="eastAsia" w:hAnsi="宋体" w:cs="宋体"/>
          <w:color w:val="auto"/>
          <w:sz w:val="24"/>
          <w:szCs w:val="24"/>
          <w:lang w:val="en-US" w:eastAsia="zh-CN"/>
        </w:rPr>
        <w:t>2020</w:t>
      </w:r>
      <w:r>
        <w:rPr>
          <w:rFonts w:hint="eastAsia" w:hAnsi="宋体" w:cs="宋体"/>
          <w:color w:val="auto"/>
          <w:sz w:val="24"/>
          <w:szCs w:val="24"/>
          <w:lang w:eastAsia="zh-CN"/>
        </w:rPr>
        <w:t>年1月1日</w:t>
      </w:r>
      <w:r>
        <w:rPr>
          <w:rFonts w:hint="eastAsia" w:hAnsi="宋体" w:cs="宋体"/>
          <w:color w:val="auto"/>
          <w:sz w:val="24"/>
          <w:szCs w:val="24"/>
        </w:rPr>
        <w:t>至今）同类项目业绩表</w:t>
      </w:r>
    </w:p>
    <w:p>
      <w:pPr>
        <w:pStyle w:val="11"/>
        <w:spacing w:line="360" w:lineRule="auto"/>
        <w:ind w:firstLine="480" w:firstLineChars="200"/>
        <w:rPr>
          <w:rFonts w:hAnsi="宋体" w:cs="宋体"/>
          <w:color w:val="auto"/>
          <w:sz w:val="24"/>
          <w:szCs w:val="24"/>
        </w:rPr>
      </w:pPr>
      <w:r>
        <w:rPr>
          <w:rFonts w:hint="eastAsia" w:hAnsi="宋体" w:cs="宋体"/>
          <w:color w:val="auto"/>
          <w:sz w:val="24"/>
        </w:rPr>
        <w:t>附表1</w:t>
      </w:r>
      <w:r>
        <w:rPr>
          <w:rFonts w:hint="eastAsia" w:hAnsi="宋体" w:cs="宋体"/>
          <w:color w:val="auto"/>
          <w:sz w:val="24"/>
          <w:lang w:val="en-US" w:eastAsia="zh-CN"/>
        </w:rPr>
        <w:t>2</w:t>
      </w:r>
      <w:r>
        <w:rPr>
          <w:rFonts w:hint="eastAsia" w:hAnsi="宋体" w:cs="宋体"/>
          <w:color w:val="auto"/>
          <w:sz w:val="24"/>
          <w:szCs w:val="24"/>
        </w:rPr>
        <w:t>、资格性/符合性自查表</w:t>
      </w:r>
    </w:p>
    <w:p>
      <w:pPr>
        <w:pStyle w:val="19"/>
        <w:spacing w:line="312" w:lineRule="auto"/>
        <w:ind w:left="-85" w:firstLine="482" w:firstLineChars="200"/>
        <w:jc w:val="center"/>
        <w:rPr>
          <w:rFonts w:ascii="宋体" w:hAnsi="宋体" w:cs="宋体"/>
          <w:b/>
          <w:bCs/>
          <w:color w:val="auto"/>
          <w:sz w:val="24"/>
          <w:szCs w:val="24"/>
        </w:rPr>
      </w:pPr>
    </w:p>
    <w:p>
      <w:pPr>
        <w:pStyle w:val="19"/>
        <w:spacing w:line="312" w:lineRule="auto"/>
        <w:ind w:left="-85" w:firstLine="562" w:firstLineChars="200"/>
        <w:jc w:val="center"/>
        <w:rPr>
          <w:rFonts w:ascii="宋体" w:hAnsi="宋体" w:cs="宋体"/>
          <w:b/>
          <w:bCs/>
          <w:color w:val="auto"/>
          <w:sz w:val="28"/>
          <w:szCs w:val="28"/>
        </w:rPr>
      </w:pPr>
    </w:p>
    <w:p>
      <w:pPr>
        <w:pStyle w:val="19"/>
        <w:spacing w:line="312" w:lineRule="auto"/>
        <w:ind w:left="-85" w:firstLine="562" w:firstLineChars="200"/>
        <w:jc w:val="center"/>
        <w:rPr>
          <w:rFonts w:ascii="宋体" w:hAnsi="宋体" w:cs="宋体"/>
          <w:b/>
          <w:bCs/>
          <w:color w:val="auto"/>
          <w:sz w:val="28"/>
          <w:szCs w:val="28"/>
        </w:rPr>
      </w:pPr>
    </w:p>
    <w:p>
      <w:pPr>
        <w:pStyle w:val="19"/>
        <w:spacing w:line="312" w:lineRule="auto"/>
        <w:ind w:left="-85" w:firstLine="562" w:firstLineChars="200"/>
        <w:jc w:val="center"/>
        <w:rPr>
          <w:rFonts w:ascii="宋体" w:hAnsi="宋体" w:cs="宋体"/>
          <w:b/>
          <w:bCs/>
          <w:color w:val="auto"/>
          <w:sz w:val="28"/>
          <w:szCs w:val="28"/>
        </w:rPr>
      </w:pPr>
    </w:p>
    <w:p>
      <w:pPr>
        <w:spacing w:line="1000" w:lineRule="exact"/>
        <w:jc w:val="center"/>
        <w:rPr>
          <w:rFonts w:ascii="宋体" w:hAnsi="宋体" w:cs="宋体"/>
          <w:b/>
          <w:color w:val="auto"/>
          <w:sz w:val="28"/>
          <w:szCs w:val="28"/>
        </w:rPr>
      </w:pPr>
      <w:r>
        <w:rPr>
          <w:rFonts w:hint="eastAsia" w:ascii="宋体" w:hAnsi="宋体" w:cs="宋体"/>
          <w:b/>
          <w:color w:val="auto"/>
          <w:sz w:val="28"/>
          <w:szCs w:val="28"/>
        </w:rPr>
        <w:br w:type="page"/>
      </w:r>
    </w:p>
    <w:p>
      <w:pPr>
        <w:spacing w:line="1000" w:lineRule="exact"/>
        <w:jc w:val="center"/>
        <w:rPr>
          <w:rFonts w:ascii="宋体" w:hAnsi="宋体" w:cs="宋体"/>
          <w:b/>
          <w:bCs/>
          <w:color w:val="auto"/>
          <w:sz w:val="44"/>
          <w:szCs w:val="44"/>
        </w:rPr>
      </w:pPr>
    </w:p>
    <w:p>
      <w:pPr>
        <w:spacing w:line="1000" w:lineRule="exact"/>
        <w:ind w:right="-319" w:rightChars="-152"/>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克拉玛依市第三人民医院电子病历系统项目</w:t>
      </w:r>
    </w:p>
    <w:p>
      <w:pPr>
        <w:spacing w:line="1000" w:lineRule="exact"/>
        <w:ind w:right="-319" w:rightChars="-152"/>
        <w:jc w:val="center"/>
        <w:rPr>
          <w:rFonts w:hint="eastAsia" w:ascii="宋体" w:hAnsi="宋体" w:eastAsia="宋体" w:cs="宋体"/>
          <w:b/>
          <w:bCs/>
          <w:color w:val="auto"/>
          <w:sz w:val="44"/>
          <w:szCs w:val="44"/>
          <w:lang w:eastAsia="zh-CN"/>
        </w:rPr>
      </w:pPr>
      <w:r>
        <w:rPr>
          <w:rFonts w:hint="eastAsia" w:ascii="宋体" w:hAnsi="宋体" w:cs="宋体"/>
          <w:b/>
          <w:bCs/>
          <w:color w:val="auto"/>
          <w:sz w:val="44"/>
          <w:szCs w:val="44"/>
          <w:lang w:eastAsia="zh-CN"/>
        </w:rPr>
        <w:t>投标文件</w:t>
      </w:r>
    </w:p>
    <w:p>
      <w:pPr>
        <w:pStyle w:val="9"/>
        <w:jc w:val="center"/>
        <w:rPr>
          <w:rFonts w:ascii="宋体" w:hAnsi="宋体" w:cs="宋体"/>
          <w:b/>
          <w:bCs/>
          <w:color w:val="auto"/>
          <w:sz w:val="36"/>
          <w:szCs w:val="36"/>
        </w:rPr>
      </w:pPr>
    </w:p>
    <w:p>
      <w:pPr>
        <w:pStyle w:val="9"/>
        <w:jc w:val="center"/>
        <w:rPr>
          <w:rFonts w:ascii="宋体" w:hAnsi="宋体" w:cs="宋体"/>
          <w:b/>
          <w:bCs/>
          <w:color w:val="auto"/>
          <w:sz w:val="36"/>
          <w:szCs w:val="36"/>
        </w:rPr>
      </w:pPr>
    </w:p>
    <w:p>
      <w:pPr>
        <w:snapToGrid w:val="0"/>
        <w:spacing w:line="480" w:lineRule="auto"/>
        <w:jc w:val="center"/>
        <w:rPr>
          <w:rFonts w:ascii="宋体" w:hAnsi="宋体" w:cs="宋体"/>
          <w:b/>
          <w:bCs/>
          <w:color w:val="auto"/>
          <w:sz w:val="32"/>
          <w:szCs w:val="32"/>
        </w:rPr>
      </w:pPr>
      <w:r>
        <w:rPr>
          <w:rFonts w:hint="eastAsia" w:ascii="宋体" w:hAnsi="宋体" w:cs="宋体"/>
          <w:b/>
          <w:color w:val="auto"/>
          <w:sz w:val="30"/>
          <w:szCs w:val="30"/>
        </w:rPr>
        <w:t>（</w:t>
      </w:r>
      <w:r>
        <w:rPr>
          <w:rFonts w:hint="eastAsia" w:ascii="宋体" w:hAnsi="宋体" w:cs="宋体"/>
          <w:b/>
          <w:color w:val="auto"/>
          <w:sz w:val="30"/>
          <w:szCs w:val="30"/>
          <w:lang w:eastAsia="zh-CN"/>
        </w:rPr>
        <w:t>招标</w:t>
      </w:r>
      <w:r>
        <w:rPr>
          <w:rFonts w:hint="eastAsia" w:ascii="宋体" w:hAnsi="宋体" w:cs="宋体"/>
          <w:b/>
          <w:color w:val="auto"/>
          <w:sz w:val="30"/>
          <w:szCs w:val="30"/>
        </w:rPr>
        <w:t>文件编号：</w:t>
      </w:r>
      <w:r>
        <w:rPr>
          <w:rFonts w:hint="eastAsia" w:ascii="宋体" w:hAnsi="宋体" w:cs="宋体"/>
          <w:b/>
          <w:color w:val="auto"/>
          <w:sz w:val="30"/>
          <w:szCs w:val="30"/>
          <w:lang w:eastAsia="zh-CN"/>
        </w:rPr>
        <w:t>YXZB[ZC]2023-01</w:t>
      </w:r>
      <w:r>
        <w:rPr>
          <w:rFonts w:hint="eastAsia" w:ascii="宋体" w:hAnsi="宋体" w:cs="宋体"/>
          <w:b/>
          <w:color w:val="auto"/>
          <w:sz w:val="30"/>
          <w:szCs w:val="30"/>
        </w:rPr>
        <w:t>）</w:t>
      </w:r>
    </w:p>
    <w:p>
      <w:pPr>
        <w:snapToGrid w:val="0"/>
        <w:spacing w:line="374" w:lineRule="atLeast"/>
        <w:jc w:val="center"/>
        <w:rPr>
          <w:rFonts w:ascii="宋体" w:hAnsi="宋体" w:cs="宋体"/>
          <w:b/>
          <w:color w:val="auto"/>
          <w:sz w:val="30"/>
        </w:rPr>
      </w:pPr>
    </w:p>
    <w:p>
      <w:pPr>
        <w:spacing w:line="360" w:lineRule="auto"/>
        <w:rPr>
          <w:rFonts w:ascii="宋体" w:hAnsi="宋体" w:cs="宋体"/>
          <w:b/>
          <w:color w:val="auto"/>
          <w:sz w:val="32"/>
          <w:szCs w:val="32"/>
        </w:rPr>
      </w:pPr>
    </w:p>
    <w:p>
      <w:pPr>
        <w:spacing w:line="360" w:lineRule="auto"/>
        <w:rPr>
          <w:rFonts w:ascii="宋体" w:hAnsi="宋体" w:cs="宋体"/>
          <w:b/>
          <w:color w:val="auto"/>
          <w:sz w:val="32"/>
          <w:szCs w:val="32"/>
        </w:rPr>
      </w:pPr>
    </w:p>
    <w:p>
      <w:pPr>
        <w:pStyle w:val="9"/>
        <w:rPr>
          <w:rFonts w:ascii="宋体" w:hAnsi="宋体" w:cs="宋体"/>
          <w:b/>
          <w:color w:val="auto"/>
          <w:sz w:val="32"/>
          <w:szCs w:val="32"/>
        </w:rPr>
      </w:pPr>
    </w:p>
    <w:p>
      <w:pPr>
        <w:pStyle w:val="9"/>
        <w:rPr>
          <w:rFonts w:ascii="宋体" w:hAnsi="宋体" w:cs="宋体"/>
          <w:b/>
          <w:color w:val="auto"/>
          <w:sz w:val="32"/>
          <w:szCs w:val="32"/>
        </w:rPr>
      </w:pPr>
    </w:p>
    <w:p>
      <w:pPr>
        <w:spacing w:line="360" w:lineRule="auto"/>
        <w:rPr>
          <w:rFonts w:ascii="宋体" w:hAnsi="宋体" w:cs="宋体"/>
          <w:b/>
          <w:color w:val="auto"/>
          <w:sz w:val="32"/>
          <w:szCs w:val="32"/>
        </w:rPr>
      </w:pPr>
    </w:p>
    <w:p>
      <w:pPr>
        <w:spacing w:line="360" w:lineRule="auto"/>
        <w:rPr>
          <w:rFonts w:ascii="宋体" w:hAnsi="宋体" w:cs="宋体"/>
          <w:b/>
          <w:color w:val="auto"/>
        </w:rPr>
      </w:pPr>
    </w:p>
    <w:p>
      <w:pPr>
        <w:spacing w:line="360" w:lineRule="auto"/>
        <w:ind w:firstLine="602"/>
        <w:rPr>
          <w:rFonts w:ascii="宋体" w:hAnsi="宋体" w:cs="宋体"/>
          <w:b/>
          <w:color w:val="auto"/>
          <w:sz w:val="30"/>
          <w:szCs w:val="30"/>
        </w:rPr>
      </w:pPr>
      <w:r>
        <w:rPr>
          <w:rFonts w:hint="eastAsia" w:ascii="宋体" w:hAnsi="宋体" w:cs="宋体"/>
          <w:b/>
          <w:color w:val="auto"/>
          <w:sz w:val="30"/>
          <w:szCs w:val="30"/>
          <w:lang w:eastAsia="zh-CN"/>
        </w:rPr>
        <w:t>供应商</w:t>
      </w:r>
      <w:r>
        <w:rPr>
          <w:rFonts w:hint="eastAsia" w:ascii="宋体" w:hAnsi="宋体" w:cs="宋体"/>
          <w:b/>
          <w:color w:val="auto"/>
          <w:sz w:val="30"/>
          <w:szCs w:val="30"/>
        </w:rPr>
        <w:t>： （单位名称）盖章</w:t>
      </w:r>
    </w:p>
    <w:p>
      <w:pPr>
        <w:spacing w:line="360" w:lineRule="auto"/>
        <w:rPr>
          <w:rFonts w:ascii="宋体" w:hAnsi="宋体" w:cs="宋体"/>
          <w:b/>
          <w:color w:val="auto"/>
          <w:sz w:val="30"/>
          <w:szCs w:val="30"/>
        </w:rPr>
      </w:pPr>
    </w:p>
    <w:p>
      <w:pPr>
        <w:spacing w:line="360" w:lineRule="auto"/>
        <w:ind w:firstLine="602"/>
        <w:rPr>
          <w:rFonts w:ascii="宋体" w:hAnsi="宋体" w:cs="宋体"/>
          <w:b/>
          <w:color w:val="auto"/>
          <w:sz w:val="30"/>
          <w:szCs w:val="30"/>
        </w:rPr>
      </w:pPr>
      <w:r>
        <w:rPr>
          <w:rFonts w:hint="eastAsia" w:ascii="宋体" w:hAnsi="宋体" w:cs="宋体"/>
          <w:b/>
          <w:color w:val="auto"/>
          <w:sz w:val="30"/>
          <w:szCs w:val="30"/>
        </w:rPr>
        <w:t>单位地址：</w:t>
      </w:r>
    </w:p>
    <w:p>
      <w:pPr>
        <w:spacing w:line="360" w:lineRule="auto"/>
        <w:ind w:firstLine="602"/>
        <w:rPr>
          <w:rFonts w:ascii="宋体" w:hAnsi="宋体" w:cs="宋体"/>
          <w:b/>
          <w:color w:val="auto"/>
          <w:sz w:val="30"/>
          <w:szCs w:val="30"/>
        </w:rPr>
      </w:pPr>
    </w:p>
    <w:p>
      <w:pPr>
        <w:pStyle w:val="11"/>
        <w:ind w:firstLine="596" w:firstLineChars="198"/>
        <w:outlineLvl w:val="0"/>
        <w:rPr>
          <w:rFonts w:hAnsi="宋体" w:cs="宋体"/>
          <w:color w:val="auto"/>
          <w:sz w:val="24"/>
        </w:rPr>
      </w:pPr>
      <w:r>
        <w:rPr>
          <w:rFonts w:hint="eastAsia" w:hAnsi="宋体" w:cs="宋体"/>
          <w:b/>
          <w:color w:val="auto"/>
          <w:sz w:val="30"/>
          <w:szCs w:val="30"/>
        </w:rPr>
        <w:t>联系人：                   联系电话：</w:t>
      </w:r>
    </w:p>
    <w:p>
      <w:pPr>
        <w:spacing w:line="360" w:lineRule="auto"/>
        <w:rPr>
          <w:rFonts w:ascii="宋体" w:hAnsi="宋体" w:cs="宋体"/>
          <w:b/>
          <w:color w:val="auto"/>
          <w:sz w:val="28"/>
          <w:szCs w:val="28"/>
        </w:rPr>
      </w:pPr>
    </w:p>
    <w:p>
      <w:pPr>
        <w:spacing w:line="360" w:lineRule="auto"/>
        <w:jc w:val="both"/>
        <w:rPr>
          <w:rFonts w:hint="eastAsia" w:ascii="宋体" w:hAnsi="宋体" w:cs="宋体"/>
          <w:b/>
          <w:color w:val="auto"/>
          <w:sz w:val="28"/>
          <w:szCs w:val="28"/>
        </w:rPr>
      </w:pPr>
    </w:p>
    <w:p>
      <w:pPr>
        <w:spacing w:line="360" w:lineRule="auto"/>
        <w:jc w:val="center"/>
        <w:rPr>
          <w:rFonts w:ascii="宋体" w:hAnsi="宋体" w:cs="宋体"/>
          <w:bCs/>
          <w:color w:val="auto"/>
          <w:sz w:val="24"/>
        </w:rPr>
      </w:pPr>
      <w:r>
        <w:rPr>
          <w:rFonts w:hint="eastAsia" w:ascii="宋体" w:hAnsi="宋体" w:cs="宋体"/>
          <w:b/>
          <w:color w:val="auto"/>
          <w:sz w:val="28"/>
          <w:szCs w:val="28"/>
        </w:rPr>
        <w:t xml:space="preserve">1、 </w:t>
      </w:r>
      <w:r>
        <w:rPr>
          <w:rFonts w:hint="eastAsia" w:ascii="宋体" w:hAnsi="宋体" w:cs="宋体"/>
          <w:b/>
          <w:bCs/>
          <w:color w:val="auto"/>
          <w:sz w:val="28"/>
          <w:szCs w:val="28"/>
          <w:lang w:eastAsia="zh-CN"/>
        </w:rPr>
        <w:t>投标</w:t>
      </w:r>
      <w:r>
        <w:rPr>
          <w:rFonts w:hint="eastAsia" w:ascii="宋体" w:hAnsi="宋体" w:cs="宋体"/>
          <w:b/>
          <w:bCs/>
          <w:color w:val="auto"/>
          <w:sz w:val="28"/>
          <w:szCs w:val="28"/>
        </w:rPr>
        <w:t>函</w:t>
      </w:r>
    </w:p>
    <w:p>
      <w:pPr>
        <w:pStyle w:val="13"/>
        <w:ind w:left="0" w:firstLine="480" w:firstLineChars="200"/>
        <w:rPr>
          <w:rFonts w:hint="eastAsia" w:ascii="宋体" w:hAnsi="宋体" w:eastAsia="宋体" w:cs="宋体"/>
          <w:b w:val="0"/>
          <w:bCs/>
          <w:color w:val="auto"/>
          <w:lang w:val="en-US" w:eastAsia="zh-CN"/>
        </w:rPr>
      </w:pPr>
      <w:r>
        <w:rPr>
          <w:rFonts w:hint="eastAsia" w:ascii="宋体" w:hAnsi="宋体" w:cs="宋体"/>
          <w:b w:val="0"/>
          <w:bCs/>
          <w:color w:val="auto"/>
        </w:rPr>
        <w:t>我方全面研究了 “</w:t>
      </w:r>
      <w:r>
        <w:rPr>
          <w:rFonts w:hint="eastAsia" w:ascii="宋体" w:hAnsi="宋体" w:cs="宋体"/>
          <w:b w:val="0"/>
          <w:bCs/>
          <w:color w:val="auto"/>
          <w:u w:val="single"/>
          <w:lang w:val="en-US" w:eastAsia="zh-CN"/>
        </w:rPr>
        <w:t xml:space="preserve">    </w:t>
      </w:r>
      <w:r>
        <w:rPr>
          <w:rFonts w:hint="eastAsia" w:ascii="宋体" w:hAnsi="宋体" w:cs="宋体"/>
          <w:b w:val="0"/>
          <w:bCs/>
          <w:color w:val="auto"/>
        </w:rPr>
        <w:t>”项目</w:t>
      </w:r>
      <w:r>
        <w:rPr>
          <w:rFonts w:hint="eastAsia" w:ascii="宋体" w:hAnsi="宋体" w:cs="宋体"/>
          <w:b w:val="0"/>
          <w:bCs/>
          <w:color w:val="auto"/>
          <w:lang w:eastAsia="zh-CN"/>
        </w:rPr>
        <w:t>招标</w:t>
      </w:r>
      <w:r>
        <w:rPr>
          <w:rFonts w:hint="eastAsia" w:ascii="宋体" w:hAnsi="宋体" w:cs="宋体"/>
          <w:b w:val="0"/>
          <w:bCs/>
          <w:color w:val="auto"/>
        </w:rPr>
        <w:t>文件（文件编号：</w:t>
      </w:r>
      <w:r>
        <w:rPr>
          <w:rFonts w:hint="eastAsia" w:ascii="宋体" w:hAnsi="宋体" w:cs="宋体"/>
          <w:b w:val="0"/>
          <w:bCs/>
          <w:color w:val="auto"/>
          <w:u w:val="single"/>
          <w:lang w:val="en-US" w:eastAsia="zh-CN"/>
        </w:rPr>
        <w:t xml:space="preserve">   </w:t>
      </w:r>
      <w:r>
        <w:rPr>
          <w:rFonts w:hint="eastAsia" w:ascii="宋体" w:hAnsi="宋体" w:cs="宋体"/>
          <w:b w:val="0"/>
          <w:bCs/>
          <w:color w:val="auto"/>
        </w:rPr>
        <w:t>），决定参加本项目</w:t>
      </w:r>
      <w:r>
        <w:rPr>
          <w:rFonts w:hint="eastAsia" w:ascii="宋体" w:hAnsi="宋体" w:cs="宋体"/>
          <w:b w:val="0"/>
          <w:bCs/>
          <w:color w:val="auto"/>
          <w:lang w:eastAsia="zh-CN"/>
        </w:rPr>
        <w:t>投标</w:t>
      </w:r>
      <w:r>
        <w:rPr>
          <w:rFonts w:hint="eastAsia" w:ascii="宋体" w:hAnsi="宋体" w:cs="宋体"/>
          <w:b w:val="0"/>
          <w:bCs/>
          <w:color w:val="auto"/>
        </w:rPr>
        <w:t>。我方授权</w:t>
      </w:r>
      <w:r>
        <w:rPr>
          <w:rFonts w:hint="eastAsia" w:ascii="宋体" w:hAnsi="宋体" w:cs="宋体"/>
          <w:b w:val="0"/>
          <w:bCs/>
          <w:color w:val="auto"/>
          <w:lang w:val="en-US" w:eastAsia="zh-CN"/>
        </w:rPr>
        <w:t xml:space="preserve"> </w:t>
      </w:r>
      <w:r>
        <w:rPr>
          <w:rFonts w:hint="eastAsia" w:ascii="宋体" w:hAnsi="宋体" w:cs="宋体"/>
          <w:b w:val="0"/>
          <w:bCs/>
          <w:color w:val="auto"/>
          <w:u w:val="single"/>
          <w:lang w:val="en-US" w:eastAsia="zh-CN"/>
        </w:rPr>
        <w:t xml:space="preserve">       </w:t>
      </w:r>
      <w:r>
        <w:rPr>
          <w:rFonts w:hint="eastAsia" w:ascii="宋体" w:hAnsi="宋体" w:cs="宋体"/>
          <w:b w:val="0"/>
          <w:bCs/>
          <w:color w:val="auto"/>
        </w:rPr>
        <w:t>（姓名、职务）代表我方</w:t>
      </w:r>
      <w:r>
        <w:rPr>
          <w:rFonts w:hint="eastAsia" w:ascii="宋体" w:hAnsi="宋体" w:cs="宋体"/>
          <w:b w:val="0"/>
          <w:bCs/>
          <w:color w:val="auto"/>
          <w:u w:val="single"/>
          <w:lang w:val="en-US" w:eastAsia="zh-CN"/>
        </w:rPr>
        <w:t xml:space="preserve">      </w:t>
      </w:r>
      <w:r>
        <w:rPr>
          <w:rFonts w:hint="eastAsia" w:ascii="宋体" w:hAnsi="宋体" w:cs="宋体"/>
          <w:b w:val="0"/>
          <w:bCs/>
          <w:color w:val="auto"/>
        </w:rPr>
        <w:t>（</w:t>
      </w:r>
      <w:r>
        <w:rPr>
          <w:rFonts w:hint="eastAsia" w:ascii="宋体" w:hAnsi="宋体" w:cs="宋体"/>
          <w:b w:val="0"/>
          <w:bCs/>
          <w:color w:val="auto"/>
          <w:lang w:eastAsia="zh-CN"/>
        </w:rPr>
        <w:t>供应商</w:t>
      </w:r>
      <w:r>
        <w:rPr>
          <w:rFonts w:hint="eastAsia" w:ascii="宋体" w:hAnsi="宋体" w:cs="宋体"/>
          <w:b w:val="0"/>
          <w:bCs/>
          <w:color w:val="auto"/>
        </w:rPr>
        <w:t>的名称）全权处理本项目</w:t>
      </w:r>
      <w:r>
        <w:rPr>
          <w:rFonts w:hint="eastAsia" w:ascii="宋体" w:hAnsi="宋体" w:cs="宋体"/>
          <w:b w:val="0"/>
          <w:bCs/>
          <w:color w:val="auto"/>
          <w:lang w:eastAsia="zh-CN"/>
        </w:rPr>
        <w:t>投标</w:t>
      </w:r>
      <w:r>
        <w:rPr>
          <w:rFonts w:hint="eastAsia" w:ascii="宋体" w:hAnsi="宋体" w:cs="宋体"/>
          <w:b w:val="0"/>
          <w:bCs/>
          <w:color w:val="auto"/>
        </w:rPr>
        <w:t>的有关事宜。</w:t>
      </w:r>
      <w:r>
        <w:rPr>
          <w:rFonts w:hint="eastAsia" w:ascii="宋体" w:hAnsi="宋体" w:cs="宋体"/>
          <w:b w:val="0"/>
          <w:bCs/>
          <w:color w:val="auto"/>
          <w:lang w:val="en-US" w:eastAsia="zh-CN"/>
        </w:rPr>
        <w:t xml:space="preserve"> </w:t>
      </w:r>
    </w:p>
    <w:p>
      <w:pPr>
        <w:pStyle w:val="13"/>
        <w:ind w:left="0" w:firstLine="480" w:firstLineChars="200"/>
        <w:rPr>
          <w:rFonts w:ascii="宋体" w:hAnsi="宋体" w:cs="宋体"/>
          <w:b w:val="0"/>
          <w:bCs/>
          <w:color w:val="auto"/>
        </w:rPr>
      </w:pPr>
      <w:r>
        <w:rPr>
          <w:rFonts w:hint="eastAsia" w:ascii="宋体" w:hAnsi="宋体" w:cs="宋体"/>
          <w:b w:val="0"/>
          <w:bCs/>
          <w:color w:val="auto"/>
        </w:rPr>
        <w:t>1、我方自愿按照</w:t>
      </w:r>
      <w:r>
        <w:rPr>
          <w:rFonts w:hint="eastAsia" w:ascii="宋体" w:hAnsi="宋体" w:cs="宋体"/>
          <w:b w:val="0"/>
          <w:bCs/>
          <w:color w:val="auto"/>
          <w:lang w:eastAsia="zh-CN"/>
        </w:rPr>
        <w:t>招标</w:t>
      </w:r>
      <w:r>
        <w:rPr>
          <w:rFonts w:hint="eastAsia" w:ascii="宋体" w:hAnsi="宋体" w:cs="宋体"/>
          <w:b w:val="0"/>
          <w:bCs/>
          <w:color w:val="auto"/>
        </w:rPr>
        <w:t>文件规定的各项要求向采购人提供所需服务，</w:t>
      </w:r>
      <w:r>
        <w:rPr>
          <w:rFonts w:hint="eastAsia" w:ascii="宋体" w:hAnsi="宋体" w:cs="宋体"/>
          <w:b w:val="0"/>
          <w:bCs/>
          <w:color w:val="auto"/>
          <w:lang w:val="en-US" w:eastAsia="zh-CN"/>
        </w:rPr>
        <w:t>单价合计</w:t>
      </w:r>
      <w:r>
        <w:rPr>
          <w:rFonts w:hint="eastAsia" w:ascii="宋体" w:hAnsi="宋体" w:cs="宋体"/>
          <w:b w:val="0"/>
          <w:bCs/>
          <w:color w:val="auto"/>
        </w:rPr>
        <w:t>为</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b w:val="0"/>
          <w:bCs/>
          <w:color w:val="auto"/>
          <w:u w:val="single"/>
        </w:rPr>
        <w:t>元</w:t>
      </w:r>
      <w:r>
        <w:rPr>
          <w:rFonts w:hint="eastAsia" w:ascii="宋体" w:hAnsi="宋体" w:cs="宋体"/>
          <w:b w:val="0"/>
          <w:bCs/>
          <w:color w:val="auto"/>
        </w:rPr>
        <w:t>（大写：</w:t>
      </w:r>
      <w:r>
        <w:rPr>
          <w:rFonts w:hint="eastAsia" w:ascii="宋体" w:hAnsi="宋体" w:cs="宋体"/>
          <w:b w:val="0"/>
          <w:bCs/>
          <w:color w:val="auto"/>
          <w:u w:val="single"/>
        </w:rPr>
        <w:t>人民币</w:t>
      </w:r>
      <w:r>
        <w:rPr>
          <w:rFonts w:hint="eastAsia" w:ascii="宋体" w:hAnsi="宋体" w:cs="宋体"/>
          <w:b w:val="0"/>
          <w:bCs/>
          <w:color w:val="auto"/>
          <w:u w:val="single"/>
          <w:lang w:val="en-US" w:eastAsia="zh-CN"/>
        </w:rPr>
        <w:t xml:space="preserve">         </w:t>
      </w:r>
      <w:r>
        <w:rPr>
          <w:rFonts w:hint="eastAsia" w:ascii="宋体" w:hAnsi="宋体" w:cs="宋体"/>
          <w:b w:val="0"/>
          <w:bCs/>
          <w:color w:val="auto"/>
        </w:rPr>
        <w:t>）。</w:t>
      </w:r>
    </w:p>
    <w:p>
      <w:pPr>
        <w:pStyle w:val="13"/>
        <w:ind w:left="0" w:firstLine="480" w:firstLineChars="200"/>
        <w:rPr>
          <w:rFonts w:ascii="宋体" w:hAnsi="宋体" w:cs="宋体"/>
          <w:b w:val="0"/>
          <w:bCs/>
          <w:color w:val="auto"/>
        </w:rPr>
      </w:pPr>
      <w:r>
        <w:rPr>
          <w:rFonts w:hint="eastAsia" w:ascii="宋体" w:hAnsi="宋体" w:cs="宋体"/>
          <w:b w:val="0"/>
          <w:bCs/>
          <w:color w:val="auto"/>
        </w:rPr>
        <w:t>2、若我方</w:t>
      </w:r>
      <w:r>
        <w:rPr>
          <w:rFonts w:hint="eastAsia" w:ascii="宋体" w:hAnsi="宋体" w:cs="宋体"/>
          <w:b w:val="0"/>
          <w:bCs/>
          <w:color w:val="auto"/>
          <w:lang w:eastAsia="zh-CN"/>
        </w:rPr>
        <w:t>中标</w:t>
      </w:r>
      <w:r>
        <w:rPr>
          <w:rFonts w:hint="eastAsia" w:ascii="宋体" w:hAnsi="宋体" w:cs="宋体"/>
          <w:b w:val="0"/>
          <w:bCs/>
          <w:color w:val="auto"/>
        </w:rPr>
        <w:t>，我方将严格履行合同规定的责任和义务，保证按采购人要求及我方承诺完成应尽义务，并交采购人验收，使用。</w:t>
      </w:r>
    </w:p>
    <w:p>
      <w:pPr>
        <w:pStyle w:val="13"/>
        <w:ind w:left="0" w:firstLine="480" w:firstLineChars="200"/>
        <w:rPr>
          <w:rFonts w:ascii="宋体" w:hAnsi="宋体" w:cs="宋体"/>
          <w:b w:val="0"/>
          <w:bCs/>
          <w:color w:val="auto"/>
        </w:rPr>
      </w:pPr>
      <w:r>
        <w:rPr>
          <w:rFonts w:hint="eastAsia" w:ascii="宋体" w:hAnsi="宋体" w:cs="宋体"/>
          <w:b w:val="0"/>
          <w:bCs/>
          <w:color w:val="auto"/>
          <w:lang w:val="en-US" w:eastAsia="zh-CN"/>
        </w:rPr>
        <w:t>3</w:t>
      </w:r>
      <w:r>
        <w:rPr>
          <w:rFonts w:hint="eastAsia" w:ascii="宋体" w:hAnsi="宋体" w:cs="宋体"/>
          <w:b w:val="0"/>
          <w:bCs/>
          <w:color w:val="auto"/>
        </w:rPr>
        <w:t>、我方愿意提供采购人可能另外要求的，与</w:t>
      </w:r>
      <w:r>
        <w:rPr>
          <w:rFonts w:hint="eastAsia" w:ascii="宋体" w:hAnsi="宋体" w:cs="宋体"/>
          <w:b w:val="0"/>
          <w:bCs/>
          <w:color w:val="auto"/>
          <w:lang w:eastAsia="zh-CN"/>
        </w:rPr>
        <w:t>投标</w:t>
      </w:r>
      <w:r>
        <w:rPr>
          <w:rFonts w:hint="eastAsia" w:ascii="宋体" w:hAnsi="宋体" w:cs="宋体"/>
          <w:b w:val="0"/>
          <w:bCs/>
          <w:color w:val="auto"/>
        </w:rPr>
        <w:t>有关的文件资料，并保证我方已提供和将要提供的文件资料是真实、准确的。</w:t>
      </w:r>
    </w:p>
    <w:p>
      <w:pPr>
        <w:pStyle w:val="13"/>
        <w:ind w:left="852" w:firstLine="480" w:firstLineChars="200"/>
        <w:jc w:val="left"/>
        <w:rPr>
          <w:rFonts w:ascii="宋体" w:hAnsi="宋体" w:cs="宋体"/>
          <w:b w:val="0"/>
          <w:bCs/>
          <w:color w:val="auto"/>
        </w:rPr>
      </w:pPr>
    </w:p>
    <w:p>
      <w:pPr>
        <w:pStyle w:val="13"/>
        <w:ind w:left="852" w:firstLine="480" w:firstLineChars="200"/>
        <w:jc w:val="left"/>
        <w:rPr>
          <w:rFonts w:ascii="宋体" w:hAnsi="宋体" w:cs="宋体"/>
          <w:b w:val="0"/>
          <w:bCs/>
          <w:color w:val="auto"/>
        </w:rPr>
      </w:pPr>
    </w:p>
    <w:p>
      <w:pPr>
        <w:pStyle w:val="13"/>
        <w:ind w:left="852" w:firstLine="480" w:firstLineChars="200"/>
        <w:jc w:val="left"/>
        <w:rPr>
          <w:rFonts w:ascii="宋体" w:hAnsi="宋体" w:cs="宋体"/>
          <w:b w:val="0"/>
          <w:bCs/>
          <w:color w:val="auto"/>
        </w:rPr>
      </w:pPr>
    </w:p>
    <w:p>
      <w:pPr>
        <w:pStyle w:val="13"/>
        <w:ind w:left="852" w:hanging="852"/>
        <w:jc w:val="left"/>
        <w:rPr>
          <w:rFonts w:ascii="宋体" w:hAnsi="宋体" w:cs="宋体"/>
          <w:b w:val="0"/>
          <w:bCs/>
          <w:color w:val="auto"/>
        </w:rPr>
      </w:pPr>
      <w:r>
        <w:rPr>
          <w:rFonts w:hint="eastAsia" w:ascii="宋体" w:hAnsi="宋体" w:cs="宋体"/>
          <w:b w:val="0"/>
          <w:bCs/>
          <w:color w:val="auto"/>
          <w:lang w:eastAsia="zh-CN"/>
        </w:rPr>
        <w:t>供应商</w:t>
      </w:r>
      <w:r>
        <w:rPr>
          <w:rFonts w:hint="eastAsia" w:ascii="宋体" w:hAnsi="宋体" w:cs="宋体"/>
          <w:b w:val="0"/>
          <w:bCs/>
          <w:color w:val="auto"/>
        </w:rPr>
        <w:t>名称：        （盖章）</w:t>
      </w:r>
    </w:p>
    <w:p>
      <w:pPr>
        <w:pStyle w:val="13"/>
        <w:ind w:left="0" w:firstLine="0" w:firstLineChars="0"/>
        <w:jc w:val="left"/>
        <w:rPr>
          <w:rFonts w:ascii="宋体" w:hAnsi="宋体" w:cs="宋体"/>
          <w:b w:val="0"/>
          <w:bCs/>
          <w:color w:val="auto"/>
        </w:rPr>
      </w:pPr>
      <w:r>
        <w:rPr>
          <w:rFonts w:hint="eastAsia" w:ascii="宋体" w:hAnsi="宋体" w:cs="宋体"/>
          <w:b w:val="0"/>
          <w:bCs/>
          <w:color w:val="auto"/>
          <w:lang w:eastAsia="zh-CN"/>
        </w:rPr>
        <w:t>供应商</w:t>
      </w:r>
      <w:r>
        <w:rPr>
          <w:rFonts w:hint="eastAsia" w:ascii="宋体" w:hAnsi="宋体" w:cs="宋体"/>
          <w:b w:val="0"/>
          <w:bCs/>
          <w:color w:val="auto"/>
        </w:rPr>
        <w:t>代表人或授权代表（签字或盖章）：</w:t>
      </w:r>
    </w:p>
    <w:p>
      <w:pPr>
        <w:pStyle w:val="13"/>
        <w:ind w:left="0" w:firstLine="0" w:firstLineChars="0"/>
        <w:jc w:val="left"/>
        <w:rPr>
          <w:rFonts w:ascii="宋体" w:hAnsi="宋体" w:cs="宋体"/>
          <w:b w:val="0"/>
          <w:bCs/>
          <w:color w:val="auto"/>
        </w:rPr>
      </w:pPr>
      <w:r>
        <w:rPr>
          <w:rFonts w:hint="eastAsia" w:ascii="宋体" w:hAnsi="宋体" w:cs="宋体"/>
          <w:b w:val="0"/>
          <w:bCs/>
          <w:color w:val="auto"/>
        </w:rPr>
        <w:t>通讯地址：</w:t>
      </w:r>
    </w:p>
    <w:p>
      <w:pPr>
        <w:pStyle w:val="13"/>
        <w:ind w:left="0" w:firstLine="0" w:firstLineChars="0"/>
        <w:jc w:val="left"/>
        <w:rPr>
          <w:rFonts w:ascii="宋体" w:hAnsi="宋体" w:cs="宋体"/>
          <w:b w:val="0"/>
          <w:bCs/>
          <w:color w:val="auto"/>
        </w:rPr>
      </w:pPr>
      <w:r>
        <w:rPr>
          <w:rFonts w:hint="eastAsia" w:ascii="宋体" w:hAnsi="宋体" w:cs="宋体"/>
          <w:b w:val="0"/>
          <w:bCs/>
          <w:color w:val="auto"/>
        </w:rPr>
        <w:t>邮政编码：</w:t>
      </w:r>
    </w:p>
    <w:p>
      <w:pPr>
        <w:pStyle w:val="13"/>
        <w:ind w:left="0" w:firstLine="0" w:firstLineChars="0"/>
        <w:jc w:val="left"/>
        <w:rPr>
          <w:rFonts w:ascii="宋体" w:hAnsi="宋体" w:cs="宋体"/>
          <w:b w:val="0"/>
          <w:bCs/>
          <w:color w:val="auto"/>
        </w:rPr>
      </w:pPr>
      <w:r>
        <w:rPr>
          <w:rFonts w:hint="eastAsia" w:ascii="宋体" w:hAnsi="宋体" w:cs="宋体"/>
          <w:b w:val="0"/>
          <w:bCs/>
          <w:color w:val="auto"/>
        </w:rPr>
        <w:t>联系电话：</w:t>
      </w:r>
    </w:p>
    <w:p>
      <w:pPr>
        <w:pStyle w:val="13"/>
        <w:ind w:left="0" w:firstLine="0" w:firstLineChars="0"/>
        <w:jc w:val="left"/>
        <w:rPr>
          <w:rFonts w:ascii="宋体" w:hAnsi="宋体" w:cs="宋体"/>
          <w:b w:val="0"/>
          <w:bCs/>
          <w:color w:val="auto"/>
        </w:rPr>
      </w:pPr>
      <w:r>
        <w:rPr>
          <w:rFonts w:hint="eastAsia" w:ascii="宋体" w:hAnsi="宋体" w:cs="宋体"/>
          <w:b w:val="0"/>
          <w:bCs/>
          <w:color w:val="auto"/>
        </w:rPr>
        <w:t>传    真：</w:t>
      </w:r>
    </w:p>
    <w:p>
      <w:pPr>
        <w:pStyle w:val="13"/>
        <w:ind w:left="0" w:firstLine="0" w:firstLineChars="0"/>
        <w:jc w:val="left"/>
        <w:rPr>
          <w:rFonts w:ascii="宋体" w:hAnsi="宋体" w:cs="宋体"/>
          <w:b w:val="0"/>
          <w:bCs/>
          <w:color w:val="auto"/>
        </w:rPr>
      </w:pPr>
      <w:r>
        <w:rPr>
          <w:rFonts w:hint="eastAsia" w:ascii="宋体" w:hAnsi="宋体" w:cs="宋体"/>
          <w:b w:val="0"/>
          <w:bCs/>
          <w:color w:val="auto"/>
        </w:rPr>
        <w:t>日    期：    年  月  日</w:t>
      </w:r>
    </w:p>
    <w:p>
      <w:pPr>
        <w:pStyle w:val="13"/>
        <w:ind w:left="0" w:firstLine="0" w:firstLineChars="0"/>
        <w:jc w:val="left"/>
        <w:rPr>
          <w:rFonts w:ascii="宋体" w:hAnsi="宋体" w:cs="宋体"/>
          <w:b w:val="0"/>
          <w:bCs/>
          <w:color w:val="auto"/>
        </w:rPr>
      </w:pPr>
    </w:p>
    <w:p>
      <w:pPr>
        <w:pStyle w:val="13"/>
        <w:ind w:left="0" w:firstLine="0" w:firstLineChars="0"/>
        <w:jc w:val="left"/>
        <w:rPr>
          <w:rFonts w:ascii="宋体" w:hAnsi="宋体" w:cs="宋体"/>
          <w:b w:val="0"/>
          <w:bCs/>
          <w:color w:val="auto"/>
        </w:rPr>
      </w:pPr>
    </w:p>
    <w:p>
      <w:pPr>
        <w:pStyle w:val="13"/>
        <w:ind w:left="0" w:firstLine="0" w:firstLineChars="0"/>
        <w:jc w:val="left"/>
        <w:rPr>
          <w:rFonts w:ascii="宋体" w:hAnsi="宋体" w:cs="宋体"/>
          <w:b w:val="0"/>
          <w:bCs/>
          <w:color w:val="auto"/>
        </w:rPr>
      </w:pPr>
    </w:p>
    <w:p>
      <w:pPr>
        <w:pStyle w:val="13"/>
        <w:ind w:left="0" w:firstLine="0" w:firstLineChars="0"/>
        <w:jc w:val="left"/>
        <w:rPr>
          <w:rFonts w:ascii="宋体" w:hAnsi="宋体" w:cs="宋体"/>
          <w:b w:val="0"/>
          <w:bCs/>
          <w:color w:val="auto"/>
        </w:rPr>
      </w:pPr>
    </w:p>
    <w:p>
      <w:pPr>
        <w:pStyle w:val="13"/>
        <w:ind w:left="0" w:firstLine="0" w:firstLineChars="0"/>
        <w:jc w:val="left"/>
        <w:rPr>
          <w:rFonts w:ascii="宋体" w:hAnsi="宋体" w:cs="宋体"/>
          <w:b w:val="0"/>
          <w:bCs/>
          <w:color w:val="auto"/>
        </w:rPr>
      </w:pPr>
    </w:p>
    <w:p>
      <w:pPr>
        <w:pStyle w:val="13"/>
        <w:ind w:left="0" w:firstLine="0" w:firstLineChars="0"/>
        <w:jc w:val="left"/>
        <w:rPr>
          <w:rFonts w:ascii="宋体" w:hAnsi="宋体" w:cs="宋体"/>
          <w:b w:val="0"/>
          <w:bCs/>
          <w:color w:val="auto"/>
        </w:rPr>
      </w:pPr>
    </w:p>
    <w:p>
      <w:pPr>
        <w:pStyle w:val="13"/>
        <w:ind w:left="0" w:firstLine="0" w:firstLineChars="0"/>
        <w:jc w:val="left"/>
        <w:rPr>
          <w:rFonts w:ascii="宋体" w:hAnsi="宋体" w:cs="宋体"/>
          <w:b w:val="0"/>
          <w:bCs/>
          <w:color w:val="auto"/>
        </w:rPr>
      </w:pPr>
    </w:p>
    <w:p>
      <w:pPr>
        <w:pStyle w:val="13"/>
        <w:ind w:left="0" w:firstLine="0" w:firstLineChars="0"/>
        <w:jc w:val="left"/>
        <w:rPr>
          <w:rFonts w:ascii="宋体" w:hAnsi="宋体" w:cs="宋体"/>
          <w:b w:val="0"/>
          <w:bCs/>
          <w:color w:val="auto"/>
        </w:rPr>
      </w:pPr>
    </w:p>
    <w:p>
      <w:pPr>
        <w:spacing w:line="360" w:lineRule="auto"/>
        <w:jc w:val="center"/>
        <w:rPr>
          <w:rFonts w:ascii="宋体" w:hAnsi="宋体" w:cs="宋体"/>
          <w:color w:val="auto"/>
          <w:sz w:val="24"/>
          <w:highlight w:val="yellow"/>
        </w:rPr>
      </w:pPr>
      <w:r>
        <w:rPr>
          <w:rFonts w:hint="eastAsia" w:ascii="宋体" w:hAnsi="宋体" w:cs="宋体"/>
          <w:b/>
          <w:color w:val="auto"/>
          <w:sz w:val="28"/>
          <w:szCs w:val="28"/>
        </w:rPr>
        <w:t>2、商务报价一览表</w:t>
      </w:r>
    </w:p>
    <w:p>
      <w:pPr>
        <w:spacing w:line="360" w:lineRule="auto"/>
        <w:ind w:firstLine="240" w:firstLineChars="100"/>
        <w:rPr>
          <w:rFonts w:ascii="宋体" w:hAnsi="宋体" w:cs="宋体"/>
          <w:color w:val="auto"/>
          <w:sz w:val="24"/>
        </w:rPr>
      </w:pPr>
      <w:r>
        <w:rPr>
          <w:rFonts w:hint="eastAsia" w:ascii="宋体" w:hAnsi="宋体" w:cs="宋体"/>
          <w:color w:val="auto"/>
          <w:sz w:val="24"/>
        </w:rPr>
        <w:t>项目名称：                                             币种：人民币</w:t>
      </w:r>
    </w:p>
    <w:tbl>
      <w:tblPr>
        <w:tblStyle w:val="20"/>
        <w:tblW w:w="1006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
        <w:gridCol w:w="2432"/>
        <w:gridCol w:w="730"/>
        <w:gridCol w:w="5142"/>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536" w:type="dxa"/>
            <w:tcBorders>
              <w:top w:val="single" w:color="000000" w:sz="2" w:space="0"/>
              <w:left w:val="single" w:color="000000" w:sz="2" w:space="0"/>
              <w:right w:val="single" w:color="000000" w:sz="2" w:space="0"/>
            </w:tcBorders>
            <w:noWrap/>
            <w:vAlign w:val="center"/>
          </w:tcPr>
          <w:p>
            <w:pPr>
              <w:spacing w:line="480" w:lineRule="auto"/>
              <w:jc w:val="center"/>
              <w:rPr>
                <w:rFonts w:ascii="宋体" w:hAnsi="宋体" w:cs="宋体"/>
                <w:color w:val="auto"/>
                <w:sz w:val="24"/>
              </w:rPr>
            </w:pPr>
            <w:r>
              <w:rPr>
                <w:rFonts w:hint="eastAsia" w:ascii="宋体" w:hAnsi="宋体" w:cs="宋体"/>
                <w:color w:val="auto"/>
                <w:sz w:val="24"/>
              </w:rPr>
              <w:t>序号</w:t>
            </w:r>
          </w:p>
        </w:tc>
        <w:tc>
          <w:tcPr>
            <w:tcW w:w="2432" w:type="dxa"/>
            <w:tcBorders>
              <w:top w:val="single" w:color="000000" w:sz="2" w:space="0"/>
              <w:left w:val="single" w:color="auto" w:sz="4" w:space="0"/>
              <w:right w:val="single" w:color="000000" w:sz="2" w:space="0"/>
            </w:tcBorders>
            <w:noWrap/>
            <w:vAlign w:val="center"/>
          </w:tcPr>
          <w:p>
            <w:pPr>
              <w:widowControl/>
              <w:spacing w:line="480" w:lineRule="auto"/>
              <w:jc w:val="center"/>
              <w:rPr>
                <w:rFonts w:ascii="宋体" w:hAnsi="宋体" w:cs="宋体"/>
                <w:color w:val="auto"/>
                <w:kern w:val="0"/>
                <w:sz w:val="24"/>
              </w:rPr>
            </w:pPr>
            <w:r>
              <w:rPr>
                <w:rFonts w:hint="eastAsia" w:ascii="宋体" w:hAnsi="宋体" w:cs="宋体"/>
                <w:color w:val="auto"/>
                <w:sz w:val="24"/>
              </w:rPr>
              <w:t>项目名称</w:t>
            </w:r>
          </w:p>
        </w:tc>
        <w:tc>
          <w:tcPr>
            <w:tcW w:w="5872" w:type="dxa"/>
            <w:gridSpan w:val="2"/>
            <w:tcBorders>
              <w:top w:val="single" w:color="000000" w:sz="2" w:space="0"/>
              <w:left w:val="single" w:color="auto" w:sz="4" w:space="0"/>
              <w:right w:val="single" w:color="auto" w:sz="4" w:space="0"/>
            </w:tcBorders>
            <w:noWrap/>
            <w:vAlign w:val="center"/>
          </w:tcPr>
          <w:p>
            <w:pPr>
              <w:spacing w:line="480" w:lineRule="auto"/>
              <w:jc w:val="center"/>
              <w:rPr>
                <w:rFonts w:ascii="宋体" w:hAnsi="宋体" w:cs="宋体"/>
                <w:color w:val="auto"/>
                <w:sz w:val="24"/>
              </w:rPr>
            </w:pPr>
            <w:r>
              <w:rPr>
                <w:rFonts w:hint="eastAsia" w:ascii="宋体" w:hAnsi="宋体" w:cs="宋体"/>
                <w:color w:val="auto"/>
                <w:sz w:val="24"/>
                <w:highlight w:val="none"/>
                <w:lang w:val="en-US" w:eastAsia="zh-CN"/>
              </w:rPr>
              <w:t>投标报价</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万</w:t>
            </w:r>
            <w:r>
              <w:rPr>
                <w:rFonts w:hint="eastAsia" w:ascii="宋体" w:hAnsi="宋体" w:cs="宋体"/>
                <w:color w:val="auto"/>
                <w:sz w:val="24"/>
                <w:highlight w:val="none"/>
              </w:rPr>
              <w:t>元）</w:t>
            </w:r>
          </w:p>
        </w:tc>
        <w:tc>
          <w:tcPr>
            <w:tcW w:w="1225" w:type="dxa"/>
            <w:tcBorders>
              <w:top w:val="single" w:color="000000" w:sz="2" w:space="0"/>
              <w:left w:val="single" w:color="auto" w:sz="4" w:space="0"/>
              <w:right w:val="single" w:color="000000" w:sz="2" w:space="0"/>
            </w:tcBorders>
            <w:noWrap/>
            <w:vAlign w:val="center"/>
          </w:tcPr>
          <w:p>
            <w:pPr>
              <w:widowControl/>
              <w:spacing w:line="480" w:lineRule="auto"/>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trPr>
        <w:tc>
          <w:tcPr>
            <w:tcW w:w="536" w:type="dxa"/>
            <w:vMerge w:val="restart"/>
            <w:tcBorders>
              <w:left w:val="single" w:color="000000" w:sz="2" w:space="0"/>
              <w:right w:val="single" w:color="000000" w:sz="2" w:space="0"/>
            </w:tcBorders>
            <w:noWrap/>
            <w:vAlign w:val="center"/>
          </w:tcPr>
          <w:p>
            <w:pPr>
              <w:spacing w:line="480" w:lineRule="auto"/>
              <w:jc w:val="center"/>
              <w:rPr>
                <w:rFonts w:ascii="宋体" w:hAnsi="宋体" w:cs="宋体"/>
                <w:color w:val="auto"/>
                <w:sz w:val="24"/>
              </w:rPr>
            </w:pPr>
            <w:r>
              <w:rPr>
                <w:rFonts w:hint="eastAsia" w:ascii="宋体" w:hAnsi="宋体" w:cs="宋体"/>
                <w:color w:val="auto"/>
                <w:sz w:val="24"/>
              </w:rPr>
              <w:t>1</w:t>
            </w:r>
          </w:p>
        </w:tc>
        <w:tc>
          <w:tcPr>
            <w:tcW w:w="2432" w:type="dxa"/>
            <w:vMerge w:val="restart"/>
            <w:tcBorders>
              <w:top w:val="single" w:color="auto" w:sz="4" w:space="0"/>
              <w:left w:val="single" w:color="auto" w:sz="4" w:space="0"/>
              <w:right w:val="single" w:color="000000" w:sz="2"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lang w:eastAsia="zh-CN"/>
              </w:rPr>
            </w:pPr>
            <w:r>
              <w:rPr>
                <w:rFonts w:hint="eastAsia" w:hAnsi="宋体" w:cs="宋体"/>
                <w:color w:val="auto"/>
                <w:sz w:val="24"/>
                <w:szCs w:val="24"/>
                <w:lang w:eastAsia="zh-CN"/>
              </w:rPr>
              <w:t>克拉玛依市第三人民医院电子病历系统项目</w:t>
            </w:r>
          </w:p>
        </w:tc>
        <w:tc>
          <w:tcPr>
            <w:tcW w:w="730" w:type="dxa"/>
            <w:tcBorders>
              <w:left w:val="single" w:color="auto" w:sz="4" w:space="0"/>
              <w:right w:val="single" w:color="auto" w:sz="4" w:space="0"/>
            </w:tcBorders>
            <w:noWrap/>
            <w:vAlign w:val="center"/>
          </w:tcPr>
          <w:p>
            <w:pPr>
              <w:spacing w:line="480" w:lineRule="auto"/>
              <w:jc w:val="center"/>
              <w:rPr>
                <w:rFonts w:ascii="宋体" w:hAnsi="宋体" w:cs="宋体"/>
                <w:color w:val="auto"/>
                <w:sz w:val="24"/>
              </w:rPr>
            </w:pPr>
            <w:r>
              <w:rPr>
                <w:rFonts w:hint="eastAsia" w:ascii="宋体" w:hAnsi="宋体" w:cs="宋体"/>
                <w:color w:val="auto"/>
                <w:sz w:val="24"/>
              </w:rPr>
              <w:t>小写</w:t>
            </w:r>
          </w:p>
        </w:tc>
        <w:tc>
          <w:tcPr>
            <w:tcW w:w="5142"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1225" w:type="dxa"/>
            <w:vMerge w:val="restart"/>
            <w:tcBorders>
              <w:left w:val="single" w:color="auto" w:sz="4" w:space="0"/>
              <w:right w:val="single" w:color="000000" w:sz="2"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1" w:hRule="atLeast"/>
        </w:trPr>
        <w:tc>
          <w:tcPr>
            <w:tcW w:w="536" w:type="dxa"/>
            <w:vMerge w:val="continue"/>
            <w:tcBorders>
              <w:left w:val="single" w:color="000000" w:sz="2" w:space="0"/>
              <w:right w:val="single" w:color="000000" w:sz="2" w:space="0"/>
            </w:tcBorders>
            <w:noWrap/>
            <w:vAlign w:val="center"/>
          </w:tcPr>
          <w:p>
            <w:pPr>
              <w:spacing w:line="480" w:lineRule="auto"/>
              <w:jc w:val="center"/>
              <w:rPr>
                <w:rFonts w:ascii="宋体" w:hAnsi="宋体" w:cs="宋体"/>
                <w:color w:val="auto"/>
                <w:sz w:val="24"/>
              </w:rPr>
            </w:pPr>
          </w:p>
        </w:tc>
        <w:tc>
          <w:tcPr>
            <w:tcW w:w="2432" w:type="dxa"/>
            <w:vMerge w:val="continue"/>
            <w:tcBorders>
              <w:left w:val="single" w:color="auto" w:sz="4" w:space="0"/>
              <w:bottom w:val="single" w:color="000000" w:sz="2" w:space="0"/>
              <w:right w:val="single" w:color="000000" w:sz="2" w:space="0"/>
            </w:tcBorders>
            <w:noWrap/>
            <w:vAlign w:val="center"/>
          </w:tcPr>
          <w:p>
            <w:pPr>
              <w:widowControl/>
              <w:spacing w:line="480" w:lineRule="auto"/>
              <w:jc w:val="center"/>
              <w:rPr>
                <w:rFonts w:ascii="宋体" w:hAnsi="宋体" w:cs="宋体"/>
                <w:color w:val="auto"/>
                <w:kern w:val="0"/>
                <w:sz w:val="24"/>
              </w:rPr>
            </w:pPr>
          </w:p>
        </w:tc>
        <w:tc>
          <w:tcPr>
            <w:tcW w:w="730" w:type="dxa"/>
            <w:tcBorders>
              <w:left w:val="single" w:color="auto" w:sz="4" w:space="0"/>
              <w:right w:val="single" w:color="auto" w:sz="4" w:space="0"/>
            </w:tcBorders>
            <w:noWrap/>
            <w:vAlign w:val="center"/>
          </w:tcPr>
          <w:p>
            <w:pPr>
              <w:spacing w:line="480" w:lineRule="auto"/>
              <w:jc w:val="center"/>
              <w:rPr>
                <w:rFonts w:ascii="宋体" w:hAnsi="宋体" w:cs="宋体"/>
                <w:color w:val="auto"/>
                <w:sz w:val="24"/>
              </w:rPr>
            </w:pPr>
            <w:r>
              <w:rPr>
                <w:rFonts w:hint="eastAsia" w:ascii="宋体" w:hAnsi="宋体" w:cs="宋体"/>
                <w:color w:val="auto"/>
                <w:sz w:val="24"/>
              </w:rPr>
              <w:t>大写</w:t>
            </w:r>
          </w:p>
        </w:tc>
        <w:tc>
          <w:tcPr>
            <w:tcW w:w="5142" w:type="dxa"/>
            <w:tcBorders>
              <w:left w:val="single" w:color="auto" w:sz="4" w:space="0"/>
              <w:right w:val="single" w:color="auto" w:sz="4" w:space="0"/>
            </w:tcBorders>
            <w:noWrap/>
            <w:vAlign w:val="center"/>
          </w:tcPr>
          <w:p>
            <w:pPr>
              <w:spacing w:line="480" w:lineRule="auto"/>
              <w:jc w:val="left"/>
              <w:rPr>
                <w:rFonts w:ascii="宋体" w:hAnsi="宋体" w:cs="宋体"/>
                <w:color w:val="auto"/>
                <w:sz w:val="24"/>
              </w:rPr>
            </w:pPr>
            <w:r>
              <w:rPr>
                <w:rFonts w:hint="eastAsia" w:ascii="宋体" w:hAnsi="宋体" w:cs="宋体"/>
                <w:color w:val="auto"/>
                <w:sz w:val="24"/>
              </w:rPr>
              <w:t>人民币</w:t>
            </w:r>
          </w:p>
        </w:tc>
        <w:tc>
          <w:tcPr>
            <w:tcW w:w="1225" w:type="dxa"/>
            <w:vMerge w:val="continue"/>
            <w:tcBorders>
              <w:left w:val="single" w:color="auto" w:sz="4" w:space="0"/>
              <w:right w:val="single" w:color="000000" w:sz="2" w:space="0"/>
            </w:tcBorders>
            <w:noWrap/>
            <w:vAlign w:val="center"/>
          </w:tcPr>
          <w:p>
            <w:pPr>
              <w:spacing w:line="48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3" w:hRule="atLeast"/>
        </w:trPr>
        <w:tc>
          <w:tcPr>
            <w:tcW w:w="536" w:type="dxa"/>
            <w:tcBorders>
              <w:top w:val="single" w:color="auto" w:sz="4" w:space="0"/>
              <w:left w:val="single" w:color="000000" w:sz="2" w:space="0"/>
              <w:bottom w:val="single" w:color="000000" w:sz="2" w:space="0"/>
              <w:right w:val="single" w:color="000000" w:sz="2" w:space="0"/>
            </w:tcBorders>
            <w:noWrap/>
            <w:vAlign w:val="center"/>
          </w:tcPr>
          <w:p>
            <w:pPr>
              <w:spacing w:line="480" w:lineRule="auto"/>
              <w:jc w:val="center"/>
              <w:rPr>
                <w:rFonts w:ascii="宋体" w:hAnsi="宋体" w:cs="宋体"/>
                <w:color w:val="auto"/>
                <w:sz w:val="24"/>
              </w:rPr>
            </w:pPr>
            <w:r>
              <w:rPr>
                <w:rFonts w:hint="eastAsia" w:ascii="宋体" w:hAnsi="宋体" w:cs="宋体"/>
                <w:color w:val="auto"/>
                <w:sz w:val="24"/>
              </w:rPr>
              <w:t>2</w:t>
            </w:r>
          </w:p>
        </w:tc>
        <w:tc>
          <w:tcPr>
            <w:tcW w:w="2432" w:type="dxa"/>
            <w:tcBorders>
              <w:top w:val="single" w:color="auto" w:sz="4" w:space="0"/>
              <w:left w:val="single" w:color="auto" w:sz="4" w:space="0"/>
              <w:bottom w:val="single" w:color="000000" w:sz="2" w:space="0"/>
              <w:right w:val="single" w:color="auto" w:sz="4" w:space="0"/>
            </w:tcBorders>
            <w:noWrap/>
            <w:vAlign w:val="center"/>
          </w:tcPr>
          <w:p>
            <w:pPr>
              <w:spacing w:line="48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服务期</w:t>
            </w:r>
          </w:p>
        </w:tc>
        <w:tc>
          <w:tcPr>
            <w:tcW w:w="7097" w:type="dxa"/>
            <w:gridSpan w:val="3"/>
            <w:tcBorders>
              <w:top w:val="single" w:color="auto" w:sz="4" w:space="0"/>
              <w:left w:val="single" w:color="auto" w:sz="4" w:space="0"/>
              <w:bottom w:val="single" w:color="000000" w:sz="2" w:space="0"/>
              <w:right w:val="single" w:color="000000" w:sz="2"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自签订合同之日起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个月内实施完成并进行验收，系统验收提供</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年的免费服务期。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trPr>
        <w:tc>
          <w:tcPr>
            <w:tcW w:w="536" w:type="dxa"/>
            <w:tcBorders>
              <w:top w:val="single" w:color="auto" w:sz="4" w:space="0"/>
              <w:left w:val="single" w:color="000000" w:sz="2" w:space="0"/>
              <w:bottom w:val="single" w:color="000000" w:sz="2" w:space="0"/>
              <w:right w:val="single" w:color="000000" w:sz="2" w:space="0"/>
            </w:tcBorders>
            <w:noWrap/>
            <w:vAlign w:val="center"/>
          </w:tcPr>
          <w:p>
            <w:pPr>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w:t>
            </w:r>
          </w:p>
        </w:tc>
        <w:tc>
          <w:tcPr>
            <w:tcW w:w="2432" w:type="dxa"/>
            <w:tcBorders>
              <w:top w:val="single" w:color="auto" w:sz="4" w:space="0"/>
              <w:left w:val="single" w:color="auto" w:sz="4" w:space="0"/>
              <w:bottom w:val="single" w:color="000000" w:sz="2" w:space="0"/>
              <w:right w:val="single" w:color="auto" w:sz="4" w:space="0"/>
            </w:tcBorders>
            <w:noWrap/>
            <w:vAlign w:val="center"/>
          </w:tcPr>
          <w:p>
            <w:pPr>
              <w:spacing w:line="480" w:lineRule="auto"/>
              <w:jc w:val="center"/>
              <w:rPr>
                <w:rFonts w:hint="default" w:ascii="宋体" w:hAnsi="宋体" w:cs="宋体"/>
                <w:color w:val="auto"/>
                <w:sz w:val="24"/>
                <w:highlight w:val="none"/>
                <w:lang w:val="en-US" w:eastAsia="zh-CN"/>
              </w:rPr>
            </w:pPr>
            <w:r>
              <w:rPr>
                <w:rFonts w:hint="eastAsia" w:ascii="宋体" w:hAnsi="宋体" w:eastAsia="宋体" w:cs="宋体"/>
                <w:b w:val="0"/>
                <w:bCs w:val="0"/>
                <w:color w:val="auto"/>
                <w:sz w:val="24"/>
                <w:lang w:val="en-US" w:eastAsia="zh-CN"/>
              </w:rPr>
              <w:t>项目负责人</w:t>
            </w:r>
          </w:p>
        </w:tc>
        <w:tc>
          <w:tcPr>
            <w:tcW w:w="7097" w:type="dxa"/>
            <w:gridSpan w:val="3"/>
            <w:tcBorders>
              <w:top w:val="single" w:color="auto" w:sz="4" w:space="0"/>
              <w:left w:val="single" w:color="auto" w:sz="4" w:space="0"/>
              <w:bottom w:val="single" w:color="000000" w:sz="2" w:space="0"/>
              <w:right w:val="single" w:color="000000" w:sz="2"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8" w:hRule="atLeast"/>
        </w:trPr>
        <w:tc>
          <w:tcPr>
            <w:tcW w:w="536" w:type="dxa"/>
            <w:tcBorders>
              <w:top w:val="single" w:color="auto" w:sz="4" w:space="0"/>
              <w:left w:val="single" w:color="000000" w:sz="2" w:space="0"/>
              <w:bottom w:val="single" w:color="000000" w:sz="2" w:space="0"/>
              <w:right w:val="single" w:color="000000" w:sz="2" w:space="0"/>
            </w:tcBorders>
            <w:noWrap/>
            <w:vAlign w:val="center"/>
          </w:tcPr>
          <w:p>
            <w:pPr>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4</w:t>
            </w:r>
          </w:p>
        </w:tc>
        <w:tc>
          <w:tcPr>
            <w:tcW w:w="2432" w:type="dxa"/>
            <w:tcBorders>
              <w:top w:val="single" w:color="auto" w:sz="4" w:space="0"/>
              <w:left w:val="single" w:color="auto" w:sz="4" w:space="0"/>
              <w:bottom w:val="single" w:color="000000" w:sz="2" w:space="0"/>
              <w:right w:val="single" w:color="auto" w:sz="4" w:space="0"/>
            </w:tcBorders>
            <w:noWrap/>
            <w:vAlign w:val="center"/>
          </w:tcPr>
          <w:p>
            <w:pPr>
              <w:spacing w:line="480" w:lineRule="auto"/>
              <w:jc w:val="center"/>
              <w:rPr>
                <w:rFonts w:hint="default" w:ascii="宋体" w:hAnsi="宋体" w:eastAsia="宋体" w:cs="宋体"/>
                <w:b w:val="0"/>
                <w:bCs w:val="0"/>
                <w:color w:val="auto"/>
                <w:sz w:val="24"/>
                <w:lang w:val="en-US" w:eastAsia="zh-CN"/>
              </w:rPr>
            </w:pPr>
            <w:r>
              <w:rPr>
                <w:rFonts w:hint="eastAsia" w:ascii="宋体" w:hAnsi="宋体" w:cs="宋体"/>
                <w:color w:val="auto"/>
                <w:sz w:val="24"/>
              </w:rPr>
              <w:t>供应商其它说明（由各供应商根据本采购项目要求自行列出需说明及承诺内容）</w:t>
            </w:r>
          </w:p>
        </w:tc>
        <w:tc>
          <w:tcPr>
            <w:tcW w:w="7097" w:type="dxa"/>
            <w:gridSpan w:val="3"/>
            <w:tcBorders>
              <w:top w:val="single" w:color="auto" w:sz="4" w:space="0"/>
              <w:left w:val="single" w:color="auto" w:sz="4" w:space="0"/>
              <w:bottom w:val="single" w:color="000000" w:sz="2" w:space="0"/>
              <w:right w:val="single" w:color="000000" w:sz="2" w:space="0"/>
            </w:tcBorders>
            <w:noWrap/>
            <w:vAlign w:val="center"/>
          </w:tcPr>
          <w:p>
            <w:pPr>
              <w:spacing w:line="480" w:lineRule="auto"/>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0065" w:type="dxa"/>
            <w:gridSpan w:val="5"/>
            <w:tcBorders>
              <w:top w:val="single" w:color="auto" w:sz="4" w:space="0"/>
              <w:left w:val="single" w:color="000000" w:sz="2" w:space="0"/>
              <w:bottom w:val="single" w:color="000000" w:sz="2" w:space="0"/>
              <w:right w:val="single" w:color="000000" w:sz="2" w:space="0"/>
            </w:tcBorders>
            <w:noWrap/>
            <w:vAlign w:val="center"/>
          </w:tcPr>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lang w:val="en-US" w:eastAsia="zh-CN"/>
              </w:rPr>
            </w:pPr>
            <w:r>
              <w:rPr>
                <w:rFonts w:hint="eastAsia" w:hAnsi="宋体" w:cs="宋体"/>
                <w:color w:val="auto"/>
                <w:kern w:val="2"/>
                <w:sz w:val="24"/>
                <w:szCs w:val="24"/>
                <w:lang w:val="en-US" w:eastAsia="zh-CN" w:bidi="ar-SA"/>
              </w:rPr>
              <w:t>注：</w:t>
            </w:r>
            <w:r>
              <w:rPr>
                <w:rFonts w:hint="eastAsia" w:hAnsi="宋体" w:cs="宋体"/>
                <w:color w:val="auto"/>
                <w:sz w:val="24"/>
                <w:highlight w:val="none"/>
                <w:lang w:val="en-US" w:eastAsia="zh-CN"/>
              </w:rPr>
              <w:t>中标人保证完成</w:t>
            </w:r>
            <w:r>
              <w:rPr>
                <w:rFonts w:hint="eastAsia" w:hAnsi="宋体" w:cs="宋体"/>
                <w:color w:val="auto"/>
                <w:sz w:val="24"/>
                <w:highlight w:val="none"/>
                <w:lang w:eastAsia="zh-CN"/>
              </w:rPr>
              <w:t>克拉玛依市第三人民医院电子病历系统项目</w:t>
            </w:r>
            <w:r>
              <w:rPr>
                <w:rFonts w:hint="eastAsia" w:hAnsi="宋体" w:cs="宋体"/>
                <w:color w:val="auto"/>
                <w:sz w:val="24"/>
                <w:highlight w:val="none"/>
                <w:lang w:val="en-US" w:eastAsia="zh-CN"/>
              </w:rPr>
              <w:t>的全部工作，完成信息系统建设，提升医院医疗服务能力，建立健全医院门急诊、住院电子病历，安全有效的保护患者病例信息，为患者提供更加便捷的就医环境，有效缩短了民众窗口的等待时间，提高了服务效率。</w:t>
            </w:r>
            <w:r>
              <w:rPr>
                <w:rFonts w:hint="eastAsia" w:hAnsi="宋体" w:cs="宋体"/>
                <w:color w:val="auto"/>
                <w:sz w:val="24"/>
                <w:highlight w:val="none"/>
                <w:lang w:eastAsia="zh-CN"/>
              </w:rPr>
              <w:t>以及合同条款、项目采购需求、本采购文件约定的全部内容，并配合采购人完成与此服务相关的全部责任和义务</w:t>
            </w:r>
            <w:r>
              <w:rPr>
                <w:rFonts w:hint="eastAsia" w:hAnsi="宋体" w:cs="宋体"/>
                <w:color w:val="auto"/>
                <w:sz w:val="24"/>
                <w:highlight w:val="none"/>
                <w:lang w:val="en-US" w:eastAsia="zh-CN"/>
              </w:rPr>
              <w:t>。</w:t>
            </w:r>
          </w:p>
        </w:tc>
      </w:tr>
    </w:tbl>
    <w:p>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注：供应商须提供详细</w:t>
      </w:r>
      <w:r>
        <w:rPr>
          <w:rFonts w:hint="eastAsia" w:ascii="宋体" w:hAnsi="宋体" w:cs="宋体"/>
          <w:b/>
          <w:bCs/>
          <w:color w:val="auto"/>
          <w:sz w:val="24"/>
          <w:lang w:eastAsia="zh-CN"/>
        </w:rPr>
        <w:t>“</w:t>
      </w:r>
      <w:r>
        <w:rPr>
          <w:rFonts w:hint="eastAsia" w:ascii="宋体" w:hAnsi="宋体" w:cs="宋体"/>
          <w:b/>
          <w:bCs/>
          <w:color w:val="auto"/>
          <w:sz w:val="24"/>
          <w:lang w:val="en-US" w:eastAsia="zh-CN"/>
        </w:rPr>
        <w:t>采购项目明细一览表</w:t>
      </w:r>
      <w:r>
        <w:rPr>
          <w:rFonts w:hint="eastAsia" w:ascii="宋体" w:hAnsi="宋体" w:cs="宋体"/>
          <w:b/>
          <w:bCs/>
          <w:color w:val="auto"/>
          <w:sz w:val="24"/>
          <w:lang w:eastAsia="zh-CN"/>
        </w:rPr>
        <w:t>”</w:t>
      </w:r>
      <w:r>
        <w:rPr>
          <w:rFonts w:hint="eastAsia" w:ascii="宋体" w:hAnsi="宋体" w:cs="宋体"/>
          <w:b/>
          <w:bCs/>
          <w:color w:val="auto"/>
          <w:sz w:val="24"/>
          <w:lang w:val="en-US" w:eastAsia="zh-CN"/>
        </w:rPr>
        <w:t>各分项</w:t>
      </w:r>
      <w:r>
        <w:rPr>
          <w:rFonts w:hint="eastAsia" w:ascii="宋体" w:hAnsi="宋体" w:cs="宋体"/>
          <w:b/>
          <w:bCs/>
          <w:color w:val="auto"/>
          <w:sz w:val="24"/>
        </w:rPr>
        <w:t>报价书作为本表附件，详细对报价进行分析。若</w:t>
      </w:r>
      <w:r>
        <w:rPr>
          <w:rFonts w:hint="eastAsia" w:ascii="宋体" w:hAnsi="宋体" w:cs="宋体"/>
          <w:b/>
          <w:bCs/>
          <w:color w:val="auto"/>
          <w:sz w:val="24"/>
          <w:lang w:val="en-US" w:eastAsia="zh-CN"/>
        </w:rPr>
        <w:t>中标</w:t>
      </w:r>
      <w:r>
        <w:rPr>
          <w:rFonts w:hint="eastAsia" w:ascii="宋体" w:hAnsi="宋体" w:cs="宋体"/>
          <w:b/>
          <w:bCs/>
          <w:color w:val="auto"/>
          <w:sz w:val="24"/>
        </w:rPr>
        <w:t>，</w:t>
      </w:r>
      <w:r>
        <w:rPr>
          <w:rFonts w:hint="eastAsia" w:ascii="宋体" w:hAnsi="宋体" w:cs="宋体"/>
          <w:b/>
          <w:bCs/>
          <w:color w:val="auto"/>
          <w:sz w:val="24"/>
          <w:lang w:val="en-US" w:eastAsia="zh-CN"/>
        </w:rPr>
        <w:t>中标</w:t>
      </w:r>
      <w:r>
        <w:rPr>
          <w:rFonts w:hint="eastAsia" w:ascii="宋体" w:hAnsi="宋体" w:cs="宋体"/>
          <w:b/>
          <w:bCs/>
          <w:color w:val="auto"/>
          <w:sz w:val="24"/>
        </w:rPr>
        <w:t>供应商须按其最后报价向采购人提交本项目最终</w:t>
      </w:r>
      <w:r>
        <w:rPr>
          <w:rFonts w:hint="eastAsia" w:ascii="宋体" w:hAnsi="宋体" w:cs="宋体"/>
          <w:b/>
          <w:bCs/>
          <w:color w:val="auto"/>
          <w:sz w:val="24"/>
          <w:lang w:eastAsia="zh-CN"/>
        </w:rPr>
        <w:t>详细</w:t>
      </w:r>
      <w:r>
        <w:rPr>
          <w:rFonts w:hint="eastAsia" w:ascii="宋体" w:hAnsi="宋体" w:cs="宋体"/>
          <w:b/>
          <w:bCs/>
          <w:color w:val="auto"/>
          <w:sz w:val="24"/>
        </w:rPr>
        <w:t>报价书。</w:t>
      </w:r>
    </w:p>
    <w:p>
      <w:pPr>
        <w:pStyle w:val="9"/>
        <w:rPr>
          <w:color w:val="auto"/>
        </w:rPr>
      </w:pPr>
    </w:p>
    <w:p>
      <w:pPr>
        <w:ind w:firstLine="435"/>
        <w:rPr>
          <w:rFonts w:ascii="宋体" w:hAnsi="宋体" w:cs="宋体"/>
          <w:color w:val="auto"/>
          <w:sz w:val="24"/>
        </w:rPr>
      </w:pPr>
      <w:r>
        <w:rPr>
          <w:rFonts w:hint="eastAsia" w:ascii="宋体" w:hAnsi="宋体" w:cs="宋体"/>
          <w:color w:val="auto"/>
          <w:sz w:val="24"/>
        </w:rPr>
        <w:t xml:space="preserve">供应商（盖章）：   </w:t>
      </w:r>
    </w:p>
    <w:p>
      <w:pPr>
        <w:ind w:firstLine="435"/>
        <w:rPr>
          <w:rFonts w:ascii="宋体" w:hAnsi="宋体" w:cs="宋体"/>
          <w:color w:val="auto"/>
          <w:sz w:val="24"/>
        </w:rPr>
      </w:pPr>
    </w:p>
    <w:p>
      <w:pPr>
        <w:ind w:firstLine="435"/>
        <w:rPr>
          <w:rFonts w:ascii="宋体" w:hAnsi="宋体" w:cs="宋体"/>
          <w:color w:val="auto"/>
          <w:sz w:val="24"/>
        </w:rPr>
      </w:pPr>
      <w:r>
        <w:rPr>
          <w:rFonts w:hint="eastAsia" w:ascii="宋体" w:hAnsi="宋体" w:cs="宋体"/>
          <w:color w:val="auto"/>
          <w:sz w:val="24"/>
        </w:rPr>
        <w:t xml:space="preserve">法定代表人或委托代理人签字或盖章：          </w:t>
      </w:r>
    </w:p>
    <w:p>
      <w:pPr>
        <w:spacing w:line="360" w:lineRule="auto"/>
        <w:jc w:val="right"/>
        <w:rPr>
          <w:rFonts w:hint="eastAsia" w:ascii="宋体" w:hAnsi="宋体" w:cs="宋体"/>
          <w:color w:val="auto"/>
          <w:sz w:val="24"/>
        </w:rPr>
      </w:pPr>
      <w:r>
        <w:rPr>
          <w:rFonts w:hint="eastAsia" w:ascii="宋体" w:hAnsi="宋体" w:cs="宋体"/>
          <w:color w:val="auto"/>
          <w:sz w:val="24"/>
        </w:rPr>
        <w:t>年    月    日</w:t>
      </w:r>
    </w:p>
    <w:p>
      <w:pPr>
        <w:pStyle w:val="9"/>
        <w:rPr>
          <w:rFonts w:hint="eastAsia" w:ascii="宋体" w:hAnsi="宋体" w:cs="宋体"/>
          <w:color w:val="auto"/>
          <w:sz w:val="24"/>
        </w:rPr>
      </w:pPr>
    </w:p>
    <w:p>
      <w:pPr>
        <w:keepNext w:val="0"/>
        <w:keepLines w:val="0"/>
        <w:pageBreakBefore/>
        <w:widowControl w:val="0"/>
        <w:tabs>
          <w:tab w:val="left" w:pos="3371"/>
          <w:tab w:val="center" w:pos="4930"/>
        </w:tabs>
        <w:kinsoku/>
        <w:wordWrap/>
        <w:overflowPunct/>
        <w:topLinePunct w:val="0"/>
        <w:autoSpaceDE/>
        <w:autoSpaceDN/>
        <w:bidi w:val="0"/>
        <w:adjustRightInd/>
        <w:snapToGrid/>
        <w:spacing w:line="360" w:lineRule="auto"/>
        <w:jc w:val="left"/>
        <w:textAlignment w:val="auto"/>
        <w:rPr>
          <w:rFonts w:hint="eastAsia" w:ascii="宋体" w:hAnsi="宋体" w:cs="宋体"/>
          <w:b/>
          <w:color w:val="auto"/>
          <w:sz w:val="28"/>
          <w:szCs w:val="28"/>
        </w:rPr>
      </w:pPr>
      <w:r>
        <w:rPr>
          <w:rFonts w:hint="eastAsia" w:ascii="宋体" w:hAnsi="宋体" w:cs="宋体"/>
          <w:b/>
          <w:color w:val="auto"/>
          <w:sz w:val="28"/>
          <w:szCs w:val="28"/>
          <w:lang w:eastAsia="zh-CN"/>
        </w:rPr>
        <w:tab/>
      </w:r>
      <w:r>
        <w:rPr>
          <w:rFonts w:hint="eastAsia" w:ascii="宋体" w:hAnsi="宋体" w:cs="宋体"/>
          <w:b/>
          <w:color w:val="auto"/>
          <w:sz w:val="28"/>
          <w:szCs w:val="28"/>
          <w:lang w:eastAsia="zh-CN"/>
        </w:rPr>
        <w:tab/>
      </w:r>
      <w:r>
        <w:rPr>
          <w:rFonts w:hint="eastAsia" w:ascii="宋体" w:hAnsi="宋体" w:cs="宋体"/>
          <w:b/>
          <w:color w:val="auto"/>
          <w:sz w:val="28"/>
          <w:szCs w:val="28"/>
        </w:rPr>
        <w:t>3、商务条款</w:t>
      </w:r>
      <w:r>
        <w:rPr>
          <w:rFonts w:hint="eastAsia" w:ascii="宋体" w:hAnsi="宋体" w:cs="宋体"/>
          <w:b/>
          <w:color w:val="auto"/>
          <w:sz w:val="28"/>
          <w:szCs w:val="28"/>
          <w:lang w:val="en-US" w:eastAsia="zh-CN"/>
        </w:rPr>
        <w:t>响应</w:t>
      </w:r>
      <w:r>
        <w:rPr>
          <w:rFonts w:hint="eastAsia" w:ascii="宋体" w:hAnsi="宋体" w:cs="宋体"/>
          <w:b/>
          <w:color w:val="auto"/>
          <w:sz w:val="28"/>
          <w:szCs w:val="28"/>
        </w:rPr>
        <w:t>偏离表</w:t>
      </w:r>
    </w:p>
    <w:tbl>
      <w:tblPr>
        <w:tblStyle w:val="20"/>
        <w:tblpPr w:leftFromText="180" w:rightFromText="180" w:vertAnchor="page" w:horzAnchor="page" w:tblpX="1099" w:tblpY="26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56"/>
        <w:gridCol w:w="2356"/>
        <w:gridCol w:w="2356"/>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序号</w:t>
            </w: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招标文件商务条款</w:t>
            </w: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投标文件商务条款</w:t>
            </w: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响应/偏离说明</w:t>
            </w: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11"/>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11"/>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见投标文件（）页</w:t>
            </w:r>
          </w:p>
        </w:tc>
      </w:tr>
    </w:tbl>
    <w:p>
      <w:pPr>
        <w:spacing w:line="360" w:lineRule="auto"/>
        <w:ind w:firstLine="435"/>
        <w:rPr>
          <w:rFonts w:ascii="宋体" w:hAnsi="宋体" w:cs="宋体"/>
          <w:color w:val="auto"/>
          <w:szCs w:val="21"/>
        </w:rPr>
      </w:pPr>
    </w:p>
    <w:p>
      <w:pPr>
        <w:ind w:firstLine="435"/>
        <w:rPr>
          <w:rFonts w:ascii="宋体" w:hAnsi="宋体" w:cs="宋体"/>
          <w:color w:val="auto"/>
          <w:sz w:val="24"/>
        </w:rPr>
      </w:pPr>
      <w:r>
        <w:rPr>
          <w:rFonts w:hint="eastAsia" w:ascii="宋体" w:hAnsi="宋体" w:cs="宋体"/>
          <w:color w:val="auto"/>
          <w:sz w:val="24"/>
        </w:rPr>
        <w:t xml:space="preserve">供应商（盖章）：   </w:t>
      </w:r>
    </w:p>
    <w:p>
      <w:pPr>
        <w:rPr>
          <w:rFonts w:ascii="宋体" w:hAnsi="宋体" w:cs="宋体"/>
          <w:color w:val="auto"/>
          <w:sz w:val="24"/>
        </w:rPr>
      </w:pPr>
    </w:p>
    <w:p>
      <w:pPr>
        <w:ind w:firstLine="435"/>
        <w:rPr>
          <w:rFonts w:ascii="宋体" w:hAnsi="宋体" w:cs="宋体"/>
          <w:color w:val="auto"/>
          <w:sz w:val="24"/>
        </w:rPr>
      </w:pPr>
    </w:p>
    <w:p>
      <w:pPr>
        <w:ind w:firstLine="435"/>
        <w:rPr>
          <w:rFonts w:ascii="宋体" w:hAnsi="宋体" w:cs="宋体"/>
          <w:color w:val="auto"/>
          <w:szCs w:val="21"/>
        </w:rPr>
      </w:pPr>
      <w:r>
        <w:rPr>
          <w:rFonts w:hint="eastAsia" w:ascii="宋体" w:hAnsi="宋体" w:cs="宋体"/>
          <w:color w:val="auto"/>
          <w:sz w:val="24"/>
        </w:rPr>
        <w:t xml:space="preserve">法定代表人或委托代理人签字或盖章：   </w:t>
      </w:r>
      <w:r>
        <w:rPr>
          <w:rFonts w:hint="eastAsia" w:ascii="宋体" w:hAnsi="宋体" w:cs="宋体"/>
          <w:color w:val="auto"/>
          <w:szCs w:val="21"/>
        </w:rPr>
        <w:t xml:space="preserve">      </w:t>
      </w:r>
    </w:p>
    <w:p>
      <w:pPr>
        <w:spacing w:line="360" w:lineRule="auto"/>
        <w:ind w:firstLine="435"/>
        <w:rPr>
          <w:rFonts w:ascii="宋体" w:hAnsi="宋体" w:cs="宋体"/>
          <w:color w:val="auto"/>
          <w:szCs w:val="21"/>
        </w:rPr>
      </w:pPr>
      <w:r>
        <w:rPr>
          <w:rFonts w:hint="eastAsia" w:ascii="宋体" w:hAnsi="宋体" w:cs="宋体"/>
          <w:color w:val="auto"/>
          <w:szCs w:val="21"/>
        </w:rPr>
        <w:t xml:space="preserve">                                                               年    月    日</w:t>
      </w:r>
    </w:p>
    <w:p>
      <w:pPr>
        <w:spacing w:line="360" w:lineRule="auto"/>
        <w:jc w:val="center"/>
        <w:rPr>
          <w:rFonts w:hint="eastAsia" w:ascii="宋体" w:hAnsi="宋体" w:cs="宋体"/>
          <w:b/>
          <w:color w:val="auto"/>
          <w:sz w:val="28"/>
          <w:szCs w:val="28"/>
          <w:lang w:val="en-US" w:eastAsia="zh-CN"/>
        </w:rPr>
      </w:pPr>
    </w:p>
    <w:p>
      <w:pPr>
        <w:pStyle w:val="5"/>
        <w:rPr>
          <w:rFonts w:hint="eastAsia" w:ascii="宋体" w:hAnsi="宋体" w:cs="宋体"/>
          <w:b/>
          <w:color w:val="auto"/>
          <w:sz w:val="28"/>
          <w:szCs w:val="28"/>
          <w:lang w:val="en-US" w:eastAsia="zh-CN"/>
        </w:rPr>
      </w:pPr>
    </w:p>
    <w:p>
      <w:pPr>
        <w:pStyle w:val="5"/>
        <w:rPr>
          <w:rFonts w:hint="eastAsia" w:ascii="宋体" w:hAnsi="宋体" w:cs="宋体"/>
          <w:b/>
          <w:color w:val="auto"/>
          <w:sz w:val="28"/>
          <w:szCs w:val="28"/>
          <w:lang w:val="en-US" w:eastAsia="zh-CN"/>
        </w:rPr>
      </w:pPr>
    </w:p>
    <w:p>
      <w:pPr>
        <w:rPr>
          <w:rFonts w:hint="eastAsia" w:ascii="宋体" w:hAnsi="宋体" w:cs="宋体"/>
          <w:b/>
          <w:color w:val="auto"/>
          <w:sz w:val="28"/>
          <w:szCs w:val="28"/>
          <w:lang w:val="en-US" w:eastAsia="zh-CN"/>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28"/>
          <w:szCs w:val="28"/>
        </w:rPr>
      </w:pPr>
      <w:r>
        <w:rPr>
          <w:rFonts w:hint="eastAsia" w:ascii="宋体" w:hAnsi="宋体" w:cs="宋体"/>
          <w:b/>
          <w:color w:val="auto"/>
          <w:sz w:val="28"/>
          <w:szCs w:val="28"/>
          <w:lang w:val="en-US" w:eastAsia="zh-CN"/>
        </w:rPr>
        <w:t>4、技术偏离表</w:t>
      </w:r>
    </w:p>
    <w:tbl>
      <w:tblPr>
        <w:tblStyle w:val="21"/>
        <w:tblW w:w="10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263"/>
        <w:gridCol w:w="2687"/>
        <w:gridCol w:w="2513"/>
        <w:gridCol w:w="170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序号</w:t>
            </w:r>
          </w:p>
        </w:tc>
        <w:tc>
          <w:tcPr>
            <w:tcW w:w="1263" w:type="dxa"/>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名称</w:t>
            </w:r>
          </w:p>
        </w:tc>
        <w:tc>
          <w:tcPr>
            <w:tcW w:w="2687" w:type="dxa"/>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技术规格及要求条目号</w:t>
            </w:r>
          </w:p>
        </w:tc>
        <w:tc>
          <w:tcPr>
            <w:tcW w:w="2513" w:type="dxa"/>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招标文件规格</w:t>
            </w:r>
          </w:p>
        </w:tc>
        <w:tc>
          <w:tcPr>
            <w:tcW w:w="1700" w:type="dxa"/>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投标文件规格</w:t>
            </w:r>
          </w:p>
        </w:tc>
        <w:tc>
          <w:tcPr>
            <w:tcW w:w="1175" w:type="dxa"/>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pacing w:line="360" w:lineRule="auto"/>
              <w:jc w:val="center"/>
              <w:rPr>
                <w:rFonts w:hint="eastAsia" w:ascii="宋体" w:hAnsi="宋体" w:cs="宋体"/>
                <w:b/>
                <w:color w:val="auto"/>
                <w:sz w:val="28"/>
                <w:szCs w:val="28"/>
                <w:vertAlign w:val="baseline"/>
                <w:lang w:val="en-US" w:eastAsia="zh-CN"/>
              </w:rPr>
            </w:pPr>
          </w:p>
        </w:tc>
        <w:tc>
          <w:tcPr>
            <w:tcW w:w="1263" w:type="dxa"/>
          </w:tcPr>
          <w:p>
            <w:pPr>
              <w:spacing w:line="360" w:lineRule="auto"/>
              <w:jc w:val="center"/>
              <w:rPr>
                <w:rFonts w:hint="eastAsia" w:ascii="宋体" w:hAnsi="宋体" w:cs="宋体"/>
                <w:b/>
                <w:color w:val="auto"/>
                <w:sz w:val="28"/>
                <w:szCs w:val="28"/>
                <w:vertAlign w:val="baseline"/>
                <w:lang w:val="en-US" w:eastAsia="zh-CN"/>
              </w:rPr>
            </w:pPr>
          </w:p>
        </w:tc>
        <w:tc>
          <w:tcPr>
            <w:tcW w:w="2687" w:type="dxa"/>
          </w:tcPr>
          <w:p>
            <w:pPr>
              <w:spacing w:line="360" w:lineRule="auto"/>
              <w:jc w:val="center"/>
              <w:rPr>
                <w:rFonts w:hint="eastAsia" w:ascii="宋体" w:hAnsi="宋体" w:cs="宋体"/>
                <w:b/>
                <w:color w:val="auto"/>
                <w:sz w:val="28"/>
                <w:szCs w:val="28"/>
                <w:vertAlign w:val="baseline"/>
                <w:lang w:val="en-US" w:eastAsia="zh-CN"/>
              </w:rPr>
            </w:pPr>
          </w:p>
        </w:tc>
        <w:tc>
          <w:tcPr>
            <w:tcW w:w="2513" w:type="dxa"/>
          </w:tcPr>
          <w:p>
            <w:pPr>
              <w:spacing w:line="360" w:lineRule="auto"/>
              <w:jc w:val="center"/>
              <w:rPr>
                <w:rFonts w:hint="eastAsia" w:ascii="宋体" w:hAnsi="宋体" w:cs="宋体"/>
                <w:b/>
                <w:color w:val="auto"/>
                <w:sz w:val="28"/>
                <w:szCs w:val="28"/>
                <w:vertAlign w:val="baseline"/>
                <w:lang w:val="en-US" w:eastAsia="zh-CN"/>
              </w:rPr>
            </w:pPr>
          </w:p>
        </w:tc>
        <w:tc>
          <w:tcPr>
            <w:tcW w:w="1700" w:type="dxa"/>
          </w:tcPr>
          <w:p>
            <w:pPr>
              <w:spacing w:line="360" w:lineRule="auto"/>
              <w:jc w:val="center"/>
              <w:rPr>
                <w:rFonts w:hint="eastAsia" w:ascii="宋体" w:hAnsi="宋体" w:cs="宋体"/>
                <w:b/>
                <w:color w:val="auto"/>
                <w:sz w:val="28"/>
                <w:szCs w:val="28"/>
                <w:vertAlign w:val="baseline"/>
                <w:lang w:val="en-US" w:eastAsia="zh-CN"/>
              </w:rPr>
            </w:pPr>
          </w:p>
        </w:tc>
        <w:tc>
          <w:tcPr>
            <w:tcW w:w="1175" w:type="dxa"/>
          </w:tcPr>
          <w:p>
            <w:pPr>
              <w:spacing w:line="360" w:lineRule="auto"/>
              <w:jc w:val="center"/>
              <w:rPr>
                <w:rFonts w:hint="eastAsia" w:ascii="宋体" w:hAnsi="宋体" w:cs="宋体"/>
                <w:b/>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pacing w:line="360" w:lineRule="auto"/>
              <w:jc w:val="center"/>
              <w:rPr>
                <w:rFonts w:hint="eastAsia" w:ascii="宋体" w:hAnsi="宋体" w:cs="宋体"/>
                <w:b/>
                <w:color w:val="auto"/>
                <w:sz w:val="28"/>
                <w:szCs w:val="28"/>
                <w:vertAlign w:val="baseline"/>
                <w:lang w:val="en-US" w:eastAsia="zh-CN"/>
              </w:rPr>
            </w:pPr>
          </w:p>
        </w:tc>
        <w:tc>
          <w:tcPr>
            <w:tcW w:w="1263" w:type="dxa"/>
          </w:tcPr>
          <w:p>
            <w:pPr>
              <w:spacing w:line="360" w:lineRule="auto"/>
              <w:jc w:val="center"/>
              <w:rPr>
                <w:rFonts w:hint="eastAsia" w:ascii="宋体" w:hAnsi="宋体" w:cs="宋体"/>
                <w:b/>
                <w:color w:val="auto"/>
                <w:sz w:val="28"/>
                <w:szCs w:val="28"/>
                <w:vertAlign w:val="baseline"/>
                <w:lang w:val="en-US" w:eastAsia="zh-CN"/>
              </w:rPr>
            </w:pPr>
          </w:p>
        </w:tc>
        <w:tc>
          <w:tcPr>
            <w:tcW w:w="2687" w:type="dxa"/>
          </w:tcPr>
          <w:p>
            <w:pPr>
              <w:spacing w:line="360" w:lineRule="auto"/>
              <w:jc w:val="center"/>
              <w:rPr>
                <w:rFonts w:hint="eastAsia" w:ascii="宋体" w:hAnsi="宋体" w:cs="宋体"/>
                <w:b/>
                <w:color w:val="auto"/>
                <w:sz w:val="28"/>
                <w:szCs w:val="28"/>
                <w:vertAlign w:val="baseline"/>
                <w:lang w:val="en-US" w:eastAsia="zh-CN"/>
              </w:rPr>
            </w:pPr>
          </w:p>
        </w:tc>
        <w:tc>
          <w:tcPr>
            <w:tcW w:w="2513" w:type="dxa"/>
          </w:tcPr>
          <w:p>
            <w:pPr>
              <w:spacing w:line="360" w:lineRule="auto"/>
              <w:jc w:val="center"/>
              <w:rPr>
                <w:rFonts w:hint="eastAsia" w:ascii="宋体" w:hAnsi="宋体" w:cs="宋体"/>
                <w:b/>
                <w:color w:val="auto"/>
                <w:sz w:val="28"/>
                <w:szCs w:val="28"/>
                <w:vertAlign w:val="baseline"/>
                <w:lang w:val="en-US" w:eastAsia="zh-CN"/>
              </w:rPr>
            </w:pPr>
          </w:p>
        </w:tc>
        <w:tc>
          <w:tcPr>
            <w:tcW w:w="1700" w:type="dxa"/>
          </w:tcPr>
          <w:p>
            <w:pPr>
              <w:spacing w:line="360" w:lineRule="auto"/>
              <w:jc w:val="center"/>
              <w:rPr>
                <w:rFonts w:hint="eastAsia" w:ascii="宋体" w:hAnsi="宋体" w:cs="宋体"/>
                <w:b/>
                <w:color w:val="auto"/>
                <w:sz w:val="28"/>
                <w:szCs w:val="28"/>
                <w:vertAlign w:val="baseline"/>
                <w:lang w:val="en-US" w:eastAsia="zh-CN"/>
              </w:rPr>
            </w:pPr>
          </w:p>
        </w:tc>
        <w:tc>
          <w:tcPr>
            <w:tcW w:w="1175" w:type="dxa"/>
          </w:tcPr>
          <w:p>
            <w:pPr>
              <w:spacing w:line="360" w:lineRule="auto"/>
              <w:jc w:val="center"/>
              <w:rPr>
                <w:rFonts w:hint="eastAsia" w:ascii="宋体" w:hAnsi="宋体" w:cs="宋体"/>
                <w:b/>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pacing w:line="360" w:lineRule="auto"/>
              <w:jc w:val="center"/>
              <w:rPr>
                <w:rFonts w:hint="eastAsia" w:ascii="宋体" w:hAnsi="宋体" w:cs="宋体"/>
                <w:b/>
                <w:color w:val="auto"/>
                <w:sz w:val="28"/>
                <w:szCs w:val="28"/>
                <w:vertAlign w:val="baseline"/>
                <w:lang w:val="en-US" w:eastAsia="zh-CN"/>
              </w:rPr>
            </w:pPr>
          </w:p>
        </w:tc>
        <w:tc>
          <w:tcPr>
            <w:tcW w:w="1263" w:type="dxa"/>
          </w:tcPr>
          <w:p>
            <w:pPr>
              <w:spacing w:line="360" w:lineRule="auto"/>
              <w:jc w:val="center"/>
              <w:rPr>
                <w:rFonts w:hint="eastAsia" w:ascii="宋体" w:hAnsi="宋体" w:cs="宋体"/>
                <w:b/>
                <w:color w:val="auto"/>
                <w:sz w:val="28"/>
                <w:szCs w:val="28"/>
                <w:vertAlign w:val="baseline"/>
                <w:lang w:val="en-US" w:eastAsia="zh-CN"/>
              </w:rPr>
            </w:pPr>
          </w:p>
        </w:tc>
        <w:tc>
          <w:tcPr>
            <w:tcW w:w="2687" w:type="dxa"/>
          </w:tcPr>
          <w:p>
            <w:pPr>
              <w:spacing w:line="360" w:lineRule="auto"/>
              <w:jc w:val="center"/>
              <w:rPr>
                <w:rFonts w:hint="eastAsia" w:ascii="宋体" w:hAnsi="宋体" w:cs="宋体"/>
                <w:b/>
                <w:color w:val="auto"/>
                <w:sz w:val="28"/>
                <w:szCs w:val="28"/>
                <w:vertAlign w:val="baseline"/>
                <w:lang w:val="en-US" w:eastAsia="zh-CN"/>
              </w:rPr>
            </w:pPr>
          </w:p>
        </w:tc>
        <w:tc>
          <w:tcPr>
            <w:tcW w:w="2513" w:type="dxa"/>
          </w:tcPr>
          <w:p>
            <w:pPr>
              <w:spacing w:line="360" w:lineRule="auto"/>
              <w:jc w:val="center"/>
              <w:rPr>
                <w:rFonts w:hint="eastAsia" w:ascii="宋体" w:hAnsi="宋体" w:cs="宋体"/>
                <w:b/>
                <w:color w:val="auto"/>
                <w:sz w:val="28"/>
                <w:szCs w:val="28"/>
                <w:vertAlign w:val="baseline"/>
                <w:lang w:val="en-US" w:eastAsia="zh-CN"/>
              </w:rPr>
            </w:pPr>
          </w:p>
        </w:tc>
        <w:tc>
          <w:tcPr>
            <w:tcW w:w="1700" w:type="dxa"/>
          </w:tcPr>
          <w:p>
            <w:pPr>
              <w:spacing w:line="360" w:lineRule="auto"/>
              <w:jc w:val="center"/>
              <w:rPr>
                <w:rFonts w:hint="eastAsia" w:ascii="宋体" w:hAnsi="宋体" w:cs="宋体"/>
                <w:b/>
                <w:color w:val="auto"/>
                <w:sz w:val="28"/>
                <w:szCs w:val="28"/>
                <w:vertAlign w:val="baseline"/>
                <w:lang w:val="en-US" w:eastAsia="zh-CN"/>
              </w:rPr>
            </w:pPr>
          </w:p>
        </w:tc>
        <w:tc>
          <w:tcPr>
            <w:tcW w:w="1175" w:type="dxa"/>
          </w:tcPr>
          <w:p>
            <w:pPr>
              <w:spacing w:line="360" w:lineRule="auto"/>
              <w:jc w:val="center"/>
              <w:rPr>
                <w:rFonts w:hint="eastAsia" w:ascii="宋体" w:hAnsi="宋体" w:cs="宋体"/>
                <w:b/>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pacing w:line="360" w:lineRule="auto"/>
              <w:jc w:val="center"/>
              <w:rPr>
                <w:rFonts w:hint="eastAsia" w:ascii="宋体" w:hAnsi="宋体" w:cs="宋体"/>
                <w:b/>
                <w:color w:val="auto"/>
                <w:sz w:val="28"/>
                <w:szCs w:val="28"/>
                <w:vertAlign w:val="baseline"/>
                <w:lang w:val="en-US" w:eastAsia="zh-CN"/>
              </w:rPr>
            </w:pPr>
          </w:p>
        </w:tc>
        <w:tc>
          <w:tcPr>
            <w:tcW w:w="1263" w:type="dxa"/>
          </w:tcPr>
          <w:p>
            <w:pPr>
              <w:spacing w:line="360" w:lineRule="auto"/>
              <w:jc w:val="center"/>
              <w:rPr>
                <w:rFonts w:hint="eastAsia" w:ascii="宋体" w:hAnsi="宋体" w:cs="宋体"/>
                <w:b/>
                <w:color w:val="auto"/>
                <w:sz w:val="28"/>
                <w:szCs w:val="28"/>
                <w:vertAlign w:val="baseline"/>
                <w:lang w:val="en-US" w:eastAsia="zh-CN"/>
              </w:rPr>
            </w:pPr>
          </w:p>
        </w:tc>
        <w:tc>
          <w:tcPr>
            <w:tcW w:w="2687" w:type="dxa"/>
          </w:tcPr>
          <w:p>
            <w:pPr>
              <w:spacing w:line="360" w:lineRule="auto"/>
              <w:jc w:val="center"/>
              <w:rPr>
                <w:rFonts w:hint="eastAsia" w:ascii="宋体" w:hAnsi="宋体" w:cs="宋体"/>
                <w:b/>
                <w:color w:val="auto"/>
                <w:sz w:val="28"/>
                <w:szCs w:val="28"/>
                <w:vertAlign w:val="baseline"/>
                <w:lang w:val="en-US" w:eastAsia="zh-CN"/>
              </w:rPr>
            </w:pPr>
          </w:p>
        </w:tc>
        <w:tc>
          <w:tcPr>
            <w:tcW w:w="2513" w:type="dxa"/>
          </w:tcPr>
          <w:p>
            <w:pPr>
              <w:spacing w:line="360" w:lineRule="auto"/>
              <w:jc w:val="center"/>
              <w:rPr>
                <w:rFonts w:hint="eastAsia" w:ascii="宋体" w:hAnsi="宋体" w:cs="宋体"/>
                <w:b/>
                <w:color w:val="auto"/>
                <w:sz w:val="28"/>
                <w:szCs w:val="28"/>
                <w:vertAlign w:val="baseline"/>
                <w:lang w:val="en-US" w:eastAsia="zh-CN"/>
              </w:rPr>
            </w:pPr>
          </w:p>
        </w:tc>
        <w:tc>
          <w:tcPr>
            <w:tcW w:w="1700" w:type="dxa"/>
          </w:tcPr>
          <w:p>
            <w:pPr>
              <w:spacing w:line="360" w:lineRule="auto"/>
              <w:jc w:val="center"/>
              <w:rPr>
                <w:rFonts w:hint="eastAsia" w:ascii="宋体" w:hAnsi="宋体" w:cs="宋体"/>
                <w:b/>
                <w:color w:val="auto"/>
                <w:sz w:val="28"/>
                <w:szCs w:val="28"/>
                <w:vertAlign w:val="baseline"/>
                <w:lang w:val="en-US" w:eastAsia="zh-CN"/>
              </w:rPr>
            </w:pPr>
          </w:p>
        </w:tc>
        <w:tc>
          <w:tcPr>
            <w:tcW w:w="1175" w:type="dxa"/>
          </w:tcPr>
          <w:p>
            <w:pPr>
              <w:spacing w:line="360" w:lineRule="auto"/>
              <w:jc w:val="center"/>
              <w:rPr>
                <w:rFonts w:hint="eastAsia" w:ascii="宋体" w:hAnsi="宋体" w:cs="宋体"/>
                <w:b/>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pacing w:line="360" w:lineRule="auto"/>
              <w:jc w:val="center"/>
              <w:rPr>
                <w:rFonts w:hint="eastAsia" w:ascii="宋体" w:hAnsi="宋体" w:cs="宋体"/>
                <w:b/>
                <w:color w:val="auto"/>
                <w:sz w:val="28"/>
                <w:szCs w:val="28"/>
                <w:vertAlign w:val="baseline"/>
                <w:lang w:val="en-US" w:eastAsia="zh-CN"/>
              </w:rPr>
            </w:pPr>
          </w:p>
        </w:tc>
        <w:tc>
          <w:tcPr>
            <w:tcW w:w="1263" w:type="dxa"/>
          </w:tcPr>
          <w:p>
            <w:pPr>
              <w:spacing w:line="360" w:lineRule="auto"/>
              <w:jc w:val="center"/>
              <w:rPr>
                <w:rFonts w:hint="eastAsia" w:ascii="宋体" w:hAnsi="宋体" w:cs="宋体"/>
                <w:b/>
                <w:color w:val="auto"/>
                <w:sz w:val="28"/>
                <w:szCs w:val="28"/>
                <w:vertAlign w:val="baseline"/>
                <w:lang w:val="en-US" w:eastAsia="zh-CN"/>
              </w:rPr>
            </w:pPr>
          </w:p>
        </w:tc>
        <w:tc>
          <w:tcPr>
            <w:tcW w:w="2687" w:type="dxa"/>
          </w:tcPr>
          <w:p>
            <w:pPr>
              <w:spacing w:line="360" w:lineRule="auto"/>
              <w:jc w:val="center"/>
              <w:rPr>
                <w:rFonts w:hint="eastAsia" w:ascii="宋体" w:hAnsi="宋体" w:cs="宋体"/>
                <w:b/>
                <w:color w:val="auto"/>
                <w:sz w:val="28"/>
                <w:szCs w:val="28"/>
                <w:vertAlign w:val="baseline"/>
                <w:lang w:val="en-US" w:eastAsia="zh-CN"/>
              </w:rPr>
            </w:pPr>
          </w:p>
        </w:tc>
        <w:tc>
          <w:tcPr>
            <w:tcW w:w="2513" w:type="dxa"/>
          </w:tcPr>
          <w:p>
            <w:pPr>
              <w:spacing w:line="360" w:lineRule="auto"/>
              <w:jc w:val="center"/>
              <w:rPr>
                <w:rFonts w:hint="eastAsia" w:ascii="宋体" w:hAnsi="宋体" w:cs="宋体"/>
                <w:b/>
                <w:color w:val="auto"/>
                <w:sz w:val="28"/>
                <w:szCs w:val="28"/>
                <w:vertAlign w:val="baseline"/>
                <w:lang w:val="en-US" w:eastAsia="zh-CN"/>
              </w:rPr>
            </w:pPr>
          </w:p>
        </w:tc>
        <w:tc>
          <w:tcPr>
            <w:tcW w:w="1700" w:type="dxa"/>
          </w:tcPr>
          <w:p>
            <w:pPr>
              <w:spacing w:line="360" w:lineRule="auto"/>
              <w:jc w:val="center"/>
              <w:rPr>
                <w:rFonts w:hint="eastAsia" w:ascii="宋体" w:hAnsi="宋体" w:cs="宋体"/>
                <w:b/>
                <w:color w:val="auto"/>
                <w:sz w:val="28"/>
                <w:szCs w:val="28"/>
                <w:vertAlign w:val="baseline"/>
                <w:lang w:val="en-US" w:eastAsia="zh-CN"/>
              </w:rPr>
            </w:pPr>
          </w:p>
        </w:tc>
        <w:tc>
          <w:tcPr>
            <w:tcW w:w="1175" w:type="dxa"/>
          </w:tcPr>
          <w:p>
            <w:pPr>
              <w:spacing w:line="360" w:lineRule="auto"/>
              <w:jc w:val="center"/>
              <w:rPr>
                <w:rFonts w:hint="eastAsia" w:ascii="宋体" w:hAnsi="宋体" w:cs="宋体"/>
                <w:b/>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pacing w:line="360" w:lineRule="auto"/>
              <w:jc w:val="center"/>
              <w:rPr>
                <w:rFonts w:hint="eastAsia" w:ascii="宋体" w:hAnsi="宋体" w:cs="宋体"/>
                <w:b/>
                <w:color w:val="auto"/>
                <w:sz w:val="28"/>
                <w:szCs w:val="28"/>
                <w:vertAlign w:val="baseline"/>
                <w:lang w:val="en-US" w:eastAsia="zh-CN"/>
              </w:rPr>
            </w:pPr>
          </w:p>
        </w:tc>
        <w:tc>
          <w:tcPr>
            <w:tcW w:w="1263" w:type="dxa"/>
          </w:tcPr>
          <w:p>
            <w:pPr>
              <w:spacing w:line="360" w:lineRule="auto"/>
              <w:jc w:val="center"/>
              <w:rPr>
                <w:rFonts w:hint="eastAsia" w:ascii="宋体" w:hAnsi="宋体" w:cs="宋体"/>
                <w:b/>
                <w:color w:val="auto"/>
                <w:sz w:val="28"/>
                <w:szCs w:val="28"/>
                <w:vertAlign w:val="baseline"/>
                <w:lang w:val="en-US" w:eastAsia="zh-CN"/>
              </w:rPr>
            </w:pPr>
          </w:p>
        </w:tc>
        <w:tc>
          <w:tcPr>
            <w:tcW w:w="2687" w:type="dxa"/>
          </w:tcPr>
          <w:p>
            <w:pPr>
              <w:spacing w:line="360" w:lineRule="auto"/>
              <w:jc w:val="center"/>
              <w:rPr>
                <w:rFonts w:hint="eastAsia" w:ascii="宋体" w:hAnsi="宋体" w:cs="宋体"/>
                <w:b/>
                <w:color w:val="auto"/>
                <w:sz w:val="28"/>
                <w:szCs w:val="28"/>
                <w:vertAlign w:val="baseline"/>
                <w:lang w:val="en-US" w:eastAsia="zh-CN"/>
              </w:rPr>
            </w:pPr>
          </w:p>
        </w:tc>
        <w:tc>
          <w:tcPr>
            <w:tcW w:w="2513" w:type="dxa"/>
          </w:tcPr>
          <w:p>
            <w:pPr>
              <w:spacing w:line="360" w:lineRule="auto"/>
              <w:jc w:val="center"/>
              <w:rPr>
                <w:rFonts w:hint="eastAsia" w:ascii="宋体" w:hAnsi="宋体" w:cs="宋体"/>
                <w:b/>
                <w:color w:val="auto"/>
                <w:sz w:val="28"/>
                <w:szCs w:val="28"/>
                <w:vertAlign w:val="baseline"/>
                <w:lang w:val="en-US" w:eastAsia="zh-CN"/>
              </w:rPr>
            </w:pPr>
          </w:p>
        </w:tc>
        <w:tc>
          <w:tcPr>
            <w:tcW w:w="1700" w:type="dxa"/>
          </w:tcPr>
          <w:p>
            <w:pPr>
              <w:spacing w:line="360" w:lineRule="auto"/>
              <w:jc w:val="center"/>
              <w:rPr>
                <w:rFonts w:hint="eastAsia" w:ascii="宋体" w:hAnsi="宋体" w:cs="宋体"/>
                <w:b/>
                <w:color w:val="auto"/>
                <w:sz w:val="28"/>
                <w:szCs w:val="28"/>
                <w:vertAlign w:val="baseline"/>
                <w:lang w:val="en-US" w:eastAsia="zh-CN"/>
              </w:rPr>
            </w:pPr>
          </w:p>
        </w:tc>
        <w:tc>
          <w:tcPr>
            <w:tcW w:w="1175" w:type="dxa"/>
          </w:tcPr>
          <w:p>
            <w:pPr>
              <w:spacing w:line="360" w:lineRule="auto"/>
              <w:jc w:val="center"/>
              <w:rPr>
                <w:rFonts w:hint="eastAsia" w:ascii="宋体" w:hAnsi="宋体" w:cs="宋体"/>
                <w:b/>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pacing w:line="360" w:lineRule="auto"/>
              <w:jc w:val="center"/>
              <w:rPr>
                <w:rFonts w:hint="eastAsia" w:ascii="宋体" w:hAnsi="宋体" w:cs="宋体"/>
                <w:b/>
                <w:color w:val="auto"/>
                <w:sz w:val="28"/>
                <w:szCs w:val="28"/>
                <w:vertAlign w:val="baseline"/>
                <w:lang w:val="en-US" w:eastAsia="zh-CN"/>
              </w:rPr>
            </w:pPr>
          </w:p>
        </w:tc>
        <w:tc>
          <w:tcPr>
            <w:tcW w:w="1263" w:type="dxa"/>
          </w:tcPr>
          <w:p>
            <w:pPr>
              <w:spacing w:line="360" w:lineRule="auto"/>
              <w:jc w:val="center"/>
              <w:rPr>
                <w:rFonts w:hint="eastAsia" w:ascii="宋体" w:hAnsi="宋体" w:cs="宋体"/>
                <w:b/>
                <w:color w:val="auto"/>
                <w:sz w:val="28"/>
                <w:szCs w:val="28"/>
                <w:vertAlign w:val="baseline"/>
                <w:lang w:val="en-US" w:eastAsia="zh-CN"/>
              </w:rPr>
            </w:pPr>
          </w:p>
        </w:tc>
        <w:tc>
          <w:tcPr>
            <w:tcW w:w="2687" w:type="dxa"/>
          </w:tcPr>
          <w:p>
            <w:pPr>
              <w:spacing w:line="360" w:lineRule="auto"/>
              <w:jc w:val="center"/>
              <w:rPr>
                <w:rFonts w:hint="eastAsia" w:ascii="宋体" w:hAnsi="宋体" w:cs="宋体"/>
                <w:b/>
                <w:color w:val="auto"/>
                <w:sz w:val="28"/>
                <w:szCs w:val="28"/>
                <w:vertAlign w:val="baseline"/>
                <w:lang w:val="en-US" w:eastAsia="zh-CN"/>
              </w:rPr>
            </w:pPr>
          </w:p>
        </w:tc>
        <w:tc>
          <w:tcPr>
            <w:tcW w:w="2513" w:type="dxa"/>
          </w:tcPr>
          <w:p>
            <w:pPr>
              <w:spacing w:line="360" w:lineRule="auto"/>
              <w:jc w:val="center"/>
              <w:rPr>
                <w:rFonts w:hint="eastAsia" w:ascii="宋体" w:hAnsi="宋体" w:cs="宋体"/>
                <w:b/>
                <w:color w:val="auto"/>
                <w:sz w:val="28"/>
                <w:szCs w:val="28"/>
                <w:vertAlign w:val="baseline"/>
                <w:lang w:val="en-US" w:eastAsia="zh-CN"/>
              </w:rPr>
            </w:pPr>
          </w:p>
        </w:tc>
        <w:tc>
          <w:tcPr>
            <w:tcW w:w="1700" w:type="dxa"/>
          </w:tcPr>
          <w:p>
            <w:pPr>
              <w:spacing w:line="360" w:lineRule="auto"/>
              <w:jc w:val="center"/>
              <w:rPr>
                <w:rFonts w:hint="eastAsia" w:ascii="宋体" w:hAnsi="宋体" w:cs="宋体"/>
                <w:b/>
                <w:color w:val="auto"/>
                <w:sz w:val="28"/>
                <w:szCs w:val="28"/>
                <w:vertAlign w:val="baseline"/>
                <w:lang w:val="en-US" w:eastAsia="zh-CN"/>
              </w:rPr>
            </w:pPr>
          </w:p>
        </w:tc>
        <w:tc>
          <w:tcPr>
            <w:tcW w:w="1175" w:type="dxa"/>
          </w:tcPr>
          <w:p>
            <w:pPr>
              <w:spacing w:line="360" w:lineRule="auto"/>
              <w:jc w:val="center"/>
              <w:rPr>
                <w:rFonts w:hint="eastAsia" w:ascii="宋体" w:hAnsi="宋体" w:cs="宋体"/>
                <w:b/>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pPr>
              <w:spacing w:line="360" w:lineRule="auto"/>
              <w:jc w:val="center"/>
              <w:rPr>
                <w:rFonts w:hint="eastAsia" w:ascii="宋体" w:hAnsi="宋体" w:cs="宋体"/>
                <w:b/>
                <w:color w:val="auto"/>
                <w:sz w:val="28"/>
                <w:szCs w:val="28"/>
                <w:vertAlign w:val="baseline"/>
                <w:lang w:val="en-US" w:eastAsia="zh-CN"/>
              </w:rPr>
            </w:pPr>
          </w:p>
        </w:tc>
        <w:tc>
          <w:tcPr>
            <w:tcW w:w="1263" w:type="dxa"/>
          </w:tcPr>
          <w:p>
            <w:pPr>
              <w:spacing w:line="360" w:lineRule="auto"/>
              <w:jc w:val="center"/>
              <w:rPr>
                <w:rFonts w:hint="eastAsia" w:ascii="宋体" w:hAnsi="宋体" w:cs="宋体"/>
                <w:b/>
                <w:color w:val="auto"/>
                <w:sz w:val="28"/>
                <w:szCs w:val="28"/>
                <w:vertAlign w:val="baseline"/>
                <w:lang w:val="en-US" w:eastAsia="zh-CN"/>
              </w:rPr>
            </w:pPr>
          </w:p>
        </w:tc>
        <w:tc>
          <w:tcPr>
            <w:tcW w:w="2687" w:type="dxa"/>
          </w:tcPr>
          <w:p>
            <w:pPr>
              <w:spacing w:line="360" w:lineRule="auto"/>
              <w:jc w:val="center"/>
              <w:rPr>
                <w:rFonts w:hint="eastAsia" w:ascii="宋体" w:hAnsi="宋体" w:cs="宋体"/>
                <w:b/>
                <w:color w:val="auto"/>
                <w:sz w:val="28"/>
                <w:szCs w:val="28"/>
                <w:vertAlign w:val="baseline"/>
                <w:lang w:val="en-US" w:eastAsia="zh-CN"/>
              </w:rPr>
            </w:pPr>
          </w:p>
        </w:tc>
        <w:tc>
          <w:tcPr>
            <w:tcW w:w="2513" w:type="dxa"/>
          </w:tcPr>
          <w:p>
            <w:pPr>
              <w:spacing w:line="360" w:lineRule="auto"/>
              <w:jc w:val="center"/>
              <w:rPr>
                <w:rFonts w:hint="eastAsia" w:ascii="宋体" w:hAnsi="宋体" w:cs="宋体"/>
                <w:b/>
                <w:color w:val="auto"/>
                <w:sz w:val="28"/>
                <w:szCs w:val="28"/>
                <w:vertAlign w:val="baseline"/>
                <w:lang w:val="en-US" w:eastAsia="zh-CN"/>
              </w:rPr>
            </w:pPr>
          </w:p>
        </w:tc>
        <w:tc>
          <w:tcPr>
            <w:tcW w:w="1700" w:type="dxa"/>
          </w:tcPr>
          <w:p>
            <w:pPr>
              <w:spacing w:line="360" w:lineRule="auto"/>
              <w:jc w:val="center"/>
              <w:rPr>
                <w:rFonts w:hint="eastAsia" w:ascii="宋体" w:hAnsi="宋体" w:cs="宋体"/>
                <w:b/>
                <w:color w:val="auto"/>
                <w:sz w:val="28"/>
                <w:szCs w:val="28"/>
                <w:vertAlign w:val="baseline"/>
                <w:lang w:val="en-US" w:eastAsia="zh-CN"/>
              </w:rPr>
            </w:pPr>
          </w:p>
        </w:tc>
        <w:tc>
          <w:tcPr>
            <w:tcW w:w="1175" w:type="dxa"/>
          </w:tcPr>
          <w:p>
            <w:pPr>
              <w:spacing w:line="360" w:lineRule="auto"/>
              <w:jc w:val="center"/>
              <w:rPr>
                <w:rFonts w:hint="eastAsia" w:ascii="宋体" w:hAnsi="宋体" w:cs="宋体"/>
                <w:b/>
                <w:color w:val="auto"/>
                <w:sz w:val="28"/>
                <w:szCs w:val="28"/>
                <w:vertAlign w:val="baseline"/>
                <w:lang w:val="en-US" w:eastAsia="zh-CN"/>
              </w:rPr>
            </w:pPr>
          </w:p>
        </w:tc>
      </w:tr>
    </w:tbl>
    <w:p>
      <w:pPr>
        <w:ind w:firstLine="435"/>
        <w:rPr>
          <w:rFonts w:hint="eastAsia" w:ascii="宋体" w:hAnsi="宋体" w:cs="宋体"/>
          <w:b/>
          <w:bCs/>
          <w:color w:val="auto"/>
          <w:sz w:val="24"/>
        </w:rPr>
      </w:pPr>
      <w:r>
        <w:rPr>
          <w:rFonts w:hint="eastAsia" w:ascii="宋体" w:hAnsi="宋体" w:cs="宋体"/>
          <w:b/>
          <w:bCs/>
          <w:color w:val="auto"/>
          <w:sz w:val="24"/>
          <w:lang w:val="en-US" w:eastAsia="zh-CN"/>
        </w:rPr>
        <w:t xml:space="preserve">注：1、供应商响应采购需求应具体、明确，含糊不清、不确切或伪造、变造证明材料的，按照不完全响应或者完全不响应处理。构成提供虚假材料的，移送监管部门查处。 </w:t>
      </w:r>
    </w:p>
    <w:p>
      <w:pPr>
        <w:ind w:firstLine="435"/>
        <w:rPr>
          <w:rFonts w:hint="eastAsia" w:ascii="宋体" w:hAnsi="宋体" w:cs="宋体"/>
          <w:b/>
          <w:bCs/>
          <w:color w:val="auto"/>
          <w:sz w:val="24"/>
        </w:rPr>
      </w:pPr>
      <w:r>
        <w:rPr>
          <w:rFonts w:hint="eastAsia" w:ascii="宋体" w:hAnsi="宋体" w:cs="宋体"/>
          <w:b/>
          <w:bCs/>
          <w:color w:val="auto"/>
          <w:sz w:val="24"/>
          <w:lang w:val="en-US" w:eastAsia="zh-CN"/>
        </w:rPr>
        <w:t xml:space="preserve">2、供应商应对照项目采购需求，逐条说明所提供服务已对招标文件的采购需求做出了实质性的响应，并申明与采购需求条文的偏差和例外。特别对有具体技术要求的指标，供应商必须提供具体参数值。 </w:t>
      </w:r>
    </w:p>
    <w:p>
      <w:pPr>
        <w:ind w:firstLine="435"/>
        <w:rPr>
          <w:rFonts w:hint="eastAsia" w:ascii="宋体" w:hAnsi="宋体" w:cs="宋体"/>
          <w:b/>
          <w:bCs/>
          <w:color w:val="auto"/>
          <w:sz w:val="24"/>
        </w:rPr>
      </w:pPr>
      <w:r>
        <w:rPr>
          <w:rFonts w:hint="eastAsia" w:ascii="宋体" w:hAnsi="宋体" w:cs="宋体"/>
          <w:b/>
          <w:bCs/>
          <w:color w:val="auto"/>
          <w:sz w:val="24"/>
          <w:lang w:val="en-US" w:eastAsia="zh-CN"/>
        </w:rPr>
        <w:t xml:space="preserve">3、供应商所提供货物和服务已对招标文件、项目采购需求、服务条件的偏离只能优于招标文件、项目采购需求，否则评审小组有权按招标文件中相应规定作无效响应处理。 </w:t>
      </w:r>
    </w:p>
    <w:p>
      <w:pPr>
        <w:ind w:firstLine="435"/>
        <w:rPr>
          <w:rFonts w:hint="eastAsia" w:ascii="宋体" w:hAnsi="宋体" w:cs="宋体"/>
          <w:b/>
          <w:bCs/>
          <w:color w:val="auto"/>
          <w:sz w:val="24"/>
        </w:rPr>
      </w:pPr>
      <w:r>
        <w:rPr>
          <w:rFonts w:hint="eastAsia" w:ascii="宋体" w:hAnsi="宋体" w:cs="宋体"/>
          <w:b/>
          <w:bCs/>
          <w:color w:val="auto"/>
          <w:sz w:val="24"/>
          <w:lang w:val="en-US" w:eastAsia="zh-CN"/>
        </w:rPr>
        <w:t xml:space="preserve">4、各供应商按此表格式自行填写，表格不够时可自行添加。 </w:t>
      </w:r>
    </w:p>
    <w:p>
      <w:pPr>
        <w:ind w:firstLine="435"/>
        <w:rPr>
          <w:rFonts w:hint="eastAsia" w:ascii="宋体" w:hAnsi="宋体" w:cs="宋体"/>
          <w:b/>
          <w:bCs/>
          <w:color w:val="auto"/>
          <w:sz w:val="24"/>
          <w:lang w:val="en-US" w:eastAsia="zh-CN"/>
        </w:rPr>
      </w:pPr>
      <w:r>
        <w:rPr>
          <w:rFonts w:hint="eastAsia" w:ascii="宋体" w:hAnsi="宋体" w:cs="宋体"/>
          <w:b/>
          <w:bCs/>
          <w:color w:val="auto"/>
          <w:sz w:val="24"/>
          <w:lang w:val="en-US" w:eastAsia="zh-CN"/>
        </w:rPr>
        <w:t xml:space="preserve">5、没有说明的其他条款将被认为完全满足本工程采购技术要求。 </w:t>
      </w:r>
    </w:p>
    <w:p>
      <w:pPr>
        <w:ind w:firstLine="435"/>
        <w:rPr>
          <w:rFonts w:hint="eastAsia" w:ascii="宋体" w:hAnsi="宋体" w:cs="宋体"/>
          <w:color w:val="auto"/>
          <w:sz w:val="24"/>
          <w:lang w:val="en-US" w:eastAsia="zh-CN"/>
        </w:rPr>
      </w:pPr>
    </w:p>
    <w:p>
      <w:pPr>
        <w:ind w:firstLine="435"/>
        <w:rPr>
          <w:rFonts w:hint="eastAsia" w:ascii="宋体" w:hAnsi="宋体" w:cs="宋体"/>
          <w:color w:val="auto"/>
          <w:sz w:val="24"/>
          <w:lang w:val="en-US" w:eastAsia="zh-CN"/>
        </w:rPr>
      </w:pPr>
    </w:p>
    <w:p>
      <w:pPr>
        <w:ind w:firstLine="435"/>
        <w:rPr>
          <w:rFonts w:hint="eastAsia" w:ascii="宋体" w:hAnsi="宋体" w:cs="宋体"/>
          <w:color w:val="auto"/>
          <w:sz w:val="24"/>
          <w:lang w:val="en-US" w:eastAsia="zh-CN"/>
        </w:rPr>
      </w:pPr>
    </w:p>
    <w:p>
      <w:pPr>
        <w:ind w:firstLine="435"/>
        <w:rPr>
          <w:rFonts w:hint="eastAsia" w:ascii="宋体" w:hAnsi="宋体" w:cs="宋体"/>
          <w:color w:val="auto"/>
          <w:sz w:val="24"/>
          <w:lang w:val="en-US" w:eastAsia="zh-CN"/>
        </w:rPr>
      </w:pPr>
      <w:r>
        <w:rPr>
          <w:rFonts w:hint="eastAsia" w:ascii="宋体" w:hAnsi="宋体" w:cs="宋体"/>
          <w:color w:val="auto"/>
          <w:sz w:val="24"/>
          <w:lang w:val="en-US" w:eastAsia="zh-CN"/>
        </w:rPr>
        <w:t xml:space="preserve">供应商 （盖章）： </w:t>
      </w:r>
    </w:p>
    <w:p>
      <w:pPr>
        <w:ind w:firstLine="435"/>
        <w:rPr>
          <w:rFonts w:hint="eastAsia" w:ascii="宋体" w:hAnsi="宋体" w:cs="宋体"/>
          <w:color w:val="auto"/>
          <w:sz w:val="24"/>
          <w:lang w:val="en-US" w:eastAsia="zh-CN"/>
        </w:rPr>
      </w:pPr>
    </w:p>
    <w:p>
      <w:pPr>
        <w:ind w:firstLine="435"/>
        <w:rPr>
          <w:rFonts w:hint="eastAsia" w:ascii="宋体" w:hAnsi="宋体" w:cs="宋体"/>
          <w:color w:val="auto"/>
          <w:sz w:val="24"/>
          <w:lang w:val="en-US" w:eastAsia="zh-CN"/>
        </w:rPr>
      </w:pPr>
      <w:r>
        <w:rPr>
          <w:rFonts w:hint="eastAsia" w:ascii="宋体" w:hAnsi="宋体" w:cs="宋体"/>
          <w:color w:val="auto"/>
          <w:sz w:val="24"/>
          <w:lang w:val="en-US" w:eastAsia="zh-CN"/>
        </w:rPr>
        <w:t xml:space="preserve">法定代表人或委托代理人签字或盖章： </w:t>
      </w:r>
    </w:p>
    <w:p>
      <w:pPr>
        <w:ind w:firstLine="435"/>
        <w:rPr>
          <w:rFonts w:hint="eastAsia" w:ascii="宋体" w:hAnsi="宋体" w:cs="宋体"/>
          <w:color w:val="auto"/>
          <w:sz w:val="24"/>
          <w:lang w:val="en-US" w:eastAsia="zh-CN"/>
        </w:rPr>
      </w:pPr>
    </w:p>
    <w:p>
      <w:pPr>
        <w:ind w:firstLine="7689" w:firstLineChars="3204"/>
        <w:rPr>
          <w:rFonts w:hint="eastAsia" w:ascii="宋体" w:hAnsi="宋体" w:cs="宋体"/>
          <w:color w:val="auto"/>
          <w:sz w:val="24"/>
          <w:lang w:val="en-US" w:eastAsia="zh-CN"/>
        </w:rPr>
      </w:pPr>
      <w:r>
        <w:rPr>
          <w:rFonts w:hint="eastAsia" w:ascii="宋体" w:hAnsi="宋体" w:cs="宋体"/>
          <w:color w:val="auto"/>
          <w:sz w:val="24"/>
          <w:lang w:val="en-US" w:eastAsia="zh-CN"/>
        </w:rPr>
        <w:t>年 月 日</w:t>
      </w:r>
    </w:p>
    <w:p>
      <w:pPr>
        <w:spacing w:line="360" w:lineRule="auto"/>
        <w:jc w:val="center"/>
        <w:rPr>
          <w:rFonts w:hint="eastAsia" w:ascii="宋体" w:hAnsi="宋体" w:cs="宋体"/>
          <w:b/>
          <w:color w:val="auto"/>
          <w:sz w:val="28"/>
          <w:szCs w:val="28"/>
          <w:lang w:val="en-US" w:eastAsia="zh-CN"/>
        </w:rPr>
      </w:pPr>
    </w:p>
    <w:p>
      <w:pPr>
        <w:spacing w:line="360" w:lineRule="auto"/>
        <w:jc w:val="center"/>
        <w:rPr>
          <w:rFonts w:hint="eastAsia" w:ascii="宋体" w:hAnsi="宋体" w:cs="宋体"/>
          <w:b/>
          <w:color w:val="auto"/>
          <w:sz w:val="28"/>
          <w:szCs w:val="28"/>
          <w:lang w:val="en-US" w:eastAsia="zh-CN"/>
        </w:rPr>
      </w:pPr>
    </w:p>
    <w:p>
      <w:pPr>
        <w:spacing w:line="360" w:lineRule="auto"/>
        <w:jc w:val="center"/>
        <w:rPr>
          <w:rFonts w:hint="eastAsia" w:ascii="宋体" w:hAnsi="宋体" w:cs="宋体"/>
          <w:b/>
          <w:color w:val="auto"/>
          <w:sz w:val="28"/>
          <w:szCs w:val="28"/>
          <w:lang w:val="en-US" w:eastAsia="zh-CN"/>
        </w:rPr>
      </w:pPr>
    </w:p>
    <w:p>
      <w:pPr>
        <w:spacing w:line="360" w:lineRule="auto"/>
        <w:jc w:val="center"/>
        <w:rPr>
          <w:rFonts w:ascii="宋体" w:hAnsi="宋体" w:cs="宋体"/>
          <w:color w:val="auto"/>
          <w:sz w:val="24"/>
        </w:rPr>
      </w:pPr>
      <w:r>
        <w:rPr>
          <w:rFonts w:hint="eastAsia" w:ascii="宋体" w:hAnsi="宋体" w:cs="宋体"/>
          <w:b/>
          <w:color w:val="auto"/>
          <w:sz w:val="28"/>
          <w:szCs w:val="28"/>
          <w:lang w:val="en-US" w:eastAsia="zh-CN"/>
        </w:rPr>
        <w:t>5</w:t>
      </w:r>
      <w:r>
        <w:rPr>
          <w:rFonts w:hint="eastAsia" w:ascii="宋体" w:hAnsi="宋体" w:cs="宋体"/>
          <w:b/>
          <w:color w:val="auto"/>
          <w:sz w:val="28"/>
          <w:szCs w:val="28"/>
        </w:rPr>
        <w:t>、法定代表人资格证明书</w:t>
      </w:r>
    </w:p>
    <w:p>
      <w:pPr>
        <w:tabs>
          <w:tab w:val="left" w:pos="360"/>
          <w:tab w:val="left" w:pos="1800"/>
        </w:tabs>
        <w:spacing w:line="360" w:lineRule="auto"/>
        <w:ind w:firstLine="480" w:firstLineChars="200"/>
        <w:rPr>
          <w:rFonts w:ascii="宋体" w:hAnsi="宋体" w:cs="宋体"/>
          <w:color w:val="auto"/>
          <w:sz w:val="24"/>
        </w:rPr>
      </w:pPr>
    </w:p>
    <w:p>
      <w:pPr>
        <w:tabs>
          <w:tab w:val="left" w:pos="36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供应商名称：</w:t>
      </w:r>
    </w:p>
    <w:p>
      <w:pPr>
        <w:tabs>
          <w:tab w:val="left" w:pos="36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地址：</w:t>
      </w:r>
    </w:p>
    <w:p>
      <w:pPr>
        <w:tabs>
          <w:tab w:val="left" w:pos="360"/>
          <w:tab w:val="left" w:pos="720"/>
          <w:tab w:val="left" w:pos="90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 xml:space="preserve">姓名：        性别：       年龄：         职务： </w:t>
      </w:r>
    </w:p>
    <w:p>
      <w:pPr>
        <w:tabs>
          <w:tab w:val="left" w:pos="36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单位）的法定代表人。签署上述项目的相应文件、进行合同磋商、签署合同和处理与之有关的一切事务。</w:t>
      </w:r>
    </w:p>
    <w:p>
      <w:pPr>
        <w:tabs>
          <w:tab w:val="left" w:pos="360"/>
          <w:tab w:val="left" w:pos="1800"/>
        </w:tabs>
        <w:spacing w:line="360" w:lineRule="auto"/>
        <w:rPr>
          <w:rFonts w:ascii="宋体" w:hAnsi="宋体" w:cs="宋体"/>
          <w:color w:val="auto"/>
          <w:sz w:val="24"/>
        </w:rPr>
      </w:pPr>
    </w:p>
    <w:p>
      <w:pPr>
        <w:tabs>
          <w:tab w:val="left" w:pos="36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特此证明。</w:t>
      </w:r>
    </w:p>
    <w:p>
      <w:pPr>
        <w:tabs>
          <w:tab w:val="left" w:pos="360"/>
          <w:tab w:val="left" w:pos="1800"/>
        </w:tabs>
        <w:spacing w:line="360" w:lineRule="auto"/>
        <w:ind w:left="4500"/>
        <w:rPr>
          <w:rFonts w:ascii="宋体" w:hAnsi="宋体" w:cs="宋体"/>
          <w:color w:val="auto"/>
          <w:sz w:val="24"/>
        </w:rPr>
      </w:pPr>
      <w:r>
        <w:rPr>
          <w:rFonts w:hint="eastAsia" w:ascii="宋体" w:hAnsi="宋体" w:cs="宋体"/>
          <w:color w:val="auto"/>
          <w:sz w:val="24"/>
        </w:rPr>
        <w:t>供应商：（盖章）</w:t>
      </w:r>
    </w:p>
    <w:p>
      <w:pPr>
        <w:tabs>
          <w:tab w:val="left" w:pos="360"/>
          <w:tab w:val="left" w:pos="1800"/>
        </w:tabs>
        <w:spacing w:line="360" w:lineRule="auto"/>
        <w:ind w:left="4500"/>
        <w:rPr>
          <w:rFonts w:ascii="宋体" w:hAnsi="宋体" w:cs="宋体"/>
          <w:color w:val="auto"/>
          <w:sz w:val="24"/>
        </w:rPr>
      </w:pPr>
      <w:r>
        <w:rPr>
          <w:rFonts w:hint="eastAsia" w:ascii="宋体" w:hAnsi="宋体" w:cs="宋体"/>
          <w:color w:val="auto"/>
          <w:sz w:val="24"/>
        </w:rPr>
        <w:t>日期：    年   月   日</w:t>
      </w:r>
    </w:p>
    <w:p>
      <w:pPr>
        <w:tabs>
          <w:tab w:val="left" w:pos="360"/>
          <w:tab w:val="left" w:pos="1800"/>
        </w:tabs>
        <w:spacing w:line="360" w:lineRule="auto"/>
        <w:ind w:firstLine="6000" w:firstLineChars="2500"/>
        <w:rPr>
          <w:rFonts w:ascii="宋体" w:hAnsi="宋体" w:cs="宋体"/>
          <w:bCs/>
          <w:color w:val="auto"/>
          <w:sz w:val="24"/>
        </w:rPr>
      </w:pPr>
    </w:p>
    <w:tbl>
      <w:tblPr>
        <w:tblStyle w:val="20"/>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r>
              <w:rPr>
                <w:rFonts w:hint="eastAsia" w:ascii="宋体" w:hAnsi="宋体" w:cs="宋体"/>
                <w:color w:val="auto"/>
                <w:sz w:val="24"/>
              </w:rPr>
              <w:t>法定代表人身份证复印件或扫描件（正、反两面）</w:t>
            </w:r>
          </w:p>
        </w:tc>
      </w:tr>
    </w:tbl>
    <w:p>
      <w:pPr>
        <w:tabs>
          <w:tab w:val="left" w:pos="360"/>
          <w:tab w:val="left" w:pos="1800"/>
        </w:tabs>
        <w:spacing w:line="480" w:lineRule="exact"/>
        <w:jc w:val="center"/>
        <w:rPr>
          <w:rFonts w:ascii="宋体" w:hAnsi="宋体" w:cs="宋体"/>
          <w:b/>
          <w:bCs/>
          <w:color w:val="auto"/>
          <w:sz w:val="24"/>
        </w:rPr>
      </w:pPr>
      <w:r>
        <w:rPr>
          <w:rFonts w:hint="eastAsia" w:ascii="宋体" w:hAnsi="宋体" w:cs="宋体"/>
          <w:b/>
          <w:bCs/>
          <w:color w:val="auto"/>
          <w:sz w:val="24"/>
        </w:rPr>
        <w:t>注：法定代表人身份证复印件或扫描件应反映出证件有效期等所载内容。</w:t>
      </w:r>
    </w:p>
    <w:p>
      <w:pPr>
        <w:tabs>
          <w:tab w:val="left" w:pos="360"/>
          <w:tab w:val="left" w:pos="1800"/>
        </w:tabs>
        <w:spacing w:line="480" w:lineRule="exact"/>
        <w:ind w:left="1980" w:firstLine="1080"/>
        <w:rPr>
          <w:rFonts w:ascii="宋体" w:hAnsi="宋体" w:cs="宋体"/>
          <w:bCs/>
          <w:color w:val="auto"/>
        </w:rPr>
      </w:pPr>
    </w:p>
    <w:p>
      <w:pPr>
        <w:spacing w:line="360" w:lineRule="auto"/>
        <w:ind w:firstLine="573"/>
        <w:jc w:val="center"/>
        <w:rPr>
          <w:rFonts w:ascii="宋体" w:hAnsi="宋体" w:cs="宋体"/>
          <w:b/>
          <w:color w:val="auto"/>
          <w:sz w:val="28"/>
          <w:szCs w:val="28"/>
        </w:rPr>
      </w:pPr>
    </w:p>
    <w:p>
      <w:pPr>
        <w:tabs>
          <w:tab w:val="left" w:pos="360"/>
          <w:tab w:val="left" w:pos="1800"/>
        </w:tabs>
        <w:spacing w:line="480" w:lineRule="exact"/>
        <w:jc w:val="center"/>
        <w:rPr>
          <w:rFonts w:ascii="宋体" w:hAnsi="宋体" w:cs="宋体"/>
          <w:b/>
          <w:bCs/>
          <w:color w:val="auto"/>
          <w:sz w:val="28"/>
          <w:szCs w:val="28"/>
        </w:rPr>
      </w:pPr>
      <w:r>
        <w:rPr>
          <w:rFonts w:hint="eastAsia" w:ascii="宋体" w:hAnsi="宋体" w:cs="宋体"/>
          <w:b/>
          <w:color w:val="auto"/>
          <w:sz w:val="28"/>
          <w:szCs w:val="28"/>
        </w:rPr>
        <w:br w:type="page"/>
      </w:r>
      <w:r>
        <w:rPr>
          <w:rFonts w:hint="eastAsia" w:ascii="宋体" w:hAnsi="宋体" w:cs="宋体"/>
          <w:b/>
          <w:color w:val="auto"/>
          <w:sz w:val="28"/>
          <w:szCs w:val="28"/>
          <w:lang w:val="en-US" w:eastAsia="zh-CN"/>
        </w:rPr>
        <w:t>6</w:t>
      </w:r>
      <w:r>
        <w:rPr>
          <w:rFonts w:hint="eastAsia" w:ascii="宋体" w:hAnsi="宋体" w:cs="宋体"/>
          <w:b/>
          <w:color w:val="auto"/>
          <w:sz w:val="28"/>
          <w:szCs w:val="28"/>
        </w:rPr>
        <w:t>、法定代表人授权委托书</w:t>
      </w:r>
    </w:p>
    <w:p>
      <w:pPr>
        <w:tabs>
          <w:tab w:val="left" w:pos="360"/>
          <w:tab w:val="left" w:pos="1800"/>
        </w:tabs>
        <w:spacing w:line="480" w:lineRule="exact"/>
        <w:ind w:left="239" w:leftChars="114" w:firstLine="240" w:firstLineChars="100"/>
        <w:rPr>
          <w:rFonts w:ascii="宋体" w:hAnsi="宋体" w:cs="宋体"/>
          <w:color w:val="auto"/>
          <w:sz w:val="24"/>
        </w:rPr>
      </w:pPr>
    </w:p>
    <w:p>
      <w:pPr>
        <w:tabs>
          <w:tab w:val="left" w:pos="360"/>
          <w:tab w:val="left" w:pos="1800"/>
        </w:tabs>
        <w:spacing w:line="480" w:lineRule="exact"/>
        <w:ind w:firstLine="480" w:firstLineChars="200"/>
        <w:rPr>
          <w:rFonts w:ascii="宋体" w:hAnsi="宋体" w:cs="宋体"/>
          <w:color w:val="auto"/>
          <w:sz w:val="24"/>
          <w:u w:val="single"/>
        </w:rPr>
      </w:pPr>
      <w:r>
        <w:rPr>
          <w:rFonts w:hint="eastAsia" w:ascii="宋体" w:hAnsi="宋体" w:cs="宋体"/>
          <w:color w:val="auto"/>
          <w:sz w:val="24"/>
        </w:rPr>
        <w:t>本授权委托书声明：我（姓名）系（供应商名称）的法定代表人，现授权委托（供应商名称）的（姓名），其身份证号，为我供应商代理人，以本供应商的名义参加 （采购人）（ 项目名称）的公开活动。</w:t>
      </w:r>
    </w:p>
    <w:p>
      <w:pPr>
        <w:tabs>
          <w:tab w:val="left" w:pos="360"/>
          <w:tab w:val="left" w:pos="1800"/>
        </w:tabs>
        <w:spacing w:line="480" w:lineRule="exact"/>
        <w:ind w:firstLine="480" w:firstLineChars="200"/>
        <w:rPr>
          <w:rFonts w:ascii="宋体" w:hAnsi="宋体" w:cs="宋体"/>
          <w:color w:val="auto"/>
          <w:sz w:val="24"/>
        </w:rPr>
      </w:pPr>
      <w:r>
        <w:rPr>
          <w:rFonts w:hint="eastAsia" w:ascii="宋体" w:hAnsi="宋体" w:cs="宋体"/>
          <w:color w:val="auto"/>
          <w:sz w:val="24"/>
        </w:rPr>
        <w:t>代理人在递交</w:t>
      </w:r>
      <w:r>
        <w:rPr>
          <w:rFonts w:hint="eastAsia" w:ascii="宋体" w:hAnsi="宋体" w:cs="宋体"/>
          <w:color w:val="auto"/>
          <w:sz w:val="24"/>
          <w:lang w:eastAsia="zh-CN"/>
        </w:rPr>
        <w:t>投标文件</w:t>
      </w:r>
      <w:r>
        <w:rPr>
          <w:rFonts w:hint="eastAsia" w:ascii="宋体" w:hAnsi="宋体" w:cs="宋体"/>
          <w:color w:val="auto"/>
          <w:sz w:val="24"/>
        </w:rPr>
        <w:t>、评标、合同</w:t>
      </w:r>
      <w:r>
        <w:rPr>
          <w:rFonts w:hint="eastAsia" w:ascii="宋体" w:hAnsi="宋体" w:cs="宋体"/>
          <w:color w:val="auto"/>
          <w:sz w:val="24"/>
          <w:lang w:eastAsia="zh-CN"/>
        </w:rPr>
        <w:t>签订</w:t>
      </w:r>
      <w:r>
        <w:rPr>
          <w:rFonts w:hint="eastAsia" w:ascii="宋体" w:hAnsi="宋体" w:cs="宋体"/>
          <w:color w:val="auto"/>
          <w:sz w:val="24"/>
        </w:rPr>
        <w:t>过程中所签署的一切文件和处理与之有关的一切事务，我均予以承认。</w:t>
      </w:r>
    </w:p>
    <w:p>
      <w:pPr>
        <w:tabs>
          <w:tab w:val="left" w:pos="360"/>
          <w:tab w:val="left" w:pos="1800"/>
        </w:tabs>
        <w:spacing w:line="480" w:lineRule="exact"/>
        <w:ind w:firstLine="480" w:firstLineChars="200"/>
        <w:rPr>
          <w:rFonts w:ascii="宋体" w:hAnsi="宋体" w:cs="宋体"/>
          <w:color w:val="auto"/>
          <w:sz w:val="24"/>
          <w:u w:val="single"/>
        </w:rPr>
      </w:pPr>
      <w:r>
        <w:rPr>
          <w:rFonts w:hint="eastAsia" w:ascii="宋体" w:hAnsi="宋体" w:cs="宋体"/>
          <w:color w:val="auto"/>
          <w:sz w:val="24"/>
        </w:rPr>
        <w:t>本授权委托书期限自年月日起至年月日止。</w:t>
      </w:r>
    </w:p>
    <w:p>
      <w:pPr>
        <w:tabs>
          <w:tab w:val="left" w:pos="360"/>
          <w:tab w:val="left" w:pos="1800"/>
        </w:tabs>
        <w:spacing w:line="480" w:lineRule="exact"/>
        <w:ind w:firstLine="480" w:firstLineChars="200"/>
        <w:rPr>
          <w:rFonts w:ascii="宋体" w:hAnsi="宋体" w:cs="宋体"/>
          <w:color w:val="auto"/>
          <w:sz w:val="24"/>
        </w:rPr>
      </w:pPr>
      <w:r>
        <w:rPr>
          <w:rFonts w:hint="eastAsia" w:ascii="宋体" w:hAnsi="宋体" w:cs="宋体"/>
          <w:color w:val="auto"/>
          <w:sz w:val="24"/>
        </w:rPr>
        <w:t>委托代理人无转委权。特此委托。</w:t>
      </w:r>
    </w:p>
    <w:p>
      <w:pPr>
        <w:tabs>
          <w:tab w:val="left" w:pos="360"/>
          <w:tab w:val="left" w:pos="1800"/>
        </w:tabs>
        <w:spacing w:line="480" w:lineRule="exact"/>
        <w:ind w:firstLine="480" w:firstLineChars="200"/>
        <w:rPr>
          <w:rFonts w:ascii="宋体" w:hAnsi="宋体" w:cs="宋体"/>
          <w:color w:val="auto"/>
          <w:sz w:val="24"/>
        </w:rPr>
      </w:pPr>
      <w:r>
        <w:rPr>
          <w:rFonts w:hint="eastAsia" w:ascii="宋体" w:hAnsi="宋体" w:cs="宋体"/>
          <w:color w:val="auto"/>
          <w:sz w:val="24"/>
        </w:rPr>
        <w:t>委托代理人：            性别：           年龄：</w:t>
      </w:r>
    </w:p>
    <w:p>
      <w:pPr>
        <w:tabs>
          <w:tab w:val="left" w:pos="360"/>
          <w:tab w:val="left" w:pos="1800"/>
        </w:tabs>
        <w:spacing w:line="480" w:lineRule="exact"/>
        <w:ind w:firstLine="480" w:firstLineChars="200"/>
        <w:rPr>
          <w:rFonts w:ascii="宋体" w:hAnsi="宋体" w:cs="宋体"/>
          <w:color w:val="auto"/>
          <w:sz w:val="24"/>
        </w:rPr>
      </w:pPr>
      <w:r>
        <w:rPr>
          <w:rFonts w:hint="eastAsia" w:ascii="宋体" w:hAnsi="宋体" w:cs="宋体"/>
          <w:color w:val="auto"/>
          <w:sz w:val="24"/>
        </w:rPr>
        <w:t>单位：              部门：           职务：</w:t>
      </w:r>
    </w:p>
    <w:p>
      <w:pPr>
        <w:tabs>
          <w:tab w:val="left" w:pos="360"/>
          <w:tab w:val="left" w:pos="1800"/>
        </w:tabs>
        <w:spacing w:line="480" w:lineRule="exact"/>
        <w:ind w:firstLine="420"/>
        <w:jc w:val="left"/>
        <w:rPr>
          <w:rFonts w:ascii="宋体" w:hAnsi="宋体" w:cs="宋体"/>
          <w:color w:val="auto"/>
          <w:sz w:val="24"/>
        </w:rPr>
      </w:pPr>
      <w:r>
        <w:rPr>
          <w:rFonts w:hint="eastAsia" w:ascii="宋体" w:hAnsi="宋体" w:cs="宋体"/>
          <w:color w:val="auto"/>
          <w:sz w:val="24"/>
        </w:rPr>
        <w:t>供应商：（盖章）</w:t>
      </w:r>
    </w:p>
    <w:p>
      <w:pPr>
        <w:tabs>
          <w:tab w:val="left" w:pos="360"/>
          <w:tab w:val="left" w:pos="1800"/>
        </w:tabs>
        <w:spacing w:line="480" w:lineRule="exact"/>
        <w:ind w:firstLine="420"/>
        <w:jc w:val="left"/>
        <w:rPr>
          <w:rFonts w:ascii="宋体" w:hAnsi="宋体" w:cs="宋体"/>
          <w:color w:val="auto"/>
          <w:sz w:val="24"/>
        </w:rPr>
      </w:pPr>
      <w:r>
        <w:rPr>
          <w:rFonts w:hint="eastAsia" w:ascii="宋体" w:hAnsi="宋体" w:cs="宋体"/>
          <w:color w:val="auto"/>
          <w:sz w:val="24"/>
        </w:rPr>
        <w:t>法定代表人：（签字或盖章）</w:t>
      </w:r>
    </w:p>
    <w:p>
      <w:pPr>
        <w:tabs>
          <w:tab w:val="left" w:pos="360"/>
          <w:tab w:val="left" w:pos="1800"/>
        </w:tabs>
        <w:spacing w:line="480" w:lineRule="exact"/>
        <w:ind w:firstLine="420"/>
        <w:jc w:val="left"/>
        <w:rPr>
          <w:rFonts w:ascii="宋体" w:hAnsi="宋体" w:cs="宋体"/>
          <w:color w:val="auto"/>
          <w:sz w:val="24"/>
        </w:rPr>
      </w:pPr>
      <w:r>
        <w:rPr>
          <w:rFonts w:hint="eastAsia" w:ascii="宋体" w:hAnsi="宋体" w:cs="宋体"/>
          <w:color w:val="auto"/>
          <w:sz w:val="24"/>
        </w:rPr>
        <w:t>授权委托人：（签字或盖章）</w:t>
      </w:r>
    </w:p>
    <w:p>
      <w:pPr>
        <w:tabs>
          <w:tab w:val="left" w:pos="360"/>
          <w:tab w:val="left" w:pos="1800"/>
        </w:tabs>
        <w:spacing w:line="480" w:lineRule="exact"/>
        <w:ind w:firstLine="420"/>
        <w:jc w:val="left"/>
        <w:rPr>
          <w:rFonts w:ascii="宋体" w:hAnsi="宋体" w:cs="宋体"/>
          <w:color w:val="auto"/>
          <w:sz w:val="24"/>
        </w:rPr>
      </w:pPr>
      <w:r>
        <w:rPr>
          <w:rFonts w:hint="eastAsia" w:ascii="宋体" w:hAnsi="宋体" w:cs="宋体"/>
          <w:color w:val="auto"/>
          <w:sz w:val="24"/>
        </w:rPr>
        <w:t>日期：      年     月     日</w:t>
      </w:r>
    </w:p>
    <w:p>
      <w:pPr>
        <w:tabs>
          <w:tab w:val="left" w:pos="360"/>
          <w:tab w:val="left" w:pos="1800"/>
        </w:tabs>
        <w:spacing w:line="480" w:lineRule="exact"/>
        <w:ind w:firstLine="3600"/>
        <w:rPr>
          <w:rFonts w:ascii="宋体" w:hAnsi="宋体" w:cs="宋体"/>
          <w:color w:val="auto"/>
          <w:sz w:val="24"/>
        </w:rPr>
      </w:pPr>
    </w:p>
    <w:tbl>
      <w:tblPr>
        <w:tblStyle w:val="20"/>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r>
              <w:rPr>
                <w:rFonts w:hint="eastAsia" w:ascii="宋体" w:hAnsi="宋体" w:cs="宋体"/>
                <w:color w:val="auto"/>
                <w:sz w:val="24"/>
              </w:rPr>
              <w:t>委托代理人身份证复印件或扫描件（正、反两面）</w:t>
            </w:r>
          </w:p>
        </w:tc>
      </w:tr>
    </w:tbl>
    <w:p>
      <w:pPr>
        <w:spacing w:line="360" w:lineRule="auto"/>
        <w:ind w:firstLine="573"/>
        <w:jc w:val="center"/>
        <w:rPr>
          <w:rFonts w:ascii="宋体" w:hAnsi="宋体" w:cs="宋体"/>
          <w:b/>
          <w:color w:val="auto"/>
          <w:sz w:val="28"/>
          <w:szCs w:val="28"/>
        </w:rPr>
      </w:pPr>
      <w:r>
        <w:rPr>
          <w:rFonts w:hint="eastAsia" w:ascii="宋体" w:hAnsi="宋体" w:cs="宋体"/>
          <w:b/>
          <w:bCs/>
          <w:color w:val="auto"/>
          <w:sz w:val="24"/>
        </w:rPr>
        <w:t>注：委托代理人身份证复印件或扫描件应反映出证件有效期等所载内容。</w:t>
      </w:r>
    </w:p>
    <w:p>
      <w:pPr>
        <w:tabs>
          <w:tab w:val="left" w:pos="360"/>
          <w:tab w:val="left" w:pos="1800"/>
        </w:tabs>
        <w:spacing w:line="480" w:lineRule="exact"/>
        <w:rPr>
          <w:rFonts w:ascii="宋体" w:hAnsi="宋体" w:cs="宋体"/>
          <w:b/>
          <w:color w:val="auto"/>
          <w:sz w:val="28"/>
          <w:szCs w:val="28"/>
        </w:rPr>
      </w:pPr>
    </w:p>
    <w:p>
      <w:pPr>
        <w:tabs>
          <w:tab w:val="left" w:pos="360"/>
          <w:tab w:val="left" w:pos="1800"/>
        </w:tabs>
        <w:spacing w:line="480" w:lineRule="exact"/>
        <w:jc w:val="center"/>
        <w:rPr>
          <w:rFonts w:ascii="宋体" w:hAnsi="宋体" w:cs="宋体"/>
          <w:b/>
          <w:color w:val="auto"/>
          <w:sz w:val="28"/>
          <w:szCs w:val="28"/>
        </w:rPr>
      </w:pPr>
      <w:r>
        <w:rPr>
          <w:rFonts w:hint="eastAsia" w:ascii="宋体" w:hAnsi="宋体" w:cs="宋体"/>
          <w:b/>
          <w:color w:val="auto"/>
          <w:sz w:val="28"/>
          <w:szCs w:val="28"/>
          <w:lang w:val="en-US" w:eastAsia="zh-CN"/>
        </w:rPr>
        <w:t>7</w:t>
      </w:r>
      <w:r>
        <w:rPr>
          <w:rFonts w:hint="eastAsia" w:ascii="宋体" w:hAnsi="宋体" w:cs="宋体"/>
          <w:b/>
          <w:color w:val="auto"/>
          <w:sz w:val="28"/>
          <w:szCs w:val="28"/>
        </w:rPr>
        <w:t xml:space="preserve">、供应商资格声明 </w:t>
      </w:r>
    </w:p>
    <w:tbl>
      <w:tblPr>
        <w:tblStyle w:val="20"/>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16"/>
        <w:gridCol w:w="1121"/>
        <w:gridCol w:w="1500"/>
        <w:gridCol w:w="1499"/>
        <w:gridCol w:w="1534"/>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672" w:type="dxa"/>
            <w:vAlign w:val="center"/>
          </w:tcPr>
          <w:p>
            <w:pPr>
              <w:spacing w:line="460" w:lineRule="exact"/>
              <w:rPr>
                <w:rFonts w:ascii="宋体" w:hAnsi="宋体" w:cs="宋体"/>
                <w:bCs/>
                <w:color w:val="auto"/>
                <w:sz w:val="24"/>
              </w:rPr>
            </w:pPr>
            <w:r>
              <w:rPr>
                <w:rFonts w:hint="eastAsia" w:ascii="宋体" w:hAnsi="宋体" w:cs="宋体"/>
                <w:bCs/>
                <w:color w:val="auto"/>
                <w:sz w:val="24"/>
              </w:rPr>
              <w:t>供应商名称</w:t>
            </w:r>
          </w:p>
        </w:tc>
        <w:tc>
          <w:tcPr>
            <w:tcW w:w="7428" w:type="dxa"/>
            <w:gridSpan w:val="6"/>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672" w:type="dxa"/>
            <w:vAlign w:val="center"/>
          </w:tcPr>
          <w:p>
            <w:pPr>
              <w:spacing w:line="460" w:lineRule="exact"/>
              <w:jc w:val="left"/>
              <w:rPr>
                <w:rFonts w:ascii="宋体" w:hAnsi="宋体" w:cs="宋体"/>
                <w:bCs/>
                <w:color w:val="auto"/>
                <w:sz w:val="24"/>
              </w:rPr>
            </w:pPr>
            <w:r>
              <w:rPr>
                <w:rFonts w:hint="eastAsia" w:ascii="宋体" w:hAnsi="宋体" w:cs="宋体"/>
                <w:bCs/>
                <w:color w:val="auto"/>
                <w:sz w:val="24"/>
              </w:rPr>
              <w:t>地 址</w:t>
            </w:r>
          </w:p>
        </w:tc>
        <w:tc>
          <w:tcPr>
            <w:tcW w:w="7428" w:type="dxa"/>
            <w:gridSpan w:val="6"/>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72" w:type="dxa"/>
            <w:vAlign w:val="center"/>
          </w:tcPr>
          <w:p>
            <w:pPr>
              <w:spacing w:line="460" w:lineRule="exact"/>
              <w:rPr>
                <w:rFonts w:ascii="宋体" w:hAnsi="宋体" w:cs="宋体"/>
                <w:bCs/>
                <w:color w:val="auto"/>
                <w:sz w:val="24"/>
              </w:rPr>
            </w:pPr>
            <w:r>
              <w:rPr>
                <w:rFonts w:hint="eastAsia" w:ascii="宋体" w:hAnsi="宋体" w:cs="宋体"/>
                <w:bCs/>
                <w:color w:val="auto"/>
                <w:sz w:val="24"/>
              </w:rPr>
              <w:t>主管部门</w:t>
            </w:r>
          </w:p>
        </w:tc>
        <w:tc>
          <w:tcPr>
            <w:tcW w:w="1337" w:type="dxa"/>
            <w:gridSpan w:val="2"/>
            <w:vAlign w:val="center"/>
          </w:tcPr>
          <w:p>
            <w:pPr>
              <w:spacing w:line="460" w:lineRule="exact"/>
              <w:rPr>
                <w:rFonts w:ascii="宋体" w:hAnsi="宋体" w:cs="宋体"/>
                <w:bCs/>
                <w:color w:val="auto"/>
                <w:sz w:val="24"/>
              </w:rPr>
            </w:pPr>
          </w:p>
        </w:tc>
        <w:tc>
          <w:tcPr>
            <w:tcW w:w="1500" w:type="dxa"/>
            <w:vAlign w:val="center"/>
          </w:tcPr>
          <w:p>
            <w:pPr>
              <w:spacing w:line="460" w:lineRule="exact"/>
              <w:rPr>
                <w:rFonts w:ascii="宋体" w:hAnsi="宋体" w:cs="宋体"/>
                <w:bCs/>
                <w:color w:val="auto"/>
                <w:sz w:val="24"/>
              </w:rPr>
            </w:pPr>
            <w:r>
              <w:rPr>
                <w:rFonts w:hint="eastAsia" w:ascii="宋体" w:hAnsi="宋体" w:cs="宋体"/>
                <w:bCs/>
                <w:color w:val="auto"/>
                <w:sz w:val="24"/>
              </w:rPr>
              <w:t>法定代表人</w:t>
            </w:r>
          </w:p>
        </w:tc>
        <w:tc>
          <w:tcPr>
            <w:tcW w:w="1499" w:type="dxa"/>
            <w:vAlign w:val="center"/>
          </w:tcPr>
          <w:p>
            <w:pPr>
              <w:spacing w:line="460" w:lineRule="exact"/>
              <w:rPr>
                <w:rFonts w:ascii="宋体" w:hAnsi="宋体" w:cs="宋体"/>
                <w:bCs/>
                <w:color w:val="auto"/>
                <w:sz w:val="24"/>
              </w:rPr>
            </w:pPr>
          </w:p>
        </w:tc>
        <w:tc>
          <w:tcPr>
            <w:tcW w:w="1534" w:type="dxa"/>
            <w:vAlign w:val="center"/>
          </w:tcPr>
          <w:p>
            <w:pPr>
              <w:spacing w:line="460" w:lineRule="exact"/>
              <w:ind w:firstLine="240" w:firstLineChars="100"/>
              <w:rPr>
                <w:rFonts w:ascii="宋体" w:hAnsi="宋体" w:cs="宋体"/>
                <w:bCs/>
                <w:color w:val="auto"/>
                <w:sz w:val="24"/>
              </w:rPr>
            </w:pPr>
            <w:r>
              <w:rPr>
                <w:rFonts w:hint="eastAsia" w:ascii="宋体" w:hAnsi="宋体" w:cs="宋体"/>
                <w:bCs/>
                <w:color w:val="auto"/>
                <w:sz w:val="24"/>
              </w:rPr>
              <w:t>职 务</w:t>
            </w:r>
          </w:p>
        </w:tc>
        <w:tc>
          <w:tcPr>
            <w:tcW w:w="1558" w:type="dxa"/>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672" w:type="dxa"/>
            <w:vAlign w:val="center"/>
          </w:tcPr>
          <w:p>
            <w:pPr>
              <w:spacing w:line="460" w:lineRule="exact"/>
              <w:rPr>
                <w:rFonts w:ascii="宋体" w:hAnsi="宋体" w:cs="宋体"/>
                <w:bCs/>
                <w:color w:val="auto"/>
                <w:sz w:val="24"/>
              </w:rPr>
            </w:pPr>
            <w:r>
              <w:rPr>
                <w:rFonts w:hint="eastAsia" w:ascii="宋体" w:hAnsi="宋体" w:cs="宋体"/>
                <w:bCs/>
                <w:color w:val="auto"/>
                <w:sz w:val="24"/>
              </w:rPr>
              <w:t>注册时间</w:t>
            </w:r>
          </w:p>
        </w:tc>
        <w:tc>
          <w:tcPr>
            <w:tcW w:w="2837" w:type="dxa"/>
            <w:gridSpan w:val="3"/>
          </w:tcPr>
          <w:p>
            <w:pPr>
              <w:spacing w:line="460" w:lineRule="exact"/>
              <w:rPr>
                <w:rFonts w:ascii="宋体" w:hAnsi="宋体" w:cs="宋体"/>
                <w:bCs/>
                <w:color w:val="auto"/>
                <w:sz w:val="24"/>
              </w:rPr>
            </w:pPr>
          </w:p>
        </w:tc>
        <w:tc>
          <w:tcPr>
            <w:tcW w:w="1499" w:type="dxa"/>
          </w:tcPr>
          <w:p>
            <w:pPr>
              <w:spacing w:line="460" w:lineRule="exact"/>
              <w:rPr>
                <w:rFonts w:ascii="宋体" w:hAnsi="宋体" w:cs="宋体"/>
                <w:bCs/>
                <w:color w:val="auto"/>
                <w:sz w:val="24"/>
              </w:rPr>
            </w:pPr>
            <w:r>
              <w:rPr>
                <w:rFonts w:hint="eastAsia" w:ascii="宋体" w:hAnsi="宋体" w:cs="宋体"/>
                <w:bCs/>
                <w:color w:val="auto"/>
                <w:sz w:val="24"/>
              </w:rPr>
              <w:t>经济类型</w:t>
            </w:r>
          </w:p>
        </w:tc>
        <w:tc>
          <w:tcPr>
            <w:tcW w:w="3092" w:type="dxa"/>
            <w:gridSpan w:val="2"/>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4509" w:type="dxa"/>
            <w:gridSpan w:val="4"/>
            <w:vAlign w:val="center"/>
          </w:tcPr>
          <w:p>
            <w:pPr>
              <w:spacing w:line="460" w:lineRule="exact"/>
              <w:rPr>
                <w:rFonts w:ascii="宋体" w:hAnsi="宋体" w:cs="宋体"/>
                <w:bCs/>
                <w:color w:val="auto"/>
                <w:sz w:val="24"/>
              </w:rPr>
            </w:pPr>
            <w:r>
              <w:rPr>
                <w:rFonts w:hint="eastAsia" w:ascii="宋体" w:hAnsi="宋体" w:cs="宋体"/>
                <w:bCs/>
                <w:color w:val="auto"/>
                <w:sz w:val="24"/>
              </w:rPr>
              <w:t>营业执照号</w:t>
            </w:r>
          </w:p>
        </w:tc>
        <w:tc>
          <w:tcPr>
            <w:tcW w:w="4591" w:type="dxa"/>
            <w:gridSpan w:val="3"/>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4509" w:type="dxa"/>
            <w:gridSpan w:val="4"/>
            <w:vAlign w:val="center"/>
          </w:tcPr>
          <w:p>
            <w:pPr>
              <w:spacing w:line="460" w:lineRule="exact"/>
              <w:rPr>
                <w:rFonts w:ascii="宋体" w:hAnsi="宋体" w:cs="宋体"/>
                <w:bCs/>
                <w:color w:val="auto"/>
                <w:sz w:val="24"/>
              </w:rPr>
            </w:pPr>
            <w:r>
              <w:rPr>
                <w:rFonts w:hint="eastAsia" w:ascii="宋体" w:hAnsi="宋体" w:cs="宋体"/>
                <w:bCs/>
                <w:color w:val="auto"/>
                <w:sz w:val="24"/>
              </w:rPr>
              <w:t>近三年内（</w:t>
            </w:r>
            <w:r>
              <w:rPr>
                <w:rFonts w:hint="eastAsia" w:ascii="宋体" w:hAnsi="宋体" w:cs="宋体"/>
                <w:bCs/>
                <w:color w:val="auto"/>
                <w:sz w:val="24"/>
                <w:lang w:val="en-US" w:eastAsia="zh-CN"/>
              </w:rPr>
              <w:t>2020</w:t>
            </w:r>
            <w:r>
              <w:rPr>
                <w:rFonts w:hint="eastAsia" w:ascii="宋体" w:hAnsi="宋体" w:cs="宋体"/>
                <w:bCs/>
                <w:color w:val="auto"/>
                <w:sz w:val="24"/>
              </w:rPr>
              <w:t>年至</w:t>
            </w:r>
            <w:r>
              <w:rPr>
                <w:rFonts w:hint="eastAsia" w:ascii="宋体" w:hAnsi="宋体" w:cs="宋体"/>
                <w:bCs/>
                <w:color w:val="auto"/>
                <w:sz w:val="24"/>
                <w:lang w:val="en-US" w:eastAsia="zh-CN"/>
              </w:rPr>
              <w:t>2022</w:t>
            </w:r>
            <w:r>
              <w:rPr>
                <w:rFonts w:hint="eastAsia" w:ascii="宋体" w:hAnsi="宋体" w:cs="宋体"/>
                <w:bCs/>
                <w:color w:val="auto"/>
                <w:sz w:val="24"/>
              </w:rPr>
              <w:t>年）经营活动中有无重大违法纪录</w:t>
            </w:r>
          </w:p>
        </w:tc>
        <w:tc>
          <w:tcPr>
            <w:tcW w:w="4591" w:type="dxa"/>
            <w:gridSpan w:val="3"/>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trPr>
        <w:tc>
          <w:tcPr>
            <w:tcW w:w="1888" w:type="dxa"/>
            <w:gridSpan w:val="2"/>
            <w:vAlign w:val="center"/>
          </w:tcPr>
          <w:p>
            <w:pPr>
              <w:spacing w:line="460" w:lineRule="exact"/>
              <w:rPr>
                <w:rFonts w:ascii="宋体" w:hAnsi="宋体" w:cs="宋体"/>
                <w:bCs/>
                <w:color w:val="auto"/>
                <w:sz w:val="24"/>
              </w:rPr>
            </w:pPr>
            <w:r>
              <w:rPr>
                <w:rFonts w:hint="eastAsia" w:ascii="宋体" w:hAnsi="宋体" w:cs="宋体"/>
                <w:bCs/>
                <w:color w:val="auto"/>
                <w:sz w:val="24"/>
              </w:rPr>
              <w:t>是否依法缴纳税收</w:t>
            </w:r>
          </w:p>
        </w:tc>
        <w:tc>
          <w:tcPr>
            <w:tcW w:w="2621" w:type="dxa"/>
            <w:gridSpan w:val="2"/>
          </w:tcPr>
          <w:p>
            <w:pPr>
              <w:spacing w:line="460" w:lineRule="exact"/>
              <w:rPr>
                <w:rFonts w:ascii="宋体" w:hAnsi="宋体" w:cs="宋体"/>
                <w:bCs/>
                <w:color w:val="auto"/>
                <w:sz w:val="24"/>
              </w:rPr>
            </w:pPr>
          </w:p>
        </w:tc>
        <w:tc>
          <w:tcPr>
            <w:tcW w:w="1499" w:type="dxa"/>
          </w:tcPr>
          <w:p>
            <w:pPr>
              <w:spacing w:line="460" w:lineRule="exact"/>
              <w:rPr>
                <w:rFonts w:ascii="宋体" w:hAnsi="宋体" w:cs="宋体"/>
                <w:bCs/>
                <w:color w:val="auto"/>
                <w:sz w:val="24"/>
              </w:rPr>
            </w:pPr>
            <w:r>
              <w:rPr>
                <w:rFonts w:hint="eastAsia" w:ascii="宋体" w:hAnsi="宋体" w:cs="宋体"/>
                <w:bCs/>
                <w:color w:val="auto"/>
                <w:sz w:val="24"/>
              </w:rPr>
              <w:t>是否依法缴纳社会保障资金</w:t>
            </w:r>
          </w:p>
        </w:tc>
        <w:tc>
          <w:tcPr>
            <w:tcW w:w="3092" w:type="dxa"/>
            <w:gridSpan w:val="2"/>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88" w:type="dxa"/>
            <w:gridSpan w:val="2"/>
            <w:vMerge w:val="restart"/>
            <w:vAlign w:val="center"/>
          </w:tcPr>
          <w:p>
            <w:pPr>
              <w:spacing w:line="460" w:lineRule="exact"/>
              <w:jc w:val="center"/>
              <w:rPr>
                <w:rFonts w:ascii="宋体" w:hAnsi="宋体" w:cs="宋体"/>
                <w:bCs/>
                <w:color w:val="auto"/>
                <w:sz w:val="24"/>
              </w:rPr>
            </w:pPr>
            <w:r>
              <w:rPr>
                <w:rFonts w:hint="eastAsia" w:ascii="宋体" w:hAnsi="宋体" w:cs="宋体"/>
                <w:bCs/>
                <w:color w:val="auto"/>
                <w:sz w:val="24"/>
              </w:rPr>
              <w:t>单</w:t>
            </w:r>
          </w:p>
          <w:p>
            <w:pPr>
              <w:spacing w:line="460" w:lineRule="exact"/>
              <w:jc w:val="center"/>
              <w:rPr>
                <w:rFonts w:ascii="宋体" w:hAnsi="宋体" w:cs="宋体"/>
                <w:bCs/>
                <w:color w:val="auto"/>
                <w:sz w:val="24"/>
              </w:rPr>
            </w:pPr>
            <w:r>
              <w:rPr>
                <w:rFonts w:hint="eastAsia" w:ascii="宋体" w:hAnsi="宋体" w:cs="宋体"/>
                <w:bCs/>
                <w:color w:val="auto"/>
                <w:sz w:val="24"/>
              </w:rPr>
              <w:t>位</w:t>
            </w:r>
          </w:p>
          <w:p>
            <w:pPr>
              <w:spacing w:line="460" w:lineRule="exact"/>
              <w:jc w:val="center"/>
              <w:rPr>
                <w:rFonts w:ascii="宋体" w:hAnsi="宋体" w:cs="宋体"/>
                <w:bCs/>
                <w:color w:val="auto"/>
                <w:sz w:val="24"/>
              </w:rPr>
            </w:pPr>
            <w:r>
              <w:rPr>
                <w:rFonts w:hint="eastAsia" w:ascii="宋体" w:hAnsi="宋体" w:cs="宋体"/>
                <w:bCs/>
                <w:color w:val="auto"/>
                <w:sz w:val="24"/>
              </w:rPr>
              <w:t>概</w:t>
            </w:r>
          </w:p>
          <w:p>
            <w:pPr>
              <w:spacing w:line="460" w:lineRule="exact"/>
              <w:jc w:val="center"/>
              <w:rPr>
                <w:rFonts w:ascii="宋体" w:hAnsi="宋体" w:cs="宋体"/>
                <w:bCs/>
                <w:color w:val="auto"/>
                <w:sz w:val="24"/>
              </w:rPr>
            </w:pPr>
            <w:r>
              <w:rPr>
                <w:rFonts w:hint="eastAsia" w:ascii="宋体" w:hAnsi="宋体" w:cs="宋体"/>
                <w:bCs/>
                <w:color w:val="auto"/>
                <w:sz w:val="24"/>
              </w:rPr>
              <w:t>况</w:t>
            </w:r>
          </w:p>
        </w:tc>
        <w:tc>
          <w:tcPr>
            <w:tcW w:w="1121" w:type="dxa"/>
            <w:vAlign w:val="center"/>
          </w:tcPr>
          <w:p>
            <w:pPr>
              <w:spacing w:line="460" w:lineRule="exact"/>
              <w:rPr>
                <w:rFonts w:ascii="宋体" w:hAnsi="宋体" w:cs="宋体"/>
                <w:bCs/>
                <w:color w:val="auto"/>
                <w:sz w:val="24"/>
              </w:rPr>
            </w:pPr>
            <w:r>
              <w:rPr>
                <w:rFonts w:hint="eastAsia" w:ascii="宋体" w:hAnsi="宋体" w:cs="宋体"/>
                <w:bCs/>
                <w:color w:val="auto"/>
                <w:sz w:val="24"/>
              </w:rPr>
              <w:t>注册资本</w:t>
            </w:r>
          </w:p>
        </w:tc>
        <w:tc>
          <w:tcPr>
            <w:tcW w:w="1500" w:type="dxa"/>
          </w:tcPr>
          <w:p>
            <w:pPr>
              <w:spacing w:line="460" w:lineRule="exact"/>
              <w:rPr>
                <w:rFonts w:ascii="宋体" w:hAnsi="宋体" w:cs="宋体"/>
                <w:bCs/>
                <w:color w:val="auto"/>
                <w:sz w:val="24"/>
              </w:rPr>
            </w:pPr>
            <w:r>
              <w:rPr>
                <w:rFonts w:hint="eastAsia" w:ascii="宋体" w:hAnsi="宋体" w:cs="宋体"/>
                <w:bCs/>
                <w:color w:val="auto"/>
                <w:sz w:val="24"/>
              </w:rPr>
              <w:t xml:space="preserve">     万元</w:t>
            </w:r>
          </w:p>
        </w:tc>
        <w:tc>
          <w:tcPr>
            <w:tcW w:w="1499" w:type="dxa"/>
          </w:tcPr>
          <w:p>
            <w:pPr>
              <w:spacing w:line="460" w:lineRule="exact"/>
              <w:rPr>
                <w:rFonts w:ascii="宋体" w:hAnsi="宋体" w:cs="宋体"/>
                <w:bCs/>
                <w:color w:val="auto"/>
                <w:sz w:val="24"/>
              </w:rPr>
            </w:pPr>
            <w:r>
              <w:rPr>
                <w:rFonts w:hint="eastAsia" w:ascii="宋体" w:hAnsi="宋体" w:cs="宋体"/>
                <w:bCs/>
                <w:color w:val="auto"/>
                <w:sz w:val="24"/>
              </w:rPr>
              <w:t>占地面积</w:t>
            </w:r>
          </w:p>
        </w:tc>
        <w:tc>
          <w:tcPr>
            <w:tcW w:w="3092" w:type="dxa"/>
            <w:gridSpan w:val="2"/>
          </w:tcPr>
          <w:p>
            <w:pPr>
              <w:spacing w:line="460" w:lineRule="exact"/>
              <w:rPr>
                <w:rFonts w:ascii="宋体" w:hAnsi="宋体" w:cs="宋体"/>
                <w:bCs/>
                <w:color w:val="auto"/>
                <w:sz w:val="24"/>
              </w:rPr>
            </w:pPr>
            <w:r>
              <w:rPr>
                <w:rFonts w:hint="eastAsia" w:ascii="宋体" w:hAnsi="宋体" w:cs="宋体"/>
                <w:bCs/>
                <w:color w:val="auto"/>
                <w:sz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88" w:type="dxa"/>
            <w:gridSpan w:val="2"/>
            <w:vMerge w:val="continue"/>
          </w:tcPr>
          <w:p>
            <w:pPr>
              <w:spacing w:line="460" w:lineRule="exact"/>
              <w:rPr>
                <w:rFonts w:ascii="宋体" w:hAnsi="宋体" w:cs="宋体"/>
                <w:bCs/>
                <w:color w:val="auto"/>
                <w:sz w:val="24"/>
              </w:rPr>
            </w:pPr>
          </w:p>
        </w:tc>
        <w:tc>
          <w:tcPr>
            <w:tcW w:w="1121" w:type="dxa"/>
            <w:vAlign w:val="center"/>
          </w:tcPr>
          <w:p>
            <w:pPr>
              <w:spacing w:line="460" w:lineRule="exact"/>
              <w:rPr>
                <w:rFonts w:ascii="宋体" w:hAnsi="宋体" w:cs="宋体"/>
                <w:bCs/>
                <w:color w:val="auto"/>
                <w:sz w:val="24"/>
              </w:rPr>
            </w:pPr>
            <w:r>
              <w:rPr>
                <w:rFonts w:hint="eastAsia" w:ascii="宋体" w:hAnsi="宋体" w:cs="宋体"/>
                <w:bCs/>
                <w:color w:val="auto"/>
                <w:sz w:val="24"/>
              </w:rPr>
              <w:t>职工总数</w:t>
            </w:r>
          </w:p>
        </w:tc>
        <w:tc>
          <w:tcPr>
            <w:tcW w:w="1500" w:type="dxa"/>
          </w:tcPr>
          <w:p>
            <w:pPr>
              <w:spacing w:line="460" w:lineRule="exact"/>
              <w:rPr>
                <w:rFonts w:ascii="宋体" w:hAnsi="宋体" w:cs="宋体"/>
                <w:bCs/>
                <w:color w:val="auto"/>
                <w:sz w:val="24"/>
              </w:rPr>
            </w:pPr>
            <w:r>
              <w:rPr>
                <w:rFonts w:hint="eastAsia" w:ascii="宋体" w:hAnsi="宋体" w:cs="宋体"/>
                <w:bCs/>
                <w:color w:val="auto"/>
                <w:sz w:val="24"/>
              </w:rPr>
              <w:t xml:space="preserve">       人</w:t>
            </w:r>
          </w:p>
        </w:tc>
        <w:tc>
          <w:tcPr>
            <w:tcW w:w="1499" w:type="dxa"/>
          </w:tcPr>
          <w:p>
            <w:pPr>
              <w:spacing w:line="460" w:lineRule="exact"/>
              <w:rPr>
                <w:rFonts w:ascii="宋体" w:hAnsi="宋体" w:cs="宋体"/>
                <w:bCs/>
                <w:color w:val="auto"/>
                <w:sz w:val="24"/>
              </w:rPr>
            </w:pPr>
            <w:r>
              <w:rPr>
                <w:rFonts w:hint="eastAsia" w:ascii="宋体" w:hAnsi="宋体" w:cs="宋体"/>
                <w:bCs/>
                <w:color w:val="auto"/>
                <w:sz w:val="24"/>
              </w:rPr>
              <w:t>建筑面积</w:t>
            </w:r>
          </w:p>
        </w:tc>
        <w:tc>
          <w:tcPr>
            <w:tcW w:w="3092" w:type="dxa"/>
            <w:gridSpan w:val="2"/>
          </w:tcPr>
          <w:p>
            <w:pPr>
              <w:spacing w:line="460" w:lineRule="exact"/>
              <w:ind w:firstLine="1800" w:firstLineChars="750"/>
              <w:rPr>
                <w:rFonts w:ascii="宋体" w:hAnsi="宋体" w:cs="宋体"/>
                <w:bCs/>
                <w:color w:val="auto"/>
                <w:sz w:val="24"/>
              </w:rPr>
            </w:pPr>
            <w:r>
              <w:rPr>
                <w:rFonts w:hint="eastAsia" w:ascii="宋体" w:hAnsi="宋体" w:cs="宋体"/>
                <w:bCs/>
                <w:color w:val="auto"/>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tcPr>
          <w:p>
            <w:pPr>
              <w:spacing w:line="460" w:lineRule="exact"/>
              <w:rPr>
                <w:rFonts w:ascii="宋体" w:hAnsi="宋体" w:cs="宋体"/>
                <w:bCs/>
                <w:color w:val="auto"/>
                <w:sz w:val="24"/>
              </w:rPr>
            </w:pPr>
          </w:p>
        </w:tc>
        <w:tc>
          <w:tcPr>
            <w:tcW w:w="1121" w:type="dxa"/>
            <w:vMerge w:val="restart"/>
            <w:vAlign w:val="center"/>
          </w:tcPr>
          <w:p>
            <w:pPr>
              <w:spacing w:line="460" w:lineRule="exact"/>
              <w:ind w:firstLine="240" w:firstLineChars="100"/>
              <w:rPr>
                <w:rFonts w:ascii="宋体" w:hAnsi="宋体" w:cs="宋体"/>
                <w:bCs/>
                <w:color w:val="auto"/>
                <w:sz w:val="24"/>
              </w:rPr>
            </w:pPr>
            <w:r>
              <w:rPr>
                <w:rFonts w:hint="eastAsia" w:ascii="宋体" w:hAnsi="宋体" w:cs="宋体"/>
                <w:bCs/>
                <w:color w:val="auto"/>
                <w:sz w:val="24"/>
              </w:rPr>
              <w:t>资产</w:t>
            </w:r>
          </w:p>
          <w:p>
            <w:pPr>
              <w:spacing w:line="460" w:lineRule="exact"/>
              <w:ind w:firstLine="240" w:firstLineChars="100"/>
              <w:rPr>
                <w:rFonts w:ascii="宋体" w:hAnsi="宋体" w:cs="宋体"/>
                <w:bCs/>
                <w:color w:val="auto"/>
                <w:sz w:val="24"/>
              </w:rPr>
            </w:pPr>
            <w:r>
              <w:rPr>
                <w:rFonts w:hint="eastAsia" w:ascii="宋体" w:hAnsi="宋体" w:cs="宋体"/>
                <w:bCs/>
                <w:color w:val="auto"/>
                <w:sz w:val="24"/>
              </w:rPr>
              <w:t>情况</w:t>
            </w:r>
          </w:p>
        </w:tc>
        <w:tc>
          <w:tcPr>
            <w:tcW w:w="2999" w:type="dxa"/>
            <w:gridSpan w:val="2"/>
            <w:vAlign w:val="center"/>
          </w:tcPr>
          <w:p>
            <w:pPr>
              <w:spacing w:line="460" w:lineRule="exact"/>
              <w:rPr>
                <w:rFonts w:ascii="宋体" w:hAnsi="宋体" w:cs="宋体"/>
                <w:bCs/>
                <w:color w:val="auto"/>
                <w:sz w:val="24"/>
              </w:rPr>
            </w:pPr>
            <w:r>
              <w:rPr>
                <w:rFonts w:hint="eastAsia" w:ascii="宋体" w:hAnsi="宋体" w:cs="宋体"/>
                <w:bCs/>
                <w:color w:val="auto"/>
                <w:sz w:val="24"/>
              </w:rPr>
              <w:t>净资产：        万元</w:t>
            </w:r>
          </w:p>
        </w:tc>
        <w:tc>
          <w:tcPr>
            <w:tcW w:w="3092" w:type="dxa"/>
            <w:gridSpan w:val="2"/>
            <w:vMerge w:val="restart"/>
          </w:tcPr>
          <w:p>
            <w:pPr>
              <w:spacing w:line="460" w:lineRule="exact"/>
              <w:rPr>
                <w:rFonts w:ascii="宋体" w:hAnsi="宋体" w:cs="宋体"/>
                <w:bCs/>
                <w:color w:val="auto"/>
                <w:sz w:val="24"/>
              </w:rPr>
            </w:pPr>
            <w:r>
              <w:rPr>
                <w:rFonts w:hint="eastAsia" w:ascii="宋体" w:hAnsi="宋体" w:cs="宋体"/>
                <w:bCs/>
                <w:color w:val="auto"/>
                <w:sz w:val="24"/>
              </w:rPr>
              <w:t>固定资产原值 ：      万元</w:t>
            </w:r>
          </w:p>
          <w:p>
            <w:pPr>
              <w:spacing w:line="460" w:lineRule="exact"/>
              <w:rPr>
                <w:rFonts w:ascii="宋体" w:hAnsi="宋体" w:cs="宋体"/>
                <w:bCs/>
                <w:color w:val="auto"/>
                <w:sz w:val="24"/>
              </w:rPr>
            </w:pPr>
            <w:r>
              <w:rPr>
                <w:rFonts w:hint="eastAsia" w:ascii="宋体" w:hAnsi="宋体" w:cs="宋体"/>
                <w:bCs/>
                <w:color w:val="auto"/>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tcPr>
          <w:p>
            <w:pPr>
              <w:spacing w:line="460" w:lineRule="exact"/>
              <w:rPr>
                <w:rFonts w:ascii="宋体" w:hAnsi="宋体" w:cs="宋体"/>
                <w:bCs/>
                <w:color w:val="auto"/>
                <w:sz w:val="24"/>
              </w:rPr>
            </w:pPr>
          </w:p>
        </w:tc>
        <w:tc>
          <w:tcPr>
            <w:tcW w:w="1121" w:type="dxa"/>
            <w:vMerge w:val="continue"/>
          </w:tcPr>
          <w:p>
            <w:pPr>
              <w:spacing w:line="460" w:lineRule="exact"/>
              <w:rPr>
                <w:rFonts w:ascii="宋体" w:hAnsi="宋体" w:cs="宋体"/>
                <w:bCs/>
                <w:color w:val="auto"/>
                <w:sz w:val="24"/>
              </w:rPr>
            </w:pPr>
          </w:p>
        </w:tc>
        <w:tc>
          <w:tcPr>
            <w:tcW w:w="2999" w:type="dxa"/>
            <w:gridSpan w:val="2"/>
            <w:vAlign w:val="center"/>
          </w:tcPr>
          <w:p>
            <w:pPr>
              <w:spacing w:line="460" w:lineRule="exact"/>
              <w:rPr>
                <w:rFonts w:ascii="宋体" w:hAnsi="宋体" w:cs="宋体"/>
                <w:bCs/>
                <w:color w:val="auto"/>
                <w:sz w:val="24"/>
              </w:rPr>
            </w:pPr>
            <w:r>
              <w:rPr>
                <w:rFonts w:hint="eastAsia" w:ascii="宋体" w:hAnsi="宋体" w:cs="宋体"/>
                <w:bCs/>
                <w:color w:val="auto"/>
                <w:sz w:val="24"/>
              </w:rPr>
              <w:t>负 债：         万元</w:t>
            </w:r>
          </w:p>
        </w:tc>
        <w:tc>
          <w:tcPr>
            <w:tcW w:w="3092" w:type="dxa"/>
            <w:gridSpan w:val="2"/>
            <w:vMerge w:val="continue"/>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88" w:type="dxa"/>
            <w:gridSpan w:val="2"/>
            <w:vMerge w:val="restart"/>
            <w:vAlign w:val="center"/>
          </w:tcPr>
          <w:p>
            <w:pPr>
              <w:spacing w:line="460" w:lineRule="exact"/>
              <w:ind w:firstLine="120" w:firstLineChars="50"/>
              <w:rPr>
                <w:rFonts w:ascii="宋体" w:hAnsi="宋体" w:cs="宋体"/>
                <w:bCs/>
                <w:color w:val="auto"/>
                <w:sz w:val="24"/>
              </w:rPr>
            </w:pPr>
            <w:r>
              <w:rPr>
                <w:rFonts w:hint="eastAsia" w:ascii="宋体" w:hAnsi="宋体" w:cs="宋体"/>
                <w:bCs/>
                <w:color w:val="auto"/>
                <w:sz w:val="24"/>
              </w:rPr>
              <w:t>财务状况</w:t>
            </w:r>
          </w:p>
          <w:p>
            <w:pPr>
              <w:spacing w:line="460" w:lineRule="exact"/>
              <w:rPr>
                <w:rFonts w:ascii="宋体" w:hAnsi="宋体" w:cs="宋体"/>
                <w:bCs/>
                <w:color w:val="auto"/>
                <w:sz w:val="24"/>
              </w:rPr>
            </w:pPr>
            <w:r>
              <w:rPr>
                <w:rFonts w:hint="eastAsia" w:ascii="宋体" w:hAnsi="宋体" w:cs="宋体"/>
                <w:bCs/>
                <w:color w:val="auto"/>
                <w:sz w:val="24"/>
              </w:rPr>
              <w:t>（最近三年</w:t>
            </w:r>
            <w:r>
              <w:rPr>
                <w:rFonts w:hint="eastAsia" w:ascii="宋体" w:hAnsi="宋体" w:cs="宋体"/>
                <w:bCs/>
                <w:color w:val="auto"/>
                <w:sz w:val="24"/>
                <w:lang w:val="en-US" w:eastAsia="zh-CN"/>
              </w:rPr>
              <w:t>2019</w:t>
            </w:r>
            <w:r>
              <w:rPr>
                <w:rFonts w:hint="eastAsia" w:ascii="宋体" w:hAnsi="宋体" w:cs="宋体"/>
                <w:bCs/>
                <w:color w:val="auto"/>
                <w:sz w:val="24"/>
              </w:rPr>
              <w:t>年至</w:t>
            </w:r>
            <w:r>
              <w:rPr>
                <w:rFonts w:hint="eastAsia" w:ascii="宋体" w:hAnsi="宋体" w:cs="宋体"/>
                <w:bCs/>
                <w:color w:val="auto"/>
                <w:sz w:val="24"/>
                <w:lang w:val="en-US" w:eastAsia="zh-CN"/>
              </w:rPr>
              <w:t>2021</w:t>
            </w:r>
            <w:r>
              <w:rPr>
                <w:rFonts w:hint="eastAsia" w:ascii="宋体" w:hAnsi="宋体" w:cs="宋体"/>
                <w:bCs/>
                <w:color w:val="auto"/>
                <w:sz w:val="24"/>
              </w:rPr>
              <w:t>年）</w:t>
            </w:r>
          </w:p>
        </w:tc>
        <w:tc>
          <w:tcPr>
            <w:tcW w:w="1121" w:type="dxa"/>
            <w:vAlign w:val="center"/>
          </w:tcPr>
          <w:p>
            <w:pPr>
              <w:spacing w:line="460" w:lineRule="exact"/>
              <w:jc w:val="center"/>
              <w:rPr>
                <w:rFonts w:ascii="宋体" w:hAnsi="宋体" w:cs="宋体"/>
                <w:bCs/>
                <w:color w:val="auto"/>
                <w:sz w:val="24"/>
              </w:rPr>
            </w:pPr>
            <w:r>
              <w:rPr>
                <w:rFonts w:hint="eastAsia" w:ascii="宋体" w:hAnsi="宋体" w:cs="宋体"/>
                <w:bCs/>
                <w:color w:val="auto"/>
                <w:sz w:val="24"/>
              </w:rPr>
              <w:t>年份</w:t>
            </w:r>
          </w:p>
        </w:tc>
        <w:tc>
          <w:tcPr>
            <w:tcW w:w="1500" w:type="dxa"/>
            <w:vAlign w:val="center"/>
          </w:tcPr>
          <w:p>
            <w:pPr>
              <w:spacing w:line="460" w:lineRule="exact"/>
              <w:jc w:val="center"/>
              <w:rPr>
                <w:rFonts w:ascii="宋体" w:hAnsi="宋体" w:cs="宋体"/>
                <w:bCs/>
                <w:color w:val="auto"/>
                <w:sz w:val="24"/>
              </w:rPr>
            </w:pPr>
            <w:r>
              <w:rPr>
                <w:rFonts w:hint="eastAsia" w:ascii="宋体" w:hAnsi="宋体" w:cs="宋体"/>
                <w:bCs/>
                <w:color w:val="auto"/>
                <w:sz w:val="24"/>
              </w:rPr>
              <w:t>主营收入</w:t>
            </w:r>
          </w:p>
          <w:p>
            <w:pPr>
              <w:spacing w:line="460" w:lineRule="exact"/>
              <w:jc w:val="center"/>
              <w:rPr>
                <w:rFonts w:ascii="宋体" w:hAnsi="宋体" w:cs="宋体"/>
                <w:bCs/>
                <w:color w:val="auto"/>
                <w:sz w:val="24"/>
              </w:rPr>
            </w:pPr>
            <w:r>
              <w:rPr>
                <w:rFonts w:hint="eastAsia" w:ascii="宋体" w:hAnsi="宋体" w:cs="宋体"/>
                <w:bCs/>
                <w:color w:val="auto"/>
                <w:sz w:val="24"/>
              </w:rPr>
              <w:t>（万元）</w:t>
            </w:r>
          </w:p>
        </w:tc>
        <w:tc>
          <w:tcPr>
            <w:tcW w:w="1499" w:type="dxa"/>
            <w:vAlign w:val="center"/>
          </w:tcPr>
          <w:p>
            <w:pPr>
              <w:spacing w:line="460" w:lineRule="exact"/>
              <w:jc w:val="center"/>
              <w:rPr>
                <w:rFonts w:ascii="宋体" w:hAnsi="宋体" w:cs="宋体"/>
                <w:bCs/>
                <w:color w:val="auto"/>
                <w:sz w:val="24"/>
              </w:rPr>
            </w:pPr>
            <w:r>
              <w:rPr>
                <w:rFonts w:hint="eastAsia" w:ascii="宋体" w:hAnsi="宋体" w:cs="宋体"/>
                <w:bCs/>
                <w:color w:val="auto"/>
                <w:sz w:val="24"/>
              </w:rPr>
              <w:t>收入总额</w:t>
            </w:r>
          </w:p>
          <w:p>
            <w:pPr>
              <w:spacing w:line="460" w:lineRule="exact"/>
              <w:jc w:val="center"/>
              <w:rPr>
                <w:rFonts w:ascii="宋体" w:hAnsi="宋体" w:cs="宋体"/>
                <w:bCs/>
                <w:color w:val="auto"/>
                <w:sz w:val="24"/>
              </w:rPr>
            </w:pPr>
            <w:r>
              <w:rPr>
                <w:rFonts w:hint="eastAsia" w:ascii="宋体" w:hAnsi="宋体" w:cs="宋体"/>
                <w:bCs/>
                <w:color w:val="auto"/>
                <w:sz w:val="24"/>
              </w:rPr>
              <w:t>（万元）</w:t>
            </w:r>
          </w:p>
        </w:tc>
        <w:tc>
          <w:tcPr>
            <w:tcW w:w="1534" w:type="dxa"/>
            <w:vAlign w:val="center"/>
          </w:tcPr>
          <w:p>
            <w:pPr>
              <w:spacing w:line="460" w:lineRule="exact"/>
              <w:jc w:val="center"/>
              <w:rPr>
                <w:rFonts w:ascii="宋体" w:hAnsi="宋体" w:cs="宋体"/>
                <w:bCs/>
                <w:color w:val="auto"/>
                <w:sz w:val="24"/>
              </w:rPr>
            </w:pPr>
            <w:r>
              <w:rPr>
                <w:rFonts w:hint="eastAsia" w:ascii="宋体" w:hAnsi="宋体" w:cs="宋体"/>
                <w:bCs/>
                <w:color w:val="auto"/>
                <w:sz w:val="24"/>
              </w:rPr>
              <w:t>利润总额</w:t>
            </w:r>
          </w:p>
          <w:p>
            <w:pPr>
              <w:spacing w:line="460" w:lineRule="exact"/>
              <w:jc w:val="center"/>
              <w:rPr>
                <w:rFonts w:ascii="宋体" w:hAnsi="宋体" w:cs="宋体"/>
                <w:bCs/>
                <w:color w:val="auto"/>
                <w:sz w:val="24"/>
              </w:rPr>
            </w:pPr>
            <w:r>
              <w:rPr>
                <w:rFonts w:hint="eastAsia" w:ascii="宋体" w:hAnsi="宋体" w:cs="宋体"/>
                <w:bCs/>
                <w:color w:val="auto"/>
                <w:sz w:val="24"/>
              </w:rPr>
              <w:t>（万元）</w:t>
            </w:r>
          </w:p>
        </w:tc>
        <w:tc>
          <w:tcPr>
            <w:tcW w:w="1558" w:type="dxa"/>
            <w:vAlign w:val="center"/>
          </w:tcPr>
          <w:p>
            <w:pPr>
              <w:spacing w:line="460" w:lineRule="exact"/>
              <w:ind w:firstLine="240" w:firstLineChars="100"/>
              <w:jc w:val="center"/>
              <w:rPr>
                <w:rFonts w:ascii="宋体" w:hAnsi="宋体" w:cs="宋体"/>
                <w:bCs/>
                <w:color w:val="auto"/>
                <w:sz w:val="24"/>
              </w:rPr>
            </w:pPr>
            <w:r>
              <w:rPr>
                <w:rFonts w:hint="eastAsia" w:ascii="宋体" w:hAnsi="宋体" w:cs="宋体"/>
                <w:bCs/>
                <w:color w:val="auto"/>
                <w:sz w:val="24"/>
              </w:rPr>
              <w:t>净利润</w:t>
            </w:r>
          </w:p>
          <w:p>
            <w:pPr>
              <w:spacing w:line="460" w:lineRule="exact"/>
              <w:ind w:firstLine="240" w:firstLineChars="100"/>
              <w:jc w:val="center"/>
              <w:rPr>
                <w:rFonts w:ascii="宋体" w:hAnsi="宋体" w:cs="宋体"/>
                <w:bCs/>
                <w:color w:val="auto"/>
                <w:sz w:val="24"/>
              </w:rPr>
            </w:pPr>
            <w:r>
              <w:rPr>
                <w:rFonts w:hint="eastAsia" w:ascii="宋体" w:hAnsi="宋体" w:cs="宋体"/>
                <w:bCs/>
                <w:color w:val="auto"/>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vAlign w:val="center"/>
          </w:tcPr>
          <w:p>
            <w:pPr>
              <w:spacing w:line="460" w:lineRule="exact"/>
              <w:rPr>
                <w:rFonts w:ascii="宋体" w:hAnsi="宋体" w:cs="宋体"/>
                <w:bCs/>
                <w:color w:val="auto"/>
                <w:sz w:val="24"/>
              </w:rPr>
            </w:pPr>
          </w:p>
        </w:tc>
        <w:tc>
          <w:tcPr>
            <w:tcW w:w="1121" w:type="dxa"/>
            <w:vAlign w:val="center"/>
          </w:tcPr>
          <w:p>
            <w:pPr>
              <w:spacing w:line="460" w:lineRule="exact"/>
              <w:rPr>
                <w:rFonts w:ascii="宋体" w:hAnsi="宋体" w:cs="宋体"/>
                <w:bCs/>
                <w:color w:val="auto"/>
                <w:sz w:val="24"/>
              </w:rPr>
            </w:pPr>
          </w:p>
        </w:tc>
        <w:tc>
          <w:tcPr>
            <w:tcW w:w="1500" w:type="dxa"/>
            <w:vAlign w:val="center"/>
          </w:tcPr>
          <w:p>
            <w:pPr>
              <w:spacing w:line="460" w:lineRule="exact"/>
              <w:rPr>
                <w:rFonts w:ascii="宋体" w:hAnsi="宋体" w:cs="宋体"/>
                <w:bCs/>
                <w:color w:val="auto"/>
                <w:sz w:val="24"/>
              </w:rPr>
            </w:pPr>
          </w:p>
        </w:tc>
        <w:tc>
          <w:tcPr>
            <w:tcW w:w="1499" w:type="dxa"/>
            <w:vAlign w:val="center"/>
          </w:tcPr>
          <w:p>
            <w:pPr>
              <w:spacing w:line="460" w:lineRule="exact"/>
              <w:rPr>
                <w:rFonts w:ascii="宋体" w:hAnsi="宋体" w:cs="宋体"/>
                <w:bCs/>
                <w:color w:val="auto"/>
                <w:sz w:val="24"/>
              </w:rPr>
            </w:pPr>
          </w:p>
        </w:tc>
        <w:tc>
          <w:tcPr>
            <w:tcW w:w="1534" w:type="dxa"/>
            <w:vAlign w:val="center"/>
          </w:tcPr>
          <w:p>
            <w:pPr>
              <w:spacing w:line="460" w:lineRule="exact"/>
              <w:rPr>
                <w:rFonts w:ascii="宋体" w:hAnsi="宋体" w:cs="宋体"/>
                <w:bCs/>
                <w:color w:val="auto"/>
                <w:sz w:val="24"/>
              </w:rPr>
            </w:pPr>
          </w:p>
        </w:tc>
        <w:tc>
          <w:tcPr>
            <w:tcW w:w="1558" w:type="dxa"/>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vAlign w:val="center"/>
          </w:tcPr>
          <w:p>
            <w:pPr>
              <w:spacing w:line="460" w:lineRule="exact"/>
              <w:rPr>
                <w:rFonts w:ascii="宋体" w:hAnsi="宋体" w:cs="宋体"/>
                <w:bCs/>
                <w:color w:val="auto"/>
                <w:sz w:val="24"/>
              </w:rPr>
            </w:pPr>
          </w:p>
        </w:tc>
        <w:tc>
          <w:tcPr>
            <w:tcW w:w="1121" w:type="dxa"/>
            <w:vAlign w:val="center"/>
          </w:tcPr>
          <w:p>
            <w:pPr>
              <w:spacing w:line="460" w:lineRule="exact"/>
              <w:rPr>
                <w:rFonts w:ascii="宋体" w:hAnsi="宋体" w:cs="宋体"/>
                <w:bCs/>
                <w:color w:val="auto"/>
                <w:sz w:val="24"/>
              </w:rPr>
            </w:pPr>
          </w:p>
        </w:tc>
        <w:tc>
          <w:tcPr>
            <w:tcW w:w="1500" w:type="dxa"/>
            <w:vAlign w:val="center"/>
          </w:tcPr>
          <w:p>
            <w:pPr>
              <w:spacing w:line="460" w:lineRule="exact"/>
              <w:rPr>
                <w:rFonts w:ascii="宋体" w:hAnsi="宋体" w:cs="宋体"/>
                <w:bCs/>
                <w:color w:val="auto"/>
                <w:sz w:val="24"/>
              </w:rPr>
            </w:pPr>
          </w:p>
        </w:tc>
        <w:tc>
          <w:tcPr>
            <w:tcW w:w="1499" w:type="dxa"/>
            <w:vAlign w:val="center"/>
          </w:tcPr>
          <w:p>
            <w:pPr>
              <w:spacing w:line="460" w:lineRule="exact"/>
              <w:rPr>
                <w:rFonts w:ascii="宋体" w:hAnsi="宋体" w:cs="宋体"/>
                <w:bCs/>
                <w:color w:val="auto"/>
                <w:sz w:val="24"/>
              </w:rPr>
            </w:pPr>
          </w:p>
        </w:tc>
        <w:tc>
          <w:tcPr>
            <w:tcW w:w="1534" w:type="dxa"/>
            <w:vAlign w:val="center"/>
          </w:tcPr>
          <w:p>
            <w:pPr>
              <w:spacing w:line="460" w:lineRule="exact"/>
              <w:rPr>
                <w:rFonts w:ascii="宋体" w:hAnsi="宋体" w:cs="宋体"/>
                <w:bCs/>
                <w:color w:val="auto"/>
                <w:sz w:val="24"/>
              </w:rPr>
            </w:pPr>
          </w:p>
        </w:tc>
        <w:tc>
          <w:tcPr>
            <w:tcW w:w="1558" w:type="dxa"/>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tcPr>
          <w:p>
            <w:pPr>
              <w:spacing w:line="460" w:lineRule="exact"/>
              <w:rPr>
                <w:rFonts w:ascii="宋体" w:hAnsi="宋体" w:cs="宋体"/>
                <w:bCs/>
                <w:color w:val="auto"/>
                <w:sz w:val="24"/>
              </w:rPr>
            </w:pPr>
          </w:p>
        </w:tc>
        <w:tc>
          <w:tcPr>
            <w:tcW w:w="1121" w:type="dxa"/>
            <w:vAlign w:val="center"/>
          </w:tcPr>
          <w:p>
            <w:pPr>
              <w:spacing w:line="460" w:lineRule="exact"/>
              <w:rPr>
                <w:rFonts w:ascii="宋体" w:hAnsi="宋体" w:cs="宋体"/>
                <w:bCs/>
                <w:color w:val="auto"/>
                <w:sz w:val="24"/>
              </w:rPr>
            </w:pPr>
          </w:p>
        </w:tc>
        <w:tc>
          <w:tcPr>
            <w:tcW w:w="1500" w:type="dxa"/>
          </w:tcPr>
          <w:p>
            <w:pPr>
              <w:spacing w:line="460" w:lineRule="exact"/>
              <w:rPr>
                <w:rFonts w:ascii="宋体" w:hAnsi="宋体" w:cs="宋体"/>
                <w:bCs/>
                <w:color w:val="auto"/>
                <w:sz w:val="24"/>
              </w:rPr>
            </w:pPr>
          </w:p>
        </w:tc>
        <w:tc>
          <w:tcPr>
            <w:tcW w:w="1499" w:type="dxa"/>
          </w:tcPr>
          <w:p>
            <w:pPr>
              <w:spacing w:line="460" w:lineRule="exact"/>
              <w:rPr>
                <w:rFonts w:ascii="宋体" w:hAnsi="宋体" w:cs="宋体"/>
                <w:bCs/>
                <w:color w:val="auto"/>
                <w:sz w:val="24"/>
              </w:rPr>
            </w:pPr>
          </w:p>
        </w:tc>
        <w:tc>
          <w:tcPr>
            <w:tcW w:w="1534" w:type="dxa"/>
          </w:tcPr>
          <w:p>
            <w:pPr>
              <w:spacing w:line="460" w:lineRule="exact"/>
              <w:rPr>
                <w:rFonts w:ascii="宋体" w:hAnsi="宋体" w:cs="宋体"/>
                <w:bCs/>
                <w:color w:val="auto"/>
                <w:sz w:val="24"/>
              </w:rPr>
            </w:pPr>
          </w:p>
        </w:tc>
        <w:tc>
          <w:tcPr>
            <w:tcW w:w="1558" w:type="dxa"/>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tcPr>
          <w:p>
            <w:pPr>
              <w:spacing w:line="460" w:lineRule="exact"/>
              <w:rPr>
                <w:rFonts w:ascii="宋体" w:hAnsi="宋体" w:cs="宋体"/>
                <w:bCs/>
                <w:color w:val="auto"/>
                <w:sz w:val="24"/>
              </w:rPr>
            </w:pPr>
            <w:r>
              <w:rPr>
                <w:rFonts w:hint="eastAsia" w:ascii="宋体" w:hAnsi="宋体" w:cs="宋体"/>
                <w:bCs/>
                <w:color w:val="auto"/>
                <w:sz w:val="24"/>
              </w:rPr>
              <w:t>经营范围</w:t>
            </w:r>
          </w:p>
        </w:tc>
        <w:tc>
          <w:tcPr>
            <w:tcW w:w="7212" w:type="dxa"/>
            <w:gridSpan w:val="5"/>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888" w:type="dxa"/>
            <w:gridSpan w:val="2"/>
          </w:tcPr>
          <w:p>
            <w:pPr>
              <w:spacing w:line="460" w:lineRule="exact"/>
              <w:rPr>
                <w:rFonts w:ascii="宋体" w:hAnsi="宋体" w:cs="宋体"/>
                <w:bCs/>
                <w:color w:val="auto"/>
                <w:sz w:val="24"/>
              </w:rPr>
            </w:pPr>
            <w:r>
              <w:rPr>
                <w:rFonts w:hint="eastAsia" w:ascii="宋体" w:hAnsi="宋体" w:cs="宋体"/>
                <w:bCs/>
                <w:color w:val="auto"/>
                <w:sz w:val="24"/>
              </w:rPr>
              <w:t xml:space="preserve">备注 </w:t>
            </w:r>
          </w:p>
        </w:tc>
        <w:tc>
          <w:tcPr>
            <w:tcW w:w="7212" w:type="dxa"/>
            <w:gridSpan w:val="5"/>
            <w:vAlign w:val="center"/>
          </w:tcPr>
          <w:p>
            <w:pPr>
              <w:spacing w:line="460" w:lineRule="exact"/>
              <w:rPr>
                <w:rFonts w:ascii="宋体" w:hAnsi="宋体" w:cs="宋体"/>
                <w:bCs/>
                <w:color w:val="auto"/>
                <w:sz w:val="24"/>
              </w:rPr>
            </w:pPr>
          </w:p>
        </w:tc>
      </w:tr>
    </w:tbl>
    <w:p>
      <w:pPr>
        <w:tabs>
          <w:tab w:val="left" w:pos="360"/>
          <w:tab w:val="left" w:pos="1800"/>
        </w:tabs>
        <w:spacing w:line="480" w:lineRule="exact"/>
        <w:jc w:val="center"/>
        <w:rPr>
          <w:rFonts w:ascii="宋体" w:hAnsi="宋体" w:cs="宋体"/>
          <w:b/>
          <w:color w:val="auto"/>
          <w:sz w:val="28"/>
          <w:szCs w:val="28"/>
        </w:rPr>
      </w:pPr>
      <w:r>
        <w:rPr>
          <w:rFonts w:hint="eastAsia" w:ascii="宋体" w:hAnsi="宋体" w:cs="宋体"/>
          <w:b/>
          <w:color w:val="auto"/>
          <w:sz w:val="28"/>
          <w:szCs w:val="28"/>
          <w:lang w:val="en-US" w:eastAsia="zh-CN"/>
        </w:rPr>
        <w:t>8</w:t>
      </w:r>
      <w:r>
        <w:rPr>
          <w:rFonts w:hint="eastAsia" w:ascii="宋体" w:hAnsi="宋体" w:cs="宋体"/>
          <w:b/>
          <w:color w:val="auto"/>
          <w:sz w:val="28"/>
          <w:szCs w:val="28"/>
        </w:rPr>
        <w:t>、中小企业声明函</w:t>
      </w:r>
    </w:p>
    <w:p>
      <w:pPr>
        <w:pStyle w:val="9"/>
        <w:rPr>
          <w:rFonts w:ascii="宋体" w:hAnsi="宋体" w:cs="宋体"/>
          <w:color w:val="auto"/>
        </w:rPr>
      </w:pP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本公司郑重声明，根据《财政部 工业和信息化部关于印发&lt;政府采购促进中小企业发展</w:t>
      </w:r>
      <w:r>
        <w:rPr>
          <w:rFonts w:hint="eastAsia" w:ascii="宋体" w:hAnsi="宋体" w:cs="宋体"/>
          <w:color w:val="auto"/>
          <w:sz w:val="24"/>
          <w:szCs w:val="24"/>
          <w:highlight w:val="none"/>
          <w:lang w:val="en-US" w:eastAsia="zh-CN"/>
        </w:rPr>
        <w:t>管理</w:t>
      </w:r>
      <w:r>
        <w:rPr>
          <w:rFonts w:hint="eastAsia" w:ascii="宋体" w:hAnsi="宋体" w:eastAsia="宋体" w:cs="宋体"/>
          <w:color w:val="auto"/>
          <w:sz w:val="24"/>
          <w:szCs w:val="24"/>
          <w:highlight w:val="none"/>
          <w:lang w:val="en-US" w:eastAsia="zh-CN"/>
        </w:rPr>
        <w:t>办法&gt;的通知》（财库〔2020〕46号）的规定，本公司参加</w:t>
      </w:r>
      <w:r>
        <w:rPr>
          <w:rFonts w:hint="eastAsia" w:ascii="宋体" w:hAnsi="宋体" w:eastAsia="宋体" w:cs="宋体"/>
          <w:color w:val="auto"/>
          <w:sz w:val="24"/>
          <w:szCs w:val="24"/>
          <w:highlight w:val="none"/>
          <w:u w:val="single"/>
          <w:lang w:val="en-US" w:eastAsia="zh-CN"/>
        </w:rPr>
        <w:t>（单位名称）</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lang w:val="en-US" w:eastAsia="zh-CN"/>
        </w:rPr>
        <w:t>采购活动，</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全部由符合政策要求的中小企业承接。相关企业</w:t>
      </w:r>
      <w:r>
        <w:rPr>
          <w:rFonts w:hint="eastAsia" w:ascii="宋体" w:hAnsi="宋体" w:eastAsia="宋体" w:cs="宋体"/>
          <w:color w:val="auto"/>
          <w:sz w:val="24"/>
          <w:szCs w:val="24"/>
          <w:highlight w:val="none"/>
          <w:u w:val="single"/>
          <w:lang w:val="en-US" w:eastAsia="zh-CN"/>
        </w:rPr>
        <w:t>（含联合体中的中小企业、签订分包意向协议的中小企业）</w:t>
      </w:r>
      <w:r>
        <w:rPr>
          <w:rFonts w:hint="eastAsia" w:ascii="宋体" w:hAnsi="宋体" w:eastAsia="宋体" w:cs="宋体"/>
          <w:color w:val="auto"/>
          <w:sz w:val="24"/>
          <w:szCs w:val="24"/>
          <w:highlight w:val="none"/>
          <w:lang w:val="en-US" w:eastAsia="zh-CN"/>
        </w:rPr>
        <w:t>的具体情况如下：</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u w:val="single"/>
          <w:lang w:val="en-US" w:eastAsia="zh-CN"/>
        </w:rPr>
        <w:t xml:space="preserve"> （标的名称） </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lang w:val="en-US" w:eastAsia="zh-CN"/>
        </w:rPr>
        <w:t>；承接企业为</w:t>
      </w:r>
      <w:r>
        <w:rPr>
          <w:rFonts w:hint="eastAsia" w:ascii="宋体" w:hAnsi="宋体" w:eastAsia="宋体" w:cs="宋体"/>
          <w:color w:val="auto"/>
          <w:sz w:val="24"/>
          <w:szCs w:val="24"/>
          <w:highlight w:val="none"/>
          <w:u w:val="single"/>
          <w:lang w:val="en-US" w:eastAsia="zh-CN"/>
        </w:rPr>
        <w:t>（企业名称）</w:t>
      </w:r>
      <w:r>
        <w:rPr>
          <w:rFonts w:hint="eastAsia" w:ascii="宋体" w:hAnsi="宋体" w:eastAsia="宋体" w:cs="宋体"/>
          <w:color w:val="auto"/>
          <w:sz w:val="24"/>
          <w:szCs w:val="24"/>
          <w:highlight w:val="none"/>
          <w:lang w:val="en-US" w:eastAsia="zh-CN"/>
        </w:rPr>
        <w:t>，从业人员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万元，属于（中型企业、小型企业、微型企业）</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（标的名称） </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lang w:val="en-US" w:eastAsia="zh-CN"/>
        </w:rPr>
        <w:t>；承接企业为</w:t>
      </w:r>
      <w:r>
        <w:rPr>
          <w:rFonts w:hint="eastAsia" w:ascii="宋体" w:hAnsi="宋体" w:eastAsia="宋体" w:cs="宋体"/>
          <w:color w:val="auto"/>
          <w:sz w:val="24"/>
          <w:szCs w:val="24"/>
          <w:highlight w:val="none"/>
          <w:u w:val="single"/>
          <w:lang w:val="en-US" w:eastAsia="zh-CN"/>
        </w:rPr>
        <w:t>（企业名称）</w:t>
      </w:r>
      <w:r>
        <w:rPr>
          <w:rFonts w:hint="eastAsia" w:ascii="宋体" w:hAnsi="宋体" w:eastAsia="宋体" w:cs="宋体"/>
          <w:color w:val="auto"/>
          <w:sz w:val="24"/>
          <w:szCs w:val="24"/>
          <w:highlight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 ，属于（中型企业、小型企业、微型企业）</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以上企业，不属于大企业的分支机构，不存在控股股东为大企业的情形，也不存在与大企业的负责人为同一人的情形。 </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本企业对上述声明内容的真实性负责。如有虚假，将依法承担相应责任。</w:t>
      </w:r>
    </w:p>
    <w:p>
      <w:pPr>
        <w:pStyle w:val="11"/>
        <w:spacing w:line="440" w:lineRule="exact"/>
        <w:ind w:firstLine="480" w:firstLineChars="200"/>
        <w:rPr>
          <w:rFonts w:hint="eastAsia" w:ascii="宋体" w:hAnsi="宋体" w:eastAsia="宋体" w:cs="宋体"/>
          <w:color w:val="auto"/>
          <w:sz w:val="24"/>
          <w:szCs w:val="24"/>
          <w:highlight w:val="none"/>
        </w:rPr>
      </w:pPr>
    </w:p>
    <w:p>
      <w:pPr>
        <w:pStyle w:val="11"/>
        <w:spacing w:line="440" w:lineRule="exact"/>
        <w:ind w:firstLine="480" w:firstLineChars="200"/>
        <w:rPr>
          <w:rFonts w:hint="eastAsia" w:ascii="宋体" w:hAnsi="宋体" w:eastAsia="宋体" w:cs="宋体"/>
          <w:color w:val="auto"/>
          <w:sz w:val="24"/>
          <w:szCs w:val="24"/>
          <w:highlight w:val="none"/>
        </w:rPr>
      </w:pPr>
    </w:p>
    <w:p>
      <w:pPr>
        <w:pStyle w:val="11"/>
        <w:spacing w:line="44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企业名称(公章)：____________</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pStyle w:val="11"/>
        <w:spacing w:line="44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期：_______________</w:t>
      </w:r>
    </w:p>
    <w:p>
      <w:pPr>
        <w:pStyle w:val="11"/>
        <w:spacing w:line="440" w:lineRule="exact"/>
        <w:ind w:firstLine="480" w:firstLineChars="200"/>
        <w:jc w:val="center"/>
        <w:rPr>
          <w:rFonts w:hint="eastAsia" w:ascii="宋体" w:hAnsi="宋体" w:eastAsia="宋体" w:cs="宋体"/>
          <w:color w:val="auto"/>
          <w:sz w:val="24"/>
          <w:szCs w:val="24"/>
          <w:highlight w:val="none"/>
        </w:rPr>
      </w:pP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注: </w:t>
      </w:r>
    </w:p>
    <w:p>
      <w:pPr>
        <w:pStyle w:val="9"/>
        <w:rPr>
          <w:rFonts w:ascii="宋体" w:hAnsi="宋体" w:cs="宋体"/>
          <w:color w:val="auto"/>
          <w:sz w:val="24"/>
        </w:rPr>
      </w:pPr>
      <w:r>
        <w:rPr>
          <w:rFonts w:hint="eastAsia" w:ascii="宋体" w:hAnsi="宋体" w:eastAsia="宋体" w:cs="宋体"/>
          <w:color w:val="auto"/>
          <w:kern w:val="0"/>
          <w:sz w:val="24"/>
          <w:szCs w:val="24"/>
          <w:highlight w:val="none"/>
          <w:lang w:val="en-US" w:eastAsia="zh-CN" w:bidi="ar"/>
        </w:rPr>
        <w:t>1、从业人员、营业收入、资产总额填报上一年度数据，无上一年度数据的新成立企业可不填报</w:t>
      </w:r>
      <w:r>
        <w:rPr>
          <w:rFonts w:hint="eastAsia" w:ascii="宋体" w:hAnsi="宋体" w:eastAsia="宋体" w:cs="宋体"/>
          <w:color w:val="auto"/>
          <w:sz w:val="24"/>
          <w:szCs w:val="24"/>
          <w:highlight w:val="none"/>
        </w:rPr>
        <w:t>。</w:t>
      </w:r>
    </w:p>
    <w:p>
      <w:pPr>
        <w:tabs>
          <w:tab w:val="left" w:pos="6300"/>
        </w:tabs>
        <w:snapToGrid w:val="0"/>
        <w:spacing w:line="500" w:lineRule="exact"/>
        <w:ind w:firstLine="480" w:firstLineChars="200"/>
        <w:outlineLvl w:val="0"/>
        <w:rPr>
          <w:rFonts w:ascii="宋体" w:hAnsi="宋体" w:cs="宋体"/>
          <w:color w:val="auto"/>
          <w:sz w:val="24"/>
        </w:rPr>
      </w:pPr>
    </w:p>
    <w:p>
      <w:pPr>
        <w:tabs>
          <w:tab w:val="left" w:pos="6300"/>
        </w:tabs>
        <w:snapToGrid w:val="0"/>
        <w:spacing w:line="500" w:lineRule="exact"/>
        <w:rPr>
          <w:rFonts w:ascii="宋体" w:hAnsi="宋体" w:cs="宋体"/>
          <w:b/>
          <w:color w:val="auto"/>
          <w:sz w:val="28"/>
          <w:szCs w:val="28"/>
        </w:rPr>
      </w:pPr>
    </w:p>
    <w:p>
      <w:pPr>
        <w:pStyle w:val="9"/>
        <w:rPr>
          <w:rFonts w:ascii="宋体" w:hAnsi="宋体" w:cs="宋体"/>
          <w:b/>
          <w:color w:val="auto"/>
          <w:sz w:val="28"/>
          <w:szCs w:val="28"/>
        </w:rPr>
      </w:pPr>
    </w:p>
    <w:p>
      <w:pPr>
        <w:pStyle w:val="11"/>
        <w:spacing w:line="360" w:lineRule="auto"/>
        <w:ind w:right="86"/>
        <w:jc w:val="both"/>
        <w:outlineLvl w:val="0"/>
        <w:rPr>
          <w:rFonts w:hAnsi="宋体" w:cs="宋体"/>
          <w:color w:val="auto"/>
          <w:sz w:val="24"/>
          <w:szCs w:val="24"/>
        </w:rPr>
      </w:pPr>
    </w:p>
    <w:p>
      <w:pPr>
        <w:pageBreakBefore/>
        <w:jc w:val="center"/>
        <w:rPr>
          <w:rFonts w:ascii="宋体" w:hAnsi="宋体" w:cs="宋体"/>
          <w:b/>
          <w:color w:val="auto"/>
          <w:sz w:val="28"/>
          <w:szCs w:val="28"/>
        </w:rPr>
      </w:pPr>
      <w:r>
        <w:rPr>
          <w:rFonts w:hint="eastAsia" w:ascii="宋体" w:hAnsi="宋体" w:cs="宋体"/>
          <w:b/>
          <w:color w:val="auto"/>
          <w:sz w:val="28"/>
          <w:szCs w:val="28"/>
          <w:lang w:val="en-US" w:eastAsia="zh-CN"/>
        </w:rPr>
        <w:t>9</w:t>
      </w:r>
      <w:r>
        <w:rPr>
          <w:rFonts w:hint="eastAsia" w:ascii="宋体" w:hAnsi="宋体" w:cs="宋体"/>
          <w:b/>
          <w:color w:val="auto"/>
          <w:sz w:val="28"/>
          <w:szCs w:val="28"/>
        </w:rPr>
        <w:t>、项目负责人简历</w:t>
      </w:r>
    </w:p>
    <w:tbl>
      <w:tblPr>
        <w:tblStyle w:val="20"/>
        <w:tblpPr w:leftFromText="180" w:rightFromText="180" w:vertAnchor="text" w:horzAnchor="margin" w:tblpXSpec="right" w:tblpY="408"/>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99"/>
        <w:gridCol w:w="441"/>
        <w:gridCol w:w="910"/>
        <w:gridCol w:w="723"/>
        <w:gridCol w:w="1090"/>
        <w:gridCol w:w="145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Pr>
          <w:p>
            <w:pPr>
              <w:spacing w:line="420" w:lineRule="exact"/>
              <w:ind w:right="71" w:rightChars="34"/>
              <w:jc w:val="center"/>
              <w:rPr>
                <w:rFonts w:ascii="宋体" w:hAnsi="宋体" w:cs="宋体"/>
                <w:color w:val="auto"/>
                <w:sz w:val="24"/>
              </w:rPr>
            </w:pPr>
            <w:r>
              <w:rPr>
                <w:rFonts w:hint="eastAsia" w:ascii="宋体" w:hAnsi="宋体" w:cs="宋体"/>
                <w:color w:val="auto"/>
                <w:sz w:val="24"/>
              </w:rPr>
              <w:t>姓名</w:t>
            </w:r>
          </w:p>
        </w:tc>
        <w:tc>
          <w:tcPr>
            <w:tcW w:w="1640" w:type="dxa"/>
            <w:gridSpan w:val="2"/>
          </w:tcPr>
          <w:p>
            <w:pPr>
              <w:spacing w:line="420" w:lineRule="exact"/>
              <w:jc w:val="center"/>
              <w:rPr>
                <w:rFonts w:ascii="宋体" w:hAnsi="宋体" w:cs="宋体"/>
                <w:color w:val="auto"/>
                <w:sz w:val="24"/>
              </w:rPr>
            </w:pPr>
          </w:p>
        </w:tc>
        <w:tc>
          <w:tcPr>
            <w:tcW w:w="910" w:type="dxa"/>
          </w:tcPr>
          <w:p>
            <w:pPr>
              <w:spacing w:line="420" w:lineRule="exact"/>
              <w:jc w:val="center"/>
              <w:rPr>
                <w:rFonts w:ascii="宋体" w:hAnsi="宋体" w:cs="宋体"/>
                <w:color w:val="auto"/>
                <w:sz w:val="24"/>
              </w:rPr>
            </w:pPr>
            <w:r>
              <w:rPr>
                <w:rFonts w:hint="eastAsia" w:ascii="宋体" w:hAnsi="宋体" w:cs="宋体"/>
                <w:color w:val="auto"/>
                <w:sz w:val="24"/>
              </w:rPr>
              <w:t>性别</w:t>
            </w:r>
          </w:p>
        </w:tc>
        <w:tc>
          <w:tcPr>
            <w:tcW w:w="1813" w:type="dxa"/>
            <w:gridSpan w:val="2"/>
          </w:tcPr>
          <w:p>
            <w:pPr>
              <w:spacing w:line="420" w:lineRule="exact"/>
              <w:jc w:val="center"/>
              <w:rPr>
                <w:rFonts w:ascii="宋体" w:hAnsi="宋体" w:cs="宋体"/>
                <w:color w:val="auto"/>
                <w:sz w:val="24"/>
              </w:rPr>
            </w:pPr>
          </w:p>
        </w:tc>
        <w:tc>
          <w:tcPr>
            <w:tcW w:w="1452" w:type="dxa"/>
          </w:tcPr>
          <w:p>
            <w:pPr>
              <w:spacing w:line="420" w:lineRule="exact"/>
              <w:ind w:right="441" w:rightChars="210"/>
              <w:rPr>
                <w:rFonts w:ascii="宋体" w:hAnsi="宋体" w:cs="宋体"/>
                <w:color w:val="auto"/>
                <w:sz w:val="24"/>
              </w:rPr>
            </w:pPr>
            <w:r>
              <w:rPr>
                <w:rFonts w:hint="eastAsia" w:ascii="宋体" w:hAnsi="宋体" w:cs="宋体"/>
                <w:color w:val="auto"/>
                <w:sz w:val="24"/>
              </w:rPr>
              <w:t>年龄</w:t>
            </w: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jc w:val="center"/>
              <w:rPr>
                <w:rFonts w:ascii="宋体" w:hAnsi="宋体" w:cs="宋体"/>
                <w:color w:val="auto"/>
                <w:sz w:val="24"/>
              </w:rPr>
            </w:pPr>
            <w:r>
              <w:rPr>
                <w:rFonts w:hint="eastAsia" w:ascii="宋体" w:hAnsi="宋体" w:cs="宋体"/>
                <w:color w:val="auto"/>
                <w:sz w:val="24"/>
              </w:rPr>
              <w:t>职务</w:t>
            </w:r>
          </w:p>
        </w:tc>
        <w:tc>
          <w:tcPr>
            <w:tcW w:w="1640" w:type="dxa"/>
            <w:gridSpan w:val="2"/>
          </w:tcPr>
          <w:p>
            <w:pPr>
              <w:spacing w:line="420" w:lineRule="exact"/>
              <w:jc w:val="center"/>
              <w:rPr>
                <w:rFonts w:ascii="宋体" w:hAnsi="宋体" w:cs="宋体"/>
                <w:color w:val="auto"/>
                <w:sz w:val="24"/>
              </w:rPr>
            </w:pPr>
          </w:p>
        </w:tc>
        <w:tc>
          <w:tcPr>
            <w:tcW w:w="910" w:type="dxa"/>
          </w:tcPr>
          <w:p>
            <w:pPr>
              <w:spacing w:line="420" w:lineRule="exact"/>
              <w:jc w:val="center"/>
              <w:rPr>
                <w:rFonts w:ascii="宋体" w:hAnsi="宋体" w:cs="宋体"/>
                <w:color w:val="auto"/>
                <w:sz w:val="24"/>
              </w:rPr>
            </w:pPr>
            <w:r>
              <w:rPr>
                <w:rFonts w:hint="eastAsia" w:ascii="宋体" w:hAnsi="宋体" w:cs="宋体"/>
                <w:color w:val="auto"/>
                <w:sz w:val="24"/>
              </w:rPr>
              <w:t>职称</w:t>
            </w:r>
          </w:p>
        </w:tc>
        <w:tc>
          <w:tcPr>
            <w:tcW w:w="1813" w:type="dxa"/>
            <w:gridSpan w:val="2"/>
          </w:tcPr>
          <w:p>
            <w:pPr>
              <w:spacing w:line="420" w:lineRule="exact"/>
              <w:jc w:val="center"/>
              <w:rPr>
                <w:rFonts w:ascii="宋体" w:hAnsi="宋体" w:cs="宋体"/>
                <w:color w:val="auto"/>
                <w:sz w:val="24"/>
              </w:rPr>
            </w:pPr>
          </w:p>
        </w:tc>
        <w:tc>
          <w:tcPr>
            <w:tcW w:w="1452" w:type="dxa"/>
          </w:tcPr>
          <w:p>
            <w:pPr>
              <w:spacing w:line="420" w:lineRule="exact"/>
              <w:rPr>
                <w:rFonts w:ascii="宋体" w:hAnsi="宋体" w:cs="宋体"/>
                <w:color w:val="auto"/>
                <w:sz w:val="24"/>
              </w:rPr>
            </w:pPr>
            <w:r>
              <w:rPr>
                <w:rFonts w:hint="eastAsia" w:ascii="宋体" w:hAnsi="宋体" w:cs="宋体"/>
                <w:color w:val="auto"/>
                <w:sz w:val="24"/>
              </w:rPr>
              <w:t>学历</w:t>
            </w: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2571" w:type="dxa"/>
            <w:gridSpan w:val="2"/>
          </w:tcPr>
          <w:p>
            <w:pPr>
              <w:spacing w:line="420" w:lineRule="exact"/>
              <w:jc w:val="center"/>
              <w:rPr>
                <w:rFonts w:ascii="宋体" w:hAnsi="宋体" w:cs="宋体"/>
                <w:color w:val="auto"/>
                <w:sz w:val="24"/>
              </w:rPr>
            </w:pPr>
            <w:r>
              <w:rPr>
                <w:rFonts w:hint="eastAsia" w:ascii="宋体" w:hAnsi="宋体" w:cs="宋体"/>
                <w:color w:val="auto"/>
                <w:sz w:val="24"/>
              </w:rPr>
              <w:t>参加工作时间</w:t>
            </w:r>
          </w:p>
        </w:tc>
        <w:tc>
          <w:tcPr>
            <w:tcW w:w="1351" w:type="dxa"/>
            <w:gridSpan w:val="2"/>
          </w:tcPr>
          <w:p>
            <w:pPr>
              <w:spacing w:line="420" w:lineRule="exact"/>
              <w:jc w:val="center"/>
              <w:rPr>
                <w:rFonts w:ascii="宋体" w:hAnsi="宋体" w:cs="宋体"/>
                <w:color w:val="auto"/>
                <w:sz w:val="24"/>
              </w:rPr>
            </w:pPr>
          </w:p>
        </w:tc>
        <w:tc>
          <w:tcPr>
            <w:tcW w:w="3265" w:type="dxa"/>
            <w:gridSpan w:val="3"/>
          </w:tcPr>
          <w:p>
            <w:pPr>
              <w:spacing w:line="420" w:lineRule="exact"/>
              <w:jc w:val="center"/>
              <w:rPr>
                <w:rFonts w:ascii="宋体" w:hAnsi="宋体" w:cs="宋体"/>
                <w:color w:val="auto"/>
                <w:sz w:val="24"/>
              </w:rPr>
            </w:pPr>
            <w:r>
              <w:rPr>
                <w:rFonts w:hint="eastAsia" w:ascii="宋体" w:hAnsi="宋体" w:cs="宋体"/>
                <w:color w:val="auto"/>
                <w:sz w:val="24"/>
              </w:rPr>
              <w:t>从事项目负责人年限</w:t>
            </w: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362" w:type="dxa"/>
            <w:gridSpan w:val="8"/>
          </w:tcPr>
          <w:p>
            <w:pPr>
              <w:spacing w:line="420" w:lineRule="exact"/>
              <w:jc w:val="center"/>
              <w:rPr>
                <w:rFonts w:ascii="宋体" w:hAnsi="宋体" w:cs="宋体"/>
                <w:color w:val="auto"/>
                <w:sz w:val="24"/>
              </w:rPr>
            </w:pPr>
            <w:r>
              <w:rPr>
                <w:rFonts w:hint="eastAsia" w:ascii="宋体" w:hAnsi="宋体" w:cs="宋体"/>
                <w:color w:val="auto"/>
                <w:sz w:val="24"/>
              </w:rPr>
              <w:t>该项目负责人近三年类似项目情况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Pr>
          <w:p>
            <w:pPr>
              <w:spacing w:line="420" w:lineRule="exact"/>
              <w:jc w:val="center"/>
              <w:rPr>
                <w:rFonts w:ascii="宋体" w:hAnsi="宋体" w:cs="宋体"/>
                <w:color w:val="auto"/>
                <w:sz w:val="24"/>
              </w:rPr>
            </w:pPr>
            <w:r>
              <w:rPr>
                <w:rFonts w:hint="eastAsia" w:ascii="宋体" w:hAnsi="宋体" w:cs="宋体"/>
                <w:color w:val="auto"/>
                <w:sz w:val="24"/>
              </w:rPr>
              <w:t>实施时间</w:t>
            </w:r>
          </w:p>
        </w:tc>
        <w:tc>
          <w:tcPr>
            <w:tcW w:w="1640" w:type="dxa"/>
            <w:gridSpan w:val="2"/>
          </w:tcPr>
          <w:p>
            <w:pPr>
              <w:spacing w:line="420" w:lineRule="exact"/>
              <w:jc w:val="center"/>
              <w:rPr>
                <w:rFonts w:ascii="宋体" w:hAnsi="宋体" w:cs="宋体"/>
                <w:color w:val="auto"/>
                <w:sz w:val="24"/>
              </w:rPr>
            </w:pPr>
            <w:r>
              <w:rPr>
                <w:rFonts w:hint="eastAsia" w:ascii="宋体" w:hAnsi="宋体" w:cs="宋体"/>
                <w:color w:val="auto"/>
                <w:sz w:val="24"/>
              </w:rPr>
              <w:t>项目名称</w:t>
            </w:r>
          </w:p>
        </w:tc>
        <w:tc>
          <w:tcPr>
            <w:tcW w:w="1633" w:type="dxa"/>
            <w:gridSpan w:val="2"/>
          </w:tcPr>
          <w:p>
            <w:pPr>
              <w:spacing w:line="420" w:lineRule="exact"/>
              <w:jc w:val="center"/>
              <w:rPr>
                <w:rFonts w:ascii="宋体" w:hAnsi="宋体" w:cs="宋体"/>
                <w:color w:val="auto"/>
                <w:sz w:val="24"/>
              </w:rPr>
            </w:pPr>
            <w:r>
              <w:rPr>
                <w:rFonts w:hint="eastAsia" w:ascii="宋体" w:hAnsi="宋体" w:cs="宋体"/>
                <w:color w:val="auto"/>
                <w:sz w:val="24"/>
              </w:rPr>
              <w:t>货物数量</w:t>
            </w:r>
          </w:p>
        </w:tc>
        <w:tc>
          <w:tcPr>
            <w:tcW w:w="2542" w:type="dxa"/>
            <w:gridSpan w:val="2"/>
          </w:tcPr>
          <w:p>
            <w:pPr>
              <w:spacing w:line="420" w:lineRule="exact"/>
              <w:jc w:val="center"/>
              <w:rPr>
                <w:rFonts w:ascii="宋体" w:hAnsi="宋体" w:cs="宋体"/>
                <w:color w:val="auto"/>
                <w:sz w:val="24"/>
              </w:rPr>
            </w:pPr>
            <w:r>
              <w:rPr>
                <w:rFonts w:hint="eastAsia" w:ascii="宋体" w:hAnsi="宋体" w:cs="宋体"/>
                <w:color w:val="auto"/>
                <w:sz w:val="24"/>
              </w:rPr>
              <w:t>担任何职</w:t>
            </w:r>
          </w:p>
        </w:tc>
        <w:tc>
          <w:tcPr>
            <w:tcW w:w="2175" w:type="dxa"/>
          </w:tcPr>
          <w:p>
            <w:pPr>
              <w:spacing w:line="420" w:lineRule="exact"/>
              <w:jc w:val="center"/>
              <w:rPr>
                <w:rFonts w:ascii="宋体" w:hAnsi="宋体" w:cs="宋体"/>
                <w:color w:val="auto"/>
                <w:sz w:val="24"/>
              </w:rPr>
            </w:pPr>
            <w:r>
              <w:rPr>
                <w:rFonts w:hint="eastAsia" w:ascii="宋体" w:hAnsi="宋体" w:cs="宋体"/>
                <w:color w:val="auto"/>
                <w:sz w:val="24"/>
              </w:rPr>
              <w:t>质量或奖项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jc w:val="center"/>
              <w:rPr>
                <w:rFonts w:ascii="宋体" w:hAnsi="宋体" w:cs="宋体"/>
                <w:color w:val="auto"/>
                <w:sz w:val="24"/>
              </w:rPr>
            </w:pPr>
          </w:p>
        </w:tc>
        <w:tc>
          <w:tcPr>
            <w:tcW w:w="1640" w:type="dxa"/>
            <w:gridSpan w:val="2"/>
          </w:tcPr>
          <w:p>
            <w:pPr>
              <w:spacing w:line="420" w:lineRule="exact"/>
              <w:jc w:val="center"/>
              <w:rPr>
                <w:rFonts w:ascii="宋体" w:hAnsi="宋体" w:cs="宋体"/>
                <w:color w:val="auto"/>
                <w:sz w:val="24"/>
              </w:rPr>
            </w:pPr>
          </w:p>
        </w:tc>
        <w:tc>
          <w:tcPr>
            <w:tcW w:w="1633" w:type="dxa"/>
            <w:gridSpan w:val="2"/>
          </w:tcPr>
          <w:p>
            <w:pPr>
              <w:spacing w:line="420" w:lineRule="exact"/>
              <w:jc w:val="center"/>
              <w:rPr>
                <w:rFonts w:ascii="宋体" w:hAnsi="宋体" w:cs="宋体"/>
                <w:color w:val="auto"/>
                <w:sz w:val="24"/>
              </w:rPr>
            </w:pPr>
          </w:p>
        </w:tc>
        <w:tc>
          <w:tcPr>
            <w:tcW w:w="2542" w:type="dxa"/>
            <w:gridSpan w:val="2"/>
          </w:tcPr>
          <w:p>
            <w:pPr>
              <w:spacing w:line="420" w:lineRule="exact"/>
              <w:jc w:val="center"/>
              <w:rPr>
                <w:rFonts w:ascii="宋体" w:hAnsi="宋体" w:cs="宋体"/>
                <w:color w:val="auto"/>
                <w:sz w:val="24"/>
              </w:rPr>
            </w:pP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jc w:val="center"/>
              <w:rPr>
                <w:rFonts w:ascii="宋体" w:hAnsi="宋体" w:cs="宋体"/>
                <w:color w:val="auto"/>
                <w:sz w:val="24"/>
              </w:rPr>
            </w:pPr>
          </w:p>
        </w:tc>
        <w:tc>
          <w:tcPr>
            <w:tcW w:w="1640" w:type="dxa"/>
            <w:gridSpan w:val="2"/>
          </w:tcPr>
          <w:p>
            <w:pPr>
              <w:spacing w:line="420" w:lineRule="exact"/>
              <w:jc w:val="center"/>
              <w:rPr>
                <w:rFonts w:ascii="宋体" w:hAnsi="宋体" w:cs="宋体"/>
                <w:color w:val="auto"/>
                <w:sz w:val="24"/>
              </w:rPr>
            </w:pPr>
          </w:p>
        </w:tc>
        <w:tc>
          <w:tcPr>
            <w:tcW w:w="1633" w:type="dxa"/>
            <w:gridSpan w:val="2"/>
          </w:tcPr>
          <w:p>
            <w:pPr>
              <w:spacing w:line="420" w:lineRule="exact"/>
              <w:jc w:val="center"/>
              <w:rPr>
                <w:rFonts w:ascii="宋体" w:hAnsi="宋体" w:cs="宋体"/>
                <w:color w:val="auto"/>
                <w:sz w:val="24"/>
              </w:rPr>
            </w:pPr>
          </w:p>
        </w:tc>
        <w:tc>
          <w:tcPr>
            <w:tcW w:w="2542" w:type="dxa"/>
            <w:gridSpan w:val="2"/>
          </w:tcPr>
          <w:p>
            <w:pPr>
              <w:spacing w:line="420" w:lineRule="exact"/>
              <w:jc w:val="center"/>
              <w:rPr>
                <w:rFonts w:ascii="宋体" w:hAnsi="宋体" w:cs="宋体"/>
                <w:color w:val="auto"/>
                <w:sz w:val="24"/>
              </w:rPr>
            </w:pP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Pr>
          <w:p>
            <w:pPr>
              <w:spacing w:line="420" w:lineRule="exact"/>
              <w:jc w:val="center"/>
              <w:rPr>
                <w:rFonts w:ascii="宋体" w:hAnsi="宋体" w:cs="宋体"/>
                <w:color w:val="auto"/>
                <w:sz w:val="24"/>
              </w:rPr>
            </w:pPr>
          </w:p>
        </w:tc>
        <w:tc>
          <w:tcPr>
            <w:tcW w:w="1640" w:type="dxa"/>
            <w:gridSpan w:val="2"/>
          </w:tcPr>
          <w:p>
            <w:pPr>
              <w:spacing w:line="420" w:lineRule="exact"/>
              <w:jc w:val="center"/>
              <w:rPr>
                <w:rFonts w:ascii="宋体" w:hAnsi="宋体" w:cs="宋体"/>
                <w:color w:val="auto"/>
                <w:sz w:val="24"/>
              </w:rPr>
            </w:pPr>
          </w:p>
        </w:tc>
        <w:tc>
          <w:tcPr>
            <w:tcW w:w="1633" w:type="dxa"/>
            <w:gridSpan w:val="2"/>
          </w:tcPr>
          <w:p>
            <w:pPr>
              <w:spacing w:line="420" w:lineRule="exact"/>
              <w:jc w:val="center"/>
              <w:rPr>
                <w:rFonts w:ascii="宋体" w:hAnsi="宋体" w:cs="宋体"/>
                <w:color w:val="auto"/>
                <w:sz w:val="24"/>
              </w:rPr>
            </w:pPr>
          </w:p>
        </w:tc>
        <w:tc>
          <w:tcPr>
            <w:tcW w:w="2542" w:type="dxa"/>
            <w:gridSpan w:val="2"/>
          </w:tcPr>
          <w:p>
            <w:pPr>
              <w:spacing w:line="420" w:lineRule="exact"/>
              <w:jc w:val="center"/>
              <w:rPr>
                <w:rFonts w:ascii="宋体" w:hAnsi="宋体" w:cs="宋体"/>
                <w:color w:val="auto"/>
                <w:sz w:val="24"/>
              </w:rPr>
            </w:pP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jc w:val="center"/>
              <w:rPr>
                <w:rFonts w:ascii="宋体" w:hAnsi="宋体" w:cs="宋体"/>
                <w:color w:val="auto"/>
                <w:sz w:val="24"/>
              </w:rPr>
            </w:pPr>
          </w:p>
        </w:tc>
        <w:tc>
          <w:tcPr>
            <w:tcW w:w="1640" w:type="dxa"/>
            <w:gridSpan w:val="2"/>
          </w:tcPr>
          <w:p>
            <w:pPr>
              <w:spacing w:line="420" w:lineRule="exact"/>
              <w:jc w:val="center"/>
              <w:rPr>
                <w:rFonts w:ascii="宋体" w:hAnsi="宋体" w:cs="宋体"/>
                <w:color w:val="auto"/>
                <w:sz w:val="24"/>
              </w:rPr>
            </w:pPr>
          </w:p>
        </w:tc>
        <w:tc>
          <w:tcPr>
            <w:tcW w:w="1633" w:type="dxa"/>
            <w:gridSpan w:val="2"/>
          </w:tcPr>
          <w:p>
            <w:pPr>
              <w:spacing w:line="420" w:lineRule="exact"/>
              <w:jc w:val="center"/>
              <w:rPr>
                <w:rFonts w:ascii="宋体" w:hAnsi="宋体" w:cs="宋体"/>
                <w:color w:val="auto"/>
                <w:sz w:val="24"/>
              </w:rPr>
            </w:pPr>
          </w:p>
        </w:tc>
        <w:tc>
          <w:tcPr>
            <w:tcW w:w="2542" w:type="dxa"/>
            <w:gridSpan w:val="2"/>
          </w:tcPr>
          <w:p>
            <w:pPr>
              <w:spacing w:line="420" w:lineRule="exact"/>
              <w:jc w:val="center"/>
              <w:rPr>
                <w:rFonts w:ascii="宋体" w:hAnsi="宋体" w:cs="宋体"/>
                <w:color w:val="auto"/>
                <w:sz w:val="24"/>
              </w:rPr>
            </w:pP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Pr>
          <w:p>
            <w:pPr>
              <w:spacing w:line="420" w:lineRule="exact"/>
              <w:jc w:val="center"/>
              <w:rPr>
                <w:rFonts w:ascii="宋体" w:hAnsi="宋体" w:cs="宋体"/>
                <w:bCs/>
                <w:color w:val="auto"/>
                <w:sz w:val="24"/>
              </w:rPr>
            </w:pPr>
          </w:p>
        </w:tc>
        <w:tc>
          <w:tcPr>
            <w:tcW w:w="1640" w:type="dxa"/>
            <w:gridSpan w:val="2"/>
          </w:tcPr>
          <w:p>
            <w:pPr>
              <w:spacing w:line="420" w:lineRule="exact"/>
              <w:jc w:val="center"/>
              <w:rPr>
                <w:rFonts w:ascii="宋体" w:hAnsi="宋体" w:cs="宋体"/>
                <w:bCs/>
                <w:color w:val="auto"/>
                <w:sz w:val="24"/>
              </w:rPr>
            </w:pPr>
          </w:p>
        </w:tc>
        <w:tc>
          <w:tcPr>
            <w:tcW w:w="1633" w:type="dxa"/>
            <w:gridSpan w:val="2"/>
          </w:tcPr>
          <w:p>
            <w:pPr>
              <w:spacing w:line="420" w:lineRule="exact"/>
              <w:jc w:val="center"/>
              <w:rPr>
                <w:rFonts w:ascii="宋体" w:hAnsi="宋体" w:cs="宋体"/>
                <w:bCs/>
                <w:color w:val="auto"/>
                <w:sz w:val="24"/>
              </w:rPr>
            </w:pPr>
          </w:p>
        </w:tc>
        <w:tc>
          <w:tcPr>
            <w:tcW w:w="2542" w:type="dxa"/>
            <w:gridSpan w:val="2"/>
          </w:tcPr>
          <w:p>
            <w:pPr>
              <w:spacing w:line="420" w:lineRule="exact"/>
              <w:jc w:val="center"/>
              <w:rPr>
                <w:rFonts w:ascii="宋体" w:hAnsi="宋体" w:cs="宋体"/>
                <w:bCs/>
                <w:color w:val="auto"/>
                <w:sz w:val="24"/>
              </w:rPr>
            </w:pPr>
          </w:p>
        </w:tc>
        <w:tc>
          <w:tcPr>
            <w:tcW w:w="2175" w:type="dxa"/>
          </w:tcPr>
          <w:p>
            <w:pPr>
              <w:spacing w:line="420" w:lineRule="exact"/>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jc w:val="center"/>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bl>
    <w:p>
      <w:pPr>
        <w:tabs>
          <w:tab w:val="left" w:pos="1875"/>
        </w:tabs>
        <w:rPr>
          <w:rFonts w:ascii="宋体" w:hAnsi="宋体" w:cs="宋体"/>
          <w:color w:val="auto"/>
          <w:szCs w:val="21"/>
          <w:highlight w:val="red"/>
        </w:rPr>
      </w:pPr>
    </w:p>
    <w:p>
      <w:pPr>
        <w:rPr>
          <w:rFonts w:ascii="宋体" w:hAnsi="宋体" w:cs="宋体"/>
          <w:color w:val="auto"/>
          <w:szCs w:val="21"/>
          <w:highlight w:val="red"/>
        </w:rPr>
      </w:pPr>
    </w:p>
    <w:p>
      <w:pPr>
        <w:tabs>
          <w:tab w:val="left" w:pos="1875"/>
        </w:tabs>
        <w:rPr>
          <w:rFonts w:ascii="宋体" w:hAnsi="宋体" w:cs="宋体"/>
          <w:color w:val="auto"/>
          <w:szCs w:val="21"/>
          <w:highlight w:val="red"/>
        </w:rPr>
      </w:pPr>
    </w:p>
    <w:p>
      <w:pPr>
        <w:tabs>
          <w:tab w:val="left" w:pos="1875"/>
        </w:tabs>
        <w:ind w:firstLine="420" w:firstLineChars="200"/>
        <w:rPr>
          <w:rFonts w:ascii="宋体" w:hAnsi="宋体" w:cs="宋体"/>
          <w:color w:val="auto"/>
          <w:szCs w:val="21"/>
        </w:rPr>
      </w:pPr>
      <w:r>
        <w:rPr>
          <w:rFonts w:hint="eastAsia" w:ascii="宋体" w:hAnsi="宋体" w:cs="宋体"/>
          <w:color w:val="auto"/>
          <w:szCs w:val="21"/>
        </w:rPr>
        <w:t xml:space="preserve">供应商：（盖章） </w:t>
      </w:r>
    </w:p>
    <w:p>
      <w:pPr>
        <w:rPr>
          <w:rFonts w:ascii="宋体" w:hAnsi="宋体" w:cs="宋体"/>
          <w:color w:val="auto"/>
          <w:szCs w:val="21"/>
        </w:rPr>
      </w:pPr>
    </w:p>
    <w:p>
      <w:pPr>
        <w:ind w:firstLine="420" w:firstLineChars="200"/>
        <w:rPr>
          <w:rFonts w:ascii="宋体" w:hAnsi="宋体" w:cs="宋体"/>
          <w:b/>
          <w:color w:val="auto"/>
          <w:sz w:val="28"/>
          <w:szCs w:val="28"/>
        </w:rPr>
      </w:pPr>
      <w:r>
        <w:rPr>
          <w:rFonts w:hint="eastAsia" w:ascii="宋体" w:hAnsi="宋体" w:cs="宋体"/>
          <w:color w:val="auto"/>
          <w:szCs w:val="21"/>
        </w:rPr>
        <w:t>法定代表人或授权代理人：（签字或盖章）</w:t>
      </w:r>
      <w:r>
        <w:rPr>
          <w:rFonts w:hint="eastAsia" w:ascii="宋体" w:hAnsi="宋体" w:cs="宋体"/>
          <w:color w:val="auto"/>
          <w:sz w:val="24"/>
        </w:rPr>
        <w:t xml:space="preserve">                  日期：    年    月    日</w:t>
      </w:r>
    </w:p>
    <w:p>
      <w:pPr>
        <w:pStyle w:val="11"/>
        <w:spacing w:line="360" w:lineRule="auto"/>
        <w:ind w:right="86"/>
        <w:jc w:val="center"/>
        <w:outlineLvl w:val="0"/>
        <w:rPr>
          <w:rFonts w:hAnsi="宋体" w:cs="宋体"/>
          <w:color w:val="auto"/>
          <w:sz w:val="24"/>
          <w:szCs w:val="24"/>
        </w:rPr>
      </w:pPr>
    </w:p>
    <w:p>
      <w:pPr>
        <w:pStyle w:val="11"/>
        <w:spacing w:line="360" w:lineRule="auto"/>
        <w:ind w:right="86"/>
        <w:jc w:val="center"/>
        <w:outlineLvl w:val="0"/>
        <w:rPr>
          <w:rFonts w:hAnsi="宋体" w:cs="宋体"/>
          <w:b/>
          <w:color w:val="auto"/>
          <w:sz w:val="24"/>
          <w:szCs w:val="24"/>
        </w:rPr>
      </w:pPr>
    </w:p>
    <w:p>
      <w:pPr>
        <w:pStyle w:val="11"/>
        <w:spacing w:line="360" w:lineRule="auto"/>
        <w:ind w:right="86"/>
        <w:jc w:val="center"/>
        <w:outlineLvl w:val="0"/>
        <w:rPr>
          <w:rFonts w:hAnsi="宋体" w:cs="宋体"/>
          <w:b/>
          <w:color w:val="auto"/>
          <w:sz w:val="24"/>
          <w:szCs w:val="24"/>
        </w:rPr>
      </w:pPr>
    </w:p>
    <w:p>
      <w:pPr>
        <w:pStyle w:val="11"/>
        <w:spacing w:line="360" w:lineRule="auto"/>
        <w:ind w:right="86"/>
        <w:jc w:val="center"/>
        <w:outlineLvl w:val="0"/>
        <w:rPr>
          <w:rFonts w:hAnsi="宋体" w:cs="宋体"/>
          <w:b/>
          <w:color w:val="auto"/>
          <w:sz w:val="24"/>
          <w:szCs w:val="24"/>
        </w:rPr>
      </w:pPr>
    </w:p>
    <w:p>
      <w:pPr>
        <w:pStyle w:val="11"/>
        <w:spacing w:line="360" w:lineRule="auto"/>
        <w:ind w:right="86"/>
        <w:jc w:val="center"/>
        <w:outlineLvl w:val="0"/>
        <w:rPr>
          <w:rFonts w:hAnsi="宋体" w:cs="宋体"/>
          <w:b/>
          <w:color w:val="auto"/>
          <w:sz w:val="24"/>
          <w:szCs w:val="24"/>
        </w:rPr>
      </w:pPr>
    </w:p>
    <w:p>
      <w:pPr>
        <w:pStyle w:val="7"/>
        <w:ind w:firstLine="0"/>
        <w:jc w:val="center"/>
        <w:rPr>
          <w:rFonts w:hint="eastAsia" w:ascii="仿宋_GB2312" w:hAnsi="宋体" w:eastAsia="仿宋_GB2312"/>
          <w:bCs/>
          <w:color w:val="auto"/>
          <w:szCs w:val="21"/>
          <w:highlight w:val="none"/>
        </w:rPr>
      </w:pPr>
      <w:r>
        <w:rPr>
          <w:rFonts w:hint="eastAsia" w:ascii="宋体" w:hAnsi="宋体" w:cs="宋体"/>
          <w:b/>
          <w:color w:val="auto"/>
          <w:kern w:val="2"/>
          <w:sz w:val="28"/>
          <w:szCs w:val="28"/>
          <w:lang w:val="en-US" w:eastAsia="zh-CN" w:bidi="ar-SA"/>
        </w:rPr>
        <w:t>10</w:t>
      </w:r>
      <w:r>
        <w:rPr>
          <w:rFonts w:hint="eastAsia" w:ascii="宋体" w:hAnsi="宋体" w:eastAsia="宋体" w:cs="宋体"/>
          <w:b/>
          <w:color w:val="auto"/>
          <w:kern w:val="2"/>
          <w:sz w:val="28"/>
          <w:szCs w:val="28"/>
          <w:lang w:val="en-US" w:eastAsia="zh-CN" w:bidi="ar-SA"/>
        </w:rPr>
        <w:t>、项目管理、服务及其它人员情况表</w:t>
      </w:r>
    </w:p>
    <w:tbl>
      <w:tblPr>
        <w:tblStyle w:val="20"/>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类别</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姓名</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职务</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职称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证书</w:t>
            </w: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二、服务人员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三、其他人员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spacing w:line="240" w:lineRule="atLeas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color w:val="auto"/>
                <w:sz w:val="24"/>
                <w:szCs w:val="24"/>
                <w:highlight w:val="none"/>
              </w:rPr>
              <w:t>注：需完整反映本项目要求的所有拟派人员信息，并提供相应证书，所提供的资料均附于本表后如合同及社保证明，作为本表的附件。</w:t>
            </w:r>
          </w:p>
        </w:tc>
      </w:tr>
    </w:tbl>
    <w:p>
      <w:pPr>
        <w:tabs>
          <w:tab w:val="left" w:pos="1875"/>
        </w:tabs>
        <w:rPr>
          <w:rFonts w:hint="eastAsia" w:ascii="宋体" w:hAnsi="宋体" w:cs="宋体"/>
          <w:color w:val="auto"/>
          <w:sz w:val="24"/>
          <w:szCs w:val="24"/>
        </w:rPr>
      </w:pPr>
    </w:p>
    <w:p>
      <w:pPr>
        <w:tabs>
          <w:tab w:val="left" w:pos="1875"/>
        </w:tabs>
        <w:rPr>
          <w:rFonts w:ascii="宋体" w:hAnsi="宋体" w:cs="宋体"/>
          <w:color w:val="auto"/>
          <w:sz w:val="24"/>
          <w:szCs w:val="24"/>
        </w:rPr>
      </w:pPr>
      <w:r>
        <w:rPr>
          <w:rFonts w:hint="eastAsia" w:ascii="宋体" w:hAnsi="宋体" w:cs="宋体"/>
          <w:color w:val="auto"/>
          <w:sz w:val="24"/>
          <w:szCs w:val="24"/>
        </w:rPr>
        <w:t xml:space="preserve">供应商：（盖章） </w:t>
      </w:r>
    </w:p>
    <w:p>
      <w:pPr>
        <w:rPr>
          <w:rFonts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 xml:space="preserve">法定代表人或授权代理人：（签字或盖章）                  </w:t>
      </w:r>
    </w:p>
    <w:p>
      <w:pPr>
        <w:rPr>
          <w:rFonts w:hint="eastAsia" w:ascii="宋体" w:hAnsi="宋体" w:cs="宋体"/>
          <w:color w:val="auto"/>
          <w:sz w:val="24"/>
          <w:szCs w:val="24"/>
        </w:rPr>
      </w:pPr>
    </w:p>
    <w:p>
      <w:pPr>
        <w:pStyle w:val="11"/>
        <w:spacing w:line="360" w:lineRule="auto"/>
        <w:ind w:right="86"/>
        <w:jc w:val="center"/>
        <w:outlineLvl w:val="0"/>
        <w:rPr>
          <w:rFonts w:hint="eastAsia" w:hAnsi="宋体" w:cs="宋体"/>
          <w:b/>
          <w:color w:val="auto"/>
          <w:sz w:val="28"/>
          <w:szCs w:val="28"/>
          <w:lang w:val="en-US" w:eastAsia="zh-CN"/>
        </w:rPr>
      </w:pPr>
      <w:r>
        <w:rPr>
          <w:rFonts w:hint="eastAsia" w:ascii="宋体" w:hAnsi="宋体" w:cs="宋体"/>
          <w:color w:val="auto"/>
          <w:sz w:val="24"/>
          <w:szCs w:val="24"/>
        </w:rPr>
        <w:t>日期：    年    月    日</w:t>
      </w:r>
    </w:p>
    <w:p>
      <w:pPr>
        <w:pStyle w:val="11"/>
        <w:spacing w:line="360" w:lineRule="auto"/>
        <w:ind w:right="86"/>
        <w:jc w:val="center"/>
        <w:outlineLvl w:val="0"/>
        <w:rPr>
          <w:rFonts w:hAnsi="宋体" w:cs="宋体"/>
          <w:b/>
          <w:color w:val="auto"/>
          <w:sz w:val="28"/>
          <w:szCs w:val="28"/>
        </w:rPr>
      </w:pPr>
      <w:r>
        <w:rPr>
          <w:rFonts w:hint="eastAsia" w:hAnsi="宋体" w:cs="宋体"/>
          <w:b/>
          <w:color w:val="auto"/>
          <w:sz w:val="28"/>
          <w:szCs w:val="28"/>
          <w:lang w:val="en-US" w:eastAsia="zh-CN"/>
        </w:rPr>
        <w:t>11</w:t>
      </w:r>
      <w:r>
        <w:rPr>
          <w:rFonts w:hint="eastAsia" w:hAnsi="宋体" w:cs="宋体"/>
          <w:b/>
          <w:color w:val="auto"/>
          <w:sz w:val="28"/>
          <w:szCs w:val="28"/>
        </w:rPr>
        <w:t>、近三年（自</w:t>
      </w:r>
      <w:r>
        <w:rPr>
          <w:rFonts w:hint="eastAsia" w:hAnsi="宋体" w:cs="宋体"/>
          <w:b/>
          <w:color w:val="auto"/>
          <w:sz w:val="28"/>
          <w:szCs w:val="28"/>
          <w:lang w:eastAsia="zh-CN"/>
        </w:rPr>
        <w:t>20</w:t>
      </w:r>
      <w:r>
        <w:rPr>
          <w:rFonts w:hint="eastAsia" w:hAnsi="宋体" w:cs="宋体"/>
          <w:b/>
          <w:color w:val="auto"/>
          <w:sz w:val="28"/>
          <w:szCs w:val="28"/>
          <w:lang w:val="en-US" w:eastAsia="zh-CN"/>
        </w:rPr>
        <w:t>20</w:t>
      </w:r>
      <w:r>
        <w:rPr>
          <w:rFonts w:hint="eastAsia" w:hAnsi="宋体" w:cs="宋体"/>
          <w:b/>
          <w:color w:val="auto"/>
          <w:sz w:val="28"/>
          <w:szCs w:val="28"/>
          <w:lang w:eastAsia="zh-CN"/>
        </w:rPr>
        <w:t>年1月1日</w:t>
      </w:r>
      <w:r>
        <w:rPr>
          <w:rFonts w:hint="eastAsia" w:hAnsi="宋体" w:cs="宋体"/>
          <w:b/>
          <w:color w:val="auto"/>
          <w:sz w:val="28"/>
          <w:szCs w:val="28"/>
        </w:rPr>
        <w:t>至今）同类项目业绩表</w:t>
      </w:r>
    </w:p>
    <w:tbl>
      <w:tblPr>
        <w:tblStyle w:val="20"/>
        <w:tblW w:w="95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1285"/>
        <w:gridCol w:w="1079"/>
        <w:gridCol w:w="976"/>
        <w:gridCol w:w="245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940" w:type="dxa"/>
            <w:vAlign w:val="center"/>
          </w:tcPr>
          <w:p>
            <w:pPr>
              <w:jc w:val="center"/>
              <w:rPr>
                <w:rFonts w:ascii="宋体" w:hAnsi="宋体" w:cs="宋体"/>
                <w:color w:val="auto"/>
                <w:sz w:val="24"/>
              </w:rPr>
            </w:pPr>
            <w:r>
              <w:rPr>
                <w:rFonts w:hint="eastAsia" w:ascii="宋体" w:hAnsi="宋体" w:cs="宋体"/>
                <w:color w:val="auto"/>
                <w:sz w:val="24"/>
              </w:rPr>
              <w:t>项目名称</w:t>
            </w:r>
          </w:p>
        </w:tc>
        <w:tc>
          <w:tcPr>
            <w:tcW w:w="1285" w:type="dxa"/>
            <w:vAlign w:val="center"/>
          </w:tcPr>
          <w:p>
            <w:pPr>
              <w:jc w:val="center"/>
              <w:rPr>
                <w:rFonts w:ascii="宋体" w:hAnsi="宋体" w:cs="宋体"/>
                <w:color w:val="auto"/>
                <w:sz w:val="24"/>
              </w:rPr>
            </w:pPr>
            <w:r>
              <w:rPr>
                <w:rFonts w:hint="eastAsia" w:ascii="宋体" w:hAnsi="宋体" w:cs="宋体"/>
                <w:color w:val="auto"/>
                <w:sz w:val="24"/>
              </w:rPr>
              <w:t>合同实施日期</w:t>
            </w:r>
          </w:p>
        </w:tc>
        <w:tc>
          <w:tcPr>
            <w:tcW w:w="1079" w:type="dxa"/>
            <w:vAlign w:val="center"/>
          </w:tcPr>
          <w:p>
            <w:pPr>
              <w:jc w:val="center"/>
              <w:rPr>
                <w:rFonts w:ascii="宋体" w:hAnsi="宋体" w:cs="宋体"/>
                <w:color w:val="auto"/>
                <w:sz w:val="24"/>
              </w:rPr>
            </w:pPr>
            <w:r>
              <w:rPr>
                <w:rFonts w:hint="eastAsia" w:ascii="宋体" w:hAnsi="宋体" w:cs="宋体"/>
                <w:color w:val="auto"/>
                <w:sz w:val="24"/>
              </w:rPr>
              <w:t>合同</w:t>
            </w:r>
          </w:p>
          <w:p>
            <w:pPr>
              <w:jc w:val="center"/>
              <w:rPr>
                <w:rFonts w:ascii="宋体" w:hAnsi="宋体" w:cs="宋体"/>
                <w:color w:val="auto"/>
                <w:sz w:val="24"/>
              </w:rPr>
            </w:pPr>
            <w:r>
              <w:rPr>
                <w:rFonts w:hint="eastAsia" w:ascii="宋体" w:hAnsi="宋体" w:cs="宋体"/>
                <w:color w:val="auto"/>
                <w:sz w:val="24"/>
              </w:rPr>
              <w:t>金额</w:t>
            </w:r>
          </w:p>
        </w:tc>
        <w:tc>
          <w:tcPr>
            <w:tcW w:w="976" w:type="dxa"/>
            <w:vAlign w:val="center"/>
          </w:tcPr>
          <w:p>
            <w:pPr>
              <w:jc w:val="center"/>
              <w:rPr>
                <w:rFonts w:ascii="宋体" w:hAnsi="宋体" w:cs="宋体"/>
                <w:color w:val="auto"/>
                <w:sz w:val="24"/>
              </w:rPr>
            </w:pPr>
            <w:r>
              <w:rPr>
                <w:rFonts w:hint="eastAsia" w:ascii="宋体" w:hAnsi="宋体" w:cs="宋体"/>
                <w:color w:val="auto"/>
                <w:sz w:val="24"/>
              </w:rPr>
              <w:t>用户</w:t>
            </w:r>
          </w:p>
          <w:p>
            <w:pPr>
              <w:jc w:val="center"/>
              <w:rPr>
                <w:rFonts w:ascii="宋体" w:hAnsi="宋体" w:cs="宋体"/>
                <w:color w:val="auto"/>
                <w:sz w:val="24"/>
              </w:rPr>
            </w:pPr>
            <w:r>
              <w:rPr>
                <w:rFonts w:hint="eastAsia" w:ascii="宋体" w:hAnsi="宋体" w:cs="宋体"/>
                <w:color w:val="auto"/>
                <w:sz w:val="24"/>
              </w:rPr>
              <w:t>名称</w:t>
            </w:r>
          </w:p>
        </w:tc>
        <w:tc>
          <w:tcPr>
            <w:tcW w:w="2451" w:type="dxa"/>
            <w:vAlign w:val="center"/>
          </w:tcPr>
          <w:p>
            <w:pPr>
              <w:jc w:val="center"/>
              <w:rPr>
                <w:rFonts w:ascii="宋体" w:hAnsi="宋体" w:cs="宋体"/>
                <w:color w:val="auto"/>
                <w:sz w:val="24"/>
              </w:rPr>
            </w:pPr>
            <w:r>
              <w:rPr>
                <w:rFonts w:hint="eastAsia" w:ascii="宋体" w:hAnsi="宋体" w:cs="宋体"/>
                <w:color w:val="auto"/>
                <w:sz w:val="24"/>
              </w:rPr>
              <w:t>用户联系人及联系电话</w:t>
            </w:r>
          </w:p>
        </w:tc>
        <w:tc>
          <w:tcPr>
            <w:tcW w:w="806" w:type="dxa"/>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bl>
    <w:p>
      <w:pPr>
        <w:pStyle w:val="11"/>
        <w:spacing w:line="360" w:lineRule="auto"/>
        <w:ind w:right="86"/>
        <w:outlineLvl w:val="0"/>
        <w:rPr>
          <w:rFonts w:hAnsi="宋体" w:cs="宋体"/>
          <w:b/>
          <w:color w:val="auto"/>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宋体" w:hAnsi="宋体" w:cs="宋体"/>
          <w:color w:val="auto"/>
          <w:sz w:val="24"/>
        </w:rPr>
      </w:pPr>
      <w:r>
        <w:rPr>
          <w:rFonts w:hint="eastAsia" w:ascii="宋体" w:hAnsi="宋体" w:cs="宋体"/>
          <w:color w:val="auto"/>
          <w:sz w:val="24"/>
        </w:rPr>
        <w:t>注：（仅限于供应商自身实施的项目）以上业绩需提供有关书面证明材料复印件（如</w:t>
      </w:r>
      <w:r>
        <w:rPr>
          <w:rFonts w:hint="eastAsia" w:ascii="宋体" w:hAnsi="宋体" w:cs="宋体"/>
          <w:color w:val="auto"/>
          <w:sz w:val="24"/>
          <w:lang w:eastAsia="zh-CN"/>
        </w:rPr>
        <w:t>中标</w:t>
      </w:r>
      <w:r>
        <w:rPr>
          <w:rFonts w:hint="eastAsia" w:ascii="宋体" w:hAnsi="宋体" w:cs="宋体"/>
          <w:color w:val="auto"/>
          <w:sz w:val="24"/>
        </w:rPr>
        <w:t>通知书/成交通知书、采购合同）。</w:t>
      </w:r>
    </w:p>
    <w:p>
      <w:pPr>
        <w:spacing w:line="400" w:lineRule="exact"/>
        <w:rPr>
          <w:rFonts w:ascii="宋体" w:hAnsi="宋体" w:cs="宋体"/>
          <w:color w:val="auto"/>
          <w:sz w:val="24"/>
        </w:rPr>
      </w:pPr>
    </w:p>
    <w:p>
      <w:pPr>
        <w:adjustRightInd w:val="0"/>
        <w:spacing w:line="400" w:lineRule="exact"/>
        <w:ind w:firstLine="480" w:firstLineChars="200"/>
        <w:jc w:val="left"/>
        <w:rPr>
          <w:rFonts w:ascii="宋体" w:hAnsi="宋体" w:cs="宋体"/>
          <w:color w:val="auto"/>
          <w:sz w:val="24"/>
        </w:rPr>
      </w:pPr>
      <w:r>
        <w:rPr>
          <w:rFonts w:hint="eastAsia" w:ascii="宋体" w:hAnsi="宋体" w:cs="宋体"/>
          <w:color w:val="auto"/>
          <w:sz w:val="24"/>
        </w:rPr>
        <w:t xml:space="preserve">供应商（盖章）：         </w:t>
      </w:r>
    </w:p>
    <w:p>
      <w:pPr>
        <w:adjustRightInd w:val="0"/>
        <w:spacing w:line="400" w:lineRule="exact"/>
        <w:ind w:firstLine="480" w:firstLineChars="200"/>
        <w:jc w:val="left"/>
        <w:rPr>
          <w:rFonts w:ascii="宋体" w:hAnsi="宋体" w:cs="宋体"/>
          <w:color w:val="auto"/>
          <w:sz w:val="24"/>
        </w:rPr>
      </w:pPr>
    </w:p>
    <w:p>
      <w:pPr>
        <w:spacing w:line="400" w:lineRule="exact"/>
        <w:ind w:right="480" w:firstLine="480" w:firstLineChars="200"/>
        <w:jc w:val="left"/>
        <w:rPr>
          <w:rFonts w:ascii="宋体" w:hAnsi="宋体" w:cs="宋体"/>
          <w:bCs/>
          <w:color w:val="auto"/>
          <w:sz w:val="24"/>
        </w:rPr>
      </w:pPr>
      <w:r>
        <w:rPr>
          <w:rFonts w:hint="eastAsia" w:ascii="宋体" w:hAnsi="宋体" w:cs="宋体"/>
          <w:color w:val="auto"/>
          <w:sz w:val="24"/>
        </w:rPr>
        <w:t>法定代表人或授权委托人（签字或盖章）：</w:t>
      </w:r>
    </w:p>
    <w:p>
      <w:pPr>
        <w:spacing w:line="400" w:lineRule="exact"/>
        <w:ind w:right="480" w:firstLine="480" w:firstLineChars="200"/>
        <w:jc w:val="right"/>
        <w:rPr>
          <w:rFonts w:ascii="宋体" w:hAnsi="宋体" w:cs="宋体"/>
          <w:b/>
          <w:color w:val="auto"/>
          <w:sz w:val="24"/>
        </w:rPr>
      </w:pPr>
      <w:r>
        <w:rPr>
          <w:rFonts w:hint="eastAsia" w:ascii="宋体" w:hAnsi="宋体" w:cs="宋体"/>
          <w:bCs/>
          <w:color w:val="auto"/>
          <w:sz w:val="24"/>
        </w:rPr>
        <w:t>年  月  日</w:t>
      </w:r>
    </w:p>
    <w:p>
      <w:pPr>
        <w:spacing w:line="420" w:lineRule="exact"/>
        <w:rPr>
          <w:rFonts w:ascii="宋体" w:hAnsi="宋体" w:cs="宋体"/>
          <w:b/>
          <w:bCs/>
          <w:color w:val="auto"/>
          <w:sz w:val="28"/>
          <w:szCs w:val="28"/>
        </w:rPr>
      </w:pPr>
    </w:p>
    <w:p>
      <w:pPr>
        <w:jc w:val="left"/>
        <w:rPr>
          <w:rFonts w:ascii="宋体" w:hAnsi="宋体" w:cs="宋体"/>
          <w:color w:val="auto"/>
          <w:sz w:val="24"/>
        </w:rPr>
      </w:pPr>
    </w:p>
    <w:p>
      <w:pPr>
        <w:jc w:val="left"/>
        <w:rPr>
          <w:rFonts w:ascii="宋体" w:hAnsi="宋体" w:cs="宋体"/>
          <w:color w:val="auto"/>
          <w:sz w:val="24"/>
        </w:rPr>
      </w:pPr>
    </w:p>
    <w:p>
      <w:pPr>
        <w:jc w:val="left"/>
        <w:rPr>
          <w:rFonts w:ascii="宋体" w:hAnsi="宋体" w:cs="宋体"/>
          <w:color w:val="auto"/>
          <w:sz w:val="24"/>
        </w:rPr>
      </w:pPr>
    </w:p>
    <w:p>
      <w:pPr>
        <w:pageBreakBefore/>
        <w:jc w:val="center"/>
        <w:rPr>
          <w:rFonts w:ascii="宋体" w:hAnsi="宋体" w:cs="宋体"/>
          <w:b/>
          <w:color w:val="auto"/>
          <w:sz w:val="28"/>
          <w:szCs w:val="28"/>
        </w:rPr>
      </w:pPr>
      <w:r>
        <w:rPr>
          <w:rFonts w:hint="eastAsia" w:ascii="宋体" w:hAnsi="宋体" w:cs="宋体"/>
          <w:b/>
          <w:color w:val="auto"/>
          <w:sz w:val="28"/>
          <w:szCs w:val="28"/>
        </w:rPr>
        <w:t>1</w:t>
      </w:r>
      <w:r>
        <w:rPr>
          <w:rFonts w:hint="eastAsia" w:ascii="宋体" w:hAnsi="宋体" w:cs="宋体"/>
          <w:b/>
          <w:color w:val="auto"/>
          <w:sz w:val="28"/>
          <w:szCs w:val="28"/>
          <w:lang w:val="en-US" w:eastAsia="zh-CN"/>
        </w:rPr>
        <w:t>2</w:t>
      </w:r>
      <w:r>
        <w:rPr>
          <w:rFonts w:hint="eastAsia" w:ascii="宋体" w:hAnsi="宋体" w:cs="宋体"/>
          <w:b/>
          <w:color w:val="auto"/>
          <w:sz w:val="28"/>
          <w:szCs w:val="28"/>
        </w:rPr>
        <w:t>、资格性/符合性自查表</w:t>
      </w:r>
    </w:p>
    <w:tbl>
      <w:tblPr>
        <w:tblStyle w:val="20"/>
        <w:tblW w:w="9162"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37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13" w:hRule="exact"/>
        </w:trPr>
        <w:tc>
          <w:tcPr>
            <w:tcW w:w="1391"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ascii="宋体" w:hAnsi="宋体" w:cs="宋体"/>
                <w:color w:val="auto"/>
                <w:sz w:val="24"/>
              </w:rPr>
            </w:pPr>
            <w:r>
              <w:rPr>
                <w:rFonts w:hint="eastAsia" w:ascii="宋体" w:hAnsi="宋体" w:cs="宋体"/>
                <w:b/>
                <w:bCs/>
                <w:color w:val="auto"/>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ascii="宋体" w:hAnsi="宋体" w:cs="宋体"/>
                <w:color w:val="auto"/>
                <w:sz w:val="24"/>
              </w:rPr>
            </w:pPr>
            <w:r>
              <w:rPr>
                <w:rFonts w:hint="eastAsia" w:ascii="宋体" w:hAnsi="宋体" w:cs="宋体"/>
                <w:b/>
                <w:bCs/>
                <w:color w:val="auto"/>
                <w:spacing w:val="10"/>
                <w:sz w:val="24"/>
                <w:lang w:eastAsia="zh-CN"/>
              </w:rPr>
              <w:t>招标</w:t>
            </w:r>
            <w:r>
              <w:rPr>
                <w:rFonts w:hint="eastAsia" w:ascii="宋体" w:hAnsi="宋体" w:cs="宋体"/>
                <w:b/>
                <w:bCs/>
                <w:color w:val="auto"/>
                <w:spacing w:val="10"/>
                <w:sz w:val="24"/>
              </w:rPr>
              <w:t>文件要求</w:t>
            </w:r>
            <w:r>
              <w:rPr>
                <w:rFonts w:hint="eastAsia" w:ascii="宋体" w:hAnsi="宋体" w:cs="宋体"/>
                <w:color w:val="auto"/>
              </w:rPr>
              <w:br w:type="textWrapping"/>
            </w:r>
            <w:r>
              <w:rPr>
                <w:rFonts w:hint="eastAsia" w:ascii="宋体" w:hAnsi="宋体" w:cs="宋体"/>
                <w:color w:val="auto"/>
                <w:sz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ascii="宋体" w:hAnsi="宋体" w:cs="宋体"/>
                <w:color w:val="auto"/>
                <w:sz w:val="24"/>
              </w:rPr>
            </w:pPr>
            <w:r>
              <w:rPr>
                <w:rFonts w:hint="eastAsia" w:ascii="宋体" w:hAnsi="宋体" w:cs="宋体"/>
                <w:b/>
                <w:bCs/>
                <w:color w:val="auto"/>
                <w:spacing w:val="10"/>
                <w:sz w:val="24"/>
              </w:rPr>
              <w:t>自查结论</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ascii="宋体" w:hAnsi="宋体" w:cs="宋体"/>
                <w:color w:val="auto"/>
                <w:sz w:val="24"/>
              </w:rPr>
            </w:pPr>
            <w:r>
              <w:rPr>
                <w:rFonts w:hint="eastAsia" w:ascii="宋体" w:hAnsi="宋体" w:cs="宋体"/>
                <w:b/>
                <w:bCs/>
                <w:color w:val="auto"/>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投标文件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投标文件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投标文件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投标文件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投标文件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投标文件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投标文件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投标文件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投标文件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投标文件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投标文件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投标文件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投标文件</w:t>
            </w:r>
            <w:r>
              <w:rPr>
                <w:rFonts w:hint="eastAsia" w:ascii="宋体" w:hAnsi="宋体" w:cs="宋体"/>
                <w:color w:val="auto"/>
                <w:sz w:val="24"/>
              </w:rPr>
              <w:t>第（）页</w:t>
            </w:r>
          </w:p>
        </w:tc>
      </w:tr>
    </w:tbl>
    <w:p>
      <w:pPr>
        <w:spacing w:line="360" w:lineRule="auto"/>
        <w:jc w:val="left"/>
        <w:rPr>
          <w:rFonts w:ascii="宋体" w:hAnsi="宋体" w:cs="宋体"/>
          <w:color w:val="auto"/>
          <w:sz w:val="24"/>
        </w:rPr>
      </w:pPr>
      <w:r>
        <w:rPr>
          <w:rFonts w:hint="eastAsia" w:ascii="宋体" w:hAnsi="宋体" w:cs="宋体"/>
          <w:color w:val="auto"/>
          <w:sz w:val="24"/>
        </w:rPr>
        <w:t>注：1、以上材料将作为</w:t>
      </w:r>
      <w:r>
        <w:rPr>
          <w:rFonts w:hint="eastAsia" w:ascii="宋体" w:hAnsi="宋体" w:cs="宋体"/>
          <w:color w:val="auto"/>
          <w:sz w:val="24"/>
          <w:lang w:eastAsia="zh-CN"/>
        </w:rPr>
        <w:t>投标</w:t>
      </w:r>
      <w:r>
        <w:rPr>
          <w:rFonts w:hint="eastAsia" w:ascii="宋体" w:hAnsi="宋体" w:cs="宋体"/>
          <w:color w:val="auto"/>
          <w:sz w:val="24"/>
        </w:rPr>
        <w:t>供应商有效性审核的重要内容之一，供应商必须严格按照其内容及序列要求在</w:t>
      </w:r>
      <w:r>
        <w:rPr>
          <w:rFonts w:hint="eastAsia" w:ascii="宋体" w:hAnsi="宋体" w:cs="宋体"/>
          <w:color w:val="auto"/>
          <w:sz w:val="24"/>
          <w:lang w:eastAsia="zh-CN"/>
        </w:rPr>
        <w:t>投标文件</w:t>
      </w:r>
      <w:r>
        <w:rPr>
          <w:rFonts w:hint="eastAsia" w:ascii="宋体" w:hAnsi="宋体" w:cs="宋体"/>
          <w:color w:val="auto"/>
          <w:sz w:val="24"/>
        </w:rPr>
        <w:t>中对应如实提供，对资格性和符合性证明文件的任何缺漏和不符合项将会直接导致</w:t>
      </w:r>
      <w:r>
        <w:rPr>
          <w:rFonts w:hint="eastAsia" w:ascii="宋体" w:hAnsi="宋体" w:cs="宋体"/>
          <w:color w:val="auto"/>
          <w:sz w:val="24"/>
          <w:lang w:eastAsia="zh-CN"/>
        </w:rPr>
        <w:t>投标文件</w:t>
      </w:r>
      <w:r>
        <w:rPr>
          <w:rFonts w:hint="eastAsia" w:ascii="宋体" w:hAnsi="宋体" w:cs="宋体"/>
          <w:color w:val="auto"/>
          <w:sz w:val="24"/>
        </w:rPr>
        <w:t>无效！供应商根据自查结论在对应的□打“√”。</w:t>
      </w:r>
    </w:p>
    <w:p>
      <w:pPr>
        <w:spacing w:line="360" w:lineRule="auto"/>
        <w:ind w:firstLine="480" w:firstLineChars="200"/>
        <w:jc w:val="left"/>
        <w:rPr>
          <w:rFonts w:ascii="宋体" w:hAnsi="宋体" w:cs="宋体"/>
          <w:b/>
          <w:bCs/>
          <w:color w:val="auto"/>
          <w:sz w:val="28"/>
          <w:szCs w:val="28"/>
        </w:rPr>
      </w:pPr>
      <w:r>
        <w:rPr>
          <w:rFonts w:hint="eastAsia" w:ascii="宋体" w:hAnsi="宋体" w:cs="宋体"/>
          <w:color w:val="auto"/>
          <w:sz w:val="24"/>
        </w:rPr>
        <w:t>2、各供应商按此表格式填写，表格不够时可自行添加。</w:t>
      </w:r>
    </w:p>
    <w:p>
      <w:pPr>
        <w:spacing w:line="360" w:lineRule="auto"/>
        <w:rPr>
          <w:rFonts w:ascii="宋体" w:hAnsi="宋体" w:cs="宋体"/>
          <w:b/>
          <w:bCs/>
          <w:color w:val="auto"/>
          <w:sz w:val="30"/>
          <w:szCs w:val="30"/>
        </w:rPr>
      </w:pPr>
    </w:p>
    <w:p>
      <w:pPr>
        <w:spacing w:line="360" w:lineRule="auto"/>
        <w:jc w:val="center"/>
        <w:rPr>
          <w:rFonts w:ascii="宋体" w:hAnsi="宋体" w:cs="宋体"/>
          <w:b/>
          <w:bCs/>
          <w:color w:val="auto"/>
          <w:sz w:val="30"/>
          <w:szCs w:val="30"/>
        </w:rPr>
      </w:pPr>
      <w:r>
        <w:rPr>
          <w:rFonts w:hint="eastAsia" w:ascii="宋体" w:hAnsi="宋体" w:cs="宋体"/>
          <w:b/>
          <w:bCs/>
          <w:color w:val="auto"/>
          <w:sz w:val="30"/>
          <w:szCs w:val="30"/>
        </w:rPr>
        <w:t>第六章、评标标准（综合评估法）</w:t>
      </w:r>
    </w:p>
    <w:p>
      <w:pPr>
        <w:spacing w:line="360" w:lineRule="auto"/>
        <w:rPr>
          <w:rFonts w:ascii="宋体" w:hAnsi="宋体" w:cs="宋体"/>
          <w:b/>
          <w:bCs/>
          <w:color w:val="auto"/>
          <w:sz w:val="24"/>
        </w:rPr>
      </w:pPr>
      <w:r>
        <w:rPr>
          <w:rFonts w:hint="eastAsia" w:ascii="宋体" w:hAnsi="宋体" w:cs="宋体"/>
          <w:b/>
          <w:bCs/>
          <w:color w:val="auto"/>
          <w:sz w:val="24"/>
        </w:rPr>
        <w:t>一、初审</w:t>
      </w:r>
    </w:p>
    <w:p>
      <w:pPr>
        <w:spacing w:line="360" w:lineRule="auto"/>
        <w:rPr>
          <w:rFonts w:ascii="宋体" w:hAnsi="宋体" w:cs="宋体"/>
          <w:b/>
          <w:bCs/>
          <w:color w:val="auto"/>
          <w:sz w:val="24"/>
        </w:rPr>
      </w:pPr>
      <w:r>
        <w:rPr>
          <w:rFonts w:hint="eastAsia" w:ascii="宋体" w:hAnsi="宋体" w:cs="宋体"/>
          <w:b/>
          <w:bCs/>
          <w:color w:val="auto"/>
          <w:sz w:val="24"/>
        </w:rPr>
        <w:t>1、资格性审查</w:t>
      </w:r>
    </w:p>
    <w:tbl>
      <w:tblPr>
        <w:tblStyle w:val="20"/>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885"/>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07" w:type="dxa"/>
            <w:noWrap w:val="0"/>
            <w:vAlign w:val="center"/>
          </w:tcPr>
          <w:p>
            <w:pPr>
              <w:spacing w:line="288" w:lineRule="auto"/>
              <w:jc w:val="center"/>
              <w:rPr>
                <w:rFonts w:ascii="宋体" w:hAnsi="宋体" w:cs="宋体"/>
                <w:color w:val="auto"/>
                <w:szCs w:val="21"/>
              </w:rPr>
            </w:pPr>
            <w:r>
              <w:rPr>
                <w:rFonts w:hint="eastAsia" w:ascii="宋体" w:hAnsi="宋体" w:cs="宋体"/>
                <w:color w:val="auto"/>
                <w:szCs w:val="21"/>
              </w:rPr>
              <w:t>序号</w:t>
            </w:r>
          </w:p>
        </w:tc>
        <w:tc>
          <w:tcPr>
            <w:tcW w:w="5885" w:type="dxa"/>
            <w:noWrap w:val="0"/>
            <w:vAlign w:val="center"/>
          </w:tcPr>
          <w:p>
            <w:pPr>
              <w:spacing w:line="288" w:lineRule="auto"/>
              <w:jc w:val="center"/>
              <w:rPr>
                <w:rFonts w:ascii="宋体" w:hAnsi="宋体" w:cs="宋体"/>
                <w:color w:val="auto"/>
                <w:szCs w:val="21"/>
              </w:rPr>
            </w:pPr>
            <w:r>
              <w:rPr>
                <w:rFonts w:hint="eastAsia" w:ascii="宋体" w:hAnsi="宋体" w:cs="宋体"/>
                <w:color w:val="auto"/>
                <w:szCs w:val="21"/>
              </w:rPr>
              <w:t>评审因素</w:t>
            </w:r>
          </w:p>
        </w:tc>
        <w:tc>
          <w:tcPr>
            <w:tcW w:w="3041" w:type="dxa"/>
            <w:noWrap w:val="0"/>
            <w:vAlign w:val="center"/>
          </w:tcPr>
          <w:p>
            <w:pPr>
              <w:spacing w:line="288" w:lineRule="auto"/>
              <w:jc w:val="center"/>
              <w:rPr>
                <w:rFonts w:ascii="宋体" w:hAnsi="宋体" w:cs="宋体"/>
                <w:color w:val="auto"/>
                <w:szCs w:val="21"/>
              </w:rPr>
            </w:pPr>
            <w:r>
              <w:rPr>
                <w:rFonts w:hint="eastAsia" w:ascii="宋体" w:hAnsi="宋体" w:cs="宋体"/>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707" w:type="dxa"/>
            <w:noWrap w:val="0"/>
            <w:vAlign w:val="center"/>
          </w:tcPr>
          <w:p>
            <w:pPr>
              <w:spacing w:line="288" w:lineRule="auto"/>
              <w:jc w:val="center"/>
              <w:rPr>
                <w:rFonts w:hint="eastAsia" w:ascii="宋体" w:hAnsi="宋体" w:cs="宋体"/>
                <w:color w:val="auto"/>
                <w:szCs w:val="21"/>
                <w:lang w:val="en-US" w:eastAsia="zh-CN"/>
              </w:rPr>
            </w:pPr>
            <w:r>
              <w:rPr>
                <w:rFonts w:hint="eastAsia" w:ascii="宋体" w:hAnsi="宋体" w:cs="宋体"/>
                <w:color w:val="auto"/>
                <w:szCs w:val="21"/>
                <w:lang w:val="en-US" w:eastAsia="zh-CN"/>
              </w:rPr>
              <w:t>1</w:t>
            </w:r>
          </w:p>
        </w:tc>
        <w:tc>
          <w:tcPr>
            <w:tcW w:w="5885" w:type="dxa"/>
            <w:noWrap w:val="0"/>
            <w:vAlign w:val="center"/>
          </w:tcPr>
          <w:p>
            <w:pPr>
              <w:spacing w:line="288" w:lineRule="auto"/>
              <w:rPr>
                <w:rFonts w:hint="eastAsia" w:ascii="宋体" w:hAnsi="宋体" w:cs="宋体"/>
                <w:color w:val="auto"/>
                <w:szCs w:val="21"/>
                <w:lang w:val="zh-CN"/>
              </w:rPr>
            </w:pPr>
            <w:r>
              <w:rPr>
                <w:rFonts w:hint="eastAsia" w:ascii="宋体" w:hAnsi="宋体" w:cs="宋体"/>
                <w:color w:val="auto"/>
                <w:szCs w:val="21"/>
                <w:lang w:val="zh-CN"/>
              </w:rPr>
              <w:t>供应商须符合《中华人民共和国政府采购法》第二十二条</w:t>
            </w:r>
          </w:p>
        </w:tc>
        <w:tc>
          <w:tcPr>
            <w:tcW w:w="3041" w:type="dxa"/>
            <w:noWrap w:val="0"/>
            <w:vAlign w:val="center"/>
          </w:tcPr>
          <w:p>
            <w:pPr>
              <w:spacing w:line="288" w:lineRule="auto"/>
              <w:rPr>
                <w:rFonts w:hint="eastAsia" w:ascii="宋体" w:hAnsi="宋体" w:cs="宋体"/>
                <w:color w:val="auto"/>
                <w:szCs w:val="21"/>
                <w:lang w:val="zh-CN"/>
              </w:rPr>
            </w:pPr>
            <w:r>
              <w:rPr>
                <w:rFonts w:hint="eastAsia" w:ascii="宋体" w:hAnsi="宋体" w:cs="宋体"/>
                <w:color w:val="auto"/>
                <w:szCs w:val="21"/>
                <w:lang w:val="en-US" w:eastAsia="zh-CN"/>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trPr>
        <w:tc>
          <w:tcPr>
            <w:tcW w:w="707" w:type="dxa"/>
            <w:noWrap w:val="0"/>
            <w:vAlign w:val="center"/>
          </w:tcPr>
          <w:p>
            <w:pPr>
              <w:spacing w:line="288" w:lineRule="auto"/>
              <w:jc w:val="center"/>
              <w:rPr>
                <w:rFonts w:ascii="宋体" w:hAnsi="宋体" w:cs="宋体"/>
                <w:color w:val="auto"/>
                <w:szCs w:val="21"/>
              </w:rPr>
            </w:pPr>
            <w:r>
              <w:rPr>
                <w:rFonts w:hint="eastAsia" w:ascii="宋体" w:hAnsi="宋体" w:cs="宋体"/>
                <w:color w:val="auto"/>
                <w:szCs w:val="21"/>
              </w:rPr>
              <w:t>2</w:t>
            </w:r>
          </w:p>
        </w:tc>
        <w:tc>
          <w:tcPr>
            <w:tcW w:w="5885" w:type="dxa"/>
            <w:noWrap w:val="0"/>
            <w:vAlign w:val="center"/>
          </w:tcPr>
          <w:p>
            <w:pPr>
              <w:spacing w:line="288" w:lineRule="auto"/>
              <w:rPr>
                <w:rFonts w:ascii="宋体" w:hAnsi="宋体" w:cs="宋体"/>
                <w:color w:val="auto"/>
                <w:szCs w:val="21"/>
                <w:lang w:val="zh-CN"/>
              </w:rPr>
            </w:pPr>
            <w:r>
              <w:rPr>
                <w:rFonts w:hint="eastAsia" w:ascii="宋体" w:hAnsi="宋体" w:cs="宋体"/>
                <w:color w:val="auto"/>
                <w:szCs w:val="21"/>
                <w:lang w:val="zh-CN"/>
              </w:rPr>
              <w:t>在中华人民共和国境内注册，具有独立法人资格并依法取得企业营业执照且营业执照在有效期内</w:t>
            </w:r>
            <w:r>
              <w:rPr>
                <w:rFonts w:hint="eastAsia" w:ascii="宋体" w:hAnsi="宋体" w:cs="宋体"/>
                <w:color w:val="auto"/>
                <w:szCs w:val="21"/>
                <w:lang w:val="zh-CN" w:eastAsia="zh-CN"/>
              </w:rPr>
              <w:t>（</w:t>
            </w:r>
            <w:r>
              <w:rPr>
                <w:rFonts w:hint="eastAsia" w:ascii="宋体" w:hAnsi="宋体" w:cs="宋体"/>
                <w:color w:val="auto"/>
                <w:szCs w:val="21"/>
                <w:lang w:val="en-US" w:eastAsia="zh-CN"/>
              </w:rPr>
              <w:t>经营范围具有与本项目相关的采购内容</w:t>
            </w:r>
            <w:r>
              <w:rPr>
                <w:rFonts w:hint="eastAsia" w:ascii="宋体" w:hAnsi="宋体" w:cs="宋体"/>
                <w:color w:val="auto"/>
                <w:szCs w:val="21"/>
                <w:lang w:val="zh-CN" w:eastAsia="zh-CN"/>
              </w:rPr>
              <w:t>）</w:t>
            </w:r>
          </w:p>
        </w:tc>
        <w:tc>
          <w:tcPr>
            <w:tcW w:w="3041" w:type="dxa"/>
            <w:noWrap w:val="0"/>
            <w:vAlign w:val="center"/>
          </w:tcPr>
          <w:p>
            <w:pPr>
              <w:spacing w:line="288" w:lineRule="auto"/>
              <w:rPr>
                <w:rFonts w:ascii="宋体" w:hAnsi="宋体" w:cs="宋体"/>
                <w:color w:val="auto"/>
                <w:szCs w:val="21"/>
                <w:lang w:val="zh-CN"/>
              </w:rPr>
            </w:pPr>
            <w:r>
              <w:rPr>
                <w:rFonts w:hint="eastAsia" w:ascii="宋体" w:hAnsi="宋体" w:cs="宋体"/>
                <w:color w:val="auto"/>
                <w:szCs w:val="21"/>
                <w:lang w:val="zh-CN"/>
              </w:rPr>
              <w:t>符合本招标文件规定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07" w:type="dxa"/>
            <w:noWrap w:val="0"/>
            <w:vAlign w:val="center"/>
          </w:tcPr>
          <w:p>
            <w:pPr>
              <w:spacing w:line="288" w:lineRule="auto"/>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5885" w:type="dxa"/>
            <w:noWrap w:val="0"/>
            <w:vAlign w:val="center"/>
          </w:tcPr>
          <w:p>
            <w:pPr>
              <w:spacing w:line="288" w:lineRule="auto"/>
              <w:rPr>
                <w:rFonts w:ascii="宋体" w:hAnsi="宋体" w:cs="宋体"/>
                <w:color w:val="auto"/>
                <w:szCs w:val="21"/>
                <w:lang w:val="zh-CN"/>
              </w:rPr>
            </w:pPr>
            <w:r>
              <w:rPr>
                <w:rFonts w:hint="eastAsia" w:ascii="宋体" w:hAnsi="宋体" w:cs="宋体"/>
                <w:color w:val="auto"/>
                <w:szCs w:val="21"/>
                <w:lang w:val="zh-CN"/>
              </w:rPr>
              <w:t>联合体</w:t>
            </w:r>
          </w:p>
        </w:tc>
        <w:tc>
          <w:tcPr>
            <w:tcW w:w="3041" w:type="dxa"/>
            <w:noWrap w:val="0"/>
            <w:vAlign w:val="center"/>
          </w:tcPr>
          <w:p>
            <w:pPr>
              <w:spacing w:line="288" w:lineRule="auto"/>
              <w:rPr>
                <w:rFonts w:ascii="宋体" w:hAnsi="宋体" w:cs="宋体"/>
                <w:color w:val="auto"/>
                <w:szCs w:val="21"/>
                <w:lang w:val="zh-CN"/>
              </w:rPr>
            </w:pPr>
            <w:r>
              <w:rPr>
                <w:rFonts w:hint="eastAsia" w:ascii="宋体" w:hAnsi="宋体" w:cs="宋体"/>
                <w:color w:val="auto"/>
                <w:szCs w:val="21"/>
                <w:lang w:val="zh-CN"/>
              </w:rPr>
              <w:t>不接受联合体供应商</w:t>
            </w:r>
          </w:p>
        </w:tc>
      </w:tr>
    </w:tbl>
    <w:p>
      <w:pPr>
        <w:spacing w:line="360" w:lineRule="auto"/>
        <w:rPr>
          <w:rFonts w:ascii="宋体" w:hAnsi="宋体" w:cs="宋体"/>
          <w:b/>
          <w:bCs/>
          <w:color w:val="auto"/>
          <w:sz w:val="24"/>
        </w:rPr>
      </w:pPr>
      <w:r>
        <w:rPr>
          <w:rFonts w:hint="eastAsia" w:ascii="宋体" w:hAnsi="宋体" w:cs="宋体"/>
          <w:b/>
          <w:bCs/>
          <w:color w:val="auto"/>
          <w:sz w:val="24"/>
        </w:rPr>
        <w:t>2、符合性审查</w:t>
      </w:r>
    </w:p>
    <w:tbl>
      <w:tblPr>
        <w:tblStyle w:val="20"/>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51"/>
        <w:gridCol w:w="2686"/>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16" w:type="dxa"/>
            <w:vAlign w:val="center"/>
          </w:tcPr>
          <w:p>
            <w:pPr>
              <w:spacing w:line="500" w:lineRule="exact"/>
              <w:jc w:val="center"/>
              <w:rPr>
                <w:rFonts w:ascii="宋体" w:hAnsi="宋体" w:cs="宋体"/>
                <w:color w:val="auto"/>
                <w:kern w:val="0"/>
                <w:szCs w:val="21"/>
              </w:rPr>
            </w:pPr>
            <w:r>
              <w:rPr>
                <w:rFonts w:hint="eastAsia" w:ascii="宋体" w:hAnsi="宋体" w:cs="宋体"/>
                <w:color w:val="auto"/>
                <w:kern w:val="0"/>
                <w:szCs w:val="21"/>
              </w:rPr>
              <w:t>序号</w:t>
            </w:r>
          </w:p>
        </w:tc>
        <w:tc>
          <w:tcPr>
            <w:tcW w:w="3737" w:type="dxa"/>
            <w:gridSpan w:val="2"/>
            <w:vAlign w:val="center"/>
          </w:tcPr>
          <w:p>
            <w:pPr>
              <w:spacing w:line="500" w:lineRule="exact"/>
              <w:jc w:val="center"/>
              <w:rPr>
                <w:rFonts w:ascii="宋体" w:hAnsi="宋体" w:cs="宋体"/>
                <w:color w:val="auto"/>
                <w:kern w:val="0"/>
                <w:szCs w:val="21"/>
              </w:rPr>
            </w:pPr>
            <w:r>
              <w:rPr>
                <w:rFonts w:hint="eastAsia" w:ascii="宋体" w:hAnsi="宋体" w:cs="宋体"/>
                <w:color w:val="auto"/>
                <w:kern w:val="0"/>
                <w:szCs w:val="21"/>
              </w:rPr>
              <w:t>评审因素</w:t>
            </w:r>
          </w:p>
        </w:tc>
        <w:tc>
          <w:tcPr>
            <w:tcW w:w="5180" w:type="dxa"/>
            <w:vAlign w:val="center"/>
          </w:tcPr>
          <w:p>
            <w:pPr>
              <w:spacing w:line="500" w:lineRule="exact"/>
              <w:jc w:val="center"/>
              <w:rPr>
                <w:rFonts w:ascii="宋体" w:hAnsi="宋体" w:cs="宋体"/>
                <w:color w:val="auto"/>
                <w:kern w:val="0"/>
                <w:szCs w:val="21"/>
              </w:rPr>
            </w:pPr>
            <w:r>
              <w:rPr>
                <w:rFonts w:hint="eastAsia" w:ascii="宋体" w:hAnsi="宋体" w:cs="宋体"/>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6" w:type="dxa"/>
            <w:vAlign w:val="center"/>
          </w:tcPr>
          <w:p>
            <w:pPr>
              <w:spacing w:line="500" w:lineRule="exact"/>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1</w:t>
            </w:r>
          </w:p>
        </w:tc>
        <w:tc>
          <w:tcPr>
            <w:tcW w:w="1051" w:type="dxa"/>
            <w:vAlign w:val="center"/>
          </w:tcPr>
          <w:p>
            <w:pPr>
              <w:spacing w:line="500" w:lineRule="exact"/>
              <w:jc w:val="center"/>
              <w:rPr>
                <w:rFonts w:hint="eastAsia" w:ascii="宋体" w:hAnsi="宋体" w:cs="宋体"/>
                <w:color w:val="auto"/>
                <w:kern w:val="0"/>
                <w:szCs w:val="21"/>
              </w:rPr>
            </w:pPr>
            <w:r>
              <w:rPr>
                <w:rFonts w:hint="eastAsia" w:ascii="宋体" w:hAnsi="宋体" w:cs="宋体"/>
                <w:color w:val="auto"/>
                <w:kern w:val="0"/>
                <w:szCs w:val="21"/>
                <w:lang w:val="en-US" w:eastAsia="zh-CN"/>
              </w:rPr>
              <w:t>投标报价</w:t>
            </w:r>
          </w:p>
        </w:tc>
        <w:tc>
          <w:tcPr>
            <w:tcW w:w="268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lang w:val="zh-CN"/>
              </w:rPr>
            </w:pPr>
            <w:r>
              <w:rPr>
                <w:rFonts w:hint="eastAsia" w:ascii="宋体" w:hAnsi="宋体" w:cs="宋体"/>
                <w:color w:val="auto"/>
                <w:szCs w:val="21"/>
              </w:rPr>
              <w:t>采购项目</w:t>
            </w:r>
            <w:r>
              <w:rPr>
                <w:rFonts w:hint="eastAsia" w:ascii="宋体" w:hAnsi="宋体" w:cs="宋体"/>
                <w:color w:val="auto"/>
                <w:szCs w:val="21"/>
                <w:lang w:eastAsia="zh-CN"/>
              </w:rPr>
              <w:t>总</w:t>
            </w:r>
            <w:r>
              <w:rPr>
                <w:rFonts w:hint="eastAsia" w:ascii="宋体" w:hAnsi="宋体" w:cs="宋体"/>
                <w:color w:val="auto"/>
                <w:szCs w:val="21"/>
              </w:rPr>
              <w:t>预算</w:t>
            </w:r>
            <w:r>
              <w:rPr>
                <w:rFonts w:hint="eastAsia" w:ascii="宋体" w:hAnsi="宋体" w:cs="宋体"/>
                <w:color w:val="auto"/>
                <w:szCs w:val="21"/>
                <w:lang w:val="en-US" w:eastAsia="zh-CN"/>
              </w:rPr>
              <w:t>：¥160万元（大写：人民币壹佰陆拾万元整）</w:t>
            </w:r>
          </w:p>
        </w:tc>
        <w:tc>
          <w:tcPr>
            <w:tcW w:w="518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lang w:val="zh-CN"/>
              </w:rPr>
            </w:pPr>
            <w:r>
              <w:rPr>
                <w:rFonts w:hint="eastAsia" w:ascii="宋体" w:hAnsi="宋体" w:cs="宋体"/>
                <w:color w:val="auto"/>
                <w:szCs w:val="21"/>
              </w:rPr>
              <w:t>供应商的商务报价如超过采购预算，则该供应商的</w:t>
            </w:r>
            <w:r>
              <w:rPr>
                <w:rFonts w:hint="eastAsia" w:ascii="宋体" w:hAnsi="宋体" w:cs="宋体"/>
                <w:color w:val="auto"/>
                <w:szCs w:val="21"/>
                <w:lang w:eastAsia="zh-CN"/>
              </w:rPr>
              <w:t>投标文件</w:t>
            </w:r>
            <w:r>
              <w:rPr>
                <w:rFonts w:hint="eastAsia" w:ascii="宋体" w:hAnsi="宋体" w:cs="宋体"/>
                <w:color w:val="auto"/>
                <w:szCs w:val="21"/>
              </w:rPr>
              <w:t>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6" w:type="dxa"/>
            <w:vMerge w:val="restart"/>
            <w:vAlign w:val="center"/>
          </w:tcPr>
          <w:p>
            <w:pPr>
              <w:spacing w:line="50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2</w:t>
            </w:r>
          </w:p>
        </w:tc>
        <w:tc>
          <w:tcPr>
            <w:tcW w:w="1051" w:type="dxa"/>
            <w:vMerge w:val="restart"/>
            <w:vAlign w:val="center"/>
          </w:tcPr>
          <w:p>
            <w:pPr>
              <w:spacing w:line="500" w:lineRule="exact"/>
              <w:jc w:val="center"/>
              <w:rPr>
                <w:rFonts w:ascii="宋体" w:hAnsi="宋体" w:cs="宋体"/>
                <w:color w:val="auto"/>
                <w:kern w:val="0"/>
                <w:szCs w:val="21"/>
              </w:rPr>
            </w:pPr>
            <w:r>
              <w:rPr>
                <w:rFonts w:hint="eastAsia" w:ascii="宋体" w:hAnsi="宋体" w:cs="宋体"/>
                <w:color w:val="auto"/>
                <w:kern w:val="0"/>
                <w:szCs w:val="21"/>
              </w:rPr>
              <w:t>有效性审查</w:t>
            </w:r>
          </w:p>
        </w:tc>
        <w:tc>
          <w:tcPr>
            <w:tcW w:w="2686" w:type="dxa"/>
            <w:vAlign w:val="center"/>
          </w:tcPr>
          <w:p>
            <w:pPr>
              <w:spacing w:line="500" w:lineRule="exact"/>
              <w:rPr>
                <w:rFonts w:ascii="宋体" w:hAnsi="宋体" w:cs="宋体"/>
                <w:color w:val="auto"/>
                <w:kern w:val="0"/>
                <w:szCs w:val="21"/>
              </w:rPr>
            </w:pPr>
            <w:r>
              <w:rPr>
                <w:rFonts w:hint="eastAsia" w:ascii="宋体" w:hAnsi="宋体" w:cs="宋体"/>
                <w:color w:val="auto"/>
                <w:szCs w:val="21"/>
                <w:lang w:val="zh-CN"/>
              </w:rPr>
              <w:t>投标文件</w:t>
            </w:r>
            <w:r>
              <w:rPr>
                <w:rFonts w:hint="eastAsia" w:ascii="宋体" w:hAnsi="宋体" w:cs="宋体"/>
                <w:color w:val="auto"/>
                <w:szCs w:val="21"/>
              </w:rPr>
              <w:t>签署</w:t>
            </w:r>
          </w:p>
        </w:tc>
        <w:tc>
          <w:tcPr>
            <w:tcW w:w="518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kern w:val="0"/>
                <w:szCs w:val="21"/>
              </w:rPr>
            </w:pPr>
            <w:r>
              <w:rPr>
                <w:rFonts w:hint="eastAsia" w:ascii="宋体" w:hAnsi="宋体" w:cs="宋体"/>
                <w:color w:val="auto"/>
                <w:szCs w:val="21"/>
                <w:lang w:val="zh-CN"/>
              </w:rPr>
              <w:t>投标文件</w:t>
            </w:r>
            <w:r>
              <w:rPr>
                <w:rFonts w:hint="eastAsia" w:ascii="宋体" w:hAnsi="宋体" w:cs="宋体"/>
                <w:color w:val="auto"/>
                <w:szCs w:val="21"/>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16" w:type="dxa"/>
            <w:vMerge w:val="continue"/>
            <w:vAlign w:val="center"/>
          </w:tcPr>
          <w:p>
            <w:pPr>
              <w:spacing w:line="500" w:lineRule="exact"/>
              <w:jc w:val="center"/>
              <w:rPr>
                <w:rFonts w:ascii="宋体" w:hAnsi="宋体" w:cs="宋体"/>
                <w:color w:val="auto"/>
                <w:kern w:val="0"/>
                <w:szCs w:val="21"/>
              </w:rPr>
            </w:pPr>
          </w:p>
        </w:tc>
        <w:tc>
          <w:tcPr>
            <w:tcW w:w="1051" w:type="dxa"/>
            <w:vMerge w:val="continue"/>
            <w:vAlign w:val="center"/>
          </w:tcPr>
          <w:p>
            <w:pPr>
              <w:spacing w:line="500" w:lineRule="exact"/>
              <w:jc w:val="center"/>
              <w:rPr>
                <w:rFonts w:ascii="宋体" w:hAnsi="宋体" w:cs="宋体"/>
                <w:color w:val="auto"/>
                <w:kern w:val="0"/>
                <w:szCs w:val="21"/>
              </w:rPr>
            </w:pPr>
          </w:p>
        </w:tc>
        <w:tc>
          <w:tcPr>
            <w:tcW w:w="268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Cs w:val="21"/>
              </w:rPr>
            </w:pPr>
            <w:r>
              <w:rPr>
                <w:rFonts w:hint="eastAsia" w:ascii="宋体" w:hAnsi="宋体" w:cs="宋体"/>
                <w:color w:val="auto"/>
                <w:szCs w:val="21"/>
              </w:rPr>
              <w:t>法定代表人身份证明及授权委托书</w:t>
            </w:r>
          </w:p>
        </w:tc>
        <w:tc>
          <w:tcPr>
            <w:tcW w:w="518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Cs w:val="21"/>
              </w:rPr>
            </w:pPr>
            <w:r>
              <w:rPr>
                <w:rFonts w:hint="eastAsia" w:ascii="宋体" w:hAnsi="宋体" w:cs="宋体"/>
                <w:color w:val="auto"/>
                <w:szCs w:val="21"/>
              </w:rPr>
              <w:t>法定代表人身份证明及授权委托书有效，且符合</w:t>
            </w:r>
            <w:r>
              <w:rPr>
                <w:rFonts w:hint="eastAsia" w:ascii="宋体" w:hAnsi="宋体" w:cs="宋体"/>
                <w:color w:val="auto"/>
                <w:szCs w:val="21"/>
                <w:lang w:eastAsia="zh-CN"/>
              </w:rPr>
              <w:t>招标</w:t>
            </w:r>
            <w:r>
              <w:rPr>
                <w:rFonts w:hint="eastAsia" w:ascii="宋体" w:hAnsi="宋体" w:cs="宋体"/>
                <w:color w:val="auto"/>
                <w:szCs w:val="21"/>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16" w:type="dxa"/>
            <w:vMerge w:val="restart"/>
            <w:vAlign w:val="center"/>
          </w:tcPr>
          <w:p>
            <w:pPr>
              <w:spacing w:line="50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3</w:t>
            </w:r>
          </w:p>
        </w:tc>
        <w:tc>
          <w:tcPr>
            <w:tcW w:w="1051" w:type="dxa"/>
            <w:vMerge w:val="restart"/>
            <w:vAlign w:val="center"/>
          </w:tcPr>
          <w:p>
            <w:pPr>
              <w:spacing w:line="500" w:lineRule="exact"/>
              <w:jc w:val="center"/>
              <w:rPr>
                <w:rFonts w:ascii="宋体" w:hAnsi="宋体" w:cs="宋体"/>
                <w:color w:val="auto"/>
                <w:kern w:val="0"/>
                <w:szCs w:val="21"/>
              </w:rPr>
            </w:pPr>
            <w:r>
              <w:rPr>
                <w:rFonts w:hint="eastAsia" w:ascii="宋体" w:hAnsi="宋体" w:cs="宋体"/>
                <w:color w:val="auto"/>
                <w:kern w:val="0"/>
                <w:szCs w:val="21"/>
              </w:rPr>
              <w:t>完整性审查</w:t>
            </w:r>
          </w:p>
        </w:tc>
        <w:tc>
          <w:tcPr>
            <w:tcW w:w="2686" w:type="dxa"/>
            <w:vAlign w:val="center"/>
          </w:tcPr>
          <w:p>
            <w:pPr>
              <w:spacing w:line="500" w:lineRule="exact"/>
              <w:rPr>
                <w:rFonts w:ascii="宋体" w:hAnsi="宋体" w:cs="宋体"/>
                <w:color w:val="auto"/>
                <w:kern w:val="0"/>
                <w:szCs w:val="21"/>
              </w:rPr>
            </w:pPr>
            <w:r>
              <w:rPr>
                <w:rFonts w:hint="eastAsia" w:ascii="宋体" w:hAnsi="宋体" w:cs="宋体"/>
                <w:color w:val="auto"/>
                <w:szCs w:val="21"/>
                <w:lang w:val="zh-CN"/>
              </w:rPr>
              <w:t>投标文件份数</w:t>
            </w:r>
          </w:p>
        </w:tc>
        <w:tc>
          <w:tcPr>
            <w:tcW w:w="518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kern w:val="0"/>
                <w:szCs w:val="21"/>
              </w:rPr>
            </w:pPr>
            <w:r>
              <w:rPr>
                <w:rFonts w:hint="eastAsia" w:ascii="宋体" w:hAnsi="宋体" w:cs="宋体"/>
                <w:color w:val="auto"/>
                <w:szCs w:val="21"/>
                <w:lang w:val="zh-CN"/>
              </w:rPr>
              <w:t>投标文件</w:t>
            </w:r>
            <w:r>
              <w:rPr>
                <w:rFonts w:hint="eastAsia" w:ascii="宋体" w:hAnsi="宋体" w:cs="宋体"/>
                <w:color w:val="auto"/>
                <w:szCs w:val="21"/>
                <w:lang w:val="en-US" w:eastAsia="zh-CN"/>
              </w:rPr>
              <w:t>电子版是否</w:t>
            </w:r>
            <w:r>
              <w:rPr>
                <w:rFonts w:hint="eastAsia" w:ascii="宋体" w:hAnsi="宋体" w:cs="宋体"/>
                <w:color w:val="auto"/>
                <w:szCs w:val="21"/>
                <w:lang w:val="zh-CN"/>
              </w:rPr>
              <w:t>符合</w:t>
            </w:r>
            <w:r>
              <w:rPr>
                <w:rFonts w:hint="eastAsia" w:ascii="宋体" w:hAnsi="宋体" w:cs="宋体"/>
                <w:color w:val="auto"/>
                <w:kern w:val="0"/>
                <w:szCs w:val="21"/>
                <w:lang w:val="en-US" w:eastAsia="zh-CN"/>
              </w:rPr>
              <w:t>招标</w:t>
            </w:r>
            <w:r>
              <w:rPr>
                <w:rFonts w:hint="eastAsia" w:ascii="宋体" w:hAnsi="宋体" w:cs="宋体"/>
                <w:color w:val="auto"/>
                <w:kern w:val="0"/>
                <w:szCs w:val="21"/>
                <w:lang w:eastAsia="zh-CN"/>
              </w:rPr>
              <w:t>文件</w:t>
            </w:r>
            <w:r>
              <w:rPr>
                <w:rFonts w:hint="eastAsia" w:ascii="宋体" w:hAnsi="宋体" w:cs="宋体"/>
                <w:color w:val="auto"/>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16" w:type="dxa"/>
            <w:vMerge w:val="continue"/>
            <w:vAlign w:val="center"/>
          </w:tcPr>
          <w:p>
            <w:pPr>
              <w:spacing w:line="500" w:lineRule="exact"/>
              <w:jc w:val="center"/>
              <w:rPr>
                <w:rFonts w:ascii="宋体" w:hAnsi="宋体" w:cs="宋体"/>
                <w:color w:val="auto"/>
                <w:kern w:val="0"/>
                <w:szCs w:val="21"/>
              </w:rPr>
            </w:pPr>
          </w:p>
        </w:tc>
        <w:tc>
          <w:tcPr>
            <w:tcW w:w="1051" w:type="dxa"/>
            <w:vMerge w:val="continue"/>
            <w:vAlign w:val="center"/>
          </w:tcPr>
          <w:p>
            <w:pPr>
              <w:spacing w:line="500" w:lineRule="exact"/>
              <w:jc w:val="center"/>
              <w:rPr>
                <w:rFonts w:ascii="宋体" w:hAnsi="宋体" w:cs="宋体"/>
                <w:color w:val="auto"/>
                <w:kern w:val="0"/>
                <w:szCs w:val="21"/>
              </w:rPr>
            </w:pPr>
          </w:p>
        </w:tc>
        <w:tc>
          <w:tcPr>
            <w:tcW w:w="2686" w:type="dxa"/>
            <w:vAlign w:val="center"/>
          </w:tcPr>
          <w:p>
            <w:pPr>
              <w:spacing w:line="500" w:lineRule="exact"/>
              <w:rPr>
                <w:rFonts w:ascii="宋体" w:hAnsi="宋体" w:cs="宋体"/>
                <w:color w:val="auto"/>
                <w:szCs w:val="21"/>
                <w:lang w:val="zh-CN"/>
              </w:rPr>
            </w:pPr>
            <w:r>
              <w:rPr>
                <w:rFonts w:hint="eastAsia" w:ascii="宋体" w:hAnsi="宋体" w:cs="宋体"/>
                <w:color w:val="auto"/>
                <w:szCs w:val="21"/>
                <w:lang w:val="zh-CN"/>
              </w:rPr>
              <w:t>投标文件内容</w:t>
            </w:r>
          </w:p>
        </w:tc>
        <w:tc>
          <w:tcPr>
            <w:tcW w:w="5180" w:type="dxa"/>
            <w:vAlign w:val="center"/>
          </w:tcPr>
          <w:p>
            <w:pPr>
              <w:spacing w:line="500" w:lineRule="exact"/>
              <w:rPr>
                <w:rFonts w:ascii="宋体" w:hAnsi="宋体" w:cs="宋体"/>
                <w:color w:val="auto"/>
                <w:szCs w:val="21"/>
                <w:lang w:val="zh-CN"/>
              </w:rPr>
            </w:pPr>
            <w:r>
              <w:rPr>
                <w:rFonts w:hint="eastAsia" w:ascii="宋体" w:hAnsi="宋体" w:cs="宋体"/>
                <w:color w:val="auto"/>
                <w:szCs w:val="21"/>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16" w:type="dxa"/>
            <w:vMerge w:val="restart"/>
            <w:vAlign w:val="center"/>
          </w:tcPr>
          <w:p>
            <w:pPr>
              <w:spacing w:line="50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4</w:t>
            </w:r>
          </w:p>
        </w:tc>
        <w:tc>
          <w:tcPr>
            <w:tcW w:w="1051" w:type="dxa"/>
            <w:vMerge w:val="restart"/>
            <w:vAlign w:val="center"/>
          </w:tcPr>
          <w:p>
            <w:pPr>
              <w:spacing w:line="500" w:lineRule="exact"/>
              <w:jc w:val="center"/>
              <w:rPr>
                <w:rFonts w:ascii="宋体" w:hAnsi="宋体" w:cs="宋体"/>
                <w:color w:val="auto"/>
                <w:szCs w:val="21"/>
                <w:lang w:val="zh-CN"/>
              </w:rPr>
            </w:pPr>
            <w:r>
              <w:rPr>
                <w:rFonts w:hint="eastAsia" w:ascii="宋体" w:hAnsi="宋体" w:cs="宋体"/>
                <w:color w:val="auto"/>
                <w:kern w:val="0"/>
                <w:szCs w:val="21"/>
                <w:lang w:eastAsia="zh-CN"/>
              </w:rPr>
              <w:t>招标</w:t>
            </w:r>
            <w:r>
              <w:rPr>
                <w:rFonts w:hint="eastAsia" w:ascii="宋体" w:hAnsi="宋体" w:cs="宋体"/>
                <w:color w:val="auto"/>
                <w:kern w:val="0"/>
                <w:szCs w:val="21"/>
              </w:rPr>
              <w:t>文件的响应程度审查</w:t>
            </w:r>
          </w:p>
        </w:tc>
        <w:tc>
          <w:tcPr>
            <w:tcW w:w="2686" w:type="dxa"/>
            <w:vAlign w:val="center"/>
          </w:tcPr>
          <w:p>
            <w:pPr>
              <w:spacing w:line="500" w:lineRule="exact"/>
              <w:rPr>
                <w:rFonts w:ascii="宋体" w:hAnsi="宋体" w:cs="宋体"/>
                <w:color w:val="auto"/>
                <w:kern w:val="0"/>
                <w:szCs w:val="21"/>
              </w:rPr>
            </w:pPr>
            <w:r>
              <w:rPr>
                <w:rFonts w:hint="eastAsia" w:ascii="宋体" w:hAnsi="宋体" w:cs="宋体"/>
                <w:color w:val="auto"/>
                <w:szCs w:val="21"/>
                <w:lang w:val="zh-CN"/>
              </w:rPr>
              <w:t>投标文件</w:t>
            </w:r>
            <w:r>
              <w:rPr>
                <w:rFonts w:hint="eastAsia" w:ascii="宋体" w:hAnsi="宋体" w:cs="宋体"/>
                <w:color w:val="auto"/>
                <w:kern w:val="0"/>
                <w:szCs w:val="21"/>
              </w:rPr>
              <w:t>内容</w:t>
            </w:r>
          </w:p>
        </w:tc>
        <w:tc>
          <w:tcPr>
            <w:tcW w:w="5180" w:type="dxa"/>
            <w:vAlign w:val="center"/>
          </w:tcPr>
          <w:p>
            <w:pPr>
              <w:pStyle w:val="12"/>
              <w:spacing w:line="500" w:lineRule="exact"/>
              <w:ind w:left="0" w:leftChars="0"/>
              <w:rPr>
                <w:rFonts w:ascii="宋体" w:hAnsi="宋体" w:eastAsia="宋体" w:cs="宋体"/>
                <w:color w:val="auto"/>
                <w:kern w:val="0"/>
                <w:sz w:val="21"/>
                <w:szCs w:val="21"/>
              </w:rPr>
            </w:pPr>
            <w:r>
              <w:rPr>
                <w:rFonts w:hint="eastAsia" w:ascii="宋体" w:hAnsi="宋体" w:eastAsia="宋体" w:cs="宋体"/>
                <w:color w:val="auto"/>
                <w:kern w:val="0"/>
                <w:sz w:val="21"/>
                <w:szCs w:val="21"/>
              </w:rPr>
              <w:t>对</w:t>
            </w:r>
            <w:r>
              <w:rPr>
                <w:rFonts w:hint="eastAsia" w:ascii="宋体" w:hAnsi="宋体" w:eastAsia="宋体" w:cs="宋体"/>
                <w:color w:val="auto"/>
                <w:kern w:val="0"/>
                <w:sz w:val="21"/>
                <w:szCs w:val="21"/>
                <w:lang w:eastAsia="zh-CN"/>
              </w:rPr>
              <w:t>招标</w:t>
            </w:r>
            <w:r>
              <w:rPr>
                <w:rFonts w:hint="eastAsia" w:ascii="宋体" w:hAnsi="宋体" w:eastAsia="宋体" w:cs="宋体"/>
                <w:color w:val="auto"/>
                <w:kern w:val="0"/>
                <w:sz w:val="21"/>
                <w:szCs w:val="21"/>
              </w:rPr>
              <w:t>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6" w:type="dxa"/>
            <w:vMerge w:val="continue"/>
            <w:vAlign w:val="center"/>
          </w:tcPr>
          <w:p>
            <w:pPr>
              <w:spacing w:line="500" w:lineRule="exact"/>
              <w:jc w:val="center"/>
              <w:rPr>
                <w:rFonts w:ascii="宋体" w:hAnsi="宋体" w:cs="宋体"/>
                <w:color w:val="auto"/>
                <w:kern w:val="0"/>
                <w:szCs w:val="21"/>
              </w:rPr>
            </w:pPr>
          </w:p>
        </w:tc>
        <w:tc>
          <w:tcPr>
            <w:tcW w:w="1051" w:type="dxa"/>
            <w:vMerge w:val="continue"/>
            <w:vAlign w:val="center"/>
          </w:tcPr>
          <w:p>
            <w:pPr>
              <w:spacing w:line="500" w:lineRule="exact"/>
              <w:rPr>
                <w:rFonts w:ascii="宋体" w:hAnsi="宋体" w:cs="宋体"/>
                <w:color w:val="auto"/>
                <w:kern w:val="0"/>
                <w:szCs w:val="21"/>
              </w:rPr>
            </w:pPr>
          </w:p>
        </w:tc>
        <w:tc>
          <w:tcPr>
            <w:tcW w:w="2686" w:type="dxa"/>
            <w:vAlign w:val="center"/>
          </w:tcPr>
          <w:p>
            <w:pPr>
              <w:spacing w:line="500" w:lineRule="exact"/>
              <w:rPr>
                <w:rFonts w:ascii="宋体" w:hAnsi="宋体" w:cs="宋体"/>
                <w:color w:val="auto"/>
                <w:kern w:val="0"/>
                <w:szCs w:val="21"/>
              </w:rPr>
            </w:pPr>
            <w:r>
              <w:rPr>
                <w:rFonts w:hint="eastAsia" w:ascii="宋体" w:hAnsi="宋体" w:cs="宋体"/>
                <w:color w:val="auto"/>
                <w:kern w:val="0"/>
                <w:szCs w:val="21"/>
              </w:rPr>
              <w:t>质量技术</w:t>
            </w:r>
          </w:p>
        </w:tc>
        <w:tc>
          <w:tcPr>
            <w:tcW w:w="5180" w:type="dxa"/>
            <w:vAlign w:val="center"/>
          </w:tcPr>
          <w:p>
            <w:pPr>
              <w:spacing w:line="500" w:lineRule="exact"/>
              <w:rPr>
                <w:rFonts w:ascii="宋体" w:hAnsi="宋体" w:cs="宋体"/>
                <w:color w:val="auto"/>
                <w:kern w:val="0"/>
                <w:szCs w:val="21"/>
              </w:rPr>
            </w:pPr>
            <w:r>
              <w:rPr>
                <w:rFonts w:hint="eastAsia" w:ascii="宋体" w:hAnsi="宋体" w:cs="宋体"/>
                <w:color w:val="auto"/>
                <w:kern w:val="0"/>
                <w:szCs w:val="21"/>
              </w:rPr>
              <w:t>满足</w:t>
            </w:r>
            <w:r>
              <w:rPr>
                <w:rFonts w:hint="eastAsia" w:ascii="宋体" w:hAnsi="宋体" w:cs="宋体"/>
                <w:color w:val="auto"/>
                <w:kern w:val="0"/>
                <w:szCs w:val="21"/>
                <w:lang w:eastAsia="zh-CN"/>
              </w:rPr>
              <w:t>招标</w:t>
            </w:r>
            <w:r>
              <w:rPr>
                <w:rFonts w:hint="eastAsia" w:ascii="宋体" w:hAnsi="宋体" w:cs="宋体"/>
                <w:color w:val="auto"/>
                <w:kern w:val="0"/>
                <w:szCs w:val="21"/>
              </w:rPr>
              <w:t>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16" w:type="dxa"/>
            <w:vMerge w:val="continue"/>
            <w:vAlign w:val="center"/>
          </w:tcPr>
          <w:p>
            <w:pPr>
              <w:spacing w:line="500" w:lineRule="exact"/>
              <w:jc w:val="center"/>
              <w:rPr>
                <w:rFonts w:ascii="宋体" w:hAnsi="宋体" w:cs="宋体"/>
                <w:color w:val="auto"/>
                <w:kern w:val="0"/>
                <w:szCs w:val="21"/>
              </w:rPr>
            </w:pPr>
          </w:p>
        </w:tc>
        <w:tc>
          <w:tcPr>
            <w:tcW w:w="1051" w:type="dxa"/>
            <w:vMerge w:val="continue"/>
            <w:vAlign w:val="center"/>
          </w:tcPr>
          <w:p>
            <w:pPr>
              <w:spacing w:line="500" w:lineRule="exact"/>
              <w:rPr>
                <w:rFonts w:ascii="宋体" w:hAnsi="宋体" w:cs="宋体"/>
                <w:color w:val="auto"/>
                <w:kern w:val="0"/>
                <w:szCs w:val="21"/>
              </w:rPr>
            </w:pPr>
          </w:p>
        </w:tc>
        <w:tc>
          <w:tcPr>
            <w:tcW w:w="2686" w:type="dxa"/>
            <w:vAlign w:val="center"/>
          </w:tcPr>
          <w:p>
            <w:pPr>
              <w:spacing w:line="50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服务</w:t>
            </w:r>
            <w:r>
              <w:rPr>
                <w:rFonts w:hint="eastAsia" w:ascii="宋体" w:hAnsi="宋体" w:cs="宋体"/>
                <w:color w:val="auto"/>
                <w:kern w:val="0"/>
                <w:szCs w:val="21"/>
              </w:rPr>
              <w:t>期</w:t>
            </w:r>
          </w:p>
        </w:tc>
        <w:tc>
          <w:tcPr>
            <w:tcW w:w="5180" w:type="dxa"/>
            <w:vAlign w:val="center"/>
          </w:tcPr>
          <w:p>
            <w:pPr>
              <w:spacing w:line="500" w:lineRule="exact"/>
              <w:rPr>
                <w:rFonts w:ascii="宋体" w:hAnsi="宋体" w:cs="宋体"/>
                <w:color w:val="auto"/>
                <w:kern w:val="0"/>
                <w:szCs w:val="21"/>
              </w:rPr>
            </w:pPr>
            <w:r>
              <w:rPr>
                <w:rFonts w:hint="eastAsia" w:ascii="宋体" w:hAnsi="宋体" w:cs="宋体"/>
                <w:color w:val="auto"/>
                <w:kern w:val="0"/>
                <w:szCs w:val="21"/>
              </w:rPr>
              <w:t>满足</w:t>
            </w:r>
            <w:r>
              <w:rPr>
                <w:rFonts w:hint="eastAsia" w:ascii="宋体" w:hAnsi="宋体" w:cs="宋体"/>
                <w:color w:val="auto"/>
                <w:kern w:val="0"/>
                <w:szCs w:val="21"/>
                <w:lang w:eastAsia="zh-CN"/>
              </w:rPr>
              <w:t>招标</w:t>
            </w:r>
            <w:r>
              <w:rPr>
                <w:rFonts w:hint="eastAsia" w:ascii="宋体" w:hAnsi="宋体" w:cs="宋体"/>
                <w:color w:val="auto"/>
                <w:kern w:val="0"/>
                <w:szCs w:val="21"/>
              </w:rPr>
              <w:t>文件</w:t>
            </w:r>
            <w:r>
              <w:rPr>
                <w:rFonts w:hint="eastAsia" w:ascii="宋体" w:hAnsi="宋体" w:cs="宋体"/>
                <w:color w:val="auto"/>
                <w:szCs w:val="21"/>
                <w:lang w:val="zh-CN"/>
              </w:rPr>
              <w:t>规定</w:t>
            </w:r>
            <w:r>
              <w:rPr>
                <w:rFonts w:hint="eastAsia"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16" w:type="dxa"/>
            <w:vMerge w:val="continue"/>
            <w:vAlign w:val="center"/>
          </w:tcPr>
          <w:p>
            <w:pPr>
              <w:spacing w:line="500" w:lineRule="exact"/>
              <w:jc w:val="center"/>
              <w:rPr>
                <w:rFonts w:ascii="宋体" w:hAnsi="宋体" w:cs="宋体"/>
                <w:color w:val="auto"/>
                <w:kern w:val="0"/>
                <w:szCs w:val="21"/>
              </w:rPr>
            </w:pPr>
          </w:p>
        </w:tc>
        <w:tc>
          <w:tcPr>
            <w:tcW w:w="1051" w:type="dxa"/>
            <w:vMerge w:val="continue"/>
            <w:vAlign w:val="center"/>
          </w:tcPr>
          <w:p>
            <w:pPr>
              <w:spacing w:line="500" w:lineRule="exact"/>
              <w:rPr>
                <w:rFonts w:ascii="宋体" w:hAnsi="宋体" w:cs="宋体"/>
                <w:color w:val="auto"/>
                <w:szCs w:val="21"/>
                <w:lang w:val="zh-CN"/>
              </w:rPr>
            </w:pPr>
          </w:p>
        </w:tc>
        <w:tc>
          <w:tcPr>
            <w:tcW w:w="2686" w:type="dxa"/>
            <w:vAlign w:val="center"/>
          </w:tcPr>
          <w:p>
            <w:pPr>
              <w:spacing w:line="500" w:lineRule="exact"/>
              <w:rPr>
                <w:rFonts w:ascii="宋体" w:hAnsi="宋体" w:cs="宋体"/>
                <w:color w:val="auto"/>
                <w:kern w:val="0"/>
                <w:szCs w:val="21"/>
              </w:rPr>
            </w:pPr>
            <w:r>
              <w:rPr>
                <w:rFonts w:hint="eastAsia" w:ascii="宋体" w:hAnsi="宋体" w:cs="宋体"/>
                <w:color w:val="auto"/>
                <w:szCs w:val="21"/>
                <w:lang w:val="zh-CN"/>
              </w:rPr>
              <w:t>投标文件</w:t>
            </w:r>
            <w:r>
              <w:rPr>
                <w:rFonts w:hint="eastAsia" w:ascii="宋体" w:hAnsi="宋体" w:cs="宋体"/>
                <w:color w:val="auto"/>
                <w:kern w:val="0"/>
                <w:szCs w:val="21"/>
              </w:rPr>
              <w:t>有效期</w:t>
            </w:r>
          </w:p>
        </w:tc>
        <w:tc>
          <w:tcPr>
            <w:tcW w:w="5180" w:type="dxa"/>
            <w:vAlign w:val="center"/>
          </w:tcPr>
          <w:p>
            <w:pPr>
              <w:spacing w:line="500" w:lineRule="exact"/>
              <w:rPr>
                <w:rFonts w:ascii="宋体" w:hAnsi="宋体" w:cs="宋体"/>
                <w:color w:val="auto"/>
                <w:kern w:val="0"/>
                <w:szCs w:val="21"/>
              </w:rPr>
            </w:pPr>
            <w:r>
              <w:rPr>
                <w:rFonts w:hint="eastAsia" w:ascii="宋体" w:hAnsi="宋体" w:cs="宋体"/>
                <w:color w:val="auto"/>
                <w:kern w:val="0"/>
                <w:szCs w:val="21"/>
              </w:rPr>
              <w:t>满足</w:t>
            </w:r>
            <w:r>
              <w:rPr>
                <w:rFonts w:hint="eastAsia" w:ascii="宋体" w:hAnsi="宋体" w:cs="宋体"/>
                <w:color w:val="auto"/>
                <w:kern w:val="0"/>
                <w:szCs w:val="21"/>
                <w:lang w:eastAsia="zh-CN"/>
              </w:rPr>
              <w:t>招标</w:t>
            </w:r>
            <w:r>
              <w:rPr>
                <w:rFonts w:hint="eastAsia" w:ascii="宋体" w:hAnsi="宋体" w:cs="宋体"/>
                <w:color w:val="auto"/>
                <w:kern w:val="0"/>
                <w:szCs w:val="21"/>
              </w:rPr>
              <w:t>文件</w:t>
            </w:r>
            <w:r>
              <w:rPr>
                <w:rFonts w:hint="eastAsia" w:ascii="宋体" w:hAnsi="宋体" w:cs="宋体"/>
                <w:color w:val="auto"/>
                <w:szCs w:val="21"/>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6" w:type="dxa"/>
            <w:vMerge w:val="continue"/>
            <w:tcBorders>
              <w:bottom w:val="single" w:color="auto" w:sz="4" w:space="0"/>
            </w:tcBorders>
            <w:vAlign w:val="center"/>
          </w:tcPr>
          <w:p>
            <w:pPr>
              <w:spacing w:line="500" w:lineRule="exact"/>
              <w:jc w:val="center"/>
              <w:rPr>
                <w:rFonts w:ascii="宋体" w:hAnsi="宋体" w:cs="宋体"/>
                <w:color w:val="auto"/>
                <w:kern w:val="0"/>
                <w:szCs w:val="21"/>
              </w:rPr>
            </w:pPr>
          </w:p>
        </w:tc>
        <w:tc>
          <w:tcPr>
            <w:tcW w:w="1051" w:type="dxa"/>
            <w:vMerge w:val="continue"/>
            <w:tcBorders>
              <w:bottom w:val="single" w:color="auto" w:sz="4" w:space="0"/>
            </w:tcBorders>
            <w:vAlign w:val="center"/>
          </w:tcPr>
          <w:p>
            <w:pPr>
              <w:spacing w:line="500" w:lineRule="exact"/>
              <w:rPr>
                <w:rFonts w:ascii="宋体" w:hAnsi="宋体" w:cs="宋体"/>
                <w:color w:val="auto"/>
                <w:szCs w:val="21"/>
                <w:lang w:val="zh-CN"/>
              </w:rPr>
            </w:pPr>
          </w:p>
        </w:tc>
        <w:tc>
          <w:tcPr>
            <w:tcW w:w="2686" w:type="dxa"/>
            <w:tcBorders>
              <w:bottom w:val="single" w:color="auto" w:sz="4" w:space="0"/>
            </w:tcBorders>
            <w:vAlign w:val="center"/>
          </w:tcPr>
          <w:p>
            <w:pPr>
              <w:spacing w:line="500" w:lineRule="exact"/>
              <w:rPr>
                <w:rFonts w:ascii="宋体" w:hAnsi="宋体" w:cs="宋体"/>
                <w:color w:val="auto"/>
                <w:kern w:val="0"/>
                <w:szCs w:val="21"/>
              </w:rPr>
            </w:pPr>
            <w:r>
              <w:rPr>
                <w:rFonts w:hint="eastAsia" w:ascii="宋体" w:hAnsi="宋体" w:cs="宋体"/>
                <w:color w:val="auto"/>
                <w:kern w:val="0"/>
                <w:szCs w:val="21"/>
              </w:rPr>
              <w:t>其他</w:t>
            </w:r>
          </w:p>
        </w:tc>
        <w:tc>
          <w:tcPr>
            <w:tcW w:w="5180" w:type="dxa"/>
            <w:tcBorders>
              <w:bottom w:val="single" w:color="auto" w:sz="4" w:space="0"/>
            </w:tcBorders>
            <w:vAlign w:val="center"/>
          </w:tcPr>
          <w:p>
            <w:pPr>
              <w:spacing w:line="500" w:lineRule="exact"/>
              <w:rPr>
                <w:rFonts w:ascii="宋体" w:hAnsi="宋体" w:cs="宋体"/>
                <w:color w:val="auto"/>
                <w:kern w:val="0"/>
                <w:szCs w:val="21"/>
              </w:rPr>
            </w:pPr>
            <w:r>
              <w:rPr>
                <w:rFonts w:hint="eastAsia" w:ascii="宋体" w:hAnsi="宋体" w:cs="宋体"/>
                <w:color w:val="auto"/>
                <w:kern w:val="0"/>
                <w:szCs w:val="21"/>
              </w:rPr>
              <w:t>满足</w:t>
            </w:r>
            <w:r>
              <w:rPr>
                <w:rFonts w:hint="eastAsia" w:ascii="宋体" w:hAnsi="宋体" w:cs="宋体"/>
                <w:color w:val="auto"/>
                <w:kern w:val="0"/>
                <w:szCs w:val="21"/>
                <w:lang w:eastAsia="zh-CN"/>
              </w:rPr>
              <w:t>招标</w:t>
            </w:r>
            <w:r>
              <w:rPr>
                <w:rFonts w:hint="eastAsia" w:ascii="宋体" w:hAnsi="宋体" w:cs="宋体"/>
                <w:color w:val="auto"/>
                <w:kern w:val="0"/>
                <w:szCs w:val="21"/>
              </w:rPr>
              <w:t>文件相关</w:t>
            </w:r>
            <w:r>
              <w:rPr>
                <w:rFonts w:hint="eastAsia" w:ascii="宋体" w:hAnsi="宋体" w:cs="宋体"/>
                <w:color w:val="auto"/>
                <w:szCs w:val="21"/>
                <w:lang w:val="zh-CN"/>
              </w:rPr>
              <w:t>规定。</w:t>
            </w:r>
          </w:p>
        </w:tc>
      </w:tr>
    </w:tbl>
    <w:p>
      <w:pPr>
        <w:rPr>
          <w:rFonts w:ascii="宋体" w:hAnsi="宋体" w:cs="宋体"/>
          <w:b/>
          <w:color w:val="auto"/>
          <w:sz w:val="21"/>
          <w:szCs w:val="21"/>
        </w:rPr>
        <w:sectPr>
          <w:footerReference r:id="rId5" w:type="default"/>
          <w:pgSz w:w="11906" w:h="16838"/>
          <w:pgMar w:top="1440" w:right="1083" w:bottom="1440" w:left="1083" w:header="851" w:footer="992" w:gutter="0"/>
          <w:pgNumType w:fmt="numberInDash"/>
          <w:cols w:space="0" w:num="1"/>
          <w:rtlGutter w:val="0"/>
          <w:docGrid w:type="lines" w:linePitch="314" w:charSpace="0"/>
        </w:sectPr>
      </w:pPr>
      <w:r>
        <w:rPr>
          <w:rFonts w:hint="eastAsia" w:ascii="宋体" w:hAnsi="宋体" w:cs="宋体"/>
          <w:b/>
          <w:color w:val="auto"/>
          <w:sz w:val="21"/>
          <w:szCs w:val="21"/>
        </w:rPr>
        <w:t>注：以上评审内容，有一项不通过者，视为供应商初步评审不通过，未通过初审的其</w:t>
      </w:r>
      <w:r>
        <w:rPr>
          <w:rFonts w:hint="eastAsia" w:ascii="宋体" w:hAnsi="宋体" w:cs="宋体"/>
          <w:b/>
          <w:color w:val="auto"/>
          <w:sz w:val="21"/>
          <w:szCs w:val="21"/>
          <w:lang w:eastAsia="zh-CN"/>
        </w:rPr>
        <w:t>投标文件</w:t>
      </w:r>
      <w:r>
        <w:rPr>
          <w:rFonts w:hint="eastAsia" w:ascii="宋体" w:hAnsi="宋体" w:cs="宋体"/>
          <w:b/>
          <w:color w:val="auto"/>
          <w:sz w:val="21"/>
          <w:szCs w:val="21"/>
        </w:rPr>
        <w:t>将按照无效</w:t>
      </w:r>
      <w:r>
        <w:rPr>
          <w:rFonts w:hint="eastAsia" w:ascii="宋体" w:hAnsi="宋体" w:cs="宋体"/>
          <w:b/>
          <w:color w:val="auto"/>
          <w:sz w:val="21"/>
          <w:szCs w:val="21"/>
          <w:lang w:eastAsia="zh-CN"/>
        </w:rPr>
        <w:t>投标</w:t>
      </w:r>
      <w:r>
        <w:rPr>
          <w:rFonts w:hint="eastAsia" w:ascii="宋体" w:hAnsi="宋体" w:cs="宋体"/>
          <w:b/>
          <w:color w:val="auto"/>
          <w:sz w:val="21"/>
          <w:szCs w:val="21"/>
        </w:rPr>
        <w:t>处理。</w:t>
      </w:r>
    </w:p>
    <w:p>
      <w:pPr>
        <w:numPr>
          <w:ilvl w:val="0"/>
          <w:numId w:val="7"/>
        </w:num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评分表</w:t>
      </w:r>
    </w:p>
    <w:p>
      <w:pPr>
        <w:numPr>
          <w:ilvl w:val="0"/>
          <w:numId w:val="0"/>
        </w:numPr>
        <w:spacing w:line="360" w:lineRule="auto"/>
        <w:rPr>
          <w:rFonts w:hint="eastAsia" w:ascii="宋体" w:hAnsi="宋体" w:cs="宋体"/>
          <w:b/>
          <w:color w:val="auto"/>
          <w:szCs w:val="21"/>
        </w:rPr>
      </w:pPr>
      <w:r>
        <w:rPr>
          <w:rFonts w:hint="eastAsia" w:ascii="宋体" w:hAnsi="宋体" w:cs="宋体"/>
          <w:b/>
          <w:bCs/>
          <w:color w:val="auto"/>
          <w:sz w:val="24"/>
          <w:highlight w:val="none"/>
        </w:rPr>
        <w:t xml:space="preserve"> </w:t>
      </w:r>
      <w:r>
        <w:rPr>
          <w:rFonts w:hint="eastAsia" w:ascii="宋体" w:hAnsi="宋体" w:eastAsia="宋体" w:cs="宋体"/>
          <w:color w:val="auto"/>
          <w:sz w:val="24"/>
          <w:szCs w:val="24"/>
          <w:highlight w:val="none"/>
        </w:rPr>
        <w:t>本项目评审采用</w:t>
      </w:r>
      <w:r>
        <w:rPr>
          <w:rFonts w:hint="eastAsia" w:ascii="宋体" w:hAnsi="宋体" w:eastAsia="宋体" w:cs="宋体"/>
          <w:b/>
          <w:bCs/>
          <w:color w:val="auto"/>
          <w:sz w:val="24"/>
          <w:szCs w:val="24"/>
          <w:highlight w:val="none"/>
        </w:rPr>
        <w:t>综合评分法</w:t>
      </w:r>
      <w:r>
        <w:rPr>
          <w:rFonts w:ascii="宋体" w:hAnsi="宋体" w:eastAsia="宋体" w:cs="宋体"/>
          <w:color w:val="auto"/>
          <w:sz w:val="24"/>
          <w:szCs w:val="24"/>
          <w:highlight w:val="none"/>
        </w:rPr>
        <w:t>。由</w:t>
      </w:r>
      <w:r>
        <w:rPr>
          <w:rFonts w:hint="eastAsia" w:ascii="宋体" w:hAnsi="宋体" w:cs="宋体"/>
          <w:color w:val="auto"/>
          <w:sz w:val="24"/>
          <w:szCs w:val="24"/>
          <w:highlight w:val="none"/>
          <w:lang w:val="en-US" w:eastAsia="zh-CN"/>
        </w:rPr>
        <w:t>投标报价</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部分、</w:t>
      </w:r>
      <w:r>
        <w:rPr>
          <w:rFonts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部分</w:t>
      </w:r>
      <w:r>
        <w:rPr>
          <w:rFonts w:ascii="宋体" w:hAnsi="宋体" w:eastAsia="宋体" w:cs="宋体"/>
          <w:color w:val="auto"/>
          <w:sz w:val="24"/>
          <w:szCs w:val="24"/>
          <w:highlight w:val="none"/>
        </w:rPr>
        <w:t>三部分组成，总分值为 100分。详细如下：</w:t>
      </w:r>
    </w:p>
    <w:tbl>
      <w:tblPr>
        <w:tblStyle w:val="20"/>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60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51" w:type="dxa"/>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评标项目</w:t>
            </w:r>
          </w:p>
        </w:tc>
        <w:tc>
          <w:tcPr>
            <w:tcW w:w="1276" w:type="dxa"/>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评标内容</w:t>
            </w:r>
          </w:p>
        </w:tc>
        <w:tc>
          <w:tcPr>
            <w:tcW w:w="6095" w:type="dxa"/>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评标办法</w:t>
            </w:r>
          </w:p>
        </w:tc>
        <w:tc>
          <w:tcPr>
            <w:tcW w:w="850" w:type="dxa"/>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51" w:type="dxa"/>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报价部分</w:t>
            </w:r>
          </w:p>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w:t>
            </w:r>
            <w:r>
              <w:rPr>
                <w:rFonts w:hint="eastAsia" w:ascii="宋体" w:hAnsi="宋体" w:cs="宋体"/>
                <w:b/>
                <w:bCs/>
                <w:color w:val="auto"/>
                <w:kern w:val="0"/>
                <w:sz w:val="21"/>
                <w:szCs w:val="21"/>
                <w:lang w:val="en-US" w:eastAsia="zh-CN"/>
              </w:rPr>
              <w:t>20</w:t>
            </w:r>
            <w:r>
              <w:rPr>
                <w:rFonts w:hint="eastAsia" w:ascii="宋体" w:hAnsi="宋体" w:eastAsia="宋体" w:cs="宋体"/>
                <w:b/>
                <w:bCs/>
                <w:color w:val="auto"/>
                <w:kern w:val="0"/>
                <w:sz w:val="21"/>
                <w:szCs w:val="21"/>
              </w:rPr>
              <w:t>分）</w:t>
            </w:r>
          </w:p>
        </w:tc>
        <w:tc>
          <w:tcPr>
            <w:tcW w:w="1276" w:type="dxa"/>
            <w:shd w:val="clear" w:color="auto" w:fill="auto"/>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投标报价</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20</w:t>
            </w:r>
            <w:r>
              <w:rPr>
                <w:rFonts w:hint="eastAsia" w:ascii="宋体" w:hAnsi="宋体" w:eastAsia="宋体" w:cs="宋体"/>
                <w:color w:val="auto"/>
                <w:kern w:val="0"/>
                <w:sz w:val="21"/>
                <w:szCs w:val="21"/>
              </w:rPr>
              <w:t>分）</w:t>
            </w:r>
          </w:p>
        </w:tc>
        <w:tc>
          <w:tcPr>
            <w:tcW w:w="6095" w:type="dxa"/>
            <w:shd w:val="clear" w:color="auto" w:fill="auto"/>
          </w:tcPr>
          <w:p>
            <w:pPr>
              <w:pStyle w:val="38"/>
              <w:spacing w:before="16" w:line="249" w:lineRule="auto"/>
              <w:ind w:left="106" w:right="86"/>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以满足</w:t>
            </w:r>
            <w:r>
              <w:rPr>
                <w:rFonts w:hint="eastAsia" w:ascii="宋体" w:hAnsi="宋体" w:eastAsia="宋体" w:cs="宋体"/>
                <w:color w:val="auto"/>
                <w:sz w:val="21"/>
                <w:szCs w:val="21"/>
                <w:highlight w:val="none"/>
                <w:lang w:val="en-US" w:eastAsia="zh-CN" w:bidi="ar-SA"/>
              </w:rPr>
              <w:t>招标</w:t>
            </w:r>
            <w:r>
              <w:rPr>
                <w:rFonts w:hint="eastAsia" w:ascii="宋体" w:hAnsi="宋体" w:eastAsia="宋体" w:cs="宋体"/>
                <w:color w:val="auto"/>
                <w:sz w:val="21"/>
                <w:szCs w:val="21"/>
                <w:highlight w:val="none"/>
                <w:lang w:val="en-US" w:bidi="ar-SA"/>
              </w:rPr>
              <w:t>文件要求且最低</w:t>
            </w:r>
            <w:r>
              <w:rPr>
                <w:rFonts w:hint="eastAsia" w:cs="宋体"/>
                <w:color w:val="auto"/>
                <w:sz w:val="21"/>
                <w:szCs w:val="21"/>
                <w:highlight w:val="none"/>
                <w:lang w:val="en-US" w:eastAsia="zh-CN" w:bidi="ar-SA"/>
              </w:rPr>
              <w:t>投标报价</w:t>
            </w:r>
            <w:r>
              <w:rPr>
                <w:rFonts w:hint="eastAsia" w:ascii="宋体" w:hAnsi="宋体" w:eastAsia="宋体" w:cs="宋体"/>
                <w:color w:val="auto"/>
                <w:sz w:val="21"/>
                <w:szCs w:val="21"/>
                <w:highlight w:val="none"/>
                <w:lang w:val="en-US" w:bidi="ar-SA"/>
              </w:rPr>
              <w:t>为评标基准价，其价格分为满分</w:t>
            </w:r>
            <w:r>
              <w:rPr>
                <w:rFonts w:hint="eastAsia" w:cs="宋体"/>
                <w:color w:val="auto"/>
                <w:sz w:val="21"/>
                <w:szCs w:val="21"/>
                <w:highlight w:val="none"/>
                <w:lang w:val="en-US" w:eastAsia="zh-CN" w:bidi="ar-SA"/>
              </w:rPr>
              <w:t>20</w:t>
            </w:r>
            <w:r>
              <w:rPr>
                <w:rFonts w:hint="eastAsia" w:ascii="宋体" w:hAnsi="宋体" w:eastAsia="宋体" w:cs="宋体"/>
                <w:color w:val="auto"/>
                <w:sz w:val="21"/>
                <w:szCs w:val="21"/>
                <w:highlight w:val="none"/>
                <w:lang w:val="en-US" w:bidi="ar-SA"/>
              </w:rPr>
              <w:t>分。</w:t>
            </w:r>
          </w:p>
          <w:p>
            <w:pPr>
              <w:pStyle w:val="38"/>
              <w:spacing w:before="1" w:line="282" w:lineRule="exact"/>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其他供应商的价格得分按照下列公式计算：</w:t>
            </w:r>
            <w:r>
              <w:rPr>
                <w:rFonts w:hint="eastAsia" w:ascii="宋体" w:hAnsi="宋体" w:eastAsia="宋体" w:cs="宋体"/>
                <w:color w:val="auto"/>
                <w:sz w:val="21"/>
                <w:szCs w:val="21"/>
                <w:highlight w:val="none"/>
                <w:lang w:val="en-US" w:eastAsia="zh-CN" w:bidi="ar-SA"/>
              </w:rPr>
              <w:t>投标报价</w:t>
            </w:r>
            <w:r>
              <w:rPr>
                <w:rFonts w:hint="eastAsia" w:ascii="宋体" w:hAnsi="宋体" w:eastAsia="宋体" w:cs="宋体"/>
                <w:color w:val="auto"/>
                <w:sz w:val="21"/>
                <w:szCs w:val="21"/>
                <w:highlight w:val="none"/>
                <w:lang w:val="en-US" w:bidi="ar-SA"/>
              </w:rPr>
              <w:t>得分＝（评标基准价/</w:t>
            </w:r>
            <w:r>
              <w:rPr>
                <w:rFonts w:hint="eastAsia" w:cs="宋体"/>
                <w:color w:val="auto"/>
                <w:sz w:val="21"/>
                <w:szCs w:val="21"/>
                <w:highlight w:val="none"/>
                <w:lang w:val="en-US" w:eastAsia="zh-CN" w:bidi="ar-SA"/>
              </w:rPr>
              <w:t>投标报价</w:t>
            </w:r>
            <w:r>
              <w:rPr>
                <w:rFonts w:hint="eastAsia" w:ascii="宋体" w:hAnsi="宋体" w:eastAsia="宋体" w:cs="宋体"/>
                <w:color w:val="auto"/>
                <w:sz w:val="21"/>
                <w:szCs w:val="21"/>
                <w:highlight w:val="none"/>
                <w:lang w:val="en-US" w:bidi="ar-SA"/>
              </w:rPr>
              <w:t>）×</w:t>
            </w:r>
            <w:r>
              <w:rPr>
                <w:rFonts w:hint="eastAsia" w:cs="宋体"/>
                <w:color w:val="auto"/>
                <w:sz w:val="21"/>
                <w:szCs w:val="21"/>
                <w:highlight w:val="none"/>
                <w:lang w:val="en-US" w:eastAsia="zh-CN" w:bidi="ar-SA"/>
              </w:rPr>
              <w:t>20</w:t>
            </w:r>
            <w:r>
              <w:rPr>
                <w:rFonts w:hint="eastAsia" w:ascii="宋体" w:hAnsi="宋体" w:eastAsia="宋体" w:cs="宋体"/>
                <w:color w:val="auto"/>
                <w:sz w:val="21"/>
                <w:szCs w:val="21"/>
                <w:highlight w:val="none"/>
                <w:lang w:val="en-US" w:bidi="ar-SA"/>
              </w:rPr>
              <w:t>%×100 。</w:t>
            </w:r>
          </w:p>
          <w:p>
            <w:pPr>
              <w:pStyle w:val="38"/>
              <w:keepNext w:val="0"/>
              <w:keepLines w:val="0"/>
              <w:pageBreakBefore w:val="0"/>
              <w:kinsoku/>
              <w:wordWrap/>
              <w:overflowPunct/>
              <w:topLinePunct w:val="0"/>
              <w:autoSpaceDE/>
              <w:autoSpaceDN/>
              <w:bidi w:val="0"/>
              <w:adjustRightInd/>
              <w:snapToGrid/>
              <w:spacing w:before="1" w:line="220" w:lineRule="exact"/>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注：报价得分精确到小数点后两位；无效投标的报价不计入价格分值的计算</w:t>
            </w:r>
          </w:p>
          <w:p>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价格扣除的原则：    </w:t>
            </w:r>
          </w:p>
          <w:p>
            <w:pPr>
              <w:widowControl/>
              <w:jc w:val="left"/>
              <w:rPr>
                <w:rFonts w:hint="eastAsia" w:ascii="宋体" w:hAnsi="宋体" w:eastAsia="宋体" w:cs="宋体"/>
                <w:color w:val="auto"/>
                <w:kern w:val="0"/>
                <w:sz w:val="21"/>
                <w:szCs w:val="21"/>
              </w:rPr>
            </w:pPr>
            <w:r>
              <w:rPr>
                <w:rFonts w:hint="eastAsia" w:ascii="宋体" w:hAnsi="宋体" w:eastAsia="宋体" w:cs="宋体"/>
                <w:b/>
                <w:color w:val="auto"/>
                <w:sz w:val="21"/>
                <w:szCs w:val="21"/>
                <w:highlight w:val="none"/>
              </w:rPr>
              <w:t>（说明：本项目对于小型和微型企业提供的服务给予</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%的价格扣除，用扣除以后的价格参与评审）</w:t>
            </w:r>
          </w:p>
        </w:tc>
        <w:tc>
          <w:tcPr>
            <w:tcW w:w="850" w:type="dxa"/>
            <w:shd w:val="clear" w:color="auto" w:fill="auto"/>
            <w:vAlign w:val="center"/>
          </w:tcPr>
          <w:p>
            <w:pPr>
              <w:widowControl/>
              <w:jc w:val="center"/>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51" w:type="dxa"/>
            <w:vMerge w:val="restart"/>
            <w:shd w:val="clear" w:color="auto" w:fill="auto"/>
            <w:vAlign w:val="center"/>
          </w:tcPr>
          <w:p>
            <w:pPr>
              <w:widowControl/>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商务部分（</w:t>
            </w:r>
            <w:r>
              <w:rPr>
                <w:rFonts w:hint="eastAsia" w:ascii="宋体" w:hAnsi="宋体" w:cs="宋体"/>
                <w:b/>
                <w:bCs/>
                <w:color w:val="auto"/>
                <w:kern w:val="0"/>
                <w:sz w:val="21"/>
                <w:szCs w:val="21"/>
                <w:lang w:val="en-US" w:eastAsia="zh-CN"/>
              </w:rPr>
              <w:t>40</w:t>
            </w:r>
            <w:r>
              <w:rPr>
                <w:rFonts w:hint="eastAsia" w:ascii="宋体" w:hAnsi="宋体" w:eastAsia="宋体" w:cs="宋体"/>
                <w:b/>
                <w:bCs/>
                <w:color w:val="auto"/>
                <w:kern w:val="0"/>
                <w:sz w:val="21"/>
                <w:szCs w:val="21"/>
              </w:rPr>
              <w:t>）</w:t>
            </w:r>
          </w:p>
        </w:tc>
        <w:tc>
          <w:tcPr>
            <w:tcW w:w="1276" w:type="dxa"/>
            <w:vMerge w:val="restart"/>
            <w:shd w:val="clear" w:color="auto" w:fill="auto"/>
            <w:vAlign w:val="center"/>
          </w:tcPr>
          <w:p>
            <w:pPr>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综合实力（</w:t>
            </w:r>
            <w:r>
              <w:rPr>
                <w:rFonts w:hint="eastAsia" w:ascii="宋体" w:hAnsi="宋体" w:cs="宋体"/>
                <w:color w:val="auto"/>
                <w:kern w:val="0"/>
                <w:sz w:val="21"/>
                <w:szCs w:val="21"/>
                <w:lang w:val="en-US" w:eastAsia="zh-CN"/>
              </w:rPr>
              <w:t>20</w:t>
            </w:r>
            <w:r>
              <w:rPr>
                <w:rFonts w:hint="eastAsia" w:ascii="宋体" w:hAnsi="宋体" w:eastAsia="宋体" w:cs="宋体"/>
                <w:color w:val="auto"/>
                <w:kern w:val="0"/>
                <w:sz w:val="21"/>
                <w:szCs w:val="21"/>
              </w:rPr>
              <w:t>分）</w:t>
            </w:r>
          </w:p>
        </w:tc>
        <w:tc>
          <w:tcPr>
            <w:tcW w:w="6095" w:type="dxa"/>
            <w:shd w:val="clear" w:color="auto" w:fill="auto"/>
            <w:vAlign w:val="center"/>
          </w:tcPr>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具有高新技术企业及软件认定企业证书，提供1项得3分，满分6分。</w:t>
            </w:r>
          </w:p>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（需提供相关证明材料复印件并加盖公章，没有或未提供证明材料本项不得分。）</w:t>
            </w:r>
          </w:p>
        </w:tc>
        <w:tc>
          <w:tcPr>
            <w:tcW w:w="850" w:type="dxa"/>
            <w:shd w:val="clear" w:color="auto" w:fill="auto"/>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51" w:type="dxa"/>
            <w:vMerge w:val="continue"/>
            <w:shd w:val="clear" w:color="auto" w:fill="auto"/>
            <w:vAlign w:val="center"/>
          </w:tcPr>
          <w:p>
            <w:pPr>
              <w:widowControl/>
              <w:rPr>
                <w:rFonts w:hint="eastAsia" w:ascii="宋体" w:hAnsi="宋体" w:eastAsia="宋体" w:cs="宋体"/>
                <w:color w:val="auto"/>
                <w:kern w:val="0"/>
                <w:sz w:val="21"/>
                <w:szCs w:val="21"/>
              </w:rPr>
            </w:pPr>
          </w:p>
        </w:tc>
        <w:tc>
          <w:tcPr>
            <w:tcW w:w="1276" w:type="dxa"/>
            <w:vMerge w:val="continue"/>
            <w:shd w:val="clear" w:color="auto" w:fill="auto"/>
            <w:vAlign w:val="center"/>
          </w:tcPr>
          <w:p>
            <w:pPr>
              <w:widowControl/>
              <w:jc w:val="left"/>
              <w:rPr>
                <w:rFonts w:hint="eastAsia" w:ascii="宋体" w:hAnsi="宋体" w:eastAsia="宋体" w:cs="宋体"/>
                <w:color w:val="auto"/>
                <w:kern w:val="0"/>
                <w:sz w:val="21"/>
                <w:szCs w:val="21"/>
              </w:rPr>
            </w:pPr>
          </w:p>
        </w:tc>
        <w:tc>
          <w:tcPr>
            <w:tcW w:w="6095" w:type="dxa"/>
            <w:shd w:val="clear" w:color="auto" w:fill="auto"/>
            <w:vAlign w:val="center"/>
          </w:tcPr>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具有ISO9001质量管理体系认证、ISO27001信息安全管理体系认证、ISO20000信息技术服务管理体系认证，每提供1个认证得2分，满分6分。</w:t>
            </w:r>
          </w:p>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（需提供证书原件复印件并加盖公章）</w:t>
            </w:r>
          </w:p>
        </w:tc>
        <w:tc>
          <w:tcPr>
            <w:tcW w:w="850" w:type="dxa"/>
            <w:shd w:val="clear" w:color="auto" w:fill="auto"/>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51" w:type="dxa"/>
            <w:vMerge w:val="continue"/>
            <w:shd w:val="clear" w:color="auto" w:fill="auto"/>
            <w:vAlign w:val="center"/>
          </w:tcPr>
          <w:p>
            <w:pPr>
              <w:widowControl/>
              <w:rPr>
                <w:rFonts w:hint="eastAsia" w:ascii="宋体" w:hAnsi="宋体" w:eastAsia="宋体" w:cs="宋体"/>
                <w:color w:val="auto"/>
                <w:kern w:val="0"/>
                <w:sz w:val="21"/>
                <w:szCs w:val="21"/>
              </w:rPr>
            </w:pPr>
          </w:p>
        </w:tc>
        <w:tc>
          <w:tcPr>
            <w:tcW w:w="1276" w:type="dxa"/>
            <w:vMerge w:val="continue"/>
            <w:shd w:val="clear" w:color="auto" w:fill="auto"/>
            <w:vAlign w:val="center"/>
          </w:tcPr>
          <w:p>
            <w:pPr>
              <w:widowControl/>
              <w:jc w:val="left"/>
              <w:rPr>
                <w:rFonts w:hint="eastAsia" w:ascii="宋体" w:hAnsi="宋体" w:eastAsia="宋体" w:cs="宋体"/>
                <w:color w:val="auto"/>
                <w:kern w:val="0"/>
                <w:sz w:val="21"/>
                <w:szCs w:val="21"/>
              </w:rPr>
            </w:pPr>
          </w:p>
        </w:tc>
        <w:tc>
          <w:tcPr>
            <w:tcW w:w="6095" w:type="dxa"/>
            <w:shd w:val="clear" w:color="auto" w:fill="auto"/>
            <w:vAlign w:val="center"/>
          </w:tcPr>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具有软件成熟度CMMI认证证书，5级得3分，4级得2分，3级得1分。</w:t>
            </w:r>
          </w:p>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（需提供证书原件复印件并加盖公章）</w:t>
            </w:r>
          </w:p>
        </w:tc>
        <w:tc>
          <w:tcPr>
            <w:tcW w:w="850" w:type="dxa"/>
            <w:shd w:val="clear" w:color="auto" w:fill="auto"/>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51" w:type="dxa"/>
            <w:vMerge w:val="continue"/>
            <w:shd w:val="clear" w:color="auto" w:fill="auto"/>
            <w:vAlign w:val="center"/>
          </w:tcPr>
          <w:p>
            <w:pPr>
              <w:widowControl/>
              <w:rPr>
                <w:rFonts w:hint="eastAsia" w:ascii="宋体" w:hAnsi="宋体" w:eastAsia="宋体" w:cs="宋体"/>
                <w:color w:val="auto"/>
                <w:kern w:val="0"/>
                <w:sz w:val="21"/>
                <w:szCs w:val="21"/>
              </w:rPr>
            </w:pPr>
          </w:p>
        </w:tc>
        <w:tc>
          <w:tcPr>
            <w:tcW w:w="1276" w:type="dxa"/>
            <w:vMerge w:val="continue"/>
            <w:shd w:val="clear" w:color="auto" w:fill="auto"/>
            <w:vAlign w:val="center"/>
          </w:tcPr>
          <w:p>
            <w:pPr>
              <w:widowControl/>
              <w:jc w:val="left"/>
              <w:rPr>
                <w:rFonts w:hint="eastAsia" w:ascii="宋体" w:hAnsi="宋体" w:eastAsia="宋体" w:cs="宋体"/>
                <w:color w:val="auto"/>
                <w:kern w:val="0"/>
                <w:sz w:val="21"/>
                <w:szCs w:val="21"/>
              </w:rPr>
            </w:pPr>
          </w:p>
        </w:tc>
        <w:tc>
          <w:tcPr>
            <w:tcW w:w="6095" w:type="dxa"/>
            <w:shd w:val="clear" w:color="auto" w:fill="auto"/>
            <w:vAlign w:val="center"/>
          </w:tcPr>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具有ITSS信息技术服务运行维护证书，二级及以上得3分，三级得1分。</w:t>
            </w:r>
          </w:p>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（需提供相关证明材料复印件并加盖公章，没有或未提供证明材料本项不得分）</w:t>
            </w:r>
          </w:p>
        </w:tc>
        <w:tc>
          <w:tcPr>
            <w:tcW w:w="850" w:type="dxa"/>
            <w:shd w:val="clear" w:color="auto" w:fill="auto"/>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51" w:type="dxa"/>
            <w:vMerge w:val="continue"/>
            <w:shd w:val="clear" w:color="auto" w:fill="auto"/>
            <w:vAlign w:val="center"/>
          </w:tcPr>
          <w:p>
            <w:pPr>
              <w:widowControl/>
              <w:rPr>
                <w:rFonts w:hint="eastAsia" w:ascii="宋体" w:hAnsi="宋体" w:eastAsia="宋体" w:cs="宋体"/>
                <w:color w:val="auto"/>
                <w:kern w:val="0"/>
                <w:sz w:val="21"/>
                <w:szCs w:val="21"/>
              </w:rPr>
            </w:pPr>
          </w:p>
        </w:tc>
        <w:tc>
          <w:tcPr>
            <w:tcW w:w="1276" w:type="dxa"/>
            <w:vMerge w:val="continue"/>
            <w:shd w:val="clear" w:color="auto" w:fill="auto"/>
            <w:vAlign w:val="center"/>
          </w:tcPr>
          <w:p>
            <w:pPr>
              <w:widowControl/>
              <w:jc w:val="left"/>
              <w:rPr>
                <w:rFonts w:hint="eastAsia" w:ascii="宋体" w:hAnsi="宋体" w:eastAsia="宋体" w:cs="宋体"/>
                <w:color w:val="auto"/>
                <w:kern w:val="0"/>
                <w:sz w:val="21"/>
                <w:szCs w:val="21"/>
              </w:rPr>
            </w:pPr>
          </w:p>
        </w:tc>
        <w:tc>
          <w:tcPr>
            <w:tcW w:w="6095" w:type="dxa"/>
            <w:shd w:val="clear" w:color="auto" w:fill="auto"/>
            <w:vAlign w:val="center"/>
          </w:tcPr>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或投标产品制造商具有职业健康安全管理体系认证（ISO45001）的得2分。提供证书复印件加盖</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公章。证书不符合或未提供不得分。</w:t>
            </w:r>
          </w:p>
        </w:tc>
        <w:tc>
          <w:tcPr>
            <w:tcW w:w="850" w:type="dxa"/>
            <w:shd w:val="clear" w:color="auto" w:fill="auto"/>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51" w:type="dxa"/>
            <w:vMerge w:val="continue"/>
            <w:shd w:val="clear" w:color="auto" w:fill="auto"/>
            <w:vAlign w:val="center"/>
          </w:tcPr>
          <w:p>
            <w:pPr>
              <w:widowControl/>
              <w:rPr>
                <w:rFonts w:hint="eastAsia" w:ascii="宋体" w:hAnsi="宋体" w:eastAsia="宋体" w:cs="宋体"/>
                <w:color w:val="auto"/>
                <w:kern w:val="0"/>
                <w:sz w:val="21"/>
                <w:szCs w:val="21"/>
              </w:rPr>
            </w:pPr>
          </w:p>
        </w:tc>
        <w:tc>
          <w:tcPr>
            <w:tcW w:w="1276"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产品核心实力(20分)</w:t>
            </w:r>
          </w:p>
        </w:tc>
        <w:tc>
          <w:tcPr>
            <w:tcW w:w="6095" w:type="dxa"/>
            <w:shd w:val="clear" w:color="auto" w:fill="auto"/>
            <w:vAlign w:val="center"/>
          </w:tcPr>
          <w:p>
            <w:pPr>
              <w:widowControl/>
              <w:jc w:val="left"/>
              <w:rPr>
                <w:rFonts w:hint="eastAsia" w:ascii="宋体" w:hAnsi="宋体" w:eastAsia="宋体" w:cs="宋体"/>
                <w:color w:val="auto"/>
                <w:kern w:val="0"/>
                <w:sz w:val="21"/>
                <w:szCs w:val="21"/>
              </w:rPr>
            </w:pPr>
            <w:r>
              <w:rPr>
                <w:rFonts w:hint="eastAsia" w:cs="宋体"/>
                <w:color w:val="auto"/>
                <w:kern w:val="0"/>
                <w:szCs w:val="21"/>
                <w:lang w:eastAsia="zh-CN"/>
              </w:rPr>
              <w:t>供应商</w:t>
            </w:r>
            <w:r>
              <w:rPr>
                <w:rFonts w:hint="eastAsia" w:cs="宋体"/>
                <w:color w:val="auto"/>
                <w:kern w:val="0"/>
                <w:szCs w:val="21"/>
              </w:rPr>
              <w:t>或投标产品制造商提供自主研发的医院信息系统（HIS）；电子病历(EMR)；治疗管理系统；临床路径信息系统；病历编辑器系统等系统软件著作权登记证书和软件评测中心出具的测试报告，满分</w:t>
            </w:r>
            <w:r>
              <w:rPr>
                <w:rFonts w:cs="宋体"/>
                <w:color w:val="auto"/>
                <w:kern w:val="0"/>
                <w:szCs w:val="21"/>
              </w:rPr>
              <w:t>8</w:t>
            </w:r>
            <w:r>
              <w:rPr>
                <w:rFonts w:hint="eastAsia" w:cs="宋体"/>
                <w:color w:val="auto"/>
                <w:kern w:val="0"/>
                <w:szCs w:val="21"/>
              </w:rPr>
              <w:t>分。缺1个产品扣</w:t>
            </w:r>
            <w:r>
              <w:rPr>
                <w:rFonts w:cs="宋体"/>
                <w:color w:val="auto"/>
                <w:kern w:val="0"/>
                <w:szCs w:val="21"/>
              </w:rPr>
              <w:t>2</w:t>
            </w:r>
            <w:r>
              <w:rPr>
                <w:rFonts w:hint="eastAsia" w:cs="宋体"/>
                <w:color w:val="auto"/>
                <w:kern w:val="0"/>
                <w:szCs w:val="21"/>
              </w:rPr>
              <w:t>分，扣完为止。计算机软件著作权登记证书取得时间不迟于本项目招标公告发布之前。（提供软件著作权的名称可略有不同，但实际功能需一致，以提供著作权登记证书、测试报告复印件加盖</w:t>
            </w:r>
            <w:r>
              <w:rPr>
                <w:rFonts w:hint="eastAsia" w:cs="宋体"/>
                <w:color w:val="auto"/>
                <w:kern w:val="0"/>
                <w:szCs w:val="21"/>
                <w:lang w:eastAsia="zh-CN"/>
              </w:rPr>
              <w:t>供应商</w:t>
            </w:r>
            <w:r>
              <w:rPr>
                <w:rFonts w:hint="eastAsia" w:cs="宋体"/>
                <w:color w:val="auto"/>
                <w:kern w:val="0"/>
                <w:szCs w:val="21"/>
              </w:rPr>
              <w:t>公章为准。）</w:t>
            </w:r>
          </w:p>
        </w:tc>
        <w:tc>
          <w:tcPr>
            <w:tcW w:w="850" w:type="dxa"/>
            <w:shd w:val="clear" w:color="auto" w:fill="auto"/>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851" w:type="dxa"/>
            <w:vMerge w:val="continue"/>
            <w:shd w:val="clear" w:color="auto" w:fill="auto"/>
            <w:vAlign w:val="center"/>
          </w:tcPr>
          <w:p>
            <w:pPr>
              <w:widowControl/>
              <w:rPr>
                <w:rFonts w:hint="eastAsia" w:ascii="宋体" w:hAnsi="宋体" w:eastAsia="宋体" w:cs="宋体"/>
                <w:color w:val="auto"/>
                <w:kern w:val="0"/>
                <w:sz w:val="21"/>
                <w:szCs w:val="21"/>
              </w:rPr>
            </w:pPr>
          </w:p>
        </w:tc>
        <w:tc>
          <w:tcPr>
            <w:tcW w:w="1276" w:type="dxa"/>
            <w:vMerge w:val="continue"/>
            <w:shd w:val="clear" w:color="auto" w:fill="auto"/>
            <w:vAlign w:val="center"/>
          </w:tcPr>
          <w:p>
            <w:pPr>
              <w:widowControl/>
              <w:jc w:val="left"/>
              <w:rPr>
                <w:rFonts w:hint="eastAsia" w:ascii="宋体" w:hAnsi="宋体" w:eastAsia="宋体" w:cs="宋体"/>
                <w:color w:val="auto"/>
                <w:kern w:val="0"/>
                <w:sz w:val="21"/>
                <w:szCs w:val="21"/>
              </w:rPr>
            </w:pPr>
          </w:p>
        </w:tc>
        <w:tc>
          <w:tcPr>
            <w:tcW w:w="6095" w:type="dxa"/>
            <w:shd w:val="clear" w:color="auto" w:fill="auto"/>
            <w:vAlign w:val="center"/>
          </w:tcPr>
          <w:p>
            <w:pPr>
              <w:widowControl/>
              <w:jc w:val="left"/>
              <w:rPr>
                <w:rFonts w:hint="eastAsia" w:cs="宋体"/>
                <w:color w:val="auto"/>
                <w:kern w:val="0"/>
                <w:szCs w:val="21"/>
              </w:rPr>
            </w:pPr>
            <w:r>
              <w:rPr>
                <w:rFonts w:hint="eastAsia" w:cs="宋体"/>
                <w:color w:val="auto"/>
                <w:kern w:val="0"/>
                <w:szCs w:val="21"/>
                <w:lang w:eastAsia="zh-CN"/>
              </w:rPr>
              <w:t>供应商</w:t>
            </w:r>
            <w:r>
              <w:rPr>
                <w:rFonts w:hint="eastAsia" w:cs="宋体"/>
                <w:color w:val="auto"/>
                <w:kern w:val="0"/>
                <w:szCs w:val="21"/>
              </w:rPr>
              <w:t>或投标产品制造商的医院信息化系统应用医院用户满足</w:t>
            </w:r>
            <w:r>
              <w:rPr>
                <w:rFonts w:cs="宋体"/>
                <w:color w:val="auto"/>
                <w:kern w:val="0"/>
                <w:szCs w:val="21"/>
              </w:rPr>
              <w:t>国家卫生健康委医院管理研究所</w:t>
            </w:r>
            <w:r>
              <w:rPr>
                <w:rFonts w:hint="eastAsia" w:cs="宋体"/>
                <w:color w:val="auto"/>
                <w:kern w:val="0"/>
                <w:szCs w:val="21"/>
              </w:rPr>
              <w:t>（原国家卫生计生委医院管理研究所）电子病历系统功能应用水平四级标准并通过认证的，每提供1家医院得</w:t>
            </w:r>
            <w:r>
              <w:rPr>
                <w:rFonts w:cs="宋体"/>
                <w:color w:val="auto"/>
                <w:kern w:val="0"/>
                <w:szCs w:val="21"/>
              </w:rPr>
              <w:t>1</w:t>
            </w:r>
            <w:r>
              <w:rPr>
                <w:rFonts w:hint="eastAsia" w:cs="宋体"/>
                <w:color w:val="auto"/>
                <w:kern w:val="0"/>
                <w:szCs w:val="21"/>
              </w:rPr>
              <w:t>分，最多得3分；</w:t>
            </w:r>
          </w:p>
          <w:p>
            <w:pPr>
              <w:widowControl/>
              <w:jc w:val="left"/>
              <w:rPr>
                <w:rFonts w:hint="eastAsia" w:cs="宋体"/>
                <w:color w:val="auto"/>
                <w:kern w:val="0"/>
                <w:szCs w:val="21"/>
              </w:rPr>
            </w:pPr>
            <w:r>
              <w:rPr>
                <w:rFonts w:hint="eastAsia" w:cs="宋体"/>
                <w:color w:val="auto"/>
                <w:kern w:val="0"/>
                <w:szCs w:val="21"/>
              </w:rPr>
              <w:t>通过电子病历系统功能应用水平五级认证的医院用户，每提供1家医院用户得</w:t>
            </w:r>
            <w:r>
              <w:rPr>
                <w:rFonts w:cs="宋体"/>
                <w:color w:val="auto"/>
                <w:kern w:val="0"/>
                <w:szCs w:val="21"/>
              </w:rPr>
              <w:t>1</w:t>
            </w:r>
            <w:r>
              <w:rPr>
                <w:rFonts w:hint="eastAsia" w:cs="宋体"/>
                <w:color w:val="auto"/>
                <w:kern w:val="0"/>
                <w:szCs w:val="21"/>
              </w:rPr>
              <w:t>分，最多得3分；</w:t>
            </w:r>
          </w:p>
          <w:p>
            <w:pPr>
              <w:widowControl/>
              <w:jc w:val="left"/>
              <w:rPr>
                <w:rFonts w:cs="宋体"/>
                <w:color w:val="auto"/>
                <w:kern w:val="0"/>
                <w:szCs w:val="21"/>
              </w:rPr>
            </w:pPr>
            <w:r>
              <w:rPr>
                <w:rFonts w:hint="eastAsia" w:cs="宋体"/>
                <w:color w:val="auto"/>
                <w:kern w:val="0"/>
                <w:szCs w:val="21"/>
              </w:rPr>
              <w:t>通过电子病历系统功能应用水平六级或以上认证的医院用户，每提供1家医院用户得</w:t>
            </w:r>
            <w:r>
              <w:rPr>
                <w:rFonts w:cs="宋体"/>
                <w:color w:val="auto"/>
                <w:kern w:val="0"/>
                <w:szCs w:val="21"/>
              </w:rPr>
              <w:t>2</w:t>
            </w:r>
            <w:r>
              <w:rPr>
                <w:rFonts w:hint="eastAsia" w:cs="宋体"/>
                <w:color w:val="auto"/>
                <w:kern w:val="0"/>
                <w:szCs w:val="21"/>
              </w:rPr>
              <w:t>分，最多得</w:t>
            </w:r>
            <w:r>
              <w:rPr>
                <w:rFonts w:cs="宋体"/>
                <w:color w:val="auto"/>
                <w:kern w:val="0"/>
                <w:szCs w:val="21"/>
              </w:rPr>
              <w:t>6</w:t>
            </w:r>
            <w:r>
              <w:rPr>
                <w:rFonts w:hint="eastAsia" w:cs="宋体"/>
                <w:color w:val="auto"/>
                <w:kern w:val="0"/>
                <w:szCs w:val="21"/>
              </w:rPr>
              <w:t>分。</w:t>
            </w:r>
          </w:p>
          <w:p>
            <w:pPr>
              <w:widowControl/>
              <w:jc w:val="left"/>
              <w:rPr>
                <w:rFonts w:hint="eastAsia" w:ascii="宋体" w:hAnsi="宋体" w:eastAsia="宋体" w:cs="宋体"/>
                <w:color w:val="auto"/>
                <w:kern w:val="0"/>
                <w:sz w:val="21"/>
                <w:szCs w:val="21"/>
              </w:rPr>
            </w:pPr>
            <w:r>
              <w:rPr>
                <w:rFonts w:hint="eastAsia" w:cs="宋体"/>
                <w:color w:val="auto"/>
                <w:kern w:val="0"/>
                <w:szCs w:val="21"/>
              </w:rPr>
              <w:t>（证明材料必须提供</w:t>
            </w:r>
            <w:r>
              <w:rPr>
                <w:rFonts w:hint="eastAsia" w:cs="宋体"/>
                <w:color w:val="auto"/>
                <w:kern w:val="0"/>
                <w:szCs w:val="21"/>
                <w:lang w:eastAsia="zh-CN"/>
              </w:rPr>
              <w:t>供应商</w:t>
            </w:r>
            <w:r>
              <w:rPr>
                <w:rFonts w:hint="eastAsia" w:cs="宋体"/>
                <w:color w:val="auto"/>
                <w:kern w:val="0"/>
                <w:szCs w:val="21"/>
              </w:rPr>
              <w:t>与用户签订的内容至少包含</w:t>
            </w:r>
            <w:r>
              <w:rPr>
                <w:rFonts w:hint="eastAsia" w:cs="宋体"/>
                <w:color w:val="auto"/>
                <w:kern w:val="0"/>
                <w:szCs w:val="21"/>
                <w:lang w:eastAsia="zh-CN"/>
              </w:rPr>
              <w:t>供应商</w:t>
            </w:r>
            <w:r>
              <w:rPr>
                <w:rFonts w:hint="eastAsia" w:cs="宋体"/>
                <w:color w:val="auto"/>
                <w:kern w:val="0"/>
                <w:szCs w:val="21"/>
              </w:rPr>
              <w:t>HIS、电子病历系统的合同及对应的用户验收报告，以及该用户电子病历评级证明材料复印件加盖</w:t>
            </w:r>
            <w:r>
              <w:rPr>
                <w:rFonts w:hint="eastAsia" w:cs="宋体"/>
                <w:color w:val="auto"/>
                <w:kern w:val="0"/>
                <w:szCs w:val="21"/>
                <w:lang w:eastAsia="zh-CN"/>
              </w:rPr>
              <w:t>供应商</w:t>
            </w:r>
            <w:r>
              <w:rPr>
                <w:rFonts w:hint="eastAsia" w:cs="宋体"/>
                <w:color w:val="auto"/>
                <w:kern w:val="0"/>
                <w:szCs w:val="21"/>
              </w:rPr>
              <w:t>公章）</w:t>
            </w:r>
          </w:p>
        </w:tc>
        <w:tc>
          <w:tcPr>
            <w:tcW w:w="850" w:type="dxa"/>
            <w:shd w:val="clear" w:color="auto" w:fill="auto"/>
            <w:vAlign w:val="center"/>
          </w:tcPr>
          <w:p>
            <w:pPr>
              <w:widowControl/>
              <w:jc w:val="center"/>
              <w:rPr>
                <w:rFonts w:hint="eastAsia" w:ascii="宋体" w:hAnsi="宋体" w:eastAsia="宋体" w:cs="宋体"/>
                <w:color w:val="auto"/>
                <w:kern w:val="0"/>
                <w:sz w:val="21"/>
                <w:szCs w:val="21"/>
              </w:rPr>
            </w:pPr>
            <w:r>
              <w:rPr>
                <w:rFonts w:hint="eastAsia" w:cs="宋体"/>
                <w:color w:val="auto"/>
                <w:kern w:val="0"/>
                <w:szCs w:val="21"/>
              </w:rPr>
              <w:t>1</w:t>
            </w:r>
            <w:r>
              <w:rPr>
                <w:rFonts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851"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技术部分</w:t>
            </w:r>
          </w:p>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（40分）</w:t>
            </w:r>
          </w:p>
        </w:tc>
        <w:tc>
          <w:tcPr>
            <w:tcW w:w="1276" w:type="dxa"/>
            <w:shd w:val="clear" w:color="auto" w:fill="auto"/>
            <w:vAlign w:val="center"/>
          </w:tcPr>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投标技术方案符合情况（5分）</w:t>
            </w:r>
          </w:p>
        </w:tc>
        <w:tc>
          <w:tcPr>
            <w:tcW w:w="6095" w:type="dxa"/>
            <w:shd w:val="clear" w:color="auto" w:fill="auto"/>
            <w:vAlign w:val="center"/>
          </w:tcPr>
          <w:p>
            <w:pPr>
              <w:jc w:val="left"/>
              <w:rPr>
                <w:rFonts w:cs="宋体"/>
                <w:color w:val="auto"/>
                <w:kern w:val="0"/>
                <w:szCs w:val="21"/>
              </w:rPr>
            </w:pPr>
            <w:r>
              <w:rPr>
                <w:rFonts w:hint="eastAsia" w:cs="宋体"/>
                <w:color w:val="auto"/>
                <w:kern w:val="0"/>
                <w:szCs w:val="21"/>
              </w:rPr>
              <w:t>根据</w:t>
            </w:r>
            <w:r>
              <w:rPr>
                <w:rFonts w:hint="eastAsia" w:cs="宋体"/>
                <w:color w:val="auto"/>
                <w:kern w:val="0"/>
                <w:szCs w:val="21"/>
                <w:lang w:eastAsia="zh-CN"/>
              </w:rPr>
              <w:t>供应商</w:t>
            </w:r>
            <w:r>
              <w:rPr>
                <w:rFonts w:hint="eastAsia" w:cs="宋体"/>
                <w:color w:val="auto"/>
                <w:kern w:val="0"/>
                <w:szCs w:val="21"/>
              </w:rPr>
              <w:t>整体投标文件技术内容的合理性、可行性、技术实现等进行评价，是否充分考虑用户实际使用需求进行评价，评委根据方案优劣酌情给分。</w:t>
            </w:r>
          </w:p>
          <w:p>
            <w:pPr>
              <w:jc w:val="left"/>
              <w:rPr>
                <w:rFonts w:cs="宋体"/>
                <w:color w:val="auto"/>
                <w:kern w:val="0"/>
                <w:szCs w:val="21"/>
              </w:rPr>
            </w:pPr>
            <w:r>
              <w:rPr>
                <w:rFonts w:hint="eastAsia" w:cs="宋体"/>
                <w:color w:val="auto"/>
                <w:kern w:val="0"/>
                <w:szCs w:val="21"/>
              </w:rPr>
              <w:t>方案措施安排科学、条理清晰、切合实际的得</w:t>
            </w:r>
            <w:r>
              <w:rPr>
                <w:rFonts w:cs="宋体"/>
                <w:color w:val="auto"/>
                <w:kern w:val="0"/>
                <w:szCs w:val="21"/>
              </w:rPr>
              <w:t>4</w:t>
            </w:r>
            <w:r>
              <w:rPr>
                <w:rFonts w:hint="eastAsia" w:cs="宋体"/>
                <w:color w:val="auto"/>
                <w:kern w:val="0"/>
                <w:szCs w:val="21"/>
              </w:rPr>
              <w:t>-</w:t>
            </w:r>
            <w:r>
              <w:rPr>
                <w:rFonts w:cs="宋体"/>
                <w:color w:val="auto"/>
                <w:kern w:val="0"/>
                <w:szCs w:val="21"/>
              </w:rPr>
              <w:t>5</w:t>
            </w:r>
            <w:r>
              <w:rPr>
                <w:rFonts w:hint="eastAsia" w:cs="宋体"/>
                <w:color w:val="auto"/>
                <w:kern w:val="0"/>
                <w:szCs w:val="21"/>
              </w:rPr>
              <w:t>分；</w:t>
            </w:r>
          </w:p>
          <w:p>
            <w:pPr>
              <w:jc w:val="left"/>
              <w:rPr>
                <w:rFonts w:cs="宋体"/>
                <w:color w:val="auto"/>
                <w:kern w:val="0"/>
                <w:szCs w:val="21"/>
              </w:rPr>
            </w:pPr>
            <w:r>
              <w:rPr>
                <w:rFonts w:hint="eastAsia" w:cs="宋体"/>
                <w:color w:val="auto"/>
                <w:kern w:val="0"/>
                <w:szCs w:val="21"/>
              </w:rPr>
              <w:t>方案安排较科学、切合实际、内容完整性较一般的得2-</w:t>
            </w:r>
            <w:r>
              <w:rPr>
                <w:rFonts w:cs="宋体"/>
                <w:color w:val="auto"/>
                <w:kern w:val="0"/>
                <w:szCs w:val="21"/>
              </w:rPr>
              <w:t>3</w:t>
            </w:r>
            <w:r>
              <w:rPr>
                <w:rFonts w:hint="eastAsia" w:cs="宋体"/>
                <w:color w:val="auto"/>
                <w:kern w:val="0"/>
                <w:szCs w:val="21"/>
              </w:rPr>
              <w:t>分；</w:t>
            </w:r>
          </w:p>
          <w:p>
            <w:pPr>
              <w:jc w:val="left"/>
              <w:rPr>
                <w:rFonts w:hint="eastAsia" w:ascii="宋体" w:hAnsi="宋体" w:eastAsia="宋体" w:cs="宋体"/>
                <w:color w:val="auto"/>
                <w:kern w:val="0"/>
                <w:sz w:val="21"/>
                <w:szCs w:val="21"/>
              </w:rPr>
            </w:pPr>
            <w:r>
              <w:rPr>
                <w:rFonts w:hint="eastAsia" w:cs="宋体"/>
                <w:color w:val="auto"/>
                <w:kern w:val="0"/>
                <w:szCs w:val="21"/>
              </w:rPr>
              <w:t>方案安排科学性、条理性较差，内容缺乏重点、与实际情况及需求有偏差得</w:t>
            </w:r>
            <w:r>
              <w:rPr>
                <w:rFonts w:cs="宋体"/>
                <w:color w:val="auto"/>
                <w:kern w:val="0"/>
                <w:szCs w:val="21"/>
              </w:rPr>
              <w:t>0-1</w:t>
            </w:r>
            <w:r>
              <w:rPr>
                <w:rFonts w:hint="eastAsia" w:cs="宋体"/>
                <w:color w:val="auto"/>
                <w:kern w:val="0"/>
                <w:szCs w:val="21"/>
              </w:rPr>
              <w:t>分。</w:t>
            </w:r>
          </w:p>
        </w:tc>
        <w:tc>
          <w:tcPr>
            <w:tcW w:w="850" w:type="dxa"/>
            <w:shd w:val="clear" w:color="auto" w:fill="auto"/>
            <w:vAlign w:val="center"/>
          </w:tcPr>
          <w:p>
            <w:pPr>
              <w:widowControl/>
              <w:jc w:val="center"/>
              <w:rPr>
                <w:rFonts w:hint="eastAsia" w:ascii="宋体" w:hAnsi="宋体" w:eastAsia="宋体" w:cs="宋体"/>
                <w:color w:val="auto"/>
                <w:kern w:val="0"/>
                <w:sz w:val="21"/>
                <w:szCs w:val="21"/>
              </w:rPr>
            </w:pPr>
            <w:r>
              <w:rPr>
                <w:rFonts w:cs="宋体"/>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851" w:type="dxa"/>
            <w:vMerge w:val="continue"/>
            <w:vAlign w:val="center"/>
          </w:tcPr>
          <w:p>
            <w:pPr>
              <w:widowControl/>
              <w:jc w:val="left"/>
              <w:rPr>
                <w:rFonts w:hint="eastAsia" w:ascii="宋体" w:hAnsi="宋体" w:eastAsia="宋体" w:cs="宋体"/>
                <w:b/>
                <w:bCs/>
                <w:color w:val="auto"/>
                <w:kern w:val="0"/>
                <w:sz w:val="21"/>
                <w:szCs w:val="21"/>
              </w:rPr>
            </w:pPr>
          </w:p>
        </w:tc>
        <w:tc>
          <w:tcPr>
            <w:tcW w:w="1276" w:type="dxa"/>
            <w:vMerge w:val="restart"/>
            <w:vAlign w:val="center"/>
          </w:tcPr>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项目实施保障能力（10分）</w:t>
            </w:r>
          </w:p>
        </w:tc>
        <w:tc>
          <w:tcPr>
            <w:tcW w:w="6095" w:type="dxa"/>
            <w:shd w:val="clear" w:color="auto" w:fill="auto"/>
            <w:vAlign w:val="center"/>
          </w:tcPr>
          <w:p>
            <w:pPr>
              <w:jc w:val="left"/>
              <w:rPr>
                <w:rFonts w:hint="eastAsia" w:ascii="宋体" w:hAnsi="宋体" w:eastAsia="宋体" w:cs="宋体"/>
                <w:color w:val="auto"/>
                <w:kern w:val="0"/>
                <w:sz w:val="21"/>
                <w:szCs w:val="21"/>
              </w:rPr>
            </w:pPr>
            <w:r>
              <w:rPr>
                <w:rFonts w:hint="eastAsia" w:cs="宋体"/>
                <w:color w:val="auto"/>
                <w:kern w:val="0"/>
                <w:szCs w:val="21"/>
              </w:rPr>
              <w:t>为保证本次电子病历项目建设顺利，</w:t>
            </w:r>
            <w:r>
              <w:rPr>
                <w:rFonts w:hint="eastAsia" w:cs="宋体"/>
                <w:color w:val="auto"/>
                <w:kern w:val="0"/>
                <w:szCs w:val="21"/>
                <w:lang w:eastAsia="zh-CN"/>
              </w:rPr>
              <w:t>供应商</w:t>
            </w:r>
            <w:r>
              <w:rPr>
                <w:rFonts w:hint="eastAsia" w:cs="宋体"/>
                <w:color w:val="auto"/>
                <w:kern w:val="0"/>
                <w:szCs w:val="21"/>
              </w:rPr>
              <w:t>需承诺在医院此次信息系统建设完成后实现与医院现有HIS系统的无缝对接，且满足与</w:t>
            </w:r>
            <w:r>
              <w:rPr>
                <w:rFonts w:cs="宋体"/>
                <w:color w:val="auto"/>
                <w:kern w:val="0"/>
                <w:szCs w:val="21"/>
              </w:rPr>
              <w:t>克拉玛依市区域信息</w:t>
            </w:r>
            <w:r>
              <w:rPr>
                <w:rFonts w:hint="eastAsia" w:cs="宋体"/>
                <w:color w:val="auto"/>
                <w:kern w:val="0"/>
                <w:szCs w:val="21"/>
              </w:rPr>
              <w:t>平台对接及数据上传要求的得</w:t>
            </w:r>
            <w:r>
              <w:rPr>
                <w:rFonts w:cs="宋体"/>
                <w:color w:val="auto"/>
                <w:kern w:val="0"/>
                <w:szCs w:val="21"/>
              </w:rPr>
              <w:t>5</w:t>
            </w:r>
            <w:r>
              <w:rPr>
                <w:rFonts w:hint="eastAsia" w:cs="宋体"/>
                <w:color w:val="auto"/>
                <w:kern w:val="0"/>
                <w:szCs w:val="21"/>
              </w:rPr>
              <w:t>分，否则不得分。</w:t>
            </w:r>
          </w:p>
        </w:tc>
        <w:tc>
          <w:tcPr>
            <w:tcW w:w="850" w:type="dxa"/>
            <w:shd w:val="clear" w:color="auto" w:fill="auto"/>
            <w:vAlign w:val="center"/>
          </w:tcPr>
          <w:p>
            <w:pPr>
              <w:jc w:val="center"/>
              <w:rPr>
                <w:rFonts w:hint="eastAsia" w:ascii="宋体" w:hAnsi="宋体" w:eastAsia="宋体" w:cs="宋体"/>
                <w:color w:val="auto"/>
                <w:kern w:val="0"/>
                <w:sz w:val="21"/>
                <w:szCs w:val="21"/>
              </w:rPr>
            </w:pPr>
            <w:r>
              <w:rPr>
                <w:rFonts w:cs="宋体"/>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51" w:type="dxa"/>
            <w:vMerge w:val="continue"/>
            <w:vAlign w:val="center"/>
          </w:tcPr>
          <w:p>
            <w:pPr>
              <w:widowControl/>
              <w:jc w:val="left"/>
              <w:rPr>
                <w:rFonts w:hint="eastAsia" w:ascii="宋体" w:hAnsi="宋体" w:eastAsia="宋体" w:cs="宋体"/>
                <w:b/>
                <w:bCs/>
                <w:color w:val="auto"/>
                <w:kern w:val="0"/>
                <w:sz w:val="21"/>
                <w:szCs w:val="21"/>
              </w:rPr>
            </w:pPr>
          </w:p>
        </w:tc>
        <w:tc>
          <w:tcPr>
            <w:tcW w:w="1276" w:type="dxa"/>
            <w:vMerge w:val="continue"/>
            <w:vAlign w:val="center"/>
          </w:tcPr>
          <w:p>
            <w:pPr>
              <w:jc w:val="left"/>
              <w:rPr>
                <w:rFonts w:hint="eastAsia" w:ascii="宋体" w:hAnsi="宋体" w:eastAsia="宋体" w:cs="宋体"/>
                <w:color w:val="auto"/>
                <w:kern w:val="0"/>
                <w:sz w:val="21"/>
                <w:szCs w:val="21"/>
              </w:rPr>
            </w:pPr>
          </w:p>
        </w:tc>
        <w:tc>
          <w:tcPr>
            <w:tcW w:w="6095" w:type="dxa"/>
            <w:shd w:val="clear" w:color="auto" w:fill="auto"/>
            <w:vAlign w:val="center"/>
          </w:tcPr>
          <w:p>
            <w:pPr>
              <w:jc w:val="left"/>
              <w:rPr>
                <w:rFonts w:hint="eastAsia" w:ascii="宋体" w:hAnsi="宋体" w:eastAsia="宋体" w:cs="宋体"/>
                <w:color w:val="auto"/>
                <w:kern w:val="0"/>
                <w:sz w:val="21"/>
                <w:szCs w:val="21"/>
              </w:rPr>
            </w:pPr>
            <w:r>
              <w:rPr>
                <w:rFonts w:hint="eastAsia" w:cs="宋体"/>
                <w:color w:val="auto"/>
                <w:kern w:val="0"/>
                <w:szCs w:val="21"/>
              </w:rPr>
              <w:t>为保证本次新建电子病历系统的建设完善性及信息数据获取可靠性，由</w:t>
            </w:r>
            <w:r>
              <w:rPr>
                <w:rFonts w:hint="eastAsia" w:cs="宋体"/>
                <w:color w:val="auto"/>
                <w:kern w:val="0"/>
                <w:szCs w:val="21"/>
                <w:lang w:eastAsia="zh-CN"/>
              </w:rPr>
              <w:t>供应商</w:t>
            </w:r>
            <w:r>
              <w:rPr>
                <w:rFonts w:hint="eastAsia" w:cs="宋体"/>
                <w:color w:val="auto"/>
                <w:kern w:val="0"/>
                <w:szCs w:val="21"/>
              </w:rPr>
              <w:t>自行组织人员到医院进行实地踏勘，并获得院方</w:t>
            </w:r>
            <w:r>
              <w:rPr>
                <w:rFonts w:cs="宋体"/>
                <w:color w:val="auto"/>
                <w:kern w:val="0"/>
                <w:szCs w:val="21"/>
              </w:rPr>
              <w:t>出具</w:t>
            </w:r>
            <w:r>
              <w:rPr>
                <w:rFonts w:hint="eastAsia" w:cs="宋体"/>
                <w:color w:val="auto"/>
                <w:kern w:val="0"/>
                <w:szCs w:val="21"/>
              </w:rPr>
              <w:t>的</w:t>
            </w:r>
            <w:r>
              <w:rPr>
                <w:rFonts w:cs="宋体"/>
                <w:color w:val="auto"/>
                <w:kern w:val="0"/>
                <w:szCs w:val="21"/>
              </w:rPr>
              <w:t>踏勘证明文件的得5分，否则不得分。</w:t>
            </w:r>
          </w:p>
        </w:tc>
        <w:tc>
          <w:tcPr>
            <w:tcW w:w="850" w:type="dxa"/>
            <w:shd w:val="clear" w:color="auto" w:fill="auto"/>
            <w:vAlign w:val="center"/>
          </w:tcPr>
          <w:p>
            <w:pPr>
              <w:jc w:val="center"/>
              <w:rPr>
                <w:rFonts w:hint="eastAsia" w:ascii="宋体" w:hAnsi="宋体" w:eastAsia="宋体" w:cs="宋体"/>
                <w:color w:val="auto"/>
                <w:kern w:val="0"/>
                <w:sz w:val="21"/>
                <w:szCs w:val="21"/>
              </w:rPr>
            </w:pPr>
            <w:r>
              <w:rPr>
                <w:rFonts w:hint="eastAsia" w:cs="宋体"/>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851" w:type="dxa"/>
            <w:vMerge w:val="continue"/>
            <w:vAlign w:val="center"/>
          </w:tcPr>
          <w:p>
            <w:pPr>
              <w:widowControl/>
              <w:jc w:val="left"/>
              <w:rPr>
                <w:rFonts w:hint="eastAsia" w:ascii="宋体" w:hAnsi="宋体" w:eastAsia="宋体" w:cs="宋体"/>
                <w:b/>
                <w:bCs/>
                <w:color w:val="auto"/>
                <w:kern w:val="0"/>
                <w:sz w:val="21"/>
                <w:szCs w:val="21"/>
              </w:rPr>
            </w:pPr>
          </w:p>
        </w:tc>
        <w:tc>
          <w:tcPr>
            <w:tcW w:w="1276" w:type="dxa"/>
            <w:vAlign w:val="center"/>
          </w:tcPr>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项目整体实施方案（5分）</w:t>
            </w:r>
          </w:p>
        </w:tc>
        <w:tc>
          <w:tcPr>
            <w:tcW w:w="6095" w:type="dxa"/>
            <w:shd w:val="clear" w:color="auto" w:fill="auto"/>
            <w:vAlign w:val="center"/>
          </w:tcPr>
          <w:p>
            <w:pPr>
              <w:jc w:val="left"/>
              <w:rPr>
                <w:rFonts w:cs="宋体"/>
                <w:color w:val="auto"/>
                <w:kern w:val="0"/>
                <w:szCs w:val="21"/>
              </w:rPr>
            </w:pPr>
            <w:r>
              <w:rPr>
                <w:rFonts w:hint="eastAsia" w:cs="宋体"/>
                <w:color w:val="auto"/>
                <w:kern w:val="0"/>
                <w:szCs w:val="21"/>
              </w:rPr>
              <w:t>考察</w:t>
            </w:r>
            <w:r>
              <w:rPr>
                <w:rFonts w:hint="eastAsia" w:cs="宋体"/>
                <w:color w:val="auto"/>
                <w:kern w:val="0"/>
                <w:szCs w:val="21"/>
                <w:lang w:eastAsia="zh-CN"/>
              </w:rPr>
              <w:t>供应商</w:t>
            </w:r>
            <w:r>
              <w:rPr>
                <w:rFonts w:hint="eastAsia" w:cs="宋体"/>
                <w:color w:val="auto"/>
                <w:kern w:val="0"/>
                <w:szCs w:val="21"/>
              </w:rPr>
              <w:t>项目整体实施方案的完整性、合理性（包含合理可行的工程实施计划、项目人员组成、测试及验收、培训计划的内容）。</w:t>
            </w:r>
          </w:p>
          <w:p>
            <w:pPr>
              <w:jc w:val="left"/>
              <w:rPr>
                <w:rFonts w:cs="宋体"/>
                <w:color w:val="auto"/>
                <w:kern w:val="0"/>
                <w:szCs w:val="21"/>
              </w:rPr>
            </w:pPr>
            <w:r>
              <w:rPr>
                <w:rFonts w:hint="eastAsia" w:cs="宋体"/>
                <w:color w:val="auto"/>
                <w:kern w:val="0"/>
                <w:szCs w:val="21"/>
              </w:rPr>
              <w:t>方案措施安排科学、条理清晰、切合实际的得</w:t>
            </w:r>
            <w:r>
              <w:rPr>
                <w:rFonts w:cs="宋体"/>
                <w:color w:val="auto"/>
                <w:kern w:val="0"/>
                <w:szCs w:val="21"/>
              </w:rPr>
              <w:t>4</w:t>
            </w:r>
            <w:r>
              <w:rPr>
                <w:rFonts w:hint="eastAsia" w:cs="宋体"/>
                <w:color w:val="auto"/>
                <w:kern w:val="0"/>
                <w:szCs w:val="21"/>
              </w:rPr>
              <w:t>-</w:t>
            </w:r>
            <w:r>
              <w:rPr>
                <w:rFonts w:cs="宋体"/>
                <w:color w:val="auto"/>
                <w:kern w:val="0"/>
                <w:szCs w:val="21"/>
              </w:rPr>
              <w:t>5</w:t>
            </w:r>
            <w:r>
              <w:rPr>
                <w:rFonts w:hint="eastAsia" w:cs="宋体"/>
                <w:color w:val="auto"/>
                <w:kern w:val="0"/>
                <w:szCs w:val="21"/>
              </w:rPr>
              <w:t>分；</w:t>
            </w:r>
          </w:p>
          <w:p>
            <w:pPr>
              <w:jc w:val="left"/>
              <w:rPr>
                <w:rFonts w:cs="宋体"/>
                <w:color w:val="auto"/>
                <w:kern w:val="0"/>
                <w:szCs w:val="21"/>
              </w:rPr>
            </w:pPr>
            <w:r>
              <w:rPr>
                <w:rFonts w:hint="eastAsia" w:cs="宋体"/>
                <w:color w:val="auto"/>
                <w:kern w:val="0"/>
                <w:szCs w:val="21"/>
              </w:rPr>
              <w:t>方案安排较科学、切合实际、内容完整性较一般的得</w:t>
            </w:r>
            <w:r>
              <w:rPr>
                <w:rFonts w:cs="宋体"/>
                <w:color w:val="auto"/>
                <w:kern w:val="0"/>
                <w:szCs w:val="21"/>
              </w:rPr>
              <w:t>2</w:t>
            </w:r>
            <w:r>
              <w:rPr>
                <w:rFonts w:hint="eastAsia" w:cs="宋体"/>
                <w:color w:val="auto"/>
                <w:kern w:val="0"/>
                <w:szCs w:val="21"/>
              </w:rPr>
              <w:t>-</w:t>
            </w:r>
            <w:r>
              <w:rPr>
                <w:rFonts w:cs="宋体"/>
                <w:color w:val="auto"/>
                <w:kern w:val="0"/>
                <w:szCs w:val="21"/>
              </w:rPr>
              <w:t>3</w:t>
            </w:r>
            <w:r>
              <w:rPr>
                <w:rFonts w:hint="eastAsia" w:cs="宋体"/>
                <w:color w:val="auto"/>
                <w:kern w:val="0"/>
                <w:szCs w:val="21"/>
              </w:rPr>
              <w:t>分；</w:t>
            </w:r>
          </w:p>
          <w:p>
            <w:pPr>
              <w:jc w:val="left"/>
              <w:rPr>
                <w:rFonts w:hint="eastAsia" w:ascii="宋体" w:hAnsi="宋体" w:eastAsia="宋体" w:cs="宋体"/>
                <w:color w:val="auto"/>
                <w:kern w:val="0"/>
                <w:sz w:val="21"/>
                <w:szCs w:val="21"/>
              </w:rPr>
            </w:pPr>
            <w:r>
              <w:rPr>
                <w:rFonts w:hint="eastAsia" w:cs="宋体"/>
                <w:color w:val="auto"/>
                <w:kern w:val="0"/>
                <w:szCs w:val="21"/>
              </w:rPr>
              <w:t>方案安排科学性、条理性较差，内容缺乏重点、与实际情况有偏差得</w:t>
            </w:r>
            <w:r>
              <w:rPr>
                <w:rFonts w:cs="宋体"/>
                <w:color w:val="auto"/>
                <w:kern w:val="0"/>
                <w:szCs w:val="21"/>
              </w:rPr>
              <w:t>0</w:t>
            </w:r>
            <w:r>
              <w:rPr>
                <w:rFonts w:hint="eastAsia" w:cs="宋体"/>
                <w:color w:val="auto"/>
                <w:kern w:val="0"/>
                <w:szCs w:val="21"/>
              </w:rPr>
              <w:t>-</w:t>
            </w:r>
            <w:r>
              <w:rPr>
                <w:rFonts w:cs="宋体"/>
                <w:color w:val="auto"/>
                <w:kern w:val="0"/>
                <w:szCs w:val="21"/>
              </w:rPr>
              <w:t>1</w:t>
            </w:r>
            <w:r>
              <w:rPr>
                <w:rFonts w:hint="eastAsia" w:cs="宋体"/>
                <w:color w:val="auto"/>
                <w:kern w:val="0"/>
                <w:szCs w:val="21"/>
              </w:rPr>
              <w:t>分。</w:t>
            </w:r>
          </w:p>
        </w:tc>
        <w:tc>
          <w:tcPr>
            <w:tcW w:w="850" w:type="dxa"/>
            <w:shd w:val="clear" w:color="auto" w:fill="auto"/>
            <w:vAlign w:val="center"/>
          </w:tcPr>
          <w:p>
            <w:pPr>
              <w:jc w:val="center"/>
              <w:rPr>
                <w:rFonts w:hint="eastAsia" w:ascii="宋体" w:hAnsi="宋体" w:eastAsia="宋体" w:cs="宋体"/>
                <w:color w:val="auto"/>
                <w:kern w:val="0"/>
                <w:sz w:val="21"/>
                <w:szCs w:val="21"/>
              </w:rPr>
            </w:pPr>
            <w:r>
              <w:rPr>
                <w:rFonts w:cs="宋体"/>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851" w:type="dxa"/>
            <w:vMerge w:val="continue"/>
            <w:vAlign w:val="center"/>
          </w:tcPr>
          <w:p>
            <w:pPr>
              <w:widowControl/>
              <w:jc w:val="left"/>
              <w:rPr>
                <w:rFonts w:hint="eastAsia" w:ascii="宋体" w:hAnsi="宋体" w:eastAsia="宋体" w:cs="宋体"/>
                <w:b/>
                <w:bCs/>
                <w:color w:val="auto"/>
                <w:kern w:val="0"/>
                <w:sz w:val="21"/>
                <w:szCs w:val="21"/>
              </w:rPr>
            </w:pPr>
          </w:p>
        </w:tc>
        <w:tc>
          <w:tcPr>
            <w:tcW w:w="1276" w:type="dxa"/>
            <w:vAlign w:val="center"/>
          </w:tcPr>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项目系统技术服务人员保障（5分）</w:t>
            </w:r>
          </w:p>
        </w:tc>
        <w:tc>
          <w:tcPr>
            <w:tcW w:w="6095" w:type="dxa"/>
            <w:shd w:val="clear" w:color="auto" w:fill="auto"/>
            <w:vAlign w:val="center"/>
          </w:tcPr>
          <w:p>
            <w:pPr>
              <w:jc w:val="left"/>
              <w:rPr>
                <w:rFonts w:cs="宋体"/>
                <w:color w:val="auto"/>
                <w:kern w:val="0"/>
                <w:szCs w:val="21"/>
              </w:rPr>
            </w:pPr>
            <w:r>
              <w:rPr>
                <w:rFonts w:hint="eastAsia" w:cs="宋体"/>
                <w:color w:val="auto"/>
                <w:kern w:val="0"/>
                <w:szCs w:val="21"/>
                <w:lang w:eastAsia="zh-CN"/>
              </w:rPr>
              <w:t>供应商</w:t>
            </w:r>
            <w:r>
              <w:rPr>
                <w:rFonts w:hint="eastAsia" w:cs="宋体"/>
                <w:color w:val="auto"/>
                <w:kern w:val="0"/>
                <w:szCs w:val="21"/>
              </w:rPr>
              <w:t>拟配备的项目团队中具有信息系统项目管理师、信息安全规划师（或网络规划设计师或信息安全工程师）、系统集成项目管理工程师、软件设计师、软件测试工程师，以上全部具备得</w:t>
            </w:r>
            <w:r>
              <w:rPr>
                <w:rFonts w:cs="宋体"/>
                <w:color w:val="auto"/>
                <w:kern w:val="0"/>
                <w:szCs w:val="21"/>
              </w:rPr>
              <w:t>5分，其他不得分。</w:t>
            </w:r>
          </w:p>
          <w:p>
            <w:pPr>
              <w:jc w:val="left"/>
              <w:rPr>
                <w:rFonts w:hint="eastAsia" w:ascii="宋体" w:hAnsi="宋体" w:eastAsia="宋体" w:cs="宋体"/>
                <w:color w:val="auto"/>
                <w:kern w:val="0"/>
                <w:sz w:val="21"/>
                <w:szCs w:val="21"/>
              </w:rPr>
            </w:pPr>
            <w:r>
              <w:rPr>
                <w:rFonts w:hint="eastAsia" w:cs="宋体"/>
                <w:color w:val="auto"/>
                <w:kern w:val="0"/>
                <w:szCs w:val="21"/>
              </w:rPr>
              <w:t>（需提供相关证书复印件和近3个月人员社保缴交证明复印件，并加盖</w:t>
            </w:r>
            <w:r>
              <w:rPr>
                <w:rFonts w:hint="eastAsia" w:cs="宋体"/>
                <w:color w:val="auto"/>
                <w:kern w:val="0"/>
                <w:szCs w:val="21"/>
                <w:lang w:eastAsia="zh-CN"/>
              </w:rPr>
              <w:t>供应商</w:t>
            </w:r>
            <w:r>
              <w:rPr>
                <w:rFonts w:hint="eastAsia" w:cs="宋体"/>
                <w:color w:val="auto"/>
                <w:kern w:val="0"/>
                <w:szCs w:val="21"/>
              </w:rPr>
              <w:t>公章）。</w:t>
            </w:r>
          </w:p>
        </w:tc>
        <w:tc>
          <w:tcPr>
            <w:tcW w:w="850" w:type="dxa"/>
            <w:shd w:val="clear" w:color="auto" w:fill="auto"/>
            <w:vAlign w:val="center"/>
          </w:tcPr>
          <w:p>
            <w:pPr>
              <w:jc w:val="center"/>
              <w:rPr>
                <w:rFonts w:hint="eastAsia" w:ascii="宋体" w:hAnsi="宋体" w:eastAsia="宋体" w:cs="宋体"/>
                <w:color w:val="auto"/>
                <w:kern w:val="0"/>
                <w:sz w:val="21"/>
                <w:szCs w:val="21"/>
              </w:rPr>
            </w:pPr>
            <w:r>
              <w:rPr>
                <w:rFonts w:cs="宋体"/>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851" w:type="dxa"/>
            <w:vMerge w:val="continue"/>
            <w:vAlign w:val="center"/>
          </w:tcPr>
          <w:p>
            <w:pPr>
              <w:widowControl/>
              <w:jc w:val="left"/>
              <w:rPr>
                <w:rFonts w:hint="eastAsia" w:ascii="宋体" w:hAnsi="宋体" w:eastAsia="宋体" w:cs="宋体"/>
                <w:b/>
                <w:bCs/>
                <w:color w:val="auto"/>
                <w:kern w:val="0"/>
                <w:sz w:val="21"/>
                <w:szCs w:val="21"/>
              </w:rPr>
            </w:pPr>
          </w:p>
        </w:tc>
        <w:tc>
          <w:tcPr>
            <w:tcW w:w="1276" w:type="dxa"/>
            <w:vMerge w:val="restart"/>
            <w:vAlign w:val="center"/>
          </w:tcPr>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项目运维售后服务能力（10分）</w:t>
            </w:r>
          </w:p>
        </w:tc>
        <w:tc>
          <w:tcPr>
            <w:tcW w:w="6095" w:type="dxa"/>
            <w:shd w:val="clear" w:color="auto" w:fill="auto"/>
            <w:vAlign w:val="center"/>
          </w:tcPr>
          <w:p>
            <w:pPr>
              <w:jc w:val="left"/>
              <w:rPr>
                <w:rFonts w:cs="宋体"/>
                <w:color w:val="auto"/>
                <w:kern w:val="0"/>
              </w:rPr>
            </w:pPr>
            <w:r>
              <w:rPr>
                <w:rFonts w:hint="eastAsia" w:cs="宋体"/>
                <w:color w:val="auto"/>
                <w:kern w:val="0"/>
              </w:rPr>
              <w:t>投标文件中有明确售后服务体系，在当地设有分支机构或办事处并提供相关证明材料。满足得</w:t>
            </w:r>
            <w:r>
              <w:rPr>
                <w:rFonts w:cs="宋体"/>
                <w:color w:val="auto"/>
                <w:kern w:val="0"/>
              </w:rPr>
              <w:t>5</w:t>
            </w:r>
            <w:r>
              <w:rPr>
                <w:rFonts w:hint="eastAsia" w:cs="宋体"/>
                <w:color w:val="auto"/>
                <w:kern w:val="0"/>
              </w:rPr>
              <w:t>分，否则不得分。</w:t>
            </w:r>
          </w:p>
          <w:p>
            <w:pPr>
              <w:jc w:val="left"/>
              <w:rPr>
                <w:rFonts w:hint="eastAsia" w:ascii="宋体" w:hAnsi="宋体" w:eastAsia="宋体" w:cs="宋体"/>
                <w:color w:val="auto"/>
                <w:kern w:val="0"/>
                <w:sz w:val="21"/>
                <w:szCs w:val="21"/>
              </w:rPr>
            </w:pPr>
            <w:r>
              <w:rPr>
                <w:rFonts w:hint="eastAsia" w:cs="宋体"/>
                <w:color w:val="auto"/>
                <w:kern w:val="0"/>
              </w:rPr>
              <w:t>（需提供机构营业执照复印件并加盖</w:t>
            </w:r>
            <w:r>
              <w:rPr>
                <w:rFonts w:hint="eastAsia" w:cs="宋体"/>
                <w:color w:val="auto"/>
                <w:kern w:val="0"/>
                <w:lang w:eastAsia="zh-CN"/>
              </w:rPr>
              <w:t>供应商</w:t>
            </w:r>
            <w:r>
              <w:rPr>
                <w:rFonts w:hint="eastAsia" w:cs="宋体"/>
                <w:color w:val="auto"/>
                <w:kern w:val="0"/>
              </w:rPr>
              <w:t>公章，本地服务人员的数量以本地公司近三个月为员工缴交社保的证明为准，材料不完整不得分）</w:t>
            </w:r>
          </w:p>
        </w:tc>
        <w:tc>
          <w:tcPr>
            <w:tcW w:w="850" w:type="dxa"/>
            <w:shd w:val="clear" w:color="auto" w:fill="auto"/>
            <w:vAlign w:val="center"/>
          </w:tcPr>
          <w:p>
            <w:pPr>
              <w:jc w:val="center"/>
              <w:rPr>
                <w:rFonts w:hint="eastAsia" w:ascii="宋体" w:hAnsi="宋体" w:eastAsia="宋体" w:cs="宋体"/>
                <w:color w:val="auto"/>
                <w:kern w:val="0"/>
                <w:sz w:val="21"/>
                <w:szCs w:val="21"/>
              </w:rPr>
            </w:pPr>
            <w:r>
              <w:rPr>
                <w:rFonts w:cs="宋体"/>
                <w:color w:val="auto"/>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851" w:type="dxa"/>
            <w:vMerge w:val="continue"/>
            <w:vAlign w:val="center"/>
          </w:tcPr>
          <w:p>
            <w:pPr>
              <w:widowControl/>
              <w:jc w:val="left"/>
              <w:rPr>
                <w:rFonts w:hint="eastAsia" w:ascii="宋体" w:hAnsi="宋体" w:eastAsia="宋体" w:cs="宋体"/>
                <w:b/>
                <w:bCs/>
                <w:color w:val="auto"/>
                <w:kern w:val="0"/>
                <w:sz w:val="21"/>
                <w:szCs w:val="21"/>
              </w:rPr>
            </w:pPr>
          </w:p>
        </w:tc>
        <w:tc>
          <w:tcPr>
            <w:tcW w:w="1276" w:type="dxa"/>
            <w:vMerge w:val="continue"/>
            <w:vAlign w:val="center"/>
          </w:tcPr>
          <w:p>
            <w:pPr>
              <w:jc w:val="left"/>
              <w:rPr>
                <w:rFonts w:hint="eastAsia" w:ascii="宋体" w:hAnsi="宋体" w:eastAsia="宋体" w:cs="宋体"/>
                <w:color w:val="auto"/>
                <w:kern w:val="0"/>
                <w:sz w:val="21"/>
                <w:szCs w:val="21"/>
              </w:rPr>
            </w:pPr>
          </w:p>
        </w:tc>
        <w:tc>
          <w:tcPr>
            <w:tcW w:w="6095" w:type="dxa"/>
            <w:shd w:val="clear" w:color="auto" w:fill="auto"/>
            <w:vAlign w:val="center"/>
          </w:tcPr>
          <w:p>
            <w:pPr>
              <w:jc w:val="left"/>
              <w:rPr>
                <w:rFonts w:hint="eastAsia" w:ascii="Times New Roman" w:hAnsi="Times New Roman" w:eastAsia="宋体" w:cs="宋体"/>
                <w:color w:val="auto"/>
                <w:kern w:val="0"/>
                <w:sz w:val="21"/>
                <w:szCs w:val="24"/>
                <w:lang w:val="en-US" w:eastAsia="zh-CN" w:bidi="ar-SA"/>
              </w:rPr>
            </w:pPr>
            <w:r>
              <w:rPr>
                <w:rFonts w:hint="eastAsia" w:cs="宋体"/>
                <w:color w:val="auto"/>
                <w:kern w:val="0"/>
              </w:rPr>
              <w:t>考察</w:t>
            </w:r>
            <w:r>
              <w:rPr>
                <w:rFonts w:hint="eastAsia" w:cs="宋体"/>
                <w:color w:val="auto"/>
                <w:kern w:val="0"/>
                <w:lang w:eastAsia="zh-CN"/>
              </w:rPr>
              <w:t>供应商</w:t>
            </w:r>
            <w:r>
              <w:rPr>
                <w:rFonts w:hint="eastAsia" w:cs="宋体"/>
                <w:color w:val="auto"/>
                <w:kern w:val="0"/>
              </w:rPr>
              <w:t>所</w:t>
            </w:r>
            <w:r>
              <w:rPr>
                <w:rFonts w:cs="宋体"/>
                <w:color w:val="auto"/>
                <w:kern w:val="0"/>
              </w:rPr>
              <w:t>提供的售后服务方案、售后服务承诺的可行性、完整性，</w:t>
            </w:r>
            <w:r>
              <w:rPr>
                <w:rFonts w:hint="eastAsia" w:cs="宋体"/>
                <w:color w:val="auto"/>
                <w:kern w:val="0"/>
              </w:rPr>
              <w:t>及</w:t>
            </w:r>
            <w:r>
              <w:rPr>
                <w:rFonts w:cs="宋体"/>
                <w:color w:val="auto"/>
                <w:kern w:val="0"/>
              </w:rPr>
              <w:t>维护期内外的后续技术支持和维护能力情况等进行</w:t>
            </w:r>
            <w:r>
              <w:rPr>
                <w:rFonts w:hint="eastAsia" w:cs="宋体"/>
                <w:color w:val="auto"/>
                <w:kern w:val="0"/>
              </w:rPr>
              <w:t>评价</w:t>
            </w:r>
            <w:r>
              <w:rPr>
                <w:rFonts w:cs="宋体"/>
                <w:color w:val="auto"/>
                <w:kern w:val="0"/>
              </w:rPr>
              <w:t>分档打分。</w:t>
            </w:r>
            <w:r>
              <w:rPr>
                <w:rFonts w:hint="eastAsia" w:cs="宋体"/>
                <w:color w:val="auto"/>
                <w:kern w:val="0"/>
              </w:rPr>
              <w:t>优得4-</w:t>
            </w:r>
            <w:r>
              <w:rPr>
                <w:rFonts w:cs="宋体"/>
                <w:color w:val="auto"/>
                <w:kern w:val="0"/>
              </w:rPr>
              <w:t>5分，良</w:t>
            </w:r>
            <w:r>
              <w:rPr>
                <w:rFonts w:hint="eastAsia" w:cs="宋体"/>
                <w:color w:val="auto"/>
                <w:kern w:val="0"/>
              </w:rPr>
              <w:t>得</w:t>
            </w:r>
            <w:r>
              <w:rPr>
                <w:rFonts w:cs="宋体"/>
                <w:color w:val="auto"/>
                <w:kern w:val="0"/>
              </w:rPr>
              <w:t>2</w:t>
            </w:r>
            <w:r>
              <w:rPr>
                <w:rFonts w:hint="eastAsia" w:cs="宋体"/>
                <w:color w:val="auto"/>
                <w:kern w:val="0"/>
              </w:rPr>
              <w:t>-</w:t>
            </w:r>
            <w:r>
              <w:rPr>
                <w:rFonts w:cs="宋体"/>
                <w:color w:val="auto"/>
                <w:kern w:val="0"/>
              </w:rPr>
              <w:t>3</w:t>
            </w:r>
            <w:r>
              <w:rPr>
                <w:rFonts w:hint="eastAsia" w:cs="宋体"/>
                <w:color w:val="auto"/>
                <w:kern w:val="0"/>
              </w:rPr>
              <w:t>分</w:t>
            </w:r>
            <w:r>
              <w:rPr>
                <w:rFonts w:cs="宋体"/>
                <w:color w:val="auto"/>
                <w:kern w:val="0"/>
              </w:rPr>
              <w:t>、一般</w:t>
            </w:r>
            <w:r>
              <w:rPr>
                <w:rFonts w:hint="eastAsia" w:cs="宋体"/>
                <w:color w:val="auto"/>
                <w:kern w:val="0"/>
              </w:rPr>
              <w:t>得1分、差则不得分。</w:t>
            </w:r>
          </w:p>
        </w:tc>
        <w:tc>
          <w:tcPr>
            <w:tcW w:w="850" w:type="dxa"/>
            <w:shd w:val="clear" w:color="auto" w:fill="auto"/>
            <w:vAlign w:val="center"/>
          </w:tcPr>
          <w:p>
            <w:pPr>
              <w:jc w:val="center"/>
              <w:rPr>
                <w:rFonts w:hint="eastAsia" w:ascii="Times New Roman" w:hAnsi="Times New Roman" w:eastAsia="宋体" w:cs="宋体"/>
                <w:color w:val="auto"/>
                <w:kern w:val="0"/>
                <w:sz w:val="21"/>
                <w:szCs w:val="24"/>
                <w:lang w:val="en-US" w:eastAsia="zh-CN" w:bidi="ar-SA"/>
              </w:rPr>
            </w:pPr>
            <w:r>
              <w:rPr>
                <w:rFonts w:cs="宋体"/>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851" w:type="dxa"/>
            <w:vMerge w:val="continue"/>
            <w:vAlign w:val="center"/>
          </w:tcPr>
          <w:p>
            <w:pPr>
              <w:widowControl/>
              <w:jc w:val="left"/>
              <w:rPr>
                <w:rFonts w:hint="eastAsia" w:ascii="宋体" w:hAnsi="宋体" w:eastAsia="宋体" w:cs="宋体"/>
                <w:b/>
                <w:bCs/>
                <w:color w:val="auto"/>
                <w:kern w:val="0"/>
                <w:sz w:val="21"/>
                <w:szCs w:val="21"/>
              </w:rPr>
            </w:pPr>
          </w:p>
        </w:tc>
        <w:tc>
          <w:tcPr>
            <w:tcW w:w="1276" w:type="dxa"/>
            <w:vAlign w:val="center"/>
          </w:tcPr>
          <w:p>
            <w:pPr>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项目培训（5分）</w:t>
            </w:r>
          </w:p>
        </w:tc>
        <w:tc>
          <w:tcPr>
            <w:tcW w:w="6095" w:type="dxa"/>
            <w:shd w:val="clear" w:color="auto" w:fill="auto"/>
            <w:vAlign w:val="center"/>
          </w:tcPr>
          <w:p>
            <w:pPr>
              <w:jc w:val="left"/>
              <w:rPr>
                <w:rFonts w:hint="eastAsia" w:ascii="Times New Roman" w:hAnsi="Times New Roman" w:eastAsia="宋体" w:cs="宋体"/>
                <w:color w:val="auto"/>
                <w:kern w:val="0"/>
                <w:sz w:val="21"/>
                <w:szCs w:val="24"/>
                <w:lang w:val="en-US" w:eastAsia="zh-CN" w:bidi="ar-SA"/>
              </w:rPr>
            </w:pPr>
            <w:r>
              <w:rPr>
                <w:rFonts w:hint="eastAsia" w:cs="宋体"/>
                <w:color w:val="auto"/>
                <w:kern w:val="0"/>
                <w:lang w:eastAsia="zh-CN"/>
              </w:rPr>
              <w:t>供应商</w:t>
            </w:r>
            <w:r>
              <w:rPr>
                <w:rFonts w:hint="eastAsia" w:cs="宋体"/>
                <w:color w:val="auto"/>
                <w:kern w:val="0"/>
              </w:rPr>
              <w:t>须在投标文件中提供完整的长期使用指导及培训方案与计划。评审专家根据方案与计划内容的完整性及可操作性性进行综合评审，优得</w:t>
            </w:r>
            <w:r>
              <w:rPr>
                <w:rFonts w:cs="宋体"/>
                <w:color w:val="auto"/>
                <w:kern w:val="0"/>
              </w:rPr>
              <w:t>4-5分，良得2-3分、一般得1分、差则不得分。</w:t>
            </w:r>
          </w:p>
        </w:tc>
        <w:tc>
          <w:tcPr>
            <w:tcW w:w="850" w:type="dxa"/>
            <w:shd w:val="clear" w:color="auto" w:fill="auto"/>
            <w:vAlign w:val="center"/>
          </w:tcPr>
          <w:p>
            <w:pPr>
              <w:jc w:val="center"/>
              <w:rPr>
                <w:rFonts w:hint="eastAsia" w:ascii="Times New Roman" w:hAnsi="Times New Roman" w:eastAsia="宋体" w:cs="宋体"/>
                <w:color w:val="auto"/>
                <w:kern w:val="0"/>
                <w:sz w:val="21"/>
                <w:szCs w:val="21"/>
                <w:lang w:val="en-US" w:eastAsia="zh-CN" w:bidi="ar-SA"/>
              </w:rPr>
            </w:pPr>
            <w:r>
              <w:rPr>
                <w:rFonts w:hint="eastAsia" w:cs="宋体"/>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2" w:type="dxa"/>
            <w:gridSpan w:val="4"/>
            <w:vAlign w:val="center"/>
          </w:tcPr>
          <w:p>
            <w:pPr>
              <w:pStyle w:val="38"/>
              <w:spacing w:before="12"/>
              <w:ind w:left="106"/>
              <w:jc w:val="left"/>
              <w:rPr>
                <w:b/>
                <w:color w:val="auto"/>
                <w:szCs w:val="21"/>
                <w:highlight w:val="none"/>
              </w:rPr>
            </w:pPr>
            <w:r>
              <w:rPr>
                <w:rFonts w:hint="eastAsia"/>
                <w:b/>
                <w:color w:val="auto"/>
                <w:szCs w:val="21"/>
                <w:highlight w:val="none"/>
              </w:rPr>
              <w:t>合计 100分，供应商综合得分=</w:t>
            </w:r>
            <w:r>
              <w:rPr>
                <w:rFonts w:hint="eastAsia"/>
                <w:b/>
                <w:color w:val="auto"/>
                <w:szCs w:val="21"/>
                <w:highlight w:val="none"/>
                <w:lang w:val="en-US" w:eastAsia="zh-CN"/>
              </w:rPr>
              <w:t>投标报价</w:t>
            </w:r>
            <w:r>
              <w:rPr>
                <w:rFonts w:hint="eastAsia"/>
                <w:b/>
                <w:color w:val="auto"/>
                <w:szCs w:val="21"/>
                <w:highlight w:val="none"/>
                <w:lang w:val="en-US"/>
              </w:rPr>
              <w:t>得分+</w:t>
            </w:r>
            <w:r>
              <w:rPr>
                <w:rFonts w:hint="eastAsia"/>
                <w:b/>
                <w:color w:val="auto"/>
                <w:szCs w:val="21"/>
                <w:highlight w:val="none"/>
              </w:rPr>
              <w:t>商务</w:t>
            </w:r>
            <w:r>
              <w:rPr>
                <w:rFonts w:hint="eastAsia"/>
                <w:b/>
                <w:color w:val="auto"/>
                <w:szCs w:val="21"/>
                <w:highlight w:val="none"/>
                <w:lang w:val="en-US"/>
              </w:rPr>
              <w:t>部分</w:t>
            </w:r>
            <w:r>
              <w:rPr>
                <w:rFonts w:hint="eastAsia"/>
                <w:b/>
                <w:color w:val="auto"/>
                <w:szCs w:val="21"/>
                <w:highlight w:val="none"/>
              </w:rPr>
              <w:t>得分+技术</w:t>
            </w:r>
            <w:r>
              <w:rPr>
                <w:rFonts w:hint="eastAsia"/>
                <w:b/>
                <w:color w:val="auto"/>
                <w:szCs w:val="21"/>
                <w:highlight w:val="none"/>
                <w:lang w:val="en-US"/>
              </w:rPr>
              <w:t>部分</w:t>
            </w:r>
            <w:r>
              <w:rPr>
                <w:rFonts w:hint="eastAsia"/>
                <w:b/>
                <w:color w:val="auto"/>
                <w:szCs w:val="21"/>
                <w:highlight w:val="none"/>
              </w:rPr>
              <w:t>得分。</w:t>
            </w:r>
          </w:p>
          <w:p>
            <w:pPr>
              <w:jc w:val="left"/>
              <w:rPr>
                <w:rFonts w:hint="eastAsia" w:ascii="宋体" w:hAnsi="宋体" w:eastAsia="宋体" w:cs="宋体"/>
                <w:color w:val="auto"/>
                <w:kern w:val="0"/>
                <w:sz w:val="21"/>
                <w:szCs w:val="21"/>
              </w:rPr>
            </w:pPr>
            <w:r>
              <w:rPr>
                <w:rFonts w:hint="eastAsia"/>
                <w:b/>
                <w:color w:val="auto"/>
                <w:szCs w:val="21"/>
                <w:highlight w:val="none"/>
              </w:rPr>
              <w:t>注：</w:t>
            </w:r>
            <w:r>
              <w:rPr>
                <w:rFonts w:hint="eastAsia"/>
                <w:b/>
                <w:color w:val="auto"/>
                <w:szCs w:val="21"/>
                <w:highlight w:val="none"/>
                <w:lang w:val="en-US"/>
              </w:rPr>
              <w:t>1、</w:t>
            </w:r>
            <w:r>
              <w:rPr>
                <w:rFonts w:hint="eastAsia"/>
                <w:b/>
                <w:color w:val="auto"/>
                <w:szCs w:val="21"/>
                <w:highlight w:val="none"/>
              </w:rPr>
              <w:t>评分计算结果保留两位小数，第三位小数四舍五入。</w:t>
            </w:r>
          </w:p>
        </w:tc>
      </w:tr>
    </w:tbl>
    <w:p>
      <w:pPr>
        <w:spacing w:line="300" w:lineRule="exact"/>
        <w:rPr>
          <w:rFonts w:hint="eastAsia" w:ascii="宋体" w:hAnsi="宋体" w:cs="宋体"/>
          <w:b/>
          <w:color w:val="auto"/>
          <w:szCs w:val="21"/>
        </w:rPr>
      </w:pPr>
    </w:p>
    <w:p>
      <w:pPr>
        <w:spacing w:line="300" w:lineRule="exact"/>
        <w:rPr>
          <w:rFonts w:hint="eastAsia" w:ascii="宋体" w:hAnsi="宋体" w:cs="宋体"/>
          <w:b/>
          <w:color w:val="auto"/>
          <w:szCs w:val="21"/>
        </w:rPr>
      </w:pPr>
    </w:p>
    <w:p>
      <w:pPr>
        <w:spacing w:line="300" w:lineRule="exact"/>
        <w:rPr>
          <w:rFonts w:hint="eastAsia" w:ascii="宋体" w:hAnsi="宋体" w:cs="宋体"/>
          <w:b/>
          <w:color w:val="auto"/>
          <w:szCs w:val="21"/>
        </w:rPr>
      </w:pPr>
    </w:p>
    <w:p>
      <w:pPr>
        <w:spacing w:line="300" w:lineRule="exact"/>
        <w:rPr>
          <w:rFonts w:ascii="宋体" w:hAnsi="宋体" w:cs="宋体"/>
          <w:b/>
          <w:color w:val="auto"/>
          <w:szCs w:val="21"/>
        </w:rPr>
      </w:pPr>
      <w:r>
        <w:rPr>
          <w:rFonts w:hint="eastAsia" w:ascii="宋体" w:hAnsi="宋体" w:cs="宋体"/>
          <w:b/>
          <w:color w:val="auto"/>
          <w:szCs w:val="21"/>
        </w:rPr>
        <w:t xml:space="preserve">注：关于小微企业： </w:t>
      </w:r>
    </w:p>
    <w:p>
      <w:pPr>
        <w:widowControl/>
        <w:jc w:val="left"/>
        <w:rPr>
          <w:rFonts w:ascii="宋体" w:hAnsi="宋体" w:cs="宋体"/>
          <w:b/>
          <w:color w:val="auto"/>
          <w:szCs w:val="21"/>
        </w:rPr>
      </w:pPr>
      <w:r>
        <w:rPr>
          <w:rFonts w:hint="eastAsia" w:ascii="宋体" w:hAnsi="宋体" w:cs="宋体"/>
          <w:b/>
          <w:color w:val="auto"/>
          <w:szCs w:val="21"/>
        </w:rPr>
        <w:t xml:space="preserve">1.1 按&lt;关于印发《政府采购促进中小企业发展暂行办法》的通知&gt;（财库〔2020〕46 号）之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widowControl/>
        <w:jc w:val="left"/>
        <w:rPr>
          <w:rFonts w:ascii="宋体" w:hAnsi="宋体" w:cs="宋体"/>
          <w:b/>
          <w:color w:val="auto"/>
          <w:szCs w:val="21"/>
        </w:rPr>
      </w:pPr>
      <w:r>
        <w:rPr>
          <w:rFonts w:hint="eastAsia" w:ascii="宋体" w:hAnsi="宋体" w:cs="宋体"/>
          <w:b/>
          <w:color w:val="auto"/>
          <w:szCs w:val="21"/>
        </w:rPr>
        <w:t xml:space="preserve">1.1.1 在政府采购活动中，供应商提供的货物、工程或者服务符合下列情形的，享受本办法规定的中小企业扶持政策： </w:t>
      </w:r>
    </w:p>
    <w:p>
      <w:pPr>
        <w:widowControl/>
        <w:jc w:val="left"/>
        <w:rPr>
          <w:rFonts w:ascii="宋体" w:hAnsi="宋体" w:cs="宋体"/>
          <w:b/>
          <w:color w:val="auto"/>
          <w:szCs w:val="21"/>
        </w:rPr>
      </w:pPr>
      <w:r>
        <w:rPr>
          <w:rFonts w:hint="eastAsia" w:ascii="宋体" w:hAnsi="宋体" w:cs="宋体"/>
          <w:b/>
          <w:color w:val="auto"/>
          <w:szCs w:val="21"/>
        </w:rPr>
        <w:t xml:space="preserve">（一）在货物采购项目中，货物由中小企业制造，即货物由中小企业生产且使用该中小企业商号或者注册商标； </w:t>
      </w:r>
    </w:p>
    <w:p>
      <w:pPr>
        <w:widowControl/>
        <w:jc w:val="left"/>
        <w:rPr>
          <w:rFonts w:ascii="宋体" w:hAnsi="宋体" w:cs="宋体"/>
          <w:b/>
          <w:color w:val="auto"/>
          <w:szCs w:val="21"/>
        </w:rPr>
      </w:pPr>
      <w:r>
        <w:rPr>
          <w:rFonts w:hint="eastAsia" w:ascii="宋体" w:hAnsi="宋体" w:cs="宋体"/>
          <w:b/>
          <w:color w:val="auto"/>
          <w:szCs w:val="21"/>
        </w:rPr>
        <w:t xml:space="preserve">（二）在工程采购项目中，工程由中小企业承建，即工程施工单位为中小企业； </w:t>
      </w:r>
    </w:p>
    <w:p>
      <w:pPr>
        <w:widowControl/>
        <w:jc w:val="left"/>
        <w:rPr>
          <w:color w:val="auto"/>
        </w:rPr>
      </w:pPr>
      <w:r>
        <w:rPr>
          <w:rFonts w:hint="eastAsia" w:ascii="宋体" w:hAnsi="宋体" w:cs="宋体"/>
          <w:b/>
          <w:color w:val="auto"/>
          <w:szCs w:val="21"/>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sectPr>
      <w:headerReference r:id="rId6" w:type="default"/>
      <w:footerReference r:id="rId7" w:type="default"/>
      <w:pgSz w:w="11906" w:h="16838"/>
      <w:pgMar w:top="1440" w:right="1083" w:bottom="1440" w:left="1083"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1035" o:spid="_x0000_s103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- 35 -</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sz w:val="18"/>
      </w:rPr>
      <w:pict>
        <v:shape id="_x0000_s1036" o:spid="_x0000_s103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- 43 -</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sz w:val="18"/>
      </w:rPr>
      <w:pict>
        <v:shape id="_x0000_s1037" o:spid="_x0000_s103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- 54 -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3"/>
      </w:pBdr>
      <w:tabs>
        <w:tab w:val="left" w:pos="495"/>
        <w:tab w:val="center" w:pos="4649"/>
        <w:tab w:val="clear" w:pos="8306"/>
      </w:tabs>
    </w:pPr>
    <w:r>
      <w:rPr>
        <w:rFonts w:hint="eastAsia" w:ascii="宋体" w:hAnsi="宋体" w:cs="宋体"/>
        <w:sz w:val="32"/>
        <w:szCs w:val="32"/>
        <w:lang w:val="en-US" w:eastAsia="zh-CN"/>
      </w:rPr>
      <w:t xml:space="preserve">                </w:t>
    </w:r>
    <w:r>
      <w:rPr>
        <w:rFonts w:hint="eastAsia" w:ascii="宋体" w:hAnsi="宋体" w:cs="宋体"/>
        <w:sz w:val="32"/>
        <w:szCs w:val="32"/>
      </w:rPr>
      <w:t>新疆永信工程造价咨询有限公司</w:t>
    </w:r>
    <w:r>
      <w:rPr>
        <w:rFonts w:hint="eastAsia" w:ascii="宋体" w:hAnsi="宋体" w:cs="宋体"/>
        <w:sz w:val="32"/>
        <w:szCs w:val="32"/>
        <w:lang w:val="en-US" w:eastAsia="zh-CN"/>
      </w:rPr>
      <w:t xml:space="preserve">         </w:t>
    </w:r>
    <w:r>
      <w:rPr>
        <w:rFonts w:hint="eastAsia" w:ascii="宋体" w:hAnsi="宋体" w:cs="宋体"/>
        <w:sz w:val="32"/>
        <w:szCs w:val="32"/>
      </w:rPr>
      <w:t xml:space="preserve">  </w:t>
    </w:r>
    <w:r>
      <w:rPr>
        <w:rFonts w:hint="eastAsia" w:ascii="宋体" w:hAnsi="宋体" w:cs="宋体"/>
        <w:sz w:val="32"/>
        <w:szCs w:val="32"/>
      </w:rPr>
      <w:drawing>
        <wp:inline distT="0" distB="0" distL="114300" distR="114300">
          <wp:extent cx="499745" cy="504190"/>
          <wp:effectExtent l="0" t="0" r="14605" b="10160"/>
          <wp:docPr id="10"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公司Logo"/>
                  <pic:cNvPicPr>
                    <a:picLocks noChangeAspect="1"/>
                  </pic:cNvPicPr>
                </pic:nvPicPr>
                <pic:blipFill>
                  <a:blip r:embed="rId1"/>
                  <a:stretch>
                    <a:fillRect/>
                  </a:stretch>
                </pic:blipFill>
                <pic:spPr>
                  <a:xfrm>
                    <a:off x="0" y="0"/>
                    <a:ext cx="499745" cy="5041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3"/>
      </w:pBdr>
      <w:tabs>
        <w:tab w:val="left" w:pos="495"/>
        <w:tab w:val="center" w:pos="4649"/>
        <w:tab w:val="clear" w:pos="8306"/>
      </w:tabs>
    </w:pPr>
    <w:r>
      <w:rPr>
        <w:rFonts w:hint="eastAsia" w:ascii="宋体" w:hAnsi="宋体" w:cs="宋体"/>
        <w:sz w:val="32"/>
        <w:szCs w:val="32"/>
      </w:rPr>
      <w:t xml:space="preserve">新疆永信工程造价咨询有限公司  </w:t>
    </w:r>
    <w:r>
      <w:rPr>
        <w:rFonts w:hint="eastAsia" w:ascii="宋体" w:hAnsi="宋体" w:cs="宋体"/>
        <w:sz w:val="32"/>
        <w:szCs w:val="32"/>
      </w:rPr>
      <w:drawing>
        <wp:inline distT="0" distB="0" distL="114300" distR="114300">
          <wp:extent cx="499745" cy="504190"/>
          <wp:effectExtent l="0" t="0" r="14605" b="10160"/>
          <wp:docPr id="1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公司Logo"/>
                  <pic:cNvPicPr>
                    <a:picLocks noChangeAspect="1"/>
                  </pic:cNvPicPr>
                </pic:nvPicPr>
                <pic:blipFill>
                  <a:blip r:embed="rId1"/>
                  <a:stretch>
                    <a:fillRect/>
                  </a:stretch>
                </pic:blipFill>
                <pic:spPr>
                  <a:xfrm>
                    <a:off x="0" y="0"/>
                    <a:ext cx="499745" cy="504190"/>
                  </a:xfrm>
                  <a:prstGeom prst="rect">
                    <a:avLst/>
                  </a:prstGeom>
                  <a:noFill/>
                  <a:ln>
                    <a:noFill/>
                  </a:ln>
                </pic:spPr>
              </pic:pic>
            </a:graphicData>
          </a:graphic>
        </wp:inline>
      </w:drawing>
    </w:r>
  </w:p>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E2168"/>
    <w:multiLevelType w:val="singleLevel"/>
    <w:tmpl w:val="A0EE2168"/>
    <w:lvl w:ilvl="0" w:tentative="0">
      <w:start w:val="2"/>
      <w:numFmt w:val="chineseCounting"/>
      <w:suff w:val="nothing"/>
      <w:lvlText w:val="%1、"/>
      <w:lvlJc w:val="left"/>
      <w:rPr>
        <w:rFonts w:hint="eastAsia"/>
      </w:rPr>
    </w:lvl>
  </w:abstractNum>
  <w:abstractNum w:abstractNumId="1">
    <w:nsid w:val="183C604A"/>
    <w:multiLevelType w:val="singleLevel"/>
    <w:tmpl w:val="183C604A"/>
    <w:lvl w:ilvl="0" w:tentative="0">
      <w:start w:val="1"/>
      <w:numFmt w:val="japaneseCounting"/>
      <w:pStyle w:val="39"/>
      <w:lvlText w:val="%1、"/>
      <w:lvlJc w:val="left"/>
      <w:pPr>
        <w:tabs>
          <w:tab w:val="left" w:pos="960"/>
        </w:tabs>
        <w:ind w:left="960" w:hanging="480"/>
      </w:pPr>
      <w:rPr>
        <w:rFonts w:hint="eastAsia"/>
        <w:b/>
      </w:rPr>
    </w:lvl>
  </w:abstractNum>
  <w:abstractNum w:abstractNumId="2">
    <w:nsid w:val="28F3D0F5"/>
    <w:multiLevelType w:val="singleLevel"/>
    <w:tmpl w:val="28F3D0F5"/>
    <w:lvl w:ilvl="0" w:tentative="0">
      <w:start w:val="4"/>
      <w:numFmt w:val="chineseCounting"/>
      <w:suff w:val="nothing"/>
      <w:lvlText w:val="第%1章、"/>
      <w:lvlJc w:val="left"/>
      <w:rPr>
        <w:rFonts w:hint="eastAsia"/>
      </w:rPr>
    </w:lvl>
  </w:abstractNum>
  <w:abstractNum w:abstractNumId="3">
    <w:nsid w:val="3287E947"/>
    <w:multiLevelType w:val="singleLevel"/>
    <w:tmpl w:val="3287E947"/>
    <w:lvl w:ilvl="0" w:tentative="0">
      <w:start w:val="3"/>
      <w:numFmt w:val="chineseCounting"/>
      <w:suff w:val="nothing"/>
      <w:lvlText w:val="%1、"/>
      <w:lvlJc w:val="left"/>
      <w:rPr>
        <w:rFonts w:hint="eastAsia"/>
      </w:rPr>
    </w:lvl>
  </w:abstractNum>
  <w:abstractNum w:abstractNumId="4">
    <w:nsid w:val="49B73F8E"/>
    <w:multiLevelType w:val="multilevel"/>
    <w:tmpl w:val="49B73F8E"/>
    <w:lvl w:ilvl="0" w:tentative="0">
      <w:start w:val="1"/>
      <w:numFmt w:val="decimal"/>
      <w:lvlText w:val="%1"/>
      <w:lvlJc w:val="left"/>
      <w:pPr>
        <w:ind w:left="420" w:hanging="420"/>
      </w:pPr>
      <w:rPr>
        <w:rFonts w:hint="eastAsia"/>
      </w:rPr>
    </w:lvl>
    <w:lvl w:ilvl="1" w:tentative="0">
      <w:start w:val="1"/>
      <w:numFmt w:val="decimal"/>
      <w:pStyle w:val="4"/>
      <w:isLgl/>
      <w:lvlText w:val="%1.%2"/>
      <w:lvlJc w:val="left"/>
      <w:pPr>
        <w:tabs>
          <w:tab w:val="left" w:pos="1285"/>
        </w:tabs>
        <w:ind w:left="1285" w:hanging="576"/>
      </w:pPr>
      <w:rPr>
        <w:rFonts w:hint="default" w:ascii="Times New Roman" w:hAnsi="Times New Roman" w:eastAsia="黑体"/>
      </w:rPr>
    </w:lvl>
    <w:lvl w:ilvl="2" w:tentative="0">
      <w:start w:val="1"/>
      <w:numFmt w:val="decimal"/>
      <w:isLgl/>
      <w:lvlText w:val="%1.%2.%3"/>
      <w:lvlJc w:val="left"/>
      <w:pPr>
        <w:tabs>
          <w:tab w:val="left" w:pos="0"/>
        </w:tabs>
        <w:ind w:left="720" w:hanging="720"/>
      </w:pPr>
      <w:rPr>
        <w:rFonts w:hint="default" w:ascii="Times New Roman" w:hAnsi="Times New Roman" w:eastAsia="黑体"/>
      </w:rPr>
    </w:lvl>
    <w:lvl w:ilvl="3" w:tentative="0">
      <w:start w:val="1"/>
      <w:numFmt w:val="decimal"/>
      <w:isLgl/>
      <w:lvlText w:val="%1.%2.%3.%4"/>
      <w:lvlJc w:val="left"/>
      <w:pPr>
        <w:tabs>
          <w:tab w:val="left" w:pos="864"/>
        </w:tabs>
        <w:ind w:left="864" w:hanging="864"/>
      </w:pPr>
      <w:rPr>
        <w:rFonts w:hint="eastAsia"/>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591526C9"/>
    <w:multiLevelType w:val="singleLevel"/>
    <w:tmpl w:val="591526C9"/>
    <w:lvl w:ilvl="0" w:tentative="0">
      <w:start w:val="1"/>
      <w:numFmt w:val="decimal"/>
      <w:suff w:val="nothing"/>
      <w:lvlText w:val="（%1）"/>
      <w:lvlJc w:val="left"/>
      <w:pPr>
        <w:ind w:left="0" w:firstLine="420"/>
      </w:pPr>
      <w:rPr>
        <w:rFonts w:hint="default"/>
      </w:rPr>
    </w:lvl>
  </w:abstractNum>
  <w:abstractNum w:abstractNumId="6">
    <w:nsid w:val="73DA480F"/>
    <w:multiLevelType w:val="multilevel"/>
    <w:tmpl w:val="73DA480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JmODJmMWM1NGU2YzU2NTA5NzMxNGYyYjhlYWU2YjEifQ=="/>
  </w:docVars>
  <w:rsids>
    <w:rsidRoot w:val="50004A95"/>
    <w:rsid w:val="000326EB"/>
    <w:rsid w:val="00044DD5"/>
    <w:rsid w:val="0004637B"/>
    <w:rsid w:val="000C1451"/>
    <w:rsid w:val="00145F98"/>
    <w:rsid w:val="00155F8B"/>
    <w:rsid w:val="0019566A"/>
    <w:rsid w:val="00202FA0"/>
    <w:rsid w:val="0020615F"/>
    <w:rsid w:val="002B66EF"/>
    <w:rsid w:val="002C6FCE"/>
    <w:rsid w:val="00343BAC"/>
    <w:rsid w:val="00381ACB"/>
    <w:rsid w:val="003913B3"/>
    <w:rsid w:val="004543AC"/>
    <w:rsid w:val="00614AED"/>
    <w:rsid w:val="00664A74"/>
    <w:rsid w:val="00675481"/>
    <w:rsid w:val="007276F2"/>
    <w:rsid w:val="007C2CDB"/>
    <w:rsid w:val="008214B2"/>
    <w:rsid w:val="008A75C7"/>
    <w:rsid w:val="008C28FB"/>
    <w:rsid w:val="009364C7"/>
    <w:rsid w:val="0099201E"/>
    <w:rsid w:val="009B3ACF"/>
    <w:rsid w:val="00A3305D"/>
    <w:rsid w:val="00B174BB"/>
    <w:rsid w:val="00B4267B"/>
    <w:rsid w:val="00B87A8B"/>
    <w:rsid w:val="00BA1A55"/>
    <w:rsid w:val="00BA4DC1"/>
    <w:rsid w:val="00BD1062"/>
    <w:rsid w:val="00C6593F"/>
    <w:rsid w:val="00C82A1E"/>
    <w:rsid w:val="00CD1E3B"/>
    <w:rsid w:val="00CD43C6"/>
    <w:rsid w:val="00CD7C0E"/>
    <w:rsid w:val="00D24806"/>
    <w:rsid w:val="00D4613E"/>
    <w:rsid w:val="00DF2520"/>
    <w:rsid w:val="00E30219"/>
    <w:rsid w:val="00EF16FF"/>
    <w:rsid w:val="00F475C0"/>
    <w:rsid w:val="00F735C3"/>
    <w:rsid w:val="00FC2C02"/>
    <w:rsid w:val="00FD01EA"/>
    <w:rsid w:val="010031D1"/>
    <w:rsid w:val="010704F4"/>
    <w:rsid w:val="01113D6B"/>
    <w:rsid w:val="011E260D"/>
    <w:rsid w:val="011E7592"/>
    <w:rsid w:val="01366D71"/>
    <w:rsid w:val="01452D8F"/>
    <w:rsid w:val="01463B4E"/>
    <w:rsid w:val="01480530"/>
    <w:rsid w:val="014C70A1"/>
    <w:rsid w:val="014E595C"/>
    <w:rsid w:val="01571C2A"/>
    <w:rsid w:val="015D0D5E"/>
    <w:rsid w:val="016B1C37"/>
    <w:rsid w:val="016D484A"/>
    <w:rsid w:val="017A38C2"/>
    <w:rsid w:val="017D4F5C"/>
    <w:rsid w:val="01837790"/>
    <w:rsid w:val="018E78D6"/>
    <w:rsid w:val="019E7CAE"/>
    <w:rsid w:val="01A17E23"/>
    <w:rsid w:val="01B14C06"/>
    <w:rsid w:val="01D75EBB"/>
    <w:rsid w:val="01DA3851"/>
    <w:rsid w:val="01DB7A58"/>
    <w:rsid w:val="01DF7FBF"/>
    <w:rsid w:val="01E7687A"/>
    <w:rsid w:val="01EA6D9C"/>
    <w:rsid w:val="01EE5E5A"/>
    <w:rsid w:val="01F757DA"/>
    <w:rsid w:val="01FE6394"/>
    <w:rsid w:val="02025C15"/>
    <w:rsid w:val="020533DA"/>
    <w:rsid w:val="02073EE0"/>
    <w:rsid w:val="02131738"/>
    <w:rsid w:val="021A142D"/>
    <w:rsid w:val="022015EB"/>
    <w:rsid w:val="02254726"/>
    <w:rsid w:val="023379D3"/>
    <w:rsid w:val="023575E5"/>
    <w:rsid w:val="02383315"/>
    <w:rsid w:val="023E5477"/>
    <w:rsid w:val="02467A5F"/>
    <w:rsid w:val="0248531A"/>
    <w:rsid w:val="024A5721"/>
    <w:rsid w:val="024C2043"/>
    <w:rsid w:val="025C4B56"/>
    <w:rsid w:val="02647ECA"/>
    <w:rsid w:val="026C5FD7"/>
    <w:rsid w:val="026F19EA"/>
    <w:rsid w:val="02705CCA"/>
    <w:rsid w:val="0273150F"/>
    <w:rsid w:val="028B5457"/>
    <w:rsid w:val="0296303F"/>
    <w:rsid w:val="02972CC3"/>
    <w:rsid w:val="02974551"/>
    <w:rsid w:val="02A953FB"/>
    <w:rsid w:val="02AD62A7"/>
    <w:rsid w:val="02B17140"/>
    <w:rsid w:val="02B46D8D"/>
    <w:rsid w:val="02D42EBE"/>
    <w:rsid w:val="02D7046D"/>
    <w:rsid w:val="02D7302F"/>
    <w:rsid w:val="02DB6483"/>
    <w:rsid w:val="02E46A30"/>
    <w:rsid w:val="02FA082F"/>
    <w:rsid w:val="02FA37F6"/>
    <w:rsid w:val="02FC6355"/>
    <w:rsid w:val="02FF1BA6"/>
    <w:rsid w:val="03202D4E"/>
    <w:rsid w:val="0324414F"/>
    <w:rsid w:val="03306BD1"/>
    <w:rsid w:val="033345D4"/>
    <w:rsid w:val="03337F28"/>
    <w:rsid w:val="03404493"/>
    <w:rsid w:val="0342435F"/>
    <w:rsid w:val="03487F26"/>
    <w:rsid w:val="034C7867"/>
    <w:rsid w:val="034F16AD"/>
    <w:rsid w:val="03630BDE"/>
    <w:rsid w:val="03715449"/>
    <w:rsid w:val="03774A2A"/>
    <w:rsid w:val="037D4B14"/>
    <w:rsid w:val="038105E0"/>
    <w:rsid w:val="03911CEB"/>
    <w:rsid w:val="039B2404"/>
    <w:rsid w:val="039B58CD"/>
    <w:rsid w:val="03A86FE5"/>
    <w:rsid w:val="03AB14DF"/>
    <w:rsid w:val="03C93517"/>
    <w:rsid w:val="03CF244B"/>
    <w:rsid w:val="03D24025"/>
    <w:rsid w:val="03D47C0C"/>
    <w:rsid w:val="03E10DFD"/>
    <w:rsid w:val="03E46B9E"/>
    <w:rsid w:val="03EF245D"/>
    <w:rsid w:val="03F2080F"/>
    <w:rsid w:val="03F624A2"/>
    <w:rsid w:val="03FC5347"/>
    <w:rsid w:val="04113DB2"/>
    <w:rsid w:val="042B5900"/>
    <w:rsid w:val="04313B6B"/>
    <w:rsid w:val="04345468"/>
    <w:rsid w:val="043641EE"/>
    <w:rsid w:val="0444114C"/>
    <w:rsid w:val="044F1106"/>
    <w:rsid w:val="04573DDB"/>
    <w:rsid w:val="04675B95"/>
    <w:rsid w:val="04701094"/>
    <w:rsid w:val="04787C5D"/>
    <w:rsid w:val="047934EF"/>
    <w:rsid w:val="0499065C"/>
    <w:rsid w:val="04A3117E"/>
    <w:rsid w:val="04AD62B3"/>
    <w:rsid w:val="04B24ECF"/>
    <w:rsid w:val="04BD7D66"/>
    <w:rsid w:val="04D270A7"/>
    <w:rsid w:val="04E233F3"/>
    <w:rsid w:val="04F528D6"/>
    <w:rsid w:val="05136066"/>
    <w:rsid w:val="05140EB1"/>
    <w:rsid w:val="052355BD"/>
    <w:rsid w:val="05297068"/>
    <w:rsid w:val="052B5239"/>
    <w:rsid w:val="05372F35"/>
    <w:rsid w:val="05377B18"/>
    <w:rsid w:val="05483AD3"/>
    <w:rsid w:val="054927BA"/>
    <w:rsid w:val="055503F5"/>
    <w:rsid w:val="05553E8D"/>
    <w:rsid w:val="055F4D8F"/>
    <w:rsid w:val="05615144"/>
    <w:rsid w:val="056754D2"/>
    <w:rsid w:val="05694D1B"/>
    <w:rsid w:val="056A0FA1"/>
    <w:rsid w:val="05722181"/>
    <w:rsid w:val="057228FE"/>
    <w:rsid w:val="058916B8"/>
    <w:rsid w:val="058E05E6"/>
    <w:rsid w:val="05954FA3"/>
    <w:rsid w:val="05A81488"/>
    <w:rsid w:val="05A8388B"/>
    <w:rsid w:val="05A857EB"/>
    <w:rsid w:val="05B0386F"/>
    <w:rsid w:val="05B97B45"/>
    <w:rsid w:val="05C40521"/>
    <w:rsid w:val="05C63BC0"/>
    <w:rsid w:val="05E1620A"/>
    <w:rsid w:val="05E43818"/>
    <w:rsid w:val="05F32219"/>
    <w:rsid w:val="05F81255"/>
    <w:rsid w:val="05FD21BA"/>
    <w:rsid w:val="06055D29"/>
    <w:rsid w:val="060572BB"/>
    <w:rsid w:val="060B1C93"/>
    <w:rsid w:val="06165A35"/>
    <w:rsid w:val="061E3789"/>
    <w:rsid w:val="0621399A"/>
    <w:rsid w:val="063858F6"/>
    <w:rsid w:val="063C3093"/>
    <w:rsid w:val="063F384F"/>
    <w:rsid w:val="06464B1D"/>
    <w:rsid w:val="064C3913"/>
    <w:rsid w:val="064F790C"/>
    <w:rsid w:val="06620544"/>
    <w:rsid w:val="06640DE3"/>
    <w:rsid w:val="0675449C"/>
    <w:rsid w:val="06786C8C"/>
    <w:rsid w:val="068B2214"/>
    <w:rsid w:val="0694108D"/>
    <w:rsid w:val="06BB746F"/>
    <w:rsid w:val="06BF3675"/>
    <w:rsid w:val="06D07D5A"/>
    <w:rsid w:val="06D91289"/>
    <w:rsid w:val="06DE1E85"/>
    <w:rsid w:val="06E60F80"/>
    <w:rsid w:val="06E650DE"/>
    <w:rsid w:val="06EE4C18"/>
    <w:rsid w:val="06F357D1"/>
    <w:rsid w:val="06F9233E"/>
    <w:rsid w:val="06F96216"/>
    <w:rsid w:val="06FA3997"/>
    <w:rsid w:val="06FA41C0"/>
    <w:rsid w:val="07002692"/>
    <w:rsid w:val="0704190E"/>
    <w:rsid w:val="0737670E"/>
    <w:rsid w:val="07443F6C"/>
    <w:rsid w:val="07475F02"/>
    <w:rsid w:val="074C3773"/>
    <w:rsid w:val="075E7BE2"/>
    <w:rsid w:val="078119DB"/>
    <w:rsid w:val="07823027"/>
    <w:rsid w:val="07864F73"/>
    <w:rsid w:val="078652A6"/>
    <w:rsid w:val="078C01E4"/>
    <w:rsid w:val="0791492A"/>
    <w:rsid w:val="07945321"/>
    <w:rsid w:val="079575A1"/>
    <w:rsid w:val="07993E2C"/>
    <w:rsid w:val="07997108"/>
    <w:rsid w:val="079B59C4"/>
    <w:rsid w:val="07AE1E1C"/>
    <w:rsid w:val="07B22191"/>
    <w:rsid w:val="07B54585"/>
    <w:rsid w:val="07BE3EE0"/>
    <w:rsid w:val="07CA18BF"/>
    <w:rsid w:val="07CB5F82"/>
    <w:rsid w:val="07D41D6C"/>
    <w:rsid w:val="07DF436F"/>
    <w:rsid w:val="07EE2807"/>
    <w:rsid w:val="07EE48C0"/>
    <w:rsid w:val="07F007CE"/>
    <w:rsid w:val="07FD6C65"/>
    <w:rsid w:val="0812475C"/>
    <w:rsid w:val="081456CF"/>
    <w:rsid w:val="081C22CD"/>
    <w:rsid w:val="081E38B6"/>
    <w:rsid w:val="08263EFD"/>
    <w:rsid w:val="08386501"/>
    <w:rsid w:val="083B104E"/>
    <w:rsid w:val="083E7BF0"/>
    <w:rsid w:val="084B4067"/>
    <w:rsid w:val="085612E9"/>
    <w:rsid w:val="08664400"/>
    <w:rsid w:val="089F49D3"/>
    <w:rsid w:val="08A57417"/>
    <w:rsid w:val="08CC47DB"/>
    <w:rsid w:val="08D20336"/>
    <w:rsid w:val="08D4763B"/>
    <w:rsid w:val="08D76ACB"/>
    <w:rsid w:val="08E7079B"/>
    <w:rsid w:val="08ED4EF8"/>
    <w:rsid w:val="08EE509C"/>
    <w:rsid w:val="08F30C67"/>
    <w:rsid w:val="08FE375C"/>
    <w:rsid w:val="090F0777"/>
    <w:rsid w:val="091D3147"/>
    <w:rsid w:val="092265AB"/>
    <w:rsid w:val="09270C87"/>
    <w:rsid w:val="093570FD"/>
    <w:rsid w:val="094139EA"/>
    <w:rsid w:val="09463EBF"/>
    <w:rsid w:val="09472EE3"/>
    <w:rsid w:val="094812A8"/>
    <w:rsid w:val="095549BD"/>
    <w:rsid w:val="09572537"/>
    <w:rsid w:val="0964585E"/>
    <w:rsid w:val="096545A8"/>
    <w:rsid w:val="096B4D1A"/>
    <w:rsid w:val="096E7CD8"/>
    <w:rsid w:val="09710848"/>
    <w:rsid w:val="097E0211"/>
    <w:rsid w:val="098332E0"/>
    <w:rsid w:val="098B32FC"/>
    <w:rsid w:val="098C76AB"/>
    <w:rsid w:val="099124C9"/>
    <w:rsid w:val="09A4409C"/>
    <w:rsid w:val="09B21903"/>
    <w:rsid w:val="09B35434"/>
    <w:rsid w:val="09B515EA"/>
    <w:rsid w:val="09B87492"/>
    <w:rsid w:val="09C75C6B"/>
    <w:rsid w:val="09CB025C"/>
    <w:rsid w:val="09CC2259"/>
    <w:rsid w:val="09D3109A"/>
    <w:rsid w:val="09DB0EED"/>
    <w:rsid w:val="09E0077E"/>
    <w:rsid w:val="09FF69C2"/>
    <w:rsid w:val="0A0474FC"/>
    <w:rsid w:val="0A211CA2"/>
    <w:rsid w:val="0A2936FA"/>
    <w:rsid w:val="0A2A1F87"/>
    <w:rsid w:val="0A320EE2"/>
    <w:rsid w:val="0A4B7E76"/>
    <w:rsid w:val="0A534963"/>
    <w:rsid w:val="0A564ECC"/>
    <w:rsid w:val="0A5E744E"/>
    <w:rsid w:val="0A725A71"/>
    <w:rsid w:val="0A730821"/>
    <w:rsid w:val="0A7C341E"/>
    <w:rsid w:val="0A802980"/>
    <w:rsid w:val="0A830D65"/>
    <w:rsid w:val="0A86042B"/>
    <w:rsid w:val="0A88373C"/>
    <w:rsid w:val="0A890FD1"/>
    <w:rsid w:val="0A8C2AE7"/>
    <w:rsid w:val="0A8C7FBE"/>
    <w:rsid w:val="0A903996"/>
    <w:rsid w:val="0A92134D"/>
    <w:rsid w:val="0AA2391D"/>
    <w:rsid w:val="0AB12F85"/>
    <w:rsid w:val="0AB30E2D"/>
    <w:rsid w:val="0AB367C5"/>
    <w:rsid w:val="0AD16AC7"/>
    <w:rsid w:val="0ADF42DF"/>
    <w:rsid w:val="0AE1397F"/>
    <w:rsid w:val="0AF61ECC"/>
    <w:rsid w:val="0B073E1A"/>
    <w:rsid w:val="0B0E0726"/>
    <w:rsid w:val="0B1845FE"/>
    <w:rsid w:val="0B2A4D8B"/>
    <w:rsid w:val="0B381EF4"/>
    <w:rsid w:val="0B416D3C"/>
    <w:rsid w:val="0B5851DD"/>
    <w:rsid w:val="0B5E4471"/>
    <w:rsid w:val="0B6158EF"/>
    <w:rsid w:val="0B632CA7"/>
    <w:rsid w:val="0B673047"/>
    <w:rsid w:val="0B6B47CF"/>
    <w:rsid w:val="0B7863E5"/>
    <w:rsid w:val="0B8E7D66"/>
    <w:rsid w:val="0B8F5E30"/>
    <w:rsid w:val="0B9E4CF4"/>
    <w:rsid w:val="0BAE64CB"/>
    <w:rsid w:val="0BAF49D6"/>
    <w:rsid w:val="0BB35A1E"/>
    <w:rsid w:val="0BC1013B"/>
    <w:rsid w:val="0BC6579A"/>
    <w:rsid w:val="0BC73AC2"/>
    <w:rsid w:val="0BE37048"/>
    <w:rsid w:val="0BED7AC5"/>
    <w:rsid w:val="0BF27574"/>
    <w:rsid w:val="0BF541CC"/>
    <w:rsid w:val="0BF7613E"/>
    <w:rsid w:val="0BFD12ED"/>
    <w:rsid w:val="0BFE70FF"/>
    <w:rsid w:val="0C0A156B"/>
    <w:rsid w:val="0C11087C"/>
    <w:rsid w:val="0C126BE9"/>
    <w:rsid w:val="0C1A4B7D"/>
    <w:rsid w:val="0C1D4686"/>
    <w:rsid w:val="0C1F324C"/>
    <w:rsid w:val="0C2603EC"/>
    <w:rsid w:val="0C3A6D73"/>
    <w:rsid w:val="0C402F20"/>
    <w:rsid w:val="0C4619CC"/>
    <w:rsid w:val="0C485A59"/>
    <w:rsid w:val="0C516B57"/>
    <w:rsid w:val="0C5C3E98"/>
    <w:rsid w:val="0C630E99"/>
    <w:rsid w:val="0C702DA2"/>
    <w:rsid w:val="0C717FB9"/>
    <w:rsid w:val="0C7C7A51"/>
    <w:rsid w:val="0C9662E2"/>
    <w:rsid w:val="0C995AEA"/>
    <w:rsid w:val="0C9C64B3"/>
    <w:rsid w:val="0CAA6437"/>
    <w:rsid w:val="0CC41A21"/>
    <w:rsid w:val="0CC53C91"/>
    <w:rsid w:val="0CC85E5C"/>
    <w:rsid w:val="0CC950D4"/>
    <w:rsid w:val="0CCD2C73"/>
    <w:rsid w:val="0CD44C39"/>
    <w:rsid w:val="0CD675CB"/>
    <w:rsid w:val="0CE34C34"/>
    <w:rsid w:val="0CE57E5A"/>
    <w:rsid w:val="0CFF69EC"/>
    <w:rsid w:val="0D006A41"/>
    <w:rsid w:val="0D0E7906"/>
    <w:rsid w:val="0D137E8A"/>
    <w:rsid w:val="0D1E152F"/>
    <w:rsid w:val="0D1F47B6"/>
    <w:rsid w:val="0D200E92"/>
    <w:rsid w:val="0D257764"/>
    <w:rsid w:val="0D2A7456"/>
    <w:rsid w:val="0D307327"/>
    <w:rsid w:val="0D335317"/>
    <w:rsid w:val="0D3B4FB7"/>
    <w:rsid w:val="0D3D15F3"/>
    <w:rsid w:val="0D454706"/>
    <w:rsid w:val="0D47378E"/>
    <w:rsid w:val="0D4E775C"/>
    <w:rsid w:val="0D855638"/>
    <w:rsid w:val="0D86241A"/>
    <w:rsid w:val="0D887384"/>
    <w:rsid w:val="0D912A5A"/>
    <w:rsid w:val="0D915146"/>
    <w:rsid w:val="0DA5091D"/>
    <w:rsid w:val="0DAC6279"/>
    <w:rsid w:val="0DAD4E1B"/>
    <w:rsid w:val="0DB50C5B"/>
    <w:rsid w:val="0DBC56A1"/>
    <w:rsid w:val="0DBF1698"/>
    <w:rsid w:val="0DC825BA"/>
    <w:rsid w:val="0DC9777B"/>
    <w:rsid w:val="0DD90E2A"/>
    <w:rsid w:val="0DE41035"/>
    <w:rsid w:val="0DE87C01"/>
    <w:rsid w:val="0DEF0A5F"/>
    <w:rsid w:val="0E0855CB"/>
    <w:rsid w:val="0E0B58F1"/>
    <w:rsid w:val="0E1441CE"/>
    <w:rsid w:val="0E17011C"/>
    <w:rsid w:val="0E184392"/>
    <w:rsid w:val="0E185C8C"/>
    <w:rsid w:val="0E1E7292"/>
    <w:rsid w:val="0E1F1149"/>
    <w:rsid w:val="0E1F739B"/>
    <w:rsid w:val="0E201C92"/>
    <w:rsid w:val="0E3E78BB"/>
    <w:rsid w:val="0E4E72D4"/>
    <w:rsid w:val="0E5074B1"/>
    <w:rsid w:val="0E5476D6"/>
    <w:rsid w:val="0E5B12B7"/>
    <w:rsid w:val="0E5B5B67"/>
    <w:rsid w:val="0E5D22D5"/>
    <w:rsid w:val="0E64533D"/>
    <w:rsid w:val="0E781379"/>
    <w:rsid w:val="0E836001"/>
    <w:rsid w:val="0E8D77D9"/>
    <w:rsid w:val="0E907564"/>
    <w:rsid w:val="0E974DD1"/>
    <w:rsid w:val="0EA33B28"/>
    <w:rsid w:val="0EA8249E"/>
    <w:rsid w:val="0EA93B4E"/>
    <w:rsid w:val="0EB2394C"/>
    <w:rsid w:val="0EBA5B0D"/>
    <w:rsid w:val="0EBE26B7"/>
    <w:rsid w:val="0EC16B2F"/>
    <w:rsid w:val="0EC401C9"/>
    <w:rsid w:val="0ECF0130"/>
    <w:rsid w:val="0ED1228F"/>
    <w:rsid w:val="0EEA1C0B"/>
    <w:rsid w:val="0EF240F7"/>
    <w:rsid w:val="0EF473FF"/>
    <w:rsid w:val="0F06458D"/>
    <w:rsid w:val="0F0811EB"/>
    <w:rsid w:val="0F1105D9"/>
    <w:rsid w:val="0F130CAE"/>
    <w:rsid w:val="0F374AB4"/>
    <w:rsid w:val="0F39375D"/>
    <w:rsid w:val="0F3D13DF"/>
    <w:rsid w:val="0F44530B"/>
    <w:rsid w:val="0F451A79"/>
    <w:rsid w:val="0F4A6B5A"/>
    <w:rsid w:val="0F53554E"/>
    <w:rsid w:val="0F677A31"/>
    <w:rsid w:val="0F6861F3"/>
    <w:rsid w:val="0F694370"/>
    <w:rsid w:val="0F6E79CD"/>
    <w:rsid w:val="0F7D63F1"/>
    <w:rsid w:val="0F7E56D2"/>
    <w:rsid w:val="0F940C54"/>
    <w:rsid w:val="0F975DF1"/>
    <w:rsid w:val="0F98500F"/>
    <w:rsid w:val="0F995918"/>
    <w:rsid w:val="0F9F15F1"/>
    <w:rsid w:val="0FA933C0"/>
    <w:rsid w:val="0FB02B1B"/>
    <w:rsid w:val="0FB461A6"/>
    <w:rsid w:val="0FB51ECC"/>
    <w:rsid w:val="0FB56209"/>
    <w:rsid w:val="0FBB74C6"/>
    <w:rsid w:val="0FBE456D"/>
    <w:rsid w:val="0FC06022"/>
    <w:rsid w:val="0FCC60E0"/>
    <w:rsid w:val="0FD11037"/>
    <w:rsid w:val="0FD22917"/>
    <w:rsid w:val="0FD34215"/>
    <w:rsid w:val="0FE443F8"/>
    <w:rsid w:val="0FED0C72"/>
    <w:rsid w:val="0FF3584C"/>
    <w:rsid w:val="0FF37B00"/>
    <w:rsid w:val="0FFC5A4C"/>
    <w:rsid w:val="1017288D"/>
    <w:rsid w:val="102347EA"/>
    <w:rsid w:val="10246EEB"/>
    <w:rsid w:val="1031363C"/>
    <w:rsid w:val="10356A02"/>
    <w:rsid w:val="10366E7D"/>
    <w:rsid w:val="10381CFB"/>
    <w:rsid w:val="104076B2"/>
    <w:rsid w:val="10443145"/>
    <w:rsid w:val="104A3184"/>
    <w:rsid w:val="105477D0"/>
    <w:rsid w:val="105C0433"/>
    <w:rsid w:val="10626392"/>
    <w:rsid w:val="106D1765"/>
    <w:rsid w:val="107439CE"/>
    <w:rsid w:val="107B1239"/>
    <w:rsid w:val="107B17B8"/>
    <w:rsid w:val="107C0890"/>
    <w:rsid w:val="108F132C"/>
    <w:rsid w:val="109A4633"/>
    <w:rsid w:val="10A43817"/>
    <w:rsid w:val="10A50574"/>
    <w:rsid w:val="10B371E3"/>
    <w:rsid w:val="10B70B08"/>
    <w:rsid w:val="10B97A57"/>
    <w:rsid w:val="10C57C93"/>
    <w:rsid w:val="10C81F6C"/>
    <w:rsid w:val="10CC1755"/>
    <w:rsid w:val="10D44DB4"/>
    <w:rsid w:val="10D92E90"/>
    <w:rsid w:val="10DE0D65"/>
    <w:rsid w:val="10DF1DCF"/>
    <w:rsid w:val="10E01CA2"/>
    <w:rsid w:val="10E1466E"/>
    <w:rsid w:val="10E92E92"/>
    <w:rsid w:val="10ED6644"/>
    <w:rsid w:val="10F12B3A"/>
    <w:rsid w:val="10F36923"/>
    <w:rsid w:val="110D158B"/>
    <w:rsid w:val="111725AC"/>
    <w:rsid w:val="111D5E14"/>
    <w:rsid w:val="11244F9E"/>
    <w:rsid w:val="112F4A97"/>
    <w:rsid w:val="11367FF6"/>
    <w:rsid w:val="11381B27"/>
    <w:rsid w:val="11464D8D"/>
    <w:rsid w:val="114A3549"/>
    <w:rsid w:val="114A7195"/>
    <w:rsid w:val="115147B5"/>
    <w:rsid w:val="1152574B"/>
    <w:rsid w:val="115D2294"/>
    <w:rsid w:val="115F7DD5"/>
    <w:rsid w:val="11652E2A"/>
    <w:rsid w:val="11731D13"/>
    <w:rsid w:val="117A3266"/>
    <w:rsid w:val="11851A8E"/>
    <w:rsid w:val="118C0DC2"/>
    <w:rsid w:val="118F1327"/>
    <w:rsid w:val="11974131"/>
    <w:rsid w:val="119F60D1"/>
    <w:rsid w:val="119F6C0E"/>
    <w:rsid w:val="11AD6F71"/>
    <w:rsid w:val="11BB0A89"/>
    <w:rsid w:val="11CF1344"/>
    <w:rsid w:val="11EB4164"/>
    <w:rsid w:val="11EE44C0"/>
    <w:rsid w:val="11F35831"/>
    <w:rsid w:val="11FB2BF2"/>
    <w:rsid w:val="12084B47"/>
    <w:rsid w:val="12196EE4"/>
    <w:rsid w:val="12267C73"/>
    <w:rsid w:val="122E473C"/>
    <w:rsid w:val="12374CB3"/>
    <w:rsid w:val="12384B3D"/>
    <w:rsid w:val="124812D8"/>
    <w:rsid w:val="124D2729"/>
    <w:rsid w:val="12583EBD"/>
    <w:rsid w:val="12592666"/>
    <w:rsid w:val="125A0A64"/>
    <w:rsid w:val="125D0492"/>
    <w:rsid w:val="127C677E"/>
    <w:rsid w:val="128D4A24"/>
    <w:rsid w:val="128F5F97"/>
    <w:rsid w:val="1290734E"/>
    <w:rsid w:val="12913A60"/>
    <w:rsid w:val="129403B6"/>
    <w:rsid w:val="129C3C8E"/>
    <w:rsid w:val="129F2AC0"/>
    <w:rsid w:val="12A570BB"/>
    <w:rsid w:val="12AD5523"/>
    <w:rsid w:val="12AF3AB7"/>
    <w:rsid w:val="12BC6A4E"/>
    <w:rsid w:val="12D01526"/>
    <w:rsid w:val="12D10FCA"/>
    <w:rsid w:val="12EA17EF"/>
    <w:rsid w:val="12F014E7"/>
    <w:rsid w:val="12F06D2A"/>
    <w:rsid w:val="12F82E2A"/>
    <w:rsid w:val="12FE476A"/>
    <w:rsid w:val="130968EC"/>
    <w:rsid w:val="131102ED"/>
    <w:rsid w:val="131161CB"/>
    <w:rsid w:val="13143247"/>
    <w:rsid w:val="13182BC0"/>
    <w:rsid w:val="1319583C"/>
    <w:rsid w:val="131F74A5"/>
    <w:rsid w:val="13217248"/>
    <w:rsid w:val="13393226"/>
    <w:rsid w:val="1343219E"/>
    <w:rsid w:val="134348CD"/>
    <w:rsid w:val="13620CB7"/>
    <w:rsid w:val="1365524E"/>
    <w:rsid w:val="13733182"/>
    <w:rsid w:val="137B2738"/>
    <w:rsid w:val="137E3A6D"/>
    <w:rsid w:val="13846EB4"/>
    <w:rsid w:val="13867986"/>
    <w:rsid w:val="1389306A"/>
    <w:rsid w:val="138A50A4"/>
    <w:rsid w:val="13947FFD"/>
    <w:rsid w:val="139F04F3"/>
    <w:rsid w:val="13AB6920"/>
    <w:rsid w:val="13B011C1"/>
    <w:rsid w:val="13B21B62"/>
    <w:rsid w:val="13BC0BAE"/>
    <w:rsid w:val="13BC5DB8"/>
    <w:rsid w:val="13C108E8"/>
    <w:rsid w:val="13DE7CEE"/>
    <w:rsid w:val="13E30914"/>
    <w:rsid w:val="13E478F1"/>
    <w:rsid w:val="13F45B8B"/>
    <w:rsid w:val="140E5D80"/>
    <w:rsid w:val="141113EE"/>
    <w:rsid w:val="14112307"/>
    <w:rsid w:val="141B430B"/>
    <w:rsid w:val="141D35DE"/>
    <w:rsid w:val="141E480A"/>
    <w:rsid w:val="14242D54"/>
    <w:rsid w:val="142B6ECA"/>
    <w:rsid w:val="143E78FD"/>
    <w:rsid w:val="14433BD5"/>
    <w:rsid w:val="1452128F"/>
    <w:rsid w:val="14555FD9"/>
    <w:rsid w:val="14623CD3"/>
    <w:rsid w:val="14764A3D"/>
    <w:rsid w:val="148175EA"/>
    <w:rsid w:val="149660DE"/>
    <w:rsid w:val="149A17A2"/>
    <w:rsid w:val="149B16E7"/>
    <w:rsid w:val="14A86417"/>
    <w:rsid w:val="14A8664D"/>
    <w:rsid w:val="14BF3B2E"/>
    <w:rsid w:val="14D53B66"/>
    <w:rsid w:val="14D77D80"/>
    <w:rsid w:val="14ED6B54"/>
    <w:rsid w:val="14F157C2"/>
    <w:rsid w:val="15075371"/>
    <w:rsid w:val="15161C36"/>
    <w:rsid w:val="151B170C"/>
    <w:rsid w:val="15207D6D"/>
    <w:rsid w:val="1524680A"/>
    <w:rsid w:val="1526009B"/>
    <w:rsid w:val="152B534F"/>
    <w:rsid w:val="15321AB7"/>
    <w:rsid w:val="153249DB"/>
    <w:rsid w:val="153676F1"/>
    <w:rsid w:val="154243DF"/>
    <w:rsid w:val="154A2184"/>
    <w:rsid w:val="15612CE1"/>
    <w:rsid w:val="15692345"/>
    <w:rsid w:val="156F08E0"/>
    <w:rsid w:val="157149D4"/>
    <w:rsid w:val="15722572"/>
    <w:rsid w:val="1579113D"/>
    <w:rsid w:val="157B43FB"/>
    <w:rsid w:val="157B75A7"/>
    <w:rsid w:val="158C07F5"/>
    <w:rsid w:val="158F2815"/>
    <w:rsid w:val="15907C43"/>
    <w:rsid w:val="159E3CC7"/>
    <w:rsid w:val="15A12701"/>
    <w:rsid w:val="15A308B2"/>
    <w:rsid w:val="15AC59B8"/>
    <w:rsid w:val="15AE0C68"/>
    <w:rsid w:val="15BB6204"/>
    <w:rsid w:val="15BD7FDC"/>
    <w:rsid w:val="15C9701E"/>
    <w:rsid w:val="15D55577"/>
    <w:rsid w:val="15E311E9"/>
    <w:rsid w:val="15E46F00"/>
    <w:rsid w:val="15ED6145"/>
    <w:rsid w:val="15F60BE0"/>
    <w:rsid w:val="15F865C9"/>
    <w:rsid w:val="1600712A"/>
    <w:rsid w:val="160551C6"/>
    <w:rsid w:val="161B4B6D"/>
    <w:rsid w:val="161B4C3E"/>
    <w:rsid w:val="162C1433"/>
    <w:rsid w:val="162C256B"/>
    <w:rsid w:val="16330E5E"/>
    <w:rsid w:val="16374ABB"/>
    <w:rsid w:val="163C6709"/>
    <w:rsid w:val="163E2B94"/>
    <w:rsid w:val="163E4BAA"/>
    <w:rsid w:val="16447FA4"/>
    <w:rsid w:val="1649389D"/>
    <w:rsid w:val="165671B4"/>
    <w:rsid w:val="16583C70"/>
    <w:rsid w:val="165A3666"/>
    <w:rsid w:val="166116D0"/>
    <w:rsid w:val="16614926"/>
    <w:rsid w:val="166763CC"/>
    <w:rsid w:val="16743850"/>
    <w:rsid w:val="16746528"/>
    <w:rsid w:val="16841C83"/>
    <w:rsid w:val="16890DBA"/>
    <w:rsid w:val="169177CF"/>
    <w:rsid w:val="16933417"/>
    <w:rsid w:val="16A843D2"/>
    <w:rsid w:val="16B6387D"/>
    <w:rsid w:val="16BE0F22"/>
    <w:rsid w:val="16C034B0"/>
    <w:rsid w:val="16C358CF"/>
    <w:rsid w:val="16C75BBA"/>
    <w:rsid w:val="16C91C33"/>
    <w:rsid w:val="16CC4FF1"/>
    <w:rsid w:val="16D1150E"/>
    <w:rsid w:val="16DF3B6C"/>
    <w:rsid w:val="16E55626"/>
    <w:rsid w:val="16E652D4"/>
    <w:rsid w:val="16F0489A"/>
    <w:rsid w:val="16F94C0E"/>
    <w:rsid w:val="16FA5AE3"/>
    <w:rsid w:val="17001735"/>
    <w:rsid w:val="170E41FE"/>
    <w:rsid w:val="17163A5A"/>
    <w:rsid w:val="17237598"/>
    <w:rsid w:val="172C7764"/>
    <w:rsid w:val="172D007A"/>
    <w:rsid w:val="17374E0B"/>
    <w:rsid w:val="173E5968"/>
    <w:rsid w:val="17404A3C"/>
    <w:rsid w:val="174650F7"/>
    <w:rsid w:val="174C4771"/>
    <w:rsid w:val="174F256E"/>
    <w:rsid w:val="17525D76"/>
    <w:rsid w:val="176B4183"/>
    <w:rsid w:val="17714DC9"/>
    <w:rsid w:val="177428D7"/>
    <w:rsid w:val="177B75DF"/>
    <w:rsid w:val="177C263F"/>
    <w:rsid w:val="178D55C5"/>
    <w:rsid w:val="179606CE"/>
    <w:rsid w:val="17B16333"/>
    <w:rsid w:val="17B82B09"/>
    <w:rsid w:val="17C3178D"/>
    <w:rsid w:val="17D15A40"/>
    <w:rsid w:val="17DC1EE9"/>
    <w:rsid w:val="17DC36C8"/>
    <w:rsid w:val="17E85A62"/>
    <w:rsid w:val="17FB718C"/>
    <w:rsid w:val="1803149C"/>
    <w:rsid w:val="18087CAF"/>
    <w:rsid w:val="180C0990"/>
    <w:rsid w:val="181A1734"/>
    <w:rsid w:val="1831666B"/>
    <w:rsid w:val="183952F5"/>
    <w:rsid w:val="184D1B99"/>
    <w:rsid w:val="18560727"/>
    <w:rsid w:val="18571F2A"/>
    <w:rsid w:val="18583DB0"/>
    <w:rsid w:val="185A7D89"/>
    <w:rsid w:val="185D1E3A"/>
    <w:rsid w:val="185F3AF1"/>
    <w:rsid w:val="186758E5"/>
    <w:rsid w:val="18692AA9"/>
    <w:rsid w:val="186D3B71"/>
    <w:rsid w:val="187358A0"/>
    <w:rsid w:val="18760955"/>
    <w:rsid w:val="187A7613"/>
    <w:rsid w:val="187D21FF"/>
    <w:rsid w:val="187F10DC"/>
    <w:rsid w:val="1885392E"/>
    <w:rsid w:val="18915192"/>
    <w:rsid w:val="189417D3"/>
    <w:rsid w:val="18A40C9E"/>
    <w:rsid w:val="18B85D7F"/>
    <w:rsid w:val="18CF1DCB"/>
    <w:rsid w:val="18D30617"/>
    <w:rsid w:val="18E21952"/>
    <w:rsid w:val="18E75CF3"/>
    <w:rsid w:val="18EF5BF3"/>
    <w:rsid w:val="18F91FF2"/>
    <w:rsid w:val="1902214B"/>
    <w:rsid w:val="19050560"/>
    <w:rsid w:val="19081D4B"/>
    <w:rsid w:val="192255E5"/>
    <w:rsid w:val="1938016E"/>
    <w:rsid w:val="19390965"/>
    <w:rsid w:val="19466124"/>
    <w:rsid w:val="194F2F44"/>
    <w:rsid w:val="195A3C32"/>
    <w:rsid w:val="19604B07"/>
    <w:rsid w:val="1962035E"/>
    <w:rsid w:val="19664037"/>
    <w:rsid w:val="19721420"/>
    <w:rsid w:val="197F2B98"/>
    <w:rsid w:val="198454BD"/>
    <w:rsid w:val="198F43C7"/>
    <w:rsid w:val="19957591"/>
    <w:rsid w:val="199944A6"/>
    <w:rsid w:val="19B562C0"/>
    <w:rsid w:val="19D02FA9"/>
    <w:rsid w:val="19D11EBD"/>
    <w:rsid w:val="19E863B2"/>
    <w:rsid w:val="19F84D28"/>
    <w:rsid w:val="19FC5EC6"/>
    <w:rsid w:val="19FE255B"/>
    <w:rsid w:val="1A07158D"/>
    <w:rsid w:val="1A0A5170"/>
    <w:rsid w:val="1A0C111B"/>
    <w:rsid w:val="1A1A3838"/>
    <w:rsid w:val="1A25197A"/>
    <w:rsid w:val="1A2A6CED"/>
    <w:rsid w:val="1A2D004B"/>
    <w:rsid w:val="1A3D4FED"/>
    <w:rsid w:val="1A48437C"/>
    <w:rsid w:val="1A497085"/>
    <w:rsid w:val="1A4A0345"/>
    <w:rsid w:val="1A4C776A"/>
    <w:rsid w:val="1A555ADC"/>
    <w:rsid w:val="1A623029"/>
    <w:rsid w:val="1A6D76D7"/>
    <w:rsid w:val="1A766FB0"/>
    <w:rsid w:val="1A77764D"/>
    <w:rsid w:val="1A7F15EE"/>
    <w:rsid w:val="1A812CBA"/>
    <w:rsid w:val="1A8263D8"/>
    <w:rsid w:val="1A847F8B"/>
    <w:rsid w:val="1A882421"/>
    <w:rsid w:val="1A915FCF"/>
    <w:rsid w:val="1A9A320F"/>
    <w:rsid w:val="1AA2427A"/>
    <w:rsid w:val="1AA55C97"/>
    <w:rsid w:val="1AA6014C"/>
    <w:rsid w:val="1AB76B20"/>
    <w:rsid w:val="1AB81AF9"/>
    <w:rsid w:val="1ABB591C"/>
    <w:rsid w:val="1ABC4B84"/>
    <w:rsid w:val="1ABF1D44"/>
    <w:rsid w:val="1ACC15FD"/>
    <w:rsid w:val="1AD0534D"/>
    <w:rsid w:val="1AD17CC4"/>
    <w:rsid w:val="1AD5610F"/>
    <w:rsid w:val="1ADE01FA"/>
    <w:rsid w:val="1AE5530D"/>
    <w:rsid w:val="1AEA6BE3"/>
    <w:rsid w:val="1AEB56E7"/>
    <w:rsid w:val="1B0F191F"/>
    <w:rsid w:val="1B205B9D"/>
    <w:rsid w:val="1B321230"/>
    <w:rsid w:val="1B331907"/>
    <w:rsid w:val="1B382956"/>
    <w:rsid w:val="1B3F6DA1"/>
    <w:rsid w:val="1B4346C9"/>
    <w:rsid w:val="1B480A75"/>
    <w:rsid w:val="1B4B77B2"/>
    <w:rsid w:val="1B527D7D"/>
    <w:rsid w:val="1B5D2FCD"/>
    <w:rsid w:val="1B671CBC"/>
    <w:rsid w:val="1B680D5A"/>
    <w:rsid w:val="1B6B161A"/>
    <w:rsid w:val="1B6C665D"/>
    <w:rsid w:val="1B7269D0"/>
    <w:rsid w:val="1B7F352B"/>
    <w:rsid w:val="1B907570"/>
    <w:rsid w:val="1B92487F"/>
    <w:rsid w:val="1B95565D"/>
    <w:rsid w:val="1B9D71A9"/>
    <w:rsid w:val="1BA03A2D"/>
    <w:rsid w:val="1BB954C3"/>
    <w:rsid w:val="1BC54903"/>
    <w:rsid w:val="1BC8641D"/>
    <w:rsid w:val="1BCD4307"/>
    <w:rsid w:val="1BD67671"/>
    <w:rsid w:val="1BE26CD9"/>
    <w:rsid w:val="1BED5436"/>
    <w:rsid w:val="1BF42CAD"/>
    <w:rsid w:val="1BF5537C"/>
    <w:rsid w:val="1C100819"/>
    <w:rsid w:val="1C161BAD"/>
    <w:rsid w:val="1C3000E0"/>
    <w:rsid w:val="1C3642CF"/>
    <w:rsid w:val="1C432242"/>
    <w:rsid w:val="1C634242"/>
    <w:rsid w:val="1C723DF7"/>
    <w:rsid w:val="1C8036FB"/>
    <w:rsid w:val="1C8D76F3"/>
    <w:rsid w:val="1C931680"/>
    <w:rsid w:val="1CA00521"/>
    <w:rsid w:val="1CAA7C13"/>
    <w:rsid w:val="1CD2334A"/>
    <w:rsid w:val="1CD30783"/>
    <w:rsid w:val="1CE617B0"/>
    <w:rsid w:val="1CE6339E"/>
    <w:rsid w:val="1CF67FBD"/>
    <w:rsid w:val="1CFB3F7B"/>
    <w:rsid w:val="1D072B52"/>
    <w:rsid w:val="1D135961"/>
    <w:rsid w:val="1D167BBB"/>
    <w:rsid w:val="1D1E4276"/>
    <w:rsid w:val="1D3344D5"/>
    <w:rsid w:val="1D39053F"/>
    <w:rsid w:val="1D4330A6"/>
    <w:rsid w:val="1D471C59"/>
    <w:rsid w:val="1D527698"/>
    <w:rsid w:val="1D542B92"/>
    <w:rsid w:val="1D595E1F"/>
    <w:rsid w:val="1D5D37EF"/>
    <w:rsid w:val="1D632C3E"/>
    <w:rsid w:val="1D7450DF"/>
    <w:rsid w:val="1D7F5FC2"/>
    <w:rsid w:val="1D8F135D"/>
    <w:rsid w:val="1D9F3347"/>
    <w:rsid w:val="1DBE3EC8"/>
    <w:rsid w:val="1DC74FF4"/>
    <w:rsid w:val="1DD91C4F"/>
    <w:rsid w:val="1DDE2F8E"/>
    <w:rsid w:val="1DE36E3D"/>
    <w:rsid w:val="1DF35717"/>
    <w:rsid w:val="1DFB6428"/>
    <w:rsid w:val="1DFC2645"/>
    <w:rsid w:val="1E114522"/>
    <w:rsid w:val="1E192D5F"/>
    <w:rsid w:val="1E1B1C0E"/>
    <w:rsid w:val="1E212DBA"/>
    <w:rsid w:val="1E2B647B"/>
    <w:rsid w:val="1E384903"/>
    <w:rsid w:val="1E3E3A97"/>
    <w:rsid w:val="1E4E1501"/>
    <w:rsid w:val="1E5310C7"/>
    <w:rsid w:val="1E562334"/>
    <w:rsid w:val="1E5815CD"/>
    <w:rsid w:val="1E630580"/>
    <w:rsid w:val="1E63162C"/>
    <w:rsid w:val="1E681A84"/>
    <w:rsid w:val="1E6F40FF"/>
    <w:rsid w:val="1E795DD2"/>
    <w:rsid w:val="1E7A3FDE"/>
    <w:rsid w:val="1E810F5B"/>
    <w:rsid w:val="1E982F7E"/>
    <w:rsid w:val="1E995F02"/>
    <w:rsid w:val="1E9A5755"/>
    <w:rsid w:val="1EA27958"/>
    <w:rsid w:val="1EB34116"/>
    <w:rsid w:val="1EBE2E9B"/>
    <w:rsid w:val="1ECE263B"/>
    <w:rsid w:val="1ED23A13"/>
    <w:rsid w:val="1EF065EC"/>
    <w:rsid w:val="1F051B11"/>
    <w:rsid w:val="1F0E4C65"/>
    <w:rsid w:val="1F112CA1"/>
    <w:rsid w:val="1F1678C7"/>
    <w:rsid w:val="1F1C57F3"/>
    <w:rsid w:val="1F1D1971"/>
    <w:rsid w:val="1F231F54"/>
    <w:rsid w:val="1F2D5AFE"/>
    <w:rsid w:val="1F53182B"/>
    <w:rsid w:val="1F5A05AD"/>
    <w:rsid w:val="1F5E5F75"/>
    <w:rsid w:val="1F624DD0"/>
    <w:rsid w:val="1F6F0DB8"/>
    <w:rsid w:val="1F755A30"/>
    <w:rsid w:val="1F821DD7"/>
    <w:rsid w:val="1F8364F6"/>
    <w:rsid w:val="1F87760C"/>
    <w:rsid w:val="1F8B21C0"/>
    <w:rsid w:val="1F936B89"/>
    <w:rsid w:val="1F9A7E83"/>
    <w:rsid w:val="1F9C6A7C"/>
    <w:rsid w:val="1F9D564F"/>
    <w:rsid w:val="1FB86952"/>
    <w:rsid w:val="1FB87BFA"/>
    <w:rsid w:val="1FBE4A12"/>
    <w:rsid w:val="1FBF7E8E"/>
    <w:rsid w:val="1FC33F30"/>
    <w:rsid w:val="1FC9419A"/>
    <w:rsid w:val="1FCA73E4"/>
    <w:rsid w:val="1FD84BD4"/>
    <w:rsid w:val="1FE44CC1"/>
    <w:rsid w:val="1FF83525"/>
    <w:rsid w:val="20032679"/>
    <w:rsid w:val="20082AD9"/>
    <w:rsid w:val="20123BC6"/>
    <w:rsid w:val="201956D2"/>
    <w:rsid w:val="201B5247"/>
    <w:rsid w:val="201C373B"/>
    <w:rsid w:val="20342852"/>
    <w:rsid w:val="203E5E8F"/>
    <w:rsid w:val="203F02F5"/>
    <w:rsid w:val="20414F99"/>
    <w:rsid w:val="204A02A8"/>
    <w:rsid w:val="205179C7"/>
    <w:rsid w:val="20595E64"/>
    <w:rsid w:val="20597B80"/>
    <w:rsid w:val="205C0AF5"/>
    <w:rsid w:val="20622C0A"/>
    <w:rsid w:val="2068102C"/>
    <w:rsid w:val="206E5551"/>
    <w:rsid w:val="207D68CF"/>
    <w:rsid w:val="2081560C"/>
    <w:rsid w:val="20866F6E"/>
    <w:rsid w:val="208E2950"/>
    <w:rsid w:val="20933302"/>
    <w:rsid w:val="20933FD2"/>
    <w:rsid w:val="209934FD"/>
    <w:rsid w:val="209C39D5"/>
    <w:rsid w:val="20A1035A"/>
    <w:rsid w:val="20A26336"/>
    <w:rsid w:val="20C81350"/>
    <w:rsid w:val="20DC3F0A"/>
    <w:rsid w:val="20DD512F"/>
    <w:rsid w:val="20E02FA5"/>
    <w:rsid w:val="20EC2C3B"/>
    <w:rsid w:val="20F61559"/>
    <w:rsid w:val="20F649C3"/>
    <w:rsid w:val="20F77EBC"/>
    <w:rsid w:val="20FD5597"/>
    <w:rsid w:val="210B4081"/>
    <w:rsid w:val="21211033"/>
    <w:rsid w:val="21251F39"/>
    <w:rsid w:val="212F7A5D"/>
    <w:rsid w:val="213845A4"/>
    <w:rsid w:val="2139025C"/>
    <w:rsid w:val="21406DBD"/>
    <w:rsid w:val="21486ECA"/>
    <w:rsid w:val="214D4DA9"/>
    <w:rsid w:val="214F59F5"/>
    <w:rsid w:val="21514DCC"/>
    <w:rsid w:val="215C2627"/>
    <w:rsid w:val="21702C57"/>
    <w:rsid w:val="2176235E"/>
    <w:rsid w:val="217E175A"/>
    <w:rsid w:val="217E44C5"/>
    <w:rsid w:val="21905CAC"/>
    <w:rsid w:val="219B2976"/>
    <w:rsid w:val="219F223B"/>
    <w:rsid w:val="219F676D"/>
    <w:rsid w:val="21AB289C"/>
    <w:rsid w:val="21BB34B4"/>
    <w:rsid w:val="21D6360A"/>
    <w:rsid w:val="21DB6422"/>
    <w:rsid w:val="21DD349D"/>
    <w:rsid w:val="21E1344C"/>
    <w:rsid w:val="21E166A9"/>
    <w:rsid w:val="21E63B4F"/>
    <w:rsid w:val="221A2761"/>
    <w:rsid w:val="221D6884"/>
    <w:rsid w:val="224F1BA5"/>
    <w:rsid w:val="225C236E"/>
    <w:rsid w:val="225F3ABC"/>
    <w:rsid w:val="22727F74"/>
    <w:rsid w:val="227528F3"/>
    <w:rsid w:val="2287475E"/>
    <w:rsid w:val="22936EF0"/>
    <w:rsid w:val="229527B6"/>
    <w:rsid w:val="22B32CEE"/>
    <w:rsid w:val="22B64833"/>
    <w:rsid w:val="22BC18BC"/>
    <w:rsid w:val="22C36513"/>
    <w:rsid w:val="22C41F7B"/>
    <w:rsid w:val="22C50667"/>
    <w:rsid w:val="22CA3922"/>
    <w:rsid w:val="22CC022F"/>
    <w:rsid w:val="22D101BE"/>
    <w:rsid w:val="22D567D5"/>
    <w:rsid w:val="22D86709"/>
    <w:rsid w:val="22D87514"/>
    <w:rsid w:val="22DB7C7F"/>
    <w:rsid w:val="22F17100"/>
    <w:rsid w:val="22F34C27"/>
    <w:rsid w:val="23021F62"/>
    <w:rsid w:val="230346A5"/>
    <w:rsid w:val="231245F3"/>
    <w:rsid w:val="23127389"/>
    <w:rsid w:val="231500E2"/>
    <w:rsid w:val="231E706F"/>
    <w:rsid w:val="23207E6F"/>
    <w:rsid w:val="23216401"/>
    <w:rsid w:val="232748D0"/>
    <w:rsid w:val="23283321"/>
    <w:rsid w:val="23327F10"/>
    <w:rsid w:val="233D5EA2"/>
    <w:rsid w:val="23402C34"/>
    <w:rsid w:val="23432CC1"/>
    <w:rsid w:val="2347727E"/>
    <w:rsid w:val="234C2589"/>
    <w:rsid w:val="234E4553"/>
    <w:rsid w:val="235125CD"/>
    <w:rsid w:val="23636C43"/>
    <w:rsid w:val="236C710C"/>
    <w:rsid w:val="236E198D"/>
    <w:rsid w:val="239F5B8E"/>
    <w:rsid w:val="23A2405D"/>
    <w:rsid w:val="23BF325C"/>
    <w:rsid w:val="23C05ADD"/>
    <w:rsid w:val="23C10881"/>
    <w:rsid w:val="23C16B4B"/>
    <w:rsid w:val="23C37706"/>
    <w:rsid w:val="23C7467A"/>
    <w:rsid w:val="23D96A50"/>
    <w:rsid w:val="23DB3943"/>
    <w:rsid w:val="23DD1B46"/>
    <w:rsid w:val="23EA71A9"/>
    <w:rsid w:val="23FB65A5"/>
    <w:rsid w:val="24162DDC"/>
    <w:rsid w:val="24263773"/>
    <w:rsid w:val="24375974"/>
    <w:rsid w:val="244E09D8"/>
    <w:rsid w:val="245B6BB3"/>
    <w:rsid w:val="245C67FB"/>
    <w:rsid w:val="246476B2"/>
    <w:rsid w:val="246C6384"/>
    <w:rsid w:val="247A3114"/>
    <w:rsid w:val="247C218C"/>
    <w:rsid w:val="2493241A"/>
    <w:rsid w:val="249356E7"/>
    <w:rsid w:val="249B72DE"/>
    <w:rsid w:val="249C1D5C"/>
    <w:rsid w:val="24A160C3"/>
    <w:rsid w:val="24AF7273"/>
    <w:rsid w:val="24BE11DC"/>
    <w:rsid w:val="24CB4876"/>
    <w:rsid w:val="24CE0117"/>
    <w:rsid w:val="24D43582"/>
    <w:rsid w:val="24F1163A"/>
    <w:rsid w:val="24F16DAA"/>
    <w:rsid w:val="24F40FBC"/>
    <w:rsid w:val="25000179"/>
    <w:rsid w:val="2501550D"/>
    <w:rsid w:val="2511715C"/>
    <w:rsid w:val="2512297D"/>
    <w:rsid w:val="25293925"/>
    <w:rsid w:val="252B1A83"/>
    <w:rsid w:val="252C4D2C"/>
    <w:rsid w:val="25301CCB"/>
    <w:rsid w:val="253B6C33"/>
    <w:rsid w:val="253F0449"/>
    <w:rsid w:val="25423742"/>
    <w:rsid w:val="2543309D"/>
    <w:rsid w:val="25491A04"/>
    <w:rsid w:val="254C6A7C"/>
    <w:rsid w:val="254F37EE"/>
    <w:rsid w:val="254F544E"/>
    <w:rsid w:val="255F67C5"/>
    <w:rsid w:val="256058C8"/>
    <w:rsid w:val="256331E6"/>
    <w:rsid w:val="256D5F08"/>
    <w:rsid w:val="25791A41"/>
    <w:rsid w:val="25857B76"/>
    <w:rsid w:val="25890204"/>
    <w:rsid w:val="25936EFD"/>
    <w:rsid w:val="259B3353"/>
    <w:rsid w:val="25A55C89"/>
    <w:rsid w:val="25A55F80"/>
    <w:rsid w:val="25B3069D"/>
    <w:rsid w:val="25B84AE9"/>
    <w:rsid w:val="25BF6C97"/>
    <w:rsid w:val="25C04743"/>
    <w:rsid w:val="25C6407D"/>
    <w:rsid w:val="25C9103D"/>
    <w:rsid w:val="25D94569"/>
    <w:rsid w:val="25E276E1"/>
    <w:rsid w:val="25E573D9"/>
    <w:rsid w:val="25E61914"/>
    <w:rsid w:val="25E70D2D"/>
    <w:rsid w:val="25EC2367"/>
    <w:rsid w:val="25F47BE8"/>
    <w:rsid w:val="26003FB3"/>
    <w:rsid w:val="26072A8D"/>
    <w:rsid w:val="2613591B"/>
    <w:rsid w:val="261C4494"/>
    <w:rsid w:val="26393BA1"/>
    <w:rsid w:val="263A5FB4"/>
    <w:rsid w:val="263D7040"/>
    <w:rsid w:val="26454D11"/>
    <w:rsid w:val="264C7C89"/>
    <w:rsid w:val="264F784E"/>
    <w:rsid w:val="265C6A42"/>
    <w:rsid w:val="266C1EA4"/>
    <w:rsid w:val="267001AD"/>
    <w:rsid w:val="267C5169"/>
    <w:rsid w:val="268B1F17"/>
    <w:rsid w:val="268B6A0E"/>
    <w:rsid w:val="2693187E"/>
    <w:rsid w:val="269A0FDE"/>
    <w:rsid w:val="269A176A"/>
    <w:rsid w:val="269A1B5A"/>
    <w:rsid w:val="26A33E3B"/>
    <w:rsid w:val="26B83D92"/>
    <w:rsid w:val="26CA5D31"/>
    <w:rsid w:val="26DE44A6"/>
    <w:rsid w:val="26E17FF5"/>
    <w:rsid w:val="26E31688"/>
    <w:rsid w:val="26E96821"/>
    <w:rsid w:val="27007430"/>
    <w:rsid w:val="27071370"/>
    <w:rsid w:val="27075144"/>
    <w:rsid w:val="27076F27"/>
    <w:rsid w:val="27092731"/>
    <w:rsid w:val="270C114A"/>
    <w:rsid w:val="271159A4"/>
    <w:rsid w:val="2712414F"/>
    <w:rsid w:val="27207CA5"/>
    <w:rsid w:val="27277C70"/>
    <w:rsid w:val="2736290A"/>
    <w:rsid w:val="27377C59"/>
    <w:rsid w:val="273D5664"/>
    <w:rsid w:val="274200B7"/>
    <w:rsid w:val="27547E9D"/>
    <w:rsid w:val="275852B6"/>
    <w:rsid w:val="27595B5F"/>
    <w:rsid w:val="277C5B84"/>
    <w:rsid w:val="27856164"/>
    <w:rsid w:val="27896CD5"/>
    <w:rsid w:val="27906EE8"/>
    <w:rsid w:val="279B0208"/>
    <w:rsid w:val="279F1F9B"/>
    <w:rsid w:val="27A23CB5"/>
    <w:rsid w:val="27AE07A0"/>
    <w:rsid w:val="27B05F1B"/>
    <w:rsid w:val="27C23DE2"/>
    <w:rsid w:val="27CA650E"/>
    <w:rsid w:val="27D54876"/>
    <w:rsid w:val="27E522B4"/>
    <w:rsid w:val="27EE5203"/>
    <w:rsid w:val="27EF7B95"/>
    <w:rsid w:val="27F51ED9"/>
    <w:rsid w:val="27FB6699"/>
    <w:rsid w:val="27FC6DC4"/>
    <w:rsid w:val="28010472"/>
    <w:rsid w:val="280512DC"/>
    <w:rsid w:val="281B764D"/>
    <w:rsid w:val="28241395"/>
    <w:rsid w:val="28286D98"/>
    <w:rsid w:val="282A3418"/>
    <w:rsid w:val="283D07B3"/>
    <w:rsid w:val="284D0AAC"/>
    <w:rsid w:val="2865211E"/>
    <w:rsid w:val="286710F6"/>
    <w:rsid w:val="286D6FDD"/>
    <w:rsid w:val="28780836"/>
    <w:rsid w:val="287E4E93"/>
    <w:rsid w:val="287F1E8E"/>
    <w:rsid w:val="28914E20"/>
    <w:rsid w:val="28991383"/>
    <w:rsid w:val="289A30A9"/>
    <w:rsid w:val="289A6EB3"/>
    <w:rsid w:val="28A310CB"/>
    <w:rsid w:val="28A354CF"/>
    <w:rsid w:val="28AB2B2B"/>
    <w:rsid w:val="28AC6B47"/>
    <w:rsid w:val="28D77AB4"/>
    <w:rsid w:val="28DF1396"/>
    <w:rsid w:val="28E60D8A"/>
    <w:rsid w:val="28F13A7E"/>
    <w:rsid w:val="28F43485"/>
    <w:rsid w:val="28FC5CE1"/>
    <w:rsid w:val="291268AF"/>
    <w:rsid w:val="29142D1D"/>
    <w:rsid w:val="29150491"/>
    <w:rsid w:val="29162832"/>
    <w:rsid w:val="292214D4"/>
    <w:rsid w:val="29253660"/>
    <w:rsid w:val="292875F4"/>
    <w:rsid w:val="292B3A56"/>
    <w:rsid w:val="29375D52"/>
    <w:rsid w:val="293804C3"/>
    <w:rsid w:val="29397276"/>
    <w:rsid w:val="29424212"/>
    <w:rsid w:val="294A791C"/>
    <w:rsid w:val="295210AD"/>
    <w:rsid w:val="29543515"/>
    <w:rsid w:val="295609D0"/>
    <w:rsid w:val="296F101F"/>
    <w:rsid w:val="29723765"/>
    <w:rsid w:val="297654D4"/>
    <w:rsid w:val="297724FD"/>
    <w:rsid w:val="297E391D"/>
    <w:rsid w:val="29804D3A"/>
    <w:rsid w:val="298F232A"/>
    <w:rsid w:val="29936995"/>
    <w:rsid w:val="29AB625B"/>
    <w:rsid w:val="29B57A6F"/>
    <w:rsid w:val="29B650AB"/>
    <w:rsid w:val="29BA2674"/>
    <w:rsid w:val="29BD3504"/>
    <w:rsid w:val="29CA5264"/>
    <w:rsid w:val="29D5323A"/>
    <w:rsid w:val="29DE264F"/>
    <w:rsid w:val="29DE589B"/>
    <w:rsid w:val="29FF4E87"/>
    <w:rsid w:val="2A1B1529"/>
    <w:rsid w:val="2A1B4A63"/>
    <w:rsid w:val="2A221DFF"/>
    <w:rsid w:val="2A2B114A"/>
    <w:rsid w:val="2A2F7673"/>
    <w:rsid w:val="2A325E53"/>
    <w:rsid w:val="2A4F1A5A"/>
    <w:rsid w:val="2A570895"/>
    <w:rsid w:val="2A643D83"/>
    <w:rsid w:val="2A67192D"/>
    <w:rsid w:val="2A6A61F9"/>
    <w:rsid w:val="2A704789"/>
    <w:rsid w:val="2A9A007E"/>
    <w:rsid w:val="2AA52A6F"/>
    <w:rsid w:val="2AA93591"/>
    <w:rsid w:val="2AB4113F"/>
    <w:rsid w:val="2AB82096"/>
    <w:rsid w:val="2AC02932"/>
    <w:rsid w:val="2AC753BC"/>
    <w:rsid w:val="2AC85886"/>
    <w:rsid w:val="2AE17A5A"/>
    <w:rsid w:val="2AEA36FD"/>
    <w:rsid w:val="2AFA0B1C"/>
    <w:rsid w:val="2AFB17E5"/>
    <w:rsid w:val="2AFE685E"/>
    <w:rsid w:val="2B070677"/>
    <w:rsid w:val="2B147238"/>
    <w:rsid w:val="2B1A1EED"/>
    <w:rsid w:val="2B2B7EC2"/>
    <w:rsid w:val="2B347D10"/>
    <w:rsid w:val="2B43605F"/>
    <w:rsid w:val="2B5112B3"/>
    <w:rsid w:val="2B520CDA"/>
    <w:rsid w:val="2B54331A"/>
    <w:rsid w:val="2B6B5FC8"/>
    <w:rsid w:val="2B7A4FF2"/>
    <w:rsid w:val="2B8075A1"/>
    <w:rsid w:val="2B812AEA"/>
    <w:rsid w:val="2B821534"/>
    <w:rsid w:val="2B874262"/>
    <w:rsid w:val="2B92441A"/>
    <w:rsid w:val="2BA0709D"/>
    <w:rsid w:val="2BA331AB"/>
    <w:rsid w:val="2BA62F64"/>
    <w:rsid w:val="2BAC197C"/>
    <w:rsid w:val="2BB15C6A"/>
    <w:rsid w:val="2BBA3F3A"/>
    <w:rsid w:val="2BBB02AC"/>
    <w:rsid w:val="2BC135BD"/>
    <w:rsid w:val="2BC13936"/>
    <w:rsid w:val="2BC3264B"/>
    <w:rsid w:val="2BC86A5A"/>
    <w:rsid w:val="2BCB15BA"/>
    <w:rsid w:val="2BCE1B03"/>
    <w:rsid w:val="2BCF3580"/>
    <w:rsid w:val="2BDC0B87"/>
    <w:rsid w:val="2BDD0534"/>
    <w:rsid w:val="2BDF3D58"/>
    <w:rsid w:val="2BE54B1E"/>
    <w:rsid w:val="2BFA25A4"/>
    <w:rsid w:val="2BFE641D"/>
    <w:rsid w:val="2C034AEF"/>
    <w:rsid w:val="2C12768E"/>
    <w:rsid w:val="2C1826D2"/>
    <w:rsid w:val="2C20140E"/>
    <w:rsid w:val="2C2D72DC"/>
    <w:rsid w:val="2C544E7C"/>
    <w:rsid w:val="2C5737A8"/>
    <w:rsid w:val="2C5A0AD8"/>
    <w:rsid w:val="2C70164C"/>
    <w:rsid w:val="2C880831"/>
    <w:rsid w:val="2C8E3E4F"/>
    <w:rsid w:val="2C984AC6"/>
    <w:rsid w:val="2C9F63A9"/>
    <w:rsid w:val="2CA541DD"/>
    <w:rsid w:val="2CAA3CF2"/>
    <w:rsid w:val="2CBB5334"/>
    <w:rsid w:val="2CC22F3C"/>
    <w:rsid w:val="2CC82322"/>
    <w:rsid w:val="2CCB197B"/>
    <w:rsid w:val="2CDE24FA"/>
    <w:rsid w:val="2CDE2540"/>
    <w:rsid w:val="2CE02E49"/>
    <w:rsid w:val="2CE05F93"/>
    <w:rsid w:val="2CED7951"/>
    <w:rsid w:val="2CF61313"/>
    <w:rsid w:val="2CFA25F6"/>
    <w:rsid w:val="2CFE0766"/>
    <w:rsid w:val="2D0759BE"/>
    <w:rsid w:val="2D08487E"/>
    <w:rsid w:val="2D0C02CC"/>
    <w:rsid w:val="2D1C464D"/>
    <w:rsid w:val="2D1C74A5"/>
    <w:rsid w:val="2D2238C9"/>
    <w:rsid w:val="2D2A6CEA"/>
    <w:rsid w:val="2D5E5772"/>
    <w:rsid w:val="2D614D84"/>
    <w:rsid w:val="2D7B5F44"/>
    <w:rsid w:val="2D807CF7"/>
    <w:rsid w:val="2D8B6FDC"/>
    <w:rsid w:val="2D8D59E1"/>
    <w:rsid w:val="2D9054C0"/>
    <w:rsid w:val="2D9960BA"/>
    <w:rsid w:val="2D9B7484"/>
    <w:rsid w:val="2D9E0939"/>
    <w:rsid w:val="2DA243EB"/>
    <w:rsid w:val="2DA84F1F"/>
    <w:rsid w:val="2DA9616D"/>
    <w:rsid w:val="2DAB0673"/>
    <w:rsid w:val="2DAC4B86"/>
    <w:rsid w:val="2DB024EC"/>
    <w:rsid w:val="2DC10656"/>
    <w:rsid w:val="2DC67AE8"/>
    <w:rsid w:val="2DC74824"/>
    <w:rsid w:val="2DC84C08"/>
    <w:rsid w:val="2DD6478D"/>
    <w:rsid w:val="2DD65876"/>
    <w:rsid w:val="2DDD5DC6"/>
    <w:rsid w:val="2DF432ED"/>
    <w:rsid w:val="2DF81ED2"/>
    <w:rsid w:val="2E06741D"/>
    <w:rsid w:val="2E0709C9"/>
    <w:rsid w:val="2E162B4A"/>
    <w:rsid w:val="2E225B71"/>
    <w:rsid w:val="2E2376BD"/>
    <w:rsid w:val="2E2F550A"/>
    <w:rsid w:val="2E347D84"/>
    <w:rsid w:val="2E3E4ABB"/>
    <w:rsid w:val="2E405ABD"/>
    <w:rsid w:val="2E455723"/>
    <w:rsid w:val="2E4709A8"/>
    <w:rsid w:val="2E4F6444"/>
    <w:rsid w:val="2E5463AB"/>
    <w:rsid w:val="2E5A1C5D"/>
    <w:rsid w:val="2E64438B"/>
    <w:rsid w:val="2E8876F3"/>
    <w:rsid w:val="2E8B2026"/>
    <w:rsid w:val="2E9302C2"/>
    <w:rsid w:val="2E9455B2"/>
    <w:rsid w:val="2E95234A"/>
    <w:rsid w:val="2E9E6759"/>
    <w:rsid w:val="2EB974C9"/>
    <w:rsid w:val="2EBA6F40"/>
    <w:rsid w:val="2EBE076E"/>
    <w:rsid w:val="2EC532AA"/>
    <w:rsid w:val="2ED06280"/>
    <w:rsid w:val="2ED74E8C"/>
    <w:rsid w:val="2EDC0B8D"/>
    <w:rsid w:val="2EE17A59"/>
    <w:rsid w:val="2EE525A6"/>
    <w:rsid w:val="2EFA717B"/>
    <w:rsid w:val="2EFF4939"/>
    <w:rsid w:val="2F007EDB"/>
    <w:rsid w:val="2F0401BB"/>
    <w:rsid w:val="2F155899"/>
    <w:rsid w:val="2F236EF0"/>
    <w:rsid w:val="2F352EA0"/>
    <w:rsid w:val="2F3E225D"/>
    <w:rsid w:val="2F481714"/>
    <w:rsid w:val="2F4A7B7B"/>
    <w:rsid w:val="2F4E2B4E"/>
    <w:rsid w:val="2F511653"/>
    <w:rsid w:val="2F5A0774"/>
    <w:rsid w:val="2F5D06D3"/>
    <w:rsid w:val="2F5F2A25"/>
    <w:rsid w:val="2F727FF5"/>
    <w:rsid w:val="2F785B88"/>
    <w:rsid w:val="2F7A2720"/>
    <w:rsid w:val="2F882CB7"/>
    <w:rsid w:val="2F8A06C1"/>
    <w:rsid w:val="2F8D1F5F"/>
    <w:rsid w:val="2F934A7F"/>
    <w:rsid w:val="2F9C6E61"/>
    <w:rsid w:val="2F9D64D2"/>
    <w:rsid w:val="2FA01C92"/>
    <w:rsid w:val="2FA04403"/>
    <w:rsid w:val="2FA54821"/>
    <w:rsid w:val="2FA609F3"/>
    <w:rsid w:val="2FA708F2"/>
    <w:rsid w:val="2FAB73C8"/>
    <w:rsid w:val="2FC26D43"/>
    <w:rsid w:val="2FCF5254"/>
    <w:rsid w:val="2FD21C66"/>
    <w:rsid w:val="2FD86227"/>
    <w:rsid w:val="2FE94099"/>
    <w:rsid w:val="2FFA3657"/>
    <w:rsid w:val="2FFF30C9"/>
    <w:rsid w:val="3000354E"/>
    <w:rsid w:val="3008349E"/>
    <w:rsid w:val="30093A3B"/>
    <w:rsid w:val="301B3A0F"/>
    <w:rsid w:val="301B7C8C"/>
    <w:rsid w:val="301E4B39"/>
    <w:rsid w:val="30200ACC"/>
    <w:rsid w:val="30221301"/>
    <w:rsid w:val="30231966"/>
    <w:rsid w:val="302F78B3"/>
    <w:rsid w:val="30313C70"/>
    <w:rsid w:val="30331FC8"/>
    <w:rsid w:val="30332B06"/>
    <w:rsid w:val="30343537"/>
    <w:rsid w:val="303643A5"/>
    <w:rsid w:val="30493DBA"/>
    <w:rsid w:val="3054286C"/>
    <w:rsid w:val="3064671A"/>
    <w:rsid w:val="3065144D"/>
    <w:rsid w:val="30693762"/>
    <w:rsid w:val="306A26CB"/>
    <w:rsid w:val="30720218"/>
    <w:rsid w:val="30721A78"/>
    <w:rsid w:val="30730FEF"/>
    <w:rsid w:val="30835664"/>
    <w:rsid w:val="308B70F3"/>
    <w:rsid w:val="30A14B0E"/>
    <w:rsid w:val="30A9353D"/>
    <w:rsid w:val="30BB1E4D"/>
    <w:rsid w:val="30C20DD8"/>
    <w:rsid w:val="30C9695B"/>
    <w:rsid w:val="30CB2C69"/>
    <w:rsid w:val="30CF5E02"/>
    <w:rsid w:val="30E81B43"/>
    <w:rsid w:val="30EA6984"/>
    <w:rsid w:val="30EB1D2E"/>
    <w:rsid w:val="30EB76BB"/>
    <w:rsid w:val="30EE1C79"/>
    <w:rsid w:val="30FC6C8F"/>
    <w:rsid w:val="31014948"/>
    <w:rsid w:val="31067D63"/>
    <w:rsid w:val="310721CF"/>
    <w:rsid w:val="311B0138"/>
    <w:rsid w:val="312119E4"/>
    <w:rsid w:val="312D3557"/>
    <w:rsid w:val="312D39F9"/>
    <w:rsid w:val="312F5F1F"/>
    <w:rsid w:val="313A6116"/>
    <w:rsid w:val="313F5411"/>
    <w:rsid w:val="31496450"/>
    <w:rsid w:val="31593CEB"/>
    <w:rsid w:val="31731072"/>
    <w:rsid w:val="31745499"/>
    <w:rsid w:val="31781E33"/>
    <w:rsid w:val="31884C2B"/>
    <w:rsid w:val="318935F8"/>
    <w:rsid w:val="318F0A0D"/>
    <w:rsid w:val="319E6F3D"/>
    <w:rsid w:val="31B425BE"/>
    <w:rsid w:val="31B77767"/>
    <w:rsid w:val="31C17AD2"/>
    <w:rsid w:val="31C600A5"/>
    <w:rsid w:val="31D11A00"/>
    <w:rsid w:val="31D36CBA"/>
    <w:rsid w:val="31D6400D"/>
    <w:rsid w:val="31DD05BB"/>
    <w:rsid w:val="31E22407"/>
    <w:rsid w:val="31E47F1B"/>
    <w:rsid w:val="31E555D7"/>
    <w:rsid w:val="31E81B07"/>
    <w:rsid w:val="31F02EF1"/>
    <w:rsid w:val="31F52043"/>
    <w:rsid w:val="31FA037C"/>
    <w:rsid w:val="31FC4AC9"/>
    <w:rsid w:val="320049D7"/>
    <w:rsid w:val="32075FF9"/>
    <w:rsid w:val="320865DD"/>
    <w:rsid w:val="320E7790"/>
    <w:rsid w:val="32102B98"/>
    <w:rsid w:val="32143598"/>
    <w:rsid w:val="321926E0"/>
    <w:rsid w:val="321C5B58"/>
    <w:rsid w:val="32242450"/>
    <w:rsid w:val="322A7BDB"/>
    <w:rsid w:val="32377BD4"/>
    <w:rsid w:val="32496611"/>
    <w:rsid w:val="324F3E58"/>
    <w:rsid w:val="32566F80"/>
    <w:rsid w:val="32597B19"/>
    <w:rsid w:val="326371AF"/>
    <w:rsid w:val="32661404"/>
    <w:rsid w:val="326E0335"/>
    <w:rsid w:val="32722C20"/>
    <w:rsid w:val="32742CFE"/>
    <w:rsid w:val="327617D7"/>
    <w:rsid w:val="32793502"/>
    <w:rsid w:val="327A16BC"/>
    <w:rsid w:val="3281122A"/>
    <w:rsid w:val="328465A8"/>
    <w:rsid w:val="328467D6"/>
    <w:rsid w:val="328C4C71"/>
    <w:rsid w:val="329136D1"/>
    <w:rsid w:val="32957BBE"/>
    <w:rsid w:val="329A25A7"/>
    <w:rsid w:val="32A85A66"/>
    <w:rsid w:val="32AD7620"/>
    <w:rsid w:val="32AE0B6A"/>
    <w:rsid w:val="32B06690"/>
    <w:rsid w:val="32C171AE"/>
    <w:rsid w:val="32C5686F"/>
    <w:rsid w:val="32C76C74"/>
    <w:rsid w:val="32C95949"/>
    <w:rsid w:val="32D154A5"/>
    <w:rsid w:val="32E20583"/>
    <w:rsid w:val="32E3294F"/>
    <w:rsid w:val="32E93950"/>
    <w:rsid w:val="32ED0FC8"/>
    <w:rsid w:val="32F81DE5"/>
    <w:rsid w:val="330433B8"/>
    <w:rsid w:val="33071292"/>
    <w:rsid w:val="331125C7"/>
    <w:rsid w:val="331827DA"/>
    <w:rsid w:val="331A37B7"/>
    <w:rsid w:val="331D6C7E"/>
    <w:rsid w:val="332151E0"/>
    <w:rsid w:val="33345751"/>
    <w:rsid w:val="3339664E"/>
    <w:rsid w:val="33436F8B"/>
    <w:rsid w:val="3344630E"/>
    <w:rsid w:val="334943EF"/>
    <w:rsid w:val="33641B5F"/>
    <w:rsid w:val="3372625C"/>
    <w:rsid w:val="33920EF1"/>
    <w:rsid w:val="33A76BA9"/>
    <w:rsid w:val="33A803B9"/>
    <w:rsid w:val="33AF71AB"/>
    <w:rsid w:val="33B01A61"/>
    <w:rsid w:val="33B84EDE"/>
    <w:rsid w:val="33C06DA7"/>
    <w:rsid w:val="33CA1B34"/>
    <w:rsid w:val="33CA764A"/>
    <w:rsid w:val="33CE082F"/>
    <w:rsid w:val="33DD5720"/>
    <w:rsid w:val="33F14061"/>
    <w:rsid w:val="33F16826"/>
    <w:rsid w:val="33F219CB"/>
    <w:rsid w:val="33F57367"/>
    <w:rsid w:val="33F97469"/>
    <w:rsid w:val="33FD3AF4"/>
    <w:rsid w:val="34004D9F"/>
    <w:rsid w:val="340963C3"/>
    <w:rsid w:val="3420310A"/>
    <w:rsid w:val="34264730"/>
    <w:rsid w:val="343A2F39"/>
    <w:rsid w:val="343F5379"/>
    <w:rsid w:val="343F6BF7"/>
    <w:rsid w:val="34536C1D"/>
    <w:rsid w:val="346D4F86"/>
    <w:rsid w:val="347800A3"/>
    <w:rsid w:val="34784400"/>
    <w:rsid w:val="34800E7F"/>
    <w:rsid w:val="348963A6"/>
    <w:rsid w:val="3495352F"/>
    <w:rsid w:val="349741F5"/>
    <w:rsid w:val="34A40A60"/>
    <w:rsid w:val="34A64789"/>
    <w:rsid w:val="34B947FA"/>
    <w:rsid w:val="34C0772F"/>
    <w:rsid w:val="34C96A64"/>
    <w:rsid w:val="34CB5C7B"/>
    <w:rsid w:val="34CC177B"/>
    <w:rsid w:val="34CE67ED"/>
    <w:rsid w:val="34E177C7"/>
    <w:rsid w:val="34E77835"/>
    <w:rsid w:val="34EC03A0"/>
    <w:rsid w:val="34ED5F5D"/>
    <w:rsid w:val="34EE2DDD"/>
    <w:rsid w:val="34F02CBF"/>
    <w:rsid w:val="34FF745B"/>
    <w:rsid w:val="351928A3"/>
    <w:rsid w:val="352670DE"/>
    <w:rsid w:val="35270097"/>
    <w:rsid w:val="352769B2"/>
    <w:rsid w:val="35595C2B"/>
    <w:rsid w:val="355E6EEE"/>
    <w:rsid w:val="35633E8E"/>
    <w:rsid w:val="356A6778"/>
    <w:rsid w:val="35713C89"/>
    <w:rsid w:val="358A766C"/>
    <w:rsid w:val="35905CD0"/>
    <w:rsid w:val="35933C71"/>
    <w:rsid w:val="35976E7B"/>
    <w:rsid w:val="359C54D7"/>
    <w:rsid w:val="35BB45E0"/>
    <w:rsid w:val="35BE1572"/>
    <w:rsid w:val="35C277B8"/>
    <w:rsid w:val="35CC7149"/>
    <w:rsid w:val="35D64063"/>
    <w:rsid w:val="35E74520"/>
    <w:rsid w:val="35F76A56"/>
    <w:rsid w:val="35F9034E"/>
    <w:rsid w:val="3603777B"/>
    <w:rsid w:val="3605599D"/>
    <w:rsid w:val="360A1526"/>
    <w:rsid w:val="36110DD9"/>
    <w:rsid w:val="36236C09"/>
    <w:rsid w:val="36290BB0"/>
    <w:rsid w:val="362A5371"/>
    <w:rsid w:val="362D6C52"/>
    <w:rsid w:val="363132FE"/>
    <w:rsid w:val="363F39BB"/>
    <w:rsid w:val="365F0C57"/>
    <w:rsid w:val="36675436"/>
    <w:rsid w:val="366E094A"/>
    <w:rsid w:val="367874A2"/>
    <w:rsid w:val="367B3979"/>
    <w:rsid w:val="367C7841"/>
    <w:rsid w:val="367D72CA"/>
    <w:rsid w:val="36805789"/>
    <w:rsid w:val="368716DF"/>
    <w:rsid w:val="369F0DF6"/>
    <w:rsid w:val="36A54032"/>
    <w:rsid w:val="36A673D9"/>
    <w:rsid w:val="36AB4205"/>
    <w:rsid w:val="36AC4240"/>
    <w:rsid w:val="36AD4808"/>
    <w:rsid w:val="36B54A10"/>
    <w:rsid w:val="36B869C0"/>
    <w:rsid w:val="36BE6EA2"/>
    <w:rsid w:val="36C828DB"/>
    <w:rsid w:val="36CF5607"/>
    <w:rsid w:val="36DA5463"/>
    <w:rsid w:val="36DE12F2"/>
    <w:rsid w:val="36DE2E4F"/>
    <w:rsid w:val="36E16A4F"/>
    <w:rsid w:val="36EC5AA4"/>
    <w:rsid w:val="36F602D1"/>
    <w:rsid w:val="370E5B64"/>
    <w:rsid w:val="3713353A"/>
    <w:rsid w:val="37266DDB"/>
    <w:rsid w:val="373830F8"/>
    <w:rsid w:val="37476B9F"/>
    <w:rsid w:val="374E18EF"/>
    <w:rsid w:val="37533A8E"/>
    <w:rsid w:val="37652796"/>
    <w:rsid w:val="376E2995"/>
    <w:rsid w:val="376E2C26"/>
    <w:rsid w:val="377A4B96"/>
    <w:rsid w:val="377E1242"/>
    <w:rsid w:val="37816524"/>
    <w:rsid w:val="37865B39"/>
    <w:rsid w:val="378D592E"/>
    <w:rsid w:val="378E4182"/>
    <w:rsid w:val="379140BE"/>
    <w:rsid w:val="37923388"/>
    <w:rsid w:val="37A15EA2"/>
    <w:rsid w:val="37A15EE7"/>
    <w:rsid w:val="37A506ED"/>
    <w:rsid w:val="37A95F2A"/>
    <w:rsid w:val="37B010C8"/>
    <w:rsid w:val="37B96F92"/>
    <w:rsid w:val="37BD4800"/>
    <w:rsid w:val="37BF1981"/>
    <w:rsid w:val="37D4193E"/>
    <w:rsid w:val="37F4173B"/>
    <w:rsid w:val="38085AEE"/>
    <w:rsid w:val="3812621F"/>
    <w:rsid w:val="381A7128"/>
    <w:rsid w:val="38217DF3"/>
    <w:rsid w:val="3823464A"/>
    <w:rsid w:val="382D0783"/>
    <w:rsid w:val="38313518"/>
    <w:rsid w:val="384152A8"/>
    <w:rsid w:val="38443B14"/>
    <w:rsid w:val="385E31E1"/>
    <w:rsid w:val="38622BB2"/>
    <w:rsid w:val="38634DD3"/>
    <w:rsid w:val="38741004"/>
    <w:rsid w:val="3886282A"/>
    <w:rsid w:val="38971BC3"/>
    <w:rsid w:val="389762E7"/>
    <w:rsid w:val="38A25413"/>
    <w:rsid w:val="38B7725E"/>
    <w:rsid w:val="38B939D2"/>
    <w:rsid w:val="38BD683E"/>
    <w:rsid w:val="38BF27BD"/>
    <w:rsid w:val="38C3013D"/>
    <w:rsid w:val="38C71166"/>
    <w:rsid w:val="38CA52C1"/>
    <w:rsid w:val="38DA0BA6"/>
    <w:rsid w:val="38DE55D9"/>
    <w:rsid w:val="38DF397E"/>
    <w:rsid w:val="38E34F46"/>
    <w:rsid w:val="38E60F46"/>
    <w:rsid w:val="38F12B4F"/>
    <w:rsid w:val="38F26891"/>
    <w:rsid w:val="38FC2D8E"/>
    <w:rsid w:val="390D6B30"/>
    <w:rsid w:val="39110B50"/>
    <w:rsid w:val="391F16F6"/>
    <w:rsid w:val="3937344B"/>
    <w:rsid w:val="39454966"/>
    <w:rsid w:val="394A7E78"/>
    <w:rsid w:val="395B0F13"/>
    <w:rsid w:val="395B25CE"/>
    <w:rsid w:val="39783360"/>
    <w:rsid w:val="397B4855"/>
    <w:rsid w:val="398B1679"/>
    <w:rsid w:val="399D7242"/>
    <w:rsid w:val="39A36682"/>
    <w:rsid w:val="39A71E6F"/>
    <w:rsid w:val="39AB195F"/>
    <w:rsid w:val="39B0240B"/>
    <w:rsid w:val="39BD1FF4"/>
    <w:rsid w:val="39C51EFE"/>
    <w:rsid w:val="39C720D5"/>
    <w:rsid w:val="39CD7B28"/>
    <w:rsid w:val="39DE0906"/>
    <w:rsid w:val="39DE59D3"/>
    <w:rsid w:val="39E66E3B"/>
    <w:rsid w:val="39E71FBB"/>
    <w:rsid w:val="39E8637F"/>
    <w:rsid w:val="39EA50E1"/>
    <w:rsid w:val="39F50E2C"/>
    <w:rsid w:val="3A05470E"/>
    <w:rsid w:val="3A1F14C3"/>
    <w:rsid w:val="3A2635EC"/>
    <w:rsid w:val="3A2E6DDA"/>
    <w:rsid w:val="3A4C7506"/>
    <w:rsid w:val="3A4F1A7A"/>
    <w:rsid w:val="3A4F334D"/>
    <w:rsid w:val="3A554DB9"/>
    <w:rsid w:val="3A557A75"/>
    <w:rsid w:val="3A677ED7"/>
    <w:rsid w:val="3A6B3A9A"/>
    <w:rsid w:val="3A703660"/>
    <w:rsid w:val="3A7D5737"/>
    <w:rsid w:val="3A805DB1"/>
    <w:rsid w:val="3A875E50"/>
    <w:rsid w:val="3A8C70EB"/>
    <w:rsid w:val="3A905C7A"/>
    <w:rsid w:val="3A920779"/>
    <w:rsid w:val="3AAB2040"/>
    <w:rsid w:val="3AAE2615"/>
    <w:rsid w:val="3AB4341A"/>
    <w:rsid w:val="3AC61CF0"/>
    <w:rsid w:val="3AC727C9"/>
    <w:rsid w:val="3AD75C33"/>
    <w:rsid w:val="3AE4710E"/>
    <w:rsid w:val="3AF50988"/>
    <w:rsid w:val="3B063F61"/>
    <w:rsid w:val="3B0E416B"/>
    <w:rsid w:val="3B12280B"/>
    <w:rsid w:val="3B1403B4"/>
    <w:rsid w:val="3B3922CE"/>
    <w:rsid w:val="3B3A36C7"/>
    <w:rsid w:val="3B3D519A"/>
    <w:rsid w:val="3B5168E9"/>
    <w:rsid w:val="3B5754DC"/>
    <w:rsid w:val="3B5D52E4"/>
    <w:rsid w:val="3B5F6C2C"/>
    <w:rsid w:val="3B626E0F"/>
    <w:rsid w:val="3B6969C9"/>
    <w:rsid w:val="3B6E620C"/>
    <w:rsid w:val="3B710390"/>
    <w:rsid w:val="3B7B2BCE"/>
    <w:rsid w:val="3B83223B"/>
    <w:rsid w:val="3B8E59BA"/>
    <w:rsid w:val="3B8F1C8B"/>
    <w:rsid w:val="3B9810D7"/>
    <w:rsid w:val="3B9A6D46"/>
    <w:rsid w:val="3BA07AFC"/>
    <w:rsid w:val="3BA42723"/>
    <w:rsid w:val="3BA52738"/>
    <w:rsid w:val="3BAB3E99"/>
    <w:rsid w:val="3BAB445A"/>
    <w:rsid w:val="3BAB6E46"/>
    <w:rsid w:val="3BAC0FF2"/>
    <w:rsid w:val="3BB6399A"/>
    <w:rsid w:val="3BC05CCB"/>
    <w:rsid w:val="3BC30810"/>
    <w:rsid w:val="3BC36C01"/>
    <w:rsid w:val="3BCA6236"/>
    <w:rsid w:val="3BD24A47"/>
    <w:rsid w:val="3BE407BC"/>
    <w:rsid w:val="3BE949C1"/>
    <w:rsid w:val="3BF26D4D"/>
    <w:rsid w:val="3BF50A89"/>
    <w:rsid w:val="3BF53366"/>
    <w:rsid w:val="3BFF0480"/>
    <w:rsid w:val="3C007C35"/>
    <w:rsid w:val="3C0F77F7"/>
    <w:rsid w:val="3C2A693F"/>
    <w:rsid w:val="3C3B3264"/>
    <w:rsid w:val="3C4733D1"/>
    <w:rsid w:val="3C575E36"/>
    <w:rsid w:val="3C582FEB"/>
    <w:rsid w:val="3C636C41"/>
    <w:rsid w:val="3C6A01A7"/>
    <w:rsid w:val="3C6C6ECC"/>
    <w:rsid w:val="3C813932"/>
    <w:rsid w:val="3C857DEE"/>
    <w:rsid w:val="3C895CC0"/>
    <w:rsid w:val="3C96638B"/>
    <w:rsid w:val="3C986744"/>
    <w:rsid w:val="3CBF30E3"/>
    <w:rsid w:val="3CC476A8"/>
    <w:rsid w:val="3CC84F02"/>
    <w:rsid w:val="3CCA25E7"/>
    <w:rsid w:val="3CE41FB8"/>
    <w:rsid w:val="3CED5F45"/>
    <w:rsid w:val="3CF55391"/>
    <w:rsid w:val="3CF6690D"/>
    <w:rsid w:val="3D1D1252"/>
    <w:rsid w:val="3D1F0407"/>
    <w:rsid w:val="3D23136D"/>
    <w:rsid w:val="3D2523FB"/>
    <w:rsid w:val="3D2D0002"/>
    <w:rsid w:val="3D2F18A4"/>
    <w:rsid w:val="3D3B1344"/>
    <w:rsid w:val="3D4D2D2E"/>
    <w:rsid w:val="3D4E71D1"/>
    <w:rsid w:val="3D523D8A"/>
    <w:rsid w:val="3D55085C"/>
    <w:rsid w:val="3D647164"/>
    <w:rsid w:val="3D6E33A1"/>
    <w:rsid w:val="3D6E7B55"/>
    <w:rsid w:val="3D6F0EF6"/>
    <w:rsid w:val="3D736B9E"/>
    <w:rsid w:val="3D7A0C68"/>
    <w:rsid w:val="3D81482F"/>
    <w:rsid w:val="3D832B7C"/>
    <w:rsid w:val="3D883FE9"/>
    <w:rsid w:val="3D8919C3"/>
    <w:rsid w:val="3D8D3424"/>
    <w:rsid w:val="3DA85494"/>
    <w:rsid w:val="3DA86A8F"/>
    <w:rsid w:val="3DA93324"/>
    <w:rsid w:val="3DAD421A"/>
    <w:rsid w:val="3DB77DC4"/>
    <w:rsid w:val="3DB91977"/>
    <w:rsid w:val="3DC13B44"/>
    <w:rsid w:val="3DD84B86"/>
    <w:rsid w:val="3DEA5635"/>
    <w:rsid w:val="3DEE7D68"/>
    <w:rsid w:val="3DEF7DB1"/>
    <w:rsid w:val="3DF72918"/>
    <w:rsid w:val="3E03262E"/>
    <w:rsid w:val="3E19375F"/>
    <w:rsid w:val="3E224DCC"/>
    <w:rsid w:val="3E2E48DE"/>
    <w:rsid w:val="3E2E6CFD"/>
    <w:rsid w:val="3E2F34E8"/>
    <w:rsid w:val="3E30164A"/>
    <w:rsid w:val="3E3F4EBB"/>
    <w:rsid w:val="3E444130"/>
    <w:rsid w:val="3E456998"/>
    <w:rsid w:val="3E48254B"/>
    <w:rsid w:val="3E4D02E7"/>
    <w:rsid w:val="3E530817"/>
    <w:rsid w:val="3E670DF8"/>
    <w:rsid w:val="3E6865D3"/>
    <w:rsid w:val="3E776D92"/>
    <w:rsid w:val="3E8E22E1"/>
    <w:rsid w:val="3E9338ED"/>
    <w:rsid w:val="3E9B4ACA"/>
    <w:rsid w:val="3EB909A3"/>
    <w:rsid w:val="3EBD6E70"/>
    <w:rsid w:val="3EC81B6A"/>
    <w:rsid w:val="3ECC1049"/>
    <w:rsid w:val="3ED20477"/>
    <w:rsid w:val="3EDB1C5A"/>
    <w:rsid w:val="3EE020AB"/>
    <w:rsid w:val="3EE11F8F"/>
    <w:rsid w:val="3EEE6BAB"/>
    <w:rsid w:val="3EF33C53"/>
    <w:rsid w:val="3EF510A3"/>
    <w:rsid w:val="3EF63BD9"/>
    <w:rsid w:val="3EF9046A"/>
    <w:rsid w:val="3F0753D9"/>
    <w:rsid w:val="3F214472"/>
    <w:rsid w:val="3F224CDF"/>
    <w:rsid w:val="3F2E4245"/>
    <w:rsid w:val="3F323817"/>
    <w:rsid w:val="3F376FE4"/>
    <w:rsid w:val="3F3921DA"/>
    <w:rsid w:val="3F546C47"/>
    <w:rsid w:val="3F59508D"/>
    <w:rsid w:val="3F621DA1"/>
    <w:rsid w:val="3F685DA5"/>
    <w:rsid w:val="3F8574FE"/>
    <w:rsid w:val="3F910DD4"/>
    <w:rsid w:val="3F924BD0"/>
    <w:rsid w:val="3F964AB6"/>
    <w:rsid w:val="3F9B35A2"/>
    <w:rsid w:val="3F9D125E"/>
    <w:rsid w:val="3FA532F5"/>
    <w:rsid w:val="3FAD56A8"/>
    <w:rsid w:val="3FB3378C"/>
    <w:rsid w:val="3FBD3F0C"/>
    <w:rsid w:val="3FC07036"/>
    <w:rsid w:val="3FC6795B"/>
    <w:rsid w:val="3FD01F04"/>
    <w:rsid w:val="3FD16032"/>
    <w:rsid w:val="3FD47EB4"/>
    <w:rsid w:val="3FDB47E3"/>
    <w:rsid w:val="3FED4E7A"/>
    <w:rsid w:val="3FEE3093"/>
    <w:rsid w:val="400C5D10"/>
    <w:rsid w:val="401713C6"/>
    <w:rsid w:val="40272630"/>
    <w:rsid w:val="402E345B"/>
    <w:rsid w:val="403C0068"/>
    <w:rsid w:val="405625E9"/>
    <w:rsid w:val="40622FD0"/>
    <w:rsid w:val="40695304"/>
    <w:rsid w:val="406A4E6A"/>
    <w:rsid w:val="407C1A68"/>
    <w:rsid w:val="407E41B2"/>
    <w:rsid w:val="407F35F0"/>
    <w:rsid w:val="408A05ED"/>
    <w:rsid w:val="40940184"/>
    <w:rsid w:val="409D0124"/>
    <w:rsid w:val="40A21439"/>
    <w:rsid w:val="40A37834"/>
    <w:rsid w:val="40B8594E"/>
    <w:rsid w:val="40B94AD2"/>
    <w:rsid w:val="40C515B6"/>
    <w:rsid w:val="40D07EFD"/>
    <w:rsid w:val="40D47ACF"/>
    <w:rsid w:val="40DC4978"/>
    <w:rsid w:val="40F71D63"/>
    <w:rsid w:val="41004C87"/>
    <w:rsid w:val="410B48F3"/>
    <w:rsid w:val="410D71F3"/>
    <w:rsid w:val="41132F9E"/>
    <w:rsid w:val="41193E37"/>
    <w:rsid w:val="41200E85"/>
    <w:rsid w:val="41242377"/>
    <w:rsid w:val="41281AE7"/>
    <w:rsid w:val="413C5988"/>
    <w:rsid w:val="41416411"/>
    <w:rsid w:val="4147026B"/>
    <w:rsid w:val="414D7831"/>
    <w:rsid w:val="415154E2"/>
    <w:rsid w:val="415A7B7E"/>
    <w:rsid w:val="41603487"/>
    <w:rsid w:val="41626922"/>
    <w:rsid w:val="4165230C"/>
    <w:rsid w:val="4170490C"/>
    <w:rsid w:val="417D0085"/>
    <w:rsid w:val="41807E0E"/>
    <w:rsid w:val="418E2292"/>
    <w:rsid w:val="418F5CEA"/>
    <w:rsid w:val="41912A36"/>
    <w:rsid w:val="41913A7C"/>
    <w:rsid w:val="41A26008"/>
    <w:rsid w:val="41A43552"/>
    <w:rsid w:val="41C30908"/>
    <w:rsid w:val="41C37A62"/>
    <w:rsid w:val="41C71BC2"/>
    <w:rsid w:val="41CA2CB6"/>
    <w:rsid w:val="41CB3C23"/>
    <w:rsid w:val="41D91E3C"/>
    <w:rsid w:val="41DA7286"/>
    <w:rsid w:val="41DC106B"/>
    <w:rsid w:val="41E00614"/>
    <w:rsid w:val="42073DF3"/>
    <w:rsid w:val="42195D2D"/>
    <w:rsid w:val="421B22DC"/>
    <w:rsid w:val="421D510F"/>
    <w:rsid w:val="42222BCE"/>
    <w:rsid w:val="4222657F"/>
    <w:rsid w:val="422601E3"/>
    <w:rsid w:val="42297E0A"/>
    <w:rsid w:val="42403830"/>
    <w:rsid w:val="42440E69"/>
    <w:rsid w:val="424F3B74"/>
    <w:rsid w:val="42520D51"/>
    <w:rsid w:val="42613AF3"/>
    <w:rsid w:val="426F7E24"/>
    <w:rsid w:val="428142EF"/>
    <w:rsid w:val="42855794"/>
    <w:rsid w:val="42B40FCC"/>
    <w:rsid w:val="42BD527C"/>
    <w:rsid w:val="42C13EB9"/>
    <w:rsid w:val="42C24FC5"/>
    <w:rsid w:val="42C43A19"/>
    <w:rsid w:val="42E86771"/>
    <w:rsid w:val="42EE6613"/>
    <w:rsid w:val="42F54A3F"/>
    <w:rsid w:val="42F6296F"/>
    <w:rsid w:val="430137E9"/>
    <w:rsid w:val="431A58DF"/>
    <w:rsid w:val="431B75B2"/>
    <w:rsid w:val="431D5A70"/>
    <w:rsid w:val="43385301"/>
    <w:rsid w:val="434A50CA"/>
    <w:rsid w:val="435369C1"/>
    <w:rsid w:val="43590C88"/>
    <w:rsid w:val="435A2640"/>
    <w:rsid w:val="435B06CF"/>
    <w:rsid w:val="435E00C4"/>
    <w:rsid w:val="435E22AD"/>
    <w:rsid w:val="43607EF9"/>
    <w:rsid w:val="436467F7"/>
    <w:rsid w:val="43671615"/>
    <w:rsid w:val="4367629A"/>
    <w:rsid w:val="436A0F38"/>
    <w:rsid w:val="437004D9"/>
    <w:rsid w:val="43786124"/>
    <w:rsid w:val="43854EF3"/>
    <w:rsid w:val="43A77C65"/>
    <w:rsid w:val="43B14E46"/>
    <w:rsid w:val="43B21E6E"/>
    <w:rsid w:val="43BB1A82"/>
    <w:rsid w:val="43CD10E1"/>
    <w:rsid w:val="43CE7FFE"/>
    <w:rsid w:val="43D1226F"/>
    <w:rsid w:val="43D14A1D"/>
    <w:rsid w:val="43DA78A7"/>
    <w:rsid w:val="43E671DC"/>
    <w:rsid w:val="43F4630B"/>
    <w:rsid w:val="43FF7BAC"/>
    <w:rsid w:val="4412205D"/>
    <w:rsid w:val="441229F7"/>
    <w:rsid w:val="44134749"/>
    <w:rsid w:val="442712BB"/>
    <w:rsid w:val="442D7735"/>
    <w:rsid w:val="443F71F8"/>
    <w:rsid w:val="4440539A"/>
    <w:rsid w:val="44433302"/>
    <w:rsid w:val="444C1712"/>
    <w:rsid w:val="444E04C2"/>
    <w:rsid w:val="44550E45"/>
    <w:rsid w:val="445D368E"/>
    <w:rsid w:val="44650EE6"/>
    <w:rsid w:val="44681A21"/>
    <w:rsid w:val="44720FAB"/>
    <w:rsid w:val="4472318E"/>
    <w:rsid w:val="447C14C5"/>
    <w:rsid w:val="447D61B9"/>
    <w:rsid w:val="447E372D"/>
    <w:rsid w:val="448918FA"/>
    <w:rsid w:val="449142FD"/>
    <w:rsid w:val="44932A5C"/>
    <w:rsid w:val="449556E6"/>
    <w:rsid w:val="449569FD"/>
    <w:rsid w:val="44996900"/>
    <w:rsid w:val="449A32D6"/>
    <w:rsid w:val="449B0240"/>
    <w:rsid w:val="44B11DD5"/>
    <w:rsid w:val="44B12F15"/>
    <w:rsid w:val="44B91F2A"/>
    <w:rsid w:val="44BE1C4C"/>
    <w:rsid w:val="44C45FCB"/>
    <w:rsid w:val="44C54AB2"/>
    <w:rsid w:val="44C85078"/>
    <w:rsid w:val="44CF2ECB"/>
    <w:rsid w:val="44D535C8"/>
    <w:rsid w:val="44EF1026"/>
    <w:rsid w:val="44FB69EE"/>
    <w:rsid w:val="45007340"/>
    <w:rsid w:val="450A0C18"/>
    <w:rsid w:val="45147AA1"/>
    <w:rsid w:val="45155521"/>
    <w:rsid w:val="451E6BD2"/>
    <w:rsid w:val="45293329"/>
    <w:rsid w:val="452A4420"/>
    <w:rsid w:val="453401B9"/>
    <w:rsid w:val="453C6991"/>
    <w:rsid w:val="454C2400"/>
    <w:rsid w:val="454D5220"/>
    <w:rsid w:val="455F590C"/>
    <w:rsid w:val="4570109D"/>
    <w:rsid w:val="45773159"/>
    <w:rsid w:val="457C0EC6"/>
    <w:rsid w:val="457D413B"/>
    <w:rsid w:val="45852AFF"/>
    <w:rsid w:val="45865481"/>
    <w:rsid w:val="458B5CA6"/>
    <w:rsid w:val="458F028D"/>
    <w:rsid w:val="45903ED4"/>
    <w:rsid w:val="45936E26"/>
    <w:rsid w:val="45A34287"/>
    <w:rsid w:val="45AF5471"/>
    <w:rsid w:val="45B33C10"/>
    <w:rsid w:val="45B8585D"/>
    <w:rsid w:val="45B943AD"/>
    <w:rsid w:val="45C35A92"/>
    <w:rsid w:val="45E433E3"/>
    <w:rsid w:val="45E6293B"/>
    <w:rsid w:val="45F63BA7"/>
    <w:rsid w:val="45F73B36"/>
    <w:rsid w:val="45F96148"/>
    <w:rsid w:val="463043F1"/>
    <w:rsid w:val="463E3B5B"/>
    <w:rsid w:val="464130D5"/>
    <w:rsid w:val="4645313C"/>
    <w:rsid w:val="46491D56"/>
    <w:rsid w:val="464D718D"/>
    <w:rsid w:val="464F674F"/>
    <w:rsid w:val="465C2096"/>
    <w:rsid w:val="466B0878"/>
    <w:rsid w:val="46733BA1"/>
    <w:rsid w:val="467E748A"/>
    <w:rsid w:val="467F4E94"/>
    <w:rsid w:val="469915E5"/>
    <w:rsid w:val="469A4C2E"/>
    <w:rsid w:val="46AC675E"/>
    <w:rsid w:val="46B7683C"/>
    <w:rsid w:val="46B8204A"/>
    <w:rsid w:val="46B86D90"/>
    <w:rsid w:val="46BA1434"/>
    <w:rsid w:val="46C910BD"/>
    <w:rsid w:val="46D24BA2"/>
    <w:rsid w:val="46D4115F"/>
    <w:rsid w:val="46D63809"/>
    <w:rsid w:val="46D640A7"/>
    <w:rsid w:val="46D755AD"/>
    <w:rsid w:val="46DF2EEC"/>
    <w:rsid w:val="46E427AE"/>
    <w:rsid w:val="46EB2A4C"/>
    <w:rsid w:val="46EB77B3"/>
    <w:rsid w:val="46EC3F9B"/>
    <w:rsid w:val="46EE5368"/>
    <w:rsid w:val="46F03A6D"/>
    <w:rsid w:val="46F661E4"/>
    <w:rsid w:val="46FE3CE1"/>
    <w:rsid w:val="47060EEE"/>
    <w:rsid w:val="47082986"/>
    <w:rsid w:val="47142E75"/>
    <w:rsid w:val="4715221E"/>
    <w:rsid w:val="471625F2"/>
    <w:rsid w:val="47264E3C"/>
    <w:rsid w:val="4731186A"/>
    <w:rsid w:val="473C453F"/>
    <w:rsid w:val="473C523B"/>
    <w:rsid w:val="473E467A"/>
    <w:rsid w:val="47424AD1"/>
    <w:rsid w:val="47451645"/>
    <w:rsid w:val="474C5C41"/>
    <w:rsid w:val="474F7338"/>
    <w:rsid w:val="475C0558"/>
    <w:rsid w:val="476F7C8A"/>
    <w:rsid w:val="477A6E15"/>
    <w:rsid w:val="477C1626"/>
    <w:rsid w:val="477D2B79"/>
    <w:rsid w:val="477E3B4C"/>
    <w:rsid w:val="478B7EBB"/>
    <w:rsid w:val="47974D2B"/>
    <w:rsid w:val="479942A0"/>
    <w:rsid w:val="47AC3530"/>
    <w:rsid w:val="47BA7999"/>
    <w:rsid w:val="47C13872"/>
    <w:rsid w:val="47CF7161"/>
    <w:rsid w:val="47D106ED"/>
    <w:rsid w:val="47DF49BC"/>
    <w:rsid w:val="47E24383"/>
    <w:rsid w:val="47E54B9B"/>
    <w:rsid w:val="47E631AF"/>
    <w:rsid w:val="47F45617"/>
    <w:rsid w:val="480120F2"/>
    <w:rsid w:val="4811359B"/>
    <w:rsid w:val="481E4E36"/>
    <w:rsid w:val="48261EA7"/>
    <w:rsid w:val="48287B7E"/>
    <w:rsid w:val="48466CC2"/>
    <w:rsid w:val="484B4B8C"/>
    <w:rsid w:val="484F5E1C"/>
    <w:rsid w:val="48520F48"/>
    <w:rsid w:val="485607CC"/>
    <w:rsid w:val="485D28DB"/>
    <w:rsid w:val="48662A4B"/>
    <w:rsid w:val="486E20AF"/>
    <w:rsid w:val="486F3AF2"/>
    <w:rsid w:val="48740B7B"/>
    <w:rsid w:val="48752BD8"/>
    <w:rsid w:val="48757EC8"/>
    <w:rsid w:val="487A4230"/>
    <w:rsid w:val="487D65A8"/>
    <w:rsid w:val="489B28AA"/>
    <w:rsid w:val="48A07C1D"/>
    <w:rsid w:val="48AF2AEE"/>
    <w:rsid w:val="48B16B7D"/>
    <w:rsid w:val="48C220F3"/>
    <w:rsid w:val="48CC4405"/>
    <w:rsid w:val="48CC7523"/>
    <w:rsid w:val="48CD4F54"/>
    <w:rsid w:val="48D91E89"/>
    <w:rsid w:val="48E04309"/>
    <w:rsid w:val="48E94252"/>
    <w:rsid w:val="48F21C98"/>
    <w:rsid w:val="48FA020D"/>
    <w:rsid w:val="490D04EA"/>
    <w:rsid w:val="49113969"/>
    <w:rsid w:val="491842B2"/>
    <w:rsid w:val="49215654"/>
    <w:rsid w:val="493D22DB"/>
    <w:rsid w:val="49490796"/>
    <w:rsid w:val="494F73CC"/>
    <w:rsid w:val="495F7BE3"/>
    <w:rsid w:val="4962066D"/>
    <w:rsid w:val="496C54D3"/>
    <w:rsid w:val="49701657"/>
    <w:rsid w:val="49925DC2"/>
    <w:rsid w:val="499433DC"/>
    <w:rsid w:val="499B75E7"/>
    <w:rsid w:val="499B7E4D"/>
    <w:rsid w:val="49A3711A"/>
    <w:rsid w:val="49AA09A8"/>
    <w:rsid w:val="49AD4432"/>
    <w:rsid w:val="49AD4695"/>
    <w:rsid w:val="49B10B60"/>
    <w:rsid w:val="49B14BCC"/>
    <w:rsid w:val="49BB452F"/>
    <w:rsid w:val="49C312A6"/>
    <w:rsid w:val="49D2347A"/>
    <w:rsid w:val="49D72BE7"/>
    <w:rsid w:val="49DB3D85"/>
    <w:rsid w:val="49EB7F45"/>
    <w:rsid w:val="49EE26D9"/>
    <w:rsid w:val="49F063B3"/>
    <w:rsid w:val="49F16684"/>
    <w:rsid w:val="4A1323A4"/>
    <w:rsid w:val="4A1638B0"/>
    <w:rsid w:val="4A227604"/>
    <w:rsid w:val="4A2D63C1"/>
    <w:rsid w:val="4A2E75A4"/>
    <w:rsid w:val="4A3A3BEB"/>
    <w:rsid w:val="4A3C0639"/>
    <w:rsid w:val="4A40567C"/>
    <w:rsid w:val="4A4060F4"/>
    <w:rsid w:val="4A546892"/>
    <w:rsid w:val="4A547DF1"/>
    <w:rsid w:val="4A555376"/>
    <w:rsid w:val="4A5B2F2E"/>
    <w:rsid w:val="4A6F17A6"/>
    <w:rsid w:val="4A7B7BE8"/>
    <w:rsid w:val="4A895C4E"/>
    <w:rsid w:val="4A8A3DBA"/>
    <w:rsid w:val="4A8B198F"/>
    <w:rsid w:val="4A8B3549"/>
    <w:rsid w:val="4A8C4A78"/>
    <w:rsid w:val="4A905179"/>
    <w:rsid w:val="4A9F7B61"/>
    <w:rsid w:val="4AA46D5D"/>
    <w:rsid w:val="4AA63559"/>
    <w:rsid w:val="4AAA1891"/>
    <w:rsid w:val="4AB85386"/>
    <w:rsid w:val="4AC34182"/>
    <w:rsid w:val="4ACA1FE5"/>
    <w:rsid w:val="4AD74667"/>
    <w:rsid w:val="4ADA20A4"/>
    <w:rsid w:val="4ADE7362"/>
    <w:rsid w:val="4AF953CF"/>
    <w:rsid w:val="4AFA0A02"/>
    <w:rsid w:val="4B0233A9"/>
    <w:rsid w:val="4B056663"/>
    <w:rsid w:val="4B155BC8"/>
    <w:rsid w:val="4B1A6945"/>
    <w:rsid w:val="4B1F10C5"/>
    <w:rsid w:val="4B242E19"/>
    <w:rsid w:val="4B46597F"/>
    <w:rsid w:val="4B521CCC"/>
    <w:rsid w:val="4B5736F5"/>
    <w:rsid w:val="4B67117B"/>
    <w:rsid w:val="4B674009"/>
    <w:rsid w:val="4B78480D"/>
    <w:rsid w:val="4B884AF7"/>
    <w:rsid w:val="4B8A0051"/>
    <w:rsid w:val="4B905274"/>
    <w:rsid w:val="4B95649A"/>
    <w:rsid w:val="4BA016FC"/>
    <w:rsid w:val="4BA02C73"/>
    <w:rsid w:val="4BA34CDE"/>
    <w:rsid w:val="4BA54928"/>
    <w:rsid w:val="4BAC361F"/>
    <w:rsid w:val="4BB90742"/>
    <w:rsid w:val="4BBF2C38"/>
    <w:rsid w:val="4BC053FB"/>
    <w:rsid w:val="4BC311DC"/>
    <w:rsid w:val="4BC64EC4"/>
    <w:rsid w:val="4BCA2166"/>
    <w:rsid w:val="4BCB1D43"/>
    <w:rsid w:val="4BDC71CB"/>
    <w:rsid w:val="4BE536F9"/>
    <w:rsid w:val="4BF1769D"/>
    <w:rsid w:val="4C033AEE"/>
    <w:rsid w:val="4C072974"/>
    <w:rsid w:val="4C0D0236"/>
    <w:rsid w:val="4C134F84"/>
    <w:rsid w:val="4C1B7790"/>
    <w:rsid w:val="4C1E6B55"/>
    <w:rsid w:val="4C2630C7"/>
    <w:rsid w:val="4C282143"/>
    <w:rsid w:val="4C383DD3"/>
    <w:rsid w:val="4C384C57"/>
    <w:rsid w:val="4C4404DB"/>
    <w:rsid w:val="4C616001"/>
    <w:rsid w:val="4C645EB9"/>
    <w:rsid w:val="4C67308A"/>
    <w:rsid w:val="4C7937CE"/>
    <w:rsid w:val="4C8137BB"/>
    <w:rsid w:val="4C83676C"/>
    <w:rsid w:val="4C881934"/>
    <w:rsid w:val="4C9038F3"/>
    <w:rsid w:val="4CA33D63"/>
    <w:rsid w:val="4CA70190"/>
    <w:rsid w:val="4CAA239A"/>
    <w:rsid w:val="4CAA35F2"/>
    <w:rsid w:val="4CB33C09"/>
    <w:rsid w:val="4CB64219"/>
    <w:rsid w:val="4CBC34B7"/>
    <w:rsid w:val="4CBD3A2C"/>
    <w:rsid w:val="4CC24F8D"/>
    <w:rsid w:val="4CCF62B8"/>
    <w:rsid w:val="4CD20C6F"/>
    <w:rsid w:val="4CD93EF6"/>
    <w:rsid w:val="4CD97FAC"/>
    <w:rsid w:val="4CE072A8"/>
    <w:rsid w:val="4CE0748D"/>
    <w:rsid w:val="4CF24A44"/>
    <w:rsid w:val="4CF35EEC"/>
    <w:rsid w:val="4CF57E8F"/>
    <w:rsid w:val="4D060CA7"/>
    <w:rsid w:val="4D094EC3"/>
    <w:rsid w:val="4D1F0A20"/>
    <w:rsid w:val="4D335026"/>
    <w:rsid w:val="4D356797"/>
    <w:rsid w:val="4D363C4C"/>
    <w:rsid w:val="4D413ABE"/>
    <w:rsid w:val="4D472603"/>
    <w:rsid w:val="4D493511"/>
    <w:rsid w:val="4D5C1852"/>
    <w:rsid w:val="4D64034B"/>
    <w:rsid w:val="4D6B7F97"/>
    <w:rsid w:val="4D7D07A9"/>
    <w:rsid w:val="4D7E7BCA"/>
    <w:rsid w:val="4D9F1383"/>
    <w:rsid w:val="4DA57429"/>
    <w:rsid w:val="4DA84B2D"/>
    <w:rsid w:val="4DBF1A26"/>
    <w:rsid w:val="4DC1775A"/>
    <w:rsid w:val="4DC7052A"/>
    <w:rsid w:val="4DC94510"/>
    <w:rsid w:val="4DC9726E"/>
    <w:rsid w:val="4DD3102D"/>
    <w:rsid w:val="4DD317D3"/>
    <w:rsid w:val="4DD82DD4"/>
    <w:rsid w:val="4DDA060D"/>
    <w:rsid w:val="4DDD1D27"/>
    <w:rsid w:val="4DE01999"/>
    <w:rsid w:val="4DF23F3B"/>
    <w:rsid w:val="4DF5471B"/>
    <w:rsid w:val="4DF806E9"/>
    <w:rsid w:val="4DFE1FF9"/>
    <w:rsid w:val="4DFE42FC"/>
    <w:rsid w:val="4E0A2BD5"/>
    <w:rsid w:val="4E1B3100"/>
    <w:rsid w:val="4E1C792E"/>
    <w:rsid w:val="4E21054A"/>
    <w:rsid w:val="4E3156F1"/>
    <w:rsid w:val="4E373C44"/>
    <w:rsid w:val="4E5126E0"/>
    <w:rsid w:val="4E7620FF"/>
    <w:rsid w:val="4E7C1327"/>
    <w:rsid w:val="4E7F5A78"/>
    <w:rsid w:val="4E8051B9"/>
    <w:rsid w:val="4E823815"/>
    <w:rsid w:val="4E8B7676"/>
    <w:rsid w:val="4E942D21"/>
    <w:rsid w:val="4E9D7810"/>
    <w:rsid w:val="4EA12ED9"/>
    <w:rsid w:val="4EA13FBA"/>
    <w:rsid w:val="4EA4100F"/>
    <w:rsid w:val="4EA727A5"/>
    <w:rsid w:val="4EA84268"/>
    <w:rsid w:val="4EB7258D"/>
    <w:rsid w:val="4ED70DD3"/>
    <w:rsid w:val="4EE008FE"/>
    <w:rsid w:val="4EF95DC6"/>
    <w:rsid w:val="4EFD5951"/>
    <w:rsid w:val="4F0B5DF8"/>
    <w:rsid w:val="4F11017C"/>
    <w:rsid w:val="4F124446"/>
    <w:rsid w:val="4F1E3617"/>
    <w:rsid w:val="4F3501F1"/>
    <w:rsid w:val="4F412709"/>
    <w:rsid w:val="4F450787"/>
    <w:rsid w:val="4F454DD4"/>
    <w:rsid w:val="4F4809DD"/>
    <w:rsid w:val="4F486359"/>
    <w:rsid w:val="4F4C1064"/>
    <w:rsid w:val="4F52671E"/>
    <w:rsid w:val="4F544BC0"/>
    <w:rsid w:val="4F5E1F23"/>
    <w:rsid w:val="4F661CD0"/>
    <w:rsid w:val="4F714EEB"/>
    <w:rsid w:val="4F772E6E"/>
    <w:rsid w:val="4F77676A"/>
    <w:rsid w:val="4F830CA1"/>
    <w:rsid w:val="4F892E37"/>
    <w:rsid w:val="4F901C26"/>
    <w:rsid w:val="4F9F022F"/>
    <w:rsid w:val="4FA002AA"/>
    <w:rsid w:val="4FA014A2"/>
    <w:rsid w:val="4FB26AD9"/>
    <w:rsid w:val="4FC34284"/>
    <w:rsid w:val="4FC6443E"/>
    <w:rsid w:val="4FD224BE"/>
    <w:rsid w:val="4FD964BE"/>
    <w:rsid w:val="4FDF2531"/>
    <w:rsid w:val="4FE64C1E"/>
    <w:rsid w:val="4FEF1DA6"/>
    <w:rsid w:val="50004A95"/>
    <w:rsid w:val="50010C61"/>
    <w:rsid w:val="50066FB3"/>
    <w:rsid w:val="500D54F6"/>
    <w:rsid w:val="501004A0"/>
    <w:rsid w:val="50120532"/>
    <w:rsid w:val="50137F4A"/>
    <w:rsid w:val="50173D37"/>
    <w:rsid w:val="501E6ED7"/>
    <w:rsid w:val="5023004A"/>
    <w:rsid w:val="5029007C"/>
    <w:rsid w:val="50306C0B"/>
    <w:rsid w:val="503660C0"/>
    <w:rsid w:val="503A2B14"/>
    <w:rsid w:val="503F7C46"/>
    <w:rsid w:val="50406446"/>
    <w:rsid w:val="504E7530"/>
    <w:rsid w:val="50521801"/>
    <w:rsid w:val="50626FC5"/>
    <w:rsid w:val="506724CA"/>
    <w:rsid w:val="50681F00"/>
    <w:rsid w:val="506903F1"/>
    <w:rsid w:val="507D1209"/>
    <w:rsid w:val="507E02A3"/>
    <w:rsid w:val="5086682B"/>
    <w:rsid w:val="508C757F"/>
    <w:rsid w:val="508D33B3"/>
    <w:rsid w:val="509740B3"/>
    <w:rsid w:val="509A0660"/>
    <w:rsid w:val="50A2437E"/>
    <w:rsid w:val="50A2578C"/>
    <w:rsid w:val="50A83174"/>
    <w:rsid w:val="50AB7422"/>
    <w:rsid w:val="50AC4D4C"/>
    <w:rsid w:val="50B51408"/>
    <w:rsid w:val="50BA0B94"/>
    <w:rsid w:val="50BA23B8"/>
    <w:rsid w:val="50C620C8"/>
    <w:rsid w:val="50CF22E7"/>
    <w:rsid w:val="50D61975"/>
    <w:rsid w:val="50ED1DB8"/>
    <w:rsid w:val="50F31D4C"/>
    <w:rsid w:val="50F94B1C"/>
    <w:rsid w:val="51020252"/>
    <w:rsid w:val="511D0051"/>
    <w:rsid w:val="5126392B"/>
    <w:rsid w:val="5127681D"/>
    <w:rsid w:val="513B4FE6"/>
    <w:rsid w:val="51450494"/>
    <w:rsid w:val="514706F0"/>
    <w:rsid w:val="5156345E"/>
    <w:rsid w:val="515A20ED"/>
    <w:rsid w:val="516734F6"/>
    <w:rsid w:val="51694D24"/>
    <w:rsid w:val="517472A2"/>
    <w:rsid w:val="51780B1C"/>
    <w:rsid w:val="519C6CAE"/>
    <w:rsid w:val="519D044B"/>
    <w:rsid w:val="519E2FEC"/>
    <w:rsid w:val="51A72E00"/>
    <w:rsid w:val="51AE58E9"/>
    <w:rsid w:val="51B832C3"/>
    <w:rsid w:val="51DE269C"/>
    <w:rsid w:val="51E43809"/>
    <w:rsid w:val="51E643E3"/>
    <w:rsid w:val="51F256B9"/>
    <w:rsid w:val="51F3498B"/>
    <w:rsid w:val="51FB4105"/>
    <w:rsid w:val="52114B18"/>
    <w:rsid w:val="52176D48"/>
    <w:rsid w:val="522709FC"/>
    <w:rsid w:val="52330F24"/>
    <w:rsid w:val="52334F28"/>
    <w:rsid w:val="5236211A"/>
    <w:rsid w:val="52626275"/>
    <w:rsid w:val="526327CD"/>
    <w:rsid w:val="52653410"/>
    <w:rsid w:val="528658CC"/>
    <w:rsid w:val="5290625E"/>
    <w:rsid w:val="529333A5"/>
    <w:rsid w:val="529F4C29"/>
    <w:rsid w:val="52A5620A"/>
    <w:rsid w:val="52AA121E"/>
    <w:rsid w:val="52AB7845"/>
    <w:rsid w:val="52B05C17"/>
    <w:rsid w:val="52B47AF8"/>
    <w:rsid w:val="52B50F48"/>
    <w:rsid w:val="52C07935"/>
    <w:rsid w:val="52D853DF"/>
    <w:rsid w:val="52DC143A"/>
    <w:rsid w:val="52E32645"/>
    <w:rsid w:val="52E729D6"/>
    <w:rsid w:val="52E76F18"/>
    <w:rsid w:val="52FA39B7"/>
    <w:rsid w:val="53113D7C"/>
    <w:rsid w:val="531A282E"/>
    <w:rsid w:val="531E6088"/>
    <w:rsid w:val="531F2787"/>
    <w:rsid w:val="532636A9"/>
    <w:rsid w:val="532D2387"/>
    <w:rsid w:val="533704B8"/>
    <w:rsid w:val="53373B46"/>
    <w:rsid w:val="53391570"/>
    <w:rsid w:val="533F689F"/>
    <w:rsid w:val="5342631C"/>
    <w:rsid w:val="53505DF0"/>
    <w:rsid w:val="53514B60"/>
    <w:rsid w:val="53591D99"/>
    <w:rsid w:val="535A4A14"/>
    <w:rsid w:val="53602DEC"/>
    <w:rsid w:val="53753945"/>
    <w:rsid w:val="53797A39"/>
    <w:rsid w:val="539C7C29"/>
    <w:rsid w:val="539F029C"/>
    <w:rsid w:val="53A96AB8"/>
    <w:rsid w:val="53AE5938"/>
    <w:rsid w:val="53AF46FA"/>
    <w:rsid w:val="53B4350E"/>
    <w:rsid w:val="53C512E9"/>
    <w:rsid w:val="53CC7091"/>
    <w:rsid w:val="53CD05AD"/>
    <w:rsid w:val="53D55075"/>
    <w:rsid w:val="53D60BEC"/>
    <w:rsid w:val="53DA2A8A"/>
    <w:rsid w:val="53E23343"/>
    <w:rsid w:val="53E33CA0"/>
    <w:rsid w:val="53E46566"/>
    <w:rsid w:val="53E9328E"/>
    <w:rsid w:val="53F51CFD"/>
    <w:rsid w:val="53F80DBC"/>
    <w:rsid w:val="53FE7F31"/>
    <w:rsid w:val="540168F4"/>
    <w:rsid w:val="54065170"/>
    <w:rsid w:val="540B7FFE"/>
    <w:rsid w:val="5415104E"/>
    <w:rsid w:val="541A6BAD"/>
    <w:rsid w:val="541F321E"/>
    <w:rsid w:val="541F5FA2"/>
    <w:rsid w:val="54200CB5"/>
    <w:rsid w:val="54293912"/>
    <w:rsid w:val="542968E7"/>
    <w:rsid w:val="54370393"/>
    <w:rsid w:val="543B272A"/>
    <w:rsid w:val="543F4497"/>
    <w:rsid w:val="5446251D"/>
    <w:rsid w:val="54465E98"/>
    <w:rsid w:val="5451299B"/>
    <w:rsid w:val="545C1B97"/>
    <w:rsid w:val="5465175A"/>
    <w:rsid w:val="54651BD3"/>
    <w:rsid w:val="546A434C"/>
    <w:rsid w:val="546B6463"/>
    <w:rsid w:val="54760E0C"/>
    <w:rsid w:val="54773068"/>
    <w:rsid w:val="547F6D5B"/>
    <w:rsid w:val="54842893"/>
    <w:rsid w:val="548D6505"/>
    <w:rsid w:val="549546C0"/>
    <w:rsid w:val="54967DBD"/>
    <w:rsid w:val="54970C2D"/>
    <w:rsid w:val="54992D2C"/>
    <w:rsid w:val="54B0307B"/>
    <w:rsid w:val="54B27180"/>
    <w:rsid w:val="54B62769"/>
    <w:rsid w:val="54D2203E"/>
    <w:rsid w:val="54D77DE2"/>
    <w:rsid w:val="54DF62FD"/>
    <w:rsid w:val="54E56379"/>
    <w:rsid w:val="54EA671B"/>
    <w:rsid w:val="54EC0C8A"/>
    <w:rsid w:val="54F6724B"/>
    <w:rsid w:val="55091E63"/>
    <w:rsid w:val="55263866"/>
    <w:rsid w:val="552A729A"/>
    <w:rsid w:val="553076D9"/>
    <w:rsid w:val="55324787"/>
    <w:rsid w:val="553A070B"/>
    <w:rsid w:val="5543396E"/>
    <w:rsid w:val="5545368B"/>
    <w:rsid w:val="55485324"/>
    <w:rsid w:val="55556DCF"/>
    <w:rsid w:val="555B27E3"/>
    <w:rsid w:val="555C6AF7"/>
    <w:rsid w:val="5562237D"/>
    <w:rsid w:val="55762BE7"/>
    <w:rsid w:val="558B5C5A"/>
    <w:rsid w:val="558D23E4"/>
    <w:rsid w:val="55961E09"/>
    <w:rsid w:val="559C6013"/>
    <w:rsid w:val="559D43FA"/>
    <w:rsid w:val="55AA7999"/>
    <w:rsid w:val="55B33748"/>
    <w:rsid w:val="55C26B6F"/>
    <w:rsid w:val="55C35029"/>
    <w:rsid w:val="55C56531"/>
    <w:rsid w:val="55C670F5"/>
    <w:rsid w:val="55CE4CE0"/>
    <w:rsid w:val="55D26E11"/>
    <w:rsid w:val="55D86398"/>
    <w:rsid w:val="55DC3463"/>
    <w:rsid w:val="55DC3D29"/>
    <w:rsid w:val="55DC68AB"/>
    <w:rsid w:val="55DC7289"/>
    <w:rsid w:val="55E31D4C"/>
    <w:rsid w:val="55E643CB"/>
    <w:rsid w:val="55F27EEA"/>
    <w:rsid w:val="55F31568"/>
    <w:rsid w:val="55F80996"/>
    <w:rsid w:val="56040378"/>
    <w:rsid w:val="560501F2"/>
    <w:rsid w:val="56243561"/>
    <w:rsid w:val="56265AD2"/>
    <w:rsid w:val="563A0F92"/>
    <w:rsid w:val="564C2FC9"/>
    <w:rsid w:val="5651276F"/>
    <w:rsid w:val="566A6BF6"/>
    <w:rsid w:val="56787A85"/>
    <w:rsid w:val="567D5FDA"/>
    <w:rsid w:val="568D1D6A"/>
    <w:rsid w:val="568D4815"/>
    <w:rsid w:val="568E6439"/>
    <w:rsid w:val="56920472"/>
    <w:rsid w:val="569A354A"/>
    <w:rsid w:val="56A75DA7"/>
    <w:rsid w:val="56B62A0B"/>
    <w:rsid w:val="56D448BE"/>
    <w:rsid w:val="56DC1A82"/>
    <w:rsid w:val="56DD4F66"/>
    <w:rsid w:val="56DF393A"/>
    <w:rsid w:val="56EB02EC"/>
    <w:rsid w:val="56EE0C86"/>
    <w:rsid w:val="56F02BC0"/>
    <w:rsid w:val="56FB79DE"/>
    <w:rsid w:val="57092B06"/>
    <w:rsid w:val="570C38E2"/>
    <w:rsid w:val="570D6904"/>
    <w:rsid w:val="570E6F3C"/>
    <w:rsid w:val="57122E85"/>
    <w:rsid w:val="5717297F"/>
    <w:rsid w:val="572033DD"/>
    <w:rsid w:val="57263EA4"/>
    <w:rsid w:val="573561AF"/>
    <w:rsid w:val="574A6ADB"/>
    <w:rsid w:val="57521214"/>
    <w:rsid w:val="575B30B8"/>
    <w:rsid w:val="5771167B"/>
    <w:rsid w:val="577C2351"/>
    <w:rsid w:val="57811640"/>
    <w:rsid w:val="578143A8"/>
    <w:rsid w:val="578776BC"/>
    <w:rsid w:val="57890A26"/>
    <w:rsid w:val="578967C7"/>
    <w:rsid w:val="579B7332"/>
    <w:rsid w:val="579E2361"/>
    <w:rsid w:val="57A03951"/>
    <w:rsid w:val="57A65985"/>
    <w:rsid w:val="57A91D10"/>
    <w:rsid w:val="57B17875"/>
    <w:rsid w:val="57CA580C"/>
    <w:rsid w:val="57CC0AAC"/>
    <w:rsid w:val="57CE6B72"/>
    <w:rsid w:val="57D63C4A"/>
    <w:rsid w:val="57D7044A"/>
    <w:rsid w:val="57F350A9"/>
    <w:rsid w:val="57FF5025"/>
    <w:rsid w:val="580B3691"/>
    <w:rsid w:val="580D4907"/>
    <w:rsid w:val="581B2716"/>
    <w:rsid w:val="582D0C82"/>
    <w:rsid w:val="58433087"/>
    <w:rsid w:val="5847655D"/>
    <w:rsid w:val="584D6E66"/>
    <w:rsid w:val="584F0835"/>
    <w:rsid w:val="585B7B95"/>
    <w:rsid w:val="586124FB"/>
    <w:rsid w:val="586533D2"/>
    <w:rsid w:val="58655F51"/>
    <w:rsid w:val="58781BC3"/>
    <w:rsid w:val="589F639F"/>
    <w:rsid w:val="58A35066"/>
    <w:rsid w:val="58A95255"/>
    <w:rsid w:val="58AB446A"/>
    <w:rsid w:val="58C330C3"/>
    <w:rsid w:val="58C747A6"/>
    <w:rsid w:val="58CD73F0"/>
    <w:rsid w:val="58D02D39"/>
    <w:rsid w:val="58DE337E"/>
    <w:rsid w:val="58DF4D2A"/>
    <w:rsid w:val="58E3592D"/>
    <w:rsid w:val="58F4507C"/>
    <w:rsid w:val="58F6716A"/>
    <w:rsid w:val="59013595"/>
    <w:rsid w:val="590A7B4E"/>
    <w:rsid w:val="590F38BD"/>
    <w:rsid w:val="59154977"/>
    <w:rsid w:val="59183E67"/>
    <w:rsid w:val="59184A67"/>
    <w:rsid w:val="591F58ED"/>
    <w:rsid w:val="59311E97"/>
    <w:rsid w:val="59320BCE"/>
    <w:rsid w:val="593554FE"/>
    <w:rsid w:val="593B2798"/>
    <w:rsid w:val="59441479"/>
    <w:rsid w:val="59541140"/>
    <w:rsid w:val="59547CA2"/>
    <w:rsid w:val="5964203B"/>
    <w:rsid w:val="596811C3"/>
    <w:rsid w:val="59773BEA"/>
    <w:rsid w:val="598B3FC7"/>
    <w:rsid w:val="599A6B02"/>
    <w:rsid w:val="59A248C9"/>
    <w:rsid w:val="59A76AE3"/>
    <w:rsid w:val="59B763E4"/>
    <w:rsid w:val="59B8157B"/>
    <w:rsid w:val="59BC73E7"/>
    <w:rsid w:val="59BE0C07"/>
    <w:rsid w:val="59E45B6C"/>
    <w:rsid w:val="59ED7A03"/>
    <w:rsid w:val="5A0866EB"/>
    <w:rsid w:val="5A0D21C7"/>
    <w:rsid w:val="5A1153B7"/>
    <w:rsid w:val="5A121D3C"/>
    <w:rsid w:val="5A255824"/>
    <w:rsid w:val="5A3362B3"/>
    <w:rsid w:val="5A377F62"/>
    <w:rsid w:val="5A3F1F40"/>
    <w:rsid w:val="5A494B51"/>
    <w:rsid w:val="5A4D7BFE"/>
    <w:rsid w:val="5A5432DB"/>
    <w:rsid w:val="5A59064E"/>
    <w:rsid w:val="5A5A0E37"/>
    <w:rsid w:val="5A5A4D48"/>
    <w:rsid w:val="5A6723D9"/>
    <w:rsid w:val="5A734E9E"/>
    <w:rsid w:val="5A820063"/>
    <w:rsid w:val="5A83693F"/>
    <w:rsid w:val="5A884DFC"/>
    <w:rsid w:val="5A8A1271"/>
    <w:rsid w:val="5A985A88"/>
    <w:rsid w:val="5A9B2ED2"/>
    <w:rsid w:val="5AA321B8"/>
    <w:rsid w:val="5ABA3CA0"/>
    <w:rsid w:val="5AC14C4F"/>
    <w:rsid w:val="5AD13779"/>
    <w:rsid w:val="5AD72F8E"/>
    <w:rsid w:val="5AE82D4A"/>
    <w:rsid w:val="5AF96577"/>
    <w:rsid w:val="5AF97EDF"/>
    <w:rsid w:val="5B021F55"/>
    <w:rsid w:val="5B0920F7"/>
    <w:rsid w:val="5B0E5935"/>
    <w:rsid w:val="5B12588A"/>
    <w:rsid w:val="5B2F3836"/>
    <w:rsid w:val="5B394DBB"/>
    <w:rsid w:val="5B3A6B8F"/>
    <w:rsid w:val="5B3F336C"/>
    <w:rsid w:val="5B5E462C"/>
    <w:rsid w:val="5B615ECA"/>
    <w:rsid w:val="5B6861B6"/>
    <w:rsid w:val="5B852C75"/>
    <w:rsid w:val="5B8C2A9D"/>
    <w:rsid w:val="5B9A19EF"/>
    <w:rsid w:val="5B9A4B12"/>
    <w:rsid w:val="5B9C0740"/>
    <w:rsid w:val="5B9D3EBA"/>
    <w:rsid w:val="5B9F30DC"/>
    <w:rsid w:val="5BA55492"/>
    <w:rsid w:val="5BAC4FB3"/>
    <w:rsid w:val="5BBA121B"/>
    <w:rsid w:val="5BC06836"/>
    <w:rsid w:val="5BC37D5A"/>
    <w:rsid w:val="5BC44B13"/>
    <w:rsid w:val="5BC8097B"/>
    <w:rsid w:val="5BCB6526"/>
    <w:rsid w:val="5BD0312C"/>
    <w:rsid w:val="5BD4669C"/>
    <w:rsid w:val="5BD67B34"/>
    <w:rsid w:val="5BE16D7E"/>
    <w:rsid w:val="5BFC52C6"/>
    <w:rsid w:val="5BFC7F71"/>
    <w:rsid w:val="5C0056E3"/>
    <w:rsid w:val="5C055948"/>
    <w:rsid w:val="5C095E6F"/>
    <w:rsid w:val="5C0A2F15"/>
    <w:rsid w:val="5C0C355F"/>
    <w:rsid w:val="5C1125D4"/>
    <w:rsid w:val="5C25339C"/>
    <w:rsid w:val="5C3830CF"/>
    <w:rsid w:val="5C3E303A"/>
    <w:rsid w:val="5C434C11"/>
    <w:rsid w:val="5C466753"/>
    <w:rsid w:val="5C4E6341"/>
    <w:rsid w:val="5C551EB1"/>
    <w:rsid w:val="5C553F9B"/>
    <w:rsid w:val="5C5C1969"/>
    <w:rsid w:val="5C5E2D32"/>
    <w:rsid w:val="5C6742CB"/>
    <w:rsid w:val="5C684645"/>
    <w:rsid w:val="5C6D790A"/>
    <w:rsid w:val="5C7B686D"/>
    <w:rsid w:val="5C7C5F0C"/>
    <w:rsid w:val="5C80495C"/>
    <w:rsid w:val="5C814A4B"/>
    <w:rsid w:val="5C833FF3"/>
    <w:rsid w:val="5C87511F"/>
    <w:rsid w:val="5CA3681C"/>
    <w:rsid w:val="5CB72CEF"/>
    <w:rsid w:val="5CB81E12"/>
    <w:rsid w:val="5CB85583"/>
    <w:rsid w:val="5CBA6615"/>
    <w:rsid w:val="5CBD2769"/>
    <w:rsid w:val="5CC6160F"/>
    <w:rsid w:val="5CC829A1"/>
    <w:rsid w:val="5CCB5CF1"/>
    <w:rsid w:val="5CED1068"/>
    <w:rsid w:val="5CF1336A"/>
    <w:rsid w:val="5CF33075"/>
    <w:rsid w:val="5CF66E77"/>
    <w:rsid w:val="5CF8285E"/>
    <w:rsid w:val="5CFD5BC0"/>
    <w:rsid w:val="5D075132"/>
    <w:rsid w:val="5D0A476F"/>
    <w:rsid w:val="5D0B3750"/>
    <w:rsid w:val="5D0C293C"/>
    <w:rsid w:val="5D0D0027"/>
    <w:rsid w:val="5D2E3760"/>
    <w:rsid w:val="5D400CEE"/>
    <w:rsid w:val="5D411606"/>
    <w:rsid w:val="5D503A85"/>
    <w:rsid w:val="5D504EDF"/>
    <w:rsid w:val="5D642E9A"/>
    <w:rsid w:val="5D6C4E30"/>
    <w:rsid w:val="5D704D6E"/>
    <w:rsid w:val="5D775E79"/>
    <w:rsid w:val="5D7D1708"/>
    <w:rsid w:val="5D826A20"/>
    <w:rsid w:val="5D92680F"/>
    <w:rsid w:val="5D933EF6"/>
    <w:rsid w:val="5DA63671"/>
    <w:rsid w:val="5DA75D46"/>
    <w:rsid w:val="5DA84AF2"/>
    <w:rsid w:val="5DC0348E"/>
    <w:rsid w:val="5DCF0071"/>
    <w:rsid w:val="5DD43DAC"/>
    <w:rsid w:val="5DDC1ACC"/>
    <w:rsid w:val="5DDF7085"/>
    <w:rsid w:val="5DF105C3"/>
    <w:rsid w:val="5DF674E1"/>
    <w:rsid w:val="5DF90FB9"/>
    <w:rsid w:val="5E0F5FDC"/>
    <w:rsid w:val="5E162E4A"/>
    <w:rsid w:val="5E2A0537"/>
    <w:rsid w:val="5E307483"/>
    <w:rsid w:val="5E33481B"/>
    <w:rsid w:val="5E3E112A"/>
    <w:rsid w:val="5E484068"/>
    <w:rsid w:val="5E4D0486"/>
    <w:rsid w:val="5E4D6756"/>
    <w:rsid w:val="5E4D77C4"/>
    <w:rsid w:val="5E50053E"/>
    <w:rsid w:val="5E555A78"/>
    <w:rsid w:val="5E572FA4"/>
    <w:rsid w:val="5E5835B4"/>
    <w:rsid w:val="5E59557E"/>
    <w:rsid w:val="5E6965F6"/>
    <w:rsid w:val="5E7B40F9"/>
    <w:rsid w:val="5E822B82"/>
    <w:rsid w:val="5E874981"/>
    <w:rsid w:val="5E897F7A"/>
    <w:rsid w:val="5E8A5738"/>
    <w:rsid w:val="5E9D5478"/>
    <w:rsid w:val="5EAA2F03"/>
    <w:rsid w:val="5EB542DA"/>
    <w:rsid w:val="5EB807A1"/>
    <w:rsid w:val="5EB970AB"/>
    <w:rsid w:val="5EBD78BB"/>
    <w:rsid w:val="5ED2232A"/>
    <w:rsid w:val="5ED76291"/>
    <w:rsid w:val="5EDF1FB7"/>
    <w:rsid w:val="5EE176ED"/>
    <w:rsid w:val="5EE33C36"/>
    <w:rsid w:val="5EFF0303"/>
    <w:rsid w:val="5F022DE6"/>
    <w:rsid w:val="5F0C5812"/>
    <w:rsid w:val="5F104A23"/>
    <w:rsid w:val="5F1F6F52"/>
    <w:rsid w:val="5F2253EF"/>
    <w:rsid w:val="5F2310F5"/>
    <w:rsid w:val="5F240D70"/>
    <w:rsid w:val="5F2F5310"/>
    <w:rsid w:val="5F3A32DC"/>
    <w:rsid w:val="5F3E47CB"/>
    <w:rsid w:val="5F4C5A95"/>
    <w:rsid w:val="5F4E2319"/>
    <w:rsid w:val="5F5618E4"/>
    <w:rsid w:val="5F642FB3"/>
    <w:rsid w:val="5F6E3056"/>
    <w:rsid w:val="5F76082E"/>
    <w:rsid w:val="5F7F25A0"/>
    <w:rsid w:val="5F853DD1"/>
    <w:rsid w:val="5F864151"/>
    <w:rsid w:val="5F88713F"/>
    <w:rsid w:val="5F8A1D20"/>
    <w:rsid w:val="5F8A1E93"/>
    <w:rsid w:val="5F92293B"/>
    <w:rsid w:val="5F93686E"/>
    <w:rsid w:val="5F953B4C"/>
    <w:rsid w:val="5F9F6FC4"/>
    <w:rsid w:val="5FA37F35"/>
    <w:rsid w:val="5FAC59C4"/>
    <w:rsid w:val="5FB46F10"/>
    <w:rsid w:val="5FC31FE4"/>
    <w:rsid w:val="5FCC26CF"/>
    <w:rsid w:val="5FCD49AD"/>
    <w:rsid w:val="5FD36793"/>
    <w:rsid w:val="5FD60C57"/>
    <w:rsid w:val="5FE367F4"/>
    <w:rsid w:val="5FFB7A47"/>
    <w:rsid w:val="5FFF2E80"/>
    <w:rsid w:val="5FFF4DF4"/>
    <w:rsid w:val="60051C5F"/>
    <w:rsid w:val="600734E4"/>
    <w:rsid w:val="6009431E"/>
    <w:rsid w:val="602C2F4B"/>
    <w:rsid w:val="60391C97"/>
    <w:rsid w:val="604C4CAE"/>
    <w:rsid w:val="60573122"/>
    <w:rsid w:val="605D4710"/>
    <w:rsid w:val="606A1B51"/>
    <w:rsid w:val="606E1D6E"/>
    <w:rsid w:val="606F0399"/>
    <w:rsid w:val="607341C0"/>
    <w:rsid w:val="607641C6"/>
    <w:rsid w:val="608B5E58"/>
    <w:rsid w:val="608F3CC5"/>
    <w:rsid w:val="60973E72"/>
    <w:rsid w:val="609864D9"/>
    <w:rsid w:val="60A14015"/>
    <w:rsid w:val="60A22E7F"/>
    <w:rsid w:val="60AB59CF"/>
    <w:rsid w:val="60B30F76"/>
    <w:rsid w:val="60D47EB3"/>
    <w:rsid w:val="60D631E2"/>
    <w:rsid w:val="60D84E52"/>
    <w:rsid w:val="60DC124A"/>
    <w:rsid w:val="60E25ED3"/>
    <w:rsid w:val="60E33BAB"/>
    <w:rsid w:val="61007F33"/>
    <w:rsid w:val="610D68DF"/>
    <w:rsid w:val="610F7C32"/>
    <w:rsid w:val="611868F5"/>
    <w:rsid w:val="61187370"/>
    <w:rsid w:val="612E0C0C"/>
    <w:rsid w:val="613227E3"/>
    <w:rsid w:val="61341B94"/>
    <w:rsid w:val="613C44E4"/>
    <w:rsid w:val="614D5714"/>
    <w:rsid w:val="614E38D3"/>
    <w:rsid w:val="615D0920"/>
    <w:rsid w:val="6165584E"/>
    <w:rsid w:val="61902A9B"/>
    <w:rsid w:val="61AB611C"/>
    <w:rsid w:val="61BC58BF"/>
    <w:rsid w:val="61C5664B"/>
    <w:rsid w:val="61C730AA"/>
    <w:rsid w:val="61C972B2"/>
    <w:rsid w:val="61CA2A1B"/>
    <w:rsid w:val="61D44E8F"/>
    <w:rsid w:val="61EA54DC"/>
    <w:rsid w:val="61ED38C3"/>
    <w:rsid w:val="61FC5093"/>
    <w:rsid w:val="621357FA"/>
    <w:rsid w:val="62243C5E"/>
    <w:rsid w:val="622A4C2C"/>
    <w:rsid w:val="62316E72"/>
    <w:rsid w:val="62356F2A"/>
    <w:rsid w:val="6237639F"/>
    <w:rsid w:val="62500A46"/>
    <w:rsid w:val="625726D0"/>
    <w:rsid w:val="625A00D7"/>
    <w:rsid w:val="625A6204"/>
    <w:rsid w:val="625B4567"/>
    <w:rsid w:val="62645E0C"/>
    <w:rsid w:val="62681347"/>
    <w:rsid w:val="62744735"/>
    <w:rsid w:val="627725AB"/>
    <w:rsid w:val="627E3805"/>
    <w:rsid w:val="627E64F1"/>
    <w:rsid w:val="62820231"/>
    <w:rsid w:val="62826FE5"/>
    <w:rsid w:val="6291631A"/>
    <w:rsid w:val="629D4B6A"/>
    <w:rsid w:val="629D679F"/>
    <w:rsid w:val="629F597C"/>
    <w:rsid w:val="62AE1781"/>
    <w:rsid w:val="62B80AC5"/>
    <w:rsid w:val="62BE5CFB"/>
    <w:rsid w:val="62BE75BB"/>
    <w:rsid w:val="62BF71E4"/>
    <w:rsid w:val="62C44677"/>
    <w:rsid w:val="62C616B2"/>
    <w:rsid w:val="62CC798F"/>
    <w:rsid w:val="62E41F42"/>
    <w:rsid w:val="62E81BAA"/>
    <w:rsid w:val="62F80D06"/>
    <w:rsid w:val="630C1130"/>
    <w:rsid w:val="6311513B"/>
    <w:rsid w:val="63241C2E"/>
    <w:rsid w:val="63333F80"/>
    <w:rsid w:val="6334412D"/>
    <w:rsid w:val="63453122"/>
    <w:rsid w:val="634E4F86"/>
    <w:rsid w:val="63504C4C"/>
    <w:rsid w:val="6350711D"/>
    <w:rsid w:val="6352453D"/>
    <w:rsid w:val="6356516B"/>
    <w:rsid w:val="63582CE8"/>
    <w:rsid w:val="636522D0"/>
    <w:rsid w:val="63767E9F"/>
    <w:rsid w:val="637B7FFC"/>
    <w:rsid w:val="637E158D"/>
    <w:rsid w:val="6395326D"/>
    <w:rsid w:val="63A032B6"/>
    <w:rsid w:val="63A70595"/>
    <w:rsid w:val="63A97AA3"/>
    <w:rsid w:val="63B55005"/>
    <w:rsid w:val="63B561E8"/>
    <w:rsid w:val="63CA6F23"/>
    <w:rsid w:val="63D51FB3"/>
    <w:rsid w:val="63D74A9A"/>
    <w:rsid w:val="63E37763"/>
    <w:rsid w:val="63EC2E7C"/>
    <w:rsid w:val="63EF135B"/>
    <w:rsid w:val="63EF7854"/>
    <w:rsid w:val="63FC51E4"/>
    <w:rsid w:val="640C459B"/>
    <w:rsid w:val="641644AE"/>
    <w:rsid w:val="641F37E0"/>
    <w:rsid w:val="642063AE"/>
    <w:rsid w:val="64237A9E"/>
    <w:rsid w:val="642A7C63"/>
    <w:rsid w:val="64373563"/>
    <w:rsid w:val="6444677A"/>
    <w:rsid w:val="644721AC"/>
    <w:rsid w:val="64473DFE"/>
    <w:rsid w:val="64481398"/>
    <w:rsid w:val="644F4B14"/>
    <w:rsid w:val="645048B6"/>
    <w:rsid w:val="64520C69"/>
    <w:rsid w:val="64546374"/>
    <w:rsid w:val="646D7943"/>
    <w:rsid w:val="648A198A"/>
    <w:rsid w:val="648B3FB8"/>
    <w:rsid w:val="648D5F82"/>
    <w:rsid w:val="649966D5"/>
    <w:rsid w:val="64AB6A78"/>
    <w:rsid w:val="64AD1AFC"/>
    <w:rsid w:val="64B463DE"/>
    <w:rsid w:val="64B7618D"/>
    <w:rsid w:val="64B76197"/>
    <w:rsid w:val="64BB1B76"/>
    <w:rsid w:val="64BE472B"/>
    <w:rsid w:val="64BF604B"/>
    <w:rsid w:val="64C83E3F"/>
    <w:rsid w:val="64D67929"/>
    <w:rsid w:val="64D760AA"/>
    <w:rsid w:val="64D83087"/>
    <w:rsid w:val="650A0089"/>
    <w:rsid w:val="652266CA"/>
    <w:rsid w:val="65244B21"/>
    <w:rsid w:val="652A1921"/>
    <w:rsid w:val="65407434"/>
    <w:rsid w:val="6542118F"/>
    <w:rsid w:val="654314ED"/>
    <w:rsid w:val="656809DC"/>
    <w:rsid w:val="65714685"/>
    <w:rsid w:val="65767787"/>
    <w:rsid w:val="65785CAD"/>
    <w:rsid w:val="657B1BA6"/>
    <w:rsid w:val="657D6680"/>
    <w:rsid w:val="65862E1F"/>
    <w:rsid w:val="658C5132"/>
    <w:rsid w:val="65956842"/>
    <w:rsid w:val="65976067"/>
    <w:rsid w:val="65B52D15"/>
    <w:rsid w:val="65B77C2F"/>
    <w:rsid w:val="65C24E76"/>
    <w:rsid w:val="65C771ED"/>
    <w:rsid w:val="65D43361"/>
    <w:rsid w:val="65DD10CF"/>
    <w:rsid w:val="65DF280D"/>
    <w:rsid w:val="65E43ED2"/>
    <w:rsid w:val="65E460F4"/>
    <w:rsid w:val="65E52B0F"/>
    <w:rsid w:val="65EB4CDF"/>
    <w:rsid w:val="65ED4F2A"/>
    <w:rsid w:val="65F36D30"/>
    <w:rsid w:val="65F53DDF"/>
    <w:rsid w:val="65FE16AE"/>
    <w:rsid w:val="660832C8"/>
    <w:rsid w:val="6608651D"/>
    <w:rsid w:val="6609073C"/>
    <w:rsid w:val="660E3BBB"/>
    <w:rsid w:val="66127F31"/>
    <w:rsid w:val="661B3143"/>
    <w:rsid w:val="661D36DD"/>
    <w:rsid w:val="66263F98"/>
    <w:rsid w:val="66266AD5"/>
    <w:rsid w:val="66297599"/>
    <w:rsid w:val="662B1A94"/>
    <w:rsid w:val="663E10E8"/>
    <w:rsid w:val="663F5653"/>
    <w:rsid w:val="664D59C9"/>
    <w:rsid w:val="665C53C9"/>
    <w:rsid w:val="665E34E6"/>
    <w:rsid w:val="666331D0"/>
    <w:rsid w:val="6664549B"/>
    <w:rsid w:val="6664753D"/>
    <w:rsid w:val="6672542F"/>
    <w:rsid w:val="6675759D"/>
    <w:rsid w:val="667A5538"/>
    <w:rsid w:val="6683521E"/>
    <w:rsid w:val="66A30A28"/>
    <w:rsid w:val="66A357BA"/>
    <w:rsid w:val="66A456A1"/>
    <w:rsid w:val="66AA2F82"/>
    <w:rsid w:val="66AC2E94"/>
    <w:rsid w:val="66D45A75"/>
    <w:rsid w:val="66F759D1"/>
    <w:rsid w:val="66FC06B8"/>
    <w:rsid w:val="66FC541B"/>
    <w:rsid w:val="66FD119D"/>
    <w:rsid w:val="66FE242C"/>
    <w:rsid w:val="6702612B"/>
    <w:rsid w:val="67060FBE"/>
    <w:rsid w:val="67073DC9"/>
    <w:rsid w:val="670B5D1A"/>
    <w:rsid w:val="67187713"/>
    <w:rsid w:val="67361A4C"/>
    <w:rsid w:val="67380427"/>
    <w:rsid w:val="673812C6"/>
    <w:rsid w:val="675039FA"/>
    <w:rsid w:val="67517C95"/>
    <w:rsid w:val="676149A1"/>
    <w:rsid w:val="6762428C"/>
    <w:rsid w:val="67642FCA"/>
    <w:rsid w:val="6769182C"/>
    <w:rsid w:val="676A5C3B"/>
    <w:rsid w:val="676A7027"/>
    <w:rsid w:val="676F5F65"/>
    <w:rsid w:val="677E6E1E"/>
    <w:rsid w:val="677E7628"/>
    <w:rsid w:val="678205DA"/>
    <w:rsid w:val="67A41B77"/>
    <w:rsid w:val="67A67F01"/>
    <w:rsid w:val="67AD1B83"/>
    <w:rsid w:val="67BB73AF"/>
    <w:rsid w:val="67BD26DA"/>
    <w:rsid w:val="67CC2BFB"/>
    <w:rsid w:val="67DE25DA"/>
    <w:rsid w:val="67E824CD"/>
    <w:rsid w:val="67FD0B83"/>
    <w:rsid w:val="6801582D"/>
    <w:rsid w:val="680447AD"/>
    <w:rsid w:val="680B6E9B"/>
    <w:rsid w:val="6812016E"/>
    <w:rsid w:val="68152865"/>
    <w:rsid w:val="682169EE"/>
    <w:rsid w:val="68243755"/>
    <w:rsid w:val="683E4589"/>
    <w:rsid w:val="684263BC"/>
    <w:rsid w:val="68464DC5"/>
    <w:rsid w:val="684F3FFB"/>
    <w:rsid w:val="685B490D"/>
    <w:rsid w:val="685D0AD1"/>
    <w:rsid w:val="6868046C"/>
    <w:rsid w:val="68841ADE"/>
    <w:rsid w:val="688A60D0"/>
    <w:rsid w:val="689912B9"/>
    <w:rsid w:val="689D3E93"/>
    <w:rsid w:val="68AD53A5"/>
    <w:rsid w:val="68B62319"/>
    <w:rsid w:val="68C024B9"/>
    <w:rsid w:val="68C843C0"/>
    <w:rsid w:val="68D10490"/>
    <w:rsid w:val="68F730E3"/>
    <w:rsid w:val="6908537E"/>
    <w:rsid w:val="6912480D"/>
    <w:rsid w:val="69177D1F"/>
    <w:rsid w:val="691A59E2"/>
    <w:rsid w:val="69332445"/>
    <w:rsid w:val="693B6660"/>
    <w:rsid w:val="694915CA"/>
    <w:rsid w:val="69522D21"/>
    <w:rsid w:val="69542EF0"/>
    <w:rsid w:val="697C2A5E"/>
    <w:rsid w:val="69A65B40"/>
    <w:rsid w:val="69A953C4"/>
    <w:rsid w:val="69B013F1"/>
    <w:rsid w:val="69B82549"/>
    <w:rsid w:val="69B93C3B"/>
    <w:rsid w:val="69D94674"/>
    <w:rsid w:val="69F50C02"/>
    <w:rsid w:val="69F523D1"/>
    <w:rsid w:val="69FF364B"/>
    <w:rsid w:val="69FF6E3D"/>
    <w:rsid w:val="6A0B6169"/>
    <w:rsid w:val="6A0C4557"/>
    <w:rsid w:val="6A2350BB"/>
    <w:rsid w:val="6A256B54"/>
    <w:rsid w:val="6A294333"/>
    <w:rsid w:val="6A386CBD"/>
    <w:rsid w:val="6A445F67"/>
    <w:rsid w:val="6A493D3D"/>
    <w:rsid w:val="6A4C7698"/>
    <w:rsid w:val="6A4F4E07"/>
    <w:rsid w:val="6A4F6E18"/>
    <w:rsid w:val="6A5B2612"/>
    <w:rsid w:val="6A645EFD"/>
    <w:rsid w:val="6A6B170F"/>
    <w:rsid w:val="6A6E6202"/>
    <w:rsid w:val="6A7D3FC4"/>
    <w:rsid w:val="6A7F5BE8"/>
    <w:rsid w:val="6AB64B1A"/>
    <w:rsid w:val="6AB967D1"/>
    <w:rsid w:val="6ABC5E3D"/>
    <w:rsid w:val="6AC00990"/>
    <w:rsid w:val="6AC048C6"/>
    <w:rsid w:val="6AC76B81"/>
    <w:rsid w:val="6ACA084A"/>
    <w:rsid w:val="6AE27287"/>
    <w:rsid w:val="6AE83407"/>
    <w:rsid w:val="6AF73CAF"/>
    <w:rsid w:val="6B066257"/>
    <w:rsid w:val="6B155E07"/>
    <w:rsid w:val="6B161CF0"/>
    <w:rsid w:val="6B1658D5"/>
    <w:rsid w:val="6B165DA5"/>
    <w:rsid w:val="6B174751"/>
    <w:rsid w:val="6B2148C5"/>
    <w:rsid w:val="6B306171"/>
    <w:rsid w:val="6B3F109D"/>
    <w:rsid w:val="6B417EB3"/>
    <w:rsid w:val="6B496CD5"/>
    <w:rsid w:val="6B525830"/>
    <w:rsid w:val="6B535CAE"/>
    <w:rsid w:val="6B573965"/>
    <w:rsid w:val="6B575A68"/>
    <w:rsid w:val="6B607A7C"/>
    <w:rsid w:val="6B607F4C"/>
    <w:rsid w:val="6B6A5AF0"/>
    <w:rsid w:val="6B6B5D6F"/>
    <w:rsid w:val="6B6F4633"/>
    <w:rsid w:val="6B75506E"/>
    <w:rsid w:val="6B7B5544"/>
    <w:rsid w:val="6B7B5DED"/>
    <w:rsid w:val="6B834589"/>
    <w:rsid w:val="6B870C51"/>
    <w:rsid w:val="6B8C2AEF"/>
    <w:rsid w:val="6B8C3596"/>
    <w:rsid w:val="6B91008B"/>
    <w:rsid w:val="6B9E23FA"/>
    <w:rsid w:val="6BA14220"/>
    <w:rsid w:val="6BAA3173"/>
    <w:rsid w:val="6BBA58AE"/>
    <w:rsid w:val="6BBE4C73"/>
    <w:rsid w:val="6BBE72BF"/>
    <w:rsid w:val="6BC63E71"/>
    <w:rsid w:val="6BCB16F6"/>
    <w:rsid w:val="6BCB787A"/>
    <w:rsid w:val="6BDA5F51"/>
    <w:rsid w:val="6BE053C7"/>
    <w:rsid w:val="6C0C1C29"/>
    <w:rsid w:val="6C132158"/>
    <w:rsid w:val="6C191A3A"/>
    <w:rsid w:val="6C1F3963"/>
    <w:rsid w:val="6C22436F"/>
    <w:rsid w:val="6C276253"/>
    <w:rsid w:val="6C3F0FD6"/>
    <w:rsid w:val="6C3F3938"/>
    <w:rsid w:val="6C5F3CA6"/>
    <w:rsid w:val="6C695832"/>
    <w:rsid w:val="6C6C29D9"/>
    <w:rsid w:val="6C6E6960"/>
    <w:rsid w:val="6C757B50"/>
    <w:rsid w:val="6C76757E"/>
    <w:rsid w:val="6C795C18"/>
    <w:rsid w:val="6C7A503E"/>
    <w:rsid w:val="6C803A3E"/>
    <w:rsid w:val="6C8835FC"/>
    <w:rsid w:val="6C8A6C65"/>
    <w:rsid w:val="6C973A2F"/>
    <w:rsid w:val="6C9D0D2C"/>
    <w:rsid w:val="6CA603CD"/>
    <w:rsid w:val="6CA7673A"/>
    <w:rsid w:val="6CA776FA"/>
    <w:rsid w:val="6CAC2E72"/>
    <w:rsid w:val="6CB36D21"/>
    <w:rsid w:val="6CB64CE4"/>
    <w:rsid w:val="6CBE1694"/>
    <w:rsid w:val="6CBF44DA"/>
    <w:rsid w:val="6CC61EE4"/>
    <w:rsid w:val="6CC652DE"/>
    <w:rsid w:val="6CCD74C8"/>
    <w:rsid w:val="6CCF3365"/>
    <w:rsid w:val="6CD30F00"/>
    <w:rsid w:val="6CD41051"/>
    <w:rsid w:val="6CE0221C"/>
    <w:rsid w:val="6CE70F0F"/>
    <w:rsid w:val="6CED7665"/>
    <w:rsid w:val="6CFD1EAF"/>
    <w:rsid w:val="6D072B49"/>
    <w:rsid w:val="6D09622C"/>
    <w:rsid w:val="6D1425B5"/>
    <w:rsid w:val="6D311FF8"/>
    <w:rsid w:val="6D3131F6"/>
    <w:rsid w:val="6D367907"/>
    <w:rsid w:val="6D3B1955"/>
    <w:rsid w:val="6D3E14AA"/>
    <w:rsid w:val="6D3F285C"/>
    <w:rsid w:val="6D441123"/>
    <w:rsid w:val="6D451E03"/>
    <w:rsid w:val="6D4713C4"/>
    <w:rsid w:val="6D510F2F"/>
    <w:rsid w:val="6D6209AD"/>
    <w:rsid w:val="6D6466D9"/>
    <w:rsid w:val="6D7360D5"/>
    <w:rsid w:val="6D7E3711"/>
    <w:rsid w:val="6D8C31DA"/>
    <w:rsid w:val="6D8E261B"/>
    <w:rsid w:val="6D910360"/>
    <w:rsid w:val="6D976907"/>
    <w:rsid w:val="6DA647B9"/>
    <w:rsid w:val="6DAB72D8"/>
    <w:rsid w:val="6DAC6402"/>
    <w:rsid w:val="6DB712B0"/>
    <w:rsid w:val="6DB91794"/>
    <w:rsid w:val="6DBB6061"/>
    <w:rsid w:val="6DBD2048"/>
    <w:rsid w:val="6DC06CF9"/>
    <w:rsid w:val="6DC92557"/>
    <w:rsid w:val="6DD82B5C"/>
    <w:rsid w:val="6DED5FA6"/>
    <w:rsid w:val="6DF53275"/>
    <w:rsid w:val="6E08210C"/>
    <w:rsid w:val="6E0979AE"/>
    <w:rsid w:val="6E0D2AED"/>
    <w:rsid w:val="6E170B51"/>
    <w:rsid w:val="6E191891"/>
    <w:rsid w:val="6E1D5D2B"/>
    <w:rsid w:val="6E2B3E45"/>
    <w:rsid w:val="6E397736"/>
    <w:rsid w:val="6E462064"/>
    <w:rsid w:val="6E4A1ACC"/>
    <w:rsid w:val="6E5A1E1C"/>
    <w:rsid w:val="6E69536A"/>
    <w:rsid w:val="6E7D5BFF"/>
    <w:rsid w:val="6E7D5F44"/>
    <w:rsid w:val="6E847AC9"/>
    <w:rsid w:val="6E8F45DD"/>
    <w:rsid w:val="6E9103B3"/>
    <w:rsid w:val="6E9B4C6B"/>
    <w:rsid w:val="6EA2603B"/>
    <w:rsid w:val="6EA969B8"/>
    <w:rsid w:val="6EAA19EC"/>
    <w:rsid w:val="6EAC4B28"/>
    <w:rsid w:val="6EBF142E"/>
    <w:rsid w:val="6EC73C54"/>
    <w:rsid w:val="6ED15AAA"/>
    <w:rsid w:val="6ED722D3"/>
    <w:rsid w:val="6EDD34E0"/>
    <w:rsid w:val="6EE637AD"/>
    <w:rsid w:val="6EE7141E"/>
    <w:rsid w:val="6EFB3A28"/>
    <w:rsid w:val="6F0137F4"/>
    <w:rsid w:val="6F0403A3"/>
    <w:rsid w:val="6F114EF6"/>
    <w:rsid w:val="6F292BC8"/>
    <w:rsid w:val="6F362B99"/>
    <w:rsid w:val="6F393A1E"/>
    <w:rsid w:val="6F3A6772"/>
    <w:rsid w:val="6F525429"/>
    <w:rsid w:val="6F53446B"/>
    <w:rsid w:val="6F5A549B"/>
    <w:rsid w:val="6F651616"/>
    <w:rsid w:val="6F6F1ADE"/>
    <w:rsid w:val="6F751AEC"/>
    <w:rsid w:val="6F827811"/>
    <w:rsid w:val="6F9008DB"/>
    <w:rsid w:val="6F914270"/>
    <w:rsid w:val="6FA208A3"/>
    <w:rsid w:val="6FAD024B"/>
    <w:rsid w:val="6FB31CD3"/>
    <w:rsid w:val="6FB70DA8"/>
    <w:rsid w:val="6FBD4A8B"/>
    <w:rsid w:val="6FCD682F"/>
    <w:rsid w:val="6FCF7432"/>
    <w:rsid w:val="6FD26F3F"/>
    <w:rsid w:val="6FD33116"/>
    <w:rsid w:val="6FD44282"/>
    <w:rsid w:val="6FD64C2D"/>
    <w:rsid w:val="6FEA0DFA"/>
    <w:rsid w:val="6FEE0C18"/>
    <w:rsid w:val="6FF7446D"/>
    <w:rsid w:val="6FF869A5"/>
    <w:rsid w:val="700023CF"/>
    <w:rsid w:val="7011159A"/>
    <w:rsid w:val="70203FA5"/>
    <w:rsid w:val="70207CAA"/>
    <w:rsid w:val="70252998"/>
    <w:rsid w:val="704177BB"/>
    <w:rsid w:val="704523C0"/>
    <w:rsid w:val="70460E36"/>
    <w:rsid w:val="704E3E9E"/>
    <w:rsid w:val="70540F69"/>
    <w:rsid w:val="706E0B11"/>
    <w:rsid w:val="706F2877"/>
    <w:rsid w:val="70830278"/>
    <w:rsid w:val="70896FF0"/>
    <w:rsid w:val="70925E24"/>
    <w:rsid w:val="70967F6C"/>
    <w:rsid w:val="70A148A2"/>
    <w:rsid w:val="70A148CA"/>
    <w:rsid w:val="70A61D60"/>
    <w:rsid w:val="70A639B5"/>
    <w:rsid w:val="70B65E11"/>
    <w:rsid w:val="70BF6753"/>
    <w:rsid w:val="70C22EC3"/>
    <w:rsid w:val="70C7488D"/>
    <w:rsid w:val="70E07820"/>
    <w:rsid w:val="70E43028"/>
    <w:rsid w:val="70EE4AEA"/>
    <w:rsid w:val="70F47233"/>
    <w:rsid w:val="70F81DE5"/>
    <w:rsid w:val="70F91519"/>
    <w:rsid w:val="70F92FC5"/>
    <w:rsid w:val="70FE1F9D"/>
    <w:rsid w:val="71062A6A"/>
    <w:rsid w:val="711478BF"/>
    <w:rsid w:val="711E068D"/>
    <w:rsid w:val="7120276A"/>
    <w:rsid w:val="712203D1"/>
    <w:rsid w:val="712832BA"/>
    <w:rsid w:val="712C73C3"/>
    <w:rsid w:val="71414588"/>
    <w:rsid w:val="714300F4"/>
    <w:rsid w:val="71482607"/>
    <w:rsid w:val="71525605"/>
    <w:rsid w:val="71603D93"/>
    <w:rsid w:val="7169742F"/>
    <w:rsid w:val="716B0D31"/>
    <w:rsid w:val="71710E1C"/>
    <w:rsid w:val="717A20D8"/>
    <w:rsid w:val="718203F9"/>
    <w:rsid w:val="718504D8"/>
    <w:rsid w:val="7190721B"/>
    <w:rsid w:val="71965F6E"/>
    <w:rsid w:val="719E0DEB"/>
    <w:rsid w:val="71A5317F"/>
    <w:rsid w:val="71AB0DA3"/>
    <w:rsid w:val="71AC20AA"/>
    <w:rsid w:val="71B573EC"/>
    <w:rsid w:val="71BA1F03"/>
    <w:rsid w:val="71C02B50"/>
    <w:rsid w:val="71C17F8B"/>
    <w:rsid w:val="71C25CAC"/>
    <w:rsid w:val="71D112F1"/>
    <w:rsid w:val="71D549B0"/>
    <w:rsid w:val="71E31D6B"/>
    <w:rsid w:val="71ED117C"/>
    <w:rsid w:val="71F31D57"/>
    <w:rsid w:val="7215061B"/>
    <w:rsid w:val="721750DD"/>
    <w:rsid w:val="721763EE"/>
    <w:rsid w:val="721B6CDD"/>
    <w:rsid w:val="72203F91"/>
    <w:rsid w:val="72220A99"/>
    <w:rsid w:val="72273572"/>
    <w:rsid w:val="72325697"/>
    <w:rsid w:val="72483591"/>
    <w:rsid w:val="724F33C0"/>
    <w:rsid w:val="72523BCF"/>
    <w:rsid w:val="72571B7C"/>
    <w:rsid w:val="7258591A"/>
    <w:rsid w:val="725D254C"/>
    <w:rsid w:val="7260132E"/>
    <w:rsid w:val="726C261A"/>
    <w:rsid w:val="726D2330"/>
    <w:rsid w:val="72737A75"/>
    <w:rsid w:val="72750F6A"/>
    <w:rsid w:val="72785B7B"/>
    <w:rsid w:val="727A43F5"/>
    <w:rsid w:val="727A7B45"/>
    <w:rsid w:val="727D1076"/>
    <w:rsid w:val="72834263"/>
    <w:rsid w:val="728624DA"/>
    <w:rsid w:val="72866006"/>
    <w:rsid w:val="72930C07"/>
    <w:rsid w:val="729C3486"/>
    <w:rsid w:val="72A11576"/>
    <w:rsid w:val="72A168A3"/>
    <w:rsid w:val="72B103AD"/>
    <w:rsid w:val="72C214EC"/>
    <w:rsid w:val="72D116C9"/>
    <w:rsid w:val="72D37C81"/>
    <w:rsid w:val="72DC36C2"/>
    <w:rsid w:val="72E719D0"/>
    <w:rsid w:val="72F04FEC"/>
    <w:rsid w:val="72F07514"/>
    <w:rsid w:val="72F11725"/>
    <w:rsid w:val="72F3198A"/>
    <w:rsid w:val="73006781"/>
    <w:rsid w:val="73033AB5"/>
    <w:rsid w:val="731743D4"/>
    <w:rsid w:val="731C2E3A"/>
    <w:rsid w:val="731E6447"/>
    <w:rsid w:val="73362468"/>
    <w:rsid w:val="733E3C79"/>
    <w:rsid w:val="734144A1"/>
    <w:rsid w:val="7342337E"/>
    <w:rsid w:val="73474FE8"/>
    <w:rsid w:val="73522870"/>
    <w:rsid w:val="73577F33"/>
    <w:rsid w:val="73695E53"/>
    <w:rsid w:val="73697769"/>
    <w:rsid w:val="7373279F"/>
    <w:rsid w:val="737B3421"/>
    <w:rsid w:val="738A6344"/>
    <w:rsid w:val="738D3B7F"/>
    <w:rsid w:val="739961C9"/>
    <w:rsid w:val="739A2A1D"/>
    <w:rsid w:val="739C7B26"/>
    <w:rsid w:val="73AC388B"/>
    <w:rsid w:val="73AE06BF"/>
    <w:rsid w:val="73AE7537"/>
    <w:rsid w:val="73AF3BFF"/>
    <w:rsid w:val="73BF671D"/>
    <w:rsid w:val="73D63849"/>
    <w:rsid w:val="73D87FCB"/>
    <w:rsid w:val="73E06EFA"/>
    <w:rsid w:val="73E32710"/>
    <w:rsid w:val="73F558DE"/>
    <w:rsid w:val="740308C7"/>
    <w:rsid w:val="7405486E"/>
    <w:rsid w:val="740A5D3B"/>
    <w:rsid w:val="74115AA4"/>
    <w:rsid w:val="74161CEC"/>
    <w:rsid w:val="741D30F3"/>
    <w:rsid w:val="74244F87"/>
    <w:rsid w:val="74262FEF"/>
    <w:rsid w:val="742D54EB"/>
    <w:rsid w:val="74365605"/>
    <w:rsid w:val="744A072F"/>
    <w:rsid w:val="74572FC1"/>
    <w:rsid w:val="746023E5"/>
    <w:rsid w:val="74867186"/>
    <w:rsid w:val="748F53FE"/>
    <w:rsid w:val="749A30F7"/>
    <w:rsid w:val="74A450B1"/>
    <w:rsid w:val="74BB0A32"/>
    <w:rsid w:val="74C8194E"/>
    <w:rsid w:val="74CB3A62"/>
    <w:rsid w:val="74CC21AE"/>
    <w:rsid w:val="74CD50D1"/>
    <w:rsid w:val="74D2125C"/>
    <w:rsid w:val="74D90C7E"/>
    <w:rsid w:val="74E019C5"/>
    <w:rsid w:val="74EB00D4"/>
    <w:rsid w:val="74EB0CDB"/>
    <w:rsid w:val="74EC4189"/>
    <w:rsid w:val="74F0597F"/>
    <w:rsid w:val="74F768EF"/>
    <w:rsid w:val="74FF4332"/>
    <w:rsid w:val="75095894"/>
    <w:rsid w:val="75194663"/>
    <w:rsid w:val="7528130A"/>
    <w:rsid w:val="753705EB"/>
    <w:rsid w:val="753A7D56"/>
    <w:rsid w:val="7541089C"/>
    <w:rsid w:val="7546287E"/>
    <w:rsid w:val="755C1CB6"/>
    <w:rsid w:val="755E39A4"/>
    <w:rsid w:val="756D1247"/>
    <w:rsid w:val="756D3991"/>
    <w:rsid w:val="757515B1"/>
    <w:rsid w:val="757C1E26"/>
    <w:rsid w:val="757D6CB0"/>
    <w:rsid w:val="757E15CA"/>
    <w:rsid w:val="758A2AF9"/>
    <w:rsid w:val="758C6B04"/>
    <w:rsid w:val="75AC5C63"/>
    <w:rsid w:val="75B037AB"/>
    <w:rsid w:val="75B20B22"/>
    <w:rsid w:val="75B33BB9"/>
    <w:rsid w:val="75C5637C"/>
    <w:rsid w:val="75CD4598"/>
    <w:rsid w:val="75D41E07"/>
    <w:rsid w:val="75D437A2"/>
    <w:rsid w:val="75DC69E9"/>
    <w:rsid w:val="75F47C0F"/>
    <w:rsid w:val="76084B79"/>
    <w:rsid w:val="76085DD4"/>
    <w:rsid w:val="76086287"/>
    <w:rsid w:val="76094709"/>
    <w:rsid w:val="76240770"/>
    <w:rsid w:val="76261D92"/>
    <w:rsid w:val="76391AC6"/>
    <w:rsid w:val="763B77F7"/>
    <w:rsid w:val="76415984"/>
    <w:rsid w:val="76441EF2"/>
    <w:rsid w:val="76590243"/>
    <w:rsid w:val="76593847"/>
    <w:rsid w:val="765E5E7A"/>
    <w:rsid w:val="76680477"/>
    <w:rsid w:val="766E5C13"/>
    <w:rsid w:val="767770E2"/>
    <w:rsid w:val="767B2CDA"/>
    <w:rsid w:val="768074AC"/>
    <w:rsid w:val="76841A59"/>
    <w:rsid w:val="76901537"/>
    <w:rsid w:val="769100D2"/>
    <w:rsid w:val="76911548"/>
    <w:rsid w:val="76962A74"/>
    <w:rsid w:val="769D5371"/>
    <w:rsid w:val="76A47A3A"/>
    <w:rsid w:val="76A51FFC"/>
    <w:rsid w:val="76A60612"/>
    <w:rsid w:val="76AC1DAB"/>
    <w:rsid w:val="76AC673B"/>
    <w:rsid w:val="76B82E04"/>
    <w:rsid w:val="76B91F95"/>
    <w:rsid w:val="76BD39F5"/>
    <w:rsid w:val="76C04F47"/>
    <w:rsid w:val="76CE0493"/>
    <w:rsid w:val="76D00D99"/>
    <w:rsid w:val="76D37AB0"/>
    <w:rsid w:val="76D621D7"/>
    <w:rsid w:val="76DA30E9"/>
    <w:rsid w:val="76E62708"/>
    <w:rsid w:val="76FB522F"/>
    <w:rsid w:val="770F499F"/>
    <w:rsid w:val="77173222"/>
    <w:rsid w:val="772120FA"/>
    <w:rsid w:val="772357B5"/>
    <w:rsid w:val="772478AC"/>
    <w:rsid w:val="773D2F84"/>
    <w:rsid w:val="773F132D"/>
    <w:rsid w:val="774066FF"/>
    <w:rsid w:val="77480385"/>
    <w:rsid w:val="775444AD"/>
    <w:rsid w:val="77583C4C"/>
    <w:rsid w:val="77600A6F"/>
    <w:rsid w:val="77614A4C"/>
    <w:rsid w:val="77650E22"/>
    <w:rsid w:val="7765364D"/>
    <w:rsid w:val="776876FA"/>
    <w:rsid w:val="7771566A"/>
    <w:rsid w:val="77754420"/>
    <w:rsid w:val="77873DC0"/>
    <w:rsid w:val="77906CA0"/>
    <w:rsid w:val="77A86FB8"/>
    <w:rsid w:val="77AA1A29"/>
    <w:rsid w:val="77AB3CC9"/>
    <w:rsid w:val="77B13371"/>
    <w:rsid w:val="77B2597A"/>
    <w:rsid w:val="77C74E6E"/>
    <w:rsid w:val="77C91936"/>
    <w:rsid w:val="77D03781"/>
    <w:rsid w:val="77D67297"/>
    <w:rsid w:val="77DB2A4D"/>
    <w:rsid w:val="77DC3E97"/>
    <w:rsid w:val="77E36726"/>
    <w:rsid w:val="77E83B5D"/>
    <w:rsid w:val="77E954BC"/>
    <w:rsid w:val="77F25450"/>
    <w:rsid w:val="77F435A1"/>
    <w:rsid w:val="780A260F"/>
    <w:rsid w:val="780E1879"/>
    <w:rsid w:val="78101A7C"/>
    <w:rsid w:val="78144598"/>
    <w:rsid w:val="78271CC0"/>
    <w:rsid w:val="78292D1F"/>
    <w:rsid w:val="785C7CED"/>
    <w:rsid w:val="785D6A7A"/>
    <w:rsid w:val="78634002"/>
    <w:rsid w:val="78657F82"/>
    <w:rsid w:val="786E6819"/>
    <w:rsid w:val="78715547"/>
    <w:rsid w:val="788C05D2"/>
    <w:rsid w:val="78A31478"/>
    <w:rsid w:val="78A70F68"/>
    <w:rsid w:val="78AD3EE9"/>
    <w:rsid w:val="78B27FCB"/>
    <w:rsid w:val="78B37CA1"/>
    <w:rsid w:val="78BB2162"/>
    <w:rsid w:val="78BF13BE"/>
    <w:rsid w:val="78C17092"/>
    <w:rsid w:val="78C87A25"/>
    <w:rsid w:val="78D36002"/>
    <w:rsid w:val="78D470D8"/>
    <w:rsid w:val="78EB4850"/>
    <w:rsid w:val="78F14C53"/>
    <w:rsid w:val="790C1713"/>
    <w:rsid w:val="790F3350"/>
    <w:rsid w:val="79156927"/>
    <w:rsid w:val="79193605"/>
    <w:rsid w:val="791E2088"/>
    <w:rsid w:val="7922752A"/>
    <w:rsid w:val="79293035"/>
    <w:rsid w:val="792A72E8"/>
    <w:rsid w:val="792F7F47"/>
    <w:rsid w:val="793F4DDD"/>
    <w:rsid w:val="79546FAB"/>
    <w:rsid w:val="795F0B63"/>
    <w:rsid w:val="796C129E"/>
    <w:rsid w:val="796F26C1"/>
    <w:rsid w:val="79863BB4"/>
    <w:rsid w:val="798A57D2"/>
    <w:rsid w:val="798E2128"/>
    <w:rsid w:val="79947E0E"/>
    <w:rsid w:val="799A557D"/>
    <w:rsid w:val="79A0525E"/>
    <w:rsid w:val="79A8143C"/>
    <w:rsid w:val="79B17BA3"/>
    <w:rsid w:val="79C52C81"/>
    <w:rsid w:val="79C97D76"/>
    <w:rsid w:val="79CB3F8A"/>
    <w:rsid w:val="79D11F65"/>
    <w:rsid w:val="79D40E0D"/>
    <w:rsid w:val="79D6367C"/>
    <w:rsid w:val="79D815F5"/>
    <w:rsid w:val="79DD26AE"/>
    <w:rsid w:val="79E20577"/>
    <w:rsid w:val="79E367D2"/>
    <w:rsid w:val="79E606E0"/>
    <w:rsid w:val="79E87A8A"/>
    <w:rsid w:val="79ED06DF"/>
    <w:rsid w:val="79F86132"/>
    <w:rsid w:val="79FE192A"/>
    <w:rsid w:val="7A0B7350"/>
    <w:rsid w:val="7A0C1EDB"/>
    <w:rsid w:val="7A262361"/>
    <w:rsid w:val="7A302C82"/>
    <w:rsid w:val="7A3B2C13"/>
    <w:rsid w:val="7A3F5543"/>
    <w:rsid w:val="7A5175FF"/>
    <w:rsid w:val="7A6200CD"/>
    <w:rsid w:val="7A675C14"/>
    <w:rsid w:val="7A6D28DA"/>
    <w:rsid w:val="7A6D61E2"/>
    <w:rsid w:val="7A724AF2"/>
    <w:rsid w:val="7A7B44BE"/>
    <w:rsid w:val="7A7D2600"/>
    <w:rsid w:val="7A7E5FBE"/>
    <w:rsid w:val="7A873BB3"/>
    <w:rsid w:val="7A8F7F06"/>
    <w:rsid w:val="7A933A53"/>
    <w:rsid w:val="7A9350B8"/>
    <w:rsid w:val="7A99605C"/>
    <w:rsid w:val="7A9B0DE0"/>
    <w:rsid w:val="7A9E157D"/>
    <w:rsid w:val="7AA528A4"/>
    <w:rsid w:val="7AAF6B85"/>
    <w:rsid w:val="7ABB40AE"/>
    <w:rsid w:val="7AC24328"/>
    <w:rsid w:val="7ACE07DF"/>
    <w:rsid w:val="7AE609A0"/>
    <w:rsid w:val="7AF67026"/>
    <w:rsid w:val="7AFA0EA6"/>
    <w:rsid w:val="7B0130F4"/>
    <w:rsid w:val="7B034450"/>
    <w:rsid w:val="7B0D5DB9"/>
    <w:rsid w:val="7B1611E6"/>
    <w:rsid w:val="7B186C95"/>
    <w:rsid w:val="7B191639"/>
    <w:rsid w:val="7B2A7456"/>
    <w:rsid w:val="7B3473B8"/>
    <w:rsid w:val="7B3D17B2"/>
    <w:rsid w:val="7B455470"/>
    <w:rsid w:val="7B46268C"/>
    <w:rsid w:val="7B47082D"/>
    <w:rsid w:val="7B4F4072"/>
    <w:rsid w:val="7B5960C8"/>
    <w:rsid w:val="7B5E0327"/>
    <w:rsid w:val="7B5F5B2A"/>
    <w:rsid w:val="7B6C46EB"/>
    <w:rsid w:val="7B7F441F"/>
    <w:rsid w:val="7B8A65F5"/>
    <w:rsid w:val="7B9368AD"/>
    <w:rsid w:val="7BA63759"/>
    <w:rsid w:val="7BA80E68"/>
    <w:rsid w:val="7BB9184C"/>
    <w:rsid w:val="7BD10EA0"/>
    <w:rsid w:val="7BD82D8F"/>
    <w:rsid w:val="7BDF4EBD"/>
    <w:rsid w:val="7BE85207"/>
    <w:rsid w:val="7BF42CAC"/>
    <w:rsid w:val="7BF87D2D"/>
    <w:rsid w:val="7C045B75"/>
    <w:rsid w:val="7C1F1A6F"/>
    <w:rsid w:val="7C25144F"/>
    <w:rsid w:val="7C2B2391"/>
    <w:rsid w:val="7C2E1994"/>
    <w:rsid w:val="7C3242A6"/>
    <w:rsid w:val="7C46335B"/>
    <w:rsid w:val="7C4E09AB"/>
    <w:rsid w:val="7C5251D9"/>
    <w:rsid w:val="7C766094"/>
    <w:rsid w:val="7C784496"/>
    <w:rsid w:val="7C807725"/>
    <w:rsid w:val="7C843388"/>
    <w:rsid w:val="7C8731BB"/>
    <w:rsid w:val="7CA05ACD"/>
    <w:rsid w:val="7CA45A12"/>
    <w:rsid w:val="7CC737C4"/>
    <w:rsid w:val="7CCC1FB6"/>
    <w:rsid w:val="7CDD2B4F"/>
    <w:rsid w:val="7CF27161"/>
    <w:rsid w:val="7CFF3BB1"/>
    <w:rsid w:val="7D0173BD"/>
    <w:rsid w:val="7D0907A1"/>
    <w:rsid w:val="7D1727C4"/>
    <w:rsid w:val="7D18150D"/>
    <w:rsid w:val="7D1974AD"/>
    <w:rsid w:val="7D2422A4"/>
    <w:rsid w:val="7D286322"/>
    <w:rsid w:val="7D31246A"/>
    <w:rsid w:val="7D41086F"/>
    <w:rsid w:val="7D436669"/>
    <w:rsid w:val="7D4561D4"/>
    <w:rsid w:val="7D511E13"/>
    <w:rsid w:val="7D561B88"/>
    <w:rsid w:val="7D6876FE"/>
    <w:rsid w:val="7D7019F1"/>
    <w:rsid w:val="7D840B6D"/>
    <w:rsid w:val="7D852AF3"/>
    <w:rsid w:val="7D8728F0"/>
    <w:rsid w:val="7D8776C5"/>
    <w:rsid w:val="7D8C67FD"/>
    <w:rsid w:val="7DC145EF"/>
    <w:rsid w:val="7DCA60A9"/>
    <w:rsid w:val="7DCC4BB2"/>
    <w:rsid w:val="7DD50946"/>
    <w:rsid w:val="7DDB4500"/>
    <w:rsid w:val="7DE40569"/>
    <w:rsid w:val="7DF01FDC"/>
    <w:rsid w:val="7DF1420C"/>
    <w:rsid w:val="7DF90C59"/>
    <w:rsid w:val="7DFB4A46"/>
    <w:rsid w:val="7DFD1BBE"/>
    <w:rsid w:val="7DFE1F67"/>
    <w:rsid w:val="7E13771B"/>
    <w:rsid w:val="7E14224E"/>
    <w:rsid w:val="7E1D4EBE"/>
    <w:rsid w:val="7E215319"/>
    <w:rsid w:val="7E262D0A"/>
    <w:rsid w:val="7E2D0ED7"/>
    <w:rsid w:val="7E370D29"/>
    <w:rsid w:val="7E3F0118"/>
    <w:rsid w:val="7E4252C2"/>
    <w:rsid w:val="7E555F1F"/>
    <w:rsid w:val="7E566BF3"/>
    <w:rsid w:val="7E635B24"/>
    <w:rsid w:val="7E674C8E"/>
    <w:rsid w:val="7E733CEE"/>
    <w:rsid w:val="7E784322"/>
    <w:rsid w:val="7E81400A"/>
    <w:rsid w:val="7E876F2C"/>
    <w:rsid w:val="7E972339"/>
    <w:rsid w:val="7EA51D37"/>
    <w:rsid w:val="7EB2465F"/>
    <w:rsid w:val="7EBE3382"/>
    <w:rsid w:val="7EBE5D2D"/>
    <w:rsid w:val="7EBF0A0E"/>
    <w:rsid w:val="7EBF4162"/>
    <w:rsid w:val="7EC062CE"/>
    <w:rsid w:val="7EC30EDC"/>
    <w:rsid w:val="7EC32348"/>
    <w:rsid w:val="7ED16FDB"/>
    <w:rsid w:val="7ED27E41"/>
    <w:rsid w:val="7ED4224E"/>
    <w:rsid w:val="7ED820A5"/>
    <w:rsid w:val="7EDD6480"/>
    <w:rsid w:val="7EE11B79"/>
    <w:rsid w:val="7EE25A57"/>
    <w:rsid w:val="7EE633BC"/>
    <w:rsid w:val="7EE84162"/>
    <w:rsid w:val="7F0044E8"/>
    <w:rsid w:val="7F175DC5"/>
    <w:rsid w:val="7F2C5F2D"/>
    <w:rsid w:val="7F2F0A17"/>
    <w:rsid w:val="7F327CF2"/>
    <w:rsid w:val="7F343772"/>
    <w:rsid w:val="7F3B1130"/>
    <w:rsid w:val="7F43785A"/>
    <w:rsid w:val="7F44420B"/>
    <w:rsid w:val="7F52000F"/>
    <w:rsid w:val="7F587B97"/>
    <w:rsid w:val="7F671451"/>
    <w:rsid w:val="7F677DDD"/>
    <w:rsid w:val="7F792334"/>
    <w:rsid w:val="7F894CE9"/>
    <w:rsid w:val="7F8A46E2"/>
    <w:rsid w:val="7F9A3E11"/>
    <w:rsid w:val="7F9B35F5"/>
    <w:rsid w:val="7FB83A5B"/>
    <w:rsid w:val="7FB8482C"/>
    <w:rsid w:val="7FBC3E60"/>
    <w:rsid w:val="7FC74075"/>
    <w:rsid w:val="7FC85B2D"/>
    <w:rsid w:val="7FCA0222"/>
    <w:rsid w:val="7FDE02FA"/>
    <w:rsid w:val="7FFC1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0"/>
    <w:pPr>
      <w:keepNext/>
      <w:keepLines/>
      <w:numPr>
        <w:ilvl w:val="1"/>
        <w:numId w:val="1"/>
      </w:numPr>
      <w:spacing w:before="260" w:after="260" w:line="416" w:lineRule="auto"/>
      <w:outlineLvl w:val="1"/>
    </w:pPr>
    <w:rPr>
      <w:rFonts w:ascii="Times New Roman" w:hAnsi="Times New Roman" w:eastAsia="黑体"/>
      <w:b/>
      <w:bCs/>
      <w:sz w:val="30"/>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outlineLvl w:val="3"/>
    </w:pPr>
    <w:rPr>
      <w:rFonts w:ascii="Times New Roman" w:hAnsi="Times New Roman" w:eastAsia="宋体" w:cs="Times New Roman"/>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paragraph" w:styleId="7">
    <w:name w:val="Normal Indent"/>
    <w:basedOn w:val="1"/>
    <w:qFormat/>
    <w:uiPriority w:val="0"/>
    <w:pPr>
      <w:widowControl/>
      <w:ind w:firstLine="420"/>
      <w:jc w:val="left"/>
    </w:pPr>
    <w:rPr>
      <w:rFonts w:ascii="Calibri" w:hAnsi="Calibri" w:eastAsia="宋体" w:cs="Times New Roman"/>
      <w:szCs w:val="22"/>
    </w:rPr>
  </w:style>
  <w:style w:type="paragraph" w:styleId="8">
    <w:name w:val="annotation text"/>
    <w:basedOn w:val="1"/>
    <w:qFormat/>
    <w:uiPriority w:val="0"/>
    <w:pPr>
      <w:jc w:val="left"/>
    </w:pPr>
  </w:style>
  <w:style w:type="paragraph" w:styleId="9">
    <w:name w:val="Body Text"/>
    <w:basedOn w:val="1"/>
    <w:qFormat/>
    <w:uiPriority w:val="0"/>
  </w:style>
  <w:style w:type="paragraph" w:styleId="10">
    <w:name w:val="Body Text Indent"/>
    <w:basedOn w:val="1"/>
    <w:qFormat/>
    <w:uiPriority w:val="0"/>
    <w:pPr>
      <w:spacing w:line="360" w:lineRule="auto"/>
    </w:pPr>
    <w:rPr>
      <w:rFonts w:ascii="仿宋体" w:eastAsia="仿宋体"/>
      <w:sz w:val="24"/>
    </w:rPr>
  </w:style>
  <w:style w:type="paragraph" w:styleId="11">
    <w:name w:val="Plain Text"/>
    <w:basedOn w:val="1"/>
    <w:unhideWhenUsed/>
    <w:qFormat/>
    <w:uiPriority w:val="99"/>
    <w:rPr>
      <w:rFonts w:ascii="宋体" w:hAnsi="Courier New" w:cs="Courier New"/>
      <w:szCs w:val="21"/>
    </w:rPr>
  </w:style>
  <w:style w:type="paragraph" w:styleId="12">
    <w:name w:val="Date"/>
    <w:basedOn w:val="1"/>
    <w:next w:val="1"/>
    <w:qFormat/>
    <w:uiPriority w:val="0"/>
    <w:pPr>
      <w:ind w:left="100" w:leftChars="2500"/>
    </w:pPr>
    <w:rPr>
      <w:rFonts w:ascii="华文仿宋" w:hAnsi="华文仿宋" w:eastAsia="华文仿宋"/>
      <w:sz w:val="24"/>
    </w:rPr>
  </w:style>
  <w:style w:type="paragraph" w:styleId="13">
    <w:name w:val="Body Text Indent 2"/>
    <w:basedOn w:val="1"/>
    <w:qFormat/>
    <w:uiPriority w:val="0"/>
    <w:pPr>
      <w:spacing w:line="360" w:lineRule="auto"/>
      <w:ind w:left="839" w:hanging="839" w:hangingChars="355"/>
    </w:pPr>
    <w:rPr>
      <w:b/>
      <w:sz w:val="24"/>
    </w:rPr>
  </w:style>
  <w:style w:type="paragraph" w:styleId="14">
    <w:name w:val="Balloon Text"/>
    <w:basedOn w:val="1"/>
    <w:link w:val="33"/>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9"/>
    <w:qFormat/>
    <w:uiPriority w:val="0"/>
    <w:pPr>
      <w:ind w:firstLine="420" w:firstLineChars="100"/>
    </w:pPr>
    <w:rPr>
      <w:szCs w:val="21"/>
    </w:rPr>
  </w:style>
  <w:style w:type="table" w:styleId="21">
    <w:name w:val="Table Grid"/>
    <w:basedOn w:val="20"/>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paragraph" w:customStyle="1" w:styleId="26">
    <w:name w:val="默认段落字体 Para Char"/>
    <w:basedOn w:val="1"/>
    <w:qFormat/>
    <w:uiPriority w:val="0"/>
    <w:pPr>
      <w:adjustRightInd w:val="0"/>
      <w:spacing w:line="360" w:lineRule="auto"/>
    </w:p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列出段落1"/>
    <w:basedOn w:val="1"/>
    <w:qFormat/>
    <w:uiPriority w:val="34"/>
    <w:pPr>
      <w:ind w:firstLine="420" w:firstLineChars="200"/>
    </w:pPr>
  </w:style>
  <w:style w:type="character" w:customStyle="1" w:styleId="30">
    <w:name w:val="font11"/>
    <w:basedOn w:val="22"/>
    <w:qFormat/>
    <w:uiPriority w:val="0"/>
    <w:rPr>
      <w:rFonts w:hint="default" w:ascii="Times New Roman" w:hAnsi="Times New Roman" w:cs="Times New Roman"/>
      <w:color w:val="000000"/>
      <w:sz w:val="24"/>
      <w:szCs w:val="24"/>
      <w:u w:val="none"/>
    </w:rPr>
  </w:style>
  <w:style w:type="character" w:customStyle="1" w:styleId="31">
    <w:name w:val="font31"/>
    <w:basedOn w:val="22"/>
    <w:qFormat/>
    <w:uiPriority w:val="0"/>
    <w:rPr>
      <w:rFonts w:hint="eastAsia" w:ascii="宋体" w:hAnsi="宋体" w:eastAsia="宋体" w:cs="宋体"/>
      <w:color w:val="000000"/>
      <w:sz w:val="24"/>
      <w:szCs w:val="24"/>
      <w:u w:val="none"/>
    </w:rPr>
  </w:style>
  <w:style w:type="paragraph" w:customStyle="1" w:styleId="32">
    <w:name w:val="WPS Plain"/>
    <w:qFormat/>
    <w:uiPriority w:val="0"/>
    <w:rPr>
      <w:rFonts w:ascii="Times New Roman" w:hAnsi="Times New Roman" w:eastAsia="宋体" w:cs="Times New Roman"/>
      <w:lang w:val="en-US" w:eastAsia="zh-CN" w:bidi="ar-SA"/>
    </w:rPr>
  </w:style>
  <w:style w:type="character" w:customStyle="1" w:styleId="33">
    <w:name w:val="批注框文本 Char"/>
    <w:basedOn w:val="22"/>
    <w:link w:val="14"/>
    <w:qFormat/>
    <w:uiPriority w:val="0"/>
    <w:rPr>
      <w:kern w:val="2"/>
      <w:sz w:val="18"/>
      <w:szCs w:val="18"/>
    </w:rPr>
  </w:style>
  <w:style w:type="paragraph" w:customStyle="1" w:styleId="3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
    <w:name w:val="采购正文"/>
    <w:basedOn w:val="1"/>
    <w:qFormat/>
    <w:uiPriority w:val="0"/>
    <w:pPr>
      <w:snapToGrid w:val="0"/>
      <w:spacing w:line="560" w:lineRule="exact"/>
      <w:ind w:firstLine="480" w:firstLineChars="200"/>
    </w:pPr>
    <w:rPr>
      <w:rFonts w:ascii="仿宋" w:hAnsi="仿宋" w:eastAsia="仿宋"/>
      <w:sz w:val="24"/>
    </w:rPr>
  </w:style>
  <w:style w:type="paragraph" w:customStyle="1" w:styleId="36">
    <w:name w:val="采购二级"/>
    <w:basedOn w:val="1"/>
    <w:qFormat/>
    <w:uiPriority w:val="99"/>
    <w:pPr>
      <w:snapToGrid w:val="0"/>
      <w:spacing w:line="560" w:lineRule="exact"/>
      <w:ind w:firstLine="480" w:firstLineChars="200"/>
      <w:outlineLvl w:val="1"/>
    </w:pPr>
    <w:rPr>
      <w:rFonts w:ascii="仿宋" w:hAnsi="仿宋" w:eastAsia="仿宋"/>
      <w:b/>
      <w:sz w:val="24"/>
    </w:rPr>
  </w:style>
  <w:style w:type="paragraph" w:styleId="37">
    <w:name w:val="List Paragraph"/>
    <w:basedOn w:val="1"/>
    <w:qFormat/>
    <w:uiPriority w:val="34"/>
    <w:pPr>
      <w:ind w:firstLine="420" w:firstLineChars="200"/>
    </w:pPr>
  </w:style>
  <w:style w:type="paragraph" w:customStyle="1" w:styleId="38">
    <w:name w:val="Table Paragraph"/>
    <w:basedOn w:val="1"/>
    <w:qFormat/>
    <w:uiPriority w:val="1"/>
    <w:rPr>
      <w:rFonts w:ascii="宋体" w:hAnsi="宋体" w:cs="宋体"/>
      <w:lang w:val="zh-CN" w:bidi="zh-CN"/>
    </w:rPr>
  </w:style>
  <w:style w:type="paragraph" w:customStyle="1" w:styleId="39">
    <w:name w:val="Item List in Table"/>
    <w:basedOn w:val="1"/>
    <w:qFormat/>
    <w:uiPriority w:val="0"/>
    <w:pPr>
      <w:numPr>
        <w:ilvl w:val="0"/>
        <w:numId w:val="2"/>
      </w:numPr>
      <w:tabs>
        <w:tab w:val="left" w:pos="420"/>
        <w:tab w:val="clear" w:pos="960"/>
      </w:tabs>
      <w:jc w:val="left"/>
    </w:pPr>
    <w:rPr>
      <w:rFonts w:eastAsia="宋体"/>
      <w:sz w:val="21"/>
      <w:szCs w:val="24"/>
    </w:rPr>
  </w:style>
  <w:style w:type="character" w:customStyle="1" w:styleId="40">
    <w:name w:val="font01"/>
    <w:basedOn w:val="22"/>
    <w:qFormat/>
    <w:uiPriority w:val="0"/>
    <w:rPr>
      <w:rFonts w:ascii="黑体" w:hAnsi="宋体" w:eastAsia="黑体" w:cs="黑体"/>
      <w:color w:val="000000"/>
      <w:sz w:val="36"/>
      <w:szCs w:val="36"/>
      <w:u w:val="none"/>
    </w:rPr>
  </w:style>
  <w:style w:type="character" w:customStyle="1" w:styleId="41">
    <w:name w:val="font21"/>
    <w:basedOn w:val="22"/>
    <w:qFormat/>
    <w:uiPriority w:val="0"/>
    <w:rPr>
      <w:rFonts w:hint="eastAsia" w:ascii="仿宋" w:hAnsi="仿宋" w:eastAsia="仿宋" w:cs="仿宋"/>
      <w:color w:val="000000"/>
      <w:sz w:val="32"/>
      <w:szCs w:val="32"/>
      <w:u w:val="none"/>
    </w:rPr>
  </w:style>
  <w:style w:type="paragraph" w:customStyle="1" w:styleId="42">
    <w:name w:val="样式 样式 样式 左侧:  2 字符1 + 首行缩进:  2 字符1 + 首行缩进:  2 字符"/>
    <w:basedOn w:val="1"/>
    <w:qFormat/>
    <w:uiPriority w:val="99"/>
    <w:pPr>
      <w:widowControl/>
      <w:spacing w:before="60" w:after="120" w:line="440" w:lineRule="atLeast"/>
      <w:ind w:firstLine="480"/>
    </w:pPr>
    <w:rPr>
      <w:rFonts w:hint="eastAsia"/>
      <w:sz w:val="24"/>
      <w:szCs w:val="20"/>
    </w:rPr>
  </w:style>
  <w:style w:type="paragraph" w:customStyle="1" w:styleId="43">
    <w:name w:val="智业正文"/>
    <w:basedOn w:val="19"/>
    <w:qFormat/>
    <w:uiPriority w:val="0"/>
    <w:pPr>
      <w:spacing w:after="0"/>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textRotate="1"/>
    <customShpInfo spid="_x0000_s1036" textRotate="1"/>
    <customShpInfo spid="_x0000_s103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38590</Words>
  <Characters>40257</Characters>
  <Lines>201</Lines>
  <Paragraphs>56</Paragraphs>
  <TotalTime>12</TotalTime>
  <ScaleCrop>false</ScaleCrop>
  <LinksUpToDate>false</LinksUpToDate>
  <CharactersWithSpaces>41662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虫儿飞</cp:lastModifiedBy>
  <cp:lastPrinted>2019-05-09T12:07:00Z</cp:lastPrinted>
  <dcterms:modified xsi:type="dcterms:W3CDTF">2023-03-01T03:14:27Z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704CBE48334647148DB6DA4AE0A72E49</vt:lpwstr>
  </property>
</Properties>
</file>