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rPr>
          <w:rFonts w:ascii="仿宋" w:hAnsi="仿宋" w:eastAsia="仿宋" w:cs="仿宋"/>
          <w:b/>
          <w:sz w:val="52"/>
          <w:szCs w:val="52"/>
        </w:rPr>
      </w:pPr>
      <w:r>
        <w:rPr>
          <w:rFonts w:hint="eastAsia" w:ascii="仿宋" w:hAnsi="仿宋" w:eastAsia="仿宋" w:cs="仿宋"/>
          <w:bCs/>
          <w:sz w:val="28"/>
          <w:szCs w:val="28"/>
        </w:rPr>
        <w:t xml:space="preserve">                   </w:t>
      </w:r>
    </w:p>
    <w:p>
      <w:pPr>
        <w:widowControl/>
        <w:jc w:val="center"/>
        <w:outlineLvl w:val="0"/>
        <w:rPr>
          <w:rFonts w:hint="eastAsia" w:ascii="仿宋" w:hAnsi="仿宋" w:eastAsia="仿宋" w:cs="仿宋"/>
          <w:b/>
          <w:sz w:val="48"/>
          <w:szCs w:val="48"/>
        </w:rPr>
      </w:pPr>
      <w:bookmarkStart w:id="0" w:name="_Toc21793"/>
      <w:bookmarkStart w:id="1" w:name="_Toc6857"/>
      <w:bookmarkStart w:id="2" w:name="_Toc3653"/>
      <w:bookmarkStart w:id="3" w:name="_Toc22583"/>
      <w:r>
        <w:rPr>
          <w:rFonts w:hint="eastAsia" w:ascii="仿宋" w:hAnsi="仿宋" w:eastAsia="仿宋" w:cs="仿宋"/>
          <w:b/>
          <w:sz w:val="48"/>
          <w:szCs w:val="48"/>
        </w:rPr>
        <w:t>吐鲁番市2023年中央自然灾害防治</w:t>
      </w:r>
      <w:bookmarkEnd w:id="0"/>
      <w:bookmarkEnd w:id="1"/>
      <w:bookmarkEnd w:id="2"/>
      <w:bookmarkEnd w:id="3"/>
    </w:p>
    <w:p>
      <w:pPr>
        <w:widowControl/>
        <w:jc w:val="center"/>
        <w:outlineLvl w:val="0"/>
        <w:rPr>
          <w:rFonts w:ascii="仿宋" w:hAnsi="仿宋" w:eastAsia="仿宋" w:cs="仿宋"/>
        </w:rPr>
      </w:pPr>
      <w:bookmarkStart w:id="4" w:name="_Toc10920"/>
      <w:bookmarkStart w:id="5" w:name="_Toc22270"/>
      <w:bookmarkStart w:id="6" w:name="_Toc11905"/>
      <w:bookmarkStart w:id="7" w:name="_Toc20792"/>
      <w:r>
        <w:rPr>
          <w:rFonts w:hint="eastAsia" w:ascii="仿宋" w:hAnsi="仿宋" w:eastAsia="仿宋" w:cs="仿宋"/>
          <w:b/>
          <w:sz w:val="48"/>
          <w:szCs w:val="48"/>
        </w:rPr>
        <w:t>体系建设项目</w:t>
      </w:r>
      <w:bookmarkEnd w:id="4"/>
      <w:bookmarkEnd w:id="5"/>
      <w:bookmarkEnd w:id="6"/>
      <w:bookmarkEnd w:id="7"/>
    </w:p>
    <w:p>
      <w:pPr>
        <w:widowControl/>
        <w:jc w:val="left"/>
        <w:rPr>
          <w:rFonts w:ascii="仿宋" w:hAnsi="仿宋" w:eastAsia="仿宋" w:cs="仿宋"/>
        </w:rPr>
      </w:pPr>
    </w:p>
    <w:p>
      <w:pPr>
        <w:widowControl/>
        <w:jc w:val="left"/>
        <w:rPr>
          <w:rFonts w:ascii="仿宋" w:hAnsi="仿宋" w:eastAsia="仿宋" w:cs="仿宋"/>
        </w:rPr>
      </w:pPr>
    </w:p>
    <w:p>
      <w:pPr>
        <w:pStyle w:val="11"/>
      </w:pPr>
    </w:p>
    <w:p>
      <w:pPr>
        <w:pStyle w:val="4"/>
        <w:ind w:firstLine="480"/>
      </w:pPr>
    </w:p>
    <w:p>
      <w:pPr>
        <w:spacing w:line="240" w:lineRule="atLeast"/>
        <w:jc w:val="center"/>
        <w:rPr>
          <w:rFonts w:ascii="仿宋" w:hAnsi="仿宋" w:eastAsia="仿宋" w:cs="仿宋"/>
          <w:bCs/>
          <w:sz w:val="52"/>
          <w:szCs w:val="52"/>
        </w:rPr>
      </w:pPr>
      <w:r>
        <w:rPr>
          <w:rFonts w:hint="eastAsia" w:ascii="仿宋" w:hAnsi="仿宋" w:eastAsia="仿宋" w:cs="仿宋"/>
          <w:bCs/>
          <w:sz w:val="52"/>
          <w:szCs w:val="52"/>
        </w:rPr>
        <w:t xml:space="preserve"> </w:t>
      </w:r>
      <w:r>
        <w:rPr>
          <w:rFonts w:hint="eastAsia" w:ascii="仿宋" w:hAnsi="仿宋" w:eastAsia="仿宋" w:cs="仿宋"/>
          <w:b/>
          <w:sz w:val="52"/>
          <w:szCs w:val="52"/>
        </w:rPr>
        <w:t>采购文件</w:t>
      </w:r>
    </w:p>
    <w:p>
      <w:pPr>
        <w:spacing w:line="240" w:lineRule="atLeast"/>
        <w:ind w:left="1080" w:leftChars="257" w:hanging="540"/>
        <w:jc w:val="center"/>
        <w:rPr>
          <w:rFonts w:ascii="仿宋" w:hAnsi="仿宋" w:eastAsia="仿宋" w:cs="仿宋"/>
          <w:bCs/>
          <w:sz w:val="52"/>
          <w:szCs w:val="52"/>
        </w:rPr>
      </w:pPr>
    </w:p>
    <w:p>
      <w:pPr>
        <w:spacing w:line="240" w:lineRule="atLeast"/>
        <w:ind w:left="1080" w:leftChars="257" w:hanging="540"/>
        <w:jc w:val="center"/>
        <w:rPr>
          <w:rFonts w:ascii="仿宋" w:hAnsi="仿宋" w:eastAsia="仿宋" w:cs="仿宋"/>
          <w:bCs/>
          <w:sz w:val="32"/>
          <w:szCs w:val="32"/>
        </w:rPr>
      </w:pPr>
      <w:r>
        <w:rPr>
          <w:rFonts w:hint="eastAsia" w:ascii="仿宋" w:hAnsi="仿宋" w:eastAsia="仿宋" w:cs="仿宋"/>
          <w:bCs/>
          <w:sz w:val="32"/>
          <w:szCs w:val="32"/>
        </w:rPr>
        <w:t>（项目编号：GYZB-TLFDZFZ2023）</w:t>
      </w:r>
    </w:p>
    <w:p>
      <w:pPr>
        <w:spacing w:line="240" w:lineRule="atLeast"/>
        <w:ind w:left="1080" w:leftChars="257" w:hanging="540"/>
        <w:jc w:val="center"/>
        <w:rPr>
          <w:rFonts w:ascii="仿宋" w:hAnsi="仿宋" w:eastAsia="仿宋" w:cs="仿宋"/>
          <w:b/>
          <w:sz w:val="32"/>
          <w:szCs w:val="32"/>
        </w:rPr>
      </w:pPr>
    </w:p>
    <w:p>
      <w:pPr>
        <w:spacing w:line="240" w:lineRule="atLeast"/>
        <w:ind w:left="1079" w:leftChars="257" w:hanging="539"/>
        <w:jc w:val="center"/>
        <w:outlineLvl w:val="0"/>
        <w:rPr>
          <w:rFonts w:ascii="仿宋" w:hAnsi="仿宋" w:eastAsia="仿宋" w:cs="仿宋"/>
          <w:b/>
          <w:sz w:val="36"/>
          <w:szCs w:val="36"/>
        </w:rPr>
      </w:pPr>
      <w:bookmarkStart w:id="8" w:name="_Toc21682"/>
      <w:bookmarkStart w:id="9" w:name="_Toc1410"/>
      <w:bookmarkStart w:id="10" w:name="_Toc874"/>
      <w:bookmarkStart w:id="11" w:name="_Toc2092"/>
      <w:r>
        <w:rPr>
          <w:rFonts w:hint="eastAsia" w:ascii="仿宋" w:hAnsi="仿宋" w:eastAsia="仿宋" w:cs="仿宋"/>
          <w:b/>
          <w:sz w:val="36"/>
          <w:szCs w:val="36"/>
        </w:rPr>
        <w:t>第一册</w:t>
      </w:r>
      <w:bookmarkEnd w:id="8"/>
      <w:bookmarkEnd w:id="9"/>
      <w:bookmarkEnd w:id="10"/>
      <w:bookmarkEnd w:id="11"/>
    </w:p>
    <w:p>
      <w:pPr>
        <w:spacing w:line="240" w:lineRule="atLeast"/>
        <w:ind w:left="1080" w:leftChars="257" w:hanging="540"/>
        <w:jc w:val="center"/>
        <w:rPr>
          <w:rFonts w:ascii="仿宋" w:hAnsi="仿宋" w:eastAsia="仿宋" w:cs="仿宋"/>
          <w:b/>
          <w:sz w:val="52"/>
        </w:rPr>
      </w:pPr>
    </w:p>
    <w:p>
      <w:pPr>
        <w:pStyle w:val="43"/>
        <w:rPr>
          <w:rFonts w:ascii="仿宋" w:hAnsi="仿宋" w:eastAsia="仿宋" w:cs="仿宋"/>
          <w:b/>
          <w:sz w:val="52"/>
        </w:rPr>
      </w:pPr>
    </w:p>
    <w:p/>
    <w:p>
      <w:pPr>
        <w:spacing w:line="360" w:lineRule="auto"/>
        <w:ind w:firstLine="837" w:firstLineChars="299"/>
        <w:jc w:val="left"/>
        <w:rPr>
          <w:rFonts w:ascii="仿宋" w:hAnsi="仿宋" w:eastAsia="仿宋" w:cs="仿宋"/>
          <w:sz w:val="28"/>
          <w:szCs w:val="28"/>
          <w:u w:val="single"/>
        </w:rPr>
      </w:pPr>
      <w:r>
        <w:rPr>
          <w:rFonts w:hint="eastAsia" w:ascii="仿宋" w:hAnsi="仿宋" w:eastAsia="仿宋" w:cs="仿宋"/>
          <w:sz w:val="28"/>
          <w:szCs w:val="28"/>
        </w:rPr>
        <w:t>采 购 人：</w:t>
      </w:r>
      <w:r>
        <w:rPr>
          <w:rFonts w:hint="eastAsia" w:ascii="仿宋" w:hAnsi="仿宋" w:eastAsia="仿宋" w:cs="仿宋"/>
          <w:sz w:val="28"/>
          <w:szCs w:val="28"/>
          <w:u w:val="single"/>
        </w:rPr>
        <w:t>吐鲁番市自然资源局</w:t>
      </w:r>
    </w:p>
    <w:p>
      <w:pPr>
        <w:spacing w:line="600" w:lineRule="exact"/>
        <w:ind w:firstLine="837" w:firstLineChars="299"/>
        <w:rPr>
          <w:rFonts w:ascii="仿宋" w:hAnsi="仿宋" w:eastAsia="仿宋" w:cs="仿宋"/>
          <w:sz w:val="28"/>
          <w:szCs w:val="28"/>
        </w:rPr>
      </w:pPr>
      <w:r>
        <w:rPr>
          <w:rFonts w:hint="eastAsia" w:ascii="仿宋" w:hAnsi="仿宋" w:eastAsia="仿宋" w:cs="仿宋"/>
          <w:sz w:val="28"/>
          <w:szCs w:val="28"/>
        </w:rPr>
        <w:t>采购代理机构：</w:t>
      </w:r>
      <w:r>
        <w:rPr>
          <w:rFonts w:hint="eastAsia" w:ascii="仿宋" w:hAnsi="仿宋" w:eastAsia="仿宋" w:cs="仿宋"/>
          <w:sz w:val="28"/>
          <w:szCs w:val="28"/>
          <w:u w:val="single"/>
        </w:rPr>
        <w:t>新疆国源土地矿产资源交易中心（有限公司）</w:t>
      </w:r>
      <w:r>
        <w:rPr>
          <w:rFonts w:hint="eastAsia" w:ascii="仿宋" w:hAnsi="仿宋" w:eastAsia="仿宋" w:cs="仿宋"/>
          <w:sz w:val="28"/>
          <w:szCs w:val="28"/>
        </w:rPr>
        <w:t xml:space="preserve"> </w:t>
      </w:r>
    </w:p>
    <w:p>
      <w:pPr>
        <w:spacing w:line="600" w:lineRule="exact"/>
        <w:ind w:firstLine="837" w:firstLineChars="299"/>
        <w:rPr>
          <w:rFonts w:ascii="仿宋" w:hAnsi="仿宋" w:eastAsia="仿宋" w:cs="仿宋"/>
          <w:b/>
          <w:sz w:val="28"/>
          <w:szCs w:val="28"/>
        </w:rPr>
      </w:pPr>
      <w:r>
        <w:rPr>
          <w:rFonts w:hint="eastAsia" w:ascii="仿宋" w:hAnsi="仿宋" w:eastAsia="仿宋" w:cs="仿宋"/>
          <w:sz w:val="28"/>
          <w:szCs w:val="28"/>
        </w:rPr>
        <w:t>发出日期：</w:t>
      </w:r>
      <w:r>
        <w:rPr>
          <w:rFonts w:hint="eastAsia" w:ascii="仿宋" w:hAnsi="仿宋" w:eastAsia="仿宋" w:cs="仿宋"/>
          <w:sz w:val="28"/>
          <w:szCs w:val="28"/>
          <w:u w:val="single"/>
        </w:rPr>
        <w:t>2023年2月</w:t>
      </w:r>
    </w:p>
    <w:p>
      <w:pPr>
        <w:spacing w:line="240" w:lineRule="atLeast"/>
        <w:ind w:left="1080" w:leftChars="257" w:hanging="540"/>
        <w:rPr>
          <w:rFonts w:ascii="仿宋" w:hAnsi="仿宋" w:eastAsia="仿宋" w:cs="仿宋"/>
          <w:b/>
          <w:szCs w:val="21"/>
        </w:rPr>
      </w:pPr>
    </w:p>
    <w:p/>
    <w:p>
      <w:pPr>
        <w:pStyle w:val="7"/>
        <w:tabs>
          <w:tab w:val="left" w:pos="0"/>
        </w:tabs>
        <w:spacing w:before="0" w:after="0" w:line="240" w:lineRule="atLeast"/>
        <w:outlineLvl w:val="9"/>
        <w:rPr>
          <w:rFonts w:hint="eastAsia" w:ascii="仿宋" w:hAnsi="仿宋" w:eastAsia="仿宋" w:cs="仿宋"/>
          <w:b/>
          <w:sz w:val="52"/>
        </w:rPr>
      </w:pPr>
      <w:r>
        <w:rPr>
          <w:rFonts w:hint="eastAsia" w:ascii="仿宋" w:hAnsi="仿宋" w:eastAsia="仿宋" w:cs="仿宋"/>
          <w:b/>
          <w:sz w:val="52"/>
        </w:rPr>
        <w:br w:type="page"/>
      </w:r>
    </w:p>
    <w:sdt>
      <w:sdtPr>
        <w:rPr>
          <w:rFonts w:ascii="宋体" w:hAnsi="宋体" w:eastAsia="宋体" w:cs="Times New Roman"/>
          <w:b w:val="0"/>
          <w:bCs w:val="0"/>
          <w:kern w:val="2"/>
          <w:sz w:val="36"/>
          <w:szCs w:val="44"/>
          <w:lang w:val="en-US" w:eastAsia="zh-CN" w:bidi="ar-SA"/>
        </w:rPr>
        <w:id w:val="147480987"/>
        <w15:color w:val="DBDBDB"/>
        <w:docPartObj>
          <w:docPartGallery w:val="Table of Contents"/>
          <w:docPartUnique/>
        </w:docPartObj>
      </w:sdtPr>
      <w:sdtEndPr>
        <w:rPr>
          <w:rFonts w:hint="eastAsia" w:ascii="仿宋" w:hAnsi="仿宋" w:eastAsia="仿宋" w:cs="仿宋"/>
          <w:b/>
          <w:bCs w:val="0"/>
          <w:kern w:val="2"/>
          <w:sz w:val="24"/>
          <w:szCs w:val="24"/>
          <w:lang w:val="en-US" w:eastAsia="zh-CN" w:bidi="ar-SA"/>
        </w:rPr>
      </w:sdtEndPr>
      <w:sdtContent>
        <w:p>
          <w:pPr>
            <w:spacing w:before="0" w:beforeLines="0" w:after="0" w:afterLines="0" w:line="240" w:lineRule="auto"/>
            <w:ind w:left="0" w:leftChars="0" w:right="0" w:rightChars="0" w:firstLine="0" w:firstLineChars="0"/>
            <w:jc w:val="center"/>
            <w:rPr>
              <w:b w:val="0"/>
              <w:bCs w:val="0"/>
              <w:sz w:val="36"/>
              <w:szCs w:val="44"/>
            </w:rPr>
          </w:pPr>
          <w:r>
            <w:rPr>
              <w:rFonts w:ascii="宋体" w:hAnsi="宋体" w:eastAsia="宋体"/>
              <w:b w:val="0"/>
              <w:bCs w:val="0"/>
              <w:sz w:val="36"/>
              <w:szCs w:val="44"/>
            </w:rPr>
            <w:t>目录</w:t>
          </w:r>
        </w:p>
        <w:p>
          <w:pPr>
            <w:pStyle w:val="24"/>
            <w:tabs>
              <w:tab w:val="right" w:leader="dot" w:pos="8312"/>
            </w:tabs>
            <w:rPr>
              <w:rFonts w:hint="eastAsia" w:ascii="仿宋" w:hAnsi="仿宋" w:eastAsia="仿宋" w:cs="仿宋"/>
              <w:sz w:val="24"/>
              <w:szCs w:val="24"/>
            </w:rPr>
          </w:pPr>
          <w:r>
            <w:rPr>
              <w:rFonts w:hint="eastAsia" w:ascii="仿宋" w:hAnsi="仿宋" w:eastAsia="仿宋" w:cs="仿宋"/>
              <w:b w:val="0"/>
              <w:bCs w:val="0"/>
              <w:kern w:val="2"/>
              <w:sz w:val="24"/>
              <w:szCs w:val="24"/>
              <w:lang w:val="en-US" w:eastAsia="zh-CN" w:bidi="ar-SA"/>
            </w:rPr>
            <w:fldChar w:fldCharType="begin"/>
          </w:r>
          <w:r>
            <w:rPr>
              <w:rFonts w:hint="eastAsia" w:ascii="仿宋" w:hAnsi="仿宋" w:eastAsia="仿宋" w:cs="仿宋"/>
              <w:b w:val="0"/>
              <w:bCs w:val="0"/>
              <w:kern w:val="2"/>
              <w:sz w:val="24"/>
              <w:szCs w:val="24"/>
              <w:lang w:val="en-US" w:eastAsia="zh-CN" w:bidi="ar-SA"/>
            </w:rPr>
            <w:instrText xml:space="preserve">TOC \o "1-2" \h \u </w:instrText>
          </w:r>
          <w:r>
            <w:rPr>
              <w:rFonts w:hint="eastAsia" w:ascii="仿宋" w:hAnsi="仿宋" w:eastAsia="仿宋" w:cs="仿宋"/>
              <w:b w:val="0"/>
              <w:bCs w:val="0"/>
              <w:kern w:val="2"/>
              <w:sz w:val="24"/>
              <w:szCs w:val="24"/>
              <w:lang w:val="en-US" w:eastAsia="zh-CN" w:bidi="ar-SA"/>
            </w:rPr>
            <w:fldChar w:fldCharType="separate"/>
          </w:r>
        </w:p>
        <w:p>
          <w:pPr>
            <w:pStyle w:val="24"/>
            <w:tabs>
              <w:tab w:val="right" w:leader="dot" w:pos="8312"/>
            </w:tabs>
            <w:rPr>
              <w:rFonts w:hint="eastAsia" w:ascii="仿宋" w:hAnsi="仿宋" w:eastAsia="仿宋" w:cs="仿宋"/>
              <w:sz w:val="24"/>
              <w:szCs w:val="24"/>
            </w:rPr>
          </w:pPr>
          <w:r>
            <w:rPr>
              <w:rFonts w:hint="eastAsia" w:ascii="仿宋" w:hAnsi="仿宋" w:eastAsia="仿宋" w:cs="仿宋"/>
              <w:bCs w:val="0"/>
              <w:kern w:val="2"/>
              <w:sz w:val="24"/>
              <w:szCs w:val="24"/>
              <w:lang w:val="en-US" w:eastAsia="zh-CN" w:bidi="ar-SA"/>
            </w:rPr>
            <w:fldChar w:fldCharType="begin"/>
          </w:r>
          <w:r>
            <w:rPr>
              <w:rFonts w:hint="eastAsia" w:ascii="仿宋" w:hAnsi="仿宋" w:eastAsia="仿宋" w:cs="仿宋"/>
              <w:bCs w:val="0"/>
              <w:kern w:val="2"/>
              <w:sz w:val="24"/>
              <w:szCs w:val="24"/>
              <w:lang w:val="en-US" w:eastAsia="zh-CN" w:bidi="ar-SA"/>
            </w:rPr>
            <w:instrText xml:space="preserve"> HYPERLINK \l _Toc15894 </w:instrText>
          </w:r>
          <w:r>
            <w:rPr>
              <w:rFonts w:hint="eastAsia" w:ascii="仿宋" w:hAnsi="仿宋" w:eastAsia="仿宋" w:cs="仿宋"/>
              <w:bCs w:val="0"/>
              <w:kern w:val="2"/>
              <w:sz w:val="24"/>
              <w:szCs w:val="24"/>
              <w:lang w:val="en-US" w:eastAsia="zh-CN" w:bidi="ar-SA"/>
            </w:rPr>
            <w:fldChar w:fldCharType="separate"/>
          </w:r>
          <w:r>
            <w:rPr>
              <w:rFonts w:hint="eastAsia" w:ascii="仿宋" w:hAnsi="仿宋" w:eastAsia="仿宋" w:cs="仿宋"/>
              <w:kern w:val="44"/>
              <w:sz w:val="24"/>
              <w:szCs w:val="24"/>
            </w:rPr>
            <w:t>第</w:t>
          </w:r>
          <w:r>
            <w:rPr>
              <w:rFonts w:hint="eastAsia" w:ascii="仿宋" w:hAnsi="仿宋" w:eastAsia="仿宋" w:cs="仿宋"/>
              <w:kern w:val="44"/>
              <w:sz w:val="24"/>
              <w:szCs w:val="24"/>
              <w:lang w:val="en-US" w:eastAsia="zh-CN"/>
            </w:rPr>
            <w:t>1</w:t>
          </w:r>
          <w:r>
            <w:rPr>
              <w:rFonts w:hint="eastAsia" w:ascii="仿宋" w:hAnsi="仿宋" w:eastAsia="仿宋" w:cs="仿宋"/>
              <w:kern w:val="44"/>
              <w:sz w:val="24"/>
              <w:szCs w:val="24"/>
            </w:rPr>
            <w:t>章  招标公告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_Toc15894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bCs w:val="0"/>
              <w:kern w:val="2"/>
              <w:sz w:val="24"/>
              <w:szCs w:val="24"/>
              <w:lang w:val="en-US" w:eastAsia="zh-CN" w:bidi="ar-SA"/>
            </w:rPr>
            <w:fldChar w:fldCharType="end"/>
          </w:r>
        </w:p>
        <w:p>
          <w:pPr>
            <w:pStyle w:val="24"/>
            <w:tabs>
              <w:tab w:val="right" w:leader="dot" w:pos="8312"/>
            </w:tabs>
            <w:rPr>
              <w:rFonts w:hint="eastAsia" w:ascii="仿宋" w:hAnsi="仿宋" w:eastAsia="仿宋" w:cs="仿宋"/>
              <w:sz w:val="24"/>
              <w:szCs w:val="24"/>
            </w:rPr>
          </w:pPr>
          <w:r>
            <w:rPr>
              <w:rFonts w:hint="eastAsia" w:ascii="仿宋" w:hAnsi="仿宋" w:eastAsia="仿宋" w:cs="仿宋"/>
              <w:bCs w:val="0"/>
              <w:kern w:val="2"/>
              <w:sz w:val="24"/>
              <w:szCs w:val="24"/>
              <w:lang w:val="en-US" w:eastAsia="zh-CN" w:bidi="ar-SA"/>
            </w:rPr>
            <w:fldChar w:fldCharType="begin"/>
          </w:r>
          <w:r>
            <w:rPr>
              <w:rFonts w:hint="eastAsia" w:ascii="仿宋" w:hAnsi="仿宋" w:eastAsia="仿宋" w:cs="仿宋"/>
              <w:bCs w:val="0"/>
              <w:kern w:val="2"/>
              <w:sz w:val="24"/>
              <w:szCs w:val="24"/>
              <w:lang w:val="en-US" w:eastAsia="zh-CN" w:bidi="ar-SA"/>
            </w:rPr>
            <w:instrText xml:space="preserve"> HYPERLINK \l _Toc1019 </w:instrText>
          </w:r>
          <w:r>
            <w:rPr>
              <w:rFonts w:hint="eastAsia" w:ascii="仿宋" w:hAnsi="仿宋" w:eastAsia="仿宋" w:cs="仿宋"/>
              <w:bCs w:val="0"/>
              <w:kern w:val="2"/>
              <w:sz w:val="24"/>
              <w:szCs w:val="24"/>
              <w:lang w:val="en-US" w:eastAsia="zh-CN" w:bidi="ar-SA"/>
            </w:rPr>
            <w:fldChar w:fldCharType="separate"/>
          </w:r>
          <w:r>
            <w:rPr>
              <w:rFonts w:hint="eastAsia" w:ascii="仿宋" w:hAnsi="仿宋" w:eastAsia="仿宋" w:cs="仿宋"/>
              <w:sz w:val="24"/>
              <w:szCs w:val="24"/>
            </w:rPr>
            <w:t>第</w:t>
          </w:r>
          <w:r>
            <w:rPr>
              <w:rFonts w:hint="eastAsia" w:ascii="仿宋" w:hAnsi="仿宋" w:eastAsia="仿宋" w:cs="仿宋"/>
              <w:sz w:val="24"/>
              <w:szCs w:val="24"/>
              <w:lang w:val="en-US" w:eastAsia="zh-CN"/>
            </w:rPr>
            <w:t>2</w:t>
          </w:r>
          <w:r>
            <w:rPr>
              <w:rFonts w:hint="eastAsia" w:ascii="仿宋" w:hAnsi="仿宋" w:eastAsia="仿宋" w:cs="仿宋"/>
              <w:sz w:val="24"/>
              <w:szCs w:val="24"/>
            </w:rPr>
            <w:t>章  供应商须知资料表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_Toc1019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bCs w:val="0"/>
              <w:kern w:val="2"/>
              <w:sz w:val="24"/>
              <w:szCs w:val="24"/>
              <w:lang w:val="en-US" w:eastAsia="zh-CN" w:bidi="ar-SA"/>
            </w:rPr>
            <w:fldChar w:fldCharType="end"/>
          </w:r>
        </w:p>
        <w:p>
          <w:pPr>
            <w:pStyle w:val="24"/>
            <w:tabs>
              <w:tab w:val="right" w:leader="dot" w:pos="8312"/>
            </w:tabs>
            <w:rPr>
              <w:rFonts w:hint="eastAsia" w:ascii="仿宋" w:hAnsi="仿宋" w:eastAsia="仿宋" w:cs="仿宋"/>
              <w:sz w:val="24"/>
              <w:szCs w:val="24"/>
            </w:rPr>
          </w:pPr>
          <w:r>
            <w:rPr>
              <w:rFonts w:hint="eastAsia" w:ascii="仿宋" w:hAnsi="仿宋" w:eastAsia="仿宋" w:cs="仿宋"/>
              <w:bCs w:val="0"/>
              <w:kern w:val="2"/>
              <w:sz w:val="24"/>
              <w:szCs w:val="24"/>
              <w:lang w:val="en-US" w:eastAsia="zh-CN" w:bidi="ar-SA"/>
            </w:rPr>
            <w:fldChar w:fldCharType="begin"/>
          </w:r>
          <w:r>
            <w:rPr>
              <w:rFonts w:hint="eastAsia" w:ascii="仿宋" w:hAnsi="仿宋" w:eastAsia="仿宋" w:cs="仿宋"/>
              <w:bCs w:val="0"/>
              <w:kern w:val="2"/>
              <w:sz w:val="24"/>
              <w:szCs w:val="24"/>
              <w:lang w:val="en-US" w:eastAsia="zh-CN" w:bidi="ar-SA"/>
            </w:rPr>
            <w:instrText xml:space="preserve"> HYPERLINK \l _Toc31798 </w:instrText>
          </w:r>
          <w:r>
            <w:rPr>
              <w:rFonts w:hint="eastAsia" w:ascii="仿宋" w:hAnsi="仿宋" w:eastAsia="仿宋" w:cs="仿宋"/>
              <w:bCs w:val="0"/>
              <w:kern w:val="2"/>
              <w:sz w:val="24"/>
              <w:szCs w:val="24"/>
              <w:lang w:val="en-US" w:eastAsia="zh-CN" w:bidi="ar-SA"/>
            </w:rPr>
            <w:fldChar w:fldCharType="separate"/>
          </w:r>
          <w:r>
            <w:rPr>
              <w:rFonts w:hint="eastAsia" w:ascii="仿宋" w:hAnsi="仿宋" w:eastAsia="仿宋" w:cs="仿宋"/>
              <w:sz w:val="24"/>
              <w:szCs w:val="24"/>
            </w:rPr>
            <w:t>第</w:t>
          </w:r>
          <w:r>
            <w:rPr>
              <w:rFonts w:hint="eastAsia" w:ascii="仿宋" w:hAnsi="仿宋" w:eastAsia="仿宋" w:cs="仿宋"/>
              <w:sz w:val="24"/>
              <w:szCs w:val="24"/>
              <w:lang w:val="en-US" w:eastAsia="zh-CN"/>
            </w:rPr>
            <w:t>3</w:t>
          </w:r>
          <w:r>
            <w:rPr>
              <w:rFonts w:hint="eastAsia" w:ascii="仿宋" w:hAnsi="仿宋" w:eastAsia="仿宋" w:cs="仿宋"/>
              <w:sz w:val="24"/>
              <w:szCs w:val="24"/>
            </w:rPr>
            <w:t>章</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供应商须知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_Toc31798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bCs w:val="0"/>
              <w:kern w:val="2"/>
              <w:sz w:val="24"/>
              <w:szCs w:val="24"/>
              <w:lang w:val="en-US" w:eastAsia="zh-CN" w:bidi="ar-SA"/>
            </w:rPr>
            <w:fldChar w:fldCharType="end"/>
          </w:r>
        </w:p>
        <w:p>
          <w:pPr>
            <w:pStyle w:val="30"/>
            <w:tabs>
              <w:tab w:val="right" w:leader="dot" w:pos="8312"/>
            </w:tabs>
            <w:rPr>
              <w:rFonts w:hint="eastAsia" w:ascii="仿宋" w:hAnsi="仿宋" w:eastAsia="仿宋" w:cs="仿宋"/>
              <w:sz w:val="24"/>
              <w:szCs w:val="24"/>
            </w:rPr>
          </w:pPr>
          <w:r>
            <w:rPr>
              <w:rFonts w:hint="eastAsia" w:ascii="仿宋" w:hAnsi="仿宋" w:eastAsia="仿宋" w:cs="仿宋"/>
              <w:bCs w:val="0"/>
              <w:kern w:val="2"/>
              <w:sz w:val="24"/>
              <w:szCs w:val="24"/>
              <w:lang w:val="en-US" w:eastAsia="zh-CN" w:bidi="ar-SA"/>
            </w:rPr>
            <w:fldChar w:fldCharType="begin"/>
          </w:r>
          <w:r>
            <w:rPr>
              <w:rFonts w:hint="eastAsia" w:ascii="仿宋" w:hAnsi="仿宋" w:eastAsia="仿宋" w:cs="仿宋"/>
              <w:bCs w:val="0"/>
              <w:kern w:val="2"/>
              <w:sz w:val="24"/>
              <w:szCs w:val="24"/>
              <w:lang w:val="en-US" w:eastAsia="zh-CN" w:bidi="ar-SA"/>
            </w:rPr>
            <w:instrText xml:space="preserve"> HYPERLINK \l _Toc32076 </w:instrText>
          </w:r>
          <w:r>
            <w:rPr>
              <w:rFonts w:hint="eastAsia" w:ascii="仿宋" w:hAnsi="仿宋" w:eastAsia="仿宋" w:cs="仿宋"/>
              <w:bCs w:val="0"/>
              <w:kern w:val="2"/>
              <w:sz w:val="24"/>
              <w:szCs w:val="24"/>
              <w:lang w:val="en-US" w:eastAsia="zh-CN" w:bidi="ar-SA"/>
            </w:rPr>
            <w:fldChar w:fldCharType="separate"/>
          </w:r>
          <w:r>
            <w:rPr>
              <w:rFonts w:hint="eastAsia" w:ascii="仿宋" w:hAnsi="仿宋" w:eastAsia="仿宋" w:cs="仿宋"/>
              <w:sz w:val="24"/>
              <w:szCs w:val="24"/>
            </w:rPr>
            <w:t>一   总  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_Toc32076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bCs w:val="0"/>
              <w:kern w:val="2"/>
              <w:sz w:val="24"/>
              <w:szCs w:val="24"/>
              <w:lang w:val="en-US" w:eastAsia="zh-CN" w:bidi="ar-SA"/>
            </w:rPr>
            <w:fldChar w:fldCharType="end"/>
          </w:r>
        </w:p>
        <w:p>
          <w:pPr>
            <w:pStyle w:val="30"/>
            <w:tabs>
              <w:tab w:val="right" w:leader="dot" w:pos="8312"/>
            </w:tabs>
            <w:rPr>
              <w:rFonts w:hint="eastAsia" w:ascii="仿宋" w:hAnsi="仿宋" w:eastAsia="仿宋" w:cs="仿宋"/>
              <w:sz w:val="24"/>
              <w:szCs w:val="24"/>
            </w:rPr>
          </w:pPr>
          <w:r>
            <w:rPr>
              <w:rFonts w:hint="eastAsia" w:ascii="仿宋" w:hAnsi="仿宋" w:eastAsia="仿宋" w:cs="仿宋"/>
              <w:bCs w:val="0"/>
              <w:kern w:val="2"/>
              <w:sz w:val="24"/>
              <w:szCs w:val="24"/>
              <w:lang w:val="en-US" w:eastAsia="zh-CN" w:bidi="ar-SA"/>
            </w:rPr>
            <w:fldChar w:fldCharType="begin"/>
          </w:r>
          <w:r>
            <w:rPr>
              <w:rFonts w:hint="eastAsia" w:ascii="仿宋" w:hAnsi="仿宋" w:eastAsia="仿宋" w:cs="仿宋"/>
              <w:bCs w:val="0"/>
              <w:kern w:val="2"/>
              <w:sz w:val="24"/>
              <w:szCs w:val="24"/>
              <w:lang w:val="en-US" w:eastAsia="zh-CN" w:bidi="ar-SA"/>
            </w:rPr>
            <w:instrText xml:space="preserve"> HYPERLINK \l _Toc30015 </w:instrText>
          </w:r>
          <w:r>
            <w:rPr>
              <w:rFonts w:hint="eastAsia" w:ascii="仿宋" w:hAnsi="仿宋" w:eastAsia="仿宋" w:cs="仿宋"/>
              <w:bCs w:val="0"/>
              <w:kern w:val="2"/>
              <w:sz w:val="24"/>
              <w:szCs w:val="24"/>
              <w:lang w:val="en-US" w:eastAsia="zh-CN" w:bidi="ar-SA"/>
            </w:rPr>
            <w:fldChar w:fldCharType="separate"/>
          </w:r>
          <w:r>
            <w:rPr>
              <w:rFonts w:hint="eastAsia" w:ascii="仿宋" w:hAnsi="仿宋" w:eastAsia="仿宋" w:cs="仿宋"/>
              <w:sz w:val="24"/>
              <w:szCs w:val="24"/>
            </w:rPr>
            <w:t>二   采购文件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_Toc30015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bCs w:val="0"/>
              <w:kern w:val="2"/>
              <w:sz w:val="24"/>
              <w:szCs w:val="24"/>
              <w:lang w:val="en-US" w:eastAsia="zh-CN" w:bidi="ar-SA"/>
            </w:rPr>
            <w:fldChar w:fldCharType="end"/>
          </w:r>
        </w:p>
        <w:p>
          <w:pPr>
            <w:pStyle w:val="30"/>
            <w:tabs>
              <w:tab w:val="right" w:leader="dot" w:pos="8312"/>
            </w:tabs>
            <w:rPr>
              <w:rFonts w:hint="eastAsia" w:ascii="仿宋" w:hAnsi="仿宋" w:eastAsia="仿宋" w:cs="仿宋"/>
              <w:sz w:val="24"/>
              <w:szCs w:val="24"/>
            </w:rPr>
          </w:pPr>
          <w:r>
            <w:rPr>
              <w:rFonts w:hint="eastAsia" w:ascii="仿宋" w:hAnsi="仿宋" w:eastAsia="仿宋" w:cs="仿宋"/>
              <w:bCs w:val="0"/>
              <w:kern w:val="2"/>
              <w:sz w:val="24"/>
              <w:szCs w:val="24"/>
              <w:lang w:val="en-US" w:eastAsia="zh-CN" w:bidi="ar-SA"/>
            </w:rPr>
            <w:fldChar w:fldCharType="begin"/>
          </w:r>
          <w:r>
            <w:rPr>
              <w:rFonts w:hint="eastAsia" w:ascii="仿宋" w:hAnsi="仿宋" w:eastAsia="仿宋" w:cs="仿宋"/>
              <w:bCs w:val="0"/>
              <w:kern w:val="2"/>
              <w:sz w:val="24"/>
              <w:szCs w:val="24"/>
              <w:lang w:val="en-US" w:eastAsia="zh-CN" w:bidi="ar-SA"/>
            </w:rPr>
            <w:instrText xml:space="preserve"> HYPERLINK \l _Toc17097 </w:instrText>
          </w:r>
          <w:r>
            <w:rPr>
              <w:rFonts w:hint="eastAsia" w:ascii="仿宋" w:hAnsi="仿宋" w:eastAsia="仿宋" w:cs="仿宋"/>
              <w:bCs w:val="0"/>
              <w:kern w:val="2"/>
              <w:sz w:val="24"/>
              <w:szCs w:val="24"/>
              <w:lang w:val="en-US" w:eastAsia="zh-CN" w:bidi="ar-SA"/>
            </w:rPr>
            <w:fldChar w:fldCharType="separate"/>
          </w:r>
          <w:r>
            <w:rPr>
              <w:rFonts w:hint="eastAsia" w:ascii="仿宋" w:hAnsi="仿宋" w:eastAsia="仿宋" w:cs="仿宋"/>
              <w:sz w:val="24"/>
              <w:szCs w:val="24"/>
            </w:rPr>
            <w:t>三   投标文件的编制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_Toc17097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bCs w:val="0"/>
              <w:kern w:val="2"/>
              <w:sz w:val="24"/>
              <w:szCs w:val="24"/>
              <w:lang w:val="en-US" w:eastAsia="zh-CN" w:bidi="ar-SA"/>
            </w:rPr>
            <w:fldChar w:fldCharType="end"/>
          </w:r>
        </w:p>
        <w:p>
          <w:pPr>
            <w:pStyle w:val="30"/>
            <w:tabs>
              <w:tab w:val="right" w:leader="dot" w:pos="8312"/>
            </w:tabs>
            <w:rPr>
              <w:rFonts w:hint="eastAsia" w:ascii="仿宋" w:hAnsi="仿宋" w:eastAsia="仿宋" w:cs="仿宋"/>
              <w:sz w:val="24"/>
              <w:szCs w:val="24"/>
            </w:rPr>
          </w:pPr>
          <w:r>
            <w:rPr>
              <w:rFonts w:hint="eastAsia" w:ascii="仿宋" w:hAnsi="仿宋" w:eastAsia="仿宋" w:cs="仿宋"/>
              <w:bCs w:val="0"/>
              <w:kern w:val="2"/>
              <w:sz w:val="24"/>
              <w:szCs w:val="24"/>
              <w:lang w:val="en-US" w:eastAsia="zh-CN" w:bidi="ar-SA"/>
            </w:rPr>
            <w:fldChar w:fldCharType="begin"/>
          </w:r>
          <w:r>
            <w:rPr>
              <w:rFonts w:hint="eastAsia" w:ascii="仿宋" w:hAnsi="仿宋" w:eastAsia="仿宋" w:cs="仿宋"/>
              <w:bCs w:val="0"/>
              <w:kern w:val="2"/>
              <w:sz w:val="24"/>
              <w:szCs w:val="24"/>
              <w:lang w:val="en-US" w:eastAsia="zh-CN" w:bidi="ar-SA"/>
            </w:rPr>
            <w:instrText xml:space="preserve"> HYPERLINK \l _Toc14057 </w:instrText>
          </w:r>
          <w:r>
            <w:rPr>
              <w:rFonts w:hint="eastAsia" w:ascii="仿宋" w:hAnsi="仿宋" w:eastAsia="仿宋" w:cs="仿宋"/>
              <w:bCs w:val="0"/>
              <w:kern w:val="2"/>
              <w:sz w:val="24"/>
              <w:szCs w:val="24"/>
              <w:lang w:val="en-US" w:eastAsia="zh-CN" w:bidi="ar-SA"/>
            </w:rPr>
            <w:fldChar w:fldCharType="separate"/>
          </w:r>
          <w:r>
            <w:rPr>
              <w:rFonts w:hint="eastAsia" w:ascii="仿宋" w:hAnsi="仿宋" w:eastAsia="仿宋" w:cs="仿宋"/>
              <w:sz w:val="24"/>
              <w:szCs w:val="24"/>
            </w:rPr>
            <w:t>四   投标文件的递交</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_Toc14057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bCs w:val="0"/>
              <w:kern w:val="2"/>
              <w:sz w:val="24"/>
              <w:szCs w:val="24"/>
              <w:lang w:val="en-US" w:eastAsia="zh-CN" w:bidi="ar-SA"/>
            </w:rPr>
            <w:fldChar w:fldCharType="end"/>
          </w:r>
        </w:p>
        <w:p>
          <w:pPr>
            <w:pStyle w:val="30"/>
            <w:tabs>
              <w:tab w:val="right" w:leader="dot" w:pos="8312"/>
            </w:tabs>
            <w:rPr>
              <w:rFonts w:hint="eastAsia" w:ascii="仿宋" w:hAnsi="仿宋" w:eastAsia="仿宋" w:cs="仿宋"/>
              <w:sz w:val="24"/>
              <w:szCs w:val="24"/>
            </w:rPr>
          </w:pPr>
          <w:r>
            <w:rPr>
              <w:rFonts w:hint="eastAsia" w:ascii="仿宋" w:hAnsi="仿宋" w:eastAsia="仿宋" w:cs="仿宋"/>
              <w:bCs w:val="0"/>
              <w:kern w:val="2"/>
              <w:sz w:val="24"/>
              <w:szCs w:val="24"/>
              <w:lang w:val="en-US" w:eastAsia="zh-CN" w:bidi="ar-SA"/>
            </w:rPr>
            <w:fldChar w:fldCharType="begin"/>
          </w:r>
          <w:r>
            <w:rPr>
              <w:rFonts w:hint="eastAsia" w:ascii="仿宋" w:hAnsi="仿宋" w:eastAsia="仿宋" w:cs="仿宋"/>
              <w:bCs w:val="0"/>
              <w:kern w:val="2"/>
              <w:sz w:val="24"/>
              <w:szCs w:val="24"/>
              <w:lang w:val="en-US" w:eastAsia="zh-CN" w:bidi="ar-SA"/>
            </w:rPr>
            <w:instrText xml:space="preserve"> HYPERLINK \l _Toc14987 </w:instrText>
          </w:r>
          <w:r>
            <w:rPr>
              <w:rFonts w:hint="eastAsia" w:ascii="仿宋" w:hAnsi="仿宋" w:eastAsia="仿宋" w:cs="仿宋"/>
              <w:bCs w:val="0"/>
              <w:kern w:val="2"/>
              <w:sz w:val="24"/>
              <w:szCs w:val="24"/>
              <w:lang w:val="en-US" w:eastAsia="zh-CN" w:bidi="ar-SA"/>
            </w:rPr>
            <w:fldChar w:fldCharType="separate"/>
          </w:r>
          <w:r>
            <w:rPr>
              <w:rFonts w:hint="eastAsia" w:ascii="仿宋" w:hAnsi="仿宋" w:eastAsia="仿宋" w:cs="仿宋"/>
              <w:sz w:val="24"/>
              <w:szCs w:val="24"/>
            </w:rPr>
            <w:t>五   开标及评标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_Toc14987 \h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bCs w:val="0"/>
              <w:kern w:val="2"/>
              <w:sz w:val="24"/>
              <w:szCs w:val="24"/>
              <w:lang w:val="en-US" w:eastAsia="zh-CN" w:bidi="ar-SA"/>
            </w:rPr>
            <w:fldChar w:fldCharType="end"/>
          </w:r>
        </w:p>
        <w:p>
          <w:pPr>
            <w:pStyle w:val="30"/>
            <w:tabs>
              <w:tab w:val="right" w:leader="dot" w:pos="8312"/>
            </w:tabs>
            <w:rPr>
              <w:rFonts w:hint="eastAsia" w:ascii="仿宋" w:hAnsi="仿宋" w:eastAsia="仿宋" w:cs="仿宋"/>
              <w:sz w:val="24"/>
              <w:szCs w:val="24"/>
            </w:rPr>
          </w:pPr>
          <w:r>
            <w:rPr>
              <w:rFonts w:hint="eastAsia" w:ascii="仿宋" w:hAnsi="仿宋" w:eastAsia="仿宋" w:cs="仿宋"/>
              <w:bCs w:val="0"/>
              <w:kern w:val="2"/>
              <w:sz w:val="24"/>
              <w:szCs w:val="24"/>
              <w:lang w:val="en-US" w:eastAsia="zh-CN" w:bidi="ar-SA"/>
            </w:rPr>
            <w:fldChar w:fldCharType="begin"/>
          </w:r>
          <w:r>
            <w:rPr>
              <w:rFonts w:hint="eastAsia" w:ascii="仿宋" w:hAnsi="仿宋" w:eastAsia="仿宋" w:cs="仿宋"/>
              <w:bCs w:val="0"/>
              <w:kern w:val="2"/>
              <w:sz w:val="24"/>
              <w:szCs w:val="24"/>
              <w:lang w:val="en-US" w:eastAsia="zh-CN" w:bidi="ar-SA"/>
            </w:rPr>
            <w:instrText xml:space="preserve"> HYPERLINK \l _Toc14559 </w:instrText>
          </w:r>
          <w:r>
            <w:rPr>
              <w:rFonts w:hint="eastAsia" w:ascii="仿宋" w:hAnsi="仿宋" w:eastAsia="仿宋" w:cs="仿宋"/>
              <w:bCs w:val="0"/>
              <w:kern w:val="2"/>
              <w:sz w:val="24"/>
              <w:szCs w:val="24"/>
              <w:lang w:val="en-US" w:eastAsia="zh-CN" w:bidi="ar-SA"/>
            </w:rPr>
            <w:fldChar w:fldCharType="separate"/>
          </w:r>
          <w:r>
            <w:rPr>
              <w:rFonts w:hint="eastAsia" w:ascii="仿宋" w:hAnsi="仿宋" w:eastAsia="仿宋" w:cs="仿宋"/>
              <w:sz w:val="24"/>
              <w:szCs w:val="24"/>
            </w:rPr>
            <w:t>六   确定中标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_Toc14559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bCs w:val="0"/>
              <w:kern w:val="2"/>
              <w:sz w:val="24"/>
              <w:szCs w:val="24"/>
              <w:lang w:val="en-US" w:eastAsia="zh-CN" w:bidi="ar-SA"/>
            </w:rPr>
            <w:fldChar w:fldCharType="end"/>
          </w:r>
        </w:p>
        <w:p>
          <w:pPr>
            <w:pStyle w:val="24"/>
            <w:tabs>
              <w:tab w:val="right" w:leader="dot" w:pos="8312"/>
            </w:tabs>
            <w:rPr>
              <w:rFonts w:hint="eastAsia" w:ascii="仿宋" w:hAnsi="仿宋" w:eastAsia="仿宋" w:cs="仿宋"/>
              <w:sz w:val="24"/>
              <w:szCs w:val="24"/>
            </w:rPr>
          </w:pPr>
          <w:r>
            <w:rPr>
              <w:rFonts w:hint="eastAsia" w:ascii="仿宋" w:hAnsi="仿宋" w:eastAsia="仿宋" w:cs="仿宋"/>
              <w:bCs w:val="0"/>
              <w:kern w:val="2"/>
              <w:sz w:val="24"/>
              <w:szCs w:val="24"/>
              <w:lang w:val="en-US" w:eastAsia="zh-CN" w:bidi="ar-SA"/>
            </w:rPr>
            <w:fldChar w:fldCharType="begin"/>
          </w:r>
          <w:r>
            <w:rPr>
              <w:rFonts w:hint="eastAsia" w:ascii="仿宋" w:hAnsi="仿宋" w:eastAsia="仿宋" w:cs="仿宋"/>
              <w:bCs w:val="0"/>
              <w:kern w:val="2"/>
              <w:sz w:val="24"/>
              <w:szCs w:val="24"/>
              <w:lang w:val="en-US" w:eastAsia="zh-CN" w:bidi="ar-SA"/>
            </w:rPr>
            <w:instrText xml:space="preserve"> HYPERLINK \l _Toc4367 </w:instrText>
          </w:r>
          <w:r>
            <w:rPr>
              <w:rFonts w:hint="eastAsia" w:ascii="仿宋" w:hAnsi="仿宋" w:eastAsia="仿宋" w:cs="仿宋"/>
              <w:bCs w:val="0"/>
              <w:kern w:val="2"/>
              <w:sz w:val="24"/>
              <w:szCs w:val="24"/>
              <w:lang w:val="en-US" w:eastAsia="zh-CN" w:bidi="ar-SA"/>
            </w:rPr>
            <w:fldChar w:fldCharType="separate"/>
          </w:r>
          <w:r>
            <w:rPr>
              <w:rFonts w:hint="eastAsia" w:ascii="仿宋" w:hAnsi="仿宋" w:eastAsia="仿宋" w:cs="仿宋"/>
              <w:kern w:val="44"/>
              <w:sz w:val="24"/>
              <w:szCs w:val="24"/>
              <w:lang w:val="en-US" w:eastAsia="zh-CN"/>
            </w:rPr>
            <w:t xml:space="preserve">第4章 </w:t>
          </w:r>
          <w:r>
            <w:rPr>
              <w:rFonts w:hint="eastAsia" w:ascii="仿宋" w:hAnsi="仿宋" w:eastAsia="仿宋" w:cs="仿宋"/>
              <w:kern w:val="44"/>
              <w:sz w:val="24"/>
              <w:szCs w:val="24"/>
            </w:rPr>
            <w:t>投标文件格式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_Toc4367 \h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bCs w:val="0"/>
              <w:kern w:val="2"/>
              <w:sz w:val="24"/>
              <w:szCs w:val="24"/>
              <w:lang w:val="en-US" w:eastAsia="zh-CN" w:bidi="ar-SA"/>
            </w:rPr>
            <w:fldChar w:fldCharType="end"/>
          </w:r>
        </w:p>
        <w:p>
          <w:pPr>
            <w:pStyle w:val="30"/>
            <w:tabs>
              <w:tab w:val="right" w:leader="dot" w:pos="8312"/>
            </w:tabs>
            <w:rPr>
              <w:rFonts w:hint="eastAsia" w:ascii="仿宋" w:hAnsi="仿宋" w:eastAsia="仿宋" w:cs="仿宋"/>
              <w:sz w:val="24"/>
              <w:szCs w:val="24"/>
            </w:rPr>
          </w:pPr>
          <w:r>
            <w:rPr>
              <w:rFonts w:hint="eastAsia" w:ascii="仿宋" w:hAnsi="仿宋" w:eastAsia="仿宋" w:cs="仿宋"/>
              <w:bCs w:val="0"/>
              <w:kern w:val="2"/>
              <w:sz w:val="24"/>
              <w:szCs w:val="24"/>
              <w:lang w:val="en-US" w:eastAsia="zh-CN" w:bidi="ar-SA"/>
            </w:rPr>
            <w:fldChar w:fldCharType="begin"/>
          </w:r>
          <w:r>
            <w:rPr>
              <w:rFonts w:hint="eastAsia" w:ascii="仿宋" w:hAnsi="仿宋" w:eastAsia="仿宋" w:cs="仿宋"/>
              <w:bCs w:val="0"/>
              <w:kern w:val="2"/>
              <w:sz w:val="24"/>
              <w:szCs w:val="24"/>
              <w:lang w:val="en-US" w:eastAsia="zh-CN" w:bidi="ar-SA"/>
            </w:rPr>
            <w:instrText xml:space="preserve"> HYPERLINK \l _Toc17433 </w:instrText>
          </w:r>
          <w:r>
            <w:rPr>
              <w:rFonts w:hint="eastAsia" w:ascii="仿宋" w:hAnsi="仿宋" w:eastAsia="仿宋" w:cs="仿宋"/>
              <w:bCs w:val="0"/>
              <w:kern w:val="2"/>
              <w:sz w:val="24"/>
              <w:szCs w:val="24"/>
              <w:lang w:val="en-US" w:eastAsia="zh-CN" w:bidi="ar-SA"/>
            </w:rPr>
            <w:fldChar w:fldCharType="separate"/>
          </w:r>
          <w:r>
            <w:rPr>
              <w:rFonts w:hint="eastAsia" w:ascii="仿宋" w:hAnsi="仿宋" w:eastAsia="仿宋" w:cs="仿宋"/>
              <w:sz w:val="24"/>
              <w:szCs w:val="24"/>
            </w:rPr>
            <w:t>第一部分 各部分封面格式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_Toc17433 \h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bCs w:val="0"/>
              <w:kern w:val="2"/>
              <w:sz w:val="24"/>
              <w:szCs w:val="24"/>
              <w:lang w:val="en-US" w:eastAsia="zh-CN" w:bidi="ar-SA"/>
            </w:rPr>
            <w:fldChar w:fldCharType="end"/>
          </w:r>
        </w:p>
        <w:p>
          <w:pPr>
            <w:pStyle w:val="30"/>
            <w:tabs>
              <w:tab w:val="right" w:leader="dot" w:pos="8312"/>
            </w:tabs>
            <w:rPr>
              <w:rFonts w:hint="eastAsia" w:ascii="仿宋" w:hAnsi="仿宋" w:eastAsia="仿宋" w:cs="仿宋"/>
              <w:sz w:val="24"/>
              <w:szCs w:val="24"/>
            </w:rPr>
          </w:pPr>
          <w:r>
            <w:rPr>
              <w:rFonts w:hint="eastAsia" w:ascii="仿宋" w:hAnsi="仿宋" w:eastAsia="仿宋" w:cs="仿宋"/>
              <w:bCs w:val="0"/>
              <w:kern w:val="2"/>
              <w:sz w:val="24"/>
              <w:szCs w:val="24"/>
              <w:lang w:val="en-US" w:eastAsia="zh-CN" w:bidi="ar-SA"/>
            </w:rPr>
            <w:fldChar w:fldCharType="begin"/>
          </w:r>
          <w:r>
            <w:rPr>
              <w:rFonts w:hint="eastAsia" w:ascii="仿宋" w:hAnsi="仿宋" w:eastAsia="仿宋" w:cs="仿宋"/>
              <w:bCs w:val="0"/>
              <w:kern w:val="2"/>
              <w:sz w:val="24"/>
              <w:szCs w:val="24"/>
              <w:lang w:val="en-US" w:eastAsia="zh-CN" w:bidi="ar-SA"/>
            </w:rPr>
            <w:instrText xml:space="preserve"> HYPERLINK \l _Toc18552 </w:instrText>
          </w:r>
          <w:r>
            <w:rPr>
              <w:rFonts w:hint="eastAsia" w:ascii="仿宋" w:hAnsi="仿宋" w:eastAsia="仿宋" w:cs="仿宋"/>
              <w:bCs w:val="0"/>
              <w:kern w:val="2"/>
              <w:sz w:val="24"/>
              <w:szCs w:val="24"/>
              <w:lang w:val="en-US" w:eastAsia="zh-CN" w:bidi="ar-SA"/>
            </w:rPr>
            <w:fldChar w:fldCharType="separate"/>
          </w:r>
          <w:r>
            <w:rPr>
              <w:rFonts w:hint="eastAsia" w:ascii="仿宋" w:hAnsi="仿宋" w:eastAsia="仿宋" w:cs="仿宋"/>
              <w:sz w:val="24"/>
              <w:szCs w:val="24"/>
            </w:rPr>
            <w:t>第二部分 报价单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_Toc18552 \h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bCs w:val="0"/>
              <w:kern w:val="2"/>
              <w:sz w:val="24"/>
              <w:szCs w:val="24"/>
              <w:lang w:val="en-US" w:eastAsia="zh-CN" w:bidi="ar-SA"/>
            </w:rPr>
            <w:fldChar w:fldCharType="end"/>
          </w:r>
        </w:p>
        <w:p>
          <w:pPr>
            <w:pStyle w:val="30"/>
            <w:tabs>
              <w:tab w:val="right" w:leader="dot" w:pos="8312"/>
            </w:tabs>
            <w:rPr>
              <w:rFonts w:hint="eastAsia" w:ascii="仿宋" w:hAnsi="仿宋" w:eastAsia="仿宋" w:cs="仿宋"/>
              <w:sz w:val="24"/>
              <w:szCs w:val="24"/>
            </w:rPr>
          </w:pPr>
          <w:r>
            <w:rPr>
              <w:rFonts w:hint="eastAsia" w:ascii="仿宋" w:hAnsi="仿宋" w:eastAsia="仿宋" w:cs="仿宋"/>
              <w:bCs w:val="0"/>
              <w:kern w:val="2"/>
              <w:sz w:val="24"/>
              <w:szCs w:val="24"/>
              <w:lang w:val="en-US" w:eastAsia="zh-CN" w:bidi="ar-SA"/>
            </w:rPr>
            <w:fldChar w:fldCharType="begin"/>
          </w:r>
          <w:r>
            <w:rPr>
              <w:rFonts w:hint="eastAsia" w:ascii="仿宋" w:hAnsi="仿宋" w:eastAsia="仿宋" w:cs="仿宋"/>
              <w:bCs w:val="0"/>
              <w:kern w:val="2"/>
              <w:sz w:val="24"/>
              <w:szCs w:val="24"/>
              <w:lang w:val="en-US" w:eastAsia="zh-CN" w:bidi="ar-SA"/>
            </w:rPr>
            <w:instrText xml:space="preserve"> HYPERLINK \l _Toc7889 </w:instrText>
          </w:r>
          <w:r>
            <w:rPr>
              <w:rFonts w:hint="eastAsia" w:ascii="仿宋" w:hAnsi="仿宋" w:eastAsia="仿宋" w:cs="仿宋"/>
              <w:bCs w:val="0"/>
              <w:kern w:val="2"/>
              <w:sz w:val="24"/>
              <w:szCs w:val="24"/>
              <w:lang w:val="en-US" w:eastAsia="zh-CN" w:bidi="ar-SA"/>
            </w:rPr>
            <w:fldChar w:fldCharType="separate"/>
          </w:r>
          <w:r>
            <w:rPr>
              <w:rFonts w:hint="eastAsia" w:ascii="仿宋" w:hAnsi="仿宋" w:eastAsia="仿宋" w:cs="仿宋"/>
              <w:sz w:val="24"/>
              <w:szCs w:val="24"/>
            </w:rPr>
            <w:t>第三部分  商务资信投标文件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_Toc7889 \h </w:instrText>
          </w:r>
          <w:r>
            <w:rPr>
              <w:rFonts w:hint="eastAsia" w:ascii="仿宋" w:hAnsi="仿宋" w:eastAsia="仿宋" w:cs="仿宋"/>
              <w:sz w:val="24"/>
              <w:szCs w:val="24"/>
            </w:rPr>
            <w:fldChar w:fldCharType="separate"/>
          </w:r>
          <w:r>
            <w:rPr>
              <w:rFonts w:hint="eastAsia" w:ascii="仿宋" w:hAnsi="仿宋" w:eastAsia="仿宋" w:cs="仿宋"/>
              <w:sz w:val="24"/>
              <w:szCs w:val="24"/>
            </w:rPr>
            <w:t>22</w:t>
          </w:r>
          <w:r>
            <w:rPr>
              <w:rFonts w:hint="eastAsia" w:ascii="仿宋" w:hAnsi="仿宋" w:eastAsia="仿宋" w:cs="仿宋"/>
              <w:sz w:val="24"/>
              <w:szCs w:val="24"/>
            </w:rPr>
            <w:fldChar w:fldCharType="end"/>
          </w:r>
          <w:r>
            <w:rPr>
              <w:rFonts w:hint="eastAsia" w:ascii="仿宋" w:hAnsi="仿宋" w:eastAsia="仿宋" w:cs="仿宋"/>
              <w:bCs w:val="0"/>
              <w:kern w:val="2"/>
              <w:sz w:val="24"/>
              <w:szCs w:val="24"/>
              <w:lang w:val="en-US" w:eastAsia="zh-CN" w:bidi="ar-SA"/>
            </w:rPr>
            <w:fldChar w:fldCharType="end"/>
          </w:r>
        </w:p>
        <w:p>
          <w:pPr>
            <w:pStyle w:val="30"/>
            <w:tabs>
              <w:tab w:val="right" w:leader="dot" w:pos="8312"/>
            </w:tabs>
            <w:rPr>
              <w:rFonts w:hint="eastAsia" w:ascii="仿宋" w:hAnsi="仿宋" w:eastAsia="仿宋" w:cs="仿宋"/>
              <w:sz w:val="24"/>
              <w:szCs w:val="24"/>
            </w:rPr>
          </w:pPr>
          <w:r>
            <w:rPr>
              <w:rFonts w:hint="eastAsia" w:ascii="仿宋" w:hAnsi="仿宋" w:eastAsia="仿宋" w:cs="仿宋"/>
              <w:bCs w:val="0"/>
              <w:kern w:val="2"/>
              <w:sz w:val="24"/>
              <w:szCs w:val="24"/>
              <w:lang w:val="en-US" w:eastAsia="zh-CN" w:bidi="ar-SA"/>
            </w:rPr>
            <w:fldChar w:fldCharType="begin"/>
          </w:r>
          <w:r>
            <w:rPr>
              <w:rFonts w:hint="eastAsia" w:ascii="仿宋" w:hAnsi="仿宋" w:eastAsia="仿宋" w:cs="仿宋"/>
              <w:bCs w:val="0"/>
              <w:kern w:val="2"/>
              <w:sz w:val="24"/>
              <w:szCs w:val="24"/>
              <w:lang w:val="en-US" w:eastAsia="zh-CN" w:bidi="ar-SA"/>
            </w:rPr>
            <w:instrText xml:space="preserve"> HYPERLINK \l _Toc31802 </w:instrText>
          </w:r>
          <w:r>
            <w:rPr>
              <w:rFonts w:hint="eastAsia" w:ascii="仿宋" w:hAnsi="仿宋" w:eastAsia="仿宋" w:cs="仿宋"/>
              <w:bCs w:val="0"/>
              <w:kern w:val="2"/>
              <w:sz w:val="24"/>
              <w:szCs w:val="24"/>
              <w:lang w:val="en-US" w:eastAsia="zh-CN" w:bidi="ar-SA"/>
            </w:rPr>
            <w:fldChar w:fldCharType="separate"/>
          </w:r>
          <w:r>
            <w:rPr>
              <w:rFonts w:hint="eastAsia" w:ascii="仿宋" w:hAnsi="仿宋" w:eastAsia="仿宋" w:cs="仿宋"/>
              <w:sz w:val="24"/>
              <w:szCs w:val="24"/>
            </w:rPr>
            <w:t>第四部分  技术投标方案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_Toc31802 \h </w:instrText>
          </w:r>
          <w:r>
            <w:rPr>
              <w:rFonts w:hint="eastAsia" w:ascii="仿宋" w:hAnsi="仿宋" w:eastAsia="仿宋" w:cs="仿宋"/>
              <w:sz w:val="24"/>
              <w:szCs w:val="24"/>
            </w:rPr>
            <w:fldChar w:fldCharType="separate"/>
          </w:r>
          <w:r>
            <w:rPr>
              <w:rFonts w:hint="eastAsia" w:ascii="仿宋" w:hAnsi="仿宋" w:eastAsia="仿宋" w:cs="仿宋"/>
              <w:sz w:val="24"/>
              <w:szCs w:val="24"/>
            </w:rPr>
            <w:t>31</w:t>
          </w:r>
          <w:r>
            <w:rPr>
              <w:rFonts w:hint="eastAsia" w:ascii="仿宋" w:hAnsi="仿宋" w:eastAsia="仿宋" w:cs="仿宋"/>
              <w:sz w:val="24"/>
              <w:szCs w:val="24"/>
            </w:rPr>
            <w:fldChar w:fldCharType="end"/>
          </w:r>
          <w:r>
            <w:rPr>
              <w:rFonts w:hint="eastAsia" w:ascii="仿宋" w:hAnsi="仿宋" w:eastAsia="仿宋" w:cs="仿宋"/>
              <w:bCs w:val="0"/>
              <w:kern w:val="2"/>
              <w:sz w:val="24"/>
              <w:szCs w:val="24"/>
              <w:lang w:val="en-US" w:eastAsia="zh-CN" w:bidi="ar-SA"/>
            </w:rPr>
            <w:fldChar w:fldCharType="end"/>
          </w:r>
        </w:p>
        <w:p>
          <w:pPr>
            <w:pStyle w:val="24"/>
            <w:tabs>
              <w:tab w:val="right" w:leader="dot" w:pos="8312"/>
            </w:tabs>
            <w:rPr>
              <w:rFonts w:hint="eastAsia" w:ascii="仿宋" w:hAnsi="仿宋" w:eastAsia="仿宋" w:cs="仿宋"/>
              <w:sz w:val="24"/>
              <w:szCs w:val="24"/>
            </w:rPr>
          </w:pPr>
          <w:r>
            <w:rPr>
              <w:rFonts w:hint="eastAsia" w:ascii="仿宋" w:hAnsi="仿宋" w:eastAsia="仿宋" w:cs="仿宋"/>
              <w:bCs w:val="0"/>
              <w:kern w:val="2"/>
              <w:sz w:val="24"/>
              <w:szCs w:val="24"/>
              <w:lang w:val="en-US" w:eastAsia="zh-CN" w:bidi="ar-SA"/>
            </w:rPr>
            <w:fldChar w:fldCharType="begin"/>
          </w:r>
          <w:r>
            <w:rPr>
              <w:rFonts w:hint="eastAsia" w:ascii="仿宋" w:hAnsi="仿宋" w:eastAsia="仿宋" w:cs="仿宋"/>
              <w:bCs w:val="0"/>
              <w:kern w:val="2"/>
              <w:sz w:val="24"/>
              <w:szCs w:val="24"/>
              <w:lang w:val="en-US" w:eastAsia="zh-CN" w:bidi="ar-SA"/>
            </w:rPr>
            <w:instrText xml:space="preserve"> HYPERLINK \l _Toc17326 </w:instrText>
          </w:r>
          <w:r>
            <w:rPr>
              <w:rFonts w:hint="eastAsia" w:ascii="仿宋" w:hAnsi="仿宋" w:eastAsia="仿宋" w:cs="仿宋"/>
              <w:bCs w:val="0"/>
              <w:kern w:val="2"/>
              <w:sz w:val="24"/>
              <w:szCs w:val="24"/>
              <w:lang w:val="en-US" w:eastAsia="zh-CN" w:bidi="ar-SA"/>
            </w:rPr>
            <w:fldChar w:fldCharType="separate"/>
          </w:r>
          <w:r>
            <w:rPr>
              <w:rFonts w:hint="eastAsia" w:ascii="仿宋" w:hAnsi="仿宋" w:eastAsia="仿宋" w:cs="仿宋"/>
              <w:sz w:val="24"/>
              <w:szCs w:val="24"/>
            </w:rPr>
            <w:t>第5章   采购需求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_Toc17326 \h </w:instrText>
          </w:r>
          <w:r>
            <w:rPr>
              <w:rFonts w:hint="eastAsia" w:ascii="仿宋" w:hAnsi="仿宋" w:eastAsia="仿宋" w:cs="仿宋"/>
              <w:sz w:val="24"/>
              <w:szCs w:val="24"/>
            </w:rPr>
            <w:fldChar w:fldCharType="separate"/>
          </w:r>
          <w:r>
            <w:rPr>
              <w:rFonts w:hint="eastAsia" w:ascii="仿宋" w:hAnsi="仿宋" w:eastAsia="仿宋" w:cs="仿宋"/>
              <w:sz w:val="24"/>
              <w:szCs w:val="24"/>
            </w:rPr>
            <w:t>33</w:t>
          </w:r>
          <w:r>
            <w:rPr>
              <w:rFonts w:hint="eastAsia" w:ascii="仿宋" w:hAnsi="仿宋" w:eastAsia="仿宋" w:cs="仿宋"/>
              <w:sz w:val="24"/>
              <w:szCs w:val="24"/>
            </w:rPr>
            <w:fldChar w:fldCharType="end"/>
          </w:r>
          <w:r>
            <w:rPr>
              <w:rFonts w:hint="eastAsia" w:ascii="仿宋" w:hAnsi="仿宋" w:eastAsia="仿宋" w:cs="仿宋"/>
              <w:bCs w:val="0"/>
              <w:kern w:val="2"/>
              <w:sz w:val="24"/>
              <w:szCs w:val="24"/>
              <w:lang w:val="en-US" w:eastAsia="zh-CN" w:bidi="ar-SA"/>
            </w:rPr>
            <w:fldChar w:fldCharType="end"/>
          </w:r>
        </w:p>
        <w:p>
          <w:pPr>
            <w:pStyle w:val="30"/>
            <w:tabs>
              <w:tab w:val="right" w:leader="dot" w:pos="8312"/>
            </w:tabs>
            <w:rPr>
              <w:rFonts w:hint="eastAsia" w:ascii="仿宋" w:hAnsi="仿宋" w:eastAsia="仿宋" w:cs="仿宋"/>
              <w:sz w:val="24"/>
              <w:szCs w:val="24"/>
            </w:rPr>
          </w:pPr>
          <w:r>
            <w:rPr>
              <w:rFonts w:hint="eastAsia" w:ascii="仿宋" w:hAnsi="仿宋" w:eastAsia="仿宋" w:cs="仿宋"/>
              <w:bCs w:val="0"/>
              <w:kern w:val="2"/>
              <w:sz w:val="24"/>
              <w:szCs w:val="24"/>
              <w:lang w:val="en-US" w:eastAsia="zh-CN" w:bidi="ar-SA"/>
            </w:rPr>
            <w:fldChar w:fldCharType="begin"/>
          </w:r>
          <w:r>
            <w:rPr>
              <w:rFonts w:hint="eastAsia" w:ascii="仿宋" w:hAnsi="仿宋" w:eastAsia="仿宋" w:cs="仿宋"/>
              <w:bCs w:val="0"/>
              <w:kern w:val="2"/>
              <w:sz w:val="24"/>
              <w:szCs w:val="24"/>
              <w:lang w:val="en-US" w:eastAsia="zh-CN" w:bidi="ar-SA"/>
            </w:rPr>
            <w:instrText xml:space="preserve"> HYPERLINK \l _Toc19421 </w:instrText>
          </w:r>
          <w:r>
            <w:rPr>
              <w:rFonts w:hint="eastAsia" w:ascii="仿宋" w:hAnsi="仿宋" w:eastAsia="仿宋" w:cs="仿宋"/>
              <w:bCs w:val="0"/>
              <w:kern w:val="2"/>
              <w:sz w:val="24"/>
              <w:szCs w:val="24"/>
              <w:lang w:val="en-US" w:eastAsia="zh-CN" w:bidi="ar-SA"/>
            </w:rPr>
            <w:fldChar w:fldCharType="separate"/>
          </w:r>
          <w:r>
            <w:rPr>
              <w:rFonts w:hint="eastAsia" w:ascii="仿宋" w:hAnsi="仿宋" w:eastAsia="仿宋" w:cs="仿宋"/>
              <w:bCs/>
              <w:kern w:val="0"/>
              <w:sz w:val="24"/>
              <w:szCs w:val="24"/>
            </w:rPr>
            <w:t>标项一：新疆托克逊县地质灾害风险调查评价</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_Toc19421 \h </w:instrText>
          </w:r>
          <w:r>
            <w:rPr>
              <w:rFonts w:hint="eastAsia" w:ascii="仿宋" w:hAnsi="仿宋" w:eastAsia="仿宋" w:cs="仿宋"/>
              <w:sz w:val="24"/>
              <w:szCs w:val="24"/>
            </w:rPr>
            <w:fldChar w:fldCharType="separate"/>
          </w:r>
          <w:r>
            <w:rPr>
              <w:rFonts w:hint="eastAsia" w:ascii="仿宋" w:hAnsi="仿宋" w:eastAsia="仿宋" w:cs="仿宋"/>
              <w:sz w:val="24"/>
              <w:szCs w:val="24"/>
            </w:rPr>
            <w:t>33</w:t>
          </w:r>
          <w:r>
            <w:rPr>
              <w:rFonts w:hint="eastAsia" w:ascii="仿宋" w:hAnsi="仿宋" w:eastAsia="仿宋" w:cs="仿宋"/>
              <w:sz w:val="24"/>
              <w:szCs w:val="24"/>
            </w:rPr>
            <w:fldChar w:fldCharType="end"/>
          </w:r>
          <w:r>
            <w:rPr>
              <w:rFonts w:hint="eastAsia" w:ascii="仿宋" w:hAnsi="仿宋" w:eastAsia="仿宋" w:cs="仿宋"/>
              <w:bCs w:val="0"/>
              <w:kern w:val="2"/>
              <w:sz w:val="24"/>
              <w:szCs w:val="24"/>
              <w:lang w:val="en-US" w:eastAsia="zh-CN" w:bidi="ar-SA"/>
            </w:rPr>
            <w:fldChar w:fldCharType="end"/>
          </w:r>
        </w:p>
        <w:p>
          <w:pPr>
            <w:pStyle w:val="30"/>
            <w:tabs>
              <w:tab w:val="right" w:leader="dot" w:pos="8312"/>
            </w:tabs>
            <w:rPr>
              <w:rFonts w:hint="eastAsia" w:ascii="仿宋" w:hAnsi="仿宋" w:eastAsia="仿宋" w:cs="仿宋"/>
              <w:sz w:val="24"/>
              <w:szCs w:val="24"/>
            </w:rPr>
          </w:pPr>
          <w:r>
            <w:rPr>
              <w:rFonts w:hint="eastAsia" w:ascii="仿宋" w:hAnsi="仿宋" w:eastAsia="仿宋" w:cs="仿宋"/>
              <w:bCs w:val="0"/>
              <w:kern w:val="2"/>
              <w:sz w:val="24"/>
              <w:szCs w:val="24"/>
              <w:lang w:val="en-US" w:eastAsia="zh-CN" w:bidi="ar-SA"/>
            </w:rPr>
            <w:fldChar w:fldCharType="begin"/>
          </w:r>
          <w:r>
            <w:rPr>
              <w:rFonts w:hint="eastAsia" w:ascii="仿宋" w:hAnsi="仿宋" w:eastAsia="仿宋" w:cs="仿宋"/>
              <w:bCs w:val="0"/>
              <w:kern w:val="2"/>
              <w:sz w:val="24"/>
              <w:szCs w:val="24"/>
              <w:lang w:val="en-US" w:eastAsia="zh-CN" w:bidi="ar-SA"/>
            </w:rPr>
            <w:instrText xml:space="preserve"> HYPERLINK \l _Toc30124 </w:instrText>
          </w:r>
          <w:r>
            <w:rPr>
              <w:rFonts w:hint="eastAsia" w:ascii="仿宋" w:hAnsi="仿宋" w:eastAsia="仿宋" w:cs="仿宋"/>
              <w:bCs w:val="0"/>
              <w:kern w:val="2"/>
              <w:sz w:val="24"/>
              <w:szCs w:val="24"/>
              <w:lang w:val="en-US" w:eastAsia="zh-CN" w:bidi="ar-SA"/>
            </w:rPr>
            <w:fldChar w:fldCharType="separate"/>
          </w:r>
          <w:r>
            <w:rPr>
              <w:rFonts w:hint="eastAsia" w:ascii="仿宋" w:hAnsi="仿宋" w:eastAsia="仿宋" w:cs="仿宋"/>
              <w:bCs/>
              <w:sz w:val="24"/>
              <w:szCs w:val="24"/>
            </w:rPr>
            <w:t>标项二：新疆鄯善县地质灾害风险调查评价</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_Toc30124 \h </w:instrText>
          </w:r>
          <w:r>
            <w:rPr>
              <w:rFonts w:hint="eastAsia" w:ascii="仿宋" w:hAnsi="仿宋" w:eastAsia="仿宋" w:cs="仿宋"/>
              <w:sz w:val="24"/>
              <w:szCs w:val="24"/>
            </w:rPr>
            <w:fldChar w:fldCharType="separate"/>
          </w:r>
          <w:r>
            <w:rPr>
              <w:rFonts w:hint="eastAsia" w:ascii="仿宋" w:hAnsi="仿宋" w:eastAsia="仿宋" w:cs="仿宋"/>
              <w:sz w:val="24"/>
              <w:szCs w:val="24"/>
            </w:rPr>
            <w:t>38</w:t>
          </w:r>
          <w:r>
            <w:rPr>
              <w:rFonts w:hint="eastAsia" w:ascii="仿宋" w:hAnsi="仿宋" w:eastAsia="仿宋" w:cs="仿宋"/>
              <w:sz w:val="24"/>
              <w:szCs w:val="24"/>
            </w:rPr>
            <w:fldChar w:fldCharType="end"/>
          </w:r>
          <w:r>
            <w:rPr>
              <w:rFonts w:hint="eastAsia" w:ascii="仿宋" w:hAnsi="仿宋" w:eastAsia="仿宋" w:cs="仿宋"/>
              <w:bCs w:val="0"/>
              <w:kern w:val="2"/>
              <w:sz w:val="24"/>
              <w:szCs w:val="24"/>
              <w:lang w:val="en-US" w:eastAsia="zh-CN" w:bidi="ar-SA"/>
            </w:rPr>
            <w:fldChar w:fldCharType="end"/>
          </w:r>
        </w:p>
        <w:p>
          <w:pPr>
            <w:pStyle w:val="30"/>
            <w:tabs>
              <w:tab w:val="right" w:leader="dot" w:pos="8312"/>
            </w:tabs>
            <w:rPr>
              <w:rFonts w:hint="eastAsia" w:ascii="仿宋" w:hAnsi="仿宋" w:eastAsia="仿宋" w:cs="仿宋"/>
              <w:sz w:val="24"/>
              <w:szCs w:val="24"/>
            </w:rPr>
          </w:pPr>
          <w:r>
            <w:rPr>
              <w:rFonts w:hint="eastAsia" w:ascii="仿宋" w:hAnsi="仿宋" w:eastAsia="仿宋" w:cs="仿宋"/>
              <w:bCs w:val="0"/>
              <w:kern w:val="2"/>
              <w:sz w:val="24"/>
              <w:szCs w:val="24"/>
              <w:lang w:val="en-US" w:eastAsia="zh-CN" w:bidi="ar-SA"/>
            </w:rPr>
            <w:fldChar w:fldCharType="begin"/>
          </w:r>
          <w:r>
            <w:rPr>
              <w:rFonts w:hint="eastAsia" w:ascii="仿宋" w:hAnsi="仿宋" w:eastAsia="仿宋" w:cs="仿宋"/>
              <w:bCs w:val="0"/>
              <w:kern w:val="2"/>
              <w:sz w:val="24"/>
              <w:szCs w:val="24"/>
              <w:lang w:val="en-US" w:eastAsia="zh-CN" w:bidi="ar-SA"/>
            </w:rPr>
            <w:instrText xml:space="preserve"> HYPERLINK \l _Toc14154 </w:instrText>
          </w:r>
          <w:r>
            <w:rPr>
              <w:rFonts w:hint="eastAsia" w:ascii="仿宋" w:hAnsi="仿宋" w:eastAsia="仿宋" w:cs="仿宋"/>
              <w:bCs w:val="0"/>
              <w:kern w:val="2"/>
              <w:sz w:val="24"/>
              <w:szCs w:val="24"/>
              <w:lang w:val="en-US" w:eastAsia="zh-CN" w:bidi="ar-SA"/>
            </w:rPr>
            <w:fldChar w:fldCharType="separate"/>
          </w:r>
          <w:r>
            <w:rPr>
              <w:rFonts w:hint="eastAsia" w:ascii="仿宋" w:hAnsi="仿宋" w:eastAsia="仿宋" w:cs="仿宋"/>
              <w:bCs/>
              <w:sz w:val="24"/>
              <w:szCs w:val="24"/>
            </w:rPr>
            <w:t>标项三：新疆吐鲁番市高昌区七泉湖煤窑沟左岸居民点崩塌灾害防治工程</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_Toc14154 \h </w:instrText>
          </w:r>
          <w:r>
            <w:rPr>
              <w:rFonts w:hint="eastAsia" w:ascii="仿宋" w:hAnsi="仿宋" w:eastAsia="仿宋" w:cs="仿宋"/>
              <w:sz w:val="24"/>
              <w:szCs w:val="24"/>
            </w:rPr>
            <w:fldChar w:fldCharType="separate"/>
          </w:r>
          <w:r>
            <w:rPr>
              <w:rFonts w:hint="eastAsia" w:ascii="仿宋" w:hAnsi="仿宋" w:eastAsia="仿宋" w:cs="仿宋"/>
              <w:sz w:val="24"/>
              <w:szCs w:val="24"/>
            </w:rPr>
            <w:t>43</w:t>
          </w:r>
          <w:r>
            <w:rPr>
              <w:rFonts w:hint="eastAsia" w:ascii="仿宋" w:hAnsi="仿宋" w:eastAsia="仿宋" w:cs="仿宋"/>
              <w:sz w:val="24"/>
              <w:szCs w:val="24"/>
            </w:rPr>
            <w:fldChar w:fldCharType="end"/>
          </w:r>
          <w:r>
            <w:rPr>
              <w:rFonts w:hint="eastAsia" w:ascii="仿宋" w:hAnsi="仿宋" w:eastAsia="仿宋" w:cs="仿宋"/>
              <w:bCs w:val="0"/>
              <w:kern w:val="2"/>
              <w:sz w:val="24"/>
              <w:szCs w:val="24"/>
              <w:lang w:val="en-US" w:eastAsia="zh-CN" w:bidi="ar-SA"/>
            </w:rPr>
            <w:fldChar w:fldCharType="end"/>
          </w:r>
        </w:p>
        <w:p>
          <w:pPr>
            <w:pStyle w:val="30"/>
            <w:tabs>
              <w:tab w:val="right" w:leader="dot" w:pos="8312"/>
            </w:tabs>
            <w:rPr>
              <w:rFonts w:hint="eastAsia" w:ascii="仿宋" w:hAnsi="仿宋" w:eastAsia="仿宋" w:cs="仿宋"/>
              <w:sz w:val="24"/>
              <w:szCs w:val="24"/>
            </w:rPr>
          </w:pPr>
          <w:r>
            <w:rPr>
              <w:rFonts w:hint="eastAsia" w:ascii="仿宋" w:hAnsi="仿宋" w:eastAsia="仿宋" w:cs="仿宋"/>
              <w:bCs w:val="0"/>
              <w:kern w:val="2"/>
              <w:sz w:val="24"/>
              <w:szCs w:val="24"/>
              <w:lang w:val="en-US" w:eastAsia="zh-CN" w:bidi="ar-SA"/>
            </w:rPr>
            <w:fldChar w:fldCharType="begin"/>
          </w:r>
          <w:r>
            <w:rPr>
              <w:rFonts w:hint="eastAsia" w:ascii="仿宋" w:hAnsi="仿宋" w:eastAsia="仿宋" w:cs="仿宋"/>
              <w:bCs w:val="0"/>
              <w:kern w:val="2"/>
              <w:sz w:val="24"/>
              <w:szCs w:val="24"/>
              <w:lang w:val="en-US" w:eastAsia="zh-CN" w:bidi="ar-SA"/>
            </w:rPr>
            <w:instrText xml:space="preserve"> HYPERLINK \l _Toc28883 </w:instrText>
          </w:r>
          <w:r>
            <w:rPr>
              <w:rFonts w:hint="eastAsia" w:ascii="仿宋" w:hAnsi="仿宋" w:eastAsia="仿宋" w:cs="仿宋"/>
              <w:bCs w:val="0"/>
              <w:kern w:val="2"/>
              <w:sz w:val="24"/>
              <w:szCs w:val="24"/>
              <w:lang w:val="en-US" w:eastAsia="zh-CN" w:bidi="ar-SA"/>
            </w:rPr>
            <w:fldChar w:fldCharType="separate"/>
          </w:r>
          <w:r>
            <w:rPr>
              <w:rFonts w:hint="eastAsia" w:ascii="仿宋" w:hAnsi="仿宋" w:eastAsia="仿宋" w:cs="仿宋"/>
              <w:bCs/>
              <w:sz w:val="24"/>
              <w:szCs w:val="24"/>
            </w:rPr>
            <w:t>标项四：吐鲁番市2023年中央自然灾害防治体系建设项目监理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_Toc28883 \h </w:instrText>
          </w:r>
          <w:r>
            <w:rPr>
              <w:rFonts w:hint="eastAsia" w:ascii="仿宋" w:hAnsi="仿宋" w:eastAsia="仿宋" w:cs="仿宋"/>
              <w:sz w:val="24"/>
              <w:szCs w:val="24"/>
            </w:rPr>
            <w:fldChar w:fldCharType="separate"/>
          </w:r>
          <w:r>
            <w:rPr>
              <w:rFonts w:hint="eastAsia" w:ascii="仿宋" w:hAnsi="仿宋" w:eastAsia="仿宋" w:cs="仿宋"/>
              <w:sz w:val="24"/>
              <w:szCs w:val="24"/>
            </w:rPr>
            <w:t>48</w:t>
          </w:r>
          <w:r>
            <w:rPr>
              <w:rFonts w:hint="eastAsia" w:ascii="仿宋" w:hAnsi="仿宋" w:eastAsia="仿宋" w:cs="仿宋"/>
              <w:sz w:val="24"/>
              <w:szCs w:val="24"/>
            </w:rPr>
            <w:fldChar w:fldCharType="end"/>
          </w:r>
          <w:r>
            <w:rPr>
              <w:rFonts w:hint="eastAsia" w:ascii="仿宋" w:hAnsi="仿宋" w:eastAsia="仿宋" w:cs="仿宋"/>
              <w:bCs w:val="0"/>
              <w:kern w:val="2"/>
              <w:sz w:val="24"/>
              <w:szCs w:val="24"/>
              <w:lang w:val="en-US" w:eastAsia="zh-CN" w:bidi="ar-SA"/>
            </w:rPr>
            <w:fldChar w:fldCharType="end"/>
          </w:r>
        </w:p>
        <w:p>
          <w:pPr>
            <w:pStyle w:val="24"/>
            <w:tabs>
              <w:tab w:val="right" w:leader="dot" w:pos="8312"/>
            </w:tabs>
            <w:rPr>
              <w:rFonts w:hint="eastAsia" w:ascii="仿宋" w:hAnsi="仿宋" w:eastAsia="仿宋" w:cs="仿宋"/>
              <w:sz w:val="24"/>
              <w:szCs w:val="24"/>
            </w:rPr>
          </w:pPr>
          <w:r>
            <w:rPr>
              <w:rFonts w:hint="eastAsia" w:ascii="仿宋" w:hAnsi="仿宋" w:eastAsia="仿宋" w:cs="仿宋"/>
              <w:bCs w:val="0"/>
              <w:kern w:val="2"/>
              <w:sz w:val="24"/>
              <w:szCs w:val="24"/>
              <w:lang w:val="en-US" w:eastAsia="zh-CN" w:bidi="ar-SA"/>
            </w:rPr>
            <w:fldChar w:fldCharType="begin"/>
          </w:r>
          <w:r>
            <w:rPr>
              <w:rFonts w:hint="eastAsia" w:ascii="仿宋" w:hAnsi="仿宋" w:eastAsia="仿宋" w:cs="仿宋"/>
              <w:bCs w:val="0"/>
              <w:kern w:val="2"/>
              <w:sz w:val="24"/>
              <w:szCs w:val="24"/>
              <w:lang w:val="en-US" w:eastAsia="zh-CN" w:bidi="ar-SA"/>
            </w:rPr>
            <w:instrText xml:space="preserve"> HYPERLINK \l _Toc32557 </w:instrText>
          </w:r>
          <w:r>
            <w:rPr>
              <w:rFonts w:hint="eastAsia" w:ascii="仿宋" w:hAnsi="仿宋" w:eastAsia="仿宋" w:cs="仿宋"/>
              <w:bCs w:val="0"/>
              <w:kern w:val="2"/>
              <w:sz w:val="24"/>
              <w:szCs w:val="24"/>
              <w:lang w:val="en-US" w:eastAsia="zh-CN" w:bidi="ar-SA"/>
            </w:rPr>
            <w:fldChar w:fldCharType="separate"/>
          </w:r>
          <w:r>
            <w:rPr>
              <w:rFonts w:hint="eastAsia" w:ascii="仿宋" w:hAnsi="仿宋" w:eastAsia="仿宋" w:cs="仿宋"/>
              <w:bCs/>
              <w:sz w:val="24"/>
              <w:szCs w:val="24"/>
            </w:rPr>
            <w:t>第6章</w:t>
          </w:r>
          <w:r>
            <w:rPr>
              <w:rFonts w:hint="eastAsia" w:ascii="仿宋" w:hAnsi="仿宋" w:eastAsia="仿宋" w:cs="仿宋"/>
              <w:sz w:val="24"/>
              <w:szCs w:val="24"/>
            </w:rPr>
            <w:t xml:space="preserve"> </w:t>
          </w:r>
          <w:r>
            <w:rPr>
              <w:rFonts w:hint="eastAsia" w:ascii="仿宋" w:hAnsi="仿宋" w:eastAsia="仿宋" w:cs="仿宋"/>
              <w:bCs/>
              <w:sz w:val="24"/>
              <w:szCs w:val="24"/>
            </w:rPr>
            <w:t xml:space="preserve"> 评标方法和标准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_Toc32557 \h </w:instrText>
          </w:r>
          <w:r>
            <w:rPr>
              <w:rFonts w:hint="eastAsia" w:ascii="仿宋" w:hAnsi="仿宋" w:eastAsia="仿宋" w:cs="仿宋"/>
              <w:sz w:val="24"/>
              <w:szCs w:val="24"/>
            </w:rPr>
            <w:fldChar w:fldCharType="separate"/>
          </w:r>
          <w:r>
            <w:rPr>
              <w:rFonts w:hint="eastAsia" w:ascii="仿宋" w:hAnsi="仿宋" w:eastAsia="仿宋" w:cs="仿宋"/>
              <w:sz w:val="24"/>
              <w:szCs w:val="24"/>
            </w:rPr>
            <w:t>51</w:t>
          </w:r>
          <w:r>
            <w:rPr>
              <w:rFonts w:hint="eastAsia" w:ascii="仿宋" w:hAnsi="仿宋" w:eastAsia="仿宋" w:cs="仿宋"/>
              <w:sz w:val="24"/>
              <w:szCs w:val="24"/>
            </w:rPr>
            <w:fldChar w:fldCharType="end"/>
          </w:r>
          <w:r>
            <w:rPr>
              <w:rFonts w:hint="eastAsia" w:ascii="仿宋" w:hAnsi="仿宋" w:eastAsia="仿宋" w:cs="仿宋"/>
              <w:bCs w:val="0"/>
              <w:kern w:val="2"/>
              <w:sz w:val="24"/>
              <w:szCs w:val="24"/>
              <w:lang w:val="en-US" w:eastAsia="zh-CN" w:bidi="ar-SA"/>
            </w:rPr>
            <w:fldChar w:fldCharType="end"/>
          </w:r>
        </w:p>
        <w:p>
          <w:pPr>
            <w:pStyle w:val="30"/>
            <w:tabs>
              <w:tab w:val="right" w:leader="dot" w:pos="8312"/>
            </w:tabs>
            <w:rPr>
              <w:rFonts w:hint="eastAsia" w:ascii="仿宋" w:hAnsi="仿宋" w:eastAsia="仿宋" w:cs="仿宋"/>
              <w:sz w:val="24"/>
              <w:szCs w:val="24"/>
            </w:rPr>
          </w:pPr>
          <w:r>
            <w:rPr>
              <w:rFonts w:hint="eastAsia" w:ascii="仿宋" w:hAnsi="仿宋" w:eastAsia="仿宋" w:cs="仿宋"/>
              <w:bCs w:val="0"/>
              <w:kern w:val="2"/>
              <w:sz w:val="24"/>
              <w:szCs w:val="24"/>
              <w:lang w:val="en-US" w:eastAsia="zh-CN" w:bidi="ar-SA"/>
            </w:rPr>
            <w:fldChar w:fldCharType="begin"/>
          </w:r>
          <w:r>
            <w:rPr>
              <w:rFonts w:hint="eastAsia" w:ascii="仿宋" w:hAnsi="仿宋" w:eastAsia="仿宋" w:cs="仿宋"/>
              <w:bCs w:val="0"/>
              <w:kern w:val="2"/>
              <w:sz w:val="24"/>
              <w:szCs w:val="24"/>
              <w:lang w:val="en-US" w:eastAsia="zh-CN" w:bidi="ar-SA"/>
            </w:rPr>
            <w:instrText xml:space="preserve"> HYPERLINK \l _Toc20937 </w:instrText>
          </w:r>
          <w:r>
            <w:rPr>
              <w:rFonts w:hint="eastAsia" w:ascii="仿宋" w:hAnsi="仿宋" w:eastAsia="仿宋" w:cs="仿宋"/>
              <w:bCs w:val="0"/>
              <w:kern w:val="2"/>
              <w:sz w:val="24"/>
              <w:szCs w:val="24"/>
              <w:lang w:val="en-US" w:eastAsia="zh-CN" w:bidi="ar-SA"/>
            </w:rPr>
            <w:fldChar w:fldCharType="separate"/>
          </w:r>
          <w:r>
            <w:rPr>
              <w:rFonts w:hint="eastAsia" w:ascii="仿宋" w:hAnsi="仿宋" w:eastAsia="仿宋" w:cs="仿宋"/>
              <w:iCs/>
              <w:sz w:val="24"/>
              <w:szCs w:val="24"/>
            </w:rPr>
            <w:t>（内容包括投标无效界定和详细评标标准）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_Toc20937 \h </w:instrText>
          </w:r>
          <w:r>
            <w:rPr>
              <w:rFonts w:hint="eastAsia" w:ascii="仿宋" w:hAnsi="仿宋" w:eastAsia="仿宋" w:cs="仿宋"/>
              <w:sz w:val="24"/>
              <w:szCs w:val="24"/>
            </w:rPr>
            <w:fldChar w:fldCharType="separate"/>
          </w:r>
          <w:r>
            <w:rPr>
              <w:rFonts w:hint="eastAsia" w:ascii="仿宋" w:hAnsi="仿宋" w:eastAsia="仿宋" w:cs="仿宋"/>
              <w:sz w:val="24"/>
              <w:szCs w:val="24"/>
            </w:rPr>
            <w:t>51</w:t>
          </w:r>
          <w:r>
            <w:rPr>
              <w:rFonts w:hint="eastAsia" w:ascii="仿宋" w:hAnsi="仿宋" w:eastAsia="仿宋" w:cs="仿宋"/>
              <w:sz w:val="24"/>
              <w:szCs w:val="24"/>
            </w:rPr>
            <w:fldChar w:fldCharType="end"/>
          </w:r>
          <w:r>
            <w:rPr>
              <w:rFonts w:hint="eastAsia" w:ascii="仿宋" w:hAnsi="仿宋" w:eastAsia="仿宋" w:cs="仿宋"/>
              <w:bCs w:val="0"/>
              <w:kern w:val="2"/>
              <w:sz w:val="24"/>
              <w:szCs w:val="24"/>
              <w:lang w:val="en-US" w:eastAsia="zh-CN" w:bidi="ar-SA"/>
            </w:rPr>
            <w:fldChar w:fldCharType="end"/>
          </w:r>
        </w:p>
        <w:p>
          <w:pPr>
            <w:pStyle w:val="30"/>
            <w:tabs>
              <w:tab w:val="right" w:leader="dot" w:pos="8312"/>
            </w:tabs>
            <w:rPr>
              <w:rFonts w:hint="eastAsia" w:ascii="仿宋" w:hAnsi="仿宋" w:eastAsia="仿宋" w:cs="仿宋"/>
              <w:sz w:val="24"/>
              <w:szCs w:val="24"/>
            </w:rPr>
          </w:pPr>
          <w:r>
            <w:rPr>
              <w:rFonts w:hint="eastAsia" w:ascii="仿宋" w:hAnsi="仿宋" w:eastAsia="仿宋" w:cs="仿宋"/>
              <w:bCs w:val="0"/>
              <w:kern w:val="2"/>
              <w:sz w:val="24"/>
              <w:szCs w:val="24"/>
              <w:lang w:val="en-US" w:eastAsia="zh-CN" w:bidi="ar-SA"/>
            </w:rPr>
            <w:fldChar w:fldCharType="begin"/>
          </w:r>
          <w:r>
            <w:rPr>
              <w:rFonts w:hint="eastAsia" w:ascii="仿宋" w:hAnsi="仿宋" w:eastAsia="仿宋" w:cs="仿宋"/>
              <w:bCs w:val="0"/>
              <w:kern w:val="2"/>
              <w:sz w:val="24"/>
              <w:szCs w:val="24"/>
              <w:lang w:val="en-US" w:eastAsia="zh-CN" w:bidi="ar-SA"/>
            </w:rPr>
            <w:instrText xml:space="preserve"> HYPERLINK \l _Toc12174 </w:instrText>
          </w:r>
          <w:r>
            <w:rPr>
              <w:rFonts w:hint="eastAsia" w:ascii="仿宋" w:hAnsi="仿宋" w:eastAsia="仿宋" w:cs="仿宋"/>
              <w:bCs w:val="0"/>
              <w:kern w:val="2"/>
              <w:sz w:val="24"/>
              <w:szCs w:val="24"/>
              <w:lang w:val="en-US" w:eastAsia="zh-CN" w:bidi="ar-SA"/>
            </w:rPr>
            <w:fldChar w:fldCharType="separate"/>
          </w:r>
          <w:r>
            <w:rPr>
              <w:rFonts w:hint="eastAsia" w:ascii="仿宋" w:hAnsi="仿宋" w:eastAsia="仿宋" w:cs="仿宋"/>
              <w:kern w:val="0"/>
              <w:sz w:val="24"/>
              <w:szCs w:val="24"/>
            </w:rPr>
            <w:t>1. 总则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_Toc12174 \h </w:instrText>
          </w:r>
          <w:r>
            <w:rPr>
              <w:rFonts w:hint="eastAsia" w:ascii="仿宋" w:hAnsi="仿宋" w:eastAsia="仿宋" w:cs="仿宋"/>
              <w:sz w:val="24"/>
              <w:szCs w:val="24"/>
            </w:rPr>
            <w:fldChar w:fldCharType="separate"/>
          </w:r>
          <w:r>
            <w:rPr>
              <w:rFonts w:hint="eastAsia" w:ascii="仿宋" w:hAnsi="仿宋" w:eastAsia="仿宋" w:cs="仿宋"/>
              <w:sz w:val="24"/>
              <w:szCs w:val="24"/>
            </w:rPr>
            <w:t>51</w:t>
          </w:r>
          <w:r>
            <w:rPr>
              <w:rFonts w:hint="eastAsia" w:ascii="仿宋" w:hAnsi="仿宋" w:eastAsia="仿宋" w:cs="仿宋"/>
              <w:sz w:val="24"/>
              <w:szCs w:val="24"/>
            </w:rPr>
            <w:fldChar w:fldCharType="end"/>
          </w:r>
          <w:r>
            <w:rPr>
              <w:rFonts w:hint="eastAsia" w:ascii="仿宋" w:hAnsi="仿宋" w:eastAsia="仿宋" w:cs="仿宋"/>
              <w:bCs w:val="0"/>
              <w:kern w:val="2"/>
              <w:sz w:val="24"/>
              <w:szCs w:val="24"/>
              <w:lang w:val="en-US" w:eastAsia="zh-CN" w:bidi="ar-SA"/>
            </w:rPr>
            <w:fldChar w:fldCharType="end"/>
          </w:r>
        </w:p>
        <w:p>
          <w:pPr>
            <w:pStyle w:val="30"/>
            <w:tabs>
              <w:tab w:val="right" w:leader="dot" w:pos="8312"/>
            </w:tabs>
            <w:rPr>
              <w:rFonts w:hint="eastAsia" w:ascii="仿宋" w:hAnsi="仿宋" w:eastAsia="仿宋" w:cs="仿宋"/>
              <w:sz w:val="24"/>
              <w:szCs w:val="24"/>
            </w:rPr>
          </w:pPr>
          <w:r>
            <w:rPr>
              <w:rFonts w:hint="eastAsia" w:ascii="仿宋" w:hAnsi="仿宋" w:eastAsia="仿宋" w:cs="仿宋"/>
              <w:bCs w:val="0"/>
              <w:kern w:val="2"/>
              <w:sz w:val="24"/>
              <w:szCs w:val="24"/>
              <w:lang w:val="en-US" w:eastAsia="zh-CN" w:bidi="ar-SA"/>
            </w:rPr>
            <w:fldChar w:fldCharType="begin"/>
          </w:r>
          <w:r>
            <w:rPr>
              <w:rFonts w:hint="eastAsia" w:ascii="仿宋" w:hAnsi="仿宋" w:eastAsia="仿宋" w:cs="仿宋"/>
              <w:bCs w:val="0"/>
              <w:kern w:val="2"/>
              <w:sz w:val="24"/>
              <w:szCs w:val="24"/>
              <w:lang w:val="en-US" w:eastAsia="zh-CN" w:bidi="ar-SA"/>
            </w:rPr>
            <w:instrText xml:space="preserve"> HYPERLINK \l _Toc28769 </w:instrText>
          </w:r>
          <w:r>
            <w:rPr>
              <w:rFonts w:hint="eastAsia" w:ascii="仿宋" w:hAnsi="仿宋" w:eastAsia="仿宋" w:cs="仿宋"/>
              <w:bCs w:val="0"/>
              <w:kern w:val="2"/>
              <w:sz w:val="24"/>
              <w:szCs w:val="24"/>
              <w:lang w:val="en-US" w:eastAsia="zh-CN" w:bidi="ar-SA"/>
            </w:rPr>
            <w:fldChar w:fldCharType="separate"/>
          </w:r>
          <w:r>
            <w:rPr>
              <w:rFonts w:hint="eastAsia" w:ascii="仿宋" w:hAnsi="仿宋" w:eastAsia="仿宋" w:cs="仿宋"/>
              <w:bCs/>
              <w:kern w:val="0"/>
              <w:sz w:val="24"/>
              <w:szCs w:val="24"/>
            </w:rPr>
            <w:t>2.评标方法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_Toc28769 \h </w:instrText>
          </w:r>
          <w:r>
            <w:rPr>
              <w:rFonts w:hint="eastAsia" w:ascii="仿宋" w:hAnsi="仿宋" w:eastAsia="仿宋" w:cs="仿宋"/>
              <w:sz w:val="24"/>
              <w:szCs w:val="24"/>
            </w:rPr>
            <w:fldChar w:fldCharType="separate"/>
          </w:r>
          <w:r>
            <w:rPr>
              <w:rFonts w:hint="eastAsia" w:ascii="仿宋" w:hAnsi="仿宋" w:eastAsia="仿宋" w:cs="仿宋"/>
              <w:sz w:val="24"/>
              <w:szCs w:val="24"/>
            </w:rPr>
            <w:t>52</w:t>
          </w:r>
          <w:r>
            <w:rPr>
              <w:rFonts w:hint="eastAsia" w:ascii="仿宋" w:hAnsi="仿宋" w:eastAsia="仿宋" w:cs="仿宋"/>
              <w:sz w:val="24"/>
              <w:szCs w:val="24"/>
            </w:rPr>
            <w:fldChar w:fldCharType="end"/>
          </w:r>
          <w:r>
            <w:rPr>
              <w:rFonts w:hint="eastAsia" w:ascii="仿宋" w:hAnsi="仿宋" w:eastAsia="仿宋" w:cs="仿宋"/>
              <w:bCs w:val="0"/>
              <w:kern w:val="2"/>
              <w:sz w:val="24"/>
              <w:szCs w:val="24"/>
              <w:lang w:val="en-US" w:eastAsia="zh-CN" w:bidi="ar-SA"/>
            </w:rPr>
            <w:fldChar w:fldCharType="end"/>
          </w:r>
        </w:p>
        <w:p>
          <w:pPr>
            <w:pStyle w:val="30"/>
            <w:tabs>
              <w:tab w:val="right" w:leader="dot" w:pos="8312"/>
            </w:tabs>
            <w:rPr>
              <w:rFonts w:hint="eastAsia" w:ascii="仿宋" w:hAnsi="仿宋" w:eastAsia="仿宋" w:cs="仿宋"/>
              <w:sz w:val="24"/>
              <w:szCs w:val="24"/>
            </w:rPr>
          </w:pPr>
          <w:r>
            <w:rPr>
              <w:rFonts w:hint="eastAsia" w:ascii="仿宋" w:hAnsi="仿宋" w:eastAsia="仿宋" w:cs="仿宋"/>
              <w:bCs w:val="0"/>
              <w:kern w:val="2"/>
              <w:sz w:val="24"/>
              <w:szCs w:val="24"/>
              <w:lang w:val="en-US" w:eastAsia="zh-CN" w:bidi="ar-SA"/>
            </w:rPr>
            <w:fldChar w:fldCharType="begin"/>
          </w:r>
          <w:r>
            <w:rPr>
              <w:rFonts w:hint="eastAsia" w:ascii="仿宋" w:hAnsi="仿宋" w:eastAsia="仿宋" w:cs="仿宋"/>
              <w:bCs w:val="0"/>
              <w:kern w:val="2"/>
              <w:sz w:val="24"/>
              <w:szCs w:val="24"/>
              <w:lang w:val="en-US" w:eastAsia="zh-CN" w:bidi="ar-SA"/>
            </w:rPr>
            <w:instrText xml:space="preserve"> HYPERLINK \l _Toc20147 </w:instrText>
          </w:r>
          <w:r>
            <w:rPr>
              <w:rFonts w:hint="eastAsia" w:ascii="仿宋" w:hAnsi="仿宋" w:eastAsia="仿宋" w:cs="仿宋"/>
              <w:bCs w:val="0"/>
              <w:kern w:val="2"/>
              <w:sz w:val="24"/>
              <w:szCs w:val="24"/>
              <w:lang w:val="en-US" w:eastAsia="zh-CN" w:bidi="ar-SA"/>
            </w:rPr>
            <w:fldChar w:fldCharType="separate"/>
          </w:r>
          <w:r>
            <w:rPr>
              <w:rFonts w:hint="eastAsia" w:ascii="仿宋" w:hAnsi="仿宋" w:eastAsia="仿宋" w:cs="仿宋"/>
              <w:bCs/>
              <w:kern w:val="0"/>
              <w:sz w:val="24"/>
              <w:szCs w:val="24"/>
            </w:rPr>
            <w:t>3.评标程序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_Toc20147 \h </w:instrText>
          </w:r>
          <w:r>
            <w:rPr>
              <w:rFonts w:hint="eastAsia" w:ascii="仿宋" w:hAnsi="仿宋" w:eastAsia="仿宋" w:cs="仿宋"/>
              <w:sz w:val="24"/>
              <w:szCs w:val="24"/>
            </w:rPr>
            <w:fldChar w:fldCharType="separate"/>
          </w:r>
          <w:r>
            <w:rPr>
              <w:rFonts w:hint="eastAsia" w:ascii="仿宋" w:hAnsi="仿宋" w:eastAsia="仿宋" w:cs="仿宋"/>
              <w:sz w:val="24"/>
              <w:szCs w:val="24"/>
            </w:rPr>
            <w:t>52</w:t>
          </w:r>
          <w:r>
            <w:rPr>
              <w:rFonts w:hint="eastAsia" w:ascii="仿宋" w:hAnsi="仿宋" w:eastAsia="仿宋" w:cs="仿宋"/>
              <w:sz w:val="24"/>
              <w:szCs w:val="24"/>
            </w:rPr>
            <w:fldChar w:fldCharType="end"/>
          </w:r>
          <w:r>
            <w:rPr>
              <w:rFonts w:hint="eastAsia" w:ascii="仿宋" w:hAnsi="仿宋" w:eastAsia="仿宋" w:cs="仿宋"/>
              <w:bCs w:val="0"/>
              <w:kern w:val="2"/>
              <w:sz w:val="24"/>
              <w:szCs w:val="24"/>
              <w:lang w:val="en-US" w:eastAsia="zh-CN" w:bidi="ar-SA"/>
            </w:rPr>
            <w:fldChar w:fldCharType="end"/>
          </w:r>
        </w:p>
        <w:p>
          <w:pPr>
            <w:pStyle w:val="30"/>
            <w:tabs>
              <w:tab w:val="right" w:leader="dot" w:pos="8312"/>
            </w:tabs>
            <w:rPr>
              <w:rFonts w:hint="eastAsia" w:ascii="仿宋" w:hAnsi="仿宋" w:eastAsia="仿宋" w:cs="仿宋"/>
              <w:sz w:val="24"/>
              <w:szCs w:val="24"/>
            </w:rPr>
          </w:pPr>
          <w:r>
            <w:rPr>
              <w:rFonts w:hint="eastAsia" w:ascii="仿宋" w:hAnsi="仿宋" w:eastAsia="仿宋" w:cs="仿宋"/>
              <w:bCs w:val="0"/>
              <w:kern w:val="2"/>
              <w:sz w:val="24"/>
              <w:szCs w:val="24"/>
              <w:lang w:val="en-US" w:eastAsia="zh-CN" w:bidi="ar-SA"/>
            </w:rPr>
            <w:fldChar w:fldCharType="begin"/>
          </w:r>
          <w:r>
            <w:rPr>
              <w:rFonts w:hint="eastAsia" w:ascii="仿宋" w:hAnsi="仿宋" w:eastAsia="仿宋" w:cs="仿宋"/>
              <w:bCs w:val="0"/>
              <w:kern w:val="2"/>
              <w:sz w:val="24"/>
              <w:szCs w:val="24"/>
              <w:lang w:val="en-US" w:eastAsia="zh-CN" w:bidi="ar-SA"/>
            </w:rPr>
            <w:instrText xml:space="preserve"> HYPERLINK \l _Toc975 </w:instrText>
          </w:r>
          <w:r>
            <w:rPr>
              <w:rFonts w:hint="eastAsia" w:ascii="仿宋" w:hAnsi="仿宋" w:eastAsia="仿宋" w:cs="仿宋"/>
              <w:bCs w:val="0"/>
              <w:kern w:val="2"/>
              <w:sz w:val="24"/>
              <w:szCs w:val="24"/>
              <w:lang w:val="en-US" w:eastAsia="zh-CN" w:bidi="ar-SA"/>
            </w:rPr>
            <w:fldChar w:fldCharType="separate"/>
          </w:r>
          <w:r>
            <w:rPr>
              <w:rFonts w:hint="eastAsia" w:ascii="仿宋" w:hAnsi="仿宋" w:eastAsia="仿宋" w:cs="仿宋"/>
              <w:bCs/>
              <w:kern w:val="0"/>
              <w:sz w:val="24"/>
              <w:szCs w:val="24"/>
            </w:rPr>
            <w:t>4.废标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_Toc975 \h </w:instrText>
          </w:r>
          <w:r>
            <w:rPr>
              <w:rFonts w:hint="eastAsia" w:ascii="仿宋" w:hAnsi="仿宋" w:eastAsia="仿宋" w:cs="仿宋"/>
              <w:sz w:val="24"/>
              <w:szCs w:val="24"/>
            </w:rPr>
            <w:fldChar w:fldCharType="separate"/>
          </w:r>
          <w:r>
            <w:rPr>
              <w:rFonts w:hint="eastAsia" w:ascii="仿宋" w:hAnsi="仿宋" w:eastAsia="仿宋" w:cs="仿宋"/>
              <w:sz w:val="24"/>
              <w:szCs w:val="24"/>
            </w:rPr>
            <w:t>55</w:t>
          </w:r>
          <w:r>
            <w:rPr>
              <w:rFonts w:hint="eastAsia" w:ascii="仿宋" w:hAnsi="仿宋" w:eastAsia="仿宋" w:cs="仿宋"/>
              <w:sz w:val="24"/>
              <w:szCs w:val="24"/>
            </w:rPr>
            <w:fldChar w:fldCharType="end"/>
          </w:r>
          <w:r>
            <w:rPr>
              <w:rFonts w:hint="eastAsia" w:ascii="仿宋" w:hAnsi="仿宋" w:eastAsia="仿宋" w:cs="仿宋"/>
              <w:bCs w:val="0"/>
              <w:kern w:val="2"/>
              <w:sz w:val="24"/>
              <w:szCs w:val="24"/>
              <w:lang w:val="en-US" w:eastAsia="zh-CN" w:bidi="ar-SA"/>
            </w:rPr>
            <w:fldChar w:fldCharType="end"/>
          </w:r>
        </w:p>
        <w:p>
          <w:pPr>
            <w:pStyle w:val="30"/>
            <w:tabs>
              <w:tab w:val="right" w:leader="dot" w:pos="8312"/>
            </w:tabs>
            <w:rPr>
              <w:rFonts w:hint="eastAsia" w:ascii="仿宋" w:hAnsi="仿宋" w:eastAsia="仿宋" w:cs="仿宋"/>
              <w:sz w:val="24"/>
              <w:szCs w:val="24"/>
            </w:rPr>
          </w:pPr>
          <w:r>
            <w:rPr>
              <w:rFonts w:hint="eastAsia" w:ascii="仿宋" w:hAnsi="仿宋" w:eastAsia="仿宋" w:cs="仿宋"/>
              <w:bCs w:val="0"/>
              <w:kern w:val="2"/>
              <w:sz w:val="24"/>
              <w:szCs w:val="24"/>
              <w:lang w:val="en-US" w:eastAsia="zh-CN" w:bidi="ar-SA"/>
            </w:rPr>
            <w:fldChar w:fldCharType="begin"/>
          </w:r>
          <w:r>
            <w:rPr>
              <w:rFonts w:hint="eastAsia" w:ascii="仿宋" w:hAnsi="仿宋" w:eastAsia="仿宋" w:cs="仿宋"/>
              <w:bCs w:val="0"/>
              <w:kern w:val="2"/>
              <w:sz w:val="24"/>
              <w:szCs w:val="24"/>
              <w:lang w:val="en-US" w:eastAsia="zh-CN" w:bidi="ar-SA"/>
            </w:rPr>
            <w:instrText xml:space="preserve"> HYPERLINK \l _Toc7412 </w:instrText>
          </w:r>
          <w:r>
            <w:rPr>
              <w:rFonts w:hint="eastAsia" w:ascii="仿宋" w:hAnsi="仿宋" w:eastAsia="仿宋" w:cs="仿宋"/>
              <w:bCs w:val="0"/>
              <w:kern w:val="2"/>
              <w:sz w:val="24"/>
              <w:szCs w:val="24"/>
              <w:lang w:val="en-US" w:eastAsia="zh-CN" w:bidi="ar-SA"/>
            </w:rPr>
            <w:fldChar w:fldCharType="separate"/>
          </w:r>
          <w:r>
            <w:rPr>
              <w:rFonts w:hint="eastAsia" w:ascii="仿宋" w:hAnsi="仿宋" w:eastAsia="仿宋" w:cs="仿宋"/>
              <w:bCs/>
              <w:kern w:val="0"/>
              <w:sz w:val="24"/>
              <w:szCs w:val="24"/>
            </w:rPr>
            <w:t>5.定标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_Toc7412 \h </w:instrText>
          </w:r>
          <w:r>
            <w:rPr>
              <w:rFonts w:hint="eastAsia" w:ascii="仿宋" w:hAnsi="仿宋" w:eastAsia="仿宋" w:cs="仿宋"/>
              <w:sz w:val="24"/>
              <w:szCs w:val="24"/>
            </w:rPr>
            <w:fldChar w:fldCharType="separate"/>
          </w:r>
          <w:r>
            <w:rPr>
              <w:rFonts w:hint="eastAsia" w:ascii="仿宋" w:hAnsi="仿宋" w:eastAsia="仿宋" w:cs="仿宋"/>
              <w:sz w:val="24"/>
              <w:szCs w:val="24"/>
            </w:rPr>
            <w:t>56</w:t>
          </w:r>
          <w:r>
            <w:rPr>
              <w:rFonts w:hint="eastAsia" w:ascii="仿宋" w:hAnsi="仿宋" w:eastAsia="仿宋" w:cs="仿宋"/>
              <w:sz w:val="24"/>
              <w:szCs w:val="24"/>
            </w:rPr>
            <w:fldChar w:fldCharType="end"/>
          </w:r>
          <w:r>
            <w:rPr>
              <w:rFonts w:hint="eastAsia" w:ascii="仿宋" w:hAnsi="仿宋" w:eastAsia="仿宋" w:cs="仿宋"/>
              <w:bCs w:val="0"/>
              <w:kern w:val="2"/>
              <w:sz w:val="24"/>
              <w:szCs w:val="24"/>
              <w:lang w:val="en-US" w:eastAsia="zh-CN" w:bidi="ar-SA"/>
            </w:rPr>
            <w:fldChar w:fldCharType="end"/>
          </w:r>
        </w:p>
        <w:p>
          <w:pPr>
            <w:pStyle w:val="30"/>
            <w:tabs>
              <w:tab w:val="right" w:leader="dot" w:pos="8312"/>
            </w:tabs>
            <w:rPr>
              <w:rFonts w:hint="eastAsia" w:ascii="仿宋" w:hAnsi="仿宋" w:eastAsia="仿宋" w:cs="仿宋"/>
              <w:sz w:val="24"/>
              <w:szCs w:val="24"/>
            </w:rPr>
          </w:pPr>
          <w:r>
            <w:rPr>
              <w:rFonts w:hint="eastAsia" w:ascii="仿宋" w:hAnsi="仿宋" w:eastAsia="仿宋" w:cs="仿宋"/>
              <w:bCs w:val="0"/>
              <w:kern w:val="2"/>
              <w:sz w:val="24"/>
              <w:szCs w:val="24"/>
              <w:lang w:val="en-US" w:eastAsia="zh-CN" w:bidi="ar-SA"/>
            </w:rPr>
            <w:fldChar w:fldCharType="begin"/>
          </w:r>
          <w:r>
            <w:rPr>
              <w:rFonts w:hint="eastAsia" w:ascii="仿宋" w:hAnsi="仿宋" w:eastAsia="仿宋" w:cs="仿宋"/>
              <w:bCs w:val="0"/>
              <w:kern w:val="2"/>
              <w:sz w:val="24"/>
              <w:szCs w:val="24"/>
              <w:lang w:val="en-US" w:eastAsia="zh-CN" w:bidi="ar-SA"/>
            </w:rPr>
            <w:instrText xml:space="preserve"> HYPERLINK \l _Toc28171 </w:instrText>
          </w:r>
          <w:r>
            <w:rPr>
              <w:rFonts w:hint="eastAsia" w:ascii="仿宋" w:hAnsi="仿宋" w:eastAsia="仿宋" w:cs="仿宋"/>
              <w:bCs w:val="0"/>
              <w:kern w:val="2"/>
              <w:sz w:val="24"/>
              <w:szCs w:val="24"/>
              <w:lang w:val="en-US" w:eastAsia="zh-CN" w:bidi="ar-SA"/>
            </w:rPr>
            <w:fldChar w:fldCharType="separate"/>
          </w:r>
          <w:r>
            <w:rPr>
              <w:rFonts w:hint="eastAsia" w:ascii="仿宋" w:hAnsi="仿宋" w:eastAsia="仿宋" w:cs="仿宋"/>
              <w:bCs/>
              <w:kern w:val="0"/>
              <w:sz w:val="24"/>
              <w:szCs w:val="24"/>
            </w:rPr>
            <w:t>6.详细的评标标准：（具体内容详见综合评分表）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_Toc28171 \h </w:instrText>
          </w:r>
          <w:r>
            <w:rPr>
              <w:rFonts w:hint="eastAsia" w:ascii="仿宋" w:hAnsi="仿宋" w:eastAsia="仿宋" w:cs="仿宋"/>
              <w:sz w:val="24"/>
              <w:szCs w:val="24"/>
            </w:rPr>
            <w:fldChar w:fldCharType="separate"/>
          </w:r>
          <w:r>
            <w:rPr>
              <w:rFonts w:hint="eastAsia" w:ascii="仿宋" w:hAnsi="仿宋" w:eastAsia="仿宋" w:cs="仿宋"/>
              <w:sz w:val="24"/>
              <w:szCs w:val="24"/>
            </w:rPr>
            <w:t>56</w:t>
          </w:r>
          <w:r>
            <w:rPr>
              <w:rFonts w:hint="eastAsia" w:ascii="仿宋" w:hAnsi="仿宋" w:eastAsia="仿宋" w:cs="仿宋"/>
              <w:sz w:val="24"/>
              <w:szCs w:val="24"/>
            </w:rPr>
            <w:fldChar w:fldCharType="end"/>
          </w:r>
          <w:r>
            <w:rPr>
              <w:rFonts w:hint="eastAsia" w:ascii="仿宋" w:hAnsi="仿宋" w:eastAsia="仿宋" w:cs="仿宋"/>
              <w:bCs w:val="0"/>
              <w:kern w:val="2"/>
              <w:sz w:val="24"/>
              <w:szCs w:val="24"/>
              <w:lang w:val="en-US" w:eastAsia="zh-CN" w:bidi="ar-SA"/>
            </w:rPr>
            <w:fldChar w:fldCharType="end"/>
          </w:r>
        </w:p>
        <w:p>
          <w:pPr>
            <w:pStyle w:val="24"/>
            <w:tabs>
              <w:tab w:val="right" w:leader="dot" w:pos="8312"/>
            </w:tabs>
            <w:ind w:firstLine="480" w:firstLineChars="200"/>
            <w:rPr>
              <w:rFonts w:hint="eastAsia" w:ascii="仿宋" w:hAnsi="仿宋" w:eastAsia="仿宋" w:cs="仿宋"/>
              <w:sz w:val="24"/>
              <w:szCs w:val="24"/>
            </w:rPr>
          </w:pPr>
          <w:r>
            <w:rPr>
              <w:rFonts w:hint="eastAsia" w:ascii="仿宋" w:hAnsi="仿宋" w:eastAsia="仿宋" w:cs="仿宋"/>
              <w:bCs w:val="0"/>
              <w:kern w:val="2"/>
              <w:sz w:val="24"/>
              <w:szCs w:val="24"/>
              <w:lang w:val="en-US" w:eastAsia="zh-CN" w:bidi="ar-SA"/>
            </w:rPr>
            <w:fldChar w:fldCharType="begin"/>
          </w:r>
          <w:r>
            <w:rPr>
              <w:rFonts w:hint="eastAsia" w:ascii="仿宋" w:hAnsi="仿宋" w:eastAsia="仿宋" w:cs="仿宋"/>
              <w:bCs w:val="0"/>
              <w:kern w:val="2"/>
              <w:sz w:val="24"/>
              <w:szCs w:val="24"/>
              <w:lang w:val="en-US" w:eastAsia="zh-CN" w:bidi="ar-SA"/>
            </w:rPr>
            <w:instrText xml:space="preserve"> HYPERLINK \l _Toc4964 </w:instrText>
          </w:r>
          <w:r>
            <w:rPr>
              <w:rFonts w:hint="eastAsia" w:ascii="仿宋" w:hAnsi="仿宋" w:eastAsia="仿宋" w:cs="仿宋"/>
              <w:bCs w:val="0"/>
              <w:kern w:val="2"/>
              <w:sz w:val="24"/>
              <w:szCs w:val="24"/>
              <w:lang w:val="en-US" w:eastAsia="zh-CN" w:bidi="ar-SA"/>
            </w:rPr>
            <w:fldChar w:fldCharType="separate"/>
          </w:r>
          <w:r>
            <w:rPr>
              <w:rFonts w:hint="eastAsia" w:ascii="仿宋" w:hAnsi="仿宋" w:eastAsia="仿宋" w:cs="仿宋"/>
              <w:bCs/>
              <w:kern w:val="0"/>
              <w:sz w:val="24"/>
              <w:szCs w:val="24"/>
            </w:rPr>
            <w:t>综合评分表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_Toc4964 \h </w:instrText>
          </w:r>
          <w:r>
            <w:rPr>
              <w:rFonts w:hint="eastAsia" w:ascii="仿宋" w:hAnsi="仿宋" w:eastAsia="仿宋" w:cs="仿宋"/>
              <w:sz w:val="24"/>
              <w:szCs w:val="24"/>
            </w:rPr>
            <w:fldChar w:fldCharType="separate"/>
          </w:r>
          <w:r>
            <w:rPr>
              <w:rFonts w:hint="eastAsia" w:ascii="仿宋" w:hAnsi="仿宋" w:eastAsia="仿宋" w:cs="仿宋"/>
              <w:sz w:val="24"/>
              <w:szCs w:val="24"/>
            </w:rPr>
            <w:t>57</w:t>
          </w:r>
          <w:r>
            <w:rPr>
              <w:rFonts w:hint="eastAsia" w:ascii="仿宋" w:hAnsi="仿宋" w:eastAsia="仿宋" w:cs="仿宋"/>
              <w:sz w:val="24"/>
              <w:szCs w:val="24"/>
            </w:rPr>
            <w:fldChar w:fldCharType="end"/>
          </w:r>
          <w:r>
            <w:rPr>
              <w:rFonts w:hint="eastAsia" w:ascii="仿宋" w:hAnsi="仿宋" w:eastAsia="仿宋" w:cs="仿宋"/>
              <w:bCs w:val="0"/>
              <w:kern w:val="2"/>
              <w:sz w:val="24"/>
              <w:szCs w:val="24"/>
              <w:lang w:val="en-US" w:eastAsia="zh-CN" w:bidi="ar-SA"/>
            </w:rPr>
            <w:fldChar w:fldCharType="end"/>
          </w:r>
        </w:p>
        <w:p>
          <w:pPr>
            <w:pStyle w:val="30"/>
            <w:tabs>
              <w:tab w:val="right" w:leader="dot" w:pos="8312"/>
            </w:tabs>
            <w:rPr>
              <w:rFonts w:hint="eastAsia" w:ascii="仿宋" w:hAnsi="仿宋" w:eastAsia="仿宋" w:cs="仿宋"/>
              <w:sz w:val="24"/>
              <w:szCs w:val="24"/>
            </w:rPr>
          </w:pPr>
          <w:r>
            <w:rPr>
              <w:rFonts w:hint="eastAsia" w:ascii="仿宋" w:hAnsi="仿宋" w:eastAsia="仿宋" w:cs="仿宋"/>
              <w:bCs w:val="0"/>
              <w:kern w:val="2"/>
              <w:sz w:val="24"/>
              <w:szCs w:val="24"/>
              <w:lang w:val="en-US" w:eastAsia="zh-CN" w:bidi="ar-SA"/>
            </w:rPr>
            <w:fldChar w:fldCharType="begin"/>
          </w:r>
          <w:r>
            <w:rPr>
              <w:rFonts w:hint="eastAsia" w:ascii="仿宋" w:hAnsi="仿宋" w:eastAsia="仿宋" w:cs="仿宋"/>
              <w:bCs w:val="0"/>
              <w:kern w:val="2"/>
              <w:sz w:val="24"/>
              <w:szCs w:val="24"/>
              <w:lang w:val="en-US" w:eastAsia="zh-CN" w:bidi="ar-SA"/>
            </w:rPr>
            <w:instrText xml:space="preserve"> HYPERLINK \l _Toc20204 </w:instrText>
          </w:r>
          <w:r>
            <w:rPr>
              <w:rFonts w:hint="eastAsia" w:ascii="仿宋" w:hAnsi="仿宋" w:eastAsia="仿宋" w:cs="仿宋"/>
              <w:bCs w:val="0"/>
              <w:kern w:val="2"/>
              <w:sz w:val="24"/>
              <w:szCs w:val="24"/>
              <w:lang w:val="en-US" w:eastAsia="zh-CN" w:bidi="ar-SA"/>
            </w:rPr>
            <w:fldChar w:fldCharType="separate"/>
          </w:r>
          <w:r>
            <w:rPr>
              <w:rFonts w:hint="eastAsia" w:ascii="仿宋" w:hAnsi="仿宋" w:eastAsia="仿宋" w:cs="仿宋"/>
              <w:sz w:val="24"/>
              <w:szCs w:val="24"/>
            </w:rPr>
            <w:t>详细评审表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_Toc20204 \h </w:instrText>
          </w:r>
          <w:r>
            <w:rPr>
              <w:rFonts w:hint="eastAsia" w:ascii="仿宋" w:hAnsi="仿宋" w:eastAsia="仿宋" w:cs="仿宋"/>
              <w:sz w:val="24"/>
              <w:szCs w:val="24"/>
            </w:rPr>
            <w:fldChar w:fldCharType="separate"/>
          </w:r>
          <w:r>
            <w:rPr>
              <w:rFonts w:hint="eastAsia" w:ascii="仿宋" w:hAnsi="仿宋" w:eastAsia="仿宋" w:cs="仿宋"/>
              <w:sz w:val="24"/>
              <w:szCs w:val="24"/>
            </w:rPr>
            <w:t>59</w:t>
          </w:r>
          <w:r>
            <w:rPr>
              <w:rFonts w:hint="eastAsia" w:ascii="仿宋" w:hAnsi="仿宋" w:eastAsia="仿宋" w:cs="仿宋"/>
              <w:sz w:val="24"/>
              <w:szCs w:val="24"/>
            </w:rPr>
            <w:fldChar w:fldCharType="end"/>
          </w:r>
          <w:r>
            <w:rPr>
              <w:rFonts w:hint="eastAsia" w:ascii="仿宋" w:hAnsi="仿宋" w:eastAsia="仿宋" w:cs="仿宋"/>
              <w:bCs w:val="0"/>
              <w:kern w:val="2"/>
              <w:sz w:val="24"/>
              <w:szCs w:val="24"/>
              <w:lang w:val="en-US" w:eastAsia="zh-CN" w:bidi="ar-SA"/>
            </w:rPr>
            <w:fldChar w:fldCharType="end"/>
          </w:r>
        </w:p>
        <w:p>
          <w:pPr>
            <w:pStyle w:val="30"/>
            <w:tabs>
              <w:tab w:val="right" w:leader="dot" w:pos="8312"/>
            </w:tabs>
            <w:rPr>
              <w:rFonts w:hint="eastAsia" w:ascii="仿宋" w:hAnsi="仿宋" w:eastAsia="仿宋" w:cs="仿宋"/>
              <w:sz w:val="24"/>
              <w:szCs w:val="24"/>
            </w:rPr>
          </w:pPr>
          <w:r>
            <w:rPr>
              <w:rFonts w:hint="eastAsia" w:ascii="仿宋" w:hAnsi="仿宋" w:eastAsia="仿宋" w:cs="仿宋"/>
              <w:bCs w:val="0"/>
              <w:kern w:val="2"/>
              <w:sz w:val="24"/>
              <w:szCs w:val="24"/>
              <w:lang w:val="en-US" w:eastAsia="zh-CN" w:bidi="ar-SA"/>
            </w:rPr>
            <w:fldChar w:fldCharType="begin"/>
          </w:r>
          <w:r>
            <w:rPr>
              <w:rFonts w:hint="eastAsia" w:ascii="仿宋" w:hAnsi="仿宋" w:eastAsia="仿宋" w:cs="仿宋"/>
              <w:bCs w:val="0"/>
              <w:kern w:val="2"/>
              <w:sz w:val="24"/>
              <w:szCs w:val="24"/>
              <w:lang w:val="en-US" w:eastAsia="zh-CN" w:bidi="ar-SA"/>
            </w:rPr>
            <w:instrText xml:space="preserve"> HYPERLINK \l _Toc31049 </w:instrText>
          </w:r>
          <w:r>
            <w:rPr>
              <w:rFonts w:hint="eastAsia" w:ascii="仿宋" w:hAnsi="仿宋" w:eastAsia="仿宋" w:cs="仿宋"/>
              <w:bCs w:val="0"/>
              <w:kern w:val="2"/>
              <w:sz w:val="24"/>
              <w:szCs w:val="24"/>
              <w:lang w:val="en-US" w:eastAsia="zh-CN" w:bidi="ar-SA"/>
            </w:rPr>
            <w:fldChar w:fldCharType="separate"/>
          </w:r>
          <w:r>
            <w:rPr>
              <w:rFonts w:hint="eastAsia" w:ascii="仿宋" w:hAnsi="仿宋" w:eastAsia="仿宋" w:cs="仿宋"/>
              <w:sz w:val="24"/>
              <w:szCs w:val="24"/>
            </w:rPr>
            <w:t>标项一、二评分标准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_Toc31049 \h </w:instrText>
          </w:r>
          <w:r>
            <w:rPr>
              <w:rFonts w:hint="eastAsia" w:ascii="仿宋" w:hAnsi="仿宋" w:eastAsia="仿宋" w:cs="仿宋"/>
              <w:sz w:val="24"/>
              <w:szCs w:val="24"/>
            </w:rPr>
            <w:fldChar w:fldCharType="separate"/>
          </w:r>
          <w:r>
            <w:rPr>
              <w:rFonts w:hint="eastAsia" w:ascii="仿宋" w:hAnsi="仿宋" w:eastAsia="仿宋" w:cs="仿宋"/>
              <w:sz w:val="24"/>
              <w:szCs w:val="24"/>
            </w:rPr>
            <w:t>59</w:t>
          </w:r>
          <w:r>
            <w:rPr>
              <w:rFonts w:hint="eastAsia" w:ascii="仿宋" w:hAnsi="仿宋" w:eastAsia="仿宋" w:cs="仿宋"/>
              <w:sz w:val="24"/>
              <w:szCs w:val="24"/>
            </w:rPr>
            <w:fldChar w:fldCharType="end"/>
          </w:r>
          <w:r>
            <w:rPr>
              <w:rFonts w:hint="eastAsia" w:ascii="仿宋" w:hAnsi="仿宋" w:eastAsia="仿宋" w:cs="仿宋"/>
              <w:bCs w:val="0"/>
              <w:kern w:val="2"/>
              <w:sz w:val="24"/>
              <w:szCs w:val="24"/>
              <w:lang w:val="en-US" w:eastAsia="zh-CN" w:bidi="ar-SA"/>
            </w:rPr>
            <w:fldChar w:fldCharType="end"/>
          </w:r>
        </w:p>
        <w:p>
          <w:pPr>
            <w:pStyle w:val="30"/>
            <w:tabs>
              <w:tab w:val="right" w:leader="dot" w:pos="8312"/>
            </w:tabs>
            <w:rPr>
              <w:rFonts w:hint="eastAsia" w:ascii="仿宋" w:hAnsi="仿宋" w:eastAsia="仿宋" w:cs="仿宋"/>
              <w:sz w:val="24"/>
              <w:szCs w:val="24"/>
            </w:rPr>
          </w:pPr>
          <w:r>
            <w:rPr>
              <w:rFonts w:hint="eastAsia" w:ascii="仿宋" w:hAnsi="仿宋" w:eastAsia="仿宋" w:cs="仿宋"/>
              <w:bCs w:val="0"/>
              <w:kern w:val="2"/>
              <w:sz w:val="24"/>
              <w:szCs w:val="24"/>
              <w:lang w:val="en-US" w:eastAsia="zh-CN" w:bidi="ar-SA"/>
            </w:rPr>
            <w:fldChar w:fldCharType="begin"/>
          </w:r>
          <w:r>
            <w:rPr>
              <w:rFonts w:hint="eastAsia" w:ascii="仿宋" w:hAnsi="仿宋" w:eastAsia="仿宋" w:cs="仿宋"/>
              <w:bCs w:val="0"/>
              <w:kern w:val="2"/>
              <w:sz w:val="24"/>
              <w:szCs w:val="24"/>
              <w:lang w:val="en-US" w:eastAsia="zh-CN" w:bidi="ar-SA"/>
            </w:rPr>
            <w:instrText xml:space="preserve"> HYPERLINK \l _Toc1094 </w:instrText>
          </w:r>
          <w:r>
            <w:rPr>
              <w:rFonts w:hint="eastAsia" w:ascii="仿宋" w:hAnsi="仿宋" w:eastAsia="仿宋" w:cs="仿宋"/>
              <w:bCs w:val="0"/>
              <w:kern w:val="2"/>
              <w:sz w:val="24"/>
              <w:szCs w:val="24"/>
              <w:lang w:val="en-US" w:eastAsia="zh-CN" w:bidi="ar-SA"/>
            </w:rPr>
            <w:fldChar w:fldCharType="separate"/>
          </w:r>
          <w:r>
            <w:rPr>
              <w:rFonts w:hint="eastAsia" w:ascii="仿宋" w:hAnsi="仿宋" w:eastAsia="仿宋" w:cs="仿宋"/>
              <w:sz w:val="24"/>
              <w:szCs w:val="24"/>
            </w:rPr>
            <w:t>标项三评分标准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_Toc1094 \h </w:instrText>
          </w:r>
          <w:r>
            <w:rPr>
              <w:rFonts w:hint="eastAsia" w:ascii="仿宋" w:hAnsi="仿宋" w:eastAsia="仿宋" w:cs="仿宋"/>
              <w:sz w:val="24"/>
              <w:szCs w:val="24"/>
            </w:rPr>
            <w:fldChar w:fldCharType="separate"/>
          </w:r>
          <w:r>
            <w:rPr>
              <w:rFonts w:hint="eastAsia" w:ascii="仿宋" w:hAnsi="仿宋" w:eastAsia="仿宋" w:cs="仿宋"/>
              <w:sz w:val="24"/>
              <w:szCs w:val="24"/>
            </w:rPr>
            <w:t>62</w:t>
          </w:r>
          <w:r>
            <w:rPr>
              <w:rFonts w:hint="eastAsia" w:ascii="仿宋" w:hAnsi="仿宋" w:eastAsia="仿宋" w:cs="仿宋"/>
              <w:sz w:val="24"/>
              <w:szCs w:val="24"/>
            </w:rPr>
            <w:fldChar w:fldCharType="end"/>
          </w:r>
          <w:r>
            <w:rPr>
              <w:rFonts w:hint="eastAsia" w:ascii="仿宋" w:hAnsi="仿宋" w:eastAsia="仿宋" w:cs="仿宋"/>
              <w:bCs w:val="0"/>
              <w:kern w:val="2"/>
              <w:sz w:val="24"/>
              <w:szCs w:val="24"/>
              <w:lang w:val="en-US" w:eastAsia="zh-CN" w:bidi="ar-SA"/>
            </w:rPr>
            <w:fldChar w:fldCharType="end"/>
          </w:r>
        </w:p>
        <w:p>
          <w:pPr>
            <w:pStyle w:val="30"/>
            <w:tabs>
              <w:tab w:val="right" w:leader="dot" w:pos="8312"/>
            </w:tabs>
            <w:rPr>
              <w:rFonts w:hint="eastAsia" w:ascii="仿宋" w:hAnsi="仿宋" w:eastAsia="仿宋" w:cs="仿宋"/>
              <w:sz w:val="24"/>
              <w:szCs w:val="24"/>
            </w:rPr>
          </w:pPr>
          <w:r>
            <w:rPr>
              <w:rFonts w:hint="eastAsia" w:ascii="仿宋" w:hAnsi="仿宋" w:eastAsia="仿宋" w:cs="仿宋"/>
              <w:bCs w:val="0"/>
              <w:kern w:val="2"/>
              <w:sz w:val="24"/>
              <w:szCs w:val="24"/>
              <w:lang w:val="en-US" w:eastAsia="zh-CN" w:bidi="ar-SA"/>
            </w:rPr>
            <w:fldChar w:fldCharType="begin"/>
          </w:r>
          <w:r>
            <w:rPr>
              <w:rFonts w:hint="eastAsia" w:ascii="仿宋" w:hAnsi="仿宋" w:eastAsia="仿宋" w:cs="仿宋"/>
              <w:bCs w:val="0"/>
              <w:kern w:val="2"/>
              <w:sz w:val="24"/>
              <w:szCs w:val="24"/>
              <w:lang w:val="en-US" w:eastAsia="zh-CN" w:bidi="ar-SA"/>
            </w:rPr>
            <w:instrText xml:space="preserve"> HYPERLINK \l _Toc8767 </w:instrText>
          </w:r>
          <w:r>
            <w:rPr>
              <w:rFonts w:hint="eastAsia" w:ascii="仿宋" w:hAnsi="仿宋" w:eastAsia="仿宋" w:cs="仿宋"/>
              <w:bCs w:val="0"/>
              <w:kern w:val="2"/>
              <w:sz w:val="24"/>
              <w:szCs w:val="24"/>
              <w:lang w:val="en-US" w:eastAsia="zh-CN" w:bidi="ar-SA"/>
            </w:rPr>
            <w:fldChar w:fldCharType="separate"/>
          </w:r>
          <w:r>
            <w:rPr>
              <w:rFonts w:hint="eastAsia" w:ascii="仿宋" w:hAnsi="仿宋" w:eastAsia="仿宋" w:cs="仿宋"/>
              <w:sz w:val="24"/>
              <w:szCs w:val="24"/>
            </w:rPr>
            <w:t>标项四评分标准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_Toc8767 \h </w:instrText>
          </w:r>
          <w:r>
            <w:rPr>
              <w:rFonts w:hint="eastAsia" w:ascii="仿宋" w:hAnsi="仿宋" w:eastAsia="仿宋" w:cs="仿宋"/>
              <w:sz w:val="24"/>
              <w:szCs w:val="24"/>
            </w:rPr>
            <w:fldChar w:fldCharType="separate"/>
          </w:r>
          <w:r>
            <w:rPr>
              <w:rFonts w:hint="eastAsia" w:ascii="仿宋" w:hAnsi="仿宋" w:eastAsia="仿宋" w:cs="仿宋"/>
              <w:sz w:val="24"/>
              <w:szCs w:val="24"/>
            </w:rPr>
            <w:t>65</w:t>
          </w:r>
          <w:r>
            <w:rPr>
              <w:rFonts w:hint="eastAsia" w:ascii="仿宋" w:hAnsi="仿宋" w:eastAsia="仿宋" w:cs="仿宋"/>
              <w:sz w:val="24"/>
              <w:szCs w:val="24"/>
            </w:rPr>
            <w:fldChar w:fldCharType="end"/>
          </w:r>
          <w:r>
            <w:rPr>
              <w:rFonts w:hint="eastAsia" w:ascii="仿宋" w:hAnsi="仿宋" w:eastAsia="仿宋" w:cs="仿宋"/>
              <w:bCs w:val="0"/>
              <w:kern w:val="2"/>
              <w:sz w:val="24"/>
              <w:szCs w:val="24"/>
              <w:lang w:val="en-US" w:eastAsia="zh-CN" w:bidi="ar-SA"/>
            </w:rPr>
            <w:fldChar w:fldCharType="end"/>
          </w:r>
        </w:p>
        <w:p>
          <w:pPr>
            <w:pStyle w:val="24"/>
            <w:tabs>
              <w:tab w:val="right" w:leader="dot" w:pos="8312"/>
            </w:tabs>
            <w:rPr>
              <w:rFonts w:hint="eastAsia" w:ascii="仿宋" w:hAnsi="仿宋" w:eastAsia="仿宋" w:cs="仿宋"/>
              <w:sz w:val="24"/>
              <w:szCs w:val="24"/>
            </w:rPr>
          </w:pPr>
          <w:r>
            <w:rPr>
              <w:rFonts w:hint="eastAsia" w:ascii="仿宋" w:hAnsi="仿宋" w:eastAsia="仿宋" w:cs="仿宋"/>
              <w:bCs w:val="0"/>
              <w:kern w:val="2"/>
              <w:sz w:val="24"/>
              <w:szCs w:val="24"/>
              <w:lang w:val="en-US" w:eastAsia="zh-CN" w:bidi="ar-SA"/>
            </w:rPr>
            <w:fldChar w:fldCharType="begin"/>
          </w:r>
          <w:r>
            <w:rPr>
              <w:rFonts w:hint="eastAsia" w:ascii="仿宋" w:hAnsi="仿宋" w:eastAsia="仿宋" w:cs="仿宋"/>
              <w:bCs w:val="0"/>
              <w:kern w:val="2"/>
              <w:sz w:val="24"/>
              <w:szCs w:val="24"/>
              <w:lang w:val="en-US" w:eastAsia="zh-CN" w:bidi="ar-SA"/>
            </w:rPr>
            <w:instrText xml:space="preserve"> HYPERLINK \l _Toc666 </w:instrText>
          </w:r>
          <w:r>
            <w:rPr>
              <w:rFonts w:hint="eastAsia" w:ascii="仿宋" w:hAnsi="仿宋" w:eastAsia="仿宋" w:cs="仿宋"/>
              <w:bCs w:val="0"/>
              <w:kern w:val="2"/>
              <w:sz w:val="24"/>
              <w:szCs w:val="24"/>
              <w:lang w:val="en-US" w:eastAsia="zh-CN" w:bidi="ar-SA"/>
            </w:rPr>
            <w:fldChar w:fldCharType="separate"/>
          </w:r>
          <w:r>
            <w:rPr>
              <w:rFonts w:hint="eastAsia" w:ascii="仿宋" w:hAnsi="仿宋" w:eastAsia="仿宋" w:cs="仿宋"/>
              <w:sz w:val="24"/>
              <w:szCs w:val="24"/>
            </w:rPr>
            <w:t>第7章  政府采购合同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_Toc666 \h </w:instrText>
          </w:r>
          <w:r>
            <w:rPr>
              <w:rFonts w:hint="eastAsia" w:ascii="仿宋" w:hAnsi="仿宋" w:eastAsia="仿宋" w:cs="仿宋"/>
              <w:sz w:val="24"/>
              <w:szCs w:val="24"/>
            </w:rPr>
            <w:fldChar w:fldCharType="separate"/>
          </w:r>
          <w:r>
            <w:rPr>
              <w:rFonts w:hint="eastAsia" w:ascii="仿宋" w:hAnsi="仿宋" w:eastAsia="仿宋" w:cs="仿宋"/>
              <w:sz w:val="24"/>
              <w:szCs w:val="24"/>
            </w:rPr>
            <w:t>69</w:t>
          </w:r>
          <w:r>
            <w:rPr>
              <w:rFonts w:hint="eastAsia" w:ascii="仿宋" w:hAnsi="仿宋" w:eastAsia="仿宋" w:cs="仿宋"/>
              <w:sz w:val="24"/>
              <w:szCs w:val="24"/>
            </w:rPr>
            <w:fldChar w:fldCharType="end"/>
          </w:r>
          <w:r>
            <w:rPr>
              <w:rFonts w:hint="eastAsia" w:ascii="仿宋" w:hAnsi="仿宋" w:eastAsia="仿宋" w:cs="仿宋"/>
              <w:bCs w:val="0"/>
              <w:kern w:val="2"/>
              <w:sz w:val="24"/>
              <w:szCs w:val="24"/>
              <w:lang w:val="en-US" w:eastAsia="zh-CN" w:bidi="ar-SA"/>
            </w:rPr>
            <w:fldChar w:fldCharType="end"/>
          </w:r>
        </w:p>
        <w:p>
          <w:pPr>
            <w:pStyle w:val="30"/>
            <w:tabs>
              <w:tab w:val="right" w:leader="dot" w:pos="8312"/>
            </w:tabs>
            <w:rPr>
              <w:rFonts w:hint="eastAsia" w:ascii="仿宋" w:hAnsi="仿宋" w:eastAsia="仿宋" w:cs="仿宋"/>
              <w:sz w:val="24"/>
              <w:szCs w:val="24"/>
            </w:rPr>
          </w:pPr>
          <w:r>
            <w:rPr>
              <w:rFonts w:hint="eastAsia" w:ascii="仿宋" w:hAnsi="仿宋" w:eastAsia="仿宋" w:cs="仿宋"/>
              <w:bCs w:val="0"/>
              <w:kern w:val="2"/>
              <w:sz w:val="24"/>
              <w:szCs w:val="24"/>
              <w:lang w:val="en-US" w:eastAsia="zh-CN" w:bidi="ar-SA"/>
            </w:rPr>
            <w:fldChar w:fldCharType="begin"/>
          </w:r>
          <w:r>
            <w:rPr>
              <w:rFonts w:hint="eastAsia" w:ascii="仿宋" w:hAnsi="仿宋" w:eastAsia="仿宋" w:cs="仿宋"/>
              <w:bCs w:val="0"/>
              <w:kern w:val="2"/>
              <w:sz w:val="24"/>
              <w:szCs w:val="24"/>
              <w:lang w:val="en-US" w:eastAsia="zh-CN" w:bidi="ar-SA"/>
            </w:rPr>
            <w:instrText xml:space="preserve"> HYPERLINK \l _Toc29640 </w:instrText>
          </w:r>
          <w:r>
            <w:rPr>
              <w:rFonts w:hint="eastAsia" w:ascii="仿宋" w:hAnsi="仿宋" w:eastAsia="仿宋" w:cs="仿宋"/>
              <w:bCs w:val="0"/>
              <w:kern w:val="2"/>
              <w:sz w:val="24"/>
              <w:szCs w:val="24"/>
              <w:lang w:val="en-US" w:eastAsia="zh-CN" w:bidi="ar-SA"/>
            </w:rPr>
            <w:fldChar w:fldCharType="separate"/>
          </w:r>
          <w:r>
            <w:rPr>
              <w:rFonts w:hint="eastAsia" w:ascii="仿宋" w:hAnsi="仿宋" w:eastAsia="仿宋" w:cs="仿宋"/>
              <w:bCs/>
              <w:sz w:val="24"/>
              <w:szCs w:val="24"/>
            </w:rPr>
            <w:t>第一部分 合同书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_Toc29640 \h </w:instrText>
          </w:r>
          <w:r>
            <w:rPr>
              <w:rFonts w:hint="eastAsia" w:ascii="仿宋" w:hAnsi="仿宋" w:eastAsia="仿宋" w:cs="仿宋"/>
              <w:sz w:val="24"/>
              <w:szCs w:val="24"/>
            </w:rPr>
            <w:fldChar w:fldCharType="separate"/>
          </w:r>
          <w:r>
            <w:rPr>
              <w:rFonts w:hint="eastAsia" w:ascii="仿宋" w:hAnsi="仿宋" w:eastAsia="仿宋" w:cs="仿宋"/>
              <w:sz w:val="24"/>
              <w:szCs w:val="24"/>
            </w:rPr>
            <w:t>69</w:t>
          </w:r>
          <w:r>
            <w:rPr>
              <w:rFonts w:hint="eastAsia" w:ascii="仿宋" w:hAnsi="仿宋" w:eastAsia="仿宋" w:cs="仿宋"/>
              <w:sz w:val="24"/>
              <w:szCs w:val="24"/>
            </w:rPr>
            <w:fldChar w:fldCharType="end"/>
          </w:r>
          <w:r>
            <w:rPr>
              <w:rFonts w:hint="eastAsia" w:ascii="仿宋" w:hAnsi="仿宋" w:eastAsia="仿宋" w:cs="仿宋"/>
              <w:bCs w:val="0"/>
              <w:kern w:val="2"/>
              <w:sz w:val="24"/>
              <w:szCs w:val="24"/>
              <w:lang w:val="en-US" w:eastAsia="zh-CN" w:bidi="ar-SA"/>
            </w:rPr>
            <w:fldChar w:fldCharType="end"/>
          </w:r>
        </w:p>
        <w:p>
          <w:pPr>
            <w:pStyle w:val="30"/>
            <w:tabs>
              <w:tab w:val="right" w:leader="dot" w:pos="8312"/>
            </w:tabs>
            <w:rPr>
              <w:rFonts w:hint="eastAsia" w:ascii="仿宋" w:hAnsi="仿宋" w:eastAsia="仿宋" w:cs="仿宋"/>
              <w:sz w:val="24"/>
              <w:szCs w:val="24"/>
            </w:rPr>
          </w:pPr>
          <w:r>
            <w:rPr>
              <w:rFonts w:hint="eastAsia" w:ascii="仿宋" w:hAnsi="仿宋" w:eastAsia="仿宋" w:cs="仿宋"/>
              <w:bCs w:val="0"/>
              <w:kern w:val="2"/>
              <w:sz w:val="24"/>
              <w:szCs w:val="24"/>
              <w:lang w:val="en-US" w:eastAsia="zh-CN" w:bidi="ar-SA"/>
            </w:rPr>
            <w:fldChar w:fldCharType="begin"/>
          </w:r>
          <w:r>
            <w:rPr>
              <w:rFonts w:hint="eastAsia" w:ascii="仿宋" w:hAnsi="仿宋" w:eastAsia="仿宋" w:cs="仿宋"/>
              <w:bCs w:val="0"/>
              <w:kern w:val="2"/>
              <w:sz w:val="24"/>
              <w:szCs w:val="24"/>
              <w:lang w:val="en-US" w:eastAsia="zh-CN" w:bidi="ar-SA"/>
            </w:rPr>
            <w:instrText xml:space="preserve"> HYPERLINK \l _Toc5620 </w:instrText>
          </w:r>
          <w:r>
            <w:rPr>
              <w:rFonts w:hint="eastAsia" w:ascii="仿宋" w:hAnsi="仿宋" w:eastAsia="仿宋" w:cs="仿宋"/>
              <w:bCs w:val="0"/>
              <w:kern w:val="2"/>
              <w:sz w:val="24"/>
              <w:szCs w:val="24"/>
              <w:lang w:val="en-US" w:eastAsia="zh-CN" w:bidi="ar-SA"/>
            </w:rPr>
            <w:fldChar w:fldCharType="separate"/>
          </w:r>
          <w:r>
            <w:rPr>
              <w:rFonts w:hint="eastAsia" w:ascii="仿宋" w:hAnsi="仿宋" w:eastAsia="仿宋" w:cs="仿宋"/>
              <w:bCs/>
              <w:sz w:val="24"/>
              <w:szCs w:val="24"/>
            </w:rPr>
            <w:t>第二部分 合同一般条款</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_Toc5620 \h </w:instrText>
          </w:r>
          <w:r>
            <w:rPr>
              <w:rFonts w:hint="eastAsia" w:ascii="仿宋" w:hAnsi="仿宋" w:eastAsia="仿宋" w:cs="仿宋"/>
              <w:sz w:val="24"/>
              <w:szCs w:val="24"/>
            </w:rPr>
            <w:fldChar w:fldCharType="separate"/>
          </w:r>
          <w:r>
            <w:rPr>
              <w:rFonts w:hint="eastAsia" w:ascii="仿宋" w:hAnsi="仿宋" w:eastAsia="仿宋" w:cs="仿宋"/>
              <w:sz w:val="24"/>
              <w:szCs w:val="24"/>
            </w:rPr>
            <w:t>74</w:t>
          </w:r>
          <w:r>
            <w:rPr>
              <w:rFonts w:hint="eastAsia" w:ascii="仿宋" w:hAnsi="仿宋" w:eastAsia="仿宋" w:cs="仿宋"/>
              <w:sz w:val="24"/>
              <w:szCs w:val="24"/>
            </w:rPr>
            <w:fldChar w:fldCharType="end"/>
          </w:r>
          <w:r>
            <w:rPr>
              <w:rFonts w:hint="eastAsia" w:ascii="仿宋" w:hAnsi="仿宋" w:eastAsia="仿宋" w:cs="仿宋"/>
              <w:bCs w:val="0"/>
              <w:kern w:val="2"/>
              <w:sz w:val="24"/>
              <w:szCs w:val="24"/>
              <w:lang w:val="en-US" w:eastAsia="zh-CN" w:bidi="ar-SA"/>
            </w:rPr>
            <w:fldChar w:fldCharType="end"/>
          </w:r>
        </w:p>
        <w:p>
          <w:pPr>
            <w:rPr>
              <w:rFonts w:hint="eastAsia" w:ascii="仿宋" w:hAnsi="仿宋" w:eastAsia="仿宋" w:cs="仿宋"/>
              <w:sz w:val="24"/>
              <w:szCs w:val="24"/>
              <w:lang w:val="en-US" w:eastAsia="zh-CN"/>
            </w:rPr>
            <w:sectPr>
              <w:headerReference r:id="rId3" w:type="default"/>
              <w:pgSz w:w="11906" w:h="16838"/>
              <w:pgMar w:top="1440" w:right="1797" w:bottom="1440" w:left="1797" w:header="851" w:footer="992" w:gutter="0"/>
              <w:cols w:space="720" w:num="1"/>
              <w:docGrid w:linePitch="312" w:charSpace="0"/>
            </w:sectPr>
          </w:pPr>
          <w:r>
            <w:rPr>
              <w:rFonts w:hint="eastAsia" w:ascii="仿宋" w:hAnsi="仿宋" w:eastAsia="仿宋" w:cs="仿宋"/>
              <w:bCs w:val="0"/>
              <w:kern w:val="2"/>
              <w:sz w:val="24"/>
              <w:szCs w:val="24"/>
              <w:lang w:val="en-US" w:eastAsia="zh-CN" w:bidi="ar-SA"/>
            </w:rPr>
            <w:fldChar w:fldCharType="end"/>
          </w:r>
          <w:bookmarkStart w:id="864" w:name="_GoBack"/>
          <w:bookmarkEnd w:id="864"/>
        </w:p>
      </w:sdtContent>
    </w:sdt>
    <w:p>
      <w:pPr>
        <w:spacing w:line="600" w:lineRule="exact"/>
        <w:jc w:val="center"/>
        <w:outlineLvl w:val="0"/>
        <w:rPr>
          <w:rFonts w:ascii="仿宋" w:hAnsi="仿宋" w:eastAsia="仿宋" w:cs="仿宋"/>
        </w:rPr>
      </w:pPr>
      <w:bookmarkStart w:id="12" w:name="_Toc218935350"/>
      <w:bookmarkStart w:id="13" w:name="_Toc9913"/>
      <w:bookmarkStart w:id="14" w:name="_Toc507399902"/>
      <w:bookmarkStart w:id="15" w:name="_Toc518923124"/>
      <w:bookmarkStart w:id="16" w:name="_Toc216582822"/>
      <w:bookmarkStart w:id="17" w:name="_Toc219175634"/>
      <w:bookmarkStart w:id="18" w:name="_Toc5069"/>
      <w:bookmarkStart w:id="19" w:name="_Toc3913"/>
      <w:bookmarkStart w:id="20" w:name="_Toc15894"/>
      <w:bookmarkStart w:id="21" w:name="_Toc18066"/>
      <w:bookmarkStart w:id="22" w:name="_Toc518923059"/>
      <w:bookmarkStart w:id="23" w:name="_Toc11276"/>
      <w:r>
        <w:rPr>
          <w:rFonts w:hint="eastAsia" w:ascii="仿宋" w:hAnsi="仿宋" w:eastAsia="仿宋" w:cs="仿宋"/>
          <w:b/>
          <w:kern w:val="44"/>
          <w:sz w:val="32"/>
          <w:szCs w:val="20"/>
        </w:rPr>
        <w:t>第</w:t>
      </w:r>
      <w:r>
        <w:rPr>
          <w:rFonts w:hint="eastAsia" w:ascii="仿宋" w:hAnsi="仿宋" w:eastAsia="仿宋" w:cs="仿宋"/>
          <w:b/>
          <w:kern w:val="44"/>
          <w:sz w:val="32"/>
          <w:szCs w:val="20"/>
          <w:lang w:val="en-US" w:eastAsia="zh-CN"/>
        </w:rPr>
        <w:t>1</w:t>
      </w:r>
      <w:r>
        <w:rPr>
          <w:rFonts w:hint="eastAsia" w:ascii="仿宋" w:hAnsi="仿宋" w:eastAsia="仿宋" w:cs="仿宋"/>
          <w:b/>
          <w:kern w:val="44"/>
          <w:sz w:val="32"/>
          <w:szCs w:val="20"/>
        </w:rPr>
        <w:t xml:space="preserve">章  </w:t>
      </w:r>
      <w:bookmarkEnd w:id="12"/>
      <w:bookmarkEnd w:id="13"/>
      <w:bookmarkEnd w:id="14"/>
      <w:bookmarkEnd w:id="15"/>
      <w:bookmarkEnd w:id="16"/>
      <w:bookmarkEnd w:id="17"/>
      <w:r>
        <w:rPr>
          <w:rFonts w:hint="eastAsia" w:ascii="仿宋" w:hAnsi="仿宋" w:eastAsia="仿宋" w:cs="仿宋"/>
          <w:b/>
          <w:kern w:val="44"/>
          <w:sz w:val="32"/>
          <w:szCs w:val="20"/>
        </w:rPr>
        <w:t>招标公告</w:t>
      </w:r>
      <w:bookmarkEnd w:id="18"/>
      <w:bookmarkEnd w:id="19"/>
      <w:bookmarkEnd w:id="20"/>
    </w:p>
    <w:p>
      <w:pPr>
        <w:rPr>
          <w:rFonts w:ascii="仿宋" w:hAnsi="仿宋" w:eastAsia="仿宋" w:cs="仿宋"/>
          <w:color w:val="auto"/>
        </w:rPr>
      </w:pPr>
    </w:p>
    <w:p>
      <w:pPr>
        <w:pStyle w:val="11"/>
        <w:ind w:firstLine="480" w:firstLineChars="200"/>
        <w:rPr>
          <w:rFonts w:ascii="仿宋" w:hAnsi="仿宋" w:eastAsia="仿宋" w:cs="仿宋"/>
          <w:color w:val="auto"/>
        </w:rPr>
      </w:pPr>
      <w:bookmarkStart w:id="24" w:name="_Toc512937850"/>
      <w:r>
        <w:rPr>
          <w:rFonts w:hint="eastAsia" w:ascii="仿宋" w:hAnsi="仿宋" w:eastAsia="仿宋" w:cs="仿宋"/>
          <w:color w:val="auto"/>
        </w:rPr>
        <w:t>项目概况</w:t>
      </w:r>
    </w:p>
    <w:tbl>
      <w:tblPr>
        <w:tblStyle w:val="37"/>
        <w:tblW w:w="8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8380" w:type="dxa"/>
          </w:tcPr>
          <w:p>
            <w:pPr>
              <w:pStyle w:val="11"/>
              <w:ind w:firstLine="480" w:firstLineChars="200"/>
              <w:rPr>
                <w:rFonts w:ascii="仿宋" w:hAnsi="仿宋" w:eastAsia="仿宋" w:cs="仿宋"/>
                <w:color w:val="auto"/>
              </w:rPr>
            </w:pPr>
            <w:r>
              <w:rPr>
                <w:rFonts w:hint="eastAsia" w:ascii="仿宋" w:hAnsi="仿宋" w:eastAsia="仿宋"/>
                <w:color w:val="auto"/>
                <w:kern w:val="2"/>
                <w:szCs w:val="24"/>
              </w:rPr>
              <w:t>吐鲁番市2023年中央自然灾害防治体系建设项目招标项目的潜在供应商应在新疆政府采购网自行下载获取采购文件，并于2023年</w:t>
            </w:r>
            <w:r>
              <w:rPr>
                <w:rFonts w:hint="eastAsia" w:ascii="仿宋" w:hAnsi="仿宋" w:eastAsia="仿宋"/>
                <w:color w:val="auto"/>
                <w:kern w:val="2"/>
                <w:szCs w:val="24"/>
                <w:lang w:val="en-US" w:eastAsia="zh-CN"/>
              </w:rPr>
              <w:t>3</w:t>
            </w:r>
            <w:r>
              <w:rPr>
                <w:rFonts w:hint="eastAsia" w:ascii="仿宋" w:hAnsi="仿宋" w:eastAsia="仿宋"/>
                <w:color w:val="auto"/>
                <w:kern w:val="2"/>
                <w:szCs w:val="24"/>
              </w:rPr>
              <w:t>月</w:t>
            </w:r>
            <w:r>
              <w:rPr>
                <w:rFonts w:hint="eastAsia" w:ascii="仿宋" w:hAnsi="仿宋" w:eastAsia="仿宋"/>
                <w:color w:val="auto"/>
                <w:kern w:val="2"/>
                <w:szCs w:val="24"/>
                <w:lang w:val="en-US" w:eastAsia="zh-CN"/>
              </w:rPr>
              <w:t>15</w:t>
            </w:r>
            <w:r>
              <w:rPr>
                <w:rFonts w:hint="eastAsia" w:ascii="仿宋" w:hAnsi="仿宋" w:eastAsia="仿宋"/>
                <w:color w:val="auto"/>
                <w:kern w:val="2"/>
                <w:szCs w:val="24"/>
              </w:rPr>
              <w:t>日11:00（北京时间）前递交投标文件。</w:t>
            </w:r>
          </w:p>
        </w:tc>
      </w:tr>
    </w:tbl>
    <w:p>
      <w:pPr>
        <w:spacing w:line="360" w:lineRule="auto"/>
        <w:ind w:firstLine="482" w:firstLineChars="200"/>
        <w:outlineLvl w:val="1"/>
        <w:rPr>
          <w:rFonts w:ascii="仿宋" w:hAnsi="仿宋" w:eastAsia="仿宋"/>
          <w:b/>
          <w:bCs/>
          <w:color w:val="auto"/>
          <w:sz w:val="24"/>
        </w:rPr>
      </w:pPr>
      <w:bookmarkStart w:id="25" w:name="_Toc19952"/>
      <w:bookmarkStart w:id="26" w:name="_Toc15195"/>
      <w:bookmarkStart w:id="27" w:name="_Toc2093"/>
      <w:bookmarkStart w:id="28" w:name="_Toc2547"/>
      <w:r>
        <w:rPr>
          <w:rFonts w:hint="eastAsia" w:ascii="仿宋" w:hAnsi="仿宋" w:eastAsia="仿宋"/>
          <w:b/>
          <w:bCs/>
          <w:color w:val="auto"/>
          <w:sz w:val="24"/>
        </w:rPr>
        <w:t>一、项目基本情况</w:t>
      </w:r>
      <w:bookmarkEnd w:id="25"/>
      <w:bookmarkEnd w:id="26"/>
      <w:bookmarkEnd w:id="27"/>
      <w:bookmarkEnd w:id="28"/>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项目编号：GYZB-TLFDZFZ2023</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项目名称：吐鲁番市2023年中央自然灾害防治体系建设项目</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采购方式：公开招标</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预算金额（元）：5800000.00</w:t>
      </w:r>
    </w:p>
    <w:p>
      <w:pPr>
        <w:spacing w:line="360" w:lineRule="auto"/>
        <w:ind w:firstLine="480" w:firstLineChars="200"/>
        <w:rPr>
          <w:rFonts w:hint="default" w:ascii="仿宋" w:hAnsi="仿宋" w:eastAsia="仿宋"/>
          <w:color w:val="auto"/>
          <w:sz w:val="24"/>
          <w:lang w:val="en-US" w:eastAsia="zh-CN"/>
        </w:rPr>
      </w:pPr>
      <w:r>
        <w:rPr>
          <w:rFonts w:hint="eastAsia" w:ascii="仿宋" w:hAnsi="仿宋" w:eastAsia="仿宋"/>
          <w:color w:val="auto"/>
          <w:sz w:val="24"/>
        </w:rPr>
        <w:t>最高限价（元）：</w:t>
      </w:r>
      <w:r>
        <w:rPr>
          <w:rFonts w:hint="eastAsia" w:ascii="仿宋" w:hAnsi="仿宋" w:eastAsia="仿宋"/>
          <w:color w:val="auto"/>
          <w:sz w:val="24"/>
          <w:lang w:val="en-US" w:eastAsia="zh-CN"/>
        </w:rPr>
        <w:t>1200000.00，1200000.00，3283000.00，117000.00</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 xml:space="preserve">采购需求：    </w:t>
      </w:r>
    </w:p>
    <w:p>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标项一：GYZB-TLFDZFZ2023-01</w:t>
      </w:r>
      <w:r>
        <w:rPr>
          <w:rFonts w:hint="eastAsia" w:ascii="仿宋" w:hAnsi="仿宋" w:eastAsia="仿宋"/>
          <w:color w:val="auto"/>
          <w:sz w:val="24"/>
          <w:lang w:eastAsia="zh-CN"/>
        </w:rPr>
        <w:t>，</w:t>
      </w:r>
      <w:r>
        <w:rPr>
          <w:rFonts w:hint="eastAsia" w:ascii="仿宋" w:hAnsi="仿宋" w:eastAsia="仿宋"/>
          <w:color w:val="auto"/>
          <w:sz w:val="24"/>
        </w:rPr>
        <w:t>新疆托克逊县地质灾害风险调查评价；</w:t>
      </w:r>
    </w:p>
    <w:p>
      <w:pPr>
        <w:spacing w:line="360" w:lineRule="auto"/>
        <w:ind w:firstLine="480" w:firstLineChars="200"/>
        <w:rPr>
          <w:rFonts w:hint="eastAsia" w:ascii="仿宋" w:hAnsi="仿宋" w:eastAsia="仿宋"/>
          <w:color w:val="auto"/>
          <w:sz w:val="24"/>
          <w:lang w:val="en-US" w:eastAsia="zh-CN"/>
        </w:rPr>
      </w:pPr>
      <w:r>
        <w:rPr>
          <w:rFonts w:hint="eastAsia" w:ascii="仿宋" w:hAnsi="仿宋" w:eastAsia="仿宋"/>
          <w:color w:val="auto"/>
          <w:sz w:val="24"/>
          <w:lang w:val="en-US" w:eastAsia="zh-CN"/>
        </w:rPr>
        <w:t>数量：1</w:t>
      </w:r>
    </w:p>
    <w:p>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预算金额：</w:t>
      </w:r>
      <w:r>
        <w:rPr>
          <w:rFonts w:hint="eastAsia" w:ascii="仿宋" w:hAnsi="仿宋" w:eastAsia="仿宋"/>
          <w:color w:val="auto"/>
          <w:sz w:val="24"/>
          <w:lang w:val="en-US" w:eastAsia="zh-CN"/>
        </w:rPr>
        <w:t>1200000.00</w:t>
      </w:r>
      <w:r>
        <w:rPr>
          <w:rFonts w:hint="eastAsia" w:ascii="仿宋" w:hAnsi="仿宋" w:eastAsia="仿宋"/>
          <w:color w:val="auto"/>
          <w:sz w:val="24"/>
        </w:rPr>
        <w:t>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简要规格描述或项目基本概况介绍、用途：以孕灾主控地质条件和地质灾害隐患判识为主开展托克逊县地质灾害风险调查评价，深化地质灾害早期识别、形成机理和规律认识，总结成灾模式，开展不同层次地质灾害风险区划，提出综合防治对策建议，为地质灾害防治管理提供基础依据。</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本项目（否）接受联合体投标。</w:t>
      </w:r>
    </w:p>
    <w:p>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标项二：GYZB-TLFDZFZ2023-02</w:t>
      </w:r>
      <w:r>
        <w:rPr>
          <w:rFonts w:hint="eastAsia" w:ascii="仿宋" w:hAnsi="仿宋" w:eastAsia="仿宋"/>
          <w:color w:val="auto"/>
          <w:sz w:val="24"/>
          <w:lang w:eastAsia="zh-CN"/>
        </w:rPr>
        <w:t>，</w:t>
      </w:r>
      <w:r>
        <w:rPr>
          <w:rFonts w:hint="eastAsia" w:ascii="仿宋" w:hAnsi="仿宋" w:eastAsia="仿宋"/>
          <w:color w:val="auto"/>
          <w:sz w:val="24"/>
        </w:rPr>
        <w:t>新疆鄯善县地质灾害风险调查评价；</w:t>
      </w:r>
    </w:p>
    <w:p>
      <w:pPr>
        <w:spacing w:line="360" w:lineRule="auto"/>
        <w:ind w:firstLine="480" w:firstLineChars="200"/>
        <w:rPr>
          <w:rFonts w:hint="default" w:ascii="仿宋" w:hAnsi="仿宋" w:eastAsia="仿宋"/>
          <w:color w:val="auto"/>
          <w:sz w:val="24"/>
          <w:lang w:val="en-US" w:eastAsia="zh-CN"/>
        </w:rPr>
      </w:pPr>
      <w:r>
        <w:rPr>
          <w:rFonts w:hint="eastAsia" w:ascii="仿宋" w:hAnsi="仿宋" w:eastAsia="仿宋"/>
          <w:color w:val="auto"/>
          <w:sz w:val="24"/>
          <w:lang w:val="en-US" w:eastAsia="zh-CN"/>
        </w:rPr>
        <w:t>数量：1</w:t>
      </w:r>
    </w:p>
    <w:p>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预算金额：</w:t>
      </w:r>
      <w:r>
        <w:rPr>
          <w:rFonts w:hint="eastAsia" w:ascii="仿宋" w:hAnsi="仿宋" w:eastAsia="仿宋"/>
          <w:color w:val="auto"/>
          <w:sz w:val="24"/>
          <w:lang w:val="en-US" w:eastAsia="zh-CN"/>
        </w:rPr>
        <w:t>1200000.00</w:t>
      </w:r>
      <w:r>
        <w:rPr>
          <w:rFonts w:hint="eastAsia" w:ascii="仿宋" w:hAnsi="仿宋" w:eastAsia="仿宋"/>
          <w:color w:val="auto"/>
          <w:sz w:val="24"/>
        </w:rPr>
        <w:t>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简要规格描述或项目基本概况介绍、用途：以孕灾主控地质条件和地质灾害隐患判识为主开展鄯善县地质灾害风险调查评价，深化地质灾害早期识别、形成机理和规律认识，总结成灾模式，开展不同层次地质灾害风险区划，提出综合防治对策建议，为地质灾害防治管理提供基础依据。</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本项目（否）接受联合体投标。</w:t>
      </w:r>
    </w:p>
    <w:p>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标项三：GYZB-TLFDZFZ2023-03</w:t>
      </w:r>
      <w:r>
        <w:rPr>
          <w:rFonts w:hint="eastAsia" w:ascii="仿宋" w:hAnsi="仿宋" w:eastAsia="仿宋"/>
          <w:color w:val="auto"/>
          <w:sz w:val="24"/>
          <w:lang w:eastAsia="zh-CN"/>
        </w:rPr>
        <w:t>，</w:t>
      </w:r>
      <w:r>
        <w:rPr>
          <w:rFonts w:hint="eastAsia" w:ascii="仿宋" w:hAnsi="仿宋" w:eastAsia="仿宋"/>
          <w:color w:val="auto"/>
          <w:sz w:val="24"/>
        </w:rPr>
        <w:t>新疆吐鲁番市高昌区七泉湖镇煤窑沟左岸居民点崩塌防治工程；</w:t>
      </w:r>
    </w:p>
    <w:p>
      <w:pPr>
        <w:spacing w:line="360" w:lineRule="auto"/>
        <w:ind w:firstLine="480" w:firstLineChars="200"/>
        <w:rPr>
          <w:rFonts w:hint="default"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数量：1</w:t>
      </w:r>
    </w:p>
    <w:p>
      <w:pPr>
        <w:spacing w:line="360" w:lineRule="auto"/>
        <w:ind w:firstLine="480" w:firstLineChars="200"/>
        <w:rPr>
          <w:rFonts w:hint="eastAsia" w:ascii="仿宋" w:hAnsi="仿宋" w:eastAsia="仿宋" w:cs="Times New Roman"/>
          <w:color w:val="auto"/>
          <w:sz w:val="24"/>
        </w:rPr>
      </w:pPr>
      <w:r>
        <w:rPr>
          <w:rFonts w:hint="eastAsia" w:ascii="仿宋" w:hAnsi="仿宋" w:eastAsia="仿宋" w:cs="Times New Roman"/>
          <w:color w:val="auto"/>
          <w:sz w:val="24"/>
        </w:rPr>
        <w:t>预算金额：</w:t>
      </w:r>
      <w:r>
        <w:rPr>
          <w:rFonts w:hint="eastAsia" w:ascii="仿宋" w:hAnsi="仿宋" w:eastAsia="仿宋"/>
          <w:color w:val="auto"/>
          <w:sz w:val="24"/>
          <w:lang w:val="en-US" w:eastAsia="zh-CN"/>
        </w:rPr>
        <w:t>3283000.00</w:t>
      </w:r>
      <w:r>
        <w:rPr>
          <w:rFonts w:hint="eastAsia" w:ascii="仿宋" w:hAnsi="仿宋" w:eastAsia="仿宋" w:cs="Times New Roman"/>
          <w:color w:val="auto"/>
          <w:sz w:val="24"/>
        </w:rPr>
        <w:t>元；</w:t>
      </w:r>
    </w:p>
    <w:p>
      <w:pPr>
        <w:spacing w:line="360" w:lineRule="auto"/>
        <w:ind w:firstLine="480" w:firstLineChars="200"/>
        <w:rPr>
          <w:rFonts w:hint="eastAsia" w:ascii="仿宋" w:hAnsi="仿宋" w:eastAsia="仿宋" w:cs="Times New Roman"/>
          <w:color w:val="auto"/>
          <w:sz w:val="24"/>
        </w:rPr>
      </w:pPr>
      <w:r>
        <w:rPr>
          <w:rFonts w:hint="eastAsia" w:ascii="仿宋" w:hAnsi="仿宋" w:eastAsia="仿宋" w:cs="Times New Roman"/>
          <w:color w:val="auto"/>
          <w:sz w:val="24"/>
          <w:lang w:val="en-US" w:eastAsia="zh-CN"/>
        </w:rPr>
        <w:t>简要规格描述或项目基本概况介绍、用途：</w:t>
      </w:r>
      <w:r>
        <w:rPr>
          <w:rFonts w:hint="eastAsia" w:ascii="仿宋" w:hAnsi="仿宋" w:eastAsia="仿宋" w:cs="Times New Roman"/>
          <w:color w:val="auto"/>
          <w:sz w:val="24"/>
        </w:rPr>
        <w:t>通过对新疆吐鲁番市高昌区七泉湖煤窑沟左岸居民点崩塌灾害防治工程的设计与实施，减轻或消除崩塌隐患对坡下房屋、居民、通讯输电线路及道路等威胁，保障人民生命和财产安全。</w:t>
      </w:r>
    </w:p>
    <w:p>
      <w:pPr>
        <w:spacing w:line="360" w:lineRule="auto"/>
        <w:ind w:firstLine="480" w:firstLineChars="200"/>
        <w:rPr>
          <w:rFonts w:hint="eastAsia" w:ascii="仿宋" w:hAnsi="仿宋" w:eastAsia="仿宋" w:cs="Times New Roman"/>
          <w:color w:val="auto"/>
          <w:sz w:val="24"/>
        </w:rPr>
      </w:pPr>
      <w:r>
        <w:rPr>
          <w:rFonts w:hint="eastAsia" w:ascii="仿宋" w:hAnsi="仿宋" w:eastAsia="仿宋" w:cs="Times New Roman"/>
          <w:color w:val="auto"/>
          <w:sz w:val="24"/>
        </w:rPr>
        <w:t>本项目（是）接受联合体投标。</w:t>
      </w:r>
    </w:p>
    <w:p>
      <w:pPr>
        <w:spacing w:line="360" w:lineRule="auto"/>
        <w:ind w:firstLine="480" w:firstLineChars="200"/>
        <w:rPr>
          <w:rFonts w:hint="eastAsia" w:ascii="仿宋" w:hAnsi="仿宋" w:eastAsia="仿宋" w:cs="Times New Roman"/>
          <w:color w:val="auto"/>
          <w:sz w:val="24"/>
        </w:rPr>
      </w:pPr>
      <w:r>
        <w:rPr>
          <w:rFonts w:hint="eastAsia" w:ascii="仿宋" w:hAnsi="仿宋" w:eastAsia="仿宋" w:cs="Times New Roman"/>
          <w:color w:val="auto"/>
          <w:sz w:val="24"/>
        </w:rPr>
        <w:t>标项四：GYZB-TLFDZFZ2023-04</w:t>
      </w:r>
      <w:r>
        <w:rPr>
          <w:rFonts w:hint="eastAsia" w:ascii="仿宋" w:hAnsi="仿宋" w:eastAsia="仿宋" w:cs="Times New Roman"/>
          <w:color w:val="auto"/>
          <w:sz w:val="24"/>
          <w:lang w:eastAsia="zh-CN"/>
        </w:rPr>
        <w:t>，</w:t>
      </w:r>
      <w:r>
        <w:rPr>
          <w:rFonts w:hint="eastAsia" w:ascii="仿宋" w:hAnsi="仿宋" w:eastAsia="仿宋" w:cs="Times New Roman"/>
          <w:color w:val="auto"/>
          <w:sz w:val="24"/>
        </w:rPr>
        <w:t>吐鲁番市2023年中央自然灾害防治体系建设项目监理；</w:t>
      </w:r>
    </w:p>
    <w:p>
      <w:pPr>
        <w:spacing w:line="360" w:lineRule="auto"/>
        <w:ind w:firstLine="480" w:firstLineChars="200"/>
        <w:rPr>
          <w:rFonts w:hint="default"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数量：1</w:t>
      </w:r>
    </w:p>
    <w:p>
      <w:pPr>
        <w:spacing w:line="360" w:lineRule="auto"/>
        <w:ind w:firstLine="480" w:firstLineChars="200"/>
        <w:rPr>
          <w:rFonts w:ascii="仿宋" w:hAnsi="仿宋" w:eastAsia="仿宋"/>
          <w:color w:val="auto"/>
          <w:sz w:val="24"/>
        </w:rPr>
      </w:pPr>
      <w:r>
        <w:rPr>
          <w:rFonts w:hint="eastAsia" w:ascii="仿宋" w:hAnsi="仿宋" w:eastAsia="仿宋" w:cs="Times New Roman"/>
          <w:color w:val="auto"/>
          <w:sz w:val="24"/>
        </w:rPr>
        <w:t>预算金额：</w:t>
      </w:r>
      <w:r>
        <w:rPr>
          <w:rFonts w:hint="eastAsia" w:ascii="仿宋" w:hAnsi="仿宋" w:eastAsia="仿宋"/>
          <w:color w:val="auto"/>
          <w:sz w:val="24"/>
          <w:lang w:val="en-US" w:eastAsia="zh-CN"/>
        </w:rPr>
        <w:t>117000.00</w:t>
      </w:r>
      <w:r>
        <w:rPr>
          <w:rFonts w:hint="eastAsia" w:ascii="仿宋" w:hAnsi="仿宋" w:eastAsia="仿宋"/>
          <w:color w:val="auto"/>
          <w:sz w:val="24"/>
        </w:rPr>
        <w:t>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sz w:val="24"/>
          <w:lang w:val="en-US" w:eastAsia="zh-CN"/>
        </w:rPr>
        <w:t>简要规格描述或项目基本概况介绍、用途：</w:t>
      </w:r>
      <w:r>
        <w:rPr>
          <w:rFonts w:hint="eastAsia" w:ascii="仿宋" w:hAnsi="仿宋" w:eastAsia="仿宋" w:cs="Times New Roman"/>
          <w:color w:val="auto"/>
          <w:kern w:val="2"/>
          <w:sz w:val="24"/>
          <w:szCs w:val="24"/>
          <w:lang w:val="en-US" w:eastAsia="zh-CN" w:bidi="ar-SA"/>
        </w:rPr>
        <w:t>通过监理工作的实施，达到项目工期目标、质量目标及安全目标。</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本项目（否）接受联合体投标。</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合同履行期限：详见采购文件。</w:t>
      </w:r>
    </w:p>
    <w:p>
      <w:pPr>
        <w:spacing w:line="360" w:lineRule="auto"/>
        <w:ind w:firstLine="482" w:firstLineChars="200"/>
        <w:outlineLvl w:val="1"/>
        <w:rPr>
          <w:rFonts w:ascii="仿宋" w:hAnsi="仿宋" w:eastAsia="仿宋"/>
          <w:b/>
          <w:bCs/>
          <w:color w:val="auto"/>
          <w:sz w:val="24"/>
        </w:rPr>
      </w:pPr>
      <w:bookmarkStart w:id="29" w:name="_Toc2263"/>
      <w:bookmarkStart w:id="30" w:name="_Toc1560"/>
      <w:bookmarkStart w:id="31" w:name="_Toc27793"/>
      <w:bookmarkStart w:id="32" w:name="_Toc9145"/>
      <w:r>
        <w:rPr>
          <w:rFonts w:hint="eastAsia" w:ascii="仿宋" w:hAnsi="仿宋" w:eastAsia="仿宋"/>
          <w:b/>
          <w:bCs/>
          <w:color w:val="auto"/>
          <w:sz w:val="24"/>
        </w:rPr>
        <w:t>二、申请人的资格要求：</w:t>
      </w:r>
      <w:bookmarkEnd w:id="29"/>
      <w:bookmarkEnd w:id="30"/>
      <w:bookmarkEnd w:id="31"/>
      <w:bookmarkEnd w:id="3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2.落实政府采购政策需满足的资格要求：标项1、2、3：供应商为中小企业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标项一和二提供地质灾害治理工程勘查乙级（含乙级）以上资质；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标项三提供地质灾害治理工程设计和施工乙级（含乙级）以上资质;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olor w:val="auto"/>
          <w:sz w:val="24"/>
          <w:lang w:val="en-US" w:eastAsia="zh-CN"/>
        </w:rPr>
      </w:pPr>
      <w:r>
        <w:rPr>
          <w:rFonts w:hint="eastAsia" w:ascii="仿宋" w:hAnsi="仿宋" w:eastAsia="仿宋" w:cs="Times New Roman"/>
          <w:color w:val="auto"/>
          <w:kern w:val="2"/>
          <w:sz w:val="24"/>
          <w:szCs w:val="24"/>
          <w:lang w:val="en-US" w:eastAsia="zh-CN" w:bidi="ar-SA"/>
        </w:rPr>
        <w:t>标项四提供地质灾害防治工程监理乙级（含乙级）以上资质；</w:t>
      </w:r>
    </w:p>
    <w:p>
      <w:pPr>
        <w:spacing w:line="360" w:lineRule="auto"/>
        <w:ind w:firstLine="482" w:firstLineChars="200"/>
        <w:outlineLvl w:val="1"/>
        <w:rPr>
          <w:rFonts w:ascii="仿宋" w:hAnsi="仿宋" w:eastAsia="仿宋"/>
          <w:b/>
          <w:bCs/>
          <w:color w:val="auto"/>
          <w:sz w:val="24"/>
        </w:rPr>
      </w:pPr>
      <w:bookmarkStart w:id="33" w:name="_Toc16825"/>
      <w:bookmarkStart w:id="34" w:name="_Toc31779"/>
      <w:bookmarkStart w:id="35" w:name="_Toc17355"/>
      <w:bookmarkStart w:id="36" w:name="_Toc19395"/>
      <w:r>
        <w:rPr>
          <w:rFonts w:hint="eastAsia" w:ascii="仿宋" w:hAnsi="仿宋" w:eastAsia="仿宋"/>
          <w:b/>
          <w:bCs/>
          <w:color w:val="auto"/>
          <w:sz w:val="24"/>
        </w:rPr>
        <w:t>三、获取采购文件</w:t>
      </w:r>
      <w:bookmarkEnd w:id="33"/>
      <w:bookmarkEnd w:id="34"/>
      <w:bookmarkEnd w:id="35"/>
      <w:bookmarkEnd w:id="36"/>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时间：2023年2月</w:t>
      </w:r>
      <w:r>
        <w:rPr>
          <w:rFonts w:hint="eastAsia" w:ascii="仿宋" w:hAnsi="仿宋" w:eastAsia="仿宋"/>
          <w:color w:val="auto"/>
          <w:sz w:val="24"/>
          <w:lang w:val="en-US" w:eastAsia="zh-CN"/>
        </w:rPr>
        <w:t>23</w:t>
      </w:r>
      <w:r>
        <w:rPr>
          <w:rFonts w:hint="eastAsia" w:ascii="仿宋" w:hAnsi="仿宋" w:eastAsia="仿宋"/>
          <w:color w:val="auto"/>
          <w:sz w:val="24"/>
        </w:rPr>
        <w:t>日至2023年</w:t>
      </w:r>
      <w:r>
        <w:rPr>
          <w:rFonts w:hint="eastAsia" w:ascii="仿宋" w:hAnsi="仿宋" w:eastAsia="仿宋"/>
          <w:color w:val="auto"/>
          <w:sz w:val="24"/>
          <w:lang w:val="en-US" w:eastAsia="zh-CN"/>
        </w:rPr>
        <w:t>3</w:t>
      </w:r>
      <w:r>
        <w:rPr>
          <w:rFonts w:hint="eastAsia" w:ascii="仿宋" w:hAnsi="仿宋" w:eastAsia="仿宋"/>
          <w:color w:val="auto"/>
          <w:sz w:val="24"/>
        </w:rPr>
        <w:t>月</w:t>
      </w:r>
      <w:r>
        <w:rPr>
          <w:rFonts w:hint="eastAsia" w:ascii="仿宋" w:hAnsi="仿宋" w:eastAsia="仿宋"/>
          <w:color w:val="auto"/>
          <w:sz w:val="24"/>
          <w:lang w:val="en-US" w:eastAsia="zh-CN"/>
        </w:rPr>
        <w:t>2</w:t>
      </w:r>
      <w:r>
        <w:rPr>
          <w:rFonts w:hint="eastAsia" w:ascii="仿宋" w:hAnsi="仿宋" w:eastAsia="仿宋"/>
          <w:color w:val="auto"/>
          <w:sz w:val="24"/>
        </w:rPr>
        <w:t>日，每天上午10:</w:t>
      </w:r>
      <w:r>
        <w:rPr>
          <w:rFonts w:hint="eastAsia" w:ascii="仿宋" w:hAnsi="仿宋" w:eastAsia="仿宋"/>
          <w:color w:val="auto"/>
          <w:sz w:val="24"/>
          <w:lang w:val="en-US" w:eastAsia="zh-CN"/>
        </w:rPr>
        <w:t>0</w:t>
      </w:r>
      <w:r>
        <w:rPr>
          <w:rFonts w:hint="eastAsia" w:ascii="仿宋" w:hAnsi="仿宋" w:eastAsia="仿宋"/>
          <w:color w:val="auto"/>
          <w:sz w:val="24"/>
        </w:rPr>
        <w:t>0至13:30，下午15:30至19:</w:t>
      </w:r>
      <w:r>
        <w:rPr>
          <w:rFonts w:hint="eastAsia" w:ascii="仿宋" w:hAnsi="仿宋" w:eastAsia="仿宋"/>
          <w:color w:val="auto"/>
          <w:sz w:val="24"/>
          <w:lang w:val="en-US" w:eastAsia="zh-CN"/>
        </w:rPr>
        <w:t>3</w:t>
      </w:r>
      <w:r>
        <w:rPr>
          <w:rFonts w:hint="eastAsia" w:ascii="仿宋" w:hAnsi="仿宋" w:eastAsia="仿宋"/>
          <w:color w:val="auto"/>
          <w:sz w:val="24"/>
        </w:rPr>
        <w:t>0（北京时间，法定节假日除外）.</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地点：新疆政府采购网自行下载</w:t>
      </w:r>
    </w:p>
    <w:p>
      <w:pPr>
        <w:spacing w:line="360" w:lineRule="auto"/>
        <w:ind w:firstLine="482" w:firstLineChars="200"/>
        <w:outlineLvl w:val="1"/>
        <w:rPr>
          <w:rFonts w:ascii="仿宋" w:hAnsi="仿宋" w:eastAsia="仿宋"/>
          <w:b/>
          <w:bCs/>
          <w:color w:val="auto"/>
          <w:sz w:val="24"/>
        </w:rPr>
      </w:pPr>
      <w:bookmarkStart w:id="37" w:name="_Toc12223"/>
      <w:bookmarkStart w:id="38" w:name="_Toc20025"/>
      <w:bookmarkStart w:id="39" w:name="_Toc1994"/>
      <w:bookmarkStart w:id="40" w:name="_Toc27462"/>
      <w:r>
        <w:rPr>
          <w:rFonts w:hint="eastAsia" w:ascii="仿宋" w:hAnsi="仿宋" w:eastAsia="仿宋"/>
          <w:b/>
          <w:bCs/>
          <w:color w:val="auto"/>
          <w:sz w:val="24"/>
        </w:rPr>
        <w:t>四、提交投标文件截止时间、开标时间和地点</w:t>
      </w:r>
      <w:bookmarkEnd w:id="37"/>
      <w:bookmarkEnd w:id="38"/>
      <w:bookmarkEnd w:id="39"/>
      <w:bookmarkEnd w:id="40"/>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提交投标文件截止时间：2023年</w:t>
      </w:r>
      <w:r>
        <w:rPr>
          <w:rFonts w:hint="eastAsia" w:ascii="仿宋" w:hAnsi="仿宋" w:eastAsia="仿宋"/>
          <w:color w:val="auto"/>
          <w:sz w:val="24"/>
          <w:lang w:val="en-US" w:eastAsia="zh-CN"/>
        </w:rPr>
        <w:t>3</w:t>
      </w:r>
      <w:r>
        <w:rPr>
          <w:rFonts w:hint="eastAsia" w:ascii="仿宋" w:hAnsi="仿宋" w:eastAsia="仿宋"/>
          <w:color w:val="auto"/>
          <w:sz w:val="24"/>
        </w:rPr>
        <w:t>月</w:t>
      </w:r>
      <w:r>
        <w:rPr>
          <w:rFonts w:hint="eastAsia" w:ascii="仿宋" w:hAnsi="仿宋" w:eastAsia="仿宋"/>
          <w:color w:val="auto"/>
          <w:sz w:val="24"/>
          <w:lang w:val="en-US" w:eastAsia="zh-CN"/>
        </w:rPr>
        <w:t>15</w:t>
      </w:r>
      <w:r>
        <w:rPr>
          <w:rFonts w:hint="eastAsia" w:ascii="仿宋" w:hAnsi="仿宋" w:eastAsia="仿宋"/>
          <w:color w:val="auto"/>
          <w:sz w:val="24"/>
        </w:rPr>
        <w:t>日 11:00（北京时间）</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投标地点：</w:t>
      </w:r>
      <w:r>
        <w:rPr>
          <w:rFonts w:hint="eastAsia" w:ascii="仿宋" w:hAnsi="仿宋" w:eastAsia="仿宋" w:cs="仿宋"/>
          <w:color w:val="auto"/>
          <w:kern w:val="0"/>
          <w:sz w:val="24"/>
        </w:rPr>
        <w:t>政采云投标客户端投标</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开标时间：2023年</w:t>
      </w:r>
      <w:r>
        <w:rPr>
          <w:rFonts w:hint="eastAsia" w:ascii="仿宋" w:hAnsi="仿宋" w:eastAsia="仿宋"/>
          <w:color w:val="auto"/>
          <w:sz w:val="24"/>
          <w:lang w:val="en-US" w:eastAsia="zh-CN"/>
        </w:rPr>
        <w:t>3</w:t>
      </w:r>
      <w:r>
        <w:rPr>
          <w:rFonts w:hint="eastAsia" w:ascii="仿宋" w:hAnsi="仿宋" w:eastAsia="仿宋"/>
          <w:color w:val="auto"/>
          <w:sz w:val="24"/>
        </w:rPr>
        <w:t>月</w:t>
      </w:r>
      <w:r>
        <w:rPr>
          <w:rFonts w:hint="eastAsia" w:ascii="仿宋" w:hAnsi="仿宋" w:eastAsia="仿宋"/>
          <w:color w:val="auto"/>
          <w:sz w:val="24"/>
          <w:lang w:val="en-US" w:eastAsia="zh-CN"/>
        </w:rPr>
        <w:t>15</w:t>
      </w:r>
      <w:r>
        <w:rPr>
          <w:rFonts w:hint="eastAsia" w:ascii="仿宋" w:hAnsi="仿宋" w:eastAsia="仿宋"/>
          <w:color w:val="auto"/>
          <w:sz w:val="24"/>
        </w:rPr>
        <w:t>日 11:</w:t>
      </w:r>
      <w:r>
        <w:rPr>
          <w:rFonts w:hint="eastAsia" w:ascii="仿宋" w:hAnsi="仿宋" w:eastAsia="仿宋"/>
          <w:color w:val="auto"/>
          <w:sz w:val="24"/>
          <w:lang w:val="en-US" w:eastAsia="zh-CN"/>
        </w:rPr>
        <w:t>3</w:t>
      </w:r>
      <w:r>
        <w:rPr>
          <w:rFonts w:hint="eastAsia" w:ascii="仿宋" w:hAnsi="仿宋" w:eastAsia="仿宋"/>
          <w:color w:val="auto"/>
          <w:sz w:val="24"/>
        </w:rPr>
        <w:t>0（北京时间）</w:t>
      </w:r>
    </w:p>
    <w:p>
      <w:pPr>
        <w:spacing w:line="360" w:lineRule="auto"/>
        <w:ind w:firstLine="480" w:firstLineChars="200"/>
        <w:rPr>
          <w:rFonts w:hint="eastAsia" w:ascii="仿宋" w:hAnsi="仿宋" w:eastAsia="仿宋"/>
          <w:color w:val="auto"/>
          <w:sz w:val="24"/>
          <w:lang w:eastAsia="zh-CN"/>
        </w:rPr>
      </w:pPr>
      <w:r>
        <w:rPr>
          <w:rFonts w:hint="eastAsia" w:ascii="仿宋" w:hAnsi="仿宋" w:eastAsia="仿宋"/>
          <w:color w:val="auto"/>
          <w:sz w:val="24"/>
        </w:rPr>
        <w:t>开标地点：吐鲁番市高昌区丝绸大道4100号吐鲁番市行政服务中心（市公共资源交易中心）</w:t>
      </w:r>
    </w:p>
    <w:p>
      <w:pPr>
        <w:spacing w:line="360" w:lineRule="auto"/>
        <w:ind w:firstLine="482" w:firstLineChars="200"/>
        <w:outlineLvl w:val="1"/>
        <w:rPr>
          <w:rFonts w:ascii="仿宋" w:hAnsi="仿宋" w:eastAsia="仿宋"/>
          <w:b/>
          <w:bCs/>
          <w:color w:val="auto"/>
          <w:sz w:val="24"/>
        </w:rPr>
      </w:pPr>
      <w:bookmarkStart w:id="41" w:name="_Toc9198"/>
      <w:bookmarkStart w:id="42" w:name="_Toc19598"/>
      <w:bookmarkStart w:id="43" w:name="_Toc23384"/>
      <w:bookmarkStart w:id="44" w:name="_Toc7880"/>
      <w:r>
        <w:rPr>
          <w:rFonts w:hint="eastAsia" w:ascii="仿宋" w:hAnsi="仿宋" w:eastAsia="仿宋"/>
          <w:b/>
          <w:bCs/>
          <w:color w:val="auto"/>
          <w:sz w:val="24"/>
        </w:rPr>
        <w:t>五、公告期限</w:t>
      </w:r>
      <w:bookmarkEnd w:id="41"/>
      <w:bookmarkEnd w:id="42"/>
      <w:bookmarkEnd w:id="43"/>
      <w:bookmarkEnd w:id="44"/>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自本公告发布之日起5个工作日。</w:t>
      </w:r>
    </w:p>
    <w:p>
      <w:pPr>
        <w:spacing w:line="360" w:lineRule="auto"/>
        <w:ind w:firstLine="482" w:firstLineChars="200"/>
        <w:outlineLvl w:val="1"/>
        <w:rPr>
          <w:rFonts w:ascii="仿宋" w:hAnsi="仿宋" w:eastAsia="仿宋"/>
          <w:b/>
          <w:bCs/>
          <w:color w:val="auto"/>
          <w:sz w:val="24"/>
        </w:rPr>
      </w:pPr>
      <w:bookmarkStart w:id="45" w:name="_Toc30843"/>
      <w:bookmarkStart w:id="46" w:name="_Toc14564"/>
      <w:bookmarkStart w:id="47" w:name="_Toc20193"/>
      <w:bookmarkStart w:id="48" w:name="_Toc847"/>
      <w:r>
        <w:rPr>
          <w:rFonts w:hint="eastAsia" w:ascii="仿宋" w:hAnsi="仿宋" w:eastAsia="仿宋"/>
          <w:b/>
          <w:bCs/>
          <w:color w:val="auto"/>
          <w:sz w:val="24"/>
        </w:rPr>
        <w:t>六、其他补充事宜</w:t>
      </w:r>
      <w:bookmarkEnd w:id="45"/>
      <w:bookmarkEnd w:id="46"/>
      <w:bookmarkEnd w:id="47"/>
      <w:bookmarkEnd w:id="4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Times New Roman"/>
          <w:color w:val="auto"/>
          <w:kern w:val="2"/>
          <w:sz w:val="24"/>
          <w:szCs w:val="24"/>
          <w:lang w:val="en-US" w:eastAsia="zh-CN" w:bidi="ar-SA"/>
        </w:rPr>
      </w:pPr>
      <w:bookmarkStart w:id="49" w:name="_Toc32380"/>
      <w:bookmarkStart w:id="50" w:name="_Toc3430"/>
      <w:bookmarkStart w:id="51" w:name="_Toc2508"/>
      <w:r>
        <w:rPr>
          <w:rFonts w:hint="eastAsia" w:ascii="仿宋" w:hAnsi="仿宋" w:eastAsia="仿宋" w:cs="Times New Roman"/>
          <w:color w:val="auto"/>
          <w:kern w:val="2"/>
          <w:sz w:val="24"/>
          <w:szCs w:val="24"/>
          <w:lang w:val="en-US" w:eastAsia="zh-CN" w:bidi="ar-SA"/>
        </w:rPr>
        <w:t>1.财政部、国家发展改革委《关于印发《节能产品政府采购实施意见》的通知》（财库[2004]185号）；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2.《财政部、环保总局关于环境标志产品政府采购实施的意见》（财库[2006]90号）；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3.财政部、工业和信息化部《关于印发《政府采购促进中小企业发展管理办法》的通知》（财库[2020]46号）；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4.财政部、民政部、中国残疾人联合会《关于促进残疾人就业政府采购政策的通知》（财库[2017]141号）；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olor w:val="auto"/>
          <w:sz w:val="24"/>
        </w:rPr>
      </w:pPr>
      <w:r>
        <w:rPr>
          <w:rFonts w:hint="eastAsia" w:ascii="仿宋" w:hAnsi="仿宋" w:eastAsia="仿宋" w:cs="Times New Roman"/>
          <w:color w:val="auto"/>
          <w:kern w:val="2"/>
          <w:sz w:val="24"/>
          <w:szCs w:val="24"/>
          <w:lang w:val="en-US" w:eastAsia="zh-CN" w:bidi="ar-SA"/>
        </w:rPr>
        <w:t>5.财政部、司法部《关于政府采购支持监狱企业发展有关问题的通知》（财库[2014]68号）。</w:t>
      </w:r>
    </w:p>
    <w:p>
      <w:pPr>
        <w:spacing w:line="360" w:lineRule="auto"/>
        <w:ind w:firstLine="480" w:firstLineChars="200"/>
        <w:outlineLvl w:val="1"/>
        <w:rPr>
          <w:rFonts w:hint="eastAsia" w:ascii="仿宋" w:hAnsi="仿宋" w:eastAsia="仿宋"/>
          <w:color w:val="auto"/>
          <w:sz w:val="24"/>
        </w:rPr>
      </w:pPr>
      <w:bookmarkStart w:id="52" w:name="_Toc30979"/>
      <w:r>
        <w:rPr>
          <w:rFonts w:hint="eastAsia" w:ascii="仿宋" w:hAnsi="仿宋" w:eastAsia="仿宋"/>
          <w:color w:val="auto"/>
          <w:sz w:val="24"/>
          <w:lang w:val="en-US" w:eastAsia="zh-CN"/>
        </w:rPr>
        <w:t>6</w:t>
      </w:r>
      <w:r>
        <w:rPr>
          <w:rFonts w:hint="eastAsia" w:ascii="仿宋" w:hAnsi="仿宋" w:eastAsia="仿宋"/>
          <w:color w:val="auto"/>
          <w:sz w:val="24"/>
        </w:rPr>
        <w:t>.本项目实行网上投标，采用电子投标文件。若供应商参与投标，自行承担投标一切费用。</w:t>
      </w:r>
      <w:bookmarkEnd w:id="52"/>
    </w:p>
    <w:p>
      <w:pPr>
        <w:spacing w:line="360" w:lineRule="auto"/>
        <w:ind w:firstLine="480" w:firstLineChars="200"/>
        <w:outlineLvl w:val="1"/>
        <w:rPr>
          <w:rFonts w:hint="eastAsia" w:ascii="仿宋" w:hAnsi="仿宋" w:eastAsia="仿宋"/>
          <w:color w:val="auto"/>
          <w:sz w:val="24"/>
        </w:rPr>
      </w:pPr>
      <w:bookmarkStart w:id="53" w:name="_Toc3262"/>
      <w:r>
        <w:rPr>
          <w:rFonts w:hint="eastAsia" w:ascii="仿宋" w:hAnsi="仿宋" w:eastAsia="仿宋"/>
          <w:color w:val="auto"/>
          <w:sz w:val="24"/>
          <w:lang w:val="en-US" w:eastAsia="zh-CN"/>
        </w:rPr>
        <w:t>7</w:t>
      </w:r>
      <w:r>
        <w:rPr>
          <w:rFonts w:hint="eastAsia" w:ascii="仿宋" w:hAnsi="仿宋" w:eastAsia="仿宋"/>
          <w:color w:val="auto"/>
          <w:sz w:val="24"/>
        </w:rPr>
        <w:t>.各供应商应在开标前应确保成为新疆维吾尔自治区政府采购网正式注册入库供应商，并完成CA数字证书申领。因未注册入库、未办理CA数字证书等原因造成无法投标或投标失败等后果由供应商自行承担。</w:t>
      </w:r>
      <w:bookmarkEnd w:id="53"/>
    </w:p>
    <w:p>
      <w:pPr>
        <w:spacing w:line="360" w:lineRule="auto"/>
        <w:ind w:firstLine="480" w:firstLineChars="200"/>
        <w:outlineLvl w:val="1"/>
        <w:rPr>
          <w:rFonts w:hint="eastAsia" w:ascii="仿宋" w:hAnsi="仿宋" w:eastAsia="仿宋"/>
          <w:color w:val="auto"/>
          <w:sz w:val="24"/>
        </w:rPr>
      </w:pPr>
      <w:bookmarkStart w:id="54" w:name="_Toc5877"/>
      <w:r>
        <w:rPr>
          <w:rFonts w:hint="eastAsia" w:ascii="仿宋" w:hAnsi="仿宋" w:eastAsia="仿宋"/>
          <w:color w:val="auto"/>
          <w:sz w:val="24"/>
          <w:lang w:val="en-US" w:eastAsia="zh-CN"/>
        </w:rPr>
        <w:t>8</w:t>
      </w:r>
      <w:r>
        <w:rPr>
          <w:rFonts w:hint="eastAsia" w:ascii="仿宋" w:hAnsi="仿宋" w:eastAsia="仿宋"/>
          <w:color w:val="auto"/>
          <w:sz w:val="24"/>
        </w:rPr>
        <w:t>.本项目为电子招投标，供应商需要使用CA加密设备，有意向参与新疆区域电子开评标的供应商，请访问新疆数字证书认证中心官方网站（https://www.xjca.com.cn/）或下载 新疆政务通APP自行进行申领。如需咨询，请联系新疆CA服务热线0991-2819290。</w:t>
      </w:r>
      <w:bookmarkEnd w:id="54"/>
    </w:p>
    <w:p>
      <w:pPr>
        <w:spacing w:line="360" w:lineRule="auto"/>
        <w:ind w:firstLine="480" w:firstLineChars="200"/>
        <w:outlineLvl w:val="1"/>
        <w:rPr>
          <w:rFonts w:hint="eastAsia" w:ascii="仿宋" w:hAnsi="仿宋" w:eastAsia="仿宋"/>
          <w:color w:val="auto"/>
          <w:sz w:val="24"/>
        </w:rPr>
      </w:pPr>
      <w:bookmarkStart w:id="55" w:name="_Toc31818"/>
      <w:r>
        <w:rPr>
          <w:rFonts w:hint="eastAsia" w:ascii="仿宋" w:hAnsi="仿宋" w:eastAsia="仿宋"/>
          <w:color w:val="auto"/>
          <w:sz w:val="24"/>
          <w:lang w:val="en-US" w:eastAsia="zh-CN"/>
        </w:rPr>
        <w:t>9</w:t>
      </w:r>
      <w:r>
        <w:rPr>
          <w:rFonts w:hint="eastAsia" w:ascii="仿宋" w:hAnsi="仿宋" w:eastAsia="仿宋"/>
          <w:color w:val="auto"/>
          <w:sz w:val="24"/>
        </w:rPr>
        <w:t>.供应商将政采云电子交易客户端下载、安装完成后，可通过账号密码或CA登录客户端进行投标文件制作。在使用政采云投标客户端时，建议使用WIN7及以上操作系统。客户端请至新疆政府采购（http://www.ccgp-xinjiang.gov.cn/）下载专区查看，如有问题可拨打政采云客户服务热线95763进行咨询。</w:t>
      </w:r>
      <w:bookmarkEnd w:id="55"/>
    </w:p>
    <w:p>
      <w:pPr>
        <w:spacing w:line="360" w:lineRule="auto"/>
        <w:ind w:firstLine="482" w:firstLineChars="200"/>
        <w:outlineLvl w:val="1"/>
        <w:rPr>
          <w:rFonts w:ascii="仿宋" w:hAnsi="仿宋" w:eastAsia="仿宋"/>
          <w:b/>
          <w:bCs/>
          <w:color w:val="auto"/>
          <w:sz w:val="24"/>
        </w:rPr>
      </w:pPr>
      <w:bookmarkStart w:id="56" w:name="_Toc973"/>
      <w:r>
        <w:rPr>
          <w:rFonts w:hint="eastAsia" w:ascii="仿宋" w:hAnsi="仿宋" w:eastAsia="仿宋"/>
          <w:b/>
          <w:bCs/>
          <w:color w:val="auto"/>
          <w:sz w:val="24"/>
        </w:rPr>
        <w:t>七、对本次采购提出询问，请按以下方式联系</w:t>
      </w:r>
      <w:bookmarkEnd w:id="49"/>
      <w:bookmarkEnd w:id="50"/>
      <w:bookmarkEnd w:id="51"/>
      <w:bookmarkEnd w:id="56"/>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1.采购人信息</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名称：吐鲁番市自然资源局　</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地址：吐鲁番市高昌区东环路1969号</w:t>
      </w:r>
    </w:p>
    <w:p>
      <w:pPr>
        <w:spacing w:line="360" w:lineRule="auto"/>
        <w:ind w:firstLine="480" w:firstLineChars="200"/>
        <w:rPr>
          <w:rFonts w:ascii="仿宋" w:hAnsi="仿宋" w:eastAsia="仿宋"/>
          <w:color w:val="auto"/>
          <w:sz w:val="24"/>
        </w:rPr>
      </w:pPr>
      <w:bookmarkStart w:id="57" w:name="_Toc28359086"/>
      <w:bookmarkStart w:id="58" w:name="_Toc28359009"/>
      <w:r>
        <w:rPr>
          <w:rFonts w:hint="eastAsia" w:ascii="仿宋" w:hAnsi="仿宋" w:eastAsia="仿宋"/>
          <w:color w:val="auto"/>
          <w:sz w:val="24"/>
        </w:rPr>
        <w:t xml:space="preserve">联系人：布玛丽娅     联系电话：0995-8621063 </w:t>
      </w:r>
    </w:p>
    <w:p>
      <w:pPr>
        <w:spacing w:line="360" w:lineRule="auto"/>
        <w:ind w:firstLine="480" w:firstLineChars="200"/>
        <w:rPr>
          <w:rFonts w:ascii="仿宋" w:hAnsi="仿宋" w:eastAsia="仿宋"/>
          <w:color w:val="auto"/>
          <w:sz w:val="24"/>
        </w:rPr>
      </w:pPr>
      <w:bookmarkStart w:id="59" w:name="_Toc472"/>
      <w:r>
        <w:rPr>
          <w:rFonts w:hint="eastAsia" w:ascii="仿宋" w:hAnsi="仿宋" w:eastAsia="仿宋"/>
          <w:color w:val="auto"/>
          <w:sz w:val="24"/>
        </w:rPr>
        <w:t>2.采购代理机构信息</w:t>
      </w:r>
      <w:bookmarkEnd w:id="57"/>
      <w:bookmarkEnd w:id="58"/>
      <w:bookmarkEnd w:id="59"/>
    </w:p>
    <w:p>
      <w:pPr>
        <w:spacing w:line="360" w:lineRule="auto"/>
        <w:ind w:firstLine="480" w:firstLineChars="200"/>
        <w:outlineLvl w:val="0"/>
        <w:rPr>
          <w:rFonts w:ascii="仿宋" w:hAnsi="仿宋" w:eastAsia="仿宋"/>
          <w:color w:val="auto"/>
          <w:sz w:val="24"/>
        </w:rPr>
      </w:pPr>
      <w:bookmarkStart w:id="60" w:name="_Toc23730"/>
      <w:bookmarkStart w:id="61" w:name="_Toc17385"/>
      <w:bookmarkStart w:id="62" w:name="_Toc2316"/>
      <w:bookmarkStart w:id="63" w:name="_Toc15470"/>
      <w:r>
        <w:rPr>
          <w:rFonts w:hint="eastAsia" w:ascii="仿宋" w:hAnsi="仿宋" w:eastAsia="仿宋"/>
          <w:color w:val="auto"/>
          <w:sz w:val="24"/>
        </w:rPr>
        <w:t>名称：新疆国源土地矿产资源交易中心</w:t>
      </w:r>
      <w:bookmarkEnd w:id="60"/>
      <w:bookmarkEnd w:id="61"/>
      <w:r>
        <w:rPr>
          <w:rFonts w:hint="eastAsia" w:ascii="仿宋" w:hAnsi="仿宋" w:eastAsia="仿宋"/>
          <w:color w:val="auto"/>
          <w:sz w:val="24"/>
          <w:lang w:eastAsia="zh-CN"/>
        </w:rPr>
        <w:t>（</w:t>
      </w:r>
      <w:r>
        <w:rPr>
          <w:rFonts w:hint="eastAsia" w:ascii="仿宋" w:hAnsi="仿宋" w:eastAsia="仿宋"/>
          <w:color w:val="auto"/>
          <w:sz w:val="24"/>
          <w:lang w:val="en-US" w:eastAsia="zh-CN"/>
        </w:rPr>
        <w:t>有限公司）</w:t>
      </w:r>
      <w:bookmarkEnd w:id="62"/>
      <w:bookmarkEnd w:id="63"/>
      <w:r>
        <w:rPr>
          <w:rFonts w:hint="eastAsia" w:ascii="仿宋" w:hAnsi="仿宋" w:eastAsia="仿宋"/>
          <w:color w:val="auto"/>
          <w:sz w:val="24"/>
        </w:rPr>
        <w:t>　</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地址：乌鲁木齐市新市区阜新街1号2号楼3楼　</w:t>
      </w:r>
    </w:p>
    <w:p>
      <w:pPr>
        <w:spacing w:line="360" w:lineRule="auto"/>
        <w:ind w:firstLine="480" w:firstLineChars="200"/>
        <w:rPr>
          <w:rFonts w:hint="eastAsia" w:ascii="仿宋" w:hAnsi="仿宋" w:eastAsia="仿宋"/>
          <w:color w:val="auto"/>
          <w:sz w:val="24"/>
          <w:lang w:val="en-US" w:eastAsia="zh-CN"/>
        </w:rPr>
      </w:pPr>
      <w:r>
        <w:rPr>
          <w:rFonts w:hint="eastAsia" w:ascii="仿宋" w:hAnsi="仿宋" w:eastAsia="仿宋"/>
          <w:color w:val="auto"/>
          <w:sz w:val="24"/>
        </w:rPr>
        <w:t>联系方式：</w:t>
      </w:r>
      <w:bookmarkStart w:id="64" w:name="_Toc28359087"/>
      <w:bookmarkStart w:id="65" w:name="_Toc28359010"/>
      <w:r>
        <w:rPr>
          <w:rFonts w:hint="eastAsia" w:ascii="仿宋" w:hAnsi="仿宋" w:eastAsia="仿宋"/>
          <w:color w:val="auto"/>
          <w:sz w:val="24"/>
        </w:rPr>
        <w:t xml:space="preserve"> 0991-4846078 </w:t>
      </w:r>
      <w:r>
        <w:rPr>
          <w:rFonts w:hint="eastAsia" w:ascii="仿宋" w:hAnsi="仿宋" w:eastAsia="仿宋"/>
          <w:color w:val="auto"/>
          <w:sz w:val="24"/>
          <w:lang w:val="en-US" w:eastAsia="zh-CN"/>
        </w:rPr>
        <w:t xml:space="preserve"> </w:t>
      </w:r>
    </w:p>
    <w:p>
      <w:pPr>
        <w:spacing w:line="360" w:lineRule="auto"/>
        <w:ind w:firstLine="480" w:firstLineChars="200"/>
        <w:rPr>
          <w:rFonts w:hint="eastAsia" w:ascii="仿宋" w:hAnsi="仿宋" w:eastAsia="仿宋"/>
          <w:sz w:val="24"/>
          <w:lang w:val="en-US" w:eastAsia="zh-CN"/>
        </w:rPr>
      </w:pPr>
      <w:r>
        <w:rPr>
          <w:rFonts w:hint="eastAsia" w:ascii="仿宋" w:hAnsi="仿宋" w:eastAsia="仿宋"/>
          <w:color w:val="auto"/>
          <w:sz w:val="24"/>
          <w:lang w:val="en-US" w:eastAsia="zh-CN"/>
        </w:rPr>
        <w:t>联系人：孙丽</w:t>
      </w:r>
      <w:r>
        <w:rPr>
          <w:rFonts w:hint="eastAsia" w:ascii="仿宋" w:hAnsi="仿宋" w:eastAsia="仿宋"/>
          <w:color w:val="auto"/>
          <w:sz w:val="24"/>
        </w:rPr>
        <w:t xml:space="preserve"> 15160883519</w:t>
      </w:r>
      <w:r>
        <w:rPr>
          <w:rFonts w:hint="eastAsia" w:ascii="仿宋" w:hAnsi="仿宋" w:eastAsia="仿宋"/>
          <w:color w:val="auto"/>
          <w:sz w:val="24"/>
          <w:lang w:val="en-US" w:eastAsia="zh-CN"/>
        </w:rPr>
        <w:t xml:space="preserve">  </w:t>
      </w:r>
      <w:r>
        <w:rPr>
          <w:rFonts w:hint="eastAsia" w:ascii="仿宋" w:hAnsi="仿宋" w:eastAsia="仿宋" w:cs="Times New Roman"/>
          <w:color w:val="auto"/>
          <w:kern w:val="2"/>
          <w:sz w:val="24"/>
          <w:szCs w:val="24"/>
          <w:highlight w:val="none"/>
          <w:lang w:val="en-US" w:eastAsia="zh-CN" w:bidi="ar-SA"/>
        </w:rPr>
        <w:t>王选问 13579890451</w:t>
      </w:r>
      <w:bookmarkEnd w:id="64"/>
      <w:bookmarkEnd w:id="65"/>
    </w:p>
    <w:p>
      <w:pPr>
        <w:rPr>
          <w:rFonts w:ascii="仿宋" w:hAnsi="仿宋" w:eastAsia="仿宋" w:cs="仿宋"/>
        </w:rPr>
      </w:pPr>
    </w:p>
    <w:p>
      <w:pPr>
        <w:pStyle w:val="7"/>
        <w:tabs>
          <w:tab w:val="left" w:pos="0"/>
        </w:tabs>
        <w:spacing w:before="0" w:after="0" w:line="240" w:lineRule="atLeast"/>
        <w:rPr>
          <w:rFonts w:ascii="仿宋" w:hAnsi="仿宋" w:eastAsia="仿宋" w:cs="仿宋"/>
          <w:b w:val="0"/>
          <w:szCs w:val="32"/>
        </w:rPr>
      </w:pPr>
      <w:r>
        <w:rPr>
          <w:rFonts w:hint="eastAsia" w:ascii="仿宋" w:hAnsi="仿宋" w:eastAsia="仿宋" w:cs="仿宋"/>
          <w:sz w:val="24"/>
        </w:rPr>
        <w:br w:type="page"/>
      </w:r>
      <w:bookmarkStart w:id="66" w:name="_Toc14981"/>
      <w:bookmarkStart w:id="67" w:name="_Toc507399903"/>
      <w:bookmarkStart w:id="68" w:name="_Toc6160"/>
      <w:bookmarkStart w:id="69" w:name="_Toc216582823"/>
      <w:bookmarkStart w:id="70" w:name="_Toc518923125"/>
      <w:bookmarkStart w:id="71" w:name="_Toc28647"/>
      <w:bookmarkStart w:id="72" w:name="_Toc1019"/>
      <w:r>
        <w:rPr>
          <w:rFonts w:hint="eastAsia" w:ascii="仿宋" w:hAnsi="仿宋" w:eastAsia="仿宋" w:cs="仿宋"/>
        </w:rPr>
        <w:t>第</w:t>
      </w:r>
      <w:r>
        <w:rPr>
          <w:rFonts w:hint="eastAsia" w:ascii="仿宋" w:hAnsi="仿宋" w:eastAsia="仿宋" w:cs="仿宋"/>
          <w:lang w:val="en-US" w:eastAsia="zh-CN"/>
        </w:rPr>
        <w:t>2</w:t>
      </w:r>
      <w:r>
        <w:rPr>
          <w:rFonts w:hint="eastAsia" w:ascii="仿宋" w:hAnsi="仿宋" w:eastAsia="仿宋" w:cs="仿宋"/>
        </w:rPr>
        <w:t>章</w:t>
      </w:r>
      <w:r>
        <w:rPr>
          <w:rFonts w:hint="eastAsia" w:ascii="仿宋" w:hAnsi="仿宋" w:eastAsia="仿宋" w:cs="仿宋"/>
          <w:sz w:val="24"/>
        </w:rPr>
        <w:t xml:space="preserve">  </w:t>
      </w:r>
      <w:r>
        <w:rPr>
          <w:rFonts w:hint="eastAsia" w:ascii="仿宋" w:hAnsi="仿宋" w:eastAsia="仿宋" w:cs="仿宋"/>
        </w:rPr>
        <w:t>供应商须知资料表</w:t>
      </w:r>
      <w:bookmarkEnd w:id="66"/>
      <w:bookmarkEnd w:id="67"/>
      <w:bookmarkEnd w:id="68"/>
      <w:bookmarkEnd w:id="69"/>
      <w:bookmarkEnd w:id="70"/>
      <w:bookmarkEnd w:id="71"/>
      <w:bookmarkEnd w:id="72"/>
    </w:p>
    <w:bookmarkEnd w:id="24"/>
    <w:p>
      <w:pPr>
        <w:spacing w:line="240" w:lineRule="atLeast"/>
        <w:ind w:left="1080" w:leftChars="257" w:hanging="540"/>
        <w:rPr>
          <w:rFonts w:ascii="仿宋" w:hAnsi="仿宋" w:eastAsia="仿宋" w:cs="仿宋"/>
          <w:sz w:val="24"/>
        </w:rPr>
      </w:pPr>
    </w:p>
    <w:p>
      <w:pPr>
        <w:spacing w:line="240" w:lineRule="atLeast"/>
        <w:ind w:firstLine="360" w:firstLineChars="150"/>
        <w:rPr>
          <w:rFonts w:ascii="仿宋" w:hAnsi="仿宋" w:eastAsia="仿宋" w:cs="仿宋"/>
          <w:sz w:val="24"/>
        </w:rPr>
      </w:pPr>
      <w:r>
        <w:rPr>
          <w:rFonts w:hint="eastAsia" w:ascii="仿宋" w:hAnsi="仿宋" w:eastAsia="仿宋" w:cs="仿宋"/>
          <w:sz w:val="24"/>
        </w:rPr>
        <w:t xml:space="preserve"> 本表是本招标项目的具体资料，是对供应商须知的具体补充和修改，如有矛盾，应</w:t>
      </w:r>
      <w:r>
        <w:rPr>
          <w:rFonts w:hint="eastAsia" w:ascii="仿宋" w:hAnsi="仿宋" w:eastAsia="仿宋" w:cs="仿宋"/>
          <w:b/>
          <w:sz w:val="24"/>
        </w:rPr>
        <w:t>以本资料表为准</w:t>
      </w:r>
      <w:r>
        <w:rPr>
          <w:rFonts w:hint="eastAsia" w:ascii="仿宋" w:hAnsi="仿宋" w:eastAsia="仿宋" w:cs="仿宋"/>
          <w:sz w:val="24"/>
        </w:rPr>
        <w:t>。</w:t>
      </w:r>
    </w:p>
    <w:tbl>
      <w:tblPr>
        <w:tblStyle w:val="36"/>
        <w:tblW w:w="83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6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条款号</w:t>
            </w:r>
          </w:p>
        </w:tc>
        <w:tc>
          <w:tcPr>
            <w:tcW w:w="6840" w:type="dxa"/>
            <w:vAlign w:val="center"/>
          </w:tcPr>
          <w:p>
            <w:pPr>
              <w:spacing w:line="240" w:lineRule="atLeast"/>
              <w:ind w:left="1080" w:leftChars="257" w:hanging="540"/>
              <w:rPr>
                <w:rFonts w:ascii="仿宋" w:hAnsi="仿宋" w:eastAsia="仿宋" w:cs="仿宋"/>
                <w:b/>
                <w:sz w:val="24"/>
                <w:szCs w:val="24"/>
              </w:rPr>
            </w:pPr>
            <w:r>
              <w:rPr>
                <w:rFonts w:hint="eastAsia" w:ascii="仿宋" w:hAnsi="仿宋" w:eastAsia="仿宋" w:cs="仿宋"/>
                <w:b/>
                <w:sz w:val="24"/>
                <w:szCs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468" w:type="dxa"/>
            <w:vAlign w:val="center"/>
          </w:tcPr>
          <w:p>
            <w:pPr>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1.1</w:t>
            </w:r>
          </w:p>
        </w:tc>
        <w:tc>
          <w:tcPr>
            <w:tcW w:w="6840" w:type="dxa"/>
            <w:vAlign w:val="center"/>
          </w:tcPr>
          <w:p>
            <w:pPr>
              <w:rPr>
                <w:rFonts w:ascii="仿宋" w:hAnsi="仿宋" w:eastAsia="仿宋" w:cs="仿宋"/>
                <w:sz w:val="24"/>
                <w:szCs w:val="24"/>
              </w:rPr>
            </w:pPr>
            <w:r>
              <w:rPr>
                <w:rFonts w:hint="eastAsia" w:ascii="仿宋" w:hAnsi="仿宋" w:eastAsia="仿宋" w:cs="仿宋"/>
                <w:sz w:val="24"/>
                <w:szCs w:val="24"/>
              </w:rPr>
              <w:t>采购人：吐鲁番市自然资源局</w:t>
            </w:r>
          </w:p>
          <w:p>
            <w:pPr>
              <w:rPr>
                <w:rFonts w:ascii="仿宋" w:hAnsi="仿宋" w:eastAsia="仿宋" w:cs="仿宋"/>
                <w:sz w:val="24"/>
                <w:szCs w:val="24"/>
              </w:rPr>
            </w:pPr>
            <w:r>
              <w:rPr>
                <w:rFonts w:hint="eastAsia" w:ascii="仿宋" w:hAnsi="仿宋" w:eastAsia="仿宋" w:cs="仿宋"/>
                <w:sz w:val="24"/>
                <w:szCs w:val="24"/>
              </w:rPr>
              <w:t xml:space="preserve">联系人：布玛丽娅     </w:t>
            </w:r>
          </w:p>
          <w:p>
            <w:pPr>
              <w:rPr>
                <w:rFonts w:ascii="仿宋" w:hAnsi="仿宋" w:eastAsia="仿宋" w:cs="仿宋"/>
                <w:sz w:val="24"/>
                <w:szCs w:val="24"/>
              </w:rPr>
            </w:pPr>
            <w:r>
              <w:rPr>
                <w:rFonts w:hint="eastAsia" w:ascii="仿宋" w:hAnsi="仿宋" w:eastAsia="仿宋" w:cs="仿宋"/>
                <w:sz w:val="24"/>
                <w:szCs w:val="24"/>
              </w:rPr>
              <w:t xml:space="preserve">联系电话：0995-8621063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vAlign w:val="center"/>
          </w:tcPr>
          <w:p>
            <w:pPr>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1.2</w:t>
            </w:r>
          </w:p>
        </w:tc>
        <w:tc>
          <w:tcPr>
            <w:tcW w:w="6840" w:type="dxa"/>
            <w:vAlign w:val="center"/>
          </w:tcPr>
          <w:p>
            <w:pPr>
              <w:rPr>
                <w:rFonts w:ascii="仿宋" w:hAnsi="仿宋" w:eastAsia="仿宋" w:cs="仿宋"/>
                <w:sz w:val="24"/>
                <w:szCs w:val="24"/>
              </w:rPr>
            </w:pPr>
            <w:r>
              <w:rPr>
                <w:rFonts w:hint="eastAsia" w:ascii="仿宋" w:hAnsi="仿宋" w:eastAsia="仿宋" w:cs="仿宋"/>
                <w:sz w:val="24"/>
                <w:szCs w:val="24"/>
              </w:rPr>
              <w:t>采购代理机构： 新疆国源土地矿产资源交易中心（有限公司）</w:t>
            </w:r>
          </w:p>
          <w:p>
            <w:pPr>
              <w:rPr>
                <w:rFonts w:ascii="仿宋" w:hAnsi="仿宋" w:eastAsia="仿宋" w:cs="仿宋"/>
                <w:sz w:val="24"/>
                <w:szCs w:val="24"/>
              </w:rPr>
            </w:pPr>
            <w:r>
              <w:rPr>
                <w:rFonts w:hint="eastAsia" w:ascii="仿宋" w:hAnsi="仿宋" w:eastAsia="仿宋" w:cs="仿宋"/>
                <w:sz w:val="24"/>
                <w:szCs w:val="24"/>
              </w:rPr>
              <w:t>地址：乌鲁木齐市新市区阜新街1号2号楼3楼</w:t>
            </w:r>
          </w:p>
          <w:p>
            <w:pPr>
              <w:rPr>
                <w:rFonts w:ascii="仿宋" w:hAnsi="仿宋" w:eastAsia="仿宋" w:cs="仿宋"/>
                <w:sz w:val="24"/>
                <w:szCs w:val="24"/>
              </w:rPr>
            </w:pPr>
            <w:r>
              <w:rPr>
                <w:rFonts w:hint="eastAsia" w:ascii="仿宋" w:hAnsi="仿宋" w:eastAsia="仿宋" w:cs="仿宋"/>
                <w:sz w:val="24"/>
                <w:szCs w:val="24"/>
              </w:rPr>
              <w:t xml:space="preserve">业务联系人：孙  丽   0991-4846078  15160883519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240" w:lineRule="atLeast"/>
              <w:jc w:val="center"/>
              <w:rPr>
                <w:rFonts w:ascii="仿宋" w:hAnsi="仿宋" w:eastAsia="仿宋" w:cs="仿宋"/>
                <w:sz w:val="24"/>
                <w:szCs w:val="24"/>
              </w:rPr>
            </w:pPr>
            <w:r>
              <w:rPr>
                <w:rFonts w:hint="eastAsia" w:ascii="仿宋" w:hAnsi="仿宋" w:eastAsia="仿宋" w:cs="仿宋"/>
                <w:sz w:val="24"/>
                <w:szCs w:val="24"/>
              </w:rPr>
              <w:t>1.3.4</w:t>
            </w:r>
          </w:p>
        </w:tc>
        <w:tc>
          <w:tcPr>
            <w:tcW w:w="6840" w:type="dxa"/>
            <w:vAlign w:val="center"/>
          </w:tcPr>
          <w:p>
            <w:pPr>
              <w:rPr>
                <w:rFonts w:hint="eastAsia" w:ascii="仿宋" w:hAnsi="仿宋" w:eastAsia="仿宋" w:cs="仿宋"/>
                <w:sz w:val="24"/>
                <w:szCs w:val="24"/>
              </w:rPr>
            </w:pPr>
            <w:r>
              <w:rPr>
                <w:rFonts w:hint="eastAsia" w:ascii="仿宋" w:hAnsi="仿宋" w:eastAsia="仿宋" w:cs="仿宋"/>
                <w:sz w:val="24"/>
                <w:szCs w:val="24"/>
              </w:rPr>
              <w:t>申请人的资格要求：</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1.满足《中华人民共和国政府采购法》第二十二条规定。</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2.落实政府采购政策需满足的资格要求：</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(1)财政部、国家发展改革委《关于印发《节能产品政府采购实施意见》的通知》（财库[2004]185号）；</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(2)《财政部、环保总局关于环境标志产品政府采购实施的意见》（财库[2006]90号）；</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(3)财政部、工业和信息化部《关于印发《政府采购促进中小企业发展管理办法》的通知》（财库[2020]46号）；</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(4)财政部、民政部、中国残疾人联合会《关于促进残疾人就业政府采购政策的通知》（财库[2017]141号）；</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(5)财政部、司法部《关于政府采购支持监狱企业发展有关问题的通知》（财库[2014]68号）。</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3.合格投标人的其他资格要求：</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国家企业公示信息系统（www.gsxt.gov.cn）查询诚信记录如有严重行政处罚信息、重大严重失信记录不得参加本项目（查询结果以代理公司开标现场核查为准）； </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(2)有效的营业执照正本或副本；</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(3)提供依法缴纳社会保障资金的良好记录；（需提供近期3个月社保部门出具的投标单位的缴纳社保证明)；</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(4)提供税务部门出具近3个月依法缴纳税收的完税证明原件（依法免缴的，应提供依法免缴的相关证明文件）；</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(5)提供针对本次项目的反商业贿赂承诺书；</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(6)参加政府采购活动前三年内，在经营活动中没有重大违法记录承诺书；</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(7)联合体协议书（如有）。</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4.本项目的特定资格要求：</w:t>
            </w:r>
          </w:p>
          <w:p>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投标单位投标标项一和二提供地质灾害治理工程勘查乙级（含乙级）以上资质；标项三地质灾害治理工程设计和施工乙级（含乙级）以上资质;标项四地质灾害防治工程监理乙级（含乙级）以上资质；</w:t>
            </w:r>
          </w:p>
          <w:p>
            <w:pPr>
              <w:rPr>
                <w:rFonts w:ascii="仿宋" w:hAnsi="仿宋" w:eastAsia="仿宋" w:cs="仿宋"/>
                <w:sz w:val="24"/>
                <w:szCs w:val="24"/>
              </w:rPr>
            </w:pPr>
            <w:r>
              <w:rPr>
                <w:rFonts w:hint="eastAsia" w:ascii="仿宋" w:hAnsi="仿宋" w:eastAsia="仿宋" w:cs="仿宋"/>
                <w:sz w:val="24"/>
                <w:szCs w:val="24"/>
                <w:lang w:val="en-US" w:eastAsia="zh-CN"/>
              </w:rPr>
              <w:t>5.投标保证金缴纳凭证。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vAlign w:val="center"/>
          </w:tcPr>
          <w:p>
            <w:pPr>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1.3.5</w:t>
            </w:r>
          </w:p>
        </w:tc>
        <w:tc>
          <w:tcPr>
            <w:tcW w:w="6840" w:type="dxa"/>
            <w:vAlign w:val="center"/>
          </w:tcPr>
          <w:p>
            <w:pPr>
              <w:rPr>
                <w:rFonts w:hint="default"/>
                <w:sz w:val="24"/>
                <w:szCs w:val="24"/>
                <w:lang w:val="en-US" w:eastAsia="zh-CN"/>
              </w:rPr>
            </w:pPr>
            <w:r>
              <w:rPr>
                <w:rFonts w:hint="eastAsia" w:ascii="仿宋" w:hAnsi="仿宋" w:eastAsia="仿宋" w:cs="仿宋"/>
                <w:sz w:val="24"/>
                <w:szCs w:val="24"/>
              </w:rPr>
              <w:t>是否为专门面向中小企业采购：</w:t>
            </w:r>
            <w:r>
              <w:rPr>
                <w:rFonts w:hint="eastAsia" w:ascii="仿宋" w:hAnsi="仿宋" w:eastAsia="仿宋" w:cs="仿宋"/>
                <w:sz w:val="24"/>
                <w:szCs w:val="24"/>
                <w:u w:val="single"/>
              </w:rPr>
              <w:t>标项一、二、</w:t>
            </w:r>
            <w:r>
              <w:rPr>
                <w:rFonts w:hint="eastAsia" w:ascii="仿宋" w:hAnsi="仿宋" w:eastAsia="仿宋" w:cs="仿宋"/>
                <w:sz w:val="24"/>
                <w:szCs w:val="24"/>
                <w:u w:val="single"/>
                <w:lang w:val="en-US" w:eastAsia="zh-CN"/>
              </w:rPr>
              <w:t>三专门面向中小企业采购，标项四不专门面向中小企业采购。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8" w:hRule="atLeast"/>
        </w:trPr>
        <w:tc>
          <w:tcPr>
            <w:tcW w:w="1468" w:type="dxa"/>
            <w:vAlign w:val="center"/>
          </w:tcPr>
          <w:p>
            <w:pPr>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1.4</w:t>
            </w:r>
          </w:p>
        </w:tc>
        <w:tc>
          <w:tcPr>
            <w:tcW w:w="6840" w:type="dxa"/>
            <w:vAlign w:val="center"/>
          </w:tcPr>
          <w:p>
            <w:pPr>
              <w:rPr>
                <w:rFonts w:ascii="仿宋" w:hAnsi="仿宋" w:eastAsia="仿宋" w:cs="仿宋"/>
                <w:sz w:val="24"/>
                <w:szCs w:val="24"/>
              </w:rPr>
            </w:pPr>
            <w:r>
              <w:rPr>
                <w:rFonts w:hint="eastAsia" w:ascii="仿宋" w:hAnsi="仿宋" w:eastAsia="仿宋" w:cs="仿宋"/>
                <w:sz w:val="24"/>
                <w:szCs w:val="24"/>
              </w:rPr>
              <w:t>是否允许联合体投标：</w:t>
            </w:r>
          </w:p>
          <w:p>
            <w:pPr>
              <w:rPr>
                <w:rFonts w:ascii="仿宋" w:hAnsi="仿宋" w:eastAsia="仿宋" w:cs="仿宋"/>
                <w:sz w:val="24"/>
                <w:szCs w:val="24"/>
              </w:rPr>
            </w:pPr>
            <w:r>
              <w:rPr>
                <w:rFonts w:hint="eastAsia" w:ascii="仿宋" w:hAnsi="仿宋" w:eastAsia="仿宋" w:cs="仿宋"/>
                <w:sz w:val="24"/>
                <w:szCs w:val="24"/>
              </w:rPr>
              <w:t>标项一、二、四</w:t>
            </w:r>
            <w:r>
              <w:rPr>
                <w:rFonts w:hint="eastAsia" w:ascii="仿宋" w:hAnsi="仿宋" w:eastAsia="仿宋" w:cs="仿宋"/>
                <w:sz w:val="24"/>
                <w:szCs w:val="24"/>
                <w:u w:val="single"/>
              </w:rPr>
              <w:t>否</w:t>
            </w:r>
            <w:r>
              <w:rPr>
                <w:rFonts w:hint="eastAsia" w:ascii="仿宋" w:hAnsi="仿宋" w:eastAsia="仿宋" w:cs="仿宋"/>
                <w:sz w:val="24"/>
                <w:szCs w:val="24"/>
              </w:rPr>
              <w:t>联合体投标，标项三</w:t>
            </w:r>
            <w:r>
              <w:rPr>
                <w:rFonts w:hint="eastAsia" w:ascii="仿宋" w:hAnsi="仿宋" w:eastAsia="仿宋" w:cs="仿宋"/>
                <w:sz w:val="24"/>
                <w:szCs w:val="24"/>
                <w:u w:val="single"/>
              </w:rPr>
              <w:t>是</w:t>
            </w:r>
            <w:r>
              <w:rPr>
                <w:rFonts w:hint="eastAsia" w:ascii="仿宋" w:hAnsi="仿宋" w:eastAsia="仿宋" w:cs="仿宋"/>
                <w:sz w:val="24"/>
                <w:szCs w:val="24"/>
              </w:rPr>
              <w:t>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vAlign w:val="center"/>
          </w:tcPr>
          <w:p>
            <w:pPr>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1.4.8</w:t>
            </w:r>
          </w:p>
        </w:tc>
        <w:tc>
          <w:tcPr>
            <w:tcW w:w="6840" w:type="dxa"/>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联合体的其他资格要求：</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1.联合体投标的，应签订联合体投标协议书，确定联合牵头人并确定各方的权利和义务；项目牵头供应商为专业地质类单位；</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联合体需提供联合投标协议，明确各方分工。联合体各方均应当具备承担招标项目的相应能力，均应当具备规定的相应资格条件。联合体中标的，联合体各方应当共同与招标人签订合同，就中标项目向招标人承担连带责任。</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3.联合体成员签订联合体协议书后，不得再以自己的名义单独投标，也不得组成新的联合体或参加其他联合体在本项目中投标。</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4.组成联合体或者接受分包合同的中小企业与联合体内其他企业、分包企业之间不得存在直接控股、管理关系。</w:t>
            </w:r>
          </w:p>
          <w:p>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5.以联合体形式参加政府采购活动，联合体各方均为中小企业的，联合体视同中小企业。其中联合体各方均为小微企业的，联合体视同小微企业。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vAlign w:val="center"/>
          </w:tcPr>
          <w:p>
            <w:pPr>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2.2</w:t>
            </w:r>
          </w:p>
        </w:tc>
        <w:tc>
          <w:tcPr>
            <w:tcW w:w="6840" w:type="dxa"/>
            <w:vAlign w:val="center"/>
          </w:tcPr>
          <w:p>
            <w:pPr>
              <w:rPr>
                <w:rFonts w:ascii="仿宋" w:hAnsi="仿宋" w:eastAsia="仿宋" w:cs="仿宋"/>
                <w:sz w:val="24"/>
                <w:szCs w:val="24"/>
              </w:rPr>
            </w:pPr>
            <w:r>
              <w:rPr>
                <w:rFonts w:hint="eastAsia" w:ascii="仿宋" w:hAnsi="仿宋" w:eastAsia="仿宋" w:cs="仿宋"/>
                <w:sz w:val="24"/>
                <w:szCs w:val="24"/>
              </w:rPr>
              <w:t>项目总预算金额人民币：580万元；</w:t>
            </w:r>
          </w:p>
          <w:p>
            <w:pPr>
              <w:rPr>
                <w:rFonts w:ascii="仿宋" w:hAnsi="仿宋" w:eastAsia="仿宋" w:cs="仿宋"/>
                <w:sz w:val="24"/>
                <w:szCs w:val="24"/>
              </w:rPr>
            </w:pPr>
            <w:r>
              <w:rPr>
                <w:rFonts w:hint="eastAsia" w:ascii="仿宋" w:hAnsi="仿宋" w:eastAsia="仿宋" w:cs="仿宋"/>
                <w:sz w:val="24"/>
                <w:szCs w:val="24"/>
              </w:rPr>
              <w:t>标项一：预算金额人民币：120万元；最高限价人民币：120万元</w:t>
            </w:r>
          </w:p>
          <w:p>
            <w:pPr>
              <w:rPr>
                <w:rFonts w:ascii="仿宋" w:hAnsi="仿宋" w:eastAsia="仿宋" w:cs="仿宋"/>
                <w:sz w:val="24"/>
                <w:szCs w:val="24"/>
              </w:rPr>
            </w:pPr>
            <w:r>
              <w:rPr>
                <w:rFonts w:hint="eastAsia" w:ascii="仿宋" w:hAnsi="仿宋" w:eastAsia="仿宋" w:cs="仿宋"/>
                <w:sz w:val="24"/>
                <w:szCs w:val="24"/>
              </w:rPr>
              <w:t>标项二：预算金额人民币：120万元；最高限价人民币：120万元</w:t>
            </w:r>
          </w:p>
          <w:p>
            <w:pPr>
              <w:rPr>
                <w:rFonts w:ascii="仿宋" w:hAnsi="仿宋" w:eastAsia="仿宋" w:cs="仿宋"/>
                <w:sz w:val="24"/>
                <w:szCs w:val="24"/>
              </w:rPr>
            </w:pPr>
            <w:r>
              <w:rPr>
                <w:rFonts w:hint="eastAsia" w:ascii="仿宋" w:hAnsi="仿宋" w:eastAsia="仿宋" w:cs="仿宋"/>
                <w:sz w:val="24"/>
                <w:szCs w:val="24"/>
              </w:rPr>
              <w:t>标项三：预算金额人民币：328.3万元；最高限价人民币：328.3万元</w:t>
            </w:r>
          </w:p>
          <w:p>
            <w:pPr>
              <w:rPr>
                <w:rFonts w:ascii="仿宋" w:hAnsi="仿宋" w:eastAsia="仿宋" w:cs="仿宋"/>
                <w:sz w:val="24"/>
                <w:szCs w:val="24"/>
              </w:rPr>
            </w:pPr>
            <w:r>
              <w:rPr>
                <w:rFonts w:hint="eastAsia" w:ascii="仿宋" w:hAnsi="仿宋" w:eastAsia="仿宋" w:cs="仿宋"/>
                <w:sz w:val="24"/>
                <w:szCs w:val="24"/>
              </w:rPr>
              <w:t>标项四：预算金额人民币：11.7万元；最高限价人民币：11.7万元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12</w:t>
            </w:r>
          </w:p>
        </w:tc>
        <w:tc>
          <w:tcPr>
            <w:tcW w:w="6840" w:type="dxa"/>
            <w:vAlign w:val="center"/>
          </w:tcPr>
          <w:p>
            <w:pPr>
              <w:pStyle w:val="11"/>
              <w:ind w:firstLine="0"/>
              <w:rPr>
                <w:rFonts w:ascii="仿宋" w:hAnsi="仿宋" w:eastAsia="仿宋" w:cs="仿宋"/>
                <w:kern w:val="2"/>
                <w:sz w:val="24"/>
                <w:szCs w:val="24"/>
              </w:rPr>
            </w:pPr>
            <w:r>
              <w:rPr>
                <w:rFonts w:hint="eastAsia" w:ascii="仿宋" w:hAnsi="仿宋" w:eastAsia="仿宋" w:cs="仿宋"/>
                <w:kern w:val="2"/>
                <w:sz w:val="24"/>
                <w:szCs w:val="24"/>
              </w:rPr>
              <w:t>投标保证金形式：☑对公转账☑保函  ☑保单☑电汇</w:t>
            </w:r>
          </w:p>
          <w:p>
            <w:pPr>
              <w:rPr>
                <w:rFonts w:ascii="仿宋" w:hAnsi="仿宋" w:eastAsia="仿宋" w:cs="仿宋"/>
                <w:sz w:val="24"/>
                <w:szCs w:val="24"/>
              </w:rPr>
            </w:pPr>
            <w:r>
              <w:rPr>
                <w:rFonts w:hint="eastAsia" w:ascii="仿宋" w:hAnsi="仿宋" w:eastAsia="仿宋" w:cs="仿宋"/>
                <w:sz w:val="24"/>
                <w:szCs w:val="24"/>
              </w:rPr>
              <w:t>保证金数额：标项一人民币：2.0万元；标项二人民币：2.0万元；标项三人民币：6.0万元；标项四人民币：0.2万元。</w:t>
            </w:r>
          </w:p>
          <w:p>
            <w:pPr>
              <w:rPr>
                <w:rFonts w:ascii="仿宋" w:hAnsi="仿宋" w:eastAsia="仿宋" w:cs="仿宋"/>
                <w:sz w:val="24"/>
                <w:szCs w:val="24"/>
              </w:rPr>
            </w:pPr>
            <w:r>
              <w:rPr>
                <w:rFonts w:hint="eastAsia" w:ascii="仿宋" w:hAnsi="仿宋" w:eastAsia="仿宋" w:cs="仿宋"/>
                <w:sz w:val="24"/>
                <w:szCs w:val="24"/>
              </w:rPr>
              <w:t xml:space="preserve">投标保证金收款人：新疆国源土地矿产资源交易中心（有限公司）            </w:t>
            </w:r>
          </w:p>
          <w:p>
            <w:pPr>
              <w:spacing w:line="240" w:lineRule="atLeast"/>
              <w:rPr>
                <w:rFonts w:ascii="仿宋" w:hAnsi="仿宋" w:eastAsia="仿宋" w:cs="仿宋"/>
                <w:sz w:val="24"/>
                <w:szCs w:val="24"/>
              </w:rPr>
            </w:pPr>
            <w:r>
              <w:rPr>
                <w:rFonts w:hint="eastAsia" w:ascii="仿宋" w:hAnsi="仿宋" w:eastAsia="仿宋" w:cs="仿宋"/>
                <w:sz w:val="24"/>
                <w:szCs w:val="24"/>
              </w:rPr>
              <w:t>开 户 行：兴业银行股份有限公司乌鲁木齐友好路支行</w:t>
            </w:r>
          </w:p>
          <w:p>
            <w:pPr>
              <w:spacing w:line="240" w:lineRule="atLeast"/>
              <w:rPr>
                <w:rFonts w:ascii="仿宋" w:hAnsi="仿宋" w:eastAsia="仿宋" w:cs="仿宋"/>
                <w:sz w:val="24"/>
                <w:szCs w:val="24"/>
              </w:rPr>
            </w:pPr>
            <w:r>
              <w:rPr>
                <w:rFonts w:hint="eastAsia" w:ascii="仿宋" w:hAnsi="仿宋" w:eastAsia="仿宋" w:cs="仿宋"/>
                <w:sz w:val="24"/>
                <w:szCs w:val="24"/>
              </w:rPr>
              <w:t xml:space="preserve">账    号：512050100100003684 </w:t>
            </w:r>
          </w:p>
          <w:p>
            <w:pPr>
              <w:spacing w:line="240" w:lineRule="atLeast"/>
              <w:rPr>
                <w:rFonts w:ascii="仿宋" w:hAnsi="仿宋" w:eastAsia="仿宋" w:cs="仿宋"/>
                <w:sz w:val="24"/>
                <w:szCs w:val="24"/>
              </w:rPr>
            </w:pPr>
            <w:r>
              <w:rPr>
                <w:rFonts w:hint="eastAsia" w:ascii="仿宋" w:hAnsi="仿宋" w:eastAsia="仿宋" w:cs="仿宋"/>
                <w:sz w:val="24"/>
                <w:szCs w:val="24"/>
              </w:rPr>
              <w:t>★保证金缴纳要求：保证金须在开标前从投标供应商的基本账户一次性汇入指定账户，不接受现金、支票及任何个人、分公司汇款。若没有在规定时间内汇入指定账户，视为自动放弃本项目投标。打款时注明投标保证金项目名称、包号。</w:t>
            </w:r>
          </w:p>
          <w:p>
            <w:pPr>
              <w:rPr>
                <w:rFonts w:ascii="仿宋" w:hAnsi="仿宋" w:eastAsia="仿宋" w:cs="仿宋"/>
                <w:sz w:val="24"/>
                <w:szCs w:val="24"/>
              </w:rPr>
            </w:pPr>
            <w:r>
              <w:rPr>
                <w:rFonts w:hint="eastAsia" w:ascii="仿宋" w:hAnsi="仿宋" w:eastAsia="仿宋" w:cs="仿宋"/>
                <w:sz w:val="24"/>
                <w:szCs w:val="24"/>
              </w:rPr>
              <w:t>投标保证金的退还：</w:t>
            </w:r>
          </w:p>
          <w:p>
            <w:pPr>
              <w:rPr>
                <w:rFonts w:ascii="仿宋" w:hAnsi="仿宋" w:eastAsia="仿宋" w:cs="仿宋"/>
                <w:sz w:val="24"/>
                <w:szCs w:val="24"/>
              </w:rPr>
            </w:pPr>
            <w:r>
              <w:rPr>
                <w:rFonts w:hint="eastAsia" w:ascii="仿宋" w:hAnsi="仿宋" w:eastAsia="仿宋" w:cs="仿宋"/>
                <w:sz w:val="24"/>
                <w:szCs w:val="24"/>
              </w:rPr>
              <w:t>中标通知书发出之日起5个工作日内退还未中标人的投标保证金，中标单位投标保证金在与采购单位签订合同后，5个工作日内，无息退还保证金。中标人退还保证金需提交保证金收据（请注明：今收到新疆国源土地矿产资源交易中心（有限公司）退还  ×××项目  投标保证金</w:t>
            </w:r>
            <w:r>
              <w:rPr>
                <w:rFonts w:hint="eastAsia" w:ascii="仿宋" w:hAnsi="仿宋" w:eastAsia="仿宋" w:cs="仿宋"/>
                <w:sz w:val="24"/>
                <w:szCs w:val="24"/>
                <w:u w:val="single"/>
              </w:rPr>
              <w:t xml:space="preserve">       </w:t>
            </w:r>
            <w:r>
              <w:rPr>
                <w:rFonts w:hint="eastAsia" w:ascii="仿宋" w:hAnsi="仿宋" w:eastAsia="仿宋" w:cs="仿宋"/>
                <w:sz w:val="24"/>
                <w:szCs w:val="24"/>
              </w:rPr>
              <w:t>元），收据需加盖财务专用章。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468" w:type="dxa"/>
            <w:vAlign w:val="center"/>
          </w:tcPr>
          <w:p>
            <w:pPr>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13.1</w:t>
            </w:r>
          </w:p>
        </w:tc>
        <w:tc>
          <w:tcPr>
            <w:tcW w:w="6840" w:type="dxa"/>
            <w:vAlign w:val="center"/>
          </w:tcPr>
          <w:p>
            <w:pPr>
              <w:spacing w:line="240" w:lineRule="atLeast"/>
              <w:rPr>
                <w:rFonts w:ascii="仿宋" w:hAnsi="仿宋" w:eastAsia="仿宋" w:cs="仿宋"/>
                <w:sz w:val="24"/>
                <w:szCs w:val="24"/>
                <w:u w:val="single"/>
              </w:rPr>
            </w:pPr>
            <w:r>
              <w:rPr>
                <w:rFonts w:hint="eastAsia" w:ascii="仿宋" w:hAnsi="仿宋" w:eastAsia="仿宋" w:cs="仿宋"/>
                <w:sz w:val="24"/>
                <w:szCs w:val="24"/>
              </w:rPr>
              <w:t>投标有效期：</w:t>
            </w:r>
            <w:r>
              <w:rPr>
                <w:rFonts w:hint="eastAsia" w:ascii="仿宋" w:hAnsi="仿宋" w:eastAsia="仿宋" w:cs="仿宋"/>
                <w:sz w:val="24"/>
                <w:szCs w:val="24"/>
                <w:u w:val="single"/>
              </w:rPr>
              <w:t>　90</w:t>
            </w:r>
            <w:r>
              <w:rPr>
                <w:rFonts w:hint="eastAsia" w:ascii="仿宋" w:hAnsi="仿宋" w:eastAsia="仿宋" w:cs="仿宋"/>
                <w:sz w:val="24"/>
                <w:szCs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vAlign w:val="center"/>
          </w:tcPr>
          <w:p>
            <w:pPr>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14.1</w:t>
            </w:r>
          </w:p>
        </w:tc>
        <w:tc>
          <w:tcPr>
            <w:tcW w:w="6840" w:type="dxa"/>
            <w:vAlign w:val="center"/>
          </w:tcPr>
          <w:p>
            <w:pPr>
              <w:rPr>
                <w:rFonts w:hint="eastAsia" w:ascii="仿宋" w:hAnsi="仿宋" w:eastAsia="仿宋" w:cs="仿宋"/>
                <w:sz w:val="24"/>
                <w:szCs w:val="24"/>
              </w:rPr>
            </w:pPr>
            <w:r>
              <w:rPr>
                <w:rFonts w:hint="eastAsia" w:ascii="仿宋" w:hAnsi="仿宋" w:eastAsia="仿宋" w:cs="仿宋"/>
                <w:sz w:val="24"/>
                <w:szCs w:val="24"/>
              </w:rPr>
              <w:t>投标文件包括“报价单”、“商务资信投标文件”和“技术投标方案”三部分。</w:t>
            </w:r>
          </w:p>
          <w:p>
            <w:pPr>
              <w:rPr>
                <w:rFonts w:hint="eastAsia" w:ascii="仿宋" w:hAnsi="仿宋" w:eastAsia="仿宋" w:cs="仿宋"/>
                <w:sz w:val="24"/>
                <w:szCs w:val="24"/>
              </w:rPr>
            </w:pPr>
            <w:r>
              <w:rPr>
                <w:rFonts w:hint="eastAsia" w:ascii="仿宋" w:hAnsi="仿宋" w:eastAsia="仿宋" w:cs="仿宋"/>
                <w:sz w:val="24"/>
                <w:szCs w:val="24"/>
              </w:rPr>
              <w:t>投标文件的签署及规定：</w:t>
            </w:r>
          </w:p>
          <w:p>
            <w:pPr>
              <w:rPr>
                <w:rFonts w:hint="eastAsia" w:ascii="仿宋" w:hAnsi="仿宋" w:eastAsia="仿宋" w:cs="仿宋"/>
                <w:sz w:val="24"/>
                <w:szCs w:val="24"/>
              </w:rPr>
            </w:pPr>
            <w:r>
              <w:rPr>
                <w:rFonts w:hint="eastAsia" w:ascii="仿宋" w:hAnsi="仿宋" w:eastAsia="仿宋" w:cs="仿宋"/>
                <w:sz w:val="24"/>
                <w:szCs w:val="24"/>
              </w:rPr>
              <w:t>供应商应按供应商须知资料表中的规定，准备和上传投标文件。</w:t>
            </w:r>
          </w:p>
          <w:p>
            <w:pPr>
              <w:rPr>
                <w:rFonts w:hint="eastAsia" w:ascii="仿宋" w:hAnsi="仿宋" w:eastAsia="仿宋" w:cs="仿宋"/>
                <w:sz w:val="24"/>
                <w:szCs w:val="24"/>
              </w:rPr>
            </w:pPr>
            <w:r>
              <w:rPr>
                <w:rFonts w:hint="eastAsia" w:ascii="仿宋" w:hAnsi="仿宋" w:eastAsia="仿宋" w:cs="仿宋"/>
                <w:sz w:val="24"/>
                <w:szCs w:val="24"/>
              </w:rPr>
              <w:t>投标文件由供应商的法定代表人或委托代理人按采购文件规定在投标文件上签字并加盖单位印章。</w:t>
            </w:r>
          </w:p>
          <w:p>
            <w:pPr>
              <w:rPr>
                <w:sz w:val="24"/>
                <w:szCs w:val="24"/>
              </w:rPr>
            </w:pPr>
            <w:r>
              <w:rPr>
                <w:rFonts w:hint="eastAsia" w:ascii="仿宋" w:hAnsi="仿宋" w:eastAsia="仿宋" w:cs="仿宋"/>
                <w:sz w:val="24"/>
                <w:szCs w:val="24"/>
              </w:rPr>
              <w:t>供应商无论中标与否，开标后三天内向代理机构提交纸质版胶装成册的投标文件壹份，（须与招标文件中编制电子投标文件的格式一致）。（地址：乌鲁木齐市新市区阜新街1号智慧城2号楼3楼，收件人：孙丽  15160883519）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vAlign w:val="center"/>
          </w:tcPr>
          <w:p>
            <w:pPr>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16．1</w:t>
            </w:r>
          </w:p>
        </w:tc>
        <w:tc>
          <w:tcPr>
            <w:tcW w:w="6840" w:type="dxa"/>
            <w:vAlign w:val="center"/>
          </w:tcPr>
          <w:p>
            <w:pPr>
              <w:spacing w:line="240" w:lineRule="atLeast"/>
              <w:rPr>
                <w:rFonts w:ascii="仿宋" w:hAnsi="仿宋" w:eastAsia="仿宋" w:cs="仿宋"/>
                <w:color w:val="auto"/>
                <w:sz w:val="24"/>
                <w:szCs w:val="24"/>
              </w:rPr>
            </w:pPr>
            <w:r>
              <w:rPr>
                <w:rFonts w:hint="eastAsia" w:ascii="仿宋" w:hAnsi="仿宋" w:eastAsia="仿宋" w:cs="仿宋"/>
                <w:color w:val="auto"/>
                <w:sz w:val="24"/>
                <w:szCs w:val="24"/>
              </w:rPr>
              <w:t>投标截止时间：</w:t>
            </w:r>
            <w:r>
              <w:rPr>
                <w:rFonts w:hint="eastAsia" w:ascii="仿宋" w:hAnsi="仿宋" w:eastAsia="仿宋"/>
                <w:color w:val="auto"/>
                <w:sz w:val="24"/>
                <w:szCs w:val="24"/>
              </w:rPr>
              <w:t>2023年</w:t>
            </w:r>
            <w:r>
              <w:rPr>
                <w:rFonts w:hint="eastAsia" w:ascii="仿宋" w:hAnsi="仿宋" w:eastAsia="仿宋"/>
                <w:color w:val="auto"/>
                <w:sz w:val="24"/>
                <w:szCs w:val="24"/>
                <w:lang w:val="en-US" w:eastAsia="zh-CN"/>
              </w:rPr>
              <w:t>3</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15</w:t>
            </w:r>
            <w:r>
              <w:rPr>
                <w:rFonts w:hint="eastAsia" w:ascii="仿宋" w:hAnsi="仿宋" w:eastAsia="仿宋"/>
                <w:color w:val="auto"/>
                <w:sz w:val="24"/>
                <w:szCs w:val="24"/>
              </w:rPr>
              <w:t>日 11:00（北京时间）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vAlign w:val="center"/>
          </w:tcPr>
          <w:p>
            <w:pPr>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18.1</w:t>
            </w:r>
          </w:p>
        </w:tc>
        <w:tc>
          <w:tcPr>
            <w:tcW w:w="6840" w:type="dxa"/>
            <w:vAlign w:val="center"/>
          </w:tcPr>
          <w:p>
            <w:pPr>
              <w:spacing w:line="240" w:lineRule="atLeast"/>
              <w:rPr>
                <w:rFonts w:ascii="仿宋" w:hAnsi="仿宋" w:eastAsia="仿宋" w:cs="仿宋"/>
                <w:color w:val="auto"/>
                <w:sz w:val="24"/>
                <w:szCs w:val="24"/>
                <w:highlight w:val="red"/>
                <w:u w:val="single"/>
              </w:rPr>
            </w:pPr>
            <w:r>
              <w:rPr>
                <w:rFonts w:hint="eastAsia" w:ascii="仿宋" w:hAnsi="仿宋" w:eastAsia="仿宋" w:cs="仿宋"/>
                <w:color w:val="auto"/>
                <w:sz w:val="24"/>
                <w:szCs w:val="24"/>
              </w:rPr>
              <w:t>开标时间：</w:t>
            </w:r>
            <w:r>
              <w:rPr>
                <w:rFonts w:hint="eastAsia" w:ascii="仿宋" w:hAnsi="仿宋" w:eastAsia="仿宋"/>
                <w:color w:val="auto"/>
                <w:sz w:val="24"/>
                <w:szCs w:val="24"/>
              </w:rPr>
              <w:t>2023年</w:t>
            </w:r>
            <w:r>
              <w:rPr>
                <w:rFonts w:hint="eastAsia" w:ascii="仿宋" w:hAnsi="仿宋" w:eastAsia="仿宋"/>
                <w:color w:val="auto"/>
                <w:sz w:val="24"/>
                <w:szCs w:val="24"/>
                <w:lang w:val="en-US" w:eastAsia="zh-CN"/>
              </w:rPr>
              <w:t>3</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15</w:t>
            </w:r>
            <w:r>
              <w:rPr>
                <w:rFonts w:hint="eastAsia" w:ascii="仿宋" w:hAnsi="仿宋" w:eastAsia="仿宋"/>
                <w:color w:val="auto"/>
                <w:sz w:val="24"/>
                <w:szCs w:val="24"/>
              </w:rPr>
              <w:t>日 11:00（北京时间）</w:t>
            </w:r>
          </w:p>
          <w:p>
            <w:pPr>
              <w:spacing w:line="240" w:lineRule="atLeast"/>
              <w:rPr>
                <w:rFonts w:ascii="仿宋" w:hAnsi="仿宋" w:eastAsia="仿宋" w:cs="仿宋"/>
                <w:color w:val="auto"/>
                <w:sz w:val="24"/>
                <w:szCs w:val="24"/>
              </w:rPr>
            </w:pPr>
            <w:r>
              <w:rPr>
                <w:rFonts w:hint="eastAsia" w:ascii="仿宋" w:hAnsi="仿宋" w:eastAsia="仿宋" w:cs="仿宋"/>
                <w:color w:val="auto"/>
                <w:sz w:val="24"/>
                <w:szCs w:val="24"/>
              </w:rPr>
              <w:t>开标地点：</w:t>
            </w:r>
            <w:r>
              <w:rPr>
                <w:rFonts w:hint="eastAsia" w:ascii="仿宋" w:hAnsi="仿宋" w:eastAsia="仿宋"/>
                <w:color w:val="auto"/>
                <w:sz w:val="24"/>
                <w:szCs w:val="24"/>
              </w:rPr>
              <w:t>吐鲁番市高昌区丝绸大道4100号吐鲁番市行政服务中心（市公共资源交易中心）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68" w:type="dxa"/>
            <w:vAlign w:val="center"/>
          </w:tcPr>
          <w:p>
            <w:pPr>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23.2</w:t>
            </w:r>
          </w:p>
        </w:tc>
        <w:tc>
          <w:tcPr>
            <w:tcW w:w="6840" w:type="dxa"/>
            <w:vAlign w:val="center"/>
          </w:tcPr>
          <w:p>
            <w:pPr>
              <w:spacing w:line="240" w:lineRule="atLeast"/>
              <w:rPr>
                <w:rFonts w:ascii="仿宋" w:hAnsi="仿宋" w:eastAsia="仿宋" w:cs="仿宋"/>
                <w:i/>
                <w:color w:val="auto"/>
                <w:sz w:val="24"/>
                <w:szCs w:val="24"/>
              </w:rPr>
            </w:pPr>
            <w:r>
              <w:rPr>
                <w:rFonts w:hint="eastAsia" w:ascii="仿宋" w:hAnsi="仿宋" w:eastAsia="仿宋" w:cs="仿宋"/>
                <w:color w:val="auto"/>
                <w:sz w:val="24"/>
                <w:szCs w:val="24"/>
              </w:rPr>
              <w:t>评标方法：适用</w:t>
            </w:r>
            <w:r>
              <w:rPr>
                <w:rFonts w:hint="eastAsia" w:ascii="仿宋" w:hAnsi="仿宋" w:eastAsia="仿宋" w:cs="仿宋"/>
                <w:color w:val="auto"/>
                <w:sz w:val="24"/>
                <w:szCs w:val="24"/>
                <w:u w:val="single"/>
              </w:rPr>
              <w:t>综合评分法</w:t>
            </w:r>
            <w:r>
              <w:rPr>
                <w:rFonts w:hint="eastAsia" w:ascii="仿宋" w:hAnsi="仿宋" w:eastAsia="仿宋" w:cs="仿宋"/>
                <w:color w:val="auto"/>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vAlign w:val="center"/>
          </w:tcPr>
          <w:p>
            <w:pPr>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27</w:t>
            </w:r>
          </w:p>
        </w:tc>
        <w:tc>
          <w:tcPr>
            <w:tcW w:w="6840" w:type="dxa"/>
            <w:vAlign w:val="center"/>
          </w:tcPr>
          <w:p>
            <w:pPr>
              <w:spacing w:line="240" w:lineRule="atLeast"/>
              <w:rPr>
                <w:rFonts w:ascii="仿宋" w:hAnsi="仿宋" w:eastAsia="仿宋" w:cs="仿宋"/>
                <w:sz w:val="24"/>
                <w:szCs w:val="24"/>
              </w:rPr>
            </w:pPr>
            <w:r>
              <w:rPr>
                <w:rFonts w:hint="eastAsia" w:ascii="仿宋" w:hAnsi="仿宋" w:eastAsia="仿宋" w:cs="仿宋"/>
                <w:sz w:val="24"/>
                <w:szCs w:val="24"/>
              </w:rPr>
              <w:t>推荐中标候选供应商的数量：</w:t>
            </w:r>
            <w:r>
              <w:rPr>
                <w:rFonts w:hint="eastAsia" w:ascii="仿宋" w:hAnsi="仿宋" w:eastAsia="仿宋" w:cs="仿宋"/>
                <w:sz w:val="24"/>
                <w:szCs w:val="24"/>
                <w:u w:val="single"/>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vAlign w:val="center"/>
          </w:tcPr>
          <w:p>
            <w:pPr>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27</w:t>
            </w:r>
          </w:p>
        </w:tc>
        <w:tc>
          <w:tcPr>
            <w:tcW w:w="6840" w:type="dxa"/>
            <w:vAlign w:val="center"/>
          </w:tcPr>
          <w:p>
            <w:pPr>
              <w:spacing w:line="240" w:lineRule="atLeast"/>
              <w:rPr>
                <w:rFonts w:ascii="仿宋" w:hAnsi="仿宋" w:eastAsia="仿宋" w:cs="仿宋"/>
                <w:sz w:val="24"/>
                <w:szCs w:val="24"/>
              </w:rPr>
            </w:pPr>
            <w:r>
              <w:rPr>
                <w:rFonts w:hint="eastAsia" w:ascii="仿宋" w:hAnsi="仿宋" w:eastAsia="仿宋" w:cs="仿宋"/>
                <w:sz w:val="24"/>
                <w:szCs w:val="24"/>
              </w:rPr>
              <w:t>招标人是否委托评标委员会直接确定中标人：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否 </w:t>
            </w:r>
            <w:r>
              <w:rPr>
                <w:rFonts w:hint="eastAsia" w:ascii="仿宋" w:hAnsi="仿宋" w:eastAsia="仿宋" w:cs="仿宋"/>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31.1</w:t>
            </w:r>
          </w:p>
        </w:tc>
        <w:tc>
          <w:tcPr>
            <w:tcW w:w="6840" w:type="dxa"/>
            <w:vAlign w:val="center"/>
          </w:tcPr>
          <w:p>
            <w:pPr>
              <w:spacing w:line="240" w:lineRule="atLeast"/>
              <w:rPr>
                <w:rFonts w:ascii="仿宋" w:hAnsi="仿宋" w:eastAsia="仿宋" w:cs="仿宋"/>
                <w:sz w:val="24"/>
                <w:szCs w:val="24"/>
              </w:rPr>
            </w:pPr>
            <w:r>
              <w:rPr>
                <w:rFonts w:hint="eastAsia" w:ascii="仿宋" w:hAnsi="仿宋" w:eastAsia="仿宋" w:cs="仿宋"/>
                <w:sz w:val="24"/>
                <w:szCs w:val="24"/>
              </w:rPr>
              <w:t>履约保证金金额：10%（不得超过政府采购合同金额的10%）。</w:t>
            </w:r>
          </w:p>
          <w:p>
            <w:pPr>
              <w:spacing w:line="240" w:lineRule="atLeast"/>
              <w:rPr>
                <w:rFonts w:ascii="仿宋" w:hAnsi="仿宋" w:eastAsia="仿宋" w:cs="仿宋"/>
                <w:sz w:val="24"/>
                <w:szCs w:val="24"/>
              </w:rPr>
            </w:pPr>
            <w:r>
              <w:rPr>
                <w:rFonts w:hint="eastAsia" w:ascii="仿宋" w:hAnsi="仿宋" w:eastAsia="仿宋" w:cs="仿宋"/>
                <w:sz w:val="24"/>
                <w:szCs w:val="24"/>
              </w:rPr>
              <w:t xml:space="preserve">履约保证金形式： </w:t>
            </w:r>
            <w:bookmarkStart w:id="73" w:name="_Hlk22725541"/>
            <w:r>
              <w:rPr>
                <w:rFonts w:hint="eastAsia" w:ascii="仿宋" w:hAnsi="仿宋" w:eastAsia="仿宋" w:cs="仿宋"/>
                <w:sz w:val="24"/>
                <w:szCs w:val="24"/>
              </w:rPr>
              <w:t>电汇或企业账户网银汇款</w:t>
            </w:r>
            <w:bookmarkEnd w:id="73"/>
            <w:r>
              <w:rPr>
                <w:rFonts w:hint="eastAsia" w:ascii="仿宋" w:hAnsi="仿宋" w:eastAsia="仿宋" w:cs="仿宋"/>
                <w:sz w:val="24"/>
                <w:szCs w:val="24"/>
              </w:rPr>
              <w:t xml:space="preserve">。 </w:t>
            </w:r>
          </w:p>
          <w:p>
            <w:pPr>
              <w:spacing w:line="240" w:lineRule="atLeast"/>
              <w:rPr>
                <w:rFonts w:ascii="仿宋" w:hAnsi="仿宋" w:eastAsia="仿宋" w:cs="仿宋"/>
                <w:sz w:val="24"/>
                <w:szCs w:val="24"/>
              </w:rPr>
            </w:pPr>
            <w:r>
              <w:rPr>
                <w:rFonts w:hint="eastAsia" w:ascii="仿宋" w:hAnsi="仿宋" w:eastAsia="仿宋" w:cs="仿宋"/>
                <w:sz w:val="24"/>
                <w:szCs w:val="24"/>
              </w:rPr>
              <w:t>提交履约保证金的时间： 在中标通知书发出后</w:t>
            </w:r>
            <w:r>
              <w:rPr>
                <w:rFonts w:hint="eastAsia" w:ascii="仿宋" w:hAnsi="仿宋" w:eastAsia="仿宋" w:cs="仿宋"/>
                <w:sz w:val="24"/>
                <w:szCs w:val="24"/>
                <w:u w:val="single"/>
              </w:rPr>
              <w:t xml:space="preserve">  3  </w:t>
            </w:r>
            <w:r>
              <w:rPr>
                <w:rFonts w:hint="eastAsia" w:ascii="仿宋" w:hAnsi="仿宋" w:eastAsia="仿宋" w:cs="仿宋"/>
                <w:sz w:val="24"/>
                <w:szCs w:val="24"/>
              </w:rPr>
              <w:t>日历日内。</w:t>
            </w:r>
          </w:p>
          <w:p>
            <w:pPr>
              <w:spacing w:line="240" w:lineRule="atLeast"/>
              <w:rPr>
                <w:rFonts w:ascii="仿宋" w:hAnsi="仿宋" w:eastAsia="仿宋" w:cs="仿宋"/>
                <w:sz w:val="24"/>
                <w:szCs w:val="24"/>
                <w:u w:val="single"/>
              </w:rPr>
            </w:pPr>
            <w:r>
              <w:rPr>
                <w:rFonts w:hint="eastAsia" w:ascii="仿宋" w:hAnsi="仿宋" w:eastAsia="仿宋" w:cs="仿宋"/>
                <w:sz w:val="24"/>
                <w:szCs w:val="24"/>
              </w:rPr>
              <w:t>履约保证金收款人：吐鲁番市自然资源局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32</w:t>
            </w:r>
          </w:p>
        </w:tc>
        <w:tc>
          <w:tcPr>
            <w:tcW w:w="6840" w:type="dxa"/>
            <w:vAlign w:val="center"/>
          </w:tcPr>
          <w:p>
            <w:pPr>
              <w:spacing w:line="240" w:lineRule="atLeas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招标代理</w:t>
            </w:r>
            <w:r>
              <w:rPr>
                <w:rFonts w:hint="eastAsia" w:ascii="仿宋" w:hAnsi="仿宋" w:eastAsia="仿宋" w:cs="仿宋"/>
                <w:color w:val="auto"/>
                <w:sz w:val="24"/>
                <w:szCs w:val="24"/>
              </w:rPr>
              <w:t>服务费：代理费用由中标成交供应商支付，代理费用收取标准参照原国家计委计价格[2002]1980 号《招标代理服务收费管理暂行办法》和国家发改委发改办价格 [2003]857号《关于招标代理服务收费有关问题的通知》执行，招标代理服务收费采用差额定率累进计费方式，中标金额 100 万以下按照1.5%收</w:t>
            </w:r>
            <w:r>
              <w:rPr>
                <w:rFonts w:hint="eastAsia" w:ascii="仿宋" w:hAnsi="仿宋" w:eastAsia="仿宋" w:cs="仿宋"/>
                <w:color w:val="auto"/>
                <w:sz w:val="24"/>
                <w:szCs w:val="24"/>
                <w:lang w:val="en-US" w:eastAsia="zh-CN"/>
              </w:rPr>
              <w:t>取</w:t>
            </w:r>
            <w:r>
              <w:rPr>
                <w:rFonts w:hint="eastAsia" w:ascii="仿宋" w:hAnsi="仿宋" w:eastAsia="仿宋" w:cs="仿宋"/>
                <w:color w:val="auto"/>
                <w:sz w:val="24"/>
                <w:szCs w:val="24"/>
              </w:rPr>
              <w:t>、100 万-500 万按照 0.8%收</w:t>
            </w:r>
            <w:r>
              <w:rPr>
                <w:rFonts w:hint="eastAsia" w:ascii="仿宋" w:hAnsi="仿宋" w:eastAsia="仿宋" w:cs="仿宋"/>
                <w:color w:val="auto"/>
                <w:sz w:val="24"/>
                <w:szCs w:val="24"/>
                <w:lang w:val="en-US" w:eastAsia="zh-CN"/>
              </w:rPr>
              <w:t>取</w:t>
            </w:r>
            <w:r>
              <w:rPr>
                <w:rFonts w:hint="eastAsia" w:ascii="仿宋" w:hAnsi="仿宋" w:eastAsia="仿宋" w:cs="仿宋"/>
                <w:color w:val="auto"/>
                <w:sz w:val="24"/>
                <w:szCs w:val="24"/>
              </w:rPr>
              <w:t>。</w:t>
            </w:r>
          </w:p>
          <w:p>
            <w:pPr>
              <w:spacing w:line="240" w:lineRule="atLeast"/>
              <w:rPr>
                <w:rFonts w:ascii="仿宋" w:hAnsi="仿宋" w:eastAsia="仿宋" w:cs="仿宋"/>
                <w:sz w:val="24"/>
                <w:szCs w:val="24"/>
              </w:rPr>
            </w:pPr>
            <w:r>
              <w:rPr>
                <w:rFonts w:hint="eastAsia" w:ascii="仿宋" w:hAnsi="仿宋" w:eastAsia="仿宋" w:cs="仿宋"/>
                <w:sz w:val="24"/>
                <w:szCs w:val="24"/>
              </w:rPr>
              <w:t>支 付 方：由中标人支付</w:t>
            </w:r>
          </w:p>
          <w:p>
            <w:pPr>
              <w:spacing w:line="240" w:lineRule="atLeast"/>
              <w:rPr>
                <w:rFonts w:ascii="仿宋" w:hAnsi="仿宋" w:eastAsia="仿宋" w:cs="仿宋"/>
                <w:sz w:val="24"/>
                <w:szCs w:val="24"/>
              </w:rPr>
            </w:pPr>
            <w:r>
              <w:rPr>
                <w:rFonts w:hint="eastAsia" w:ascii="仿宋" w:hAnsi="仿宋" w:eastAsia="仿宋" w:cs="仿宋"/>
                <w:sz w:val="24"/>
                <w:szCs w:val="24"/>
              </w:rPr>
              <w:t xml:space="preserve">支付形式：对公转账 </w:t>
            </w:r>
          </w:p>
          <w:p>
            <w:pPr>
              <w:spacing w:line="240" w:lineRule="atLeast"/>
              <w:rPr>
                <w:rFonts w:ascii="仿宋" w:hAnsi="仿宋" w:eastAsia="仿宋" w:cs="仿宋"/>
                <w:sz w:val="24"/>
                <w:szCs w:val="24"/>
              </w:rPr>
            </w:pPr>
            <w:r>
              <w:rPr>
                <w:rFonts w:hint="eastAsia" w:ascii="仿宋" w:hAnsi="仿宋" w:eastAsia="仿宋" w:cs="仿宋"/>
                <w:sz w:val="24"/>
                <w:szCs w:val="24"/>
              </w:rPr>
              <w:t>支付时间：领取中标通知书时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33</w:t>
            </w:r>
          </w:p>
        </w:tc>
        <w:tc>
          <w:tcPr>
            <w:tcW w:w="6840" w:type="dxa"/>
            <w:vAlign w:val="center"/>
          </w:tcPr>
          <w:p>
            <w:pPr>
              <w:spacing w:line="240" w:lineRule="atLeast"/>
              <w:rPr>
                <w:rFonts w:ascii="仿宋" w:hAnsi="仿宋" w:eastAsia="仿宋" w:cs="仿宋"/>
                <w:sz w:val="24"/>
                <w:szCs w:val="24"/>
              </w:rPr>
            </w:pPr>
            <w:r>
              <w:rPr>
                <w:rFonts w:hint="eastAsia" w:ascii="仿宋" w:hAnsi="仿宋" w:eastAsia="仿宋" w:cs="仿宋"/>
                <w:sz w:val="24"/>
                <w:szCs w:val="24"/>
              </w:rPr>
              <w:t>本项目是否属于信用担保试点范围：</w:t>
            </w:r>
            <w:r>
              <w:rPr>
                <w:rFonts w:hint="eastAsia" w:ascii="仿宋" w:hAnsi="仿宋" w:eastAsia="仿宋" w:cs="仿宋"/>
                <w:sz w:val="24"/>
                <w:szCs w:val="24"/>
                <w:u w:val="single"/>
              </w:rPr>
              <w:t xml:space="preserve"> 否</w:t>
            </w:r>
            <w:r>
              <w:rPr>
                <w:rFonts w:hint="eastAsia" w:ascii="仿宋" w:hAnsi="仿宋" w:eastAsia="仿宋" w:cs="仿宋"/>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34</w:t>
            </w:r>
          </w:p>
        </w:tc>
        <w:tc>
          <w:tcPr>
            <w:tcW w:w="6840" w:type="dxa"/>
            <w:vAlign w:val="center"/>
          </w:tcPr>
          <w:p>
            <w:pP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中小微企业划分标准》</w:t>
            </w:r>
          </w:p>
          <w:p>
            <w:pP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1.根据《中华人民共和国中小企业促进法》和《国务院关于进一步促进中小企业发展的若干意见》(国发[2009]36号)，</w:t>
            </w:r>
            <w:r>
              <w:rPr>
                <w:rFonts w:hint="eastAsia" w:ascii="仿宋" w:hAnsi="仿宋" w:eastAsia="仿宋" w:cs="仿宋"/>
                <w:color w:val="auto"/>
                <w:sz w:val="24"/>
                <w:szCs w:val="24"/>
                <w:lang w:val="en-US" w:eastAsia="zh-CN"/>
              </w:rPr>
              <w:t>制定本规定。</w:t>
            </w:r>
          </w:p>
          <w:p>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2.中小企业划分为中型、小型、微型三种类型，具体标准根据企业从业人员、营业收入、资产总额等指标，结合行业特点制定。</w:t>
            </w:r>
          </w:p>
          <w:p>
            <w:pPr>
              <w:spacing w:line="240" w:lineRule="atLeast"/>
              <w:rPr>
                <w:rFonts w:hint="eastAsia" w:ascii="仿宋" w:hAnsi="仿宋" w:eastAsia="仿宋" w:cs="仿宋"/>
                <w:sz w:val="24"/>
                <w:szCs w:val="24"/>
              </w:rPr>
            </w:pPr>
            <w:r>
              <w:rPr>
                <w:rFonts w:hint="eastAsia" w:ascii="仿宋" w:hAnsi="仿宋" w:eastAsia="仿宋" w:cs="仿宋"/>
                <w:color w:val="auto"/>
                <w:sz w:val="24"/>
                <w:szCs w:val="24"/>
                <w:lang w:val="en-US" w:eastAsia="zh-CN"/>
              </w:rPr>
              <w:t>3.本项目所适用行业：</w:t>
            </w:r>
            <w:r>
              <w:rPr>
                <w:rFonts w:hint="eastAsia" w:ascii="仿宋" w:hAnsi="仿宋" w:eastAsia="仿宋" w:cs="仿宋"/>
                <w:b/>
                <w:bCs/>
                <w:color w:val="auto"/>
                <w:sz w:val="24"/>
                <w:szCs w:val="24"/>
                <w:lang w:eastAsia="zh-CN"/>
              </w:rPr>
              <w:t>其他未列明行业。</w:t>
            </w:r>
          </w:p>
        </w:tc>
      </w:tr>
    </w:tbl>
    <w:p>
      <w:pPr>
        <w:spacing w:line="240" w:lineRule="atLeast"/>
        <w:ind w:left="1080" w:leftChars="257" w:hanging="540"/>
        <w:rPr>
          <w:rFonts w:ascii="仿宋" w:hAnsi="仿宋" w:eastAsia="仿宋" w:cs="仿宋"/>
          <w:sz w:val="24"/>
        </w:rPr>
        <w:sectPr>
          <w:footerReference r:id="rId4" w:type="default"/>
          <w:pgSz w:w="11906" w:h="16838"/>
          <w:pgMar w:top="1440" w:right="1797" w:bottom="1440" w:left="1797" w:header="851" w:footer="992" w:gutter="0"/>
          <w:pgNumType w:fmt="decimal" w:start="1"/>
          <w:cols w:space="720" w:num="1"/>
          <w:docGrid w:linePitch="312" w:charSpace="0"/>
        </w:sectPr>
      </w:pPr>
    </w:p>
    <w:p>
      <w:pPr>
        <w:pStyle w:val="7"/>
        <w:tabs>
          <w:tab w:val="left" w:pos="0"/>
        </w:tabs>
        <w:spacing w:before="0" w:after="0" w:line="240" w:lineRule="atLeast"/>
        <w:rPr>
          <w:rFonts w:ascii="仿宋" w:hAnsi="仿宋" w:eastAsia="仿宋" w:cs="仿宋"/>
        </w:rPr>
      </w:pPr>
      <w:bookmarkStart w:id="74" w:name="_Toc31798"/>
      <w:r>
        <w:rPr>
          <w:rFonts w:hint="eastAsia" w:ascii="仿宋" w:hAnsi="仿宋" w:eastAsia="仿宋" w:cs="仿宋"/>
        </w:rPr>
        <w:t>第</w:t>
      </w:r>
      <w:r>
        <w:rPr>
          <w:rFonts w:hint="eastAsia" w:ascii="仿宋" w:hAnsi="仿宋" w:eastAsia="仿宋" w:cs="仿宋"/>
          <w:lang w:val="en-US" w:eastAsia="zh-CN"/>
        </w:rPr>
        <w:t>3</w:t>
      </w:r>
      <w:r>
        <w:rPr>
          <w:rFonts w:hint="eastAsia" w:ascii="仿宋" w:hAnsi="仿宋" w:eastAsia="仿宋" w:cs="仿宋"/>
        </w:rPr>
        <w:t>章</w:t>
      </w:r>
      <w:r>
        <w:rPr>
          <w:rFonts w:hint="eastAsia" w:ascii="仿宋" w:hAnsi="仿宋" w:eastAsia="仿宋" w:cs="仿宋"/>
          <w:lang w:val="en-US" w:eastAsia="zh-CN"/>
        </w:rPr>
        <w:t xml:space="preserve"> </w:t>
      </w:r>
      <w:r>
        <w:rPr>
          <w:rFonts w:hint="eastAsia" w:ascii="仿宋" w:hAnsi="仿宋" w:eastAsia="仿宋" w:cs="仿宋"/>
        </w:rPr>
        <w:t>供应商须知</w:t>
      </w:r>
      <w:bookmarkEnd w:id="21"/>
      <w:bookmarkEnd w:id="22"/>
      <w:bookmarkEnd w:id="23"/>
      <w:bookmarkEnd w:id="74"/>
    </w:p>
    <w:p>
      <w:pPr>
        <w:rPr>
          <w:rFonts w:ascii="仿宋" w:hAnsi="仿宋" w:eastAsia="仿宋" w:cs="仿宋"/>
        </w:rPr>
      </w:pPr>
    </w:p>
    <w:p>
      <w:pPr>
        <w:pStyle w:val="8"/>
        <w:spacing w:before="0" w:line="240" w:lineRule="atLeast"/>
        <w:ind w:left="1080" w:leftChars="257" w:hanging="540"/>
        <w:rPr>
          <w:rFonts w:ascii="仿宋" w:hAnsi="仿宋" w:eastAsia="仿宋" w:cs="仿宋"/>
          <w:sz w:val="28"/>
        </w:rPr>
      </w:pPr>
      <w:bookmarkStart w:id="75" w:name="_Toc216582805"/>
      <w:bookmarkStart w:id="76" w:name="_Toc520356143"/>
      <w:bookmarkStart w:id="77" w:name="_Toc9485"/>
      <w:bookmarkStart w:id="78" w:name="_Toc518923060"/>
      <w:bookmarkStart w:id="79" w:name="_Toc20294"/>
      <w:bookmarkStart w:id="80" w:name="_Toc15948"/>
      <w:bookmarkStart w:id="81" w:name="_Toc32076"/>
      <w:r>
        <w:rPr>
          <w:rFonts w:hint="eastAsia" w:ascii="仿宋" w:hAnsi="仿宋" w:eastAsia="仿宋" w:cs="仿宋"/>
          <w:sz w:val="28"/>
        </w:rPr>
        <w:t xml:space="preserve">一   </w:t>
      </w:r>
      <w:bookmarkEnd w:id="75"/>
      <w:bookmarkEnd w:id="76"/>
      <w:r>
        <w:rPr>
          <w:rFonts w:hint="eastAsia" w:ascii="仿宋" w:hAnsi="仿宋" w:eastAsia="仿宋" w:cs="仿宋"/>
          <w:sz w:val="28"/>
        </w:rPr>
        <w:t>总  则</w:t>
      </w:r>
      <w:bookmarkEnd w:id="77"/>
      <w:bookmarkEnd w:id="78"/>
      <w:bookmarkEnd w:id="79"/>
      <w:bookmarkEnd w:id="80"/>
      <w:bookmarkEnd w:id="81"/>
    </w:p>
    <w:p>
      <w:pPr>
        <w:pStyle w:val="11"/>
        <w:rPr>
          <w:rFonts w:ascii="仿宋" w:hAnsi="仿宋" w:eastAsia="仿宋" w:cs="仿宋"/>
        </w:rPr>
      </w:pPr>
    </w:p>
    <w:p>
      <w:pPr>
        <w:pStyle w:val="9"/>
        <w:spacing w:before="0" w:after="0" w:line="240" w:lineRule="atLeast"/>
        <w:outlineLvl w:val="1"/>
        <w:rPr>
          <w:rFonts w:ascii="仿宋" w:hAnsi="仿宋" w:eastAsia="仿宋" w:cs="仿宋"/>
          <w:u w:val="none"/>
        </w:rPr>
      </w:pPr>
      <w:bookmarkStart w:id="82" w:name="_Toc12013"/>
      <w:bookmarkStart w:id="83" w:name="_Toc520356144"/>
      <w:bookmarkStart w:id="84" w:name="_Toc518923061"/>
      <w:bookmarkStart w:id="85" w:name="_Toc5631"/>
      <w:bookmarkStart w:id="86" w:name="_Toc24984"/>
      <w:bookmarkStart w:id="87" w:name="_Toc20307"/>
      <w:bookmarkStart w:id="88" w:name="_Toc31076"/>
      <w:r>
        <w:rPr>
          <w:rFonts w:hint="eastAsia" w:ascii="仿宋" w:hAnsi="仿宋" w:eastAsia="仿宋" w:cs="仿宋"/>
          <w:u w:val="none"/>
        </w:rPr>
        <w:t>1.采购人、采购代理机构及</w:t>
      </w:r>
      <w:bookmarkEnd w:id="82"/>
      <w:bookmarkEnd w:id="83"/>
      <w:bookmarkEnd w:id="84"/>
      <w:r>
        <w:rPr>
          <w:rFonts w:hint="eastAsia" w:ascii="仿宋" w:hAnsi="仿宋" w:eastAsia="仿宋" w:cs="仿宋"/>
          <w:u w:val="none"/>
        </w:rPr>
        <w:t>供应商</w:t>
      </w:r>
      <w:bookmarkEnd w:id="85"/>
      <w:bookmarkEnd w:id="86"/>
      <w:bookmarkEnd w:id="87"/>
      <w:bookmarkEnd w:id="88"/>
    </w:p>
    <w:p>
      <w:pPr>
        <w:numPr>
          <w:ilvl w:val="1"/>
          <w:numId w:val="2"/>
        </w:numPr>
        <w:tabs>
          <w:tab w:val="left" w:pos="0"/>
          <w:tab w:val="clear" w:pos="900"/>
        </w:tabs>
        <w:spacing w:line="240" w:lineRule="atLeast"/>
        <w:ind w:hanging="898"/>
        <w:rPr>
          <w:rFonts w:ascii="仿宋" w:hAnsi="仿宋" w:eastAsia="仿宋" w:cs="仿宋"/>
          <w:sz w:val="24"/>
        </w:rPr>
      </w:pPr>
      <w:r>
        <w:rPr>
          <w:rFonts w:hint="eastAsia" w:ascii="仿宋" w:hAnsi="仿宋" w:eastAsia="仿宋" w:cs="仿宋"/>
          <w:sz w:val="24"/>
        </w:rPr>
        <w:t xml:space="preserve">    采购人：是指依法开展政府采购活动的国家机关、事业单位、团体组织。</w:t>
      </w:r>
    </w:p>
    <w:p>
      <w:pPr>
        <w:tabs>
          <w:tab w:val="left" w:pos="0"/>
        </w:tabs>
        <w:spacing w:line="240" w:lineRule="atLeast"/>
        <w:ind w:left="900"/>
        <w:rPr>
          <w:rFonts w:ascii="仿宋" w:hAnsi="仿宋" w:eastAsia="仿宋" w:cs="仿宋"/>
          <w:sz w:val="24"/>
        </w:rPr>
      </w:pPr>
      <w:r>
        <w:rPr>
          <w:rFonts w:hint="eastAsia" w:ascii="仿宋" w:hAnsi="仿宋" w:eastAsia="仿宋" w:cs="仿宋"/>
          <w:sz w:val="24"/>
        </w:rPr>
        <w:t>本项目的采购人见</w:t>
      </w:r>
      <w:r>
        <w:rPr>
          <w:rFonts w:hint="eastAsia" w:ascii="仿宋" w:hAnsi="仿宋" w:eastAsia="仿宋" w:cs="仿宋"/>
          <w:b/>
          <w:bCs/>
          <w:sz w:val="24"/>
          <w:u w:val="single"/>
        </w:rPr>
        <w:t>供应商须知资料表</w:t>
      </w:r>
      <w:r>
        <w:rPr>
          <w:rFonts w:hint="eastAsia" w:ascii="仿宋" w:hAnsi="仿宋" w:eastAsia="仿宋" w:cs="仿宋"/>
          <w:sz w:val="24"/>
        </w:rPr>
        <w:t>。</w:t>
      </w:r>
    </w:p>
    <w:p>
      <w:pPr>
        <w:numPr>
          <w:ilvl w:val="1"/>
          <w:numId w:val="2"/>
        </w:numPr>
        <w:tabs>
          <w:tab w:val="left" w:pos="0"/>
          <w:tab w:val="clear" w:pos="900"/>
        </w:tabs>
        <w:spacing w:line="240" w:lineRule="atLeast"/>
        <w:ind w:hanging="898"/>
        <w:rPr>
          <w:rFonts w:ascii="仿宋" w:hAnsi="仿宋" w:eastAsia="仿宋" w:cs="仿宋"/>
          <w:sz w:val="24"/>
        </w:rPr>
      </w:pPr>
      <w:r>
        <w:rPr>
          <w:rFonts w:hint="eastAsia" w:ascii="仿宋" w:hAnsi="仿宋" w:eastAsia="仿宋" w:cs="仿宋"/>
          <w:sz w:val="24"/>
        </w:rPr>
        <w:t xml:space="preserve">    采购代理机构：是指集中采购代理机构或从事采购代理业务的社会中介机构。本项目的采购代理机构见</w:t>
      </w:r>
      <w:r>
        <w:rPr>
          <w:rFonts w:hint="eastAsia" w:ascii="仿宋" w:hAnsi="仿宋" w:eastAsia="仿宋" w:cs="仿宋"/>
          <w:b/>
          <w:bCs/>
          <w:sz w:val="24"/>
          <w:u w:val="single"/>
        </w:rPr>
        <w:t>供应商须知资料表</w:t>
      </w:r>
      <w:r>
        <w:rPr>
          <w:rFonts w:hint="eastAsia" w:ascii="仿宋" w:hAnsi="仿宋" w:eastAsia="仿宋" w:cs="仿宋"/>
          <w:sz w:val="24"/>
        </w:rPr>
        <w:t>。</w:t>
      </w:r>
    </w:p>
    <w:p>
      <w:pPr>
        <w:numPr>
          <w:ilvl w:val="1"/>
          <w:numId w:val="2"/>
        </w:numPr>
        <w:spacing w:line="240" w:lineRule="atLeast"/>
        <w:ind w:hangingChars="375"/>
        <w:rPr>
          <w:rFonts w:ascii="仿宋" w:hAnsi="仿宋" w:eastAsia="仿宋" w:cs="仿宋"/>
          <w:sz w:val="24"/>
        </w:rPr>
      </w:pPr>
      <w:r>
        <w:rPr>
          <w:rFonts w:hint="eastAsia" w:ascii="仿宋" w:hAnsi="仿宋" w:eastAsia="仿宋" w:cs="仿宋"/>
          <w:sz w:val="24"/>
        </w:rPr>
        <w:t>供应商：是指向采购人提供货物、工程或者服务的法人、非法人组织或者自然人。本项目的供应商须满足以下条件：</w:t>
      </w:r>
    </w:p>
    <w:p>
      <w:pPr>
        <w:spacing w:line="240" w:lineRule="atLeast"/>
        <w:ind w:left="850" w:hanging="849" w:hangingChars="354"/>
        <w:rPr>
          <w:rFonts w:ascii="仿宋" w:hAnsi="仿宋" w:eastAsia="仿宋" w:cs="仿宋"/>
          <w:sz w:val="24"/>
        </w:rPr>
      </w:pPr>
      <w:r>
        <w:rPr>
          <w:rFonts w:hint="eastAsia" w:ascii="仿宋" w:hAnsi="仿宋" w:eastAsia="仿宋" w:cs="仿宋"/>
          <w:sz w:val="24"/>
        </w:rPr>
        <w:t>1.3.1</w:t>
      </w:r>
      <w:r>
        <w:rPr>
          <w:rFonts w:hint="eastAsia" w:ascii="仿宋" w:hAnsi="仿宋" w:eastAsia="仿宋" w:cs="仿宋"/>
          <w:sz w:val="24"/>
        </w:rPr>
        <w:tab/>
      </w:r>
      <w:r>
        <w:rPr>
          <w:rFonts w:hint="eastAsia" w:ascii="仿宋" w:hAnsi="仿宋" w:eastAsia="仿宋" w:cs="仿宋"/>
          <w:sz w:val="24"/>
        </w:rPr>
        <w:t>在中华人民共和国境内注册，能够独立承担民事责任，有生产或供应能力的本国供应商。</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1.3.2  具备《中华人民共和国政府采购法》第二十二条关于供应商条件的规定，遵守本项目采购人本级和上级财政部门政府采购的有关规定。</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1.3.3   以采购代理机构认可的方式获得了本项目的采购文件。</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1.3.4   符合</w:t>
      </w:r>
      <w:r>
        <w:rPr>
          <w:rFonts w:hint="eastAsia" w:ascii="仿宋" w:hAnsi="仿宋" w:eastAsia="仿宋" w:cs="仿宋"/>
          <w:sz w:val="24"/>
          <w:u w:val="single"/>
        </w:rPr>
        <w:t>供应商须知资料表</w:t>
      </w:r>
      <w:r>
        <w:rPr>
          <w:rFonts w:hint="eastAsia" w:ascii="仿宋" w:hAnsi="仿宋" w:eastAsia="仿宋" w:cs="仿宋"/>
          <w:sz w:val="24"/>
        </w:rPr>
        <w:t>中规定的其他要求。</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1.3.5   若</w:t>
      </w:r>
      <w:r>
        <w:rPr>
          <w:rFonts w:hint="eastAsia" w:ascii="仿宋" w:hAnsi="仿宋" w:eastAsia="仿宋" w:cs="仿宋"/>
          <w:sz w:val="24"/>
          <w:u w:val="single"/>
        </w:rPr>
        <w:t>供应商须知资料表</w:t>
      </w:r>
      <w:r>
        <w:rPr>
          <w:rFonts w:hint="eastAsia" w:ascii="仿宋" w:hAnsi="仿宋" w:eastAsia="仿宋" w:cs="仿宋"/>
          <w:sz w:val="24"/>
        </w:rPr>
        <w:t>中写明专门面向中小企业采购的，如供应商为非中小企业，其投标将被认定为投标无效。</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1.4     如</w:t>
      </w:r>
      <w:r>
        <w:rPr>
          <w:rFonts w:hint="eastAsia" w:ascii="仿宋" w:hAnsi="仿宋" w:eastAsia="仿宋" w:cs="仿宋"/>
          <w:sz w:val="24"/>
          <w:u w:val="single"/>
        </w:rPr>
        <w:t>供应商须知资料表</w:t>
      </w:r>
      <w:r>
        <w:rPr>
          <w:rFonts w:hint="eastAsia" w:ascii="仿宋" w:hAnsi="仿宋" w:eastAsia="仿宋" w:cs="仿宋"/>
          <w:sz w:val="24"/>
        </w:rPr>
        <w:t>中允许联合体投标，对联合体规定如下：</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1.4.1   两个以上供应商可以组成一个投标联合体，以一个供应商的身份投标。</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1.4.2   联合体各方均应符合《中华人民共和国政府采购法》第二十二条规定的条件。</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1.4.3   采购人根据采购项目对供应商的特殊要求，联合体中至少应当有一方符合相关规定。</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1.4.4   联合体各方应签订共同投标协议，明确约定联合体各方承担的工作和相应的责任，并将共同投标协议连同投标文件一并提交招标采购单位。</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1.4.5   大中型企业、其他自然人、法人或者非法人组织与小型、微型企业组成联合体共同参加投标，共同投标协议中应写明小型、微型企业的协议合同金额占到共同投标协议投标总金额的比例。</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1.4.6  联合体中有同类资质的供应商按照联合体分工承担相同工作的，按照资质等级较低的供应商确定资质等级。</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1.4.7  以联合体形式参加政府采购活动的，联合体各方不得再单独参加或者与其他供应商另外组成联合体参加本项目投标，否则相关投标将被认定为</w:t>
      </w:r>
      <w:r>
        <w:rPr>
          <w:rFonts w:hint="eastAsia" w:ascii="仿宋" w:hAnsi="仿宋" w:eastAsia="仿宋" w:cs="仿宋"/>
          <w:b/>
          <w:bCs/>
          <w:sz w:val="24"/>
        </w:rPr>
        <w:t>投标无效</w:t>
      </w:r>
      <w:r>
        <w:rPr>
          <w:rFonts w:hint="eastAsia" w:ascii="仿宋" w:hAnsi="仿宋" w:eastAsia="仿宋" w:cs="仿宋"/>
          <w:sz w:val="24"/>
        </w:rPr>
        <w:t>。</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1.4.8   对联合体投标的其他资格要求见</w:t>
      </w:r>
      <w:r>
        <w:rPr>
          <w:rFonts w:hint="eastAsia" w:ascii="仿宋" w:hAnsi="仿宋" w:eastAsia="仿宋" w:cs="仿宋"/>
          <w:sz w:val="24"/>
          <w:u w:val="single"/>
        </w:rPr>
        <w:t>供应商须知资料表</w:t>
      </w:r>
      <w:r>
        <w:rPr>
          <w:rFonts w:hint="eastAsia" w:ascii="仿宋" w:hAnsi="仿宋" w:eastAsia="仿宋" w:cs="仿宋"/>
          <w:sz w:val="24"/>
        </w:rPr>
        <w:t>。</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1.5    单位负责人为同一人或者存在直接控股、管理关系的不同供应商，其相关投标将被认定为</w:t>
      </w:r>
      <w:r>
        <w:rPr>
          <w:rFonts w:hint="eastAsia" w:ascii="仿宋" w:hAnsi="仿宋" w:eastAsia="仿宋" w:cs="仿宋"/>
          <w:b/>
          <w:bCs/>
          <w:sz w:val="24"/>
        </w:rPr>
        <w:t>投标无效</w:t>
      </w:r>
      <w:r>
        <w:rPr>
          <w:rFonts w:hint="eastAsia" w:ascii="仿宋" w:hAnsi="仿宋" w:eastAsia="仿宋" w:cs="仿宋"/>
          <w:sz w:val="24"/>
        </w:rPr>
        <w:t>。</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1.6</w:t>
      </w:r>
      <w:r>
        <w:rPr>
          <w:rFonts w:hint="eastAsia" w:ascii="仿宋" w:hAnsi="仿宋" w:eastAsia="仿宋" w:cs="仿宋"/>
          <w:sz w:val="24"/>
        </w:rPr>
        <w:tab/>
      </w:r>
      <w:r>
        <w:rPr>
          <w:rFonts w:hint="eastAsia" w:ascii="仿宋" w:hAnsi="仿宋" w:eastAsia="仿宋" w:cs="仿宋"/>
          <w:sz w:val="24"/>
        </w:rPr>
        <w:t>供应商在投标过程中不得向采购人提供或给予影响其正常决策行为的任何有价值物品或服务。一经发现，其投标将被认定为</w:t>
      </w:r>
      <w:r>
        <w:rPr>
          <w:rFonts w:hint="eastAsia" w:ascii="仿宋" w:hAnsi="仿宋" w:eastAsia="仿宋" w:cs="仿宋"/>
          <w:b/>
          <w:bCs/>
          <w:sz w:val="24"/>
        </w:rPr>
        <w:t>投标无效</w:t>
      </w:r>
      <w:r>
        <w:rPr>
          <w:rFonts w:hint="eastAsia" w:ascii="仿宋" w:hAnsi="仿宋" w:eastAsia="仿宋" w:cs="仿宋"/>
          <w:sz w:val="24"/>
        </w:rPr>
        <w:t>。</w:t>
      </w:r>
    </w:p>
    <w:p>
      <w:pPr>
        <w:pStyle w:val="9"/>
        <w:spacing w:before="0" w:after="0" w:line="240" w:lineRule="atLeast"/>
        <w:outlineLvl w:val="1"/>
        <w:rPr>
          <w:rFonts w:ascii="仿宋" w:hAnsi="仿宋" w:eastAsia="仿宋" w:cs="仿宋"/>
          <w:u w:val="none"/>
        </w:rPr>
      </w:pPr>
      <w:bookmarkStart w:id="89" w:name="_Toc31510"/>
      <w:bookmarkStart w:id="90" w:name="_Toc518923062"/>
      <w:bookmarkStart w:id="91" w:name="_Toc3741"/>
      <w:bookmarkStart w:id="92" w:name="_Toc16576"/>
      <w:bookmarkStart w:id="93" w:name="_Toc2643"/>
      <w:bookmarkStart w:id="94" w:name="_Toc4353"/>
      <w:r>
        <w:rPr>
          <w:rFonts w:hint="eastAsia" w:ascii="仿宋" w:hAnsi="仿宋" w:eastAsia="仿宋" w:cs="仿宋"/>
          <w:u w:val="none"/>
        </w:rPr>
        <w:t>2.资金来源</w:t>
      </w:r>
      <w:bookmarkEnd w:id="89"/>
      <w:bookmarkEnd w:id="90"/>
      <w:bookmarkEnd w:id="91"/>
      <w:bookmarkEnd w:id="92"/>
      <w:bookmarkEnd w:id="93"/>
      <w:bookmarkEnd w:id="94"/>
    </w:p>
    <w:p>
      <w:pPr>
        <w:spacing w:line="240" w:lineRule="atLeast"/>
        <w:ind w:left="900" w:hanging="900" w:hangingChars="375"/>
        <w:rPr>
          <w:rFonts w:ascii="仿宋" w:hAnsi="仿宋" w:eastAsia="仿宋" w:cs="仿宋"/>
          <w:sz w:val="24"/>
        </w:rPr>
      </w:pPr>
      <w:r>
        <w:rPr>
          <w:rFonts w:hint="eastAsia" w:ascii="仿宋" w:hAnsi="仿宋" w:eastAsia="仿宋" w:cs="仿宋"/>
          <w:sz w:val="24"/>
        </w:rPr>
        <w:t>2.1</w:t>
      </w:r>
      <w:r>
        <w:rPr>
          <w:rFonts w:hint="eastAsia" w:ascii="仿宋" w:hAnsi="仿宋" w:eastAsia="仿宋" w:cs="仿宋"/>
          <w:sz w:val="24"/>
        </w:rPr>
        <w:tab/>
      </w:r>
      <w:r>
        <w:rPr>
          <w:rFonts w:hint="eastAsia" w:ascii="仿宋" w:hAnsi="仿宋" w:eastAsia="仿宋" w:cs="仿宋"/>
          <w:sz w:val="24"/>
        </w:rPr>
        <w:t>本项目的采购人已获得足以支付本次招标后所签订的合同项下的资金（包括财政性资金和本项目采购中无法与财政性资金分割的非财政性资金）。</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2.2    项目预算金额和分项或分包最高限价</w:t>
      </w:r>
      <w:r>
        <w:rPr>
          <w:rFonts w:hint="eastAsia" w:ascii="仿宋" w:hAnsi="仿宋" w:eastAsia="仿宋" w:cs="仿宋"/>
          <w:b/>
          <w:bCs/>
          <w:sz w:val="24"/>
          <w:u w:val="single"/>
        </w:rPr>
        <w:t>见供应商须知资料表</w:t>
      </w:r>
      <w:r>
        <w:rPr>
          <w:rFonts w:hint="eastAsia" w:ascii="仿宋" w:hAnsi="仿宋" w:eastAsia="仿宋" w:cs="仿宋"/>
          <w:sz w:val="24"/>
        </w:rPr>
        <w:t>。</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2.3    供应商报价超过采购文件规定的预算金额或者分项、分包最高限价的，其投标将被认定为</w:t>
      </w:r>
      <w:r>
        <w:rPr>
          <w:rFonts w:hint="eastAsia" w:ascii="仿宋" w:hAnsi="仿宋" w:eastAsia="仿宋" w:cs="仿宋"/>
          <w:b/>
          <w:bCs/>
          <w:sz w:val="24"/>
        </w:rPr>
        <w:t>投标无效</w:t>
      </w:r>
      <w:r>
        <w:rPr>
          <w:rFonts w:hint="eastAsia" w:ascii="仿宋" w:hAnsi="仿宋" w:eastAsia="仿宋" w:cs="仿宋"/>
          <w:sz w:val="24"/>
        </w:rPr>
        <w:t>。</w:t>
      </w:r>
    </w:p>
    <w:p>
      <w:pPr>
        <w:pStyle w:val="9"/>
        <w:spacing w:before="0" w:after="0" w:line="240" w:lineRule="atLeast"/>
        <w:outlineLvl w:val="1"/>
        <w:rPr>
          <w:rFonts w:ascii="仿宋" w:hAnsi="仿宋" w:eastAsia="仿宋" w:cs="仿宋"/>
          <w:u w:val="none"/>
        </w:rPr>
      </w:pPr>
      <w:bookmarkStart w:id="95" w:name="_Toc28166"/>
      <w:bookmarkStart w:id="96" w:name="_Toc520356145"/>
      <w:bookmarkStart w:id="97" w:name="_Toc10400"/>
      <w:bookmarkStart w:id="98" w:name="_Toc518923063"/>
      <w:bookmarkStart w:id="99" w:name="_Toc7229"/>
      <w:bookmarkStart w:id="100" w:name="_Toc659"/>
      <w:bookmarkStart w:id="101" w:name="_Toc18608"/>
      <w:r>
        <w:rPr>
          <w:rFonts w:hint="eastAsia" w:ascii="仿宋" w:hAnsi="仿宋" w:eastAsia="仿宋" w:cs="仿宋"/>
          <w:u w:val="none"/>
        </w:rPr>
        <w:t>3.投标费用</w:t>
      </w:r>
      <w:bookmarkEnd w:id="95"/>
      <w:bookmarkEnd w:id="96"/>
      <w:bookmarkEnd w:id="97"/>
      <w:bookmarkEnd w:id="98"/>
      <w:bookmarkEnd w:id="99"/>
      <w:bookmarkEnd w:id="100"/>
      <w:bookmarkEnd w:id="101"/>
    </w:p>
    <w:p>
      <w:pPr>
        <w:spacing w:line="240" w:lineRule="atLeast"/>
        <w:ind w:left="900" w:hanging="900" w:hangingChars="375"/>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不论投标的结果如何，供应商应承担所有与准备和参加投标有关的费用。</w:t>
      </w:r>
    </w:p>
    <w:p>
      <w:pPr>
        <w:pStyle w:val="9"/>
        <w:spacing w:before="0" w:after="0" w:line="240" w:lineRule="atLeast"/>
        <w:outlineLvl w:val="1"/>
        <w:rPr>
          <w:rFonts w:ascii="仿宋" w:hAnsi="仿宋" w:eastAsia="仿宋" w:cs="仿宋"/>
          <w:u w:val="none"/>
        </w:rPr>
      </w:pPr>
      <w:bookmarkStart w:id="102" w:name="_Toc12262"/>
      <w:bookmarkStart w:id="103" w:name="_Toc32365"/>
      <w:bookmarkStart w:id="104" w:name="_Toc20581"/>
      <w:bookmarkStart w:id="105" w:name="_Toc23278"/>
      <w:bookmarkStart w:id="106" w:name="_Toc518923064"/>
      <w:bookmarkStart w:id="107" w:name="_Toc32635"/>
      <w:r>
        <w:rPr>
          <w:rFonts w:hint="eastAsia" w:ascii="仿宋" w:hAnsi="仿宋" w:eastAsia="仿宋" w:cs="仿宋"/>
          <w:u w:val="none"/>
        </w:rPr>
        <w:t>4.适用法律</w:t>
      </w:r>
      <w:bookmarkEnd w:id="102"/>
      <w:bookmarkEnd w:id="103"/>
      <w:bookmarkEnd w:id="104"/>
      <w:bookmarkEnd w:id="105"/>
      <w:bookmarkEnd w:id="106"/>
      <w:bookmarkEnd w:id="107"/>
    </w:p>
    <w:p>
      <w:pPr>
        <w:spacing w:line="240" w:lineRule="atLeast"/>
        <w:ind w:left="900" w:hanging="900" w:hangingChars="375"/>
        <w:rPr>
          <w:rFonts w:ascii="仿宋" w:hAnsi="仿宋" w:eastAsia="仿宋" w:cs="仿宋"/>
          <w:sz w:val="24"/>
        </w:rPr>
      </w:pPr>
      <w:r>
        <w:rPr>
          <w:rFonts w:hint="eastAsia" w:ascii="仿宋" w:hAnsi="仿宋" w:eastAsia="仿宋" w:cs="仿宋"/>
          <w:sz w:val="24"/>
        </w:rPr>
        <w:t xml:space="preserve">       本项目采购人、采购代理机构、供应商、评标委员会的相关行为均受《中华人民共和国政府采购法》《中华人民共和国政府采购法实施条例》及本项目本级和上级财政部门政府采购有关规定的约束，其权利受到上述法律法规的保护。</w:t>
      </w:r>
    </w:p>
    <w:p>
      <w:pPr>
        <w:spacing w:line="240" w:lineRule="atLeast"/>
        <w:rPr>
          <w:rFonts w:ascii="仿宋" w:hAnsi="仿宋" w:eastAsia="仿宋" w:cs="仿宋"/>
          <w:sz w:val="24"/>
        </w:rPr>
      </w:pPr>
    </w:p>
    <w:p>
      <w:pPr>
        <w:pStyle w:val="8"/>
        <w:spacing w:before="0" w:line="240" w:lineRule="atLeast"/>
        <w:ind w:left="1080" w:leftChars="257" w:hanging="540"/>
        <w:rPr>
          <w:rFonts w:ascii="仿宋" w:hAnsi="仿宋" w:eastAsia="仿宋" w:cs="仿宋"/>
          <w:sz w:val="28"/>
        </w:rPr>
      </w:pPr>
      <w:bookmarkStart w:id="108" w:name="_Toc520356146"/>
      <w:bookmarkStart w:id="109" w:name="_Toc809"/>
      <w:bookmarkStart w:id="110" w:name="_Toc518923065"/>
      <w:bookmarkStart w:id="111" w:name="_Toc216582806"/>
      <w:bookmarkStart w:id="112" w:name="_Toc23931"/>
      <w:bookmarkStart w:id="113" w:name="_Toc16218"/>
      <w:bookmarkStart w:id="114" w:name="_Toc30015"/>
      <w:r>
        <w:rPr>
          <w:rFonts w:hint="eastAsia" w:ascii="仿宋" w:hAnsi="仿宋" w:eastAsia="仿宋" w:cs="仿宋"/>
          <w:sz w:val="28"/>
        </w:rPr>
        <w:t xml:space="preserve">二   </w:t>
      </w:r>
      <w:bookmarkEnd w:id="108"/>
      <w:bookmarkEnd w:id="109"/>
      <w:bookmarkEnd w:id="110"/>
      <w:bookmarkEnd w:id="111"/>
      <w:r>
        <w:rPr>
          <w:rFonts w:hint="eastAsia" w:ascii="仿宋" w:hAnsi="仿宋" w:eastAsia="仿宋" w:cs="仿宋"/>
          <w:sz w:val="28"/>
        </w:rPr>
        <w:t>采购文件</w:t>
      </w:r>
      <w:bookmarkEnd w:id="112"/>
      <w:bookmarkEnd w:id="113"/>
      <w:bookmarkEnd w:id="114"/>
    </w:p>
    <w:p>
      <w:pPr>
        <w:pStyle w:val="11"/>
        <w:rPr>
          <w:rFonts w:ascii="仿宋" w:hAnsi="仿宋" w:eastAsia="仿宋" w:cs="仿宋"/>
        </w:rPr>
      </w:pPr>
    </w:p>
    <w:p>
      <w:pPr>
        <w:pStyle w:val="9"/>
        <w:spacing w:before="0" w:after="0" w:line="240" w:lineRule="atLeast"/>
        <w:outlineLvl w:val="1"/>
        <w:rPr>
          <w:rFonts w:ascii="仿宋" w:hAnsi="仿宋" w:eastAsia="仿宋" w:cs="仿宋"/>
          <w:u w:val="none"/>
        </w:rPr>
      </w:pPr>
      <w:bookmarkStart w:id="115" w:name="_Toc19005"/>
      <w:bookmarkStart w:id="116" w:name="_Toc22990"/>
      <w:bookmarkStart w:id="117" w:name="_Toc520356147"/>
      <w:bookmarkStart w:id="118" w:name="_Toc518923066"/>
      <w:bookmarkStart w:id="119" w:name="_Toc10395"/>
      <w:bookmarkStart w:id="120" w:name="_Toc26053"/>
      <w:bookmarkStart w:id="121" w:name="_Toc27254"/>
      <w:r>
        <w:rPr>
          <w:rFonts w:hint="eastAsia" w:ascii="仿宋" w:hAnsi="仿宋" w:eastAsia="仿宋" w:cs="仿宋"/>
          <w:u w:val="none"/>
        </w:rPr>
        <w:t>5.采购文件构成</w:t>
      </w:r>
      <w:bookmarkEnd w:id="115"/>
      <w:bookmarkEnd w:id="116"/>
      <w:bookmarkEnd w:id="117"/>
      <w:bookmarkEnd w:id="118"/>
      <w:bookmarkEnd w:id="119"/>
      <w:bookmarkEnd w:id="120"/>
      <w:bookmarkEnd w:id="121"/>
    </w:p>
    <w:p>
      <w:pPr>
        <w:spacing w:line="240" w:lineRule="atLeast"/>
        <w:ind w:left="900" w:hanging="900" w:hangingChars="375"/>
        <w:rPr>
          <w:rFonts w:ascii="仿宋" w:hAnsi="仿宋" w:eastAsia="仿宋" w:cs="仿宋"/>
          <w:sz w:val="24"/>
        </w:rPr>
      </w:pPr>
      <w:r>
        <w:rPr>
          <w:rFonts w:hint="eastAsia" w:ascii="仿宋" w:hAnsi="仿宋" w:eastAsia="仿宋" w:cs="仿宋"/>
          <w:sz w:val="24"/>
        </w:rPr>
        <w:t>5.1</w:t>
      </w:r>
      <w:r>
        <w:rPr>
          <w:rFonts w:hint="eastAsia" w:ascii="仿宋" w:hAnsi="仿宋" w:eastAsia="仿宋" w:cs="仿宋"/>
          <w:sz w:val="24"/>
        </w:rPr>
        <w:tab/>
      </w:r>
      <w:r>
        <w:rPr>
          <w:rFonts w:hint="eastAsia" w:ascii="仿宋" w:hAnsi="仿宋" w:eastAsia="仿宋" w:cs="仿宋"/>
          <w:sz w:val="24"/>
        </w:rPr>
        <w:t>采购文件分为三册共7章，内容如下：</w:t>
      </w:r>
    </w:p>
    <w:p>
      <w:pPr>
        <w:spacing w:line="240" w:lineRule="atLeast"/>
        <w:ind w:left="1079" w:leftChars="428" w:hanging="180" w:hangingChars="75"/>
        <w:outlineLvl w:val="0"/>
        <w:rPr>
          <w:rFonts w:ascii="仿宋" w:hAnsi="仿宋" w:eastAsia="仿宋" w:cs="仿宋"/>
          <w:sz w:val="24"/>
        </w:rPr>
      </w:pPr>
      <w:bookmarkStart w:id="122" w:name="_Toc11871"/>
      <w:bookmarkStart w:id="123" w:name="_Toc20395"/>
      <w:bookmarkStart w:id="124" w:name="_Toc8421"/>
      <w:bookmarkStart w:id="125" w:name="_Toc22649"/>
      <w:r>
        <w:rPr>
          <w:rFonts w:hint="eastAsia" w:ascii="仿宋" w:hAnsi="仿宋" w:eastAsia="仿宋" w:cs="仿宋"/>
          <w:sz w:val="24"/>
        </w:rPr>
        <w:t>第一册</w:t>
      </w:r>
      <w:bookmarkEnd w:id="122"/>
      <w:bookmarkEnd w:id="123"/>
      <w:bookmarkEnd w:id="124"/>
      <w:bookmarkEnd w:id="125"/>
      <w:r>
        <w:rPr>
          <w:rFonts w:hint="eastAsia" w:ascii="仿宋" w:hAnsi="仿宋" w:eastAsia="仿宋" w:cs="仿宋"/>
          <w:sz w:val="24"/>
        </w:rPr>
        <w:t xml:space="preserve"> </w:t>
      </w:r>
    </w:p>
    <w:p>
      <w:pPr>
        <w:spacing w:line="240" w:lineRule="atLeast"/>
        <w:ind w:left="901" w:leftChars="429"/>
        <w:rPr>
          <w:rFonts w:ascii="仿宋" w:hAnsi="仿宋" w:eastAsia="仿宋" w:cs="仿宋"/>
          <w:sz w:val="24"/>
        </w:rPr>
      </w:pPr>
      <w:r>
        <w:rPr>
          <w:rFonts w:hint="eastAsia" w:ascii="仿宋" w:hAnsi="仿宋" w:eastAsia="仿宋" w:cs="仿宋"/>
          <w:sz w:val="24"/>
        </w:rPr>
        <w:t>第1章  招标公告</w:t>
      </w:r>
    </w:p>
    <w:p>
      <w:pPr>
        <w:spacing w:line="240" w:lineRule="atLeast"/>
        <w:ind w:left="901"/>
        <w:rPr>
          <w:rFonts w:ascii="仿宋" w:hAnsi="仿宋" w:eastAsia="仿宋" w:cs="仿宋"/>
          <w:sz w:val="24"/>
        </w:rPr>
      </w:pPr>
      <w:r>
        <w:rPr>
          <w:rFonts w:hint="eastAsia" w:ascii="仿宋" w:hAnsi="仿宋" w:eastAsia="仿宋" w:cs="仿宋"/>
          <w:sz w:val="24"/>
        </w:rPr>
        <w:t>第2章　供应商须知资料表</w:t>
      </w:r>
    </w:p>
    <w:p>
      <w:pPr>
        <w:spacing w:line="240" w:lineRule="atLeast"/>
        <w:ind w:left="1081" w:leftChars="429" w:hanging="180"/>
        <w:rPr>
          <w:rFonts w:ascii="仿宋" w:hAnsi="仿宋" w:eastAsia="仿宋" w:cs="仿宋"/>
          <w:sz w:val="24"/>
        </w:rPr>
      </w:pPr>
      <w:r>
        <w:rPr>
          <w:rFonts w:hint="eastAsia" w:ascii="仿宋" w:hAnsi="仿宋" w:eastAsia="仿宋" w:cs="仿宋"/>
          <w:sz w:val="24"/>
        </w:rPr>
        <w:t>第二册</w:t>
      </w:r>
    </w:p>
    <w:p>
      <w:pPr>
        <w:numPr>
          <w:ilvl w:val="0"/>
          <w:numId w:val="3"/>
        </w:numPr>
        <w:spacing w:line="240" w:lineRule="atLeast"/>
        <w:ind w:left="901" w:leftChars="429"/>
        <w:rPr>
          <w:rFonts w:hint="eastAsia" w:ascii="仿宋" w:hAnsi="仿宋" w:eastAsia="仿宋" w:cs="仿宋"/>
          <w:sz w:val="24"/>
        </w:rPr>
      </w:pPr>
      <w:r>
        <w:rPr>
          <w:rFonts w:hint="eastAsia" w:ascii="仿宋" w:hAnsi="仿宋" w:eastAsia="仿宋" w:cs="仿宋"/>
          <w:sz w:val="24"/>
        </w:rPr>
        <w:t xml:space="preserve"> 供应商须知</w:t>
      </w:r>
    </w:p>
    <w:p>
      <w:pPr>
        <w:numPr>
          <w:ilvl w:val="0"/>
          <w:numId w:val="3"/>
        </w:numPr>
        <w:spacing w:line="240" w:lineRule="atLeast"/>
        <w:ind w:left="901" w:leftChars="429"/>
        <w:rPr>
          <w:rFonts w:ascii="仿宋" w:hAnsi="仿宋" w:eastAsia="仿宋" w:cs="仿宋"/>
          <w:sz w:val="24"/>
        </w:rPr>
      </w:pPr>
      <w:r>
        <w:rPr>
          <w:rFonts w:hint="eastAsia" w:ascii="仿宋" w:hAnsi="仿宋" w:eastAsia="仿宋" w:cs="仿宋"/>
          <w:sz w:val="24"/>
          <w:lang w:val="en-US" w:eastAsia="zh-CN"/>
        </w:rPr>
        <w:t xml:space="preserve"> </w:t>
      </w:r>
      <w:r>
        <w:rPr>
          <w:rFonts w:hint="eastAsia" w:ascii="仿宋" w:hAnsi="仿宋" w:eastAsia="仿宋" w:cs="仿宋"/>
          <w:sz w:val="24"/>
        </w:rPr>
        <w:t>投标文件格式</w:t>
      </w:r>
    </w:p>
    <w:p>
      <w:pPr>
        <w:spacing w:line="240" w:lineRule="atLeast"/>
        <w:ind w:left="901" w:leftChars="429"/>
        <w:rPr>
          <w:rFonts w:ascii="仿宋" w:hAnsi="仿宋" w:eastAsia="仿宋" w:cs="仿宋"/>
          <w:sz w:val="24"/>
        </w:rPr>
      </w:pPr>
      <w:r>
        <w:rPr>
          <w:rFonts w:hint="eastAsia" w:ascii="仿宋" w:hAnsi="仿宋" w:eastAsia="仿宋" w:cs="仿宋"/>
          <w:sz w:val="24"/>
        </w:rPr>
        <w:t>第5章  采购需求</w:t>
      </w:r>
    </w:p>
    <w:p>
      <w:pPr>
        <w:spacing w:line="240" w:lineRule="atLeast"/>
        <w:ind w:left="901" w:leftChars="429"/>
        <w:rPr>
          <w:rFonts w:ascii="仿宋" w:hAnsi="仿宋" w:eastAsia="仿宋" w:cs="仿宋"/>
          <w:sz w:val="24"/>
        </w:rPr>
      </w:pPr>
      <w:r>
        <w:rPr>
          <w:rFonts w:hint="eastAsia" w:ascii="仿宋" w:hAnsi="仿宋" w:eastAsia="仿宋" w:cs="仿宋"/>
          <w:sz w:val="24"/>
        </w:rPr>
        <w:t>第6章  评标方法和标准</w:t>
      </w:r>
    </w:p>
    <w:p>
      <w:pPr>
        <w:spacing w:line="240" w:lineRule="atLeast"/>
        <w:ind w:left="901"/>
        <w:rPr>
          <w:rFonts w:ascii="仿宋" w:hAnsi="仿宋" w:eastAsia="仿宋" w:cs="仿宋"/>
          <w:sz w:val="24"/>
        </w:rPr>
      </w:pPr>
      <w:r>
        <w:rPr>
          <w:rFonts w:hint="eastAsia" w:ascii="仿宋" w:hAnsi="仿宋" w:eastAsia="仿宋" w:cs="仿宋"/>
          <w:sz w:val="24"/>
        </w:rPr>
        <w:t>第三册</w:t>
      </w:r>
    </w:p>
    <w:p>
      <w:pPr>
        <w:spacing w:line="240" w:lineRule="atLeast"/>
        <w:ind w:left="901" w:leftChars="429"/>
        <w:outlineLvl w:val="0"/>
        <w:rPr>
          <w:rFonts w:ascii="仿宋" w:hAnsi="仿宋" w:eastAsia="仿宋" w:cs="仿宋"/>
          <w:sz w:val="24"/>
        </w:rPr>
      </w:pPr>
      <w:bookmarkStart w:id="126" w:name="_Toc25206"/>
      <w:bookmarkStart w:id="127" w:name="_Toc15422"/>
      <w:bookmarkStart w:id="128" w:name="_Toc3539"/>
      <w:bookmarkStart w:id="129" w:name="_Toc21991"/>
      <w:r>
        <w:rPr>
          <w:rFonts w:hint="eastAsia" w:ascii="仿宋" w:hAnsi="仿宋" w:eastAsia="仿宋" w:cs="仿宋"/>
          <w:sz w:val="24"/>
        </w:rPr>
        <w:t>第7章  政府采购合同</w:t>
      </w:r>
      <w:bookmarkEnd w:id="126"/>
      <w:bookmarkEnd w:id="127"/>
      <w:bookmarkEnd w:id="128"/>
      <w:bookmarkEnd w:id="129"/>
    </w:p>
    <w:p>
      <w:pPr>
        <w:spacing w:line="240" w:lineRule="atLeast"/>
        <w:ind w:left="900" w:hanging="900" w:hangingChars="375"/>
        <w:outlineLvl w:val="1"/>
        <w:rPr>
          <w:rFonts w:ascii="仿宋" w:hAnsi="仿宋" w:eastAsia="仿宋" w:cs="仿宋"/>
          <w:sz w:val="24"/>
        </w:rPr>
      </w:pPr>
      <w:bookmarkStart w:id="130" w:name="_Toc16592"/>
      <w:bookmarkStart w:id="131" w:name="_Toc23879"/>
      <w:bookmarkStart w:id="132" w:name="_Toc10317"/>
      <w:bookmarkStart w:id="133" w:name="_Toc18680"/>
      <w:r>
        <w:rPr>
          <w:rFonts w:hint="eastAsia" w:ascii="仿宋" w:hAnsi="仿宋" w:eastAsia="仿宋" w:cs="仿宋"/>
          <w:sz w:val="24"/>
        </w:rPr>
        <w:t>5.2</w:t>
      </w:r>
      <w:r>
        <w:rPr>
          <w:rFonts w:hint="eastAsia" w:ascii="仿宋" w:hAnsi="仿宋" w:eastAsia="仿宋" w:cs="仿宋"/>
          <w:sz w:val="24"/>
        </w:rPr>
        <w:tab/>
      </w:r>
      <w:r>
        <w:rPr>
          <w:rFonts w:hint="eastAsia" w:ascii="仿宋" w:hAnsi="仿宋" w:eastAsia="仿宋" w:cs="仿宋"/>
          <w:sz w:val="24"/>
        </w:rPr>
        <w:t>如本文件的前后内容不一致，以最后描述为准。</w:t>
      </w:r>
      <w:bookmarkEnd w:id="130"/>
      <w:bookmarkEnd w:id="131"/>
      <w:bookmarkEnd w:id="132"/>
      <w:bookmarkEnd w:id="133"/>
    </w:p>
    <w:p>
      <w:pPr>
        <w:spacing w:line="240" w:lineRule="atLeast"/>
        <w:ind w:left="900" w:hanging="900" w:hangingChars="375"/>
        <w:rPr>
          <w:rFonts w:ascii="仿宋" w:hAnsi="仿宋" w:eastAsia="仿宋" w:cs="仿宋"/>
          <w:sz w:val="24"/>
        </w:rPr>
      </w:pPr>
      <w:r>
        <w:rPr>
          <w:rFonts w:hint="eastAsia" w:ascii="仿宋" w:hAnsi="仿宋" w:eastAsia="仿宋" w:cs="仿宋"/>
          <w:sz w:val="24"/>
        </w:rPr>
        <w:t>5.3    供应商应认真阅读采购文件所有的事项、格式、条款和技术规范等。如供应商没有按照采购文件要求提交全部资料，或者投标文件没有对采购文件在各方面都做出实质性响应，可能导致其投标被认定为</w:t>
      </w:r>
      <w:r>
        <w:rPr>
          <w:rFonts w:hint="eastAsia" w:ascii="仿宋" w:hAnsi="仿宋" w:eastAsia="仿宋" w:cs="仿宋"/>
          <w:b/>
          <w:bCs/>
          <w:sz w:val="24"/>
        </w:rPr>
        <w:t>投标无效</w:t>
      </w:r>
      <w:r>
        <w:rPr>
          <w:rFonts w:hint="eastAsia" w:ascii="仿宋" w:hAnsi="仿宋" w:eastAsia="仿宋" w:cs="仿宋"/>
          <w:sz w:val="24"/>
        </w:rPr>
        <w:t>。</w:t>
      </w:r>
    </w:p>
    <w:p>
      <w:pPr>
        <w:pStyle w:val="9"/>
        <w:spacing w:before="0" w:after="0" w:line="240" w:lineRule="atLeast"/>
        <w:rPr>
          <w:rFonts w:ascii="仿宋" w:hAnsi="仿宋" w:eastAsia="仿宋" w:cs="仿宋"/>
          <w:b w:val="0"/>
          <w:u w:val="none"/>
        </w:rPr>
      </w:pPr>
      <w:bookmarkStart w:id="134" w:name="_Toc520356148"/>
      <w:bookmarkStart w:id="135" w:name="_Toc21314"/>
      <w:bookmarkStart w:id="136" w:name="_Toc518923067"/>
      <w:r>
        <w:rPr>
          <w:rFonts w:hint="eastAsia" w:ascii="仿宋" w:hAnsi="仿宋" w:eastAsia="仿宋" w:cs="仿宋"/>
          <w:u w:val="none"/>
        </w:rPr>
        <w:t>6.采购文件的澄清</w:t>
      </w:r>
      <w:bookmarkEnd w:id="134"/>
      <w:r>
        <w:rPr>
          <w:rFonts w:hint="eastAsia" w:ascii="仿宋" w:hAnsi="仿宋" w:eastAsia="仿宋" w:cs="仿宋"/>
          <w:u w:val="none"/>
        </w:rPr>
        <w:t>与修改</w:t>
      </w:r>
      <w:bookmarkEnd w:id="135"/>
      <w:bookmarkEnd w:id="136"/>
    </w:p>
    <w:p>
      <w:pPr>
        <w:pStyle w:val="11"/>
        <w:ind w:left="840" w:hanging="840" w:hangingChars="350"/>
        <w:rPr>
          <w:rFonts w:ascii="仿宋" w:hAnsi="仿宋" w:eastAsia="仿宋" w:cs="仿宋"/>
          <w:szCs w:val="24"/>
        </w:rPr>
      </w:pPr>
      <w:r>
        <w:rPr>
          <w:rFonts w:hint="eastAsia" w:ascii="仿宋" w:hAnsi="仿宋" w:eastAsia="仿宋" w:cs="仿宋"/>
          <w:szCs w:val="24"/>
        </w:rPr>
        <w:t>6.1    为了保证对采购文件的澄清和修改满足法律的时限要求，任何要求对采购文件进行澄清的供应商，均应在投标截止期十五日前，以书面形式将澄清要求通知采购人或采购代理机构。</w:t>
      </w:r>
    </w:p>
    <w:p>
      <w:pPr>
        <w:pStyle w:val="11"/>
        <w:ind w:left="840" w:hanging="840" w:hangingChars="350"/>
        <w:rPr>
          <w:rFonts w:ascii="仿宋" w:hAnsi="仿宋" w:eastAsia="仿宋" w:cs="仿宋"/>
          <w:szCs w:val="24"/>
        </w:rPr>
      </w:pPr>
      <w:bookmarkStart w:id="137" w:name="_Toc520356149"/>
      <w:bookmarkStart w:id="138" w:name="_Ref467378678"/>
      <w:r>
        <w:rPr>
          <w:rFonts w:hint="eastAsia" w:ascii="仿宋" w:hAnsi="仿宋" w:eastAsia="仿宋" w:cs="仿宋"/>
          <w:szCs w:val="24"/>
        </w:rPr>
        <w:t>6.2</w:t>
      </w:r>
      <w:r>
        <w:rPr>
          <w:rFonts w:hint="eastAsia" w:ascii="仿宋" w:hAnsi="仿宋" w:eastAsia="仿宋" w:cs="仿宋"/>
          <w:szCs w:val="24"/>
        </w:rPr>
        <w:tab/>
      </w:r>
      <w:r>
        <w:rPr>
          <w:rFonts w:hint="eastAsia" w:ascii="仿宋" w:hAnsi="仿宋" w:eastAsia="仿宋" w:cs="仿宋"/>
          <w:szCs w:val="24"/>
        </w:rPr>
        <w:t>采购人可主动地或在解答供应商提出的澄清问题时对采购文件澄清或修改。采购代理机构将以发布澄清（更正）公告的方式，澄清或修改采购文件，澄清或修改内容作为采购文件的组成部分。</w:t>
      </w:r>
    </w:p>
    <w:p>
      <w:pPr>
        <w:pStyle w:val="11"/>
        <w:ind w:left="840" w:hanging="840" w:hangingChars="350"/>
        <w:rPr>
          <w:rFonts w:ascii="仿宋" w:hAnsi="仿宋" w:eastAsia="仿宋" w:cs="仿宋"/>
          <w:szCs w:val="24"/>
        </w:rPr>
      </w:pPr>
      <w:r>
        <w:rPr>
          <w:rFonts w:hint="eastAsia" w:ascii="仿宋" w:hAnsi="仿宋" w:eastAsia="仿宋" w:cs="仿宋"/>
          <w:szCs w:val="24"/>
        </w:rPr>
        <w:t>6.3</w:t>
      </w:r>
      <w:r>
        <w:rPr>
          <w:rFonts w:hint="eastAsia" w:ascii="仿宋" w:hAnsi="仿宋" w:eastAsia="仿宋" w:cs="仿宋"/>
          <w:szCs w:val="24"/>
        </w:rPr>
        <w:tab/>
      </w:r>
      <w:r>
        <w:rPr>
          <w:rFonts w:hint="eastAsia" w:ascii="仿宋" w:hAnsi="仿宋" w:eastAsia="仿宋" w:cs="仿宋"/>
          <w:szCs w:val="24"/>
        </w:rPr>
        <w:t>澄清或者修改的内容可能影响投标文件编制的，采购代理机构将以发布澄清（更正）公告的方式告知所有潜在供应商，并对其具有约束力。</w:t>
      </w:r>
    </w:p>
    <w:p>
      <w:pPr>
        <w:pStyle w:val="9"/>
        <w:tabs>
          <w:tab w:val="left" w:pos="900"/>
        </w:tabs>
        <w:spacing w:before="0" w:after="0" w:line="240" w:lineRule="atLeast"/>
        <w:rPr>
          <w:rFonts w:ascii="仿宋" w:hAnsi="仿宋" w:eastAsia="仿宋" w:cs="仿宋"/>
          <w:u w:val="none"/>
        </w:rPr>
      </w:pPr>
      <w:bookmarkStart w:id="139" w:name="_Toc518923068"/>
      <w:bookmarkStart w:id="140" w:name="_Toc10994"/>
      <w:r>
        <w:rPr>
          <w:rFonts w:hint="eastAsia" w:ascii="仿宋" w:hAnsi="仿宋" w:eastAsia="仿宋" w:cs="仿宋"/>
          <w:u w:val="none"/>
        </w:rPr>
        <w:t>7</w:t>
      </w:r>
      <w:bookmarkEnd w:id="137"/>
      <w:bookmarkEnd w:id="138"/>
      <w:r>
        <w:rPr>
          <w:rFonts w:hint="eastAsia" w:ascii="仿宋" w:hAnsi="仿宋" w:eastAsia="仿宋" w:cs="仿宋"/>
          <w:u w:val="none"/>
        </w:rPr>
        <w:t>.投标截止时间的顺延</w:t>
      </w:r>
      <w:bookmarkEnd w:id="139"/>
      <w:bookmarkEnd w:id="140"/>
    </w:p>
    <w:p>
      <w:pPr>
        <w:spacing w:line="240" w:lineRule="atLeast"/>
        <w:ind w:left="900" w:hanging="900" w:hangingChars="375"/>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为使供应商准备投标时有足够的时间对采购文件的澄清或者修改部分进行研究，采购人将依法决定是否顺延投标截止时间。</w:t>
      </w:r>
    </w:p>
    <w:p>
      <w:pPr>
        <w:spacing w:line="240" w:lineRule="atLeast"/>
        <w:ind w:left="900" w:hanging="900" w:hangingChars="375"/>
        <w:rPr>
          <w:rFonts w:ascii="仿宋" w:hAnsi="仿宋" w:eastAsia="仿宋" w:cs="仿宋"/>
          <w:sz w:val="24"/>
        </w:rPr>
      </w:pPr>
    </w:p>
    <w:p>
      <w:pPr>
        <w:pStyle w:val="8"/>
        <w:tabs>
          <w:tab w:val="left" w:pos="900"/>
        </w:tabs>
        <w:spacing w:before="0" w:line="240" w:lineRule="atLeast"/>
        <w:ind w:left="1080" w:leftChars="257" w:hanging="540"/>
        <w:rPr>
          <w:rFonts w:ascii="仿宋" w:hAnsi="仿宋" w:eastAsia="仿宋" w:cs="仿宋"/>
          <w:sz w:val="28"/>
        </w:rPr>
      </w:pPr>
      <w:bookmarkStart w:id="141" w:name="_Toc516367020"/>
      <w:bookmarkStart w:id="142" w:name="_Toc518923069"/>
      <w:bookmarkStart w:id="143" w:name="_Toc5503"/>
      <w:bookmarkStart w:id="144" w:name="_Toc25389"/>
      <w:bookmarkStart w:id="145" w:name="_Toc12637"/>
      <w:bookmarkStart w:id="146" w:name="_Toc216582807"/>
      <w:bookmarkStart w:id="147" w:name="_Toc520356150"/>
      <w:bookmarkStart w:id="148" w:name="_Toc17097"/>
      <w:r>
        <w:rPr>
          <w:rFonts w:hint="eastAsia" w:ascii="仿宋" w:hAnsi="仿宋" w:eastAsia="仿宋" w:cs="仿宋"/>
          <w:sz w:val="28"/>
        </w:rPr>
        <w:t>三   投标文件</w:t>
      </w:r>
      <w:bookmarkEnd w:id="141"/>
      <w:r>
        <w:rPr>
          <w:rFonts w:hint="eastAsia" w:ascii="仿宋" w:hAnsi="仿宋" w:eastAsia="仿宋" w:cs="仿宋"/>
          <w:sz w:val="28"/>
        </w:rPr>
        <w:t>的编制</w:t>
      </w:r>
      <w:bookmarkEnd w:id="142"/>
      <w:bookmarkEnd w:id="143"/>
      <w:bookmarkEnd w:id="144"/>
      <w:bookmarkEnd w:id="145"/>
      <w:bookmarkEnd w:id="146"/>
      <w:bookmarkEnd w:id="147"/>
      <w:bookmarkEnd w:id="148"/>
    </w:p>
    <w:p>
      <w:pPr>
        <w:pStyle w:val="11"/>
        <w:rPr>
          <w:rFonts w:ascii="仿宋" w:hAnsi="仿宋" w:eastAsia="仿宋" w:cs="仿宋"/>
        </w:rPr>
      </w:pPr>
    </w:p>
    <w:p>
      <w:pPr>
        <w:pStyle w:val="9"/>
        <w:tabs>
          <w:tab w:val="left" w:pos="900"/>
        </w:tabs>
        <w:spacing w:before="0" w:after="0" w:line="240" w:lineRule="atLeast"/>
        <w:rPr>
          <w:rFonts w:ascii="仿宋" w:hAnsi="仿宋" w:eastAsia="仿宋" w:cs="仿宋"/>
          <w:u w:val="none"/>
        </w:rPr>
      </w:pPr>
      <w:bookmarkStart w:id="149" w:name="_Toc516367021"/>
      <w:bookmarkStart w:id="150" w:name="_Toc518923070"/>
      <w:bookmarkStart w:id="151" w:name="_Toc520356151"/>
      <w:bookmarkStart w:id="152" w:name="_Toc6728"/>
      <w:r>
        <w:rPr>
          <w:rFonts w:hint="eastAsia" w:ascii="仿宋" w:hAnsi="仿宋" w:eastAsia="仿宋" w:cs="仿宋"/>
          <w:u w:val="none"/>
        </w:rPr>
        <w:t>8.投标范围及投标文件中标准和计量单位的使用</w:t>
      </w:r>
      <w:bookmarkEnd w:id="149"/>
      <w:bookmarkEnd w:id="150"/>
      <w:bookmarkEnd w:id="151"/>
      <w:bookmarkEnd w:id="152"/>
    </w:p>
    <w:p>
      <w:pPr>
        <w:spacing w:line="240" w:lineRule="atLeast"/>
        <w:ind w:left="900" w:hanging="900" w:hangingChars="375"/>
        <w:rPr>
          <w:rFonts w:ascii="仿宋" w:hAnsi="仿宋" w:eastAsia="仿宋" w:cs="仿宋"/>
          <w:sz w:val="24"/>
        </w:rPr>
      </w:pPr>
      <w:r>
        <w:rPr>
          <w:rFonts w:hint="eastAsia" w:ascii="仿宋" w:hAnsi="仿宋" w:eastAsia="仿宋" w:cs="仿宋"/>
          <w:sz w:val="24"/>
        </w:rPr>
        <w:t>8.1</w:t>
      </w:r>
      <w:r>
        <w:rPr>
          <w:rFonts w:hint="eastAsia" w:ascii="仿宋" w:hAnsi="仿宋" w:eastAsia="仿宋" w:cs="仿宋"/>
          <w:sz w:val="24"/>
        </w:rPr>
        <w:tab/>
      </w:r>
      <w:r>
        <w:rPr>
          <w:rFonts w:hint="eastAsia" w:ascii="仿宋" w:hAnsi="仿宋" w:eastAsia="仿宋" w:cs="仿宋"/>
          <w:sz w:val="24"/>
        </w:rPr>
        <w:t>项目有分包的，供应商可对采购文件其中一个或几个分包进行投标，除非在</w:t>
      </w:r>
      <w:r>
        <w:rPr>
          <w:rFonts w:hint="eastAsia" w:ascii="仿宋" w:hAnsi="仿宋" w:eastAsia="仿宋" w:cs="仿宋"/>
          <w:sz w:val="24"/>
          <w:u w:val="single"/>
        </w:rPr>
        <w:t>供应商须知资料表</w:t>
      </w:r>
      <w:r>
        <w:rPr>
          <w:rFonts w:hint="eastAsia" w:ascii="仿宋" w:hAnsi="仿宋" w:eastAsia="仿宋" w:cs="仿宋"/>
          <w:sz w:val="24"/>
        </w:rPr>
        <w:t>中另有规定。</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8.2    供应商应当对所投分包采购文件中“采购需求”所列的所有服务内容进行投标，如仅响应分包中的部分内容，其投标将被认定为</w:t>
      </w:r>
      <w:r>
        <w:rPr>
          <w:rFonts w:hint="eastAsia" w:ascii="仿宋" w:hAnsi="仿宋" w:eastAsia="仿宋" w:cs="仿宋"/>
          <w:b/>
          <w:bCs/>
          <w:sz w:val="24"/>
        </w:rPr>
        <w:t>投标无效</w:t>
      </w:r>
      <w:r>
        <w:rPr>
          <w:rFonts w:hint="eastAsia" w:ascii="仿宋" w:hAnsi="仿宋" w:eastAsia="仿宋" w:cs="仿宋"/>
          <w:sz w:val="24"/>
        </w:rPr>
        <w:t>。</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8.3     无论采购文件第5章采购需求中是否要求，供应商所投服务均应符合国家强制性标准。</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8.4     除采购文件中有特殊要求外，投标文件中所使用的计量单位，应采用中华人民共和国法定计量单位。</w:t>
      </w:r>
    </w:p>
    <w:p>
      <w:pPr>
        <w:pStyle w:val="9"/>
        <w:tabs>
          <w:tab w:val="left" w:pos="900"/>
        </w:tabs>
        <w:spacing w:before="0" w:after="0" w:line="240" w:lineRule="atLeast"/>
        <w:rPr>
          <w:rFonts w:ascii="仿宋" w:hAnsi="仿宋" w:eastAsia="仿宋" w:cs="仿宋"/>
          <w:u w:val="none"/>
        </w:rPr>
      </w:pPr>
      <w:bookmarkStart w:id="153" w:name="_Ref467306195"/>
      <w:bookmarkStart w:id="154" w:name="_Ref467306676"/>
      <w:bookmarkStart w:id="155" w:name="_Toc516367022"/>
      <w:bookmarkStart w:id="156" w:name="_Toc15487"/>
      <w:bookmarkStart w:id="157" w:name="_Toc520356152"/>
      <w:bookmarkStart w:id="158" w:name="_Toc518923071"/>
      <w:r>
        <w:rPr>
          <w:rFonts w:hint="eastAsia" w:ascii="仿宋" w:hAnsi="仿宋" w:eastAsia="仿宋" w:cs="仿宋"/>
          <w:u w:val="none"/>
        </w:rPr>
        <w:t>9.投标文件</w:t>
      </w:r>
      <w:bookmarkEnd w:id="153"/>
      <w:bookmarkEnd w:id="154"/>
      <w:bookmarkEnd w:id="155"/>
      <w:r>
        <w:rPr>
          <w:rFonts w:hint="eastAsia" w:ascii="仿宋" w:hAnsi="仿宋" w:eastAsia="仿宋" w:cs="仿宋"/>
          <w:u w:val="none"/>
        </w:rPr>
        <w:t>构成</w:t>
      </w:r>
      <w:bookmarkEnd w:id="156"/>
      <w:bookmarkEnd w:id="157"/>
      <w:bookmarkEnd w:id="158"/>
    </w:p>
    <w:p>
      <w:pPr>
        <w:tabs>
          <w:tab w:val="left" w:pos="900"/>
          <w:tab w:val="left" w:pos="5580"/>
        </w:tabs>
        <w:spacing w:line="240" w:lineRule="atLeast"/>
        <w:ind w:left="960" w:hanging="960" w:hangingChars="400"/>
        <w:jc w:val="left"/>
        <w:rPr>
          <w:rFonts w:ascii="仿宋" w:hAnsi="仿宋" w:eastAsia="仿宋" w:cs="仿宋"/>
          <w:sz w:val="24"/>
          <w:u w:val="single"/>
        </w:rPr>
      </w:pPr>
      <w:bookmarkStart w:id="159" w:name="_Ref467052588"/>
      <w:r>
        <w:rPr>
          <w:rFonts w:hint="eastAsia" w:ascii="仿宋" w:hAnsi="仿宋" w:eastAsia="仿宋" w:cs="仿宋"/>
          <w:sz w:val="24"/>
        </w:rPr>
        <w:t xml:space="preserve">9.1    </w:t>
      </w:r>
      <w:r>
        <w:rPr>
          <w:rFonts w:hint="eastAsia" w:ascii="仿宋" w:hAnsi="仿宋" w:eastAsia="仿宋" w:cs="仿宋"/>
          <w:color w:val="FF0000"/>
          <w:sz w:val="24"/>
          <w:u w:val="single"/>
        </w:rPr>
        <w:t xml:space="preserve"> </w:t>
      </w:r>
      <w:r>
        <w:rPr>
          <w:rFonts w:hint="eastAsia" w:ascii="仿宋" w:hAnsi="仿宋" w:eastAsia="仿宋" w:cs="仿宋"/>
          <w:b/>
          <w:bCs/>
          <w:sz w:val="24"/>
          <w:u w:val="single"/>
        </w:rPr>
        <w:t>供应商应完整地按采购文件提供的投标文件格式及要求编写投标文件，投标文件应包括</w:t>
      </w:r>
      <w:bookmarkEnd w:id="159"/>
      <w:r>
        <w:rPr>
          <w:rFonts w:hint="eastAsia" w:ascii="仿宋" w:hAnsi="仿宋" w:eastAsia="仿宋" w:cs="仿宋"/>
          <w:b/>
          <w:bCs/>
          <w:sz w:val="24"/>
          <w:u w:val="single"/>
        </w:rPr>
        <w:t>“报价单”、“商务资信投标文件”和“技术投标方案”三部分。</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9.2    上述文件应按照采购文件规定的格式填写、签署和盖章。若供应商未依照要求制作投标文件的，则视为不响应采购文件编制投标文件的要求，</w:t>
      </w:r>
      <w:r>
        <w:rPr>
          <w:rFonts w:hint="eastAsia" w:ascii="仿宋" w:hAnsi="仿宋" w:eastAsia="仿宋" w:cs="仿宋"/>
          <w:b/>
          <w:bCs/>
          <w:sz w:val="24"/>
        </w:rPr>
        <w:t>为无效投标。</w:t>
      </w:r>
    </w:p>
    <w:p>
      <w:pPr>
        <w:pStyle w:val="9"/>
        <w:tabs>
          <w:tab w:val="left" w:pos="900"/>
        </w:tabs>
        <w:spacing w:before="0" w:after="0" w:line="240" w:lineRule="atLeast"/>
        <w:rPr>
          <w:rFonts w:ascii="仿宋" w:hAnsi="仿宋" w:eastAsia="仿宋" w:cs="仿宋"/>
          <w:bCs/>
          <w:kern w:val="2"/>
          <w:szCs w:val="24"/>
          <w:u w:val="none"/>
        </w:rPr>
      </w:pPr>
      <w:bookmarkStart w:id="160" w:name="_Toc520356153"/>
      <w:bookmarkStart w:id="161" w:name="_Toc508185920"/>
      <w:bookmarkStart w:id="162" w:name="_Toc2671"/>
      <w:bookmarkStart w:id="163" w:name="_Toc516367023"/>
      <w:bookmarkStart w:id="164" w:name="_Toc518923072"/>
      <w:bookmarkStart w:id="165" w:name="_Toc520356155"/>
      <w:r>
        <w:rPr>
          <w:rFonts w:hint="eastAsia" w:ascii="仿宋" w:hAnsi="仿宋" w:eastAsia="仿宋" w:cs="仿宋"/>
          <w:u w:val="none"/>
        </w:rPr>
        <w:t>10.</w:t>
      </w:r>
      <w:bookmarkEnd w:id="160"/>
      <w:bookmarkEnd w:id="161"/>
      <w:bookmarkEnd w:id="162"/>
      <w:bookmarkEnd w:id="163"/>
      <w:bookmarkEnd w:id="164"/>
      <w:r>
        <w:rPr>
          <w:rFonts w:hint="eastAsia" w:ascii="仿宋" w:hAnsi="仿宋" w:eastAsia="仿宋" w:cs="仿宋"/>
          <w:bCs/>
          <w:kern w:val="2"/>
          <w:szCs w:val="24"/>
          <w:u w:val="none"/>
        </w:rPr>
        <w:t>证明投标标的的合格性和符合采购文件规定的技术文件</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10.1</w:t>
      </w:r>
      <w:r>
        <w:rPr>
          <w:rFonts w:hint="eastAsia" w:ascii="仿宋" w:hAnsi="仿宋" w:eastAsia="仿宋" w:cs="仿宋"/>
          <w:sz w:val="24"/>
        </w:rPr>
        <w:tab/>
      </w:r>
      <w:r>
        <w:rPr>
          <w:rFonts w:hint="eastAsia" w:ascii="仿宋" w:hAnsi="仿宋" w:eastAsia="仿宋" w:cs="仿宋"/>
          <w:sz w:val="24"/>
        </w:rPr>
        <w:t>供应商应提交证明文件，证明其投标内容符合采购文件规定。该证明文件是投标文件的一部分。</w:t>
      </w:r>
    </w:p>
    <w:p>
      <w:pPr>
        <w:spacing w:line="240" w:lineRule="atLeast"/>
        <w:ind w:left="900" w:hanging="900" w:hangingChars="375"/>
        <w:outlineLvl w:val="1"/>
        <w:rPr>
          <w:rFonts w:ascii="仿宋" w:hAnsi="仿宋" w:eastAsia="仿宋" w:cs="仿宋"/>
          <w:sz w:val="24"/>
        </w:rPr>
      </w:pPr>
      <w:bookmarkStart w:id="166" w:name="_Ref467306244"/>
      <w:bookmarkStart w:id="167" w:name="_Toc7735"/>
      <w:bookmarkStart w:id="168" w:name="_Toc27759"/>
      <w:bookmarkStart w:id="169" w:name="_Toc26194"/>
      <w:bookmarkStart w:id="170" w:name="_Toc2999"/>
      <w:r>
        <w:rPr>
          <w:rFonts w:hint="eastAsia" w:ascii="仿宋" w:hAnsi="仿宋" w:eastAsia="仿宋" w:cs="仿宋"/>
          <w:sz w:val="24"/>
        </w:rPr>
        <w:t>10.2</w:t>
      </w:r>
      <w:r>
        <w:rPr>
          <w:rFonts w:hint="eastAsia" w:ascii="仿宋" w:hAnsi="仿宋" w:eastAsia="仿宋" w:cs="仿宋"/>
          <w:sz w:val="24"/>
        </w:rPr>
        <w:tab/>
      </w:r>
      <w:r>
        <w:rPr>
          <w:rFonts w:hint="eastAsia" w:ascii="仿宋" w:hAnsi="仿宋" w:eastAsia="仿宋" w:cs="仿宋"/>
          <w:sz w:val="24"/>
        </w:rPr>
        <w:t>上款所述的证明文件，可以是文字资料、图纸和数据</w:t>
      </w:r>
      <w:bookmarkEnd w:id="166"/>
      <w:r>
        <w:rPr>
          <w:rFonts w:hint="eastAsia" w:ascii="仿宋" w:hAnsi="仿宋" w:eastAsia="仿宋" w:cs="仿宋"/>
          <w:sz w:val="24"/>
        </w:rPr>
        <w:t>。</w:t>
      </w:r>
      <w:bookmarkEnd w:id="167"/>
      <w:bookmarkEnd w:id="168"/>
      <w:bookmarkEnd w:id="169"/>
      <w:bookmarkEnd w:id="170"/>
    </w:p>
    <w:p>
      <w:pPr>
        <w:pStyle w:val="9"/>
        <w:spacing w:before="0" w:after="0" w:line="240" w:lineRule="atLeast"/>
        <w:rPr>
          <w:rFonts w:ascii="仿宋" w:hAnsi="仿宋" w:eastAsia="仿宋" w:cs="仿宋"/>
          <w:u w:val="none"/>
        </w:rPr>
      </w:pPr>
      <w:bookmarkStart w:id="171" w:name="_Toc518923073"/>
      <w:bookmarkStart w:id="172" w:name="_Toc8529"/>
      <w:r>
        <w:rPr>
          <w:rFonts w:hint="eastAsia" w:ascii="仿宋" w:hAnsi="仿宋" w:eastAsia="仿宋" w:cs="仿宋"/>
          <w:u w:val="none"/>
        </w:rPr>
        <w:t>11.投标报价</w:t>
      </w:r>
      <w:bookmarkEnd w:id="165"/>
      <w:bookmarkEnd w:id="171"/>
      <w:bookmarkEnd w:id="172"/>
    </w:p>
    <w:p>
      <w:pPr>
        <w:spacing w:line="240" w:lineRule="atLeast"/>
        <w:ind w:left="900" w:hanging="900" w:hangingChars="375"/>
        <w:rPr>
          <w:rFonts w:ascii="仿宋" w:hAnsi="仿宋" w:eastAsia="仿宋" w:cs="仿宋"/>
          <w:sz w:val="24"/>
        </w:rPr>
      </w:pPr>
      <w:r>
        <w:rPr>
          <w:rFonts w:hint="eastAsia" w:ascii="仿宋" w:hAnsi="仿宋" w:eastAsia="仿宋" w:cs="仿宋"/>
          <w:sz w:val="24"/>
        </w:rPr>
        <w:t>11.1</w:t>
      </w:r>
      <w:r>
        <w:rPr>
          <w:rFonts w:hint="eastAsia" w:ascii="仿宋" w:hAnsi="仿宋" w:eastAsia="仿宋" w:cs="仿宋"/>
          <w:sz w:val="24"/>
        </w:rPr>
        <w:tab/>
      </w:r>
      <w:r>
        <w:rPr>
          <w:rFonts w:hint="eastAsia" w:ascii="仿宋" w:hAnsi="仿宋" w:eastAsia="仿宋" w:cs="仿宋"/>
          <w:sz w:val="24"/>
        </w:rPr>
        <w:t>所有投标均以人民币报价。供应商的投标报价应遵守《中华人民共和国价格法》。同时，根据《中华人民共和国政府采购法》第二条的规定，为保证公平竞争，如有主体投标标的的赠与行为，其投标将被认定为</w:t>
      </w:r>
      <w:r>
        <w:rPr>
          <w:rFonts w:hint="eastAsia" w:ascii="仿宋" w:hAnsi="仿宋" w:eastAsia="仿宋" w:cs="仿宋"/>
          <w:b/>
          <w:bCs/>
          <w:sz w:val="24"/>
        </w:rPr>
        <w:t>投标无效</w:t>
      </w:r>
      <w:r>
        <w:rPr>
          <w:rFonts w:hint="eastAsia" w:ascii="仿宋" w:hAnsi="仿宋" w:eastAsia="仿宋" w:cs="仿宋"/>
          <w:sz w:val="24"/>
        </w:rPr>
        <w:t>。</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11.2</w:t>
      </w:r>
      <w:r>
        <w:rPr>
          <w:rFonts w:hint="eastAsia" w:ascii="仿宋" w:hAnsi="仿宋" w:eastAsia="仿宋" w:cs="仿宋"/>
          <w:sz w:val="24"/>
        </w:rPr>
        <w:tab/>
      </w:r>
      <w:r>
        <w:rPr>
          <w:rFonts w:hint="eastAsia" w:ascii="仿宋" w:hAnsi="仿宋" w:eastAsia="仿宋" w:cs="仿宋"/>
          <w:sz w:val="24"/>
        </w:rPr>
        <w:t>供应商应在投标分项</w:t>
      </w:r>
      <w:r>
        <w:rPr>
          <w:rFonts w:hint="eastAsia" w:ascii="仿宋" w:hAnsi="仿宋" w:eastAsia="仿宋" w:cs="仿宋"/>
          <w:sz w:val="24"/>
          <w:lang w:eastAsia="zh-CN"/>
        </w:rPr>
        <w:t>报价单</w:t>
      </w:r>
      <w:r>
        <w:rPr>
          <w:rFonts w:hint="eastAsia" w:ascii="仿宋" w:hAnsi="仿宋" w:eastAsia="仿宋" w:cs="仿宋"/>
          <w:sz w:val="24"/>
        </w:rPr>
        <w:t>上标明招标项目的总价，并由法定代表人或其委托代理人签署。</w:t>
      </w:r>
    </w:p>
    <w:p>
      <w:pPr>
        <w:spacing w:line="240" w:lineRule="atLeast"/>
        <w:ind w:left="900" w:hanging="900" w:hangingChars="375"/>
        <w:outlineLvl w:val="1"/>
        <w:rPr>
          <w:rFonts w:ascii="仿宋" w:hAnsi="仿宋" w:eastAsia="仿宋" w:cs="仿宋"/>
          <w:sz w:val="24"/>
        </w:rPr>
      </w:pPr>
      <w:bookmarkStart w:id="173" w:name="_Toc15382"/>
      <w:bookmarkStart w:id="174" w:name="_Toc19205"/>
      <w:bookmarkStart w:id="175" w:name="_Toc7536"/>
      <w:bookmarkStart w:id="176" w:name="_Toc16251"/>
      <w:r>
        <w:rPr>
          <w:rFonts w:hint="eastAsia" w:ascii="仿宋" w:hAnsi="仿宋" w:eastAsia="仿宋" w:cs="仿宋"/>
          <w:sz w:val="24"/>
        </w:rPr>
        <w:t>11.3</w:t>
      </w:r>
      <w:r>
        <w:rPr>
          <w:rFonts w:hint="eastAsia" w:ascii="仿宋" w:hAnsi="仿宋" w:eastAsia="仿宋" w:cs="仿宋"/>
          <w:sz w:val="24"/>
        </w:rPr>
        <w:tab/>
      </w:r>
      <w:r>
        <w:rPr>
          <w:rFonts w:hint="eastAsia" w:ascii="仿宋" w:hAnsi="仿宋" w:eastAsia="仿宋" w:cs="仿宋"/>
          <w:sz w:val="24"/>
        </w:rPr>
        <w:t>采购人不接受具有附加条件的报价。</w:t>
      </w:r>
      <w:bookmarkEnd w:id="173"/>
      <w:bookmarkEnd w:id="174"/>
      <w:bookmarkEnd w:id="175"/>
      <w:bookmarkEnd w:id="176"/>
    </w:p>
    <w:p>
      <w:pPr>
        <w:spacing w:line="240" w:lineRule="atLeast"/>
        <w:ind w:left="900" w:hanging="900" w:hangingChars="375"/>
        <w:rPr>
          <w:rFonts w:ascii="仿宋" w:hAnsi="仿宋" w:eastAsia="仿宋" w:cs="仿宋"/>
          <w:sz w:val="24"/>
        </w:rPr>
      </w:pPr>
      <w:r>
        <w:rPr>
          <w:rFonts w:hint="eastAsia" w:ascii="仿宋" w:hAnsi="仿宋" w:eastAsia="仿宋" w:cs="仿宋"/>
          <w:sz w:val="24"/>
        </w:rPr>
        <w:t>11.4</w:t>
      </w:r>
      <w:r>
        <w:rPr>
          <w:rFonts w:hint="eastAsia" w:ascii="仿宋" w:hAnsi="仿宋" w:eastAsia="仿宋" w:cs="仿宋"/>
          <w:sz w:val="24"/>
        </w:rPr>
        <w:tab/>
      </w:r>
      <w:r>
        <w:rPr>
          <w:rFonts w:hint="eastAsia" w:ascii="仿宋" w:hAnsi="仿宋" w:eastAsia="仿宋" w:cs="仿宋"/>
          <w:sz w:val="24"/>
        </w:rPr>
        <w:t>供应商所报的投标报价在合同履行过程中是固定不变的，不得以任何理由予以变更。任何包含价格调整要求的投标，将被认定为投标无效。</w:t>
      </w:r>
    </w:p>
    <w:p>
      <w:pPr>
        <w:pStyle w:val="9"/>
        <w:spacing w:before="0" w:after="0" w:line="240" w:lineRule="atLeast"/>
        <w:rPr>
          <w:rFonts w:ascii="仿宋" w:hAnsi="仿宋" w:eastAsia="仿宋" w:cs="仿宋"/>
          <w:u w:val="none"/>
        </w:rPr>
      </w:pPr>
      <w:bookmarkStart w:id="177" w:name="_Ref467306513"/>
      <w:bookmarkStart w:id="178" w:name="_Toc520356156"/>
      <w:bookmarkStart w:id="179" w:name="_Toc16199"/>
      <w:bookmarkStart w:id="180" w:name="_Toc518923074"/>
      <w:r>
        <w:rPr>
          <w:rFonts w:hint="eastAsia" w:ascii="仿宋" w:hAnsi="仿宋" w:eastAsia="仿宋" w:cs="仿宋"/>
          <w:u w:val="none"/>
        </w:rPr>
        <w:t>12.投标保证金</w:t>
      </w:r>
      <w:bookmarkEnd w:id="177"/>
      <w:bookmarkEnd w:id="178"/>
      <w:bookmarkEnd w:id="179"/>
      <w:bookmarkEnd w:id="180"/>
    </w:p>
    <w:p>
      <w:pPr>
        <w:spacing w:line="240" w:lineRule="atLeast"/>
        <w:ind w:left="900" w:hanging="900" w:hangingChars="375"/>
        <w:rPr>
          <w:rFonts w:ascii="仿宋" w:hAnsi="仿宋" w:eastAsia="仿宋" w:cs="仿宋"/>
          <w:sz w:val="24"/>
        </w:rPr>
      </w:pPr>
      <w:bookmarkStart w:id="181" w:name="_Ref467306302"/>
      <w:r>
        <w:rPr>
          <w:rFonts w:hint="eastAsia" w:ascii="仿宋" w:hAnsi="仿宋" w:eastAsia="仿宋" w:cs="仿宋"/>
          <w:sz w:val="24"/>
        </w:rPr>
        <w:t>12.1</w:t>
      </w:r>
      <w:r>
        <w:rPr>
          <w:rFonts w:hint="eastAsia" w:ascii="仿宋" w:hAnsi="仿宋" w:eastAsia="仿宋" w:cs="仿宋"/>
          <w:sz w:val="24"/>
        </w:rPr>
        <w:tab/>
      </w:r>
      <w:r>
        <w:rPr>
          <w:rFonts w:hint="eastAsia" w:ascii="仿宋" w:hAnsi="仿宋" w:eastAsia="仿宋" w:cs="仿宋"/>
          <w:sz w:val="24"/>
        </w:rPr>
        <w:t>供应商应提交</w:t>
      </w:r>
      <w:r>
        <w:rPr>
          <w:rFonts w:hint="eastAsia" w:ascii="仿宋" w:hAnsi="仿宋" w:eastAsia="仿宋" w:cs="仿宋"/>
          <w:sz w:val="24"/>
          <w:u w:val="single"/>
        </w:rPr>
        <w:t>供应商须知资料表</w:t>
      </w:r>
      <w:r>
        <w:rPr>
          <w:rFonts w:hint="eastAsia" w:ascii="仿宋" w:hAnsi="仿宋" w:eastAsia="仿宋" w:cs="仿宋"/>
          <w:sz w:val="24"/>
        </w:rPr>
        <w:t>中规定的投标保证金</w:t>
      </w:r>
      <w:bookmarkEnd w:id="181"/>
      <w:r>
        <w:rPr>
          <w:rFonts w:hint="eastAsia" w:ascii="仿宋" w:hAnsi="仿宋" w:eastAsia="仿宋" w:cs="仿宋"/>
          <w:sz w:val="24"/>
        </w:rPr>
        <w:t>，并作为其投标的一部分。</w:t>
      </w:r>
    </w:p>
    <w:p>
      <w:pPr>
        <w:spacing w:line="240" w:lineRule="atLeast"/>
        <w:ind w:left="900" w:hanging="900" w:hangingChars="375"/>
        <w:outlineLvl w:val="1"/>
        <w:rPr>
          <w:rFonts w:ascii="仿宋" w:hAnsi="仿宋" w:eastAsia="仿宋" w:cs="仿宋"/>
          <w:sz w:val="24"/>
        </w:rPr>
      </w:pPr>
      <w:bookmarkStart w:id="182" w:name="_Toc7800"/>
      <w:bookmarkStart w:id="183" w:name="_Toc25295"/>
      <w:bookmarkStart w:id="184" w:name="_Toc5487"/>
      <w:bookmarkStart w:id="185" w:name="_Toc9077"/>
      <w:r>
        <w:rPr>
          <w:rFonts w:hint="eastAsia" w:ascii="仿宋" w:hAnsi="仿宋" w:eastAsia="仿宋" w:cs="仿宋"/>
          <w:sz w:val="24"/>
        </w:rPr>
        <w:t>12.2</w:t>
      </w:r>
      <w:r>
        <w:rPr>
          <w:rFonts w:hint="eastAsia" w:ascii="仿宋" w:hAnsi="仿宋" w:eastAsia="仿宋" w:cs="仿宋"/>
          <w:sz w:val="24"/>
        </w:rPr>
        <w:tab/>
      </w:r>
      <w:r>
        <w:rPr>
          <w:rFonts w:hint="eastAsia" w:ascii="仿宋" w:hAnsi="仿宋" w:eastAsia="仿宋" w:cs="仿宋"/>
          <w:sz w:val="24"/>
        </w:rPr>
        <w:t>供应商存在下列情形的，投标保证金不予退还：</w:t>
      </w:r>
      <w:bookmarkEnd w:id="182"/>
      <w:bookmarkEnd w:id="183"/>
      <w:bookmarkEnd w:id="184"/>
      <w:bookmarkEnd w:id="185"/>
    </w:p>
    <w:p>
      <w:pPr>
        <w:spacing w:line="240" w:lineRule="atLeast"/>
        <w:ind w:left="900" w:hanging="900" w:hangingChars="375"/>
        <w:rPr>
          <w:rFonts w:ascii="仿宋" w:hAnsi="仿宋" w:eastAsia="仿宋" w:cs="仿宋"/>
          <w:sz w:val="24"/>
        </w:rPr>
      </w:pPr>
      <w:r>
        <w:rPr>
          <w:rFonts w:hint="eastAsia" w:ascii="仿宋" w:hAnsi="仿宋" w:eastAsia="仿宋" w:cs="仿宋"/>
          <w:sz w:val="24"/>
        </w:rPr>
        <w:t xml:space="preserve">      （1）在投标有效期内，撤销投标的；</w:t>
      </w:r>
    </w:p>
    <w:p>
      <w:pPr>
        <w:pStyle w:val="16"/>
        <w:tabs>
          <w:tab w:val="left" w:pos="2240"/>
        </w:tabs>
        <w:spacing w:line="240" w:lineRule="atLeast"/>
        <w:ind w:left="1079" w:leftChars="371" w:hanging="300" w:hangingChars="125"/>
        <w:rPr>
          <w:rFonts w:ascii="仿宋" w:hAnsi="仿宋" w:eastAsia="仿宋" w:cs="仿宋"/>
          <w:sz w:val="24"/>
        </w:rPr>
      </w:pPr>
      <w:r>
        <w:rPr>
          <w:rFonts w:hint="eastAsia" w:ascii="仿宋" w:hAnsi="仿宋" w:eastAsia="仿宋" w:cs="仿宋"/>
          <w:sz w:val="24"/>
        </w:rPr>
        <w:t>（2）中标后不按本须知第30条的规定与采购人签订合同的；</w:t>
      </w:r>
    </w:p>
    <w:p>
      <w:pPr>
        <w:pStyle w:val="16"/>
        <w:tabs>
          <w:tab w:val="left" w:pos="2240"/>
        </w:tabs>
        <w:spacing w:line="240" w:lineRule="atLeast"/>
        <w:ind w:left="1079" w:leftChars="371" w:hanging="300" w:hangingChars="125"/>
        <w:rPr>
          <w:rFonts w:ascii="仿宋" w:hAnsi="仿宋" w:eastAsia="仿宋" w:cs="仿宋"/>
          <w:sz w:val="24"/>
        </w:rPr>
      </w:pPr>
      <w:r>
        <w:rPr>
          <w:rFonts w:hint="eastAsia" w:ascii="仿宋" w:hAnsi="仿宋" w:eastAsia="仿宋" w:cs="仿宋"/>
          <w:sz w:val="24"/>
        </w:rPr>
        <w:t>（3）中标后不按本须知第31条的规定提交履约保证金的；</w:t>
      </w:r>
    </w:p>
    <w:p>
      <w:pPr>
        <w:pStyle w:val="16"/>
        <w:tabs>
          <w:tab w:val="left" w:pos="2240"/>
        </w:tabs>
        <w:spacing w:line="240" w:lineRule="atLeast"/>
        <w:ind w:left="1079" w:leftChars="371" w:hanging="300" w:hangingChars="125"/>
        <w:rPr>
          <w:rFonts w:ascii="仿宋" w:hAnsi="仿宋" w:eastAsia="仿宋" w:cs="仿宋"/>
          <w:sz w:val="24"/>
        </w:rPr>
      </w:pPr>
      <w:r>
        <w:rPr>
          <w:rFonts w:hint="eastAsia" w:ascii="仿宋" w:hAnsi="仿宋" w:eastAsia="仿宋" w:cs="仿宋"/>
          <w:sz w:val="24"/>
        </w:rPr>
        <w:t>（4）中标后不按本须知第32条的规定缴纳中标服务费的；</w:t>
      </w:r>
    </w:p>
    <w:p>
      <w:pPr>
        <w:pStyle w:val="16"/>
        <w:tabs>
          <w:tab w:val="left" w:pos="2240"/>
        </w:tabs>
        <w:spacing w:line="240" w:lineRule="atLeast"/>
        <w:ind w:left="1079" w:leftChars="371" w:hanging="300" w:hangingChars="125"/>
        <w:rPr>
          <w:rFonts w:ascii="仿宋" w:hAnsi="仿宋" w:eastAsia="仿宋" w:cs="仿宋"/>
          <w:sz w:val="24"/>
        </w:rPr>
      </w:pPr>
      <w:r>
        <w:rPr>
          <w:rFonts w:hint="eastAsia" w:ascii="仿宋" w:hAnsi="仿宋" w:eastAsia="仿宋" w:cs="仿宋"/>
          <w:sz w:val="24"/>
        </w:rPr>
        <w:t>（5）存在其他违法违规行为的。</w:t>
      </w:r>
    </w:p>
    <w:p>
      <w:pPr>
        <w:spacing w:line="240" w:lineRule="atLeast"/>
        <w:ind w:left="900" w:hanging="900" w:hangingChars="375"/>
        <w:rPr>
          <w:rFonts w:ascii="仿宋" w:hAnsi="仿宋" w:eastAsia="仿宋" w:cs="仿宋"/>
          <w:sz w:val="24"/>
        </w:rPr>
      </w:pPr>
      <w:bookmarkStart w:id="186" w:name="_Ref467306336"/>
      <w:r>
        <w:rPr>
          <w:rFonts w:hint="eastAsia" w:ascii="仿宋" w:hAnsi="仿宋" w:eastAsia="仿宋" w:cs="仿宋"/>
          <w:sz w:val="24"/>
        </w:rPr>
        <w:t>12.3</w:t>
      </w:r>
      <w:r>
        <w:rPr>
          <w:rFonts w:hint="eastAsia" w:ascii="仿宋" w:hAnsi="仿宋" w:eastAsia="仿宋" w:cs="仿宋"/>
          <w:sz w:val="24"/>
        </w:rPr>
        <w:tab/>
      </w:r>
      <w:bookmarkEnd w:id="186"/>
      <w:r>
        <w:rPr>
          <w:rFonts w:hint="eastAsia" w:ascii="仿宋" w:hAnsi="仿宋" w:eastAsia="仿宋" w:cs="仿宋"/>
          <w:sz w:val="24"/>
        </w:rPr>
        <w:t>政府采购信用担保试点范围内的项目，接受符合财政部门规定的政府采购投标担保函原件。</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12.4</w:t>
      </w:r>
      <w:r>
        <w:rPr>
          <w:rFonts w:hint="eastAsia" w:ascii="仿宋" w:hAnsi="仿宋" w:eastAsia="仿宋" w:cs="仿宋"/>
          <w:sz w:val="24"/>
        </w:rPr>
        <w:tab/>
      </w:r>
      <w:r>
        <w:rPr>
          <w:rFonts w:hint="eastAsia" w:ascii="仿宋" w:hAnsi="仿宋" w:eastAsia="仿宋" w:cs="仿宋"/>
          <w:sz w:val="24"/>
        </w:rPr>
        <w:t>供应商未按本须知第12.1和12.3条规定提交投标保证金的，其投标将被认定为</w:t>
      </w:r>
      <w:r>
        <w:rPr>
          <w:rFonts w:hint="eastAsia" w:ascii="仿宋" w:hAnsi="仿宋" w:eastAsia="仿宋" w:cs="仿宋"/>
          <w:b/>
          <w:sz w:val="24"/>
        </w:rPr>
        <w:t>投标无效</w:t>
      </w:r>
      <w:r>
        <w:rPr>
          <w:rFonts w:hint="eastAsia" w:ascii="仿宋" w:hAnsi="仿宋" w:eastAsia="仿宋" w:cs="仿宋"/>
          <w:sz w:val="24"/>
        </w:rPr>
        <w:t>。</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12.5    联合体投标的，可以由联合体中的一方或者共同提交投标保证金。以一方名义提交投标保证金的，对联合体各方均具有约束力。</w:t>
      </w:r>
    </w:p>
    <w:p>
      <w:pPr>
        <w:spacing w:line="240" w:lineRule="atLeast"/>
        <w:ind w:left="900" w:hanging="900" w:hangingChars="375"/>
        <w:outlineLvl w:val="1"/>
        <w:rPr>
          <w:rFonts w:ascii="仿宋" w:hAnsi="仿宋" w:eastAsia="仿宋" w:cs="仿宋"/>
          <w:sz w:val="24"/>
        </w:rPr>
      </w:pPr>
      <w:bookmarkStart w:id="187" w:name="_Toc15036"/>
      <w:bookmarkStart w:id="188" w:name="_Toc8040"/>
      <w:bookmarkStart w:id="189" w:name="_Toc18298"/>
      <w:bookmarkStart w:id="190" w:name="_Toc14566"/>
      <w:r>
        <w:rPr>
          <w:rFonts w:hint="eastAsia" w:ascii="仿宋" w:hAnsi="仿宋" w:eastAsia="仿宋" w:cs="仿宋"/>
          <w:sz w:val="24"/>
        </w:rPr>
        <w:t>12.6</w:t>
      </w:r>
      <w:r>
        <w:rPr>
          <w:rFonts w:hint="eastAsia" w:ascii="仿宋" w:hAnsi="仿宋" w:eastAsia="仿宋" w:cs="仿宋"/>
          <w:sz w:val="24"/>
        </w:rPr>
        <w:tab/>
      </w:r>
      <w:r>
        <w:rPr>
          <w:rFonts w:hint="eastAsia" w:ascii="仿宋" w:hAnsi="仿宋" w:eastAsia="仿宋" w:cs="仿宋"/>
          <w:sz w:val="24"/>
        </w:rPr>
        <w:t xml:space="preserve"> </w:t>
      </w:r>
      <w:r>
        <w:rPr>
          <w:rFonts w:hint="eastAsia" w:ascii="仿宋" w:hAnsi="仿宋" w:eastAsia="仿宋" w:cs="仿宋"/>
          <w:b/>
          <w:sz w:val="24"/>
        </w:rPr>
        <w:t>投标保证金的退还</w:t>
      </w:r>
      <w:bookmarkEnd w:id="187"/>
      <w:bookmarkEnd w:id="188"/>
      <w:bookmarkEnd w:id="189"/>
      <w:bookmarkEnd w:id="190"/>
    </w:p>
    <w:p>
      <w:pPr>
        <w:spacing w:line="240" w:lineRule="atLeast"/>
        <w:ind w:left="1020" w:hanging="1020" w:hangingChars="425"/>
        <w:rPr>
          <w:rFonts w:ascii="仿宋" w:hAnsi="仿宋" w:eastAsia="仿宋" w:cs="仿宋"/>
          <w:sz w:val="24"/>
        </w:rPr>
      </w:pPr>
      <w:r>
        <w:rPr>
          <w:rFonts w:hint="eastAsia" w:ascii="仿宋" w:hAnsi="仿宋" w:eastAsia="仿宋" w:cs="仿宋"/>
          <w:sz w:val="24"/>
        </w:rPr>
        <w:t>12.6.1  中标人应在与采购人签订合同之日起5个工作日内，及时联系保证金收受机构办理投标保证金无息退还手续。</w:t>
      </w:r>
    </w:p>
    <w:p>
      <w:pPr>
        <w:ind w:left="1020" w:hanging="1020" w:hangingChars="425"/>
        <w:rPr>
          <w:rFonts w:ascii="仿宋" w:hAnsi="仿宋" w:eastAsia="仿宋" w:cs="仿宋"/>
          <w:sz w:val="24"/>
        </w:rPr>
      </w:pPr>
      <w:r>
        <w:rPr>
          <w:rFonts w:hint="eastAsia" w:ascii="仿宋" w:hAnsi="仿宋" w:eastAsia="仿宋" w:cs="仿宋"/>
          <w:sz w:val="24"/>
        </w:rPr>
        <w:t>12.6.2  未中标供应商的投标保证金将在中标通知书发出之日暨中标结果公告公布之日起5个工作日内无息退还。供应商及时联系保证金收受机构办理退还投标保证金手续。</w:t>
      </w:r>
      <w:bookmarkStart w:id="191" w:name="_Toc518923075"/>
    </w:p>
    <w:p>
      <w:pPr>
        <w:ind w:left="1020" w:hanging="1020" w:hangingChars="425"/>
        <w:rPr>
          <w:rFonts w:ascii="仿宋" w:hAnsi="仿宋" w:eastAsia="仿宋" w:cs="仿宋"/>
          <w:sz w:val="24"/>
        </w:rPr>
      </w:pPr>
      <w:r>
        <w:rPr>
          <w:rFonts w:hint="eastAsia" w:ascii="仿宋" w:hAnsi="仿宋" w:eastAsia="仿宋" w:cs="仿宋"/>
          <w:sz w:val="24"/>
        </w:rPr>
        <w:t>12.6.3  政府采购投标担保函不予退回。</w:t>
      </w:r>
      <w:bookmarkEnd w:id="191"/>
    </w:p>
    <w:p>
      <w:pPr>
        <w:spacing w:line="240" w:lineRule="atLeast"/>
        <w:ind w:left="960" w:hanging="960" w:hangingChars="400"/>
        <w:rPr>
          <w:rFonts w:ascii="仿宋" w:hAnsi="仿宋" w:eastAsia="仿宋" w:cs="仿宋"/>
          <w:sz w:val="24"/>
        </w:rPr>
      </w:pPr>
      <w:r>
        <w:rPr>
          <w:rFonts w:hint="eastAsia" w:ascii="仿宋" w:hAnsi="仿宋" w:eastAsia="仿宋" w:cs="仿宋"/>
          <w:sz w:val="24"/>
        </w:rPr>
        <w:t>12.7    因供应商自身原因导致无法及时退还的，采购人或采购代理机构将不承担相应责任。</w:t>
      </w:r>
    </w:p>
    <w:p>
      <w:pPr>
        <w:pStyle w:val="9"/>
        <w:spacing w:before="0" w:after="0" w:line="240" w:lineRule="atLeast"/>
        <w:rPr>
          <w:rFonts w:ascii="仿宋" w:hAnsi="仿宋" w:eastAsia="仿宋" w:cs="仿宋"/>
          <w:u w:val="none"/>
        </w:rPr>
      </w:pPr>
      <w:bookmarkStart w:id="192" w:name="_Toc518923076"/>
      <w:bookmarkStart w:id="193" w:name="_Toc20355"/>
      <w:bookmarkStart w:id="194" w:name="_Toc520356157"/>
      <w:r>
        <w:rPr>
          <w:rFonts w:hint="eastAsia" w:ascii="仿宋" w:hAnsi="仿宋" w:eastAsia="仿宋" w:cs="仿宋"/>
          <w:u w:val="none"/>
        </w:rPr>
        <w:t>13.投标有效期</w:t>
      </w:r>
      <w:bookmarkEnd w:id="192"/>
      <w:bookmarkEnd w:id="193"/>
      <w:bookmarkEnd w:id="194"/>
    </w:p>
    <w:p>
      <w:pPr>
        <w:spacing w:line="240" w:lineRule="atLeast"/>
        <w:ind w:left="900" w:hanging="900" w:hangingChars="375"/>
        <w:rPr>
          <w:rFonts w:ascii="仿宋" w:hAnsi="仿宋" w:eastAsia="仿宋" w:cs="仿宋"/>
          <w:sz w:val="24"/>
        </w:rPr>
      </w:pPr>
      <w:r>
        <w:rPr>
          <w:rFonts w:hint="eastAsia" w:ascii="仿宋" w:hAnsi="仿宋" w:eastAsia="仿宋" w:cs="仿宋"/>
          <w:sz w:val="24"/>
        </w:rPr>
        <w:t>13.1</w:t>
      </w:r>
      <w:r>
        <w:rPr>
          <w:rFonts w:hint="eastAsia" w:ascii="仿宋" w:hAnsi="仿宋" w:eastAsia="仿宋" w:cs="仿宋"/>
          <w:sz w:val="24"/>
        </w:rPr>
        <w:tab/>
      </w:r>
      <w:r>
        <w:rPr>
          <w:rFonts w:hint="eastAsia" w:ascii="仿宋" w:hAnsi="仿宋" w:eastAsia="仿宋" w:cs="仿宋"/>
          <w:sz w:val="24"/>
        </w:rPr>
        <w:t>投标应在</w:t>
      </w:r>
      <w:r>
        <w:rPr>
          <w:rFonts w:hint="eastAsia" w:ascii="仿宋" w:hAnsi="仿宋" w:eastAsia="仿宋" w:cs="仿宋"/>
          <w:sz w:val="24"/>
          <w:u w:val="single"/>
        </w:rPr>
        <w:t>供应商须知资料表</w:t>
      </w:r>
      <w:r>
        <w:rPr>
          <w:rFonts w:hint="eastAsia" w:ascii="仿宋" w:hAnsi="仿宋" w:eastAsia="仿宋" w:cs="仿宋"/>
          <w:sz w:val="24"/>
        </w:rPr>
        <w:t>中规定时间内保持有效。投标有效期不满足要求的投标，其投标将被认定为</w:t>
      </w:r>
      <w:r>
        <w:rPr>
          <w:rFonts w:hint="eastAsia" w:ascii="仿宋" w:hAnsi="仿宋" w:eastAsia="仿宋" w:cs="仿宋"/>
          <w:b/>
          <w:sz w:val="24"/>
        </w:rPr>
        <w:t>投标无效</w:t>
      </w:r>
      <w:r>
        <w:rPr>
          <w:rFonts w:hint="eastAsia" w:ascii="仿宋" w:hAnsi="仿宋" w:eastAsia="仿宋" w:cs="仿宋"/>
          <w:sz w:val="24"/>
        </w:rPr>
        <w:t>。</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13.2</w:t>
      </w:r>
      <w:r>
        <w:rPr>
          <w:rFonts w:hint="eastAsia" w:ascii="仿宋" w:hAnsi="仿宋" w:eastAsia="仿宋" w:cs="仿宋"/>
          <w:sz w:val="24"/>
        </w:rPr>
        <w:tab/>
      </w:r>
      <w:r>
        <w:rPr>
          <w:rFonts w:hint="eastAsia" w:ascii="仿宋" w:hAnsi="仿宋" w:eastAsia="仿宋" w:cs="仿宋"/>
          <w:sz w:val="24"/>
        </w:rPr>
        <w:t>为保证有充分时间签订合同，采购人或采购代理机构可根据实际情况，在原投标有效期截止之前，要求供应商延长投标文件的有效期。接受该要求的供应商将不会被要求和允许修正其投标，且本须知中有关投标保证金的要求须在延长的有效期内继续有效。供应商可以拒绝延长投标有效期的要求，其投标保证金将及时按规定无息退还。上述要求和答复都应以书面形式提交。</w:t>
      </w:r>
    </w:p>
    <w:p>
      <w:pPr>
        <w:pStyle w:val="9"/>
        <w:spacing w:before="0" w:after="0" w:line="240" w:lineRule="atLeast"/>
        <w:rPr>
          <w:rFonts w:ascii="仿宋" w:hAnsi="仿宋" w:eastAsia="仿宋" w:cs="仿宋"/>
          <w:u w:val="none"/>
        </w:rPr>
      </w:pPr>
      <w:bookmarkStart w:id="195" w:name="_Toc520356158"/>
      <w:bookmarkStart w:id="196" w:name="_Toc27303"/>
      <w:bookmarkStart w:id="197" w:name="_Toc518923077"/>
      <w:r>
        <w:rPr>
          <w:rFonts w:hint="eastAsia" w:ascii="仿宋" w:hAnsi="仿宋" w:eastAsia="仿宋" w:cs="仿宋"/>
          <w:u w:val="none"/>
        </w:rPr>
        <w:t>14.投标文件的签署</w:t>
      </w:r>
      <w:bookmarkEnd w:id="195"/>
      <w:r>
        <w:rPr>
          <w:rFonts w:hint="eastAsia" w:ascii="仿宋" w:hAnsi="仿宋" w:eastAsia="仿宋" w:cs="仿宋"/>
          <w:u w:val="none"/>
        </w:rPr>
        <w:t>及规定</w:t>
      </w:r>
      <w:bookmarkEnd w:id="196"/>
      <w:bookmarkEnd w:id="197"/>
    </w:p>
    <w:p>
      <w:pPr>
        <w:spacing w:line="240" w:lineRule="atLeast"/>
        <w:ind w:left="900" w:hanging="900" w:hangingChars="375"/>
        <w:rPr>
          <w:rFonts w:ascii="仿宋" w:hAnsi="仿宋" w:eastAsia="仿宋" w:cs="仿宋"/>
          <w:sz w:val="24"/>
        </w:rPr>
      </w:pPr>
      <w:r>
        <w:rPr>
          <w:rFonts w:hint="eastAsia" w:ascii="仿宋" w:hAnsi="仿宋" w:eastAsia="仿宋" w:cs="仿宋"/>
          <w:sz w:val="24"/>
        </w:rPr>
        <w:t>14.1</w:t>
      </w:r>
      <w:r>
        <w:rPr>
          <w:rFonts w:hint="eastAsia" w:ascii="仿宋" w:hAnsi="仿宋" w:eastAsia="仿宋" w:cs="仿宋"/>
          <w:sz w:val="24"/>
        </w:rPr>
        <w:tab/>
      </w:r>
      <w:r>
        <w:rPr>
          <w:rFonts w:hint="eastAsia" w:ascii="仿宋" w:hAnsi="仿宋" w:eastAsia="仿宋" w:cs="仿宋"/>
          <w:sz w:val="24"/>
        </w:rPr>
        <w:t>供应商应按</w:t>
      </w:r>
      <w:r>
        <w:rPr>
          <w:rFonts w:hint="eastAsia" w:ascii="仿宋" w:hAnsi="仿宋" w:eastAsia="仿宋" w:cs="仿宋"/>
          <w:sz w:val="24"/>
          <w:u w:val="single"/>
        </w:rPr>
        <w:t>供应商须知资料表</w:t>
      </w:r>
      <w:r>
        <w:rPr>
          <w:rFonts w:hint="eastAsia" w:ascii="仿宋" w:hAnsi="仿宋" w:eastAsia="仿宋" w:cs="仿宋"/>
          <w:sz w:val="24"/>
        </w:rPr>
        <w:t>中的规定，准备和上传投标文件。</w:t>
      </w:r>
    </w:p>
    <w:p>
      <w:pPr>
        <w:spacing w:line="240" w:lineRule="atLeast"/>
        <w:ind w:left="900" w:hanging="900" w:hangingChars="375"/>
        <w:rPr>
          <w:rFonts w:ascii="仿宋" w:hAnsi="仿宋" w:eastAsia="仿宋" w:cs="仿宋"/>
          <w:b/>
          <w:bCs/>
          <w:sz w:val="24"/>
        </w:rPr>
      </w:pPr>
      <w:r>
        <w:rPr>
          <w:rFonts w:hint="eastAsia" w:ascii="仿宋" w:hAnsi="仿宋" w:eastAsia="仿宋" w:cs="仿宋"/>
          <w:sz w:val="24"/>
        </w:rPr>
        <w:t>14.2</w:t>
      </w:r>
      <w:r>
        <w:rPr>
          <w:rFonts w:hint="eastAsia" w:ascii="仿宋" w:hAnsi="仿宋" w:eastAsia="仿宋" w:cs="仿宋"/>
          <w:sz w:val="24"/>
        </w:rPr>
        <w:tab/>
      </w:r>
      <w:r>
        <w:rPr>
          <w:rFonts w:hint="eastAsia" w:ascii="仿宋" w:hAnsi="仿宋" w:eastAsia="仿宋" w:cs="仿宋"/>
          <w:b/>
          <w:bCs/>
          <w:sz w:val="24"/>
        </w:rPr>
        <w:t>投标文件由供应商的法定代表人或其委托代理人按采购文件规定在投标文件上签字并加盖单位印章。</w:t>
      </w:r>
    </w:p>
    <w:p>
      <w:pPr>
        <w:spacing w:line="240" w:lineRule="atLeast"/>
        <w:ind w:left="900" w:hanging="900" w:hangingChars="375"/>
        <w:rPr>
          <w:rFonts w:ascii="仿宋" w:hAnsi="仿宋" w:eastAsia="仿宋" w:cs="仿宋"/>
          <w:sz w:val="24"/>
        </w:rPr>
      </w:pPr>
    </w:p>
    <w:p>
      <w:pPr>
        <w:pStyle w:val="8"/>
        <w:spacing w:before="0" w:line="240" w:lineRule="atLeast"/>
        <w:ind w:left="1080" w:leftChars="257" w:hanging="540"/>
        <w:rPr>
          <w:rFonts w:ascii="仿宋" w:hAnsi="仿宋" w:eastAsia="仿宋" w:cs="仿宋"/>
          <w:sz w:val="24"/>
        </w:rPr>
      </w:pPr>
      <w:bookmarkStart w:id="198" w:name="_Toc216582808"/>
      <w:bookmarkStart w:id="199" w:name="_Toc520356159"/>
      <w:bookmarkStart w:id="200" w:name="_Toc518923078"/>
      <w:bookmarkStart w:id="201" w:name="_Toc22303"/>
      <w:bookmarkStart w:id="202" w:name="_Toc12964"/>
      <w:bookmarkStart w:id="203" w:name="_Toc30086"/>
      <w:bookmarkStart w:id="204" w:name="_Toc14057"/>
      <w:r>
        <w:rPr>
          <w:rFonts w:hint="eastAsia" w:ascii="仿宋" w:hAnsi="仿宋" w:eastAsia="仿宋" w:cs="仿宋"/>
          <w:sz w:val="24"/>
        </w:rPr>
        <w:t>四   投标文件的递交</w:t>
      </w:r>
      <w:bookmarkEnd w:id="198"/>
      <w:bookmarkEnd w:id="199"/>
      <w:bookmarkEnd w:id="200"/>
      <w:bookmarkEnd w:id="201"/>
      <w:bookmarkEnd w:id="202"/>
      <w:bookmarkEnd w:id="203"/>
      <w:bookmarkEnd w:id="204"/>
    </w:p>
    <w:p>
      <w:pPr>
        <w:pStyle w:val="11"/>
        <w:rPr>
          <w:rFonts w:ascii="仿宋" w:hAnsi="仿宋" w:eastAsia="仿宋" w:cs="仿宋"/>
        </w:rPr>
      </w:pPr>
    </w:p>
    <w:p>
      <w:pPr>
        <w:pStyle w:val="9"/>
        <w:spacing w:before="0" w:after="0" w:line="240" w:lineRule="atLeast"/>
        <w:rPr>
          <w:rFonts w:ascii="仿宋" w:hAnsi="仿宋" w:eastAsia="仿宋" w:cs="仿宋"/>
          <w:u w:val="none"/>
        </w:rPr>
      </w:pPr>
      <w:bookmarkStart w:id="205" w:name="_Toc13247"/>
      <w:bookmarkStart w:id="206" w:name="_Toc518923079"/>
      <w:bookmarkStart w:id="207" w:name="_Toc520356160"/>
      <w:r>
        <w:rPr>
          <w:rFonts w:hint="eastAsia" w:ascii="仿宋" w:hAnsi="仿宋" w:eastAsia="仿宋" w:cs="仿宋"/>
          <w:u w:val="none"/>
        </w:rPr>
        <w:t>15.投标文件的</w:t>
      </w:r>
      <w:bookmarkEnd w:id="205"/>
      <w:bookmarkEnd w:id="206"/>
      <w:bookmarkEnd w:id="207"/>
      <w:r>
        <w:rPr>
          <w:rFonts w:hint="eastAsia" w:ascii="仿宋" w:hAnsi="仿宋" w:eastAsia="仿宋" w:cs="仿宋"/>
          <w:u w:val="none"/>
        </w:rPr>
        <w:t>编制</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15.1   投标文件三部分内容分别拟编。</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15.2   所有封面上均应：按照投标文件格式进行编制。</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15.3   如果供应商未按上述要求编制，其投标文件将</w:t>
      </w:r>
      <w:r>
        <w:rPr>
          <w:rFonts w:hint="eastAsia" w:ascii="仿宋" w:hAnsi="仿宋" w:eastAsia="仿宋" w:cs="仿宋"/>
          <w:color w:val="000000"/>
          <w:sz w:val="24"/>
        </w:rPr>
        <w:t>被认定为</w:t>
      </w:r>
      <w:r>
        <w:rPr>
          <w:rFonts w:hint="eastAsia" w:ascii="仿宋" w:hAnsi="仿宋" w:eastAsia="仿宋" w:cs="仿宋"/>
          <w:b/>
          <w:bCs/>
          <w:color w:val="000000"/>
          <w:sz w:val="24"/>
        </w:rPr>
        <w:t>投标无效</w:t>
      </w:r>
      <w:r>
        <w:rPr>
          <w:rFonts w:hint="eastAsia" w:ascii="仿宋" w:hAnsi="仿宋" w:eastAsia="仿宋" w:cs="仿宋"/>
          <w:b/>
          <w:bCs/>
          <w:sz w:val="24"/>
        </w:rPr>
        <w:t>。</w:t>
      </w:r>
    </w:p>
    <w:p>
      <w:pPr>
        <w:pStyle w:val="9"/>
        <w:spacing w:before="0" w:after="0" w:line="240" w:lineRule="atLeast"/>
        <w:rPr>
          <w:rFonts w:ascii="仿宋" w:hAnsi="仿宋" w:eastAsia="仿宋" w:cs="仿宋"/>
          <w:u w:val="none"/>
        </w:rPr>
      </w:pPr>
      <w:bookmarkStart w:id="208" w:name="_Toc518923080"/>
      <w:bookmarkStart w:id="209" w:name="_Toc520356161"/>
      <w:bookmarkStart w:id="210" w:name="_Toc25787"/>
      <w:r>
        <w:rPr>
          <w:rFonts w:hint="eastAsia" w:ascii="仿宋" w:hAnsi="仿宋" w:eastAsia="仿宋" w:cs="仿宋"/>
          <w:u w:val="none"/>
        </w:rPr>
        <w:t>16.投标截止</w:t>
      </w:r>
      <w:bookmarkEnd w:id="208"/>
      <w:bookmarkEnd w:id="209"/>
      <w:bookmarkEnd w:id="210"/>
    </w:p>
    <w:p>
      <w:pPr>
        <w:spacing w:line="240" w:lineRule="atLeast"/>
        <w:ind w:left="900" w:hanging="900" w:hangingChars="375"/>
        <w:rPr>
          <w:rFonts w:ascii="仿宋" w:hAnsi="仿宋" w:eastAsia="仿宋" w:cs="仿宋"/>
          <w:sz w:val="24"/>
        </w:rPr>
      </w:pPr>
      <w:r>
        <w:rPr>
          <w:rFonts w:hint="eastAsia" w:ascii="仿宋" w:hAnsi="仿宋" w:eastAsia="仿宋" w:cs="仿宋"/>
          <w:sz w:val="24"/>
        </w:rPr>
        <w:t>16.1</w:t>
      </w:r>
      <w:r>
        <w:rPr>
          <w:rFonts w:hint="eastAsia" w:ascii="仿宋" w:hAnsi="仿宋" w:eastAsia="仿宋" w:cs="仿宋"/>
          <w:sz w:val="24"/>
        </w:rPr>
        <w:tab/>
      </w:r>
      <w:r>
        <w:rPr>
          <w:rFonts w:hint="eastAsia" w:ascii="仿宋" w:hAnsi="仿宋" w:eastAsia="仿宋" w:cs="仿宋"/>
          <w:sz w:val="24"/>
        </w:rPr>
        <w:t>供应商应在</w:t>
      </w:r>
      <w:r>
        <w:rPr>
          <w:rFonts w:hint="eastAsia" w:ascii="仿宋" w:hAnsi="仿宋" w:eastAsia="仿宋" w:cs="仿宋"/>
          <w:b/>
          <w:bCs/>
          <w:sz w:val="24"/>
          <w:u w:val="single"/>
        </w:rPr>
        <w:t>供应商须知资料表</w:t>
      </w:r>
      <w:r>
        <w:rPr>
          <w:rFonts w:hint="eastAsia" w:ascii="仿宋" w:hAnsi="仿宋" w:eastAsia="仿宋" w:cs="仿宋"/>
          <w:sz w:val="24"/>
        </w:rPr>
        <w:t>中规定的截止时间前，将投标文件上传至招标公告中规定的平台中。</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16.2</w:t>
      </w:r>
      <w:r>
        <w:rPr>
          <w:rFonts w:hint="eastAsia" w:ascii="仿宋" w:hAnsi="仿宋" w:eastAsia="仿宋" w:cs="仿宋"/>
          <w:sz w:val="24"/>
        </w:rPr>
        <w:tab/>
      </w:r>
      <w:r>
        <w:rPr>
          <w:rFonts w:hint="eastAsia" w:ascii="仿宋" w:hAnsi="仿宋" w:eastAsia="仿宋" w:cs="仿宋"/>
          <w:sz w:val="24"/>
        </w:rPr>
        <w:t>采购人和采购代理机构有权按本须知的规定，延迟投标截止时间。在此情况下，采购人、采购代理机构和供应商受投标截止时间制约的所有权利和义务均应延长至新的截止时间。</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16.3</w:t>
      </w:r>
      <w:r>
        <w:rPr>
          <w:rFonts w:hint="eastAsia" w:ascii="仿宋" w:hAnsi="仿宋" w:eastAsia="仿宋" w:cs="仿宋"/>
          <w:sz w:val="24"/>
        </w:rPr>
        <w:tab/>
      </w:r>
      <w:r>
        <w:rPr>
          <w:rFonts w:hint="eastAsia" w:ascii="仿宋" w:hAnsi="仿宋" w:eastAsia="仿宋" w:cs="仿宋"/>
          <w:sz w:val="24"/>
        </w:rPr>
        <w:t>未按照公告时间内完成投标文件的上传，采购人和采购代理机构将拒绝接收在截止时间后的投标文件。</w:t>
      </w:r>
    </w:p>
    <w:p>
      <w:pPr>
        <w:pStyle w:val="9"/>
        <w:spacing w:before="0" w:after="0" w:line="240" w:lineRule="atLeast"/>
        <w:rPr>
          <w:rFonts w:ascii="仿宋" w:hAnsi="仿宋" w:eastAsia="仿宋" w:cs="仿宋"/>
          <w:u w:val="none"/>
        </w:rPr>
      </w:pPr>
      <w:bookmarkStart w:id="211" w:name="_Toc520356162"/>
      <w:bookmarkStart w:id="212" w:name="_Toc518923081"/>
      <w:bookmarkStart w:id="213" w:name="_Toc13921"/>
      <w:r>
        <w:rPr>
          <w:rFonts w:hint="eastAsia" w:ascii="仿宋" w:hAnsi="仿宋" w:eastAsia="仿宋" w:cs="仿宋"/>
          <w:u w:val="none"/>
        </w:rPr>
        <w:t>17.投标文件的接收、修改与撤回</w:t>
      </w:r>
      <w:bookmarkEnd w:id="211"/>
      <w:bookmarkEnd w:id="212"/>
      <w:bookmarkEnd w:id="213"/>
    </w:p>
    <w:p>
      <w:pPr>
        <w:spacing w:line="240" w:lineRule="atLeast"/>
        <w:ind w:left="900" w:hanging="900" w:hangingChars="375"/>
        <w:rPr>
          <w:rFonts w:ascii="仿宋" w:hAnsi="仿宋" w:eastAsia="仿宋" w:cs="仿宋"/>
          <w:b/>
        </w:rPr>
      </w:pPr>
      <w:r>
        <w:rPr>
          <w:rFonts w:hint="eastAsia" w:ascii="仿宋" w:hAnsi="仿宋" w:eastAsia="仿宋" w:cs="仿宋"/>
          <w:sz w:val="24"/>
        </w:rPr>
        <w:t>17.1   在解密时间截止后解密投标文件的，采购人和采购代理机构将拒绝接收。</w:t>
      </w:r>
    </w:p>
    <w:p>
      <w:pPr>
        <w:spacing w:line="240" w:lineRule="atLeast"/>
        <w:ind w:left="960" w:hanging="960" w:hangingChars="400"/>
        <w:rPr>
          <w:rFonts w:ascii="仿宋" w:hAnsi="仿宋" w:eastAsia="仿宋" w:cs="仿宋"/>
          <w:sz w:val="24"/>
        </w:rPr>
      </w:pPr>
      <w:r>
        <w:rPr>
          <w:rFonts w:hint="eastAsia" w:ascii="仿宋" w:hAnsi="仿宋" w:eastAsia="仿宋" w:cs="仿宋"/>
          <w:sz w:val="24"/>
        </w:rPr>
        <w:t>17.2   在投标截止期之后，采购人和采购代理机构不接受供应商主动对其投标文件做任何修改。</w:t>
      </w:r>
    </w:p>
    <w:p>
      <w:pPr>
        <w:spacing w:line="240" w:lineRule="atLeast"/>
        <w:ind w:left="1080" w:leftChars="257" w:hanging="540"/>
        <w:rPr>
          <w:rFonts w:ascii="仿宋" w:hAnsi="仿宋" w:eastAsia="仿宋" w:cs="仿宋"/>
          <w:sz w:val="24"/>
        </w:rPr>
      </w:pPr>
    </w:p>
    <w:p>
      <w:pPr>
        <w:pStyle w:val="8"/>
        <w:spacing w:before="0" w:line="240" w:lineRule="atLeast"/>
        <w:ind w:left="1080" w:leftChars="257" w:hanging="540"/>
        <w:rPr>
          <w:rFonts w:ascii="仿宋" w:hAnsi="仿宋" w:eastAsia="仿宋" w:cs="仿宋"/>
          <w:sz w:val="24"/>
        </w:rPr>
      </w:pPr>
      <w:bookmarkStart w:id="214" w:name="_Toc216582809"/>
      <w:bookmarkStart w:id="215" w:name="_Toc19436"/>
      <w:bookmarkStart w:id="216" w:name="_Toc518923082"/>
      <w:bookmarkStart w:id="217" w:name="_Toc23574"/>
      <w:bookmarkStart w:id="218" w:name="_Toc10257"/>
      <w:bookmarkStart w:id="219" w:name="_Toc520356163"/>
      <w:bookmarkStart w:id="220" w:name="_Toc14987"/>
      <w:r>
        <w:rPr>
          <w:rFonts w:hint="eastAsia" w:ascii="仿宋" w:hAnsi="仿宋" w:eastAsia="仿宋" w:cs="仿宋"/>
          <w:sz w:val="24"/>
        </w:rPr>
        <w:t>五   开标及评标</w:t>
      </w:r>
      <w:bookmarkEnd w:id="214"/>
      <w:bookmarkEnd w:id="215"/>
      <w:bookmarkEnd w:id="216"/>
      <w:bookmarkEnd w:id="217"/>
      <w:bookmarkEnd w:id="218"/>
      <w:bookmarkEnd w:id="219"/>
      <w:bookmarkEnd w:id="220"/>
    </w:p>
    <w:p>
      <w:pPr>
        <w:pStyle w:val="11"/>
        <w:rPr>
          <w:rFonts w:ascii="仿宋" w:hAnsi="仿宋" w:eastAsia="仿宋" w:cs="仿宋"/>
        </w:rPr>
      </w:pPr>
    </w:p>
    <w:p>
      <w:pPr>
        <w:pStyle w:val="9"/>
        <w:spacing w:before="0" w:after="0" w:line="240" w:lineRule="atLeast"/>
        <w:rPr>
          <w:rFonts w:ascii="仿宋" w:hAnsi="仿宋" w:eastAsia="仿宋" w:cs="仿宋"/>
          <w:u w:val="none"/>
        </w:rPr>
      </w:pPr>
      <w:bookmarkStart w:id="221" w:name="_Toc518923083"/>
      <w:bookmarkStart w:id="222" w:name="_Toc8653"/>
      <w:bookmarkStart w:id="223" w:name="_Toc520356164"/>
      <w:r>
        <w:rPr>
          <w:rFonts w:hint="eastAsia" w:ascii="仿宋" w:hAnsi="仿宋" w:eastAsia="仿宋" w:cs="仿宋"/>
          <w:u w:val="none"/>
        </w:rPr>
        <w:t>18.开标</w:t>
      </w:r>
      <w:bookmarkEnd w:id="221"/>
      <w:bookmarkEnd w:id="222"/>
      <w:bookmarkEnd w:id="223"/>
    </w:p>
    <w:p>
      <w:pPr>
        <w:spacing w:line="240" w:lineRule="atLeast"/>
        <w:ind w:left="900" w:hanging="900" w:hangingChars="375"/>
        <w:rPr>
          <w:rFonts w:ascii="仿宋" w:hAnsi="仿宋" w:eastAsia="仿宋" w:cs="仿宋"/>
          <w:sz w:val="24"/>
        </w:rPr>
      </w:pPr>
      <w:r>
        <w:rPr>
          <w:rFonts w:hint="eastAsia" w:ascii="仿宋" w:hAnsi="仿宋" w:eastAsia="仿宋" w:cs="仿宋"/>
          <w:sz w:val="24"/>
        </w:rPr>
        <w:t>18.1</w:t>
      </w:r>
      <w:r>
        <w:rPr>
          <w:rFonts w:hint="eastAsia" w:ascii="仿宋" w:hAnsi="仿宋" w:eastAsia="仿宋" w:cs="仿宋"/>
          <w:sz w:val="24"/>
        </w:rPr>
        <w:tab/>
      </w:r>
      <w:r>
        <w:rPr>
          <w:rFonts w:hint="eastAsia" w:ascii="仿宋" w:hAnsi="仿宋" w:eastAsia="仿宋" w:cs="仿宋"/>
          <w:sz w:val="24"/>
        </w:rPr>
        <w:t>采购人和采购代理机构将按</w:t>
      </w:r>
      <w:r>
        <w:rPr>
          <w:rFonts w:hint="eastAsia" w:ascii="仿宋" w:hAnsi="仿宋" w:eastAsia="仿宋" w:cs="仿宋"/>
          <w:b/>
          <w:bCs/>
          <w:sz w:val="24"/>
          <w:u w:val="single"/>
        </w:rPr>
        <w:t>供应商须知资料表</w:t>
      </w:r>
      <w:r>
        <w:rPr>
          <w:rFonts w:hint="eastAsia" w:ascii="仿宋" w:hAnsi="仿宋" w:eastAsia="仿宋" w:cs="仿宋"/>
          <w:sz w:val="24"/>
        </w:rPr>
        <w:t xml:space="preserve">中规定的开标时间和地点组织公开开标活动。  </w:t>
      </w:r>
    </w:p>
    <w:p>
      <w:pPr>
        <w:spacing w:line="240" w:lineRule="atLeast"/>
        <w:ind w:firstLine="960" w:firstLineChars="400"/>
        <w:rPr>
          <w:rFonts w:ascii="仿宋" w:hAnsi="仿宋" w:eastAsia="仿宋" w:cs="仿宋"/>
          <w:sz w:val="24"/>
        </w:rPr>
      </w:pPr>
      <w:r>
        <w:rPr>
          <w:rFonts w:hint="eastAsia" w:ascii="仿宋" w:hAnsi="仿宋" w:eastAsia="仿宋" w:cs="仿宋"/>
          <w:sz w:val="24"/>
        </w:rPr>
        <w:t>供应商不足3家的，不得开标。</w:t>
      </w:r>
    </w:p>
    <w:p>
      <w:pPr>
        <w:spacing w:line="240" w:lineRule="atLeast"/>
        <w:ind w:left="960" w:hanging="960" w:hangingChars="400"/>
        <w:rPr>
          <w:rFonts w:ascii="仿宋" w:hAnsi="仿宋" w:eastAsia="仿宋" w:cs="仿宋"/>
          <w:sz w:val="24"/>
        </w:rPr>
      </w:pPr>
      <w:r>
        <w:rPr>
          <w:rFonts w:hint="eastAsia" w:ascii="仿宋" w:hAnsi="仿宋" w:eastAsia="仿宋" w:cs="仿宋"/>
          <w:sz w:val="24"/>
        </w:rPr>
        <w:t>18.2    开标时，由采购人或采购代理机构当众宣读供应商名称、投标价格。</w:t>
      </w:r>
    </w:p>
    <w:p>
      <w:pPr>
        <w:spacing w:line="240" w:lineRule="atLeast"/>
        <w:ind w:left="1079" w:leftChars="428" w:hanging="180" w:hangingChars="75"/>
        <w:rPr>
          <w:rFonts w:ascii="仿宋" w:hAnsi="仿宋" w:eastAsia="仿宋" w:cs="仿宋"/>
          <w:sz w:val="24"/>
        </w:rPr>
      </w:pPr>
      <w:r>
        <w:rPr>
          <w:rFonts w:hint="eastAsia" w:ascii="仿宋" w:hAnsi="仿宋" w:eastAsia="仿宋" w:cs="仿宋"/>
          <w:sz w:val="24"/>
        </w:rPr>
        <w:t>未宣读投标价格等实质内容，评标时不予承认。</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18.3    采购人或采购代理机构将对开标过程进行记录</w:t>
      </w:r>
      <w:bookmarkStart w:id="224" w:name="_Toc520356165"/>
      <w:r>
        <w:rPr>
          <w:rFonts w:hint="eastAsia" w:ascii="仿宋" w:hAnsi="仿宋" w:eastAsia="仿宋" w:cs="仿宋"/>
          <w:sz w:val="24"/>
        </w:rPr>
        <w:t>，由参加开标的采购人代表或监督人员和相关工作人员签字确认，并存档备查。</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18.4    供应商代表</w:t>
      </w:r>
      <w:r>
        <w:rPr>
          <w:rFonts w:hint="eastAsia" w:ascii="仿宋" w:hAnsi="仿宋" w:eastAsia="仿宋" w:cs="仿宋"/>
          <w:kern w:val="0"/>
          <w:sz w:val="24"/>
        </w:rPr>
        <w:t>对开标记录有疑义，应在线上提出询问。</w:t>
      </w:r>
    </w:p>
    <w:p>
      <w:pPr>
        <w:pStyle w:val="9"/>
        <w:spacing w:before="0" w:after="0" w:line="240" w:lineRule="atLeast"/>
        <w:rPr>
          <w:rFonts w:ascii="仿宋" w:hAnsi="仿宋" w:eastAsia="仿宋" w:cs="仿宋"/>
          <w:u w:val="none"/>
        </w:rPr>
      </w:pPr>
      <w:bookmarkStart w:id="225" w:name="_Toc518923084"/>
      <w:bookmarkStart w:id="226" w:name="_Toc34"/>
      <w:r>
        <w:rPr>
          <w:rFonts w:hint="eastAsia" w:ascii="仿宋" w:hAnsi="仿宋" w:eastAsia="仿宋" w:cs="仿宋"/>
          <w:u w:val="none"/>
        </w:rPr>
        <w:t>19</w:t>
      </w:r>
      <w:bookmarkEnd w:id="224"/>
      <w:r>
        <w:rPr>
          <w:rFonts w:hint="eastAsia" w:ascii="仿宋" w:hAnsi="仿宋" w:eastAsia="仿宋" w:cs="仿宋"/>
          <w:u w:val="none"/>
        </w:rPr>
        <w:t>.资格审查及组建评标委员会</w:t>
      </w:r>
      <w:bookmarkEnd w:id="225"/>
      <w:bookmarkEnd w:id="226"/>
    </w:p>
    <w:p>
      <w:pPr>
        <w:spacing w:line="240" w:lineRule="atLeast"/>
        <w:ind w:left="960" w:hanging="960" w:hangingChars="400"/>
        <w:rPr>
          <w:rFonts w:hint="eastAsia" w:ascii="仿宋" w:hAnsi="仿宋" w:eastAsia="仿宋" w:cs="仿宋"/>
          <w:sz w:val="24"/>
        </w:rPr>
      </w:pPr>
      <w:r>
        <w:rPr>
          <w:rFonts w:hint="eastAsia" w:ascii="仿宋" w:hAnsi="仿宋" w:eastAsia="仿宋" w:cs="仿宋"/>
          <w:sz w:val="24"/>
        </w:rPr>
        <w:t>19.1    评标委员会依据法律法规和采购文件中规定的内容，对供应商的资格进行审查。未通过资格审查的供应商不进入评标</w:t>
      </w:r>
      <w:r>
        <w:rPr>
          <w:rFonts w:hint="eastAsia" w:ascii="仿宋" w:hAnsi="仿宋" w:eastAsia="仿宋" w:cs="仿宋"/>
          <w:sz w:val="24"/>
          <w:lang w:eastAsia="zh-CN"/>
        </w:rPr>
        <w:t>，</w:t>
      </w:r>
      <w:r>
        <w:rPr>
          <w:rFonts w:hint="eastAsia" w:ascii="仿宋" w:hAnsi="仿宋" w:eastAsia="仿宋" w:cs="仿宋"/>
          <w:sz w:val="24"/>
        </w:rPr>
        <w:t>通过资格审查的供应商不足三家的，不得评标。</w:t>
      </w:r>
    </w:p>
    <w:p>
      <w:pPr>
        <w:spacing w:line="240" w:lineRule="atLeast"/>
        <w:ind w:left="720" w:hanging="720" w:hangingChars="300"/>
        <w:rPr>
          <w:rFonts w:ascii="仿宋" w:hAnsi="仿宋" w:eastAsia="仿宋" w:cs="仿宋"/>
          <w:color w:val="000000"/>
          <w:sz w:val="24"/>
        </w:rPr>
      </w:pPr>
      <w:r>
        <w:rPr>
          <w:rFonts w:hint="eastAsia" w:ascii="仿宋" w:hAnsi="仿宋" w:eastAsia="仿宋" w:cs="仿宋"/>
          <w:sz w:val="24"/>
        </w:rPr>
        <w:t xml:space="preserve">19.2  </w:t>
      </w:r>
      <w:r>
        <w:rPr>
          <w:rFonts w:hint="eastAsia" w:ascii="仿宋" w:hAnsi="仿宋" w:eastAsia="仿宋" w:cs="仿宋"/>
          <w:color w:val="000000"/>
          <w:sz w:val="24"/>
        </w:rPr>
        <w:t>采购人或采购代理机构将在开标前1个工作日至投标截止后1小时的期间内查询供应商的信用记录。供应商存在不良信用记录的，其投标将被认定为</w:t>
      </w:r>
      <w:r>
        <w:rPr>
          <w:rFonts w:hint="eastAsia" w:ascii="仿宋" w:hAnsi="仿宋" w:eastAsia="仿宋" w:cs="仿宋"/>
          <w:b/>
          <w:bCs/>
          <w:color w:val="000000"/>
          <w:sz w:val="24"/>
        </w:rPr>
        <w:t>投标无效</w:t>
      </w:r>
      <w:r>
        <w:rPr>
          <w:rFonts w:hint="eastAsia" w:ascii="仿宋" w:hAnsi="仿宋" w:eastAsia="仿宋" w:cs="仿宋"/>
          <w:color w:val="000000"/>
          <w:sz w:val="24"/>
        </w:rPr>
        <w:t>。</w:t>
      </w:r>
    </w:p>
    <w:p>
      <w:pPr>
        <w:spacing w:line="240" w:lineRule="atLeast"/>
        <w:ind w:left="720" w:hanging="720" w:hangingChars="300"/>
        <w:rPr>
          <w:rFonts w:ascii="仿宋" w:hAnsi="仿宋" w:eastAsia="仿宋" w:cs="仿宋"/>
          <w:color w:val="000000"/>
          <w:sz w:val="24"/>
        </w:rPr>
      </w:pPr>
      <w:r>
        <w:rPr>
          <w:rFonts w:hint="eastAsia" w:ascii="仿宋" w:hAnsi="仿宋" w:eastAsia="仿宋" w:cs="仿宋"/>
          <w:color w:val="000000"/>
          <w:sz w:val="24"/>
        </w:rPr>
        <w:t>19.2.1  不良信用记录指：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查询结果以代理公司开标现场核查为准）</w:t>
      </w:r>
    </w:p>
    <w:p>
      <w:pPr>
        <w:spacing w:line="240" w:lineRule="atLeast"/>
        <w:ind w:left="718" w:leftChars="342"/>
        <w:rPr>
          <w:rFonts w:ascii="仿宋" w:hAnsi="仿宋" w:eastAsia="仿宋" w:cs="仿宋"/>
          <w:color w:val="000000"/>
          <w:sz w:val="24"/>
        </w:rPr>
      </w:pPr>
      <w:r>
        <w:rPr>
          <w:rFonts w:hint="eastAsia" w:ascii="仿宋" w:hAnsi="仿宋" w:eastAsia="仿宋" w:cs="仿宋"/>
          <w:color w:val="000000"/>
          <w:sz w:val="24"/>
        </w:rPr>
        <w:t>以联合体形式参加投标的，联合体任何成员存在以上不良信用记录的，联合体投标将被认定为</w:t>
      </w:r>
      <w:r>
        <w:rPr>
          <w:rFonts w:hint="eastAsia" w:ascii="仿宋" w:hAnsi="仿宋" w:eastAsia="仿宋" w:cs="仿宋"/>
          <w:b/>
          <w:bCs/>
          <w:color w:val="000000"/>
          <w:sz w:val="24"/>
        </w:rPr>
        <w:t>投标无效</w:t>
      </w:r>
      <w:r>
        <w:rPr>
          <w:rFonts w:hint="eastAsia" w:ascii="仿宋" w:hAnsi="仿宋" w:eastAsia="仿宋" w:cs="仿宋"/>
          <w:color w:val="000000"/>
          <w:sz w:val="24"/>
        </w:rPr>
        <w:t>。</w:t>
      </w:r>
    </w:p>
    <w:p>
      <w:pPr>
        <w:pStyle w:val="11"/>
        <w:spacing w:line="240" w:lineRule="atLeast"/>
        <w:ind w:left="850" w:hanging="849" w:hangingChars="354"/>
        <w:jc w:val="both"/>
        <w:rPr>
          <w:rFonts w:ascii="仿宋" w:hAnsi="仿宋" w:eastAsia="仿宋" w:cs="仿宋"/>
          <w:color w:val="000000"/>
          <w:kern w:val="2"/>
          <w:szCs w:val="24"/>
        </w:rPr>
      </w:pPr>
      <w:r>
        <w:rPr>
          <w:rFonts w:hint="eastAsia" w:ascii="仿宋" w:hAnsi="仿宋" w:eastAsia="仿宋" w:cs="仿宋"/>
        </w:rPr>
        <w:t xml:space="preserve">19.2.2 </w:t>
      </w:r>
      <w:r>
        <w:rPr>
          <w:rFonts w:hint="eastAsia" w:ascii="仿宋" w:hAnsi="仿宋" w:eastAsia="仿宋" w:cs="仿宋"/>
          <w:color w:val="000000"/>
          <w:kern w:val="2"/>
          <w:szCs w:val="24"/>
        </w:rPr>
        <w:t>查询及记录方式：采购人或采购代理机构经办人将查询网页打印、签字并存档备查。供应商不良信用记录以采购人或采购代理机构查询结果为准。</w:t>
      </w:r>
    </w:p>
    <w:p>
      <w:pPr>
        <w:pStyle w:val="11"/>
        <w:spacing w:line="240" w:lineRule="atLeast"/>
        <w:ind w:left="850" w:leftChars="405" w:firstLine="0"/>
        <w:jc w:val="both"/>
        <w:rPr>
          <w:rFonts w:ascii="仿宋" w:hAnsi="仿宋" w:eastAsia="仿宋" w:cs="仿宋"/>
          <w:color w:val="000000"/>
          <w:kern w:val="2"/>
          <w:szCs w:val="24"/>
        </w:rPr>
      </w:pPr>
      <w:r>
        <w:rPr>
          <w:rFonts w:hint="eastAsia" w:ascii="仿宋" w:hAnsi="仿宋" w:eastAsia="仿宋" w:cs="仿宋"/>
          <w:color w:val="000000"/>
          <w:kern w:val="2"/>
          <w:szCs w:val="24"/>
        </w:rPr>
        <w:t>在本采购文件规定的查询时间之后，网站信息发生的任何变更均不再作为评标依据。</w:t>
      </w:r>
    </w:p>
    <w:p>
      <w:pPr>
        <w:pStyle w:val="11"/>
        <w:spacing w:line="240" w:lineRule="atLeast"/>
        <w:ind w:left="850" w:leftChars="405" w:firstLine="0"/>
        <w:jc w:val="both"/>
        <w:rPr>
          <w:rFonts w:ascii="仿宋" w:hAnsi="仿宋" w:eastAsia="仿宋" w:cs="仿宋"/>
        </w:rPr>
      </w:pPr>
      <w:r>
        <w:rPr>
          <w:rFonts w:hint="eastAsia" w:ascii="仿宋" w:hAnsi="仿宋" w:eastAsia="仿宋" w:cs="仿宋"/>
          <w:color w:val="000000"/>
          <w:kern w:val="2"/>
          <w:szCs w:val="24"/>
        </w:rPr>
        <w:t>供应商自行提供的与网站信</w:t>
      </w:r>
      <w:r>
        <w:rPr>
          <w:rFonts w:hint="eastAsia" w:ascii="仿宋" w:hAnsi="仿宋" w:eastAsia="仿宋" w:cs="仿宋"/>
        </w:rPr>
        <w:t>息不一致的其他证明材料亦不作为资格审查的依据。</w:t>
      </w:r>
    </w:p>
    <w:p>
      <w:pPr>
        <w:spacing w:line="240" w:lineRule="atLeast"/>
        <w:ind w:left="850" w:hanging="849" w:hangingChars="354"/>
        <w:rPr>
          <w:rFonts w:ascii="仿宋" w:hAnsi="仿宋" w:eastAsia="仿宋" w:cs="仿宋"/>
          <w:sz w:val="24"/>
        </w:rPr>
      </w:pPr>
      <w:r>
        <w:rPr>
          <w:rFonts w:hint="eastAsia" w:ascii="仿宋" w:hAnsi="仿宋" w:eastAsia="仿宋" w:cs="仿宋"/>
          <w:sz w:val="24"/>
        </w:rPr>
        <w:t>19.3   按照《中华人民共和国政府采购法》《中华人民共和国政府采购法实施条例》及本项目本级和上级财政部门的有关规定依法组建的评标委员会，负责本项目评标工作。</w:t>
      </w:r>
      <w:bookmarkStart w:id="227" w:name="_Toc520356166"/>
      <w:r>
        <w:rPr>
          <w:rFonts w:hint="eastAsia" w:ascii="仿宋" w:hAnsi="仿宋" w:eastAsia="仿宋" w:cs="仿宋"/>
          <w:b/>
          <w:bCs/>
          <w:color w:val="000000"/>
          <w:sz w:val="24"/>
          <w:u w:val="single"/>
        </w:rPr>
        <w:t>本项目评标委员会成员5名，在政府采购网自行组建按3:1比例随机抽取。</w:t>
      </w:r>
    </w:p>
    <w:p>
      <w:pPr>
        <w:pStyle w:val="9"/>
        <w:spacing w:before="0" w:after="0" w:line="240" w:lineRule="atLeast"/>
        <w:rPr>
          <w:rFonts w:ascii="仿宋" w:hAnsi="仿宋" w:eastAsia="仿宋" w:cs="仿宋"/>
          <w:b w:val="0"/>
          <w:bCs/>
          <w:bdr w:val="single" w:color="auto" w:sz="4" w:space="0"/>
        </w:rPr>
      </w:pPr>
      <w:bookmarkStart w:id="228" w:name="_Toc518923085"/>
      <w:bookmarkStart w:id="229" w:name="_Toc6842"/>
      <w:r>
        <w:rPr>
          <w:rFonts w:hint="eastAsia" w:ascii="仿宋" w:hAnsi="仿宋" w:eastAsia="仿宋" w:cs="仿宋"/>
          <w:u w:val="none"/>
        </w:rPr>
        <w:t>20.投标文件的</w:t>
      </w:r>
      <w:bookmarkEnd w:id="227"/>
      <w:r>
        <w:rPr>
          <w:rFonts w:hint="eastAsia" w:ascii="仿宋" w:hAnsi="仿宋" w:eastAsia="仿宋" w:cs="仿宋"/>
          <w:u w:val="none"/>
        </w:rPr>
        <w:t>符合性审查与澄清</w:t>
      </w:r>
      <w:bookmarkEnd w:id="228"/>
      <w:bookmarkEnd w:id="229"/>
    </w:p>
    <w:p>
      <w:pPr>
        <w:spacing w:line="240" w:lineRule="atLeast"/>
        <w:ind w:left="900" w:hanging="900" w:hangingChars="375"/>
        <w:rPr>
          <w:rFonts w:ascii="仿宋" w:hAnsi="仿宋" w:eastAsia="仿宋" w:cs="仿宋"/>
          <w:sz w:val="24"/>
        </w:rPr>
      </w:pPr>
      <w:r>
        <w:rPr>
          <w:rFonts w:hint="eastAsia" w:ascii="仿宋" w:hAnsi="仿宋" w:eastAsia="仿宋" w:cs="仿宋"/>
          <w:sz w:val="24"/>
        </w:rPr>
        <w:t>20.1   符合性审查是指依据采购文件的规定，从投标文件的有效性和完整性对采购文件的响应程度进行审查，以确定是否对采购文件的实质性要求做出响应。</w:t>
      </w:r>
      <w:bookmarkStart w:id="230" w:name="_Hlt522424701"/>
      <w:bookmarkEnd w:id="230"/>
      <w:bookmarkStart w:id="231" w:name="_Toc520356167"/>
    </w:p>
    <w:p>
      <w:pPr>
        <w:spacing w:line="240" w:lineRule="atLeast"/>
        <w:ind w:left="900" w:hanging="900" w:hangingChars="375"/>
        <w:outlineLvl w:val="1"/>
        <w:rPr>
          <w:rFonts w:ascii="仿宋" w:hAnsi="仿宋" w:eastAsia="仿宋" w:cs="仿宋"/>
          <w:sz w:val="24"/>
        </w:rPr>
      </w:pPr>
      <w:bookmarkStart w:id="232" w:name="_Toc21131"/>
      <w:bookmarkStart w:id="233" w:name="_Toc8420"/>
      <w:bookmarkStart w:id="234" w:name="_Toc5073"/>
      <w:bookmarkStart w:id="235" w:name="_Toc19600"/>
      <w:r>
        <w:rPr>
          <w:rFonts w:hint="eastAsia" w:ascii="仿宋" w:hAnsi="仿宋" w:eastAsia="仿宋" w:cs="仿宋"/>
          <w:sz w:val="24"/>
        </w:rPr>
        <w:t>20.2</w:t>
      </w:r>
      <w:r>
        <w:rPr>
          <w:rFonts w:hint="eastAsia" w:ascii="仿宋" w:hAnsi="仿宋" w:eastAsia="仿宋" w:cs="仿宋"/>
          <w:sz w:val="24"/>
        </w:rPr>
        <w:tab/>
      </w:r>
      <w:r>
        <w:rPr>
          <w:rFonts w:hint="eastAsia" w:ascii="仿宋" w:hAnsi="仿宋" w:eastAsia="仿宋" w:cs="仿宋"/>
          <w:sz w:val="24"/>
        </w:rPr>
        <w:t>投标文件的澄清</w:t>
      </w:r>
      <w:bookmarkEnd w:id="232"/>
      <w:bookmarkEnd w:id="233"/>
      <w:bookmarkEnd w:id="234"/>
      <w:bookmarkEnd w:id="235"/>
    </w:p>
    <w:p>
      <w:pPr>
        <w:spacing w:line="240" w:lineRule="atLeast"/>
        <w:ind w:left="900" w:hanging="900" w:hangingChars="375"/>
        <w:rPr>
          <w:rFonts w:ascii="仿宋" w:hAnsi="仿宋" w:eastAsia="仿宋" w:cs="仿宋"/>
          <w:sz w:val="24"/>
        </w:rPr>
      </w:pPr>
      <w:r>
        <w:rPr>
          <w:rFonts w:hint="eastAsia" w:ascii="仿宋" w:hAnsi="仿宋" w:eastAsia="仿宋" w:cs="仿宋"/>
          <w:sz w:val="24"/>
        </w:rPr>
        <w:t>20.2.1  在评标期间，评标委员会将以书面方式要求供应商对其投标文件中含义不明确、对同类问题表述不一致或者有明显文字和计算错误的内容，以及评标委员会认为供应商的报价明显低于其他通过符合性检查供应商的报价，有可能影响履约的情况作必要的澄清、说明或补正。供应商澄清、说明或补正。应在评标委员会规定的时间内以书面方式进行，并不得超出投标文件范围或者改变投标文件的实质性内容。</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20.2.2  供应商的澄清、说明或补正将作为投标文件的一部分。</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20.3   投标文件报价出现前后不一致的，按照下列规定修正：</w:t>
      </w:r>
    </w:p>
    <w:p>
      <w:pPr>
        <w:spacing w:line="240" w:lineRule="atLeast"/>
        <w:ind w:left="1020" w:hanging="1020" w:hangingChars="425"/>
        <w:rPr>
          <w:rFonts w:ascii="仿宋" w:hAnsi="仿宋" w:eastAsia="仿宋" w:cs="仿宋"/>
          <w:sz w:val="24"/>
        </w:rPr>
      </w:pPr>
      <w:r>
        <w:rPr>
          <w:rFonts w:hint="eastAsia" w:ascii="仿宋" w:hAnsi="仿宋" w:eastAsia="仿宋" w:cs="仿宋"/>
          <w:sz w:val="24"/>
        </w:rPr>
        <w:t>　　   （一）投标文件中</w:t>
      </w:r>
      <w:r>
        <w:rPr>
          <w:rFonts w:hint="eastAsia" w:ascii="仿宋" w:hAnsi="仿宋" w:eastAsia="仿宋" w:cs="仿宋"/>
          <w:sz w:val="24"/>
          <w:lang w:eastAsia="zh-CN"/>
        </w:rPr>
        <w:t>报价单</w:t>
      </w:r>
      <w:r>
        <w:rPr>
          <w:rFonts w:hint="eastAsia" w:ascii="仿宋" w:hAnsi="仿宋" w:eastAsia="仿宋" w:cs="仿宋"/>
          <w:sz w:val="24"/>
        </w:rPr>
        <w:t>内容与投标文件中相应内容不一致的，以</w:t>
      </w:r>
      <w:r>
        <w:rPr>
          <w:rFonts w:hint="eastAsia" w:ascii="仿宋" w:hAnsi="仿宋" w:eastAsia="仿宋" w:cs="仿宋"/>
          <w:sz w:val="24"/>
          <w:lang w:eastAsia="zh-CN"/>
        </w:rPr>
        <w:t>报价单</w:t>
      </w:r>
      <w:r>
        <w:rPr>
          <w:rFonts w:hint="eastAsia" w:ascii="仿宋" w:hAnsi="仿宋" w:eastAsia="仿宋" w:cs="仿宋"/>
          <w:sz w:val="24"/>
        </w:rPr>
        <w:t>为准；</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　　   （二）大写金额和小写金额不一致的，以大写金额为准；</w:t>
      </w:r>
    </w:p>
    <w:p>
      <w:pPr>
        <w:spacing w:line="240" w:lineRule="atLeast"/>
        <w:ind w:left="1020" w:hanging="1020" w:hangingChars="425"/>
        <w:rPr>
          <w:rFonts w:ascii="仿宋" w:hAnsi="仿宋" w:eastAsia="仿宋" w:cs="仿宋"/>
          <w:sz w:val="24"/>
        </w:rPr>
      </w:pPr>
      <w:r>
        <w:rPr>
          <w:rFonts w:hint="eastAsia" w:ascii="仿宋" w:hAnsi="仿宋" w:eastAsia="仿宋" w:cs="仿宋"/>
          <w:sz w:val="24"/>
        </w:rPr>
        <w:t>　   　（三）单价金额小数点或者百分比有明显错位的，以开标一览表的总价为准，并修改单价；</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　   　（四）总价金额与按单价汇总金额不一致的，以单价金额计算结果为准。</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　　    同时出现两种以上不一致的，按照前款规定的顺序修正。修正后的报价按照第20.2条的规定经供应商确认后产生约束力，供应商不确认的，将被认定为投标无效。</w:t>
      </w:r>
    </w:p>
    <w:p>
      <w:pPr>
        <w:spacing w:line="240" w:lineRule="atLeast"/>
        <w:ind w:left="735" w:leftChars="350" w:firstLine="120" w:firstLineChars="50"/>
        <w:rPr>
          <w:rFonts w:ascii="仿宋" w:hAnsi="仿宋" w:eastAsia="仿宋" w:cs="仿宋"/>
          <w:sz w:val="24"/>
        </w:rPr>
      </w:pPr>
      <w:r>
        <w:rPr>
          <w:rFonts w:hint="eastAsia" w:ascii="仿宋" w:hAnsi="仿宋" w:eastAsia="仿宋" w:cs="仿宋"/>
          <w:sz w:val="24"/>
        </w:rPr>
        <w:t>对不同文字文本投标文件的解释发生异议的，以中文文本为准。</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20.4   供应商为提供服务所伴随投标的产品如被列入财政部与国家主管部门颁发的节能产品目录或环境标志产品目录或无线局域网产品目录，应提供相关证明，在评标时予以优先采购，具体优先采购办法见第6章评标方法和标准。</w:t>
      </w:r>
    </w:p>
    <w:p>
      <w:pPr>
        <w:pStyle w:val="9"/>
        <w:spacing w:before="0" w:after="0" w:line="240" w:lineRule="atLeast"/>
        <w:rPr>
          <w:rFonts w:ascii="仿宋" w:hAnsi="仿宋" w:eastAsia="仿宋" w:cs="仿宋"/>
          <w:u w:val="none"/>
        </w:rPr>
      </w:pPr>
      <w:bookmarkStart w:id="236" w:name="_Toc518923086"/>
      <w:bookmarkStart w:id="237" w:name="_Toc8603"/>
      <w:r>
        <w:rPr>
          <w:rFonts w:hint="eastAsia" w:ascii="仿宋" w:hAnsi="仿宋" w:eastAsia="仿宋" w:cs="仿宋"/>
          <w:u w:val="none"/>
        </w:rPr>
        <w:t>21.投标偏离</w:t>
      </w:r>
      <w:bookmarkEnd w:id="236"/>
      <w:bookmarkEnd w:id="237"/>
    </w:p>
    <w:p>
      <w:pPr>
        <w:spacing w:line="240" w:lineRule="atLeast"/>
        <w:ind w:left="848" w:leftChars="99" w:hanging="640" w:hangingChars="267"/>
        <w:rPr>
          <w:rFonts w:ascii="仿宋" w:hAnsi="仿宋" w:eastAsia="仿宋" w:cs="仿宋"/>
          <w:sz w:val="24"/>
        </w:rPr>
      </w:pPr>
      <w:r>
        <w:rPr>
          <w:rFonts w:hint="eastAsia" w:ascii="仿宋" w:hAnsi="仿宋" w:eastAsia="仿宋" w:cs="仿宋"/>
          <w:sz w:val="24"/>
        </w:rPr>
        <w:t xml:space="preserve">     评标委员不接受投标文件中得负偏离。</w:t>
      </w:r>
    </w:p>
    <w:p>
      <w:pPr>
        <w:pStyle w:val="9"/>
        <w:spacing w:before="0" w:after="0" w:line="240" w:lineRule="atLeast"/>
        <w:rPr>
          <w:rFonts w:ascii="仿宋" w:hAnsi="仿宋" w:eastAsia="仿宋" w:cs="仿宋"/>
          <w:u w:val="none"/>
        </w:rPr>
      </w:pPr>
      <w:bookmarkStart w:id="238" w:name="_Toc25255"/>
      <w:bookmarkStart w:id="239" w:name="_Toc518923087"/>
      <w:r>
        <w:rPr>
          <w:rFonts w:hint="eastAsia" w:ascii="仿宋" w:hAnsi="仿宋" w:eastAsia="仿宋" w:cs="仿宋"/>
          <w:u w:val="none"/>
        </w:rPr>
        <w:t>22.投标无效</w:t>
      </w:r>
      <w:bookmarkEnd w:id="238"/>
      <w:bookmarkEnd w:id="239"/>
    </w:p>
    <w:p>
      <w:pPr>
        <w:spacing w:line="240" w:lineRule="atLeast"/>
        <w:ind w:left="852" w:leftChars="-23" w:hanging="900" w:hangingChars="375"/>
        <w:rPr>
          <w:rFonts w:ascii="仿宋" w:hAnsi="仿宋" w:eastAsia="仿宋" w:cs="仿宋"/>
          <w:sz w:val="24"/>
        </w:rPr>
      </w:pPr>
      <w:r>
        <w:rPr>
          <w:rFonts w:hint="eastAsia" w:ascii="仿宋" w:hAnsi="仿宋" w:eastAsia="仿宋" w:cs="仿宋"/>
          <w:sz w:val="24"/>
        </w:rPr>
        <w:t>22.1   在比较与评价之前，根据本须知的规定，评标委员会要审查每份投标文件是否实质上响应了采购文件的要求。实质上响应的投标应该是与采购文件要求的全部条款、条件和规格相符，没有偏离的投标。对招标条款的偏离，将被认定为</w:t>
      </w:r>
      <w:r>
        <w:rPr>
          <w:rFonts w:hint="eastAsia" w:ascii="仿宋" w:hAnsi="仿宋" w:eastAsia="仿宋" w:cs="仿宋"/>
          <w:b/>
          <w:bCs/>
          <w:sz w:val="24"/>
        </w:rPr>
        <w:t>投标无效</w:t>
      </w:r>
      <w:r>
        <w:rPr>
          <w:rFonts w:hint="eastAsia" w:ascii="仿宋" w:hAnsi="仿宋" w:eastAsia="仿宋" w:cs="仿宋"/>
          <w:sz w:val="24"/>
        </w:rPr>
        <w:t>。供应商不得通过修正或撤销不符合要求的偏离从而使其投标成为实质上响应的投标。</w:t>
      </w:r>
    </w:p>
    <w:p>
      <w:pPr>
        <w:spacing w:line="240" w:lineRule="atLeast"/>
        <w:ind w:left="792" w:leftChars="377"/>
        <w:rPr>
          <w:rFonts w:ascii="仿宋" w:hAnsi="仿宋" w:eastAsia="仿宋" w:cs="仿宋"/>
          <w:sz w:val="24"/>
        </w:rPr>
      </w:pPr>
      <w:r>
        <w:rPr>
          <w:rFonts w:hint="eastAsia" w:ascii="仿宋" w:hAnsi="仿宋" w:eastAsia="仿宋" w:cs="仿宋"/>
          <w:sz w:val="24"/>
        </w:rPr>
        <w:t>评标委员会决定投标的响应性只根据采购文件要求、投标文件内容及财政主管部门指定相关信息发布媒体。</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22.2</w:t>
      </w:r>
      <w:r>
        <w:rPr>
          <w:rFonts w:hint="eastAsia" w:ascii="仿宋" w:hAnsi="仿宋" w:eastAsia="仿宋" w:cs="仿宋"/>
          <w:sz w:val="24"/>
        </w:rPr>
        <w:tab/>
      </w:r>
      <w:r>
        <w:rPr>
          <w:rFonts w:hint="eastAsia" w:ascii="仿宋" w:hAnsi="仿宋" w:eastAsia="仿宋" w:cs="仿宋"/>
          <w:sz w:val="24"/>
        </w:rPr>
        <w:t>如发现下列情况之一的，其投标将被认定为投标无效：（</w:t>
      </w:r>
      <w:r>
        <w:rPr>
          <w:rFonts w:hint="eastAsia" w:ascii="仿宋" w:hAnsi="仿宋" w:eastAsia="仿宋" w:cs="仿宋"/>
          <w:b/>
          <w:sz w:val="24"/>
        </w:rPr>
        <w:t>以下情形应当在采购文件中规定，并以醒目的方式标明</w:t>
      </w:r>
      <w:r>
        <w:rPr>
          <w:rFonts w:hint="eastAsia" w:ascii="仿宋" w:hAnsi="仿宋" w:eastAsia="仿宋" w:cs="仿宋"/>
          <w:sz w:val="24"/>
        </w:rPr>
        <w:t>）</w:t>
      </w:r>
    </w:p>
    <w:p>
      <w:pPr>
        <w:numPr>
          <w:ilvl w:val="0"/>
          <w:numId w:val="4"/>
        </w:numPr>
        <w:spacing w:line="240" w:lineRule="atLeast"/>
        <w:ind w:left="1020" w:hanging="180"/>
        <w:rPr>
          <w:rFonts w:ascii="仿宋" w:hAnsi="仿宋" w:eastAsia="仿宋" w:cs="仿宋"/>
          <w:b/>
          <w:bCs/>
          <w:sz w:val="24"/>
        </w:rPr>
      </w:pPr>
      <w:r>
        <w:rPr>
          <w:rFonts w:hint="eastAsia" w:ascii="仿宋" w:hAnsi="仿宋" w:eastAsia="仿宋" w:cs="仿宋"/>
          <w:b/>
          <w:bCs/>
          <w:sz w:val="24"/>
        </w:rPr>
        <w:t>未按采购文件规定的形式和金额提交投标保证金的；</w:t>
      </w:r>
    </w:p>
    <w:p>
      <w:pPr>
        <w:numPr>
          <w:ilvl w:val="0"/>
          <w:numId w:val="4"/>
        </w:numPr>
        <w:spacing w:line="240" w:lineRule="atLeast"/>
        <w:ind w:left="1020" w:hanging="180"/>
        <w:rPr>
          <w:rFonts w:ascii="仿宋" w:hAnsi="仿宋" w:eastAsia="仿宋" w:cs="仿宋"/>
          <w:b/>
          <w:bCs/>
          <w:sz w:val="24"/>
        </w:rPr>
      </w:pPr>
      <w:r>
        <w:rPr>
          <w:rFonts w:hint="eastAsia" w:ascii="仿宋" w:hAnsi="仿宋" w:eastAsia="仿宋" w:cs="仿宋"/>
          <w:b/>
          <w:bCs/>
          <w:sz w:val="24"/>
        </w:rPr>
        <w:t>未按照采购文件规定要求签署、盖章的；</w:t>
      </w:r>
    </w:p>
    <w:p>
      <w:pPr>
        <w:numPr>
          <w:ilvl w:val="0"/>
          <w:numId w:val="4"/>
        </w:numPr>
        <w:spacing w:line="240" w:lineRule="atLeast"/>
        <w:ind w:left="1020" w:hanging="180"/>
        <w:rPr>
          <w:rFonts w:ascii="仿宋" w:hAnsi="仿宋" w:eastAsia="仿宋" w:cs="仿宋"/>
          <w:b/>
          <w:bCs/>
          <w:sz w:val="24"/>
        </w:rPr>
      </w:pPr>
      <w:r>
        <w:rPr>
          <w:rFonts w:hint="eastAsia" w:ascii="仿宋" w:hAnsi="仿宋" w:eastAsia="仿宋" w:cs="仿宋"/>
          <w:b/>
          <w:bCs/>
          <w:sz w:val="24"/>
        </w:rPr>
        <w:t>未满足采购文件中技术条款的实质性要求；</w:t>
      </w:r>
    </w:p>
    <w:p>
      <w:pPr>
        <w:numPr>
          <w:ilvl w:val="0"/>
          <w:numId w:val="4"/>
        </w:numPr>
        <w:spacing w:line="240" w:lineRule="atLeast"/>
        <w:ind w:left="1020" w:hanging="180"/>
        <w:rPr>
          <w:rFonts w:ascii="仿宋" w:hAnsi="仿宋" w:eastAsia="仿宋" w:cs="仿宋"/>
          <w:b/>
          <w:bCs/>
          <w:sz w:val="24"/>
        </w:rPr>
      </w:pPr>
      <w:r>
        <w:rPr>
          <w:rFonts w:hint="eastAsia" w:ascii="仿宋" w:hAnsi="仿宋" w:eastAsia="仿宋" w:cs="仿宋"/>
          <w:b/>
          <w:bCs/>
          <w:sz w:val="24"/>
        </w:rPr>
        <w:t>与其他供应商串通投标，或者与招标人串通投标；</w:t>
      </w:r>
    </w:p>
    <w:p>
      <w:pPr>
        <w:numPr>
          <w:ilvl w:val="0"/>
          <w:numId w:val="4"/>
        </w:numPr>
        <w:spacing w:line="240" w:lineRule="atLeast"/>
        <w:ind w:left="1020" w:hanging="180"/>
        <w:rPr>
          <w:rFonts w:ascii="仿宋" w:hAnsi="仿宋" w:eastAsia="仿宋" w:cs="仿宋"/>
          <w:b/>
          <w:bCs/>
          <w:sz w:val="24"/>
        </w:rPr>
      </w:pPr>
      <w:r>
        <w:rPr>
          <w:rFonts w:hint="eastAsia" w:ascii="仿宋" w:hAnsi="仿宋" w:eastAsia="仿宋" w:cs="仿宋"/>
          <w:b/>
          <w:bCs/>
          <w:sz w:val="24"/>
        </w:rPr>
        <w:t>属于采购文件规定的其他投标无效情形；</w:t>
      </w:r>
    </w:p>
    <w:p>
      <w:pPr>
        <w:numPr>
          <w:ilvl w:val="0"/>
          <w:numId w:val="4"/>
        </w:numPr>
        <w:spacing w:line="240" w:lineRule="atLeast"/>
        <w:ind w:left="1020" w:hanging="180"/>
        <w:rPr>
          <w:rFonts w:ascii="仿宋" w:hAnsi="仿宋" w:eastAsia="仿宋" w:cs="仿宋"/>
          <w:b/>
          <w:bCs/>
          <w:sz w:val="24"/>
        </w:rPr>
      </w:pPr>
      <w:r>
        <w:rPr>
          <w:rFonts w:hint="eastAsia" w:ascii="仿宋" w:hAnsi="仿宋" w:eastAsia="仿宋" w:cs="仿宋"/>
          <w:b/>
          <w:bCs/>
          <w:sz w:val="24"/>
        </w:rPr>
        <w:t>评标委员会认为供应商的报价明显低于其他通过符合性检查供应商的报价，有可能影响履约的，且供应商未按照规定证明其报价合理性的；</w:t>
      </w:r>
    </w:p>
    <w:p>
      <w:pPr>
        <w:numPr>
          <w:ilvl w:val="0"/>
          <w:numId w:val="4"/>
        </w:numPr>
        <w:spacing w:line="240" w:lineRule="atLeast"/>
        <w:ind w:left="1020" w:hanging="180"/>
        <w:rPr>
          <w:rFonts w:ascii="仿宋" w:hAnsi="仿宋" w:eastAsia="仿宋" w:cs="仿宋"/>
          <w:b/>
          <w:bCs/>
          <w:sz w:val="24"/>
        </w:rPr>
      </w:pPr>
      <w:r>
        <w:rPr>
          <w:rFonts w:hint="eastAsia" w:ascii="仿宋" w:hAnsi="仿宋" w:eastAsia="仿宋" w:cs="仿宋"/>
          <w:b/>
          <w:bCs/>
          <w:sz w:val="24"/>
        </w:rPr>
        <w:t>投标文件含有采购人不能接受的附加条件的；</w:t>
      </w:r>
    </w:p>
    <w:p>
      <w:pPr>
        <w:numPr>
          <w:ilvl w:val="0"/>
          <w:numId w:val="4"/>
        </w:numPr>
        <w:tabs>
          <w:tab w:val="left" w:pos="0"/>
        </w:tabs>
        <w:spacing w:line="240" w:lineRule="atLeast"/>
        <w:ind w:left="1020" w:hanging="180"/>
        <w:rPr>
          <w:rFonts w:ascii="仿宋" w:hAnsi="仿宋" w:eastAsia="仿宋" w:cs="仿宋"/>
          <w:b/>
          <w:bCs/>
          <w:sz w:val="24"/>
        </w:rPr>
      </w:pPr>
      <w:r>
        <w:rPr>
          <w:rFonts w:hint="eastAsia" w:ascii="仿宋" w:hAnsi="仿宋" w:eastAsia="仿宋" w:cs="仿宋"/>
          <w:b/>
          <w:bCs/>
          <w:sz w:val="24"/>
        </w:rPr>
        <w:t>不符合法规和采购文件中规定的其他实质性要求的。</w:t>
      </w:r>
    </w:p>
    <w:p>
      <w:pPr>
        <w:spacing w:line="240" w:lineRule="atLeast"/>
        <w:rPr>
          <w:rFonts w:ascii="仿宋" w:hAnsi="仿宋" w:eastAsia="仿宋" w:cs="仿宋"/>
        </w:rPr>
      </w:pPr>
      <w:bookmarkStart w:id="240" w:name="_Toc518923088"/>
      <w:bookmarkStart w:id="241" w:name="_Toc20835"/>
      <w:r>
        <w:rPr>
          <w:rFonts w:hint="eastAsia" w:ascii="仿宋" w:hAnsi="仿宋" w:eastAsia="仿宋" w:cs="仿宋"/>
          <w:b/>
          <w:kern w:val="0"/>
          <w:sz w:val="24"/>
          <w:szCs w:val="20"/>
        </w:rPr>
        <w:t>23</w:t>
      </w:r>
      <w:bookmarkEnd w:id="231"/>
      <w:r>
        <w:rPr>
          <w:rFonts w:hint="eastAsia" w:ascii="仿宋" w:hAnsi="仿宋" w:eastAsia="仿宋" w:cs="仿宋"/>
          <w:b/>
          <w:kern w:val="0"/>
          <w:sz w:val="24"/>
          <w:szCs w:val="20"/>
        </w:rPr>
        <w:t>.比较与评价</w:t>
      </w:r>
      <w:bookmarkEnd w:id="240"/>
      <w:bookmarkEnd w:id="241"/>
    </w:p>
    <w:p>
      <w:pPr>
        <w:spacing w:line="240" w:lineRule="atLeast"/>
        <w:ind w:left="900" w:hanging="900" w:hangingChars="375"/>
        <w:rPr>
          <w:rFonts w:ascii="仿宋" w:hAnsi="仿宋" w:eastAsia="仿宋" w:cs="仿宋"/>
          <w:sz w:val="24"/>
        </w:rPr>
      </w:pPr>
      <w:r>
        <w:rPr>
          <w:rFonts w:hint="eastAsia" w:ascii="仿宋" w:hAnsi="仿宋" w:eastAsia="仿宋" w:cs="仿宋"/>
          <w:sz w:val="24"/>
        </w:rPr>
        <w:t>23.1</w:t>
      </w:r>
      <w:r>
        <w:rPr>
          <w:rFonts w:hint="eastAsia" w:ascii="仿宋" w:hAnsi="仿宋" w:eastAsia="仿宋" w:cs="仿宋"/>
          <w:sz w:val="24"/>
        </w:rPr>
        <w:tab/>
      </w:r>
      <w:r>
        <w:rPr>
          <w:rFonts w:hint="eastAsia" w:ascii="仿宋" w:hAnsi="仿宋" w:eastAsia="仿宋" w:cs="仿宋"/>
          <w:sz w:val="24"/>
        </w:rPr>
        <w:t>经符合性审查合格的投标文件，评标委员会将根据采购文件确定的评标方法和标准，对其技术部分和商务部分作进一步的比较和评价。</w:t>
      </w:r>
    </w:p>
    <w:p>
      <w:pPr>
        <w:spacing w:line="240" w:lineRule="atLeast"/>
        <w:ind w:left="900" w:hanging="900" w:hangingChars="375"/>
        <w:rPr>
          <w:rFonts w:ascii="仿宋" w:hAnsi="仿宋" w:eastAsia="仿宋" w:cs="仿宋"/>
          <w:color w:val="FF0000"/>
          <w:sz w:val="24"/>
        </w:rPr>
      </w:pPr>
      <w:r>
        <w:rPr>
          <w:rFonts w:hint="eastAsia" w:ascii="仿宋" w:hAnsi="仿宋" w:eastAsia="仿宋" w:cs="仿宋"/>
          <w:sz w:val="24"/>
        </w:rPr>
        <w:t xml:space="preserve">23.2  </w:t>
      </w:r>
      <w:r>
        <w:rPr>
          <w:rFonts w:hint="eastAsia" w:ascii="仿宋" w:hAnsi="仿宋" w:eastAsia="仿宋" w:cs="仿宋"/>
          <w:sz w:val="24"/>
        </w:rPr>
        <w:tab/>
      </w:r>
      <w:r>
        <w:rPr>
          <w:rFonts w:hint="eastAsia" w:ascii="仿宋" w:hAnsi="仿宋" w:eastAsia="仿宋" w:cs="仿宋"/>
          <w:sz w:val="24"/>
        </w:rPr>
        <w:t>评标严格按照采购文件的要求和条件进行。根据实际情况，在</w:t>
      </w:r>
      <w:r>
        <w:rPr>
          <w:rFonts w:hint="eastAsia" w:ascii="仿宋" w:hAnsi="仿宋" w:eastAsia="仿宋" w:cs="仿宋"/>
          <w:sz w:val="24"/>
          <w:u w:val="single"/>
        </w:rPr>
        <w:t>供应商须知资料表</w:t>
      </w:r>
      <w:r>
        <w:rPr>
          <w:rFonts w:hint="eastAsia" w:ascii="仿宋" w:hAnsi="仿宋" w:eastAsia="仿宋" w:cs="仿宋"/>
          <w:sz w:val="24"/>
        </w:rPr>
        <w:t>中规定采用下列一种评标方法，具体办法详见第6章评标方法和标准：</w:t>
      </w:r>
    </w:p>
    <w:p>
      <w:pPr>
        <w:pStyle w:val="16"/>
        <w:spacing w:line="240" w:lineRule="atLeast"/>
        <w:ind w:left="899" w:leftChars="342" w:hanging="181"/>
        <w:rPr>
          <w:rFonts w:ascii="仿宋" w:hAnsi="仿宋" w:eastAsia="仿宋" w:cs="仿宋"/>
          <w:sz w:val="24"/>
          <w:szCs w:val="24"/>
        </w:rPr>
      </w:pPr>
      <w:r>
        <w:rPr>
          <w:rFonts w:hint="eastAsia" w:ascii="仿宋" w:hAnsi="仿宋" w:eastAsia="仿宋" w:cs="仿宋"/>
          <w:sz w:val="24"/>
          <w:szCs w:val="24"/>
        </w:rPr>
        <w:t>（1） 最低评标价法，是指投标文件满足采购文件全部实质性要求，且投标报价最低的供应商为中标候选人的评标方法。</w:t>
      </w:r>
    </w:p>
    <w:p>
      <w:pPr>
        <w:pStyle w:val="16"/>
        <w:spacing w:line="240" w:lineRule="atLeast"/>
        <w:ind w:left="898" w:leftChars="342" w:hanging="180"/>
        <w:rPr>
          <w:rFonts w:ascii="仿宋" w:hAnsi="仿宋" w:eastAsia="仿宋" w:cs="仿宋"/>
          <w:sz w:val="24"/>
          <w:szCs w:val="24"/>
        </w:rPr>
      </w:pPr>
      <w:r>
        <w:rPr>
          <w:rFonts w:hint="eastAsia" w:ascii="仿宋" w:hAnsi="仿宋" w:eastAsia="仿宋" w:cs="仿宋"/>
          <w:sz w:val="24"/>
          <w:szCs w:val="24"/>
        </w:rPr>
        <w:t>（2） 综合评分法，是指投标文件满足采购文件全部实质性要求，且按照评审因素的量化指标评审得分最高的供应商为中标候选人的评标方法。</w:t>
      </w:r>
    </w:p>
    <w:p>
      <w:pPr>
        <w:pStyle w:val="16"/>
        <w:spacing w:line="240" w:lineRule="atLeast"/>
        <w:ind w:left="900" w:hanging="900" w:hangingChars="375"/>
        <w:rPr>
          <w:rFonts w:ascii="仿宋" w:hAnsi="仿宋" w:eastAsia="仿宋" w:cs="仿宋"/>
          <w:sz w:val="24"/>
          <w:szCs w:val="24"/>
        </w:rPr>
      </w:pPr>
      <w:r>
        <w:rPr>
          <w:rFonts w:hint="eastAsia" w:ascii="仿宋" w:hAnsi="仿宋" w:eastAsia="仿宋" w:cs="仿宋"/>
          <w:sz w:val="24"/>
          <w:szCs w:val="24"/>
        </w:rPr>
        <w:t>23.3   根据《政府采购促进中小企业发展管理办法》（财库[2020]46号）、《财政部 司法部关于政府采购支持监狱企业发展有关问题的通知》（财库〔2014〕68号）和《三部门联合发布关于促进残疾人就业政府采购政策的通知》（</w:t>
      </w:r>
      <w:bookmarkStart w:id="242" w:name="sendNo"/>
      <w:r>
        <w:rPr>
          <w:rFonts w:hint="eastAsia" w:ascii="仿宋" w:hAnsi="仿宋" w:eastAsia="仿宋" w:cs="仿宋"/>
          <w:bCs/>
          <w:sz w:val="24"/>
          <w:szCs w:val="24"/>
        </w:rPr>
        <w:t>财库〔</w:t>
      </w:r>
      <w:bookmarkEnd w:id="242"/>
      <w:r>
        <w:rPr>
          <w:rFonts w:hint="eastAsia" w:ascii="仿宋" w:hAnsi="仿宋" w:eastAsia="仿宋" w:cs="仿宋"/>
          <w:bCs/>
          <w:sz w:val="24"/>
          <w:szCs w:val="24"/>
        </w:rPr>
        <w:t>2017〕141号</w:t>
      </w:r>
      <w:r>
        <w:rPr>
          <w:rFonts w:hint="eastAsia" w:ascii="仿宋" w:hAnsi="仿宋" w:eastAsia="仿宋" w:cs="仿宋"/>
          <w:sz w:val="24"/>
          <w:szCs w:val="24"/>
        </w:rPr>
        <w:t>）的规定，对满足价格扣除条件且在投标文件中提交了《供应商企业类型声明函》或省级以上监狱管理局、戒毒管理局（含新疆生产建设兵团）出具的属于监狱企业的证明文件的供应商，其投标报价扣除6-10%后参与评审。具体办法详见采购文件</w:t>
      </w:r>
      <w:r>
        <w:rPr>
          <w:rFonts w:hint="eastAsia" w:ascii="仿宋" w:hAnsi="仿宋" w:eastAsia="仿宋" w:cs="仿宋"/>
          <w:sz w:val="24"/>
        </w:rPr>
        <w:t>第6章评标方法和标准</w:t>
      </w:r>
      <w:r>
        <w:rPr>
          <w:rFonts w:hint="eastAsia" w:ascii="仿宋" w:hAnsi="仿宋" w:eastAsia="仿宋" w:cs="仿宋"/>
          <w:sz w:val="24"/>
          <w:szCs w:val="24"/>
        </w:rPr>
        <w:t>。</w:t>
      </w:r>
    </w:p>
    <w:p>
      <w:pPr>
        <w:pStyle w:val="16"/>
        <w:spacing w:line="240" w:lineRule="atLeast"/>
        <w:ind w:left="900" w:hanging="900" w:hangingChars="375"/>
        <w:rPr>
          <w:rFonts w:ascii="仿宋" w:hAnsi="仿宋" w:eastAsia="仿宋" w:cs="仿宋"/>
          <w:b/>
          <w:bCs/>
          <w:sz w:val="24"/>
          <w:szCs w:val="24"/>
        </w:rPr>
      </w:pPr>
      <w:r>
        <w:rPr>
          <w:rFonts w:hint="eastAsia" w:ascii="仿宋" w:hAnsi="仿宋" w:eastAsia="仿宋" w:cs="仿宋"/>
          <w:sz w:val="24"/>
          <w:szCs w:val="24"/>
        </w:rPr>
        <w:t xml:space="preserve">       </w:t>
      </w:r>
      <w:r>
        <w:rPr>
          <w:rFonts w:hint="eastAsia" w:ascii="仿宋" w:hAnsi="仿宋" w:eastAsia="仿宋" w:cs="仿宋"/>
          <w:b/>
          <w:bCs/>
          <w:sz w:val="24"/>
          <w:szCs w:val="24"/>
        </w:rPr>
        <w:t xml:space="preserve"> 本项目采用招标方式：公开招标，评分方法：综合评分法</w:t>
      </w:r>
    </w:p>
    <w:p>
      <w:pPr>
        <w:pStyle w:val="9"/>
        <w:spacing w:before="0" w:after="0" w:line="240" w:lineRule="atLeast"/>
        <w:rPr>
          <w:rFonts w:ascii="仿宋" w:hAnsi="仿宋" w:eastAsia="仿宋" w:cs="仿宋"/>
          <w:u w:val="none"/>
        </w:rPr>
      </w:pPr>
      <w:bookmarkStart w:id="243" w:name="_Toc520356168"/>
      <w:bookmarkStart w:id="244" w:name="_Toc518923089"/>
      <w:bookmarkStart w:id="245" w:name="_Toc5823"/>
      <w:r>
        <w:rPr>
          <w:rFonts w:hint="eastAsia" w:ascii="仿宋" w:hAnsi="仿宋" w:eastAsia="仿宋" w:cs="仿宋"/>
          <w:u w:val="none"/>
        </w:rPr>
        <w:t>24</w:t>
      </w:r>
      <w:bookmarkEnd w:id="243"/>
      <w:r>
        <w:rPr>
          <w:rFonts w:hint="eastAsia" w:ascii="仿宋" w:hAnsi="仿宋" w:eastAsia="仿宋" w:cs="仿宋"/>
          <w:u w:val="none"/>
        </w:rPr>
        <w:t>.废标</w:t>
      </w:r>
      <w:bookmarkEnd w:id="244"/>
      <w:bookmarkEnd w:id="245"/>
    </w:p>
    <w:p>
      <w:pPr>
        <w:spacing w:line="240" w:lineRule="atLeast"/>
        <w:ind w:left="898" w:leftChars="399" w:hanging="60" w:hangingChars="25"/>
        <w:rPr>
          <w:rFonts w:ascii="仿宋" w:hAnsi="仿宋" w:eastAsia="仿宋" w:cs="仿宋"/>
          <w:sz w:val="24"/>
        </w:rPr>
      </w:pPr>
      <w:r>
        <w:rPr>
          <w:rFonts w:hint="eastAsia" w:ascii="仿宋" w:hAnsi="仿宋" w:eastAsia="仿宋" w:cs="仿宋"/>
          <w:sz w:val="24"/>
        </w:rPr>
        <w:t xml:space="preserve">出现下列情形之一，将导致项目废标： </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（1）符合专业条件的供应商或者对采购文件做实质性响应的供应商不足三家；</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（2）出现影响采购公正的违法、违规行为的；</w:t>
      </w:r>
    </w:p>
    <w:p>
      <w:pPr>
        <w:spacing w:line="240" w:lineRule="atLeast"/>
        <w:ind w:firstLine="840" w:firstLineChars="350"/>
        <w:rPr>
          <w:rFonts w:ascii="仿宋" w:hAnsi="仿宋" w:eastAsia="仿宋" w:cs="仿宋"/>
          <w:sz w:val="24"/>
        </w:rPr>
      </w:pPr>
      <w:r>
        <w:rPr>
          <w:rFonts w:hint="eastAsia" w:ascii="仿宋" w:hAnsi="仿宋" w:eastAsia="仿宋" w:cs="仿宋"/>
          <w:sz w:val="24"/>
        </w:rPr>
        <w:t>（3）供应商的报价均超过了采购预算，采购人不能支付的；</w:t>
      </w:r>
    </w:p>
    <w:p>
      <w:pPr>
        <w:spacing w:line="240" w:lineRule="atLeast"/>
        <w:ind w:firstLine="840" w:firstLineChars="350"/>
        <w:rPr>
          <w:rFonts w:ascii="仿宋" w:hAnsi="仿宋" w:eastAsia="仿宋" w:cs="仿宋"/>
          <w:sz w:val="24"/>
        </w:rPr>
      </w:pPr>
      <w:r>
        <w:rPr>
          <w:rFonts w:hint="eastAsia" w:ascii="仿宋" w:hAnsi="仿宋" w:eastAsia="仿宋" w:cs="仿宋"/>
          <w:sz w:val="24"/>
        </w:rPr>
        <w:t xml:space="preserve">（4）因重大变故，采购任务取消的。   </w:t>
      </w:r>
    </w:p>
    <w:p>
      <w:pPr>
        <w:pStyle w:val="9"/>
        <w:spacing w:before="0" w:after="0" w:line="240" w:lineRule="atLeast"/>
        <w:rPr>
          <w:rFonts w:ascii="仿宋" w:hAnsi="仿宋" w:eastAsia="仿宋" w:cs="仿宋"/>
          <w:u w:val="none"/>
        </w:rPr>
      </w:pPr>
      <w:bookmarkStart w:id="246" w:name="_Toc23660"/>
      <w:bookmarkStart w:id="247" w:name="_Toc518923090"/>
      <w:bookmarkStart w:id="248" w:name="_Toc520356169"/>
      <w:r>
        <w:rPr>
          <w:rFonts w:hint="eastAsia" w:ascii="仿宋" w:hAnsi="仿宋" w:eastAsia="仿宋" w:cs="仿宋"/>
          <w:u w:val="none"/>
        </w:rPr>
        <w:t>25.保密原则</w:t>
      </w:r>
      <w:bookmarkEnd w:id="246"/>
      <w:bookmarkEnd w:id="247"/>
    </w:p>
    <w:p>
      <w:pPr>
        <w:spacing w:line="240" w:lineRule="atLeast"/>
        <w:ind w:left="900" w:hanging="900" w:hangingChars="375"/>
        <w:outlineLvl w:val="1"/>
        <w:rPr>
          <w:rFonts w:ascii="仿宋" w:hAnsi="仿宋" w:eastAsia="仿宋" w:cs="仿宋"/>
          <w:sz w:val="24"/>
        </w:rPr>
      </w:pPr>
      <w:bookmarkStart w:id="249" w:name="_Toc17828"/>
      <w:bookmarkStart w:id="250" w:name="_Toc25586"/>
      <w:bookmarkStart w:id="251" w:name="_Toc6871"/>
      <w:bookmarkStart w:id="252" w:name="_Toc15860"/>
      <w:r>
        <w:rPr>
          <w:rFonts w:hint="eastAsia" w:ascii="仿宋" w:hAnsi="仿宋" w:eastAsia="仿宋" w:cs="仿宋"/>
          <w:sz w:val="24"/>
        </w:rPr>
        <w:t>25.1</w:t>
      </w:r>
      <w:r>
        <w:rPr>
          <w:rFonts w:hint="eastAsia" w:ascii="仿宋" w:hAnsi="仿宋" w:eastAsia="仿宋" w:cs="仿宋"/>
          <w:sz w:val="24"/>
        </w:rPr>
        <w:tab/>
      </w:r>
      <w:r>
        <w:rPr>
          <w:rFonts w:hint="eastAsia" w:ascii="仿宋" w:hAnsi="仿宋" w:eastAsia="仿宋" w:cs="仿宋"/>
          <w:sz w:val="24"/>
        </w:rPr>
        <w:t>评标将在严格保密的情况下进行。</w:t>
      </w:r>
      <w:bookmarkEnd w:id="249"/>
      <w:bookmarkEnd w:id="250"/>
      <w:bookmarkEnd w:id="251"/>
      <w:bookmarkEnd w:id="252"/>
    </w:p>
    <w:p>
      <w:pPr>
        <w:spacing w:line="240" w:lineRule="atLeast"/>
        <w:ind w:left="900" w:hanging="900" w:hangingChars="375"/>
        <w:rPr>
          <w:rFonts w:ascii="仿宋" w:hAnsi="仿宋" w:eastAsia="仿宋" w:cs="仿宋"/>
          <w:sz w:val="24"/>
        </w:rPr>
      </w:pPr>
      <w:r>
        <w:rPr>
          <w:rFonts w:hint="eastAsia" w:ascii="仿宋" w:hAnsi="仿宋" w:eastAsia="仿宋" w:cs="仿宋"/>
          <w:sz w:val="24"/>
        </w:rPr>
        <w:t>25.2</w:t>
      </w:r>
      <w:r>
        <w:rPr>
          <w:rFonts w:hint="eastAsia" w:ascii="仿宋" w:hAnsi="仿宋" w:eastAsia="仿宋" w:cs="仿宋"/>
          <w:sz w:val="24"/>
        </w:rPr>
        <w:tab/>
      </w:r>
      <w:r>
        <w:rPr>
          <w:rFonts w:hint="eastAsia" w:ascii="仿宋" w:hAnsi="仿宋" w:eastAsia="仿宋" w:cs="仿宋"/>
          <w:sz w:val="24"/>
        </w:rPr>
        <w:t>政府采购评审专家应当遵守评审工作纪律，不得泄露评审文件、评审情况和评审中获悉的商业秘密。</w:t>
      </w:r>
    </w:p>
    <w:p>
      <w:pPr>
        <w:spacing w:line="240" w:lineRule="atLeast"/>
        <w:ind w:left="1080" w:leftChars="257" w:hanging="540"/>
        <w:rPr>
          <w:rFonts w:ascii="仿宋" w:hAnsi="仿宋" w:eastAsia="仿宋" w:cs="仿宋"/>
          <w:sz w:val="24"/>
        </w:rPr>
      </w:pPr>
    </w:p>
    <w:p>
      <w:pPr>
        <w:pStyle w:val="8"/>
        <w:spacing w:before="0" w:line="240" w:lineRule="atLeast"/>
        <w:ind w:left="1080" w:leftChars="257" w:hanging="540"/>
        <w:rPr>
          <w:rFonts w:ascii="仿宋" w:hAnsi="仿宋" w:eastAsia="仿宋" w:cs="仿宋"/>
          <w:sz w:val="24"/>
        </w:rPr>
      </w:pPr>
      <w:bookmarkStart w:id="253" w:name="_Toc14297"/>
      <w:bookmarkStart w:id="254" w:name="_Toc518923091"/>
      <w:bookmarkStart w:id="255" w:name="_Toc216582810"/>
      <w:bookmarkStart w:id="256" w:name="_Toc23506"/>
      <w:bookmarkStart w:id="257" w:name="_Toc10964"/>
      <w:bookmarkStart w:id="258" w:name="_Toc14559"/>
      <w:r>
        <w:rPr>
          <w:rFonts w:hint="eastAsia" w:ascii="仿宋" w:hAnsi="仿宋" w:eastAsia="仿宋" w:cs="仿宋"/>
          <w:sz w:val="24"/>
        </w:rPr>
        <w:t xml:space="preserve">六   </w:t>
      </w:r>
      <w:bookmarkEnd w:id="248"/>
      <w:r>
        <w:rPr>
          <w:rFonts w:hint="eastAsia" w:ascii="仿宋" w:hAnsi="仿宋" w:eastAsia="仿宋" w:cs="仿宋"/>
          <w:sz w:val="24"/>
        </w:rPr>
        <w:t>确定中标</w:t>
      </w:r>
      <w:bookmarkEnd w:id="253"/>
      <w:bookmarkEnd w:id="254"/>
      <w:bookmarkEnd w:id="255"/>
      <w:bookmarkEnd w:id="256"/>
      <w:bookmarkEnd w:id="257"/>
      <w:bookmarkEnd w:id="258"/>
    </w:p>
    <w:p>
      <w:pPr>
        <w:pStyle w:val="11"/>
        <w:rPr>
          <w:rFonts w:ascii="仿宋" w:hAnsi="仿宋" w:eastAsia="仿宋" w:cs="仿宋"/>
        </w:rPr>
      </w:pPr>
    </w:p>
    <w:p>
      <w:pPr>
        <w:pStyle w:val="9"/>
        <w:spacing w:before="0" w:after="0" w:line="240" w:lineRule="atLeast"/>
        <w:rPr>
          <w:rFonts w:ascii="仿宋" w:hAnsi="仿宋" w:eastAsia="仿宋" w:cs="仿宋"/>
          <w:u w:val="none"/>
        </w:rPr>
      </w:pPr>
      <w:bookmarkStart w:id="259" w:name="_Toc518923092"/>
      <w:bookmarkStart w:id="260" w:name="_Toc32578"/>
      <w:bookmarkStart w:id="261" w:name="_Ref467307010"/>
      <w:bookmarkStart w:id="262" w:name="_Toc520356170"/>
      <w:r>
        <w:rPr>
          <w:rFonts w:hint="eastAsia" w:ascii="仿宋" w:hAnsi="仿宋" w:eastAsia="仿宋" w:cs="仿宋"/>
          <w:u w:val="none"/>
        </w:rPr>
        <w:t>26.中标候选人的确定原则及标准</w:t>
      </w:r>
      <w:bookmarkEnd w:id="259"/>
      <w:bookmarkEnd w:id="260"/>
      <w:bookmarkEnd w:id="261"/>
      <w:bookmarkEnd w:id="262"/>
    </w:p>
    <w:p>
      <w:pPr>
        <w:spacing w:line="240" w:lineRule="atLeast"/>
        <w:ind w:left="900" w:hanging="900" w:hangingChars="375"/>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除第28条规定外，对实质上响应采购文件的供应商按下列方法进行排序，确定中标候选人：</w:t>
      </w:r>
    </w:p>
    <w:p>
      <w:pPr>
        <w:spacing w:line="240" w:lineRule="atLeast"/>
        <w:ind w:left="901"/>
        <w:rPr>
          <w:rFonts w:ascii="仿宋" w:hAnsi="仿宋" w:eastAsia="仿宋" w:cs="仿宋"/>
          <w:sz w:val="24"/>
        </w:rPr>
      </w:pPr>
      <w:r>
        <w:rPr>
          <w:rFonts w:hint="eastAsia" w:ascii="仿宋" w:hAnsi="仿宋" w:eastAsia="仿宋" w:cs="仿宋"/>
          <w:sz w:val="24"/>
        </w:rPr>
        <w:t>（1）采用最低评标价法的，除了算术修正和落实政府采购政策需进行的价格扣除外，不对供应商的投标价格进行任何调整。评标结果按修正和扣除后的投标报价由低到高顺序排列。报价相同的处理方式详见采购文件四、综合评分法评分标准。</w:t>
      </w:r>
    </w:p>
    <w:p>
      <w:pPr>
        <w:spacing w:line="240" w:lineRule="atLeast"/>
        <w:ind w:left="901"/>
        <w:rPr>
          <w:rFonts w:ascii="仿宋" w:hAnsi="仿宋" w:eastAsia="仿宋" w:cs="仿宋"/>
          <w:sz w:val="24"/>
        </w:rPr>
      </w:pPr>
      <w:r>
        <w:rPr>
          <w:rFonts w:hint="eastAsia" w:ascii="仿宋" w:hAnsi="仿宋" w:eastAsia="仿宋" w:cs="仿宋"/>
          <w:sz w:val="24"/>
        </w:rPr>
        <w:t>（2）采用综合评分法的，评标结果按评审后得分由高到低顺序排列。得分相同的，按修正和扣除后的投标报价由低到高顺序排列。得分与投标报价均相同的处理方式详见采购文件第6章评标方法和标准。</w:t>
      </w:r>
    </w:p>
    <w:p>
      <w:pPr>
        <w:spacing w:line="240" w:lineRule="atLeast"/>
        <w:ind w:left="901"/>
        <w:rPr>
          <w:rFonts w:ascii="仿宋" w:hAnsi="仿宋" w:eastAsia="仿宋" w:cs="仿宋"/>
        </w:rPr>
      </w:pPr>
      <w:r>
        <w:rPr>
          <w:rFonts w:hint="eastAsia" w:ascii="仿宋" w:hAnsi="仿宋" w:eastAsia="仿宋" w:cs="仿宋"/>
          <w:b/>
          <w:bCs/>
          <w:sz w:val="24"/>
        </w:rPr>
        <w:t>本项目采用综合评分法</w:t>
      </w:r>
    </w:p>
    <w:p>
      <w:pPr>
        <w:pStyle w:val="9"/>
        <w:spacing w:before="0" w:after="0" w:line="240" w:lineRule="atLeast"/>
        <w:rPr>
          <w:rFonts w:ascii="仿宋" w:hAnsi="仿宋" w:eastAsia="仿宋" w:cs="仿宋"/>
          <w:u w:val="none"/>
        </w:rPr>
      </w:pPr>
      <w:bookmarkStart w:id="263" w:name="_Toc520356171"/>
      <w:bookmarkStart w:id="264" w:name="_Toc10555"/>
      <w:bookmarkStart w:id="265" w:name="_Toc518923093"/>
      <w:r>
        <w:rPr>
          <w:rFonts w:hint="eastAsia" w:ascii="仿宋" w:hAnsi="仿宋" w:eastAsia="仿宋" w:cs="仿宋"/>
          <w:u w:val="none"/>
        </w:rPr>
        <w:t>27</w:t>
      </w:r>
      <w:bookmarkEnd w:id="263"/>
      <w:r>
        <w:rPr>
          <w:rFonts w:hint="eastAsia" w:ascii="仿宋" w:hAnsi="仿宋" w:eastAsia="仿宋" w:cs="仿宋"/>
          <w:u w:val="none"/>
        </w:rPr>
        <w:t>.确定中标候选人和中标人</w:t>
      </w:r>
      <w:bookmarkEnd w:id="264"/>
      <w:bookmarkEnd w:id="265"/>
    </w:p>
    <w:p>
      <w:pPr>
        <w:spacing w:line="240" w:lineRule="atLeast"/>
        <w:ind w:left="900" w:hanging="900" w:hangingChars="375"/>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评标委员会将根据评标标准，按</w:t>
      </w:r>
      <w:r>
        <w:rPr>
          <w:rFonts w:hint="eastAsia" w:ascii="仿宋" w:hAnsi="仿宋" w:eastAsia="仿宋" w:cs="仿宋"/>
          <w:sz w:val="24"/>
          <w:u w:val="single"/>
        </w:rPr>
        <w:t>供应商须知资料表中</w:t>
      </w:r>
      <w:r>
        <w:rPr>
          <w:rFonts w:hint="eastAsia" w:ascii="仿宋" w:hAnsi="仿宋" w:eastAsia="仿宋" w:cs="仿宋"/>
          <w:sz w:val="24"/>
        </w:rPr>
        <w:t>规定数量推荐中标候选人；或根据采购人的委托，直接确定中标人。</w:t>
      </w:r>
    </w:p>
    <w:p>
      <w:pPr>
        <w:pStyle w:val="9"/>
        <w:tabs>
          <w:tab w:val="left" w:pos="900"/>
        </w:tabs>
        <w:spacing w:before="0" w:after="0" w:line="240" w:lineRule="atLeast"/>
        <w:rPr>
          <w:rFonts w:ascii="仿宋" w:hAnsi="仿宋" w:eastAsia="仿宋" w:cs="仿宋"/>
          <w:u w:val="none"/>
        </w:rPr>
      </w:pPr>
      <w:bookmarkStart w:id="266" w:name="_Ref467306874"/>
      <w:bookmarkStart w:id="267" w:name="_Toc520356173"/>
      <w:bookmarkStart w:id="268" w:name="_Toc17138"/>
      <w:bookmarkStart w:id="269" w:name="_Toc518923094"/>
      <w:r>
        <w:rPr>
          <w:rFonts w:hint="eastAsia" w:ascii="仿宋" w:hAnsi="仿宋" w:eastAsia="仿宋" w:cs="仿宋"/>
          <w:u w:val="none"/>
        </w:rPr>
        <w:t>28</w:t>
      </w:r>
      <w:bookmarkEnd w:id="266"/>
      <w:bookmarkEnd w:id="267"/>
      <w:r>
        <w:rPr>
          <w:rFonts w:hint="eastAsia" w:ascii="仿宋" w:hAnsi="仿宋" w:eastAsia="仿宋" w:cs="仿宋"/>
          <w:u w:val="none"/>
        </w:rPr>
        <w:t>.采购任务取消</w:t>
      </w:r>
      <w:bookmarkEnd w:id="268"/>
      <w:bookmarkEnd w:id="269"/>
    </w:p>
    <w:p>
      <w:pPr>
        <w:spacing w:line="240" w:lineRule="atLeast"/>
        <w:ind w:left="900" w:hanging="900" w:hangingChars="375"/>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因重大变故采购任务取消时，采购人有权拒绝任何供应商中标，且对受影响的供应商不承担任何责任。</w:t>
      </w:r>
      <w:bookmarkStart w:id="270" w:name="_Toc520356174"/>
    </w:p>
    <w:p>
      <w:pPr>
        <w:pStyle w:val="9"/>
        <w:spacing w:before="0" w:after="0" w:line="240" w:lineRule="atLeast"/>
        <w:rPr>
          <w:rFonts w:ascii="仿宋" w:hAnsi="仿宋" w:eastAsia="仿宋" w:cs="仿宋"/>
          <w:u w:val="none"/>
        </w:rPr>
      </w:pPr>
      <w:bookmarkStart w:id="271" w:name="_Toc18072"/>
      <w:bookmarkStart w:id="272" w:name="_Toc518923095"/>
      <w:r>
        <w:rPr>
          <w:rFonts w:hint="eastAsia" w:ascii="仿宋" w:hAnsi="仿宋" w:eastAsia="仿宋" w:cs="仿宋"/>
          <w:u w:val="none"/>
        </w:rPr>
        <w:t>29.中标通知书</w:t>
      </w:r>
      <w:bookmarkEnd w:id="270"/>
      <w:r>
        <w:rPr>
          <w:rFonts w:hint="eastAsia" w:ascii="仿宋" w:hAnsi="仿宋" w:eastAsia="仿宋" w:cs="仿宋"/>
          <w:u w:val="none"/>
        </w:rPr>
        <w:t>和招标结果</w:t>
      </w:r>
      <w:bookmarkEnd w:id="271"/>
      <w:bookmarkEnd w:id="272"/>
      <w:r>
        <w:rPr>
          <w:rFonts w:hint="eastAsia" w:ascii="仿宋" w:hAnsi="仿宋" w:eastAsia="仿宋" w:cs="仿宋"/>
          <w:u w:val="none"/>
        </w:rPr>
        <w:t>公示</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29.1</w:t>
      </w:r>
      <w:r>
        <w:rPr>
          <w:rFonts w:hint="eastAsia" w:ascii="仿宋" w:hAnsi="仿宋" w:eastAsia="仿宋" w:cs="仿宋"/>
          <w:sz w:val="24"/>
        </w:rPr>
        <w:tab/>
      </w:r>
      <w:r>
        <w:rPr>
          <w:rFonts w:hint="eastAsia" w:ascii="仿宋" w:hAnsi="仿宋" w:eastAsia="仿宋" w:cs="仿宋"/>
          <w:sz w:val="24"/>
        </w:rPr>
        <w:t>在投标有效期内，中标人确定后，采购人或者采购代理机构发布中标公告，同时以书面形式向中标人发出中标通知书；</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29.2</w:t>
      </w:r>
      <w:r>
        <w:rPr>
          <w:rFonts w:hint="eastAsia" w:ascii="仿宋" w:hAnsi="仿宋" w:eastAsia="仿宋" w:cs="仿宋"/>
          <w:sz w:val="24"/>
        </w:rPr>
        <w:tab/>
      </w:r>
      <w:r>
        <w:rPr>
          <w:rFonts w:hint="eastAsia" w:ascii="仿宋" w:hAnsi="仿宋" w:eastAsia="仿宋" w:cs="仿宋"/>
          <w:sz w:val="24"/>
        </w:rPr>
        <w:t>中标通知书是合同的组成部分；</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29.3    招标结果公告和中标通知书同时发出。</w:t>
      </w:r>
    </w:p>
    <w:p>
      <w:pPr>
        <w:pStyle w:val="9"/>
        <w:spacing w:before="0" w:after="0" w:line="240" w:lineRule="atLeast"/>
        <w:rPr>
          <w:rFonts w:ascii="仿宋" w:hAnsi="仿宋" w:eastAsia="仿宋" w:cs="仿宋"/>
          <w:u w:val="none"/>
        </w:rPr>
      </w:pPr>
      <w:bookmarkStart w:id="273" w:name="_Ref467307062"/>
      <w:bookmarkStart w:id="274" w:name="_Toc518923096"/>
      <w:bookmarkStart w:id="275" w:name="_Toc16952"/>
      <w:bookmarkStart w:id="276" w:name="_Toc520356175"/>
      <w:bookmarkStart w:id="277" w:name="_Ref467306978"/>
      <w:bookmarkStart w:id="278" w:name="_Ref467306377"/>
      <w:bookmarkStart w:id="279" w:name="_Ref467307204"/>
      <w:r>
        <w:rPr>
          <w:rFonts w:hint="eastAsia" w:ascii="仿宋" w:hAnsi="仿宋" w:eastAsia="仿宋" w:cs="仿宋"/>
          <w:u w:val="none"/>
        </w:rPr>
        <w:t>30.签订合同</w:t>
      </w:r>
      <w:bookmarkEnd w:id="273"/>
      <w:bookmarkEnd w:id="274"/>
      <w:bookmarkEnd w:id="275"/>
      <w:bookmarkEnd w:id="276"/>
      <w:bookmarkEnd w:id="277"/>
      <w:bookmarkEnd w:id="278"/>
      <w:bookmarkEnd w:id="279"/>
    </w:p>
    <w:p>
      <w:pPr>
        <w:spacing w:line="240" w:lineRule="atLeast"/>
        <w:ind w:left="900" w:hanging="900" w:hangingChars="375"/>
        <w:rPr>
          <w:rFonts w:ascii="仿宋" w:hAnsi="仿宋" w:eastAsia="仿宋" w:cs="仿宋"/>
          <w:sz w:val="24"/>
        </w:rPr>
      </w:pPr>
      <w:r>
        <w:rPr>
          <w:rFonts w:hint="eastAsia" w:ascii="仿宋" w:hAnsi="仿宋" w:eastAsia="仿宋" w:cs="仿宋"/>
          <w:sz w:val="24"/>
        </w:rPr>
        <w:t>30.1</w:t>
      </w:r>
      <w:r>
        <w:rPr>
          <w:rFonts w:hint="eastAsia" w:ascii="仿宋" w:hAnsi="仿宋" w:eastAsia="仿宋" w:cs="仿宋"/>
          <w:sz w:val="24"/>
        </w:rPr>
        <w:tab/>
      </w:r>
      <w:r>
        <w:rPr>
          <w:rFonts w:hint="eastAsia" w:ascii="仿宋" w:hAnsi="仿宋" w:eastAsia="仿宋" w:cs="仿宋"/>
          <w:sz w:val="24"/>
        </w:rPr>
        <w:t>中标人应当自发出中标通知书之日起30日内，与采购人签订合同。</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30.2</w:t>
      </w:r>
      <w:r>
        <w:rPr>
          <w:rFonts w:hint="eastAsia" w:ascii="仿宋" w:hAnsi="仿宋" w:eastAsia="仿宋" w:cs="仿宋"/>
          <w:sz w:val="24"/>
        </w:rPr>
        <w:tab/>
      </w:r>
      <w:bookmarkStart w:id="280" w:name="_Ref467307090"/>
      <w:bookmarkStart w:id="281" w:name="_Toc520356176"/>
      <w:bookmarkStart w:id="282" w:name="_Ref467306425"/>
      <w:r>
        <w:rPr>
          <w:rFonts w:hint="eastAsia" w:ascii="仿宋" w:hAnsi="仿宋" w:eastAsia="仿宋" w:cs="仿宋"/>
          <w:sz w:val="24"/>
        </w:rPr>
        <w:t>采购文件、中标人的投标文件及其澄清文件等，均为签订合同的依据。</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30.3   中标人拒绝与采购人签订合同的，采购人可以按照评审报告推荐的中标候选人名单排序，确定下一中标候选人为中标人，也可以重新开展政府采购活动。</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30.4   当出现法规规定的</w:t>
      </w:r>
      <w:r>
        <w:rPr>
          <w:rFonts w:hint="eastAsia" w:ascii="仿宋" w:hAnsi="仿宋" w:eastAsia="仿宋" w:cs="仿宋"/>
          <w:b/>
          <w:sz w:val="24"/>
        </w:rPr>
        <w:t>中标无效或中标结果无效</w:t>
      </w:r>
      <w:r>
        <w:rPr>
          <w:rFonts w:hint="eastAsia" w:ascii="仿宋" w:hAnsi="仿宋" w:eastAsia="仿宋" w:cs="仿宋"/>
          <w:sz w:val="24"/>
        </w:rPr>
        <w:t>情形时，采购人可与排名下一位的中标候选人另行签订合同，或依法重新开展采购活动。</w:t>
      </w:r>
    </w:p>
    <w:p>
      <w:pPr>
        <w:pStyle w:val="9"/>
        <w:spacing w:before="0" w:after="0" w:line="240" w:lineRule="atLeast"/>
        <w:rPr>
          <w:rFonts w:ascii="仿宋" w:hAnsi="仿宋" w:eastAsia="仿宋" w:cs="仿宋"/>
          <w:u w:val="none"/>
        </w:rPr>
      </w:pPr>
      <w:bookmarkStart w:id="283" w:name="_Toc518923097"/>
      <w:bookmarkStart w:id="284" w:name="_Toc4302"/>
      <w:r>
        <w:rPr>
          <w:rFonts w:hint="eastAsia" w:ascii="仿宋" w:hAnsi="仿宋" w:eastAsia="仿宋" w:cs="仿宋"/>
          <w:u w:val="none"/>
        </w:rPr>
        <w:t>31.履约保证金</w:t>
      </w:r>
      <w:bookmarkEnd w:id="280"/>
      <w:bookmarkEnd w:id="281"/>
      <w:bookmarkEnd w:id="282"/>
      <w:bookmarkEnd w:id="283"/>
      <w:bookmarkEnd w:id="284"/>
    </w:p>
    <w:p>
      <w:pPr>
        <w:spacing w:line="240" w:lineRule="atLeast"/>
        <w:ind w:left="900" w:hanging="900" w:hangingChars="375"/>
        <w:rPr>
          <w:rFonts w:ascii="仿宋" w:hAnsi="仿宋" w:eastAsia="仿宋" w:cs="仿宋"/>
          <w:sz w:val="24"/>
        </w:rPr>
      </w:pPr>
      <w:r>
        <w:rPr>
          <w:rFonts w:hint="eastAsia" w:ascii="仿宋" w:hAnsi="仿宋" w:eastAsia="仿宋" w:cs="仿宋"/>
          <w:sz w:val="24"/>
        </w:rPr>
        <w:t>31.1</w:t>
      </w:r>
      <w:r>
        <w:rPr>
          <w:rFonts w:hint="eastAsia" w:ascii="仿宋" w:hAnsi="仿宋" w:eastAsia="仿宋" w:cs="仿宋"/>
          <w:sz w:val="24"/>
        </w:rPr>
        <w:tab/>
      </w:r>
      <w:r>
        <w:rPr>
          <w:rFonts w:hint="eastAsia" w:ascii="仿宋" w:hAnsi="仿宋" w:eastAsia="仿宋" w:cs="仿宋"/>
          <w:sz w:val="24"/>
        </w:rPr>
        <w:t>中标人应按照</w:t>
      </w:r>
      <w:r>
        <w:rPr>
          <w:rFonts w:hint="eastAsia" w:ascii="仿宋" w:hAnsi="仿宋" w:eastAsia="仿宋" w:cs="仿宋"/>
          <w:sz w:val="24"/>
          <w:u w:val="single"/>
        </w:rPr>
        <w:t>供应商须知资料表</w:t>
      </w:r>
      <w:r>
        <w:rPr>
          <w:rFonts w:hint="eastAsia" w:ascii="仿宋" w:hAnsi="仿宋" w:eastAsia="仿宋" w:cs="仿宋"/>
          <w:sz w:val="24"/>
        </w:rPr>
        <w:t>规定向采购人缴纳履约保证金（如采用保函形式，格式见本章附件1）。</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31.2</w:t>
      </w:r>
      <w:r>
        <w:rPr>
          <w:rFonts w:hint="eastAsia" w:ascii="仿宋" w:hAnsi="仿宋" w:eastAsia="仿宋" w:cs="仿宋"/>
          <w:sz w:val="24"/>
        </w:rPr>
        <w:tab/>
      </w:r>
      <w:r>
        <w:rPr>
          <w:rFonts w:hint="eastAsia" w:ascii="仿宋" w:hAnsi="仿宋" w:eastAsia="仿宋" w:cs="仿宋"/>
          <w:sz w:val="24"/>
        </w:rPr>
        <w:t>政府采购利用担保试点范围内的项目，除31.1规定的情形外，中标人也可以按照财政部门的规定，向采购人提供合格的履约担保函（格式见本章附件2）。</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31.3   如果中标人没有按照上述履约保证金的规定执行，将视为放弃中标资格，中标人的投标保证金将不予退还。在此情况下，采购人可确定下一候选人为中标人，也可以重新开展采购活动。</w:t>
      </w:r>
    </w:p>
    <w:p>
      <w:pPr>
        <w:pStyle w:val="9"/>
        <w:spacing w:before="0" w:after="0" w:line="240" w:lineRule="atLeast"/>
        <w:rPr>
          <w:rFonts w:ascii="仿宋" w:hAnsi="仿宋" w:eastAsia="仿宋" w:cs="仿宋"/>
          <w:u w:val="none"/>
        </w:rPr>
      </w:pPr>
      <w:bookmarkStart w:id="285" w:name="_Toc8476"/>
      <w:bookmarkStart w:id="286" w:name="_Toc518923098"/>
      <w:r>
        <w:rPr>
          <w:rFonts w:hint="eastAsia" w:ascii="仿宋" w:hAnsi="仿宋" w:eastAsia="仿宋" w:cs="仿宋"/>
          <w:u w:val="none"/>
        </w:rPr>
        <w:t>32.中标服务费</w:t>
      </w:r>
      <w:bookmarkEnd w:id="285"/>
      <w:bookmarkEnd w:id="286"/>
    </w:p>
    <w:p>
      <w:pPr>
        <w:spacing w:line="240" w:lineRule="atLeast"/>
        <w:ind w:left="840" w:leftChars="200" w:hanging="420" w:hangingChars="175"/>
        <w:rPr>
          <w:rFonts w:ascii="仿宋" w:hAnsi="仿宋" w:eastAsia="仿宋" w:cs="仿宋"/>
          <w:sz w:val="24"/>
        </w:rPr>
      </w:pPr>
      <w:r>
        <w:rPr>
          <w:rFonts w:hint="eastAsia" w:ascii="仿宋" w:hAnsi="仿宋" w:eastAsia="仿宋" w:cs="仿宋"/>
          <w:sz w:val="24"/>
        </w:rPr>
        <w:t xml:space="preserve">    中标人须按照</w:t>
      </w:r>
      <w:r>
        <w:rPr>
          <w:rFonts w:hint="eastAsia" w:ascii="仿宋" w:hAnsi="仿宋" w:eastAsia="仿宋" w:cs="仿宋"/>
          <w:sz w:val="24"/>
          <w:u w:val="single"/>
        </w:rPr>
        <w:t>投标须知资料表</w:t>
      </w:r>
      <w:r>
        <w:rPr>
          <w:rFonts w:hint="eastAsia" w:ascii="仿宋" w:hAnsi="仿宋" w:eastAsia="仿宋" w:cs="仿宋"/>
          <w:sz w:val="24"/>
        </w:rPr>
        <w:t>规定，向采购代理机构支付中标服务费。</w:t>
      </w:r>
    </w:p>
    <w:p>
      <w:pPr>
        <w:pStyle w:val="9"/>
        <w:spacing w:before="0" w:after="0" w:line="240" w:lineRule="atLeast"/>
        <w:rPr>
          <w:rFonts w:ascii="仿宋" w:hAnsi="仿宋" w:eastAsia="仿宋" w:cs="仿宋"/>
          <w:u w:val="none"/>
        </w:rPr>
      </w:pPr>
      <w:bookmarkStart w:id="287" w:name="_Toc518923099"/>
      <w:bookmarkStart w:id="288" w:name="_Toc31411"/>
      <w:r>
        <w:rPr>
          <w:rFonts w:hint="eastAsia" w:ascii="仿宋" w:hAnsi="仿宋" w:eastAsia="仿宋" w:cs="仿宋"/>
          <w:u w:val="none"/>
        </w:rPr>
        <w:t>33.政府采购信用担保</w:t>
      </w:r>
      <w:bookmarkEnd w:id="287"/>
      <w:bookmarkEnd w:id="288"/>
    </w:p>
    <w:p>
      <w:pPr>
        <w:spacing w:line="240" w:lineRule="atLeast"/>
        <w:ind w:left="900" w:hanging="900" w:hangingChars="375"/>
        <w:rPr>
          <w:rFonts w:ascii="仿宋" w:hAnsi="仿宋" w:eastAsia="仿宋" w:cs="仿宋"/>
          <w:sz w:val="24"/>
        </w:rPr>
      </w:pPr>
      <w:r>
        <w:rPr>
          <w:rFonts w:hint="eastAsia" w:ascii="仿宋" w:hAnsi="仿宋" w:eastAsia="仿宋" w:cs="仿宋"/>
          <w:sz w:val="24"/>
        </w:rPr>
        <w:t>33.1   本项目是否属于信用担保试点范围见</w:t>
      </w:r>
      <w:r>
        <w:rPr>
          <w:rFonts w:hint="eastAsia" w:ascii="仿宋" w:hAnsi="仿宋" w:eastAsia="仿宋" w:cs="仿宋"/>
          <w:sz w:val="24"/>
          <w:u w:val="single"/>
        </w:rPr>
        <w:t>供应商须知资料表</w:t>
      </w:r>
      <w:r>
        <w:rPr>
          <w:rFonts w:hint="eastAsia" w:ascii="仿宋" w:hAnsi="仿宋" w:eastAsia="仿宋" w:cs="仿宋"/>
          <w:sz w:val="24"/>
        </w:rPr>
        <w:t>。</w:t>
      </w:r>
    </w:p>
    <w:p>
      <w:pPr>
        <w:spacing w:line="240" w:lineRule="atLeast"/>
        <w:ind w:left="850" w:hanging="849" w:hangingChars="354"/>
        <w:rPr>
          <w:rFonts w:ascii="仿宋" w:hAnsi="仿宋" w:eastAsia="仿宋" w:cs="仿宋"/>
          <w:sz w:val="24"/>
        </w:rPr>
      </w:pPr>
      <w:r>
        <w:rPr>
          <w:rFonts w:hint="eastAsia" w:ascii="仿宋" w:hAnsi="仿宋" w:eastAsia="仿宋" w:cs="仿宋"/>
          <w:sz w:val="24"/>
        </w:rPr>
        <w:t>33.2   如属于政府采购信用担保试点范围内，中小型企业供应商可以自由按照财政部门的规定，采用投标担保、履约担保和融资担保。</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33.2.1 供应商递交的投标担保函和履约担保函应符合本采购文件的规定。</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33.2.2 中标人可以采取融资担保的形式为政府采购项目履约进行融资。</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33.2.3 合格的政府采购专业信用担保机构见</w:t>
      </w:r>
      <w:r>
        <w:rPr>
          <w:rFonts w:hint="eastAsia" w:ascii="仿宋" w:hAnsi="仿宋" w:eastAsia="仿宋" w:cs="仿宋"/>
          <w:sz w:val="24"/>
          <w:u w:val="single"/>
        </w:rPr>
        <w:t>供应商须知资料表</w:t>
      </w:r>
      <w:r>
        <w:rPr>
          <w:rFonts w:hint="eastAsia" w:ascii="仿宋" w:hAnsi="仿宋" w:eastAsia="仿宋" w:cs="仿宋"/>
          <w:sz w:val="24"/>
        </w:rPr>
        <w:t>。</w:t>
      </w:r>
    </w:p>
    <w:p>
      <w:pPr>
        <w:pStyle w:val="9"/>
        <w:spacing w:before="0" w:after="0" w:line="240" w:lineRule="atLeast"/>
        <w:rPr>
          <w:rFonts w:ascii="仿宋" w:hAnsi="仿宋" w:eastAsia="仿宋" w:cs="仿宋"/>
          <w:u w:val="none"/>
        </w:rPr>
      </w:pPr>
      <w:bookmarkStart w:id="289" w:name="_Toc518923100"/>
      <w:bookmarkStart w:id="290" w:name="_Toc4701"/>
      <w:r>
        <w:rPr>
          <w:rFonts w:hint="eastAsia" w:ascii="仿宋" w:hAnsi="仿宋" w:eastAsia="仿宋" w:cs="仿宋"/>
          <w:u w:val="none"/>
        </w:rPr>
        <w:t>34.廉洁自律规定</w:t>
      </w:r>
      <w:bookmarkEnd w:id="289"/>
      <w:bookmarkEnd w:id="290"/>
    </w:p>
    <w:p>
      <w:pPr>
        <w:spacing w:line="240" w:lineRule="atLeast"/>
        <w:ind w:left="900" w:hanging="900" w:hangingChars="375"/>
        <w:rPr>
          <w:rFonts w:ascii="仿宋" w:hAnsi="仿宋" w:eastAsia="仿宋" w:cs="仿宋"/>
          <w:sz w:val="24"/>
        </w:rPr>
      </w:pPr>
      <w:r>
        <w:rPr>
          <w:rFonts w:hint="eastAsia" w:ascii="仿宋" w:hAnsi="仿宋" w:eastAsia="仿宋" w:cs="仿宋"/>
          <w:sz w:val="24"/>
        </w:rPr>
        <w:t>34.1   采购代理机构工作人员不得以不正当手段获取政府采购代理业务，不得与采购人、供应商恶意串通操纵政府采购活动。</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34.2   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rPr>
          <w:rFonts w:ascii="仿宋" w:hAnsi="仿宋" w:eastAsia="仿宋" w:cs="仿宋"/>
          <w:sz w:val="24"/>
        </w:rPr>
      </w:pPr>
      <w:r>
        <w:rPr>
          <w:rFonts w:hint="eastAsia" w:ascii="仿宋" w:hAnsi="仿宋" w:eastAsia="仿宋" w:cs="仿宋"/>
          <w:sz w:val="24"/>
        </w:rPr>
        <w:t>34.3   为强化采购代理机构内部监督机制，供应商可按</w:t>
      </w:r>
      <w:r>
        <w:rPr>
          <w:rFonts w:hint="eastAsia" w:ascii="仿宋" w:hAnsi="仿宋" w:eastAsia="仿宋" w:cs="仿宋"/>
          <w:sz w:val="24"/>
          <w:u w:val="single"/>
        </w:rPr>
        <w:t>供应商须知资料表中的</w:t>
      </w:r>
      <w:r>
        <w:rPr>
          <w:rFonts w:hint="eastAsia" w:ascii="仿宋" w:hAnsi="仿宋" w:eastAsia="仿宋" w:cs="仿宋"/>
          <w:sz w:val="24"/>
        </w:rPr>
        <w:t>监督电话和信箱，反映采购代理机构的廉洁自律等问题。</w:t>
      </w:r>
    </w:p>
    <w:p>
      <w:pPr>
        <w:pStyle w:val="9"/>
        <w:spacing w:before="0" w:after="0" w:line="240" w:lineRule="atLeast"/>
        <w:rPr>
          <w:rFonts w:ascii="仿宋" w:hAnsi="仿宋" w:eastAsia="仿宋" w:cs="仿宋"/>
          <w:u w:val="none"/>
        </w:rPr>
      </w:pPr>
      <w:bookmarkStart w:id="291" w:name="_Toc21055"/>
      <w:bookmarkStart w:id="292" w:name="_Toc518923101"/>
      <w:r>
        <w:rPr>
          <w:rFonts w:hint="eastAsia" w:ascii="仿宋" w:hAnsi="仿宋" w:eastAsia="仿宋" w:cs="仿宋"/>
          <w:u w:val="none"/>
        </w:rPr>
        <w:t>35.人员回避</w:t>
      </w:r>
      <w:bookmarkEnd w:id="291"/>
      <w:bookmarkEnd w:id="292"/>
    </w:p>
    <w:p>
      <w:pPr>
        <w:spacing w:line="240" w:lineRule="atLeast"/>
        <w:ind w:left="900" w:hanging="900" w:hangingChars="375"/>
        <w:rPr>
          <w:rFonts w:ascii="仿宋" w:hAnsi="仿宋" w:eastAsia="仿宋" w:cs="仿宋"/>
          <w:sz w:val="24"/>
        </w:rPr>
      </w:pPr>
      <w:r>
        <w:rPr>
          <w:rFonts w:hint="eastAsia" w:ascii="仿宋" w:hAnsi="仿宋" w:eastAsia="仿宋" w:cs="仿宋"/>
          <w:sz w:val="24"/>
        </w:rPr>
        <w:t xml:space="preserve">       供应商认为采购人员及其相关人员有法律法规所列与其他供应商有利害关系的，可以向采购人或采购代理机构书面提出回避申请，并说明理由。</w:t>
      </w:r>
    </w:p>
    <w:p>
      <w:pPr>
        <w:pStyle w:val="9"/>
        <w:spacing w:before="0" w:after="0" w:line="240" w:lineRule="atLeast"/>
        <w:rPr>
          <w:rFonts w:ascii="仿宋" w:hAnsi="仿宋" w:eastAsia="仿宋" w:cs="仿宋"/>
          <w:u w:val="none"/>
        </w:rPr>
      </w:pPr>
      <w:bookmarkStart w:id="293" w:name="_Toc24931"/>
      <w:bookmarkStart w:id="294" w:name="_Toc518923102"/>
      <w:r>
        <w:rPr>
          <w:rFonts w:hint="eastAsia" w:ascii="仿宋" w:hAnsi="仿宋" w:eastAsia="仿宋" w:cs="仿宋"/>
          <w:u w:val="none"/>
        </w:rPr>
        <w:t>36.质疑与接收</w:t>
      </w:r>
      <w:bookmarkEnd w:id="293"/>
      <w:bookmarkEnd w:id="294"/>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36.1  供应商认为采购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spacing w:line="240" w:lineRule="atLeast"/>
        <w:ind w:left="851" w:leftChars="405" w:hanging="1"/>
        <w:rPr>
          <w:rFonts w:ascii="仿宋" w:hAnsi="仿宋" w:eastAsia="仿宋" w:cs="仿宋"/>
          <w:sz w:val="24"/>
        </w:rPr>
      </w:pPr>
      <w:r>
        <w:rPr>
          <w:rFonts w:hint="eastAsia" w:ascii="仿宋" w:hAnsi="仿宋" w:eastAsia="仿宋" w:cs="仿宋"/>
          <w:sz w:val="24"/>
        </w:rPr>
        <w:t>超出法定质疑期的、重复提出的、分次提出的或内容、形式不符合《政府采购质疑和投诉办法》的，质疑供应商将依法承担不利后果。</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36.3  采购代理机构质疑函接收部门、联系电话和通讯地址, 见</w:t>
      </w:r>
      <w:r>
        <w:rPr>
          <w:rFonts w:hint="eastAsia" w:ascii="仿宋" w:hAnsi="仿宋" w:eastAsia="仿宋" w:cs="仿宋"/>
          <w:sz w:val="24"/>
          <w:u w:val="single"/>
        </w:rPr>
        <w:t>供应商须知资料表。</w:t>
      </w:r>
    </w:p>
    <w:p>
      <w:pPr>
        <w:rPr>
          <w:rFonts w:ascii="仿宋" w:hAnsi="仿宋" w:eastAsia="仿宋" w:cs="仿宋"/>
          <w:sz w:val="24"/>
        </w:rPr>
      </w:pPr>
      <w:r>
        <w:rPr>
          <w:rFonts w:hint="eastAsia" w:ascii="仿宋" w:hAnsi="仿宋" w:eastAsia="仿宋" w:cs="仿宋"/>
          <w:sz w:val="24"/>
        </w:rPr>
        <w:br w:type="page"/>
      </w:r>
    </w:p>
    <w:p>
      <w:pPr>
        <w:pStyle w:val="8"/>
        <w:spacing w:before="0" w:line="240" w:lineRule="atLeast"/>
        <w:ind w:left="1080" w:leftChars="257" w:hanging="540"/>
        <w:rPr>
          <w:rFonts w:ascii="仿宋" w:hAnsi="仿宋" w:eastAsia="仿宋" w:cs="仿宋"/>
          <w:szCs w:val="24"/>
        </w:rPr>
      </w:pPr>
      <w:bookmarkStart w:id="295" w:name="_Toc22328"/>
      <w:bookmarkStart w:id="296" w:name="_Toc23883"/>
      <w:bookmarkStart w:id="297" w:name="_Toc12416"/>
      <w:bookmarkStart w:id="298" w:name="_Toc518923103"/>
      <w:bookmarkStart w:id="299" w:name="_Toc46"/>
      <w:bookmarkStart w:id="300" w:name="_Toc19080"/>
      <w:r>
        <w:rPr>
          <w:rFonts w:hint="eastAsia" w:ascii="仿宋" w:hAnsi="仿宋" w:eastAsia="仿宋" w:cs="仿宋"/>
          <w:szCs w:val="24"/>
        </w:rPr>
        <w:t>附件1：履约保证金保函（格式）</w:t>
      </w:r>
      <w:bookmarkEnd w:id="295"/>
      <w:bookmarkEnd w:id="296"/>
      <w:bookmarkEnd w:id="297"/>
      <w:bookmarkEnd w:id="298"/>
      <w:bookmarkEnd w:id="299"/>
      <w:bookmarkEnd w:id="300"/>
    </w:p>
    <w:p>
      <w:pPr>
        <w:pStyle w:val="16"/>
        <w:spacing w:line="240" w:lineRule="atLeast"/>
        <w:ind w:left="1080" w:leftChars="257" w:hanging="540"/>
        <w:rPr>
          <w:rFonts w:ascii="仿宋" w:hAnsi="仿宋" w:eastAsia="仿宋" w:cs="仿宋"/>
          <w:b/>
          <w:sz w:val="24"/>
        </w:rPr>
      </w:pPr>
      <w:r>
        <w:rPr>
          <w:rFonts w:hint="eastAsia" w:ascii="仿宋" w:hAnsi="仿宋" w:eastAsia="仿宋" w:cs="仿宋"/>
          <w:b/>
          <w:sz w:val="24"/>
        </w:rPr>
        <w:t xml:space="preserve">                         （本项目不适用）</w:t>
      </w:r>
    </w:p>
    <w:p>
      <w:pPr>
        <w:pStyle w:val="16"/>
        <w:spacing w:line="240" w:lineRule="atLeast"/>
        <w:ind w:left="1080" w:leftChars="257" w:hanging="540"/>
        <w:rPr>
          <w:rFonts w:ascii="仿宋" w:hAnsi="仿宋" w:eastAsia="仿宋" w:cs="仿宋"/>
          <w:b/>
          <w:sz w:val="24"/>
        </w:rPr>
      </w:pPr>
    </w:p>
    <w:p>
      <w:pPr>
        <w:pStyle w:val="16"/>
        <w:spacing w:line="400" w:lineRule="exact"/>
        <w:rPr>
          <w:rFonts w:ascii="仿宋" w:hAnsi="仿宋" w:eastAsia="仿宋" w:cs="仿宋"/>
          <w:sz w:val="24"/>
        </w:rPr>
      </w:pPr>
      <w:r>
        <w:rPr>
          <w:rFonts w:hint="eastAsia" w:ascii="仿宋" w:hAnsi="仿宋" w:eastAsia="仿宋" w:cs="仿宋"/>
          <w:sz w:val="24"/>
        </w:rPr>
        <w:t>致: (</w:t>
      </w:r>
      <w:r>
        <w:rPr>
          <w:rFonts w:hint="eastAsia" w:ascii="仿宋" w:hAnsi="仿宋" w:eastAsia="仿宋" w:cs="仿宋"/>
          <w:i/>
          <w:sz w:val="24"/>
          <w:u w:val="single"/>
        </w:rPr>
        <w:t>买方名称</w:t>
      </w:r>
      <w:r>
        <w:rPr>
          <w:rFonts w:hint="eastAsia" w:ascii="仿宋" w:hAnsi="仿宋" w:eastAsia="仿宋" w:cs="仿宋"/>
          <w:sz w:val="24"/>
        </w:rPr>
        <w:t>)</w:t>
      </w:r>
    </w:p>
    <w:p>
      <w:pPr>
        <w:pStyle w:val="16"/>
        <w:spacing w:line="400" w:lineRule="exact"/>
        <w:ind w:left="1080" w:leftChars="257" w:hanging="540"/>
        <w:jc w:val="center"/>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号合同履约保函</w:t>
      </w:r>
    </w:p>
    <w:p>
      <w:pPr>
        <w:pStyle w:val="16"/>
        <w:spacing w:line="400" w:lineRule="exact"/>
        <w:ind w:left="1080" w:leftChars="257" w:hanging="540"/>
        <w:jc w:val="center"/>
        <w:rPr>
          <w:rFonts w:ascii="仿宋" w:hAnsi="仿宋" w:eastAsia="仿宋" w:cs="仿宋"/>
          <w:sz w:val="24"/>
        </w:rPr>
      </w:pPr>
    </w:p>
    <w:p>
      <w:pPr>
        <w:pStyle w:val="16"/>
        <w:spacing w:line="400" w:lineRule="exact"/>
        <w:ind w:firstLine="600" w:firstLineChars="250"/>
        <w:rPr>
          <w:rFonts w:ascii="仿宋" w:hAnsi="仿宋" w:eastAsia="仿宋" w:cs="仿宋"/>
          <w:sz w:val="24"/>
        </w:rPr>
      </w:pPr>
      <w:r>
        <w:rPr>
          <w:rFonts w:hint="eastAsia" w:ascii="仿宋" w:hAnsi="仿宋" w:eastAsia="仿宋" w:cs="仿宋"/>
          <w:sz w:val="24"/>
        </w:rPr>
        <w:t>本保函作为贵方与(</w:t>
      </w:r>
      <w:r>
        <w:rPr>
          <w:rFonts w:hint="eastAsia" w:ascii="仿宋" w:hAnsi="仿宋" w:eastAsia="仿宋" w:cs="仿宋"/>
          <w:i/>
          <w:sz w:val="24"/>
          <w:u w:val="single"/>
        </w:rPr>
        <w:t>卖方名称</w:t>
      </w:r>
      <w:r>
        <w:rPr>
          <w:rFonts w:hint="eastAsia" w:ascii="仿宋" w:hAnsi="仿宋" w:eastAsia="仿宋" w:cs="仿宋"/>
          <w:sz w:val="24"/>
        </w:rPr>
        <w:t>)(以下简称卖方)于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日就</w:t>
      </w:r>
      <w:r>
        <w:rPr>
          <w:rFonts w:hint="eastAsia" w:ascii="仿宋" w:hAnsi="仿宋" w:eastAsia="仿宋" w:cs="仿宋"/>
          <w:sz w:val="24"/>
          <w:u w:val="single"/>
        </w:rPr>
        <w:t xml:space="preserve">                  </w:t>
      </w:r>
      <w:r>
        <w:rPr>
          <w:rFonts w:hint="eastAsia" w:ascii="仿宋" w:hAnsi="仿宋" w:eastAsia="仿宋" w:cs="仿宋"/>
          <w:sz w:val="24"/>
        </w:rPr>
        <w:t>项目(以下简称项目)项下提供(</w:t>
      </w:r>
      <w:r>
        <w:rPr>
          <w:rFonts w:hint="eastAsia" w:ascii="仿宋" w:hAnsi="仿宋" w:eastAsia="仿宋" w:cs="仿宋"/>
          <w:i/>
          <w:sz w:val="24"/>
          <w:u w:val="single"/>
        </w:rPr>
        <w:t>服务名称</w:t>
      </w:r>
      <w:r>
        <w:rPr>
          <w:rFonts w:hint="eastAsia" w:ascii="仿宋" w:hAnsi="仿宋" w:eastAsia="仿宋" w:cs="仿宋"/>
          <w:sz w:val="24"/>
        </w:rPr>
        <w:t>)(以下简称服务)签订的(</w:t>
      </w:r>
      <w:r>
        <w:rPr>
          <w:rFonts w:hint="eastAsia" w:ascii="仿宋" w:hAnsi="仿宋" w:eastAsia="仿宋" w:cs="仿宋"/>
          <w:i/>
          <w:sz w:val="24"/>
          <w:u w:val="single"/>
        </w:rPr>
        <w:t>合同号</w:t>
      </w:r>
      <w:r>
        <w:rPr>
          <w:rFonts w:hint="eastAsia" w:ascii="仿宋" w:hAnsi="仿宋" w:eastAsia="仿宋" w:cs="仿宋"/>
          <w:sz w:val="24"/>
        </w:rPr>
        <w:t>)号合同的履约保函。</w:t>
      </w:r>
    </w:p>
    <w:p>
      <w:pPr>
        <w:pStyle w:val="16"/>
        <w:spacing w:line="400" w:lineRule="exact"/>
        <w:ind w:firstLine="540" w:firstLineChars="225"/>
        <w:rPr>
          <w:rFonts w:ascii="仿宋" w:hAnsi="仿宋" w:eastAsia="仿宋" w:cs="仿宋"/>
          <w:sz w:val="24"/>
        </w:rPr>
      </w:pPr>
      <w:r>
        <w:rPr>
          <w:rFonts w:hint="eastAsia" w:ascii="仿宋" w:hAnsi="仿宋" w:eastAsia="仿宋" w:cs="仿宋"/>
          <w:sz w:val="24"/>
        </w:rPr>
        <w:t>(</w:t>
      </w:r>
      <w:r>
        <w:rPr>
          <w:rFonts w:hint="eastAsia" w:ascii="仿宋" w:hAnsi="仿宋" w:eastAsia="仿宋" w:cs="仿宋"/>
          <w:i/>
          <w:sz w:val="24"/>
          <w:u w:val="single"/>
        </w:rPr>
        <w:t>出具保函的银行名称</w:t>
      </w:r>
      <w:r>
        <w:rPr>
          <w:rFonts w:hint="eastAsia" w:ascii="仿宋" w:hAnsi="仿宋" w:eastAsia="仿宋" w:cs="仿宋"/>
          <w:sz w:val="24"/>
        </w:rPr>
        <w:t>)(以下简称银行)无条件地、不可撤销地具结保证本行、其继承人和受让人无追索地向贵方以(</w:t>
      </w:r>
      <w:r>
        <w:rPr>
          <w:rFonts w:hint="eastAsia" w:ascii="仿宋" w:hAnsi="仿宋" w:eastAsia="仿宋" w:cs="仿宋"/>
          <w:i/>
          <w:sz w:val="24"/>
          <w:u w:val="single"/>
        </w:rPr>
        <w:t>货币名称</w:t>
      </w:r>
      <w:r>
        <w:rPr>
          <w:rFonts w:hint="eastAsia" w:ascii="仿宋" w:hAnsi="仿宋" w:eastAsia="仿宋" w:cs="仿宋"/>
          <w:sz w:val="24"/>
        </w:rPr>
        <w:t>)支付总额不超过(</w:t>
      </w:r>
      <w:r>
        <w:rPr>
          <w:rFonts w:hint="eastAsia" w:ascii="仿宋" w:hAnsi="仿宋" w:eastAsia="仿宋" w:cs="仿宋"/>
          <w:i/>
          <w:sz w:val="24"/>
          <w:u w:val="single"/>
        </w:rPr>
        <w:t>货币数量</w:t>
      </w:r>
      <w:r>
        <w:rPr>
          <w:rFonts w:hint="eastAsia" w:ascii="仿宋" w:hAnsi="仿宋" w:eastAsia="仿宋" w:cs="仿宋"/>
          <w:sz w:val="24"/>
        </w:rPr>
        <w:t>),即相当于合同价格的</w:t>
      </w:r>
      <w:r>
        <w:rPr>
          <w:rFonts w:hint="eastAsia" w:ascii="仿宋" w:hAnsi="仿宋" w:eastAsia="仿宋" w:cs="仿宋"/>
          <w:sz w:val="24"/>
          <w:u w:val="single"/>
        </w:rPr>
        <w:t xml:space="preserve">     </w:t>
      </w:r>
      <w:r>
        <w:rPr>
          <w:rFonts w:hint="eastAsia" w:ascii="仿宋" w:hAnsi="仿宋" w:eastAsia="仿宋" w:cs="仿宋"/>
          <w:sz w:val="24"/>
        </w:rPr>
        <w:t>%,并以此约定如下:</w:t>
      </w:r>
    </w:p>
    <w:p>
      <w:pPr>
        <w:pStyle w:val="16"/>
        <w:spacing w:line="400" w:lineRule="exact"/>
        <w:ind w:left="540" w:leftChars="257"/>
        <w:rPr>
          <w:rFonts w:ascii="仿宋" w:hAnsi="仿宋" w:eastAsia="仿宋" w:cs="仿宋"/>
          <w:sz w:val="24"/>
        </w:rPr>
      </w:pPr>
      <w:r>
        <w:rPr>
          <w:rFonts w:hint="eastAsia" w:ascii="仿宋" w:hAnsi="仿宋" w:eastAsia="仿宋" w:cs="仿宋"/>
          <w:sz w:val="24"/>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6"/>
        <w:spacing w:line="400" w:lineRule="exact"/>
        <w:ind w:left="540"/>
        <w:rPr>
          <w:rFonts w:ascii="仿宋" w:hAnsi="仿宋" w:eastAsia="仿宋" w:cs="仿宋"/>
          <w:sz w:val="24"/>
        </w:rPr>
      </w:pPr>
      <w:r>
        <w:rPr>
          <w:rFonts w:hint="eastAsia" w:ascii="仿宋" w:hAnsi="仿宋" w:eastAsia="仿宋" w:cs="仿宋"/>
          <w:sz w:val="24"/>
        </w:rPr>
        <w:t>2.本保函项下的任何支付应为免税和净值。对于现有或将来的税收、关税、收费、费用扣减或预提税款，不论这些款项是何种性质和由谁征收，都不应从本保函项下的支付中扣除。</w:t>
      </w:r>
    </w:p>
    <w:p>
      <w:pPr>
        <w:pStyle w:val="16"/>
        <w:spacing w:line="400" w:lineRule="exact"/>
        <w:ind w:left="540"/>
        <w:rPr>
          <w:rFonts w:ascii="仿宋" w:hAnsi="仿宋" w:eastAsia="仿宋" w:cs="仿宋"/>
          <w:sz w:val="24"/>
        </w:rPr>
      </w:pPr>
      <w:r>
        <w:rPr>
          <w:rFonts w:hint="eastAsia" w:ascii="仿宋" w:hAnsi="仿宋" w:eastAsia="仿宋" w:cs="仿宋"/>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6"/>
        <w:spacing w:line="400" w:lineRule="exact"/>
        <w:ind w:left="1080" w:leftChars="257" w:hanging="540"/>
        <w:rPr>
          <w:rFonts w:ascii="仿宋" w:hAnsi="仿宋" w:eastAsia="仿宋" w:cs="仿宋"/>
          <w:sz w:val="24"/>
        </w:rPr>
      </w:pPr>
      <w:r>
        <w:rPr>
          <w:rFonts w:hint="eastAsia" w:ascii="仿宋" w:hAnsi="仿宋" w:eastAsia="仿宋" w:cs="仿宋"/>
          <w:sz w:val="24"/>
        </w:rPr>
        <w:t>4.本保函在本合同规定的保证期期满前完全有效。</w:t>
      </w:r>
    </w:p>
    <w:p>
      <w:pPr>
        <w:pStyle w:val="16"/>
        <w:spacing w:line="400" w:lineRule="exact"/>
        <w:ind w:left="1080" w:leftChars="257" w:hanging="540"/>
        <w:rPr>
          <w:rFonts w:ascii="仿宋" w:hAnsi="仿宋" w:eastAsia="仿宋" w:cs="仿宋"/>
          <w:sz w:val="24"/>
        </w:rPr>
      </w:pPr>
    </w:p>
    <w:p>
      <w:pPr>
        <w:pStyle w:val="16"/>
        <w:spacing w:line="400" w:lineRule="exact"/>
        <w:ind w:left="1080" w:leftChars="257" w:hanging="540"/>
        <w:rPr>
          <w:rFonts w:ascii="仿宋" w:hAnsi="仿宋" w:eastAsia="仿宋" w:cs="仿宋"/>
          <w:sz w:val="24"/>
        </w:rPr>
      </w:pPr>
      <w:r>
        <w:rPr>
          <w:rFonts w:hint="eastAsia" w:ascii="仿宋" w:hAnsi="仿宋" w:eastAsia="仿宋" w:cs="仿宋"/>
          <w:sz w:val="24"/>
        </w:rPr>
        <w:t>谨启</w:t>
      </w:r>
    </w:p>
    <w:p>
      <w:pPr>
        <w:pStyle w:val="16"/>
        <w:spacing w:line="400" w:lineRule="exact"/>
        <w:ind w:left="1080" w:leftChars="257" w:hanging="540"/>
        <w:rPr>
          <w:rFonts w:ascii="仿宋" w:hAnsi="仿宋" w:eastAsia="仿宋" w:cs="仿宋"/>
          <w:sz w:val="24"/>
        </w:rPr>
      </w:pPr>
      <w:r>
        <w:rPr>
          <w:rFonts w:hint="eastAsia" w:ascii="仿宋" w:hAnsi="仿宋" w:eastAsia="仿宋" w:cs="仿宋"/>
          <w:sz w:val="24"/>
        </w:rPr>
        <w:t>出具保函银行名称：</w:t>
      </w:r>
      <w:r>
        <w:rPr>
          <w:rFonts w:hint="eastAsia" w:ascii="仿宋" w:hAnsi="仿宋" w:eastAsia="仿宋" w:cs="仿宋"/>
          <w:sz w:val="24"/>
          <w:u w:val="single"/>
        </w:rPr>
        <w:t xml:space="preserve">                             </w:t>
      </w:r>
    </w:p>
    <w:p>
      <w:pPr>
        <w:pStyle w:val="16"/>
        <w:spacing w:line="400" w:lineRule="exact"/>
        <w:ind w:left="1080" w:leftChars="257" w:hanging="540"/>
        <w:rPr>
          <w:rFonts w:ascii="仿宋" w:hAnsi="仿宋" w:eastAsia="仿宋" w:cs="仿宋"/>
          <w:sz w:val="24"/>
          <w:u w:val="single"/>
        </w:rPr>
      </w:pPr>
      <w:r>
        <w:rPr>
          <w:rFonts w:hint="eastAsia" w:ascii="仿宋" w:hAnsi="仿宋" w:eastAsia="仿宋" w:cs="仿宋"/>
          <w:sz w:val="24"/>
        </w:rPr>
        <w:t>签字人姓名和职务：</w:t>
      </w:r>
      <w:r>
        <w:rPr>
          <w:rFonts w:hint="eastAsia" w:ascii="仿宋" w:hAnsi="仿宋" w:eastAsia="仿宋" w:cs="仿宋"/>
          <w:sz w:val="24"/>
          <w:u w:val="single"/>
        </w:rPr>
        <w:t xml:space="preserve">                             </w:t>
      </w:r>
    </w:p>
    <w:p>
      <w:pPr>
        <w:pStyle w:val="16"/>
        <w:spacing w:line="400" w:lineRule="exact"/>
        <w:ind w:left="1080" w:leftChars="257" w:hanging="540"/>
        <w:rPr>
          <w:rFonts w:ascii="仿宋" w:hAnsi="仿宋" w:eastAsia="仿宋" w:cs="仿宋"/>
          <w:sz w:val="24"/>
        </w:rPr>
      </w:pPr>
      <w:r>
        <w:rPr>
          <w:rFonts w:hint="eastAsia" w:ascii="仿宋" w:hAnsi="仿宋" w:eastAsia="仿宋" w:cs="仿宋"/>
          <w:sz w:val="24"/>
        </w:rPr>
        <w:t>签字人签名：</w:t>
      </w:r>
      <w:r>
        <w:rPr>
          <w:rFonts w:hint="eastAsia" w:ascii="仿宋" w:hAnsi="仿宋" w:eastAsia="仿宋" w:cs="仿宋"/>
          <w:sz w:val="24"/>
          <w:u w:val="single"/>
        </w:rPr>
        <w:t xml:space="preserve">                                   </w:t>
      </w:r>
    </w:p>
    <w:p>
      <w:pPr>
        <w:pStyle w:val="16"/>
        <w:spacing w:line="560" w:lineRule="exact"/>
        <w:ind w:left="1080" w:leftChars="257" w:hanging="540"/>
        <w:rPr>
          <w:rFonts w:ascii="仿宋" w:hAnsi="仿宋" w:eastAsia="仿宋" w:cs="仿宋"/>
          <w:sz w:val="24"/>
          <w:u w:val="single"/>
        </w:rPr>
      </w:pPr>
      <w:r>
        <w:rPr>
          <w:rFonts w:hint="eastAsia" w:ascii="仿宋" w:hAnsi="仿宋" w:eastAsia="仿宋" w:cs="仿宋"/>
          <w:sz w:val="24"/>
        </w:rPr>
        <w:t>公章：</w:t>
      </w:r>
      <w:r>
        <w:rPr>
          <w:rFonts w:hint="eastAsia" w:ascii="仿宋" w:hAnsi="仿宋" w:eastAsia="仿宋" w:cs="仿宋"/>
          <w:sz w:val="24"/>
          <w:u w:val="single"/>
        </w:rPr>
        <w:t xml:space="preserve">                                         </w:t>
      </w:r>
    </w:p>
    <w:p>
      <w:pPr>
        <w:pStyle w:val="43"/>
      </w:pPr>
      <w:r>
        <w:rPr>
          <w:rFonts w:hint="eastAsia" w:ascii="仿宋" w:hAnsi="仿宋" w:eastAsia="仿宋" w:cs="仿宋"/>
        </w:rPr>
        <w:br w:type="page"/>
      </w:r>
    </w:p>
    <w:p>
      <w:pPr>
        <w:pStyle w:val="8"/>
        <w:spacing w:before="0" w:line="240" w:lineRule="atLeast"/>
        <w:ind w:left="1080" w:leftChars="257" w:hanging="540"/>
        <w:rPr>
          <w:rFonts w:ascii="仿宋" w:hAnsi="仿宋" w:eastAsia="仿宋" w:cs="仿宋"/>
          <w:szCs w:val="24"/>
        </w:rPr>
      </w:pPr>
      <w:bookmarkStart w:id="301" w:name="_Toc24804"/>
      <w:bookmarkStart w:id="302" w:name="_Toc867"/>
      <w:bookmarkStart w:id="303" w:name="_Toc518923104"/>
      <w:bookmarkStart w:id="304" w:name="_Toc200"/>
      <w:bookmarkStart w:id="305" w:name="_Toc27788"/>
      <w:bookmarkStart w:id="306" w:name="_Toc32582"/>
      <w:r>
        <w:rPr>
          <w:rFonts w:hint="eastAsia" w:ascii="仿宋" w:hAnsi="仿宋" w:eastAsia="仿宋" w:cs="仿宋"/>
          <w:szCs w:val="24"/>
        </w:rPr>
        <w:t>附件2：履约担保函格式</w:t>
      </w:r>
      <w:bookmarkEnd w:id="301"/>
      <w:bookmarkEnd w:id="302"/>
      <w:bookmarkEnd w:id="303"/>
      <w:bookmarkEnd w:id="304"/>
      <w:bookmarkEnd w:id="305"/>
      <w:bookmarkEnd w:id="306"/>
    </w:p>
    <w:p>
      <w:pPr>
        <w:keepNext/>
        <w:keepLines/>
        <w:autoSpaceDE w:val="0"/>
        <w:autoSpaceDN w:val="0"/>
        <w:adjustRightInd w:val="0"/>
        <w:spacing w:line="240" w:lineRule="atLeast"/>
        <w:ind w:left="1079" w:leftChars="257" w:hanging="539"/>
        <w:jc w:val="center"/>
        <w:rPr>
          <w:rFonts w:ascii="仿宋" w:hAnsi="仿宋" w:eastAsia="仿宋" w:cs="仿宋"/>
          <w:b/>
          <w:bCs/>
          <w:sz w:val="28"/>
          <w:szCs w:val="36"/>
        </w:rPr>
      </w:pPr>
      <w:bookmarkStart w:id="307" w:name="_Toc30995"/>
      <w:bookmarkStart w:id="308" w:name="_Toc515904842"/>
      <w:bookmarkStart w:id="309" w:name="_Toc518923105"/>
      <w:r>
        <w:rPr>
          <w:rFonts w:hint="eastAsia" w:ascii="仿宋" w:hAnsi="仿宋" w:eastAsia="仿宋" w:cs="仿宋"/>
          <w:b/>
          <w:bCs/>
          <w:sz w:val="28"/>
          <w:szCs w:val="36"/>
        </w:rPr>
        <w:t>（采用政府采购信用担保形式时使用）</w:t>
      </w:r>
      <w:bookmarkEnd w:id="307"/>
      <w:bookmarkEnd w:id="308"/>
      <w:bookmarkEnd w:id="309"/>
    </w:p>
    <w:p>
      <w:pPr>
        <w:spacing w:line="240" w:lineRule="atLeast"/>
        <w:ind w:left="1080" w:leftChars="257" w:hanging="540"/>
        <w:rPr>
          <w:rFonts w:ascii="仿宋" w:hAnsi="仿宋" w:eastAsia="仿宋" w:cs="仿宋"/>
          <w:b/>
          <w:kern w:val="0"/>
          <w:sz w:val="24"/>
          <w:szCs w:val="20"/>
        </w:rPr>
      </w:pPr>
    </w:p>
    <w:p>
      <w:pPr>
        <w:jc w:val="center"/>
        <w:rPr>
          <w:rFonts w:ascii="仿宋" w:hAnsi="仿宋" w:eastAsia="仿宋" w:cs="仿宋"/>
          <w:sz w:val="24"/>
        </w:rPr>
      </w:pPr>
      <w:r>
        <w:rPr>
          <w:rFonts w:hint="eastAsia" w:ascii="仿宋" w:hAnsi="仿宋" w:eastAsia="仿宋" w:cs="仿宋"/>
          <w:sz w:val="24"/>
        </w:rPr>
        <w:t>政府采购履约担保函（项目用）</w:t>
      </w:r>
    </w:p>
    <w:p>
      <w:pPr>
        <w:rPr>
          <w:rFonts w:ascii="仿宋" w:hAnsi="仿宋" w:eastAsia="仿宋" w:cs="仿宋"/>
          <w:sz w:val="24"/>
        </w:rPr>
      </w:pPr>
      <w:r>
        <w:rPr>
          <w:rFonts w:hint="eastAsia" w:ascii="仿宋" w:hAnsi="仿宋" w:eastAsia="仿宋" w:cs="仿宋"/>
          <w:sz w:val="24"/>
        </w:rPr>
        <w:t xml:space="preserve">                                                   编号：</w:t>
      </w:r>
    </w:p>
    <w:p>
      <w:pPr>
        <w:rPr>
          <w:rFonts w:ascii="仿宋" w:hAnsi="仿宋" w:eastAsia="仿宋" w:cs="仿宋"/>
          <w:sz w:val="24"/>
        </w:rPr>
      </w:pPr>
    </w:p>
    <w:p>
      <w:pPr>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（采购人）：</w:t>
      </w:r>
    </w:p>
    <w:p>
      <w:pPr>
        <w:rPr>
          <w:rFonts w:ascii="仿宋" w:hAnsi="仿宋" w:eastAsia="仿宋" w:cs="仿宋"/>
          <w:sz w:val="24"/>
        </w:rPr>
      </w:pPr>
    </w:p>
    <w:p>
      <w:pPr>
        <w:ind w:firstLine="480" w:firstLineChars="200"/>
        <w:rPr>
          <w:rFonts w:ascii="仿宋" w:hAnsi="仿宋" w:eastAsia="仿宋" w:cs="仿宋"/>
          <w:sz w:val="24"/>
        </w:rPr>
      </w:pPr>
      <w:r>
        <w:rPr>
          <w:rFonts w:hint="eastAsia" w:ascii="仿宋" w:hAnsi="仿宋" w:eastAsia="仿宋" w:cs="仿宋"/>
          <w:sz w:val="24"/>
        </w:rPr>
        <w:t>鉴于你方与</w:t>
      </w:r>
      <w:r>
        <w:rPr>
          <w:rFonts w:hint="eastAsia" w:ascii="仿宋" w:hAnsi="仿宋" w:eastAsia="仿宋" w:cs="仿宋"/>
          <w:sz w:val="24"/>
          <w:u w:val="single"/>
        </w:rPr>
        <w:t xml:space="preserve">                    </w:t>
      </w:r>
      <w:r>
        <w:rPr>
          <w:rFonts w:hint="eastAsia" w:ascii="仿宋" w:hAnsi="仿宋" w:eastAsia="仿宋" w:cs="仿宋"/>
          <w:sz w:val="24"/>
        </w:rPr>
        <w:t>（以下简称供应商）于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日签定编号为   的《</w:t>
      </w:r>
      <w:r>
        <w:rPr>
          <w:rFonts w:hint="eastAsia" w:ascii="仿宋" w:hAnsi="仿宋" w:eastAsia="仿宋" w:cs="仿宋"/>
          <w:sz w:val="24"/>
          <w:u w:val="single"/>
        </w:rPr>
        <w:t xml:space="preserve">           </w:t>
      </w:r>
      <w:r>
        <w:rPr>
          <w:rFonts w:hint="eastAsia" w:ascii="仿宋" w:hAnsi="仿宋" w:eastAsia="仿宋" w:cs="仿宋"/>
          <w:sz w:val="24"/>
        </w:rPr>
        <w:t>政府采购合同》（以下简称主合同），且依据该合同的约定，供应商应在</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日前向你方交纳履约保证金，且可以履约担保函的形式交纳履约保证金。应供应商的申请，我方以保证的方式向你方提供如下履约保证金担保：</w:t>
      </w:r>
    </w:p>
    <w:p>
      <w:pPr>
        <w:ind w:firstLine="480" w:firstLineChars="200"/>
        <w:rPr>
          <w:rFonts w:ascii="仿宋" w:hAnsi="仿宋" w:eastAsia="仿宋" w:cs="仿宋"/>
          <w:sz w:val="24"/>
        </w:rPr>
      </w:pPr>
      <w:r>
        <w:rPr>
          <w:rFonts w:hint="eastAsia" w:ascii="仿宋" w:hAnsi="仿宋" w:eastAsia="仿宋" w:cs="仿宋"/>
          <w:sz w:val="24"/>
        </w:rPr>
        <w:t>一、保证责任的情形及保证金额</w:t>
      </w:r>
    </w:p>
    <w:p>
      <w:pPr>
        <w:ind w:firstLine="480" w:firstLineChars="200"/>
        <w:rPr>
          <w:rFonts w:ascii="仿宋" w:hAnsi="仿宋" w:eastAsia="仿宋" w:cs="仿宋"/>
          <w:sz w:val="24"/>
        </w:rPr>
      </w:pPr>
      <w:r>
        <w:rPr>
          <w:rFonts w:hint="eastAsia" w:ascii="仿宋" w:hAnsi="仿宋" w:eastAsia="仿宋" w:cs="仿宋"/>
          <w:sz w:val="24"/>
        </w:rPr>
        <w:t>（一）在供应商出现下列情形之一时，我方承担保证责任：</w:t>
      </w:r>
    </w:p>
    <w:p>
      <w:pPr>
        <w:ind w:firstLine="480" w:firstLineChars="200"/>
        <w:rPr>
          <w:rFonts w:ascii="仿宋" w:hAnsi="仿宋" w:eastAsia="仿宋" w:cs="仿宋"/>
          <w:sz w:val="24"/>
        </w:rPr>
      </w:pPr>
      <w:r>
        <w:rPr>
          <w:rFonts w:hint="eastAsia" w:ascii="仿宋" w:hAnsi="仿宋" w:eastAsia="仿宋" w:cs="仿宋"/>
          <w:sz w:val="24"/>
        </w:rPr>
        <w:t>1．将中标项目转让给他人，或者在投标文件中未说明，且未经采购招标机构人同意，将中标项目分包给他人的；</w:t>
      </w:r>
    </w:p>
    <w:p>
      <w:pPr>
        <w:rPr>
          <w:rFonts w:ascii="仿宋" w:hAnsi="仿宋" w:eastAsia="仿宋" w:cs="仿宋"/>
          <w:sz w:val="24"/>
        </w:rPr>
      </w:pPr>
      <w:r>
        <w:rPr>
          <w:rFonts w:hint="eastAsia" w:ascii="仿宋" w:hAnsi="仿宋" w:eastAsia="仿宋" w:cs="仿宋"/>
          <w:sz w:val="24"/>
        </w:rPr>
        <w:t xml:space="preserve">　　2．主合同约定的应当缴纳履约保证金的情形: </w:t>
      </w:r>
    </w:p>
    <w:p>
      <w:pPr>
        <w:ind w:firstLine="480" w:firstLineChars="200"/>
        <w:rPr>
          <w:rFonts w:ascii="仿宋" w:hAnsi="仿宋" w:eastAsia="仿宋" w:cs="仿宋"/>
          <w:sz w:val="24"/>
        </w:rPr>
      </w:pPr>
      <w:r>
        <w:rPr>
          <w:rFonts w:hint="eastAsia" w:ascii="仿宋" w:hAnsi="仿宋" w:eastAsia="仿宋" w:cs="仿宋"/>
          <w:sz w:val="24"/>
        </w:rPr>
        <w:t>（1）未按主合同约定的质量、数量和期限供应货物/提供服务/完成工程的；</w:t>
      </w:r>
    </w:p>
    <w:p>
      <w:pPr>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u w:val="single"/>
        </w:rPr>
        <w:t xml:space="preserve">                                                           </w:t>
      </w:r>
      <w:r>
        <w:rPr>
          <w:rFonts w:hint="eastAsia" w:ascii="仿宋" w:hAnsi="仿宋" w:eastAsia="仿宋" w:cs="仿宋"/>
          <w:sz w:val="24"/>
        </w:rPr>
        <w:t>。</w:t>
      </w:r>
    </w:p>
    <w:p>
      <w:pPr>
        <w:ind w:firstLine="480" w:firstLineChars="200"/>
        <w:rPr>
          <w:rFonts w:ascii="仿宋" w:hAnsi="仿宋" w:eastAsia="仿宋" w:cs="仿宋"/>
          <w:sz w:val="24"/>
        </w:rPr>
      </w:pPr>
      <w:r>
        <w:rPr>
          <w:rFonts w:hint="eastAsia" w:ascii="仿宋" w:hAnsi="仿宋" w:eastAsia="仿宋" w:cs="仿宋"/>
          <w:sz w:val="24"/>
        </w:rPr>
        <w:t>（二）我方的保证范围是主合同约定的合同价款总额的</w:t>
      </w:r>
      <w:r>
        <w:rPr>
          <w:rFonts w:hint="eastAsia" w:ascii="仿宋" w:hAnsi="仿宋" w:eastAsia="仿宋" w:cs="仿宋"/>
          <w:sz w:val="24"/>
          <w:u w:val="single"/>
        </w:rPr>
        <w:t xml:space="preserve">        </w:t>
      </w:r>
      <w:r>
        <w:rPr>
          <w:rFonts w:hint="eastAsia" w:ascii="仿宋" w:hAnsi="仿宋" w:eastAsia="仿宋" w:cs="仿宋"/>
          <w:sz w:val="24"/>
        </w:rPr>
        <w:t>%数额为</w:t>
      </w:r>
      <w:r>
        <w:rPr>
          <w:rFonts w:hint="eastAsia" w:ascii="仿宋" w:hAnsi="仿宋" w:eastAsia="仿宋" w:cs="仿宋"/>
          <w:sz w:val="24"/>
          <w:u w:val="single"/>
        </w:rPr>
        <w:t xml:space="preserve">         </w:t>
      </w:r>
      <w:r>
        <w:rPr>
          <w:rFonts w:hint="eastAsia" w:ascii="仿宋" w:hAnsi="仿宋" w:eastAsia="仿宋" w:cs="仿宋"/>
          <w:sz w:val="24"/>
        </w:rPr>
        <w:t>元（大写</w:t>
      </w:r>
      <w:r>
        <w:rPr>
          <w:rFonts w:hint="eastAsia" w:ascii="仿宋" w:hAnsi="仿宋" w:eastAsia="仿宋" w:cs="仿宋"/>
          <w:sz w:val="24"/>
          <w:u w:val="single"/>
        </w:rPr>
        <w:t xml:space="preserve">           </w:t>
      </w:r>
      <w:r>
        <w:rPr>
          <w:rFonts w:hint="eastAsia" w:ascii="仿宋" w:hAnsi="仿宋" w:eastAsia="仿宋" w:cs="仿宋"/>
          <w:sz w:val="24"/>
        </w:rPr>
        <w:t>），币种为</w:t>
      </w:r>
      <w:r>
        <w:rPr>
          <w:rFonts w:hint="eastAsia" w:ascii="仿宋" w:hAnsi="仿宋" w:eastAsia="仿宋" w:cs="仿宋"/>
          <w:sz w:val="24"/>
          <w:u w:val="single"/>
        </w:rPr>
        <w:t xml:space="preserve">        </w:t>
      </w:r>
      <w:r>
        <w:rPr>
          <w:rFonts w:hint="eastAsia" w:ascii="仿宋" w:hAnsi="仿宋" w:eastAsia="仿宋" w:cs="仿宋"/>
          <w:sz w:val="24"/>
        </w:rPr>
        <w:t>。（即主合同履约保证金金额）</w:t>
      </w:r>
    </w:p>
    <w:p>
      <w:pPr>
        <w:ind w:firstLine="480" w:firstLineChars="200"/>
        <w:rPr>
          <w:rFonts w:ascii="仿宋" w:hAnsi="仿宋" w:eastAsia="仿宋" w:cs="仿宋"/>
          <w:sz w:val="24"/>
        </w:rPr>
      </w:pPr>
      <w:r>
        <w:rPr>
          <w:rFonts w:hint="eastAsia" w:ascii="仿宋" w:hAnsi="仿宋" w:eastAsia="仿宋" w:cs="仿宋"/>
          <w:sz w:val="24"/>
        </w:rPr>
        <w:t>二、保证的方式及保证期间</w:t>
      </w:r>
    </w:p>
    <w:p>
      <w:pPr>
        <w:ind w:firstLine="480" w:firstLineChars="200"/>
        <w:rPr>
          <w:rFonts w:ascii="仿宋" w:hAnsi="仿宋" w:eastAsia="仿宋" w:cs="仿宋"/>
          <w:sz w:val="24"/>
        </w:rPr>
      </w:pPr>
      <w:r>
        <w:rPr>
          <w:rFonts w:hint="eastAsia" w:ascii="仿宋" w:hAnsi="仿宋" w:eastAsia="仿宋" w:cs="仿宋"/>
          <w:sz w:val="24"/>
        </w:rPr>
        <w:t>我方保证的方式为：连带责任保证。</w:t>
      </w:r>
    </w:p>
    <w:p>
      <w:pPr>
        <w:ind w:firstLine="480" w:firstLineChars="200"/>
        <w:rPr>
          <w:rFonts w:ascii="仿宋" w:hAnsi="仿宋" w:eastAsia="仿宋" w:cs="仿宋"/>
          <w:sz w:val="24"/>
        </w:rPr>
      </w:pPr>
      <w:r>
        <w:rPr>
          <w:rFonts w:hint="eastAsia" w:ascii="仿宋" w:hAnsi="仿宋" w:eastAsia="仿宋" w:cs="仿宋"/>
          <w:sz w:val="24"/>
        </w:rPr>
        <w:t>我方保证的期间为：自本合同生效之日起至供应商按照主合同约定的供货/完工期限届满后</w:t>
      </w:r>
      <w:r>
        <w:rPr>
          <w:rFonts w:hint="eastAsia" w:ascii="仿宋" w:hAnsi="仿宋" w:eastAsia="仿宋" w:cs="仿宋"/>
          <w:sz w:val="24"/>
          <w:u w:val="single"/>
        </w:rPr>
        <w:t xml:space="preserve">     </w:t>
      </w:r>
      <w:r>
        <w:rPr>
          <w:rFonts w:hint="eastAsia" w:ascii="仿宋" w:hAnsi="仿宋" w:eastAsia="仿宋" w:cs="仿宋"/>
          <w:sz w:val="24"/>
        </w:rPr>
        <w:t>日内。</w:t>
      </w:r>
    </w:p>
    <w:p>
      <w:pPr>
        <w:ind w:firstLine="480" w:firstLineChars="200"/>
        <w:rPr>
          <w:rFonts w:ascii="仿宋" w:hAnsi="仿宋" w:eastAsia="仿宋" w:cs="仿宋"/>
          <w:sz w:val="24"/>
        </w:rPr>
      </w:pPr>
      <w:r>
        <w:rPr>
          <w:rFonts w:hint="eastAsia" w:ascii="仿宋" w:hAnsi="仿宋" w:eastAsia="仿宋" w:cs="仿宋"/>
          <w:sz w:val="24"/>
        </w:rPr>
        <w:t>如果供应商未按主合同约定向贵方供应货物/提供服务/完成工程的，由我方在保证金额内向你方支付上述款项。</w:t>
      </w:r>
    </w:p>
    <w:p>
      <w:pPr>
        <w:ind w:firstLine="480" w:firstLineChars="200"/>
        <w:rPr>
          <w:rFonts w:ascii="仿宋" w:hAnsi="仿宋" w:eastAsia="仿宋" w:cs="仿宋"/>
          <w:sz w:val="24"/>
        </w:rPr>
      </w:pPr>
      <w:r>
        <w:rPr>
          <w:rFonts w:hint="eastAsia" w:ascii="仿宋" w:hAnsi="仿宋" w:eastAsia="仿宋" w:cs="仿宋"/>
          <w:sz w:val="24"/>
        </w:rPr>
        <w:t>三、承担保证责任的程序</w:t>
      </w:r>
    </w:p>
    <w:p>
      <w:pPr>
        <w:ind w:firstLine="480" w:firstLineChars="200"/>
        <w:rPr>
          <w:rFonts w:ascii="仿宋" w:hAnsi="仿宋" w:eastAsia="仿宋" w:cs="仿宋"/>
          <w:sz w:val="24"/>
        </w:rPr>
      </w:pPr>
      <w:r>
        <w:rPr>
          <w:rFonts w:hint="eastAsia" w:ascii="仿宋" w:hAnsi="仿宋" w:eastAsia="仿宋" w:cs="仿宋"/>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ascii="仿宋" w:hAnsi="仿宋" w:eastAsia="仿宋" w:cs="仿宋"/>
          <w:sz w:val="24"/>
        </w:rPr>
      </w:pPr>
      <w:r>
        <w:rPr>
          <w:rFonts w:hint="eastAsia" w:ascii="仿宋" w:hAnsi="仿宋" w:eastAsia="仿宋" w:cs="仿宋"/>
          <w:sz w:val="24"/>
        </w:rPr>
        <w:t>如果你方与供应商因货物质量问题产生争议，你方还需同时提供</w:t>
      </w:r>
      <w:r>
        <w:rPr>
          <w:rFonts w:hint="eastAsia" w:ascii="仿宋" w:hAnsi="仿宋" w:eastAsia="仿宋" w:cs="仿宋"/>
          <w:sz w:val="24"/>
          <w:u w:val="single"/>
        </w:rPr>
        <w:t xml:space="preserve">        </w:t>
      </w:r>
      <w:r>
        <w:rPr>
          <w:rFonts w:hint="eastAsia" w:ascii="仿宋" w:hAnsi="仿宋" w:eastAsia="仿宋" w:cs="仿宋"/>
          <w:sz w:val="24"/>
        </w:rPr>
        <w:t>部门出具的质量检测报告，或经诉讼（仲裁）程序裁决后的裁决书、调解书，本保证人即按照检测结果或裁决书、调解书决定是否承担保证责任。</w:t>
      </w:r>
    </w:p>
    <w:p>
      <w:pPr>
        <w:ind w:firstLine="480" w:firstLineChars="200"/>
        <w:rPr>
          <w:rFonts w:ascii="仿宋" w:hAnsi="仿宋" w:eastAsia="仿宋" w:cs="仿宋"/>
          <w:sz w:val="24"/>
        </w:rPr>
      </w:pPr>
      <w:r>
        <w:rPr>
          <w:rFonts w:hint="eastAsia" w:ascii="仿宋" w:hAnsi="仿宋" w:eastAsia="仿宋" w:cs="仿宋"/>
          <w:sz w:val="24"/>
        </w:rPr>
        <w:t>2． 我方收到你方的书面索赔通知及相应证明材料，在</w:t>
      </w:r>
      <w:r>
        <w:rPr>
          <w:rFonts w:hint="eastAsia" w:ascii="仿宋" w:hAnsi="仿宋" w:eastAsia="仿宋" w:cs="仿宋"/>
          <w:sz w:val="24"/>
          <w:u w:val="single"/>
        </w:rPr>
        <w:t xml:space="preserve">     </w:t>
      </w:r>
      <w:r>
        <w:rPr>
          <w:rFonts w:hint="eastAsia" w:ascii="仿宋" w:hAnsi="仿宋" w:eastAsia="仿宋" w:cs="仿宋"/>
          <w:sz w:val="24"/>
        </w:rPr>
        <w:t>工作日内进行核定后按照本保函的承诺承担保证责任。</w:t>
      </w:r>
    </w:p>
    <w:p>
      <w:pPr>
        <w:ind w:firstLine="480" w:firstLineChars="200"/>
        <w:rPr>
          <w:rFonts w:ascii="仿宋" w:hAnsi="仿宋" w:eastAsia="仿宋" w:cs="仿宋"/>
          <w:sz w:val="24"/>
        </w:rPr>
      </w:pPr>
      <w:r>
        <w:rPr>
          <w:rFonts w:hint="eastAsia" w:ascii="仿宋" w:hAnsi="仿宋" w:eastAsia="仿宋" w:cs="仿宋"/>
          <w:sz w:val="24"/>
        </w:rPr>
        <w:t>四、保证责任的终止</w:t>
      </w:r>
    </w:p>
    <w:p>
      <w:pPr>
        <w:ind w:firstLine="480" w:firstLineChars="200"/>
        <w:rPr>
          <w:rFonts w:ascii="仿宋" w:hAnsi="仿宋" w:eastAsia="仿宋" w:cs="仿宋"/>
          <w:sz w:val="24"/>
        </w:rPr>
      </w:pPr>
      <w:r>
        <w:rPr>
          <w:rFonts w:hint="eastAsia" w:ascii="仿宋" w:hAnsi="仿宋" w:eastAsia="仿宋" w:cs="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ascii="仿宋" w:hAnsi="仿宋" w:eastAsia="仿宋" w:cs="仿宋"/>
          <w:sz w:val="24"/>
        </w:rPr>
      </w:pPr>
      <w:r>
        <w:rPr>
          <w:rFonts w:hint="eastAsia" w:ascii="仿宋" w:hAnsi="仿宋" w:eastAsia="仿宋" w:cs="仿宋"/>
          <w:sz w:val="24"/>
        </w:rPr>
        <w:t>2．我方按照本保函向你方履行了保证责任后，自我方向你方支付款项（支付款项从我方账户划出）之日起，保证责任即终止。</w:t>
      </w:r>
    </w:p>
    <w:p>
      <w:pPr>
        <w:ind w:firstLine="480" w:firstLineChars="200"/>
        <w:rPr>
          <w:rFonts w:ascii="仿宋" w:hAnsi="仿宋" w:eastAsia="仿宋" w:cs="仿宋"/>
          <w:sz w:val="24"/>
        </w:rPr>
      </w:pPr>
      <w:r>
        <w:rPr>
          <w:rFonts w:hint="eastAsia" w:ascii="仿宋" w:hAnsi="仿宋" w:eastAsia="仿宋" w:cs="仿宋"/>
          <w:sz w:val="24"/>
        </w:rPr>
        <w:t>3．按照法律法规的规定或出现应终止我方保证责任的其它情形的，我方在本保函项下的保证责任亦终止。</w:t>
      </w:r>
    </w:p>
    <w:p>
      <w:pPr>
        <w:ind w:firstLine="480" w:firstLineChars="200"/>
        <w:rPr>
          <w:rFonts w:ascii="仿宋" w:hAnsi="仿宋" w:eastAsia="仿宋" w:cs="仿宋"/>
          <w:sz w:val="24"/>
        </w:rPr>
      </w:pPr>
      <w:r>
        <w:rPr>
          <w:rFonts w:hint="eastAsia" w:ascii="仿宋" w:hAnsi="仿宋" w:eastAsia="仿宋" w:cs="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rPr>
          <w:rFonts w:ascii="仿宋" w:hAnsi="仿宋" w:eastAsia="仿宋" w:cs="仿宋"/>
          <w:sz w:val="24"/>
        </w:rPr>
      </w:pPr>
      <w:r>
        <w:rPr>
          <w:rFonts w:hint="eastAsia" w:ascii="仿宋" w:hAnsi="仿宋" w:eastAsia="仿宋" w:cs="仿宋"/>
          <w:sz w:val="24"/>
        </w:rPr>
        <w:t>五、免责条款</w:t>
      </w:r>
    </w:p>
    <w:p>
      <w:pPr>
        <w:ind w:firstLine="480" w:firstLineChars="200"/>
        <w:rPr>
          <w:rFonts w:ascii="仿宋" w:hAnsi="仿宋" w:eastAsia="仿宋" w:cs="仿宋"/>
          <w:sz w:val="24"/>
        </w:rPr>
      </w:pPr>
      <w:r>
        <w:rPr>
          <w:rFonts w:hint="eastAsia" w:ascii="仿宋" w:hAnsi="仿宋" w:eastAsia="仿宋" w:cs="仿宋"/>
          <w:sz w:val="24"/>
        </w:rPr>
        <w:t>1．因你方违反主合同约定致使供应商不能履行义务的，我方不承担保证责任。</w:t>
      </w:r>
    </w:p>
    <w:p>
      <w:pPr>
        <w:ind w:firstLine="480" w:firstLineChars="200"/>
        <w:rPr>
          <w:rFonts w:ascii="仿宋" w:hAnsi="仿宋" w:eastAsia="仿宋" w:cs="仿宋"/>
          <w:sz w:val="24"/>
        </w:rPr>
      </w:pPr>
      <w:r>
        <w:rPr>
          <w:rFonts w:hint="eastAsia" w:ascii="仿宋" w:hAnsi="仿宋" w:eastAsia="仿宋" w:cs="仿宋"/>
          <w:sz w:val="24"/>
        </w:rPr>
        <w:t>2．依照法律法规的规定或你方与供应商的另行约定，全部或者部分免除供应商应缴纳的保证金义务的，我方亦免除相应的保证责任。</w:t>
      </w:r>
    </w:p>
    <w:p>
      <w:pPr>
        <w:ind w:firstLine="480" w:firstLineChars="200"/>
        <w:rPr>
          <w:rFonts w:ascii="仿宋" w:hAnsi="仿宋" w:eastAsia="仿宋" w:cs="仿宋"/>
          <w:sz w:val="24"/>
        </w:rPr>
      </w:pPr>
      <w:r>
        <w:rPr>
          <w:rFonts w:hint="eastAsia" w:ascii="仿宋" w:hAnsi="仿宋" w:eastAsia="仿宋" w:cs="仿宋"/>
          <w:sz w:val="24"/>
        </w:rPr>
        <w:t>3．因不可抗力造成供应商不能履行供货义务的，我方不承担保证责任。</w:t>
      </w:r>
    </w:p>
    <w:p>
      <w:pPr>
        <w:ind w:firstLine="480" w:firstLineChars="200"/>
        <w:rPr>
          <w:rFonts w:ascii="仿宋" w:hAnsi="仿宋" w:eastAsia="仿宋" w:cs="仿宋"/>
          <w:sz w:val="24"/>
        </w:rPr>
      </w:pPr>
      <w:r>
        <w:rPr>
          <w:rFonts w:hint="eastAsia" w:ascii="仿宋" w:hAnsi="仿宋" w:eastAsia="仿宋" w:cs="仿宋"/>
          <w:sz w:val="24"/>
        </w:rPr>
        <w:t>六、争议的解决</w:t>
      </w:r>
    </w:p>
    <w:p>
      <w:pPr>
        <w:ind w:firstLine="480" w:firstLineChars="200"/>
        <w:rPr>
          <w:rFonts w:ascii="仿宋" w:hAnsi="仿宋" w:eastAsia="仿宋" w:cs="仿宋"/>
          <w:sz w:val="24"/>
        </w:rPr>
      </w:pPr>
      <w:r>
        <w:rPr>
          <w:rFonts w:hint="eastAsia" w:ascii="仿宋" w:hAnsi="仿宋" w:eastAsia="仿宋" w:cs="仿宋"/>
          <w:sz w:val="24"/>
        </w:rPr>
        <w:t>因本保函发生的纠纷，由你我双方协商解决，协商不成的，通过诉讼程序解决，诉讼管辖地法院为</w:t>
      </w:r>
      <w:r>
        <w:rPr>
          <w:rFonts w:hint="eastAsia" w:ascii="仿宋" w:hAnsi="仿宋" w:eastAsia="仿宋" w:cs="仿宋"/>
          <w:sz w:val="24"/>
          <w:u w:val="single"/>
        </w:rPr>
        <w:t xml:space="preserve">        </w:t>
      </w:r>
      <w:r>
        <w:rPr>
          <w:rFonts w:hint="eastAsia" w:ascii="仿宋" w:hAnsi="仿宋" w:eastAsia="仿宋" w:cs="仿宋"/>
          <w:sz w:val="24"/>
        </w:rPr>
        <w:t>法院。</w:t>
      </w:r>
    </w:p>
    <w:p>
      <w:pPr>
        <w:ind w:firstLine="480" w:firstLineChars="200"/>
        <w:rPr>
          <w:rFonts w:ascii="仿宋" w:hAnsi="仿宋" w:eastAsia="仿宋" w:cs="仿宋"/>
          <w:sz w:val="24"/>
        </w:rPr>
      </w:pPr>
      <w:r>
        <w:rPr>
          <w:rFonts w:hint="eastAsia" w:ascii="仿宋" w:hAnsi="仿宋" w:eastAsia="仿宋" w:cs="仿宋"/>
          <w:sz w:val="24"/>
        </w:rPr>
        <w:t>七、保函的生效。</w:t>
      </w:r>
    </w:p>
    <w:p>
      <w:pPr>
        <w:ind w:firstLine="480" w:firstLineChars="200"/>
        <w:rPr>
          <w:rFonts w:ascii="仿宋" w:hAnsi="仿宋" w:eastAsia="仿宋" w:cs="仿宋"/>
          <w:sz w:val="24"/>
        </w:rPr>
      </w:pPr>
      <w:r>
        <w:rPr>
          <w:rFonts w:hint="eastAsia" w:ascii="仿宋" w:hAnsi="仿宋" w:eastAsia="仿宋" w:cs="仿宋"/>
          <w:sz w:val="24"/>
        </w:rPr>
        <w:t>本保函自我方加盖公章之日起生效。</w:t>
      </w:r>
    </w:p>
    <w:p>
      <w:pP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 xml:space="preserve">                                      </w:t>
      </w:r>
    </w:p>
    <w:p>
      <w:pPr>
        <w:ind w:firstLine="5400" w:firstLineChars="2250"/>
        <w:rPr>
          <w:rFonts w:ascii="仿宋" w:hAnsi="仿宋" w:eastAsia="仿宋" w:cs="仿宋"/>
          <w:sz w:val="24"/>
        </w:rPr>
      </w:pPr>
      <w:r>
        <w:rPr>
          <w:rFonts w:hint="eastAsia" w:ascii="仿宋" w:hAnsi="仿宋" w:eastAsia="仿宋" w:cs="仿宋"/>
          <w:sz w:val="24"/>
        </w:rPr>
        <w:t>保证人：（公章）</w:t>
      </w:r>
    </w:p>
    <w:p>
      <w:pPr>
        <w:rPr>
          <w:rFonts w:ascii="仿宋" w:hAnsi="仿宋" w:eastAsia="仿宋" w:cs="仿宋"/>
          <w:sz w:val="24"/>
        </w:rPr>
      </w:pPr>
      <w:r>
        <w:rPr>
          <w:rFonts w:hint="eastAsia" w:ascii="仿宋" w:hAnsi="仿宋" w:eastAsia="仿宋" w:cs="仿宋"/>
          <w:sz w:val="24"/>
        </w:rPr>
        <w:t xml:space="preserve">                   </w:t>
      </w:r>
    </w:p>
    <w:p>
      <w:pPr>
        <w:rPr>
          <w:rFonts w:ascii="仿宋" w:hAnsi="仿宋" w:eastAsia="仿宋" w:cs="仿宋"/>
          <w:sz w:val="24"/>
        </w:rPr>
      </w:pPr>
      <w:r>
        <w:rPr>
          <w:rFonts w:hint="eastAsia" w:ascii="仿宋" w:hAnsi="仿宋" w:eastAsia="仿宋" w:cs="仿宋"/>
          <w:sz w:val="24"/>
        </w:rPr>
        <w:t xml:space="preserve">                                                   年     月      日</w:t>
      </w:r>
    </w:p>
    <w:p>
      <w:pPr>
        <w:pStyle w:val="11"/>
        <w:spacing w:line="240" w:lineRule="atLeast"/>
        <w:ind w:firstLine="0"/>
        <w:rPr>
          <w:rFonts w:ascii="仿宋" w:hAnsi="仿宋" w:eastAsia="仿宋" w:cs="仿宋"/>
          <w:kern w:val="2"/>
          <w:szCs w:val="24"/>
        </w:rPr>
      </w:pPr>
      <w:r>
        <w:rPr>
          <w:rFonts w:hint="eastAsia" w:ascii="仿宋" w:hAnsi="仿宋" w:eastAsia="仿宋" w:cs="仿宋"/>
          <w:b/>
        </w:rPr>
        <w:br w:type="page"/>
      </w:r>
    </w:p>
    <w:p>
      <w:pPr>
        <w:numPr>
          <w:ilvl w:val="0"/>
          <w:numId w:val="0"/>
        </w:numPr>
        <w:spacing w:line="600" w:lineRule="exact"/>
        <w:jc w:val="center"/>
        <w:outlineLvl w:val="0"/>
        <w:rPr>
          <w:rFonts w:ascii="仿宋" w:hAnsi="仿宋" w:eastAsia="仿宋" w:cs="仿宋"/>
          <w:b/>
          <w:kern w:val="44"/>
          <w:sz w:val="32"/>
          <w:szCs w:val="20"/>
        </w:rPr>
      </w:pPr>
      <w:bookmarkStart w:id="310" w:name="_Toc518923106"/>
      <w:bookmarkStart w:id="311" w:name="_Toc216582812"/>
      <w:bookmarkStart w:id="312" w:name="_Toc18023"/>
      <w:bookmarkStart w:id="313" w:name="_Toc2648"/>
      <w:bookmarkStart w:id="314" w:name="_Toc6923"/>
      <w:bookmarkStart w:id="315" w:name="_Toc4367"/>
      <w:r>
        <w:rPr>
          <w:rFonts w:hint="eastAsia" w:ascii="仿宋" w:hAnsi="仿宋" w:eastAsia="仿宋" w:cs="仿宋"/>
          <w:b/>
          <w:kern w:val="44"/>
          <w:sz w:val="32"/>
          <w:szCs w:val="20"/>
          <w:lang w:val="en-US" w:eastAsia="zh-CN"/>
        </w:rPr>
        <w:t xml:space="preserve">第4章 </w:t>
      </w:r>
      <w:r>
        <w:rPr>
          <w:rFonts w:hint="eastAsia" w:ascii="仿宋" w:hAnsi="仿宋" w:eastAsia="仿宋" w:cs="仿宋"/>
          <w:b/>
          <w:kern w:val="44"/>
          <w:sz w:val="32"/>
          <w:szCs w:val="20"/>
        </w:rPr>
        <w:t>投标文件格式</w:t>
      </w:r>
      <w:bookmarkEnd w:id="310"/>
      <w:bookmarkEnd w:id="311"/>
      <w:bookmarkEnd w:id="312"/>
      <w:bookmarkEnd w:id="313"/>
      <w:bookmarkEnd w:id="314"/>
      <w:bookmarkEnd w:id="315"/>
    </w:p>
    <w:p/>
    <w:p>
      <w:pPr>
        <w:pStyle w:val="8"/>
        <w:spacing w:before="0" w:line="240" w:lineRule="atLeast"/>
        <w:rPr>
          <w:rFonts w:ascii="仿宋" w:hAnsi="仿宋" w:eastAsia="仿宋" w:cs="仿宋"/>
          <w:sz w:val="24"/>
        </w:rPr>
      </w:pPr>
      <w:bookmarkStart w:id="316" w:name="_Toc19559"/>
      <w:bookmarkStart w:id="317" w:name="_Toc13255"/>
      <w:bookmarkStart w:id="318" w:name="_Toc17433"/>
      <w:r>
        <w:rPr>
          <w:rFonts w:hint="eastAsia" w:ascii="仿宋" w:hAnsi="仿宋" w:eastAsia="仿宋" w:cs="仿宋"/>
          <w:sz w:val="24"/>
        </w:rPr>
        <w:t>第一部分 各部分封面格式</w:t>
      </w:r>
      <w:bookmarkEnd w:id="316"/>
      <w:bookmarkEnd w:id="317"/>
      <w:bookmarkEnd w:id="318"/>
    </w:p>
    <w:p>
      <w:pPr>
        <w:jc w:val="left"/>
        <w:rPr>
          <w:rFonts w:ascii="仿宋" w:hAnsi="仿宋" w:eastAsia="仿宋" w:cs="仿宋"/>
          <w:b/>
          <w:bCs/>
          <w:sz w:val="32"/>
          <w:szCs w:val="32"/>
        </w:rPr>
      </w:pPr>
      <w:r>
        <w:rPr>
          <w:rFonts w:hint="eastAsia" w:ascii="仿宋" w:hAnsi="仿宋" w:eastAsia="仿宋" w:cs="仿宋"/>
          <w:sz w:val="24"/>
          <w:lang w:val="zh-CN"/>
        </w:rPr>
        <w:t>（</w:t>
      </w:r>
      <w:r>
        <w:rPr>
          <w:rFonts w:hint="eastAsia" w:ascii="仿宋" w:hAnsi="仿宋" w:eastAsia="仿宋" w:cs="仿宋"/>
          <w:sz w:val="24"/>
        </w:rPr>
        <w:t>投标文件各部分封面</w:t>
      </w:r>
      <w:r>
        <w:rPr>
          <w:rFonts w:hint="eastAsia" w:ascii="仿宋" w:hAnsi="仿宋" w:eastAsia="仿宋" w:cs="仿宋"/>
          <w:sz w:val="24"/>
          <w:lang w:val="zh-CN"/>
        </w:rPr>
        <w:t>示例）</w:t>
      </w:r>
    </w:p>
    <w:p>
      <w:pPr>
        <w:jc w:val="right"/>
        <w:rPr>
          <w:rFonts w:ascii="仿宋" w:hAnsi="仿宋" w:eastAsia="仿宋" w:cs="仿宋"/>
          <w:sz w:val="24"/>
          <w:szCs w:val="32"/>
          <w:lang w:val="zh-CN"/>
        </w:rPr>
      </w:pPr>
    </w:p>
    <w:p>
      <w:pPr>
        <w:jc w:val="right"/>
        <w:rPr>
          <w:rFonts w:ascii="仿宋" w:hAnsi="仿宋" w:eastAsia="仿宋" w:cs="仿宋"/>
          <w:sz w:val="24"/>
          <w:szCs w:val="32"/>
          <w:lang w:val="zh-CN"/>
        </w:rPr>
      </w:pPr>
    </w:p>
    <w:p>
      <w:pPr>
        <w:shd w:val="clear" w:color="auto" w:fill="FFFFFF"/>
        <w:spacing w:line="440" w:lineRule="exact"/>
        <w:ind w:firstLine="420"/>
        <w:jc w:val="center"/>
        <w:rPr>
          <w:rFonts w:ascii="仿宋" w:hAnsi="仿宋" w:eastAsia="仿宋" w:cs="仿宋"/>
          <w:bCs/>
          <w:sz w:val="24"/>
          <w:lang w:val="zh-CN"/>
        </w:rPr>
      </w:pPr>
    </w:p>
    <w:p>
      <w:pPr>
        <w:pStyle w:val="26"/>
        <w:rPr>
          <w:lang w:val="zh-CN"/>
        </w:rPr>
      </w:pPr>
    </w:p>
    <w:p>
      <w:pPr>
        <w:rPr>
          <w:lang w:val="zh-CN"/>
        </w:rPr>
      </w:pPr>
    </w:p>
    <w:p>
      <w:pPr>
        <w:pStyle w:val="26"/>
        <w:rPr>
          <w:lang w:val="zh-CN"/>
        </w:rPr>
      </w:pPr>
    </w:p>
    <w:p>
      <w:pPr>
        <w:pStyle w:val="16"/>
        <w:jc w:val="center"/>
        <w:rPr>
          <w:rFonts w:ascii="仿宋" w:hAnsi="仿宋" w:eastAsia="仿宋" w:cs="仿宋"/>
          <w:b/>
          <w:bCs/>
          <w:sz w:val="36"/>
          <w:szCs w:val="44"/>
        </w:rPr>
      </w:pPr>
      <w:r>
        <w:rPr>
          <w:rFonts w:eastAsia="仿宋_GB2312"/>
          <w:b/>
          <w:bCs/>
          <w:sz w:val="52"/>
        </w:rPr>
        <w:t>××××</w:t>
      </w:r>
      <w:r>
        <w:rPr>
          <w:rFonts w:hint="eastAsia" w:ascii="仿宋" w:hAnsi="仿宋" w:eastAsia="仿宋" w:cs="仿宋"/>
          <w:b/>
          <w:bCs/>
          <w:sz w:val="36"/>
          <w:szCs w:val="44"/>
        </w:rPr>
        <w:t>项目</w:t>
      </w:r>
    </w:p>
    <w:p>
      <w:pPr>
        <w:jc w:val="center"/>
        <w:rPr>
          <w:rFonts w:ascii="仿宋" w:hAnsi="仿宋" w:eastAsia="仿宋" w:cs="仿宋"/>
          <w:b/>
          <w:bCs/>
          <w:sz w:val="36"/>
          <w:szCs w:val="44"/>
          <w:lang w:val="zh-CN"/>
        </w:rPr>
      </w:pPr>
    </w:p>
    <w:p/>
    <w:p>
      <w:pPr>
        <w:jc w:val="center"/>
        <w:rPr>
          <w:rFonts w:ascii="仿宋" w:hAnsi="仿宋" w:eastAsia="仿宋" w:cs="仿宋"/>
          <w:b/>
          <w:bCs/>
          <w:sz w:val="32"/>
          <w:szCs w:val="40"/>
        </w:rPr>
      </w:pPr>
      <w:r>
        <w:rPr>
          <w:rFonts w:hint="eastAsia" w:ascii="仿宋" w:hAnsi="仿宋" w:eastAsia="仿宋" w:cs="仿宋"/>
          <w:b/>
          <w:bCs/>
          <w:sz w:val="32"/>
          <w:szCs w:val="40"/>
        </w:rPr>
        <w:t>项目编号：GYZB-TLFDZFZ2023-01</w:t>
      </w:r>
      <w:r>
        <w:rPr>
          <w:rFonts w:hint="eastAsia" w:ascii="仿宋" w:hAnsi="仿宋" w:eastAsia="仿宋" w:cs="仿宋"/>
          <w:b/>
          <w:bCs/>
          <w:sz w:val="32"/>
          <w:szCs w:val="40"/>
          <w:lang w:val="en-US" w:eastAsia="zh-CN"/>
        </w:rPr>
        <w:t>....</w:t>
      </w:r>
      <w:r>
        <w:rPr>
          <w:rFonts w:hint="eastAsia" w:ascii="仿宋" w:hAnsi="仿宋" w:eastAsia="仿宋" w:cs="仿宋"/>
          <w:b/>
          <w:bCs/>
          <w:sz w:val="32"/>
          <w:szCs w:val="40"/>
        </w:rPr>
        <w:t>04</w:t>
      </w:r>
    </w:p>
    <w:p>
      <w:pPr>
        <w:jc w:val="center"/>
        <w:rPr>
          <w:rFonts w:ascii="仿宋" w:hAnsi="仿宋" w:eastAsia="仿宋" w:cs="仿宋"/>
          <w:b/>
          <w:bCs/>
          <w:sz w:val="32"/>
          <w:szCs w:val="40"/>
        </w:rPr>
      </w:pPr>
    </w:p>
    <w:p>
      <w:pPr>
        <w:jc w:val="center"/>
        <w:rPr>
          <w:lang w:val="zh-CN"/>
        </w:rPr>
      </w:pPr>
    </w:p>
    <w:p>
      <w:pPr>
        <w:pStyle w:val="2"/>
        <w:rPr>
          <w:rFonts w:ascii="仿宋" w:hAnsi="仿宋" w:eastAsia="仿宋" w:cs="仿宋"/>
          <w:b/>
          <w:sz w:val="36"/>
          <w:szCs w:val="36"/>
          <w:lang w:val="zh-CN"/>
        </w:rPr>
      </w:pPr>
    </w:p>
    <w:p>
      <w:pPr>
        <w:pStyle w:val="3"/>
        <w:ind w:firstLine="723"/>
        <w:rPr>
          <w:rFonts w:ascii="仿宋" w:hAnsi="仿宋" w:eastAsia="仿宋" w:cs="仿宋"/>
          <w:b/>
          <w:sz w:val="36"/>
          <w:szCs w:val="36"/>
          <w:lang w:val="zh-CN"/>
        </w:rPr>
      </w:pPr>
    </w:p>
    <w:p>
      <w:pPr>
        <w:jc w:val="center"/>
        <w:rPr>
          <w:rFonts w:ascii="仿宋" w:hAnsi="仿宋" w:eastAsia="仿宋" w:cs="仿宋"/>
          <w:b/>
          <w:sz w:val="36"/>
          <w:szCs w:val="36"/>
        </w:rPr>
      </w:pPr>
      <w:r>
        <w:rPr>
          <w:rFonts w:hint="eastAsia" w:ascii="仿宋" w:hAnsi="仿宋" w:eastAsia="仿宋" w:cs="仿宋"/>
          <w:b/>
          <w:sz w:val="36"/>
          <w:szCs w:val="36"/>
        </w:rPr>
        <w:t>技术投标文件</w:t>
      </w:r>
    </w:p>
    <w:p>
      <w:pPr>
        <w:jc w:val="center"/>
        <w:rPr>
          <w:rFonts w:ascii="仿宋" w:hAnsi="仿宋" w:eastAsia="仿宋" w:cs="仿宋"/>
          <w:b/>
          <w:sz w:val="36"/>
          <w:szCs w:val="36"/>
        </w:rPr>
      </w:pPr>
      <w:r>
        <w:rPr>
          <w:rFonts w:hint="eastAsia" w:ascii="仿宋" w:hAnsi="仿宋" w:eastAsia="仿宋" w:cs="仿宋"/>
          <w:b/>
          <w:sz w:val="36"/>
          <w:szCs w:val="36"/>
        </w:rPr>
        <w:t>(商务资信投标文件)</w:t>
      </w:r>
    </w:p>
    <w:p>
      <w:pPr>
        <w:jc w:val="center"/>
        <w:rPr>
          <w:rFonts w:ascii="仿宋" w:hAnsi="仿宋" w:eastAsia="仿宋" w:cs="仿宋"/>
          <w:b/>
          <w:sz w:val="36"/>
          <w:szCs w:val="36"/>
        </w:rPr>
      </w:pPr>
    </w:p>
    <w:p>
      <w:pPr>
        <w:jc w:val="center"/>
        <w:rPr>
          <w:rFonts w:ascii="仿宋" w:hAnsi="仿宋" w:eastAsia="仿宋" w:cs="仿宋"/>
          <w:b/>
          <w:sz w:val="36"/>
          <w:szCs w:val="36"/>
        </w:rPr>
      </w:pPr>
    </w:p>
    <w:p>
      <w:pPr>
        <w:jc w:val="center"/>
        <w:rPr>
          <w:rFonts w:ascii="仿宋" w:hAnsi="仿宋" w:eastAsia="仿宋" w:cs="仿宋"/>
          <w:b/>
          <w:sz w:val="36"/>
          <w:szCs w:val="36"/>
        </w:rPr>
      </w:pPr>
    </w:p>
    <w:p>
      <w:pPr>
        <w:jc w:val="center"/>
        <w:rPr>
          <w:rFonts w:ascii="仿宋" w:hAnsi="仿宋" w:eastAsia="仿宋" w:cs="仿宋"/>
          <w:b/>
          <w:sz w:val="36"/>
          <w:szCs w:val="36"/>
        </w:rPr>
      </w:pPr>
    </w:p>
    <w:p>
      <w:pPr>
        <w:jc w:val="center"/>
        <w:rPr>
          <w:rFonts w:ascii="仿宋" w:hAnsi="仿宋" w:eastAsia="仿宋" w:cs="仿宋"/>
          <w:b/>
          <w:sz w:val="36"/>
          <w:szCs w:val="36"/>
        </w:rPr>
      </w:pPr>
    </w:p>
    <w:p>
      <w:pPr>
        <w:jc w:val="center"/>
        <w:rPr>
          <w:rFonts w:ascii="仿宋" w:hAnsi="仿宋" w:eastAsia="仿宋" w:cs="仿宋"/>
          <w:b/>
          <w:sz w:val="36"/>
          <w:szCs w:val="36"/>
        </w:rPr>
      </w:pPr>
    </w:p>
    <w:p>
      <w:pPr>
        <w:keepNext/>
        <w:keepLines/>
        <w:autoSpaceDE w:val="0"/>
        <w:autoSpaceDN w:val="0"/>
        <w:adjustRightInd w:val="0"/>
        <w:spacing w:line="240" w:lineRule="atLeast"/>
        <w:jc w:val="center"/>
        <w:rPr>
          <w:rFonts w:ascii="仿宋" w:hAnsi="仿宋" w:eastAsia="仿宋" w:cs="仿宋"/>
        </w:rPr>
      </w:pPr>
      <w:r>
        <w:rPr>
          <w:rFonts w:hint="eastAsia" w:ascii="仿宋" w:hAnsi="仿宋" w:eastAsia="仿宋" w:cs="仿宋"/>
          <w:b/>
          <w:bCs/>
          <w:sz w:val="32"/>
          <w:szCs w:val="32"/>
        </w:rPr>
        <w:t>2023年2月</w:t>
      </w:r>
      <w:r>
        <w:rPr>
          <w:rFonts w:hint="eastAsia"/>
          <w:lang w:val="zh-CN"/>
        </w:rPr>
        <w:br w:type="page"/>
      </w:r>
    </w:p>
    <w:p>
      <w:pPr>
        <w:spacing w:line="240" w:lineRule="atLeast"/>
        <w:ind w:left="735" w:leftChars="350" w:firstLine="120" w:firstLineChars="50"/>
        <w:rPr>
          <w:rFonts w:ascii="仿宋" w:hAnsi="仿宋" w:eastAsia="仿宋" w:cs="仿宋"/>
          <w:sz w:val="24"/>
        </w:rPr>
      </w:pPr>
    </w:p>
    <w:p>
      <w:pPr>
        <w:pStyle w:val="8"/>
        <w:numPr>
          <w:ilvl w:val="0"/>
          <w:numId w:val="5"/>
        </w:numPr>
        <w:spacing w:before="0" w:line="240" w:lineRule="atLeast"/>
        <w:ind w:left="1080" w:leftChars="257" w:hanging="540"/>
        <w:rPr>
          <w:rFonts w:ascii="仿宋" w:hAnsi="仿宋" w:eastAsia="仿宋" w:cs="仿宋"/>
          <w:sz w:val="24"/>
        </w:rPr>
      </w:pPr>
      <w:bookmarkStart w:id="319" w:name="_Toc10086"/>
      <w:bookmarkStart w:id="320" w:name="_Toc19472"/>
      <w:bookmarkStart w:id="321" w:name="_Toc18552"/>
      <w:r>
        <w:rPr>
          <w:rFonts w:hint="eastAsia" w:ascii="仿宋" w:hAnsi="仿宋" w:eastAsia="仿宋" w:cs="仿宋"/>
          <w:sz w:val="24"/>
        </w:rPr>
        <w:t>报价单</w:t>
      </w:r>
      <w:bookmarkEnd w:id="319"/>
      <w:bookmarkEnd w:id="320"/>
      <w:bookmarkEnd w:id="321"/>
    </w:p>
    <w:p/>
    <w:p>
      <w:pPr>
        <w:spacing w:line="240" w:lineRule="atLeast"/>
        <w:ind w:left="708" w:hanging="708" w:hangingChars="295"/>
        <w:jc w:val="center"/>
        <w:rPr>
          <w:rFonts w:ascii="仿宋" w:hAnsi="仿宋" w:eastAsia="仿宋" w:cs="仿宋"/>
          <w:sz w:val="24"/>
        </w:rPr>
      </w:pPr>
    </w:p>
    <w:p>
      <w:pPr>
        <w:tabs>
          <w:tab w:val="left" w:pos="1800"/>
          <w:tab w:val="left" w:pos="5580"/>
        </w:tabs>
        <w:spacing w:line="240" w:lineRule="atLeast"/>
        <w:ind w:left="1080" w:leftChars="257" w:right="-867" w:rightChars="-413" w:hanging="540"/>
        <w:rPr>
          <w:rFonts w:ascii="仿宋" w:hAnsi="仿宋" w:eastAsia="仿宋" w:cs="仿宋"/>
          <w:sz w:val="24"/>
        </w:rPr>
      </w:pPr>
      <w:r>
        <w:rPr>
          <w:rFonts w:hint="eastAsia" w:ascii="仿宋" w:hAnsi="仿宋" w:eastAsia="仿宋" w:cs="仿宋"/>
          <w:sz w:val="24"/>
        </w:rPr>
        <w:t xml:space="preserve">项目名称：　                  招标编号：                   </w:t>
      </w:r>
    </w:p>
    <w:p>
      <w:pPr>
        <w:tabs>
          <w:tab w:val="left" w:pos="1800"/>
          <w:tab w:val="left" w:pos="5580"/>
        </w:tabs>
        <w:spacing w:line="240" w:lineRule="atLeast"/>
        <w:ind w:left="1080" w:leftChars="257" w:right="-867" w:rightChars="-413" w:hanging="540"/>
        <w:rPr>
          <w:rFonts w:ascii="仿宋" w:hAnsi="仿宋" w:eastAsia="仿宋" w:cs="仿宋"/>
          <w:sz w:val="24"/>
        </w:rPr>
      </w:pPr>
      <w:r>
        <w:rPr>
          <w:rFonts w:hint="eastAsia" w:ascii="仿宋" w:hAnsi="仿宋" w:eastAsia="仿宋" w:cs="仿宋"/>
          <w:sz w:val="24"/>
        </w:rPr>
        <w:t>报价单位：人民币</w:t>
      </w:r>
      <w:r>
        <w:rPr>
          <w:rFonts w:hint="eastAsia" w:ascii="仿宋" w:hAnsi="仿宋" w:eastAsia="仿宋" w:cs="仿宋"/>
          <w:b/>
          <w:sz w:val="24"/>
        </w:rPr>
        <w:t>万元</w:t>
      </w:r>
    </w:p>
    <w:tbl>
      <w:tblPr>
        <w:tblStyle w:val="36"/>
        <w:tblW w:w="9155" w:type="dxa"/>
        <w:tblInd w:w="-61" w:type="dxa"/>
        <w:tblLayout w:type="fixed"/>
        <w:tblCellMar>
          <w:top w:w="0" w:type="dxa"/>
          <w:left w:w="0" w:type="dxa"/>
          <w:bottom w:w="0" w:type="dxa"/>
          <w:right w:w="0" w:type="dxa"/>
        </w:tblCellMar>
      </w:tblPr>
      <w:tblGrid>
        <w:gridCol w:w="1420"/>
        <w:gridCol w:w="2340"/>
        <w:gridCol w:w="1805"/>
        <w:gridCol w:w="1445"/>
        <w:gridCol w:w="1016"/>
        <w:gridCol w:w="1129"/>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ascii="仿宋" w:hAnsi="仿宋" w:eastAsia="仿宋" w:cs="仿宋"/>
                <w:sz w:val="24"/>
              </w:rPr>
            </w:pPr>
            <w:r>
              <w:rPr>
                <w:rFonts w:hint="eastAsia" w:ascii="仿宋" w:hAnsi="仿宋" w:eastAsia="仿宋" w:cs="仿宋"/>
                <w:sz w:val="24"/>
              </w:rPr>
              <w:t>标项名称</w:t>
            </w:r>
          </w:p>
        </w:tc>
        <w:tc>
          <w:tcPr>
            <w:tcW w:w="2340"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ascii="仿宋" w:hAnsi="仿宋" w:eastAsia="仿宋" w:cs="仿宋"/>
                <w:sz w:val="24"/>
              </w:rPr>
            </w:pPr>
            <w:r>
              <w:rPr>
                <w:rFonts w:hint="eastAsia" w:ascii="仿宋" w:hAnsi="仿宋" w:eastAsia="仿宋" w:cs="仿宋"/>
                <w:sz w:val="24"/>
              </w:rPr>
              <w:t>投标总价</w:t>
            </w:r>
          </w:p>
        </w:tc>
        <w:tc>
          <w:tcPr>
            <w:tcW w:w="180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 w:hAnsi="仿宋" w:eastAsia="仿宋" w:cs="仿宋"/>
                <w:sz w:val="24"/>
              </w:rPr>
            </w:pPr>
            <w:r>
              <w:rPr>
                <w:rFonts w:hint="eastAsia" w:ascii="仿宋" w:hAnsi="仿宋" w:eastAsia="仿宋" w:cs="仿宋"/>
                <w:sz w:val="24"/>
              </w:rPr>
              <w:t>投标保证金</w:t>
            </w:r>
          </w:p>
        </w:tc>
        <w:tc>
          <w:tcPr>
            <w:tcW w:w="144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 w:hAnsi="仿宋" w:eastAsia="仿宋" w:cs="仿宋"/>
                <w:sz w:val="24"/>
              </w:rPr>
            </w:pPr>
            <w:r>
              <w:rPr>
                <w:rFonts w:hint="eastAsia" w:ascii="仿宋" w:hAnsi="仿宋" w:eastAsia="仿宋" w:cs="仿宋"/>
                <w:sz w:val="24"/>
              </w:rPr>
              <w:t>履约期限</w:t>
            </w:r>
          </w:p>
        </w:tc>
        <w:tc>
          <w:tcPr>
            <w:tcW w:w="1016"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 w:hAnsi="仿宋" w:eastAsia="仿宋" w:cs="仿宋"/>
                <w:sz w:val="24"/>
              </w:rPr>
            </w:pPr>
            <w:r>
              <w:rPr>
                <w:rFonts w:hint="eastAsia" w:ascii="仿宋" w:hAnsi="仿宋" w:eastAsia="仿宋" w:cs="仿宋"/>
                <w:sz w:val="24"/>
              </w:rPr>
              <w:t>履约地点</w:t>
            </w:r>
          </w:p>
        </w:tc>
        <w:tc>
          <w:tcPr>
            <w:tcW w:w="1129"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ascii="仿宋" w:hAnsi="仿宋" w:eastAsia="仿宋" w:cs="仿宋"/>
                <w:sz w:val="24"/>
              </w:rPr>
            </w:pPr>
            <w:r>
              <w:rPr>
                <w:rFonts w:hint="eastAsia" w:ascii="仿宋" w:hAnsi="仿宋" w:eastAsia="仿宋" w:cs="仿宋"/>
                <w:sz w:val="24"/>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240" w:lineRule="atLeast"/>
              <w:ind w:left="1080" w:leftChars="257" w:hanging="540"/>
              <w:jc w:val="center"/>
              <w:rPr>
                <w:rFonts w:ascii="仿宋" w:hAnsi="仿宋" w:eastAsia="仿宋" w:cs="仿宋"/>
                <w:sz w:val="24"/>
              </w:rPr>
            </w:pPr>
          </w:p>
        </w:tc>
        <w:tc>
          <w:tcPr>
            <w:tcW w:w="2340"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jc w:val="left"/>
              <w:rPr>
                <w:rFonts w:ascii="仿宋" w:hAnsi="仿宋" w:eastAsia="仿宋" w:cs="仿宋"/>
                <w:sz w:val="24"/>
              </w:rPr>
            </w:pPr>
            <w:r>
              <w:rPr>
                <w:rFonts w:hint="eastAsia" w:ascii="仿宋" w:hAnsi="仿宋" w:eastAsia="仿宋" w:cs="仿宋"/>
                <w:sz w:val="24"/>
              </w:rPr>
              <w:t>大写：</w:t>
            </w:r>
          </w:p>
          <w:p>
            <w:pPr>
              <w:tabs>
                <w:tab w:val="left" w:pos="5580"/>
              </w:tabs>
              <w:spacing w:line="240" w:lineRule="atLeast"/>
              <w:jc w:val="left"/>
              <w:rPr>
                <w:rFonts w:ascii="仿宋" w:hAnsi="仿宋" w:eastAsia="仿宋" w:cs="仿宋"/>
                <w:sz w:val="24"/>
              </w:rPr>
            </w:pPr>
            <w:r>
              <w:rPr>
                <w:rFonts w:hint="eastAsia" w:ascii="仿宋" w:hAnsi="仿宋" w:eastAsia="仿宋" w:cs="仿宋"/>
                <w:sz w:val="24"/>
              </w:rPr>
              <w:t>小写：</w:t>
            </w:r>
          </w:p>
        </w:tc>
        <w:tc>
          <w:tcPr>
            <w:tcW w:w="180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80" w:leftChars="257" w:hanging="540"/>
              <w:jc w:val="center"/>
              <w:rPr>
                <w:rFonts w:ascii="仿宋" w:hAnsi="仿宋" w:eastAsia="仿宋" w:cs="仿宋"/>
                <w:sz w:val="24"/>
              </w:rPr>
            </w:pPr>
          </w:p>
        </w:tc>
        <w:tc>
          <w:tcPr>
            <w:tcW w:w="144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80" w:leftChars="257" w:hanging="540"/>
              <w:jc w:val="center"/>
              <w:rPr>
                <w:rFonts w:ascii="仿宋" w:hAnsi="仿宋" w:eastAsia="仿宋" w:cs="仿宋"/>
                <w:sz w:val="24"/>
              </w:rPr>
            </w:pPr>
          </w:p>
        </w:tc>
        <w:tc>
          <w:tcPr>
            <w:tcW w:w="1016"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80" w:leftChars="257" w:hanging="540"/>
              <w:jc w:val="center"/>
              <w:rPr>
                <w:rFonts w:ascii="仿宋" w:hAnsi="仿宋" w:eastAsia="仿宋" w:cs="仿宋"/>
                <w:sz w:val="24"/>
              </w:rPr>
            </w:pPr>
          </w:p>
        </w:tc>
        <w:tc>
          <w:tcPr>
            <w:tcW w:w="1129"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ind w:left="1080" w:leftChars="257" w:hanging="540"/>
              <w:jc w:val="center"/>
              <w:rPr>
                <w:rFonts w:ascii="仿宋" w:hAnsi="仿宋" w:eastAsia="仿宋" w:cs="仿宋"/>
                <w:sz w:val="24"/>
              </w:rPr>
            </w:pPr>
          </w:p>
        </w:tc>
      </w:tr>
    </w:tbl>
    <w:p>
      <w:pPr>
        <w:pStyle w:val="16"/>
        <w:tabs>
          <w:tab w:val="left" w:pos="5580"/>
        </w:tabs>
        <w:spacing w:line="240" w:lineRule="atLeast"/>
        <w:ind w:left="1080" w:leftChars="257" w:hanging="540"/>
        <w:rPr>
          <w:rFonts w:ascii="仿宋" w:hAnsi="仿宋" w:eastAsia="仿宋" w:cs="仿宋"/>
          <w:sz w:val="24"/>
        </w:rPr>
      </w:pPr>
    </w:p>
    <w:p>
      <w:pPr>
        <w:pStyle w:val="16"/>
        <w:tabs>
          <w:tab w:val="left" w:pos="5580"/>
        </w:tabs>
        <w:spacing w:line="240" w:lineRule="atLeast"/>
        <w:rPr>
          <w:rFonts w:ascii="仿宋" w:hAnsi="仿宋" w:eastAsia="仿宋" w:cs="仿宋"/>
          <w:sz w:val="24"/>
          <w:u w:val="single"/>
        </w:rPr>
      </w:pPr>
    </w:p>
    <w:p>
      <w:pPr>
        <w:pStyle w:val="16"/>
        <w:tabs>
          <w:tab w:val="left" w:pos="5580"/>
        </w:tabs>
        <w:spacing w:line="240" w:lineRule="atLeast"/>
        <w:ind w:left="1080" w:leftChars="257" w:hanging="540"/>
        <w:rPr>
          <w:rFonts w:ascii="仿宋" w:hAnsi="仿宋" w:eastAsia="仿宋" w:cs="仿宋"/>
          <w:sz w:val="24"/>
        </w:rPr>
      </w:pPr>
      <w:r>
        <w:rPr>
          <w:rFonts w:hint="eastAsia" w:ascii="仿宋" w:hAnsi="仿宋" w:eastAsia="仿宋" w:cs="仿宋"/>
          <w:sz w:val="24"/>
        </w:rPr>
        <w:t>供应商名称（单位章）：</w:t>
      </w:r>
      <w:r>
        <w:rPr>
          <w:rFonts w:hint="eastAsia" w:ascii="仿宋" w:hAnsi="仿宋" w:eastAsia="仿宋" w:cs="仿宋"/>
          <w:sz w:val="24"/>
          <w:u w:val="single"/>
        </w:rPr>
        <w:t xml:space="preserve">                       </w:t>
      </w:r>
    </w:p>
    <w:p>
      <w:pPr>
        <w:pStyle w:val="16"/>
        <w:tabs>
          <w:tab w:val="left" w:pos="5580"/>
        </w:tabs>
        <w:spacing w:line="240" w:lineRule="atLeast"/>
        <w:ind w:left="1080" w:leftChars="257" w:hanging="540"/>
        <w:rPr>
          <w:rFonts w:ascii="仿宋" w:hAnsi="仿宋" w:eastAsia="仿宋" w:cs="仿宋"/>
          <w:sz w:val="24"/>
          <w:u w:val="single"/>
        </w:rPr>
      </w:pPr>
      <w:r>
        <w:rPr>
          <w:rFonts w:hint="eastAsia" w:ascii="仿宋" w:hAnsi="仿宋" w:eastAsia="仿宋" w:cs="仿宋"/>
          <w:sz w:val="24"/>
        </w:rPr>
        <w:t>法定代表人或其委托代理人(签字):</w:t>
      </w:r>
      <w:r>
        <w:rPr>
          <w:rFonts w:hint="eastAsia" w:ascii="仿宋" w:hAnsi="仿宋" w:eastAsia="仿宋" w:cs="仿宋"/>
          <w:sz w:val="24"/>
          <w:u w:val="single"/>
        </w:rPr>
        <w:tab/>
      </w:r>
    </w:p>
    <w:p>
      <w:pPr>
        <w:pStyle w:val="16"/>
        <w:tabs>
          <w:tab w:val="left" w:pos="5580"/>
        </w:tabs>
        <w:spacing w:line="240" w:lineRule="atLeast"/>
        <w:rPr>
          <w:rFonts w:ascii="仿宋" w:hAnsi="仿宋" w:eastAsia="仿宋" w:cs="仿宋"/>
          <w:b/>
        </w:rPr>
      </w:pPr>
    </w:p>
    <w:p>
      <w:pPr>
        <w:pStyle w:val="16"/>
        <w:tabs>
          <w:tab w:val="left" w:pos="5580"/>
        </w:tabs>
        <w:spacing w:line="240" w:lineRule="atLeast"/>
        <w:rPr>
          <w:rFonts w:ascii="仿宋" w:hAnsi="仿宋" w:eastAsia="仿宋" w:cs="仿宋"/>
          <w:sz w:val="24"/>
          <w:u w:val="single"/>
        </w:rPr>
      </w:pPr>
    </w:p>
    <w:p>
      <w:pPr>
        <w:pStyle w:val="11"/>
        <w:ind w:firstLine="422"/>
        <w:rPr>
          <w:rFonts w:ascii="仿宋" w:hAnsi="仿宋" w:eastAsia="仿宋" w:cs="仿宋"/>
          <w:b/>
          <w:bCs/>
          <w:color w:val="000000"/>
          <w:kern w:val="2"/>
          <w:szCs w:val="24"/>
        </w:rPr>
      </w:pPr>
      <w:r>
        <w:rPr>
          <w:rFonts w:hint="eastAsia" w:ascii="仿宋" w:hAnsi="仿宋" w:eastAsia="仿宋" w:cs="仿宋"/>
          <w:bCs/>
          <w:iCs/>
        </w:rPr>
        <w:br w:type="page"/>
      </w:r>
      <w:bookmarkStart w:id="322" w:name="_Ref467988698"/>
      <w:bookmarkStart w:id="323" w:name="_Toc480942349"/>
      <w:bookmarkStart w:id="324" w:name="_Toc520356217"/>
      <w:bookmarkStart w:id="325" w:name="_Toc216582813"/>
    </w:p>
    <w:p>
      <w:pPr>
        <w:pStyle w:val="21"/>
        <w:tabs>
          <w:tab w:val="center" w:pos="4140"/>
          <w:tab w:val="right" w:pos="8300"/>
          <w:tab w:val="clear" w:pos="4153"/>
          <w:tab w:val="clear" w:pos="8306"/>
        </w:tabs>
        <w:spacing w:line="440" w:lineRule="exact"/>
        <w:jc w:val="center"/>
        <w:outlineLvl w:val="1"/>
        <w:rPr>
          <w:rFonts w:ascii="仿宋" w:hAnsi="仿宋" w:eastAsia="仿宋" w:cs="仿宋"/>
          <w:sz w:val="24"/>
        </w:rPr>
      </w:pPr>
      <w:bookmarkStart w:id="326" w:name="_Toc518923115"/>
      <w:bookmarkStart w:id="327" w:name="_Toc16844"/>
      <w:bookmarkStart w:id="328" w:name="_Toc23960"/>
      <w:bookmarkStart w:id="329" w:name="_Toc5866"/>
      <w:bookmarkStart w:id="330" w:name="_Toc7889"/>
      <w:r>
        <w:rPr>
          <w:rFonts w:hint="eastAsia" w:ascii="仿宋" w:hAnsi="仿宋" w:eastAsia="仿宋" w:cs="仿宋"/>
          <w:b/>
          <w:sz w:val="24"/>
        </w:rPr>
        <w:t xml:space="preserve">第三部分  </w:t>
      </w:r>
      <w:bookmarkEnd w:id="326"/>
      <w:bookmarkEnd w:id="327"/>
      <w:r>
        <w:rPr>
          <w:rFonts w:hint="eastAsia" w:ascii="仿宋" w:hAnsi="仿宋" w:eastAsia="仿宋" w:cs="仿宋"/>
          <w:b/>
          <w:sz w:val="24"/>
        </w:rPr>
        <w:t>商务资信投标文件</w:t>
      </w:r>
      <w:bookmarkEnd w:id="328"/>
      <w:bookmarkEnd w:id="329"/>
      <w:bookmarkEnd w:id="330"/>
    </w:p>
    <w:p>
      <w:pPr>
        <w:shd w:val="clear" w:color="auto" w:fill="FFFFFF"/>
        <w:spacing w:line="400" w:lineRule="exact"/>
        <w:ind w:firstLine="484" w:firstLineChars="202"/>
        <w:rPr>
          <w:rFonts w:ascii="仿宋" w:hAnsi="仿宋" w:eastAsia="仿宋" w:cs="仿宋"/>
          <w:sz w:val="24"/>
          <w:lang w:val="zh-CN"/>
        </w:rPr>
      </w:pPr>
      <w:r>
        <w:rPr>
          <w:rFonts w:hint="eastAsia" w:ascii="仿宋" w:hAnsi="仿宋" w:eastAsia="仿宋" w:cs="仿宋"/>
          <w:sz w:val="24"/>
          <w:lang w:val="zh-CN"/>
        </w:rPr>
        <w:t>供应商应根据采购文件的要求提供详细的</w:t>
      </w:r>
      <w:r>
        <w:rPr>
          <w:rFonts w:hint="eastAsia" w:ascii="仿宋" w:hAnsi="仿宋" w:eastAsia="仿宋" w:cs="仿宋"/>
          <w:sz w:val="24"/>
        </w:rPr>
        <w:t>商务投标方案</w:t>
      </w:r>
      <w:r>
        <w:rPr>
          <w:rFonts w:hint="eastAsia" w:ascii="仿宋" w:hAnsi="仿宋" w:eastAsia="仿宋" w:cs="仿宋"/>
          <w:sz w:val="24"/>
          <w:lang w:val="zh-CN"/>
        </w:rPr>
        <w:t>，参照项目的具体情况及评分标准</w:t>
      </w:r>
      <w:r>
        <w:rPr>
          <w:rFonts w:hint="eastAsia" w:ascii="仿宋" w:hAnsi="仿宋" w:eastAsia="仿宋" w:cs="仿宋"/>
          <w:sz w:val="24"/>
        </w:rPr>
        <w:t>编制</w:t>
      </w:r>
      <w:r>
        <w:rPr>
          <w:rFonts w:hint="eastAsia" w:ascii="仿宋" w:hAnsi="仿宋" w:eastAsia="仿宋" w:cs="仿宋"/>
          <w:sz w:val="24"/>
          <w:lang w:val="zh-CN"/>
        </w:rPr>
        <w:t>；</w:t>
      </w:r>
    </w:p>
    <w:p>
      <w:pPr>
        <w:shd w:val="clear" w:color="auto" w:fill="FFFFFF"/>
        <w:spacing w:line="400" w:lineRule="exact"/>
        <w:ind w:firstLine="484" w:firstLineChars="202"/>
        <w:rPr>
          <w:rFonts w:ascii="仿宋" w:hAnsi="仿宋" w:eastAsia="仿宋" w:cs="仿宋"/>
          <w:sz w:val="24"/>
          <w:lang w:val="zh-CN"/>
        </w:rPr>
      </w:pPr>
      <w:r>
        <w:rPr>
          <w:rFonts w:hint="eastAsia" w:ascii="仿宋" w:hAnsi="仿宋" w:eastAsia="仿宋" w:cs="仿宋"/>
          <w:sz w:val="24"/>
        </w:rPr>
        <w:t>标项一至三：</w:t>
      </w:r>
      <w:r>
        <w:rPr>
          <w:rFonts w:hint="eastAsia" w:ascii="仿宋" w:hAnsi="仿宋" w:eastAsia="仿宋" w:cs="仿宋"/>
          <w:sz w:val="24"/>
          <w:lang w:val="zh-CN"/>
        </w:rPr>
        <w:t>商务资信投标文件将从送审材料完整性、适用表式、编制方法、预算标准、预算内容、计算和勾稽关系、与技术方案工作量平衡、预算编制说明和报价的合理性、</w:t>
      </w:r>
      <w:r>
        <w:rPr>
          <w:rFonts w:hint="eastAsia" w:ascii="仿宋" w:hAnsi="仿宋" w:eastAsia="仿宋" w:cs="仿宋"/>
          <w:sz w:val="24"/>
        </w:rPr>
        <w:t>主要工作业绩、相关承诺</w:t>
      </w:r>
      <w:r>
        <w:rPr>
          <w:rFonts w:hint="eastAsia" w:ascii="仿宋" w:hAnsi="仿宋" w:eastAsia="仿宋" w:cs="仿宋"/>
          <w:sz w:val="24"/>
          <w:lang w:val="zh-CN"/>
        </w:rPr>
        <w:t>等方面进行评审。</w:t>
      </w:r>
    </w:p>
    <w:p>
      <w:pPr>
        <w:shd w:val="clear" w:color="auto" w:fill="FFFFFF"/>
        <w:spacing w:line="400" w:lineRule="exact"/>
        <w:ind w:firstLine="484" w:firstLineChars="202"/>
        <w:rPr>
          <w:rFonts w:ascii="仿宋" w:hAnsi="仿宋" w:eastAsia="仿宋" w:cs="仿宋"/>
          <w:sz w:val="24"/>
        </w:rPr>
      </w:pPr>
      <w:r>
        <w:rPr>
          <w:rFonts w:hint="eastAsia" w:ascii="仿宋" w:hAnsi="仿宋" w:eastAsia="仿宋" w:cs="仿宋"/>
          <w:sz w:val="24"/>
        </w:rPr>
        <w:t>标项四：</w:t>
      </w:r>
      <w:r>
        <w:rPr>
          <w:rFonts w:hint="eastAsia" w:ascii="仿宋" w:hAnsi="仿宋" w:eastAsia="仿宋" w:cs="仿宋"/>
          <w:sz w:val="24"/>
          <w:lang w:val="zh-CN"/>
        </w:rPr>
        <w:t>商务资信投标文件</w:t>
      </w:r>
      <w:r>
        <w:rPr>
          <w:rFonts w:hint="eastAsia" w:ascii="仿宋" w:hAnsi="仿宋" w:eastAsia="仿宋" w:cs="仿宋"/>
          <w:sz w:val="24"/>
        </w:rPr>
        <w:t>将从对采购文件及合同条款的确认，投入项目人员数量满足要求，工种齐全，人员专业结构配备合理，仪器、设备配置，近三年资产状况，组织管理、质量、进度、安全的保障体系及主要措施，组织管理机构应健全，拟派出的总监、总监代表人的职称，应建立领导小组，主要业绩，相关承诺等方面进行评审。</w:t>
      </w:r>
    </w:p>
    <w:p>
      <w:pPr>
        <w:shd w:val="clear" w:color="auto" w:fill="FFFFFF"/>
        <w:spacing w:line="400" w:lineRule="exact"/>
        <w:ind w:firstLine="484" w:firstLineChars="202"/>
        <w:rPr>
          <w:rFonts w:ascii="仿宋" w:hAnsi="仿宋" w:eastAsia="仿宋" w:cs="仿宋"/>
          <w:sz w:val="24"/>
          <w:lang w:val="zh-CN"/>
        </w:rPr>
      </w:pPr>
      <w:r>
        <w:rPr>
          <w:rFonts w:hint="eastAsia" w:ascii="仿宋" w:hAnsi="仿宋" w:eastAsia="仿宋" w:cs="仿宋"/>
          <w:sz w:val="24"/>
        </w:rPr>
        <w:t>以下</w:t>
      </w:r>
      <w:r>
        <w:rPr>
          <w:rFonts w:hint="eastAsia" w:ascii="仿宋" w:hAnsi="仿宋" w:eastAsia="仿宋" w:cs="仿宋"/>
          <w:sz w:val="24"/>
          <w:lang w:val="zh-CN"/>
        </w:rPr>
        <w:t>提供</w:t>
      </w:r>
      <w:r>
        <w:rPr>
          <w:rFonts w:hint="eastAsia" w:ascii="仿宋" w:hAnsi="仿宋" w:eastAsia="仿宋" w:cs="仿宋"/>
          <w:sz w:val="24"/>
        </w:rPr>
        <w:t>部分</w:t>
      </w:r>
      <w:r>
        <w:rPr>
          <w:rFonts w:hint="eastAsia" w:ascii="仿宋" w:hAnsi="仿宋" w:eastAsia="仿宋" w:cs="仿宋"/>
          <w:sz w:val="24"/>
          <w:lang w:val="zh-CN"/>
        </w:rPr>
        <w:t>投标文件格式（表格可按照同样格式扩展），</w:t>
      </w:r>
      <w:r>
        <w:rPr>
          <w:rFonts w:hint="eastAsia" w:ascii="仿宋" w:hAnsi="仿宋" w:eastAsia="仿宋" w:cs="仿宋"/>
          <w:sz w:val="24"/>
        </w:rPr>
        <w:t>供应商需</w:t>
      </w:r>
      <w:r>
        <w:rPr>
          <w:rFonts w:hint="eastAsia" w:ascii="仿宋" w:hAnsi="仿宋" w:eastAsia="仿宋" w:cs="仿宋"/>
          <w:sz w:val="24"/>
          <w:lang w:val="zh-CN"/>
        </w:rPr>
        <w:t>保证所提供的资料的真实性。未提供格式的，供应商可自行编制，为了便于查找，请</w:t>
      </w:r>
      <w:r>
        <w:rPr>
          <w:rFonts w:hint="eastAsia" w:ascii="仿宋" w:hAnsi="仿宋" w:eastAsia="仿宋" w:cs="仿宋"/>
          <w:sz w:val="24"/>
        </w:rPr>
        <w:t>编制目录</w:t>
      </w:r>
      <w:r>
        <w:rPr>
          <w:rFonts w:hint="eastAsia" w:ascii="仿宋" w:hAnsi="仿宋" w:eastAsia="仿宋" w:cs="仿宋"/>
          <w:sz w:val="24"/>
          <w:lang w:val="zh-CN"/>
        </w:rPr>
        <w:t>，并在目录中注明每项内容的页码。</w:t>
      </w:r>
    </w:p>
    <w:p>
      <w:pPr>
        <w:pStyle w:val="16"/>
        <w:ind w:left="1080" w:leftChars="257" w:hanging="540"/>
        <w:rPr>
          <w:rFonts w:ascii="仿宋" w:hAnsi="仿宋" w:eastAsia="仿宋" w:cs="仿宋"/>
          <w:sz w:val="24"/>
        </w:rPr>
      </w:pPr>
    </w:p>
    <w:p>
      <w:pPr>
        <w:shd w:val="clear" w:color="auto" w:fill="FFFFFF"/>
        <w:spacing w:line="400" w:lineRule="exact"/>
        <w:ind w:firstLine="484" w:firstLineChars="202"/>
        <w:rPr>
          <w:rFonts w:ascii="仿宋" w:hAnsi="仿宋" w:eastAsia="仿宋" w:cs="仿宋"/>
          <w:sz w:val="24"/>
        </w:rPr>
      </w:pPr>
      <w:r>
        <w:rPr>
          <w:rFonts w:hint="eastAsia" w:ascii="仿宋" w:hAnsi="仿宋" w:eastAsia="仿宋" w:cs="仿宋"/>
          <w:sz w:val="24"/>
          <w:lang w:val="zh-CN"/>
        </w:rPr>
        <w:t>提供</w:t>
      </w:r>
      <w:r>
        <w:rPr>
          <w:rFonts w:hint="eastAsia" w:ascii="仿宋" w:hAnsi="仿宋" w:eastAsia="仿宋" w:cs="仿宋"/>
          <w:sz w:val="24"/>
        </w:rPr>
        <w:t>部分</w:t>
      </w:r>
      <w:r>
        <w:rPr>
          <w:rFonts w:hint="eastAsia" w:ascii="仿宋" w:hAnsi="仿宋" w:eastAsia="仿宋" w:cs="仿宋"/>
          <w:sz w:val="24"/>
          <w:lang w:val="zh-CN"/>
        </w:rPr>
        <w:t>投标文件格式</w:t>
      </w:r>
      <w:r>
        <w:rPr>
          <w:rFonts w:hint="eastAsia" w:ascii="仿宋" w:hAnsi="仿宋" w:eastAsia="仿宋" w:cs="仿宋"/>
          <w:sz w:val="24"/>
        </w:rPr>
        <w:t>目录</w:t>
      </w:r>
    </w:p>
    <w:p>
      <w:pPr>
        <w:shd w:val="clear" w:color="auto" w:fill="FFFFFF"/>
        <w:spacing w:line="400" w:lineRule="exact"/>
        <w:ind w:firstLine="484" w:firstLineChars="202"/>
        <w:rPr>
          <w:rFonts w:ascii="仿宋" w:hAnsi="仿宋" w:eastAsia="仿宋" w:cs="仿宋"/>
          <w:sz w:val="24"/>
        </w:rPr>
      </w:pPr>
      <w:r>
        <w:rPr>
          <w:rFonts w:hint="eastAsia" w:ascii="仿宋" w:hAnsi="仿宋" w:eastAsia="仿宋" w:cs="仿宋"/>
          <w:sz w:val="24"/>
        </w:rPr>
        <w:t>1.投标书（投标文件格式</w:t>
      </w:r>
      <w:r>
        <w:rPr>
          <w:rFonts w:hint="eastAsia" w:ascii="仿宋" w:hAnsi="仿宋" w:eastAsia="仿宋" w:cs="仿宋"/>
          <w:sz w:val="24"/>
          <w:lang w:val="en-US" w:eastAsia="zh-CN"/>
        </w:rPr>
        <w:t>一</w:t>
      </w:r>
      <w:r>
        <w:rPr>
          <w:rFonts w:hint="eastAsia" w:ascii="仿宋" w:hAnsi="仿宋" w:eastAsia="仿宋" w:cs="仿宋"/>
          <w:sz w:val="24"/>
        </w:rPr>
        <w:t>）</w:t>
      </w:r>
    </w:p>
    <w:p>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2.投标保证金缴纳凭证复印件或政府采购投标担保函（投标文件格式</w:t>
      </w:r>
      <w:r>
        <w:rPr>
          <w:rFonts w:hint="eastAsia" w:ascii="仿宋" w:hAnsi="仿宋" w:eastAsia="仿宋" w:cs="仿宋"/>
          <w:sz w:val="24"/>
          <w:lang w:val="en-US" w:eastAsia="zh-CN"/>
        </w:rPr>
        <w:t>二</w:t>
      </w:r>
      <w:r>
        <w:rPr>
          <w:rFonts w:hint="eastAsia" w:ascii="仿宋" w:hAnsi="仿宋" w:eastAsia="仿宋" w:cs="仿宋"/>
          <w:sz w:val="24"/>
        </w:rPr>
        <w:t>）</w:t>
      </w:r>
    </w:p>
    <w:p>
      <w:pPr>
        <w:shd w:val="clear" w:color="auto" w:fill="FFFFFF"/>
        <w:spacing w:line="400" w:lineRule="exact"/>
        <w:ind w:firstLine="480" w:firstLineChars="200"/>
      </w:pPr>
      <w:r>
        <w:rPr>
          <w:rFonts w:hint="eastAsia" w:ascii="仿宋" w:hAnsi="仿宋" w:eastAsia="仿宋" w:cs="仿宋"/>
          <w:sz w:val="24"/>
        </w:rPr>
        <w:t>3.</w:t>
      </w:r>
      <w:r>
        <w:rPr>
          <w:rFonts w:hint="eastAsia" w:ascii="仿宋" w:hAnsi="仿宋" w:eastAsia="仿宋" w:cs="仿宋"/>
          <w:sz w:val="24"/>
          <w:lang w:val="en-US" w:eastAsia="zh-CN"/>
        </w:rPr>
        <w:t>技术规格偏离表</w:t>
      </w:r>
      <w:r>
        <w:rPr>
          <w:rFonts w:hint="eastAsia" w:ascii="仿宋" w:hAnsi="仿宋" w:eastAsia="仿宋" w:cs="仿宋"/>
          <w:sz w:val="24"/>
        </w:rPr>
        <w:t>（投标文件格式</w:t>
      </w:r>
      <w:r>
        <w:rPr>
          <w:rFonts w:hint="eastAsia" w:ascii="仿宋" w:hAnsi="仿宋" w:eastAsia="仿宋" w:cs="仿宋"/>
          <w:sz w:val="24"/>
          <w:lang w:val="en-US" w:eastAsia="zh-CN"/>
        </w:rPr>
        <w:t>三</w:t>
      </w:r>
      <w:r>
        <w:rPr>
          <w:rFonts w:hint="eastAsia" w:ascii="仿宋" w:hAnsi="仿宋" w:eastAsia="仿宋" w:cs="仿宋"/>
          <w:sz w:val="24"/>
        </w:rPr>
        <w:t>）</w:t>
      </w:r>
    </w:p>
    <w:p>
      <w:pPr>
        <w:shd w:val="clear" w:color="auto" w:fill="FFFFFF"/>
        <w:spacing w:line="400" w:lineRule="exact"/>
        <w:ind w:firstLine="480" w:firstLineChars="200"/>
      </w:pPr>
      <w:r>
        <w:rPr>
          <w:rFonts w:hint="eastAsia" w:ascii="仿宋" w:hAnsi="仿宋" w:eastAsia="仿宋" w:cs="仿宋"/>
          <w:sz w:val="24"/>
          <w:lang w:val="en-US" w:eastAsia="zh-CN"/>
        </w:rPr>
        <w:t>4.</w:t>
      </w:r>
      <w:r>
        <w:rPr>
          <w:rFonts w:hint="eastAsia" w:ascii="仿宋" w:hAnsi="仿宋" w:eastAsia="仿宋" w:cs="仿宋"/>
          <w:sz w:val="24"/>
        </w:rPr>
        <w:t>商务条款偏离表（投标文件格式</w:t>
      </w:r>
      <w:r>
        <w:rPr>
          <w:rFonts w:hint="eastAsia" w:ascii="仿宋" w:hAnsi="仿宋" w:eastAsia="仿宋" w:cs="仿宋"/>
          <w:sz w:val="24"/>
          <w:lang w:val="en-US" w:eastAsia="zh-CN"/>
        </w:rPr>
        <w:t>四</w:t>
      </w:r>
      <w:r>
        <w:rPr>
          <w:rFonts w:hint="eastAsia" w:ascii="仿宋" w:hAnsi="仿宋" w:eastAsia="仿宋" w:cs="仿宋"/>
          <w:sz w:val="24"/>
        </w:rPr>
        <w:t>）</w:t>
      </w:r>
    </w:p>
    <w:p>
      <w:pPr>
        <w:shd w:val="clear" w:color="auto" w:fill="FFFFFF"/>
        <w:spacing w:line="400" w:lineRule="exact"/>
        <w:ind w:firstLine="484" w:firstLineChars="202"/>
        <w:rPr>
          <w:rFonts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.符合《政府采购促进中小企业发展暂行办法》《关于政府采购支持监狱企业发展有关问题的通知》和《三部门联合发布关于促进残疾人就业政府采购政策的通知》价格扣减条件的供应商须提交）</w:t>
      </w:r>
    </w:p>
    <w:p>
      <w:pPr>
        <w:shd w:val="clear" w:color="auto" w:fill="FFFFFF"/>
        <w:spacing w:line="400" w:lineRule="exact"/>
        <w:ind w:firstLine="484" w:firstLineChars="202"/>
        <w:rPr>
          <w:rFonts w:ascii="仿宋" w:hAnsi="仿宋" w:eastAsia="仿宋" w:cs="仿宋"/>
          <w:sz w:val="24"/>
        </w:rPr>
      </w:pPr>
      <w:r>
        <w:rPr>
          <w:rFonts w:hint="eastAsia" w:ascii="仿宋" w:hAnsi="仿宋" w:eastAsia="仿宋" w:cs="仿宋"/>
          <w:sz w:val="24"/>
        </w:rPr>
        <w:t>5-1《供应商企业类型声明函》（投标文件格式</w:t>
      </w:r>
      <w:r>
        <w:rPr>
          <w:rFonts w:hint="eastAsia" w:ascii="仿宋" w:hAnsi="仿宋" w:eastAsia="仿宋" w:cs="仿宋"/>
          <w:sz w:val="24"/>
          <w:lang w:val="en-US" w:eastAsia="zh-CN"/>
        </w:rPr>
        <w:t>五</w:t>
      </w:r>
      <w:r>
        <w:rPr>
          <w:rFonts w:hint="eastAsia" w:ascii="仿宋" w:hAnsi="仿宋" w:eastAsia="仿宋" w:cs="仿宋"/>
          <w:sz w:val="24"/>
        </w:rPr>
        <w:t>）</w:t>
      </w:r>
    </w:p>
    <w:p>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5-2《残疾人福利性单位声明函》（投标文件格式</w:t>
      </w:r>
      <w:r>
        <w:rPr>
          <w:rFonts w:hint="eastAsia" w:ascii="仿宋" w:hAnsi="仿宋" w:eastAsia="仿宋" w:cs="仿宋"/>
          <w:sz w:val="24"/>
          <w:lang w:val="en-US" w:eastAsia="zh-CN"/>
        </w:rPr>
        <w:t>六</w:t>
      </w:r>
      <w:r>
        <w:rPr>
          <w:rFonts w:hint="eastAsia" w:ascii="仿宋" w:hAnsi="仿宋" w:eastAsia="仿宋" w:cs="仿宋"/>
          <w:sz w:val="24"/>
        </w:rPr>
        <w:t>）</w:t>
      </w:r>
    </w:p>
    <w:p>
      <w:pPr>
        <w:pStyle w:val="2"/>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5-3 中小企业声明函（投标文件格式七）</w:t>
      </w:r>
    </w:p>
    <w:p>
      <w:pPr>
        <w:shd w:val="clear" w:color="auto" w:fill="FFFFFF"/>
        <w:spacing w:line="400" w:lineRule="exact"/>
        <w:ind w:firstLine="484" w:firstLineChars="202"/>
        <w:rPr>
          <w:rFonts w:ascii="仿宋" w:hAnsi="仿宋" w:eastAsia="仿宋" w:cs="仿宋"/>
          <w:sz w:val="24"/>
        </w:rPr>
      </w:pPr>
      <w:r>
        <w:rPr>
          <w:rFonts w:hint="eastAsia" w:ascii="仿宋" w:hAnsi="仿宋" w:eastAsia="仿宋" w:cs="仿宋"/>
          <w:sz w:val="24"/>
        </w:rPr>
        <w:t>6.供应商关联单位的说明（格式自拟）</w:t>
      </w:r>
    </w:p>
    <w:p>
      <w:pPr>
        <w:shd w:val="clear" w:color="auto" w:fill="FFFFFF"/>
        <w:spacing w:line="400" w:lineRule="exact"/>
        <w:ind w:firstLine="484" w:firstLineChars="202"/>
        <w:rPr>
          <w:rFonts w:ascii="仿宋" w:hAnsi="仿宋" w:eastAsia="仿宋" w:cs="仿宋"/>
          <w:sz w:val="24"/>
        </w:rPr>
      </w:pPr>
      <w:r>
        <w:rPr>
          <w:rFonts w:hint="eastAsia" w:ascii="仿宋" w:hAnsi="仿宋" w:eastAsia="仿宋" w:cs="仿宋"/>
          <w:sz w:val="24"/>
        </w:rPr>
        <w:t>7.投标文件还应包括供应商须知第10条的所有技术文件</w:t>
      </w:r>
    </w:p>
    <w:p>
      <w:pPr>
        <w:pStyle w:val="16"/>
        <w:tabs>
          <w:tab w:val="left" w:pos="5580"/>
        </w:tabs>
        <w:spacing w:line="240" w:lineRule="atLeast"/>
        <w:ind w:left="1080" w:leftChars="257" w:hanging="540"/>
        <w:rPr>
          <w:rFonts w:ascii="仿宋" w:hAnsi="仿宋" w:eastAsia="仿宋" w:cs="仿宋"/>
          <w:sz w:val="24"/>
        </w:rPr>
      </w:pPr>
      <w:r>
        <w:rPr>
          <w:rFonts w:hint="eastAsia" w:ascii="仿宋" w:hAnsi="仿宋" w:eastAsia="仿宋" w:cs="仿宋"/>
          <w:sz w:val="24"/>
        </w:rPr>
        <w:br w:type="page"/>
      </w:r>
    </w:p>
    <w:p>
      <w:pPr>
        <w:pStyle w:val="8"/>
        <w:spacing w:before="0" w:line="240" w:lineRule="atLeast"/>
        <w:ind w:left="1080" w:leftChars="257" w:hanging="540"/>
        <w:rPr>
          <w:rFonts w:ascii="仿宋" w:hAnsi="仿宋" w:eastAsia="仿宋" w:cs="仿宋"/>
          <w:sz w:val="24"/>
        </w:rPr>
      </w:pPr>
      <w:bookmarkStart w:id="331" w:name="_Toc26126"/>
      <w:bookmarkStart w:id="332" w:name="_Toc9573"/>
      <w:bookmarkStart w:id="333" w:name="_Toc7273"/>
      <w:bookmarkStart w:id="334" w:name="_Toc24831"/>
      <w:bookmarkStart w:id="335" w:name="_Toc518923116"/>
      <w:bookmarkStart w:id="336" w:name="_Toc32151"/>
      <w:r>
        <w:rPr>
          <w:rFonts w:hint="eastAsia" w:ascii="仿宋" w:hAnsi="仿宋" w:eastAsia="仿宋" w:cs="仿宋"/>
          <w:sz w:val="24"/>
        </w:rPr>
        <w:t xml:space="preserve">1   </w:t>
      </w:r>
      <w:bookmarkStart w:id="337" w:name="_Hlt520355504"/>
      <w:bookmarkEnd w:id="337"/>
      <w:r>
        <w:rPr>
          <w:rFonts w:hint="eastAsia" w:ascii="仿宋" w:hAnsi="仿宋" w:eastAsia="仿宋" w:cs="仿宋"/>
          <w:sz w:val="24"/>
        </w:rPr>
        <w:t>投标</w:t>
      </w:r>
      <w:bookmarkEnd w:id="322"/>
      <w:bookmarkEnd w:id="323"/>
      <w:r>
        <w:rPr>
          <w:rFonts w:hint="eastAsia" w:ascii="仿宋" w:hAnsi="仿宋" w:eastAsia="仿宋" w:cs="仿宋"/>
          <w:sz w:val="24"/>
        </w:rPr>
        <w:t>书</w:t>
      </w:r>
      <w:bookmarkEnd w:id="324"/>
      <w:r>
        <w:rPr>
          <w:rFonts w:hint="eastAsia" w:ascii="仿宋" w:hAnsi="仿宋" w:eastAsia="仿宋" w:cs="仿宋"/>
          <w:sz w:val="24"/>
        </w:rPr>
        <w:t>（投标文件格式</w:t>
      </w:r>
      <w:r>
        <w:rPr>
          <w:rFonts w:hint="eastAsia" w:ascii="仿宋" w:hAnsi="仿宋" w:eastAsia="仿宋" w:cs="仿宋"/>
          <w:sz w:val="24"/>
          <w:lang w:val="en-US" w:eastAsia="zh-CN"/>
        </w:rPr>
        <w:t>一</w:t>
      </w:r>
      <w:r>
        <w:rPr>
          <w:rFonts w:hint="eastAsia" w:ascii="仿宋" w:hAnsi="仿宋" w:eastAsia="仿宋" w:cs="仿宋"/>
          <w:sz w:val="24"/>
        </w:rPr>
        <w:t>）</w:t>
      </w:r>
      <w:bookmarkEnd w:id="325"/>
      <w:bookmarkEnd w:id="331"/>
      <w:bookmarkEnd w:id="332"/>
      <w:bookmarkEnd w:id="333"/>
      <w:bookmarkEnd w:id="334"/>
      <w:bookmarkEnd w:id="335"/>
      <w:bookmarkEnd w:id="336"/>
    </w:p>
    <w:p>
      <w:pPr>
        <w:tabs>
          <w:tab w:val="left" w:pos="5580"/>
        </w:tabs>
        <w:spacing w:line="240" w:lineRule="atLeast"/>
        <w:ind w:left="1080" w:leftChars="257" w:hanging="540"/>
        <w:rPr>
          <w:rFonts w:ascii="仿宋" w:hAnsi="仿宋" w:eastAsia="仿宋" w:cs="仿宋"/>
          <w:sz w:val="24"/>
        </w:rPr>
      </w:pPr>
    </w:p>
    <w:p>
      <w:pPr>
        <w:tabs>
          <w:tab w:val="left" w:pos="5580"/>
        </w:tabs>
        <w:spacing w:line="240" w:lineRule="atLeast"/>
        <w:ind w:left="1080" w:hanging="1080"/>
        <w:rPr>
          <w:rFonts w:ascii="仿宋" w:hAnsi="仿宋" w:eastAsia="仿宋" w:cs="仿宋"/>
          <w:sz w:val="24"/>
        </w:rPr>
      </w:pPr>
      <w:r>
        <w:rPr>
          <w:rFonts w:hint="eastAsia" w:ascii="仿宋" w:hAnsi="仿宋" w:eastAsia="仿宋" w:cs="仿宋"/>
          <w:sz w:val="24"/>
        </w:rPr>
        <w:t>致：</w:t>
      </w:r>
      <w:r>
        <w:rPr>
          <w:rFonts w:hint="eastAsia" w:ascii="仿宋" w:hAnsi="仿宋" w:eastAsia="仿宋" w:cs="仿宋"/>
          <w:color w:val="000000"/>
          <w:sz w:val="24"/>
          <w:u w:val="single"/>
        </w:rPr>
        <w:t>新疆国源土地矿产资源交易中心（有限公司）</w:t>
      </w:r>
    </w:p>
    <w:p>
      <w:pPr>
        <w:pStyle w:val="16"/>
        <w:tabs>
          <w:tab w:val="left" w:pos="5580"/>
        </w:tabs>
        <w:spacing w:line="240" w:lineRule="atLeast"/>
        <w:ind w:left="1080" w:leftChars="257" w:hanging="540"/>
        <w:rPr>
          <w:rFonts w:ascii="仿宋" w:hAnsi="仿宋" w:eastAsia="仿宋" w:cs="仿宋"/>
          <w:sz w:val="24"/>
        </w:rPr>
      </w:pPr>
    </w:p>
    <w:p>
      <w:pPr>
        <w:pStyle w:val="16"/>
        <w:tabs>
          <w:tab w:val="left" w:pos="5580"/>
        </w:tabs>
        <w:spacing w:line="240" w:lineRule="atLeast"/>
        <w:ind w:left="2" w:leftChars="1" w:firstLine="480" w:firstLineChars="200"/>
        <w:rPr>
          <w:rFonts w:ascii="仿宋" w:hAnsi="仿宋" w:eastAsia="仿宋" w:cs="仿宋"/>
          <w:sz w:val="24"/>
        </w:rPr>
      </w:pPr>
      <w:r>
        <w:rPr>
          <w:rFonts w:hint="eastAsia" w:ascii="仿宋" w:hAnsi="仿宋" w:eastAsia="仿宋" w:cs="仿宋"/>
          <w:sz w:val="24"/>
        </w:rPr>
        <w:t>根据贵方(</w:t>
      </w:r>
      <w:r>
        <w:rPr>
          <w:rFonts w:hint="eastAsia" w:ascii="仿宋" w:hAnsi="仿宋" w:eastAsia="仿宋" w:cs="仿宋"/>
          <w:i/>
          <w:sz w:val="24"/>
          <w:u w:val="single"/>
        </w:rPr>
        <w:t>项目名称</w:t>
      </w:r>
      <w:r>
        <w:rPr>
          <w:rFonts w:hint="eastAsia" w:ascii="仿宋" w:hAnsi="仿宋" w:eastAsia="仿宋" w:cs="仿宋"/>
          <w:sz w:val="24"/>
        </w:rPr>
        <w:t>)项目的投标邀请(</w:t>
      </w:r>
      <w:r>
        <w:rPr>
          <w:rFonts w:hint="eastAsia" w:ascii="仿宋" w:hAnsi="仿宋" w:eastAsia="仿宋" w:cs="仿宋"/>
          <w:i/>
          <w:sz w:val="24"/>
          <w:u w:val="single"/>
        </w:rPr>
        <w:t>招标编号、包号：</w:t>
      </w:r>
      <w:r>
        <w:rPr>
          <w:rFonts w:hint="eastAsia" w:ascii="仿宋" w:hAnsi="仿宋" w:eastAsia="仿宋" w:cs="仿宋"/>
          <w:sz w:val="24"/>
        </w:rPr>
        <w:t>),签字代表(</w:t>
      </w:r>
      <w:r>
        <w:rPr>
          <w:rFonts w:hint="eastAsia" w:ascii="仿宋" w:hAnsi="仿宋" w:eastAsia="仿宋" w:cs="仿宋"/>
          <w:i/>
          <w:sz w:val="24"/>
          <w:u w:val="single"/>
        </w:rPr>
        <w:t>姓名、职务</w:t>
      </w:r>
      <w:r>
        <w:rPr>
          <w:rFonts w:hint="eastAsia" w:ascii="仿宋" w:hAnsi="仿宋" w:eastAsia="仿宋" w:cs="仿宋"/>
          <w:sz w:val="24"/>
        </w:rPr>
        <w:t>)经正式授权并代表供应商（</w:t>
      </w:r>
      <w:r>
        <w:rPr>
          <w:rFonts w:hint="eastAsia" w:ascii="仿宋" w:hAnsi="仿宋" w:eastAsia="仿宋" w:cs="仿宋"/>
          <w:i/>
          <w:sz w:val="24"/>
          <w:u w:val="single"/>
        </w:rPr>
        <w:t>名称、地址</w:t>
      </w:r>
      <w:r>
        <w:rPr>
          <w:rFonts w:hint="eastAsia" w:ascii="仿宋" w:hAnsi="仿宋" w:eastAsia="仿宋" w:cs="仿宋"/>
          <w:sz w:val="24"/>
        </w:rPr>
        <w:t>）提交投标书，并以</w:t>
      </w:r>
      <w:r>
        <w:rPr>
          <w:rFonts w:hint="eastAsia" w:ascii="仿宋" w:hAnsi="仿宋" w:eastAsia="仿宋" w:cs="仿宋"/>
          <w:sz w:val="24"/>
          <w:u w:val="single"/>
        </w:rPr>
        <w:t xml:space="preserve">         </w:t>
      </w:r>
      <w:r>
        <w:rPr>
          <w:rFonts w:hint="eastAsia" w:ascii="仿宋" w:hAnsi="仿宋" w:eastAsia="仿宋" w:cs="仿宋"/>
          <w:sz w:val="24"/>
        </w:rPr>
        <w:t>形式出具的金额为人民币</w:t>
      </w:r>
      <w:r>
        <w:rPr>
          <w:rFonts w:hint="eastAsia" w:ascii="仿宋" w:hAnsi="仿宋" w:eastAsia="仿宋" w:cs="仿宋"/>
          <w:sz w:val="24"/>
          <w:u w:val="single"/>
        </w:rPr>
        <w:t>　　　　</w:t>
      </w:r>
      <w:r>
        <w:rPr>
          <w:rFonts w:hint="eastAsia" w:ascii="仿宋" w:hAnsi="仿宋" w:eastAsia="仿宋" w:cs="仿宋"/>
          <w:sz w:val="24"/>
        </w:rPr>
        <w:t>元的投标保证金。</w:t>
      </w:r>
    </w:p>
    <w:p>
      <w:pPr>
        <w:pStyle w:val="16"/>
        <w:tabs>
          <w:tab w:val="left" w:pos="5580"/>
        </w:tabs>
        <w:spacing w:line="240" w:lineRule="atLeast"/>
        <w:ind w:left="1080" w:leftChars="257" w:hanging="540"/>
        <w:rPr>
          <w:rFonts w:ascii="仿宋" w:hAnsi="仿宋" w:eastAsia="仿宋" w:cs="仿宋"/>
          <w:sz w:val="24"/>
        </w:rPr>
      </w:pPr>
      <w:r>
        <w:rPr>
          <w:rFonts w:hint="eastAsia" w:ascii="仿宋" w:hAnsi="仿宋" w:eastAsia="仿宋" w:cs="仿宋"/>
          <w:sz w:val="24"/>
        </w:rPr>
        <w:t>据此，签字代表宣布同意如下：</w:t>
      </w:r>
    </w:p>
    <w:p>
      <w:pPr>
        <w:pStyle w:val="16"/>
        <w:tabs>
          <w:tab w:val="left" w:pos="720"/>
          <w:tab w:val="left" w:pos="900"/>
        </w:tabs>
        <w:spacing w:line="240" w:lineRule="atLeast"/>
        <w:ind w:left="769" w:leftChars="257" w:hanging="229"/>
        <w:rPr>
          <w:rFonts w:ascii="仿宋" w:hAnsi="仿宋" w:eastAsia="仿宋" w:cs="仿宋"/>
          <w:sz w:val="24"/>
          <w:u w:val="single"/>
        </w:rPr>
      </w:pPr>
      <w:r>
        <w:rPr>
          <w:rFonts w:hint="eastAsia" w:ascii="仿宋" w:hAnsi="仿宋" w:eastAsia="仿宋" w:cs="仿宋"/>
          <w:sz w:val="24"/>
        </w:rPr>
        <w:t>（1）附投标价格表中规定的应提供服务的投标总价详见开标一览表，</w:t>
      </w:r>
      <w:r>
        <w:rPr>
          <w:rFonts w:hint="eastAsia" w:ascii="仿宋" w:hAnsi="仿宋" w:eastAsia="仿宋" w:cs="仿宋"/>
          <w:sz w:val="24"/>
          <w:u w:val="single"/>
        </w:rPr>
        <w:t>其中由小型和</w:t>
      </w:r>
      <w:r>
        <w:rPr>
          <w:rFonts w:hint="eastAsia" w:ascii="仿宋" w:hAnsi="仿宋" w:eastAsia="仿宋" w:cs="仿宋"/>
          <w:sz w:val="24"/>
        </w:rPr>
        <w:t>微型企业制造产品的价格为</w:t>
      </w:r>
      <w:r>
        <w:rPr>
          <w:rFonts w:hint="eastAsia" w:ascii="仿宋" w:hAnsi="仿宋" w:eastAsia="仿宋" w:cs="仿宋"/>
          <w:sz w:val="24"/>
          <w:u w:val="single"/>
        </w:rPr>
        <w:t>　　  （用文字和数字表示），占投标总价   %</w:t>
      </w:r>
      <w:r>
        <w:rPr>
          <w:rFonts w:hint="eastAsia" w:ascii="仿宋" w:hAnsi="仿宋" w:eastAsia="仿宋" w:cs="仿宋"/>
          <w:sz w:val="24"/>
        </w:rPr>
        <w:t>。</w:t>
      </w:r>
    </w:p>
    <w:p>
      <w:pPr>
        <w:pStyle w:val="16"/>
        <w:tabs>
          <w:tab w:val="left" w:pos="5580"/>
        </w:tabs>
        <w:spacing w:line="240" w:lineRule="atLeast"/>
        <w:ind w:left="1080" w:leftChars="257" w:hanging="540"/>
        <w:rPr>
          <w:rFonts w:ascii="仿宋" w:hAnsi="仿宋" w:eastAsia="仿宋" w:cs="仿宋"/>
          <w:sz w:val="24"/>
        </w:rPr>
      </w:pPr>
      <w:r>
        <w:rPr>
          <w:rFonts w:hint="eastAsia" w:ascii="仿宋" w:hAnsi="仿宋" w:eastAsia="仿宋" w:cs="仿宋"/>
          <w:sz w:val="24"/>
        </w:rPr>
        <w:t>（2）本投标有效期为自投标截止之日起</w:t>
      </w:r>
      <w:r>
        <w:rPr>
          <w:rFonts w:hint="eastAsia" w:ascii="仿宋" w:hAnsi="仿宋" w:eastAsia="仿宋" w:cs="仿宋"/>
          <w:sz w:val="24"/>
          <w:u w:val="single"/>
        </w:rPr>
        <w:t xml:space="preserve">          </w:t>
      </w:r>
      <w:r>
        <w:rPr>
          <w:rFonts w:hint="eastAsia" w:ascii="仿宋" w:hAnsi="仿宋" w:eastAsia="仿宋" w:cs="仿宋"/>
          <w:sz w:val="24"/>
        </w:rPr>
        <w:t>个日历日。</w:t>
      </w:r>
    </w:p>
    <w:p>
      <w:pPr>
        <w:pStyle w:val="16"/>
        <w:tabs>
          <w:tab w:val="left" w:pos="5580"/>
        </w:tabs>
        <w:spacing w:line="240" w:lineRule="atLeast"/>
        <w:ind w:left="1080" w:leftChars="257" w:hanging="540"/>
        <w:rPr>
          <w:rFonts w:ascii="仿宋" w:hAnsi="仿宋" w:eastAsia="仿宋" w:cs="仿宋"/>
          <w:sz w:val="24"/>
        </w:rPr>
      </w:pPr>
      <w:r>
        <w:rPr>
          <w:rFonts w:hint="eastAsia" w:ascii="仿宋" w:hAnsi="仿宋" w:eastAsia="仿宋" w:cs="仿宋"/>
          <w:sz w:val="24"/>
        </w:rPr>
        <w:t>（3）联合体中的大中型企业和其他自然人、法人或者非法人组织，与联合体中的小型、微型企业之间</w:t>
      </w:r>
      <w:r>
        <w:rPr>
          <w:rFonts w:hint="eastAsia" w:ascii="仿宋" w:hAnsi="仿宋" w:eastAsia="仿宋" w:cs="仿宋"/>
          <w:sz w:val="24"/>
          <w:u w:val="single"/>
        </w:rPr>
        <w:t xml:space="preserve">     （</w:t>
      </w:r>
      <w:r>
        <w:rPr>
          <w:rFonts w:hint="eastAsia" w:ascii="仿宋" w:hAnsi="仿宋" w:eastAsia="仿宋" w:cs="仿宋"/>
          <w:sz w:val="24"/>
        </w:rPr>
        <w:t>存在、不存在）投资关系（如果联合体的话）。</w:t>
      </w:r>
    </w:p>
    <w:p>
      <w:pPr>
        <w:pStyle w:val="16"/>
        <w:tabs>
          <w:tab w:val="left" w:pos="5580"/>
        </w:tabs>
        <w:spacing w:line="240" w:lineRule="atLeast"/>
        <w:ind w:left="1080" w:leftChars="257" w:hanging="540"/>
        <w:rPr>
          <w:rFonts w:ascii="仿宋" w:hAnsi="仿宋" w:eastAsia="仿宋" w:cs="仿宋"/>
          <w:sz w:val="24"/>
        </w:rPr>
      </w:pPr>
      <w:r>
        <w:rPr>
          <w:rFonts w:hint="eastAsia" w:ascii="仿宋" w:hAnsi="仿宋" w:eastAsia="仿宋" w:cs="仿宋"/>
          <w:sz w:val="24"/>
        </w:rPr>
        <w:t>（4）已详细审查全部采购文件，包括所有补充通知（如果有的话），完全理解并同意放弃对这方面有不明、误解和质疑的权力。</w:t>
      </w:r>
    </w:p>
    <w:p>
      <w:pPr>
        <w:pStyle w:val="16"/>
        <w:tabs>
          <w:tab w:val="left" w:pos="5580"/>
        </w:tabs>
        <w:spacing w:line="240" w:lineRule="atLeast"/>
        <w:ind w:left="1080" w:leftChars="257" w:hanging="540"/>
        <w:rPr>
          <w:rFonts w:ascii="仿宋" w:hAnsi="仿宋" w:eastAsia="仿宋" w:cs="仿宋"/>
          <w:sz w:val="24"/>
        </w:rPr>
      </w:pPr>
      <w:r>
        <w:rPr>
          <w:rFonts w:hint="eastAsia" w:ascii="仿宋" w:hAnsi="仿宋" w:eastAsia="仿宋" w:cs="仿宋"/>
          <w:sz w:val="24"/>
        </w:rPr>
        <w:t>（5）在规定的开标时间后，遵守采购文件中有关保证金的规定。</w:t>
      </w:r>
    </w:p>
    <w:p>
      <w:pPr>
        <w:pStyle w:val="16"/>
        <w:tabs>
          <w:tab w:val="left" w:pos="5580"/>
        </w:tabs>
        <w:spacing w:line="240" w:lineRule="atLeast"/>
        <w:ind w:left="1080" w:leftChars="257" w:hanging="540"/>
        <w:rPr>
          <w:rFonts w:ascii="仿宋" w:hAnsi="仿宋" w:eastAsia="仿宋" w:cs="仿宋"/>
          <w:sz w:val="24"/>
        </w:rPr>
      </w:pPr>
      <w:r>
        <w:rPr>
          <w:rFonts w:hint="eastAsia" w:ascii="仿宋" w:hAnsi="仿宋" w:eastAsia="仿宋" w:cs="仿宋"/>
          <w:sz w:val="24"/>
        </w:rPr>
        <w:t>（6）根据供应商须知第1条规定，我方不是为本项目提供整体设计、规范编制或者项目管理、监理、检测等服务的供应商，我方不是采购代理机构的附属机构。</w:t>
      </w:r>
    </w:p>
    <w:p>
      <w:pPr>
        <w:pStyle w:val="16"/>
        <w:tabs>
          <w:tab w:val="left" w:pos="5580"/>
        </w:tabs>
        <w:spacing w:line="240" w:lineRule="atLeast"/>
        <w:ind w:left="1080" w:leftChars="257" w:hanging="540"/>
        <w:rPr>
          <w:rFonts w:ascii="仿宋" w:hAnsi="仿宋" w:eastAsia="仿宋" w:cs="仿宋"/>
          <w:sz w:val="24"/>
        </w:rPr>
      </w:pPr>
      <w:r>
        <w:rPr>
          <w:rFonts w:hint="eastAsia" w:ascii="仿宋" w:hAnsi="仿宋" w:eastAsia="仿宋" w:cs="仿宋"/>
          <w:sz w:val="24"/>
        </w:rPr>
        <w:t>（7）在领取中标通知书的同时按采购文件规定的形式，向贵方一次性支付中标服务费。</w:t>
      </w:r>
    </w:p>
    <w:p>
      <w:pPr>
        <w:pStyle w:val="16"/>
        <w:tabs>
          <w:tab w:val="left" w:pos="5580"/>
        </w:tabs>
        <w:spacing w:line="240" w:lineRule="atLeast"/>
        <w:ind w:left="1080" w:leftChars="257" w:hanging="540"/>
        <w:rPr>
          <w:rFonts w:ascii="仿宋" w:hAnsi="仿宋" w:eastAsia="仿宋" w:cs="仿宋"/>
          <w:sz w:val="24"/>
        </w:rPr>
      </w:pPr>
      <w:r>
        <w:rPr>
          <w:rFonts w:hint="eastAsia" w:ascii="仿宋" w:hAnsi="仿宋" w:eastAsia="仿宋" w:cs="仿宋"/>
          <w:sz w:val="24"/>
        </w:rPr>
        <w:t>（8）按照贵方可能要求，提供与其投标有关的一切数据或资料，完全理解贵方不一定接受最低价的投标或收到的任何投标。</w:t>
      </w:r>
    </w:p>
    <w:p>
      <w:pPr>
        <w:pStyle w:val="16"/>
        <w:tabs>
          <w:tab w:val="left" w:pos="5580"/>
        </w:tabs>
        <w:spacing w:line="240" w:lineRule="atLeast"/>
        <w:ind w:left="1080" w:leftChars="257" w:hanging="540"/>
        <w:rPr>
          <w:rFonts w:ascii="仿宋" w:hAnsi="仿宋" w:eastAsia="仿宋" w:cs="仿宋"/>
          <w:sz w:val="24"/>
        </w:rPr>
      </w:pPr>
      <w:r>
        <w:rPr>
          <w:rFonts w:hint="eastAsia" w:ascii="仿宋" w:hAnsi="仿宋" w:eastAsia="仿宋" w:cs="仿宋"/>
          <w:sz w:val="24"/>
        </w:rPr>
        <w:t>（9）按照采购文件的规定履行合同责任和义务。</w:t>
      </w:r>
    </w:p>
    <w:p>
      <w:pPr>
        <w:pStyle w:val="16"/>
        <w:tabs>
          <w:tab w:val="left" w:pos="5580"/>
        </w:tabs>
        <w:spacing w:line="240" w:lineRule="atLeast"/>
        <w:ind w:left="359" w:leftChars="68" w:hanging="216" w:hangingChars="90"/>
        <w:rPr>
          <w:rFonts w:ascii="仿宋" w:hAnsi="仿宋" w:eastAsia="仿宋" w:cs="仿宋"/>
          <w:sz w:val="24"/>
        </w:rPr>
      </w:pPr>
      <w:r>
        <w:rPr>
          <w:rFonts w:hint="eastAsia" w:ascii="仿宋" w:hAnsi="仿宋" w:eastAsia="仿宋" w:cs="仿宋"/>
          <w:sz w:val="24"/>
        </w:rPr>
        <w:t xml:space="preserve">  </w:t>
      </w:r>
    </w:p>
    <w:p>
      <w:pPr>
        <w:pStyle w:val="16"/>
        <w:tabs>
          <w:tab w:val="left" w:pos="5580"/>
        </w:tabs>
        <w:spacing w:line="240" w:lineRule="atLeast"/>
        <w:ind w:left="359" w:leftChars="68" w:hanging="216" w:hangingChars="90"/>
        <w:rPr>
          <w:rFonts w:ascii="仿宋" w:hAnsi="仿宋" w:eastAsia="仿宋" w:cs="仿宋"/>
          <w:sz w:val="24"/>
        </w:rPr>
      </w:pPr>
      <w:r>
        <w:rPr>
          <w:rFonts w:hint="eastAsia" w:ascii="仿宋" w:hAnsi="仿宋" w:eastAsia="仿宋" w:cs="仿宋"/>
          <w:sz w:val="24"/>
        </w:rPr>
        <w:t>与本投标有关的一切正式往来信函请寄：</w:t>
      </w:r>
    </w:p>
    <w:p>
      <w:pPr>
        <w:pStyle w:val="16"/>
        <w:tabs>
          <w:tab w:val="left" w:pos="5580"/>
        </w:tabs>
        <w:spacing w:line="240" w:lineRule="atLeast"/>
        <w:ind w:left="1080" w:leftChars="257" w:hanging="540"/>
        <w:rPr>
          <w:rFonts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 xml:space="preserve">                         </w:t>
      </w:r>
      <w:r>
        <w:rPr>
          <w:rFonts w:hint="eastAsia" w:ascii="仿宋" w:hAnsi="仿宋" w:eastAsia="仿宋" w:cs="仿宋"/>
          <w:sz w:val="24"/>
        </w:rPr>
        <w:t xml:space="preserve">     传真：</w:t>
      </w:r>
      <w:r>
        <w:rPr>
          <w:rFonts w:hint="eastAsia" w:ascii="仿宋" w:hAnsi="仿宋" w:eastAsia="仿宋" w:cs="仿宋"/>
          <w:sz w:val="24"/>
          <w:u w:val="single"/>
        </w:rPr>
        <w:t xml:space="preserve">                             </w:t>
      </w:r>
    </w:p>
    <w:p>
      <w:pPr>
        <w:pStyle w:val="16"/>
        <w:tabs>
          <w:tab w:val="left" w:pos="5580"/>
        </w:tabs>
        <w:spacing w:line="240" w:lineRule="atLeast"/>
        <w:ind w:left="1080" w:leftChars="257" w:hanging="540"/>
        <w:rPr>
          <w:rFonts w:ascii="仿宋" w:hAnsi="仿宋" w:eastAsia="仿宋" w:cs="仿宋"/>
          <w:b/>
          <w:sz w:val="24"/>
        </w:rPr>
      </w:pPr>
      <w:r>
        <w:rPr>
          <w:rFonts w:hint="eastAsia" w:ascii="仿宋" w:hAnsi="仿宋" w:eastAsia="仿宋" w:cs="仿宋"/>
          <w:sz w:val="24"/>
        </w:rPr>
        <w:t>电话：</w:t>
      </w:r>
      <w:r>
        <w:rPr>
          <w:rFonts w:hint="eastAsia" w:ascii="仿宋" w:hAnsi="仿宋" w:eastAsia="仿宋" w:cs="仿宋"/>
          <w:sz w:val="24"/>
          <w:u w:val="single"/>
        </w:rPr>
        <w:t xml:space="preserve">                         </w:t>
      </w:r>
      <w:r>
        <w:rPr>
          <w:rFonts w:hint="eastAsia" w:ascii="仿宋" w:hAnsi="仿宋" w:eastAsia="仿宋" w:cs="仿宋"/>
          <w:sz w:val="24"/>
        </w:rPr>
        <w:t xml:space="preserve">     电子函件：</w:t>
      </w:r>
      <w:r>
        <w:rPr>
          <w:rFonts w:hint="eastAsia" w:ascii="仿宋" w:hAnsi="仿宋" w:eastAsia="仿宋" w:cs="仿宋"/>
          <w:sz w:val="24"/>
          <w:u w:val="single"/>
        </w:rPr>
        <w:t xml:space="preserve">                         </w:t>
      </w:r>
    </w:p>
    <w:p>
      <w:pPr>
        <w:pStyle w:val="16"/>
        <w:tabs>
          <w:tab w:val="left" w:pos="5580"/>
        </w:tabs>
        <w:spacing w:line="240" w:lineRule="atLeast"/>
        <w:ind w:left="1080" w:leftChars="257" w:hanging="540"/>
        <w:rPr>
          <w:rFonts w:ascii="仿宋" w:hAnsi="仿宋" w:eastAsia="仿宋" w:cs="仿宋"/>
          <w:sz w:val="24"/>
        </w:rPr>
      </w:pPr>
    </w:p>
    <w:p>
      <w:pPr>
        <w:pStyle w:val="16"/>
        <w:tabs>
          <w:tab w:val="left" w:pos="5580"/>
        </w:tabs>
        <w:spacing w:line="240" w:lineRule="atLeast"/>
        <w:ind w:left="1080" w:leftChars="257" w:hanging="540"/>
        <w:rPr>
          <w:rFonts w:ascii="仿宋" w:hAnsi="仿宋" w:eastAsia="仿宋" w:cs="仿宋"/>
          <w:sz w:val="24"/>
          <w:u w:val="single"/>
        </w:rPr>
      </w:pPr>
      <w:r>
        <w:rPr>
          <w:rFonts w:hint="eastAsia" w:ascii="仿宋" w:hAnsi="仿宋" w:eastAsia="仿宋" w:cs="仿宋"/>
          <w:sz w:val="24"/>
        </w:rPr>
        <w:t>法定代表人或其委托代理人签字：</w:t>
      </w:r>
      <w:r>
        <w:rPr>
          <w:rFonts w:hint="eastAsia" w:ascii="仿宋" w:hAnsi="仿宋" w:eastAsia="仿宋" w:cs="仿宋"/>
          <w:sz w:val="24"/>
          <w:u w:val="single"/>
        </w:rPr>
        <w:t xml:space="preserve">                    </w:t>
      </w:r>
    </w:p>
    <w:p>
      <w:pPr>
        <w:pStyle w:val="16"/>
        <w:tabs>
          <w:tab w:val="left" w:pos="5580"/>
        </w:tabs>
        <w:spacing w:line="240" w:lineRule="atLeast"/>
        <w:ind w:left="1080" w:leftChars="257" w:hanging="540"/>
        <w:rPr>
          <w:rFonts w:ascii="仿宋" w:hAnsi="仿宋" w:eastAsia="仿宋" w:cs="仿宋"/>
          <w:sz w:val="24"/>
          <w:u w:val="single"/>
        </w:rPr>
      </w:pPr>
      <w:r>
        <w:rPr>
          <w:rFonts w:hint="eastAsia" w:ascii="仿宋" w:hAnsi="仿宋" w:eastAsia="仿宋" w:cs="仿宋"/>
          <w:sz w:val="24"/>
        </w:rPr>
        <w:t>供应商名称（全称）：</w:t>
      </w:r>
      <w:r>
        <w:rPr>
          <w:rFonts w:hint="eastAsia" w:ascii="仿宋" w:hAnsi="仿宋" w:eastAsia="仿宋" w:cs="仿宋"/>
          <w:sz w:val="24"/>
          <w:u w:val="single"/>
        </w:rPr>
        <w:t xml:space="preserve">                          </w:t>
      </w:r>
    </w:p>
    <w:p>
      <w:pPr>
        <w:pStyle w:val="16"/>
        <w:tabs>
          <w:tab w:val="left" w:pos="5580"/>
        </w:tabs>
        <w:spacing w:line="240" w:lineRule="atLeast"/>
        <w:ind w:left="1080" w:leftChars="257" w:hanging="540"/>
        <w:rPr>
          <w:rFonts w:ascii="仿宋" w:hAnsi="仿宋" w:eastAsia="仿宋" w:cs="仿宋"/>
          <w:sz w:val="24"/>
        </w:rPr>
      </w:pPr>
      <w:r>
        <w:rPr>
          <w:rFonts w:hint="eastAsia" w:ascii="仿宋" w:hAnsi="仿宋" w:eastAsia="仿宋" w:cs="仿宋"/>
          <w:sz w:val="24"/>
        </w:rPr>
        <w:t>供应商开户银行（全称）：</w:t>
      </w:r>
      <w:r>
        <w:rPr>
          <w:rFonts w:hint="eastAsia" w:ascii="仿宋" w:hAnsi="仿宋" w:eastAsia="仿宋" w:cs="仿宋"/>
          <w:sz w:val="24"/>
          <w:u w:val="single"/>
        </w:rPr>
        <w:t xml:space="preserve">　　　　　　 </w:t>
      </w:r>
    </w:p>
    <w:p>
      <w:pPr>
        <w:pStyle w:val="16"/>
        <w:tabs>
          <w:tab w:val="left" w:pos="5580"/>
        </w:tabs>
        <w:spacing w:line="240" w:lineRule="atLeast"/>
        <w:ind w:left="1080" w:leftChars="257" w:hanging="540"/>
        <w:rPr>
          <w:rFonts w:ascii="仿宋" w:hAnsi="仿宋" w:eastAsia="仿宋" w:cs="仿宋"/>
          <w:sz w:val="24"/>
        </w:rPr>
      </w:pPr>
      <w:r>
        <w:rPr>
          <w:rFonts w:hint="eastAsia" w:ascii="仿宋" w:hAnsi="仿宋" w:eastAsia="仿宋" w:cs="仿宋"/>
          <w:sz w:val="24"/>
        </w:rPr>
        <w:t>供应商银行帐号：</w:t>
      </w:r>
      <w:r>
        <w:rPr>
          <w:rFonts w:hint="eastAsia" w:ascii="仿宋" w:hAnsi="仿宋" w:eastAsia="仿宋" w:cs="仿宋"/>
          <w:sz w:val="24"/>
          <w:u w:val="single"/>
        </w:rPr>
        <w:t>　　　　　　　　 　　</w:t>
      </w:r>
    </w:p>
    <w:p>
      <w:pPr>
        <w:pStyle w:val="16"/>
        <w:tabs>
          <w:tab w:val="left" w:pos="5580"/>
        </w:tabs>
        <w:spacing w:line="240" w:lineRule="atLeast"/>
        <w:ind w:left="1080" w:leftChars="257" w:hanging="540"/>
        <w:rPr>
          <w:rFonts w:ascii="仿宋" w:hAnsi="仿宋" w:eastAsia="仿宋" w:cs="仿宋"/>
          <w:sz w:val="24"/>
          <w:u w:val="single"/>
        </w:rPr>
      </w:pPr>
      <w:r>
        <w:rPr>
          <w:rFonts w:hint="eastAsia" w:ascii="仿宋" w:hAnsi="仿宋" w:eastAsia="仿宋" w:cs="仿宋"/>
          <w:sz w:val="24"/>
        </w:rPr>
        <w:t>供应商单位章：</w:t>
      </w:r>
      <w:r>
        <w:rPr>
          <w:rFonts w:hint="eastAsia" w:ascii="仿宋" w:hAnsi="仿宋" w:eastAsia="仿宋" w:cs="仿宋"/>
          <w:sz w:val="24"/>
          <w:u w:val="single"/>
        </w:rPr>
        <w:t xml:space="preserve">                       </w:t>
      </w:r>
    </w:p>
    <w:p>
      <w:pPr>
        <w:pStyle w:val="16"/>
        <w:tabs>
          <w:tab w:val="left" w:pos="5580"/>
        </w:tabs>
        <w:spacing w:line="240" w:lineRule="atLeast"/>
        <w:ind w:left="1080" w:leftChars="257" w:hanging="540"/>
        <w:rPr>
          <w:rFonts w:ascii="仿宋" w:hAnsi="仿宋" w:eastAsia="仿宋" w:cs="仿宋"/>
          <w:sz w:val="24"/>
          <w:u w:val="single"/>
        </w:rPr>
      </w:pPr>
      <w:r>
        <w:rPr>
          <w:rFonts w:hint="eastAsia" w:ascii="仿宋" w:hAnsi="仿宋" w:eastAsia="仿宋" w:cs="仿宋"/>
          <w:sz w:val="24"/>
        </w:rPr>
        <w:t>日期-：</w:t>
      </w:r>
      <w:r>
        <w:rPr>
          <w:rFonts w:hint="eastAsia" w:ascii="仿宋" w:hAnsi="仿宋" w:eastAsia="仿宋" w:cs="仿宋"/>
          <w:sz w:val="24"/>
          <w:u w:val="single"/>
        </w:rPr>
        <w:t xml:space="preserve">               </w:t>
      </w:r>
    </w:p>
    <w:p>
      <w:pPr>
        <w:pStyle w:val="8"/>
        <w:spacing w:before="0" w:line="240" w:lineRule="atLeast"/>
        <w:ind w:left="1080" w:leftChars="257" w:hanging="540"/>
        <w:rPr>
          <w:rFonts w:ascii="仿宋" w:hAnsi="仿宋" w:eastAsia="仿宋" w:cs="仿宋"/>
          <w:sz w:val="24"/>
        </w:rPr>
      </w:pPr>
      <w:bookmarkStart w:id="338" w:name="_Hlt520356243"/>
      <w:bookmarkEnd w:id="338"/>
      <w:bookmarkStart w:id="339" w:name="_Hlt520355938"/>
      <w:bookmarkEnd w:id="339"/>
      <w:bookmarkStart w:id="340" w:name="_Toc216582815"/>
      <w:r>
        <w:rPr>
          <w:rFonts w:hint="eastAsia" w:ascii="仿宋" w:hAnsi="仿宋" w:eastAsia="仿宋" w:cs="仿宋"/>
          <w:sz w:val="24"/>
        </w:rPr>
        <w:br w:type="page"/>
      </w:r>
      <w:bookmarkStart w:id="341" w:name="_Toc24886"/>
      <w:bookmarkStart w:id="342" w:name="_Toc16668"/>
      <w:bookmarkStart w:id="343" w:name="_Toc518923117"/>
      <w:bookmarkStart w:id="344" w:name="_Toc13880"/>
      <w:bookmarkStart w:id="345" w:name="_Toc3847"/>
      <w:bookmarkStart w:id="346" w:name="_Toc22340"/>
      <w:r>
        <w:rPr>
          <w:rFonts w:hint="eastAsia" w:ascii="仿宋" w:hAnsi="仿宋" w:eastAsia="仿宋" w:cs="仿宋"/>
          <w:sz w:val="24"/>
        </w:rPr>
        <w:t>2   投标保证金缴纳凭证复印件或投标担保函</w:t>
      </w:r>
      <w:bookmarkEnd w:id="341"/>
      <w:bookmarkEnd w:id="342"/>
      <w:bookmarkEnd w:id="343"/>
      <w:bookmarkEnd w:id="344"/>
      <w:bookmarkEnd w:id="345"/>
      <w:bookmarkEnd w:id="346"/>
    </w:p>
    <w:p>
      <w:pPr>
        <w:ind w:firstLine="420" w:firstLineChars="200"/>
        <w:rPr>
          <w:rFonts w:ascii="仿宋" w:hAnsi="仿宋" w:eastAsia="仿宋" w:cs="仿宋"/>
          <w:sz w:val="24"/>
        </w:rPr>
      </w:pPr>
      <w:bookmarkStart w:id="347" w:name="_Toc494296991"/>
      <w:bookmarkStart w:id="348" w:name="_Toc494296665"/>
      <w:r>
        <w:rPr>
          <w:rFonts w:hint="eastAsia" w:ascii="仿宋" w:hAnsi="仿宋" w:eastAsia="仿宋" w:cs="仿宋"/>
        </w:rPr>
        <w:t>供应商可将本项目投标保证金支付的汇款凭证、支票、汇票或保证金收据（如有）的复印件作为缴纳凭证放在本部分，复印件上应加盖本单位章；使用银行保函等其他投标担保函的，应将担保函正本，放在本部分中；如采用政府采购信用担保形式的，应使用（投标文件格式四）,将原件装订在本部分中。</w:t>
      </w:r>
      <w:bookmarkEnd w:id="347"/>
      <w:bookmarkEnd w:id="348"/>
    </w:p>
    <w:p>
      <w:pPr>
        <w:jc w:val="center"/>
        <w:rPr>
          <w:rFonts w:ascii="仿宋" w:hAnsi="仿宋" w:eastAsia="仿宋" w:cs="仿宋"/>
          <w:b/>
          <w:bCs/>
          <w:sz w:val="24"/>
        </w:rPr>
      </w:pPr>
      <w:r>
        <w:rPr>
          <w:rFonts w:hint="eastAsia" w:ascii="仿宋" w:hAnsi="仿宋" w:eastAsia="仿宋" w:cs="仿宋"/>
          <w:b/>
          <w:bCs/>
          <w:sz w:val="24"/>
        </w:rPr>
        <w:t>政府采购投标担保函 （项目用）（投标文件格式</w:t>
      </w:r>
      <w:r>
        <w:rPr>
          <w:rFonts w:hint="eastAsia" w:ascii="仿宋" w:hAnsi="仿宋" w:eastAsia="仿宋" w:cs="仿宋"/>
          <w:b/>
          <w:bCs/>
          <w:sz w:val="24"/>
          <w:lang w:val="en-US" w:eastAsia="zh-CN"/>
        </w:rPr>
        <w:t>二</w:t>
      </w:r>
      <w:r>
        <w:rPr>
          <w:rFonts w:hint="eastAsia" w:ascii="仿宋" w:hAnsi="仿宋" w:eastAsia="仿宋" w:cs="仿宋"/>
          <w:b/>
          <w:bCs/>
          <w:sz w:val="24"/>
        </w:rPr>
        <w:t>）</w:t>
      </w:r>
    </w:p>
    <w:p>
      <w:pPr>
        <w:ind w:firstLine="6720" w:firstLineChars="3200"/>
        <w:rPr>
          <w:rFonts w:ascii="仿宋" w:hAnsi="仿宋" w:eastAsia="仿宋" w:cs="仿宋"/>
        </w:rPr>
      </w:pPr>
      <w:r>
        <w:rPr>
          <w:rFonts w:hint="eastAsia" w:ascii="仿宋" w:hAnsi="仿宋" w:eastAsia="仿宋" w:cs="仿宋"/>
        </w:rPr>
        <w:t>编号：</w:t>
      </w:r>
    </w:p>
    <w:p>
      <w:pPr>
        <w:rPr>
          <w:rFonts w:ascii="仿宋" w:hAnsi="仿宋" w:eastAsia="仿宋" w:cs="仿宋"/>
        </w:rPr>
      </w:pPr>
      <w:r>
        <w:rPr>
          <w:rFonts w:hint="eastAsia" w:ascii="仿宋" w:hAnsi="仿宋" w:eastAsia="仿宋" w:cs="仿宋"/>
        </w:rPr>
        <w:t xml:space="preserve"> </w:t>
      </w:r>
      <w:r>
        <w:rPr>
          <w:rFonts w:hint="eastAsia" w:ascii="仿宋" w:hAnsi="仿宋" w:eastAsia="仿宋" w:cs="仿宋"/>
          <w:u w:val="single"/>
        </w:rPr>
        <w:t xml:space="preserve">                  </w:t>
      </w:r>
      <w:r>
        <w:rPr>
          <w:rFonts w:hint="eastAsia" w:ascii="仿宋" w:hAnsi="仿宋" w:eastAsia="仿宋" w:cs="仿宋"/>
        </w:rPr>
        <w:t>（采购人或采购代理机构）：</w:t>
      </w:r>
    </w:p>
    <w:p>
      <w:pPr>
        <w:ind w:firstLine="420" w:firstLineChars="200"/>
        <w:rPr>
          <w:rFonts w:ascii="仿宋" w:hAnsi="仿宋" w:eastAsia="仿宋" w:cs="仿宋"/>
        </w:rPr>
      </w:pPr>
      <w:r>
        <w:rPr>
          <w:rFonts w:hint="eastAsia" w:ascii="仿宋" w:hAnsi="仿宋" w:eastAsia="仿宋" w:cs="仿宋"/>
        </w:rPr>
        <w:t>鉴于</w:t>
      </w:r>
      <w:r>
        <w:rPr>
          <w:rFonts w:hint="eastAsia" w:ascii="仿宋" w:hAnsi="仿宋" w:eastAsia="仿宋" w:cs="仿宋"/>
          <w:u w:val="single"/>
        </w:rPr>
        <w:t xml:space="preserve">               </w:t>
      </w:r>
      <w:r>
        <w:rPr>
          <w:rFonts w:hint="eastAsia" w:ascii="仿宋" w:hAnsi="仿宋" w:eastAsia="仿宋" w:cs="仿宋"/>
        </w:rPr>
        <w:t>（以下简称“供应商”）拟参加编号为</w:t>
      </w:r>
      <w:r>
        <w:rPr>
          <w:rFonts w:hint="eastAsia" w:ascii="仿宋" w:hAnsi="仿宋" w:eastAsia="仿宋" w:cs="仿宋"/>
          <w:u w:val="single"/>
        </w:rPr>
        <w:t xml:space="preserve">            </w:t>
      </w:r>
      <w:r>
        <w:rPr>
          <w:rFonts w:hint="eastAsia" w:ascii="仿宋" w:hAnsi="仿宋" w:eastAsia="仿宋" w:cs="仿宋"/>
        </w:rPr>
        <w:t>的</w:t>
      </w:r>
      <w:r>
        <w:rPr>
          <w:rFonts w:hint="eastAsia" w:ascii="仿宋" w:hAnsi="仿宋" w:eastAsia="仿宋" w:cs="仿宋"/>
          <w:u w:val="single"/>
        </w:rPr>
        <w:t xml:space="preserve">           </w:t>
      </w:r>
      <w:r>
        <w:rPr>
          <w:rFonts w:hint="eastAsia" w:ascii="仿宋" w:hAnsi="仿宋" w:eastAsia="仿宋" w:cs="仿宋"/>
        </w:rPr>
        <w:t xml:space="preserve">                            </w:t>
      </w:r>
    </w:p>
    <w:p>
      <w:pPr>
        <w:rPr>
          <w:rFonts w:ascii="仿宋" w:hAnsi="仿宋" w:eastAsia="仿宋" w:cs="仿宋"/>
        </w:rPr>
      </w:pPr>
      <w:r>
        <w:rPr>
          <w:rFonts w:hint="eastAsia" w:ascii="仿宋" w:hAnsi="仿宋" w:eastAsia="仿宋" w:cs="仿宋"/>
        </w:rPr>
        <w:t>项目（以下简称“本项目”）投标，根据本项目采购文件，供应商参加投标时应向你方交纳投标保证金，且可以投标担保函的形式交纳投标保证金。应供应商的申请，我方以保证的方式向你方提供如下投标保证金担保：</w:t>
      </w:r>
    </w:p>
    <w:p>
      <w:pPr>
        <w:ind w:firstLine="420" w:firstLineChars="200"/>
        <w:rPr>
          <w:rFonts w:ascii="仿宋" w:hAnsi="仿宋" w:eastAsia="仿宋" w:cs="仿宋"/>
        </w:rPr>
      </w:pPr>
      <w:r>
        <w:rPr>
          <w:rFonts w:hint="eastAsia" w:ascii="仿宋" w:hAnsi="仿宋" w:eastAsia="仿宋" w:cs="仿宋"/>
        </w:rPr>
        <w:t>一、保证责任的情形及保证金额</w:t>
      </w:r>
    </w:p>
    <w:p>
      <w:pPr>
        <w:ind w:firstLine="210" w:firstLineChars="100"/>
        <w:rPr>
          <w:rFonts w:ascii="仿宋" w:hAnsi="仿宋" w:eastAsia="仿宋" w:cs="仿宋"/>
        </w:rPr>
      </w:pPr>
      <w:r>
        <w:rPr>
          <w:rFonts w:hint="eastAsia" w:ascii="仿宋" w:hAnsi="仿宋" w:eastAsia="仿宋" w:cs="仿宋"/>
        </w:rPr>
        <w:t>（一）在供应商出现下列情形之一时，我方承担保证责任：</w:t>
      </w:r>
    </w:p>
    <w:p>
      <w:pPr>
        <w:ind w:firstLine="420" w:firstLineChars="200"/>
        <w:rPr>
          <w:rFonts w:ascii="仿宋" w:hAnsi="仿宋" w:eastAsia="仿宋" w:cs="仿宋"/>
        </w:rPr>
      </w:pPr>
      <w:r>
        <w:rPr>
          <w:rFonts w:hint="eastAsia" w:ascii="仿宋" w:hAnsi="仿宋" w:eastAsia="仿宋" w:cs="仿宋"/>
        </w:rPr>
        <w:t>1．中标后供应商无正当理由不与采购人或者采购代理机构签订《政府采购合同》；</w:t>
      </w:r>
    </w:p>
    <w:p>
      <w:pPr>
        <w:ind w:firstLine="420" w:firstLineChars="200"/>
        <w:rPr>
          <w:rFonts w:ascii="仿宋" w:hAnsi="仿宋" w:eastAsia="仿宋" w:cs="仿宋"/>
        </w:rPr>
      </w:pPr>
      <w:r>
        <w:rPr>
          <w:rFonts w:hint="eastAsia" w:ascii="仿宋" w:hAnsi="仿宋" w:eastAsia="仿宋" w:cs="仿宋"/>
        </w:rPr>
        <w:t>2．采购文件规定的供应商应当缴纳保证金的其他情形。</w:t>
      </w:r>
    </w:p>
    <w:p>
      <w:pPr>
        <w:ind w:firstLine="210" w:firstLineChars="100"/>
        <w:rPr>
          <w:rFonts w:ascii="仿宋" w:hAnsi="仿宋" w:eastAsia="仿宋" w:cs="仿宋"/>
        </w:rPr>
      </w:pPr>
      <w:r>
        <w:rPr>
          <w:rFonts w:hint="eastAsia" w:ascii="仿宋" w:hAnsi="仿宋" w:eastAsia="仿宋" w:cs="仿宋"/>
        </w:rPr>
        <w:t>（二）我方承担保证责任的最高金额为人民币</w:t>
      </w:r>
      <w:r>
        <w:rPr>
          <w:rFonts w:hint="eastAsia" w:ascii="仿宋" w:hAnsi="仿宋" w:eastAsia="仿宋" w:cs="仿宋"/>
          <w:u w:val="single"/>
        </w:rPr>
        <w:t xml:space="preserve">      </w:t>
      </w:r>
      <w:r>
        <w:rPr>
          <w:rFonts w:hint="eastAsia" w:ascii="仿宋" w:hAnsi="仿宋" w:eastAsia="仿宋" w:cs="仿宋"/>
        </w:rPr>
        <w:t>元（大写</w:t>
      </w:r>
      <w:r>
        <w:rPr>
          <w:rFonts w:hint="eastAsia" w:ascii="仿宋" w:hAnsi="仿宋" w:eastAsia="仿宋" w:cs="仿宋"/>
          <w:u w:val="single"/>
        </w:rPr>
        <w:t xml:space="preserve">            </w:t>
      </w:r>
      <w:r>
        <w:rPr>
          <w:rFonts w:hint="eastAsia" w:ascii="仿宋" w:hAnsi="仿宋" w:eastAsia="仿宋" w:cs="仿宋"/>
        </w:rPr>
        <w:t>），即本项目的投标保证金金额。</w:t>
      </w:r>
    </w:p>
    <w:p>
      <w:pPr>
        <w:ind w:firstLine="420" w:firstLineChars="200"/>
        <w:rPr>
          <w:rFonts w:ascii="仿宋" w:hAnsi="仿宋" w:eastAsia="仿宋" w:cs="仿宋"/>
        </w:rPr>
      </w:pPr>
      <w:r>
        <w:rPr>
          <w:rFonts w:hint="eastAsia" w:ascii="仿宋" w:hAnsi="仿宋" w:eastAsia="仿宋" w:cs="仿宋"/>
        </w:rPr>
        <w:t>二、保证的方式及保证期间</w:t>
      </w:r>
    </w:p>
    <w:p>
      <w:pPr>
        <w:ind w:firstLine="420" w:firstLineChars="200"/>
        <w:rPr>
          <w:rFonts w:ascii="仿宋" w:hAnsi="仿宋" w:eastAsia="仿宋" w:cs="仿宋"/>
        </w:rPr>
      </w:pPr>
      <w:r>
        <w:rPr>
          <w:rFonts w:hint="eastAsia" w:ascii="仿宋" w:hAnsi="仿宋" w:eastAsia="仿宋" w:cs="仿宋"/>
        </w:rPr>
        <w:t>我方保证的方式为：连带责任保证。</w:t>
      </w:r>
    </w:p>
    <w:p>
      <w:pPr>
        <w:ind w:firstLine="420" w:firstLineChars="200"/>
        <w:rPr>
          <w:rFonts w:ascii="仿宋" w:hAnsi="仿宋" w:eastAsia="仿宋" w:cs="仿宋"/>
        </w:rPr>
      </w:pPr>
      <w:r>
        <w:rPr>
          <w:rFonts w:hint="eastAsia" w:ascii="仿宋" w:hAnsi="仿宋" w:eastAsia="仿宋" w:cs="仿宋"/>
        </w:rPr>
        <w:t>我方的保证期间为：自本保函生效之日起</w:t>
      </w:r>
      <w:r>
        <w:rPr>
          <w:rFonts w:hint="eastAsia" w:ascii="仿宋" w:hAnsi="仿宋" w:eastAsia="仿宋" w:cs="仿宋"/>
          <w:u w:val="single"/>
        </w:rPr>
        <w:t xml:space="preserve">    </w:t>
      </w:r>
      <w:r>
        <w:rPr>
          <w:rFonts w:hint="eastAsia" w:ascii="仿宋" w:hAnsi="仿宋" w:eastAsia="仿宋" w:cs="仿宋"/>
        </w:rPr>
        <w:t>个月止。</w:t>
      </w:r>
    </w:p>
    <w:p>
      <w:pPr>
        <w:ind w:firstLine="420" w:firstLineChars="200"/>
        <w:rPr>
          <w:rFonts w:ascii="仿宋" w:hAnsi="仿宋" w:eastAsia="仿宋" w:cs="仿宋"/>
        </w:rPr>
      </w:pPr>
      <w:r>
        <w:rPr>
          <w:rFonts w:hint="eastAsia" w:ascii="仿宋" w:hAnsi="仿宋" w:eastAsia="仿宋" w:cs="仿宋"/>
        </w:rPr>
        <w:t>三、承担保证责任的程序</w:t>
      </w:r>
    </w:p>
    <w:p>
      <w:pPr>
        <w:ind w:firstLine="420" w:firstLineChars="200"/>
        <w:rPr>
          <w:rFonts w:ascii="仿宋" w:hAnsi="仿宋" w:eastAsia="仿宋" w:cs="仿宋"/>
        </w:rPr>
      </w:pPr>
      <w:r>
        <w:rPr>
          <w:rFonts w:hint="eastAsia" w:ascii="仿宋" w:hAnsi="仿宋" w:eastAsia="仿宋" w:cs="仿宋"/>
        </w:rPr>
        <w:t>1．你方要求我方承担保证责任的，应在本保函保证期间内向我方发出书面索赔通知。索赔通知应写明要求索赔的金额，支付款项应到达的账号，并附有证明供应商发生我方应承担保证责任情形的事实材料。</w:t>
      </w:r>
    </w:p>
    <w:p>
      <w:pPr>
        <w:ind w:firstLine="420" w:firstLineChars="200"/>
        <w:rPr>
          <w:rFonts w:ascii="仿宋" w:hAnsi="仿宋" w:eastAsia="仿宋" w:cs="仿宋"/>
        </w:rPr>
      </w:pPr>
      <w:r>
        <w:rPr>
          <w:rFonts w:hint="eastAsia" w:ascii="仿宋" w:hAnsi="仿宋" w:eastAsia="仿宋" w:cs="仿宋"/>
        </w:rPr>
        <w:t>2．我方在收到索赔通知及相关证明材料后，在</w:t>
      </w:r>
      <w:r>
        <w:rPr>
          <w:rFonts w:hint="eastAsia" w:ascii="仿宋" w:hAnsi="仿宋" w:eastAsia="仿宋" w:cs="仿宋"/>
          <w:u w:val="single"/>
        </w:rPr>
        <w:t>　　　</w:t>
      </w:r>
      <w:r>
        <w:rPr>
          <w:rFonts w:hint="eastAsia" w:ascii="仿宋" w:hAnsi="仿宋" w:eastAsia="仿宋" w:cs="仿宋"/>
        </w:rPr>
        <w:t>个工作日内进行审查，符合应承担保证责任情形的，我方应按照你方的要求代供应商向你方支付投标保证金。</w:t>
      </w:r>
    </w:p>
    <w:p>
      <w:pPr>
        <w:ind w:firstLine="420" w:firstLineChars="200"/>
        <w:rPr>
          <w:rFonts w:ascii="仿宋" w:hAnsi="仿宋" w:eastAsia="仿宋" w:cs="仿宋"/>
        </w:rPr>
      </w:pPr>
      <w:r>
        <w:rPr>
          <w:rFonts w:hint="eastAsia" w:ascii="仿宋" w:hAnsi="仿宋" w:eastAsia="仿宋" w:cs="仿宋"/>
        </w:rPr>
        <w:t>四、保证责任的终止</w:t>
      </w:r>
    </w:p>
    <w:p>
      <w:pPr>
        <w:ind w:firstLine="420" w:firstLineChars="200"/>
        <w:rPr>
          <w:rFonts w:ascii="仿宋" w:hAnsi="仿宋" w:eastAsia="仿宋" w:cs="仿宋"/>
        </w:rPr>
      </w:pPr>
      <w:r>
        <w:rPr>
          <w:rFonts w:hint="eastAsia" w:ascii="仿宋" w:hAnsi="仿宋" w:eastAsia="仿宋" w:cs="仿宋"/>
        </w:rPr>
        <w:t>1．保证期间届满你方未向我方书面主张保证责任的，自保证期间届满次日起，我方保证责任自动终止。</w:t>
      </w:r>
    </w:p>
    <w:p>
      <w:pPr>
        <w:ind w:firstLine="420" w:firstLineChars="200"/>
        <w:rPr>
          <w:rFonts w:ascii="仿宋" w:hAnsi="仿宋" w:eastAsia="仿宋" w:cs="仿宋"/>
        </w:rPr>
      </w:pPr>
      <w:r>
        <w:rPr>
          <w:rFonts w:hint="eastAsia" w:ascii="仿宋" w:hAnsi="仿宋" w:eastAsia="仿宋" w:cs="仿宋"/>
        </w:rPr>
        <w:t>2．我方按照本保函向你贵方履行了保证责任后，自我方向你贵方支付款项（支付款项从我方账户划出）之日起，保证责任终止。</w:t>
      </w:r>
    </w:p>
    <w:p>
      <w:pPr>
        <w:ind w:firstLine="420" w:firstLineChars="200"/>
        <w:rPr>
          <w:rFonts w:ascii="仿宋" w:hAnsi="仿宋" w:eastAsia="仿宋" w:cs="仿宋"/>
        </w:rPr>
      </w:pPr>
      <w:r>
        <w:rPr>
          <w:rFonts w:hint="eastAsia" w:ascii="仿宋" w:hAnsi="仿宋" w:eastAsia="仿宋" w:cs="仿宋"/>
        </w:rPr>
        <w:t>3．按照法律法规的规定或出现我方保证责任终止的其它情形的，我方在本保函项下的保证责任亦终止。</w:t>
      </w:r>
    </w:p>
    <w:p>
      <w:pPr>
        <w:ind w:firstLine="420" w:firstLineChars="200"/>
        <w:rPr>
          <w:rFonts w:ascii="仿宋" w:hAnsi="仿宋" w:eastAsia="仿宋" w:cs="仿宋"/>
        </w:rPr>
      </w:pPr>
      <w:r>
        <w:rPr>
          <w:rFonts w:hint="eastAsia" w:ascii="仿宋" w:hAnsi="仿宋" w:eastAsia="仿宋" w:cs="仿宋"/>
        </w:rPr>
        <w:t>五、免责条款</w:t>
      </w:r>
    </w:p>
    <w:p>
      <w:pPr>
        <w:ind w:firstLine="420" w:firstLineChars="200"/>
        <w:rPr>
          <w:rFonts w:ascii="仿宋" w:hAnsi="仿宋" w:eastAsia="仿宋" w:cs="仿宋"/>
        </w:rPr>
      </w:pPr>
      <w:r>
        <w:rPr>
          <w:rFonts w:hint="eastAsia" w:ascii="仿宋" w:hAnsi="仿宋" w:eastAsia="仿宋" w:cs="仿宋"/>
        </w:rPr>
        <w:t>1．依照法律规定或你方与供应商的另行约定，全部或者部分免除供应商投标保证金义务时，我方亦免除相应的保证责任。</w:t>
      </w:r>
    </w:p>
    <w:p>
      <w:pPr>
        <w:ind w:firstLine="420" w:firstLineChars="200"/>
        <w:rPr>
          <w:rFonts w:ascii="仿宋" w:hAnsi="仿宋" w:eastAsia="仿宋" w:cs="仿宋"/>
        </w:rPr>
      </w:pPr>
      <w:r>
        <w:rPr>
          <w:rFonts w:hint="eastAsia" w:ascii="仿宋" w:hAnsi="仿宋" w:eastAsia="仿宋" w:cs="仿宋"/>
        </w:rPr>
        <w:t>2．因你方原因致使供应商发生本保函第一条第（一）款约定情形的，我方不承担保证责任。</w:t>
      </w:r>
    </w:p>
    <w:p>
      <w:pPr>
        <w:ind w:firstLine="420" w:firstLineChars="200"/>
        <w:rPr>
          <w:rFonts w:ascii="仿宋" w:hAnsi="仿宋" w:eastAsia="仿宋" w:cs="仿宋"/>
        </w:rPr>
      </w:pPr>
      <w:r>
        <w:rPr>
          <w:rFonts w:hint="eastAsia" w:ascii="仿宋" w:hAnsi="仿宋" w:eastAsia="仿宋" w:cs="仿宋"/>
        </w:rPr>
        <w:t>3．因不可抗力造成供应商发生本保函第一条约定情形的，我方不承担保证责任。</w:t>
      </w:r>
    </w:p>
    <w:p>
      <w:pPr>
        <w:ind w:firstLine="420" w:firstLineChars="200"/>
        <w:rPr>
          <w:rFonts w:ascii="仿宋" w:hAnsi="仿宋" w:eastAsia="仿宋" w:cs="仿宋"/>
        </w:rPr>
      </w:pPr>
      <w:r>
        <w:rPr>
          <w:rFonts w:hint="eastAsia" w:ascii="仿宋" w:hAnsi="仿宋" w:eastAsia="仿宋" w:cs="仿宋"/>
        </w:rPr>
        <w:t>4．你方或其他有权机关对采购文件进行任何澄清或修改，加重我方保证责任的，我方对加重部分不承担保证责任，但该澄清或修改经我方事先书面同意的除外。</w:t>
      </w:r>
    </w:p>
    <w:p>
      <w:pPr>
        <w:ind w:firstLine="420" w:firstLineChars="200"/>
        <w:rPr>
          <w:rFonts w:ascii="仿宋" w:hAnsi="仿宋" w:eastAsia="仿宋" w:cs="仿宋"/>
        </w:rPr>
      </w:pPr>
      <w:r>
        <w:rPr>
          <w:rFonts w:hint="eastAsia" w:ascii="仿宋" w:hAnsi="仿宋" w:eastAsia="仿宋" w:cs="仿宋"/>
        </w:rPr>
        <w:t>六、争议的解决</w:t>
      </w:r>
    </w:p>
    <w:p>
      <w:pPr>
        <w:ind w:firstLine="420" w:firstLineChars="200"/>
        <w:rPr>
          <w:rFonts w:ascii="仿宋" w:hAnsi="仿宋" w:eastAsia="仿宋" w:cs="仿宋"/>
        </w:rPr>
      </w:pPr>
      <w:r>
        <w:rPr>
          <w:rFonts w:hint="eastAsia" w:ascii="仿宋" w:hAnsi="仿宋" w:eastAsia="仿宋" w:cs="仿宋"/>
        </w:rPr>
        <w:t>因本保函发生的纠纷，由你我双方协商解决，协商不成的，通过诉讼程序解决，诉讼管辖地法院为</w:t>
      </w:r>
      <w:r>
        <w:rPr>
          <w:rFonts w:hint="eastAsia" w:ascii="仿宋" w:hAnsi="仿宋" w:eastAsia="仿宋" w:cs="仿宋"/>
          <w:u w:val="single"/>
        </w:rPr>
        <w:t xml:space="preserve">          </w:t>
      </w:r>
      <w:r>
        <w:rPr>
          <w:rFonts w:hint="eastAsia" w:ascii="仿宋" w:hAnsi="仿宋" w:eastAsia="仿宋" w:cs="仿宋"/>
        </w:rPr>
        <w:t>法院。</w:t>
      </w:r>
    </w:p>
    <w:p>
      <w:pPr>
        <w:ind w:firstLine="420" w:firstLineChars="200"/>
        <w:rPr>
          <w:rFonts w:ascii="仿宋" w:hAnsi="仿宋" w:eastAsia="仿宋" w:cs="仿宋"/>
        </w:rPr>
      </w:pPr>
      <w:r>
        <w:rPr>
          <w:rFonts w:hint="eastAsia" w:ascii="仿宋" w:hAnsi="仿宋" w:eastAsia="仿宋" w:cs="仿宋"/>
        </w:rPr>
        <w:t>七、保函的生效</w:t>
      </w:r>
    </w:p>
    <w:p>
      <w:pPr>
        <w:ind w:firstLine="420" w:firstLineChars="200"/>
        <w:rPr>
          <w:rFonts w:ascii="仿宋" w:hAnsi="仿宋" w:eastAsia="仿宋" w:cs="仿宋"/>
        </w:rPr>
      </w:pPr>
      <w:r>
        <w:rPr>
          <w:rFonts w:hint="eastAsia" w:ascii="仿宋" w:hAnsi="仿宋" w:eastAsia="仿宋" w:cs="仿宋"/>
        </w:rPr>
        <w:t>本保函自我方加盖公章之日起生效。</w:t>
      </w:r>
    </w:p>
    <w:p>
      <w:pPr>
        <w:ind w:firstLine="5565" w:firstLineChars="2650"/>
        <w:rPr>
          <w:rFonts w:ascii="仿宋" w:hAnsi="仿宋" w:eastAsia="仿宋" w:cs="仿宋"/>
        </w:rPr>
      </w:pPr>
      <w:r>
        <w:rPr>
          <w:rFonts w:hint="eastAsia" w:ascii="仿宋" w:hAnsi="仿宋" w:eastAsia="仿宋" w:cs="仿宋"/>
        </w:rPr>
        <w:t>保证人：（公章）</w:t>
      </w:r>
    </w:p>
    <w:p>
      <w:pPr>
        <w:rPr>
          <w:rFonts w:ascii="仿宋" w:hAnsi="仿宋" w:eastAsia="仿宋" w:cs="仿宋"/>
        </w:rPr>
      </w:pPr>
      <w:r>
        <w:rPr>
          <w:rFonts w:hint="eastAsia" w:ascii="仿宋" w:hAnsi="仿宋" w:eastAsia="仿宋" w:cs="仿宋"/>
        </w:rPr>
        <w:t xml:space="preserve">                               </w:t>
      </w:r>
    </w:p>
    <w:p>
      <w:pPr>
        <w:ind w:firstLine="5775" w:firstLineChars="2750"/>
        <w:rPr>
          <w:rFonts w:ascii="仿宋" w:hAnsi="仿宋" w:eastAsia="仿宋" w:cs="仿宋"/>
        </w:rPr>
      </w:pPr>
      <w:r>
        <w:rPr>
          <w:rFonts w:hint="eastAsia" w:ascii="仿宋" w:hAnsi="仿宋" w:eastAsia="仿宋" w:cs="仿宋"/>
        </w:rPr>
        <w:t>年     月      日</w:t>
      </w:r>
    </w:p>
    <w:p>
      <w:pPr>
        <w:rPr>
          <w:rFonts w:ascii="仿宋" w:hAnsi="仿宋" w:eastAsia="仿宋" w:cs="仿宋"/>
        </w:rPr>
      </w:pPr>
      <w:r>
        <w:rPr>
          <w:rFonts w:hint="eastAsia" w:ascii="仿宋" w:hAnsi="仿宋" w:eastAsia="仿宋" w:cs="仿宋"/>
        </w:rPr>
        <w:br w:type="page"/>
      </w:r>
    </w:p>
    <w:bookmarkEnd w:id="340"/>
    <w:p>
      <w:pPr>
        <w:pStyle w:val="16"/>
        <w:tabs>
          <w:tab w:val="left" w:pos="5370"/>
        </w:tabs>
        <w:spacing w:line="240" w:lineRule="atLeast"/>
        <w:ind w:left="1080" w:leftChars="257" w:hanging="540"/>
        <w:rPr>
          <w:rFonts w:ascii="仿宋" w:hAnsi="仿宋" w:eastAsia="仿宋" w:cs="仿宋"/>
          <w:sz w:val="24"/>
        </w:rPr>
      </w:pPr>
    </w:p>
    <w:p>
      <w:pPr>
        <w:pStyle w:val="8"/>
        <w:spacing w:before="0" w:line="240" w:lineRule="atLeast"/>
        <w:ind w:left="1080" w:leftChars="257" w:hanging="540"/>
        <w:rPr>
          <w:rFonts w:ascii="仿宋" w:hAnsi="仿宋" w:eastAsia="仿宋" w:cs="仿宋"/>
          <w:sz w:val="24"/>
        </w:rPr>
      </w:pPr>
      <w:bookmarkStart w:id="349" w:name="_Toc20086"/>
      <w:bookmarkStart w:id="350" w:name="_Toc5272"/>
      <w:bookmarkStart w:id="351" w:name="_Toc2562"/>
      <w:bookmarkStart w:id="352" w:name="_Toc21998"/>
      <w:r>
        <w:rPr>
          <w:rFonts w:hint="eastAsia" w:ascii="仿宋" w:hAnsi="仿宋" w:eastAsia="仿宋" w:cs="仿宋"/>
          <w:sz w:val="24"/>
        </w:rPr>
        <w:t>3   技术规格偏离表（投标文件格式</w:t>
      </w:r>
      <w:r>
        <w:rPr>
          <w:rFonts w:hint="eastAsia" w:ascii="仿宋" w:hAnsi="仿宋" w:eastAsia="仿宋" w:cs="仿宋"/>
          <w:sz w:val="24"/>
          <w:lang w:val="en-US" w:eastAsia="zh-CN"/>
        </w:rPr>
        <w:t>三</w:t>
      </w:r>
      <w:r>
        <w:rPr>
          <w:rFonts w:hint="eastAsia" w:ascii="仿宋" w:hAnsi="仿宋" w:eastAsia="仿宋" w:cs="仿宋"/>
          <w:sz w:val="24"/>
        </w:rPr>
        <w:t>）</w:t>
      </w:r>
      <w:bookmarkEnd w:id="349"/>
      <w:bookmarkEnd w:id="350"/>
      <w:bookmarkEnd w:id="351"/>
      <w:bookmarkEnd w:id="352"/>
    </w:p>
    <w:p>
      <w:pPr>
        <w:pStyle w:val="16"/>
        <w:spacing w:line="240" w:lineRule="atLeast"/>
        <w:ind w:left="1080" w:leftChars="257" w:hanging="540"/>
        <w:rPr>
          <w:rFonts w:ascii="仿宋" w:hAnsi="仿宋" w:eastAsia="仿宋" w:cs="仿宋"/>
          <w:sz w:val="24"/>
        </w:rPr>
      </w:pPr>
    </w:p>
    <w:p>
      <w:pPr>
        <w:pStyle w:val="16"/>
        <w:spacing w:line="240" w:lineRule="atLeast"/>
        <w:rPr>
          <w:rFonts w:ascii="仿宋" w:hAnsi="仿宋" w:eastAsia="仿宋" w:cs="仿宋"/>
          <w:sz w:val="24"/>
        </w:rPr>
      </w:pPr>
      <w:r>
        <w:rPr>
          <w:rFonts w:hint="eastAsia" w:ascii="仿宋" w:hAnsi="仿宋" w:eastAsia="仿宋" w:cs="仿宋"/>
          <w:sz w:val="24"/>
        </w:rPr>
        <w:t xml:space="preserve">项目名称:                       招标编号:           包号：          </w:t>
      </w:r>
    </w:p>
    <w:p>
      <w:pPr>
        <w:pStyle w:val="16"/>
        <w:spacing w:line="240" w:lineRule="atLeast"/>
        <w:ind w:left="1080" w:leftChars="257" w:hanging="540"/>
        <w:rPr>
          <w:rFonts w:ascii="仿宋" w:hAnsi="仿宋" w:eastAsia="仿宋" w:cs="仿宋"/>
          <w:sz w:val="24"/>
        </w:rPr>
      </w:pPr>
    </w:p>
    <w:tbl>
      <w:tblPr>
        <w:tblStyle w:val="36"/>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16"/>
              <w:spacing w:line="240" w:lineRule="atLeast"/>
              <w:jc w:val="center"/>
              <w:rPr>
                <w:rFonts w:ascii="仿宋" w:hAnsi="仿宋" w:eastAsia="仿宋" w:cs="仿宋"/>
                <w:sz w:val="24"/>
              </w:rPr>
            </w:pPr>
            <w:r>
              <w:rPr>
                <w:rFonts w:hint="eastAsia" w:ascii="仿宋" w:hAnsi="仿宋" w:eastAsia="仿宋" w:cs="仿宋"/>
                <w:sz w:val="24"/>
              </w:rPr>
              <w:t>序号</w:t>
            </w:r>
          </w:p>
        </w:tc>
        <w:tc>
          <w:tcPr>
            <w:tcW w:w="1260" w:type="dxa"/>
            <w:vAlign w:val="center"/>
          </w:tcPr>
          <w:p>
            <w:pPr>
              <w:pStyle w:val="16"/>
              <w:spacing w:line="240" w:lineRule="atLeast"/>
              <w:jc w:val="center"/>
              <w:rPr>
                <w:rFonts w:ascii="仿宋" w:hAnsi="仿宋" w:eastAsia="仿宋" w:cs="仿宋"/>
                <w:sz w:val="24"/>
              </w:rPr>
            </w:pPr>
            <w:r>
              <w:rPr>
                <w:rFonts w:hint="eastAsia" w:ascii="仿宋" w:hAnsi="仿宋" w:eastAsia="仿宋" w:cs="仿宋"/>
                <w:sz w:val="24"/>
              </w:rPr>
              <w:t>货物名称</w:t>
            </w:r>
          </w:p>
        </w:tc>
        <w:tc>
          <w:tcPr>
            <w:tcW w:w="2340" w:type="dxa"/>
            <w:vAlign w:val="center"/>
          </w:tcPr>
          <w:p>
            <w:pPr>
              <w:pStyle w:val="16"/>
              <w:spacing w:line="240" w:lineRule="atLeast"/>
              <w:ind w:left="269" w:leftChars="128"/>
              <w:jc w:val="center"/>
              <w:rPr>
                <w:rFonts w:ascii="仿宋" w:hAnsi="仿宋" w:eastAsia="仿宋" w:cs="仿宋"/>
                <w:sz w:val="24"/>
              </w:rPr>
            </w:pPr>
            <w:r>
              <w:rPr>
                <w:rFonts w:hint="eastAsia" w:ascii="仿宋" w:hAnsi="仿宋" w:eastAsia="仿宋" w:cs="仿宋"/>
                <w:sz w:val="24"/>
              </w:rPr>
              <w:t>采购文件条款号</w:t>
            </w:r>
          </w:p>
        </w:tc>
        <w:tc>
          <w:tcPr>
            <w:tcW w:w="1260" w:type="dxa"/>
            <w:vAlign w:val="center"/>
          </w:tcPr>
          <w:p>
            <w:pPr>
              <w:pStyle w:val="16"/>
              <w:spacing w:line="240" w:lineRule="atLeast"/>
              <w:jc w:val="center"/>
              <w:rPr>
                <w:rFonts w:ascii="仿宋" w:hAnsi="仿宋" w:eastAsia="仿宋" w:cs="仿宋"/>
                <w:sz w:val="24"/>
              </w:rPr>
            </w:pPr>
            <w:r>
              <w:rPr>
                <w:rFonts w:hint="eastAsia" w:ascii="仿宋" w:hAnsi="仿宋" w:eastAsia="仿宋" w:cs="仿宋"/>
                <w:sz w:val="24"/>
              </w:rPr>
              <w:t>招标规格</w:t>
            </w:r>
          </w:p>
        </w:tc>
        <w:tc>
          <w:tcPr>
            <w:tcW w:w="1260" w:type="dxa"/>
            <w:vAlign w:val="center"/>
          </w:tcPr>
          <w:p>
            <w:pPr>
              <w:pStyle w:val="16"/>
              <w:spacing w:line="240" w:lineRule="atLeast"/>
              <w:jc w:val="center"/>
              <w:rPr>
                <w:rFonts w:ascii="仿宋" w:hAnsi="仿宋" w:eastAsia="仿宋" w:cs="仿宋"/>
                <w:sz w:val="24"/>
              </w:rPr>
            </w:pPr>
            <w:r>
              <w:rPr>
                <w:rFonts w:hint="eastAsia" w:ascii="仿宋" w:hAnsi="仿宋" w:eastAsia="仿宋" w:cs="仿宋"/>
                <w:sz w:val="24"/>
              </w:rPr>
              <w:t>投标规格</w:t>
            </w:r>
          </w:p>
        </w:tc>
        <w:tc>
          <w:tcPr>
            <w:tcW w:w="900" w:type="dxa"/>
            <w:vAlign w:val="center"/>
          </w:tcPr>
          <w:p>
            <w:pPr>
              <w:pStyle w:val="16"/>
              <w:spacing w:line="240" w:lineRule="atLeast"/>
              <w:jc w:val="center"/>
              <w:rPr>
                <w:rFonts w:ascii="仿宋" w:hAnsi="仿宋" w:eastAsia="仿宋" w:cs="仿宋"/>
                <w:sz w:val="24"/>
              </w:rPr>
            </w:pPr>
            <w:r>
              <w:rPr>
                <w:rFonts w:hint="eastAsia" w:ascii="仿宋" w:hAnsi="仿宋" w:eastAsia="仿宋" w:cs="仿宋"/>
                <w:sz w:val="24"/>
              </w:rPr>
              <w:t>偏离</w:t>
            </w:r>
          </w:p>
        </w:tc>
        <w:tc>
          <w:tcPr>
            <w:tcW w:w="900" w:type="dxa"/>
            <w:vAlign w:val="center"/>
          </w:tcPr>
          <w:p>
            <w:pPr>
              <w:pStyle w:val="16"/>
              <w:spacing w:line="240" w:lineRule="atLeast"/>
              <w:jc w:val="center"/>
              <w:rPr>
                <w:rFonts w:ascii="仿宋" w:hAnsi="仿宋" w:eastAsia="仿宋" w:cs="仿宋"/>
                <w:sz w:val="24"/>
              </w:rPr>
            </w:pPr>
            <w:r>
              <w:rPr>
                <w:rFonts w:hint="eastAsia" w:ascii="仿宋" w:hAnsi="仿宋" w:eastAsia="仿宋" w:cs="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240" w:lineRule="atLeast"/>
              <w:ind w:left="1080" w:leftChars="257" w:hanging="540"/>
              <w:rPr>
                <w:rFonts w:ascii="仿宋" w:hAnsi="仿宋" w:eastAsia="仿宋" w:cs="仿宋"/>
                <w:sz w:val="24"/>
              </w:rPr>
            </w:pPr>
          </w:p>
        </w:tc>
        <w:tc>
          <w:tcPr>
            <w:tcW w:w="1260" w:type="dxa"/>
          </w:tcPr>
          <w:p>
            <w:pPr>
              <w:pStyle w:val="16"/>
              <w:spacing w:line="240" w:lineRule="atLeast"/>
              <w:ind w:left="1080" w:leftChars="257" w:hanging="540"/>
              <w:rPr>
                <w:rFonts w:ascii="仿宋" w:hAnsi="仿宋" w:eastAsia="仿宋" w:cs="仿宋"/>
                <w:sz w:val="24"/>
              </w:rPr>
            </w:pPr>
          </w:p>
        </w:tc>
        <w:tc>
          <w:tcPr>
            <w:tcW w:w="2340" w:type="dxa"/>
          </w:tcPr>
          <w:p>
            <w:pPr>
              <w:pStyle w:val="16"/>
              <w:spacing w:line="240" w:lineRule="atLeast"/>
              <w:ind w:left="1080" w:leftChars="257" w:hanging="540"/>
              <w:rPr>
                <w:rFonts w:ascii="仿宋" w:hAnsi="仿宋" w:eastAsia="仿宋" w:cs="仿宋"/>
                <w:sz w:val="24"/>
              </w:rPr>
            </w:pPr>
          </w:p>
        </w:tc>
        <w:tc>
          <w:tcPr>
            <w:tcW w:w="1260" w:type="dxa"/>
          </w:tcPr>
          <w:p>
            <w:pPr>
              <w:pStyle w:val="16"/>
              <w:spacing w:line="240" w:lineRule="atLeast"/>
              <w:ind w:left="1080" w:leftChars="257" w:hanging="540"/>
              <w:rPr>
                <w:rFonts w:ascii="仿宋" w:hAnsi="仿宋" w:eastAsia="仿宋" w:cs="仿宋"/>
                <w:sz w:val="24"/>
              </w:rPr>
            </w:pPr>
          </w:p>
        </w:tc>
        <w:tc>
          <w:tcPr>
            <w:tcW w:w="126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240" w:lineRule="atLeast"/>
              <w:ind w:left="1080" w:leftChars="257" w:hanging="540"/>
              <w:rPr>
                <w:rFonts w:ascii="仿宋" w:hAnsi="仿宋" w:eastAsia="仿宋" w:cs="仿宋"/>
                <w:sz w:val="24"/>
              </w:rPr>
            </w:pPr>
          </w:p>
        </w:tc>
        <w:tc>
          <w:tcPr>
            <w:tcW w:w="1260" w:type="dxa"/>
          </w:tcPr>
          <w:p>
            <w:pPr>
              <w:pStyle w:val="16"/>
              <w:spacing w:line="240" w:lineRule="atLeast"/>
              <w:ind w:left="1080" w:leftChars="257" w:hanging="540"/>
              <w:rPr>
                <w:rFonts w:ascii="仿宋" w:hAnsi="仿宋" w:eastAsia="仿宋" w:cs="仿宋"/>
                <w:sz w:val="24"/>
              </w:rPr>
            </w:pPr>
          </w:p>
        </w:tc>
        <w:tc>
          <w:tcPr>
            <w:tcW w:w="2340" w:type="dxa"/>
          </w:tcPr>
          <w:p>
            <w:pPr>
              <w:pStyle w:val="16"/>
              <w:spacing w:line="240" w:lineRule="atLeast"/>
              <w:ind w:left="1080" w:leftChars="257" w:hanging="540"/>
              <w:rPr>
                <w:rFonts w:ascii="仿宋" w:hAnsi="仿宋" w:eastAsia="仿宋" w:cs="仿宋"/>
                <w:sz w:val="24"/>
              </w:rPr>
            </w:pPr>
          </w:p>
        </w:tc>
        <w:tc>
          <w:tcPr>
            <w:tcW w:w="1260" w:type="dxa"/>
          </w:tcPr>
          <w:p>
            <w:pPr>
              <w:pStyle w:val="16"/>
              <w:spacing w:line="240" w:lineRule="atLeast"/>
              <w:ind w:left="1080" w:leftChars="257" w:hanging="540"/>
              <w:rPr>
                <w:rFonts w:ascii="仿宋" w:hAnsi="仿宋" w:eastAsia="仿宋" w:cs="仿宋"/>
                <w:sz w:val="24"/>
              </w:rPr>
            </w:pPr>
          </w:p>
        </w:tc>
        <w:tc>
          <w:tcPr>
            <w:tcW w:w="126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240" w:lineRule="atLeast"/>
              <w:ind w:left="1080" w:leftChars="257" w:hanging="540"/>
              <w:rPr>
                <w:rFonts w:ascii="仿宋" w:hAnsi="仿宋" w:eastAsia="仿宋" w:cs="仿宋"/>
                <w:sz w:val="24"/>
              </w:rPr>
            </w:pPr>
          </w:p>
        </w:tc>
        <w:tc>
          <w:tcPr>
            <w:tcW w:w="1260" w:type="dxa"/>
          </w:tcPr>
          <w:p>
            <w:pPr>
              <w:pStyle w:val="16"/>
              <w:spacing w:line="240" w:lineRule="atLeast"/>
              <w:ind w:left="1080" w:leftChars="257" w:hanging="540"/>
              <w:rPr>
                <w:rFonts w:ascii="仿宋" w:hAnsi="仿宋" w:eastAsia="仿宋" w:cs="仿宋"/>
                <w:sz w:val="24"/>
              </w:rPr>
            </w:pPr>
          </w:p>
        </w:tc>
        <w:tc>
          <w:tcPr>
            <w:tcW w:w="2340" w:type="dxa"/>
          </w:tcPr>
          <w:p>
            <w:pPr>
              <w:pStyle w:val="16"/>
              <w:spacing w:line="240" w:lineRule="atLeast"/>
              <w:ind w:left="1080" w:leftChars="257" w:hanging="540"/>
              <w:rPr>
                <w:rFonts w:ascii="仿宋" w:hAnsi="仿宋" w:eastAsia="仿宋" w:cs="仿宋"/>
                <w:sz w:val="24"/>
              </w:rPr>
            </w:pPr>
          </w:p>
        </w:tc>
        <w:tc>
          <w:tcPr>
            <w:tcW w:w="1260" w:type="dxa"/>
          </w:tcPr>
          <w:p>
            <w:pPr>
              <w:pStyle w:val="16"/>
              <w:spacing w:line="240" w:lineRule="atLeast"/>
              <w:ind w:left="1080" w:leftChars="257" w:hanging="540"/>
              <w:rPr>
                <w:rFonts w:ascii="仿宋" w:hAnsi="仿宋" w:eastAsia="仿宋" w:cs="仿宋"/>
                <w:sz w:val="24"/>
              </w:rPr>
            </w:pPr>
          </w:p>
        </w:tc>
        <w:tc>
          <w:tcPr>
            <w:tcW w:w="126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240" w:lineRule="atLeast"/>
              <w:ind w:left="1080" w:leftChars="257" w:hanging="540"/>
              <w:rPr>
                <w:rFonts w:ascii="仿宋" w:hAnsi="仿宋" w:eastAsia="仿宋" w:cs="仿宋"/>
                <w:sz w:val="24"/>
              </w:rPr>
            </w:pPr>
          </w:p>
        </w:tc>
        <w:tc>
          <w:tcPr>
            <w:tcW w:w="1260" w:type="dxa"/>
          </w:tcPr>
          <w:p>
            <w:pPr>
              <w:pStyle w:val="16"/>
              <w:spacing w:line="240" w:lineRule="atLeast"/>
              <w:ind w:left="1080" w:leftChars="257" w:hanging="540"/>
              <w:rPr>
                <w:rFonts w:ascii="仿宋" w:hAnsi="仿宋" w:eastAsia="仿宋" w:cs="仿宋"/>
                <w:sz w:val="24"/>
              </w:rPr>
            </w:pPr>
          </w:p>
        </w:tc>
        <w:tc>
          <w:tcPr>
            <w:tcW w:w="2340" w:type="dxa"/>
          </w:tcPr>
          <w:p>
            <w:pPr>
              <w:pStyle w:val="16"/>
              <w:spacing w:line="240" w:lineRule="atLeast"/>
              <w:ind w:left="1080" w:leftChars="257" w:hanging="540"/>
              <w:rPr>
                <w:rFonts w:ascii="仿宋" w:hAnsi="仿宋" w:eastAsia="仿宋" w:cs="仿宋"/>
                <w:sz w:val="24"/>
              </w:rPr>
            </w:pPr>
          </w:p>
        </w:tc>
        <w:tc>
          <w:tcPr>
            <w:tcW w:w="1260" w:type="dxa"/>
          </w:tcPr>
          <w:p>
            <w:pPr>
              <w:pStyle w:val="16"/>
              <w:spacing w:line="240" w:lineRule="atLeast"/>
              <w:ind w:left="1080" w:leftChars="257" w:hanging="540"/>
              <w:rPr>
                <w:rFonts w:ascii="仿宋" w:hAnsi="仿宋" w:eastAsia="仿宋" w:cs="仿宋"/>
                <w:sz w:val="24"/>
              </w:rPr>
            </w:pPr>
          </w:p>
        </w:tc>
        <w:tc>
          <w:tcPr>
            <w:tcW w:w="126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240" w:lineRule="atLeast"/>
              <w:ind w:left="1080" w:leftChars="257" w:hanging="540"/>
              <w:rPr>
                <w:rFonts w:ascii="仿宋" w:hAnsi="仿宋" w:eastAsia="仿宋" w:cs="仿宋"/>
                <w:sz w:val="24"/>
              </w:rPr>
            </w:pPr>
          </w:p>
        </w:tc>
        <w:tc>
          <w:tcPr>
            <w:tcW w:w="1260" w:type="dxa"/>
          </w:tcPr>
          <w:p>
            <w:pPr>
              <w:pStyle w:val="16"/>
              <w:spacing w:line="240" w:lineRule="atLeast"/>
              <w:ind w:left="1080" w:leftChars="257" w:hanging="540"/>
              <w:rPr>
                <w:rFonts w:ascii="仿宋" w:hAnsi="仿宋" w:eastAsia="仿宋" w:cs="仿宋"/>
                <w:sz w:val="24"/>
              </w:rPr>
            </w:pPr>
          </w:p>
        </w:tc>
        <w:tc>
          <w:tcPr>
            <w:tcW w:w="2340" w:type="dxa"/>
          </w:tcPr>
          <w:p>
            <w:pPr>
              <w:pStyle w:val="16"/>
              <w:spacing w:line="240" w:lineRule="atLeast"/>
              <w:ind w:left="1080" w:leftChars="257" w:hanging="540"/>
              <w:rPr>
                <w:rFonts w:ascii="仿宋" w:hAnsi="仿宋" w:eastAsia="仿宋" w:cs="仿宋"/>
                <w:sz w:val="24"/>
              </w:rPr>
            </w:pPr>
          </w:p>
        </w:tc>
        <w:tc>
          <w:tcPr>
            <w:tcW w:w="1260" w:type="dxa"/>
          </w:tcPr>
          <w:p>
            <w:pPr>
              <w:pStyle w:val="16"/>
              <w:spacing w:line="240" w:lineRule="atLeast"/>
              <w:ind w:left="1080" w:leftChars="257" w:hanging="540"/>
              <w:rPr>
                <w:rFonts w:ascii="仿宋" w:hAnsi="仿宋" w:eastAsia="仿宋" w:cs="仿宋"/>
                <w:sz w:val="24"/>
              </w:rPr>
            </w:pPr>
          </w:p>
        </w:tc>
        <w:tc>
          <w:tcPr>
            <w:tcW w:w="126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240" w:lineRule="atLeast"/>
              <w:ind w:left="1080" w:leftChars="257" w:hanging="540"/>
              <w:rPr>
                <w:rFonts w:ascii="仿宋" w:hAnsi="仿宋" w:eastAsia="仿宋" w:cs="仿宋"/>
                <w:sz w:val="24"/>
              </w:rPr>
            </w:pPr>
          </w:p>
        </w:tc>
        <w:tc>
          <w:tcPr>
            <w:tcW w:w="1260" w:type="dxa"/>
          </w:tcPr>
          <w:p>
            <w:pPr>
              <w:pStyle w:val="16"/>
              <w:spacing w:line="240" w:lineRule="atLeast"/>
              <w:ind w:left="1080" w:leftChars="257" w:hanging="540"/>
              <w:rPr>
                <w:rFonts w:ascii="仿宋" w:hAnsi="仿宋" w:eastAsia="仿宋" w:cs="仿宋"/>
                <w:sz w:val="24"/>
              </w:rPr>
            </w:pPr>
          </w:p>
        </w:tc>
        <w:tc>
          <w:tcPr>
            <w:tcW w:w="2340" w:type="dxa"/>
          </w:tcPr>
          <w:p>
            <w:pPr>
              <w:pStyle w:val="16"/>
              <w:spacing w:line="240" w:lineRule="atLeast"/>
              <w:ind w:left="1080" w:leftChars="257" w:hanging="540"/>
              <w:rPr>
                <w:rFonts w:ascii="仿宋" w:hAnsi="仿宋" w:eastAsia="仿宋" w:cs="仿宋"/>
                <w:sz w:val="24"/>
              </w:rPr>
            </w:pPr>
          </w:p>
        </w:tc>
        <w:tc>
          <w:tcPr>
            <w:tcW w:w="1260" w:type="dxa"/>
          </w:tcPr>
          <w:p>
            <w:pPr>
              <w:pStyle w:val="16"/>
              <w:spacing w:line="240" w:lineRule="atLeast"/>
              <w:ind w:left="1080" w:leftChars="257" w:hanging="540"/>
              <w:rPr>
                <w:rFonts w:ascii="仿宋" w:hAnsi="仿宋" w:eastAsia="仿宋" w:cs="仿宋"/>
                <w:sz w:val="24"/>
              </w:rPr>
            </w:pPr>
          </w:p>
        </w:tc>
        <w:tc>
          <w:tcPr>
            <w:tcW w:w="126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240" w:lineRule="atLeast"/>
              <w:ind w:left="1080" w:leftChars="257" w:hanging="540"/>
              <w:rPr>
                <w:rFonts w:ascii="仿宋" w:hAnsi="仿宋" w:eastAsia="仿宋" w:cs="仿宋"/>
                <w:sz w:val="24"/>
              </w:rPr>
            </w:pPr>
          </w:p>
        </w:tc>
        <w:tc>
          <w:tcPr>
            <w:tcW w:w="1260" w:type="dxa"/>
          </w:tcPr>
          <w:p>
            <w:pPr>
              <w:pStyle w:val="16"/>
              <w:spacing w:line="240" w:lineRule="atLeast"/>
              <w:ind w:left="1080" w:leftChars="257" w:hanging="540"/>
              <w:rPr>
                <w:rFonts w:ascii="仿宋" w:hAnsi="仿宋" w:eastAsia="仿宋" w:cs="仿宋"/>
                <w:sz w:val="24"/>
              </w:rPr>
            </w:pPr>
          </w:p>
        </w:tc>
        <w:tc>
          <w:tcPr>
            <w:tcW w:w="2340" w:type="dxa"/>
          </w:tcPr>
          <w:p>
            <w:pPr>
              <w:pStyle w:val="16"/>
              <w:spacing w:line="240" w:lineRule="atLeast"/>
              <w:ind w:left="1080" w:leftChars="257" w:hanging="540"/>
              <w:rPr>
                <w:rFonts w:ascii="仿宋" w:hAnsi="仿宋" w:eastAsia="仿宋" w:cs="仿宋"/>
                <w:sz w:val="24"/>
              </w:rPr>
            </w:pPr>
          </w:p>
        </w:tc>
        <w:tc>
          <w:tcPr>
            <w:tcW w:w="1260" w:type="dxa"/>
          </w:tcPr>
          <w:p>
            <w:pPr>
              <w:pStyle w:val="16"/>
              <w:spacing w:line="240" w:lineRule="atLeast"/>
              <w:ind w:left="1080" w:leftChars="257" w:hanging="540"/>
              <w:rPr>
                <w:rFonts w:ascii="仿宋" w:hAnsi="仿宋" w:eastAsia="仿宋" w:cs="仿宋"/>
                <w:sz w:val="24"/>
              </w:rPr>
            </w:pPr>
          </w:p>
        </w:tc>
        <w:tc>
          <w:tcPr>
            <w:tcW w:w="126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240" w:lineRule="atLeast"/>
              <w:ind w:left="1080" w:leftChars="257" w:hanging="540"/>
              <w:rPr>
                <w:rFonts w:ascii="仿宋" w:hAnsi="仿宋" w:eastAsia="仿宋" w:cs="仿宋"/>
                <w:sz w:val="24"/>
              </w:rPr>
            </w:pPr>
          </w:p>
        </w:tc>
        <w:tc>
          <w:tcPr>
            <w:tcW w:w="1260" w:type="dxa"/>
          </w:tcPr>
          <w:p>
            <w:pPr>
              <w:pStyle w:val="16"/>
              <w:spacing w:line="240" w:lineRule="atLeast"/>
              <w:ind w:left="1080" w:leftChars="257" w:hanging="540"/>
              <w:rPr>
                <w:rFonts w:ascii="仿宋" w:hAnsi="仿宋" w:eastAsia="仿宋" w:cs="仿宋"/>
                <w:sz w:val="24"/>
              </w:rPr>
            </w:pPr>
          </w:p>
        </w:tc>
        <w:tc>
          <w:tcPr>
            <w:tcW w:w="2340" w:type="dxa"/>
          </w:tcPr>
          <w:p>
            <w:pPr>
              <w:pStyle w:val="16"/>
              <w:spacing w:line="240" w:lineRule="atLeast"/>
              <w:ind w:left="1080" w:leftChars="257" w:hanging="540"/>
              <w:rPr>
                <w:rFonts w:ascii="仿宋" w:hAnsi="仿宋" w:eastAsia="仿宋" w:cs="仿宋"/>
                <w:sz w:val="24"/>
              </w:rPr>
            </w:pPr>
          </w:p>
        </w:tc>
        <w:tc>
          <w:tcPr>
            <w:tcW w:w="1260" w:type="dxa"/>
          </w:tcPr>
          <w:p>
            <w:pPr>
              <w:pStyle w:val="16"/>
              <w:spacing w:line="240" w:lineRule="atLeast"/>
              <w:ind w:left="1080" w:leftChars="257" w:hanging="540"/>
              <w:rPr>
                <w:rFonts w:ascii="仿宋" w:hAnsi="仿宋" w:eastAsia="仿宋" w:cs="仿宋"/>
                <w:sz w:val="24"/>
              </w:rPr>
            </w:pPr>
          </w:p>
        </w:tc>
        <w:tc>
          <w:tcPr>
            <w:tcW w:w="126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240" w:lineRule="atLeast"/>
              <w:ind w:left="1080" w:leftChars="257" w:hanging="540"/>
              <w:rPr>
                <w:rFonts w:ascii="仿宋" w:hAnsi="仿宋" w:eastAsia="仿宋" w:cs="仿宋"/>
                <w:sz w:val="24"/>
              </w:rPr>
            </w:pPr>
          </w:p>
        </w:tc>
        <w:tc>
          <w:tcPr>
            <w:tcW w:w="1260" w:type="dxa"/>
          </w:tcPr>
          <w:p>
            <w:pPr>
              <w:pStyle w:val="16"/>
              <w:spacing w:line="240" w:lineRule="atLeast"/>
              <w:ind w:left="1080" w:leftChars="257" w:hanging="540"/>
              <w:rPr>
                <w:rFonts w:ascii="仿宋" w:hAnsi="仿宋" w:eastAsia="仿宋" w:cs="仿宋"/>
                <w:sz w:val="24"/>
              </w:rPr>
            </w:pPr>
          </w:p>
        </w:tc>
        <w:tc>
          <w:tcPr>
            <w:tcW w:w="2340" w:type="dxa"/>
          </w:tcPr>
          <w:p>
            <w:pPr>
              <w:pStyle w:val="16"/>
              <w:spacing w:line="240" w:lineRule="atLeast"/>
              <w:ind w:left="1080" w:leftChars="257" w:hanging="540"/>
              <w:rPr>
                <w:rFonts w:ascii="仿宋" w:hAnsi="仿宋" w:eastAsia="仿宋" w:cs="仿宋"/>
                <w:sz w:val="24"/>
              </w:rPr>
            </w:pPr>
          </w:p>
        </w:tc>
        <w:tc>
          <w:tcPr>
            <w:tcW w:w="1260" w:type="dxa"/>
          </w:tcPr>
          <w:p>
            <w:pPr>
              <w:pStyle w:val="16"/>
              <w:spacing w:line="240" w:lineRule="atLeast"/>
              <w:ind w:left="1080" w:leftChars="257" w:hanging="540"/>
              <w:rPr>
                <w:rFonts w:ascii="仿宋" w:hAnsi="仿宋" w:eastAsia="仿宋" w:cs="仿宋"/>
                <w:sz w:val="24"/>
              </w:rPr>
            </w:pPr>
          </w:p>
        </w:tc>
        <w:tc>
          <w:tcPr>
            <w:tcW w:w="126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240" w:lineRule="atLeast"/>
              <w:ind w:left="1080" w:leftChars="257" w:hanging="540"/>
              <w:rPr>
                <w:rFonts w:ascii="仿宋" w:hAnsi="仿宋" w:eastAsia="仿宋" w:cs="仿宋"/>
                <w:sz w:val="24"/>
              </w:rPr>
            </w:pPr>
          </w:p>
        </w:tc>
        <w:tc>
          <w:tcPr>
            <w:tcW w:w="1260" w:type="dxa"/>
          </w:tcPr>
          <w:p>
            <w:pPr>
              <w:pStyle w:val="16"/>
              <w:spacing w:line="240" w:lineRule="atLeast"/>
              <w:ind w:left="1080" w:leftChars="257" w:hanging="540"/>
              <w:rPr>
                <w:rFonts w:ascii="仿宋" w:hAnsi="仿宋" w:eastAsia="仿宋" w:cs="仿宋"/>
                <w:sz w:val="24"/>
              </w:rPr>
            </w:pPr>
          </w:p>
        </w:tc>
        <w:tc>
          <w:tcPr>
            <w:tcW w:w="2340" w:type="dxa"/>
          </w:tcPr>
          <w:p>
            <w:pPr>
              <w:pStyle w:val="16"/>
              <w:spacing w:line="240" w:lineRule="atLeast"/>
              <w:ind w:left="1080" w:leftChars="257" w:hanging="540"/>
              <w:rPr>
                <w:rFonts w:ascii="仿宋" w:hAnsi="仿宋" w:eastAsia="仿宋" w:cs="仿宋"/>
                <w:sz w:val="24"/>
              </w:rPr>
            </w:pPr>
          </w:p>
        </w:tc>
        <w:tc>
          <w:tcPr>
            <w:tcW w:w="1260" w:type="dxa"/>
          </w:tcPr>
          <w:p>
            <w:pPr>
              <w:pStyle w:val="16"/>
              <w:spacing w:line="240" w:lineRule="atLeast"/>
              <w:ind w:left="1080" w:leftChars="257" w:hanging="540"/>
              <w:rPr>
                <w:rFonts w:ascii="仿宋" w:hAnsi="仿宋" w:eastAsia="仿宋" w:cs="仿宋"/>
                <w:sz w:val="24"/>
              </w:rPr>
            </w:pPr>
          </w:p>
        </w:tc>
        <w:tc>
          <w:tcPr>
            <w:tcW w:w="126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240" w:lineRule="atLeast"/>
              <w:ind w:left="1080" w:leftChars="257" w:hanging="540"/>
              <w:rPr>
                <w:rFonts w:ascii="仿宋" w:hAnsi="仿宋" w:eastAsia="仿宋" w:cs="仿宋"/>
                <w:sz w:val="24"/>
              </w:rPr>
            </w:pPr>
          </w:p>
        </w:tc>
        <w:tc>
          <w:tcPr>
            <w:tcW w:w="1260" w:type="dxa"/>
          </w:tcPr>
          <w:p>
            <w:pPr>
              <w:pStyle w:val="16"/>
              <w:spacing w:line="240" w:lineRule="atLeast"/>
              <w:ind w:left="1080" w:leftChars="257" w:hanging="540"/>
              <w:rPr>
                <w:rFonts w:ascii="仿宋" w:hAnsi="仿宋" w:eastAsia="仿宋" w:cs="仿宋"/>
                <w:sz w:val="24"/>
              </w:rPr>
            </w:pPr>
          </w:p>
        </w:tc>
        <w:tc>
          <w:tcPr>
            <w:tcW w:w="2340" w:type="dxa"/>
          </w:tcPr>
          <w:p>
            <w:pPr>
              <w:pStyle w:val="16"/>
              <w:spacing w:line="240" w:lineRule="atLeast"/>
              <w:ind w:left="1080" w:leftChars="257" w:hanging="540"/>
              <w:rPr>
                <w:rFonts w:ascii="仿宋" w:hAnsi="仿宋" w:eastAsia="仿宋" w:cs="仿宋"/>
                <w:sz w:val="24"/>
              </w:rPr>
            </w:pPr>
          </w:p>
        </w:tc>
        <w:tc>
          <w:tcPr>
            <w:tcW w:w="1260" w:type="dxa"/>
          </w:tcPr>
          <w:p>
            <w:pPr>
              <w:pStyle w:val="16"/>
              <w:spacing w:line="240" w:lineRule="atLeast"/>
              <w:ind w:left="1080" w:leftChars="257" w:hanging="540"/>
              <w:rPr>
                <w:rFonts w:ascii="仿宋" w:hAnsi="仿宋" w:eastAsia="仿宋" w:cs="仿宋"/>
                <w:sz w:val="24"/>
              </w:rPr>
            </w:pPr>
          </w:p>
        </w:tc>
        <w:tc>
          <w:tcPr>
            <w:tcW w:w="126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240" w:lineRule="atLeast"/>
              <w:ind w:left="1080" w:leftChars="257" w:hanging="540"/>
              <w:rPr>
                <w:rFonts w:ascii="仿宋" w:hAnsi="仿宋" w:eastAsia="仿宋" w:cs="仿宋"/>
                <w:sz w:val="24"/>
              </w:rPr>
            </w:pPr>
          </w:p>
        </w:tc>
        <w:tc>
          <w:tcPr>
            <w:tcW w:w="1260" w:type="dxa"/>
          </w:tcPr>
          <w:p>
            <w:pPr>
              <w:pStyle w:val="16"/>
              <w:spacing w:line="240" w:lineRule="atLeast"/>
              <w:ind w:left="1080" w:leftChars="257" w:hanging="540"/>
              <w:rPr>
                <w:rFonts w:ascii="仿宋" w:hAnsi="仿宋" w:eastAsia="仿宋" w:cs="仿宋"/>
                <w:sz w:val="24"/>
              </w:rPr>
            </w:pPr>
          </w:p>
        </w:tc>
        <w:tc>
          <w:tcPr>
            <w:tcW w:w="2340" w:type="dxa"/>
          </w:tcPr>
          <w:p>
            <w:pPr>
              <w:pStyle w:val="16"/>
              <w:spacing w:line="240" w:lineRule="atLeast"/>
              <w:ind w:left="1080" w:leftChars="257" w:hanging="540"/>
              <w:rPr>
                <w:rFonts w:ascii="仿宋" w:hAnsi="仿宋" w:eastAsia="仿宋" w:cs="仿宋"/>
                <w:sz w:val="24"/>
              </w:rPr>
            </w:pPr>
          </w:p>
        </w:tc>
        <w:tc>
          <w:tcPr>
            <w:tcW w:w="1260" w:type="dxa"/>
          </w:tcPr>
          <w:p>
            <w:pPr>
              <w:pStyle w:val="16"/>
              <w:spacing w:line="240" w:lineRule="atLeast"/>
              <w:ind w:left="1080" w:leftChars="257" w:hanging="540"/>
              <w:rPr>
                <w:rFonts w:ascii="仿宋" w:hAnsi="仿宋" w:eastAsia="仿宋" w:cs="仿宋"/>
                <w:sz w:val="24"/>
              </w:rPr>
            </w:pPr>
          </w:p>
        </w:tc>
        <w:tc>
          <w:tcPr>
            <w:tcW w:w="126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240" w:lineRule="atLeast"/>
              <w:ind w:left="1080" w:leftChars="257" w:hanging="540"/>
              <w:rPr>
                <w:rFonts w:ascii="仿宋" w:hAnsi="仿宋" w:eastAsia="仿宋" w:cs="仿宋"/>
                <w:sz w:val="24"/>
              </w:rPr>
            </w:pPr>
          </w:p>
        </w:tc>
        <w:tc>
          <w:tcPr>
            <w:tcW w:w="1260" w:type="dxa"/>
          </w:tcPr>
          <w:p>
            <w:pPr>
              <w:pStyle w:val="16"/>
              <w:spacing w:line="240" w:lineRule="atLeast"/>
              <w:ind w:left="1080" w:leftChars="257" w:hanging="540"/>
              <w:rPr>
                <w:rFonts w:ascii="仿宋" w:hAnsi="仿宋" w:eastAsia="仿宋" w:cs="仿宋"/>
                <w:sz w:val="24"/>
              </w:rPr>
            </w:pPr>
          </w:p>
        </w:tc>
        <w:tc>
          <w:tcPr>
            <w:tcW w:w="2340" w:type="dxa"/>
          </w:tcPr>
          <w:p>
            <w:pPr>
              <w:pStyle w:val="16"/>
              <w:spacing w:line="240" w:lineRule="atLeast"/>
              <w:ind w:left="1080" w:leftChars="257" w:hanging="540"/>
              <w:rPr>
                <w:rFonts w:ascii="仿宋" w:hAnsi="仿宋" w:eastAsia="仿宋" w:cs="仿宋"/>
                <w:sz w:val="24"/>
              </w:rPr>
            </w:pPr>
          </w:p>
        </w:tc>
        <w:tc>
          <w:tcPr>
            <w:tcW w:w="1260" w:type="dxa"/>
          </w:tcPr>
          <w:p>
            <w:pPr>
              <w:pStyle w:val="16"/>
              <w:spacing w:line="240" w:lineRule="atLeast"/>
              <w:ind w:left="1080" w:leftChars="257" w:hanging="540"/>
              <w:rPr>
                <w:rFonts w:ascii="仿宋" w:hAnsi="仿宋" w:eastAsia="仿宋" w:cs="仿宋"/>
                <w:sz w:val="24"/>
              </w:rPr>
            </w:pPr>
          </w:p>
        </w:tc>
        <w:tc>
          <w:tcPr>
            <w:tcW w:w="126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240" w:lineRule="atLeast"/>
              <w:ind w:left="1080" w:leftChars="257" w:hanging="540"/>
              <w:rPr>
                <w:rFonts w:ascii="仿宋" w:hAnsi="仿宋" w:eastAsia="仿宋" w:cs="仿宋"/>
                <w:sz w:val="24"/>
              </w:rPr>
            </w:pPr>
          </w:p>
        </w:tc>
        <w:tc>
          <w:tcPr>
            <w:tcW w:w="1260" w:type="dxa"/>
          </w:tcPr>
          <w:p>
            <w:pPr>
              <w:pStyle w:val="16"/>
              <w:spacing w:line="240" w:lineRule="atLeast"/>
              <w:ind w:left="1080" w:leftChars="257" w:hanging="540"/>
              <w:rPr>
                <w:rFonts w:ascii="仿宋" w:hAnsi="仿宋" w:eastAsia="仿宋" w:cs="仿宋"/>
                <w:sz w:val="24"/>
              </w:rPr>
            </w:pPr>
          </w:p>
        </w:tc>
        <w:tc>
          <w:tcPr>
            <w:tcW w:w="2340" w:type="dxa"/>
          </w:tcPr>
          <w:p>
            <w:pPr>
              <w:pStyle w:val="16"/>
              <w:spacing w:line="240" w:lineRule="atLeast"/>
              <w:ind w:left="1080" w:leftChars="257" w:hanging="540"/>
              <w:rPr>
                <w:rFonts w:ascii="仿宋" w:hAnsi="仿宋" w:eastAsia="仿宋" w:cs="仿宋"/>
                <w:sz w:val="24"/>
              </w:rPr>
            </w:pPr>
          </w:p>
        </w:tc>
        <w:tc>
          <w:tcPr>
            <w:tcW w:w="1260" w:type="dxa"/>
          </w:tcPr>
          <w:p>
            <w:pPr>
              <w:pStyle w:val="16"/>
              <w:spacing w:line="240" w:lineRule="atLeast"/>
              <w:ind w:left="1080" w:leftChars="257" w:hanging="540"/>
              <w:rPr>
                <w:rFonts w:ascii="仿宋" w:hAnsi="仿宋" w:eastAsia="仿宋" w:cs="仿宋"/>
                <w:sz w:val="24"/>
              </w:rPr>
            </w:pPr>
          </w:p>
        </w:tc>
        <w:tc>
          <w:tcPr>
            <w:tcW w:w="126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240" w:lineRule="atLeast"/>
              <w:ind w:left="1080" w:leftChars="257" w:hanging="540"/>
              <w:rPr>
                <w:rFonts w:ascii="仿宋" w:hAnsi="仿宋" w:eastAsia="仿宋" w:cs="仿宋"/>
                <w:sz w:val="24"/>
              </w:rPr>
            </w:pPr>
          </w:p>
        </w:tc>
        <w:tc>
          <w:tcPr>
            <w:tcW w:w="1260" w:type="dxa"/>
          </w:tcPr>
          <w:p>
            <w:pPr>
              <w:pStyle w:val="16"/>
              <w:spacing w:line="240" w:lineRule="atLeast"/>
              <w:ind w:left="1080" w:leftChars="257" w:hanging="540"/>
              <w:rPr>
                <w:rFonts w:ascii="仿宋" w:hAnsi="仿宋" w:eastAsia="仿宋" w:cs="仿宋"/>
                <w:sz w:val="24"/>
              </w:rPr>
            </w:pPr>
          </w:p>
        </w:tc>
        <w:tc>
          <w:tcPr>
            <w:tcW w:w="2340" w:type="dxa"/>
          </w:tcPr>
          <w:p>
            <w:pPr>
              <w:pStyle w:val="16"/>
              <w:spacing w:line="240" w:lineRule="atLeast"/>
              <w:ind w:left="1080" w:leftChars="257" w:hanging="540"/>
              <w:rPr>
                <w:rFonts w:ascii="仿宋" w:hAnsi="仿宋" w:eastAsia="仿宋" w:cs="仿宋"/>
                <w:sz w:val="24"/>
              </w:rPr>
            </w:pPr>
          </w:p>
        </w:tc>
        <w:tc>
          <w:tcPr>
            <w:tcW w:w="1260" w:type="dxa"/>
          </w:tcPr>
          <w:p>
            <w:pPr>
              <w:pStyle w:val="16"/>
              <w:spacing w:line="240" w:lineRule="atLeast"/>
              <w:ind w:left="1080" w:leftChars="257" w:hanging="540"/>
              <w:rPr>
                <w:rFonts w:ascii="仿宋" w:hAnsi="仿宋" w:eastAsia="仿宋" w:cs="仿宋"/>
                <w:sz w:val="24"/>
              </w:rPr>
            </w:pPr>
          </w:p>
        </w:tc>
        <w:tc>
          <w:tcPr>
            <w:tcW w:w="126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240" w:lineRule="atLeast"/>
              <w:ind w:left="1080" w:leftChars="257" w:hanging="540"/>
              <w:rPr>
                <w:rFonts w:ascii="仿宋" w:hAnsi="仿宋" w:eastAsia="仿宋" w:cs="仿宋"/>
                <w:sz w:val="24"/>
              </w:rPr>
            </w:pPr>
          </w:p>
        </w:tc>
        <w:tc>
          <w:tcPr>
            <w:tcW w:w="1260" w:type="dxa"/>
          </w:tcPr>
          <w:p>
            <w:pPr>
              <w:pStyle w:val="16"/>
              <w:spacing w:line="240" w:lineRule="atLeast"/>
              <w:ind w:left="1080" w:leftChars="257" w:hanging="540"/>
              <w:rPr>
                <w:rFonts w:ascii="仿宋" w:hAnsi="仿宋" w:eastAsia="仿宋" w:cs="仿宋"/>
                <w:sz w:val="24"/>
              </w:rPr>
            </w:pPr>
          </w:p>
        </w:tc>
        <w:tc>
          <w:tcPr>
            <w:tcW w:w="2340" w:type="dxa"/>
          </w:tcPr>
          <w:p>
            <w:pPr>
              <w:pStyle w:val="16"/>
              <w:spacing w:line="240" w:lineRule="atLeast"/>
              <w:ind w:left="1080" w:leftChars="257" w:hanging="540"/>
              <w:rPr>
                <w:rFonts w:ascii="仿宋" w:hAnsi="仿宋" w:eastAsia="仿宋" w:cs="仿宋"/>
                <w:sz w:val="24"/>
              </w:rPr>
            </w:pPr>
          </w:p>
        </w:tc>
        <w:tc>
          <w:tcPr>
            <w:tcW w:w="1260" w:type="dxa"/>
          </w:tcPr>
          <w:p>
            <w:pPr>
              <w:pStyle w:val="16"/>
              <w:spacing w:line="240" w:lineRule="atLeast"/>
              <w:ind w:left="1080" w:leftChars="257" w:hanging="540"/>
              <w:rPr>
                <w:rFonts w:ascii="仿宋" w:hAnsi="仿宋" w:eastAsia="仿宋" w:cs="仿宋"/>
                <w:sz w:val="24"/>
              </w:rPr>
            </w:pPr>
          </w:p>
        </w:tc>
        <w:tc>
          <w:tcPr>
            <w:tcW w:w="126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240" w:lineRule="atLeast"/>
              <w:ind w:left="1080" w:leftChars="257" w:hanging="540"/>
              <w:rPr>
                <w:rFonts w:ascii="仿宋" w:hAnsi="仿宋" w:eastAsia="仿宋" w:cs="仿宋"/>
                <w:sz w:val="24"/>
              </w:rPr>
            </w:pPr>
          </w:p>
        </w:tc>
        <w:tc>
          <w:tcPr>
            <w:tcW w:w="1260" w:type="dxa"/>
          </w:tcPr>
          <w:p>
            <w:pPr>
              <w:pStyle w:val="16"/>
              <w:spacing w:line="240" w:lineRule="atLeast"/>
              <w:ind w:left="1080" w:leftChars="257" w:hanging="540"/>
              <w:rPr>
                <w:rFonts w:ascii="仿宋" w:hAnsi="仿宋" w:eastAsia="仿宋" w:cs="仿宋"/>
                <w:sz w:val="24"/>
              </w:rPr>
            </w:pPr>
          </w:p>
        </w:tc>
        <w:tc>
          <w:tcPr>
            <w:tcW w:w="2340" w:type="dxa"/>
          </w:tcPr>
          <w:p>
            <w:pPr>
              <w:pStyle w:val="16"/>
              <w:spacing w:line="240" w:lineRule="atLeast"/>
              <w:ind w:left="1080" w:leftChars="257" w:hanging="540"/>
              <w:rPr>
                <w:rFonts w:ascii="仿宋" w:hAnsi="仿宋" w:eastAsia="仿宋" w:cs="仿宋"/>
                <w:sz w:val="24"/>
              </w:rPr>
            </w:pPr>
          </w:p>
        </w:tc>
        <w:tc>
          <w:tcPr>
            <w:tcW w:w="1260" w:type="dxa"/>
          </w:tcPr>
          <w:p>
            <w:pPr>
              <w:pStyle w:val="16"/>
              <w:spacing w:line="240" w:lineRule="atLeast"/>
              <w:ind w:left="1080" w:leftChars="257" w:hanging="540"/>
              <w:rPr>
                <w:rFonts w:ascii="仿宋" w:hAnsi="仿宋" w:eastAsia="仿宋" w:cs="仿宋"/>
                <w:sz w:val="24"/>
              </w:rPr>
            </w:pPr>
          </w:p>
        </w:tc>
        <w:tc>
          <w:tcPr>
            <w:tcW w:w="126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bl>
    <w:p>
      <w:pPr>
        <w:pStyle w:val="16"/>
        <w:spacing w:line="240" w:lineRule="atLeast"/>
        <w:ind w:left="1080" w:leftChars="257" w:hanging="540"/>
        <w:rPr>
          <w:rFonts w:ascii="仿宋" w:hAnsi="仿宋" w:eastAsia="仿宋" w:cs="仿宋"/>
          <w:sz w:val="24"/>
        </w:rPr>
      </w:pPr>
    </w:p>
    <w:p>
      <w:pPr>
        <w:pStyle w:val="16"/>
        <w:spacing w:line="240" w:lineRule="atLeast"/>
        <w:ind w:left="1080" w:leftChars="257" w:hanging="540"/>
        <w:rPr>
          <w:rFonts w:ascii="仿宋" w:hAnsi="仿宋" w:eastAsia="仿宋" w:cs="仿宋"/>
          <w:sz w:val="24"/>
        </w:rPr>
      </w:pPr>
    </w:p>
    <w:p>
      <w:pPr>
        <w:pStyle w:val="16"/>
        <w:spacing w:line="240" w:lineRule="atLeast"/>
        <w:ind w:left="1080" w:leftChars="257" w:hanging="540"/>
        <w:rPr>
          <w:rFonts w:ascii="仿宋" w:hAnsi="仿宋" w:eastAsia="仿宋" w:cs="仿宋"/>
          <w:sz w:val="24"/>
        </w:rPr>
      </w:pPr>
      <w:r>
        <w:rPr>
          <w:rFonts w:hint="eastAsia" w:ascii="仿宋" w:hAnsi="仿宋" w:eastAsia="仿宋" w:cs="仿宋"/>
          <w:sz w:val="24"/>
        </w:rPr>
        <w:t>法定代表人或其委托代理人签字:</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pPr>
        <w:pStyle w:val="16"/>
        <w:tabs>
          <w:tab w:val="left" w:pos="5370"/>
        </w:tabs>
        <w:spacing w:line="240" w:lineRule="atLeast"/>
        <w:ind w:left="1080" w:leftChars="257" w:hanging="540"/>
        <w:rPr>
          <w:rFonts w:ascii="仿宋" w:hAnsi="仿宋" w:eastAsia="仿宋" w:cs="仿宋"/>
          <w:sz w:val="24"/>
          <w:u w:val="single"/>
        </w:rPr>
      </w:pPr>
      <w:r>
        <w:rPr>
          <w:rFonts w:hint="eastAsia" w:ascii="仿宋" w:hAnsi="仿宋" w:eastAsia="仿宋" w:cs="仿宋"/>
          <w:sz w:val="24"/>
        </w:rPr>
        <w:t>供应商(盖单位章):</w:t>
      </w:r>
      <w:r>
        <w:rPr>
          <w:rFonts w:hint="eastAsia" w:ascii="仿宋" w:hAnsi="仿宋" w:eastAsia="仿宋" w:cs="仿宋"/>
          <w:sz w:val="24"/>
          <w:u w:val="single"/>
        </w:rPr>
        <w:tab/>
      </w:r>
    </w:p>
    <w:p>
      <w:pPr>
        <w:pStyle w:val="16"/>
        <w:spacing w:line="240" w:lineRule="atLeast"/>
        <w:ind w:left="1080" w:leftChars="257" w:hanging="540"/>
        <w:rPr>
          <w:rFonts w:ascii="仿宋" w:hAnsi="仿宋" w:eastAsia="仿宋" w:cs="仿宋"/>
          <w:sz w:val="24"/>
        </w:rPr>
      </w:pPr>
      <w:r>
        <w:rPr>
          <w:rFonts w:hint="eastAsia" w:ascii="仿宋" w:hAnsi="仿宋" w:eastAsia="仿宋" w:cs="仿宋"/>
          <w:sz w:val="24"/>
          <w:u w:val="single"/>
        </w:rPr>
        <w:br w:type="page"/>
      </w:r>
    </w:p>
    <w:p>
      <w:pPr>
        <w:pStyle w:val="8"/>
        <w:spacing w:before="0" w:line="240" w:lineRule="atLeast"/>
        <w:ind w:left="1080" w:leftChars="257" w:hanging="540"/>
        <w:rPr>
          <w:rFonts w:ascii="仿宋" w:hAnsi="仿宋" w:eastAsia="仿宋" w:cs="仿宋"/>
          <w:sz w:val="24"/>
        </w:rPr>
      </w:pPr>
      <w:bookmarkStart w:id="353" w:name="_Toc216582818"/>
      <w:bookmarkStart w:id="354" w:name="_Toc518923119"/>
      <w:bookmarkStart w:id="355" w:name="_Toc13819"/>
      <w:bookmarkStart w:id="356" w:name="_Toc29517"/>
      <w:bookmarkStart w:id="357" w:name="_Toc8079"/>
      <w:bookmarkStart w:id="358" w:name="_Toc7386"/>
      <w:bookmarkStart w:id="359" w:name="_Toc11724"/>
      <w:r>
        <w:rPr>
          <w:rFonts w:hint="eastAsia" w:ascii="仿宋" w:hAnsi="仿宋" w:eastAsia="仿宋" w:cs="仿宋"/>
          <w:sz w:val="24"/>
        </w:rPr>
        <w:t>4   商务条款偏离表</w:t>
      </w:r>
      <w:bookmarkEnd w:id="353"/>
      <w:r>
        <w:rPr>
          <w:rFonts w:hint="eastAsia" w:ascii="仿宋" w:hAnsi="仿宋" w:eastAsia="仿宋" w:cs="仿宋"/>
          <w:sz w:val="24"/>
        </w:rPr>
        <w:t>（投标文件格式</w:t>
      </w:r>
      <w:r>
        <w:rPr>
          <w:rFonts w:hint="eastAsia" w:ascii="仿宋" w:hAnsi="仿宋" w:eastAsia="仿宋" w:cs="仿宋"/>
          <w:sz w:val="24"/>
          <w:lang w:val="en-US" w:eastAsia="zh-CN"/>
        </w:rPr>
        <w:t>四</w:t>
      </w:r>
      <w:r>
        <w:rPr>
          <w:rFonts w:hint="eastAsia" w:ascii="仿宋" w:hAnsi="仿宋" w:eastAsia="仿宋" w:cs="仿宋"/>
          <w:sz w:val="24"/>
        </w:rPr>
        <w:t>）</w:t>
      </w:r>
      <w:bookmarkEnd w:id="354"/>
      <w:bookmarkEnd w:id="355"/>
      <w:bookmarkEnd w:id="356"/>
      <w:bookmarkEnd w:id="357"/>
      <w:bookmarkEnd w:id="358"/>
      <w:bookmarkEnd w:id="359"/>
    </w:p>
    <w:p>
      <w:pPr>
        <w:pStyle w:val="16"/>
        <w:spacing w:line="240" w:lineRule="atLeast"/>
        <w:ind w:left="1080" w:leftChars="257" w:hanging="540"/>
        <w:rPr>
          <w:rFonts w:ascii="仿宋" w:hAnsi="仿宋" w:eastAsia="仿宋" w:cs="仿宋"/>
          <w:sz w:val="24"/>
        </w:rPr>
      </w:pPr>
    </w:p>
    <w:p>
      <w:pPr>
        <w:pStyle w:val="16"/>
        <w:spacing w:line="240" w:lineRule="atLeast"/>
        <w:ind w:left="1080" w:leftChars="257" w:hanging="540"/>
        <w:rPr>
          <w:rFonts w:ascii="仿宋" w:hAnsi="仿宋" w:eastAsia="仿宋" w:cs="仿宋"/>
          <w:sz w:val="24"/>
        </w:rPr>
      </w:pPr>
    </w:p>
    <w:p>
      <w:pPr>
        <w:pStyle w:val="16"/>
        <w:spacing w:line="240" w:lineRule="atLeast"/>
        <w:ind w:left="1080" w:leftChars="257" w:hanging="540"/>
        <w:rPr>
          <w:rFonts w:ascii="仿宋" w:hAnsi="仿宋" w:eastAsia="仿宋" w:cs="仿宋"/>
          <w:sz w:val="24"/>
        </w:rPr>
      </w:pPr>
      <w:r>
        <w:rPr>
          <w:rFonts w:hint="eastAsia" w:ascii="仿宋" w:hAnsi="仿宋" w:eastAsia="仿宋" w:cs="仿宋"/>
          <w:sz w:val="24"/>
        </w:rPr>
        <w:t>项目名称:                      招标编号:            包号：</w:t>
      </w:r>
    </w:p>
    <w:p>
      <w:pPr>
        <w:pStyle w:val="16"/>
        <w:spacing w:line="240" w:lineRule="atLeast"/>
        <w:ind w:left="1080" w:leftChars="257" w:hanging="540"/>
        <w:rPr>
          <w:rFonts w:ascii="仿宋" w:hAnsi="仿宋" w:eastAsia="仿宋" w:cs="仿宋"/>
          <w:sz w:val="24"/>
        </w:rPr>
      </w:pPr>
    </w:p>
    <w:tbl>
      <w:tblPr>
        <w:tblStyle w:val="36"/>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240" w:lineRule="atLeast"/>
              <w:jc w:val="center"/>
              <w:rPr>
                <w:rFonts w:ascii="仿宋" w:hAnsi="仿宋" w:eastAsia="仿宋" w:cs="仿宋"/>
                <w:sz w:val="24"/>
              </w:rPr>
            </w:pPr>
            <w:r>
              <w:rPr>
                <w:rFonts w:hint="eastAsia" w:ascii="仿宋" w:hAnsi="仿宋" w:eastAsia="仿宋" w:cs="仿宋"/>
                <w:sz w:val="24"/>
              </w:rPr>
              <w:t>序号</w:t>
            </w:r>
          </w:p>
        </w:tc>
        <w:tc>
          <w:tcPr>
            <w:tcW w:w="2040" w:type="dxa"/>
          </w:tcPr>
          <w:p>
            <w:pPr>
              <w:pStyle w:val="16"/>
              <w:spacing w:line="240" w:lineRule="atLeast"/>
              <w:jc w:val="center"/>
              <w:rPr>
                <w:rFonts w:ascii="仿宋" w:hAnsi="仿宋" w:eastAsia="仿宋" w:cs="仿宋"/>
                <w:sz w:val="24"/>
              </w:rPr>
            </w:pPr>
            <w:r>
              <w:rPr>
                <w:rFonts w:hint="eastAsia" w:ascii="仿宋" w:hAnsi="仿宋" w:eastAsia="仿宋" w:cs="仿宋"/>
                <w:sz w:val="24"/>
              </w:rPr>
              <w:t>采购文件条款号</w:t>
            </w:r>
          </w:p>
        </w:tc>
        <w:tc>
          <w:tcPr>
            <w:tcW w:w="2520" w:type="dxa"/>
          </w:tcPr>
          <w:p>
            <w:pPr>
              <w:pStyle w:val="16"/>
              <w:spacing w:line="240" w:lineRule="atLeast"/>
              <w:jc w:val="center"/>
              <w:rPr>
                <w:rFonts w:ascii="仿宋" w:hAnsi="仿宋" w:eastAsia="仿宋" w:cs="仿宋"/>
                <w:sz w:val="24"/>
              </w:rPr>
            </w:pPr>
            <w:r>
              <w:rPr>
                <w:rFonts w:hint="eastAsia" w:ascii="仿宋" w:hAnsi="仿宋" w:eastAsia="仿宋" w:cs="仿宋"/>
                <w:sz w:val="24"/>
              </w:rPr>
              <w:t>采购文件的商务条款</w:t>
            </w:r>
          </w:p>
        </w:tc>
        <w:tc>
          <w:tcPr>
            <w:tcW w:w="2520" w:type="dxa"/>
          </w:tcPr>
          <w:p>
            <w:pPr>
              <w:pStyle w:val="16"/>
              <w:spacing w:line="240" w:lineRule="atLeast"/>
              <w:jc w:val="center"/>
              <w:rPr>
                <w:rFonts w:ascii="仿宋" w:hAnsi="仿宋" w:eastAsia="仿宋" w:cs="仿宋"/>
                <w:sz w:val="24"/>
              </w:rPr>
            </w:pPr>
            <w:r>
              <w:rPr>
                <w:rFonts w:hint="eastAsia" w:ascii="仿宋" w:hAnsi="仿宋" w:eastAsia="仿宋" w:cs="仿宋"/>
                <w:sz w:val="24"/>
              </w:rPr>
              <w:t>投标文件的商务条款</w:t>
            </w:r>
          </w:p>
        </w:tc>
        <w:tc>
          <w:tcPr>
            <w:tcW w:w="900" w:type="dxa"/>
          </w:tcPr>
          <w:p>
            <w:pPr>
              <w:pStyle w:val="16"/>
              <w:spacing w:line="240" w:lineRule="atLeast"/>
              <w:jc w:val="center"/>
              <w:rPr>
                <w:rFonts w:ascii="仿宋" w:hAnsi="仿宋" w:eastAsia="仿宋" w:cs="仿宋"/>
                <w:sz w:val="24"/>
              </w:rPr>
            </w:pPr>
            <w:r>
              <w:rPr>
                <w:rFonts w:hint="eastAsia" w:ascii="仿宋" w:hAnsi="仿宋" w:eastAsia="仿宋" w:cs="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240" w:lineRule="atLeast"/>
              <w:ind w:left="1080" w:leftChars="257" w:hanging="540"/>
              <w:rPr>
                <w:rFonts w:ascii="仿宋" w:hAnsi="仿宋" w:eastAsia="仿宋" w:cs="仿宋"/>
                <w:sz w:val="24"/>
              </w:rPr>
            </w:pPr>
          </w:p>
        </w:tc>
        <w:tc>
          <w:tcPr>
            <w:tcW w:w="2040" w:type="dxa"/>
          </w:tcPr>
          <w:p>
            <w:pPr>
              <w:pStyle w:val="16"/>
              <w:spacing w:line="240" w:lineRule="atLeast"/>
              <w:ind w:left="1080" w:leftChars="257" w:hanging="540"/>
              <w:rPr>
                <w:rFonts w:ascii="仿宋" w:hAnsi="仿宋" w:eastAsia="仿宋" w:cs="仿宋"/>
                <w:sz w:val="24"/>
              </w:rPr>
            </w:pPr>
          </w:p>
        </w:tc>
        <w:tc>
          <w:tcPr>
            <w:tcW w:w="2520" w:type="dxa"/>
          </w:tcPr>
          <w:p>
            <w:pPr>
              <w:pStyle w:val="16"/>
              <w:spacing w:line="240" w:lineRule="atLeast"/>
              <w:ind w:left="1080" w:leftChars="257" w:hanging="540"/>
              <w:jc w:val="center"/>
              <w:rPr>
                <w:rFonts w:ascii="仿宋" w:hAnsi="仿宋" w:eastAsia="仿宋" w:cs="仿宋"/>
                <w:sz w:val="24"/>
              </w:rPr>
            </w:pPr>
          </w:p>
        </w:tc>
        <w:tc>
          <w:tcPr>
            <w:tcW w:w="2520" w:type="dxa"/>
          </w:tcPr>
          <w:p>
            <w:pPr>
              <w:pStyle w:val="16"/>
              <w:spacing w:line="240" w:lineRule="atLeast"/>
              <w:ind w:left="1080" w:leftChars="257" w:hanging="540"/>
              <w:jc w:val="center"/>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240" w:lineRule="atLeast"/>
              <w:ind w:left="1080" w:leftChars="257" w:hanging="540"/>
              <w:rPr>
                <w:rFonts w:ascii="仿宋" w:hAnsi="仿宋" w:eastAsia="仿宋" w:cs="仿宋"/>
                <w:sz w:val="24"/>
              </w:rPr>
            </w:pPr>
          </w:p>
        </w:tc>
        <w:tc>
          <w:tcPr>
            <w:tcW w:w="2040" w:type="dxa"/>
          </w:tcPr>
          <w:p>
            <w:pPr>
              <w:pStyle w:val="16"/>
              <w:spacing w:line="240" w:lineRule="atLeast"/>
              <w:ind w:left="1080" w:leftChars="257" w:hanging="540"/>
              <w:rPr>
                <w:rFonts w:ascii="仿宋" w:hAnsi="仿宋" w:eastAsia="仿宋" w:cs="仿宋"/>
                <w:sz w:val="24"/>
              </w:rPr>
            </w:pPr>
          </w:p>
        </w:tc>
        <w:tc>
          <w:tcPr>
            <w:tcW w:w="2520" w:type="dxa"/>
          </w:tcPr>
          <w:p>
            <w:pPr>
              <w:pStyle w:val="16"/>
              <w:spacing w:line="240" w:lineRule="atLeast"/>
              <w:ind w:left="1080" w:leftChars="257" w:hanging="540"/>
              <w:rPr>
                <w:rFonts w:ascii="仿宋" w:hAnsi="仿宋" w:eastAsia="仿宋" w:cs="仿宋"/>
                <w:sz w:val="24"/>
              </w:rPr>
            </w:pPr>
          </w:p>
        </w:tc>
        <w:tc>
          <w:tcPr>
            <w:tcW w:w="252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240" w:lineRule="atLeast"/>
              <w:ind w:left="1080" w:leftChars="257" w:hanging="540"/>
              <w:rPr>
                <w:rFonts w:ascii="仿宋" w:hAnsi="仿宋" w:eastAsia="仿宋" w:cs="仿宋"/>
                <w:sz w:val="24"/>
              </w:rPr>
            </w:pPr>
          </w:p>
        </w:tc>
        <w:tc>
          <w:tcPr>
            <w:tcW w:w="2040" w:type="dxa"/>
          </w:tcPr>
          <w:p>
            <w:pPr>
              <w:pStyle w:val="16"/>
              <w:spacing w:line="240" w:lineRule="atLeast"/>
              <w:ind w:left="1080" w:leftChars="257" w:hanging="540"/>
              <w:rPr>
                <w:rFonts w:ascii="仿宋" w:hAnsi="仿宋" w:eastAsia="仿宋" w:cs="仿宋"/>
                <w:sz w:val="24"/>
              </w:rPr>
            </w:pPr>
          </w:p>
        </w:tc>
        <w:tc>
          <w:tcPr>
            <w:tcW w:w="2520" w:type="dxa"/>
          </w:tcPr>
          <w:p>
            <w:pPr>
              <w:pStyle w:val="16"/>
              <w:spacing w:line="240" w:lineRule="atLeast"/>
              <w:ind w:left="1080" w:leftChars="257" w:hanging="540"/>
              <w:rPr>
                <w:rFonts w:ascii="仿宋" w:hAnsi="仿宋" w:eastAsia="仿宋" w:cs="仿宋"/>
                <w:sz w:val="24"/>
              </w:rPr>
            </w:pPr>
          </w:p>
        </w:tc>
        <w:tc>
          <w:tcPr>
            <w:tcW w:w="252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240" w:lineRule="atLeast"/>
              <w:ind w:left="1080" w:leftChars="257" w:hanging="540"/>
              <w:rPr>
                <w:rFonts w:ascii="仿宋" w:hAnsi="仿宋" w:eastAsia="仿宋" w:cs="仿宋"/>
                <w:sz w:val="24"/>
              </w:rPr>
            </w:pPr>
          </w:p>
        </w:tc>
        <w:tc>
          <w:tcPr>
            <w:tcW w:w="2040" w:type="dxa"/>
          </w:tcPr>
          <w:p>
            <w:pPr>
              <w:pStyle w:val="16"/>
              <w:spacing w:line="240" w:lineRule="atLeast"/>
              <w:ind w:left="1080" w:leftChars="257" w:hanging="540"/>
              <w:rPr>
                <w:rFonts w:ascii="仿宋" w:hAnsi="仿宋" w:eastAsia="仿宋" w:cs="仿宋"/>
                <w:sz w:val="24"/>
              </w:rPr>
            </w:pPr>
          </w:p>
        </w:tc>
        <w:tc>
          <w:tcPr>
            <w:tcW w:w="2520" w:type="dxa"/>
          </w:tcPr>
          <w:p>
            <w:pPr>
              <w:pStyle w:val="16"/>
              <w:spacing w:line="240" w:lineRule="atLeast"/>
              <w:ind w:left="1080" w:leftChars="257" w:hanging="540"/>
              <w:rPr>
                <w:rFonts w:ascii="仿宋" w:hAnsi="仿宋" w:eastAsia="仿宋" w:cs="仿宋"/>
                <w:sz w:val="24"/>
              </w:rPr>
            </w:pPr>
          </w:p>
        </w:tc>
        <w:tc>
          <w:tcPr>
            <w:tcW w:w="252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240" w:lineRule="atLeast"/>
              <w:ind w:left="1080" w:leftChars="257" w:hanging="540"/>
              <w:rPr>
                <w:rFonts w:ascii="仿宋" w:hAnsi="仿宋" w:eastAsia="仿宋" w:cs="仿宋"/>
                <w:sz w:val="24"/>
              </w:rPr>
            </w:pPr>
          </w:p>
        </w:tc>
        <w:tc>
          <w:tcPr>
            <w:tcW w:w="2040" w:type="dxa"/>
          </w:tcPr>
          <w:p>
            <w:pPr>
              <w:pStyle w:val="16"/>
              <w:spacing w:line="240" w:lineRule="atLeast"/>
              <w:ind w:left="1080" w:leftChars="257" w:hanging="540"/>
              <w:rPr>
                <w:rFonts w:ascii="仿宋" w:hAnsi="仿宋" w:eastAsia="仿宋" w:cs="仿宋"/>
                <w:sz w:val="24"/>
              </w:rPr>
            </w:pPr>
          </w:p>
        </w:tc>
        <w:tc>
          <w:tcPr>
            <w:tcW w:w="2520" w:type="dxa"/>
          </w:tcPr>
          <w:p>
            <w:pPr>
              <w:pStyle w:val="16"/>
              <w:spacing w:line="240" w:lineRule="atLeast"/>
              <w:ind w:left="1080" w:leftChars="257" w:hanging="540"/>
              <w:rPr>
                <w:rFonts w:ascii="仿宋" w:hAnsi="仿宋" w:eastAsia="仿宋" w:cs="仿宋"/>
                <w:sz w:val="24"/>
              </w:rPr>
            </w:pPr>
          </w:p>
        </w:tc>
        <w:tc>
          <w:tcPr>
            <w:tcW w:w="252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240" w:lineRule="atLeast"/>
              <w:ind w:left="1080" w:leftChars="257" w:hanging="540"/>
              <w:rPr>
                <w:rFonts w:ascii="仿宋" w:hAnsi="仿宋" w:eastAsia="仿宋" w:cs="仿宋"/>
                <w:sz w:val="24"/>
              </w:rPr>
            </w:pPr>
          </w:p>
        </w:tc>
        <w:tc>
          <w:tcPr>
            <w:tcW w:w="2040" w:type="dxa"/>
          </w:tcPr>
          <w:p>
            <w:pPr>
              <w:pStyle w:val="16"/>
              <w:spacing w:line="240" w:lineRule="atLeast"/>
              <w:ind w:left="1080" w:leftChars="257" w:hanging="540"/>
              <w:rPr>
                <w:rFonts w:ascii="仿宋" w:hAnsi="仿宋" w:eastAsia="仿宋" w:cs="仿宋"/>
                <w:sz w:val="24"/>
              </w:rPr>
            </w:pPr>
          </w:p>
        </w:tc>
        <w:tc>
          <w:tcPr>
            <w:tcW w:w="2520" w:type="dxa"/>
          </w:tcPr>
          <w:p>
            <w:pPr>
              <w:pStyle w:val="16"/>
              <w:spacing w:line="240" w:lineRule="atLeast"/>
              <w:ind w:left="1080" w:leftChars="257" w:hanging="540"/>
              <w:rPr>
                <w:rFonts w:ascii="仿宋" w:hAnsi="仿宋" w:eastAsia="仿宋" w:cs="仿宋"/>
                <w:sz w:val="24"/>
              </w:rPr>
            </w:pPr>
          </w:p>
        </w:tc>
        <w:tc>
          <w:tcPr>
            <w:tcW w:w="252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240" w:lineRule="atLeast"/>
              <w:ind w:left="1080" w:leftChars="257" w:hanging="540"/>
              <w:rPr>
                <w:rFonts w:ascii="仿宋" w:hAnsi="仿宋" w:eastAsia="仿宋" w:cs="仿宋"/>
                <w:sz w:val="24"/>
              </w:rPr>
            </w:pPr>
          </w:p>
        </w:tc>
        <w:tc>
          <w:tcPr>
            <w:tcW w:w="2040" w:type="dxa"/>
          </w:tcPr>
          <w:p>
            <w:pPr>
              <w:pStyle w:val="16"/>
              <w:spacing w:line="240" w:lineRule="atLeast"/>
              <w:ind w:left="1080" w:leftChars="257" w:hanging="540"/>
              <w:rPr>
                <w:rFonts w:ascii="仿宋" w:hAnsi="仿宋" w:eastAsia="仿宋" w:cs="仿宋"/>
                <w:sz w:val="24"/>
              </w:rPr>
            </w:pPr>
          </w:p>
        </w:tc>
        <w:tc>
          <w:tcPr>
            <w:tcW w:w="2520" w:type="dxa"/>
          </w:tcPr>
          <w:p>
            <w:pPr>
              <w:pStyle w:val="16"/>
              <w:spacing w:line="240" w:lineRule="atLeast"/>
              <w:ind w:left="1080" w:leftChars="257" w:hanging="540"/>
              <w:rPr>
                <w:rFonts w:ascii="仿宋" w:hAnsi="仿宋" w:eastAsia="仿宋" w:cs="仿宋"/>
                <w:sz w:val="24"/>
              </w:rPr>
            </w:pPr>
          </w:p>
        </w:tc>
        <w:tc>
          <w:tcPr>
            <w:tcW w:w="252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240" w:lineRule="atLeast"/>
              <w:ind w:left="1080" w:leftChars="257" w:hanging="540"/>
              <w:rPr>
                <w:rFonts w:ascii="仿宋" w:hAnsi="仿宋" w:eastAsia="仿宋" w:cs="仿宋"/>
                <w:sz w:val="24"/>
              </w:rPr>
            </w:pPr>
          </w:p>
        </w:tc>
        <w:tc>
          <w:tcPr>
            <w:tcW w:w="2040" w:type="dxa"/>
          </w:tcPr>
          <w:p>
            <w:pPr>
              <w:pStyle w:val="16"/>
              <w:spacing w:line="240" w:lineRule="atLeast"/>
              <w:ind w:left="1080" w:leftChars="257" w:hanging="540"/>
              <w:rPr>
                <w:rFonts w:ascii="仿宋" w:hAnsi="仿宋" w:eastAsia="仿宋" w:cs="仿宋"/>
                <w:sz w:val="24"/>
              </w:rPr>
            </w:pPr>
          </w:p>
        </w:tc>
        <w:tc>
          <w:tcPr>
            <w:tcW w:w="2520" w:type="dxa"/>
          </w:tcPr>
          <w:p>
            <w:pPr>
              <w:pStyle w:val="16"/>
              <w:spacing w:line="240" w:lineRule="atLeast"/>
              <w:ind w:left="1080" w:leftChars="257" w:hanging="540"/>
              <w:rPr>
                <w:rFonts w:ascii="仿宋" w:hAnsi="仿宋" w:eastAsia="仿宋" w:cs="仿宋"/>
                <w:sz w:val="24"/>
              </w:rPr>
            </w:pPr>
          </w:p>
        </w:tc>
        <w:tc>
          <w:tcPr>
            <w:tcW w:w="252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240" w:lineRule="atLeast"/>
              <w:ind w:left="1080" w:leftChars="257" w:hanging="540"/>
              <w:rPr>
                <w:rFonts w:ascii="仿宋" w:hAnsi="仿宋" w:eastAsia="仿宋" w:cs="仿宋"/>
                <w:sz w:val="24"/>
              </w:rPr>
            </w:pPr>
          </w:p>
        </w:tc>
        <w:tc>
          <w:tcPr>
            <w:tcW w:w="2040" w:type="dxa"/>
          </w:tcPr>
          <w:p>
            <w:pPr>
              <w:pStyle w:val="16"/>
              <w:spacing w:line="240" w:lineRule="atLeast"/>
              <w:ind w:left="1080" w:leftChars="257" w:hanging="540"/>
              <w:rPr>
                <w:rFonts w:ascii="仿宋" w:hAnsi="仿宋" w:eastAsia="仿宋" w:cs="仿宋"/>
                <w:sz w:val="24"/>
              </w:rPr>
            </w:pPr>
          </w:p>
        </w:tc>
        <w:tc>
          <w:tcPr>
            <w:tcW w:w="2520" w:type="dxa"/>
          </w:tcPr>
          <w:p>
            <w:pPr>
              <w:pStyle w:val="16"/>
              <w:spacing w:line="240" w:lineRule="atLeast"/>
              <w:ind w:left="1080" w:leftChars="257" w:hanging="540"/>
              <w:rPr>
                <w:rFonts w:ascii="仿宋" w:hAnsi="仿宋" w:eastAsia="仿宋" w:cs="仿宋"/>
                <w:sz w:val="24"/>
              </w:rPr>
            </w:pPr>
          </w:p>
        </w:tc>
        <w:tc>
          <w:tcPr>
            <w:tcW w:w="252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240" w:lineRule="atLeast"/>
              <w:ind w:left="1080" w:leftChars="257" w:hanging="540"/>
              <w:rPr>
                <w:rFonts w:ascii="仿宋" w:hAnsi="仿宋" w:eastAsia="仿宋" w:cs="仿宋"/>
                <w:sz w:val="24"/>
              </w:rPr>
            </w:pPr>
          </w:p>
        </w:tc>
        <w:tc>
          <w:tcPr>
            <w:tcW w:w="2040" w:type="dxa"/>
          </w:tcPr>
          <w:p>
            <w:pPr>
              <w:pStyle w:val="16"/>
              <w:spacing w:line="240" w:lineRule="atLeast"/>
              <w:ind w:left="1080" w:leftChars="257" w:hanging="540"/>
              <w:rPr>
                <w:rFonts w:ascii="仿宋" w:hAnsi="仿宋" w:eastAsia="仿宋" w:cs="仿宋"/>
                <w:sz w:val="24"/>
              </w:rPr>
            </w:pPr>
          </w:p>
        </w:tc>
        <w:tc>
          <w:tcPr>
            <w:tcW w:w="2520" w:type="dxa"/>
          </w:tcPr>
          <w:p>
            <w:pPr>
              <w:pStyle w:val="16"/>
              <w:spacing w:line="240" w:lineRule="atLeast"/>
              <w:ind w:left="1080" w:leftChars="257" w:hanging="540"/>
              <w:rPr>
                <w:rFonts w:ascii="仿宋" w:hAnsi="仿宋" w:eastAsia="仿宋" w:cs="仿宋"/>
                <w:sz w:val="24"/>
              </w:rPr>
            </w:pPr>
          </w:p>
        </w:tc>
        <w:tc>
          <w:tcPr>
            <w:tcW w:w="252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240" w:lineRule="atLeast"/>
              <w:ind w:left="1080" w:leftChars="257" w:hanging="540"/>
              <w:rPr>
                <w:rFonts w:ascii="仿宋" w:hAnsi="仿宋" w:eastAsia="仿宋" w:cs="仿宋"/>
                <w:sz w:val="24"/>
              </w:rPr>
            </w:pPr>
          </w:p>
        </w:tc>
        <w:tc>
          <w:tcPr>
            <w:tcW w:w="2040" w:type="dxa"/>
          </w:tcPr>
          <w:p>
            <w:pPr>
              <w:pStyle w:val="16"/>
              <w:spacing w:line="240" w:lineRule="atLeast"/>
              <w:ind w:left="1080" w:leftChars="257" w:hanging="540"/>
              <w:rPr>
                <w:rFonts w:ascii="仿宋" w:hAnsi="仿宋" w:eastAsia="仿宋" w:cs="仿宋"/>
                <w:sz w:val="24"/>
              </w:rPr>
            </w:pPr>
          </w:p>
        </w:tc>
        <w:tc>
          <w:tcPr>
            <w:tcW w:w="2520" w:type="dxa"/>
          </w:tcPr>
          <w:p>
            <w:pPr>
              <w:pStyle w:val="16"/>
              <w:spacing w:line="240" w:lineRule="atLeast"/>
              <w:ind w:left="1080" w:leftChars="257" w:hanging="540"/>
              <w:rPr>
                <w:rFonts w:ascii="仿宋" w:hAnsi="仿宋" w:eastAsia="仿宋" w:cs="仿宋"/>
                <w:sz w:val="24"/>
              </w:rPr>
            </w:pPr>
          </w:p>
        </w:tc>
        <w:tc>
          <w:tcPr>
            <w:tcW w:w="252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240" w:lineRule="atLeast"/>
              <w:ind w:left="1080" w:leftChars="257" w:hanging="540"/>
              <w:rPr>
                <w:rFonts w:ascii="仿宋" w:hAnsi="仿宋" w:eastAsia="仿宋" w:cs="仿宋"/>
                <w:sz w:val="24"/>
              </w:rPr>
            </w:pPr>
          </w:p>
        </w:tc>
        <w:tc>
          <w:tcPr>
            <w:tcW w:w="2040" w:type="dxa"/>
          </w:tcPr>
          <w:p>
            <w:pPr>
              <w:pStyle w:val="16"/>
              <w:spacing w:line="240" w:lineRule="atLeast"/>
              <w:ind w:left="1080" w:leftChars="257" w:hanging="540"/>
              <w:rPr>
                <w:rFonts w:ascii="仿宋" w:hAnsi="仿宋" w:eastAsia="仿宋" w:cs="仿宋"/>
                <w:sz w:val="24"/>
              </w:rPr>
            </w:pPr>
          </w:p>
        </w:tc>
        <w:tc>
          <w:tcPr>
            <w:tcW w:w="2520" w:type="dxa"/>
          </w:tcPr>
          <w:p>
            <w:pPr>
              <w:pStyle w:val="16"/>
              <w:spacing w:line="240" w:lineRule="atLeast"/>
              <w:ind w:left="1080" w:leftChars="257" w:hanging="540"/>
              <w:rPr>
                <w:rFonts w:ascii="仿宋" w:hAnsi="仿宋" w:eastAsia="仿宋" w:cs="仿宋"/>
                <w:sz w:val="24"/>
              </w:rPr>
            </w:pPr>
          </w:p>
        </w:tc>
        <w:tc>
          <w:tcPr>
            <w:tcW w:w="252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240" w:lineRule="atLeast"/>
              <w:ind w:left="1080" w:leftChars="257" w:hanging="540"/>
              <w:rPr>
                <w:rFonts w:ascii="仿宋" w:hAnsi="仿宋" w:eastAsia="仿宋" w:cs="仿宋"/>
                <w:sz w:val="24"/>
              </w:rPr>
            </w:pPr>
          </w:p>
        </w:tc>
        <w:tc>
          <w:tcPr>
            <w:tcW w:w="2040" w:type="dxa"/>
          </w:tcPr>
          <w:p>
            <w:pPr>
              <w:pStyle w:val="16"/>
              <w:spacing w:line="240" w:lineRule="atLeast"/>
              <w:ind w:left="1080" w:leftChars="257" w:hanging="540"/>
              <w:rPr>
                <w:rFonts w:ascii="仿宋" w:hAnsi="仿宋" w:eastAsia="仿宋" w:cs="仿宋"/>
                <w:sz w:val="24"/>
              </w:rPr>
            </w:pPr>
          </w:p>
        </w:tc>
        <w:tc>
          <w:tcPr>
            <w:tcW w:w="2520" w:type="dxa"/>
          </w:tcPr>
          <w:p>
            <w:pPr>
              <w:pStyle w:val="16"/>
              <w:spacing w:line="240" w:lineRule="atLeast"/>
              <w:ind w:left="1080" w:leftChars="257" w:hanging="540"/>
              <w:rPr>
                <w:rFonts w:ascii="仿宋" w:hAnsi="仿宋" w:eastAsia="仿宋" w:cs="仿宋"/>
                <w:sz w:val="24"/>
              </w:rPr>
            </w:pPr>
          </w:p>
        </w:tc>
        <w:tc>
          <w:tcPr>
            <w:tcW w:w="252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240" w:lineRule="atLeast"/>
              <w:ind w:left="1080" w:leftChars="257" w:hanging="540"/>
              <w:rPr>
                <w:rFonts w:ascii="仿宋" w:hAnsi="仿宋" w:eastAsia="仿宋" w:cs="仿宋"/>
                <w:sz w:val="24"/>
              </w:rPr>
            </w:pPr>
          </w:p>
        </w:tc>
        <w:tc>
          <w:tcPr>
            <w:tcW w:w="2040" w:type="dxa"/>
          </w:tcPr>
          <w:p>
            <w:pPr>
              <w:pStyle w:val="16"/>
              <w:spacing w:line="240" w:lineRule="atLeast"/>
              <w:ind w:left="1080" w:leftChars="257" w:hanging="540"/>
              <w:rPr>
                <w:rFonts w:ascii="仿宋" w:hAnsi="仿宋" w:eastAsia="仿宋" w:cs="仿宋"/>
                <w:sz w:val="24"/>
              </w:rPr>
            </w:pPr>
          </w:p>
        </w:tc>
        <w:tc>
          <w:tcPr>
            <w:tcW w:w="2520" w:type="dxa"/>
          </w:tcPr>
          <w:p>
            <w:pPr>
              <w:pStyle w:val="16"/>
              <w:spacing w:line="240" w:lineRule="atLeast"/>
              <w:ind w:left="1080" w:leftChars="257" w:hanging="540"/>
              <w:rPr>
                <w:rFonts w:ascii="仿宋" w:hAnsi="仿宋" w:eastAsia="仿宋" w:cs="仿宋"/>
                <w:sz w:val="24"/>
              </w:rPr>
            </w:pPr>
          </w:p>
        </w:tc>
        <w:tc>
          <w:tcPr>
            <w:tcW w:w="252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240" w:lineRule="atLeast"/>
              <w:ind w:left="1080" w:leftChars="257" w:hanging="540"/>
              <w:rPr>
                <w:rFonts w:ascii="仿宋" w:hAnsi="仿宋" w:eastAsia="仿宋" w:cs="仿宋"/>
                <w:sz w:val="24"/>
              </w:rPr>
            </w:pPr>
          </w:p>
        </w:tc>
        <w:tc>
          <w:tcPr>
            <w:tcW w:w="2040" w:type="dxa"/>
          </w:tcPr>
          <w:p>
            <w:pPr>
              <w:pStyle w:val="16"/>
              <w:spacing w:line="240" w:lineRule="atLeast"/>
              <w:ind w:left="1080" w:leftChars="257" w:hanging="540"/>
              <w:rPr>
                <w:rFonts w:ascii="仿宋" w:hAnsi="仿宋" w:eastAsia="仿宋" w:cs="仿宋"/>
                <w:sz w:val="24"/>
              </w:rPr>
            </w:pPr>
          </w:p>
        </w:tc>
        <w:tc>
          <w:tcPr>
            <w:tcW w:w="2520" w:type="dxa"/>
          </w:tcPr>
          <w:p>
            <w:pPr>
              <w:pStyle w:val="16"/>
              <w:spacing w:line="240" w:lineRule="atLeast"/>
              <w:ind w:left="1080" w:leftChars="257" w:hanging="540"/>
              <w:rPr>
                <w:rFonts w:ascii="仿宋" w:hAnsi="仿宋" w:eastAsia="仿宋" w:cs="仿宋"/>
                <w:sz w:val="24"/>
              </w:rPr>
            </w:pPr>
          </w:p>
        </w:tc>
        <w:tc>
          <w:tcPr>
            <w:tcW w:w="252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240" w:lineRule="atLeast"/>
              <w:ind w:left="1080" w:leftChars="257" w:hanging="540"/>
              <w:rPr>
                <w:rFonts w:ascii="仿宋" w:hAnsi="仿宋" w:eastAsia="仿宋" w:cs="仿宋"/>
                <w:sz w:val="24"/>
              </w:rPr>
            </w:pPr>
          </w:p>
        </w:tc>
        <w:tc>
          <w:tcPr>
            <w:tcW w:w="2040" w:type="dxa"/>
          </w:tcPr>
          <w:p>
            <w:pPr>
              <w:pStyle w:val="16"/>
              <w:spacing w:line="240" w:lineRule="atLeast"/>
              <w:ind w:left="1080" w:leftChars="257" w:hanging="540"/>
              <w:rPr>
                <w:rFonts w:ascii="仿宋" w:hAnsi="仿宋" w:eastAsia="仿宋" w:cs="仿宋"/>
                <w:sz w:val="24"/>
              </w:rPr>
            </w:pPr>
          </w:p>
        </w:tc>
        <w:tc>
          <w:tcPr>
            <w:tcW w:w="2520" w:type="dxa"/>
          </w:tcPr>
          <w:p>
            <w:pPr>
              <w:pStyle w:val="16"/>
              <w:spacing w:line="240" w:lineRule="atLeast"/>
              <w:ind w:left="1080" w:leftChars="257" w:hanging="540"/>
              <w:rPr>
                <w:rFonts w:ascii="仿宋" w:hAnsi="仿宋" w:eastAsia="仿宋" w:cs="仿宋"/>
                <w:sz w:val="24"/>
              </w:rPr>
            </w:pPr>
          </w:p>
        </w:tc>
        <w:tc>
          <w:tcPr>
            <w:tcW w:w="252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240" w:lineRule="atLeast"/>
              <w:ind w:left="1080" w:leftChars="257" w:hanging="540"/>
              <w:rPr>
                <w:rFonts w:ascii="仿宋" w:hAnsi="仿宋" w:eastAsia="仿宋" w:cs="仿宋"/>
                <w:sz w:val="24"/>
              </w:rPr>
            </w:pPr>
          </w:p>
        </w:tc>
        <w:tc>
          <w:tcPr>
            <w:tcW w:w="2040" w:type="dxa"/>
          </w:tcPr>
          <w:p>
            <w:pPr>
              <w:pStyle w:val="16"/>
              <w:spacing w:line="240" w:lineRule="atLeast"/>
              <w:ind w:left="1080" w:leftChars="257" w:hanging="540"/>
              <w:rPr>
                <w:rFonts w:ascii="仿宋" w:hAnsi="仿宋" w:eastAsia="仿宋" w:cs="仿宋"/>
                <w:sz w:val="24"/>
              </w:rPr>
            </w:pPr>
          </w:p>
        </w:tc>
        <w:tc>
          <w:tcPr>
            <w:tcW w:w="2520" w:type="dxa"/>
          </w:tcPr>
          <w:p>
            <w:pPr>
              <w:pStyle w:val="16"/>
              <w:spacing w:line="240" w:lineRule="atLeast"/>
              <w:ind w:left="1080" w:leftChars="257" w:hanging="540"/>
              <w:rPr>
                <w:rFonts w:ascii="仿宋" w:hAnsi="仿宋" w:eastAsia="仿宋" w:cs="仿宋"/>
                <w:sz w:val="24"/>
              </w:rPr>
            </w:pPr>
          </w:p>
        </w:tc>
        <w:tc>
          <w:tcPr>
            <w:tcW w:w="2520" w:type="dxa"/>
          </w:tcPr>
          <w:p>
            <w:pPr>
              <w:pStyle w:val="16"/>
              <w:spacing w:line="240" w:lineRule="atLeast"/>
              <w:ind w:left="1080" w:leftChars="257" w:hanging="540"/>
              <w:rPr>
                <w:rFonts w:ascii="仿宋" w:hAnsi="仿宋" w:eastAsia="仿宋" w:cs="仿宋"/>
                <w:sz w:val="24"/>
              </w:rPr>
            </w:pPr>
          </w:p>
        </w:tc>
        <w:tc>
          <w:tcPr>
            <w:tcW w:w="900" w:type="dxa"/>
          </w:tcPr>
          <w:p>
            <w:pPr>
              <w:pStyle w:val="16"/>
              <w:spacing w:line="240" w:lineRule="atLeast"/>
              <w:ind w:left="1080" w:leftChars="257" w:hanging="540"/>
              <w:rPr>
                <w:rFonts w:ascii="仿宋" w:hAnsi="仿宋" w:eastAsia="仿宋" w:cs="仿宋"/>
                <w:sz w:val="24"/>
              </w:rPr>
            </w:pPr>
          </w:p>
        </w:tc>
      </w:tr>
    </w:tbl>
    <w:p>
      <w:pPr>
        <w:pStyle w:val="16"/>
        <w:spacing w:line="240" w:lineRule="atLeast"/>
        <w:ind w:left="1080" w:leftChars="257" w:hanging="540"/>
        <w:rPr>
          <w:rFonts w:ascii="仿宋" w:hAnsi="仿宋" w:eastAsia="仿宋" w:cs="仿宋"/>
          <w:sz w:val="24"/>
        </w:rPr>
      </w:pPr>
    </w:p>
    <w:p>
      <w:pPr>
        <w:pStyle w:val="16"/>
        <w:spacing w:line="240" w:lineRule="atLeast"/>
        <w:ind w:left="1080" w:leftChars="257" w:hanging="540"/>
        <w:rPr>
          <w:rFonts w:ascii="仿宋" w:hAnsi="仿宋" w:eastAsia="仿宋" w:cs="仿宋"/>
          <w:sz w:val="24"/>
        </w:rPr>
      </w:pPr>
    </w:p>
    <w:p>
      <w:pPr>
        <w:pStyle w:val="16"/>
        <w:spacing w:line="240" w:lineRule="atLeast"/>
        <w:ind w:left="1080" w:leftChars="257" w:hanging="540"/>
        <w:rPr>
          <w:rFonts w:ascii="仿宋" w:hAnsi="仿宋" w:eastAsia="仿宋" w:cs="仿宋"/>
          <w:sz w:val="24"/>
        </w:rPr>
      </w:pPr>
      <w:r>
        <w:rPr>
          <w:rFonts w:hint="eastAsia" w:ascii="仿宋" w:hAnsi="仿宋" w:eastAsia="仿宋" w:cs="仿宋"/>
          <w:sz w:val="24"/>
        </w:rPr>
        <w:t>法定代表人或其委托代理人签字:</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pPr>
        <w:pStyle w:val="16"/>
        <w:tabs>
          <w:tab w:val="left" w:pos="5370"/>
        </w:tabs>
        <w:spacing w:line="240" w:lineRule="atLeast"/>
        <w:ind w:left="1080" w:leftChars="257" w:hanging="540"/>
        <w:rPr>
          <w:rFonts w:ascii="仿宋" w:hAnsi="仿宋" w:eastAsia="仿宋" w:cs="仿宋"/>
          <w:sz w:val="24"/>
          <w:u w:val="single"/>
        </w:rPr>
      </w:pPr>
      <w:r>
        <w:rPr>
          <w:rFonts w:hint="eastAsia" w:ascii="仿宋" w:hAnsi="仿宋" w:eastAsia="仿宋" w:cs="仿宋"/>
          <w:sz w:val="24"/>
        </w:rPr>
        <w:t>供应商(盖单位章):</w:t>
      </w:r>
      <w:r>
        <w:rPr>
          <w:rFonts w:hint="eastAsia" w:ascii="仿宋" w:hAnsi="仿宋" w:eastAsia="仿宋" w:cs="仿宋"/>
          <w:sz w:val="24"/>
          <w:u w:val="single"/>
        </w:rPr>
        <w:tab/>
      </w:r>
    </w:p>
    <w:p>
      <w:pPr>
        <w:pStyle w:val="16"/>
        <w:spacing w:line="240" w:lineRule="atLeast"/>
        <w:rPr>
          <w:rFonts w:ascii="仿宋" w:hAnsi="仿宋" w:eastAsia="仿宋" w:cs="仿宋"/>
          <w:sz w:val="24"/>
        </w:rPr>
      </w:pPr>
    </w:p>
    <w:p>
      <w:pPr>
        <w:pStyle w:val="16"/>
        <w:spacing w:line="240" w:lineRule="atLeast"/>
        <w:rPr>
          <w:rFonts w:ascii="仿宋" w:hAnsi="仿宋" w:eastAsia="仿宋" w:cs="仿宋"/>
          <w:sz w:val="24"/>
        </w:rPr>
      </w:pPr>
    </w:p>
    <w:p>
      <w:pPr>
        <w:pStyle w:val="16"/>
        <w:spacing w:line="240" w:lineRule="atLeast"/>
        <w:rPr>
          <w:rFonts w:ascii="仿宋" w:hAnsi="仿宋" w:eastAsia="仿宋" w:cs="仿宋"/>
          <w:sz w:val="24"/>
        </w:rPr>
      </w:pPr>
    </w:p>
    <w:p>
      <w:pPr>
        <w:pStyle w:val="16"/>
        <w:spacing w:line="240" w:lineRule="atLeast"/>
        <w:rPr>
          <w:rFonts w:ascii="仿宋" w:hAnsi="仿宋" w:eastAsia="仿宋" w:cs="仿宋"/>
          <w:sz w:val="24"/>
        </w:rPr>
      </w:pPr>
    </w:p>
    <w:p>
      <w:pPr>
        <w:ind w:firstLine="6600" w:firstLineChars="2750"/>
        <w:rPr>
          <w:rFonts w:ascii="仿宋" w:hAnsi="仿宋" w:eastAsia="仿宋" w:cs="仿宋"/>
          <w:sz w:val="24"/>
        </w:rPr>
      </w:pPr>
      <w:bookmarkStart w:id="360" w:name="_Hlt520343392"/>
      <w:bookmarkEnd w:id="360"/>
      <w:bookmarkStart w:id="361" w:name="_Hlt520343000"/>
      <w:bookmarkEnd w:id="361"/>
      <w:bookmarkStart w:id="362" w:name="_Hlt520274065"/>
      <w:bookmarkEnd w:id="362"/>
      <w:bookmarkStart w:id="363" w:name="_Hlt520273711"/>
      <w:bookmarkEnd w:id="363"/>
      <w:bookmarkStart w:id="364" w:name="_Hlt520350957"/>
      <w:bookmarkEnd w:id="364"/>
      <w:bookmarkStart w:id="365" w:name="_Hlt520271212"/>
      <w:bookmarkEnd w:id="365"/>
      <w:bookmarkStart w:id="366" w:name="_Hlt520350918"/>
      <w:bookmarkEnd w:id="366"/>
      <w:bookmarkStart w:id="367" w:name="_Hlt520274407"/>
      <w:bookmarkEnd w:id="367"/>
      <w:bookmarkStart w:id="368" w:name="_Hlt520274911"/>
      <w:bookmarkEnd w:id="368"/>
      <w:bookmarkStart w:id="369" w:name="_Hlt520274393"/>
      <w:bookmarkEnd w:id="369"/>
      <w:bookmarkStart w:id="370" w:name="_Hlt520273973"/>
      <w:bookmarkEnd w:id="370"/>
      <w:r>
        <w:rPr>
          <w:rFonts w:hint="eastAsia" w:ascii="仿宋" w:hAnsi="仿宋" w:eastAsia="仿宋" w:cs="仿宋"/>
          <w:sz w:val="24"/>
        </w:rPr>
        <w:t xml:space="preserve">  </w:t>
      </w:r>
    </w:p>
    <w:p>
      <w:bookmarkStart w:id="371" w:name="_Toc518923120"/>
      <w:bookmarkStart w:id="372" w:name="_Toc480"/>
    </w:p>
    <w:p>
      <w:pPr>
        <w:pStyle w:val="8"/>
        <w:spacing w:before="0" w:line="240" w:lineRule="atLeast"/>
        <w:ind w:firstLine="723" w:firstLineChars="300"/>
        <w:jc w:val="both"/>
        <w:rPr>
          <w:rFonts w:ascii="仿宋" w:hAnsi="仿宋" w:eastAsia="仿宋" w:cs="仿宋"/>
          <w:b w:val="0"/>
          <w:sz w:val="24"/>
        </w:rPr>
      </w:pPr>
      <w:bookmarkStart w:id="373" w:name="_Toc18055"/>
      <w:bookmarkStart w:id="374" w:name="_Toc11369"/>
      <w:bookmarkStart w:id="375" w:name="_Toc7291"/>
      <w:bookmarkStart w:id="376" w:name="_Toc1483"/>
      <w:r>
        <w:rPr>
          <w:rFonts w:hint="eastAsia" w:ascii="仿宋" w:hAnsi="仿宋" w:eastAsia="仿宋" w:cs="仿宋"/>
          <w:sz w:val="24"/>
        </w:rPr>
        <w:t xml:space="preserve">5-1 </w:t>
      </w:r>
      <w:r>
        <w:rPr>
          <w:rFonts w:hint="eastAsia" w:ascii="仿宋" w:hAnsi="仿宋" w:eastAsia="仿宋" w:cs="仿宋"/>
          <w:b w:val="0"/>
          <w:sz w:val="24"/>
        </w:rPr>
        <w:t xml:space="preserve"> </w:t>
      </w:r>
      <w:r>
        <w:rPr>
          <w:rFonts w:hint="eastAsia" w:ascii="仿宋" w:hAnsi="仿宋" w:eastAsia="仿宋" w:cs="仿宋"/>
          <w:sz w:val="24"/>
        </w:rPr>
        <w:t>供应商企业（单位）类型声明函（投标文件格式</w:t>
      </w:r>
      <w:r>
        <w:rPr>
          <w:rFonts w:hint="eastAsia" w:ascii="仿宋" w:hAnsi="仿宋" w:eastAsia="仿宋" w:cs="仿宋"/>
          <w:sz w:val="24"/>
          <w:lang w:val="en-US" w:eastAsia="zh-CN"/>
        </w:rPr>
        <w:t>五</w:t>
      </w:r>
      <w:r>
        <w:rPr>
          <w:rFonts w:hint="eastAsia" w:ascii="仿宋" w:hAnsi="仿宋" w:eastAsia="仿宋" w:cs="仿宋"/>
          <w:sz w:val="24"/>
        </w:rPr>
        <w:t>）</w:t>
      </w:r>
      <w:bookmarkEnd w:id="371"/>
      <w:bookmarkEnd w:id="372"/>
      <w:bookmarkEnd w:id="373"/>
      <w:bookmarkEnd w:id="374"/>
      <w:bookmarkEnd w:id="375"/>
      <w:bookmarkEnd w:id="376"/>
    </w:p>
    <w:p>
      <w:pPr>
        <w:spacing w:line="240" w:lineRule="atLeast"/>
        <w:ind w:left="1080" w:leftChars="257" w:hanging="540"/>
        <w:jc w:val="center"/>
        <w:rPr>
          <w:rFonts w:ascii="仿宋" w:hAnsi="仿宋" w:eastAsia="仿宋" w:cs="仿宋"/>
          <w:b/>
          <w:kern w:val="0"/>
          <w:sz w:val="24"/>
          <w:szCs w:val="20"/>
        </w:rPr>
      </w:pPr>
    </w:p>
    <w:p>
      <w:pPr>
        <w:widowControl/>
        <w:spacing w:before="100" w:beforeAutospacing="1" w:after="100" w:afterAutospacing="1" w:line="330" w:lineRule="atLeast"/>
        <w:ind w:firstLine="480" w:firstLineChars="200"/>
        <w:jc w:val="left"/>
        <w:rPr>
          <w:rFonts w:ascii="仿宋" w:hAnsi="仿宋" w:eastAsia="仿宋" w:cs="仿宋"/>
          <w:kern w:val="0"/>
          <w:sz w:val="24"/>
        </w:rPr>
      </w:pPr>
      <w:r>
        <w:rPr>
          <w:rFonts w:hint="eastAsia" w:ascii="仿宋" w:hAnsi="仿宋" w:eastAsia="仿宋" w:cs="仿宋"/>
          <w:kern w:val="0"/>
          <w:sz w:val="24"/>
        </w:rPr>
        <w:t>本企业（单位）郑重声明下列事项（按照实际情况勾选或填空）：</w:t>
      </w:r>
    </w:p>
    <w:p>
      <w:pPr>
        <w:widowControl/>
        <w:spacing w:before="100" w:beforeAutospacing="1" w:after="100" w:afterAutospacing="1" w:line="330" w:lineRule="atLeast"/>
        <w:ind w:firstLine="420"/>
        <w:jc w:val="left"/>
        <w:rPr>
          <w:rFonts w:ascii="仿宋" w:hAnsi="仿宋" w:eastAsia="仿宋" w:cs="仿宋"/>
          <w:kern w:val="0"/>
          <w:sz w:val="24"/>
        </w:rPr>
      </w:pPr>
      <w:r>
        <w:rPr>
          <w:rFonts w:hint="eastAsia" w:ascii="仿宋" w:hAnsi="仿宋" w:eastAsia="仿宋" w:cs="仿宋"/>
          <w:kern w:val="0"/>
          <w:sz w:val="24"/>
        </w:rPr>
        <w:t>1、□本企业（单位）为直接供应商，提供本企业（单位）服务。</w:t>
      </w:r>
    </w:p>
    <w:p>
      <w:pPr>
        <w:widowControl/>
        <w:spacing w:before="100" w:beforeAutospacing="1" w:after="100" w:afterAutospacing="1" w:line="330" w:lineRule="atLeast"/>
        <w:ind w:firstLine="240" w:firstLineChars="100"/>
        <w:jc w:val="left"/>
        <w:rPr>
          <w:rFonts w:ascii="仿宋" w:hAnsi="仿宋" w:eastAsia="仿宋" w:cs="仿宋"/>
          <w:kern w:val="0"/>
          <w:sz w:val="24"/>
        </w:rPr>
      </w:pPr>
      <w:r>
        <w:rPr>
          <w:rFonts w:hint="eastAsia" w:ascii="仿宋" w:hAnsi="仿宋" w:eastAsia="仿宋" w:cs="仿宋"/>
          <w:kern w:val="0"/>
          <w:sz w:val="24"/>
        </w:rPr>
        <w:t>（1）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beforeAutospacing="1" w:after="100" w:afterAutospacing="1" w:line="330" w:lineRule="atLeast"/>
        <w:ind w:firstLine="420"/>
        <w:jc w:val="left"/>
        <w:rPr>
          <w:rFonts w:ascii="仿宋" w:hAnsi="仿宋" w:eastAsia="仿宋" w:cs="仿宋"/>
          <w:kern w:val="0"/>
          <w:sz w:val="24"/>
        </w:rPr>
      </w:pPr>
      <w:r>
        <w:rPr>
          <w:rFonts w:hint="eastAsia" w:ascii="仿宋" w:hAnsi="仿宋" w:eastAsia="仿宋" w:cs="仿宋"/>
          <w:kern w:val="0"/>
          <w:sz w:val="24"/>
        </w:rPr>
        <w:t>（2）本企业</w:t>
      </w:r>
      <w:r>
        <w:rPr>
          <w:rFonts w:hint="eastAsia" w:ascii="仿宋" w:hAnsi="仿宋" w:eastAsia="仿宋" w:cs="仿宋"/>
          <w:kern w:val="0"/>
          <w:sz w:val="24"/>
          <w:u w:val="single"/>
        </w:rPr>
        <w:t xml:space="preserve">        </w:t>
      </w:r>
      <w:r>
        <w:rPr>
          <w:rFonts w:hint="eastAsia" w:ascii="仿宋" w:hAnsi="仿宋" w:eastAsia="仿宋" w:cs="仿宋"/>
          <w:kern w:val="0"/>
          <w:sz w:val="24"/>
        </w:rPr>
        <w:t>（请填写：是、不是）监狱企业。后附省级以上监狱管理局、戒毒管理局（含新疆生产建设兵团）出具的属于监狱企业的证明文件。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ascii="仿宋" w:hAnsi="仿宋" w:eastAsia="仿宋" w:cs="仿宋"/>
          <w:kern w:val="0"/>
          <w:sz w:val="24"/>
        </w:rPr>
      </w:pPr>
      <w:r>
        <w:rPr>
          <w:rFonts w:hint="eastAsia" w:ascii="仿宋" w:hAnsi="仿宋" w:eastAsia="仿宋" w:cs="仿宋"/>
          <w:kern w:val="0"/>
          <w:sz w:val="24"/>
        </w:rPr>
        <w:t>（3）根据《关于促进残疾人就业政府采购政策的通知》（财库〔2017〕141号）。本单位</w:t>
      </w:r>
      <w:r>
        <w:rPr>
          <w:rFonts w:hint="eastAsia" w:ascii="仿宋" w:hAnsi="仿宋" w:eastAsia="仿宋" w:cs="仿宋"/>
          <w:kern w:val="0"/>
          <w:sz w:val="24"/>
          <w:u w:val="single"/>
        </w:rPr>
        <w:t xml:space="preserve">        </w:t>
      </w:r>
      <w:r>
        <w:rPr>
          <w:rFonts w:hint="eastAsia" w:ascii="仿宋" w:hAnsi="仿宋" w:eastAsia="仿宋" w:cs="仿宋"/>
          <w:kern w:val="0"/>
          <w:sz w:val="24"/>
        </w:rPr>
        <w:t>（请填写：是、不是）残疾人福利性单位。</w:t>
      </w:r>
    </w:p>
    <w:p>
      <w:pPr>
        <w:widowControl/>
        <w:spacing w:before="100" w:beforeAutospacing="1" w:after="100" w:afterAutospacing="1" w:line="330" w:lineRule="atLeast"/>
        <w:ind w:firstLine="420"/>
        <w:jc w:val="left"/>
        <w:rPr>
          <w:rFonts w:ascii="仿宋" w:hAnsi="仿宋" w:eastAsia="仿宋" w:cs="仿宋"/>
          <w:kern w:val="0"/>
          <w:sz w:val="24"/>
        </w:rPr>
      </w:pPr>
      <w:r>
        <w:rPr>
          <w:rFonts w:hint="eastAsia" w:ascii="仿宋" w:hAnsi="仿宋" w:eastAsia="仿宋" w:cs="仿宋"/>
          <w:kern w:val="0"/>
          <w:sz w:val="24"/>
        </w:rPr>
        <w:t>2、□本项目提供伴随货物，由其他______（请填写：中型、小型、微型）企业、监狱企业或残疾人福利性单位制造。本条所称货物不包括使用大型企业注册商标的货物。（后附制造商企业（单位）类型声明函）</w:t>
      </w:r>
    </w:p>
    <w:p>
      <w:pPr>
        <w:widowControl/>
        <w:spacing w:before="100" w:beforeAutospacing="1" w:after="100" w:afterAutospacing="1" w:line="330" w:lineRule="atLeast"/>
        <w:ind w:firstLine="420"/>
        <w:jc w:val="left"/>
        <w:rPr>
          <w:rFonts w:ascii="仿宋" w:hAnsi="仿宋" w:eastAsia="仿宋" w:cs="仿宋"/>
          <w:kern w:val="0"/>
          <w:sz w:val="24"/>
        </w:rPr>
      </w:pPr>
      <w:r>
        <w:rPr>
          <w:rFonts w:hint="eastAsia" w:ascii="仿宋" w:hAnsi="仿宋" w:eastAsia="仿宋" w:cs="仿宋"/>
          <w:kern w:val="0"/>
          <w:sz w:val="24"/>
        </w:rPr>
        <w:t>3、□本企业（单位）为联合体一方，提供本企业（单位）制造的货物，由本企业（单位）承担工程、提供服务。本企业（单位）提供协议合同金额占到共同投标协议合同总金额的比例为</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widowControl/>
        <w:spacing w:before="100" w:beforeAutospacing="1" w:after="100" w:afterAutospacing="1" w:line="330" w:lineRule="atLeast"/>
        <w:jc w:val="left"/>
        <w:rPr>
          <w:rFonts w:ascii="仿宋" w:hAnsi="仿宋" w:eastAsia="仿宋" w:cs="仿宋"/>
          <w:kern w:val="0"/>
          <w:sz w:val="24"/>
        </w:rPr>
      </w:pPr>
      <w:r>
        <w:rPr>
          <w:rFonts w:hint="eastAsia" w:ascii="仿宋" w:hAnsi="仿宋" w:eastAsia="仿宋" w:cs="仿宋"/>
          <w:kern w:val="0"/>
          <w:sz w:val="24"/>
        </w:rPr>
        <w:t>本企业（单位）对上述声明的真实性负责。如有虚假，将依法承担相应责任。</w:t>
      </w:r>
    </w:p>
    <w:p>
      <w:pPr>
        <w:pStyle w:val="4"/>
        <w:ind w:firstLine="480"/>
        <w:rPr>
          <w:rFonts w:ascii="仿宋" w:hAnsi="仿宋" w:eastAsia="仿宋" w:cs="仿宋"/>
          <w:kern w:val="0"/>
        </w:rPr>
      </w:pPr>
      <w:r>
        <w:rPr>
          <w:rFonts w:hint="eastAsia" w:ascii="仿宋" w:hAnsi="仿宋" w:eastAsia="仿宋" w:cs="仿宋"/>
          <w:kern w:val="0"/>
        </w:rPr>
        <w:t>注:小微企业须提供以下证明材料</w:t>
      </w:r>
    </w:p>
    <w:p>
      <w:pPr>
        <w:pStyle w:val="4"/>
        <w:ind w:firstLine="480"/>
        <w:rPr>
          <w:rFonts w:ascii="仿宋" w:hAnsi="仿宋" w:eastAsia="仿宋" w:cs="仿宋"/>
          <w:kern w:val="0"/>
        </w:rPr>
      </w:pPr>
      <w:r>
        <w:rPr>
          <w:rFonts w:hint="eastAsia" w:ascii="仿宋" w:hAnsi="仿宋" w:eastAsia="仿宋" w:cs="仿宋"/>
          <w:kern w:val="0"/>
        </w:rPr>
        <w:t>1.中小企业声明函。</w:t>
      </w:r>
    </w:p>
    <w:p>
      <w:pPr>
        <w:pStyle w:val="4"/>
        <w:ind w:firstLine="480"/>
        <w:rPr>
          <w:rFonts w:ascii="仿宋" w:hAnsi="仿宋" w:eastAsia="仿宋" w:cs="仿宋"/>
          <w:kern w:val="0"/>
        </w:rPr>
      </w:pPr>
      <w:r>
        <w:rPr>
          <w:rFonts w:hint="eastAsia" w:ascii="仿宋" w:hAnsi="仿宋" w:eastAsia="仿宋" w:cs="仿宋"/>
          <w:kern w:val="0"/>
        </w:rPr>
        <w:t>2.各行业主管部门出具的小微企业证明材料或政府网站“小微企业名录”查询截图。</w:t>
      </w:r>
    </w:p>
    <w:p>
      <w:pPr>
        <w:pStyle w:val="4"/>
        <w:ind w:firstLine="480"/>
        <w:rPr>
          <w:rFonts w:ascii="仿宋" w:hAnsi="仿宋" w:eastAsia="仿宋" w:cs="仿宋"/>
          <w:kern w:val="0"/>
        </w:rPr>
      </w:pPr>
      <w:r>
        <w:rPr>
          <w:rFonts w:hint="eastAsia" w:ascii="仿宋" w:hAnsi="仿宋" w:eastAsia="仿宋" w:cs="仿宋"/>
          <w:kern w:val="0"/>
        </w:rPr>
        <w:t>3.投标货物是小微企业自身或其它小微企业生产的证明材料。</w:t>
      </w:r>
    </w:p>
    <w:p>
      <w:pPr>
        <w:widowControl/>
        <w:spacing w:before="100" w:beforeAutospacing="1" w:after="100" w:afterAutospacing="1" w:line="330" w:lineRule="atLeast"/>
        <w:jc w:val="left"/>
        <w:rPr>
          <w:rFonts w:ascii="仿宋" w:hAnsi="仿宋" w:eastAsia="仿宋" w:cs="仿宋"/>
          <w:kern w:val="0"/>
          <w:sz w:val="24"/>
        </w:rPr>
      </w:pPr>
      <w:r>
        <w:rPr>
          <w:rFonts w:hint="eastAsia" w:ascii="仿宋" w:hAnsi="仿宋" w:eastAsia="仿宋" w:cs="仿宋"/>
          <w:kern w:val="0"/>
          <w:sz w:val="24"/>
        </w:rPr>
        <w:t>　　</w:t>
      </w:r>
    </w:p>
    <w:p>
      <w:pPr>
        <w:spacing w:line="240" w:lineRule="atLeast"/>
        <w:ind w:left="1080" w:leftChars="257" w:hanging="540"/>
        <w:jc w:val="center"/>
        <w:rPr>
          <w:rFonts w:ascii="仿宋" w:hAnsi="仿宋" w:eastAsia="仿宋" w:cs="仿宋"/>
          <w:b/>
          <w:kern w:val="0"/>
          <w:sz w:val="24"/>
          <w:szCs w:val="20"/>
        </w:rPr>
      </w:pPr>
      <w:r>
        <w:rPr>
          <w:rFonts w:hint="eastAsia" w:ascii="仿宋" w:hAnsi="仿宋" w:eastAsia="仿宋" w:cs="仿宋"/>
          <w:b/>
          <w:kern w:val="0"/>
          <w:sz w:val="24"/>
          <w:szCs w:val="20"/>
        </w:rPr>
        <w:t>　</w:t>
      </w:r>
    </w:p>
    <w:p>
      <w:pPr>
        <w:widowControl/>
        <w:spacing w:before="100" w:beforeAutospacing="1" w:after="100" w:afterAutospacing="1" w:line="330" w:lineRule="atLeast"/>
        <w:ind w:firstLine="3960" w:firstLineChars="1650"/>
        <w:jc w:val="left"/>
        <w:rPr>
          <w:rFonts w:ascii="仿宋" w:hAnsi="仿宋" w:eastAsia="仿宋" w:cs="仿宋"/>
          <w:kern w:val="0"/>
          <w:sz w:val="24"/>
        </w:rPr>
      </w:pPr>
      <w:r>
        <w:rPr>
          <w:rFonts w:hint="eastAsia" w:ascii="仿宋" w:hAnsi="仿宋" w:eastAsia="仿宋" w:cs="仿宋"/>
          <w:kern w:val="0"/>
          <w:sz w:val="24"/>
        </w:rPr>
        <w:t>供应商名称（盖单位章）：</w:t>
      </w:r>
      <w:r>
        <w:rPr>
          <w:rFonts w:hint="eastAsia" w:ascii="仿宋" w:hAnsi="仿宋" w:eastAsia="仿宋" w:cs="仿宋"/>
          <w:kern w:val="0"/>
          <w:sz w:val="24"/>
          <w:u w:val="single"/>
        </w:rPr>
        <w:t xml:space="preserve">             </w:t>
      </w:r>
    </w:p>
    <w:p>
      <w:pPr>
        <w:widowControl/>
        <w:spacing w:before="100" w:beforeAutospacing="1" w:after="100" w:afterAutospacing="1" w:line="330" w:lineRule="atLeast"/>
        <w:ind w:firstLine="3720" w:firstLineChars="1550"/>
        <w:jc w:val="left"/>
        <w:rPr>
          <w:rFonts w:ascii="仿宋" w:hAnsi="仿宋" w:eastAsia="仿宋" w:cs="仿宋"/>
          <w:kern w:val="0"/>
          <w:sz w:val="24"/>
          <w:u w:val="single"/>
        </w:rPr>
      </w:pPr>
      <w:r>
        <w:rPr>
          <w:rFonts w:hint="eastAsia" w:ascii="仿宋" w:hAnsi="仿宋" w:eastAsia="仿宋" w:cs="仿宋"/>
          <w:kern w:val="0"/>
          <w:sz w:val="24"/>
        </w:rPr>
        <w:t>　日　期：</w:t>
      </w:r>
      <w:r>
        <w:rPr>
          <w:rFonts w:hint="eastAsia" w:ascii="仿宋" w:hAnsi="仿宋" w:eastAsia="仿宋" w:cs="仿宋"/>
          <w:kern w:val="0"/>
          <w:sz w:val="24"/>
          <w:u w:val="single"/>
        </w:rPr>
        <w:t xml:space="preserve">             </w:t>
      </w:r>
    </w:p>
    <w:p>
      <w:pPr>
        <w:widowControl/>
        <w:spacing w:before="100" w:beforeAutospacing="1" w:after="100" w:afterAutospacing="1" w:line="330" w:lineRule="atLeast"/>
        <w:ind w:firstLine="3720" w:firstLineChars="1550"/>
        <w:jc w:val="left"/>
        <w:rPr>
          <w:rFonts w:ascii="仿宋" w:hAnsi="仿宋" w:eastAsia="仿宋" w:cs="仿宋"/>
          <w:kern w:val="0"/>
          <w:sz w:val="24"/>
          <w:u w:val="single"/>
        </w:rPr>
      </w:pPr>
      <w:r>
        <w:rPr>
          <w:rFonts w:hint="eastAsia" w:ascii="仿宋" w:hAnsi="仿宋" w:eastAsia="仿宋" w:cs="仿宋"/>
          <w:kern w:val="0"/>
          <w:sz w:val="24"/>
          <w:u w:val="single"/>
        </w:rPr>
        <w:br w:type="page"/>
      </w:r>
    </w:p>
    <w:p>
      <w:pPr>
        <w:pStyle w:val="16"/>
        <w:ind w:left="311" w:leftChars="148" w:firstLine="228"/>
        <w:rPr>
          <w:rFonts w:ascii="仿宋" w:hAnsi="仿宋" w:eastAsia="仿宋" w:cs="仿宋"/>
          <w:b/>
          <w:bCs/>
          <w:kern w:val="0"/>
          <w:sz w:val="24"/>
        </w:rPr>
      </w:pPr>
      <w:bookmarkStart w:id="377" w:name="_Toc23068"/>
      <w:bookmarkStart w:id="378" w:name="_Toc515647825"/>
      <w:bookmarkStart w:id="379" w:name="_Toc27742"/>
      <w:bookmarkStart w:id="380" w:name="_Toc19284"/>
      <w:bookmarkStart w:id="381" w:name="OLE_LINK14"/>
      <w:bookmarkStart w:id="382" w:name="OLE_LINK13"/>
      <w:bookmarkStart w:id="383" w:name="_Toc6238"/>
      <w:bookmarkStart w:id="384" w:name="_Toc518923122"/>
    </w:p>
    <w:p>
      <w:pPr>
        <w:pStyle w:val="8"/>
        <w:spacing w:before="0" w:line="240" w:lineRule="atLeast"/>
        <w:ind w:firstLine="723" w:firstLineChars="300"/>
        <w:jc w:val="both"/>
        <w:rPr>
          <w:rFonts w:ascii="仿宋" w:hAnsi="仿宋" w:eastAsia="仿宋" w:cs="仿宋"/>
          <w:sz w:val="24"/>
        </w:rPr>
      </w:pPr>
      <w:bookmarkStart w:id="385" w:name="_Toc6691"/>
      <w:bookmarkStart w:id="386" w:name="_Toc8012"/>
      <w:bookmarkStart w:id="387" w:name="_Toc18544"/>
      <w:bookmarkStart w:id="388" w:name="_Toc3444"/>
      <w:r>
        <w:rPr>
          <w:rFonts w:hint="eastAsia" w:ascii="仿宋" w:hAnsi="仿宋" w:eastAsia="仿宋" w:cs="仿宋"/>
          <w:sz w:val="24"/>
        </w:rPr>
        <w:t>5-2  残疾人福利性单位声明函</w:t>
      </w:r>
      <w:bookmarkEnd w:id="377"/>
      <w:bookmarkEnd w:id="378"/>
      <w:bookmarkEnd w:id="379"/>
      <w:bookmarkEnd w:id="380"/>
      <w:r>
        <w:rPr>
          <w:rFonts w:hint="eastAsia" w:ascii="仿宋" w:hAnsi="仿宋" w:eastAsia="仿宋" w:cs="仿宋"/>
          <w:sz w:val="24"/>
        </w:rPr>
        <w:t>（投标文件格式</w:t>
      </w:r>
      <w:r>
        <w:rPr>
          <w:rFonts w:hint="eastAsia" w:ascii="仿宋" w:hAnsi="仿宋" w:eastAsia="仿宋" w:cs="仿宋"/>
          <w:sz w:val="24"/>
          <w:lang w:val="en-US" w:eastAsia="zh-CN"/>
        </w:rPr>
        <w:t>六</w:t>
      </w:r>
      <w:r>
        <w:rPr>
          <w:rFonts w:hint="eastAsia" w:ascii="仿宋" w:hAnsi="仿宋" w:eastAsia="仿宋" w:cs="仿宋"/>
          <w:sz w:val="24"/>
        </w:rPr>
        <w:t>）</w:t>
      </w:r>
      <w:bookmarkEnd w:id="385"/>
      <w:bookmarkEnd w:id="386"/>
      <w:bookmarkEnd w:id="387"/>
      <w:bookmarkEnd w:id="388"/>
    </w:p>
    <w:p/>
    <w:bookmarkEnd w:id="381"/>
    <w:bookmarkEnd w:id="382"/>
    <w:p>
      <w:pPr>
        <w:spacing w:line="240" w:lineRule="atLeast"/>
        <w:ind w:left="1080" w:leftChars="257" w:hanging="540"/>
        <w:jc w:val="center"/>
        <w:rPr>
          <w:rFonts w:ascii="仿宋_GB2312" w:hAnsi="Arial" w:eastAsia="仿宋_GB2312"/>
          <w:kern w:val="0"/>
          <w:sz w:val="24"/>
          <w:szCs w:val="20"/>
        </w:rPr>
      </w:pPr>
    </w:p>
    <w:p>
      <w:pPr>
        <w:spacing w:line="240" w:lineRule="atLeast"/>
        <w:ind w:firstLine="567"/>
        <w:rPr>
          <w:rFonts w:ascii="仿宋" w:hAnsi="仿宋" w:eastAsia="仿宋" w:cs="仿宋"/>
          <w:kern w:val="0"/>
          <w:sz w:val="24"/>
          <w:szCs w:val="20"/>
        </w:rPr>
      </w:pPr>
      <w:r>
        <w:rPr>
          <w:rFonts w:hint="eastAsia" w:ascii="仿宋" w:hAnsi="仿宋" w:eastAsia="仿宋" w:cs="仿宋"/>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80" w:leftChars="257" w:hanging="540"/>
        <w:rPr>
          <w:rFonts w:ascii="仿宋" w:hAnsi="仿宋" w:eastAsia="仿宋" w:cs="仿宋"/>
          <w:kern w:val="0"/>
          <w:sz w:val="24"/>
          <w:szCs w:val="20"/>
        </w:rPr>
      </w:pPr>
      <w:r>
        <w:rPr>
          <w:rFonts w:hint="eastAsia" w:ascii="仿宋" w:hAnsi="仿宋" w:eastAsia="仿宋" w:cs="仿宋"/>
          <w:kern w:val="0"/>
          <w:sz w:val="24"/>
          <w:szCs w:val="20"/>
        </w:rPr>
        <w:t>本单位对上述声明的真实性负责。如有虚假，将依法承担相应责任。</w:t>
      </w:r>
    </w:p>
    <w:p>
      <w:pPr>
        <w:spacing w:line="240" w:lineRule="atLeast"/>
        <w:ind w:left="1080" w:leftChars="257" w:hanging="540"/>
        <w:jc w:val="center"/>
        <w:rPr>
          <w:rFonts w:ascii="仿宋" w:hAnsi="仿宋" w:eastAsia="仿宋" w:cs="仿宋"/>
          <w:kern w:val="0"/>
          <w:sz w:val="24"/>
          <w:szCs w:val="20"/>
        </w:rPr>
      </w:pPr>
    </w:p>
    <w:p>
      <w:pPr>
        <w:spacing w:line="240" w:lineRule="atLeast"/>
        <w:ind w:left="1080" w:leftChars="257" w:hanging="540"/>
        <w:jc w:val="center"/>
        <w:rPr>
          <w:rFonts w:ascii="仿宋" w:hAnsi="仿宋" w:eastAsia="仿宋" w:cs="仿宋"/>
          <w:kern w:val="0"/>
          <w:sz w:val="24"/>
          <w:szCs w:val="20"/>
        </w:rPr>
      </w:pPr>
    </w:p>
    <w:p>
      <w:pPr>
        <w:spacing w:line="240" w:lineRule="atLeast"/>
        <w:ind w:left="1080" w:leftChars="257" w:hanging="540"/>
        <w:jc w:val="center"/>
        <w:rPr>
          <w:rFonts w:ascii="仿宋" w:hAnsi="仿宋" w:eastAsia="仿宋" w:cs="仿宋"/>
          <w:kern w:val="0"/>
          <w:sz w:val="24"/>
          <w:szCs w:val="20"/>
        </w:rPr>
      </w:pPr>
      <w:r>
        <w:rPr>
          <w:rFonts w:hint="eastAsia" w:ascii="仿宋" w:hAnsi="仿宋" w:eastAsia="仿宋" w:cs="仿宋"/>
          <w:kern w:val="0"/>
          <w:sz w:val="24"/>
          <w:szCs w:val="20"/>
        </w:rPr>
        <w:t xml:space="preserve">              残疾人福利性单位名称（盖单位章）：______________</w:t>
      </w:r>
    </w:p>
    <w:p>
      <w:pPr>
        <w:spacing w:line="240" w:lineRule="atLeast"/>
        <w:ind w:left="1080" w:leftChars="257" w:hanging="540"/>
        <w:jc w:val="center"/>
        <w:rPr>
          <w:rFonts w:ascii="仿宋" w:hAnsi="仿宋" w:eastAsia="仿宋" w:cs="仿宋"/>
          <w:kern w:val="0"/>
          <w:sz w:val="24"/>
          <w:szCs w:val="20"/>
        </w:rPr>
      </w:pPr>
      <w:r>
        <w:rPr>
          <w:rFonts w:hint="eastAsia" w:ascii="仿宋" w:hAnsi="仿宋" w:eastAsia="仿宋" w:cs="仿宋"/>
          <w:kern w:val="0"/>
          <w:sz w:val="24"/>
          <w:szCs w:val="20"/>
        </w:rPr>
        <w:t xml:space="preserve">  </w:t>
      </w:r>
      <w:r>
        <w:rPr>
          <w:rFonts w:hint="eastAsia" w:ascii="仿宋" w:hAnsi="仿宋" w:eastAsia="仿宋" w:cs="仿宋"/>
          <w:kern w:val="0"/>
          <w:sz w:val="24"/>
          <w:szCs w:val="20"/>
          <w:u w:val="single" w:color="FFFFFF"/>
        </w:rPr>
        <w:t xml:space="preserve">       </w:t>
      </w:r>
      <w:r>
        <w:rPr>
          <w:rFonts w:hint="eastAsia" w:ascii="仿宋" w:hAnsi="仿宋" w:eastAsia="仿宋" w:cs="仿宋"/>
          <w:kern w:val="0"/>
          <w:sz w:val="24"/>
          <w:szCs w:val="20"/>
        </w:rPr>
        <w:t>日  期：_______________________________</w:t>
      </w:r>
    </w:p>
    <w:p>
      <w:pPr>
        <w:pStyle w:val="11"/>
        <w:ind w:firstLine="964" w:firstLineChars="400"/>
        <w:rPr>
          <w:rFonts w:ascii="仿宋" w:hAnsi="仿宋" w:eastAsia="仿宋" w:cs="仿宋"/>
          <w:b/>
          <w:bCs/>
        </w:rPr>
      </w:pPr>
    </w:p>
    <w:p>
      <w:pPr>
        <w:pStyle w:val="11"/>
        <w:ind w:firstLine="964" w:firstLineChars="400"/>
        <w:rPr>
          <w:rFonts w:ascii="仿宋" w:hAnsi="仿宋" w:eastAsia="仿宋" w:cs="仿宋"/>
          <w:b/>
          <w:bCs/>
        </w:rPr>
      </w:pPr>
    </w:p>
    <w:p>
      <w:pPr>
        <w:pStyle w:val="11"/>
        <w:ind w:firstLine="723" w:firstLineChars="300"/>
        <w:rPr>
          <w:rFonts w:hint="eastAsia" w:ascii="仿宋" w:hAnsi="仿宋" w:eastAsia="仿宋" w:cs="仿宋"/>
          <w:b/>
          <w:bCs/>
        </w:rPr>
      </w:pPr>
    </w:p>
    <w:p>
      <w:pPr>
        <w:rPr>
          <w:color w:val="auto"/>
          <w:highlight w:val="none"/>
          <w:u w:val="none"/>
        </w:rPr>
      </w:pPr>
      <w:r>
        <w:rPr>
          <w:rFonts w:hint="eastAsia" w:ascii="仿宋" w:hAnsi="仿宋" w:eastAsia="仿宋" w:cs="仿宋"/>
          <w:b/>
          <w:bCs/>
        </w:rPr>
        <w:br w:type="page"/>
      </w:r>
      <w:r>
        <w:rPr>
          <w:rFonts w:hint="eastAsia" w:ascii="仿宋" w:hAnsi="仿宋" w:eastAsia="仿宋" w:cs="仿宋"/>
          <w:b/>
          <w:kern w:val="0"/>
          <w:sz w:val="24"/>
          <w:szCs w:val="20"/>
          <w:lang w:val="en-US" w:eastAsia="zh-CN" w:bidi="ar-SA"/>
        </w:rPr>
        <w:t>5-3 中小企业声明函（投标文件格式七）</w:t>
      </w:r>
    </w:p>
    <w:p>
      <w:pPr>
        <w:spacing w:line="240" w:lineRule="atLeast"/>
        <w:ind w:left="1080" w:leftChars="257" w:hanging="540"/>
        <w:jc w:val="center"/>
        <w:rPr>
          <w:rFonts w:ascii="仿宋" w:hAnsi="仿宋" w:eastAsia="仿宋" w:cs="仿宋"/>
          <w:b/>
          <w:color w:val="auto"/>
          <w:kern w:val="0"/>
          <w:sz w:val="24"/>
          <w:szCs w:val="20"/>
          <w:highlight w:val="none"/>
        </w:rPr>
      </w:pPr>
    </w:p>
    <w:p>
      <w:pPr>
        <w:spacing w:before="153" w:line="219" w:lineRule="auto"/>
        <w:jc w:val="center"/>
        <w:rPr>
          <w:rFonts w:ascii="宋体" w:hAnsi="宋体" w:eastAsia="宋体" w:cs="宋体"/>
          <w:color w:val="auto"/>
          <w:sz w:val="40"/>
          <w:szCs w:val="40"/>
        </w:rPr>
      </w:pPr>
      <w:r>
        <w:rPr>
          <w:rFonts w:ascii="宋体" w:hAnsi="宋体" w:eastAsia="宋体" w:cs="宋体"/>
          <w:color w:val="auto"/>
          <w:spacing w:val="-5"/>
          <w:sz w:val="40"/>
          <w:szCs w:val="40"/>
        </w:rPr>
        <w:t>中小企业声明函(工程、服务)</w:t>
      </w:r>
    </w:p>
    <w:p>
      <w:pPr>
        <w:spacing w:line="435" w:lineRule="auto"/>
        <w:rPr>
          <w:rFonts w:ascii="Arial"/>
          <w:color w:val="auto"/>
          <w:sz w:val="21"/>
        </w:rPr>
      </w:pPr>
    </w:p>
    <w:p>
      <w:pPr>
        <w:keepNext w:val="0"/>
        <w:keepLines w:val="0"/>
        <w:pageBreakBefore w:val="0"/>
        <w:widowControl w:val="0"/>
        <w:kinsoku/>
        <w:wordWrap/>
        <w:overflowPunct/>
        <w:topLinePunct w:val="0"/>
        <w:autoSpaceDE/>
        <w:autoSpaceDN/>
        <w:bidi w:val="0"/>
        <w:adjustRightInd/>
        <w:snapToGrid/>
        <w:spacing w:line="560" w:lineRule="exact"/>
        <w:ind w:firstLine="567"/>
        <w:textAlignment w:val="auto"/>
        <w:rPr>
          <w:rFonts w:hint="eastAsia" w:ascii="仿宋" w:hAnsi="仿宋" w:eastAsia="仿宋" w:cs="仿宋"/>
          <w:color w:val="auto"/>
          <w:kern w:val="0"/>
          <w:sz w:val="24"/>
          <w:szCs w:val="20"/>
        </w:rPr>
      </w:pPr>
      <w:r>
        <w:rPr>
          <w:rFonts w:hint="eastAsia" w:ascii="仿宋" w:hAnsi="仿宋" w:eastAsia="仿宋" w:cs="仿宋"/>
          <w:color w:val="auto"/>
          <w:kern w:val="0"/>
          <w:sz w:val="24"/>
          <w:szCs w:val="20"/>
        </w:rPr>
        <w:t>本公司(联合体)郑重声明,根据《政府采购促进中小企业发展管理办法》(财库</w:t>
      </w:r>
      <w:r>
        <w:rPr>
          <w:rFonts w:hint="eastAsia" w:ascii="仿宋" w:hAnsi="仿宋" w:eastAsia="仿宋" w:cs="仿宋"/>
          <w:color w:val="auto"/>
          <w:kern w:val="0"/>
          <w:sz w:val="24"/>
          <w:szCs w:val="20"/>
          <w:lang w:val="en-US" w:eastAsia="zh-CN"/>
        </w:rPr>
        <w:t>[</w:t>
      </w:r>
      <w:r>
        <w:rPr>
          <w:rFonts w:hint="eastAsia" w:ascii="仿宋" w:hAnsi="仿宋" w:eastAsia="仿宋" w:cs="仿宋"/>
          <w:color w:val="auto"/>
          <w:kern w:val="0"/>
          <w:sz w:val="24"/>
          <w:szCs w:val="20"/>
        </w:rPr>
        <w:t>2020]46号)的规定,本公司(联合体)参加</w:t>
      </w:r>
      <w:r>
        <w:rPr>
          <w:rFonts w:hint="eastAsia" w:ascii="仿宋" w:hAnsi="仿宋" w:eastAsia="仿宋" w:cs="仿宋"/>
          <w:color w:val="auto"/>
          <w:kern w:val="0"/>
          <w:sz w:val="24"/>
          <w:szCs w:val="20"/>
          <w:lang w:val="en-US" w:eastAsia="zh-CN"/>
        </w:rPr>
        <w:t xml:space="preserve"> </w:t>
      </w:r>
      <w:r>
        <w:rPr>
          <w:rFonts w:hint="eastAsia" w:ascii="仿宋" w:hAnsi="仿宋" w:eastAsia="仿宋" w:cs="仿宋"/>
          <w:color w:val="auto"/>
          <w:kern w:val="0"/>
          <w:sz w:val="24"/>
          <w:szCs w:val="20"/>
        </w:rPr>
        <w:t>(单位名称)</w:t>
      </w:r>
      <w:r>
        <w:rPr>
          <w:rFonts w:hint="eastAsia" w:ascii="仿宋" w:hAnsi="仿宋" w:eastAsia="仿宋" w:cs="仿宋"/>
          <w:color w:val="auto"/>
          <w:kern w:val="0"/>
          <w:sz w:val="24"/>
          <w:szCs w:val="20"/>
          <w:lang w:val="en-US" w:eastAsia="zh-CN"/>
        </w:rPr>
        <w:t xml:space="preserve"> </w:t>
      </w:r>
      <w:r>
        <w:rPr>
          <w:rFonts w:hint="eastAsia" w:ascii="仿宋" w:hAnsi="仿宋" w:eastAsia="仿宋" w:cs="仿宋"/>
          <w:color w:val="auto"/>
          <w:kern w:val="0"/>
          <w:sz w:val="24"/>
          <w:szCs w:val="20"/>
        </w:rPr>
        <w:t>的</w:t>
      </w:r>
      <w:r>
        <w:rPr>
          <w:rFonts w:hint="eastAsia" w:ascii="仿宋" w:hAnsi="仿宋" w:eastAsia="仿宋" w:cs="仿宋"/>
          <w:color w:val="auto"/>
          <w:kern w:val="0"/>
          <w:sz w:val="24"/>
          <w:szCs w:val="20"/>
          <w:lang w:val="en-US" w:eastAsia="zh-CN"/>
        </w:rPr>
        <w:t xml:space="preserve"> </w:t>
      </w:r>
      <w:r>
        <w:rPr>
          <w:rFonts w:hint="eastAsia" w:ascii="仿宋" w:hAnsi="仿宋" w:eastAsia="仿宋" w:cs="仿宋"/>
          <w:color w:val="auto"/>
          <w:kern w:val="0"/>
          <w:sz w:val="24"/>
          <w:szCs w:val="20"/>
        </w:rPr>
        <w:t>(项目名称)</w:t>
      </w:r>
      <w:r>
        <w:rPr>
          <w:rFonts w:hint="eastAsia" w:ascii="仿宋" w:hAnsi="仿宋" w:eastAsia="仿宋" w:cs="仿宋"/>
          <w:color w:val="auto"/>
          <w:kern w:val="0"/>
          <w:sz w:val="24"/>
          <w:szCs w:val="20"/>
          <w:lang w:val="en-US" w:eastAsia="zh-CN"/>
        </w:rPr>
        <w:t xml:space="preserve"> </w:t>
      </w:r>
      <w:r>
        <w:rPr>
          <w:rFonts w:hint="eastAsia" w:ascii="仿宋" w:hAnsi="仿宋" w:eastAsia="仿宋" w:cs="仿宋"/>
          <w:color w:val="auto"/>
          <w:kern w:val="0"/>
          <w:sz w:val="24"/>
          <w:szCs w:val="20"/>
        </w:rPr>
        <w:t>采购活动,工程的施工单位全部为符合政策要求的中小企业(或者:服务全部由符政策要求的中小企业承接)</w:t>
      </w:r>
      <w:r>
        <w:rPr>
          <w:rFonts w:hint="eastAsia" w:ascii="仿宋" w:hAnsi="仿宋" w:eastAsia="仿宋" w:cs="仿宋"/>
          <w:color w:val="auto"/>
          <w:kern w:val="0"/>
          <w:sz w:val="24"/>
          <w:szCs w:val="20"/>
          <w:lang w:eastAsia="zh-CN"/>
        </w:rPr>
        <w:t>。</w:t>
      </w:r>
      <w:r>
        <w:rPr>
          <w:rFonts w:hint="eastAsia" w:ascii="仿宋" w:hAnsi="仿宋" w:eastAsia="仿宋" w:cs="仿宋"/>
          <w:color w:val="auto"/>
          <w:kern w:val="0"/>
          <w:sz w:val="24"/>
          <w:szCs w:val="20"/>
        </w:rPr>
        <w:t>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560" w:lineRule="exact"/>
        <w:ind w:firstLine="567"/>
        <w:textAlignment w:val="auto"/>
        <w:rPr>
          <w:rFonts w:hint="eastAsia" w:ascii="仿宋" w:hAnsi="仿宋" w:eastAsia="仿宋" w:cs="仿宋"/>
          <w:color w:val="auto"/>
          <w:kern w:val="0"/>
          <w:sz w:val="24"/>
          <w:szCs w:val="20"/>
        </w:rPr>
      </w:pPr>
      <w:r>
        <w:rPr>
          <w:rFonts w:hint="eastAsia" w:ascii="仿宋" w:hAnsi="仿宋" w:eastAsia="仿宋" w:cs="仿宋"/>
          <w:color w:val="auto"/>
          <w:kern w:val="0"/>
          <w:sz w:val="24"/>
          <w:szCs w:val="20"/>
        </w:rPr>
        <w:t>1.  (标的名称)</w:t>
      </w:r>
      <w:r>
        <w:rPr>
          <w:rFonts w:hint="eastAsia" w:ascii="仿宋" w:hAnsi="仿宋" w:eastAsia="仿宋" w:cs="仿宋"/>
          <w:color w:val="auto"/>
          <w:kern w:val="0"/>
          <w:sz w:val="24"/>
          <w:szCs w:val="20"/>
          <w:lang w:val="en-US" w:eastAsia="zh-CN"/>
        </w:rPr>
        <w:t xml:space="preserve"> </w:t>
      </w:r>
      <w:r>
        <w:rPr>
          <w:rFonts w:hint="eastAsia" w:ascii="仿宋" w:hAnsi="仿宋" w:eastAsia="仿宋" w:cs="仿宋"/>
          <w:color w:val="auto"/>
          <w:kern w:val="0"/>
          <w:sz w:val="24"/>
          <w:szCs w:val="20"/>
        </w:rPr>
        <w:t>, 属于(采购文件中明确的所属行业);承建(承接)企业为(企业名称), 从业人员</w:t>
      </w:r>
      <w:r>
        <w:rPr>
          <w:rFonts w:hint="eastAsia" w:ascii="仿宋" w:hAnsi="仿宋" w:eastAsia="仿宋" w:cs="仿宋"/>
          <w:color w:val="auto"/>
          <w:kern w:val="0"/>
          <w:sz w:val="24"/>
          <w:szCs w:val="20"/>
          <w:lang w:val="en-US" w:eastAsia="zh-CN"/>
        </w:rPr>
        <w:t xml:space="preserve">   </w:t>
      </w:r>
      <w:r>
        <w:rPr>
          <w:rFonts w:hint="eastAsia" w:ascii="仿宋" w:hAnsi="仿宋" w:eastAsia="仿宋" w:cs="仿宋"/>
          <w:color w:val="auto"/>
          <w:kern w:val="0"/>
          <w:sz w:val="24"/>
          <w:szCs w:val="20"/>
        </w:rPr>
        <w:t>人 ,营业收入为</w:t>
      </w:r>
      <w:r>
        <w:rPr>
          <w:rFonts w:hint="eastAsia" w:ascii="仿宋" w:hAnsi="仿宋" w:eastAsia="仿宋" w:cs="仿宋"/>
          <w:color w:val="auto"/>
          <w:kern w:val="0"/>
          <w:sz w:val="24"/>
          <w:szCs w:val="20"/>
          <w:lang w:val="en-US" w:eastAsia="zh-CN"/>
        </w:rPr>
        <w:t xml:space="preserve">    </w:t>
      </w:r>
      <w:r>
        <w:rPr>
          <w:rFonts w:hint="eastAsia" w:ascii="仿宋" w:hAnsi="仿宋" w:eastAsia="仿宋" w:cs="仿宋"/>
          <w:color w:val="auto"/>
          <w:kern w:val="0"/>
          <w:sz w:val="24"/>
          <w:szCs w:val="20"/>
        </w:rPr>
        <w:t>万元,资产总额为</w:t>
      </w:r>
      <w:r>
        <w:rPr>
          <w:rFonts w:hint="eastAsia" w:ascii="仿宋" w:hAnsi="仿宋" w:eastAsia="仿宋" w:cs="仿宋"/>
          <w:color w:val="auto"/>
          <w:kern w:val="0"/>
          <w:sz w:val="24"/>
          <w:szCs w:val="20"/>
          <w:lang w:val="en-US" w:eastAsia="zh-CN"/>
        </w:rPr>
        <w:t xml:space="preserve">   </w:t>
      </w:r>
      <w:r>
        <w:rPr>
          <w:rFonts w:hint="eastAsia" w:ascii="仿宋" w:hAnsi="仿宋" w:eastAsia="仿宋" w:cs="仿宋"/>
          <w:color w:val="auto"/>
          <w:kern w:val="0"/>
          <w:sz w:val="24"/>
          <w:szCs w:val="20"/>
        </w:rPr>
        <w:t>万元</w:t>
      </w:r>
      <w:r>
        <w:rPr>
          <w:rFonts w:hint="eastAsia" w:ascii="仿宋" w:hAnsi="仿宋" w:eastAsia="仿宋" w:cs="仿宋"/>
          <w:color w:val="auto"/>
          <w:kern w:val="0"/>
          <w:sz w:val="24"/>
          <w:szCs w:val="20"/>
          <w:lang w:val="en-US" w:eastAsia="zh-CN"/>
        </w:rPr>
        <w:t>2</w:t>
      </w:r>
      <w:r>
        <w:rPr>
          <w:rFonts w:hint="eastAsia" w:ascii="仿宋" w:hAnsi="仿宋" w:eastAsia="仿宋" w:cs="仿宋"/>
          <w:color w:val="auto"/>
          <w:kern w:val="0"/>
          <w:sz w:val="24"/>
          <w:szCs w:val="20"/>
        </w:rPr>
        <w:t>,属于(中型企业、小型企业、微型企业);</w:t>
      </w:r>
    </w:p>
    <w:p>
      <w:pPr>
        <w:keepNext w:val="0"/>
        <w:keepLines w:val="0"/>
        <w:pageBreakBefore w:val="0"/>
        <w:widowControl w:val="0"/>
        <w:kinsoku/>
        <w:wordWrap/>
        <w:overflowPunct/>
        <w:topLinePunct w:val="0"/>
        <w:autoSpaceDE/>
        <w:autoSpaceDN/>
        <w:bidi w:val="0"/>
        <w:adjustRightInd/>
        <w:snapToGrid/>
        <w:spacing w:line="560" w:lineRule="exact"/>
        <w:ind w:firstLine="567"/>
        <w:textAlignment w:val="auto"/>
        <w:rPr>
          <w:rFonts w:hint="eastAsia" w:ascii="仿宋" w:hAnsi="仿宋" w:eastAsia="仿宋" w:cs="仿宋"/>
          <w:color w:val="auto"/>
          <w:kern w:val="0"/>
          <w:sz w:val="24"/>
          <w:szCs w:val="20"/>
        </w:rPr>
      </w:pPr>
      <w:r>
        <w:rPr>
          <w:rFonts w:hint="eastAsia" w:ascii="仿宋" w:hAnsi="仿宋" w:eastAsia="仿宋" w:cs="仿宋"/>
          <w:color w:val="auto"/>
          <w:kern w:val="0"/>
          <w:sz w:val="24"/>
          <w:szCs w:val="20"/>
        </w:rPr>
        <w:t>2.  (标的名称)</w:t>
      </w:r>
      <w:r>
        <w:rPr>
          <w:rFonts w:hint="eastAsia" w:ascii="仿宋" w:hAnsi="仿宋" w:eastAsia="仿宋" w:cs="仿宋"/>
          <w:color w:val="auto"/>
          <w:kern w:val="0"/>
          <w:sz w:val="24"/>
          <w:szCs w:val="20"/>
          <w:lang w:val="en-US" w:eastAsia="zh-CN"/>
        </w:rPr>
        <w:t xml:space="preserve"> </w:t>
      </w:r>
      <w:r>
        <w:rPr>
          <w:rFonts w:hint="eastAsia" w:ascii="仿宋" w:hAnsi="仿宋" w:eastAsia="仿宋" w:cs="仿宋"/>
          <w:color w:val="auto"/>
          <w:kern w:val="0"/>
          <w:sz w:val="24"/>
          <w:szCs w:val="20"/>
        </w:rPr>
        <w:t>, 属于(采购文件中明确的所属行业); 承建(承接)企业 为(企业名称)</w:t>
      </w:r>
      <w:r>
        <w:rPr>
          <w:rFonts w:hint="eastAsia" w:ascii="仿宋" w:hAnsi="仿宋" w:eastAsia="仿宋" w:cs="仿宋"/>
          <w:color w:val="auto"/>
          <w:kern w:val="0"/>
          <w:sz w:val="24"/>
          <w:szCs w:val="20"/>
          <w:lang w:val="en-US" w:eastAsia="zh-CN"/>
        </w:rPr>
        <w:t xml:space="preserve"> </w:t>
      </w:r>
      <w:r>
        <w:rPr>
          <w:rFonts w:hint="eastAsia" w:ascii="仿宋" w:hAnsi="仿宋" w:eastAsia="仿宋" w:cs="仿宋"/>
          <w:color w:val="auto"/>
          <w:kern w:val="0"/>
          <w:sz w:val="24"/>
          <w:szCs w:val="20"/>
        </w:rPr>
        <w:t>,从业人员  人,营业收入为</w:t>
      </w:r>
      <w:r>
        <w:rPr>
          <w:rFonts w:hint="eastAsia" w:ascii="仿宋" w:hAnsi="仿宋" w:eastAsia="仿宋" w:cs="仿宋"/>
          <w:color w:val="auto"/>
          <w:kern w:val="0"/>
          <w:sz w:val="24"/>
          <w:szCs w:val="20"/>
          <w:lang w:val="en-US" w:eastAsia="zh-CN"/>
        </w:rPr>
        <w:t xml:space="preserve">  </w:t>
      </w:r>
      <w:r>
        <w:rPr>
          <w:rFonts w:hint="eastAsia" w:ascii="仿宋" w:hAnsi="仿宋" w:eastAsia="仿宋" w:cs="仿宋"/>
          <w:color w:val="auto"/>
          <w:kern w:val="0"/>
          <w:sz w:val="24"/>
          <w:szCs w:val="20"/>
        </w:rPr>
        <w:t>万元,资产总额为</w:t>
      </w:r>
      <w:r>
        <w:rPr>
          <w:rFonts w:hint="eastAsia" w:ascii="仿宋" w:hAnsi="仿宋" w:eastAsia="仿宋" w:cs="仿宋"/>
          <w:color w:val="auto"/>
          <w:kern w:val="0"/>
          <w:sz w:val="24"/>
          <w:szCs w:val="20"/>
          <w:lang w:val="en-US" w:eastAsia="zh-CN"/>
        </w:rPr>
        <w:t xml:space="preserve">   </w:t>
      </w:r>
      <w:r>
        <w:rPr>
          <w:rFonts w:hint="eastAsia" w:ascii="仿宋" w:hAnsi="仿宋" w:eastAsia="仿宋" w:cs="仿宋"/>
          <w:color w:val="auto"/>
          <w:kern w:val="0"/>
          <w:sz w:val="24"/>
          <w:szCs w:val="20"/>
        </w:rPr>
        <w:t>万元</w:t>
      </w:r>
      <w:r>
        <w:rPr>
          <w:rFonts w:hint="eastAsia" w:ascii="仿宋" w:hAnsi="仿宋" w:eastAsia="仿宋" w:cs="仿宋"/>
          <w:color w:val="auto"/>
          <w:kern w:val="0"/>
          <w:sz w:val="24"/>
          <w:szCs w:val="20"/>
          <w:lang w:val="en-US" w:eastAsia="zh-CN"/>
        </w:rPr>
        <w:t>2</w:t>
      </w:r>
      <w:r>
        <w:rPr>
          <w:rFonts w:hint="eastAsia" w:ascii="仿宋" w:hAnsi="仿宋" w:eastAsia="仿宋" w:cs="仿宋"/>
          <w:color w:val="auto"/>
          <w:kern w:val="0"/>
          <w:sz w:val="24"/>
          <w:szCs w:val="20"/>
        </w:rPr>
        <w:t>,属于(中型企业、小型企业、微型 企业);</w:t>
      </w:r>
    </w:p>
    <w:p>
      <w:pPr>
        <w:keepNext w:val="0"/>
        <w:keepLines w:val="0"/>
        <w:pageBreakBefore w:val="0"/>
        <w:widowControl w:val="0"/>
        <w:kinsoku/>
        <w:wordWrap/>
        <w:overflowPunct/>
        <w:topLinePunct w:val="0"/>
        <w:autoSpaceDE/>
        <w:autoSpaceDN/>
        <w:bidi w:val="0"/>
        <w:adjustRightInd/>
        <w:snapToGrid/>
        <w:spacing w:line="560" w:lineRule="exact"/>
        <w:ind w:firstLine="567"/>
        <w:textAlignment w:val="auto"/>
        <w:rPr>
          <w:rFonts w:hint="eastAsia" w:ascii="仿宋" w:hAnsi="仿宋" w:eastAsia="仿宋" w:cs="仿宋"/>
          <w:color w:val="auto"/>
          <w:kern w:val="0"/>
          <w:sz w:val="24"/>
          <w:szCs w:val="20"/>
        </w:rPr>
      </w:pPr>
    </w:p>
    <w:p>
      <w:pPr>
        <w:keepNext w:val="0"/>
        <w:keepLines w:val="0"/>
        <w:pageBreakBefore w:val="0"/>
        <w:widowControl w:val="0"/>
        <w:kinsoku/>
        <w:wordWrap/>
        <w:overflowPunct/>
        <w:topLinePunct w:val="0"/>
        <w:autoSpaceDE/>
        <w:autoSpaceDN/>
        <w:bidi w:val="0"/>
        <w:adjustRightInd/>
        <w:snapToGrid/>
        <w:spacing w:line="560" w:lineRule="exact"/>
        <w:ind w:firstLine="567"/>
        <w:textAlignment w:val="auto"/>
        <w:rPr>
          <w:rFonts w:hint="eastAsia" w:ascii="仿宋" w:hAnsi="仿宋" w:eastAsia="仿宋" w:cs="仿宋"/>
          <w:color w:val="auto"/>
          <w:kern w:val="0"/>
          <w:sz w:val="24"/>
          <w:szCs w:val="20"/>
        </w:rPr>
      </w:pPr>
      <w:r>
        <w:rPr>
          <w:rFonts w:hint="eastAsia" w:ascii="仿宋" w:hAnsi="仿宋" w:eastAsia="仿宋" w:cs="仿宋"/>
          <w:color w:val="auto"/>
          <w:kern w:val="0"/>
          <w:sz w:val="24"/>
          <w:szCs w:val="20"/>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60" w:lineRule="exact"/>
        <w:ind w:firstLine="567"/>
        <w:textAlignment w:val="auto"/>
        <w:rPr>
          <w:rFonts w:hint="eastAsia" w:ascii="仿宋" w:hAnsi="仿宋" w:eastAsia="仿宋" w:cs="仿宋"/>
          <w:color w:val="auto"/>
          <w:kern w:val="0"/>
          <w:sz w:val="24"/>
          <w:szCs w:val="20"/>
        </w:rPr>
      </w:pPr>
      <w:r>
        <w:rPr>
          <w:rFonts w:hint="eastAsia" w:ascii="仿宋" w:hAnsi="仿宋" w:eastAsia="仿宋" w:cs="仿宋"/>
          <w:color w:val="auto"/>
          <w:kern w:val="0"/>
          <w:sz w:val="24"/>
          <w:szCs w:val="20"/>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560" w:lineRule="exact"/>
        <w:ind w:firstLine="567"/>
        <w:textAlignment w:val="auto"/>
        <w:rPr>
          <w:rFonts w:hint="eastAsia" w:ascii="仿宋" w:hAnsi="仿宋" w:eastAsia="仿宋" w:cs="仿宋"/>
          <w:color w:val="auto"/>
          <w:kern w:val="0"/>
          <w:sz w:val="24"/>
          <w:szCs w:val="20"/>
        </w:rPr>
      </w:pPr>
    </w:p>
    <w:p>
      <w:pPr>
        <w:keepNext w:val="0"/>
        <w:keepLines w:val="0"/>
        <w:pageBreakBefore w:val="0"/>
        <w:widowControl w:val="0"/>
        <w:kinsoku/>
        <w:wordWrap/>
        <w:overflowPunct/>
        <w:topLinePunct w:val="0"/>
        <w:autoSpaceDE/>
        <w:autoSpaceDN/>
        <w:bidi w:val="0"/>
        <w:adjustRightInd/>
        <w:snapToGrid/>
        <w:spacing w:line="560" w:lineRule="exact"/>
        <w:ind w:firstLine="5923" w:firstLineChars="2468"/>
        <w:textAlignment w:val="auto"/>
        <w:rPr>
          <w:rFonts w:hint="eastAsia" w:ascii="仿宋" w:hAnsi="仿宋" w:eastAsia="仿宋" w:cs="仿宋"/>
          <w:color w:val="auto"/>
          <w:kern w:val="0"/>
          <w:sz w:val="24"/>
          <w:szCs w:val="20"/>
        </w:rPr>
      </w:pPr>
      <w:r>
        <w:rPr>
          <w:rFonts w:hint="eastAsia" w:ascii="仿宋" w:hAnsi="仿宋" w:eastAsia="仿宋" w:cs="仿宋"/>
          <w:color w:val="auto"/>
          <w:kern w:val="0"/>
          <w:sz w:val="24"/>
          <w:szCs w:val="20"/>
        </w:rPr>
        <w:t>企业名称(盖章):</w:t>
      </w:r>
    </w:p>
    <w:p>
      <w:pPr>
        <w:keepNext w:val="0"/>
        <w:keepLines w:val="0"/>
        <w:pageBreakBefore w:val="0"/>
        <w:widowControl w:val="0"/>
        <w:kinsoku/>
        <w:wordWrap/>
        <w:overflowPunct/>
        <w:topLinePunct w:val="0"/>
        <w:autoSpaceDE/>
        <w:autoSpaceDN/>
        <w:bidi w:val="0"/>
        <w:adjustRightInd/>
        <w:snapToGrid/>
        <w:spacing w:line="560" w:lineRule="exact"/>
        <w:ind w:firstLine="5923" w:firstLineChars="2468"/>
        <w:textAlignment w:val="auto"/>
        <w:rPr>
          <w:rFonts w:hint="eastAsia" w:ascii="仿宋" w:hAnsi="仿宋" w:eastAsia="仿宋" w:cs="仿宋"/>
          <w:color w:val="auto"/>
          <w:kern w:val="0"/>
          <w:sz w:val="24"/>
          <w:szCs w:val="20"/>
        </w:rPr>
      </w:pPr>
      <w:r>
        <w:rPr>
          <w:rFonts w:hint="eastAsia" w:ascii="仿宋" w:hAnsi="仿宋" w:eastAsia="仿宋" w:cs="仿宋"/>
          <w:color w:val="auto"/>
          <w:kern w:val="0"/>
          <w:sz w:val="24"/>
          <w:szCs w:val="20"/>
        </w:rPr>
        <w:t>日期:</w:t>
      </w:r>
    </w:p>
    <w:p>
      <w:pPr>
        <w:rPr>
          <w:rFonts w:hint="eastAsia" w:ascii="仿宋" w:hAnsi="仿宋" w:eastAsia="仿宋" w:cs="仿宋"/>
          <w:b/>
          <w:bCs/>
        </w:rPr>
      </w:pPr>
    </w:p>
    <w:p>
      <w:pPr>
        <w:rPr>
          <w:rFonts w:hint="eastAsia" w:ascii="仿宋" w:hAnsi="仿宋" w:eastAsia="仿宋" w:cs="仿宋"/>
          <w:b/>
          <w:bCs/>
        </w:rPr>
      </w:pPr>
      <w:r>
        <w:rPr>
          <w:rFonts w:hint="eastAsia" w:ascii="仿宋" w:hAnsi="仿宋" w:eastAsia="仿宋" w:cs="仿宋"/>
          <w:b/>
          <w:bCs/>
        </w:rPr>
        <w:br w:type="page"/>
      </w:r>
    </w:p>
    <w:p>
      <w:pPr>
        <w:pStyle w:val="11"/>
        <w:ind w:firstLine="723" w:firstLineChars="300"/>
        <w:rPr>
          <w:rFonts w:ascii="仿宋" w:hAnsi="仿宋" w:eastAsia="仿宋" w:cs="仿宋"/>
          <w:b/>
          <w:bCs/>
        </w:rPr>
      </w:pPr>
      <w:r>
        <w:rPr>
          <w:rFonts w:hint="eastAsia" w:ascii="仿宋" w:hAnsi="仿宋" w:eastAsia="仿宋" w:cs="仿宋"/>
          <w:b/>
          <w:bCs/>
        </w:rPr>
        <w:t>6   供应商关联单位的说明</w:t>
      </w:r>
      <w:bookmarkEnd w:id="383"/>
      <w:bookmarkEnd w:id="384"/>
    </w:p>
    <w:p>
      <w:pPr>
        <w:pStyle w:val="11"/>
        <w:ind w:firstLine="480" w:firstLineChars="200"/>
        <w:rPr>
          <w:rFonts w:ascii="仿宋" w:hAnsi="仿宋" w:eastAsia="仿宋" w:cs="仿宋"/>
        </w:rPr>
      </w:pPr>
    </w:p>
    <w:p>
      <w:pPr>
        <w:pStyle w:val="11"/>
        <w:ind w:firstLine="480" w:firstLineChars="200"/>
        <w:rPr>
          <w:rFonts w:ascii="仿宋" w:hAnsi="仿宋" w:eastAsia="仿宋" w:cs="仿宋"/>
        </w:rPr>
      </w:pPr>
    </w:p>
    <w:p>
      <w:pPr>
        <w:pStyle w:val="11"/>
        <w:ind w:firstLine="480" w:firstLineChars="200"/>
        <w:rPr>
          <w:rFonts w:ascii="仿宋" w:hAnsi="仿宋" w:eastAsia="仿宋" w:cs="仿宋"/>
        </w:rPr>
      </w:pPr>
      <w:r>
        <w:rPr>
          <w:rFonts w:hint="eastAsia" w:ascii="仿宋" w:hAnsi="仿宋" w:eastAsia="仿宋" w:cs="仿宋"/>
        </w:rPr>
        <w:t>说明：供应商应当如实披露与本单位存在下列关联关系的单位名称：</w:t>
      </w:r>
    </w:p>
    <w:p>
      <w:pPr>
        <w:pStyle w:val="11"/>
        <w:ind w:firstLine="480" w:firstLineChars="200"/>
        <w:rPr>
          <w:rFonts w:ascii="仿宋" w:hAnsi="仿宋" w:eastAsia="仿宋" w:cs="仿宋"/>
        </w:rPr>
      </w:pPr>
      <w:r>
        <w:rPr>
          <w:rFonts w:hint="eastAsia" w:ascii="仿宋" w:hAnsi="仿宋" w:eastAsia="仿宋" w:cs="仿宋"/>
        </w:rPr>
        <w:t>（1）与供应商单位负责人为同一人的其他单位；</w:t>
      </w:r>
    </w:p>
    <w:p>
      <w:pPr>
        <w:pStyle w:val="11"/>
        <w:ind w:firstLine="480" w:firstLineChars="200"/>
        <w:rPr>
          <w:rFonts w:ascii="仿宋" w:hAnsi="仿宋" w:eastAsia="仿宋" w:cs="仿宋"/>
        </w:rPr>
      </w:pPr>
      <w:r>
        <w:rPr>
          <w:rFonts w:hint="eastAsia" w:ascii="仿宋" w:hAnsi="仿宋" w:eastAsia="仿宋" w:cs="仿宋"/>
        </w:rPr>
        <w:t>（2）与供应商存在直接控股、管理关系的其他单位。</w:t>
      </w:r>
    </w:p>
    <w:p>
      <w:pPr>
        <w:pStyle w:val="11"/>
        <w:jc w:val="center"/>
        <w:rPr>
          <w:rFonts w:ascii="仿宋" w:hAnsi="仿宋" w:eastAsia="仿宋" w:cs="仿宋"/>
        </w:rPr>
      </w:pPr>
    </w:p>
    <w:p>
      <w:pPr>
        <w:pStyle w:val="21"/>
        <w:tabs>
          <w:tab w:val="center" w:pos="4140"/>
          <w:tab w:val="right" w:pos="8300"/>
          <w:tab w:val="clear" w:pos="4153"/>
          <w:tab w:val="clear" w:pos="8306"/>
        </w:tabs>
        <w:spacing w:line="440" w:lineRule="exact"/>
        <w:jc w:val="center"/>
        <w:outlineLvl w:val="1"/>
        <w:rPr>
          <w:rFonts w:ascii="仿宋" w:hAnsi="仿宋" w:eastAsia="仿宋" w:cs="仿宋"/>
          <w:b/>
          <w:sz w:val="24"/>
        </w:rPr>
      </w:pPr>
      <w:r>
        <w:rPr>
          <w:rFonts w:hint="eastAsia" w:ascii="仿宋" w:hAnsi="仿宋" w:eastAsia="仿宋" w:cs="仿宋"/>
          <w:b/>
          <w:bCs/>
        </w:rPr>
        <w:br w:type="page"/>
      </w:r>
      <w:bookmarkStart w:id="389" w:name="_Toc16345"/>
      <w:bookmarkStart w:id="390" w:name="_Toc10213"/>
      <w:bookmarkStart w:id="391" w:name="_Toc31802"/>
      <w:r>
        <w:rPr>
          <w:rFonts w:hint="eastAsia" w:ascii="仿宋" w:hAnsi="仿宋" w:eastAsia="仿宋" w:cs="仿宋"/>
          <w:b/>
          <w:sz w:val="24"/>
        </w:rPr>
        <w:t>第四部分  技术投标方案</w:t>
      </w:r>
      <w:bookmarkEnd w:id="389"/>
      <w:bookmarkEnd w:id="390"/>
      <w:bookmarkEnd w:id="391"/>
    </w:p>
    <w:p>
      <w:pPr>
        <w:pStyle w:val="21"/>
        <w:tabs>
          <w:tab w:val="center" w:pos="4140"/>
          <w:tab w:val="right" w:pos="8300"/>
          <w:tab w:val="clear" w:pos="4153"/>
          <w:tab w:val="clear" w:pos="8306"/>
        </w:tabs>
        <w:spacing w:line="440" w:lineRule="exact"/>
        <w:ind w:firstLine="480" w:firstLineChars="200"/>
        <w:jc w:val="both"/>
        <w:rPr>
          <w:rFonts w:ascii="仿宋" w:hAnsi="仿宋" w:eastAsia="仿宋" w:cs="仿宋"/>
          <w:sz w:val="24"/>
          <w:lang w:val="zh-CN"/>
        </w:rPr>
      </w:pPr>
      <w:bookmarkStart w:id="392" w:name="_Toc375218897"/>
      <w:r>
        <w:rPr>
          <w:rFonts w:hint="eastAsia" w:ascii="仿宋" w:hAnsi="仿宋" w:eastAsia="仿宋" w:cs="仿宋"/>
          <w:sz w:val="24"/>
          <w:lang w:val="zh-CN"/>
        </w:rPr>
        <w:t>供应商应根据采购文件的要求，参照项目的具体情况及评分标准</w:t>
      </w:r>
      <w:bookmarkStart w:id="393" w:name="_Toc375218899"/>
      <w:r>
        <w:rPr>
          <w:rFonts w:hint="eastAsia" w:ascii="仿宋" w:hAnsi="仿宋" w:eastAsia="仿宋" w:cs="仿宋"/>
          <w:sz w:val="24"/>
          <w:lang w:val="zh-CN"/>
        </w:rPr>
        <w:t>技术</w:t>
      </w:r>
      <w:r>
        <w:rPr>
          <w:rFonts w:hint="eastAsia" w:ascii="仿宋" w:hAnsi="仿宋" w:eastAsia="仿宋" w:cs="仿宋"/>
          <w:sz w:val="24"/>
        </w:rPr>
        <w:t>表</w:t>
      </w:r>
      <w:r>
        <w:rPr>
          <w:rFonts w:hint="eastAsia" w:ascii="仿宋" w:hAnsi="仿宋" w:eastAsia="仿宋" w:cs="仿宋"/>
          <w:sz w:val="24"/>
          <w:lang w:val="zh-CN"/>
        </w:rPr>
        <w:t>内容</w:t>
      </w:r>
      <w:r>
        <w:rPr>
          <w:rFonts w:hint="eastAsia" w:ascii="仿宋" w:hAnsi="仿宋" w:eastAsia="仿宋" w:cs="仿宋"/>
          <w:sz w:val="24"/>
        </w:rPr>
        <w:t>编制技术投标方案</w:t>
      </w:r>
      <w:r>
        <w:rPr>
          <w:rFonts w:hint="eastAsia" w:ascii="仿宋" w:hAnsi="仿宋" w:eastAsia="仿宋" w:cs="仿宋"/>
          <w:sz w:val="24"/>
          <w:lang w:val="zh-CN"/>
        </w:rPr>
        <w:t>。</w:t>
      </w:r>
      <w:bookmarkEnd w:id="392"/>
      <w:bookmarkEnd w:id="393"/>
    </w:p>
    <w:p>
      <w:pPr>
        <w:pStyle w:val="21"/>
        <w:tabs>
          <w:tab w:val="center" w:pos="4140"/>
          <w:tab w:val="right" w:pos="8300"/>
          <w:tab w:val="clear" w:pos="4153"/>
          <w:tab w:val="clear" w:pos="8306"/>
        </w:tabs>
        <w:spacing w:line="440" w:lineRule="exact"/>
        <w:ind w:firstLine="480" w:firstLineChars="200"/>
        <w:jc w:val="both"/>
        <w:rPr>
          <w:rFonts w:ascii="仿宋" w:hAnsi="仿宋" w:eastAsia="仿宋" w:cs="仿宋"/>
          <w:sz w:val="24"/>
        </w:rPr>
      </w:pPr>
      <w:r>
        <w:rPr>
          <w:rFonts w:hint="eastAsia" w:ascii="仿宋" w:hAnsi="仿宋" w:eastAsia="仿宋" w:cs="仿宋"/>
          <w:sz w:val="24"/>
        </w:rPr>
        <w:t>标项一、二：技术投标文件将从与采购文件的响应性，</w:t>
      </w:r>
      <w:r>
        <w:rPr>
          <w:rFonts w:hint="eastAsia" w:ascii="仿宋" w:hAnsi="仿宋" w:eastAsia="仿宋" w:cs="仿宋"/>
          <w:sz w:val="24"/>
          <w:lang w:val="zh-CN"/>
        </w:rPr>
        <w:t>将从与采购文件的响应性，依据充足，目标任务明确，调查区自然地理、地质、社会经济等方面的资料齐全性，工作思路、工作部署、工程量布置、进度安排明确清晰程度，工作方法手段得当、适宜，技术要求明确性，预期成果，主要设备配置，质量、进度、安全的保障体系，主要措施，</w:t>
      </w:r>
      <w:r>
        <w:rPr>
          <w:rFonts w:hint="eastAsia" w:ascii="仿宋" w:hAnsi="仿宋" w:eastAsia="仿宋" w:cs="仿宋"/>
          <w:sz w:val="24"/>
        </w:rPr>
        <w:t>投入本项目的主要设备和仪器等方面评审。</w:t>
      </w:r>
    </w:p>
    <w:p>
      <w:pPr>
        <w:pStyle w:val="21"/>
        <w:tabs>
          <w:tab w:val="center" w:pos="4140"/>
          <w:tab w:val="right" w:pos="8300"/>
          <w:tab w:val="clear" w:pos="4153"/>
          <w:tab w:val="clear" w:pos="8306"/>
        </w:tabs>
        <w:spacing w:line="440" w:lineRule="exact"/>
        <w:ind w:firstLine="480" w:firstLineChars="200"/>
        <w:jc w:val="both"/>
        <w:rPr>
          <w:rFonts w:ascii="仿宋" w:hAnsi="仿宋" w:eastAsia="仿宋" w:cs="仿宋"/>
          <w:sz w:val="24"/>
        </w:rPr>
      </w:pPr>
      <w:r>
        <w:rPr>
          <w:rFonts w:hint="eastAsia" w:ascii="仿宋" w:hAnsi="仿宋" w:eastAsia="仿宋" w:cs="仿宋"/>
          <w:sz w:val="24"/>
        </w:rPr>
        <w:t>标项三：技术投标文件将从与采购文件的响应性，</w:t>
      </w:r>
      <w:r>
        <w:rPr>
          <w:rFonts w:hint="eastAsia" w:ascii="仿宋" w:hAnsi="仿宋" w:eastAsia="仿宋" w:cs="仿宋"/>
          <w:sz w:val="24"/>
          <w:lang w:val="zh-CN"/>
        </w:rPr>
        <w:t>将从与采购文件的响应性，依据充足，目标任务明确，调查区自然地理、地质、社会经济等方面的资料齐全性，工作思路、工作部署、工程量布置、进度安排明确清晰程度，工作方法手段得当、适宜，技术要求明确性，预期成果，主要设备配置，质量、进度、安全的保障体系，主要措施，</w:t>
      </w:r>
      <w:r>
        <w:rPr>
          <w:rFonts w:hint="eastAsia" w:ascii="仿宋" w:hAnsi="仿宋" w:eastAsia="仿宋" w:cs="仿宋"/>
          <w:sz w:val="24"/>
        </w:rPr>
        <w:t>投入本项目的主要设备和仪器等方面评审。</w:t>
      </w:r>
    </w:p>
    <w:p>
      <w:pPr>
        <w:pStyle w:val="21"/>
        <w:tabs>
          <w:tab w:val="center" w:pos="4140"/>
          <w:tab w:val="right" w:pos="8300"/>
          <w:tab w:val="clear" w:pos="4153"/>
          <w:tab w:val="clear" w:pos="8306"/>
        </w:tabs>
        <w:spacing w:line="440" w:lineRule="exact"/>
        <w:ind w:firstLine="480" w:firstLineChars="200"/>
        <w:jc w:val="both"/>
        <w:rPr>
          <w:rFonts w:ascii="仿宋" w:hAnsi="仿宋" w:eastAsia="仿宋" w:cs="仿宋"/>
          <w:sz w:val="24"/>
        </w:rPr>
      </w:pPr>
      <w:r>
        <w:rPr>
          <w:rFonts w:hint="eastAsia" w:ascii="仿宋" w:hAnsi="仿宋" w:eastAsia="仿宋" w:cs="仿宋"/>
          <w:sz w:val="24"/>
        </w:rPr>
        <w:t>标项四：</w:t>
      </w:r>
      <w:r>
        <w:rPr>
          <w:rFonts w:hint="eastAsia" w:ascii="仿宋" w:hAnsi="仿宋" w:eastAsia="仿宋" w:cs="仿宋"/>
          <w:sz w:val="24"/>
          <w:lang w:val="zh-CN"/>
        </w:rPr>
        <w:t>技术标将从标书与</w:t>
      </w:r>
      <w:r>
        <w:rPr>
          <w:rFonts w:hint="eastAsia" w:ascii="仿宋" w:hAnsi="仿宋" w:eastAsia="仿宋" w:cs="仿宋"/>
          <w:sz w:val="24"/>
        </w:rPr>
        <w:t>采购</w:t>
      </w:r>
      <w:r>
        <w:rPr>
          <w:rFonts w:hint="eastAsia" w:ascii="仿宋" w:hAnsi="仿宋" w:eastAsia="仿宋" w:cs="仿宋"/>
          <w:sz w:val="24"/>
          <w:lang w:val="zh-CN"/>
        </w:rPr>
        <w:t>文件的响应性或完整性、监理工作范围、内容、目标及依据、监理机构和组织形式健全、监理工作程序的合理性，技术要求的可行性、技术要求及措施的合理性、预期成果应包括、监理工作总结、质量评估报告、人员配置等方面进行评价。</w:t>
      </w:r>
    </w:p>
    <w:p>
      <w:pPr>
        <w:shd w:val="clear" w:color="auto" w:fill="FFFFFF"/>
        <w:spacing w:line="400" w:lineRule="exact"/>
        <w:ind w:firstLine="484" w:firstLineChars="202"/>
        <w:rPr>
          <w:rFonts w:ascii="仿宋" w:hAnsi="仿宋" w:eastAsia="仿宋" w:cs="仿宋"/>
          <w:sz w:val="24"/>
          <w:lang w:val="zh-CN"/>
        </w:rPr>
      </w:pPr>
      <w:r>
        <w:rPr>
          <w:rFonts w:hint="eastAsia" w:ascii="仿宋" w:hAnsi="仿宋" w:eastAsia="仿宋" w:cs="仿宋"/>
          <w:sz w:val="24"/>
          <w:lang w:val="zh-CN"/>
        </w:rPr>
        <w:t>为了便于查找，请</w:t>
      </w:r>
      <w:r>
        <w:rPr>
          <w:rFonts w:hint="eastAsia" w:ascii="仿宋" w:hAnsi="仿宋" w:eastAsia="仿宋" w:cs="仿宋"/>
          <w:sz w:val="24"/>
        </w:rPr>
        <w:t>编制目录</w:t>
      </w:r>
      <w:r>
        <w:rPr>
          <w:rFonts w:hint="eastAsia" w:ascii="仿宋" w:hAnsi="仿宋" w:eastAsia="仿宋" w:cs="仿宋"/>
          <w:sz w:val="24"/>
          <w:lang w:val="zh-CN"/>
        </w:rPr>
        <w:t>，并在目录中注明每项内容的页码。</w:t>
      </w:r>
    </w:p>
    <w:p/>
    <w:p>
      <w:pPr>
        <w:pStyle w:val="11"/>
        <w:ind w:firstLine="723" w:firstLineChars="300"/>
        <w:rPr>
          <w:rFonts w:ascii="仿宋" w:hAnsi="仿宋" w:eastAsia="仿宋" w:cs="仿宋"/>
          <w:b/>
          <w:bCs/>
        </w:rPr>
      </w:pPr>
    </w:p>
    <w:p>
      <w:r>
        <w:rPr>
          <w:rFonts w:hint="eastAsia"/>
        </w:rPr>
        <w:br w:type="page"/>
      </w:r>
    </w:p>
    <w:p>
      <w:pPr>
        <w:spacing w:line="240" w:lineRule="atLeast"/>
        <w:ind w:left="1080" w:leftChars="257" w:hanging="540"/>
        <w:jc w:val="center"/>
        <w:rPr>
          <w:rFonts w:ascii="仿宋" w:hAnsi="仿宋" w:eastAsia="仿宋" w:cs="仿宋"/>
          <w:sz w:val="24"/>
        </w:rPr>
      </w:pPr>
    </w:p>
    <w:p>
      <w:pPr>
        <w:spacing w:line="240" w:lineRule="atLeast"/>
        <w:ind w:left="1080" w:leftChars="257" w:hanging="540"/>
        <w:jc w:val="center"/>
        <w:rPr>
          <w:rFonts w:ascii="仿宋" w:hAnsi="仿宋" w:eastAsia="仿宋" w:cs="仿宋"/>
          <w:sz w:val="24"/>
        </w:rPr>
      </w:pPr>
    </w:p>
    <w:p>
      <w:pPr>
        <w:spacing w:line="240" w:lineRule="atLeast"/>
        <w:ind w:left="1080" w:leftChars="257" w:hanging="540"/>
        <w:jc w:val="center"/>
        <w:rPr>
          <w:rFonts w:ascii="仿宋" w:hAnsi="仿宋" w:eastAsia="仿宋" w:cs="仿宋"/>
          <w:sz w:val="24"/>
        </w:rPr>
      </w:pPr>
    </w:p>
    <w:p>
      <w:pPr>
        <w:spacing w:line="240" w:lineRule="atLeast"/>
        <w:ind w:left="1080" w:leftChars="257" w:hanging="540"/>
        <w:jc w:val="center"/>
        <w:rPr>
          <w:rFonts w:ascii="仿宋" w:hAnsi="仿宋" w:eastAsia="仿宋" w:cs="仿宋"/>
          <w:sz w:val="24"/>
        </w:rPr>
      </w:pPr>
    </w:p>
    <w:p>
      <w:pPr>
        <w:spacing w:line="240" w:lineRule="atLeast"/>
        <w:ind w:left="1080" w:leftChars="257" w:hanging="540"/>
        <w:jc w:val="center"/>
        <w:rPr>
          <w:rFonts w:ascii="仿宋" w:hAnsi="仿宋" w:eastAsia="仿宋" w:cs="仿宋"/>
          <w:sz w:val="24"/>
        </w:rPr>
      </w:pPr>
    </w:p>
    <w:p>
      <w:pPr>
        <w:widowControl/>
        <w:jc w:val="center"/>
        <w:outlineLvl w:val="0"/>
        <w:rPr>
          <w:rFonts w:hint="eastAsia" w:ascii="仿宋" w:hAnsi="仿宋" w:eastAsia="仿宋" w:cs="仿宋"/>
          <w:b/>
          <w:sz w:val="48"/>
          <w:szCs w:val="48"/>
        </w:rPr>
      </w:pPr>
      <w:bookmarkStart w:id="394" w:name="_Toc30150"/>
      <w:bookmarkStart w:id="395" w:name="_Toc6784"/>
      <w:bookmarkStart w:id="396" w:name="_Toc4702"/>
      <w:bookmarkStart w:id="397" w:name="_Toc16537"/>
      <w:r>
        <w:rPr>
          <w:rFonts w:hint="eastAsia" w:ascii="仿宋" w:hAnsi="仿宋" w:eastAsia="仿宋" w:cs="仿宋"/>
          <w:b/>
          <w:sz w:val="48"/>
          <w:szCs w:val="48"/>
        </w:rPr>
        <w:t>吐鲁番市2023年中央自然灾害防治</w:t>
      </w:r>
      <w:bookmarkEnd w:id="394"/>
      <w:bookmarkEnd w:id="395"/>
      <w:bookmarkEnd w:id="396"/>
      <w:bookmarkEnd w:id="397"/>
    </w:p>
    <w:p>
      <w:pPr>
        <w:widowControl/>
        <w:jc w:val="center"/>
        <w:rPr>
          <w:rFonts w:ascii="仿宋" w:hAnsi="仿宋" w:eastAsia="仿宋" w:cs="仿宋"/>
          <w:b/>
          <w:sz w:val="48"/>
          <w:szCs w:val="48"/>
        </w:rPr>
      </w:pPr>
      <w:r>
        <w:rPr>
          <w:rFonts w:hint="eastAsia" w:ascii="仿宋" w:hAnsi="仿宋" w:eastAsia="仿宋" w:cs="仿宋"/>
          <w:b/>
          <w:sz w:val="48"/>
          <w:szCs w:val="48"/>
        </w:rPr>
        <w:t>体系建设项目</w:t>
      </w:r>
    </w:p>
    <w:p>
      <w:pPr>
        <w:pStyle w:val="26"/>
        <w:rPr>
          <w:rFonts w:ascii="仿宋" w:hAnsi="仿宋" w:eastAsia="仿宋" w:cs="仿宋"/>
          <w:b/>
          <w:sz w:val="48"/>
          <w:szCs w:val="48"/>
        </w:rPr>
      </w:pPr>
    </w:p>
    <w:p>
      <w:pPr>
        <w:widowControl/>
        <w:jc w:val="left"/>
        <w:rPr>
          <w:rFonts w:ascii="仿宋" w:hAnsi="仿宋" w:eastAsia="仿宋" w:cs="仿宋"/>
        </w:rPr>
      </w:pPr>
    </w:p>
    <w:p>
      <w:pPr>
        <w:pStyle w:val="4"/>
        <w:ind w:firstLine="480"/>
      </w:pPr>
    </w:p>
    <w:p>
      <w:pPr>
        <w:spacing w:line="240" w:lineRule="atLeast"/>
        <w:jc w:val="center"/>
        <w:rPr>
          <w:rFonts w:ascii="仿宋" w:hAnsi="仿宋" w:eastAsia="仿宋" w:cs="仿宋"/>
          <w:bCs/>
          <w:sz w:val="52"/>
          <w:szCs w:val="52"/>
        </w:rPr>
      </w:pPr>
      <w:r>
        <w:rPr>
          <w:rFonts w:hint="eastAsia" w:ascii="仿宋" w:hAnsi="仿宋" w:eastAsia="仿宋" w:cs="仿宋"/>
          <w:bCs/>
          <w:sz w:val="52"/>
          <w:szCs w:val="52"/>
        </w:rPr>
        <w:t xml:space="preserve"> </w:t>
      </w:r>
      <w:r>
        <w:rPr>
          <w:rFonts w:hint="eastAsia" w:ascii="仿宋" w:hAnsi="仿宋" w:eastAsia="仿宋" w:cs="仿宋"/>
          <w:b/>
          <w:sz w:val="52"/>
          <w:szCs w:val="52"/>
        </w:rPr>
        <w:t>采购文件</w:t>
      </w:r>
    </w:p>
    <w:p>
      <w:pPr>
        <w:spacing w:line="240" w:lineRule="atLeast"/>
        <w:ind w:left="1080" w:leftChars="257" w:hanging="540"/>
        <w:jc w:val="center"/>
        <w:rPr>
          <w:rFonts w:ascii="仿宋" w:hAnsi="仿宋" w:eastAsia="仿宋" w:cs="仿宋"/>
          <w:bCs/>
          <w:sz w:val="52"/>
          <w:szCs w:val="52"/>
        </w:rPr>
      </w:pPr>
    </w:p>
    <w:p>
      <w:pPr>
        <w:spacing w:line="240" w:lineRule="atLeast"/>
        <w:ind w:left="1080" w:leftChars="257" w:hanging="540"/>
        <w:jc w:val="center"/>
        <w:rPr>
          <w:rFonts w:ascii="仿宋" w:hAnsi="仿宋" w:eastAsia="仿宋" w:cs="仿宋"/>
          <w:bCs/>
          <w:sz w:val="32"/>
          <w:szCs w:val="32"/>
        </w:rPr>
      </w:pPr>
      <w:r>
        <w:rPr>
          <w:rFonts w:hint="eastAsia" w:ascii="仿宋" w:hAnsi="仿宋" w:eastAsia="仿宋" w:cs="仿宋"/>
          <w:bCs/>
          <w:sz w:val="32"/>
          <w:szCs w:val="32"/>
        </w:rPr>
        <w:t>（项目编号：GYZB-TLFDZFZ2023）</w:t>
      </w:r>
    </w:p>
    <w:p>
      <w:pPr>
        <w:pStyle w:val="11"/>
        <w:ind w:firstLine="0"/>
      </w:pPr>
    </w:p>
    <w:p>
      <w:pPr>
        <w:spacing w:line="240" w:lineRule="atLeast"/>
        <w:ind w:left="1080" w:leftChars="257" w:hanging="540"/>
        <w:jc w:val="center"/>
        <w:rPr>
          <w:rFonts w:ascii="仿宋" w:hAnsi="仿宋" w:eastAsia="仿宋" w:cs="仿宋"/>
          <w:b/>
          <w:sz w:val="52"/>
        </w:rPr>
      </w:pPr>
    </w:p>
    <w:p>
      <w:pPr>
        <w:spacing w:line="240" w:lineRule="atLeast"/>
        <w:ind w:left="1079" w:leftChars="257" w:hanging="539"/>
        <w:jc w:val="center"/>
        <w:outlineLvl w:val="0"/>
        <w:rPr>
          <w:rFonts w:ascii="仿宋" w:hAnsi="仿宋" w:eastAsia="仿宋" w:cs="仿宋"/>
          <w:b/>
          <w:sz w:val="36"/>
          <w:szCs w:val="36"/>
        </w:rPr>
      </w:pPr>
      <w:bookmarkStart w:id="398" w:name="_Toc11395"/>
      <w:bookmarkStart w:id="399" w:name="_Toc7920"/>
      <w:bookmarkStart w:id="400" w:name="_Toc1214"/>
      <w:bookmarkStart w:id="401" w:name="_Toc7066"/>
      <w:r>
        <w:rPr>
          <w:rFonts w:hint="eastAsia" w:ascii="仿宋" w:hAnsi="仿宋" w:eastAsia="仿宋" w:cs="仿宋"/>
          <w:b/>
          <w:sz w:val="36"/>
          <w:szCs w:val="36"/>
        </w:rPr>
        <w:t>第二册</w:t>
      </w:r>
      <w:bookmarkEnd w:id="398"/>
      <w:bookmarkEnd w:id="399"/>
      <w:bookmarkEnd w:id="400"/>
      <w:bookmarkEnd w:id="401"/>
    </w:p>
    <w:p>
      <w:pPr>
        <w:pStyle w:val="3"/>
        <w:ind w:firstLine="1044"/>
        <w:rPr>
          <w:rFonts w:ascii="仿宋" w:hAnsi="仿宋" w:eastAsia="仿宋" w:cs="仿宋"/>
          <w:b/>
          <w:sz w:val="52"/>
        </w:rPr>
      </w:pPr>
    </w:p>
    <w:p>
      <w:pPr>
        <w:pStyle w:val="4"/>
        <w:ind w:firstLine="480"/>
      </w:pPr>
    </w:p>
    <w:p>
      <w:pPr>
        <w:spacing w:line="360" w:lineRule="auto"/>
        <w:ind w:firstLine="837" w:firstLineChars="299"/>
        <w:jc w:val="left"/>
        <w:rPr>
          <w:rFonts w:ascii="仿宋" w:hAnsi="仿宋" w:eastAsia="仿宋" w:cs="仿宋"/>
          <w:sz w:val="28"/>
          <w:szCs w:val="28"/>
          <w:u w:val="single"/>
        </w:rPr>
      </w:pPr>
      <w:r>
        <w:rPr>
          <w:rFonts w:hint="eastAsia" w:ascii="仿宋" w:hAnsi="仿宋" w:eastAsia="仿宋" w:cs="仿宋"/>
          <w:sz w:val="28"/>
          <w:szCs w:val="28"/>
        </w:rPr>
        <w:t>采 购 人：</w:t>
      </w:r>
      <w:r>
        <w:rPr>
          <w:rFonts w:hint="eastAsia" w:ascii="仿宋" w:hAnsi="仿宋" w:eastAsia="仿宋" w:cs="仿宋"/>
          <w:sz w:val="28"/>
          <w:szCs w:val="28"/>
          <w:u w:val="single"/>
        </w:rPr>
        <w:t>吐鲁番市自然资源局</w:t>
      </w:r>
    </w:p>
    <w:p>
      <w:pPr>
        <w:spacing w:line="600" w:lineRule="exact"/>
        <w:ind w:firstLine="837" w:firstLineChars="299"/>
        <w:rPr>
          <w:rFonts w:ascii="仿宋" w:hAnsi="仿宋" w:eastAsia="仿宋" w:cs="仿宋"/>
          <w:sz w:val="28"/>
          <w:szCs w:val="28"/>
        </w:rPr>
      </w:pPr>
      <w:r>
        <w:rPr>
          <w:rFonts w:hint="eastAsia" w:ascii="仿宋" w:hAnsi="仿宋" w:eastAsia="仿宋" w:cs="仿宋"/>
          <w:sz w:val="28"/>
          <w:szCs w:val="28"/>
        </w:rPr>
        <w:t>采购代理机构：</w:t>
      </w:r>
      <w:r>
        <w:rPr>
          <w:rFonts w:hint="eastAsia" w:ascii="仿宋" w:hAnsi="仿宋" w:eastAsia="仿宋" w:cs="仿宋"/>
          <w:sz w:val="28"/>
          <w:szCs w:val="28"/>
          <w:u w:val="single"/>
        </w:rPr>
        <w:t>新疆国源土地矿产资源交易中心（有限公司）</w:t>
      </w:r>
      <w:r>
        <w:rPr>
          <w:rFonts w:hint="eastAsia" w:ascii="仿宋" w:hAnsi="仿宋" w:eastAsia="仿宋" w:cs="仿宋"/>
          <w:sz w:val="28"/>
          <w:szCs w:val="28"/>
        </w:rPr>
        <w:t xml:space="preserve"> </w:t>
      </w:r>
    </w:p>
    <w:p>
      <w:pPr>
        <w:spacing w:line="600" w:lineRule="exact"/>
        <w:ind w:firstLine="837" w:firstLineChars="299"/>
        <w:rPr>
          <w:rFonts w:ascii="仿宋" w:hAnsi="仿宋" w:eastAsia="仿宋" w:cs="仿宋"/>
          <w:sz w:val="28"/>
          <w:szCs w:val="28"/>
          <w:u w:val="single"/>
        </w:rPr>
      </w:pPr>
      <w:r>
        <w:rPr>
          <w:rFonts w:hint="eastAsia" w:ascii="仿宋" w:hAnsi="仿宋" w:eastAsia="仿宋" w:cs="仿宋"/>
          <w:sz w:val="28"/>
          <w:szCs w:val="28"/>
        </w:rPr>
        <w:t>发出日期：</w:t>
      </w:r>
      <w:r>
        <w:rPr>
          <w:rFonts w:hint="eastAsia" w:ascii="仿宋" w:hAnsi="仿宋" w:eastAsia="仿宋" w:cs="仿宋"/>
          <w:sz w:val="28"/>
          <w:szCs w:val="28"/>
          <w:u w:val="single"/>
        </w:rPr>
        <w:t>2023年2月</w:t>
      </w:r>
    </w:p>
    <w:p>
      <w:pPr>
        <w:pStyle w:val="7"/>
        <w:tabs>
          <w:tab w:val="left" w:pos="0"/>
        </w:tabs>
        <w:spacing w:before="0" w:after="0" w:line="240" w:lineRule="atLeast"/>
        <w:rPr>
          <w:rFonts w:ascii="仿宋" w:hAnsi="仿宋" w:eastAsia="仿宋" w:cs="仿宋"/>
        </w:rPr>
      </w:pPr>
      <w:r>
        <w:rPr>
          <w:rFonts w:hint="eastAsia" w:ascii="仿宋" w:hAnsi="仿宋" w:eastAsia="仿宋" w:cs="仿宋"/>
          <w:sz w:val="28"/>
          <w:szCs w:val="28"/>
          <w:u w:val="single"/>
        </w:rPr>
        <w:br w:type="page"/>
      </w:r>
      <w:bookmarkStart w:id="402" w:name="_Toc216582825"/>
      <w:bookmarkStart w:id="403" w:name="_Toc219175638"/>
      <w:bookmarkStart w:id="404" w:name="_Toc518923126"/>
      <w:bookmarkStart w:id="405" w:name="_Toc218935354"/>
      <w:bookmarkStart w:id="406" w:name="_Toc7112"/>
      <w:bookmarkStart w:id="407" w:name="_Toc507399906"/>
      <w:bookmarkStart w:id="408" w:name="_Toc9608"/>
      <w:bookmarkStart w:id="409" w:name="_Toc12256"/>
      <w:bookmarkStart w:id="410" w:name="_Toc17326"/>
      <w:bookmarkStart w:id="411" w:name="_Toc218935351"/>
      <w:bookmarkStart w:id="412" w:name="_Toc216582811"/>
      <w:bookmarkStart w:id="413" w:name="_Toc219175635"/>
      <w:bookmarkStart w:id="414" w:name="_Toc216513787"/>
      <w:r>
        <w:rPr>
          <w:rFonts w:hint="eastAsia" w:ascii="仿宋" w:hAnsi="仿宋" w:eastAsia="仿宋" w:cs="仿宋"/>
        </w:rPr>
        <w:t xml:space="preserve">第5章   </w:t>
      </w:r>
      <w:bookmarkEnd w:id="402"/>
      <w:bookmarkEnd w:id="403"/>
      <w:bookmarkEnd w:id="404"/>
      <w:bookmarkEnd w:id="405"/>
      <w:bookmarkEnd w:id="406"/>
      <w:bookmarkEnd w:id="407"/>
      <w:r>
        <w:rPr>
          <w:rFonts w:hint="eastAsia" w:ascii="仿宋" w:hAnsi="仿宋" w:eastAsia="仿宋" w:cs="仿宋"/>
        </w:rPr>
        <w:t>采购需求</w:t>
      </w:r>
      <w:bookmarkEnd w:id="408"/>
      <w:bookmarkEnd w:id="409"/>
      <w:bookmarkEnd w:id="410"/>
    </w:p>
    <w:p>
      <w:pPr>
        <w:spacing w:line="560" w:lineRule="exact"/>
        <w:ind w:left="363"/>
        <w:jc w:val="center"/>
        <w:outlineLvl w:val="1"/>
        <w:rPr>
          <w:rFonts w:ascii="仿宋" w:hAnsi="仿宋" w:eastAsia="仿宋" w:cs="仿宋"/>
          <w:b/>
          <w:bCs/>
          <w:kern w:val="0"/>
          <w:sz w:val="32"/>
          <w:szCs w:val="22"/>
        </w:rPr>
      </w:pPr>
      <w:bookmarkStart w:id="415" w:name="_Toc32496"/>
      <w:bookmarkStart w:id="416" w:name="_Toc26342"/>
      <w:bookmarkStart w:id="417" w:name="_Toc19421"/>
      <w:r>
        <w:rPr>
          <w:rFonts w:hint="eastAsia" w:ascii="仿宋" w:hAnsi="仿宋" w:eastAsia="仿宋" w:cs="仿宋"/>
          <w:b/>
          <w:bCs/>
          <w:kern w:val="0"/>
          <w:sz w:val="32"/>
          <w:szCs w:val="22"/>
        </w:rPr>
        <w:t>标项一：新疆托克逊县地质灾害风险调查评价</w:t>
      </w:r>
      <w:bookmarkEnd w:id="415"/>
      <w:bookmarkEnd w:id="416"/>
      <w:bookmarkEnd w:id="417"/>
    </w:p>
    <w:p>
      <w:pPr>
        <w:widowControl/>
        <w:spacing w:line="560" w:lineRule="exact"/>
        <w:ind w:firstLine="480" w:firstLineChars="200"/>
        <w:jc w:val="left"/>
        <w:outlineLvl w:val="1"/>
        <w:rPr>
          <w:rStyle w:val="72"/>
          <w:rFonts w:hint="default" w:ascii="仿宋" w:hAnsi="仿宋" w:eastAsia="仿宋" w:cs="仿宋"/>
          <w:color w:val="auto"/>
          <w:sz w:val="24"/>
          <w:szCs w:val="24"/>
        </w:rPr>
      </w:pPr>
      <w:bookmarkStart w:id="418" w:name="_Toc20116"/>
      <w:bookmarkStart w:id="419" w:name="_Toc29127"/>
      <w:bookmarkStart w:id="420" w:name="_Toc29160"/>
      <w:bookmarkStart w:id="421" w:name="_Toc28416"/>
      <w:r>
        <w:rPr>
          <w:rStyle w:val="72"/>
          <w:rFonts w:ascii="仿宋" w:hAnsi="仿宋" w:eastAsia="仿宋" w:cs="仿宋"/>
          <w:color w:val="auto"/>
          <w:sz w:val="24"/>
          <w:szCs w:val="24"/>
        </w:rPr>
        <w:t>一、项目名称、编号和经费</w:t>
      </w:r>
      <w:bookmarkEnd w:id="418"/>
      <w:bookmarkEnd w:id="419"/>
      <w:bookmarkEnd w:id="420"/>
      <w:bookmarkEnd w:id="421"/>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项目名称：新疆托克逊县地质灾害风险调查评价</w:t>
      </w:r>
    </w:p>
    <w:p>
      <w:pPr>
        <w:spacing w:line="560" w:lineRule="exact"/>
        <w:ind w:firstLine="480" w:firstLineChars="200"/>
        <w:rPr>
          <w:rFonts w:ascii="仿宋" w:hAnsi="仿宋" w:eastAsia="仿宋" w:cs="仿宋"/>
          <w:sz w:val="24"/>
        </w:rPr>
      </w:pPr>
      <w:r>
        <w:rPr>
          <w:rStyle w:val="72"/>
          <w:rFonts w:ascii="仿宋" w:hAnsi="仿宋" w:eastAsia="仿宋" w:cs="仿宋"/>
          <w:color w:val="auto"/>
          <w:sz w:val="24"/>
          <w:szCs w:val="24"/>
        </w:rPr>
        <w:t>项目编号：</w:t>
      </w:r>
      <w:r>
        <w:rPr>
          <w:rFonts w:hint="eastAsia" w:ascii="仿宋" w:hAnsi="仿宋" w:eastAsia="仿宋"/>
          <w:sz w:val="24"/>
        </w:rPr>
        <w:t>GYZB-TLFDZFZ2023-01</w:t>
      </w:r>
      <w:r>
        <w:rPr>
          <w:rStyle w:val="72"/>
          <w:rFonts w:ascii="仿宋" w:hAnsi="仿宋" w:eastAsia="仿宋" w:cs="仿宋"/>
          <w:color w:val="FF0000"/>
          <w:sz w:val="24"/>
          <w:szCs w:val="24"/>
        </w:rPr>
        <w:t xml:space="preserve"> </w:t>
      </w:r>
    </w:p>
    <w:p>
      <w:pPr>
        <w:spacing w:line="560" w:lineRule="exact"/>
        <w:ind w:firstLine="480" w:firstLineChars="200"/>
        <w:rPr>
          <w:rFonts w:ascii="仿宋" w:hAnsi="仿宋" w:eastAsia="仿宋" w:cs="仿宋"/>
          <w:sz w:val="24"/>
        </w:rPr>
      </w:pPr>
      <w:r>
        <w:rPr>
          <w:rStyle w:val="72"/>
          <w:rFonts w:ascii="仿宋" w:hAnsi="仿宋" w:eastAsia="仿宋" w:cs="仿宋"/>
          <w:color w:val="auto"/>
          <w:sz w:val="24"/>
          <w:szCs w:val="24"/>
        </w:rPr>
        <w:t>项目费用人民币：120万元（壹佰贰拾万元整）</w:t>
      </w:r>
    </w:p>
    <w:p>
      <w:pPr>
        <w:spacing w:line="560" w:lineRule="exact"/>
        <w:ind w:firstLine="480" w:firstLineChars="200"/>
        <w:outlineLvl w:val="1"/>
        <w:rPr>
          <w:rStyle w:val="72"/>
          <w:rFonts w:hint="default" w:ascii="仿宋" w:hAnsi="仿宋" w:eastAsia="仿宋" w:cs="仿宋"/>
          <w:color w:val="auto"/>
          <w:sz w:val="24"/>
          <w:szCs w:val="24"/>
        </w:rPr>
      </w:pPr>
      <w:bookmarkStart w:id="422" w:name="_Toc2689"/>
      <w:bookmarkStart w:id="423" w:name="_Toc32341"/>
      <w:bookmarkStart w:id="424" w:name="_Toc17558"/>
      <w:bookmarkStart w:id="425" w:name="_Toc23477"/>
      <w:r>
        <w:rPr>
          <w:rStyle w:val="72"/>
          <w:rFonts w:ascii="仿宋" w:hAnsi="仿宋" w:eastAsia="仿宋" w:cs="仿宋"/>
          <w:color w:val="auto"/>
          <w:sz w:val="24"/>
          <w:szCs w:val="24"/>
        </w:rPr>
        <w:t>二、工作范围和面积</w:t>
      </w:r>
      <w:bookmarkEnd w:id="422"/>
      <w:bookmarkEnd w:id="423"/>
      <w:bookmarkEnd w:id="424"/>
      <w:bookmarkEnd w:id="425"/>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本次工作区范围为托克逊县行政区范围，总面积约1.36万平方千米（以三调成果数据为准）。</w:t>
      </w:r>
    </w:p>
    <w:p>
      <w:pPr>
        <w:spacing w:line="560" w:lineRule="exact"/>
        <w:ind w:firstLine="480" w:firstLineChars="200"/>
        <w:outlineLvl w:val="1"/>
        <w:rPr>
          <w:rStyle w:val="72"/>
          <w:rFonts w:hint="default" w:ascii="仿宋" w:hAnsi="仿宋" w:eastAsia="仿宋" w:cs="仿宋"/>
          <w:color w:val="auto"/>
          <w:sz w:val="24"/>
          <w:szCs w:val="24"/>
        </w:rPr>
      </w:pPr>
      <w:bookmarkStart w:id="426" w:name="_Toc23262"/>
      <w:bookmarkStart w:id="427" w:name="_Toc22430"/>
      <w:bookmarkStart w:id="428" w:name="_Toc3702"/>
      <w:bookmarkStart w:id="429" w:name="_Toc14249"/>
      <w:r>
        <w:rPr>
          <w:rStyle w:val="72"/>
          <w:rFonts w:ascii="仿宋" w:hAnsi="仿宋" w:eastAsia="仿宋" w:cs="仿宋"/>
          <w:color w:val="auto"/>
          <w:sz w:val="24"/>
          <w:szCs w:val="24"/>
        </w:rPr>
        <w:t>三、自然经济地理</w:t>
      </w:r>
      <w:bookmarkEnd w:id="426"/>
      <w:bookmarkEnd w:id="427"/>
      <w:bookmarkEnd w:id="428"/>
      <w:bookmarkEnd w:id="429"/>
    </w:p>
    <w:p>
      <w:pPr>
        <w:spacing w:line="560" w:lineRule="exact"/>
        <w:ind w:firstLine="480" w:firstLineChars="200"/>
        <w:rPr>
          <w:rFonts w:ascii="仿宋" w:hAnsi="仿宋" w:eastAsia="仿宋" w:cs="仿宋"/>
          <w:sz w:val="24"/>
        </w:rPr>
      </w:pPr>
      <w:r>
        <w:rPr>
          <w:rStyle w:val="72"/>
          <w:rFonts w:ascii="仿宋" w:hAnsi="仿宋" w:eastAsia="仿宋" w:cs="仿宋"/>
          <w:color w:val="auto"/>
          <w:sz w:val="24"/>
          <w:szCs w:val="24"/>
        </w:rPr>
        <w:t>托克逊县位于东天山南麓，吐鲁番盆地西缘，县境处于东经87°23′-89°15′、北纬41°19′-43°19′之间。县境地域辽阔，大致呈南北走向的长条形，东西最宽146千米，南北最长204千米。</w:t>
      </w:r>
      <w:r>
        <w:rPr>
          <w:rFonts w:hint="eastAsia" w:ascii="仿宋" w:hAnsi="仿宋" w:eastAsia="仿宋" w:cs="仿宋"/>
          <w:sz w:val="24"/>
        </w:rPr>
        <w:t>托克逊县城北距乌鲁木齐市162千米，东距吐鲁番市51千米，南距库尔勒市320千米，西与和硕县、和静县相连。区内主要交通干线有：南疆铁路、G3012国道、G30国道、G312国道、S103省道及S301省道。县城与各乡、镇由Z471、Z475、以及Z476线道路相连形成道路网，交通便利。</w:t>
      </w:r>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托克逊县下辖7镇（托克逊镇、克尔碱镇、库米什镇、阿乐惠镇、伊拉湖镇、博斯坦镇、夏镇）1乡（郭勒布依乡），15个社区居委会、46个村民委员会。1个自治区级能源重工业化工园。2020年末，县境内居住着维吾尔族、汉族回族等25个民族，托克逊县人口为124040人。其中维吾尔族96439人，占总人口的77.75％；汉族18600人，占总人口的15.00％；回族8539人，占总人口的6.88％；其他少数民族451人，占总人口的0.36％。</w:t>
      </w:r>
      <w:r>
        <w:rPr>
          <w:rFonts w:hint="eastAsia" w:ascii="仿宋" w:hAnsi="仿宋" w:eastAsia="仿宋" w:cs="仿宋"/>
          <w:sz w:val="24"/>
        </w:rPr>
        <w:t>托克逊县矿产资源丰富，素有“天然聚宝盆”之称，已发现矿产资源有煤炭、盐、蒙皂石、钨、铜、铅、锌等41多种，其中煤炭储量最为丰富，储量在43.06亿吨以上。托克逊县重要煤炭主要分布在克尔碱、黑山、库米什等矿区，目前累计探明储量348620万吨，现有煤炭采矿权11家，设计生产规模共计1217万吨/年。县境内交通便利，主要有连接南疆的重要交通路线国道G3012线，省道S301、S103线等县乡公路纵横交织，兰新铁路及南疆铁路也穿境而过。托克逊县境内重要旅游文物景点相对发达，目前已有旅游文物风景区有雅丹地貌、克尔碱岩画石刻水系图、盘吉尔怪石林及黑山牧场等。</w:t>
      </w:r>
    </w:p>
    <w:p>
      <w:pPr>
        <w:spacing w:line="560" w:lineRule="exact"/>
        <w:ind w:firstLine="480" w:firstLineChars="200"/>
        <w:outlineLvl w:val="1"/>
        <w:rPr>
          <w:rFonts w:ascii="仿宋" w:hAnsi="仿宋" w:eastAsia="仿宋" w:cs="仿宋"/>
          <w:sz w:val="24"/>
        </w:rPr>
      </w:pPr>
      <w:bookmarkStart w:id="430" w:name="_Toc3915"/>
      <w:bookmarkStart w:id="431" w:name="_Toc31553"/>
      <w:bookmarkStart w:id="432" w:name="_Toc26720"/>
      <w:bookmarkStart w:id="433" w:name="_Toc4160"/>
      <w:r>
        <w:rPr>
          <w:rStyle w:val="72"/>
          <w:rFonts w:ascii="仿宋" w:hAnsi="仿宋" w:eastAsia="仿宋" w:cs="仿宋"/>
          <w:color w:val="auto"/>
          <w:sz w:val="24"/>
          <w:szCs w:val="24"/>
        </w:rPr>
        <w:t>四、地质环境概况</w:t>
      </w:r>
      <w:bookmarkEnd w:id="430"/>
      <w:bookmarkEnd w:id="431"/>
      <w:bookmarkEnd w:id="432"/>
      <w:bookmarkEnd w:id="433"/>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（一）地形地貌与人类工程活动</w:t>
      </w:r>
    </w:p>
    <w:p>
      <w:pPr>
        <w:spacing w:line="560" w:lineRule="exact"/>
        <w:ind w:firstLine="480" w:firstLineChars="200"/>
        <w:rPr>
          <w:rFonts w:ascii="仿宋" w:hAnsi="仿宋" w:eastAsia="仿宋" w:cs="仿宋"/>
          <w:sz w:val="24"/>
        </w:rPr>
      </w:pPr>
      <w:r>
        <w:rPr>
          <w:rStyle w:val="72"/>
          <w:rFonts w:ascii="仿宋" w:hAnsi="仿宋" w:eastAsia="仿宋" w:cs="仿宋"/>
          <w:color w:val="auto"/>
          <w:sz w:val="24"/>
          <w:szCs w:val="24"/>
        </w:rPr>
        <w:t>托克逊县位于天山山脉的山间盆地—吐鲁番盆地西部，县境北部及西北部为中高山区，有东西走向天山山脉的铁克里克乔喀山—恰克马克山及喀拉乌成山；中央地带为托克逊平原，为东部倾向艾丁湖的簸箕状地形，总体地势西北高、东南低；根据区内地貌成因及形态特征，托克逊县主要地貌划分为：</w:t>
      </w:r>
      <w:r>
        <w:rPr>
          <w:rFonts w:hint="eastAsia" w:ascii="仿宋" w:hAnsi="仿宋" w:eastAsia="仿宋" w:cs="仿宋"/>
          <w:sz w:val="24"/>
        </w:rPr>
        <w:t>冰川作用高山区</w:t>
      </w:r>
      <w:r>
        <w:rPr>
          <w:rStyle w:val="72"/>
          <w:rFonts w:ascii="仿宋" w:hAnsi="仿宋" w:eastAsia="仿宋" w:cs="仿宋"/>
          <w:color w:val="auto"/>
          <w:sz w:val="24"/>
          <w:szCs w:val="24"/>
        </w:rPr>
        <w:t>，</w:t>
      </w:r>
      <w:r>
        <w:rPr>
          <w:rFonts w:hint="eastAsia" w:ascii="仿宋" w:hAnsi="仿宋" w:eastAsia="仿宋" w:cs="仿宋"/>
          <w:sz w:val="24"/>
        </w:rPr>
        <w:t>侵蚀作用强烈中低山区</w:t>
      </w:r>
      <w:r>
        <w:rPr>
          <w:rStyle w:val="72"/>
          <w:rFonts w:ascii="仿宋" w:hAnsi="仿宋" w:eastAsia="仿宋" w:cs="仿宋"/>
          <w:color w:val="auto"/>
          <w:sz w:val="24"/>
          <w:szCs w:val="24"/>
        </w:rPr>
        <w:t>，</w:t>
      </w:r>
      <w:r>
        <w:rPr>
          <w:rFonts w:hint="eastAsia" w:ascii="仿宋" w:hAnsi="仿宋" w:eastAsia="仿宋" w:cs="仿宋"/>
          <w:sz w:val="24"/>
        </w:rPr>
        <w:t>剥蚀作用强烈低山丘陵区</w:t>
      </w:r>
      <w:r>
        <w:rPr>
          <w:rStyle w:val="72"/>
          <w:rFonts w:ascii="仿宋" w:hAnsi="仿宋" w:eastAsia="仿宋" w:cs="仿宋"/>
          <w:color w:val="auto"/>
          <w:sz w:val="24"/>
          <w:szCs w:val="24"/>
        </w:rPr>
        <w:t>，</w:t>
      </w:r>
      <w:r>
        <w:rPr>
          <w:rFonts w:hint="eastAsia" w:ascii="仿宋" w:hAnsi="仿宋" w:eastAsia="仿宋" w:cs="仿宋"/>
          <w:sz w:val="24"/>
        </w:rPr>
        <w:t>冲洪积平原</w:t>
      </w:r>
      <w:r>
        <w:rPr>
          <w:rStyle w:val="72"/>
          <w:rFonts w:ascii="仿宋" w:hAnsi="仿宋" w:eastAsia="仿宋" w:cs="仿宋"/>
          <w:color w:val="auto"/>
          <w:sz w:val="24"/>
          <w:szCs w:val="24"/>
        </w:rPr>
        <w:t>，</w:t>
      </w:r>
      <w:r>
        <w:rPr>
          <w:rFonts w:hint="eastAsia" w:ascii="仿宋" w:hAnsi="仿宋" w:eastAsia="仿宋" w:cs="仿宋"/>
          <w:sz w:val="24"/>
        </w:rPr>
        <w:t>山间洼地</w:t>
      </w:r>
      <w:r>
        <w:rPr>
          <w:rStyle w:val="72"/>
          <w:rFonts w:ascii="仿宋" w:hAnsi="仿宋" w:eastAsia="仿宋" w:cs="仿宋"/>
          <w:color w:val="auto"/>
          <w:sz w:val="24"/>
          <w:szCs w:val="24"/>
        </w:rPr>
        <w:t>，</w:t>
      </w:r>
      <w:r>
        <w:rPr>
          <w:rFonts w:hint="eastAsia" w:ascii="仿宋" w:hAnsi="仿宋" w:eastAsia="仿宋" w:cs="仿宋"/>
          <w:sz w:val="24"/>
        </w:rPr>
        <w:t>湖积平原区</w:t>
      </w:r>
      <w:r>
        <w:rPr>
          <w:rStyle w:val="72"/>
          <w:rFonts w:ascii="仿宋" w:hAnsi="仿宋" w:eastAsia="仿宋" w:cs="仿宋"/>
          <w:color w:val="auto"/>
          <w:sz w:val="24"/>
          <w:szCs w:val="24"/>
        </w:rPr>
        <w:t>六种类型。托克逊县幅员辽阔，人口相对密集，主要人类工程经济活动为农业及水利工程活动、牧业活动、森林采伐活动、矿业开采活动、交通设施工程活动、旅游工程活动等。强烈的人类工程活动，交通道路修建，矿产资源和旅游资源开发活动都对地质环境造成了不同程度的改变甚至破坏。</w:t>
      </w:r>
    </w:p>
    <w:p>
      <w:pPr>
        <w:spacing w:line="560" w:lineRule="exact"/>
        <w:ind w:firstLine="480" w:firstLineChars="200"/>
        <w:rPr>
          <w:rFonts w:ascii="仿宋" w:hAnsi="仿宋" w:eastAsia="仿宋" w:cs="仿宋"/>
          <w:sz w:val="24"/>
        </w:rPr>
      </w:pPr>
      <w:r>
        <w:rPr>
          <w:rStyle w:val="72"/>
          <w:rFonts w:ascii="仿宋" w:hAnsi="仿宋" w:eastAsia="仿宋" w:cs="仿宋"/>
          <w:color w:val="auto"/>
          <w:sz w:val="24"/>
          <w:szCs w:val="24"/>
        </w:rPr>
        <w:t>（二）地质灾害类型与分布</w:t>
      </w:r>
    </w:p>
    <w:p>
      <w:pPr>
        <w:adjustRightInd w:val="0"/>
        <w:snapToGrid w:val="0"/>
        <w:spacing w:line="50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托克逊境内发育的地质灾害的类型以崩塌为主，其余为少量泥石流和地面塌陷，滑坡灾害不发育。</w:t>
      </w:r>
      <w:bookmarkStart w:id="434" w:name="_Hlk124373752"/>
      <w:r>
        <w:rPr>
          <w:rStyle w:val="72"/>
          <w:rFonts w:ascii="仿宋" w:hAnsi="仿宋" w:eastAsia="仿宋" w:cs="仿宋"/>
          <w:color w:val="auto"/>
          <w:sz w:val="24"/>
          <w:szCs w:val="24"/>
        </w:rPr>
        <w:t xml:space="preserve">托克逊县地质灾害行政区分布特征为主要发育于中山区和低山丘陵区人类工程活动密集的区段，表现在主要交通线路、重要矿山(区)等。北部山区的克尔碱镇、阿乐惠镇，中部山区的夏镇和博斯坦镇，南部山区的库米什镇五个乡(镇)，地势较高，人类活动集中、突发性降水强度较大，是地质灾害的主要分布区。 </w:t>
      </w:r>
      <w:r>
        <w:rPr>
          <w:rFonts w:hint="eastAsia" w:ascii="仿宋" w:hAnsi="仿宋" w:eastAsia="仿宋" w:cs="仿宋"/>
          <w:sz w:val="24"/>
        </w:rPr>
        <w:t>地质灾害分布的总体格局表现为：北部高山区是崩塌、泥石流灾害的低发育区，中山区则是崩塌、泥石流灾害高发育区，低山丘陵区为崩塌、泥石流、地面塌陷的中发育区。平原区地形平坦，地势开阔，不具备地质灾害形成的条件，地质灾害不发育。</w:t>
      </w:r>
    </w:p>
    <w:bookmarkEnd w:id="434"/>
    <w:p>
      <w:pPr>
        <w:spacing w:line="560" w:lineRule="exact"/>
        <w:ind w:firstLine="480" w:firstLineChars="200"/>
        <w:outlineLvl w:val="1"/>
        <w:rPr>
          <w:rStyle w:val="72"/>
          <w:rFonts w:hint="default" w:ascii="仿宋" w:hAnsi="仿宋" w:eastAsia="仿宋" w:cs="仿宋"/>
          <w:color w:val="auto"/>
          <w:sz w:val="24"/>
          <w:szCs w:val="24"/>
        </w:rPr>
      </w:pPr>
      <w:bookmarkStart w:id="435" w:name="_Toc30900"/>
      <w:bookmarkStart w:id="436" w:name="_Toc11173"/>
      <w:bookmarkStart w:id="437" w:name="_Toc16466"/>
      <w:bookmarkStart w:id="438" w:name="_Toc2328"/>
      <w:r>
        <w:rPr>
          <w:rStyle w:val="72"/>
          <w:rFonts w:ascii="仿宋" w:hAnsi="仿宋" w:eastAsia="仿宋" w:cs="仿宋"/>
          <w:color w:val="auto"/>
          <w:sz w:val="24"/>
          <w:szCs w:val="24"/>
        </w:rPr>
        <w:t>五、目标任务</w:t>
      </w:r>
      <w:bookmarkEnd w:id="435"/>
      <w:bookmarkEnd w:id="436"/>
      <w:bookmarkEnd w:id="437"/>
      <w:bookmarkEnd w:id="438"/>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（一）目标</w:t>
      </w:r>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以孕灾主控地质条件和地质灾害隐患判识为主开展托克逊县地质灾害风险调查评价，深化地质灾害早期识别、形成机理和规律认识，总结成灾模式，开展不同层次地质灾害风险区划，提出综合防治对策建议，为地质灾害防治管理提供基础依据。</w:t>
      </w:r>
    </w:p>
    <w:p>
      <w:pPr>
        <w:spacing w:line="560" w:lineRule="exact"/>
        <w:ind w:firstLine="480" w:firstLineChars="200"/>
        <w:rPr>
          <w:rFonts w:ascii="仿宋" w:hAnsi="仿宋" w:eastAsia="仿宋" w:cs="仿宋"/>
          <w:sz w:val="24"/>
        </w:rPr>
      </w:pPr>
      <w:r>
        <w:rPr>
          <w:rStyle w:val="72"/>
          <w:rFonts w:ascii="仿宋" w:hAnsi="仿宋" w:eastAsia="仿宋" w:cs="仿宋"/>
          <w:color w:val="auto"/>
          <w:sz w:val="24"/>
          <w:szCs w:val="24"/>
        </w:rPr>
        <w:t>（二）任务</w:t>
      </w:r>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1.开展地质灾害与孕灾地质条件、承灾体调查，判识地质灾害隐患，总结调查区地质灾害发育分布规律，分析地质灾害成灾模式。</w:t>
      </w:r>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2.开展地质灾害易发性、危险性和风险评价，编制地质灾害风险调查评价相关图件。</w:t>
      </w:r>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3.建立地质灾害风险调查空间数据库。</w:t>
      </w:r>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4.提出地质灾害风险管控对策建议，为防灾减灾管理、国土空间规划和用途管制等提供基础依据</w:t>
      </w:r>
    </w:p>
    <w:p>
      <w:pPr>
        <w:spacing w:line="560" w:lineRule="exact"/>
        <w:ind w:firstLine="480" w:firstLineChars="200"/>
        <w:outlineLvl w:val="1"/>
        <w:rPr>
          <w:rStyle w:val="72"/>
          <w:rFonts w:hint="default" w:ascii="仿宋" w:hAnsi="仿宋" w:eastAsia="仿宋" w:cs="仿宋"/>
          <w:color w:val="auto"/>
          <w:sz w:val="24"/>
          <w:szCs w:val="24"/>
        </w:rPr>
      </w:pPr>
      <w:bookmarkStart w:id="439" w:name="_Toc27428"/>
      <w:bookmarkStart w:id="440" w:name="_Toc26084"/>
      <w:bookmarkStart w:id="441" w:name="_Toc24429"/>
      <w:bookmarkStart w:id="442" w:name="_Toc32489"/>
      <w:r>
        <w:rPr>
          <w:rStyle w:val="72"/>
          <w:rFonts w:ascii="仿宋" w:hAnsi="仿宋" w:eastAsia="仿宋" w:cs="仿宋"/>
          <w:color w:val="auto"/>
          <w:sz w:val="24"/>
          <w:szCs w:val="24"/>
        </w:rPr>
        <w:t>六、工作方法和技术要求</w:t>
      </w:r>
      <w:bookmarkEnd w:id="439"/>
      <w:bookmarkEnd w:id="440"/>
      <w:bookmarkEnd w:id="441"/>
      <w:bookmarkEnd w:id="442"/>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（一）工作方法</w:t>
      </w:r>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分析研究以往工作成果，收集当地地质灾害勘查、防治工程和重大工程勘查成果，开展遥感解译工作，进行孕灾地质条件调查、承灾体调查，核查调查地质灾害及其隐患，辅以工程地质钻探、地球物理勘探、山地工程、工程地质测绘等，加强高分辨率光学影像、无人机遥感、合成孔径雷达干涉测量（InSAR）、激光雷达测量（LiDAR）、地球物理勘探等技术方法综合应用。对典型地质灾害及其隐患进行测绘与勘查，开展室内综合研究。</w:t>
      </w:r>
    </w:p>
    <w:p>
      <w:pPr>
        <w:spacing w:line="560" w:lineRule="exact"/>
        <w:ind w:firstLine="480" w:firstLineChars="200"/>
        <w:rPr>
          <w:rFonts w:ascii="仿宋" w:hAnsi="仿宋" w:eastAsia="仿宋" w:cs="仿宋"/>
          <w:sz w:val="24"/>
        </w:rPr>
      </w:pPr>
      <w:r>
        <w:rPr>
          <w:rStyle w:val="72"/>
          <w:rFonts w:ascii="仿宋" w:hAnsi="仿宋" w:eastAsia="仿宋" w:cs="仿宋"/>
          <w:color w:val="auto"/>
          <w:sz w:val="24"/>
          <w:szCs w:val="24"/>
        </w:rPr>
        <w:t>（二）技术要求</w:t>
      </w:r>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主要执行的技术规范、技术要求和依据主要有：</w:t>
      </w:r>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1.《地质灾害风险调查评价技术要求（1:50000）》；</w:t>
      </w:r>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2.《地质灾害风险调查评价编图技术要求（试行）》；</w:t>
      </w:r>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3.《地质灾害风险调查评价成果信息化技术要求（试行）》；</w:t>
      </w:r>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4.GB50021—2001（2009年版）岩土工程勘察规范；</w:t>
      </w:r>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5.《中国地震动参数区划图》（GB18306-2015）；</w:t>
      </w:r>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6.《遥感地质解译方法指南（1:50000、1:250000）》（DD2011-03）；</w:t>
      </w:r>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7.《地质灾害遥感调查技术规定》（DD2015-01）；</w:t>
      </w:r>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8.《倾斜数字航空摄影技术规程》（GB/T 39610-2020）；</w:t>
      </w:r>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9.《地质调查项目预算标准（2021）》；</w:t>
      </w:r>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10.《地质资料汇交规范》（DZ/T0273）。</w:t>
      </w:r>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及其它相关技术规范要求，执行的技术和规范应以项目实施时现行最新技术标准和规范为准。</w:t>
      </w:r>
    </w:p>
    <w:p>
      <w:pPr>
        <w:spacing w:line="560" w:lineRule="exact"/>
        <w:ind w:firstLine="480" w:firstLineChars="200"/>
        <w:outlineLvl w:val="1"/>
        <w:rPr>
          <w:rStyle w:val="72"/>
          <w:rFonts w:hint="default" w:ascii="仿宋" w:hAnsi="仿宋" w:eastAsia="仿宋" w:cs="仿宋"/>
          <w:color w:val="auto"/>
          <w:sz w:val="24"/>
          <w:szCs w:val="24"/>
        </w:rPr>
      </w:pPr>
      <w:bookmarkStart w:id="443" w:name="_Toc27318"/>
      <w:bookmarkStart w:id="444" w:name="_Toc20052"/>
      <w:bookmarkStart w:id="445" w:name="_Toc18642"/>
      <w:bookmarkStart w:id="446" w:name="_Toc981"/>
      <w:r>
        <w:rPr>
          <w:rStyle w:val="72"/>
          <w:rFonts w:ascii="仿宋" w:hAnsi="仿宋" w:eastAsia="仿宋" w:cs="仿宋"/>
          <w:color w:val="auto"/>
          <w:sz w:val="24"/>
          <w:szCs w:val="24"/>
        </w:rPr>
        <w:t>七、主要实物工作量</w:t>
      </w:r>
      <w:bookmarkEnd w:id="443"/>
      <w:bookmarkEnd w:id="444"/>
      <w:bookmarkEnd w:id="445"/>
      <w:bookmarkEnd w:id="446"/>
    </w:p>
    <w:p>
      <w:pPr>
        <w:spacing w:line="560" w:lineRule="exact"/>
        <w:ind w:firstLine="480" w:firstLineChars="200"/>
        <w:rPr>
          <w:rFonts w:ascii="仿宋" w:hAnsi="仿宋" w:eastAsia="仿宋" w:cs="仿宋"/>
          <w:sz w:val="24"/>
        </w:rPr>
      </w:pPr>
      <w:r>
        <w:rPr>
          <w:rStyle w:val="72"/>
          <w:rFonts w:ascii="仿宋" w:hAnsi="仿宋" w:eastAsia="仿宋" w:cs="仿宋"/>
          <w:color w:val="auto"/>
          <w:sz w:val="24"/>
          <w:szCs w:val="24"/>
        </w:rPr>
        <w:t>开展全域遥感解译工作，根据工作需要合理布置工程地质钻探、地球物理勘探、山地工程、工程地质测绘等，加强高分辨率光学影像、无人机遥感、合成孔径雷达干涉测量（InSAR）、激光雷达测量（LiDAR）、地球物理勘探等工作量，其中钻探、实测剖面、岩土样品满足规范要求，开展地质灾害防治知识培训和重要地质灾害隐患点防治演练工作。最终实物工作量以设计批复工作量为准。</w:t>
      </w:r>
    </w:p>
    <w:p>
      <w:pPr>
        <w:spacing w:line="560" w:lineRule="exact"/>
        <w:ind w:firstLine="480" w:firstLineChars="200"/>
        <w:outlineLvl w:val="1"/>
        <w:rPr>
          <w:rStyle w:val="72"/>
          <w:rFonts w:hint="default" w:ascii="仿宋" w:hAnsi="仿宋" w:eastAsia="仿宋" w:cs="仿宋"/>
          <w:color w:val="auto"/>
          <w:sz w:val="24"/>
          <w:szCs w:val="24"/>
        </w:rPr>
      </w:pPr>
      <w:bookmarkStart w:id="447" w:name="_Toc32452"/>
      <w:bookmarkStart w:id="448" w:name="_Toc6619"/>
      <w:bookmarkStart w:id="449" w:name="_Toc20297"/>
      <w:bookmarkStart w:id="450" w:name="_Toc27557"/>
      <w:r>
        <w:rPr>
          <w:rStyle w:val="72"/>
          <w:rFonts w:ascii="仿宋" w:hAnsi="仿宋" w:eastAsia="仿宋" w:cs="仿宋"/>
          <w:color w:val="auto"/>
          <w:sz w:val="24"/>
          <w:szCs w:val="24"/>
        </w:rPr>
        <w:t>八、预期提交成果</w:t>
      </w:r>
      <w:bookmarkEnd w:id="447"/>
      <w:bookmarkEnd w:id="448"/>
      <w:bookmarkEnd w:id="449"/>
      <w:bookmarkEnd w:id="450"/>
    </w:p>
    <w:p>
      <w:pPr>
        <w:spacing w:line="560" w:lineRule="exact"/>
        <w:ind w:firstLine="480" w:firstLineChars="200"/>
        <w:rPr>
          <w:rFonts w:ascii="仿宋" w:hAnsi="仿宋" w:eastAsia="仿宋" w:cs="仿宋"/>
          <w:sz w:val="24"/>
        </w:rPr>
      </w:pPr>
      <w:r>
        <w:rPr>
          <w:rStyle w:val="72"/>
          <w:rFonts w:ascii="仿宋" w:hAnsi="仿宋" w:eastAsia="仿宋" w:cs="仿宋"/>
          <w:color w:val="auto"/>
          <w:sz w:val="24"/>
          <w:szCs w:val="24"/>
        </w:rPr>
        <w:t>（一）原始资料</w:t>
      </w:r>
    </w:p>
    <w:p>
      <w:pPr>
        <w:spacing w:line="560" w:lineRule="exact"/>
        <w:ind w:firstLine="480" w:firstLineChars="200"/>
        <w:rPr>
          <w:rFonts w:ascii="仿宋" w:hAnsi="仿宋" w:eastAsia="仿宋" w:cs="仿宋"/>
          <w:sz w:val="24"/>
        </w:rPr>
      </w:pPr>
      <w:r>
        <w:rPr>
          <w:rStyle w:val="72"/>
          <w:rFonts w:ascii="仿宋" w:hAnsi="仿宋" w:eastAsia="仿宋" w:cs="仿宋"/>
          <w:color w:val="auto"/>
          <w:sz w:val="24"/>
          <w:szCs w:val="24"/>
        </w:rPr>
        <w:t>1.野外调查手图、遥感解译及验证成果分布图、实际材料图、工程地质条件图；</w:t>
      </w:r>
    </w:p>
    <w:p>
      <w:pPr>
        <w:spacing w:line="560" w:lineRule="exact"/>
        <w:ind w:firstLine="480" w:firstLineChars="200"/>
        <w:rPr>
          <w:rFonts w:ascii="仿宋" w:hAnsi="仿宋" w:eastAsia="仿宋" w:cs="仿宋"/>
          <w:sz w:val="24"/>
        </w:rPr>
      </w:pPr>
      <w:r>
        <w:rPr>
          <w:rStyle w:val="72"/>
          <w:rFonts w:ascii="仿宋" w:hAnsi="仿宋" w:eastAsia="仿宋" w:cs="仿宋"/>
          <w:color w:val="auto"/>
          <w:sz w:val="24"/>
          <w:szCs w:val="24"/>
        </w:rPr>
        <w:t>2.各类原始记录卡片</w:t>
      </w:r>
    </w:p>
    <w:p>
      <w:pPr>
        <w:spacing w:line="560" w:lineRule="exact"/>
        <w:ind w:firstLine="480" w:firstLineChars="200"/>
        <w:rPr>
          <w:rFonts w:ascii="仿宋" w:hAnsi="仿宋" w:eastAsia="仿宋" w:cs="仿宋"/>
          <w:sz w:val="24"/>
        </w:rPr>
      </w:pPr>
      <w:r>
        <w:rPr>
          <w:rStyle w:val="72"/>
          <w:rFonts w:ascii="仿宋" w:hAnsi="仿宋" w:eastAsia="仿宋" w:cs="仿宋"/>
          <w:color w:val="auto"/>
          <w:sz w:val="24"/>
          <w:szCs w:val="24"/>
        </w:rPr>
        <w:t>3.野外照(摄)像等影像资料；</w:t>
      </w:r>
    </w:p>
    <w:p>
      <w:pPr>
        <w:spacing w:line="560" w:lineRule="exact"/>
        <w:ind w:firstLine="480" w:firstLineChars="200"/>
        <w:rPr>
          <w:rFonts w:ascii="仿宋" w:hAnsi="仿宋" w:eastAsia="仿宋" w:cs="仿宋"/>
          <w:sz w:val="24"/>
        </w:rPr>
      </w:pPr>
      <w:r>
        <w:rPr>
          <w:rStyle w:val="72"/>
          <w:rFonts w:ascii="仿宋" w:hAnsi="仿宋" w:eastAsia="仿宋" w:cs="仿宋"/>
          <w:color w:val="auto"/>
          <w:sz w:val="24"/>
          <w:szCs w:val="24"/>
        </w:rPr>
        <w:t>4.测试与试验资料；</w:t>
      </w:r>
    </w:p>
    <w:p>
      <w:pPr>
        <w:spacing w:line="560" w:lineRule="exact"/>
        <w:ind w:firstLine="480" w:firstLineChars="200"/>
        <w:rPr>
          <w:rFonts w:ascii="仿宋" w:hAnsi="仿宋" w:eastAsia="仿宋" w:cs="仿宋"/>
          <w:sz w:val="24"/>
        </w:rPr>
      </w:pPr>
      <w:r>
        <w:rPr>
          <w:rStyle w:val="72"/>
          <w:rFonts w:ascii="仿宋" w:hAnsi="仿宋" w:eastAsia="仿宋" w:cs="仿宋"/>
          <w:color w:val="auto"/>
          <w:sz w:val="24"/>
          <w:szCs w:val="24"/>
        </w:rPr>
        <w:t>5.重要、典型地质灾害的工程地质剖面图、探井展示图，物探剖面图，槽探剖面图、低空遥感影像图、稳定性计算参数及计算结果表等。</w:t>
      </w:r>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（二）成果资料</w:t>
      </w:r>
    </w:p>
    <w:p>
      <w:pPr>
        <w:spacing w:line="560" w:lineRule="exact"/>
        <w:ind w:firstLine="480" w:firstLineChars="200"/>
        <w:rPr>
          <w:rFonts w:ascii="仿宋" w:hAnsi="仿宋" w:eastAsia="仿宋" w:cs="仿宋"/>
          <w:sz w:val="24"/>
        </w:rPr>
      </w:pPr>
      <w:r>
        <w:rPr>
          <w:rStyle w:val="72"/>
          <w:rFonts w:ascii="仿宋" w:hAnsi="仿宋" w:eastAsia="仿宋" w:cs="仿宋"/>
          <w:color w:val="auto"/>
          <w:sz w:val="24"/>
          <w:szCs w:val="24"/>
        </w:rPr>
        <w:t>1.报告</w:t>
      </w:r>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 xml:space="preserve"> 新疆托克逊县地质灾害风险调查评价报告。</w:t>
      </w:r>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2.附图</w:t>
      </w:r>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主要包括基础性图件、应用性图件和其他图件。</w:t>
      </w:r>
    </w:p>
    <w:p>
      <w:pPr>
        <w:spacing w:line="560" w:lineRule="exact"/>
        <w:ind w:firstLine="480" w:firstLineChars="200"/>
        <w:rPr>
          <w:rFonts w:ascii="仿宋" w:hAnsi="仿宋" w:eastAsia="仿宋" w:cs="仿宋"/>
          <w:sz w:val="24"/>
        </w:rPr>
      </w:pPr>
      <w:r>
        <w:rPr>
          <w:rStyle w:val="72"/>
          <w:rFonts w:ascii="仿宋" w:hAnsi="仿宋" w:eastAsia="仿宋" w:cs="仿宋"/>
          <w:color w:val="auto"/>
          <w:sz w:val="24"/>
          <w:szCs w:val="24"/>
        </w:rPr>
        <w:t>3.附件</w:t>
      </w:r>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附件主要包括：数据库建库报告；地质灾害风险调查数据库；照片集；专题报告；地质灾害勘查报告及图件。</w:t>
      </w:r>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具体详见《地质灾害风险调查评价技术要求（1:50000）》关于成果资料要求。</w:t>
      </w:r>
    </w:p>
    <w:p>
      <w:pPr>
        <w:spacing w:line="560" w:lineRule="exact"/>
        <w:ind w:firstLine="480" w:firstLineChars="200"/>
        <w:rPr>
          <w:rFonts w:ascii="仿宋" w:hAnsi="仿宋" w:eastAsia="仿宋" w:cs="仿宋"/>
          <w:sz w:val="24"/>
        </w:rPr>
      </w:pPr>
      <w:r>
        <w:rPr>
          <w:rStyle w:val="72"/>
          <w:rFonts w:ascii="仿宋" w:hAnsi="仿宋" w:eastAsia="仿宋" w:cs="仿宋"/>
          <w:color w:val="auto"/>
          <w:sz w:val="24"/>
          <w:szCs w:val="24"/>
        </w:rPr>
        <w:t>项目成果资料整理归档严格按照《地质灾害风险调查评价技术要求（1:50000）》和《地质资料汇交规范》（DZ/T0273）地质资料汇交规范及相关管理办法和《新疆维吾尔自治区地质灾害防治项目管理办法（试行）》及《新疆维吾尔自治区地质灾害防治项目验收细则》规定执行。最终成果资料应按地质资料汇交要求向新疆地质资料馆汇交，并向自治区自然资源厅、吐鲁番市自然资源局和托克逊县自然资源局汇交纸介质和电子版各2套。</w:t>
      </w:r>
    </w:p>
    <w:p>
      <w:pPr>
        <w:spacing w:line="560" w:lineRule="exact"/>
        <w:ind w:firstLine="480" w:firstLineChars="200"/>
        <w:outlineLvl w:val="1"/>
        <w:rPr>
          <w:rFonts w:ascii="仿宋" w:hAnsi="仿宋" w:eastAsia="仿宋" w:cs="仿宋"/>
          <w:color w:val="auto"/>
          <w:sz w:val="24"/>
        </w:rPr>
      </w:pPr>
      <w:bookmarkStart w:id="451" w:name="_Toc10820"/>
      <w:bookmarkStart w:id="452" w:name="_Toc28560"/>
      <w:bookmarkStart w:id="453" w:name="_Toc25467"/>
      <w:bookmarkStart w:id="454" w:name="_Toc4971"/>
      <w:r>
        <w:rPr>
          <w:rStyle w:val="72"/>
          <w:rFonts w:ascii="仿宋" w:hAnsi="仿宋" w:eastAsia="仿宋" w:cs="仿宋"/>
          <w:color w:val="auto"/>
          <w:sz w:val="24"/>
          <w:szCs w:val="24"/>
        </w:rPr>
        <w:t>九、工作周期</w:t>
      </w:r>
      <w:bookmarkEnd w:id="451"/>
      <w:bookmarkEnd w:id="452"/>
      <w:bookmarkEnd w:id="453"/>
      <w:bookmarkEnd w:id="454"/>
    </w:p>
    <w:p>
      <w:pPr>
        <w:spacing w:line="44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2023年3月-2024年1月。其中：2023年9月30日前完成野外调查工作；2023年10月30日前提交报告及数据库送审稿,2024年1月完成资料汇交。</w:t>
      </w:r>
    </w:p>
    <w:p>
      <w:pPr>
        <w:spacing w:line="560" w:lineRule="exact"/>
        <w:jc w:val="center"/>
        <w:outlineLvl w:val="1"/>
        <w:rPr>
          <w:rFonts w:ascii="仿宋" w:hAnsi="仿宋" w:eastAsia="仿宋" w:cs="仿宋"/>
          <w:kern w:val="0"/>
          <w:sz w:val="24"/>
        </w:rPr>
      </w:pPr>
      <w:r>
        <w:rPr>
          <w:rStyle w:val="72"/>
          <w:rFonts w:ascii="仿宋" w:hAnsi="仿宋" w:eastAsia="仿宋" w:cs="仿宋"/>
          <w:color w:val="auto"/>
          <w:sz w:val="24"/>
          <w:szCs w:val="24"/>
        </w:rPr>
        <w:br w:type="page"/>
      </w:r>
      <w:bookmarkStart w:id="455" w:name="_Toc1825"/>
      <w:bookmarkStart w:id="456" w:name="_Toc28521"/>
      <w:bookmarkStart w:id="457" w:name="_Toc30124"/>
      <w:r>
        <w:rPr>
          <w:rFonts w:hint="eastAsia" w:ascii="仿宋" w:hAnsi="仿宋" w:eastAsia="仿宋"/>
          <w:b/>
          <w:bCs/>
          <w:sz w:val="28"/>
          <w:szCs w:val="28"/>
        </w:rPr>
        <w:t>标项二：新疆鄯善县地质灾害风险调查评价</w:t>
      </w:r>
      <w:bookmarkEnd w:id="455"/>
      <w:bookmarkEnd w:id="456"/>
      <w:bookmarkEnd w:id="457"/>
    </w:p>
    <w:p>
      <w:pPr>
        <w:spacing w:line="440" w:lineRule="exact"/>
        <w:jc w:val="center"/>
        <w:rPr>
          <w:rFonts w:ascii="仿宋" w:hAnsi="仿宋" w:eastAsia="仿宋"/>
          <w:b/>
          <w:bCs/>
          <w:sz w:val="32"/>
          <w:szCs w:val="32"/>
        </w:rPr>
      </w:pPr>
    </w:p>
    <w:p>
      <w:pPr>
        <w:widowControl/>
        <w:jc w:val="left"/>
        <w:outlineLvl w:val="1"/>
        <w:rPr>
          <w:rStyle w:val="72"/>
          <w:rFonts w:hint="default" w:ascii="仿宋" w:hAnsi="仿宋" w:eastAsia="仿宋" w:cs="仿宋"/>
          <w:color w:val="auto"/>
          <w:sz w:val="24"/>
          <w:szCs w:val="24"/>
        </w:rPr>
      </w:pPr>
      <w:bookmarkStart w:id="458" w:name="_Toc18819"/>
      <w:bookmarkStart w:id="459" w:name="_Toc8736"/>
      <w:bookmarkStart w:id="460" w:name="_Toc6849"/>
      <w:bookmarkStart w:id="461" w:name="_Toc7325"/>
      <w:r>
        <w:rPr>
          <w:rStyle w:val="72"/>
          <w:rFonts w:ascii="仿宋" w:hAnsi="仿宋" w:eastAsia="仿宋" w:cs="仿宋"/>
          <w:color w:val="auto"/>
          <w:sz w:val="24"/>
          <w:szCs w:val="24"/>
        </w:rPr>
        <w:t>一、项目名称、编号和经费</w:t>
      </w:r>
      <w:bookmarkEnd w:id="458"/>
      <w:bookmarkEnd w:id="459"/>
      <w:bookmarkEnd w:id="460"/>
      <w:bookmarkEnd w:id="461"/>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项目名称：新疆鄯善县地质灾害风险调查评价</w:t>
      </w:r>
    </w:p>
    <w:p>
      <w:pPr>
        <w:spacing w:line="560" w:lineRule="exact"/>
        <w:ind w:firstLine="480" w:firstLineChars="200"/>
        <w:rPr>
          <w:rFonts w:ascii="仿宋" w:hAnsi="仿宋" w:eastAsia="仿宋" w:cs="仿宋"/>
          <w:sz w:val="24"/>
        </w:rPr>
      </w:pPr>
      <w:r>
        <w:rPr>
          <w:rStyle w:val="72"/>
          <w:rFonts w:ascii="仿宋" w:hAnsi="仿宋" w:eastAsia="仿宋" w:cs="仿宋"/>
          <w:color w:val="auto"/>
          <w:sz w:val="24"/>
          <w:szCs w:val="24"/>
        </w:rPr>
        <w:t>项目编号：</w:t>
      </w:r>
      <w:r>
        <w:rPr>
          <w:rFonts w:hint="eastAsia" w:ascii="仿宋" w:hAnsi="仿宋" w:eastAsia="仿宋"/>
          <w:sz w:val="24"/>
        </w:rPr>
        <w:t>GYZB-TLFDZFZ2023-02</w:t>
      </w:r>
    </w:p>
    <w:p>
      <w:pPr>
        <w:spacing w:line="560" w:lineRule="exact"/>
        <w:ind w:firstLine="480" w:firstLineChars="200"/>
        <w:rPr>
          <w:rFonts w:ascii="仿宋" w:hAnsi="仿宋" w:eastAsia="仿宋" w:cs="仿宋"/>
          <w:sz w:val="24"/>
        </w:rPr>
      </w:pPr>
      <w:r>
        <w:rPr>
          <w:rStyle w:val="72"/>
          <w:rFonts w:ascii="仿宋" w:hAnsi="仿宋" w:eastAsia="仿宋" w:cs="仿宋"/>
          <w:color w:val="auto"/>
          <w:sz w:val="24"/>
          <w:szCs w:val="24"/>
        </w:rPr>
        <w:t>项目费用人民币：120万元（壹佰贰拾万元整）</w:t>
      </w:r>
    </w:p>
    <w:p>
      <w:pPr>
        <w:spacing w:line="560" w:lineRule="exact"/>
        <w:ind w:firstLine="480" w:firstLineChars="200"/>
        <w:outlineLvl w:val="1"/>
        <w:rPr>
          <w:rStyle w:val="72"/>
          <w:rFonts w:hint="default" w:ascii="仿宋" w:hAnsi="仿宋" w:eastAsia="仿宋" w:cs="仿宋"/>
          <w:color w:val="auto"/>
          <w:sz w:val="24"/>
          <w:szCs w:val="24"/>
        </w:rPr>
      </w:pPr>
      <w:bookmarkStart w:id="462" w:name="_Toc21070"/>
      <w:bookmarkStart w:id="463" w:name="_Toc16181"/>
      <w:bookmarkStart w:id="464" w:name="_Toc28987"/>
      <w:bookmarkStart w:id="465" w:name="_Toc28509"/>
      <w:r>
        <w:rPr>
          <w:rStyle w:val="72"/>
          <w:rFonts w:ascii="仿宋" w:hAnsi="仿宋" w:eastAsia="仿宋" w:cs="仿宋"/>
          <w:color w:val="auto"/>
          <w:sz w:val="24"/>
          <w:szCs w:val="24"/>
        </w:rPr>
        <w:t>二、工作范围和面积</w:t>
      </w:r>
      <w:bookmarkEnd w:id="462"/>
      <w:bookmarkEnd w:id="463"/>
      <w:bookmarkEnd w:id="464"/>
      <w:bookmarkEnd w:id="465"/>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本次工作区范围为鄯善县行政区范围，总面积约3.95万平方千米（以三调成果数据为准）。</w:t>
      </w:r>
    </w:p>
    <w:p>
      <w:pPr>
        <w:spacing w:line="560" w:lineRule="exact"/>
        <w:ind w:firstLine="480" w:firstLineChars="200"/>
        <w:outlineLvl w:val="1"/>
        <w:rPr>
          <w:rStyle w:val="72"/>
          <w:rFonts w:hint="default" w:ascii="仿宋" w:hAnsi="仿宋" w:eastAsia="仿宋" w:cs="仿宋"/>
          <w:color w:val="auto"/>
          <w:sz w:val="24"/>
          <w:szCs w:val="24"/>
        </w:rPr>
      </w:pPr>
      <w:bookmarkStart w:id="466" w:name="_Toc6326"/>
      <w:bookmarkStart w:id="467" w:name="_Toc76"/>
      <w:bookmarkStart w:id="468" w:name="_Toc25422"/>
      <w:bookmarkStart w:id="469" w:name="_Toc20053"/>
      <w:r>
        <w:rPr>
          <w:rStyle w:val="72"/>
          <w:rFonts w:ascii="仿宋" w:hAnsi="仿宋" w:eastAsia="仿宋" w:cs="仿宋"/>
          <w:color w:val="auto"/>
          <w:sz w:val="24"/>
          <w:szCs w:val="24"/>
        </w:rPr>
        <w:t>三、自然经济地理</w:t>
      </w:r>
      <w:bookmarkEnd w:id="466"/>
      <w:bookmarkEnd w:id="467"/>
      <w:bookmarkEnd w:id="468"/>
      <w:bookmarkEnd w:id="469"/>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鄯善县位于天山东部南麓的吐鲁番盆地东部，北部以天山分水岭为界与木垒县、奇台县为邻，东经七克台镇连接哈密市七角井镇，西部吐峪沟乡苏贝希村与吐鲁番市胜金乡接壤，南部经南湖戈壁至觉罗塔格与巴音郭楞蒙古自治州若羌县为界。县境地理坐标：东经89°30′-91°54′，北纬41°12′-43°33′。</w:t>
      </w:r>
    </w:p>
    <w:p>
      <w:pPr>
        <w:spacing w:line="560" w:lineRule="exact"/>
        <w:ind w:firstLine="480" w:firstLineChars="200"/>
        <w:rPr>
          <w:rFonts w:ascii="仿宋" w:hAnsi="仿宋" w:eastAsia="仿宋" w:cs="仿宋"/>
          <w:sz w:val="24"/>
        </w:rPr>
      </w:pPr>
      <w:r>
        <w:rPr>
          <w:rStyle w:val="72"/>
          <w:rFonts w:ascii="仿宋" w:hAnsi="仿宋" w:eastAsia="仿宋" w:cs="仿宋"/>
          <w:color w:val="auto"/>
          <w:sz w:val="24"/>
          <w:szCs w:val="24"/>
        </w:rPr>
        <w:t>鄯善县县城西距吐鲁番市98千米，西北距乌鲁木齐市287千米，东距哈密市324千米，南距若羌县450千米，北距奇台县290千米、木垒县220千米。兰新铁路、兰新高铁、连霍高速、亚欧光缆、西气东输管线贯穿全境，有鄯善火车站、高铁鄯善北站、高铁吐哈站三座火车站，距离吐鲁番机场104千米，区位优越、交通便利。县境内各乡（镇、场）与县城间有公路与主干公路相通，各村与乡之间均有简易公路通行，但大部分山区、戈壁交通条件较差。</w:t>
      </w:r>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2019年，鄯善县辖7个镇、2个乡、1个民族乡：鄯善镇、七克台镇、鄯善火车站镇、连木沁镇、鲁克沁镇、辟展镇、迪坎镇、东巴扎回族乡、吐峪沟乡、达朗坎乡。县人民政府驻鄯善镇。鄯善镇辖15个社区、1个村、1牧业队：木卡姆社区、鸿雁社区、庭子路社区、滨沙社区、育才路社区、沙园路社区、蒲昌路社区、双水磨社区、蝴蝶泉社区、新楼兰社区、石材园社区、铁提尔社区、百丽社区、苗园路社区、太阳岛社区，巴扎村，牧业队。2019年末，鄯善县户籍人口为221407人。</w:t>
      </w:r>
      <w:r>
        <w:rPr>
          <w:rFonts w:hint="eastAsia" w:ascii="仿宋" w:hAnsi="仿宋" w:eastAsia="仿宋" w:cs="仿宋"/>
          <w:sz w:val="24"/>
        </w:rPr>
        <w:t>2019年，鄯善县地区生产总值1636841万元，第一产业增加值188456万元，第二产业增加值939891万元，一般公共预算收入169922万元，一般公共预算支出314821万元。</w:t>
      </w:r>
    </w:p>
    <w:p>
      <w:pPr>
        <w:spacing w:line="560" w:lineRule="exact"/>
        <w:ind w:firstLine="480" w:firstLineChars="200"/>
        <w:outlineLvl w:val="1"/>
        <w:rPr>
          <w:rFonts w:ascii="仿宋" w:hAnsi="仿宋" w:eastAsia="仿宋" w:cs="仿宋"/>
          <w:sz w:val="24"/>
        </w:rPr>
      </w:pPr>
      <w:bookmarkStart w:id="470" w:name="_Toc17466"/>
      <w:bookmarkStart w:id="471" w:name="_Toc13476"/>
      <w:bookmarkStart w:id="472" w:name="_Toc16608"/>
      <w:bookmarkStart w:id="473" w:name="_Toc25078"/>
      <w:r>
        <w:rPr>
          <w:rStyle w:val="72"/>
          <w:rFonts w:ascii="仿宋" w:hAnsi="仿宋" w:eastAsia="仿宋" w:cs="仿宋"/>
          <w:color w:val="auto"/>
          <w:sz w:val="24"/>
          <w:szCs w:val="24"/>
        </w:rPr>
        <w:t>四、地质环境概况</w:t>
      </w:r>
      <w:bookmarkEnd w:id="470"/>
      <w:bookmarkEnd w:id="471"/>
      <w:bookmarkEnd w:id="472"/>
      <w:bookmarkEnd w:id="473"/>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（一）地形地貌与人类工程活动</w:t>
      </w:r>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鄯善县地貌特征鲜明，三面环山，一面临近世界海平面最低点的艾丁湖，全境地势北东高南西低，形成坡度缓平的倾斜面。境内北部有东天山（中-高山），海拔为3500m以上，最高峰为4110.7m，山高坡陡，切割强烈，沟谷发育；南部有觉罗塔格山（低山）、大漠戈壁和丘陵带，相对平缓，觉罗塔克山海拔600-1500m；中部有火焰山（低山），海拔230-500m；最低处位于吐鲁番市艾丁湖东部，低于海平面153m。县境包括山区、平原区、沙漠区。鄯善县地貌类型按其成因可划分为侵蚀高山、侵蚀-剥蚀中低山、低山丘陵、山前冲洪积倾斜平原和沙漠区五种地貌单元。</w:t>
      </w:r>
    </w:p>
    <w:p>
      <w:pPr>
        <w:spacing w:line="560" w:lineRule="exact"/>
        <w:ind w:firstLine="480" w:firstLineChars="200"/>
        <w:rPr>
          <w:rFonts w:ascii="仿宋" w:hAnsi="仿宋" w:eastAsia="仿宋" w:cs="仿宋"/>
          <w:sz w:val="24"/>
        </w:rPr>
      </w:pPr>
      <w:r>
        <w:rPr>
          <w:rStyle w:val="72"/>
          <w:rFonts w:ascii="仿宋" w:hAnsi="仿宋" w:eastAsia="仿宋" w:cs="仿宋"/>
          <w:color w:val="auto"/>
          <w:sz w:val="24"/>
          <w:szCs w:val="24"/>
        </w:rPr>
        <w:t>鄯善县幅员辽阔，人口相对密集，主要人类工程经济活动为农业及水利工程活动、矿业开采活动、交通设施工程活动、旅游工程活动等。强烈的人类工程活动，交通道路修建，矿产资源和旅游资源开发活动都对地质环境造成了不同程度的改变甚至破坏。</w:t>
      </w:r>
    </w:p>
    <w:p>
      <w:pPr>
        <w:spacing w:line="560" w:lineRule="exact"/>
        <w:ind w:firstLine="480" w:firstLineChars="200"/>
        <w:rPr>
          <w:rFonts w:ascii="仿宋" w:hAnsi="仿宋" w:eastAsia="仿宋" w:cs="仿宋"/>
          <w:sz w:val="24"/>
        </w:rPr>
      </w:pPr>
      <w:r>
        <w:rPr>
          <w:rStyle w:val="72"/>
          <w:rFonts w:ascii="仿宋" w:hAnsi="仿宋" w:eastAsia="仿宋" w:cs="仿宋"/>
          <w:color w:val="auto"/>
          <w:sz w:val="24"/>
          <w:szCs w:val="24"/>
        </w:rPr>
        <w:t>（二）地质灾害类型与分布</w:t>
      </w:r>
    </w:p>
    <w:p>
      <w:pPr>
        <w:adjustRightInd w:val="0"/>
        <w:snapToGrid w:val="0"/>
        <w:spacing w:line="50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鄯善县发育的地质灾害主要为崩塌，泥石流、地面塌陷灾害，地面沉降、地裂缝灾害不发育。按照行政区划进行划分，鄯善县管辖县辖10个乡镇，其中：地质灾害及隐患点数量最多的是辟展镇；其次为七克台镇；再次为吐峪沟乡。</w:t>
      </w:r>
    </w:p>
    <w:p>
      <w:pPr>
        <w:adjustRightInd w:val="0"/>
        <w:snapToGrid w:val="0"/>
        <w:spacing w:line="500" w:lineRule="exact"/>
        <w:rPr>
          <w:rStyle w:val="72"/>
          <w:rFonts w:hint="default" w:ascii="仿宋" w:hAnsi="仿宋" w:eastAsia="仿宋" w:cs="仿宋"/>
          <w:color w:val="auto"/>
          <w:sz w:val="24"/>
          <w:szCs w:val="24"/>
        </w:rPr>
      </w:pPr>
      <w:r>
        <w:rPr>
          <w:rStyle w:val="72"/>
          <w:rFonts w:ascii="仿宋" w:hAnsi="仿宋" w:eastAsia="仿宋" w:cs="仿宋"/>
          <w:color w:val="auto"/>
          <w:sz w:val="24"/>
          <w:szCs w:val="24"/>
        </w:rPr>
        <w:t>按照空间分布划分，鄯善县内的地质灾害主要发育在中山及低山丘陵地带和平原区，中高山区地质灾害不发育。其中：崩塌主要分布在中低山沟谷、中西部山前冲积平原区、木鄯公路、066及065县道；泥石流分布在中西部和北部平原区；地面塌陷分布在低山丘陵区的矿山开采区。</w:t>
      </w:r>
    </w:p>
    <w:p>
      <w:pPr>
        <w:spacing w:line="560" w:lineRule="exact"/>
        <w:ind w:firstLine="480" w:firstLineChars="200"/>
        <w:outlineLvl w:val="1"/>
        <w:rPr>
          <w:rStyle w:val="72"/>
          <w:rFonts w:hint="default" w:ascii="仿宋" w:hAnsi="仿宋" w:eastAsia="仿宋" w:cs="仿宋"/>
          <w:color w:val="auto"/>
          <w:sz w:val="24"/>
          <w:szCs w:val="24"/>
        </w:rPr>
      </w:pPr>
      <w:bookmarkStart w:id="474" w:name="_Toc22100"/>
      <w:bookmarkStart w:id="475" w:name="_Toc18224"/>
      <w:bookmarkStart w:id="476" w:name="_Toc26666"/>
      <w:bookmarkStart w:id="477" w:name="_Toc13033"/>
      <w:r>
        <w:rPr>
          <w:rStyle w:val="72"/>
          <w:rFonts w:ascii="仿宋" w:hAnsi="仿宋" w:eastAsia="仿宋" w:cs="仿宋"/>
          <w:color w:val="auto"/>
          <w:sz w:val="24"/>
          <w:szCs w:val="24"/>
        </w:rPr>
        <w:t>五、目标任务</w:t>
      </w:r>
      <w:bookmarkEnd w:id="474"/>
      <w:bookmarkEnd w:id="475"/>
      <w:bookmarkEnd w:id="476"/>
      <w:bookmarkEnd w:id="477"/>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（一）目标</w:t>
      </w:r>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以孕灾主控地质条件和地质灾害隐患判识为主开展鄯善县地质灾害风险调查评价，深化地质灾害早期识别、形成机理和规律认识，总结成灾模式，开展不同层次地质灾害风险区划，提出综合防治对策建议，为地质灾害防治管理提供基础依据。</w:t>
      </w:r>
    </w:p>
    <w:p>
      <w:pPr>
        <w:spacing w:line="560" w:lineRule="exact"/>
        <w:ind w:firstLine="480" w:firstLineChars="200"/>
        <w:rPr>
          <w:rFonts w:ascii="仿宋" w:hAnsi="仿宋" w:eastAsia="仿宋" w:cs="仿宋"/>
          <w:sz w:val="24"/>
        </w:rPr>
      </w:pPr>
      <w:r>
        <w:rPr>
          <w:rStyle w:val="72"/>
          <w:rFonts w:ascii="仿宋" w:hAnsi="仿宋" w:eastAsia="仿宋" w:cs="仿宋"/>
          <w:color w:val="auto"/>
          <w:sz w:val="24"/>
          <w:szCs w:val="24"/>
        </w:rPr>
        <w:t>（二）任务</w:t>
      </w:r>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1.开展地质灾害与孕灾地质条件、承灾体调查，判识地质灾害隐患，总结调查区地质灾害发育分布规律，分析地质灾害成灾模式。</w:t>
      </w:r>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2.开展地质灾害易发性、危险性和风险评价，编制地质灾害风险调查评价相关图件。</w:t>
      </w:r>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3.建立地质灾害风险调查空间数据库。</w:t>
      </w:r>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4.提出地质灾害风险管控对策建议，为防灾减灾管理、国土空间规划和用途管制等提供基础依据</w:t>
      </w:r>
    </w:p>
    <w:p>
      <w:pPr>
        <w:spacing w:line="560" w:lineRule="exact"/>
        <w:ind w:firstLine="480" w:firstLineChars="200"/>
        <w:outlineLvl w:val="1"/>
        <w:rPr>
          <w:rStyle w:val="72"/>
          <w:rFonts w:hint="default" w:ascii="仿宋" w:hAnsi="仿宋" w:eastAsia="仿宋" w:cs="仿宋"/>
          <w:color w:val="auto"/>
          <w:sz w:val="24"/>
          <w:szCs w:val="24"/>
        </w:rPr>
      </w:pPr>
      <w:bookmarkStart w:id="478" w:name="_Toc32337"/>
      <w:bookmarkStart w:id="479" w:name="_Toc2060"/>
      <w:bookmarkStart w:id="480" w:name="_Toc27637"/>
      <w:bookmarkStart w:id="481" w:name="_Toc1083"/>
      <w:r>
        <w:rPr>
          <w:rStyle w:val="72"/>
          <w:rFonts w:ascii="仿宋" w:hAnsi="仿宋" w:eastAsia="仿宋" w:cs="仿宋"/>
          <w:color w:val="auto"/>
          <w:sz w:val="24"/>
          <w:szCs w:val="24"/>
        </w:rPr>
        <w:t>六、工作方法和技术要求</w:t>
      </w:r>
      <w:bookmarkEnd w:id="478"/>
      <w:bookmarkEnd w:id="479"/>
      <w:bookmarkEnd w:id="480"/>
      <w:bookmarkEnd w:id="481"/>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（一）工作方法</w:t>
      </w:r>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分析研究以往工作成果，收集当地地质灾害勘查、防治工程和重大工程勘查成果，开展遥感解译工作，进行孕灾地质条件调查、承灾体调查，核查调查地质灾害及其隐患，辅以工程地质钻探、地球物理勘探、山地工程、工程地质测绘等，加强高分辨率光学影像、无人机遥感、合成孔径雷达干涉测量（InSAR）、激光雷达测量（LiDAR）、地球物理勘探等技术方法综合应用。对典型地质灾害及其隐患进行测绘与勘查，开展室内综合研究。</w:t>
      </w:r>
    </w:p>
    <w:p>
      <w:pPr>
        <w:spacing w:line="560" w:lineRule="exact"/>
        <w:ind w:firstLine="480" w:firstLineChars="200"/>
        <w:rPr>
          <w:rFonts w:ascii="仿宋" w:hAnsi="仿宋" w:eastAsia="仿宋" w:cs="仿宋"/>
          <w:sz w:val="24"/>
        </w:rPr>
      </w:pPr>
      <w:r>
        <w:rPr>
          <w:rStyle w:val="72"/>
          <w:rFonts w:ascii="仿宋" w:hAnsi="仿宋" w:eastAsia="仿宋" w:cs="仿宋"/>
          <w:color w:val="auto"/>
          <w:sz w:val="24"/>
          <w:szCs w:val="24"/>
        </w:rPr>
        <w:t>（二）技术要求</w:t>
      </w:r>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主要执行的技术规范、技术要求和依据主要有：</w:t>
      </w:r>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1.《地质灾害风险调查评价技术要求（1:50000）》；</w:t>
      </w:r>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2.《地质灾害风险调查评价编图技术要求（试行）》；</w:t>
      </w:r>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3.《地质灾害风险调查评价成果信息化技术要求（试行）》；</w:t>
      </w:r>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4.GB50021—2001（2009年版）岩土工程勘察规范；</w:t>
      </w:r>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5.《中国地震动参数区划图》（GB18306-2015）；</w:t>
      </w:r>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6.《遥感地质解译方法指南（1:50000、1:250000）》（DD2011-03）；</w:t>
      </w:r>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7.《地质灾害遥感调查技术规定》（DD2015-01）；</w:t>
      </w:r>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8.《倾斜数字航空摄影技术规程》（GB/T 39610-2020）；</w:t>
      </w:r>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9.《地质调查项目预算标准（2021）》；</w:t>
      </w:r>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10.《地质资料汇交规范》（DZ/T0273）。</w:t>
      </w:r>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及其它相关技术规范要求，执行的技术和规范应以项目实施时现行最新技术标准和规范为准。</w:t>
      </w:r>
    </w:p>
    <w:p>
      <w:pPr>
        <w:spacing w:line="560" w:lineRule="exact"/>
        <w:ind w:firstLine="480" w:firstLineChars="200"/>
        <w:outlineLvl w:val="1"/>
        <w:rPr>
          <w:rStyle w:val="72"/>
          <w:rFonts w:hint="default" w:ascii="仿宋" w:hAnsi="仿宋" w:eastAsia="仿宋" w:cs="仿宋"/>
          <w:color w:val="auto"/>
          <w:sz w:val="24"/>
          <w:szCs w:val="24"/>
        </w:rPr>
      </w:pPr>
      <w:bookmarkStart w:id="482" w:name="_Toc32325"/>
      <w:bookmarkStart w:id="483" w:name="_Toc30140"/>
      <w:bookmarkStart w:id="484" w:name="_Toc1678"/>
      <w:bookmarkStart w:id="485" w:name="_Toc19629"/>
      <w:r>
        <w:rPr>
          <w:rStyle w:val="72"/>
          <w:rFonts w:ascii="仿宋" w:hAnsi="仿宋" w:eastAsia="仿宋" w:cs="仿宋"/>
          <w:color w:val="auto"/>
          <w:sz w:val="24"/>
          <w:szCs w:val="24"/>
        </w:rPr>
        <w:t>七、主要实物工作量</w:t>
      </w:r>
      <w:bookmarkEnd w:id="482"/>
      <w:bookmarkEnd w:id="483"/>
      <w:bookmarkEnd w:id="484"/>
      <w:bookmarkEnd w:id="485"/>
    </w:p>
    <w:p>
      <w:pPr>
        <w:spacing w:line="560" w:lineRule="exact"/>
        <w:ind w:firstLine="480" w:firstLineChars="200"/>
        <w:rPr>
          <w:rFonts w:ascii="仿宋" w:hAnsi="仿宋" w:eastAsia="仿宋" w:cs="仿宋"/>
          <w:sz w:val="24"/>
        </w:rPr>
      </w:pPr>
      <w:r>
        <w:rPr>
          <w:rStyle w:val="72"/>
          <w:rFonts w:ascii="仿宋" w:hAnsi="仿宋" w:eastAsia="仿宋" w:cs="仿宋"/>
          <w:color w:val="auto"/>
          <w:sz w:val="24"/>
          <w:szCs w:val="24"/>
        </w:rPr>
        <w:t>开展全域遥感解译工作，根据工作需要合理布置工程地质钻探、地球物理勘探、山地工程、工程地质测绘等，加强高分辨率光学影像、无人机遥感、合成孔径雷达干涉测量（InSAR）、激光雷达测量（LiDAR）、地球物理勘探等工作量，其中钻探、实测剖面、岩土样品满足规范要求，开展地质灾害防治知识培训和重要地质灾害隐患点防治演练工作。最终实物工作量以设计批复工作量为准。</w:t>
      </w:r>
    </w:p>
    <w:p>
      <w:pPr>
        <w:spacing w:line="560" w:lineRule="exact"/>
        <w:ind w:firstLine="480" w:firstLineChars="200"/>
        <w:outlineLvl w:val="1"/>
        <w:rPr>
          <w:rStyle w:val="72"/>
          <w:rFonts w:hint="default" w:ascii="仿宋" w:hAnsi="仿宋" w:eastAsia="仿宋" w:cs="仿宋"/>
          <w:color w:val="auto"/>
          <w:sz w:val="24"/>
          <w:szCs w:val="24"/>
        </w:rPr>
      </w:pPr>
      <w:bookmarkStart w:id="486" w:name="_Toc24912"/>
      <w:bookmarkStart w:id="487" w:name="_Toc3731"/>
      <w:bookmarkStart w:id="488" w:name="_Toc19465"/>
      <w:bookmarkStart w:id="489" w:name="_Toc25426"/>
      <w:r>
        <w:rPr>
          <w:rStyle w:val="72"/>
          <w:rFonts w:ascii="仿宋" w:hAnsi="仿宋" w:eastAsia="仿宋" w:cs="仿宋"/>
          <w:color w:val="auto"/>
          <w:sz w:val="24"/>
          <w:szCs w:val="24"/>
        </w:rPr>
        <w:t>八、预期提交成果</w:t>
      </w:r>
      <w:bookmarkEnd w:id="486"/>
      <w:bookmarkEnd w:id="487"/>
      <w:bookmarkEnd w:id="488"/>
      <w:bookmarkEnd w:id="489"/>
    </w:p>
    <w:p>
      <w:pPr>
        <w:spacing w:line="560" w:lineRule="exact"/>
        <w:ind w:firstLine="480" w:firstLineChars="200"/>
        <w:rPr>
          <w:rFonts w:ascii="仿宋" w:hAnsi="仿宋" w:eastAsia="仿宋" w:cs="仿宋"/>
          <w:sz w:val="24"/>
        </w:rPr>
      </w:pPr>
      <w:r>
        <w:rPr>
          <w:rStyle w:val="72"/>
          <w:rFonts w:ascii="仿宋" w:hAnsi="仿宋" w:eastAsia="仿宋" w:cs="仿宋"/>
          <w:color w:val="auto"/>
          <w:sz w:val="24"/>
          <w:szCs w:val="24"/>
        </w:rPr>
        <w:t>（一）原始资料</w:t>
      </w:r>
    </w:p>
    <w:p>
      <w:pPr>
        <w:spacing w:line="560" w:lineRule="exact"/>
        <w:ind w:firstLine="480" w:firstLineChars="200"/>
        <w:rPr>
          <w:rFonts w:ascii="仿宋" w:hAnsi="仿宋" w:eastAsia="仿宋" w:cs="仿宋"/>
          <w:sz w:val="24"/>
        </w:rPr>
      </w:pPr>
      <w:r>
        <w:rPr>
          <w:rStyle w:val="72"/>
          <w:rFonts w:ascii="仿宋" w:hAnsi="仿宋" w:eastAsia="仿宋" w:cs="仿宋"/>
          <w:color w:val="auto"/>
          <w:sz w:val="24"/>
          <w:szCs w:val="24"/>
        </w:rPr>
        <w:t>1.野外调查手图、遥感解译及验证成果分布图、实际材料图、工程地质条件图；</w:t>
      </w:r>
    </w:p>
    <w:p>
      <w:pPr>
        <w:spacing w:line="560" w:lineRule="exact"/>
        <w:ind w:firstLine="480" w:firstLineChars="200"/>
        <w:rPr>
          <w:rFonts w:ascii="仿宋" w:hAnsi="仿宋" w:eastAsia="仿宋" w:cs="仿宋"/>
          <w:sz w:val="24"/>
        </w:rPr>
      </w:pPr>
      <w:r>
        <w:rPr>
          <w:rStyle w:val="72"/>
          <w:rFonts w:ascii="仿宋" w:hAnsi="仿宋" w:eastAsia="仿宋" w:cs="仿宋"/>
          <w:color w:val="auto"/>
          <w:sz w:val="24"/>
          <w:szCs w:val="24"/>
        </w:rPr>
        <w:t>2.各类原始记录卡片</w:t>
      </w:r>
    </w:p>
    <w:p>
      <w:pPr>
        <w:spacing w:line="560" w:lineRule="exact"/>
        <w:ind w:firstLine="480" w:firstLineChars="200"/>
        <w:rPr>
          <w:rFonts w:ascii="仿宋" w:hAnsi="仿宋" w:eastAsia="仿宋" w:cs="仿宋"/>
          <w:sz w:val="24"/>
        </w:rPr>
      </w:pPr>
      <w:r>
        <w:rPr>
          <w:rStyle w:val="72"/>
          <w:rFonts w:ascii="仿宋" w:hAnsi="仿宋" w:eastAsia="仿宋" w:cs="仿宋"/>
          <w:color w:val="auto"/>
          <w:sz w:val="24"/>
          <w:szCs w:val="24"/>
        </w:rPr>
        <w:t>3.野外照(摄)像等影像资料；</w:t>
      </w:r>
    </w:p>
    <w:p>
      <w:pPr>
        <w:spacing w:line="560" w:lineRule="exact"/>
        <w:ind w:firstLine="480" w:firstLineChars="200"/>
        <w:rPr>
          <w:rFonts w:ascii="仿宋" w:hAnsi="仿宋" w:eastAsia="仿宋" w:cs="仿宋"/>
          <w:sz w:val="24"/>
        </w:rPr>
      </w:pPr>
      <w:r>
        <w:rPr>
          <w:rStyle w:val="72"/>
          <w:rFonts w:ascii="仿宋" w:hAnsi="仿宋" w:eastAsia="仿宋" w:cs="仿宋"/>
          <w:color w:val="auto"/>
          <w:sz w:val="24"/>
          <w:szCs w:val="24"/>
        </w:rPr>
        <w:t>4.测试与试验资料；</w:t>
      </w:r>
    </w:p>
    <w:p>
      <w:pPr>
        <w:spacing w:line="560" w:lineRule="exact"/>
        <w:ind w:firstLine="480" w:firstLineChars="200"/>
        <w:rPr>
          <w:rFonts w:ascii="仿宋" w:hAnsi="仿宋" w:eastAsia="仿宋" w:cs="仿宋"/>
          <w:sz w:val="24"/>
        </w:rPr>
      </w:pPr>
      <w:r>
        <w:rPr>
          <w:rStyle w:val="72"/>
          <w:rFonts w:ascii="仿宋" w:hAnsi="仿宋" w:eastAsia="仿宋" w:cs="仿宋"/>
          <w:color w:val="auto"/>
          <w:sz w:val="24"/>
          <w:szCs w:val="24"/>
        </w:rPr>
        <w:t>5.重要、典型地质灾害的工程地质剖面图、探井展示图，物探剖面图，槽探剖面图、低空遥感影像图、稳定性计算参数及计算结果表等。</w:t>
      </w:r>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（二）成果资料</w:t>
      </w:r>
    </w:p>
    <w:p>
      <w:pPr>
        <w:spacing w:line="560" w:lineRule="exact"/>
        <w:ind w:firstLine="480" w:firstLineChars="200"/>
        <w:rPr>
          <w:rFonts w:ascii="仿宋" w:hAnsi="仿宋" w:eastAsia="仿宋" w:cs="仿宋"/>
          <w:sz w:val="24"/>
        </w:rPr>
      </w:pPr>
      <w:r>
        <w:rPr>
          <w:rStyle w:val="72"/>
          <w:rFonts w:ascii="仿宋" w:hAnsi="仿宋" w:eastAsia="仿宋" w:cs="仿宋"/>
          <w:color w:val="auto"/>
          <w:sz w:val="24"/>
          <w:szCs w:val="24"/>
        </w:rPr>
        <w:t>1.报告</w:t>
      </w:r>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 xml:space="preserve"> 新疆鄯善县地质灾害风险调查评价报告。</w:t>
      </w:r>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2.附图</w:t>
      </w:r>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主要包括基础性图件、应用性图件和其他图件。</w:t>
      </w:r>
    </w:p>
    <w:p>
      <w:pPr>
        <w:spacing w:line="560" w:lineRule="exact"/>
        <w:ind w:firstLine="480" w:firstLineChars="200"/>
        <w:rPr>
          <w:rFonts w:ascii="仿宋" w:hAnsi="仿宋" w:eastAsia="仿宋" w:cs="仿宋"/>
          <w:sz w:val="24"/>
        </w:rPr>
      </w:pPr>
      <w:r>
        <w:rPr>
          <w:rStyle w:val="72"/>
          <w:rFonts w:ascii="仿宋" w:hAnsi="仿宋" w:eastAsia="仿宋" w:cs="仿宋"/>
          <w:color w:val="auto"/>
          <w:sz w:val="24"/>
          <w:szCs w:val="24"/>
        </w:rPr>
        <w:t>3.附件</w:t>
      </w:r>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附件主要包括：数据库建库报告；地质灾害风险调查数据库；照片集；专题报告；地质灾害勘查报告及图件。</w:t>
      </w:r>
    </w:p>
    <w:p>
      <w:pPr>
        <w:spacing w:line="56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具体详见《地质灾害风险调查评价技术要求（1:50000）》关于成果资料要求。</w:t>
      </w:r>
    </w:p>
    <w:p>
      <w:pPr>
        <w:spacing w:line="560" w:lineRule="exact"/>
        <w:ind w:firstLine="480" w:firstLineChars="200"/>
        <w:rPr>
          <w:rFonts w:ascii="仿宋" w:hAnsi="仿宋" w:eastAsia="仿宋" w:cs="仿宋"/>
          <w:sz w:val="24"/>
        </w:rPr>
      </w:pPr>
      <w:r>
        <w:rPr>
          <w:rStyle w:val="72"/>
          <w:rFonts w:ascii="仿宋" w:hAnsi="仿宋" w:eastAsia="仿宋" w:cs="仿宋"/>
          <w:color w:val="auto"/>
          <w:sz w:val="24"/>
          <w:szCs w:val="24"/>
        </w:rPr>
        <w:t>项目成果资料整理归档严格按照《地质灾害风险调查评价技术要求（1:50000）》和《地质资料汇交规范》（DZ/T0273）地质资料汇交规范及相关管理办法和《新疆维吾尔自治区地质灾害防治项目管理办法（试行）》及《新疆维吾尔自治区地质灾害防治项目验收细则》规定执行。最终成果资料应按地质资料汇交要求向新疆地质资料馆汇交，并向自治区自然资源厅、吐鲁番市自然资源局和鄯善县自然资源局汇交纸介质和电子版各2套。</w:t>
      </w:r>
    </w:p>
    <w:p>
      <w:pPr>
        <w:spacing w:line="560" w:lineRule="exact"/>
        <w:ind w:firstLine="480" w:firstLineChars="200"/>
        <w:outlineLvl w:val="1"/>
        <w:rPr>
          <w:rFonts w:ascii="仿宋" w:hAnsi="仿宋" w:eastAsia="仿宋" w:cs="仿宋"/>
          <w:sz w:val="24"/>
        </w:rPr>
      </w:pPr>
      <w:bookmarkStart w:id="490" w:name="_Toc19528"/>
      <w:bookmarkStart w:id="491" w:name="_Toc7942"/>
      <w:bookmarkStart w:id="492" w:name="_Toc26160"/>
      <w:bookmarkStart w:id="493" w:name="_Toc8168"/>
      <w:r>
        <w:rPr>
          <w:rStyle w:val="72"/>
          <w:rFonts w:ascii="仿宋" w:hAnsi="仿宋" w:eastAsia="仿宋" w:cs="仿宋"/>
          <w:color w:val="auto"/>
          <w:sz w:val="24"/>
          <w:szCs w:val="24"/>
        </w:rPr>
        <w:t>九、工作周期</w:t>
      </w:r>
      <w:bookmarkEnd w:id="490"/>
      <w:bookmarkEnd w:id="491"/>
      <w:bookmarkEnd w:id="492"/>
      <w:bookmarkEnd w:id="493"/>
    </w:p>
    <w:p>
      <w:pPr>
        <w:autoSpaceDE w:val="0"/>
        <w:autoSpaceDN w:val="0"/>
        <w:adjustRightInd w:val="0"/>
        <w:snapToGrid w:val="0"/>
        <w:spacing w:line="560" w:lineRule="exact"/>
        <w:ind w:firstLine="480" w:firstLineChars="200"/>
        <w:rPr>
          <w:rFonts w:ascii="仿宋" w:hAnsi="仿宋" w:eastAsia="仿宋" w:cs="仿宋"/>
          <w:color w:val="auto"/>
          <w:sz w:val="24"/>
        </w:rPr>
      </w:pPr>
      <w:r>
        <w:rPr>
          <w:rStyle w:val="72"/>
          <w:rFonts w:ascii="仿宋" w:hAnsi="仿宋" w:eastAsia="仿宋" w:cs="仿宋"/>
          <w:color w:val="auto"/>
          <w:sz w:val="24"/>
          <w:szCs w:val="24"/>
        </w:rPr>
        <w:t>2023年3月-2024年1月。其中：2023年9月30日前完成野外调查工作；2023年10月30日前提交报告及数据库送审稿,2024年1月完成资料汇交。</w:t>
      </w:r>
    </w:p>
    <w:p>
      <w:pPr>
        <w:rPr>
          <w:rFonts w:ascii="仿宋" w:hAnsi="仿宋" w:eastAsia="仿宋" w:cs="仿宋"/>
          <w:color w:val="auto"/>
          <w:sz w:val="24"/>
        </w:rPr>
      </w:pPr>
      <w:r>
        <w:rPr>
          <w:rFonts w:hint="eastAsia" w:ascii="仿宋" w:hAnsi="仿宋" w:eastAsia="仿宋" w:cs="仿宋"/>
          <w:color w:val="auto"/>
          <w:sz w:val="24"/>
        </w:rPr>
        <w:br w:type="page"/>
      </w:r>
    </w:p>
    <w:p>
      <w:pPr>
        <w:spacing w:line="560" w:lineRule="exact"/>
        <w:ind w:firstLine="482" w:firstLineChars="200"/>
        <w:outlineLvl w:val="1"/>
        <w:rPr>
          <w:rFonts w:ascii="仿宋" w:hAnsi="仿宋" w:eastAsia="仿宋"/>
          <w:b/>
          <w:bCs/>
          <w:sz w:val="24"/>
        </w:rPr>
      </w:pPr>
      <w:bookmarkStart w:id="494" w:name="_Toc6840"/>
      <w:bookmarkStart w:id="495" w:name="_Toc15244"/>
      <w:bookmarkStart w:id="496" w:name="_Toc14154"/>
      <w:r>
        <w:rPr>
          <w:rFonts w:hint="eastAsia" w:ascii="仿宋" w:hAnsi="仿宋" w:eastAsia="仿宋"/>
          <w:b/>
          <w:bCs/>
          <w:sz w:val="24"/>
        </w:rPr>
        <w:t>标项三：新疆吐鲁番市高昌区七泉湖煤窑沟左岸居民点崩塌灾害防治工程</w:t>
      </w:r>
      <w:bookmarkEnd w:id="494"/>
      <w:bookmarkEnd w:id="495"/>
      <w:bookmarkEnd w:id="496"/>
    </w:p>
    <w:p>
      <w:pPr>
        <w:pStyle w:val="27"/>
        <w:spacing w:line="440" w:lineRule="exact"/>
      </w:pPr>
    </w:p>
    <w:p>
      <w:pPr>
        <w:spacing w:line="560" w:lineRule="exact"/>
        <w:ind w:firstLine="482" w:firstLineChars="200"/>
        <w:outlineLvl w:val="1"/>
        <w:rPr>
          <w:rFonts w:ascii="仿宋" w:hAnsi="仿宋" w:eastAsia="仿宋" w:cs="仿宋"/>
          <w:b/>
          <w:sz w:val="24"/>
        </w:rPr>
      </w:pPr>
      <w:bookmarkStart w:id="497" w:name="_Toc9903"/>
      <w:bookmarkStart w:id="498" w:name="_Toc31882"/>
      <w:bookmarkStart w:id="499" w:name="_Toc10859"/>
      <w:bookmarkStart w:id="500" w:name="_Toc23975"/>
      <w:r>
        <w:rPr>
          <w:rFonts w:hint="eastAsia" w:ascii="仿宋" w:hAnsi="仿宋" w:eastAsia="仿宋" w:cs="仿宋"/>
          <w:b/>
          <w:sz w:val="24"/>
        </w:rPr>
        <w:t>一、项目名称、编号及费用</w:t>
      </w:r>
      <w:bookmarkEnd w:id="497"/>
      <w:bookmarkEnd w:id="498"/>
      <w:bookmarkEnd w:id="499"/>
      <w:bookmarkEnd w:id="500"/>
    </w:p>
    <w:p>
      <w:pPr>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项目名称：新疆吐鲁番市高昌区七泉湖煤窑沟左岸居民点崩塌灾害防治工</w:t>
      </w:r>
    </w:p>
    <w:p>
      <w:pPr>
        <w:spacing w:line="560" w:lineRule="exact"/>
        <w:ind w:firstLine="1680" w:firstLineChars="700"/>
        <w:rPr>
          <w:rFonts w:ascii="仿宋" w:hAnsi="仿宋" w:eastAsia="仿宋" w:cs="仿宋"/>
          <w:kern w:val="0"/>
          <w:sz w:val="24"/>
        </w:rPr>
      </w:pPr>
      <w:r>
        <w:rPr>
          <w:rFonts w:hint="eastAsia" w:ascii="仿宋" w:hAnsi="仿宋" w:eastAsia="仿宋" w:cs="仿宋"/>
          <w:kern w:val="0"/>
          <w:sz w:val="24"/>
        </w:rPr>
        <w:t>程</w:t>
      </w:r>
    </w:p>
    <w:p>
      <w:pPr>
        <w:spacing w:line="560" w:lineRule="exact"/>
        <w:ind w:firstLine="480" w:firstLineChars="200"/>
        <w:rPr>
          <w:rFonts w:ascii="仿宋" w:hAnsi="仿宋" w:eastAsia="仿宋" w:cs="仿宋"/>
          <w:sz w:val="24"/>
        </w:rPr>
      </w:pPr>
      <w:r>
        <w:rPr>
          <w:rStyle w:val="72"/>
          <w:rFonts w:ascii="仿宋" w:hAnsi="仿宋" w:eastAsia="仿宋" w:cs="仿宋"/>
          <w:color w:val="auto"/>
          <w:sz w:val="24"/>
          <w:szCs w:val="24"/>
        </w:rPr>
        <w:t>项目编号：</w:t>
      </w:r>
      <w:r>
        <w:rPr>
          <w:rFonts w:hint="eastAsia" w:ascii="仿宋" w:hAnsi="仿宋" w:eastAsia="仿宋"/>
          <w:sz w:val="24"/>
        </w:rPr>
        <w:t>GYZB-TLFDZFZ2023-03</w:t>
      </w:r>
    </w:p>
    <w:p>
      <w:pPr>
        <w:spacing w:line="560" w:lineRule="exact"/>
        <w:ind w:firstLine="480" w:firstLineChars="200"/>
        <w:rPr>
          <w:rFonts w:ascii="仿宋" w:hAnsi="仿宋" w:eastAsia="仿宋" w:cs="仿宋"/>
          <w:sz w:val="24"/>
        </w:rPr>
      </w:pPr>
      <w:r>
        <w:rPr>
          <w:rStyle w:val="72"/>
          <w:rFonts w:ascii="仿宋" w:hAnsi="仿宋" w:eastAsia="仿宋" w:cs="仿宋"/>
          <w:color w:val="auto"/>
          <w:sz w:val="24"/>
          <w:szCs w:val="24"/>
        </w:rPr>
        <w:t>项目费用人民币：328.3万元（叁佰贰拾捌万叁仟元整）</w:t>
      </w:r>
    </w:p>
    <w:p>
      <w:pPr>
        <w:spacing w:line="560" w:lineRule="exact"/>
        <w:ind w:firstLine="482" w:firstLineChars="200"/>
        <w:outlineLvl w:val="1"/>
        <w:rPr>
          <w:rFonts w:ascii="仿宋" w:hAnsi="仿宋" w:eastAsia="仿宋" w:cs="仿宋"/>
          <w:b/>
          <w:sz w:val="24"/>
        </w:rPr>
      </w:pPr>
      <w:bookmarkStart w:id="501" w:name="_Toc9549"/>
      <w:bookmarkStart w:id="502" w:name="_Toc13075"/>
      <w:bookmarkStart w:id="503" w:name="_Toc21817"/>
      <w:bookmarkStart w:id="504" w:name="_Toc26932"/>
      <w:r>
        <w:rPr>
          <w:rFonts w:hint="eastAsia" w:ascii="仿宋" w:hAnsi="仿宋" w:eastAsia="仿宋" w:cs="仿宋"/>
          <w:b/>
          <w:sz w:val="24"/>
        </w:rPr>
        <w:t>二、工作范围</w:t>
      </w:r>
      <w:bookmarkEnd w:id="501"/>
      <w:bookmarkEnd w:id="502"/>
      <w:bookmarkEnd w:id="503"/>
      <w:bookmarkEnd w:id="504"/>
    </w:p>
    <w:p>
      <w:pPr>
        <w:autoSpaceDE w:val="0"/>
        <w:autoSpaceDN w:val="0"/>
        <w:adjustRightInd w:val="0"/>
        <w:snapToGrid w:val="0"/>
        <w:spacing w:line="560" w:lineRule="exact"/>
        <w:ind w:firstLine="480" w:firstLineChars="200"/>
        <w:rPr>
          <w:rFonts w:ascii="仿宋" w:hAnsi="仿宋" w:eastAsia="仿宋" w:cs="仿宋"/>
          <w:color w:val="0D0D0D"/>
          <w:sz w:val="24"/>
        </w:rPr>
      </w:pPr>
      <w:r>
        <w:rPr>
          <w:rFonts w:hint="eastAsia" w:ascii="仿宋" w:hAnsi="仿宋" w:eastAsia="仿宋" w:cs="仿宋"/>
          <w:sz w:val="24"/>
        </w:rPr>
        <w:t>防治区位于吐鲁番市高昌区七泉湖镇煤窑沟村，行政区划属七泉湖镇。中心地理坐标为东经89°23′30.8″，北纬43°09′43.7″。</w:t>
      </w:r>
    </w:p>
    <w:p>
      <w:pPr>
        <w:spacing w:line="560" w:lineRule="exact"/>
        <w:ind w:firstLine="482" w:firstLineChars="200"/>
        <w:rPr>
          <w:rFonts w:ascii="仿宋" w:hAnsi="仿宋" w:eastAsia="仿宋" w:cs="仿宋"/>
          <w:b/>
          <w:sz w:val="24"/>
          <w:u w:val="single"/>
        </w:rPr>
      </w:pPr>
      <w:r>
        <w:rPr>
          <w:rFonts w:hint="eastAsia" w:ascii="仿宋" w:hAnsi="仿宋" w:eastAsia="仿宋" w:cs="仿宋"/>
          <w:b/>
          <w:sz w:val="24"/>
          <w:u w:val="single"/>
        </w:rPr>
        <w:t>最终防治工程区范围以投标单位现场踏勘并与当地自然资源部门充分沟通确定的为准。</w:t>
      </w:r>
    </w:p>
    <w:p>
      <w:pPr>
        <w:spacing w:line="560" w:lineRule="exact"/>
        <w:ind w:firstLine="482" w:firstLineChars="200"/>
        <w:outlineLvl w:val="1"/>
        <w:rPr>
          <w:rFonts w:ascii="仿宋" w:hAnsi="仿宋" w:eastAsia="仿宋" w:cs="仿宋"/>
          <w:b/>
          <w:sz w:val="24"/>
        </w:rPr>
      </w:pPr>
      <w:bookmarkStart w:id="505" w:name="_Toc13496"/>
      <w:bookmarkStart w:id="506" w:name="_Toc6909"/>
      <w:bookmarkStart w:id="507" w:name="_Toc9792"/>
      <w:bookmarkStart w:id="508" w:name="_Toc15884"/>
      <w:r>
        <w:rPr>
          <w:rFonts w:hint="eastAsia" w:ascii="仿宋" w:hAnsi="仿宋" w:eastAsia="仿宋" w:cs="仿宋"/>
          <w:b/>
          <w:sz w:val="24"/>
        </w:rPr>
        <w:t>三、自然经济地理</w:t>
      </w:r>
      <w:bookmarkEnd w:id="505"/>
      <w:bookmarkEnd w:id="506"/>
      <w:bookmarkEnd w:id="507"/>
      <w:bookmarkEnd w:id="508"/>
    </w:p>
    <w:p>
      <w:pPr>
        <w:spacing w:line="560" w:lineRule="exact"/>
        <w:ind w:firstLine="482" w:firstLineChars="200"/>
        <w:rPr>
          <w:rFonts w:ascii="仿宋" w:hAnsi="仿宋" w:eastAsia="仿宋" w:cs="仿宋"/>
          <w:b/>
          <w:sz w:val="24"/>
        </w:rPr>
      </w:pPr>
      <w:r>
        <w:rPr>
          <w:rFonts w:hint="eastAsia" w:ascii="仿宋" w:hAnsi="仿宋" w:eastAsia="仿宋" w:cs="仿宋"/>
          <w:b/>
          <w:sz w:val="24"/>
        </w:rPr>
        <w:t>（一）交通位置</w:t>
      </w:r>
    </w:p>
    <w:p>
      <w:pPr>
        <w:autoSpaceDE w:val="0"/>
        <w:autoSpaceDN w:val="0"/>
        <w:adjustRightInd w:val="0"/>
        <w:snapToGrid w:val="0"/>
        <w:spacing w:line="560" w:lineRule="exact"/>
        <w:ind w:firstLine="480" w:firstLineChars="200"/>
        <w:rPr>
          <w:rFonts w:ascii="仿宋" w:hAnsi="仿宋" w:eastAsia="仿宋" w:cs="仿宋"/>
          <w:color w:val="000000"/>
          <w:sz w:val="24"/>
        </w:rPr>
      </w:pPr>
      <w:r>
        <w:rPr>
          <w:rFonts w:hint="eastAsia" w:ascii="仿宋" w:hAnsi="仿宋" w:eastAsia="仿宋" w:cs="仿宋"/>
          <w:sz w:val="24"/>
        </w:rPr>
        <w:t>防治区位于吐鲁番市高昌区七泉湖镇煤窑沟村，中心地理坐标为东经89°23′30.8″，北纬43°09′43.7″，项目区位于城镇之内，四周乡镇道路环绕，距离吐鲁番市高昌区50公里，紧邻202省道，交通条件较好</w:t>
      </w:r>
      <w:r>
        <w:rPr>
          <w:rFonts w:hint="eastAsia" w:ascii="仿宋" w:hAnsi="仿宋" w:eastAsia="仿宋" w:cs="仿宋"/>
          <w:color w:val="000000"/>
          <w:sz w:val="24"/>
        </w:rPr>
        <w:tab/>
      </w:r>
    </w:p>
    <w:p>
      <w:pPr>
        <w:adjustRightInd w:val="0"/>
        <w:spacing w:line="560" w:lineRule="exact"/>
        <w:ind w:firstLine="482" w:firstLineChars="200"/>
        <w:rPr>
          <w:rFonts w:ascii="仿宋" w:hAnsi="仿宋" w:eastAsia="仿宋" w:cs="仿宋"/>
          <w:b/>
          <w:sz w:val="24"/>
        </w:rPr>
      </w:pPr>
      <w:r>
        <w:rPr>
          <w:rFonts w:hint="eastAsia" w:ascii="仿宋" w:hAnsi="仿宋" w:eastAsia="仿宋" w:cs="仿宋"/>
          <w:b/>
          <w:sz w:val="24"/>
        </w:rPr>
        <w:t>（二）社会经济概况</w:t>
      </w:r>
    </w:p>
    <w:p>
      <w:pPr>
        <w:adjustRightInd w:val="0"/>
        <w:snapToGrid w:val="0"/>
        <w:spacing w:line="500" w:lineRule="exact"/>
        <w:ind w:firstLine="480" w:firstLineChars="200"/>
        <w:rPr>
          <w:rFonts w:ascii="仿宋" w:hAnsi="仿宋" w:eastAsia="仿宋" w:cs="仿宋"/>
          <w:sz w:val="24"/>
        </w:rPr>
      </w:pPr>
      <w:r>
        <w:rPr>
          <w:rFonts w:hint="eastAsia" w:ascii="仿宋" w:hAnsi="仿宋" w:eastAsia="仿宋" w:cs="仿宋"/>
          <w:sz w:val="24"/>
        </w:rPr>
        <w:t>根据高昌区人民政府网公开的相关资料，2018年高昌区生产总值完成(GDP)93.13亿元，同比增长4.90%。其中：第一产业实现增加值22.01亿元，同比增长5.60%；第二产业实现增加值21.01亿元，同比下降1.70%；第三产业实现增加值50.11亿元，同比增长8.0%。第一、第二、第三次产业实现增加值比重由上年的24.1:24.1:51.8调整为23.6：22.6：53.8。按户籍人口计算，人均生产总值32079元，比上年增长7.2%。</w:t>
      </w:r>
    </w:p>
    <w:p>
      <w:pPr>
        <w:adjustRightInd w:val="0"/>
        <w:snapToGrid w:val="0"/>
        <w:spacing w:line="500" w:lineRule="exact"/>
        <w:ind w:firstLine="480" w:firstLineChars="200"/>
        <w:rPr>
          <w:rFonts w:ascii="仿宋" w:hAnsi="仿宋" w:eastAsia="仿宋" w:cs="仿宋"/>
          <w:sz w:val="24"/>
        </w:rPr>
      </w:pPr>
      <w:r>
        <w:rPr>
          <w:rFonts w:hint="eastAsia" w:ascii="仿宋" w:hAnsi="仿宋" w:eastAsia="仿宋" w:cs="仿宋"/>
          <w:sz w:val="24"/>
        </w:rPr>
        <w:t>全区农林牧渔业总产值35.11亿元，同比增长5.70%。其中，种植业产值29.50亿元，同比增长5.87%；畜牧业产值4.07亿元，同比增长3.77%；林业产值0.39亿元，同比增长4.67%；渔业产值0.059亿元，同比增长4.97%；农林牧渔服务业产值1.09亿元，同比增长8.41%。</w:t>
      </w:r>
    </w:p>
    <w:p>
      <w:pPr>
        <w:adjustRightInd w:val="0"/>
        <w:snapToGrid w:val="0"/>
        <w:spacing w:line="500" w:lineRule="exact"/>
        <w:ind w:firstLine="480" w:firstLineChars="200"/>
        <w:rPr>
          <w:rFonts w:ascii="仿宋" w:hAnsi="仿宋" w:eastAsia="仿宋" w:cs="仿宋"/>
          <w:sz w:val="24"/>
        </w:rPr>
      </w:pPr>
      <w:r>
        <w:rPr>
          <w:rFonts w:hint="eastAsia" w:ascii="仿宋" w:hAnsi="仿宋" w:eastAsia="仿宋" w:cs="仿宋"/>
          <w:sz w:val="24"/>
        </w:rPr>
        <w:t>全年农作物总播种面积20.51万亩，比上年减少4.12万亩，同比下降16.73%，复播面积8.06万亩。其中粮食作物播种面积1.38万亩；棉花播种面积1.02万亩，同比下降71.34%；蔬菜播种面积5.1万亩，同比持平；果园面积31.10万亩，其中，葡萄面积27.89万亩；瓜类面积10.11万亩，比上年减少1.42万亩，同比下降12.31%。</w:t>
      </w:r>
    </w:p>
    <w:p>
      <w:pPr>
        <w:spacing w:line="560" w:lineRule="exact"/>
        <w:ind w:firstLine="480" w:firstLineChars="200"/>
        <w:rPr>
          <w:rFonts w:ascii="仿宋" w:hAnsi="仿宋" w:eastAsia="仿宋" w:cs="仿宋"/>
          <w:color w:val="000000"/>
          <w:sz w:val="24"/>
        </w:rPr>
      </w:pPr>
      <w:r>
        <w:rPr>
          <w:rFonts w:hint="eastAsia" w:ascii="仿宋" w:hAnsi="仿宋" w:eastAsia="仿宋" w:cs="仿宋"/>
          <w:sz w:val="24"/>
        </w:rPr>
        <w:t>全年棉花产量918吨，比上年同期减少2282吨，同比下降71.13；蔬菜产量16.8万吨，比上年同期增长1.5万吨，同比增长9.8%；水果产量82.96万吨，其中：葡萄57.8万吨，比上年同期增长9.8万吨，同比增长20.41%；瓜类24.21万吨，比上年同期增长1.31万吨，同比增长5.72%。</w:t>
      </w:r>
    </w:p>
    <w:p>
      <w:pPr>
        <w:spacing w:line="560" w:lineRule="exact"/>
        <w:ind w:firstLine="482" w:firstLineChars="200"/>
        <w:outlineLvl w:val="1"/>
        <w:rPr>
          <w:rFonts w:ascii="仿宋" w:hAnsi="仿宋" w:eastAsia="仿宋" w:cs="仿宋"/>
          <w:b/>
          <w:sz w:val="24"/>
        </w:rPr>
      </w:pPr>
      <w:bookmarkStart w:id="509" w:name="_Toc22472"/>
      <w:bookmarkStart w:id="510" w:name="_Toc25008"/>
      <w:bookmarkStart w:id="511" w:name="_Toc21573"/>
      <w:bookmarkStart w:id="512" w:name="_Toc16059"/>
      <w:r>
        <w:rPr>
          <w:rFonts w:hint="eastAsia" w:ascii="仿宋" w:hAnsi="仿宋" w:eastAsia="仿宋" w:cs="仿宋"/>
          <w:b/>
          <w:sz w:val="24"/>
        </w:rPr>
        <w:t>四、地质环境条件和工作程度</w:t>
      </w:r>
      <w:bookmarkEnd w:id="509"/>
      <w:bookmarkEnd w:id="510"/>
      <w:bookmarkEnd w:id="511"/>
      <w:bookmarkEnd w:id="512"/>
    </w:p>
    <w:p>
      <w:pPr>
        <w:spacing w:line="560" w:lineRule="exact"/>
        <w:ind w:firstLine="482" w:firstLineChars="200"/>
        <w:rPr>
          <w:rFonts w:ascii="仿宋" w:hAnsi="仿宋" w:eastAsia="仿宋" w:cs="仿宋"/>
          <w:b/>
          <w:sz w:val="24"/>
        </w:rPr>
      </w:pPr>
      <w:r>
        <w:rPr>
          <w:rFonts w:hint="eastAsia" w:ascii="仿宋" w:hAnsi="仿宋" w:eastAsia="仿宋" w:cs="仿宋"/>
          <w:b/>
          <w:sz w:val="24"/>
        </w:rPr>
        <w:t>（一）地形地貌</w:t>
      </w:r>
    </w:p>
    <w:p>
      <w:pPr>
        <w:adjustRightInd w:val="0"/>
        <w:snapToGrid w:val="0"/>
        <w:spacing w:line="500" w:lineRule="exact"/>
        <w:ind w:firstLine="480" w:firstLineChars="200"/>
        <w:rPr>
          <w:rFonts w:ascii="仿宋" w:hAnsi="仿宋" w:eastAsia="仿宋" w:cs="仿宋"/>
          <w:sz w:val="24"/>
        </w:rPr>
      </w:pPr>
      <w:r>
        <w:rPr>
          <w:rFonts w:hint="eastAsia" w:ascii="仿宋" w:hAnsi="仿宋" w:eastAsia="仿宋" w:cs="仿宋"/>
          <w:sz w:val="24"/>
        </w:rPr>
        <w:t>防治区属吐鲁番北部盆地，煤窑沟河东侧二级阶地面与一级阶地坡相交处，地貌上属于河流阶地。总体地形平坦开阔，地势北高南低，东高西低，煤窑沟河位于项目区西侧。海拔约804-865米，相对高差10-50米，地形坡降在3‰～6‰之间，地表基本无植被发育。地质灾害及隐患点主要分布于煤窑沟村东侧山坡，微地貌为斜坡陡坎，其坡度75-85°</w:t>
      </w:r>
      <w:r>
        <w:rPr>
          <w:rFonts w:hint="eastAsia" w:ascii="仿宋" w:hAnsi="仿宋" w:eastAsia="仿宋" w:cs="仿宋"/>
          <w:snapToGrid w:val="0"/>
          <w:sz w:val="24"/>
        </w:rPr>
        <w:t>，</w:t>
      </w:r>
      <w:r>
        <w:rPr>
          <w:rFonts w:hint="eastAsia" w:ascii="仿宋" w:hAnsi="仿宋" w:eastAsia="仿宋" w:cs="仿宋"/>
          <w:sz w:val="24"/>
        </w:rPr>
        <w:t>坡向近似向西，坡面因风化及雨水剥蚀多呈沟壑泥泞状。坡顶、坡面无植被发育，在坡顶南侧有强降雨形成的汇流冲沟，规模较小，宽度约0.5-1.2米，北侧切割深度约3.5米，南侧切割深度可达2.5米，长约30米。</w:t>
      </w:r>
    </w:p>
    <w:p>
      <w:pPr>
        <w:overflowPunct w:val="0"/>
        <w:adjustRightInd w:val="0"/>
        <w:snapToGrid w:val="0"/>
        <w:spacing w:line="500" w:lineRule="exact"/>
        <w:ind w:firstLine="480" w:firstLineChars="200"/>
        <w:rPr>
          <w:rFonts w:ascii="仿宋" w:hAnsi="仿宋" w:eastAsia="仿宋" w:cs="仿宋"/>
          <w:sz w:val="24"/>
        </w:rPr>
      </w:pPr>
      <w:r>
        <w:rPr>
          <w:rFonts w:hint="eastAsia" w:ascii="仿宋" w:hAnsi="仿宋" w:eastAsia="仿宋" w:cs="仿宋"/>
          <w:sz w:val="24"/>
        </w:rPr>
        <w:t>在崩塌带坡脚局部可见破碎的崩塌堆积物及大块漂石，坡脚处已被人工改造修建房屋，斜坡局部区域可见裂隙。项目区</w:t>
      </w:r>
      <w:r>
        <w:rPr>
          <w:rFonts w:hint="eastAsia" w:ascii="仿宋" w:hAnsi="仿宋" w:eastAsia="仿宋" w:cs="仿宋"/>
          <w:snapToGrid w:val="0"/>
          <w:sz w:val="24"/>
        </w:rPr>
        <w:t>西边界100米处为煤窑沟河。由于2013年煤窑沟水库建成截水断流，现河床内只有小股水流</w:t>
      </w:r>
      <w:r>
        <w:rPr>
          <w:rFonts w:hint="eastAsia" w:ascii="仿宋" w:hAnsi="仿宋" w:eastAsia="仿宋" w:cs="仿宋"/>
          <w:sz w:val="24"/>
        </w:rPr>
        <w:t>。</w:t>
      </w:r>
    </w:p>
    <w:p>
      <w:pPr>
        <w:spacing w:line="500" w:lineRule="exact"/>
        <w:ind w:firstLine="480" w:firstLineChars="200"/>
        <w:rPr>
          <w:rFonts w:ascii="仿宋" w:hAnsi="仿宋" w:eastAsia="仿宋" w:cs="仿宋"/>
          <w:color w:val="000000"/>
          <w:sz w:val="24"/>
        </w:rPr>
      </w:pPr>
      <w:r>
        <w:rPr>
          <w:rFonts w:hint="eastAsia" w:ascii="仿宋" w:hAnsi="仿宋" w:eastAsia="仿宋" w:cs="仿宋"/>
          <w:sz w:val="24"/>
        </w:rPr>
        <w:t>斜坡坡顶整体较为平坦，高程在847.77-859.16米之间，整体地势北高南低，南北最大高差3-5米，坡顶自北向南发育1条较大的冲沟，流水冲蚀下切深度1-3米。CG1位于冲沟项目区中部独立孤岛最南侧，靠近坡面处沟口地理坐标89°22′31.10″E，43°09′39.72″N。汇流冲沟规模较小，宽度约0.5-1.2米，北侧切割深度约3.5米，南侧切割深度可达2.5米，呈南北走向，长约30米。</w:t>
      </w:r>
    </w:p>
    <w:p>
      <w:pPr>
        <w:numPr>
          <w:ilvl w:val="0"/>
          <w:numId w:val="6"/>
        </w:numPr>
        <w:spacing w:line="560" w:lineRule="exact"/>
        <w:ind w:firstLine="482" w:firstLineChars="200"/>
        <w:rPr>
          <w:rFonts w:ascii="仿宋" w:hAnsi="仿宋" w:eastAsia="仿宋" w:cs="仿宋"/>
          <w:b/>
          <w:sz w:val="24"/>
        </w:rPr>
      </w:pPr>
      <w:r>
        <w:rPr>
          <w:rFonts w:hint="eastAsia" w:ascii="仿宋" w:hAnsi="仿宋" w:eastAsia="仿宋" w:cs="仿宋"/>
          <w:b/>
          <w:sz w:val="24"/>
        </w:rPr>
        <w:t>地层岩性</w:t>
      </w:r>
    </w:p>
    <w:p>
      <w:pPr>
        <w:adjustRightInd w:val="0"/>
        <w:snapToGrid w:val="0"/>
        <w:spacing w:line="560" w:lineRule="exact"/>
        <w:ind w:firstLine="480" w:firstLineChars="200"/>
        <w:rPr>
          <w:rFonts w:ascii="仿宋" w:hAnsi="仿宋" w:eastAsia="仿宋" w:cs="仿宋"/>
          <w:sz w:val="24"/>
        </w:rPr>
      </w:pPr>
      <w:r>
        <w:rPr>
          <w:rFonts w:hint="eastAsia" w:ascii="仿宋" w:hAnsi="仿宋" w:eastAsia="仿宋" w:cs="仿宋"/>
          <w:sz w:val="24"/>
        </w:rPr>
        <w:t>防治区岩性为卵石，局部含漂石，呈青灰、灰黑色，较松散-稍密，稍湿，磨圆度中等，多呈次圆状-浑圆状，分选性一般，卵石平均粒径12-30cm左右，局部含漂石，最大粒径65cm。局部胶结，充填物以中粗砂为主。</w:t>
      </w:r>
    </w:p>
    <w:p>
      <w:pPr>
        <w:numPr>
          <w:ilvl w:val="0"/>
          <w:numId w:val="6"/>
        </w:numPr>
        <w:spacing w:line="560" w:lineRule="exact"/>
        <w:ind w:firstLine="482" w:firstLineChars="200"/>
        <w:rPr>
          <w:rFonts w:ascii="仿宋" w:hAnsi="仿宋" w:eastAsia="仿宋" w:cs="仿宋"/>
          <w:b/>
          <w:sz w:val="24"/>
        </w:rPr>
      </w:pPr>
      <w:r>
        <w:rPr>
          <w:rFonts w:hint="eastAsia" w:ascii="仿宋" w:hAnsi="仿宋" w:eastAsia="仿宋" w:cs="仿宋"/>
          <w:b/>
          <w:sz w:val="24"/>
        </w:rPr>
        <w:t>水文地质条件</w:t>
      </w:r>
    </w:p>
    <w:p>
      <w:pPr>
        <w:spacing w:line="500" w:lineRule="exact"/>
        <w:ind w:firstLine="480" w:firstLineChars="200"/>
        <w:rPr>
          <w:rFonts w:ascii="仿宋" w:hAnsi="仿宋" w:eastAsia="仿宋" w:cs="仿宋"/>
          <w:sz w:val="24"/>
        </w:rPr>
      </w:pPr>
      <w:r>
        <w:rPr>
          <w:rFonts w:hint="eastAsia" w:ascii="仿宋" w:hAnsi="仿宋" w:eastAsia="仿宋" w:cs="仿宋"/>
          <w:sz w:val="24"/>
        </w:rPr>
        <w:t>地下水类型为松散岩类孔隙水，地下水水位埋深约30-50米，坡面及坡体未见地下水出露。项目区为单一结构的潜水含水层，含水层岩性主要为卵砾石和砂砾石。地下水的水化学类型主要为HC0</w:t>
      </w:r>
      <w:r>
        <w:rPr>
          <w:rFonts w:hint="eastAsia" w:ascii="仿宋" w:hAnsi="仿宋" w:eastAsia="仿宋" w:cs="仿宋"/>
          <w:sz w:val="24"/>
          <w:vertAlign w:val="subscript"/>
        </w:rPr>
        <w:t>3</w:t>
      </w:r>
      <w:r>
        <w:rPr>
          <w:rFonts w:hint="eastAsia" w:ascii="仿宋" w:hAnsi="仿宋" w:eastAsia="仿宋" w:cs="仿宋"/>
          <w:sz w:val="24"/>
        </w:rPr>
        <w:t>·SO</w:t>
      </w:r>
      <w:r>
        <w:rPr>
          <w:rFonts w:hint="eastAsia" w:ascii="仿宋" w:hAnsi="仿宋" w:eastAsia="仿宋" w:cs="仿宋"/>
          <w:sz w:val="24"/>
          <w:vertAlign w:val="subscript"/>
        </w:rPr>
        <w:t>4</w:t>
      </w:r>
      <w:r>
        <w:rPr>
          <w:rFonts w:hint="eastAsia" w:ascii="仿宋" w:hAnsi="仿宋" w:eastAsia="仿宋" w:cs="仿宋"/>
          <w:sz w:val="24"/>
        </w:rPr>
        <w:t>-Ca·Na·Mg型，单位涌水量1000-5000m</w:t>
      </w:r>
      <w:r>
        <w:rPr>
          <w:rFonts w:hint="eastAsia" w:ascii="仿宋" w:hAnsi="仿宋" w:eastAsia="仿宋" w:cs="仿宋"/>
          <w:sz w:val="24"/>
          <w:vertAlign w:val="superscript"/>
        </w:rPr>
        <w:t>3</w:t>
      </w:r>
      <w:r>
        <w:rPr>
          <w:rFonts w:hint="eastAsia" w:ascii="仿宋" w:hAnsi="仿宋" w:eastAsia="仿宋" w:cs="仿宋"/>
          <w:sz w:val="24"/>
        </w:rPr>
        <w:t>/d，地下水的溶解性总固体普遍＜0.5g/L。</w:t>
      </w:r>
    </w:p>
    <w:p>
      <w:pPr>
        <w:spacing w:line="500" w:lineRule="exact"/>
        <w:ind w:firstLine="480" w:firstLineChars="200"/>
        <w:rPr>
          <w:rFonts w:ascii="仿宋" w:hAnsi="仿宋" w:eastAsia="仿宋" w:cs="仿宋"/>
          <w:sz w:val="24"/>
        </w:rPr>
      </w:pPr>
      <w:r>
        <w:rPr>
          <w:rFonts w:hint="eastAsia" w:ascii="仿宋" w:hAnsi="仿宋" w:eastAsia="仿宋" w:cs="仿宋"/>
          <w:sz w:val="24"/>
        </w:rPr>
        <w:t>地下水补给来源主要为河流的入渗补给，两侧河岸地下水侧向径流补给、大气降水、地表水和季节性积雪融水补给。</w:t>
      </w:r>
    </w:p>
    <w:p>
      <w:pPr>
        <w:adjustRightInd w:val="0"/>
        <w:snapToGrid w:val="0"/>
        <w:spacing w:line="560" w:lineRule="exact"/>
        <w:ind w:firstLine="480" w:firstLineChars="200"/>
        <w:rPr>
          <w:rFonts w:ascii="仿宋" w:hAnsi="仿宋" w:eastAsia="仿宋" w:cs="仿宋"/>
          <w:sz w:val="24"/>
        </w:rPr>
      </w:pPr>
      <w:r>
        <w:rPr>
          <w:rFonts w:hint="eastAsia" w:ascii="仿宋" w:hAnsi="仿宋" w:eastAsia="仿宋" w:cs="仿宋"/>
          <w:sz w:val="24"/>
        </w:rPr>
        <w:t>地下水总体径流方向由西北向东南，受汇水范围和地形条件的限制，主要以径流排泄、蒸发和人工开采排泄。</w:t>
      </w:r>
    </w:p>
    <w:p>
      <w:pPr>
        <w:numPr>
          <w:ilvl w:val="0"/>
          <w:numId w:val="6"/>
        </w:numPr>
        <w:spacing w:line="560" w:lineRule="exact"/>
        <w:ind w:firstLine="482" w:firstLineChars="200"/>
        <w:rPr>
          <w:rFonts w:ascii="仿宋" w:hAnsi="仿宋" w:eastAsia="仿宋" w:cs="仿宋"/>
          <w:b/>
          <w:sz w:val="24"/>
        </w:rPr>
      </w:pPr>
      <w:r>
        <w:rPr>
          <w:rFonts w:hint="eastAsia" w:ascii="仿宋" w:hAnsi="仿宋" w:eastAsia="仿宋" w:cs="仿宋"/>
          <w:b/>
          <w:sz w:val="24"/>
        </w:rPr>
        <w:t>工程地质条件</w:t>
      </w:r>
    </w:p>
    <w:p>
      <w:pPr>
        <w:adjustRightInd w:val="0"/>
        <w:spacing w:line="560" w:lineRule="exact"/>
        <w:ind w:firstLine="480" w:firstLineChars="200"/>
        <w:rPr>
          <w:rFonts w:ascii="仿宋" w:hAnsi="仿宋" w:eastAsia="仿宋" w:cs="仿宋"/>
          <w:color w:val="000000"/>
          <w:kern w:val="0"/>
          <w:sz w:val="24"/>
        </w:rPr>
      </w:pPr>
      <w:r>
        <w:rPr>
          <w:rFonts w:hint="eastAsia" w:ascii="仿宋" w:hAnsi="仿宋" w:eastAsia="仿宋" w:cs="仿宋"/>
          <w:sz w:val="24"/>
        </w:rPr>
        <w:t>根据项目区内地层的分布特征，项目区的岩土体类型为碎石土单层土体。</w:t>
      </w:r>
      <w:r>
        <w:rPr>
          <w:rFonts w:hint="eastAsia" w:ascii="仿宋" w:hAnsi="仿宋" w:eastAsia="仿宋" w:cs="仿宋"/>
          <w:bCs/>
          <w:snapToGrid w:val="0"/>
          <w:color w:val="000000"/>
          <w:sz w:val="24"/>
        </w:rPr>
        <w:t>分布于崩塌所在斜坡坡顶、坡脚。地层岩性为第四系冲洪积卵石局部含漂石，充填物以中粗砂为主，为单一结构，但由于坡体中部埋设自来水管及渠系渗漏，卵石层遇水浸泡，坡脚湿润。工程地质条件一般，</w:t>
      </w:r>
      <w:r>
        <w:rPr>
          <w:rFonts w:hint="eastAsia" w:ascii="仿宋" w:hAnsi="仿宋" w:eastAsia="仿宋" w:cs="仿宋"/>
          <w:spacing w:val="-4"/>
          <w:sz w:val="24"/>
        </w:rPr>
        <w:t>地层承载力特征值f</w:t>
      </w:r>
      <w:r>
        <w:rPr>
          <w:rFonts w:hint="eastAsia" w:ascii="仿宋" w:hAnsi="仿宋" w:eastAsia="仿宋" w:cs="仿宋"/>
          <w:spacing w:val="-4"/>
          <w:sz w:val="24"/>
          <w:vertAlign w:val="subscript"/>
        </w:rPr>
        <w:t>ak</w:t>
      </w:r>
      <w:r>
        <w:rPr>
          <w:rFonts w:hint="eastAsia" w:ascii="仿宋" w:hAnsi="仿宋" w:eastAsia="仿宋" w:cs="仿宋"/>
          <w:spacing w:val="-4"/>
          <w:sz w:val="24"/>
        </w:rPr>
        <w:t>=300kPa左右</w:t>
      </w:r>
      <w:r>
        <w:rPr>
          <w:rFonts w:hint="eastAsia" w:ascii="仿宋" w:hAnsi="仿宋" w:eastAsia="仿宋" w:cs="仿宋"/>
          <w:snapToGrid w:val="0"/>
          <w:kern w:val="0"/>
          <w:sz w:val="24"/>
        </w:rPr>
        <w:t>。</w:t>
      </w:r>
    </w:p>
    <w:p>
      <w:pPr>
        <w:spacing w:line="560" w:lineRule="exact"/>
        <w:ind w:firstLine="482" w:firstLineChars="200"/>
        <w:outlineLvl w:val="1"/>
        <w:rPr>
          <w:rFonts w:ascii="仿宋" w:hAnsi="仿宋" w:eastAsia="仿宋" w:cs="仿宋"/>
          <w:b/>
          <w:sz w:val="24"/>
        </w:rPr>
      </w:pPr>
      <w:bookmarkStart w:id="513" w:name="_Toc32092"/>
      <w:bookmarkStart w:id="514" w:name="_Toc19085"/>
      <w:bookmarkStart w:id="515" w:name="_Toc28484"/>
      <w:bookmarkStart w:id="516" w:name="_Toc19961"/>
      <w:r>
        <w:rPr>
          <w:rFonts w:hint="eastAsia" w:ascii="仿宋" w:hAnsi="仿宋" w:eastAsia="仿宋" w:cs="仿宋"/>
          <w:b/>
          <w:sz w:val="24"/>
        </w:rPr>
        <w:t>五、主要地质灾害</w:t>
      </w:r>
      <w:bookmarkEnd w:id="513"/>
      <w:bookmarkEnd w:id="514"/>
      <w:bookmarkEnd w:id="515"/>
      <w:bookmarkEnd w:id="516"/>
    </w:p>
    <w:p>
      <w:pPr>
        <w:overflowPunct w:val="0"/>
        <w:snapToGrid w:val="0"/>
        <w:spacing w:line="500" w:lineRule="exact"/>
        <w:ind w:firstLine="480" w:firstLineChars="200"/>
        <w:rPr>
          <w:rFonts w:ascii="仿宋" w:hAnsi="仿宋" w:eastAsia="仿宋" w:cs="仿宋"/>
          <w:sz w:val="24"/>
        </w:rPr>
      </w:pPr>
      <w:r>
        <w:rPr>
          <w:rFonts w:hint="eastAsia" w:ascii="仿宋" w:hAnsi="仿宋" w:eastAsia="仿宋" w:cs="仿宋"/>
          <w:sz w:val="24"/>
        </w:rPr>
        <w:t>本次防治的主要地质灾害为崩塌，防治区内2处崩塌带灾害规模均属小型，在暴雨、地震等诱发因素下，可能发生崩塌灾害，对斜坡下房屋、居民、通讯输电线路及道路造成危害，威胁对象主要为房屋20间（坡脚居民房屋17间，坡顶晾房3间），威胁居民17户74人，道路约150米，通讯输电线路约100米。</w:t>
      </w:r>
    </w:p>
    <w:p>
      <w:pPr>
        <w:spacing w:line="560" w:lineRule="exact"/>
        <w:ind w:firstLine="482" w:firstLineChars="200"/>
        <w:outlineLvl w:val="1"/>
        <w:rPr>
          <w:rFonts w:ascii="仿宋" w:hAnsi="仿宋" w:eastAsia="仿宋" w:cs="仿宋"/>
          <w:b/>
          <w:sz w:val="24"/>
        </w:rPr>
      </w:pPr>
      <w:bookmarkStart w:id="517" w:name="_Toc19279"/>
      <w:bookmarkStart w:id="518" w:name="_Toc15510"/>
      <w:bookmarkStart w:id="519" w:name="_Toc22197"/>
      <w:bookmarkStart w:id="520" w:name="_Toc32653"/>
      <w:r>
        <w:rPr>
          <w:rFonts w:hint="eastAsia" w:ascii="仿宋" w:hAnsi="仿宋" w:eastAsia="仿宋" w:cs="仿宋"/>
          <w:b/>
          <w:sz w:val="24"/>
        </w:rPr>
        <w:t>六、目标任务</w:t>
      </w:r>
      <w:bookmarkEnd w:id="517"/>
      <w:bookmarkEnd w:id="518"/>
      <w:bookmarkEnd w:id="519"/>
      <w:bookmarkEnd w:id="520"/>
    </w:p>
    <w:p>
      <w:pPr>
        <w:spacing w:line="560" w:lineRule="exact"/>
        <w:ind w:firstLine="482" w:firstLineChars="200"/>
        <w:rPr>
          <w:rFonts w:ascii="仿宋" w:hAnsi="仿宋" w:eastAsia="仿宋" w:cs="仿宋"/>
          <w:b/>
          <w:sz w:val="24"/>
        </w:rPr>
      </w:pPr>
      <w:r>
        <w:rPr>
          <w:rFonts w:hint="eastAsia" w:ascii="仿宋" w:hAnsi="仿宋" w:eastAsia="仿宋" w:cs="仿宋"/>
          <w:b/>
          <w:sz w:val="24"/>
        </w:rPr>
        <w:t>（一）目标</w:t>
      </w:r>
    </w:p>
    <w:p>
      <w:pPr>
        <w:spacing w:line="560" w:lineRule="exact"/>
        <w:ind w:firstLine="480" w:firstLineChars="200"/>
        <w:rPr>
          <w:rFonts w:ascii="仿宋" w:hAnsi="仿宋" w:eastAsia="仿宋" w:cs="仿宋"/>
          <w:sz w:val="24"/>
        </w:rPr>
      </w:pPr>
      <w:r>
        <w:rPr>
          <w:rFonts w:hint="eastAsia" w:ascii="仿宋" w:hAnsi="仿宋" w:eastAsia="仿宋" w:cs="仿宋"/>
          <w:sz w:val="24"/>
        </w:rPr>
        <w:t>通过对</w:t>
      </w:r>
      <w:r>
        <w:rPr>
          <w:rFonts w:hint="eastAsia" w:ascii="仿宋" w:hAnsi="仿宋" w:eastAsia="仿宋" w:cs="仿宋"/>
          <w:kern w:val="0"/>
          <w:sz w:val="24"/>
        </w:rPr>
        <w:t>新疆吐鲁番市高昌区七泉湖煤窑沟左岸居民点崩塌灾害防治工程</w:t>
      </w:r>
      <w:r>
        <w:rPr>
          <w:rFonts w:hint="eastAsia" w:ascii="仿宋" w:hAnsi="仿宋" w:eastAsia="仿宋" w:cs="仿宋"/>
          <w:sz w:val="24"/>
        </w:rPr>
        <w:t>的设计与实施，减轻或消除崩塌</w:t>
      </w:r>
      <w:r>
        <w:rPr>
          <w:rFonts w:hint="eastAsia" w:ascii="仿宋" w:hAnsi="仿宋" w:eastAsia="仿宋" w:cs="仿宋"/>
          <w:kern w:val="0"/>
          <w:sz w:val="24"/>
        </w:rPr>
        <w:t>隐患对</w:t>
      </w:r>
      <w:r>
        <w:rPr>
          <w:rFonts w:hint="eastAsia" w:ascii="仿宋" w:hAnsi="仿宋" w:eastAsia="仿宋" w:cs="仿宋"/>
          <w:sz w:val="24"/>
        </w:rPr>
        <w:t>坡下房屋、居民、通讯输电线路及道路</w:t>
      </w:r>
      <w:r>
        <w:rPr>
          <w:rFonts w:hint="eastAsia" w:ascii="仿宋" w:hAnsi="仿宋" w:eastAsia="仿宋" w:cs="仿宋"/>
          <w:kern w:val="0"/>
          <w:sz w:val="24"/>
        </w:rPr>
        <w:t>等威胁</w:t>
      </w:r>
      <w:r>
        <w:rPr>
          <w:rFonts w:hint="eastAsia" w:ascii="仿宋" w:hAnsi="仿宋" w:eastAsia="仿宋" w:cs="仿宋"/>
          <w:sz w:val="24"/>
        </w:rPr>
        <w:t>，保障人民生命和财产安全。</w:t>
      </w:r>
    </w:p>
    <w:p>
      <w:pPr>
        <w:spacing w:line="560" w:lineRule="exact"/>
        <w:ind w:firstLine="482" w:firstLineChars="200"/>
        <w:rPr>
          <w:rFonts w:ascii="仿宋" w:hAnsi="仿宋" w:eastAsia="仿宋" w:cs="仿宋"/>
          <w:b/>
          <w:color w:val="0D0D0D"/>
          <w:sz w:val="24"/>
        </w:rPr>
      </w:pPr>
      <w:r>
        <w:rPr>
          <w:rFonts w:hint="eastAsia" w:ascii="仿宋" w:hAnsi="仿宋" w:eastAsia="仿宋" w:cs="仿宋"/>
          <w:b/>
          <w:color w:val="0D0D0D"/>
          <w:sz w:val="24"/>
        </w:rPr>
        <w:t>（二）任务</w:t>
      </w:r>
    </w:p>
    <w:p>
      <w:pPr>
        <w:spacing w:line="560" w:lineRule="exact"/>
        <w:ind w:firstLine="480" w:firstLineChars="200"/>
        <w:rPr>
          <w:rFonts w:ascii="仿宋" w:hAnsi="仿宋" w:eastAsia="仿宋" w:cs="仿宋"/>
          <w:color w:val="0D0D0D"/>
          <w:kern w:val="0"/>
          <w:sz w:val="24"/>
        </w:rPr>
      </w:pPr>
      <w:r>
        <w:rPr>
          <w:rFonts w:hint="eastAsia" w:ascii="仿宋" w:hAnsi="仿宋" w:eastAsia="仿宋" w:cs="仿宋"/>
          <w:color w:val="0D0D0D"/>
          <w:kern w:val="0"/>
          <w:sz w:val="24"/>
        </w:rPr>
        <w:t>1.</w:t>
      </w:r>
      <w:r>
        <w:rPr>
          <w:rFonts w:hint="eastAsia" w:ascii="仿宋" w:hAnsi="仿宋" w:eastAsia="仿宋" w:cs="仿宋"/>
          <w:color w:val="0D0D0D"/>
          <w:sz w:val="24"/>
        </w:rPr>
        <w:t>根据实地踏勘成果和勘查报告</w:t>
      </w:r>
      <w:r>
        <w:rPr>
          <w:rFonts w:hint="eastAsia" w:ascii="仿宋" w:hAnsi="仿宋" w:eastAsia="仿宋" w:cs="仿宋"/>
          <w:color w:val="0D0D0D"/>
          <w:kern w:val="0"/>
          <w:sz w:val="24"/>
        </w:rPr>
        <w:t>以及相关标准规范</w:t>
      </w:r>
      <w:r>
        <w:rPr>
          <w:rFonts w:hint="eastAsia" w:ascii="仿宋" w:hAnsi="仿宋" w:eastAsia="仿宋" w:cs="仿宋"/>
          <w:color w:val="0D0D0D"/>
          <w:sz w:val="24"/>
        </w:rPr>
        <w:t>编制地质灾害防治工程设计和施工组织设计</w:t>
      </w:r>
      <w:r>
        <w:rPr>
          <w:rFonts w:hint="eastAsia" w:ascii="仿宋" w:hAnsi="仿宋" w:eastAsia="仿宋" w:cs="仿宋"/>
          <w:color w:val="0D0D0D"/>
          <w:kern w:val="0"/>
          <w:sz w:val="24"/>
        </w:rPr>
        <w:t>；</w:t>
      </w:r>
    </w:p>
    <w:p>
      <w:pPr>
        <w:spacing w:line="560" w:lineRule="exact"/>
        <w:ind w:firstLine="480" w:firstLineChars="200"/>
        <w:rPr>
          <w:rFonts w:ascii="仿宋" w:hAnsi="仿宋" w:eastAsia="仿宋" w:cs="仿宋"/>
          <w:color w:val="0D0D0D"/>
          <w:kern w:val="0"/>
          <w:sz w:val="24"/>
        </w:rPr>
      </w:pPr>
      <w:r>
        <w:rPr>
          <w:rFonts w:hint="eastAsia" w:ascii="仿宋" w:hAnsi="仿宋" w:eastAsia="仿宋" w:cs="仿宋"/>
          <w:color w:val="0D0D0D"/>
          <w:kern w:val="0"/>
          <w:sz w:val="24"/>
        </w:rPr>
        <w:t>2.按照审批通过的防治工程设计，组织地质灾害防治工程施工。</w:t>
      </w:r>
    </w:p>
    <w:p>
      <w:pPr>
        <w:spacing w:line="560" w:lineRule="exact"/>
        <w:ind w:firstLine="480" w:firstLineChars="200"/>
        <w:rPr>
          <w:rFonts w:ascii="仿宋" w:hAnsi="仿宋" w:eastAsia="仿宋" w:cs="仿宋"/>
          <w:color w:val="0D0D0D"/>
          <w:kern w:val="0"/>
          <w:sz w:val="24"/>
        </w:rPr>
      </w:pPr>
      <w:r>
        <w:rPr>
          <w:rFonts w:hint="eastAsia" w:ascii="仿宋" w:hAnsi="仿宋" w:eastAsia="仿宋" w:cs="仿宋"/>
          <w:color w:val="0D0D0D"/>
          <w:kern w:val="0"/>
          <w:sz w:val="24"/>
        </w:rPr>
        <w:t>3.</w:t>
      </w:r>
      <w:r>
        <w:rPr>
          <w:rFonts w:hint="eastAsia" w:ascii="仿宋" w:hAnsi="仿宋" w:eastAsia="仿宋" w:cs="仿宋"/>
          <w:color w:val="0D0D0D"/>
          <w:sz w:val="24"/>
        </w:rPr>
        <w:t>减轻或消除</w:t>
      </w:r>
      <w:r>
        <w:rPr>
          <w:rFonts w:hint="eastAsia" w:ascii="仿宋" w:hAnsi="仿宋" w:eastAsia="仿宋" w:cs="仿宋"/>
          <w:kern w:val="0"/>
          <w:sz w:val="24"/>
        </w:rPr>
        <w:t>工作区及其周边居民</w:t>
      </w:r>
      <w:r>
        <w:rPr>
          <w:rFonts w:hint="eastAsia" w:ascii="仿宋" w:hAnsi="仿宋" w:eastAsia="仿宋" w:cs="仿宋"/>
          <w:color w:val="0D0D0D"/>
          <w:sz w:val="24"/>
        </w:rPr>
        <w:t>遭受灾害的威胁</w:t>
      </w:r>
      <w:r>
        <w:rPr>
          <w:rFonts w:hint="eastAsia" w:ascii="仿宋" w:hAnsi="仿宋" w:eastAsia="仿宋" w:cs="仿宋"/>
          <w:color w:val="0D0D0D"/>
          <w:kern w:val="0"/>
          <w:sz w:val="24"/>
        </w:rPr>
        <w:t>。</w:t>
      </w:r>
    </w:p>
    <w:p>
      <w:pPr>
        <w:spacing w:line="560" w:lineRule="exact"/>
        <w:ind w:firstLine="480" w:firstLineChars="200"/>
        <w:rPr>
          <w:rFonts w:ascii="仿宋" w:hAnsi="仿宋" w:eastAsia="仿宋" w:cs="仿宋"/>
          <w:color w:val="0D0D0D"/>
          <w:kern w:val="0"/>
          <w:sz w:val="24"/>
        </w:rPr>
      </w:pPr>
      <w:r>
        <w:rPr>
          <w:rFonts w:hint="eastAsia" w:ascii="仿宋" w:hAnsi="仿宋" w:eastAsia="仿宋" w:cs="仿宋"/>
          <w:color w:val="0D0D0D"/>
          <w:kern w:val="0"/>
          <w:sz w:val="24"/>
        </w:rPr>
        <w:t>4.防治工程完成后，制作永久性工程说明碑。</w:t>
      </w:r>
    </w:p>
    <w:p>
      <w:pPr>
        <w:spacing w:line="560" w:lineRule="exact"/>
        <w:ind w:firstLine="482" w:firstLineChars="200"/>
        <w:outlineLvl w:val="1"/>
        <w:rPr>
          <w:rFonts w:ascii="仿宋" w:hAnsi="仿宋" w:eastAsia="仿宋" w:cs="仿宋"/>
          <w:b/>
          <w:sz w:val="24"/>
        </w:rPr>
      </w:pPr>
      <w:bookmarkStart w:id="521" w:name="_Toc4169"/>
      <w:bookmarkStart w:id="522" w:name="_Toc9344"/>
      <w:bookmarkStart w:id="523" w:name="_Toc9763"/>
      <w:bookmarkStart w:id="524" w:name="_Toc21334"/>
      <w:r>
        <w:rPr>
          <w:rFonts w:hint="eastAsia" w:ascii="仿宋" w:hAnsi="仿宋" w:eastAsia="仿宋" w:cs="仿宋"/>
          <w:b/>
          <w:sz w:val="24"/>
        </w:rPr>
        <w:t>七、主要技术要求</w:t>
      </w:r>
      <w:bookmarkEnd w:id="521"/>
      <w:bookmarkEnd w:id="522"/>
      <w:bookmarkEnd w:id="523"/>
      <w:bookmarkEnd w:id="524"/>
    </w:p>
    <w:p>
      <w:pPr>
        <w:spacing w:line="560" w:lineRule="exact"/>
        <w:ind w:firstLine="480" w:firstLineChars="200"/>
        <w:rPr>
          <w:rFonts w:ascii="仿宋" w:hAnsi="仿宋" w:eastAsia="仿宋" w:cs="仿宋"/>
          <w:sz w:val="24"/>
        </w:rPr>
      </w:pPr>
      <w:r>
        <w:rPr>
          <w:rFonts w:hint="eastAsia" w:ascii="仿宋" w:hAnsi="仿宋" w:eastAsia="仿宋" w:cs="仿宋"/>
          <w:sz w:val="24"/>
        </w:rPr>
        <w:t>1.《崩塌防治工程设计规范（试行）》（T/CAGHP 032-2018）；</w:t>
      </w:r>
    </w:p>
    <w:p>
      <w:pPr>
        <w:spacing w:line="560" w:lineRule="exact"/>
        <w:ind w:firstLine="480" w:firstLineChars="200"/>
        <w:rPr>
          <w:rFonts w:ascii="仿宋" w:hAnsi="仿宋" w:eastAsia="仿宋" w:cs="仿宋"/>
          <w:sz w:val="24"/>
        </w:rPr>
      </w:pPr>
      <w:r>
        <w:rPr>
          <w:rFonts w:hint="eastAsia" w:ascii="仿宋" w:hAnsi="仿宋" w:eastAsia="仿宋" w:cs="仿宋"/>
          <w:sz w:val="24"/>
        </w:rPr>
        <w:t>2.《崩塌防治工程施工技术规范（试行）》（T/CAGHP 041-2018）；</w:t>
      </w:r>
    </w:p>
    <w:p>
      <w:pPr>
        <w:spacing w:line="560" w:lineRule="exact"/>
        <w:ind w:firstLine="480" w:firstLineChars="200"/>
        <w:rPr>
          <w:rFonts w:ascii="仿宋" w:hAnsi="仿宋" w:eastAsia="仿宋" w:cs="仿宋"/>
          <w:sz w:val="24"/>
        </w:rPr>
      </w:pPr>
      <w:r>
        <w:rPr>
          <w:rFonts w:hint="eastAsia" w:ascii="仿宋" w:hAnsi="仿宋" w:eastAsia="仿宋" w:cs="仿宋"/>
          <w:sz w:val="24"/>
        </w:rPr>
        <w:t>3.《崩塌监测规范（试行）》（T/CAGHP 07-2018）；</w:t>
      </w:r>
    </w:p>
    <w:p>
      <w:pPr>
        <w:spacing w:line="560" w:lineRule="exact"/>
        <w:ind w:firstLine="480" w:firstLineChars="200"/>
        <w:rPr>
          <w:rFonts w:ascii="仿宋" w:hAnsi="仿宋" w:eastAsia="仿宋" w:cs="仿宋"/>
          <w:sz w:val="24"/>
        </w:rPr>
      </w:pPr>
      <w:r>
        <w:rPr>
          <w:rFonts w:hint="eastAsia" w:ascii="仿宋" w:hAnsi="仿宋" w:eastAsia="仿宋" w:cs="仿宋"/>
          <w:sz w:val="24"/>
        </w:rPr>
        <w:t>4.《危岩落石柔性防护网工程技术规范（试行）》（T/CAGHP 066-2019）；</w:t>
      </w:r>
    </w:p>
    <w:p>
      <w:pPr>
        <w:spacing w:line="560" w:lineRule="exact"/>
        <w:ind w:firstLine="480" w:firstLineChars="200"/>
        <w:rPr>
          <w:rFonts w:ascii="仿宋" w:hAnsi="仿宋" w:eastAsia="仿宋" w:cs="仿宋"/>
          <w:sz w:val="24"/>
        </w:rPr>
      </w:pPr>
      <w:r>
        <w:rPr>
          <w:rFonts w:hint="eastAsia" w:ascii="仿宋" w:hAnsi="仿宋" w:eastAsia="仿宋" w:cs="仿宋"/>
          <w:sz w:val="24"/>
        </w:rPr>
        <w:t>5.《砌体结构设计规范》（GB50003-2011）；</w:t>
      </w:r>
    </w:p>
    <w:p>
      <w:pPr>
        <w:spacing w:line="560" w:lineRule="exact"/>
        <w:ind w:firstLine="480" w:firstLineChars="200"/>
        <w:rPr>
          <w:rFonts w:ascii="仿宋" w:hAnsi="仿宋" w:eastAsia="仿宋" w:cs="仿宋"/>
          <w:sz w:val="24"/>
        </w:rPr>
      </w:pPr>
      <w:r>
        <w:rPr>
          <w:rFonts w:hint="eastAsia" w:ascii="仿宋" w:hAnsi="仿宋" w:eastAsia="仿宋" w:cs="仿宋"/>
          <w:sz w:val="24"/>
        </w:rPr>
        <w:t>6.《混凝土结构设计规范》（GB50010-2010）；</w:t>
      </w:r>
    </w:p>
    <w:p>
      <w:pPr>
        <w:spacing w:line="560" w:lineRule="exact"/>
        <w:ind w:firstLine="480" w:firstLineChars="200"/>
        <w:rPr>
          <w:rFonts w:ascii="仿宋" w:hAnsi="仿宋" w:eastAsia="仿宋" w:cs="仿宋"/>
          <w:sz w:val="24"/>
        </w:rPr>
      </w:pPr>
      <w:r>
        <w:rPr>
          <w:rFonts w:hint="eastAsia" w:ascii="仿宋" w:hAnsi="仿宋" w:eastAsia="仿宋" w:cs="仿宋"/>
          <w:sz w:val="24"/>
        </w:rPr>
        <w:t>7.《建筑地基基础设计规范》（GB50007-2011）；</w:t>
      </w:r>
    </w:p>
    <w:p>
      <w:pPr>
        <w:spacing w:line="560" w:lineRule="exact"/>
        <w:ind w:firstLine="480" w:firstLineChars="200"/>
        <w:rPr>
          <w:rFonts w:ascii="仿宋" w:hAnsi="仿宋" w:eastAsia="仿宋" w:cs="仿宋"/>
          <w:sz w:val="24"/>
        </w:rPr>
      </w:pPr>
      <w:r>
        <w:rPr>
          <w:rFonts w:hint="eastAsia" w:ascii="仿宋" w:hAnsi="仿宋" w:eastAsia="仿宋" w:cs="仿宋"/>
          <w:sz w:val="24"/>
        </w:rPr>
        <w:t>8.《建筑边坡工程技术规范》（GB50330-2013）；</w:t>
      </w:r>
    </w:p>
    <w:p>
      <w:pPr>
        <w:spacing w:line="560" w:lineRule="exact"/>
        <w:ind w:firstLine="480" w:firstLineChars="200"/>
        <w:rPr>
          <w:rFonts w:ascii="仿宋" w:hAnsi="仿宋" w:eastAsia="仿宋" w:cs="仿宋"/>
          <w:sz w:val="24"/>
        </w:rPr>
      </w:pPr>
      <w:r>
        <w:rPr>
          <w:rFonts w:hint="eastAsia" w:ascii="仿宋" w:hAnsi="仿宋" w:eastAsia="仿宋" w:cs="仿宋"/>
          <w:sz w:val="24"/>
        </w:rPr>
        <w:t>9.《工程测量规范》（GB50026-2007）；</w:t>
      </w:r>
    </w:p>
    <w:p>
      <w:pPr>
        <w:spacing w:line="560" w:lineRule="exact"/>
        <w:ind w:firstLine="480" w:firstLineChars="200"/>
        <w:rPr>
          <w:rFonts w:ascii="仿宋" w:hAnsi="仿宋" w:eastAsia="仿宋" w:cs="仿宋"/>
          <w:sz w:val="24"/>
        </w:rPr>
      </w:pPr>
      <w:r>
        <w:rPr>
          <w:rFonts w:hint="eastAsia" w:ascii="仿宋" w:hAnsi="仿宋" w:eastAsia="仿宋" w:cs="仿宋"/>
          <w:sz w:val="24"/>
        </w:rPr>
        <w:t>10.《全球定位系统（GPS）测量规范》（GB/T18314-2009）；</w:t>
      </w:r>
    </w:p>
    <w:p>
      <w:pPr>
        <w:spacing w:line="560" w:lineRule="exact"/>
        <w:ind w:firstLine="480" w:firstLineChars="200"/>
        <w:rPr>
          <w:rFonts w:ascii="仿宋" w:hAnsi="仿宋" w:eastAsia="仿宋" w:cs="仿宋"/>
          <w:sz w:val="24"/>
        </w:rPr>
      </w:pPr>
      <w:r>
        <w:rPr>
          <w:rFonts w:hint="eastAsia" w:ascii="仿宋" w:hAnsi="仿宋" w:eastAsia="仿宋" w:cs="仿宋"/>
          <w:sz w:val="24"/>
        </w:rPr>
        <w:t>11.《岩土工程勘察规范（2009年版）》（GB50021-2001）；</w:t>
      </w:r>
    </w:p>
    <w:p>
      <w:pPr>
        <w:spacing w:line="560" w:lineRule="exact"/>
        <w:ind w:firstLine="480" w:firstLineChars="200"/>
        <w:rPr>
          <w:rFonts w:ascii="仿宋" w:hAnsi="仿宋" w:eastAsia="仿宋" w:cs="仿宋"/>
          <w:sz w:val="24"/>
        </w:rPr>
      </w:pPr>
      <w:r>
        <w:rPr>
          <w:rFonts w:hint="eastAsia" w:ascii="仿宋" w:hAnsi="仿宋" w:eastAsia="仿宋" w:cs="仿宋"/>
          <w:sz w:val="24"/>
        </w:rPr>
        <w:t>12.《建筑抗震设计规范（2016年版）》（GB50011-2010）；</w:t>
      </w:r>
    </w:p>
    <w:p>
      <w:pPr>
        <w:spacing w:line="560" w:lineRule="exact"/>
        <w:ind w:firstLine="480" w:firstLineChars="200"/>
        <w:rPr>
          <w:rFonts w:ascii="仿宋" w:hAnsi="仿宋" w:eastAsia="仿宋" w:cs="仿宋"/>
          <w:sz w:val="24"/>
        </w:rPr>
      </w:pPr>
      <w:r>
        <w:rPr>
          <w:rFonts w:hint="eastAsia" w:ascii="仿宋" w:hAnsi="仿宋" w:eastAsia="仿宋" w:cs="仿宋"/>
          <w:sz w:val="24"/>
        </w:rPr>
        <w:t>13.其它有关规范、规程和技术要求。</w:t>
      </w:r>
    </w:p>
    <w:p>
      <w:pPr>
        <w:spacing w:line="560" w:lineRule="exact"/>
        <w:ind w:firstLine="480" w:firstLineChars="200"/>
        <w:rPr>
          <w:rFonts w:ascii="仿宋" w:hAnsi="仿宋" w:eastAsia="仿宋" w:cs="仿宋"/>
          <w:sz w:val="24"/>
        </w:rPr>
      </w:pPr>
      <w:r>
        <w:rPr>
          <w:rFonts w:hint="eastAsia" w:ascii="仿宋" w:hAnsi="仿宋" w:eastAsia="仿宋" w:cs="仿宋"/>
          <w:kern w:val="0"/>
          <w:sz w:val="24"/>
        </w:rPr>
        <w:t>同时满足招标文件、设计书及其审批意见书和有关规定的要求。</w:t>
      </w:r>
    </w:p>
    <w:p>
      <w:pPr>
        <w:spacing w:line="560" w:lineRule="exact"/>
        <w:ind w:firstLine="482" w:firstLineChars="200"/>
        <w:outlineLvl w:val="1"/>
        <w:rPr>
          <w:rFonts w:ascii="仿宋" w:hAnsi="仿宋" w:eastAsia="仿宋" w:cs="仿宋"/>
          <w:b/>
          <w:sz w:val="24"/>
        </w:rPr>
      </w:pPr>
      <w:bookmarkStart w:id="525" w:name="_Toc29316"/>
      <w:bookmarkStart w:id="526" w:name="_Toc13251"/>
      <w:bookmarkStart w:id="527" w:name="_Toc3698"/>
      <w:bookmarkStart w:id="528" w:name="_Toc19233"/>
      <w:r>
        <w:rPr>
          <w:rFonts w:hint="eastAsia" w:ascii="仿宋" w:hAnsi="仿宋" w:eastAsia="仿宋" w:cs="仿宋"/>
          <w:b/>
          <w:sz w:val="24"/>
        </w:rPr>
        <w:t>八、主要实物工作量</w:t>
      </w:r>
      <w:bookmarkEnd w:id="525"/>
      <w:bookmarkEnd w:id="526"/>
      <w:bookmarkEnd w:id="527"/>
      <w:bookmarkEnd w:id="528"/>
    </w:p>
    <w:p>
      <w:pPr>
        <w:spacing w:line="560" w:lineRule="exact"/>
        <w:ind w:firstLine="480" w:firstLineChars="200"/>
        <w:rPr>
          <w:rFonts w:ascii="仿宋" w:hAnsi="仿宋" w:eastAsia="仿宋" w:cs="仿宋"/>
          <w:sz w:val="24"/>
        </w:rPr>
      </w:pPr>
      <w:r>
        <w:rPr>
          <w:rFonts w:hint="eastAsia" w:ascii="仿宋" w:hAnsi="仿宋" w:eastAsia="仿宋" w:cs="仿宋"/>
          <w:kern w:val="0"/>
          <w:sz w:val="24"/>
        </w:rPr>
        <w:t>根据本项目的目标和任务，结合防治区崩塌灾害特征和环境现状，以基本消除或减轻地质灾害对当地居民的威胁为目的，本次崩塌灾害防治工程可以采用危岩清理、主被动防护网等措施。</w:t>
      </w:r>
    </w:p>
    <w:p>
      <w:pPr>
        <w:spacing w:line="560" w:lineRule="exact"/>
        <w:ind w:firstLine="480" w:firstLineChars="200"/>
        <w:rPr>
          <w:rFonts w:ascii="仿宋" w:hAnsi="仿宋" w:eastAsia="仿宋" w:cs="仿宋"/>
          <w:color w:val="0D0D0D"/>
          <w:sz w:val="24"/>
        </w:rPr>
      </w:pPr>
      <w:r>
        <w:rPr>
          <w:rFonts w:hint="eastAsia" w:ascii="仿宋" w:hAnsi="仿宋" w:eastAsia="仿宋" w:cs="仿宋"/>
          <w:color w:val="0D0D0D"/>
          <w:sz w:val="24"/>
        </w:rPr>
        <w:t>投标单位在现场踏勘后提出投标设计方案。</w:t>
      </w:r>
    </w:p>
    <w:p>
      <w:pPr>
        <w:spacing w:line="560" w:lineRule="exact"/>
        <w:ind w:firstLine="482" w:firstLineChars="200"/>
        <w:rPr>
          <w:rFonts w:ascii="仿宋" w:hAnsi="仿宋" w:eastAsia="仿宋" w:cs="仿宋"/>
          <w:b/>
          <w:sz w:val="24"/>
          <w:u w:val="single"/>
        </w:rPr>
      </w:pPr>
      <w:r>
        <w:rPr>
          <w:rFonts w:hint="eastAsia" w:ascii="仿宋" w:hAnsi="仿宋" w:eastAsia="仿宋" w:cs="仿宋"/>
          <w:b/>
          <w:sz w:val="24"/>
          <w:u w:val="single"/>
        </w:rPr>
        <w:t>最终设计方案及工作量以审批后的防治工程项目设计书为准。</w:t>
      </w:r>
    </w:p>
    <w:p>
      <w:pPr>
        <w:spacing w:line="560" w:lineRule="exact"/>
        <w:ind w:firstLine="482" w:firstLineChars="200"/>
        <w:outlineLvl w:val="1"/>
        <w:rPr>
          <w:rFonts w:ascii="仿宋" w:hAnsi="仿宋" w:eastAsia="仿宋" w:cs="仿宋"/>
          <w:b/>
          <w:sz w:val="24"/>
        </w:rPr>
      </w:pPr>
      <w:bookmarkStart w:id="529" w:name="_Toc17115"/>
      <w:bookmarkStart w:id="530" w:name="_Toc31439"/>
      <w:bookmarkStart w:id="531" w:name="_Toc18852"/>
      <w:bookmarkStart w:id="532" w:name="_Toc17469"/>
      <w:r>
        <w:rPr>
          <w:rFonts w:hint="eastAsia" w:ascii="仿宋" w:hAnsi="仿宋" w:eastAsia="仿宋" w:cs="仿宋"/>
          <w:b/>
          <w:sz w:val="24"/>
        </w:rPr>
        <w:t>九、预期提交成果</w:t>
      </w:r>
      <w:bookmarkEnd w:id="529"/>
      <w:bookmarkEnd w:id="530"/>
      <w:bookmarkEnd w:id="531"/>
      <w:bookmarkEnd w:id="532"/>
    </w:p>
    <w:p>
      <w:pPr>
        <w:spacing w:line="560" w:lineRule="exact"/>
        <w:ind w:firstLine="482" w:firstLineChars="200"/>
        <w:rPr>
          <w:rFonts w:ascii="仿宋" w:hAnsi="仿宋" w:eastAsia="仿宋" w:cs="仿宋"/>
          <w:b/>
          <w:sz w:val="24"/>
        </w:rPr>
      </w:pPr>
      <w:r>
        <w:rPr>
          <w:rFonts w:hint="eastAsia" w:ascii="仿宋" w:hAnsi="仿宋" w:eastAsia="仿宋" w:cs="仿宋"/>
          <w:b/>
          <w:sz w:val="24"/>
        </w:rPr>
        <w:t>（一）防治工程设计成果</w:t>
      </w:r>
    </w:p>
    <w:p>
      <w:pPr>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1.新疆吐鲁番市高昌区七泉湖煤窑沟左岸居民点崩塌灾害防治工程设计书（施工设计和施工组织设计）；</w:t>
      </w:r>
    </w:p>
    <w:p>
      <w:pPr>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2.新疆吐鲁番市高昌区七泉湖煤窑沟左岸居民点崩塌灾害防治工程平面布置图及各单项防治工程设计图；</w:t>
      </w:r>
    </w:p>
    <w:p>
      <w:pPr>
        <w:spacing w:line="560" w:lineRule="exact"/>
        <w:ind w:firstLine="482" w:firstLineChars="200"/>
        <w:rPr>
          <w:rFonts w:ascii="仿宋" w:hAnsi="仿宋" w:eastAsia="仿宋" w:cs="仿宋"/>
          <w:b/>
          <w:sz w:val="24"/>
        </w:rPr>
      </w:pPr>
      <w:r>
        <w:rPr>
          <w:rFonts w:hint="eastAsia" w:ascii="仿宋" w:hAnsi="仿宋" w:eastAsia="仿宋" w:cs="仿宋"/>
          <w:b/>
          <w:sz w:val="24"/>
        </w:rPr>
        <w:t>（二）防治工程施工成果</w:t>
      </w:r>
    </w:p>
    <w:p>
      <w:pPr>
        <w:spacing w:line="560" w:lineRule="exact"/>
        <w:ind w:firstLine="480" w:firstLineChars="200"/>
        <w:rPr>
          <w:rFonts w:ascii="仿宋" w:hAnsi="仿宋" w:eastAsia="仿宋" w:cs="仿宋"/>
          <w:color w:val="0D0D0D"/>
          <w:sz w:val="24"/>
        </w:rPr>
      </w:pPr>
      <w:r>
        <w:rPr>
          <w:rFonts w:hint="eastAsia" w:ascii="仿宋" w:hAnsi="仿宋" w:eastAsia="仿宋" w:cs="仿宋"/>
          <w:color w:val="0D0D0D"/>
          <w:sz w:val="24"/>
        </w:rPr>
        <w:t>防治工程施工成果和资料汇交应按《新疆维吾尔自治区地质灾害防治项目管理办法（试行）》及《新疆维吾尔自治区地质灾害防治项目验收细则》要求执行。</w:t>
      </w:r>
    </w:p>
    <w:p>
      <w:pPr>
        <w:spacing w:line="560" w:lineRule="exact"/>
        <w:ind w:firstLine="482" w:firstLineChars="200"/>
        <w:outlineLvl w:val="1"/>
        <w:rPr>
          <w:rFonts w:ascii="仿宋" w:hAnsi="仿宋" w:eastAsia="仿宋" w:cs="仿宋"/>
          <w:b/>
          <w:color w:val="auto"/>
          <w:sz w:val="24"/>
        </w:rPr>
      </w:pPr>
      <w:bookmarkStart w:id="533" w:name="_Toc16623"/>
      <w:bookmarkStart w:id="534" w:name="_Toc16501"/>
      <w:bookmarkStart w:id="535" w:name="_Toc18763"/>
      <w:bookmarkStart w:id="536" w:name="_Toc18845"/>
      <w:r>
        <w:rPr>
          <w:rFonts w:hint="eastAsia" w:ascii="仿宋" w:hAnsi="仿宋" w:eastAsia="仿宋" w:cs="仿宋"/>
          <w:b/>
          <w:color w:val="auto"/>
          <w:sz w:val="24"/>
        </w:rPr>
        <w:t>十、工作周期</w:t>
      </w:r>
      <w:bookmarkEnd w:id="533"/>
      <w:bookmarkEnd w:id="534"/>
      <w:bookmarkEnd w:id="535"/>
      <w:bookmarkEnd w:id="536"/>
    </w:p>
    <w:p>
      <w:pPr>
        <w:spacing w:line="560" w:lineRule="exact"/>
        <w:ind w:firstLine="480" w:firstLineChars="200"/>
        <w:rPr>
          <w:rFonts w:ascii="仿宋" w:hAnsi="仿宋" w:eastAsia="仿宋" w:cs="仿宋"/>
          <w:color w:val="0D0D0D"/>
          <w:sz w:val="24"/>
        </w:rPr>
      </w:pPr>
      <w:r>
        <w:rPr>
          <w:rFonts w:hint="eastAsia" w:ascii="仿宋" w:hAnsi="仿宋" w:eastAsia="仿宋" w:cs="仿宋"/>
          <w:color w:val="auto"/>
          <w:sz w:val="24"/>
        </w:rPr>
        <w:t>2023年3月-2024年9月，2023年8月31日前完成野外竣工验收，2023年11月30日前提交全套竣工资料，2024年8月31日前完成工程复验。</w:t>
      </w:r>
      <w:r>
        <w:rPr>
          <w:rFonts w:hint="eastAsia" w:ascii="仿宋" w:hAnsi="仿宋" w:eastAsia="仿宋" w:cs="仿宋"/>
          <w:color w:val="0D0D0D"/>
          <w:sz w:val="24"/>
        </w:rPr>
        <w:br w:type="page"/>
      </w:r>
    </w:p>
    <w:bookmarkEnd w:id="411"/>
    <w:bookmarkEnd w:id="412"/>
    <w:bookmarkEnd w:id="413"/>
    <w:bookmarkEnd w:id="414"/>
    <w:p>
      <w:pPr>
        <w:spacing w:line="440" w:lineRule="exact"/>
        <w:jc w:val="center"/>
        <w:outlineLvl w:val="1"/>
        <w:rPr>
          <w:rFonts w:ascii="仿宋" w:hAnsi="仿宋" w:eastAsia="仿宋"/>
          <w:b/>
          <w:bCs/>
          <w:sz w:val="28"/>
          <w:szCs w:val="28"/>
        </w:rPr>
      </w:pPr>
      <w:bookmarkStart w:id="537" w:name="_Toc26716"/>
      <w:bookmarkStart w:id="538" w:name="_Toc22737"/>
      <w:bookmarkStart w:id="539" w:name="_Toc28883"/>
      <w:bookmarkStart w:id="540" w:name="_Toc219175639"/>
      <w:bookmarkStart w:id="541" w:name="_Toc216582826"/>
      <w:bookmarkStart w:id="542" w:name="_Toc218935355"/>
      <w:r>
        <w:rPr>
          <w:rFonts w:hint="eastAsia" w:ascii="仿宋" w:hAnsi="仿宋" w:eastAsia="仿宋"/>
          <w:b/>
          <w:bCs/>
          <w:sz w:val="28"/>
          <w:szCs w:val="28"/>
        </w:rPr>
        <w:t>标项四：吐鲁番市2023年中央自然灾害防治体系建设项目监理</w:t>
      </w:r>
      <w:bookmarkEnd w:id="537"/>
      <w:bookmarkEnd w:id="538"/>
      <w:bookmarkEnd w:id="539"/>
    </w:p>
    <w:p>
      <w:pPr>
        <w:spacing w:line="500" w:lineRule="exact"/>
        <w:ind w:firstLine="482" w:firstLineChars="200"/>
        <w:rPr>
          <w:rFonts w:ascii="仿宋" w:hAnsi="仿宋" w:eastAsia="仿宋" w:cs="仿宋"/>
          <w:b/>
          <w:bCs/>
          <w:sz w:val="24"/>
        </w:rPr>
      </w:pPr>
    </w:p>
    <w:p>
      <w:pPr>
        <w:spacing w:line="500" w:lineRule="exact"/>
        <w:ind w:firstLine="482" w:firstLineChars="200"/>
        <w:outlineLvl w:val="1"/>
        <w:rPr>
          <w:rFonts w:ascii="仿宋" w:hAnsi="仿宋" w:eastAsia="仿宋" w:cs="仿宋"/>
          <w:b/>
          <w:bCs/>
          <w:sz w:val="24"/>
        </w:rPr>
      </w:pPr>
      <w:bookmarkStart w:id="543" w:name="_Toc22589"/>
      <w:bookmarkStart w:id="544" w:name="_Toc23662"/>
      <w:bookmarkStart w:id="545" w:name="_Toc27268"/>
      <w:bookmarkStart w:id="546" w:name="_Toc30945"/>
      <w:r>
        <w:rPr>
          <w:rFonts w:hint="eastAsia" w:ascii="仿宋" w:hAnsi="仿宋" w:eastAsia="仿宋" w:cs="仿宋"/>
          <w:b/>
          <w:bCs/>
          <w:sz w:val="24"/>
        </w:rPr>
        <w:t>一、项目名称和编号</w:t>
      </w:r>
      <w:bookmarkEnd w:id="543"/>
      <w:bookmarkEnd w:id="544"/>
      <w:bookmarkEnd w:id="545"/>
      <w:bookmarkEnd w:id="546"/>
    </w:p>
    <w:p>
      <w:pPr>
        <w:spacing w:line="500" w:lineRule="exact"/>
        <w:ind w:left="1733" w:leftChars="254" w:hanging="1200" w:hangingChars="500"/>
        <w:rPr>
          <w:rFonts w:ascii="仿宋" w:hAnsi="仿宋" w:eastAsia="仿宋" w:cs="仿宋"/>
          <w:kern w:val="0"/>
          <w:sz w:val="24"/>
          <w:lang w:eastAsia="en-US"/>
        </w:rPr>
      </w:pPr>
      <w:r>
        <w:rPr>
          <w:rFonts w:hint="eastAsia" w:ascii="仿宋" w:hAnsi="仿宋" w:eastAsia="仿宋" w:cs="仿宋"/>
          <w:kern w:val="0"/>
          <w:sz w:val="24"/>
          <w:lang w:eastAsia="en-US"/>
        </w:rPr>
        <w:t>项目名称：</w:t>
      </w:r>
      <w:bookmarkStart w:id="547" w:name="项目编号：YLZFZJL"/>
      <w:bookmarkEnd w:id="547"/>
      <w:r>
        <w:rPr>
          <w:rFonts w:hint="eastAsia" w:ascii="仿宋" w:hAnsi="仿宋" w:eastAsia="仿宋"/>
          <w:sz w:val="24"/>
        </w:rPr>
        <w:t>吐鲁番市2023年中央自然灾害防治体系建设项目监理</w:t>
      </w:r>
    </w:p>
    <w:p>
      <w:pPr>
        <w:spacing w:line="500" w:lineRule="exact"/>
        <w:ind w:firstLine="480" w:firstLineChars="200"/>
        <w:rPr>
          <w:rStyle w:val="72"/>
          <w:rFonts w:hint="default" w:ascii="仿宋" w:hAnsi="仿宋" w:eastAsia="仿宋" w:cs="仿宋"/>
          <w:color w:val="auto"/>
          <w:sz w:val="24"/>
          <w:szCs w:val="24"/>
        </w:rPr>
      </w:pPr>
      <w:r>
        <w:rPr>
          <w:rFonts w:hint="eastAsia" w:ascii="仿宋" w:hAnsi="仿宋" w:eastAsia="仿宋" w:cs="仿宋"/>
          <w:kern w:val="0"/>
          <w:sz w:val="24"/>
          <w:lang w:eastAsia="en-US"/>
        </w:rPr>
        <w:t>项目编号：</w:t>
      </w:r>
      <w:r>
        <w:rPr>
          <w:rStyle w:val="72"/>
          <w:rFonts w:ascii="仿宋" w:hAnsi="仿宋" w:eastAsia="仿宋" w:cs="仿宋"/>
          <w:color w:val="auto"/>
          <w:sz w:val="24"/>
          <w:szCs w:val="24"/>
        </w:rPr>
        <w:t>GYZB-TLFDZFZ2023-04</w:t>
      </w:r>
    </w:p>
    <w:p>
      <w:pPr>
        <w:spacing w:line="500" w:lineRule="exact"/>
        <w:ind w:firstLine="480" w:firstLineChars="200"/>
        <w:rPr>
          <w:rFonts w:ascii="仿宋" w:hAnsi="仿宋" w:eastAsia="仿宋" w:cs="仿宋"/>
          <w:kern w:val="0"/>
          <w:sz w:val="24"/>
        </w:rPr>
      </w:pPr>
      <w:r>
        <w:rPr>
          <w:rFonts w:hint="eastAsia" w:ascii="仿宋" w:hAnsi="仿宋" w:eastAsia="仿宋" w:cs="仿宋"/>
          <w:kern w:val="0"/>
          <w:sz w:val="24"/>
        </w:rPr>
        <w:t>项目费用</w:t>
      </w:r>
      <w:r>
        <w:rPr>
          <w:rFonts w:hint="eastAsia" w:ascii="仿宋" w:hAnsi="仿宋" w:eastAsia="仿宋" w:cs="仿宋"/>
          <w:color w:val="000000"/>
          <w:sz w:val="24"/>
        </w:rPr>
        <w:t>人民币</w:t>
      </w:r>
      <w:r>
        <w:rPr>
          <w:rFonts w:hint="eastAsia" w:ascii="仿宋" w:hAnsi="仿宋" w:eastAsia="仿宋" w:cs="仿宋"/>
          <w:kern w:val="0"/>
          <w:sz w:val="24"/>
        </w:rPr>
        <w:t>：</w:t>
      </w:r>
      <w:r>
        <w:rPr>
          <w:rFonts w:hint="eastAsia" w:ascii="仿宋" w:hAnsi="仿宋" w:eastAsia="仿宋" w:cs="仿宋"/>
          <w:sz w:val="24"/>
        </w:rPr>
        <w:t>11.7万元（壹拾壹万柒仟元整）</w:t>
      </w:r>
    </w:p>
    <w:p>
      <w:pPr>
        <w:spacing w:line="500" w:lineRule="exact"/>
        <w:ind w:firstLine="482" w:firstLineChars="200"/>
        <w:outlineLvl w:val="1"/>
        <w:rPr>
          <w:rFonts w:ascii="仿宋" w:hAnsi="仿宋" w:eastAsia="仿宋" w:cs="仿宋"/>
          <w:b/>
          <w:bCs/>
          <w:sz w:val="24"/>
        </w:rPr>
      </w:pPr>
      <w:bookmarkStart w:id="548" w:name="_Toc13101"/>
      <w:bookmarkStart w:id="549" w:name="_Toc8882"/>
      <w:bookmarkStart w:id="550" w:name="_Toc22945"/>
      <w:bookmarkStart w:id="551" w:name="_Toc15511"/>
      <w:r>
        <w:rPr>
          <w:rFonts w:hint="eastAsia" w:ascii="仿宋" w:hAnsi="仿宋" w:eastAsia="仿宋" w:cs="仿宋"/>
          <w:b/>
          <w:bCs/>
          <w:sz w:val="24"/>
        </w:rPr>
        <w:t>二、监理项目概况</w:t>
      </w:r>
      <w:bookmarkEnd w:id="548"/>
      <w:bookmarkEnd w:id="549"/>
      <w:bookmarkEnd w:id="550"/>
      <w:bookmarkEnd w:id="551"/>
    </w:p>
    <w:p>
      <w:pPr>
        <w:autoSpaceDE w:val="0"/>
        <w:autoSpaceDN w:val="0"/>
        <w:adjustRightInd w:val="0"/>
        <w:snapToGrid w:val="0"/>
        <w:spacing w:line="560" w:lineRule="exact"/>
        <w:ind w:firstLine="480" w:firstLineChars="200"/>
        <w:rPr>
          <w:rFonts w:ascii="仿宋" w:hAnsi="仿宋" w:eastAsia="仿宋" w:cs="仿宋"/>
          <w:color w:val="0D0D0D"/>
          <w:sz w:val="24"/>
        </w:rPr>
      </w:pPr>
      <w:r>
        <w:rPr>
          <w:rFonts w:hint="eastAsia" w:ascii="仿宋" w:hAnsi="仿宋" w:eastAsia="仿宋" w:cs="仿宋"/>
          <w:sz w:val="24"/>
        </w:rPr>
        <w:t>防治区位于吐鲁番市高昌区七泉湖镇煤窑沟村，行政区划属七泉湖镇。中心地理坐标为东经89°23′30.8″，北纬43°09′43.7″。</w:t>
      </w:r>
    </w:p>
    <w:p>
      <w:pPr>
        <w:spacing w:line="560" w:lineRule="exact"/>
        <w:ind w:firstLine="482" w:firstLineChars="200"/>
        <w:rPr>
          <w:rFonts w:ascii="仿宋" w:hAnsi="仿宋" w:eastAsia="仿宋" w:cs="仿宋"/>
          <w:b/>
          <w:sz w:val="24"/>
          <w:u w:val="single"/>
        </w:rPr>
      </w:pPr>
      <w:r>
        <w:rPr>
          <w:rFonts w:hint="eastAsia" w:ascii="仿宋" w:hAnsi="仿宋" w:eastAsia="仿宋" w:cs="仿宋"/>
          <w:b/>
          <w:sz w:val="24"/>
          <w:u w:val="single"/>
        </w:rPr>
        <w:t>监理项目以批准的监理规划、监理实施细则确定的为准。</w:t>
      </w:r>
    </w:p>
    <w:p>
      <w:pPr>
        <w:spacing w:line="560" w:lineRule="exact"/>
        <w:ind w:firstLine="482" w:firstLineChars="200"/>
        <w:outlineLvl w:val="1"/>
        <w:rPr>
          <w:rFonts w:ascii="仿宋" w:hAnsi="仿宋" w:eastAsia="仿宋" w:cs="仿宋"/>
          <w:b/>
          <w:bCs/>
          <w:sz w:val="24"/>
        </w:rPr>
      </w:pPr>
      <w:r>
        <w:rPr>
          <w:rFonts w:hint="eastAsia" w:ascii="仿宋" w:hAnsi="仿宋" w:eastAsia="仿宋" w:cs="仿宋"/>
          <w:b/>
          <w:bCs/>
          <w:sz w:val="24"/>
        </w:rPr>
        <w:t xml:space="preserve"> </w:t>
      </w:r>
      <w:bookmarkStart w:id="552" w:name="_Toc1001"/>
      <w:bookmarkStart w:id="553" w:name="_Toc16896"/>
      <w:bookmarkStart w:id="554" w:name="_Toc11572"/>
      <w:bookmarkStart w:id="555" w:name="_Toc7944"/>
      <w:r>
        <w:rPr>
          <w:rFonts w:hint="eastAsia" w:ascii="仿宋" w:hAnsi="仿宋" w:eastAsia="仿宋" w:cs="仿宋"/>
          <w:b/>
          <w:bCs/>
          <w:sz w:val="24"/>
        </w:rPr>
        <w:t>三、监理主要内容</w:t>
      </w:r>
      <w:bookmarkEnd w:id="552"/>
      <w:bookmarkEnd w:id="553"/>
      <w:bookmarkEnd w:id="554"/>
      <w:bookmarkEnd w:id="555"/>
    </w:p>
    <w:p>
      <w:pPr>
        <w:spacing w:line="560" w:lineRule="exact"/>
        <w:ind w:firstLine="480" w:firstLineChars="200"/>
        <w:rPr>
          <w:rFonts w:ascii="仿宋" w:hAnsi="仿宋" w:eastAsia="仿宋" w:cs="仿宋"/>
          <w:sz w:val="24"/>
        </w:rPr>
      </w:pPr>
      <w:bookmarkStart w:id="556" w:name="（一）目标"/>
      <w:bookmarkEnd w:id="556"/>
      <w:r>
        <w:rPr>
          <w:rFonts w:hint="eastAsia" w:ascii="仿宋" w:hAnsi="仿宋" w:eastAsia="仿宋" w:cs="仿宋"/>
          <w:sz w:val="24"/>
        </w:rPr>
        <w:t xml:space="preserve">（一）目标 </w:t>
      </w:r>
      <w:bookmarkStart w:id="557" w:name="通过项目监理工作的实施，达到项目的工期目标、质量目标及安全目标。"/>
      <w:bookmarkEnd w:id="557"/>
    </w:p>
    <w:p>
      <w:pPr>
        <w:spacing w:line="360" w:lineRule="auto"/>
        <w:ind w:firstLine="480" w:firstLineChars="200"/>
        <w:rPr>
          <w:rFonts w:ascii="仿宋" w:hAnsi="仿宋" w:eastAsia="仿宋" w:cs="仿宋"/>
          <w:sz w:val="24"/>
        </w:rPr>
      </w:pPr>
      <w:r>
        <w:rPr>
          <w:rFonts w:hint="eastAsia" w:ascii="仿宋" w:hAnsi="仿宋" w:eastAsia="仿宋" w:cs="仿宋"/>
          <w:sz w:val="24"/>
        </w:rPr>
        <w:t>通过监理工作的实施，达到项目工期目标、质量目标及安全目标。</w:t>
      </w:r>
    </w:p>
    <w:p>
      <w:pPr>
        <w:spacing w:line="360" w:lineRule="auto"/>
        <w:ind w:firstLine="480" w:firstLineChars="200"/>
        <w:rPr>
          <w:rFonts w:ascii="仿宋" w:hAnsi="仿宋" w:eastAsia="仿宋" w:cs="仿宋"/>
          <w:sz w:val="24"/>
        </w:rPr>
      </w:pPr>
      <w:bookmarkStart w:id="558" w:name="（二）任务"/>
      <w:bookmarkEnd w:id="558"/>
      <w:r>
        <w:rPr>
          <w:rFonts w:hint="eastAsia" w:ascii="仿宋" w:hAnsi="仿宋" w:eastAsia="仿宋" w:cs="仿宋"/>
          <w:sz w:val="24"/>
        </w:rPr>
        <w:t>（二）任务</w:t>
      </w:r>
    </w:p>
    <w:p>
      <w:pPr>
        <w:spacing w:line="360" w:lineRule="auto"/>
        <w:ind w:firstLine="480" w:firstLineChars="200"/>
        <w:rPr>
          <w:rFonts w:ascii="仿宋" w:hAnsi="仿宋" w:eastAsia="仿宋" w:cs="仿宋"/>
          <w:sz w:val="24"/>
        </w:rPr>
      </w:pPr>
      <w:bookmarkStart w:id="559" w:name="（三）工作方法和主要技术要求"/>
      <w:bookmarkEnd w:id="559"/>
      <w:r>
        <w:rPr>
          <w:rFonts w:hint="eastAsia" w:ascii="仿宋" w:hAnsi="仿宋" w:eastAsia="仿宋" w:cs="仿宋"/>
          <w:sz w:val="24"/>
        </w:rPr>
        <w:t>1.根据实际需要,防治工程监理主要内容包括对防治项目基础工程、主体工程、警示工程、隐蔽工程、材料抽检试验、初验、终验、资料整理归档等监督检查，做好项目质量、进度、安全与环境保护、保修期、信息管理、工作量审核等各阶段控制及组织协调工作。</w:t>
      </w:r>
    </w:p>
    <w:p>
      <w:pPr>
        <w:spacing w:line="360" w:lineRule="auto"/>
        <w:ind w:firstLine="480" w:firstLineChars="200"/>
        <w:rPr>
          <w:rFonts w:ascii="仿宋" w:hAnsi="仿宋" w:eastAsia="仿宋" w:cs="仿宋"/>
          <w:sz w:val="24"/>
        </w:rPr>
      </w:pPr>
      <w:r>
        <w:rPr>
          <w:rFonts w:hint="eastAsia" w:ascii="仿宋" w:hAnsi="仿宋" w:eastAsia="仿宋" w:cs="仿宋"/>
          <w:sz w:val="24"/>
        </w:rPr>
        <w:t>2.协助市自然资源局与县自然资源局按时完成项目进度汇总上报工作。</w:t>
      </w:r>
    </w:p>
    <w:p>
      <w:pPr>
        <w:spacing w:line="360" w:lineRule="auto"/>
        <w:ind w:firstLine="480" w:firstLineChars="200"/>
        <w:rPr>
          <w:rFonts w:ascii="仿宋" w:hAnsi="仿宋" w:eastAsia="仿宋" w:cs="仿宋"/>
          <w:sz w:val="24"/>
        </w:rPr>
      </w:pPr>
      <w:r>
        <w:rPr>
          <w:rFonts w:hint="eastAsia" w:ascii="仿宋" w:hAnsi="仿宋" w:eastAsia="仿宋" w:cs="仿宋"/>
          <w:sz w:val="24"/>
        </w:rPr>
        <w:t>3.协助县自然资源局完成项目初验工作。</w:t>
      </w:r>
    </w:p>
    <w:p>
      <w:pPr>
        <w:spacing w:line="360" w:lineRule="auto"/>
        <w:ind w:firstLine="480" w:firstLineChars="200"/>
        <w:rPr>
          <w:rFonts w:ascii="仿宋" w:hAnsi="仿宋" w:eastAsia="仿宋" w:cs="仿宋"/>
          <w:sz w:val="24"/>
        </w:rPr>
      </w:pPr>
      <w:r>
        <w:rPr>
          <w:rFonts w:hint="eastAsia" w:ascii="仿宋" w:hAnsi="仿宋" w:eastAsia="仿宋" w:cs="仿宋"/>
          <w:sz w:val="24"/>
        </w:rPr>
        <w:t>（三）工作方法和主要技术要求</w:t>
      </w:r>
    </w:p>
    <w:p>
      <w:pPr>
        <w:spacing w:line="360" w:lineRule="auto"/>
        <w:ind w:firstLine="480" w:firstLineChars="200"/>
        <w:rPr>
          <w:rFonts w:ascii="仿宋" w:hAnsi="仿宋" w:eastAsia="仿宋" w:cs="仿宋"/>
          <w:sz w:val="24"/>
        </w:rPr>
      </w:pPr>
      <w:r>
        <w:rPr>
          <w:rFonts w:hint="eastAsia" w:ascii="仿宋" w:hAnsi="仿宋" w:eastAsia="仿宋" w:cs="仿宋"/>
          <w:sz w:val="24"/>
        </w:rPr>
        <w:t xml:space="preserve"> </w:t>
      </w:r>
      <w:bookmarkStart w:id="560" w:name="1.工作方法"/>
      <w:bookmarkEnd w:id="560"/>
      <w:r>
        <w:rPr>
          <w:rFonts w:hint="eastAsia" w:ascii="仿宋" w:hAnsi="仿宋" w:eastAsia="仿宋" w:cs="仿宋"/>
          <w:sz w:val="24"/>
        </w:rPr>
        <w:t>1.工作方法</w:t>
      </w:r>
    </w:p>
    <w:p>
      <w:pPr>
        <w:spacing w:line="360" w:lineRule="auto"/>
        <w:ind w:firstLine="480" w:firstLineChars="200"/>
        <w:rPr>
          <w:rFonts w:ascii="仿宋" w:hAnsi="仿宋" w:eastAsia="仿宋" w:cs="仿宋"/>
          <w:sz w:val="24"/>
        </w:rPr>
      </w:pPr>
      <w:r>
        <w:rPr>
          <w:rFonts w:hint="eastAsia" w:ascii="仿宋" w:hAnsi="仿宋" w:eastAsia="仿宋" w:cs="仿宋"/>
          <w:sz w:val="24"/>
        </w:rPr>
        <w:t>采用监理巡查、旁站、测量和计量、指令性文件、抽查、现场记录、工序控制、协调及验收签证等工作方法，对建设项目质量、进度、安全及工作量进行控制。监测预警点建设项目应根据项目承担单位工作组情况派驻现场监理人员，每个工作组不少于1人，防治工程项目派驻现场监理人数，应保证每个项目不少于 1 人。</w:t>
      </w:r>
    </w:p>
    <w:p>
      <w:pPr>
        <w:spacing w:line="360" w:lineRule="auto"/>
        <w:ind w:firstLine="480" w:firstLineChars="200"/>
        <w:rPr>
          <w:rFonts w:ascii="仿宋" w:hAnsi="仿宋" w:eastAsia="仿宋" w:cs="仿宋"/>
          <w:sz w:val="24"/>
        </w:rPr>
      </w:pPr>
      <w:bookmarkStart w:id="561" w:name="2.主要技术要求"/>
      <w:bookmarkEnd w:id="561"/>
      <w:r>
        <w:rPr>
          <w:rFonts w:hint="eastAsia" w:ascii="仿宋" w:hAnsi="仿宋" w:eastAsia="仿宋" w:cs="仿宋"/>
          <w:sz w:val="24"/>
        </w:rPr>
        <w:t>2.主要技术要求</w:t>
      </w:r>
    </w:p>
    <w:p>
      <w:pPr>
        <w:spacing w:line="360" w:lineRule="auto"/>
        <w:ind w:firstLine="480" w:firstLineChars="200"/>
        <w:rPr>
          <w:rFonts w:ascii="仿宋" w:hAnsi="仿宋" w:eastAsia="仿宋" w:cs="仿宋"/>
          <w:sz w:val="24"/>
        </w:rPr>
      </w:pPr>
      <w:r>
        <w:rPr>
          <w:rFonts w:hint="eastAsia" w:ascii="仿宋" w:hAnsi="仿宋" w:eastAsia="仿宋" w:cs="仿宋"/>
          <w:sz w:val="24"/>
        </w:rPr>
        <w:t>（1）《地质灾害防治工程监理规范》（DZ/T 0222-2006）；</w:t>
      </w:r>
    </w:p>
    <w:p>
      <w:pPr>
        <w:spacing w:line="360" w:lineRule="auto"/>
        <w:ind w:firstLine="480" w:firstLineChars="200"/>
        <w:rPr>
          <w:rFonts w:ascii="仿宋" w:hAnsi="仿宋" w:eastAsia="仿宋" w:cs="仿宋"/>
          <w:sz w:val="24"/>
        </w:rPr>
      </w:pPr>
      <w:r>
        <w:rPr>
          <w:rFonts w:hint="eastAsia" w:ascii="仿宋" w:hAnsi="仿宋" w:eastAsia="仿宋" w:cs="仿宋"/>
          <w:sz w:val="24"/>
        </w:rPr>
        <w:t>（2）《建设工程监理规范》（GB/T 50319-2013）；</w:t>
      </w:r>
    </w:p>
    <w:p>
      <w:pPr>
        <w:spacing w:line="360" w:lineRule="auto"/>
        <w:ind w:firstLine="480" w:firstLineChars="200"/>
        <w:rPr>
          <w:rFonts w:ascii="仿宋" w:hAnsi="仿宋" w:eastAsia="仿宋" w:cs="仿宋"/>
          <w:sz w:val="24"/>
        </w:rPr>
      </w:pPr>
      <w:r>
        <w:rPr>
          <w:rFonts w:hint="eastAsia" w:ascii="仿宋" w:hAnsi="仿宋" w:eastAsia="仿宋" w:cs="仿宋"/>
          <w:sz w:val="24"/>
        </w:rPr>
        <w:t>（4）《泥石流灾害防治工程勘查规范》（DZ/T 0220-2006）；</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（5）《 泥石流防治工程施工技术规范（ 试 行 ）》（ T/CAGHP 061-2019）；</w:t>
      </w:r>
    </w:p>
    <w:p>
      <w:pPr>
        <w:spacing w:line="360" w:lineRule="auto"/>
        <w:ind w:firstLine="480" w:firstLineChars="200"/>
        <w:rPr>
          <w:rFonts w:ascii="仿宋" w:hAnsi="仿宋" w:eastAsia="仿宋" w:cs="仿宋"/>
          <w:sz w:val="24"/>
        </w:rPr>
      </w:pPr>
      <w:r>
        <w:rPr>
          <w:rFonts w:hint="eastAsia" w:ascii="仿宋" w:hAnsi="仿宋" w:eastAsia="仿宋" w:cs="仿宋"/>
          <w:sz w:val="24"/>
        </w:rPr>
        <w:t>（6）《建筑机械使用安全技术规程》（JGJ 33-2012）；</w:t>
      </w:r>
    </w:p>
    <w:p>
      <w:pPr>
        <w:spacing w:line="360" w:lineRule="auto"/>
        <w:ind w:firstLine="480" w:firstLineChars="200"/>
        <w:rPr>
          <w:rFonts w:ascii="仿宋" w:hAnsi="仿宋" w:eastAsia="仿宋" w:cs="仿宋"/>
          <w:sz w:val="24"/>
        </w:rPr>
      </w:pPr>
      <w:r>
        <w:rPr>
          <w:rFonts w:hint="eastAsia" w:ascii="仿宋" w:hAnsi="仿宋" w:eastAsia="仿宋" w:cs="仿宋"/>
          <w:sz w:val="24"/>
        </w:rPr>
        <w:t>（7）《建设工程施工现场供用电安全规范》（GB50194-2014）；</w:t>
      </w:r>
    </w:p>
    <w:p>
      <w:pPr>
        <w:spacing w:line="360" w:lineRule="auto"/>
        <w:ind w:firstLine="480" w:firstLineChars="200"/>
        <w:rPr>
          <w:rFonts w:ascii="仿宋" w:hAnsi="仿宋" w:eastAsia="仿宋" w:cs="仿宋"/>
          <w:sz w:val="24"/>
        </w:rPr>
      </w:pPr>
      <w:r>
        <w:rPr>
          <w:rFonts w:hint="eastAsia" w:ascii="仿宋" w:hAnsi="仿宋" w:eastAsia="仿宋" w:cs="仿宋"/>
          <w:sz w:val="24"/>
        </w:rPr>
        <w:t>（8）《地质灾害防治工程监理预算标准》（T/CAGHP 015-2018）；</w:t>
      </w:r>
    </w:p>
    <w:p>
      <w:pPr>
        <w:spacing w:line="360" w:lineRule="auto"/>
        <w:ind w:firstLine="480" w:firstLineChars="200"/>
        <w:rPr>
          <w:rFonts w:ascii="仿宋" w:hAnsi="仿宋" w:eastAsia="仿宋" w:cs="仿宋"/>
          <w:sz w:val="24"/>
        </w:rPr>
      </w:pPr>
      <w:r>
        <w:rPr>
          <w:rFonts w:hint="eastAsia" w:ascii="仿宋" w:hAnsi="仿宋" w:eastAsia="仿宋" w:cs="仿宋"/>
          <w:sz w:val="24"/>
        </w:rPr>
        <w:t>（9）其他有关规范、规程和技术要求。</w:t>
      </w:r>
      <w:bookmarkStart w:id="562" w:name="四、地质灾害专项勘查预期提交的监理文件"/>
      <w:bookmarkEnd w:id="562"/>
    </w:p>
    <w:p>
      <w:pPr>
        <w:spacing w:line="360" w:lineRule="auto"/>
        <w:ind w:firstLine="482" w:firstLineChars="200"/>
        <w:outlineLvl w:val="1"/>
        <w:rPr>
          <w:rFonts w:ascii="仿宋" w:hAnsi="仿宋" w:eastAsia="仿宋" w:cs="仿宋"/>
          <w:b/>
          <w:bCs/>
          <w:sz w:val="24"/>
        </w:rPr>
      </w:pPr>
      <w:bookmarkStart w:id="563" w:name="_Toc25708"/>
      <w:bookmarkStart w:id="564" w:name="_Toc6828"/>
      <w:bookmarkStart w:id="565" w:name="_Toc6984"/>
      <w:bookmarkStart w:id="566" w:name="_Toc27495"/>
      <w:r>
        <w:rPr>
          <w:rFonts w:hint="eastAsia" w:ascii="仿宋" w:hAnsi="仿宋" w:eastAsia="仿宋" w:cs="仿宋"/>
          <w:b/>
          <w:bCs/>
          <w:sz w:val="24"/>
        </w:rPr>
        <w:t>四、预期提交的监理文件</w:t>
      </w:r>
      <w:bookmarkEnd w:id="563"/>
      <w:bookmarkEnd w:id="564"/>
      <w:bookmarkEnd w:id="565"/>
      <w:bookmarkEnd w:id="566"/>
    </w:p>
    <w:p>
      <w:pPr>
        <w:spacing w:line="360" w:lineRule="auto"/>
        <w:ind w:firstLine="240" w:firstLineChars="100"/>
        <w:rPr>
          <w:rFonts w:ascii="仿宋" w:hAnsi="仿宋" w:eastAsia="仿宋" w:cs="仿宋"/>
          <w:sz w:val="24"/>
        </w:rPr>
      </w:pPr>
      <w:r>
        <w:rPr>
          <w:rFonts w:hint="eastAsia" w:ascii="仿宋" w:hAnsi="仿宋" w:eastAsia="仿宋" w:cs="仿宋"/>
          <w:sz w:val="24"/>
        </w:rPr>
        <w:t xml:space="preserve">（一）监理设计成果文件 </w:t>
      </w:r>
    </w:p>
    <w:p>
      <w:pPr>
        <w:spacing w:line="360" w:lineRule="auto"/>
        <w:ind w:firstLine="480" w:firstLineChars="200"/>
        <w:rPr>
          <w:rFonts w:ascii="仿宋" w:hAnsi="仿宋" w:eastAsia="仿宋" w:cs="仿宋"/>
          <w:sz w:val="24"/>
        </w:rPr>
      </w:pPr>
      <w:r>
        <w:rPr>
          <w:rFonts w:hint="eastAsia" w:ascii="仿宋" w:hAnsi="仿宋" w:eastAsia="仿宋" w:cs="仿宋"/>
          <w:sz w:val="24"/>
        </w:rPr>
        <w:t>1.《监理规划》；</w:t>
      </w:r>
    </w:p>
    <w:p>
      <w:pPr>
        <w:spacing w:line="360" w:lineRule="auto"/>
        <w:ind w:firstLine="480" w:firstLineChars="200"/>
        <w:rPr>
          <w:rFonts w:ascii="仿宋" w:hAnsi="仿宋" w:eastAsia="仿宋" w:cs="仿宋"/>
          <w:sz w:val="24"/>
        </w:rPr>
      </w:pPr>
      <w:r>
        <w:rPr>
          <w:rFonts w:hint="eastAsia" w:ascii="仿宋" w:hAnsi="仿宋" w:eastAsia="仿宋" w:cs="仿宋"/>
          <w:sz w:val="24"/>
        </w:rPr>
        <w:t>2.《监理实施细则》。</w:t>
      </w:r>
    </w:p>
    <w:p>
      <w:pPr>
        <w:spacing w:line="360" w:lineRule="auto"/>
        <w:ind w:firstLine="240" w:firstLineChars="100"/>
        <w:rPr>
          <w:rFonts w:ascii="仿宋" w:hAnsi="仿宋" w:eastAsia="仿宋" w:cs="仿宋"/>
          <w:sz w:val="24"/>
        </w:rPr>
      </w:pPr>
      <w:r>
        <w:rPr>
          <w:rFonts w:hint="eastAsia" w:ascii="仿宋" w:hAnsi="仿宋" w:eastAsia="仿宋" w:cs="仿宋"/>
          <w:sz w:val="24"/>
        </w:rPr>
        <w:t>（二）监理成果总结性文件</w:t>
      </w:r>
    </w:p>
    <w:p>
      <w:pPr>
        <w:spacing w:line="360" w:lineRule="auto"/>
        <w:rPr>
          <w:rFonts w:ascii="仿宋" w:hAnsi="仿宋" w:eastAsia="仿宋" w:cs="仿宋"/>
          <w:sz w:val="24"/>
        </w:rPr>
      </w:pPr>
      <w:r>
        <w:rPr>
          <w:rFonts w:hint="eastAsia" w:ascii="仿宋" w:hAnsi="仿宋" w:eastAsia="仿宋" w:cs="仿宋"/>
          <w:sz w:val="24"/>
        </w:rPr>
        <w:t xml:space="preserve">    1.《监理工作总结》；</w:t>
      </w:r>
    </w:p>
    <w:p>
      <w:pPr>
        <w:spacing w:line="360" w:lineRule="auto"/>
        <w:ind w:firstLine="480" w:firstLineChars="200"/>
        <w:rPr>
          <w:rFonts w:ascii="仿宋" w:hAnsi="仿宋" w:eastAsia="仿宋" w:cs="仿宋"/>
          <w:sz w:val="24"/>
        </w:rPr>
      </w:pPr>
      <w:r>
        <w:rPr>
          <w:rFonts w:hint="eastAsia" w:ascii="仿宋" w:hAnsi="仿宋" w:eastAsia="仿宋" w:cs="仿宋"/>
          <w:sz w:val="24"/>
        </w:rPr>
        <w:t>2.《监理质量评估报告》；</w:t>
      </w:r>
    </w:p>
    <w:p>
      <w:pPr>
        <w:spacing w:line="360" w:lineRule="auto"/>
        <w:ind w:firstLine="480" w:firstLineChars="200"/>
        <w:rPr>
          <w:rFonts w:ascii="仿宋" w:hAnsi="仿宋" w:eastAsia="仿宋" w:cs="仿宋"/>
          <w:sz w:val="24"/>
        </w:rPr>
      </w:pPr>
      <w:r>
        <w:rPr>
          <w:rFonts w:hint="eastAsia" w:ascii="仿宋" w:hAnsi="仿宋" w:eastAsia="仿宋" w:cs="仿宋"/>
          <w:sz w:val="24"/>
        </w:rPr>
        <w:t>3.《监理工作照片集》。</w:t>
      </w:r>
    </w:p>
    <w:p>
      <w:pPr>
        <w:spacing w:line="360" w:lineRule="auto"/>
        <w:ind w:firstLine="240" w:firstLineChars="100"/>
        <w:rPr>
          <w:rFonts w:ascii="仿宋" w:hAnsi="仿宋" w:eastAsia="仿宋" w:cs="仿宋"/>
          <w:sz w:val="24"/>
        </w:rPr>
      </w:pPr>
      <w:r>
        <w:rPr>
          <w:rFonts w:hint="eastAsia" w:ascii="仿宋" w:hAnsi="仿宋" w:eastAsia="仿宋" w:cs="仿宋"/>
          <w:sz w:val="24"/>
        </w:rPr>
        <w:t xml:space="preserve">（三）实施过程中形成的文件 </w:t>
      </w:r>
    </w:p>
    <w:p>
      <w:pPr>
        <w:spacing w:line="360" w:lineRule="auto"/>
        <w:ind w:firstLine="480" w:firstLineChars="200"/>
        <w:rPr>
          <w:rFonts w:ascii="仿宋" w:hAnsi="仿宋" w:eastAsia="仿宋" w:cs="仿宋"/>
          <w:sz w:val="24"/>
        </w:rPr>
      </w:pPr>
      <w:r>
        <w:rPr>
          <w:rFonts w:hint="eastAsia" w:ascii="仿宋" w:hAnsi="仿宋" w:eastAsia="仿宋" w:cs="仿宋"/>
          <w:sz w:val="24"/>
        </w:rPr>
        <w:t>项目监理日志、监理月报、工地例会纪要、监理工程师通知单及回复单、工程报审表、工程验收文件等。</w:t>
      </w:r>
    </w:p>
    <w:p>
      <w:pPr>
        <w:spacing w:line="360" w:lineRule="auto"/>
        <w:ind w:firstLine="482" w:firstLineChars="200"/>
        <w:outlineLvl w:val="1"/>
        <w:rPr>
          <w:rFonts w:ascii="仿宋" w:hAnsi="仿宋" w:eastAsia="仿宋" w:cs="仿宋"/>
          <w:b/>
          <w:bCs/>
          <w:sz w:val="24"/>
        </w:rPr>
      </w:pPr>
      <w:bookmarkStart w:id="567" w:name="_Toc1662"/>
      <w:bookmarkStart w:id="568" w:name="_Toc25564"/>
      <w:bookmarkStart w:id="569" w:name="_Toc13437"/>
      <w:bookmarkStart w:id="570" w:name="_Toc30179"/>
      <w:r>
        <w:rPr>
          <w:rFonts w:hint="eastAsia" w:ascii="仿宋" w:hAnsi="仿宋" w:eastAsia="仿宋" w:cs="仿宋"/>
          <w:b/>
          <w:bCs/>
          <w:sz w:val="24"/>
        </w:rPr>
        <w:t>五、监理汇交资料目录</w:t>
      </w:r>
      <w:bookmarkEnd w:id="567"/>
      <w:bookmarkEnd w:id="568"/>
      <w:bookmarkEnd w:id="569"/>
      <w:bookmarkEnd w:id="570"/>
    </w:p>
    <w:p>
      <w:pPr>
        <w:spacing w:line="360" w:lineRule="auto"/>
        <w:ind w:firstLine="480" w:firstLineChars="200"/>
        <w:rPr>
          <w:rFonts w:ascii="仿宋" w:hAnsi="仿宋" w:eastAsia="仿宋" w:cs="仿宋"/>
          <w:sz w:val="24"/>
        </w:rPr>
      </w:pPr>
      <w:r>
        <w:rPr>
          <w:rFonts w:hint="eastAsia" w:ascii="仿宋" w:hAnsi="仿宋" w:eastAsia="仿宋" w:cs="仿宋"/>
          <w:sz w:val="24"/>
        </w:rPr>
        <w:t>监理资料整理应按照相关规范进行。</w:t>
      </w:r>
    </w:p>
    <w:p>
      <w:pPr>
        <w:spacing w:line="360" w:lineRule="auto"/>
        <w:ind w:firstLine="480" w:firstLineChars="200"/>
        <w:rPr>
          <w:rFonts w:ascii="仿宋" w:hAnsi="仿宋" w:eastAsia="仿宋" w:cs="仿宋"/>
          <w:sz w:val="24"/>
        </w:rPr>
      </w:pPr>
      <w:r>
        <w:rPr>
          <w:rFonts w:hint="eastAsia" w:ascii="仿宋" w:hAnsi="仿宋" w:eastAsia="仿宋" w:cs="仿宋"/>
          <w:sz w:val="24"/>
        </w:rPr>
        <w:t>（一）监理规划、项目监理实施细则</w:t>
      </w:r>
    </w:p>
    <w:p>
      <w:pPr>
        <w:spacing w:line="360" w:lineRule="auto"/>
        <w:ind w:firstLine="480" w:firstLineChars="200"/>
        <w:rPr>
          <w:rFonts w:ascii="仿宋" w:hAnsi="仿宋" w:eastAsia="仿宋" w:cs="仿宋"/>
          <w:sz w:val="24"/>
        </w:rPr>
      </w:pPr>
      <w:r>
        <w:rPr>
          <w:rFonts w:hint="eastAsia" w:ascii="仿宋" w:hAnsi="仿宋" w:eastAsia="仿宋" w:cs="仿宋"/>
          <w:sz w:val="24"/>
        </w:rPr>
        <w:t>（二）监理工作总结</w:t>
      </w:r>
    </w:p>
    <w:p>
      <w:pPr>
        <w:spacing w:line="360" w:lineRule="auto"/>
        <w:ind w:firstLine="480" w:firstLineChars="200"/>
        <w:rPr>
          <w:rFonts w:ascii="仿宋" w:hAnsi="仿宋" w:eastAsia="仿宋" w:cs="仿宋"/>
          <w:sz w:val="24"/>
        </w:rPr>
      </w:pPr>
      <w:r>
        <w:rPr>
          <w:rFonts w:hint="eastAsia" w:ascii="仿宋" w:hAnsi="仿宋" w:eastAsia="仿宋" w:cs="仿宋"/>
          <w:sz w:val="24"/>
        </w:rPr>
        <w:t>（三）监理工作照片集</w:t>
      </w:r>
    </w:p>
    <w:p>
      <w:pPr>
        <w:spacing w:line="360" w:lineRule="auto"/>
        <w:ind w:firstLine="480" w:firstLineChars="200"/>
        <w:rPr>
          <w:rFonts w:ascii="仿宋" w:hAnsi="仿宋" w:eastAsia="仿宋" w:cs="仿宋"/>
          <w:sz w:val="24"/>
        </w:rPr>
      </w:pPr>
      <w:r>
        <w:rPr>
          <w:rFonts w:hint="eastAsia" w:ascii="仿宋" w:hAnsi="仿宋" w:eastAsia="仿宋" w:cs="仿宋"/>
          <w:sz w:val="24"/>
        </w:rPr>
        <w:t>（四）工程质量评估报告</w:t>
      </w:r>
    </w:p>
    <w:p>
      <w:pPr>
        <w:spacing w:line="360" w:lineRule="auto"/>
        <w:ind w:firstLine="480" w:firstLineChars="200"/>
        <w:rPr>
          <w:rFonts w:ascii="仿宋" w:hAnsi="仿宋" w:eastAsia="仿宋" w:cs="仿宋"/>
          <w:sz w:val="24"/>
        </w:rPr>
      </w:pPr>
      <w:r>
        <w:rPr>
          <w:rFonts w:hint="eastAsia" w:ascii="仿宋" w:hAnsi="仿宋" w:eastAsia="仿宋" w:cs="仿宋"/>
          <w:sz w:val="24"/>
        </w:rPr>
        <w:t>（五）项目监理日志</w:t>
      </w:r>
    </w:p>
    <w:p>
      <w:pPr>
        <w:spacing w:line="360" w:lineRule="auto"/>
        <w:ind w:firstLine="480" w:firstLineChars="200"/>
        <w:rPr>
          <w:rFonts w:ascii="仿宋" w:hAnsi="仿宋" w:eastAsia="仿宋" w:cs="仿宋"/>
          <w:sz w:val="24"/>
        </w:rPr>
      </w:pPr>
      <w:r>
        <w:rPr>
          <w:rFonts w:hint="eastAsia" w:ascii="仿宋" w:hAnsi="仿宋" w:eastAsia="仿宋" w:cs="仿宋"/>
          <w:sz w:val="24"/>
        </w:rPr>
        <w:t>（六）监理月报</w:t>
      </w:r>
    </w:p>
    <w:p>
      <w:pPr>
        <w:spacing w:line="360" w:lineRule="auto"/>
        <w:ind w:firstLine="480" w:firstLineChars="200"/>
        <w:rPr>
          <w:rFonts w:ascii="仿宋" w:hAnsi="仿宋" w:eastAsia="仿宋" w:cs="仿宋"/>
          <w:sz w:val="24"/>
        </w:rPr>
      </w:pPr>
      <w:r>
        <w:rPr>
          <w:rFonts w:hint="eastAsia" w:ascii="仿宋" w:hAnsi="仿宋" w:eastAsia="仿宋" w:cs="仿宋"/>
          <w:sz w:val="24"/>
        </w:rPr>
        <w:t>（七）第一次工地例会、工地例会</w:t>
      </w:r>
    </w:p>
    <w:p>
      <w:pPr>
        <w:spacing w:line="360" w:lineRule="auto"/>
        <w:ind w:firstLine="480" w:firstLineChars="200"/>
        <w:rPr>
          <w:rFonts w:ascii="仿宋" w:hAnsi="仿宋" w:eastAsia="仿宋" w:cs="仿宋"/>
          <w:sz w:val="24"/>
        </w:rPr>
      </w:pPr>
      <w:r>
        <w:rPr>
          <w:rFonts w:hint="eastAsia" w:ascii="仿宋" w:hAnsi="仿宋" w:eastAsia="仿宋" w:cs="仿宋"/>
          <w:sz w:val="24"/>
        </w:rPr>
        <w:t>（八）监理工程师通知单、监理工程师回复单</w:t>
      </w:r>
    </w:p>
    <w:p>
      <w:pPr>
        <w:spacing w:line="360" w:lineRule="auto"/>
        <w:ind w:firstLine="480" w:firstLineChars="200"/>
        <w:rPr>
          <w:rFonts w:ascii="仿宋" w:hAnsi="仿宋" w:eastAsia="仿宋" w:cs="仿宋"/>
          <w:sz w:val="24"/>
        </w:rPr>
      </w:pPr>
      <w:r>
        <w:rPr>
          <w:rFonts w:hint="eastAsia" w:ascii="仿宋" w:hAnsi="仿宋" w:eastAsia="仿宋" w:cs="仿宋"/>
          <w:sz w:val="24"/>
        </w:rPr>
        <w:t>（九）工程报审表</w:t>
      </w:r>
    </w:p>
    <w:p>
      <w:pPr>
        <w:spacing w:line="540" w:lineRule="exact"/>
        <w:ind w:firstLine="480" w:firstLineChars="200"/>
        <w:rPr>
          <w:rFonts w:ascii="仿宋" w:hAnsi="仿宋" w:eastAsia="仿宋" w:cs="仿宋"/>
          <w:sz w:val="24"/>
        </w:rPr>
      </w:pPr>
      <w:r>
        <w:rPr>
          <w:rFonts w:hint="eastAsia" w:ascii="仿宋" w:hAnsi="仿宋" w:eastAsia="仿宋" w:cs="仿宋"/>
          <w:sz w:val="24"/>
        </w:rPr>
        <w:t>1.工程开工报审（开工报告报审表、开工报告、施工单位资质、人员资质证书、特种作业人员管理制度、特种作业人员花名册、 特种作业人员证件、施工现场管理检查记录）</w:t>
      </w:r>
    </w:p>
    <w:p>
      <w:pPr>
        <w:spacing w:line="540" w:lineRule="exact"/>
        <w:ind w:firstLine="480" w:firstLineChars="200"/>
        <w:rPr>
          <w:rFonts w:ascii="仿宋" w:hAnsi="仿宋" w:eastAsia="仿宋" w:cs="仿宋"/>
          <w:sz w:val="24"/>
        </w:rPr>
      </w:pPr>
      <w:r>
        <w:rPr>
          <w:rFonts w:hint="eastAsia" w:ascii="仿宋" w:hAnsi="仿宋" w:eastAsia="仿宋" w:cs="仿宋"/>
          <w:sz w:val="24"/>
        </w:rPr>
        <w:t>2.工程进度计划报审（总进度报审表、总进度计划、月进度 报审表 月进度计划、旬进度计划报审表、旬进度计划）</w:t>
      </w:r>
    </w:p>
    <w:p>
      <w:pPr>
        <w:spacing w:line="540" w:lineRule="exact"/>
        <w:ind w:firstLine="480" w:firstLineChars="200"/>
        <w:rPr>
          <w:rFonts w:ascii="仿宋" w:hAnsi="仿宋" w:eastAsia="仿宋" w:cs="仿宋"/>
          <w:sz w:val="24"/>
        </w:rPr>
      </w:pPr>
      <w:r>
        <w:rPr>
          <w:rFonts w:hint="eastAsia" w:ascii="仿宋" w:hAnsi="仿宋" w:eastAsia="仿宋" w:cs="仿宋"/>
          <w:sz w:val="24"/>
        </w:rPr>
        <w:t>（十）工程验收文件</w:t>
      </w:r>
    </w:p>
    <w:p>
      <w:pPr>
        <w:spacing w:line="540" w:lineRule="exact"/>
        <w:ind w:firstLine="480" w:firstLineChars="200"/>
        <w:rPr>
          <w:rFonts w:ascii="仿宋" w:hAnsi="仿宋" w:eastAsia="仿宋" w:cs="仿宋"/>
          <w:sz w:val="24"/>
        </w:rPr>
      </w:pPr>
      <w:r>
        <w:rPr>
          <w:rFonts w:hint="eastAsia" w:ascii="仿宋" w:hAnsi="仿宋" w:eastAsia="仿宋" w:cs="仿宋"/>
          <w:sz w:val="24"/>
        </w:rPr>
        <w:t>1.工程竣工验收报验表 （竣工报验申请表、单位工程质量验收文件目录、单位工程质量控制资料记录、单位工程观感质量检查记录、单位质量竣工验收记录）</w:t>
      </w:r>
    </w:p>
    <w:p>
      <w:pPr>
        <w:spacing w:line="540" w:lineRule="exact"/>
        <w:ind w:firstLine="480" w:firstLineChars="200"/>
        <w:rPr>
          <w:rFonts w:ascii="仿宋" w:hAnsi="仿宋" w:eastAsia="仿宋" w:cs="仿宋"/>
          <w:sz w:val="24"/>
        </w:rPr>
      </w:pPr>
      <w:r>
        <w:rPr>
          <w:rFonts w:hint="eastAsia" w:ascii="仿宋" w:hAnsi="仿宋" w:eastAsia="仿宋" w:cs="仿宋"/>
          <w:sz w:val="24"/>
        </w:rPr>
        <w:t>2.工程竣工报审（自检报告、工程竣工报告）</w:t>
      </w:r>
    </w:p>
    <w:p>
      <w:pPr>
        <w:spacing w:line="540" w:lineRule="exact"/>
        <w:ind w:firstLine="480" w:firstLineChars="200"/>
        <w:rPr>
          <w:rFonts w:ascii="仿宋" w:hAnsi="仿宋" w:eastAsia="仿宋" w:cs="仿宋"/>
          <w:sz w:val="24"/>
        </w:rPr>
      </w:pPr>
      <w:r>
        <w:rPr>
          <w:rFonts w:hint="eastAsia" w:ascii="仿宋" w:hAnsi="仿宋" w:eastAsia="仿宋" w:cs="仿宋"/>
          <w:sz w:val="24"/>
        </w:rPr>
        <w:t>3.监理单位初验意见</w:t>
      </w:r>
    </w:p>
    <w:p>
      <w:pPr>
        <w:spacing w:line="540" w:lineRule="exact"/>
        <w:ind w:firstLine="480" w:firstLineChars="200"/>
        <w:rPr>
          <w:rFonts w:ascii="仿宋" w:hAnsi="仿宋" w:eastAsia="仿宋" w:cs="仿宋"/>
          <w:sz w:val="24"/>
        </w:rPr>
      </w:pPr>
      <w:r>
        <w:rPr>
          <w:rFonts w:hint="eastAsia" w:ascii="仿宋" w:hAnsi="仿宋" w:eastAsia="仿宋" w:cs="仿宋"/>
          <w:sz w:val="24"/>
        </w:rPr>
        <w:t xml:space="preserve">4.局竣工验收意见 </w:t>
      </w:r>
    </w:p>
    <w:p>
      <w:pPr>
        <w:spacing w:line="540" w:lineRule="exact"/>
        <w:ind w:firstLine="480" w:firstLineChars="200"/>
        <w:rPr>
          <w:rFonts w:ascii="仿宋" w:hAnsi="仿宋" w:eastAsia="仿宋" w:cs="仿宋"/>
          <w:sz w:val="24"/>
        </w:rPr>
      </w:pPr>
      <w:r>
        <w:rPr>
          <w:rFonts w:hint="eastAsia" w:ascii="仿宋" w:hAnsi="仿宋" w:eastAsia="仿宋" w:cs="仿宋"/>
          <w:sz w:val="24"/>
        </w:rPr>
        <w:t>监理资料整理归档严格按照《地质资料汇交规范》DZ/T0273及相关管理办法规定执行。最终成果资料应按地质资料汇交要求向吐鲁番市自然资源局汇交纸介质和电子版。</w:t>
      </w:r>
    </w:p>
    <w:p>
      <w:pPr>
        <w:spacing w:line="540" w:lineRule="exact"/>
        <w:ind w:firstLine="482" w:firstLineChars="200"/>
        <w:outlineLvl w:val="1"/>
        <w:rPr>
          <w:rFonts w:ascii="仿宋" w:hAnsi="仿宋" w:eastAsia="仿宋" w:cs="仿宋"/>
          <w:b/>
          <w:bCs/>
          <w:sz w:val="24"/>
        </w:rPr>
      </w:pPr>
      <w:bookmarkStart w:id="571" w:name="_Toc1716"/>
      <w:bookmarkStart w:id="572" w:name="_Toc129"/>
      <w:bookmarkStart w:id="573" w:name="_Toc27087"/>
      <w:bookmarkStart w:id="574" w:name="_Toc26519"/>
      <w:r>
        <w:rPr>
          <w:rFonts w:hint="eastAsia" w:ascii="仿宋" w:hAnsi="仿宋" w:eastAsia="仿宋" w:cs="仿宋"/>
          <w:b/>
          <w:bCs/>
          <w:sz w:val="24"/>
        </w:rPr>
        <w:t>六、工作周期</w:t>
      </w:r>
      <w:bookmarkEnd w:id="571"/>
      <w:bookmarkEnd w:id="572"/>
      <w:bookmarkEnd w:id="573"/>
      <w:bookmarkEnd w:id="574"/>
    </w:p>
    <w:p>
      <w:pPr>
        <w:spacing w:line="540" w:lineRule="exact"/>
        <w:ind w:firstLine="480" w:firstLineChars="200"/>
        <w:rPr>
          <w:rStyle w:val="72"/>
          <w:rFonts w:hint="default" w:ascii="仿宋" w:hAnsi="仿宋" w:eastAsia="仿宋" w:cs="仿宋"/>
          <w:color w:val="auto"/>
          <w:sz w:val="24"/>
          <w:szCs w:val="24"/>
        </w:rPr>
      </w:pPr>
      <w:r>
        <w:rPr>
          <w:rStyle w:val="72"/>
          <w:rFonts w:ascii="仿宋" w:hAnsi="仿宋" w:eastAsia="仿宋" w:cs="仿宋"/>
          <w:color w:val="auto"/>
          <w:sz w:val="24"/>
          <w:szCs w:val="24"/>
        </w:rPr>
        <w:t>同项目施工期一致，</w:t>
      </w:r>
      <w:r>
        <w:rPr>
          <w:rFonts w:hint="eastAsia" w:ascii="仿宋" w:hAnsi="仿宋" w:eastAsia="仿宋" w:cs="仿宋"/>
          <w:color w:val="auto"/>
          <w:sz w:val="24"/>
        </w:rPr>
        <w:t>2023年3月-2024年9月，2023年8月31日前完成野外竣工验收，2023年11月30日前提交全套竣工资料，2024年8月31日前完成工程复验。</w:t>
      </w:r>
    </w:p>
    <w:p>
      <w:pPr>
        <w:keepNext/>
        <w:keepLines/>
        <w:spacing w:line="377" w:lineRule="auto"/>
      </w:pPr>
    </w:p>
    <w:p>
      <w:pPr>
        <w:pStyle w:val="26"/>
      </w:pPr>
    </w:p>
    <w:p>
      <w:pPr>
        <w:pStyle w:val="26"/>
      </w:pPr>
    </w:p>
    <w:p>
      <w:pPr>
        <w:rPr>
          <w:rFonts w:ascii="仿宋" w:hAnsi="仿宋" w:eastAsia="仿宋" w:cs="仿宋"/>
          <w:sz w:val="24"/>
        </w:rPr>
      </w:pPr>
      <w:r>
        <w:rPr>
          <w:rFonts w:hint="eastAsia" w:ascii="仿宋" w:hAnsi="仿宋" w:eastAsia="仿宋" w:cs="仿宋"/>
          <w:sz w:val="24"/>
        </w:rPr>
        <w:br w:type="page"/>
      </w:r>
    </w:p>
    <w:p>
      <w:pPr>
        <w:spacing w:line="240" w:lineRule="atLeast"/>
        <w:jc w:val="center"/>
        <w:outlineLvl w:val="0"/>
        <w:rPr>
          <w:rFonts w:ascii="仿宋" w:hAnsi="仿宋" w:eastAsia="仿宋" w:cs="仿宋"/>
          <w:b/>
          <w:bCs/>
          <w:sz w:val="28"/>
          <w:szCs w:val="28"/>
        </w:rPr>
      </w:pPr>
      <w:r>
        <w:rPr>
          <w:rFonts w:hint="eastAsia" w:ascii="仿宋" w:hAnsi="仿宋" w:eastAsia="仿宋" w:cs="仿宋"/>
          <w:b/>
          <w:bCs/>
          <w:sz w:val="28"/>
          <w:szCs w:val="28"/>
        </w:rPr>
        <w:t xml:space="preserve">  </w:t>
      </w:r>
      <w:bookmarkStart w:id="575" w:name="_Toc317"/>
      <w:bookmarkStart w:id="576" w:name="_Toc23036"/>
      <w:bookmarkStart w:id="577" w:name="_Toc32557"/>
      <w:r>
        <w:rPr>
          <w:rFonts w:hint="eastAsia" w:ascii="仿宋" w:hAnsi="仿宋" w:eastAsia="仿宋" w:cs="仿宋"/>
          <w:b/>
          <w:bCs/>
          <w:sz w:val="28"/>
          <w:szCs w:val="28"/>
        </w:rPr>
        <w:t>第6章</w:t>
      </w:r>
      <w:r>
        <w:rPr>
          <w:rFonts w:hint="eastAsia" w:ascii="仿宋" w:hAnsi="仿宋" w:eastAsia="仿宋" w:cs="仿宋"/>
        </w:rPr>
        <w:t xml:space="preserve"> </w:t>
      </w:r>
      <w:r>
        <w:rPr>
          <w:rFonts w:hint="eastAsia" w:ascii="仿宋" w:hAnsi="仿宋" w:eastAsia="仿宋" w:cs="仿宋"/>
          <w:b/>
          <w:bCs/>
          <w:sz w:val="28"/>
          <w:szCs w:val="28"/>
        </w:rPr>
        <w:t xml:space="preserve"> </w:t>
      </w:r>
      <w:bookmarkStart w:id="578" w:name="_Toc10220"/>
      <w:bookmarkStart w:id="579" w:name="_Toc507399907"/>
      <w:bookmarkStart w:id="580" w:name="_Toc518923127"/>
      <w:r>
        <w:rPr>
          <w:rFonts w:hint="eastAsia" w:ascii="仿宋" w:hAnsi="仿宋" w:eastAsia="仿宋" w:cs="仿宋"/>
          <w:b/>
          <w:bCs/>
          <w:sz w:val="28"/>
          <w:szCs w:val="28"/>
        </w:rPr>
        <w:t>评标方法和标准</w:t>
      </w:r>
      <w:bookmarkEnd w:id="540"/>
      <w:bookmarkEnd w:id="541"/>
      <w:bookmarkEnd w:id="542"/>
      <w:bookmarkEnd w:id="575"/>
      <w:bookmarkEnd w:id="576"/>
      <w:bookmarkEnd w:id="577"/>
      <w:bookmarkEnd w:id="578"/>
      <w:bookmarkEnd w:id="579"/>
      <w:bookmarkEnd w:id="580"/>
    </w:p>
    <w:p>
      <w:pPr>
        <w:pStyle w:val="2"/>
        <w:tabs>
          <w:tab w:val="clear" w:pos="567"/>
        </w:tabs>
        <w:spacing w:before="0" w:line="240" w:lineRule="atLeast"/>
        <w:ind w:firstLine="540" w:firstLineChars="225"/>
        <w:rPr>
          <w:rFonts w:ascii="仿宋" w:hAnsi="仿宋" w:eastAsia="仿宋" w:cs="仿宋"/>
        </w:rPr>
      </w:pPr>
    </w:p>
    <w:p>
      <w:pPr>
        <w:keepNext/>
        <w:keepLines/>
        <w:autoSpaceDE w:val="0"/>
        <w:autoSpaceDN w:val="0"/>
        <w:adjustRightInd w:val="0"/>
        <w:spacing w:line="240" w:lineRule="atLeast"/>
        <w:ind w:firstLine="562" w:firstLineChars="200"/>
        <w:rPr>
          <w:rFonts w:ascii="仿宋" w:hAnsi="仿宋" w:eastAsia="仿宋" w:cs="仿宋"/>
          <w:b/>
          <w:bCs/>
          <w:sz w:val="28"/>
          <w:szCs w:val="36"/>
        </w:rPr>
      </w:pPr>
      <w:r>
        <w:rPr>
          <w:rFonts w:hint="eastAsia" w:ascii="仿宋" w:hAnsi="仿宋" w:eastAsia="仿宋" w:cs="仿宋"/>
          <w:b/>
          <w:bCs/>
          <w:sz w:val="28"/>
          <w:szCs w:val="36"/>
        </w:rPr>
        <w:t>本项目将按照采购文件第一章供应商须知中“五 开标及评标”、“六 确定中标”及本章的规定评标。</w:t>
      </w:r>
    </w:p>
    <w:p>
      <w:pPr>
        <w:pStyle w:val="2"/>
        <w:tabs>
          <w:tab w:val="clear" w:pos="567"/>
        </w:tabs>
        <w:spacing w:before="100" w:beforeAutospacing="1" w:after="100" w:afterAutospacing="1" w:line="240" w:lineRule="atLeast"/>
        <w:ind w:left="1080" w:leftChars="257" w:hanging="540"/>
        <w:outlineLvl w:val="1"/>
        <w:rPr>
          <w:rFonts w:ascii="仿宋" w:hAnsi="仿宋" w:eastAsia="仿宋" w:cs="仿宋"/>
          <w:iCs/>
          <w:sz w:val="28"/>
          <w:szCs w:val="28"/>
        </w:rPr>
      </w:pPr>
      <w:bookmarkStart w:id="581" w:name="_Toc22552"/>
      <w:bookmarkStart w:id="582" w:name="_Toc29353"/>
      <w:bookmarkStart w:id="583" w:name="_Toc17502"/>
      <w:bookmarkStart w:id="584" w:name="_Toc20937"/>
      <w:r>
        <w:rPr>
          <w:rFonts w:hint="eastAsia" w:ascii="仿宋" w:hAnsi="仿宋" w:eastAsia="仿宋" w:cs="仿宋"/>
          <w:iCs/>
          <w:sz w:val="28"/>
          <w:szCs w:val="28"/>
        </w:rPr>
        <w:t>（内容包括</w:t>
      </w:r>
      <w:r>
        <w:rPr>
          <w:rFonts w:hint="eastAsia" w:ascii="仿宋" w:hAnsi="仿宋" w:eastAsia="仿宋" w:cs="仿宋"/>
          <w:b/>
          <w:iCs/>
          <w:sz w:val="28"/>
          <w:szCs w:val="28"/>
        </w:rPr>
        <w:t>投标无效</w:t>
      </w:r>
      <w:r>
        <w:rPr>
          <w:rFonts w:hint="eastAsia" w:ascii="仿宋" w:hAnsi="仿宋" w:eastAsia="仿宋" w:cs="仿宋"/>
          <w:iCs/>
          <w:sz w:val="28"/>
          <w:szCs w:val="28"/>
        </w:rPr>
        <w:t>界定和详细评标标准）</w:t>
      </w:r>
      <w:bookmarkEnd w:id="581"/>
      <w:bookmarkEnd w:id="582"/>
      <w:bookmarkEnd w:id="583"/>
      <w:bookmarkEnd w:id="584"/>
    </w:p>
    <w:p>
      <w:pPr>
        <w:pStyle w:val="2"/>
        <w:tabs>
          <w:tab w:val="clear" w:pos="567"/>
        </w:tabs>
        <w:spacing w:before="0" w:line="360" w:lineRule="auto"/>
        <w:ind w:left="-181" w:leftChars="-86" w:firstLine="660" w:firstLineChars="275"/>
        <w:outlineLvl w:val="1"/>
        <w:rPr>
          <w:rFonts w:ascii="仿宋" w:hAnsi="仿宋" w:eastAsia="仿宋" w:cs="仿宋"/>
          <w:kern w:val="0"/>
        </w:rPr>
      </w:pPr>
      <w:bookmarkStart w:id="585" w:name="_Toc4078"/>
      <w:bookmarkStart w:id="586" w:name="_Toc23254"/>
      <w:bookmarkStart w:id="587" w:name="_Toc12174"/>
      <w:r>
        <w:rPr>
          <w:rFonts w:hint="eastAsia" w:ascii="仿宋" w:hAnsi="仿宋" w:eastAsia="仿宋" w:cs="仿宋"/>
          <w:kern w:val="0"/>
        </w:rPr>
        <w:t>1. 总则</w:t>
      </w:r>
      <w:bookmarkEnd w:id="585"/>
      <w:bookmarkEnd w:id="586"/>
      <w:bookmarkEnd w:id="587"/>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1.1 根据《中华人民共和国政府采购法》、《中华人民共和国政府采购法实施条例》、《政府采购货物和服务招标投标管理办法（财政部第87号令）》等法律制度，结合采购项目特点制定本评标办法。</w:t>
      </w:r>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1.2 评标工作由采购代理机构负责组织，具体评标事务由采购代理机构依法组建的评标委员会负责。评标委员会由采购人代表和有关技术、经济、法律等方面的专家组成。（本项目评标委员会由5人组成，从自然资源厅专家库中随机抽取后在政府采购网按3：1比例自行组建并随机抽取）</w:t>
      </w:r>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1.3 评标工作应遵循公平、公正、科学及择优的原则，并以相同的评标程序和标准对待所有的供应商。</w:t>
      </w:r>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1.4 评标委员会按照采购文件规定的评标方法和标准进行评标，并独立履行下列职责：</w:t>
      </w:r>
    </w:p>
    <w:p>
      <w:pPr>
        <w:pStyle w:val="2"/>
        <w:tabs>
          <w:tab w:val="clear" w:pos="567"/>
        </w:tabs>
        <w:spacing w:before="0" w:line="360" w:lineRule="auto"/>
        <w:rPr>
          <w:rFonts w:ascii="仿宋" w:hAnsi="仿宋" w:eastAsia="仿宋" w:cs="仿宋"/>
          <w:kern w:val="0"/>
        </w:rPr>
      </w:pPr>
      <w:r>
        <w:rPr>
          <w:rFonts w:hint="eastAsia" w:ascii="仿宋" w:hAnsi="仿宋" w:eastAsia="仿宋" w:cs="仿宋"/>
          <w:kern w:val="0"/>
        </w:rPr>
        <w:t>（一）对供应商的资格性、符合性进行审查；</w:t>
      </w:r>
    </w:p>
    <w:p>
      <w:pPr>
        <w:pStyle w:val="2"/>
        <w:tabs>
          <w:tab w:val="clear" w:pos="567"/>
        </w:tabs>
        <w:spacing w:before="0" w:line="360" w:lineRule="auto"/>
        <w:rPr>
          <w:rFonts w:ascii="仿宋" w:hAnsi="仿宋" w:eastAsia="仿宋" w:cs="仿宋"/>
          <w:kern w:val="0"/>
        </w:rPr>
      </w:pPr>
      <w:r>
        <w:rPr>
          <w:rFonts w:hint="eastAsia" w:ascii="仿宋" w:hAnsi="仿宋" w:eastAsia="仿宋" w:cs="仿宋"/>
          <w:kern w:val="0"/>
        </w:rPr>
        <w:t>（二）审查、评价投标文件是否符合采购文件的商务、技术等实质性要求；</w:t>
      </w:r>
    </w:p>
    <w:p>
      <w:pPr>
        <w:pStyle w:val="2"/>
        <w:tabs>
          <w:tab w:val="clear" w:pos="567"/>
        </w:tabs>
        <w:spacing w:before="0" w:line="360" w:lineRule="auto"/>
        <w:rPr>
          <w:rFonts w:ascii="仿宋" w:hAnsi="仿宋" w:eastAsia="仿宋" w:cs="仿宋"/>
          <w:kern w:val="0"/>
        </w:rPr>
      </w:pPr>
      <w:r>
        <w:rPr>
          <w:rFonts w:hint="eastAsia" w:ascii="仿宋" w:hAnsi="仿宋" w:eastAsia="仿宋" w:cs="仿宋"/>
          <w:kern w:val="0"/>
        </w:rPr>
        <w:t>（三）要求供应商对投标文件有关事项作出澄清或者说明；</w:t>
      </w:r>
    </w:p>
    <w:p>
      <w:pPr>
        <w:pStyle w:val="2"/>
        <w:tabs>
          <w:tab w:val="clear" w:pos="567"/>
        </w:tabs>
        <w:spacing w:before="0" w:line="360" w:lineRule="auto"/>
        <w:rPr>
          <w:rFonts w:ascii="仿宋" w:hAnsi="仿宋" w:eastAsia="仿宋" w:cs="仿宋"/>
          <w:kern w:val="0"/>
        </w:rPr>
      </w:pPr>
      <w:r>
        <w:rPr>
          <w:rFonts w:hint="eastAsia" w:ascii="仿宋" w:hAnsi="仿宋" w:eastAsia="仿宋" w:cs="仿宋"/>
          <w:kern w:val="0"/>
        </w:rPr>
        <w:t>（四）对投标文件进行比较和评价；</w:t>
      </w:r>
    </w:p>
    <w:p>
      <w:pPr>
        <w:pStyle w:val="2"/>
        <w:tabs>
          <w:tab w:val="clear" w:pos="567"/>
        </w:tabs>
        <w:spacing w:before="0" w:line="360" w:lineRule="auto"/>
        <w:rPr>
          <w:rFonts w:ascii="仿宋" w:hAnsi="仿宋" w:eastAsia="仿宋" w:cs="仿宋"/>
          <w:kern w:val="0"/>
        </w:rPr>
      </w:pPr>
      <w:r>
        <w:rPr>
          <w:rFonts w:hint="eastAsia" w:ascii="仿宋" w:hAnsi="仿宋" w:eastAsia="仿宋" w:cs="仿宋"/>
          <w:kern w:val="0"/>
        </w:rPr>
        <w:t>（五）确定中标候选人名单，以及根据采购人委托直接确定中标人；</w:t>
      </w:r>
    </w:p>
    <w:p>
      <w:pPr>
        <w:pStyle w:val="2"/>
        <w:tabs>
          <w:tab w:val="clear" w:pos="567"/>
        </w:tabs>
        <w:spacing w:before="0" w:line="360" w:lineRule="auto"/>
        <w:rPr>
          <w:rFonts w:ascii="仿宋" w:hAnsi="仿宋" w:eastAsia="仿宋" w:cs="仿宋"/>
          <w:kern w:val="0"/>
        </w:rPr>
      </w:pPr>
      <w:r>
        <w:rPr>
          <w:rFonts w:hint="eastAsia" w:ascii="仿宋" w:hAnsi="仿宋" w:eastAsia="仿宋" w:cs="仿宋"/>
          <w:kern w:val="0"/>
        </w:rPr>
        <w:t>（六）向采购人、采购代理机构或者有关部门报告评标中发现的违法行为。</w:t>
      </w:r>
    </w:p>
    <w:p>
      <w:pPr>
        <w:pStyle w:val="2"/>
        <w:tabs>
          <w:tab w:val="clear" w:pos="567"/>
        </w:tabs>
        <w:spacing w:before="0" w:line="360" w:lineRule="auto"/>
        <w:rPr>
          <w:rFonts w:ascii="仿宋" w:hAnsi="仿宋" w:eastAsia="仿宋" w:cs="仿宋"/>
          <w:kern w:val="0"/>
        </w:rPr>
      </w:pPr>
      <w:r>
        <w:rPr>
          <w:rFonts w:hint="eastAsia" w:ascii="仿宋" w:hAnsi="仿宋" w:eastAsia="仿宋" w:cs="仿宋"/>
          <w:kern w:val="0"/>
        </w:rPr>
        <w:t>（七）法律、法规和规章规定的其他职责。</w:t>
      </w:r>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1.5 评标过程独立、保密。供应商非法干预评标过程的行为将导致其投标文件作为无效处理。</w:t>
      </w:r>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1.6评标委员会评价投标文件的响应性，对于供应商而言，除评标委员会要求其澄清、说明或者更正而提供的资料外，仅依据投标文件本身的内容，不寻求其他外部证据。</w:t>
      </w:r>
    </w:p>
    <w:p>
      <w:pPr>
        <w:pStyle w:val="2"/>
        <w:tabs>
          <w:tab w:val="clear" w:pos="567"/>
        </w:tabs>
        <w:spacing w:before="0" w:line="360" w:lineRule="auto"/>
        <w:ind w:firstLine="240" w:firstLineChars="100"/>
        <w:rPr>
          <w:rFonts w:ascii="仿宋" w:hAnsi="仿宋" w:eastAsia="仿宋" w:cs="仿宋"/>
          <w:kern w:val="0"/>
        </w:rPr>
      </w:pPr>
      <w:r>
        <w:rPr>
          <w:rFonts w:hint="eastAsia" w:ascii="仿宋" w:hAnsi="仿宋" w:eastAsia="仿宋" w:cs="仿宋"/>
          <w:kern w:val="0"/>
        </w:rPr>
        <w:t xml:space="preserve"> 1.7采购人或者采购代理机构负责组织评标工作，并履行下列职责：</w:t>
      </w:r>
    </w:p>
    <w:p>
      <w:pPr>
        <w:pStyle w:val="2"/>
        <w:tabs>
          <w:tab w:val="clear" w:pos="567"/>
        </w:tabs>
        <w:spacing w:before="0" w:line="360" w:lineRule="auto"/>
        <w:ind w:firstLine="240" w:firstLineChars="100"/>
        <w:rPr>
          <w:rFonts w:ascii="仿宋" w:hAnsi="仿宋" w:eastAsia="仿宋" w:cs="仿宋"/>
          <w:kern w:val="0"/>
        </w:rPr>
      </w:pPr>
      <w:r>
        <w:rPr>
          <w:rFonts w:hint="eastAsia" w:ascii="仿宋" w:hAnsi="仿宋" w:eastAsia="仿宋" w:cs="仿宋"/>
          <w:kern w:val="0"/>
        </w:rPr>
        <w:t>（一）核对评审专家身份和采购人代表信息，对评审专家在政府采购活动中的职责履行情况予以记录，并及时将有关违法违规行为向财政部门报告；</w:t>
      </w:r>
    </w:p>
    <w:p>
      <w:pPr>
        <w:pStyle w:val="2"/>
        <w:tabs>
          <w:tab w:val="clear" w:pos="567"/>
        </w:tabs>
        <w:spacing w:before="0" w:line="360" w:lineRule="auto"/>
        <w:ind w:firstLine="240" w:firstLineChars="100"/>
        <w:rPr>
          <w:rFonts w:ascii="仿宋" w:hAnsi="仿宋" w:eastAsia="仿宋" w:cs="仿宋"/>
          <w:kern w:val="0"/>
        </w:rPr>
      </w:pPr>
      <w:r>
        <w:rPr>
          <w:rFonts w:hint="eastAsia" w:ascii="仿宋" w:hAnsi="仿宋" w:eastAsia="仿宋" w:cs="仿宋"/>
          <w:kern w:val="0"/>
        </w:rPr>
        <w:t>（二）宣布评标纪律；</w:t>
      </w:r>
    </w:p>
    <w:p>
      <w:pPr>
        <w:pStyle w:val="2"/>
        <w:tabs>
          <w:tab w:val="clear" w:pos="567"/>
        </w:tabs>
        <w:spacing w:before="0" w:line="360" w:lineRule="auto"/>
        <w:ind w:firstLine="240" w:firstLineChars="100"/>
        <w:rPr>
          <w:rFonts w:ascii="仿宋" w:hAnsi="仿宋" w:eastAsia="仿宋" w:cs="仿宋"/>
          <w:kern w:val="0"/>
        </w:rPr>
      </w:pPr>
      <w:r>
        <w:rPr>
          <w:rFonts w:hint="eastAsia" w:ascii="仿宋" w:hAnsi="仿宋" w:eastAsia="仿宋" w:cs="仿宋"/>
          <w:kern w:val="0"/>
        </w:rPr>
        <w:t>（三）公布供应商名单，告知评审专家应当回避的情形；</w:t>
      </w:r>
    </w:p>
    <w:p>
      <w:pPr>
        <w:pStyle w:val="2"/>
        <w:tabs>
          <w:tab w:val="clear" w:pos="567"/>
        </w:tabs>
        <w:spacing w:before="0" w:line="360" w:lineRule="auto"/>
        <w:ind w:firstLine="240" w:firstLineChars="100"/>
        <w:rPr>
          <w:rFonts w:ascii="仿宋" w:hAnsi="仿宋" w:eastAsia="仿宋" w:cs="仿宋"/>
          <w:kern w:val="0"/>
        </w:rPr>
      </w:pPr>
      <w:r>
        <w:rPr>
          <w:rFonts w:hint="eastAsia" w:ascii="仿宋" w:hAnsi="仿宋" w:eastAsia="仿宋" w:cs="仿宋"/>
          <w:kern w:val="0"/>
        </w:rPr>
        <w:t>（四）组织评标委员会推选评标组长，采购人代表不得担任组长；</w:t>
      </w:r>
    </w:p>
    <w:p>
      <w:pPr>
        <w:pStyle w:val="2"/>
        <w:tabs>
          <w:tab w:val="clear" w:pos="567"/>
        </w:tabs>
        <w:spacing w:before="0" w:line="360" w:lineRule="auto"/>
        <w:ind w:firstLine="240" w:firstLineChars="100"/>
        <w:rPr>
          <w:rFonts w:ascii="仿宋" w:hAnsi="仿宋" w:eastAsia="仿宋" w:cs="仿宋"/>
          <w:kern w:val="0"/>
        </w:rPr>
      </w:pPr>
      <w:r>
        <w:rPr>
          <w:rFonts w:hint="eastAsia" w:ascii="仿宋" w:hAnsi="仿宋" w:eastAsia="仿宋" w:cs="仿宋"/>
          <w:kern w:val="0"/>
        </w:rPr>
        <w:t>（五）在评标期间采取必要的通讯管理措施，保证评标活动不受外界干扰；</w:t>
      </w:r>
    </w:p>
    <w:p>
      <w:pPr>
        <w:pStyle w:val="2"/>
        <w:tabs>
          <w:tab w:val="clear" w:pos="567"/>
        </w:tabs>
        <w:spacing w:before="0" w:line="360" w:lineRule="auto"/>
        <w:ind w:firstLine="240" w:firstLineChars="100"/>
        <w:rPr>
          <w:rFonts w:ascii="仿宋" w:hAnsi="仿宋" w:eastAsia="仿宋" w:cs="仿宋"/>
          <w:kern w:val="0"/>
        </w:rPr>
      </w:pPr>
      <w:r>
        <w:rPr>
          <w:rFonts w:hint="eastAsia" w:ascii="仿宋" w:hAnsi="仿宋" w:eastAsia="仿宋" w:cs="仿宋"/>
          <w:kern w:val="0"/>
        </w:rPr>
        <w:t>（六）根据评标委员会的要求介绍政府采购相关政策法规、采购文件；</w:t>
      </w:r>
    </w:p>
    <w:p>
      <w:pPr>
        <w:pStyle w:val="2"/>
        <w:tabs>
          <w:tab w:val="clear" w:pos="567"/>
        </w:tabs>
        <w:spacing w:before="0" w:line="360" w:lineRule="auto"/>
        <w:ind w:firstLine="240" w:firstLineChars="100"/>
        <w:rPr>
          <w:rFonts w:ascii="仿宋" w:hAnsi="仿宋" w:eastAsia="仿宋" w:cs="仿宋"/>
          <w:kern w:val="0"/>
        </w:rPr>
      </w:pPr>
      <w:r>
        <w:rPr>
          <w:rFonts w:hint="eastAsia" w:ascii="仿宋" w:hAnsi="仿宋" w:eastAsia="仿宋" w:cs="仿宋"/>
          <w:kern w:val="0"/>
        </w:rPr>
        <w:t>（七）维护评标秩序，监督评标委员会依照采购文件规定的评标程序、方法和标准进行独立评审，及时制止和纠正采购人代表、评审专家的倾向性言论或者违法违规行为；</w:t>
      </w:r>
    </w:p>
    <w:p>
      <w:pPr>
        <w:pStyle w:val="2"/>
        <w:tabs>
          <w:tab w:val="clear" w:pos="567"/>
        </w:tabs>
        <w:spacing w:before="0" w:line="360" w:lineRule="auto"/>
        <w:ind w:firstLine="240" w:firstLineChars="100"/>
        <w:rPr>
          <w:rFonts w:ascii="仿宋" w:hAnsi="仿宋" w:eastAsia="仿宋" w:cs="仿宋"/>
          <w:kern w:val="0"/>
        </w:rPr>
      </w:pPr>
      <w:r>
        <w:rPr>
          <w:rFonts w:hint="eastAsia" w:ascii="仿宋" w:hAnsi="仿宋" w:eastAsia="仿宋" w:cs="仿宋"/>
          <w:kern w:val="0"/>
        </w:rPr>
        <w:t>（八）核对评标结果，有财政部87号令第六十四条规定情形的，要求评标委员会复核或者书面说明理由，评标委员会拒绝的，应予记录并向本级财政部门报告；</w:t>
      </w:r>
    </w:p>
    <w:p>
      <w:pPr>
        <w:pStyle w:val="2"/>
        <w:tabs>
          <w:tab w:val="clear" w:pos="567"/>
        </w:tabs>
        <w:spacing w:before="0" w:line="360" w:lineRule="auto"/>
        <w:rPr>
          <w:rFonts w:ascii="仿宋" w:hAnsi="仿宋" w:eastAsia="仿宋" w:cs="仿宋"/>
          <w:kern w:val="0"/>
        </w:rPr>
      </w:pPr>
      <w:r>
        <w:rPr>
          <w:rFonts w:hint="eastAsia" w:ascii="仿宋" w:hAnsi="仿宋" w:eastAsia="仿宋" w:cs="仿宋"/>
          <w:kern w:val="0"/>
        </w:rPr>
        <w:t>　（九）处理与评标有关的其他事项。</w:t>
      </w:r>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采购人可以在评标前说明项目背景和采购需求，说明内容不得含有歧视性、倾向性意见，不得超出采购文件所述范围。说明应当提交书面材料，并随采购文件一并存档。</w:t>
      </w:r>
    </w:p>
    <w:p>
      <w:pPr>
        <w:pStyle w:val="2"/>
        <w:tabs>
          <w:tab w:val="clear" w:pos="567"/>
        </w:tabs>
        <w:spacing w:before="0" w:line="360" w:lineRule="auto"/>
        <w:ind w:left="-181" w:leftChars="-86" w:firstLine="663" w:firstLineChars="275"/>
        <w:outlineLvl w:val="1"/>
        <w:rPr>
          <w:rFonts w:ascii="仿宋" w:hAnsi="仿宋" w:eastAsia="仿宋" w:cs="仿宋"/>
          <w:b/>
          <w:bCs/>
          <w:kern w:val="0"/>
        </w:rPr>
      </w:pPr>
      <w:bookmarkStart w:id="588" w:name="_Toc27797"/>
      <w:bookmarkStart w:id="589" w:name="_Toc32661"/>
      <w:bookmarkStart w:id="590" w:name="_Toc28769"/>
      <w:r>
        <w:rPr>
          <w:rFonts w:hint="eastAsia" w:ascii="仿宋" w:hAnsi="仿宋" w:eastAsia="仿宋" w:cs="仿宋"/>
          <w:b/>
          <w:bCs/>
          <w:kern w:val="0"/>
        </w:rPr>
        <w:t>2.评标方法</w:t>
      </w:r>
      <w:bookmarkEnd w:id="588"/>
      <w:bookmarkEnd w:id="589"/>
      <w:bookmarkEnd w:id="590"/>
    </w:p>
    <w:p>
      <w:pPr>
        <w:pStyle w:val="27"/>
        <w:ind w:firstLine="482" w:firstLineChars="200"/>
        <w:rPr>
          <w:rFonts w:ascii="仿宋" w:hAnsi="仿宋" w:eastAsia="仿宋" w:cs="仿宋"/>
          <w:kern w:val="0"/>
          <w:sz w:val="24"/>
          <w:szCs w:val="24"/>
        </w:rPr>
      </w:pPr>
      <w:r>
        <w:rPr>
          <w:rFonts w:hint="eastAsia" w:ascii="仿宋" w:hAnsi="仿宋" w:eastAsia="仿宋" w:cs="仿宋"/>
          <w:b/>
          <w:bCs/>
          <w:kern w:val="0"/>
          <w:sz w:val="24"/>
          <w:szCs w:val="24"/>
        </w:rPr>
        <w:t>本项目评标方法为：综合评分法。</w:t>
      </w:r>
      <w:r>
        <w:rPr>
          <w:rFonts w:hint="eastAsia" w:ascii="仿宋" w:hAnsi="仿宋" w:eastAsia="仿宋" w:cs="仿宋"/>
          <w:b/>
          <w:bCs/>
          <w:sz w:val="24"/>
          <w:szCs w:val="24"/>
        </w:rPr>
        <w:t xml:space="preserve">详细评标标准：采用综合评标法，则：评标结果按评审后得分由高到低顺序排列。得分相同的，按投标报价由低到高顺序排列。得分且投标报价相同的并列。投标文件满足采购文件全部实质性要求，且按照评审因素的量化指标评审得分最高的供应商为排名第一的中标候选人。 </w:t>
      </w:r>
    </w:p>
    <w:p>
      <w:pPr>
        <w:pStyle w:val="2"/>
        <w:tabs>
          <w:tab w:val="clear" w:pos="567"/>
        </w:tabs>
        <w:spacing w:before="0" w:line="360" w:lineRule="auto"/>
        <w:ind w:firstLine="482" w:firstLineChars="200"/>
        <w:outlineLvl w:val="1"/>
        <w:rPr>
          <w:rFonts w:ascii="仿宋" w:hAnsi="仿宋" w:eastAsia="仿宋" w:cs="仿宋"/>
          <w:b/>
          <w:bCs/>
          <w:kern w:val="0"/>
        </w:rPr>
      </w:pPr>
      <w:bookmarkStart w:id="591" w:name="_Toc30177"/>
      <w:bookmarkStart w:id="592" w:name="_Toc17928"/>
      <w:bookmarkStart w:id="593" w:name="_Toc20147"/>
      <w:r>
        <w:rPr>
          <w:rFonts w:hint="eastAsia" w:ascii="仿宋" w:hAnsi="仿宋" w:eastAsia="仿宋" w:cs="仿宋"/>
          <w:b/>
          <w:bCs/>
          <w:kern w:val="0"/>
        </w:rPr>
        <w:t>3.评标程序</w:t>
      </w:r>
      <w:bookmarkEnd w:id="591"/>
      <w:bookmarkEnd w:id="592"/>
      <w:bookmarkEnd w:id="593"/>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3.1熟悉和理解采购文件和停止评标。</w:t>
      </w:r>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3.1.1评标委员会正式评标前，应当对采购文件进行熟悉和理解，内容主要包括采购文件中采购项目技术、规格型号和商务要求、评标方法和标准以及可能涉及签订政府采购合同的内容等。</w:t>
      </w:r>
    </w:p>
    <w:p>
      <w:pPr>
        <w:pStyle w:val="2"/>
        <w:tabs>
          <w:tab w:val="clear" w:pos="567"/>
        </w:tabs>
        <w:spacing w:before="0" w:line="360" w:lineRule="auto"/>
        <w:ind w:left="-199" w:leftChars="-95" w:firstLine="199" w:firstLineChars="83"/>
        <w:rPr>
          <w:rFonts w:ascii="仿宋" w:hAnsi="仿宋" w:eastAsia="仿宋" w:cs="仿宋"/>
          <w:kern w:val="0"/>
        </w:rPr>
      </w:pPr>
      <w:r>
        <w:rPr>
          <w:rFonts w:hint="eastAsia" w:ascii="仿宋" w:hAnsi="仿宋" w:eastAsia="仿宋" w:cs="仿宋"/>
          <w:kern w:val="0"/>
        </w:rPr>
        <w:t xml:space="preserve"> 评标委员会发现采购文件存在歧义、重大缺陷导致评标工作无法进行，或者采购文件内容违反国家有关强制性规定的，应当停止评标工作，与采购人或者采购代理机构沟通并作书面记录。采购人或者采购代理机构确认后，应当修改采购文件，重新组织采购活动。</w:t>
      </w:r>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3.2资格性检查（见综合评分表前附表）。</w:t>
      </w:r>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3.3符合性检查（见综合评分表前附表）。</w:t>
      </w:r>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3.3.1评标委员会依据本采购文件的实质性要求，对符合资格的投标文件进行审查，以确定其是否满足本采购文件的实质性要求。</w:t>
      </w:r>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3.3.2本项目符合性审查事项仅限于本采购文件的明确规定。投标文件是否满足采购文件的实质性要求，必须以本采购文件的明确规定作为依据，否则，不能对投标文件作为无效处理，评标委员会不得臆测符合性审查事项。</w:t>
      </w:r>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3.3.3投标文件以骑缝章的形式代替投标文件内容逐页盖章的（但是骑缝章模糊不清，印章名称无法辨认的除外）本项目不作为实质性要求进行规定，即不作为符合性审查事项，不得作为无效投标处理：</w:t>
      </w:r>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3.4比较与评价。按采购文件中规定的评标方法和标准，对未作无效投标处理的投标文件进行技术、型号、商务等方面评估，综合比较与评价。</w:t>
      </w:r>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3.4.1评标委员会首先按照采购文件要求对投标文件中的供应商资格、供应商资格证明文件、重要技术指标以及技术和商务上要求的其它重要内容进行审核，审核合格后即视为实质性响应的投标文件，除考虑投标价格外，还应考虑以下因素：投标文件中所报交货期及付款方式；货物的技术水平、性能和供货能力；货物的质量和适用性；配套产品的安全性、先进性；投标方为其所供货物提供零备件及售后服务的可能性；零备件、专用工具及相关服务的费用。</w:t>
      </w:r>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评审完毕，评标委员会根据汇总各供应商的综合得分，按照得分高低进行排序，取前三名作为中标候选人推荐给招标委员会。如果两供应商的得分相同，投标价格低者排在前。</w:t>
      </w:r>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本项目参数要求、评审内容如有指向性，仅作为招标参考，投标服务不应低于招标要求，如有不符合要求，视为不响应采购文件规定。</w:t>
      </w:r>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3.5复核。评分汇总结束后，评标委员会应当进行复核，特别要对拟推荐为中标候选供应商的、报价最低的、投标文件被认定为无效的进行重点复核。</w:t>
      </w:r>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3.6推荐中标候选供应商。中标候选供应商应当排序。</w:t>
      </w:r>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3.7出具评标报告。评标委员会推荐中标候选供应商后，应当向招标采购单位出具评标报告。评标报告应当包括下列内容：</w:t>
      </w:r>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（一）招标公告刊登的媒体名称、开标日期和地点；</w:t>
      </w:r>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（二）评标委员会成员名单；</w:t>
      </w:r>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（三）评标方法和标准；</w:t>
      </w:r>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（四）开标记录和评标情况及说明，包括无效供应商名单及原因；</w:t>
      </w:r>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（五）评标结果，确定的中标候选人名单或者经采购人委托直接确定的中标人；</w:t>
      </w:r>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（六）其他需要说明的情况，包括评标过程中供应商根据评标委员会要求进行的澄清、说明或者补正，评标委员会成员的更换等。</w:t>
      </w:r>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3.8评标争议处理规则。评标委员会在评审过程中，对于符合性审查、对供应商投标文件做无效投标处理及其他需要共同认定的事项存在争议的，应当以少数服从多数的原则做出结论，但不得违背法律法规和采购文件规定。有不同意见的评标委员会成员认为认定过程和结果不符合法律法规或者采购文件规定的，应当及时向招标采购单位书面反映。招标采购单位收到书面反映后，应当书面报告采购项目同级财政部门依法处理。</w:t>
      </w:r>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3.9供应商应当书面澄清、说明或者更正。</w:t>
      </w:r>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3.9.1在评标过程中，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 xml:space="preserve">  3.9.2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但供应商的澄清、说明或者补正不得超出投标文件的范围或者改变投标文件的实质性内容。</w:t>
      </w:r>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3.9.3评标委员会要求供应商澄清、说明或者更正，不得超出采购文件的范围，不得以此让供应商实质改变投标文件的内容，不得影响供应商公平竞争。本项目下列内容不得澄清：</w:t>
      </w:r>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（一）按财政部规定应当在评标时不予承认的投标文件内容事项；</w:t>
      </w:r>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（二）投标文件中已经明确的内容事项；</w:t>
      </w:r>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（三）投标文件未提供的材料。</w:t>
      </w:r>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3.10评标委员会认为供应商的报价明显低于其他通过符合性审查供应商的报价，有可能影响产品质量或者不能诚信履约的，评标委员会组长在评标现场发起“在线询标”，必要时提交相关证明材料；供应商不能证明其报价合理性的，评标委员会应当将其作为无效投标处理。</w:t>
      </w:r>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3.11招标采购单位现场复核评标结果。</w:t>
      </w:r>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3.11.1评标报告签署前，经复核发现存在实质性错误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2"/>
        <w:tabs>
          <w:tab w:val="clear" w:pos="567"/>
        </w:tabs>
        <w:spacing w:before="0" w:line="360" w:lineRule="auto"/>
        <w:ind w:left="-181" w:leftChars="-86" w:firstLine="663" w:firstLineChars="275"/>
        <w:outlineLvl w:val="1"/>
        <w:rPr>
          <w:rFonts w:ascii="仿宋" w:hAnsi="仿宋" w:eastAsia="仿宋" w:cs="仿宋"/>
          <w:b/>
          <w:bCs/>
          <w:kern w:val="0"/>
        </w:rPr>
      </w:pPr>
      <w:bookmarkStart w:id="594" w:name="_Toc19753"/>
      <w:bookmarkStart w:id="595" w:name="_Toc14616"/>
      <w:bookmarkStart w:id="596" w:name="_Toc975"/>
      <w:r>
        <w:rPr>
          <w:rFonts w:hint="eastAsia" w:ascii="仿宋" w:hAnsi="仿宋" w:eastAsia="仿宋" w:cs="仿宋"/>
          <w:b/>
          <w:bCs/>
          <w:kern w:val="0"/>
        </w:rPr>
        <w:t>4.废标</w:t>
      </w:r>
      <w:bookmarkEnd w:id="594"/>
      <w:bookmarkEnd w:id="595"/>
      <w:bookmarkEnd w:id="596"/>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废标后，采购代理机构应在网上公告。供应商需要知晓导致废标情形的具体原因和理由的，可以通过书面形式询问招标采购单位。</w:t>
      </w:r>
    </w:p>
    <w:p>
      <w:pPr>
        <w:pStyle w:val="2"/>
        <w:tabs>
          <w:tab w:val="clear" w:pos="567"/>
        </w:tabs>
        <w:spacing w:before="0" w:line="360" w:lineRule="auto"/>
        <w:ind w:left="-181" w:leftChars="-86" w:firstLine="660" w:firstLineChars="275"/>
        <w:rPr>
          <w:rFonts w:ascii="仿宋" w:hAnsi="仿宋" w:eastAsia="仿宋" w:cs="仿宋"/>
          <w:b/>
          <w:bCs/>
          <w:kern w:val="0"/>
        </w:rPr>
      </w:pPr>
      <w:r>
        <w:rPr>
          <w:rFonts w:hint="eastAsia" w:ascii="仿宋" w:hAnsi="仿宋" w:eastAsia="仿宋" w:cs="仿宋"/>
          <w:kern w:val="0"/>
        </w:rPr>
        <w:t>对于评标过程中废标的采购项目，评标委员会应当对采购文件是否存在倾向性和歧视性、是否存在不合理条款进行论证，并出具书面论证意见。</w:t>
      </w:r>
    </w:p>
    <w:p>
      <w:pPr>
        <w:pStyle w:val="2"/>
        <w:tabs>
          <w:tab w:val="clear" w:pos="567"/>
        </w:tabs>
        <w:spacing w:before="0" w:line="360" w:lineRule="auto"/>
        <w:ind w:left="-181" w:leftChars="-86" w:firstLine="663" w:firstLineChars="275"/>
        <w:rPr>
          <w:rFonts w:ascii="仿宋" w:hAnsi="仿宋" w:eastAsia="仿宋" w:cs="仿宋"/>
          <w:b/>
          <w:bCs/>
          <w:kern w:val="0"/>
        </w:rPr>
      </w:pPr>
      <w:r>
        <w:rPr>
          <w:rFonts w:hint="eastAsia" w:ascii="仿宋" w:hAnsi="仿宋" w:eastAsia="仿宋" w:cs="仿宋"/>
          <w:b/>
          <w:bCs/>
          <w:kern w:val="0"/>
        </w:rPr>
        <w:t>如发现下列情况之一的，其投标将被认定为投标无效：</w:t>
      </w:r>
    </w:p>
    <w:p>
      <w:pPr>
        <w:pStyle w:val="2"/>
        <w:tabs>
          <w:tab w:val="clear" w:pos="567"/>
        </w:tabs>
        <w:spacing w:before="0" w:line="360" w:lineRule="auto"/>
        <w:ind w:left="-181" w:leftChars="-86" w:firstLine="663" w:firstLineChars="275"/>
        <w:rPr>
          <w:rFonts w:ascii="仿宋" w:hAnsi="仿宋" w:eastAsia="仿宋" w:cs="仿宋"/>
          <w:b/>
          <w:bCs/>
          <w:kern w:val="0"/>
        </w:rPr>
      </w:pPr>
      <w:r>
        <w:rPr>
          <w:rFonts w:hint="eastAsia" w:ascii="仿宋" w:hAnsi="仿宋" w:eastAsia="仿宋" w:cs="仿宋"/>
          <w:b/>
          <w:bCs/>
          <w:kern w:val="0"/>
        </w:rPr>
        <w:t>①未按采购文件规定的形式和金额提交投标保证金的；</w:t>
      </w:r>
    </w:p>
    <w:p>
      <w:pPr>
        <w:pStyle w:val="2"/>
        <w:tabs>
          <w:tab w:val="clear" w:pos="567"/>
        </w:tabs>
        <w:spacing w:before="0" w:line="360" w:lineRule="auto"/>
        <w:ind w:left="-181" w:leftChars="-86" w:firstLine="663" w:firstLineChars="275"/>
        <w:rPr>
          <w:rFonts w:ascii="仿宋" w:hAnsi="仿宋" w:eastAsia="仿宋" w:cs="仿宋"/>
          <w:b/>
          <w:bCs/>
          <w:kern w:val="0"/>
        </w:rPr>
      </w:pPr>
      <w:r>
        <w:rPr>
          <w:rFonts w:hint="eastAsia" w:ascii="仿宋" w:hAnsi="仿宋" w:eastAsia="仿宋" w:cs="仿宋"/>
          <w:b/>
          <w:bCs/>
          <w:kern w:val="0"/>
        </w:rPr>
        <w:t>②未按照采购文件规定要求签署、盖章的；</w:t>
      </w:r>
    </w:p>
    <w:p>
      <w:pPr>
        <w:pStyle w:val="2"/>
        <w:tabs>
          <w:tab w:val="clear" w:pos="567"/>
        </w:tabs>
        <w:spacing w:before="0" w:line="360" w:lineRule="auto"/>
        <w:ind w:left="-181" w:leftChars="-86" w:firstLine="663" w:firstLineChars="275"/>
        <w:rPr>
          <w:rFonts w:ascii="仿宋" w:hAnsi="仿宋" w:eastAsia="仿宋" w:cs="仿宋"/>
          <w:b/>
          <w:bCs/>
          <w:kern w:val="0"/>
        </w:rPr>
      </w:pPr>
      <w:r>
        <w:rPr>
          <w:rFonts w:hint="eastAsia" w:ascii="仿宋" w:hAnsi="仿宋" w:eastAsia="仿宋" w:cs="仿宋"/>
          <w:b/>
          <w:bCs/>
          <w:kern w:val="0"/>
        </w:rPr>
        <w:t>③未满足采购文件中技术条款的实质性要求；</w:t>
      </w:r>
    </w:p>
    <w:p>
      <w:pPr>
        <w:pStyle w:val="2"/>
        <w:tabs>
          <w:tab w:val="clear" w:pos="567"/>
        </w:tabs>
        <w:spacing w:before="0" w:line="360" w:lineRule="auto"/>
        <w:ind w:left="-181" w:leftChars="-86" w:firstLine="663" w:firstLineChars="275"/>
        <w:rPr>
          <w:rFonts w:ascii="仿宋" w:hAnsi="仿宋" w:eastAsia="仿宋" w:cs="仿宋"/>
          <w:b/>
          <w:bCs/>
          <w:kern w:val="0"/>
        </w:rPr>
      </w:pPr>
      <w:r>
        <w:rPr>
          <w:rFonts w:hint="eastAsia" w:ascii="仿宋" w:hAnsi="仿宋" w:eastAsia="仿宋" w:cs="仿宋"/>
          <w:b/>
          <w:bCs/>
          <w:kern w:val="0"/>
        </w:rPr>
        <w:t>④与其他供应商串通投标，或者与招标人串通投标；</w:t>
      </w:r>
    </w:p>
    <w:p>
      <w:pPr>
        <w:pStyle w:val="2"/>
        <w:tabs>
          <w:tab w:val="clear" w:pos="567"/>
        </w:tabs>
        <w:spacing w:before="0" w:line="360" w:lineRule="auto"/>
        <w:ind w:left="-181" w:leftChars="-86" w:firstLine="663" w:firstLineChars="275"/>
        <w:rPr>
          <w:rFonts w:ascii="仿宋" w:hAnsi="仿宋" w:eastAsia="仿宋" w:cs="仿宋"/>
          <w:b/>
          <w:bCs/>
          <w:kern w:val="0"/>
        </w:rPr>
      </w:pPr>
      <w:r>
        <w:rPr>
          <w:rFonts w:hint="eastAsia" w:ascii="仿宋" w:hAnsi="仿宋" w:eastAsia="仿宋" w:cs="仿宋"/>
          <w:b/>
          <w:bCs/>
          <w:kern w:val="0"/>
        </w:rPr>
        <w:t>⑤属于采购文件规定的其他投标无效情形；</w:t>
      </w:r>
    </w:p>
    <w:p>
      <w:pPr>
        <w:pStyle w:val="2"/>
        <w:tabs>
          <w:tab w:val="clear" w:pos="567"/>
        </w:tabs>
        <w:spacing w:before="0" w:line="360" w:lineRule="auto"/>
        <w:ind w:left="-181" w:leftChars="-86" w:firstLine="663" w:firstLineChars="275"/>
        <w:rPr>
          <w:rFonts w:ascii="仿宋" w:hAnsi="仿宋" w:eastAsia="仿宋" w:cs="仿宋"/>
          <w:b/>
          <w:bCs/>
          <w:kern w:val="0"/>
        </w:rPr>
      </w:pPr>
      <w:r>
        <w:rPr>
          <w:rFonts w:hint="eastAsia" w:ascii="仿宋" w:hAnsi="仿宋" w:eastAsia="仿宋" w:cs="仿宋"/>
          <w:b/>
          <w:bCs/>
          <w:kern w:val="0"/>
        </w:rPr>
        <w:t>⑥评标委员会认为供应商的报价明显低于其他通过符合性检查供应商的报价，有可能影响履约的，且供应商未按照规定证明其报价合理性的；</w:t>
      </w:r>
    </w:p>
    <w:p>
      <w:pPr>
        <w:pStyle w:val="2"/>
        <w:tabs>
          <w:tab w:val="clear" w:pos="567"/>
        </w:tabs>
        <w:spacing w:before="0" w:line="360" w:lineRule="auto"/>
        <w:ind w:left="-181" w:leftChars="-86" w:firstLine="663" w:firstLineChars="275"/>
        <w:rPr>
          <w:rFonts w:ascii="仿宋" w:hAnsi="仿宋" w:eastAsia="仿宋" w:cs="仿宋"/>
          <w:b/>
          <w:bCs/>
          <w:kern w:val="0"/>
        </w:rPr>
      </w:pPr>
      <w:r>
        <w:rPr>
          <w:rFonts w:hint="eastAsia" w:ascii="仿宋" w:hAnsi="仿宋" w:eastAsia="仿宋" w:cs="仿宋"/>
          <w:b/>
          <w:bCs/>
          <w:kern w:val="0"/>
        </w:rPr>
        <w:t>⑦投标文件含有采购人不能接受的附加条件的；</w:t>
      </w:r>
    </w:p>
    <w:p>
      <w:pPr>
        <w:pStyle w:val="2"/>
        <w:tabs>
          <w:tab w:val="clear" w:pos="567"/>
        </w:tabs>
        <w:spacing w:before="0" w:line="360" w:lineRule="auto"/>
        <w:ind w:left="-181" w:leftChars="-86" w:firstLine="663" w:firstLineChars="275"/>
        <w:rPr>
          <w:rFonts w:ascii="仿宋" w:hAnsi="仿宋" w:eastAsia="仿宋" w:cs="仿宋"/>
          <w:b/>
          <w:bCs/>
          <w:kern w:val="0"/>
        </w:rPr>
      </w:pPr>
      <w:r>
        <w:rPr>
          <w:rFonts w:hint="eastAsia" w:ascii="仿宋" w:hAnsi="仿宋" w:eastAsia="仿宋" w:cs="仿宋"/>
          <w:b/>
          <w:bCs/>
          <w:kern w:val="0"/>
        </w:rPr>
        <w:t>⑧不符合法规和采购文件中规定的其他实质性要求的。</w:t>
      </w:r>
    </w:p>
    <w:p>
      <w:pPr>
        <w:pStyle w:val="2"/>
        <w:tabs>
          <w:tab w:val="clear" w:pos="567"/>
        </w:tabs>
        <w:spacing w:before="0" w:line="360" w:lineRule="auto"/>
        <w:ind w:left="-181" w:leftChars="-86" w:firstLine="663" w:firstLineChars="275"/>
        <w:outlineLvl w:val="1"/>
        <w:rPr>
          <w:rFonts w:ascii="仿宋" w:hAnsi="仿宋" w:eastAsia="仿宋" w:cs="仿宋"/>
          <w:b/>
          <w:bCs/>
          <w:kern w:val="0"/>
        </w:rPr>
      </w:pPr>
      <w:bookmarkStart w:id="597" w:name="_Toc6214"/>
      <w:bookmarkStart w:id="598" w:name="_Toc16914"/>
      <w:bookmarkStart w:id="599" w:name="_Toc7412"/>
      <w:r>
        <w:rPr>
          <w:rFonts w:hint="eastAsia" w:ascii="仿宋" w:hAnsi="仿宋" w:eastAsia="仿宋" w:cs="仿宋"/>
          <w:b/>
          <w:bCs/>
          <w:kern w:val="0"/>
        </w:rPr>
        <w:t>5.定标</w:t>
      </w:r>
      <w:bookmarkEnd w:id="597"/>
      <w:bookmarkEnd w:id="598"/>
      <w:bookmarkEnd w:id="599"/>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5.1. 定标原则：由采购人根据评标委员会的推荐意见确定中标供应商。</w:t>
      </w:r>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5.2. 定标程序</w:t>
      </w:r>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5.2.1 评标委员会将评标情况写出书面报告，推荐中标候选供应商。</w:t>
      </w:r>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5.2.2 采购代理机构在评标结束后2个工作日内将采购结果确认单和评标报告发至采购人处。</w:t>
      </w:r>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5.2.3 采购人在收到后5个工作日内，按照评标报告中推荐的中标候选供应商顺序确定中标供应商。采用综合评分法的，评标结果按投标报价由低到高顺序排列；投标报价相同的并列，投标文件满足采购文件全部实质性要求且投标报价最低的供应商为中标候选供应商；报价相同且满足采购文件全部实质性要求的并列，由采购人自主采取公平、择优的方式选择中标供应商。</w:t>
      </w:r>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5.2.4 根据采购人确定的中标供应商，采购代理机构在新疆政府采购网上发布中标公告，并自采购人确定中标之日起3个工作日内向中标供应商发出中标通知书。</w:t>
      </w:r>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5.2.5 招标采购单位不退回供应商投标文件和其他投标资料。</w:t>
      </w:r>
    </w:p>
    <w:p>
      <w:pPr>
        <w:pStyle w:val="2"/>
        <w:tabs>
          <w:tab w:val="clear" w:pos="567"/>
        </w:tabs>
        <w:spacing w:before="0" w:line="360" w:lineRule="auto"/>
        <w:ind w:left="-181" w:leftChars="-86" w:firstLine="663" w:firstLineChars="275"/>
        <w:outlineLvl w:val="1"/>
        <w:rPr>
          <w:rFonts w:ascii="仿宋" w:hAnsi="仿宋" w:eastAsia="仿宋" w:cs="仿宋"/>
          <w:kern w:val="0"/>
        </w:rPr>
      </w:pPr>
      <w:bookmarkStart w:id="600" w:name="_Toc1445"/>
      <w:bookmarkStart w:id="601" w:name="_Toc8056"/>
      <w:bookmarkStart w:id="602" w:name="_Toc28171"/>
      <w:r>
        <w:rPr>
          <w:rFonts w:hint="eastAsia" w:ascii="仿宋" w:hAnsi="仿宋" w:eastAsia="仿宋" w:cs="仿宋"/>
          <w:b/>
          <w:bCs/>
          <w:kern w:val="0"/>
        </w:rPr>
        <w:t>6.详细的评标标准：（具体内容详见综合评分表）</w:t>
      </w:r>
      <w:bookmarkEnd w:id="600"/>
      <w:bookmarkEnd w:id="601"/>
      <w:bookmarkEnd w:id="602"/>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各供应商的价格得分的计算公式：采用低价优先法计算，即满足采购文件要求且投标价格最低的投标报价为评标基准价，其价格分为满分。其他供应商的价格分统一按照下列公式计算：</w:t>
      </w:r>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投标报价得分=(评标基准价／投标报价)×价格权值</w:t>
      </w:r>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计算分数时四舍五入取小数点后两位,分数最高不超过10分。由监标人员负责核准每个合格供应商的价格得分。</w:t>
      </w:r>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注：若为中小企业，其投标报价扣除10%后参与评审，提供相关证明资料，否则无效。</w:t>
      </w:r>
    </w:p>
    <w:p>
      <w:pPr>
        <w:pStyle w:val="2"/>
        <w:tabs>
          <w:tab w:val="clear" w:pos="567"/>
        </w:tabs>
        <w:spacing w:before="0" w:line="360" w:lineRule="auto"/>
        <w:ind w:left="-181" w:leftChars="-86" w:firstLine="660" w:firstLineChars="275"/>
        <w:rPr>
          <w:rFonts w:ascii="仿宋" w:hAnsi="仿宋" w:eastAsia="仿宋" w:cs="仿宋"/>
          <w:kern w:val="0"/>
        </w:rPr>
      </w:pPr>
      <w:r>
        <w:rPr>
          <w:rFonts w:hint="eastAsia" w:ascii="仿宋" w:hAnsi="仿宋" w:eastAsia="仿宋" w:cs="仿宋"/>
          <w:kern w:val="0"/>
        </w:rPr>
        <w:t>标项一</w:t>
      </w:r>
      <w:r>
        <w:rPr>
          <w:rFonts w:hint="eastAsia" w:ascii="仿宋" w:hAnsi="仿宋" w:eastAsia="仿宋" w:cs="仿宋"/>
          <w:kern w:val="0"/>
          <w:lang w:eastAsia="zh-CN"/>
        </w:rPr>
        <w:t>、</w:t>
      </w:r>
      <w:r>
        <w:rPr>
          <w:rFonts w:hint="eastAsia" w:ascii="仿宋" w:hAnsi="仿宋" w:eastAsia="仿宋" w:cs="仿宋"/>
          <w:kern w:val="0"/>
          <w:lang w:val="en-US" w:eastAsia="zh-CN"/>
        </w:rPr>
        <w:t>标项二、标项三、标项四</w:t>
      </w:r>
      <w:r>
        <w:rPr>
          <w:rFonts w:hint="eastAsia" w:ascii="仿宋" w:hAnsi="仿宋" w:eastAsia="仿宋" w:cs="仿宋"/>
          <w:kern w:val="0"/>
        </w:rPr>
        <w:t>技术占70%，商务20%；</w:t>
      </w:r>
    </w:p>
    <w:p>
      <w:pPr>
        <w:pStyle w:val="4"/>
        <w:ind w:firstLine="0" w:firstLineChars="0"/>
        <w:rPr>
          <w:rFonts w:ascii="仿宋" w:hAnsi="仿宋" w:eastAsia="仿宋" w:cs="仿宋"/>
          <w:b/>
          <w:bCs/>
          <w:kern w:val="0"/>
          <w:sz w:val="32"/>
          <w:szCs w:val="32"/>
        </w:rPr>
      </w:pPr>
      <w:bookmarkStart w:id="603" w:name="_Toc507399904"/>
      <w:r>
        <w:rPr>
          <w:rFonts w:hint="eastAsia" w:ascii="仿宋" w:hAnsi="仿宋" w:eastAsia="仿宋" w:cs="仿宋"/>
          <w:b/>
          <w:bCs/>
          <w:kern w:val="0"/>
          <w:sz w:val="32"/>
          <w:szCs w:val="32"/>
        </w:rPr>
        <w:br w:type="page"/>
      </w:r>
    </w:p>
    <w:p>
      <w:pPr>
        <w:jc w:val="center"/>
        <w:outlineLvl w:val="0"/>
      </w:pPr>
      <w:bookmarkStart w:id="604" w:name="_Toc16599"/>
      <w:bookmarkStart w:id="605" w:name="_Toc3511"/>
      <w:bookmarkStart w:id="606" w:name="_Toc4964"/>
      <w:r>
        <w:rPr>
          <w:rFonts w:hint="eastAsia" w:ascii="仿宋" w:hAnsi="仿宋" w:eastAsia="仿宋" w:cs="宋体"/>
          <w:b/>
          <w:bCs/>
          <w:kern w:val="0"/>
          <w:sz w:val="32"/>
          <w:szCs w:val="32"/>
        </w:rPr>
        <w:t>综合评分表</w:t>
      </w:r>
      <w:bookmarkEnd w:id="604"/>
      <w:bookmarkEnd w:id="605"/>
      <w:bookmarkEnd w:id="606"/>
    </w:p>
    <w:p>
      <w:pPr>
        <w:widowControl/>
        <w:jc w:val="center"/>
        <w:outlineLvl w:val="2"/>
        <w:rPr>
          <w:rFonts w:ascii="仿宋" w:hAnsi="仿宋" w:eastAsia="仿宋" w:cs="仿宋"/>
          <w:b/>
          <w:kern w:val="0"/>
          <w:sz w:val="28"/>
          <w:szCs w:val="28"/>
        </w:rPr>
      </w:pPr>
      <w:r>
        <w:rPr>
          <w:rFonts w:hint="eastAsia" w:ascii="仿宋" w:hAnsi="仿宋" w:eastAsia="仿宋" w:cs="仿宋"/>
          <w:b/>
          <w:bCs/>
          <w:kern w:val="0"/>
          <w:sz w:val="28"/>
          <w:szCs w:val="28"/>
        </w:rPr>
        <w:t>资格审查表</w:t>
      </w:r>
    </w:p>
    <w:tbl>
      <w:tblPr>
        <w:tblStyle w:val="36"/>
        <w:tblW w:w="8716" w:type="dxa"/>
        <w:tblInd w:w="113" w:type="dxa"/>
        <w:tblLayout w:type="fixed"/>
        <w:tblCellMar>
          <w:top w:w="0" w:type="dxa"/>
          <w:left w:w="108" w:type="dxa"/>
          <w:bottom w:w="0" w:type="dxa"/>
          <w:right w:w="108" w:type="dxa"/>
        </w:tblCellMar>
      </w:tblPr>
      <w:tblGrid>
        <w:gridCol w:w="740"/>
        <w:gridCol w:w="6114"/>
        <w:gridCol w:w="925"/>
        <w:gridCol w:w="937"/>
      </w:tblGrid>
      <w:tr>
        <w:tblPrEx>
          <w:tblCellMar>
            <w:top w:w="0" w:type="dxa"/>
            <w:left w:w="108" w:type="dxa"/>
            <w:bottom w:w="0" w:type="dxa"/>
            <w:right w:w="108" w:type="dxa"/>
          </w:tblCellMar>
        </w:tblPrEx>
        <w:trPr>
          <w:trHeight w:val="410" w:hRule="atLeast"/>
        </w:trPr>
        <w:tc>
          <w:tcPr>
            <w:tcW w:w="740" w:type="dxa"/>
            <w:vMerge w:val="restart"/>
            <w:tcBorders>
              <w:top w:val="single" w:color="auto" w:sz="4" w:space="0"/>
              <w:left w:val="single" w:color="auto" w:sz="4" w:space="0"/>
              <w:bottom w:val="single" w:color="000000" w:sz="4" w:space="0"/>
              <w:right w:val="single" w:color="auto" w:sz="4" w:space="0"/>
            </w:tcBorders>
            <w:shd w:val="clear" w:color="000000" w:fill="E2EFDA"/>
            <w:vAlign w:val="center"/>
          </w:tcPr>
          <w:p>
            <w:pPr>
              <w:widowControl/>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序号</w:t>
            </w:r>
          </w:p>
        </w:tc>
        <w:tc>
          <w:tcPr>
            <w:tcW w:w="6114" w:type="dxa"/>
            <w:vMerge w:val="restart"/>
            <w:tcBorders>
              <w:top w:val="single" w:color="auto" w:sz="4" w:space="0"/>
              <w:left w:val="single" w:color="auto" w:sz="4" w:space="0"/>
              <w:bottom w:val="single" w:color="000000" w:sz="4" w:space="0"/>
              <w:right w:val="single" w:color="auto" w:sz="4" w:space="0"/>
            </w:tcBorders>
            <w:shd w:val="clear" w:color="000000" w:fill="E2EFDA"/>
            <w:vAlign w:val="center"/>
          </w:tcPr>
          <w:p>
            <w:pPr>
              <w:widowControl/>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审核项目</w:t>
            </w:r>
          </w:p>
        </w:tc>
        <w:tc>
          <w:tcPr>
            <w:tcW w:w="1862" w:type="dxa"/>
            <w:gridSpan w:val="2"/>
            <w:tcBorders>
              <w:top w:val="single" w:color="auto" w:sz="4" w:space="0"/>
              <w:left w:val="nil"/>
              <w:bottom w:val="single" w:color="auto" w:sz="4" w:space="0"/>
              <w:right w:val="single" w:color="auto" w:sz="4" w:space="0"/>
            </w:tcBorders>
            <w:shd w:val="clear" w:color="000000" w:fill="E2EFDA"/>
            <w:vAlign w:val="center"/>
          </w:tcPr>
          <w:p>
            <w:pPr>
              <w:widowControl/>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供应商</w:t>
            </w:r>
          </w:p>
        </w:tc>
      </w:tr>
      <w:tr>
        <w:tblPrEx>
          <w:tblCellMar>
            <w:top w:w="0" w:type="dxa"/>
            <w:left w:w="108" w:type="dxa"/>
            <w:bottom w:w="0" w:type="dxa"/>
            <w:right w:w="108" w:type="dxa"/>
          </w:tblCellMar>
        </w:tblPrEx>
        <w:trPr>
          <w:trHeight w:val="410" w:hRule="atLeast"/>
        </w:trPr>
        <w:tc>
          <w:tcPr>
            <w:tcW w:w="74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仿宋" w:hAnsi="仿宋" w:eastAsia="仿宋" w:cs="仿宋"/>
                <w:b/>
                <w:bCs/>
                <w:color w:val="000000"/>
                <w:kern w:val="0"/>
                <w:sz w:val="22"/>
                <w:szCs w:val="22"/>
              </w:rPr>
            </w:pPr>
          </w:p>
        </w:tc>
        <w:tc>
          <w:tcPr>
            <w:tcW w:w="6114"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仿宋" w:hAnsi="仿宋" w:eastAsia="仿宋" w:cs="仿宋"/>
                <w:b/>
                <w:bCs/>
                <w:color w:val="000000"/>
                <w:kern w:val="0"/>
                <w:sz w:val="22"/>
                <w:szCs w:val="22"/>
              </w:rPr>
            </w:pPr>
          </w:p>
        </w:tc>
        <w:tc>
          <w:tcPr>
            <w:tcW w:w="925" w:type="dxa"/>
            <w:tcBorders>
              <w:top w:val="nil"/>
              <w:left w:val="nil"/>
              <w:bottom w:val="single" w:color="auto" w:sz="4" w:space="0"/>
              <w:right w:val="single" w:color="auto" w:sz="4" w:space="0"/>
            </w:tcBorders>
            <w:shd w:val="clear" w:color="000000" w:fill="E2EFDA"/>
            <w:vAlign w:val="center"/>
          </w:tcPr>
          <w:p>
            <w:pPr>
              <w:widowControl/>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是</w:t>
            </w:r>
          </w:p>
        </w:tc>
        <w:tc>
          <w:tcPr>
            <w:tcW w:w="937" w:type="dxa"/>
            <w:tcBorders>
              <w:top w:val="nil"/>
              <w:left w:val="nil"/>
              <w:bottom w:val="single" w:color="auto" w:sz="4" w:space="0"/>
              <w:right w:val="single" w:color="auto" w:sz="4" w:space="0"/>
            </w:tcBorders>
            <w:shd w:val="clear" w:color="000000" w:fill="E2EFDA"/>
            <w:vAlign w:val="center"/>
          </w:tcPr>
          <w:p>
            <w:pPr>
              <w:widowControl/>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否</w:t>
            </w:r>
          </w:p>
        </w:tc>
      </w:tr>
      <w:tr>
        <w:tblPrEx>
          <w:tblCellMar>
            <w:top w:w="0" w:type="dxa"/>
            <w:left w:w="108" w:type="dxa"/>
            <w:bottom w:w="0" w:type="dxa"/>
            <w:right w:w="108" w:type="dxa"/>
          </w:tblCellMar>
        </w:tblPrEx>
        <w:trPr>
          <w:trHeight w:val="682" w:hRule="atLeast"/>
        </w:trPr>
        <w:tc>
          <w:tcPr>
            <w:tcW w:w="74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1</w:t>
            </w:r>
          </w:p>
        </w:tc>
        <w:tc>
          <w:tcPr>
            <w:tcW w:w="6114"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有效的营业执照正本或副本；</w:t>
            </w:r>
          </w:p>
        </w:tc>
        <w:tc>
          <w:tcPr>
            <w:tcW w:w="925"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c>
          <w:tcPr>
            <w:tcW w:w="937"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r>
      <w:tr>
        <w:tblPrEx>
          <w:tblCellMar>
            <w:top w:w="0" w:type="dxa"/>
            <w:left w:w="108" w:type="dxa"/>
            <w:bottom w:w="0" w:type="dxa"/>
            <w:right w:w="108" w:type="dxa"/>
          </w:tblCellMar>
        </w:tblPrEx>
        <w:trPr>
          <w:trHeight w:val="605" w:hRule="atLeast"/>
        </w:trPr>
        <w:tc>
          <w:tcPr>
            <w:tcW w:w="74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2"/>
                <w:szCs w:val="22"/>
                <w:lang w:eastAsia="zh-CN"/>
              </w:rPr>
            </w:pPr>
            <w:r>
              <w:rPr>
                <w:rFonts w:hint="eastAsia" w:ascii="仿宋" w:hAnsi="仿宋" w:eastAsia="仿宋" w:cs="仿宋"/>
                <w:color w:val="000000"/>
                <w:kern w:val="0"/>
                <w:sz w:val="22"/>
                <w:szCs w:val="22"/>
                <w:lang w:val="en-US" w:eastAsia="zh-CN"/>
              </w:rPr>
              <w:t>2</w:t>
            </w:r>
          </w:p>
        </w:tc>
        <w:tc>
          <w:tcPr>
            <w:tcW w:w="6114"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重大严重失信记录不得参加本项目</w:t>
            </w:r>
          </w:p>
        </w:tc>
        <w:tc>
          <w:tcPr>
            <w:tcW w:w="925"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p>
        </w:tc>
        <w:tc>
          <w:tcPr>
            <w:tcW w:w="937"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p>
        </w:tc>
      </w:tr>
      <w:tr>
        <w:tblPrEx>
          <w:tblCellMar>
            <w:top w:w="0" w:type="dxa"/>
            <w:left w:w="108" w:type="dxa"/>
            <w:bottom w:w="0" w:type="dxa"/>
            <w:right w:w="108" w:type="dxa"/>
          </w:tblCellMar>
        </w:tblPrEx>
        <w:trPr>
          <w:trHeight w:val="668" w:hRule="atLeast"/>
        </w:trPr>
        <w:tc>
          <w:tcPr>
            <w:tcW w:w="74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3</w:t>
            </w:r>
          </w:p>
        </w:tc>
        <w:tc>
          <w:tcPr>
            <w:tcW w:w="611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提供依法缴纳社会保障资金的良好记录；（需提供近期3个月社保部门出具的投标单位的缴纳社保证明)</w:t>
            </w:r>
          </w:p>
        </w:tc>
        <w:tc>
          <w:tcPr>
            <w:tcW w:w="925"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2"/>
                <w:szCs w:val="22"/>
              </w:rPr>
            </w:pPr>
          </w:p>
        </w:tc>
        <w:tc>
          <w:tcPr>
            <w:tcW w:w="937"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2"/>
                <w:szCs w:val="22"/>
              </w:rPr>
            </w:pPr>
          </w:p>
        </w:tc>
      </w:tr>
      <w:tr>
        <w:tblPrEx>
          <w:tblCellMar>
            <w:top w:w="0" w:type="dxa"/>
            <w:left w:w="108" w:type="dxa"/>
            <w:bottom w:w="0" w:type="dxa"/>
            <w:right w:w="108" w:type="dxa"/>
          </w:tblCellMar>
        </w:tblPrEx>
        <w:trPr>
          <w:trHeight w:val="668" w:hRule="atLeast"/>
        </w:trPr>
        <w:tc>
          <w:tcPr>
            <w:tcW w:w="74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4</w:t>
            </w:r>
          </w:p>
        </w:tc>
        <w:tc>
          <w:tcPr>
            <w:tcW w:w="6114"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提供税务部门出具近3个月依法缴纳税收的完税证明（依法免缴的，应提供依法免缴的相关证明文件）</w:t>
            </w:r>
          </w:p>
        </w:tc>
        <w:tc>
          <w:tcPr>
            <w:tcW w:w="925"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2"/>
                <w:szCs w:val="22"/>
              </w:rPr>
            </w:pPr>
          </w:p>
        </w:tc>
        <w:tc>
          <w:tcPr>
            <w:tcW w:w="937"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2"/>
                <w:szCs w:val="22"/>
              </w:rPr>
            </w:pPr>
          </w:p>
        </w:tc>
      </w:tr>
      <w:tr>
        <w:tblPrEx>
          <w:tblCellMar>
            <w:top w:w="0" w:type="dxa"/>
            <w:left w:w="108" w:type="dxa"/>
            <w:bottom w:w="0" w:type="dxa"/>
            <w:right w:w="108" w:type="dxa"/>
          </w:tblCellMar>
        </w:tblPrEx>
        <w:trPr>
          <w:trHeight w:val="668" w:hRule="atLeast"/>
        </w:trPr>
        <w:tc>
          <w:tcPr>
            <w:tcW w:w="74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2"/>
                <w:szCs w:val="22"/>
                <w:lang w:eastAsia="zh-CN"/>
              </w:rPr>
            </w:pPr>
            <w:r>
              <w:rPr>
                <w:rFonts w:hint="eastAsia" w:ascii="仿宋" w:hAnsi="仿宋" w:eastAsia="仿宋" w:cs="仿宋"/>
                <w:color w:val="000000"/>
                <w:kern w:val="0"/>
                <w:sz w:val="22"/>
                <w:szCs w:val="22"/>
                <w:lang w:val="en-US" w:eastAsia="zh-CN"/>
              </w:rPr>
              <w:t>5</w:t>
            </w:r>
          </w:p>
        </w:tc>
        <w:tc>
          <w:tcPr>
            <w:tcW w:w="6114"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参加政府采购活动前三年内，在经营活动中没有重大违法记录承诺函；</w:t>
            </w:r>
          </w:p>
        </w:tc>
        <w:tc>
          <w:tcPr>
            <w:tcW w:w="925"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c>
          <w:tcPr>
            <w:tcW w:w="937"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r>
      <w:tr>
        <w:tblPrEx>
          <w:tblCellMar>
            <w:top w:w="0" w:type="dxa"/>
            <w:left w:w="108" w:type="dxa"/>
            <w:bottom w:w="0" w:type="dxa"/>
            <w:right w:w="108" w:type="dxa"/>
          </w:tblCellMar>
        </w:tblPrEx>
        <w:trPr>
          <w:trHeight w:val="627" w:hRule="atLeast"/>
        </w:trPr>
        <w:tc>
          <w:tcPr>
            <w:tcW w:w="74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2"/>
                <w:szCs w:val="22"/>
                <w:lang w:eastAsia="zh-CN"/>
              </w:rPr>
            </w:pPr>
            <w:r>
              <w:rPr>
                <w:rFonts w:hint="eastAsia" w:ascii="仿宋" w:hAnsi="仿宋" w:eastAsia="仿宋" w:cs="仿宋"/>
                <w:color w:val="000000"/>
                <w:kern w:val="0"/>
                <w:sz w:val="22"/>
                <w:szCs w:val="22"/>
                <w:lang w:val="en-US" w:eastAsia="zh-CN"/>
              </w:rPr>
              <w:t>6</w:t>
            </w:r>
          </w:p>
        </w:tc>
        <w:tc>
          <w:tcPr>
            <w:tcW w:w="6114"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提供针对本次项目的反商业贿赂承诺书；</w:t>
            </w:r>
          </w:p>
        </w:tc>
        <w:tc>
          <w:tcPr>
            <w:tcW w:w="925"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p>
        </w:tc>
        <w:tc>
          <w:tcPr>
            <w:tcW w:w="937"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p>
        </w:tc>
      </w:tr>
      <w:tr>
        <w:tblPrEx>
          <w:tblCellMar>
            <w:top w:w="0" w:type="dxa"/>
            <w:left w:w="108" w:type="dxa"/>
            <w:bottom w:w="0" w:type="dxa"/>
            <w:right w:w="108" w:type="dxa"/>
          </w:tblCellMar>
        </w:tblPrEx>
        <w:trPr>
          <w:trHeight w:val="840" w:hRule="atLeast"/>
        </w:trPr>
        <w:tc>
          <w:tcPr>
            <w:tcW w:w="74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2"/>
                <w:szCs w:val="22"/>
                <w:lang w:eastAsia="zh-CN"/>
              </w:rPr>
            </w:pPr>
            <w:r>
              <w:rPr>
                <w:rFonts w:hint="eastAsia" w:ascii="仿宋" w:hAnsi="仿宋" w:eastAsia="仿宋" w:cs="仿宋"/>
                <w:color w:val="000000"/>
                <w:kern w:val="0"/>
                <w:sz w:val="22"/>
                <w:szCs w:val="22"/>
                <w:lang w:val="en-US" w:eastAsia="zh-CN"/>
              </w:rPr>
              <w:t>7</w:t>
            </w:r>
          </w:p>
        </w:tc>
        <w:tc>
          <w:tcPr>
            <w:tcW w:w="6114"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供应商投标标项一和二提供地质灾害</w:t>
            </w:r>
            <w:r>
              <w:rPr>
                <w:rFonts w:hint="eastAsia" w:ascii="仿宋" w:hAnsi="仿宋" w:eastAsia="仿宋" w:cs="仿宋"/>
                <w:color w:val="auto"/>
                <w:kern w:val="0"/>
                <w:sz w:val="22"/>
                <w:szCs w:val="22"/>
              </w:rPr>
              <w:t>治理工程勘查</w:t>
            </w:r>
            <w:r>
              <w:rPr>
                <w:rFonts w:hint="eastAsia" w:ascii="仿宋" w:hAnsi="仿宋" w:eastAsia="仿宋" w:cs="仿宋"/>
                <w:color w:val="auto"/>
                <w:kern w:val="0"/>
                <w:sz w:val="22"/>
                <w:szCs w:val="22"/>
                <w:lang w:val="en-US" w:eastAsia="zh-CN"/>
              </w:rPr>
              <w:t>乙级（含乙级）以上资质</w:t>
            </w:r>
            <w:r>
              <w:rPr>
                <w:rFonts w:hint="eastAsia" w:ascii="仿宋" w:hAnsi="仿宋" w:eastAsia="仿宋" w:cs="仿宋"/>
                <w:color w:val="000000"/>
                <w:kern w:val="0"/>
                <w:sz w:val="22"/>
                <w:szCs w:val="22"/>
              </w:rPr>
              <w:t>证书；标项三提供地质灾害治理工程设计</w:t>
            </w:r>
            <w:r>
              <w:rPr>
                <w:rFonts w:hint="eastAsia" w:ascii="仿宋" w:hAnsi="仿宋" w:eastAsia="仿宋" w:cs="仿宋"/>
                <w:color w:val="auto"/>
                <w:kern w:val="0"/>
                <w:sz w:val="22"/>
                <w:szCs w:val="22"/>
              </w:rPr>
              <w:t>和施工乙级（含乙级）以上资质证书；标项四提供地质灾害防治工程监理乙级（含乙</w:t>
            </w:r>
            <w:r>
              <w:rPr>
                <w:rFonts w:hint="eastAsia" w:ascii="仿宋" w:hAnsi="仿宋" w:eastAsia="仿宋" w:cs="仿宋"/>
                <w:color w:val="000000"/>
                <w:kern w:val="0"/>
                <w:sz w:val="22"/>
                <w:szCs w:val="22"/>
              </w:rPr>
              <w:t>级）以上资质；</w:t>
            </w:r>
          </w:p>
        </w:tc>
        <w:tc>
          <w:tcPr>
            <w:tcW w:w="925"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p>
        </w:tc>
        <w:tc>
          <w:tcPr>
            <w:tcW w:w="937"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p>
        </w:tc>
      </w:tr>
      <w:tr>
        <w:tblPrEx>
          <w:tblCellMar>
            <w:top w:w="0" w:type="dxa"/>
            <w:left w:w="108" w:type="dxa"/>
            <w:bottom w:w="0" w:type="dxa"/>
            <w:right w:w="108" w:type="dxa"/>
          </w:tblCellMar>
        </w:tblPrEx>
        <w:trPr>
          <w:trHeight w:val="840" w:hRule="atLeast"/>
        </w:trPr>
        <w:tc>
          <w:tcPr>
            <w:tcW w:w="74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2"/>
                <w:szCs w:val="22"/>
                <w:lang w:eastAsia="zh-CN"/>
              </w:rPr>
            </w:pPr>
            <w:r>
              <w:rPr>
                <w:rFonts w:hint="eastAsia" w:ascii="仿宋" w:hAnsi="仿宋" w:eastAsia="仿宋" w:cs="仿宋"/>
                <w:color w:val="000000"/>
                <w:kern w:val="0"/>
                <w:sz w:val="22"/>
                <w:szCs w:val="22"/>
                <w:lang w:val="en-US" w:eastAsia="zh-CN"/>
              </w:rPr>
              <w:t>8</w:t>
            </w:r>
          </w:p>
        </w:tc>
        <w:tc>
          <w:tcPr>
            <w:tcW w:w="6114"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有效的投标保证金缴纳凭证；</w:t>
            </w:r>
          </w:p>
        </w:tc>
        <w:tc>
          <w:tcPr>
            <w:tcW w:w="925"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p>
        </w:tc>
        <w:tc>
          <w:tcPr>
            <w:tcW w:w="937"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p>
        </w:tc>
      </w:tr>
      <w:tr>
        <w:tblPrEx>
          <w:tblCellMar>
            <w:top w:w="0" w:type="dxa"/>
            <w:left w:w="108" w:type="dxa"/>
            <w:bottom w:w="0" w:type="dxa"/>
            <w:right w:w="108" w:type="dxa"/>
          </w:tblCellMar>
        </w:tblPrEx>
        <w:trPr>
          <w:trHeight w:val="840" w:hRule="atLeast"/>
        </w:trPr>
        <w:tc>
          <w:tcPr>
            <w:tcW w:w="740"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9</w:t>
            </w:r>
          </w:p>
        </w:tc>
        <w:tc>
          <w:tcPr>
            <w:tcW w:w="6114" w:type="dxa"/>
            <w:tcBorders>
              <w:top w:val="nil"/>
              <w:left w:val="nil"/>
              <w:bottom w:val="single" w:color="auto" w:sz="4" w:space="0"/>
              <w:right w:val="single" w:color="auto" w:sz="4" w:space="0"/>
            </w:tcBorders>
            <w:vAlign w:val="center"/>
          </w:tcPr>
          <w:p>
            <w:pPr>
              <w:widowControl/>
              <w:jc w:val="left"/>
              <w:rPr>
                <w:rFonts w:hint="default"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rPr>
              <w:t>供应商为中小企业/小微企业声明函；</w:t>
            </w:r>
            <w:r>
              <w:rPr>
                <w:rFonts w:hint="eastAsia" w:ascii="仿宋" w:hAnsi="仿宋" w:eastAsia="仿宋" w:cs="仿宋"/>
                <w:color w:val="000000"/>
                <w:kern w:val="0"/>
                <w:sz w:val="22"/>
                <w:szCs w:val="22"/>
                <w:lang w:eastAsia="zh-CN"/>
              </w:rPr>
              <w:t>（</w:t>
            </w:r>
            <w:r>
              <w:rPr>
                <w:rFonts w:hint="eastAsia" w:ascii="仿宋" w:hAnsi="仿宋" w:eastAsia="仿宋" w:cs="仿宋"/>
                <w:color w:val="000000"/>
                <w:kern w:val="0"/>
                <w:sz w:val="22"/>
                <w:szCs w:val="22"/>
                <w:lang w:val="en-US" w:eastAsia="zh-CN"/>
              </w:rPr>
              <w:t>如有）</w:t>
            </w:r>
          </w:p>
        </w:tc>
        <w:tc>
          <w:tcPr>
            <w:tcW w:w="925"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2"/>
                <w:szCs w:val="22"/>
              </w:rPr>
            </w:pPr>
          </w:p>
        </w:tc>
        <w:tc>
          <w:tcPr>
            <w:tcW w:w="937"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2"/>
                <w:szCs w:val="22"/>
              </w:rPr>
            </w:pPr>
          </w:p>
        </w:tc>
      </w:tr>
      <w:tr>
        <w:tblPrEx>
          <w:tblCellMar>
            <w:top w:w="0" w:type="dxa"/>
            <w:left w:w="108" w:type="dxa"/>
            <w:bottom w:w="0" w:type="dxa"/>
            <w:right w:w="108" w:type="dxa"/>
          </w:tblCellMar>
        </w:tblPrEx>
        <w:trPr>
          <w:trHeight w:val="840" w:hRule="atLeast"/>
        </w:trPr>
        <w:tc>
          <w:tcPr>
            <w:tcW w:w="740"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10</w:t>
            </w:r>
          </w:p>
        </w:tc>
        <w:tc>
          <w:tcPr>
            <w:tcW w:w="6114"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联合体协议书（如有）。</w:t>
            </w:r>
          </w:p>
        </w:tc>
        <w:tc>
          <w:tcPr>
            <w:tcW w:w="925"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c>
          <w:tcPr>
            <w:tcW w:w="937"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r>
      <w:tr>
        <w:tblPrEx>
          <w:tblCellMar>
            <w:top w:w="0" w:type="dxa"/>
            <w:left w:w="108" w:type="dxa"/>
            <w:bottom w:w="0" w:type="dxa"/>
            <w:right w:w="108" w:type="dxa"/>
          </w:tblCellMar>
        </w:tblPrEx>
        <w:trPr>
          <w:trHeight w:val="728" w:hRule="atLeast"/>
        </w:trPr>
        <w:tc>
          <w:tcPr>
            <w:tcW w:w="685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结论</w:t>
            </w:r>
          </w:p>
        </w:tc>
        <w:tc>
          <w:tcPr>
            <w:tcW w:w="925"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p>
        </w:tc>
        <w:tc>
          <w:tcPr>
            <w:tcW w:w="93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p>
        </w:tc>
      </w:tr>
      <w:tr>
        <w:tblPrEx>
          <w:tblCellMar>
            <w:top w:w="0" w:type="dxa"/>
            <w:left w:w="108" w:type="dxa"/>
            <w:bottom w:w="0" w:type="dxa"/>
            <w:right w:w="108" w:type="dxa"/>
          </w:tblCellMar>
        </w:tblPrEx>
        <w:trPr>
          <w:trHeight w:val="728" w:hRule="atLeast"/>
        </w:trPr>
        <w:tc>
          <w:tcPr>
            <w:tcW w:w="685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结论：是否通过评审（须填写通过或不通过）</w:t>
            </w:r>
          </w:p>
          <w:p>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注：如有一项不合格，作废标处理。</w:t>
            </w:r>
          </w:p>
        </w:tc>
        <w:tc>
          <w:tcPr>
            <w:tcW w:w="925"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p>
        </w:tc>
        <w:tc>
          <w:tcPr>
            <w:tcW w:w="93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000000"/>
                <w:kern w:val="0"/>
                <w:sz w:val="22"/>
                <w:szCs w:val="22"/>
              </w:rPr>
            </w:pPr>
          </w:p>
        </w:tc>
      </w:tr>
    </w:tbl>
    <w:p>
      <w:pPr>
        <w:rPr>
          <w:rFonts w:ascii="仿宋" w:hAnsi="仿宋" w:eastAsia="仿宋" w:cs="仿宋"/>
        </w:rPr>
      </w:pPr>
    </w:p>
    <w:p>
      <w:r>
        <w:rPr>
          <w:rFonts w:hint="eastAsia"/>
        </w:rPr>
        <w:br w:type="page"/>
      </w:r>
    </w:p>
    <w:p>
      <w:pPr>
        <w:widowControl/>
        <w:jc w:val="center"/>
        <w:outlineLvl w:val="2"/>
        <w:rPr>
          <w:rFonts w:ascii="仿宋" w:hAnsi="仿宋" w:eastAsia="仿宋" w:cs="仿宋"/>
          <w:b/>
          <w:bCs/>
          <w:kern w:val="0"/>
          <w:sz w:val="32"/>
          <w:szCs w:val="32"/>
        </w:rPr>
      </w:pPr>
      <w:r>
        <w:rPr>
          <w:rFonts w:hint="eastAsia" w:ascii="仿宋" w:hAnsi="仿宋" w:eastAsia="仿宋" w:cs="仿宋"/>
          <w:b/>
          <w:bCs/>
          <w:kern w:val="0"/>
          <w:sz w:val="32"/>
          <w:szCs w:val="32"/>
        </w:rPr>
        <w:t>符合性检查表</w:t>
      </w:r>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836"/>
        <w:gridCol w:w="4584"/>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458" w:type="pct"/>
            <w:tcBorders>
              <w:top w:val="single" w:color="auto" w:sz="4" w:space="0"/>
              <w:left w:val="single" w:color="auto" w:sz="4" w:space="0"/>
              <w:right w:val="single" w:color="auto" w:sz="4" w:space="0"/>
            </w:tcBorders>
            <w:vAlign w:val="center"/>
          </w:tcPr>
          <w:p>
            <w:pPr>
              <w:widowControl/>
              <w:jc w:val="center"/>
              <w:rPr>
                <w:rFonts w:ascii="仿宋" w:hAnsi="仿宋" w:eastAsia="仿宋" w:cs="仿宋"/>
                <w:b/>
                <w:bCs/>
                <w:kern w:val="0"/>
                <w:sz w:val="22"/>
                <w:szCs w:val="22"/>
              </w:rPr>
            </w:pPr>
            <w:r>
              <w:rPr>
                <w:rFonts w:hint="eastAsia" w:ascii="仿宋" w:hAnsi="仿宋" w:eastAsia="仿宋" w:cs="仿宋"/>
                <w:b/>
                <w:bCs/>
                <w:kern w:val="0"/>
                <w:sz w:val="22"/>
                <w:szCs w:val="22"/>
              </w:rPr>
              <w:t>序号</w:t>
            </w:r>
          </w:p>
        </w:tc>
        <w:tc>
          <w:tcPr>
            <w:tcW w:w="3780" w:type="pct"/>
            <w:gridSpan w:val="2"/>
            <w:tcBorders>
              <w:top w:val="single" w:color="auto" w:sz="4" w:space="0"/>
              <w:left w:val="single" w:color="auto" w:sz="4" w:space="0"/>
              <w:right w:val="single" w:color="auto" w:sz="4" w:space="0"/>
            </w:tcBorders>
            <w:vAlign w:val="center"/>
          </w:tcPr>
          <w:p>
            <w:pPr>
              <w:widowControl/>
              <w:jc w:val="center"/>
              <w:rPr>
                <w:rFonts w:ascii="仿宋" w:hAnsi="仿宋" w:eastAsia="仿宋" w:cs="仿宋"/>
                <w:b/>
                <w:bCs/>
                <w:kern w:val="0"/>
                <w:sz w:val="22"/>
                <w:szCs w:val="22"/>
              </w:rPr>
            </w:pPr>
            <w:r>
              <w:rPr>
                <w:rFonts w:hint="eastAsia" w:ascii="仿宋" w:hAnsi="仿宋" w:eastAsia="仿宋" w:cs="仿宋"/>
                <w:b/>
                <w:bCs/>
                <w:kern w:val="0"/>
                <w:sz w:val="22"/>
                <w:szCs w:val="22"/>
              </w:rPr>
              <w:t>审核内容</w:t>
            </w:r>
          </w:p>
        </w:tc>
        <w:tc>
          <w:tcPr>
            <w:tcW w:w="76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bCs/>
                <w:kern w:val="0"/>
                <w:sz w:val="22"/>
                <w:szCs w:val="22"/>
              </w:rPr>
            </w:pPr>
            <w:r>
              <w:rPr>
                <w:rFonts w:hint="eastAsia" w:ascii="仿宋" w:hAnsi="仿宋" w:eastAsia="仿宋" w:cs="仿宋"/>
                <w:b/>
                <w:bCs/>
                <w:kern w:val="0"/>
                <w:sz w:val="22"/>
                <w:szCs w:val="22"/>
              </w:rPr>
              <w:t>偏差标记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5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1</w:t>
            </w:r>
          </w:p>
        </w:tc>
        <w:tc>
          <w:tcPr>
            <w:tcW w:w="108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供应商名称</w:t>
            </w:r>
          </w:p>
        </w:tc>
        <w:tc>
          <w:tcPr>
            <w:tcW w:w="269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与营业执照一致</w:t>
            </w:r>
          </w:p>
        </w:tc>
        <w:tc>
          <w:tcPr>
            <w:tcW w:w="76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5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2</w:t>
            </w:r>
          </w:p>
        </w:tc>
        <w:tc>
          <w:tcPr>
            <w:tcW w:w="108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投标文件的格式</w:t>
            </w:r>
          </w:p>
        </w:tc>
        <w:tc>
          <w:tcPr>
            <w:tcW w:w="269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投标文件按照采购文件格式完整提供</w:t>
            </w:r>
          </w:p>
        </w:tc>
        <w:tc>
          <w:tcPr>
            <w:tcW w:w="76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5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3</w:t>
            </w:r>
          </w:p>
        </w:tc>
        <w:tc>
          <w:tcPr>
            <w:tcW w:w="108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投标文件签署</w:t>
            </w:r>
          </w:p>
        </w:tc>
        <w:tc>
          <w:tcPr>
            <w:tcW w:w="269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投标文件的签章符合采购文件规定</w:t>
            </w:r>
          </w:p>
        </w:tc>
        <w:tc>
          <w:tcPr>
            <w:tcW w:w="76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5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4</w:t>
            </w:r>
          </w:p>
        </w:tc>
        <w:tc>
          <w:tcPr>
            <w:tcW w:w="108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投标报价</w:t>
            </w:r>
          </w:p>
        </w:tc>
        <w:tc>
          <w:tcPr>
            <w:tcW w:w="269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投标报价未超过项目预算</w:t>
            </w:r>
          </w:p>
        </w:tc>
        <w:tc>
          <w:tcPr>
            <w:tcW w:w="76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5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5</w:t>
            </w:r>
          </w:p>
        </w:tc>
        <w:tc>
          <w:tcPr>
            <w:tcW w:w="108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合同条款</w:t>
            </w:r>
          </w:p>
        </w:tc>
        <w:tc>
          <w:tcPr>
            <w:tcW w:w="269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对采购文件规定的服务条款作出响应</w:t>
            </w:r>
          </w:p>
        </w:tc>
        <w:tc>
          <w:tcPr>
            <w:tcW w:w="76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5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6</w:t>
            </w:r>
          </w:p>
        </w:tc>
        <w:tc>
          <w:tcPr>
            <w:tcW w:w="108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投标文件制作</w:t>
            </w:r>
          </w:p>
        </w:tc>
        <w:tc>
          <w:tcPr>
            <w:tcW w:w="269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满足采购文件规定</w:t>
            </w:r>
          </w:p>
        </w:tc>
        <w:tc>
          <w:tcPr>
            <w:tcW w:w="76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5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7</w:t>
            </w:r>
          </w:p>
        </w:tc>
        <w:tc>
          <w:tcPr>
            <w:tcW w:w="108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投标有效期</w:t>
            </w:r>
          </w:p>
        </w:tc>
        <w:tc>
          <w:tcPr>
            <w:tcW w:w="269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满足采购文件规定</w:t>
            </w:r>
          </w:p>
        </w:tc>
        <w:tc>
          <w:tcPr>
            <w:tcW w:w="76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5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8</w:t>
            </w:r>
          </w:p>
        </w:tc>
        <w:tc>
          <w:tcPr>
            <w:tcW w:w="108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其他</w:t>
            </w:r>
          </w:p>
        </w:tc>
        <w:tc>
          <w:tcPr>
            <w:tcW w:w="269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投标文件未附有采购人不能接受的附加条件及法律、法规和采购文件规定的其他无效情形</w:t>
            </w:r>
          </w:p>
        </w:tc>
        <w:tc>
          <w:tcPr>
            <w:tcW w:w="76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5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9</w:t>
            </w:r>
          </w:p>
        </w:tc>
        <w:tc>
          <w:tcPr>
            <w:tcW w:w="108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响应实质性条款</w:t>
            </w:r>
          </w:p>
        </w:tc>
        <w:tc>
          <w:tcPr>
            <w:tcW w:w="269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对采购文件实质性条款作出响应</w:t>
            </w:r>
          </w:p>
        </w:tc>
        <w:tc>
          <w:tcPr>
            <w:tcW w:w="76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238"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检查结果</w:t>
            </w:r>
          </w:p>
        </w:tc>
        <w:tc>
          <w:tcPr>
            <w:tcW w:w="76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2"/>
                <w:szCs w:val="22"/>
              </w:rPr>
            </w:pPr>
            <w:r>
              <w:rPr>
                <w:rFonts w:hint="eastAsia" w:ascii="仿宋" w:hAnsi="仿宋" w:eastAsia="仿宋" w:cs="仿宋"/>
                <w:kern w:val="0"/>
                <w:sz w:val="22"/>
                <w:szCs w:val="22"/>
              </w:rPr>
              <w:t>注：投标文件有不符合上述情形之一的，作废标处理。出现偏差的标记“×”，没有出现偏差的标记“√” 。</w:t>
            </w:r>
          </w:p>
        </w:tc>
      </w:tr>
    </w:tbl>
    <w:p>
      <w:pPr>
        <w:spacing w:line="240" w:lineRule="atLeast"/>
        <w:jc w:val="center"/>
        <w:rPr>
          <w:rFonts w:ascii="仿宋" w:hAnsi="仿宋" w:eastAsia="仿宋" w:cs="仿宋"/>
        </w:rPr>
      </w:pPr>
    </w:p>
    <w:p>
      <w:pPr>
        <w:rPr>
          <w:rFonts w:ascii="仿宋" w:hAnsi="仿宋" w:eastAsia="仿宋" w:cs="仿宋"/>
        </w:rPr>
      </w:pPr>
      <w:r>
        <w:rPr>
          <w:rFonts w:hint="eastAsia" w:ascii="仿宋" w:hAnsi="仿宋" w:eastAsia="仿宋" w:cs="仿宋"/>
        </w:rPr>
        <w:br w:type="page"/>
      </w:r>
    </w:p>
    <w:p>
      <w:pPr>
        <w:spacing w:line="240" w:lineRule="atLeast"/>
        <w:jc w:val="left"/>
        <w:outlineLvl w:val="1"/>
        <w:rPr>
          <w:rFonts w:ascii="楷体" w:hAnsi="楷体" w:eastAsia="楷体" w:cs="楷体"/>
          <w:b/>
          <w:color w:val="000000"/>
          <w:sz w:val="24"/>
        </w:rPr>
      </w:pPr>
      <w:bookmarkStart w:id="607" w:name="_Toc8534"/>
      <w:bookmarkStart w:id="608" w:name="_Toc30462"/>
      <w:bookmarkStart w:id="609" w:name="_Toc20204"/>
      <w:r>
        <w:rPr>
          <w:rFonts w:hint="eastAsia" w:ascii="楷体" w:hAnsi="楷体" w:eastAsia="楷体" w:cs="楷体"/>
          <w:b/>
          <w:color w:val="000000"/>
          <w:sz w:val="24"/>
        </w:rPr>
        <w:t>详细评审表</w:t>
      </w:r>
      <w:bookmarkEnd w:id="607"/>
      <w:bookmarkEnd w:id="608"/>
      <w:bookmarkEnd w:id="609"/>
    </w:p>
    <w:p>
      <w:pPr>
        <w:spacing w:line="360" w:lineRule="auto"/>
        <w:outlineLvl w:val="1"/>
        <w:rPr>
          <w:rFonts w:ascii="楷体" w:hAnsi="楷体" w:eastAsia="楷体" w:cs="楷体"/>
          <w:b/>
          <w:color w:val="000000"/>
          <w:sz w:val="24"/>
        </w:rPr>
      </w:pPr>
      <w:bookmarkStart w:id="610" w:name="_Toc2113"/>
      <w:bookmarkStart w:id="611" w:name="_Toc13903"/>
      <w:bookmarkStart w:id="612" w:name="_Toc31049"/>
      <w:r>
        <w:rPr>
          <w:rFonts w:hint="eastAsia" w:ascii="楷体" w:hAnsi="楷体" w:eastAsia="楷体" w:cs="楷体"/>
          <w:b/>
          <w:color w:val="000000"/>
          <w:sz w:val="24"/>
        </w:rPr>
        <w:t>标项一、二评分标准</w:t>
      </w:r>
      <w:bookmarkEnd w:id="610"/>
      <w:bookmarkEnd w:id="611"/>
      <w:bookmarkEnd w:id="612"/>
    </w:p>
    <w:p>
      <w:pPr>
        <w:tabs>
          <w:tab w:val="right" w:pos="9213"/>
        </w:tabs>
        <w:jc w:val="center"/>
        <w:rPr>
          <w:rFonts w:ascii="仿宋" w:hAnsi="仿宋" w:eastAsia="仿宋" w:cs="仿宋"/>
          <w:b/>
          <w:sz w:val="24"/>
          <w:szCs w:val="20"/>
        </w:rPr>
      </w:pPr>
      <w:bookmarkStart w:id="613" w:name="_Toc27405"/>
      <w:bookmarkStart w:id="614" w:name="_Toc17812"/>
      <w:bookmarkStart w:id="615" w:name="_Toc21584"/>
      <w:r>
        <w:rPr>
          <w:rFonts w:hint="eastAsia" w:ascii="仿宋" w:hAnsi="仿宋" w:eastAsia="仿宋" w:cs="仿宋"/>
          <w:b/>
          <w:sz w:val="24"/>
          <w:szCs w:val="20"/>
        </w:rPr>
        <w:t>商务评分表</w:t>
      </w:r>
      <w:bookmarkEnd w:id="613"/>
      <w:bookmarkEnd w:id="614"/>
      <w:bookmarkEnd w:id="615"/>
    </w:p>
    <w:tbl>
      <w:tblPr>
        <w:tblStyle w:val="36"/>
        <w:tblW w:w="9423" w:type="dxa"/>
        <w:tblInd w:w="0" w:type="dxa"/>
        <w:tblLayout w:type="fixed"/>
        <w:tblCellMar>
          <w:top w:w="0" w:type="dxa"/>
          <w:left w:w="108" w:type="dxa"/>
          <w:bottom w:w="0" w:type="dxa"/>
          <w:right w:w="108" w:type="dxa"/>
        </w:tblCellMar>
      </w:tblPr>
      <w:tblGrid>
        <w:gridCol w:w="457"/>
        <w:gridCol w:w="1340"/>
        <w:gridCol w:w="6745"/>
        <w:gridCol w:w="881"/>
      </w:tblGrid>
      <w:tr>
        <w:tblPrEx>
          <w:tblCellMar>
            <w:top w:w="0" w:type="dxa"/>
            <w:left w:w="108" w:type="dxa"/>
            <w:bottom w:w="0" w:type="dxa"/>
            <w:right w:w="108" w:type="dxa"/>
          </w:tblCellMar>
        </w:tblPrEx>
        <w:trPr>
          <w:trHeight w:val="285" w:hRule="atLeast"/>
        </w:trPr>
        <w:tc>
          <w:tcPr>
            <w:tcW w:w="45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序号</w:t>
            </w:r>
          </w:p>
        </w:tc>
        <w:tc>
          <w:tcPr>
            <w:tcW w:w="134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评分内容</w:t>
            </w:r>
          </w:p>
        </w:tc>
        <w:tc>
          <w:tcPr>
            <w:tcW w:w="67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评分标准</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满分</w:t>
            </w:r>
          </w:p>
        </w:tc>
      </w:tr>
      <w:tr>
        <w:tblPrEx>
          <w:tblCellMar>
            <w:top w:w="0" w:type="dxa"/>
            <w:left w:w="108" w:type="dxa"/>
            <w:bottom w:w="0" w:type="dxa"/>
            <w:right w:w="108" w:type="dxa"/>
          </w:tblCellMar>
        </w:tblPrEx>
        <w:trPr>
          <w:trHeight w:val="285" w:hRule="atLeast"/>
        </w:trPr>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000000"/>
                <w:sz w:val="24"/>
              </w:rPr>
            </w:pPr>
          </w:p>
        </w:tc>
        <w:tc>
          <w:tcPr>
            <w:tcW w:w="134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b/>
                <w:bCs/>
                <w:color w:val="000000"/>
                <w:sz w:val="24"/>
              </w:rPr>
            </w:pPr>
          </w:p>
        </w:tc>
        <w:tc>
          <w:tcPr>
            <w:tcW w:w="67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000000"/>
                <w:sz w:val="24"/>
              </w:rPr>
            </w:pPr>
          </w:p>
        </w:tc>
        <w:tc>
          <w:tcPr>
            <w:tcW w:w="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20分</w:t>
            </w:r>
          </w:p>
        </w:tc>
      </w:tr>
      <w:tr>
        <w:tblPrEx>
          <w:tblCellMar>
            <w:top w:w="0" w:type="dxa"/>
            <w:left w:w="108" w:type="dxa"/>
            <w:bottom w:w="0" w:type="dxa"/>
            <w:right w:w="108" w:type="dxa"/>
          </w:tblCellMar>
        </w:tblPrEx>
        <w:trPr>
          <w:trHeight w:val="84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1</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送审材料</w:t>
            </w:r>
          </w:p>
        </w:tc>
        <w:tc>
          <w:tcPr>
            <w:tcW w:w="674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仿宋" w:hAnsi="仿宋" w:eastAsia="仿宋" w:cs="仿宋"/>
                <w:color w:val="000000"/>
                <w:sz w:val="20"/>
                <w:szCs w:val="20"/>
              </w:rPr>
            </w:pPr>
            <w:r>
              <w:rPr>
                <w:rFonts w:hint="eastAsia" w:ascii="仿宋" w:hAnsi="仿宋" w:eastAsia="仿宋" w:cs="仿宋"/>
                <w:color w:val="000000"/>
                <w:kern w:val="0"/>
                <w:sz w:val="20"/>
                <w:szCs w:val="20"/>
              </w:rPr>
              <w:t>有独立的、按要求编制的商务标，得1分；有独立的商务标标书，但部分预算内容或资料混入其他标中但可审，扣0.1分；未单独编制商务标而在技术标中作为独立章节且可审，扣0.4分；没有商务标或实质性内容的为0分，且以下各项均不得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1</w:t>
            </w:r>
          </w:p>
        </w:tc>
      </w:tr>
      <w:tr>
        <w:tblPrEx>
          <w:tblCellMar>
            <w:top w:w="0" w:type="dxa"/>
            <w:left w:w="108" w:type="dxa"/>
            <w:bottom w:w="0" w:type="dxa"/>
            <w:right w:w="108" w:type="dxa"/>
          </w:tblCellMar>
        </w:tblPrEx>
        <w:trPr>
          <w:trHeight w:val="56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2</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适用表式</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表式正确且齐全1分；相应表号、项目名称、计量单位、技术条件等每缺一项扣0.1分，单表最大扣分0.2分。本项分值扣完为止。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1</w:t>
            </w:r>
          </w:p>
        </w:tc>
      </w:tr>
      <w:tr>
        <w:tblPrEx>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3</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编制方法</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选用正确的工作项目、费用项目按规定顺序进行编制，逐级汇总全部正确得2分，每错（漏）一处扣0.2分。单表扣分不超过1分。本项分值扣完为止。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2</w:t>
            </w:r>
          </w:p>
        </w:tc>
      </w:tr>
      <w:tr>
        <w:tblPrEx>
          <w:tblCellMar>
            <w:top w:w="0" w:type="dxa"/>
            <w:left w:w="108" w:type="dxa"/>
            <w:bottom w:w="0" w:type="dxa"/>
            <w:right w:w="108" w:type="dxa"/>
          </w:tblCellMar>
        </w:tblPrEx>
        <w:trPr>
          <w:trHeight w:val="58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4</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预算标准</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每错用预算标准1处扣0.5分，采用采购文件指定标准以外的标准又未作相应说明或使用标准明显不合理的，每处扣0.5分，本项分值扣完为止。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3</w:t>
            </w:r>
          </w:p>
        </w:tc>
      </w:tr>
      <w:tr>
        <w:tblPrEx>
          <w:tblCellMar>
            <w:top w:w="0" w:type="dxa"/>
            <w:left w:w="108" w:type="dxa"/>
            <w:bottom w:w="0" w:type="dxa"/>
            <w:right w:w="108" w:type="dxa"/>
          </w:tblCellMar>
        </w:tblPrEx>
        <w:trPr>
          <w:trHeight w:val="56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5</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预算内容</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预算内容设置不重复、不扩大、不遗漏的得满分，每重复、扩大或遗漏1处扣0.5分，本项分值扣完为止。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4</w:t>
            </w:r>
          </w:p>
        </w:tc>
      </w:tr>
      <w:tr>
        <w:tblPrEx>
          <w:tblCellMar>
            <w:top w:w="0" w:type="dxa"/>
            <w:left w:w="108" w:type="dxa"/>
            <w:bottom w:w="0" w:type="dxa"/>
            <w:right w:w="108" w:type="dxa"/>
          </w:tblCellMar>
        </w:tblPrEx>
        <w:trPr>
          <w:trHeight w:val="285"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6</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计算和勾稽关系</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预算表内、表间数据勾稽关系完全正确得满分，每错1处扣0.1分，本项分值扣完为止。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sz w:val="24"/>
              </w:rPr>
              <w:t>1</w:t>
            </w:r>
          </w:p>
        </w:tc>
      </w:tr>
      <w:tr>
        <w:tblPrEx>
          <w:tblCellMar>
            <w:top w:w="0" w:type="dxa"/>
            <w:left w:w="108" w:type="dxa"/>
            <w:bottom w:w="0" w:type="dxa"/>
            <w:right w:w="108" w:type="dxa"/>
          </w:tblCellMar>
        </w:tblPrEx>
        <w:trPr>
          <w:trHeight w:val="74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7</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与技术方案工作量平衡</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工作方法、工作部署、工作量布置及其他相关技术指标等与技术方案完全一致得满分，每错1处扣0.5分，本项分值扣完为止。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2</w:t>
            </w:r>
          </w:p>
        </w:tc>
      </w:tr>
      <w:tr>
        <w:tblPrEx>
          <w:tblCellMar>
            <w:top w:w="0" w:type="dxa"/>
            <w:left w:w="108" w:type="dxa"/>
            <w:bottom w:w="0" w:type="dxa"/>
            <w:right w:w="108" w:type="dxa"/>
          </w:tblCellMar>
        </w:tblPrEx>
        <w:trPr>
          <w:trHeight w:val="144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8</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预算编制说明</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kern w:val="0"/>
                <w:sz w:val="20"/>
                <w:szCs w:val="20"/>
              </w:rPr>
              <w:t>项目投标报价及承诺、项目概况、项目设计预算编制依据、工程方案内容及工作量情况、采用的费用标准和计算方法、工程技术指标分析及需要说明的问题等方面完整4分。其中：缺少项目投标报价及承诺扣1分；项目概况、项目设计预算编制依据、工程方案内容及工作量情况、采用的费用标准和计算方法、工程技术指标分析、需要说明的问题等6项，每缺一方面内容扣0.5分。每个方面内容不详细、不全面或不正确者扣0.1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4</w:t>
            </w:r>
          </w:p>
        </w:tc>
      </w:tr>
      <w:tr>
        <w:tblPrEx>
          <w:tblCellMar>
            <w:top w:w="0" w:type="dxa"/>
            <w:left w:w="108" w:type="dxa"/>
            <w:bottom w:w="0" w:type="dxa"/>
            <w:right w:w="108" w:type="dxa"/>
          </w:tblCellMar>
        </w:tblPrEx>
        <w:trPr>
          <w:trHeight w:val="7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sz w:val="20"/>
                <w:szCs w:val="20"/>
              </w:rPr>
              <w:t>9</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主要工作业绩</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20"/>
                <w:szCs w:val="20"/>
              </w:rPr>
            </w:pPr>
            <w:r>
              <w:rPr>
                <w:rFonts w:hint="eastAsia" w:ascii="仿宋" w:hAnsi="仿宋" w:eastAsia="仿宋" w:cs="仿宋"/>
                <w:kern w:val="0"/>
                <w:sz w:val="20"/>
                <w:szCs w:val="20"/>
              </w:rPr>
              <w:t>每提供近三年一项类似业绩并提供证明材料得0.2分，未提供证明材料不得分，本项最高得1分。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1</w:t>
            </w:r>
          </w:p>
        </w:tc>
      </w:tr>
      <w:tr>
        <w:tblPrEx>
          <w:tblCellMar>
            <w:top w:w="0" w:type="dxa"/>
            <w:left w:w="108" w:type="dxa"/>
            <w:bottom w:w="0" w:type="dxa"/>
            <w:right w:w="108" w:type="dxa"/>
          </w:tblCellMar>
        </w:tblPrEx>
        <w:trPr>
          <w:trHeight w:val="7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sz w:val="20"/>
                <w:szCs w:val="20"/>
              </w:rPr>
              <w:t>10</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相关承诺</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20"/>
                <w:szCs w:val="20"/>
              </w:rPr>
            </w:pPr>
            <w:r>
              <w:rPr>
                <w:rFonts w:hint="eastAsia" w:ascii="仿宋" w:hAnsi="仿宋" w:eastAsia="仿宋" w:cs="仿宋"/>
                <w:kern w:val="0"/>
                <w:sz w:val="20"/>
                <w:szCs w:val="20"/>
              </w:rPr>
              <w:t>承诺全面1分，基本全面0.5分，无承诺不得分。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1</w:t>
            </w:r>
          </w:p>
        </w:tc>
      </w:tr>
      <w:tr>
        <w:tblPrEx>
          <w:tblCellMar>
            <w:top w:w="0" w:type="dxa"/>
            <w:left w:w="108" w:type="dxa"/>
            <w:bottom w:w="0" w:type="dxa"/>
            <w:right w:w="108" w:type="dxa"/>
          </w:tblCellMar>
        </w:tblPrEx>
        <w:trPr>
          <w:trHeight w:val="285" w:hRule="atLeast"/>
        </w:trPr>
        <w:tc>
          <w:tcPr>
            <w:tcW w:w="8542" w:type="dxa"/>
            <w:gridSpan w:val="3"/>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仿宋" w:hAnsi="仿宋" w:eastAsia="仿宋" w:cs="仿宋"/>
                <w:b/>
                <w:bCs/>
                <w:color w:val="000000"/>
                <w:sz w:val="24"/>
              </w:rPr>
            </w:pPr>
            <w:r>
              <w:rPr>
                <w:rFonts w:hint="eastAsia" w:ascii="仿宋" w:hAnsi="仿宋" w:eastAsia="仿宋" w:cs="仿宋"/>
                <w:b/>
                <w:bCs/>
                <w:color w:val="000000"/>
                <w:kern w:val="0"/>
                <w:sz w:val="24"/>
              </w:rPr>
              <w:t>总得分V</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20</w:t>
            </w:r>
          </w:p>
        </w:tc>
      </w:tr>
    </w:tbl>
    <w:p>
      <w:pPr>
        <w:pStyle w:val="27"/>
      </w:pPr>
    </w:p>
    <w:p>
      <w:pPr>
        <w:spacing w:line="440" w:lineRule="exact"/>
        <w:jc w:val="center"/>
        <w:rPr>
          <w:rFonts w:ascii="仿宋" w:hAnsi="仿宋" w:eastAsia="仿宋" w:cs="仿宋"/>
          <w:sz w:val="24"/>
        </w:rPr>
      </w:pPr>
      <w:r>
        <w:rPr>
          <w:rFonts w:hint="eastAsia" w:ascii="仿宋" w:hAnsi="仿宋" w:eastAsia="仿宋" w:cs="仿宋"/>
          <w:sz w:val="24"/>
        </w:rPr>
        <w:br w:type="page"/>
      </w:r>
    </w:p>
    <w:p>
      <w:pPr>
        <w:tabs>
          <w:tab w:val="right" w:pos="9213"/>
        </w:tabs>
        <w:jc w:val="center"/>
        <w:rPr>
          <w:rFonts w:ascii="仿宋" w:hAnsi="仿宋" w:eastAsia="仿宋" w:cs="仿宋"/>
          <w:b/>
          <w:sz w:val="24"/>
          <w:szCs w:val="20"/>
        </w:rPr>
      </w:pPr>
      <w:bookmarkStart w:id="616" w:name="_Toc24632"/>
      <w:bookmarkStart w:id="617" w:name="_Toc22692"/>
      <w:bookmarkStart w:id="618" w:name="_Toc21762"/>
      <w:r>
        <w:rPr>
          <w:rFonts w:hint="eastAsia" w:ascii="仿宋" w:hAnsi="仿宋" w:eastAsia="仿宋" w:cs="仿宋"/>
          <w:b/>
          <w:sz w:val="24"/>
          <w:szCs w:val="20"/>
        </w:rPr>
        <w:t>技术评分表</w:t>
      </w:r>
      <w:bookmarkEnd w:id="616"/>
      <w:bookmarkEnd w:id="617"/>
      <w:bookmarkEnd w:id="618"/>
    </w:p>
    <w:tbl>
      <w:tblPr>
        <w:tblStyle w:val="36"/>
        <w:tblW w:w="9423" w:type="dxa"/>
        <w:tblInd w:w="0" w:type="dxa"/>
        <w:tblLayout w:type="fixed"/>
        <w:tblCellMar>
          <w:top w:w="0" w:type="dxa"/>
          <w:left w:w="108" w:type="dxa"/>
          <w:bottom w:w="0" w:type="dxa"/>
          <w:right w:w="108" w:type="dxa"/>
        </w:tblCellMar>
      </w:tblPr>
      <w:tblGrid>
        <w:gridCol w:w="457"/>
        <w:gridCol w:w="4895"/>
        <w:gridCol w:w="3190"/>
        <w:gridCol w:w="881"/>
      </w:tblGrid>
      <w:tr>
        <w:tblPrEx>
          <w:tblCellMar>
            <w:top w:w="0" w:type="dxa"/>
            <w:left w:w="108" w:type="dxa"/>
            <w:bottom w:w="0" w:type="dxa"/>
            <w:right w:w="108" w:type="dxa"/>
          </w:tblCellMar>
        </w:tblPrEx>
        <w:trPr>
          <w:trHeight w:val="285" w:hRule="atLeast"/>
        </w:trPr>
        <w:tc>
          <w:tcPr>
            <w:tcW w:w="45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序号</w:t>
            </w:r>
          </w:p>
        </w:tc>
        <w:tc>
          <w:tcPr>
            <w:tcW w:w="489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b/>
                <w:bCs/>
                <w:color w:val="000000"/>
                <w:sz w:val="24"/>
              </w:rPr>
            </w:pPr>
            <w:r>
              <w:rPr>
                <w:rFonts w:hint="eastAsia" w:ascii="仿宋" w:hAnsi="仿宋" w:eastAsia="仿宋" w:cs="仿宋"/>
                <w:b/>
                <w:bCs/>
                <w:color w:val="000000"/>
                <w:kern w:val="0"/>
                <w:sz w:val="24"/>
              </w:rPr>
              <w:t>评分内容</w:t>
            </w:r>
          </w:p>
        </w:tc>
        <w:tc>
          <w:tcPr>
            <w:tcW w:w="31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b/>
                <w:bCs/>
                <w:color w:val="000000"/>
                <w:sz w:val="24"/>
              </w:rPr>
            </w:pPr>
            <w:r>
              <w:rPr>
                <w:rFonts w:hint="eastAsia" w:ascii="仿宋" w:hAnsi="仿宋" w:eastAsia="仿宋" w:cs="仿宋"/>
                <w:b/>
                <w:bCs/>
                <w:color w:val="000000"/>
                <w:kern w:val="0"/>
                <w:sz w:val="24"/>
              </w:rPr>
              <w:t>评分标准</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满分</w:t>
            </w:r>
          </w:p>
        </w:tc>
      </w:tr>
      <w:tr>
        <w:tblPrEx>
          <w:tblCellMar>
            <w:top w:w="0" w:type="dxa"/>
            <w:left w:w="108" w:type="dxa"/>
            <w:bottom w:w="0" w:type="dxa"/>
            <w:right w:w="108" w:type="dxa"/>
          </w:tblCellMar>
        </w:tblPrEx>
        <w:trPr>
          <w:trHeight w:val="285" w:hRule="atLeast"/>
        </w:trPr>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000000"/>
                <w:sz w:val="24"/>
              </w:rPr>
            </w:pPr>
          </w:p>
        </w:tc>
        <w:tc>
          <w:tcPr>
            <w:tcW w:w="4895"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ascii="仿宋" w:hAnsi="仿宋" w:eastAsia="仿宋" w:cs="仿宋"/>
                <w:b/>
                <w:bCs/>
                <w:color w:val="000000"/>
                <w:sz w:val="24"/>
              </w:rPr>
            </w:pPr>
          </w:p>
        </w:tc>
        <w:tc>
          <w:tcPr>
            <w:tcW w:w="31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b/>
                <w:bCs/>
                <w:color w:val="000000"/>
                <w:sz w:val="24"/>
              </w:rPr>
            </w:pPr>
          </w:p>
        </w:tc>
        <w:tc>
          <w:tcPr>
            <w:tcW w:w="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70分</w:t>
            </w:r>
          </w:p>
        </w:tc>
      </w:tr>
      <w:tr>
        <w:tblPrEx>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1</w:t>
            </w:r>
          </w:p>
        </w:tc>
        <w:tc>
          <w:tcPr>
            <w:tcW w:w="48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依据充分，且目标任务明确。</w:t>
            </w:r>
          </w:p>
        </w:tc>
        <w:tc>
          <w:tcPr>
            <w:tcW w:w="31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完全符合要求3.5分；基本符合要求1-2分；不符合0分。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3.5</w:t>
            </w:r>
          </w:p>
        </w:tc>
      </w:tr>
      <w:tr>
        <w:tblPrEx>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2</w:t>
            </w:r>
          </w:p>
        </w:tc>
        <w:tc>
          <w:tcPr>
            <w:tcW w:w="48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全面收集了调查区自然地理、地质、社会经济、规划等方面的资料，并结合调查工作进行了阐述。</w:t>
            </w:r>
          </w:p>
        </w:tc>
        <w:tc>
          <w:tcPr>
            <w:tcW w:w="31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资料收集完整、内容全面5-7分；资料收集基本完整、内容基本全面1-4分；无资料收集和阐述内容0分。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7</w:t>
            </w:r>
          </w:p>
        </w:tc>
      </w:tr>
      <w:tr>
        <w:tblPrEx>
          <w:tblCellMar>
            <w:top w:w="0" w:type="dxa"/>
            <w:left w:w="108" w:type="dxa"/>
            <w:bottom w:w="0" w:type="dxa"/>
            <w:right w:w="108" w:type="dxa"/>
          </w:tblCellMar>
        </w:tblPrEx>
        <w:trPr>
          <w:trHeight w:val="19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3</w:t>
            </w:r>
          </w:p>
        </w:tc>
        <w:tc>
          <w:tcPr>
            <w:tcW w:w="48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工作思路、工作部署、工作量布置、进度安排明确清晰。主要内容包括：</w:t>
            </w:r>
          </w:p>
          <w:p>
            <w:pPr>
              <w:widowControl/>
              <w:numPr>
                <w:ilvl w:val="0"/>
                <w:numId w:val="7"/>
              </w:numPr>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调查、评价和预测滑坡、崩塌、泥石流发展趋势，进行环境工程地质条件区划；</w:t>
            </w:r>
          </w:p>
          <w:p>
            <w:pPr>
              <w:widowControl/>
              <w:numPr>
                <w:ilvl w:val="0"/>
                <w:numId w:val="7"/>
              </w:numPr>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调查潜在和已发生滑坡、崩塌、泥石流等地质灾害点并评估复活性、危险性、危害性，提出防治措施建议；</w:t>
            </w:r>
          </w:p>
          <w:p>
            <w:pPr>
              <w:widowControl/>
              <w:numPr>
                <w:ilvl w:val="0"/>
                <w:numId w:val="7"/>
              </w:numPr>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部署重大单体地质灾害初步勘查，工作部署和量科学合理；</w:t>
            </w:r>
          </w:p>
          <w:p>
            <w:pPr>
              <w:widowControl/>
              <w:numPr>
                <w:ilvl w:val="0"/>
                <w:numId w:val="7"/>
              </w:numPr>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开展地质灾害信息系统建设；</w:t>
            </w:r>
          </w:p>
          <w:p>
            <w:pPr>
              <w:widowControl/>
              <w:numPr>
                <w:ilvl w:val="0"/>
                <w:numId w:val="7"/>
              </w:numPr>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进行地质灾害分区评价，圈定易发区和危险区，编制（或完善）地质灾害防治区划（建议）；协助地方政府完善地质灾害群测群防网络，编制重要地质灾害隐患点防灾预案，对重大地质灾害点推荐应急搬迁避让新址，并进行工程建设适宜性初步评估等。</w:t>
            </w:r>
          </w:p>
        </w:tc>
        <w:tc>
          <w:tcPr>
            <w:tcW w:w="31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内容全面、合理21分，每缺1项扣3.5分。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21</w:t>
            </w:r>
          </w:p>
        </w:tc>
      </w:tr>
      <w:tr>
        <w:tblPrEx>
          <w:tblCellMar>
            <w:top w:w="0" w:type="dxa"/>
            <w:left w:w="108" w:type="dxa"/>
            <w:bottom w:w="0" w:type="dxa"/>
            <w:right w:w="108" w:type="dxa"/>
          </w:tblCellMar>
        </w:tblPrEx>
        <w:trPr>
          <w:trHeight w:val="7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4</w:t>
            </w:r>
          </w:p>
        </w:tc>
        <w:tc>
          <w:tcPr>
            <w:tcW w:w="48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工作方法手段得当、适宜，技术要求明确，采用遥感解译、地面调查等工作手段等。完善地质灾害信息系统，健全完善群测群防的监测网络，为减灾防灾和制定防灾规划提供基础地质依据。</w:t>
            </w:r>
          </w:p>
        </w:tc>
        <w:tc>
          <w:tcPr>
            <w:tcW w:w="31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工作方法具有针对性，符合技术规范要求，适宜明确10-14分；针对性较好、基本符合规范要5-9分；无针对性、不符合规范要求0分。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14</w:t>
            </w:r>
          </w:p>
        </w:tc>
      </w:tr>
      <w:tr>
        <w:tblPrEx>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5</w:t>
            </w:r>
          </w:p>
        </w:tc>
        <w:tc>
          <w:tcPr>
            <w:tcW w:w="48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绩效目标明确合理。</w:t>
            </w:r>
          </w:p>
        </w:tc>
        <w:tc>
          <w:tcPr>
            <w:tcW w:w="31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预期成果与招标任务书要求完全一致5分，基本一致2-4分，完全不一致0分。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5</w:t>
            </w:r>
          </w:p>
        </w:tc>
      </w:tr>
      <w:tr>
        <w:tblPrEx>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6</w:t>
            </w:r>
          </w:p>
        </w:tc>
        <w:tc>
          <w:tcPr>
            <w:tcW w:w="48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预期成果应对提交的成果报告、附图、附件、信息系统建设等予以明确。</w:t>
            </w:r>
          </w:p>
        </w:tc>
        <w:tc>
          <w:tcPr>
            <w:tcW w:w="31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预期成果与招标任务书要求完全一致7分，基本一致3-6分，完全不一致0分。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7</w:t>
            </w:r>
          </w:p>
        </w:tc>
      </w:tr>
      <w:tr>
        <w:tblPrEx>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kern w:val="0"/>
                <w:sz w:val="20"/>
                <w:szCs w:val="20"/>
              </w:rPr>
            </w:pPr>
            <w:r>
              <w:rPr>
                <w:rFonts w:hint="eastAsia" w:ascii="仿宋" w:hAnsi="仿宋" w:eastAsia="仿宋" w:cs="仿宋"/>
                <w:b/>
                <w:bCs/>
                <w:color w:val="000000"/>
                <w:kern w:val="0"/>
                <w:sz w:val="20"/>
                <w:szCs w:val="20"/>
              </w:rPr>
              <w:t>7</w:t>
            </w:r>
          </w:p>
        </w:tc>
        <w:tc>
          <w:tcPr>
            <w:tcW w:w="48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lang w:val="zh-CN"/>
              </w:rPr>
              <w:t>组织管理机构</w:t>
            </w:r>
            <w:r>
              <w:rPr>
                <w:rFonts w:hint="eastAsia" w:ascii="仿宋" w:hAnsi="仿宋" w:eastAsia="仿宋" w:cs="仿宋"/>
                <w:color w:val="000000"/>
                <w:kern w:val="0"/>
                <w:sz w:val="20"/>
                <w:szCs w:val="20"/>
              </w:rPr>
              <w:t>和</w:t>
            </w:r>
            <w:r>
              <w:rPr>
                <w:rFonts w:hint="eastAsia" w:ascii="仿宋" w:hAnsi="仿宋" w:eastAsia="仿宋" w:cs="仿宋"/>
                <w:color w:val="000000"/>
                <w:kern w:val="0"/>
                <w:sz w:val="20"/>
                <w:szCs w:val="20"/>
                <w:lang w:val="zh-CN"/>
              </w:rPr>
              <w:t>主要技术人员配备</w:t>
            </w:r>
          </w:p>
        </w:tc>
        <w:tc>
          <w:tcPr>
            <w:tcW w:w="31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kern w:val="0"/>
                <w:sz w:val="20"/>
                <w:szCs w:val="20"/>
              </w:rPr>
              <w:t>管理机构健全明确、项目人员专业组成全面、分工合理4分，基本健全明确、基本全面、合理、基本满足1-3分，无内容0分.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4</w:t>
            </w:r>
          </w:p>
        </w:tc>
      </w:tr>
      <w:tr>
        <w:tblPrEx>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sz w:val="20"/>
                <w:szCs w:val="20"/>
              </w:rPr>
              <w:t>8</w:t>
            </w:r>
          </w:p>
        </w:tc>
        <w:tc>
          <w:tcPr>
            <w:tcW w:w="48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主要设备配置应齐备。</w:t>
            </w:r>
          </w:p>
        </w:tc>
        <w:tc>
          <w:tcPr>
            <w:tcW w:w="31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符合项目技术要求、齐备3.5分，基本符合1-3分，不符合0分。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3.5</w:t>
            </w:r>
          </w:p>
        </w:tc>
      </w:tr>
      <w:tr>
        <w:tblPrEx>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sz w:val="20"/>
                <w:szCs w:val="20"/>
              </w:rPr>
              <w:t>9</w:t>
            </w:r>
          </w:p>
        </w:tc>
        <w:tc>
          <w:tcPr>
            <w:tcW w:w="48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质量、进度、安全的保障体系应健全，主要措施应明确。</w:t>
            </w:r>
          </w:p>
        </w:tc>
        <w:tc>
          <w:tcPr>
            <w:tcW w:w="31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健全明确5分，基本健全明确1-4分，无内容0分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5</w:t>
            </w:r>
          </w:p>
        </w:tc>
      </w:tr>
      <w:tr>
        <w:tblPrEx>
          <w:tblCellMar>
            <w:top w:w="0" w:type="dxa"/>
            <w:left w:w="108" w:type="dxa"/>
            <w:bottom w:w="0" w:type="dxa"/>
            <w:right w:w="108" w:type="dxa"/>
          </w:tblCellMar>
        </w:tblPrEx>
        <w:trPr>
          <w:trHeight w:val="315" w:hRule="atLeast"/>
        </w:trPr>
        <w:tc>
          <w:tcPr>
            <w:tcW w:w="8542"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b/>
                <w:bCs/>
                <w:color w:val="000000"/>
                <w:sz w:val="20"/>
                <w:szCs w:val="20"/>
              </w:rPr>
            </w:pPr>
            <w:r>
              <w:rPr>
                <w:rFonts w:hint="eastAsia" w:ascii="仿宋" w:hAnsi="仿宋" w:eastAsia="仿宋" w:cs="仿宋"/>
                <w:b/>
                <w:bCs/>
                <w:color w:val="000000"/>
                <w:kern w:val="0"/>
                <w:sz w:val="20"/>
                <w:szCs w:val="20"/>
              </w:rPr>
              <w:t>总得分V</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70</w:t>
            </w:r>
          </w:p>
        </w:tc>
      </w:tr>
    </w:tbl>
    <w:p>
      <w:pPr>
        <w:tabs>
          <w:tab w:val="right" w:pos="9213"/>
        </w:tabs>
        <w:jc w:val="center"/>
        <w:rPr>
          <w:rFonts w:ascii="仿宋" w:hAnsi="仿宋" w:eastAsia="仿宋" w:cs="仿宋"/>
          <w:b/>
          <w:sz w:val="24"/>
          <w:szCs w:val="20"/>
        </w:rPr>
      </w:pPr>
      <w:r>
        <w:rPr>
          <w:rFonts w:hint="eastAsia"/>
        </w:rPr>
        <w:br w:type="page"/>
      </w:r>
    </w:p>
    <w:p>
      <w:pPr>
        <w:tabs>
          <w:tab w:val="right" w:pos="9213"/>
        </w:tabs>
        <w:jc w:val="center"/>
        <w:rPr>
          <w:rFonts w:ascii="仿宋" w:hAnsi="仿宋" w:eastAsia="仿宋" w:cs="仿宋"/>
          <w:b/>
          <w:sz w:val="24"/>
          <w:szCs w:val="20"/>
        </w:rPr>
      </w:pPr>
      <w:bookmarkStart w:id="619" w:name="_Toc18406"/>
      <w:bookmarkStart w:id="620" w:name="_Toc1538"/>
      <w:bookmarkStart w:id="621" w:name="_Toc32388"/>
      <w:bookmarkStart w:id="622" w:name="_Toc32741"/>
      <w:bookmarkStart w:id="623" w:name="_Toc4943"/>
      <w:r>
        <w:rPr>
          <w:rFonts w:hint="eastAsia" w:ascii="仿宋" w:hAnsi="仿宋" w:eastAsia="仿宋" w:cs="仿宋"/>
          <w:b/>
          <w:sz w:val="24"/>
          <w:szCs w:val="20"/>
        </w:rPr>
        <w:t>报价评分表</w:t>
      </w:r>
      <w:bookmarkEnd w:id="619"/>
      <w:bookmarkEnd w:id="620"/>
      <w:bookmarkEnd w:id="621"/>
      <w:bookmarkEnd w:id="622"/>
      <w:bookmarkEnd w:id="623"/>
    </w:p>
    <w:p>
      <w:pPr>
        <w:pStyle w:val="26"/>
      </w:pPr>
    </w:p>
    <w:tbl>
      <w:tblPr>
        <w:tblStyle w:val="36"/>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681"/>
        <w:gridCol w:w="6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jc w:val="center"/>
        </w:trPr>
        <w:tc>
          <w:tcPr>
            <w:tcW w:w="1263" w:type="dxa"/>
            <w:vAlign w:val="center"/>
          </w:tcPr>
          <w:p>
            <w:pPr>
              <w:jc w:val="center"/>
              <w:rPr>
                <w:rFonts w:ascii="仿宋" w:hAnsi="仿宋" w:eastAsia="仿宋" w:cs="仿宋"/>
              </w:rPr>
            </w:pPr>
            <w:r>
              <w:rPr>
                <w:rFonts w:hint="eastAsia" w:ascii="仿宋" w:hAnsi="仿宋" w:eastAsia="仿宋" w:cs="仿宋"/>
              </w:rPr>
              <w:t>报价评审</w:t>
            </w:r>
          </w:p>
        </w:tc>
        <w:tc>
          <w:tcPr>
            <w:tcW w:w="681" w:type="dxa"/>
            <w:vAlign w:val="center"/>
          </w:tcPr>
          <w:p>
            <w:pPr>
              <w:jc w:val="center"/>
              <w:rPr>
                <w:rFonts w:ascii="仿宋" w:hAnsi="仿宋" w:eastAsia="仿宋" w:cs="仿宋"/>
              </w:rPr>
            </w:pPr>
            <w:r>
              <w:rPr>
                <w:rFonts w:hint="eastAsia" w:ascii="仿宋" w:hAnsi="仿宋" w:eastAsia="仿宋" w:cs="仿宋"/>
              </w:rPr>
              <w:t>10</w:t>
            </w:r>
          </w:p>
        </w:tc>
        <w:tc>
          <w:tcPr>
            <w:tcW w:w="6698" w:type="dxa"/>
            <w:vAlign w:val="center"/>
          </w:tcPr>
          <w:p>
            <w:pPr>
              <w:spacing w:line="440" w:lineRule="exact"/>
              <w:rPr>
                <w:rFonts w:ascii="仿宋" w:hAnsi="仿宋" w:eastAsia="仿宋" w:cs="仿宋"/>
              </w:rPr>
            </w:pPr>
            <w:r>
              <w:rPr>
                <w:rFonts w:hint="eastAsia" w:ascii="仿宋" w:hAnsi="仿宋" w:eastAsia="仿宋" w:cs="仿宋"/>
              </w:rPr>
              <w:t>各供应商的价格得分的计算公式：采用低价优先法计算，即满足采购文件要求且投标价格最低的投标报价为评标基准价，其价格分为满分。其他供应商的价格分统一按照下列公式计算：投标报价得分=(评标基准价／投标报价)×价格权值；计算分数时四舍五入取小数点后两位。由监标人员负责核准每个合格供应商的价格得分。（注：若报价单位为中小企业，其投标报价扣除10%后参与评审，提供相关证明资料，否则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44" w:type="dxa"/>
            <w:gridSpan w:val="2"/>
            <w:vAlign w:val="center"/>
          </w:tcPr>
          <w:p>
            <w:pPr>
              <w:jc w:val="center"/>
              <w:rPr>
                <w:rFonts w:ascii="仿宋" w:hAnsi="仿宋" w:eastAsia="仿宋" w:cs="仿宋"/>
              </w:rPr>
            </w:pPr>
            <w:r>
              <w:rPr>
                <w:rFonts w:hint="eastAsia" w:ascii="仿宋" w:hAnsi="仿宋" w:eastAsia="仿宋" w:cs="仿宋"/>
              </w:rPr>
              <w:t>报价分合计</w:t>
            </w:r>
          </w:p>
        </w:tc>
        <w:tc>
          <w:tcPr>
            <w:tcW w:w="6698" w:type="dxa"/>
            <w:vAlign w:val="center"/>
          </w:tcPr>
          <w:p>
            <w:pPr>
              <w:jc w:val="center"/>
              <w:rPr>
                <w:rFonts w:ascii="仿宋" w:hAnsi="仿宋" w:eastAsia="仿宋" w:cs="仿宋"/>
              </w:rPr>
            </w:pPr>
            <w:r>
              <w:rPr>
                <w:rFonts w:hint="eastAsia" w:ascii="仿宋" w:hAnsi="仿宋" w:eastAsia="仿宋" w:cs="仿宋"/>
              </w:rPr>
              <w:t>10</w:t>
            </w:r>
          </w:p>
        </w:tc>
      </w:tr>
    </w:tbl>
    <w:p>
      <w:pPr>
        <w:spacing w:line="240" w:lineRule="atLeast"/>
        <w:jc w:val="left"/>
        <w:outlineLvl w:val="1"/>
        <w:rPr>
          <w:rFonts w:ascii="楷体" w:hAnsi="楷体" w:eastAsia="楷体" w:cs="楷体"/>
          <w:b/>
          <w:color w:val="000000"/>
          <w:sz w:val="24"/>
        </w:rPr>
      </w:pPr>
      <w:r>
        <w:rPr>
          <w:rFonts w:hint="eastAsia" w:ascii="楷体" w:hAnsi="楷体" w:eastAsia="楷体" w:cs="楷体"/>
          <w:b/>
          <w:color w:val="FF0000"/>
          <w:sz w:val="24"/>
        </w:rPr>
        <w:br w:type="page"/>
      </w:r>
      <w:bookmarkStart w:id="624" w:name="_Toc1810"/>
      <w:bookmarkStart w:id="625" w:name="_Toc14471"/>
      <w:bookmarkStart w:id="626" w:name="_Toc1094"/>
      <w:r>
        <w:rPr>
          <w:rFonts w:hint="eastAsia" w:ascii="楷体" w:hAnsi="楷体" w:eastAsia="楷体" w:cs="楷体"/>
          <w:b/>
          <w:color w:val="000000"/>
          <w:sz w:val="24"/>
        </w:rPr>
        <w:t>标项三评分标准</w:t>
      </w:r>
      <w:bookmarkEnd w:id="624"/>
      <w:bookmarkEnd w:id="625"/>
      <w:bookmarkEnd w:id="626"/>
    </w:p>
    <w:p>
      <w:pPr>
        <w:tabs>
          <w:tab w:val="right" w:pos="9213"/>
        </w:tabs>
        <w:jc w:val="center"/>
        <w:rPr>
          <w:rFonts w:ascii="仿宋" w:hAnsi="仿宋" w:eastAsia="仿宋" w:cs="仿宋"/>
          <w:b/>
          <w:sz w:val="24"/>
          <w:szCs w:val="20"/>
        </w:rPr>
      </w:pPr>
      <w:bookmarkStart w:id="627" w:name="_Toc26151"/>
      <w:bookmarkStart w:id="628" w:name="_Toc17358"/>
      <w:bookmarkStart w:id="629" w:name="_Toc1728"/>
      <w:r>
        <w:rPr>
          <w:rFonts w:hint="eastAsia" w:ascii="仿宋" w:hAnsi="仿宋" w:eastAsia="仿宋" w:cs="仿宋"/>
          <w:b/>
          <w:sz w:val="24"/>
          <w:szCs w:val="20"/>
        </w:rPr>
        <w:t>商务评分表</w:t>
      </w:r>
      <w:bookmarkEnd w:id="627"/>
      <w:bookmarkEnd w:id="628"/>
      <w:bookmarkEnd w:id="629"/>
    </w:p>
    <w:p>
      <w:pPr>
        <w:pStyle w:val="27"/>
      </w:pPr>
    </w:p>
    <w:tbl>
      <w:tblPr>
        <w:tblStyle w:val="36"/>
        <w:tblW w:w="9423" w:type="dxa"/>
        <w:tblInd w:w="0" w:type="dxa"/>
        <w:tblLayout w:type="fixed"/>
        <w:tblCellMar>
          <w:top w:w="0" w:type="dxa"/>
          <w:left w:w="108" w:type="dxa"/>
          <w:bottom w:w="0" w:type="dxa"/>
          <w:right w:w="108" w:type="dxa"/>
        </w:tblCellMar>
      </w:tblPr>
      <w:tblGrid>
        <w:gridCol w:w="457"/>
        <w:gridCol w:w="1340"/>
        <w:gridCol w:w="6745"/>
        <w:gridCol w:w="881"/>
      </w:tblGrid>
      <w:tr>
        <w:tblPrEx>
          <w:tblCellMar>
            <w:top w:w="0" w:type="dxa"/>
            <w:left w:w="108" w:type="dxa"/>
            <w:bottom w:w="0" w:type="dxa"/>
            <w:right w:w="108" w:type="dxa"/>
          </w:tblCellMar>
        </w:tblPrEx>
        <w:trPr>
          <w:trHeight w:val="285" w:hRule="atLeast"/>
        </w:trPr>
        <w:tc>
          <w:tcPr>
            <w:tcW w:w="45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序号</w:t>
            </w:r>
          </w:p>
        </w:tc>
        <w:tc>
          <w:tcPr>
            <w:tcW w:w="134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评分内容</w:t>
            </w:r>
          </w:p>
        </w:tc>
        <w:tc>
          <w:tcPr>
            <w:tcW w:w="67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评分标准</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满分</w:t>
            </w:r>
          </w:p>
        </w:tc>
      </w:tr>
      <w:tr>
        <w:tblPrEx>
          <w:tblCellMar>
            <w:top w:w="0" w:type="dxa"/>
            <w:left w:w="108" w:type="dxa"/>
            <w:bottom w:w="0" w:type="dxa"/>
            <w:right w:w="108" w:type="dxa"/>
          </w:tblCellMar>
        </w:tblPrEx>
        <w:trPr>
          <w:trHeight w:val="285" w:hRule="atLeast"/>
        </w:trPr>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000000"/>
                <w:sz w:val="24"/>
              </w:rPr>
            </w:pPr>
          </w:p>
        </w:tc>
        <w:tc>
          <w:tcPr>
            <w:tcW w:w="134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b/>
                <w:bCs/>
                <w:color w:val="000000"/>
                <w:sz w:val="24"/>
              </w:rPr>
            </w:pPr>
          </w:p>
        </w:tc>
        <w:tc>
          <w:tcPr>
            <w:tcW w:w="67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000000"/>
                <w:sz w:val="24"/>
              </w:rPr>
            </w:pPr>
          </w:p>
        </w:tc>
        <w:tc>
          <w:tcPr>
            <w:tcW w:w="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20分</w:t>
            </w:r>
          </w:p>
        </w:tc>
      </w:tr>
      <w:tr>
        <w:tblPrEx>
          <w:tblCellMar>
            <w:top w:w="0" w:type="dxa"/>
            <w:left w:w="108" w:type="dxa"/>
            <w:bottom w:w="0" w:type="dxa"/>
            <w:right w:w="108" w:type="dxa"/>
          </w:tblCellMar>
        </w:tblPrEx>
        <w:trPr>
          <w:trHeight w:val="84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1</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送审材料</w:t>
            </w:r>
          </w:p>
        </w:tc>
        <w:tc>
          <w:tcPr>
            <w:tcW w:w="674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仿宋" w:hAnsi="仿宋" w:eastAsia="仿宋" w:cs="仿宋"/>
                <w:color w:val="000000"/>
                <w:sz w:val="20"/>
                <w:szCs w:val="20"/>
              </w:rPr>
            </w:pPr>
            <w:r>
              <w:rPr>
                <w:rFonts w:hint="eastAsia" w:ascii="仿宋" w:hAnsi="仿宋" w:eastAsia="仿宋" w:cs="仿宋"/>
                <w:color w:val="000000"/>
                <w:kern w:val="0"/>
                <w:sz w:val="20"/>
                <w:szCs w:val="20"/>
              </w:rPr>
              <w:t>有独立的、按要求编制的商务标，得1分；有独立的商务标标书，但部分预算内容或资料混入其他标中但可审，扣0.1分；未单独编制商务标而在技术标中作为独立章节且可审，扣0.4分；没有商务标或实质性内容的为0分，且以下各项均不得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1</w:t>
            </w:r>
          </w:p>
        </w:tc>
      </w:tr>
      <w:tr>
        <w:tblPrEx>
          <w:tblCellMar>
            <w:top w:w="0" w:type="dxa"/>
            <w:left w:w="108" w:type="dxa"/>
            <w:bottom w:w="0" w:type="dxa"/>
            <w:right w:w="108" w:type="dxa"/>
          </w:tblCellMar>
        </w:tblPrEx>
        <w:trPr>
          <w:trHeight w:val="56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2</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适用表式</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表式正确且齐全1分；相应表号、项目名称、计量单位、技术条件等每缺一项扣0.1分，单表最大扣分0.2分。本项分值扣完为止。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1</w:t>
            </w:r>
          </w:p>
        </w:tc>
      </w:tr>
      <w:tr>
        <w:tblPrEx>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3</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编制方法</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选用正确的工作项目、费用项目按规定顺序进行编制，逐级汇总全部正确得2分，每错（漏）一处扣0.2分。单表扣分不超过1分。本项分值扣完为止。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2</w:t>
            </w:r>
          </w:p>
        </w:tc>
      </w:tr>
      <w:tr>
        <w:tblPrEx>
          <w:tblCellMar>
            <w:top w:w="0" w:type="dxa"/>
            <w:left w:w="108" w:type="dxa"/>
            <w:bottom w:w="0" w:type="dxa"/>
            <w:right w:w="108" w:type="dxa"/>
          </w:tblCellMar>
        </w:tblPrEx>
        <w:trPr>
          <w:trHeight w:val="58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4</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预算标准</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每错用预算标准1处扣0.5分，采用采购文件指定标准以外的标准又未作相应说明或使用标准明显不合理的，每处扣0.5分，本项分值扣完为止。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3</w:t>
            </w:r>
          </w:p>
        </w:tc>
      </w:tr>
      <w:tr>
        <w:tblPrEx>
          <w:tblCellMar>
            <w:top w:w="0" w:type="dxa"/>
            <w:left w:w="108" w:type="dxa"/>
            <w:bottom w:w="0" w:type="dxa"/>
            <w:right w:w="108" w:type="dxa"/>
          </w:tblCellMar>
        </w:tblPrEx>
        <w:trPr>
          <w:trHeight w:val="56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5</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预算内容</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预算内容设置不重复、不扩大、不遗漏的得满分，每重复、扩大或遗漏1处扣0.5分，本项分值扣完为止。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4</w:t>
            </w:r>
          </w:p>
        </w:tc>
      </w:tr>
      <w:tr>
        <w:tblPrEx>
          <w:tblCellMar>
            <w:top w:w="0" w:type="dxa"/>
            <w:left w:w="108" w:type="dxa"/>
            <w:bottom w:w="0" w:type="dxa"/>
            <w:right w:w="108" w:type="dxa"/>
          </w:tblCellMar>
        </w:tblPrEx>
        <w:trPr>
          <w:trHeight w:val="285"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6</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计算和勾稽关系</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预算表内、表间数据勾稽关系完全正确得满分，每错1处扣0.1分，本项分值扣完为止。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sz w:val="24"/>
              </w:rPr>
              <w:t>1</w:t>
            </w:r>
          </w:p>
        </w:tc>
      </w:tr>
      <w:tr>
        <w:tblPrEx>
          <w:tblCellMar>
            <w:top w:w="0" w:type="dxa"/>
            <w:left w:w="108" w:type="dxa"/>
            <w:bottom w:w="0" w:type="dxa"/>
            <w:right w:w="108" w:type="dxa"/>
          </w:tblCellMar>
        </w:tblPrEx>
        <w:trPr>
          <w:trHeight w:val="74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7</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与技术方案工作量平衡</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工作方法、工作部署、工作量布置及其他相关技术指标等与技术方案完全一致得满分，每错1处扣0.5分，本项分值扣完为止。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2</w:t>
            </w:r>
          </w:p>
        </w:tc>
      </w:tr>
      <w:tr>
        <w:tblPrEx>
          <w:tblCellMar>
            <w:top w:w="0" w:type="dxa"/>
            <w:left w:w="108" w:type="dxa"/>
            <w:bottom w:w="0" w:type="dxa"/>
            <w:right w:w="108" w:type="dxa"/>
          </w:tblCellMar>
        </w:tblPrEx>
        <w:trPr>
          <w:trHeight w:val="144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8</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预算编制说明</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kern w:val="0"/>
                <w:sz w:val="20"/>
                <w:szCs w:val="20"/>
              </w:rPr>
              <w:t>项目投标报价及承诺、项目概况、项目设计预算编制依据、工程方案内容及工作量情况、采用的费用标准和计算方法、工程技术指标分析及需要说明的问题等方面完整4分。其中：缺少项目投标报价及承诺扣1分；项目概况、项目设计预算编制依据、工程方案内容及工作量情况、采用的费用标准和计算方法、工程技术指标分析、需要说明的问题等6项，每缺一方面内容扣0.5分。每个方面内容不详细、不全面或不正确者扣0.1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4</w:t>
            </w:r>
          </w:p>
        </w:tc>
      </w:tr>
      <w:tr>
        <w:tblPrEx>
          <w:tblCellMar>
            <w:top w:w="0" w:type="dxa"/>
            <w:left w:w="108" w:type="dxa"/>
            <w:bottom w:w="0" w:type="dxa"/>
            <w:right w:w="108" w:type="dxa"/>
          </w:tblCellMar>
        </w:tblPrEx>
        <w:trPr>
          <w:trHeight w:val="7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sz w:val="20"/>
                <w:szCs w:val="20"/>
              </w:rPr>
              <w:t>9</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主要工作业绩</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20"/>
                <w:szCs w:val="20"/>
              </w:rPr>
            </w:pPr>
            <w:r>
              <w:rPr>
                <w:rFonts w:hint="eastAsia" w:ascii="仿宋" w:hAnsi="仿宋" w:eastAsia="仿宋" w:cs="仿宋"/>
                <w:kern w:val="0"/>
                <w:sz w:val="20"/>
                <w:szCs w:val="20"/>
              </w:rPr>
              <w:t>每提供近三年一项类似业绩并提供证明材料得0.2分，未提供证明材料不得分，本项最高得1分。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1</w:t>
            </w:r>
          </w:p>
        </w:tc>
      </w:tr>
      <w:tr>
        <w:tblPrEx>
          <w:tblCellMar>
            <w:top w:w="0" w:type="dxa"/>
            <w:left w:w="108" w:type="dxa"/>
            <w:bottom w:w="0" w:type="dxa"/>
            <w:right w:w="108" w:type="dxa"/>
          </w:tblCellMar>
        </w:tblPrEx>
        <w:trPr>
          <w:trHeight w:val="7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sz w:val="20"/>
                <w:szCs w:val="20"/>
              </w:rPr>
              <w:t>10</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相关承诺</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20"/>
                <w:szCs w:val="20"/>
              </w:rPr>
            </w:pPr>
            <w:r>
              <w:rPr>
                <w:rFonts w:hint="eastAsia" w:ascii="仿宋" w:hAnsi="仿宋" w:eastAsia="仿宋" w:cs="仿宋"/>
                <w:kern w:val="0"/>
                <w:sz w:val="20"/>
                <w:szCs w:val="20"/>
              </w:rPr>
              <w:t>承诺全面1分，基本全面0.5分，无承诺不得分。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1</w:t>
            </w:r>
          </w:p>
        </w:tc>
      </w:tr>
      <w:tr>
        <w:tblPrEx>
          <w:tblCellMar>
            <w:top w:w="0" w:type="dxa"/>
            <w:left w:w="108" w:type="dxa"/>
            <w:bottom w:w="0" w:type="dxa"/>
            <w:right w:w="108" w:type="dxa"/>
          </w:tblCellMar>
        </w:tblPrEx>
        <w:trPr>
          <w:trHeight w:val="285" w:hRule="atLeast"/>
        </w:trPr>
        <w:tc>
          <w:tcPr>
            <w:tcW w:w="8542" w:type="dxa"/>
            <w:gridSpan w:val="3"/>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仿宋" w:hAnsi="仿宋" w:eastAsia="仿宋" w:cs="仿宋"/>
                <w:b/>
                <w:bCs/>
                <w:color w:val="000000"/>
                <w:sz w:val="24"/>
              </w:rPr>
            </w:pPr>
            <w:r>
              <w:rPr>
                <w:rFonts w:hint="eastAsia" w:ascii="仿宋" w:hAnsi="仿宋" w:eastAsia="仿宋" w:cs="仿宋"/>
                <w:b/>
                <w:bCs/>
                <w:color w:val="000000"/>
                <w:kern w:val="0"/>
                <w:sz w:val="24"/>
              </w:rPr>
              <w:t>总得分V</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20</w:t>
            </w:r>
          </w:p>
        </w:tc>
      </w:tr>
    </w:tbl>
    <w:p>
      <w:pPr>
        <w:spacing w:line="440" w:lineRule="exact"/>
        <w:jc w:val="center"/>
        <w:rPr>
          <w:rFonts w:ascii="仿宋" w:hAnsi="仿宋" w:eastAsia="仿宋" w:cs="仿宋"/>
          <w:sz w:val="24"/>
        </w:rPr>
      </w:pPr>
      <w:r>
        <w:rPr>
          <w:rFonts w:hint="eastAsia" w:ascii="仿宋" w:hAnsi="仿宋" w:eastAsia="仿宋" w:cs="仿宋"/>
          <w:sz w:val="24"/>
        </w:rPr>
        <w:br w:type="page"/>
      </w:r>
    </w:p>
    <w:p>
      <w:pPr>
        <w:tabs>
          <w:tab w:val="right" w:pos="9213"/>
        </w:tabs>
        <w:jc w:val="center"/>
        <w:rPr>
          <w:rFonts w:ascii="仿宋" w:hAnsi="仿宋" w:eastAsia="仿宋" w:cs="仿宋"/>
          <w:b/>
          <w:sz w:val="24"/>
          <w:szCs w:val="20"/>
        </w:rPr>
      </w:pPr>
      <w:bookmarkStart w:id="630" w:name="_Toc8799"/>
      <w:bookmarkStart w:id="631" w:name="_Toc17451"/>
      <w:bookmarkStart w:id="632" w:name="_Toc19788"/>
      <w:r>
        <w:rPr>
          <w:rFonts w:hint="eastAsia" w:ascii="仿宋" w:hAnsi="仿宋" w:eastAsia="仿宋" w:cs="仿宋"/>
          <w:b/>
          <w:sz w:val="24"/>
          <w:szCs w:val="20"/>
        </w:rPr>
        <w:t>技术评分表</w:t>
      </w:r>
      <w:bookmarkEnd w:id="630"/>
      <w:bookmarkEnd w:id="631"/>
      <w:bookmarkEnd w:id="632"/>
    </w:p>
    <w:tbl>
      <w:tblPr>
        <w:tblStyle w:val="36"/>
        <w:tblW w:w="9237" w:type="dxa"/>
        <w:tblInd w:w="0" w:type="dxa"/>
        <w:tblLayout w:type="fixed"/>
        <w:tblCellMar>
          <w:top w:w="0" w:type="dxa"/>
          <w:left w:w="0" w:type="dxa"/>
          <w:bottom w:w="0" w:type="dxa"/>
          <w:right w:w="0" w:type="dxa"/>
        </w:tblCellMar>
      </w:tblPr>
      <w:tblGrid>
        <w:gridCol w:w="576"/>
        <w:gridCol w:w="3766"/>
        <w:gridCol w:w="3760"/>
        <w:gridCol w:w="1135"/>
      </w:tblGrid>
      <w:tr>
        <w:tblPrEx>
          <w:tblCellMar>
            <w:top w:w="0" w:type="dxa"/>
            <w:left w:w="0" w:type="dxa"/>
            <w:bottom w:w="0" w:type="dxa"/>
            <w:right w:w="0" w:type="dxa"/>
          </w:tblCellMar>
        </w:tblPrEx>
        <w:trPr>
          <w:trHeight w:val="312" w:hRule="atLeast"/>
        </w:trPr>
        <w:tc>
          <w:tcPr>
            <w:tcW w:w="57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序号</w:t>
            </w:r>
          </w:p>
        </w:tc>
        <w:tc>
          <w:tcPr>
            <w:tcW w:w="376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评分内容</w:t>
            </w:r>
          </w:p>
        </w:tc>
        <w:tc>
          <w:tcPr>
            <w:tcW w:w="37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评分标准</w:t>
            </w:r>
          </w:p>
        </w:tc>
        <w:tc>
          <w:tcPr>
            <w:tcW w:w="11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满分</w:t>
            </w:r>
          </w:p>
        </w:tc>
      </w:tr>
      <w:tr>
        <w:tblPrEx>
          <w:tblCellMar>
            <w:top w:w="0" w:type="dxa"/>
            <w:left w:w="0" w:type="dxa"/>
            <w:bottom w:w="0" w:type="dxa"/>
            <w:right w:w="0" w:type="dxa"/>
          </w:tblCellMar>
        </w:tblPrEx>
        <w:trPr>
          <w:trHeight w:val="312" w:hRule="atLeast"/>
        </w:trPr>
        <w:tc>
          <w:tcPr>
            <w:tcW w:w="5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sz w:val="24"/>
              </w:rPr>
            </w:pPr>
          </w:p>
        </w:tc>
        <w:tc>
          <w:tcPr>
            <w:tcW w:w="376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 w:hAnsi="仿宋" w:eastAsia="仿宋" w:cs="仿宋"/>
                <w:b/>
                <w:sz w:val="24"/>
              </w:rPr>
            </w:pPr>
          </w:p>
        </w:tc>
        <w:tc>
          <w:tcPr>
            <w:tcW w:w="37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sz w:val="24"/>
              </w:rPr>
            </w:pPr>
          </w:p>
        </w:tc>
        <w:tc>
          <w:tcPr>
            <w:tcW w:w="11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70分</w:t>
            </w:r>
          </w:p>
        </w:tc>
      </w:tr>
      <w:tr>
        <w:tblPrEx>
          <w:tblCellMar>
            <w:top w:w="0" w:type="dxa"/>
            <w:left w:w="0" w:type="dxa"/>
            <w:bottom w:w="0" w:type="dxa"/>
            <w:right w:w="0" w:type="dxa"/>
          </w:tblCellMar>
        </w:tblPrEx>
        <w:trPr>
          <w:trHeight w:val="720" w:hRule="atLeast"/>
        </w:trPr>
        <w:tc>
          <w:tcPr>
            <w:tcW w:w="5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rPr>
              <w:t>1</w:t>
            </w:r>
          </w:p>
        </w:tc>
        <w:tc>
          <w:tcPr>
            <w:tcW w:w="37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sz w:val="20"/>
                <w:szCs w:val="20"/>
              </w:rPr>
            </w:pPr>
            <w:r>
              <w:rPr>
                <w:rFonts w:hint="eastAsia" w:ascii="仿宋" w:hAnsi="仿宋" w:eastAsia="仿宋" w:cs="仿宋"/>
                <w:kern w:val="0"/>
                <w:sz w:val="20"/>
                <w:szCs w:val="20"/>
              </w:rPr>
              <w:t>标书的完整性及与采购文件的响应性。</w:t>
            </w:r>
          </w:p>
        </w:tc>
        <w:tc>
          <w:tcPr>
            <w:tcW w:w="37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sz w:val="20"/>
                <w:szCs w:val="20"/>
              </w:rPr>
            </w:pPr>
            <w:r>
              <w:rPr>
                <w:rFonts w:hint="eastAsia" w:ascii="仿宋" w:hAnsi="仿宋" w:eastAsia="仿宋" w:cs="仿宋"/>
                <w:kern w:val="0"/>
                <w:sz w:val="20"/>
                <w:szCs w:val="20"/>
              </w:rPr>
              <w:t>完全响应和完整3.5分；部分未响应或不完整1.5-3分；未响应部分份额较大且不完整≤1分。</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3.5</w:t>
            </w:r>
          </w:p>
        </w:tc>
      </w:tr>
      <w:tr>
        <w:tblPrEx>
          <w:tblCellMar>
            <w:top w:w="0" w:type="dxa"/>
            <w:left w:w="0" w:type="dxa"/>
            <w:bottom w:w="0" w:type="dxa"/>
            <w:right w:w="0" w:type="dxa"/>
          </w:tblCellMar>
        </w:tblPrEx>
        <w:trPr>
          <w:trHeight w:val="1920" w:hRule="atLeast"/>
        </w:trPr>
        <w:tc>
          <w:tcPr>
            <w:tcW w:w="5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rPr>
              <w:t>2</w:t>
            </w:r>
          </w:p>
        </w:tc>
        <w:tc>
          <w:tcPr>
            <w:tcW w:w="37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kern w:val="0"/>
                <w:sz w:val="20"/>
                <w:szCs w:val="20"/>
              </w:rPr>
            </w:pPr>
            <w:r>
              <w:rPr>
                <w:rFonts w:hint="eastAsia" w:ascii="仿宋" w:hAnsi="仿宋" w:eastAsia="仿宋" w:cs="仿宋"/>
                <w:kern w:val="0"/>
                <w:sz w:val="20"/>
                <w:szCs w:val="20"/>
              </w:rPr>
              <w:t>施工设计目标任务、工作内容、工程布置、施工方案、工程量、进度安排的明确清晰程度及合理性；工作方法的可行性、技术要求的明确程度。</w:t>
            </w:r>
          </w:p>
          <w:p>
            <w:pPr>
              <w:widowControl/>
              <w:textAlignment w:val="center"/>
              <w:rPr>
                <w:rFonts w:ascii="仿宋" w:hAnsi="仿宋" w:eastAsia="仿宋" w:cs="仿宋"/>
                <w:sz w:val="20"/>
                <w:szCs w:val="20"/>
              </w:rPr>
            </w:pPr>
            <w:r>
              <w:rPr>
                <w:rFonts w:hint="eastAsia" w:ascii="仿宋" w:hAnsi="仿宋" w:eastAsia="仿宋" w:cs="仿宋"/>
                <w:kern w:val="0"/>
                <w:sz w:val="20"/>
                <w:szCs w:val="20"/>
              </w:rPr>
              <w:t>施工设计图内容是否齐全；设计图规范、图面美观，设计参数标注是否齐全完整。</w:t>
            </w:r>
          </w:p>
        </w:tc>
        <w:tc>
          <w:tcPr>
            <w:tcW w:w="37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sz w:val="20"/>
                <w:szCs w:val="20"/>
              </w:rPr>
            </w:pPr>
            <w:r>
              <w:rPr>
                <w:rFonts w:hint="eastAsia" w:ascii="仿宋" w:hAnsi="仿宋" w:eastAsia="仿宋" w:cs="仿宋"/>
                <w:kern w:val="0"/>
                <w:sz w:val="20"/>
                <w:szCs w:val="20"/>
              </w:rPr>
              <w:t>施工设计目标任务、工作内容、工程布置、施工方案、工程量、进度安排明确合理0—7分；施工图设计齐全0－3.5分；设计指标明确，技术要求全面、明确0—3.5分；设计工作量与采购文件响应0－3.5分；设计图规范、图面美观，设计参数标注齐全完整0－3.5分。</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21</w:t>
            </w:r>
          </w:p>
        </w:tc>
      </w:tr>
      <w:tr>
        <w:tblPrEx>
          <w:tblCellMar>
            <w:top w:w="0" w:type="dxa"/>
            <w:left w:w="0" w:type="dxa"/>
            <w:bottom w:w="0" w:type="dxa"/>
            <w:right w:w="0" w:type="dxa"/>
          </w:tblCellMar>
        </w:tblPrEx>
        <w:trPr>
          <w:trHeight w:val="1920" w:hRule="atLeast"/>
        </w:trPr>
        <w:tc>
          <w:tcPr>
            <w:tcW w:w="5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rPr>
              <w:t>3</w:t>
            </w:r>
          </w:p>
        </w:tc>
        <w:tc>
          <w:tcPr>
            <w:tcW w:w="37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sz w:val="20"/>
                <w:szCs w:val="20"/>
              </w:rPr>
            </w:pPr>
            <w:r>
              <w:rPr>
                <w:rFonts w:hint="eastAsia" w:ascii="仿宋" w:hAnsi="仿宋" w:eastAsia="仿宋" w:cs="仿宋"/>
                <w:kern w:val="0"/>
                <w:sz w:val="20"/>
                <w:szCs w:val="20"/>
              </w:rPr>
              <w:t>施工组织设计内容是否齐全完整；工作方法应与施工图设计相衔接，技术要求应符合当地实际，满足相关标准、规范，施工组织严密，附施工平面图。</w:t>
            </w:r>
          </w:p>
        </w:tc>
        <w:tc>
          <w:tcPr>
            <w:tcW w:w="37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kern w:val="0"/>
                <w:sz w:val="20"/>
                <w:szCs w:val="20"/>
              </w:rPr>
            </w:pPr>
            <w:r>
              <w:rPr>
                <w:rFonts w:hint="eastAsia" w:ascii="仿宋" w:hAnsi="仿宋" w:eastAsia="仿宋" w:cs="仿宋"/>
                <w:kern w:val="0"/>
                <w:sz w:val="20"/>
                <w:szCs w:val="20"/>
              </w:rPr>
              <w:t>施工组织设计内容齐全完整0－3.5分；</w:t>
            </w:r>
          </w:p>
          <w:p>
            <w:pPr>
              <w:widowControl/>
              <w:textAlignment w:val="center"/>
              <w:rPr>
                <w:rFonts w:ascii="仿宋" w:hAnsi="仿宋" w:eastAsia="仿宋" w:cs="仿宋"/>
                <w:sz w:val="20"/>
                <w:szCs w:val="20"/>
              </w:rPr>
            </w:pPr>
            <w:r>
              <w:rPr>
                <w:rFonts w:hint="eastAsia" w:ascii="仿宋" w:hAnsi="仿宋" w:eastAsia="仿宋" w:cs="仿宋"/>
                <w:kern w:val="0"/>
                <w:sz w:val="20"/>
                <w:szCs w:val="20"/>
              </w:rPr>
              <w:t>工作方法可行、技术要求明确，工作方法与施工图设计衔接0－7分；技术要求符合项目治理方案和实际，满足相关标准、规范，施工组织严密，并附施工平面图0－7分，安全施工0-1.5分，环保施工0-2分。</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21</w:t>
            </w:r>
          </w:p>
        </w:tc>
      </w:tr>
      <w:tr>
        <w:tblPrEx>
          <w:tblCellMar>
            <w:top w:w="0" w:type="dxa"/>
            <w:left w:w="0" w:type="dxa"/>
            <w:bottom w:w="0" w:type="dxa"/>
            <w:right w:w="0" w:type="dxa"/>
          </w:tblCellMar>
        </w:tblPrEx>
        <w:trPr>
          <w:trHeight w:val="720" w:hRule="atLeast"/>
        </w:trPr>
        <w:tc>
          <w:tcPr>
            <w:tcW w:w="5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rPr>
              <w:t>4</w:t>
            </w:r>
          </w:p>
        </w:tc>
        <w:tc>
          <w:tcPr>
            <w:tcW w:w="37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sz w:val="20"/>
                <w:szCs w:val="20"/>
              </w:rPr>
            </w:pPr>
            <w:r>
              <w:rPr>
                <w:rFonts w:hint="eastAsia" w:ascii="仿宋" w:hAnsi="仿宋" w:eastAsia="仿宋" w:cs="仿宋"/>
                <w:kern w:val="0"/>
                <w:sz w:val="20"/>
                <w:szCs w:val="20"/>
              </w:rPr>
              <w:t>预期成果的全面程度。</w:t>
            </w:r>
          </w:p>
        </w:tc>
        <w:tc>
          <w:tcPr>
            <w:tcW w:w="37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sz w:val="20"/>
                <w:szCs w:val="20"/>
              </w:rPr>
            </w:pPr>
            <w:r>
              <w:rPr>
                <w:rFonts w:hint="eastAsia" w:ascii="仿宋" w:hAnsi="仿宋" w:eastAsia="仿宋" w:cs="仿宋"/>
                <w:kern w:val="0"/>
                <w:sz w:val="20"/>
                <w:szCs w:val="20"/>
              </w:rPr>
              <w:t>预期成果包括治理效果和提交的成果资料全面3.5分；基本全面2-3分；不全面≤1分。</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kern w:val="0"/>
                <w:sz w:val="24"/>
              </w:rPr>
              <w:t xml:space="preserve"> 3.5</w:t>
            </w:r>
          </w:p>
        </w:tc>
      </w:tr>
      <w:tr>
        <w:tblPrEx>
          <w:tblCellMar>
            <w:top w:w="0" w:type="dxa"/>
            <w:left w:w="0" w:type="dxa"/>
            <w:bottom w:w="0" w:type="dxa"/>
            <w:right w:w="0" w:type="dxa"/>
          </w:tblCellMar>
        </w:tblPrEx>
        <w:trPr>
          <w:trHeight w:val="720" w:hRule="atLeast"/>
        </w:trPr>
        <w:tc>
          <w:tcPr>
            <w:tcW w:w="5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rPr>
              <w:t>5</w:t>
            </w:r>
          </w:p>
        </w:tc>
        <w:tc>
          <w:tcPr>
            <w:tcW w:w="37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sz w:val="20"/>
                <w:szCs w:val="20"/>
              </w:rPr>
            </w:pPr>
            <w:r>
              <w:rPr>
                <w:rFonts w:hint="eastAsia" w:ascii="仿宋" w:hAnsi="仿宋" w:eastAsia="仿宋" w:cs="仿宋"/>
                <w:kern w:val="0"/>
                <w:sz w:val="20"/>
                <w:szCs w:val="20"/>
              </w:rPr>
              <w:t>组织管理、质量、进度、安全、环境的保障体系及主要措施。</w:t>
            </w:r>
          </w:p>
        </w:tc>
        <w:tc>
          <w:tcPr>
            <w:tcW w:w="37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sz w:val="20"/>
                <w:szCs w:val="20"/>
              </w:rPr>
            </w:pPr>
            <w:r>
              <w:rPr>
                <w:rFonts w:hint="eastAsia" w:ascii="仿宋" w:hAnsi="仿宋" w:eastAsia="仿宋" w:cs="仿宋"/>
                <w:kern w:val="0"/>
                <w:sz w:val="20"/>
                <w:szCs w:val="20"/>
              </w:rPr>
              <w:t>保障体系齐全、措施有效7分；保障体系基本齐全、措施基本有效3-6分；保障体系不健全≤2分。</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sz w:val="24"/>
              </w:rPr>
            </w:pPr>
            <w:r>
              <w:rPr>
                <w:rFonts w:hint="eastAsia" w:ascii="仿宋" w:hAnsi="仿宋" w:eastAsia="仿宋" w:cs="仿宋"/>
                <w:b/>
                <w:sz w:val="24"/>
              </w:rPr>
              <w:t>7</w:t>
            </w:r>
          </w:p>
        </w:tc>
      </w:tr>
      <w:tr>
        <w:tblPrEx>
          <w:tblCellMar>
            <w:top w:w="0" w:type="dxa"/>
            <w:left w:w="0" w:type="dxa"/>
            <w:bottom w:w="0" w:type="dxa"/>
            <w:right w:w="0" w:type="dxa"/>
          </w:tblCellMar>
        </w:tblPrEx>
        <w:trPr>
          <w:trHeight w:val="480" w:hRule="atLeast"/>
        </w:trPr>
        <w:tc>
          <w:tcPr>
            <w:tcW w:w="5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rPr>
              <w:t>6</w:t>
            </w:r>
          </w:p>
        </w:tc>
        <w:tc>
          <w:tcPr>
            <w:tcW w:w="37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sz w:val="20"/>
                <w:szCs w:val="20"/>
              </w:rPr>
            </w:pPr>
            <w:r>
              <w:rPr>
                <w:rFonts w:hint="eastAsia" w:ascii="仿宋" w:hAnsi="仿宋" w:eastAsia="仿宋" w:cs="仿宋"/>
                <w:kern w:val="0"/>
                <w:sz w:val="20"/>
                <w:szCs w:val="20"/>
              </w:rPr>
              <w:t>人员数量满足施工要求，工种齐全，人员专业结构配备合理。</w:t>
            </w:r>
          </w:p>
        </w:tc>
        <w:tc>
          <w:tcPr>
            <w:tcW w:w="37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sz w:val="20"/>
                <w:szCs w:val="20"/>
              </w:rPr>
            </w:pPr>
            <w:r>
              <w:rPr>
                <w:rFonts w:hint="eastAsia" w:ascii="仿宋" w:hAnsi="仿宋" w:eastAsia="仿宋" w:cs="仿宋"/>
                <w:kern w:val="0"/>
                <w:sz w:val="20"/>
                <w:szCs w:val="20"/>
              </w:rPr>
              <w:t>人员数量情况0—3分；工种搭配情况0—2分；专业结构情况0—2分。</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sz w:val="24"/>
              </w:rPr>
            </w:pPr>
            <w:r>
              <w:rPr>
                <w:rFonts w:hint="eastAsia" w:ascii="仿宋" w:hAnsi="仿宋" w:eastAsia="仿宋" w:cs="仿宋"/>
                <w:b/>
                <w:sz w:val="24"/>
              </w:rPr>
              <w:t>7</w:t>
            </w:r>
          </w:p>
        </w:tc>
      </w:tr>
      <w:tr>
        <w:tblPrEx>
          <w:tblCellMar>
            <w:top w:w="0" w:type="dxa"/>
            <w:left w:w="0" w:type="dxa"/>
            <w:bottom w:w="0" w:type="dxa"/>
            <w:right w:w="0" w:type="dxa"/>
          </w:tblCellMar>
        </w:tblPrEx>
        <w:trPr>
          <w:trHeight w:val="480" w:hRule="atLeast"/>
        </w:trPr>
        <w:tc>
          <w:tcPr>
            <w:tcW w:w="5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rPr>
              <w:t>7</w:t>
            </w:r>
          </w:p>
        </w:tc>
        <w:tc>
          <w:tcPr>
            <w:tcW w:w="37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sz w:val="20"/>
                <w:szCs w:val="20"/>
              </w:rPr>
            </w:pPr>
            <w:r>
              <w:rPr>
                <w:rFonts w:hint="eastAsia" w:ascii="仿宋" w:hAnsi="仿宋" w:eastAsia="仿宋" w:cs="仿宋"/>
                <w:kern w:val="0"/>
                <w:sz w:val="20"/>
                <w:szCs w:val="20"/>
              </w:rPr>
              <w:t>仪器、设备配置</w:t>
            </w:r>
          </w:p>
        </w:tc>
        <w:tc>
          <w:tcPr>
            <w:tcW w:w="37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sz w:val="20"/>
                <w:szCs w:val="20"/>
              </w:rPr>
            </w:pPr>
            <w:r>
              <w:rPr>
                <w:rFonts w:hint="eastAsia" w:ascii="仿宋" w:hAnsi="仿宋" w:eastAsia="仿宋" w:cs="仿宋"/>
                <w:kern w:val="0"/>
                <w:sz w:val="20"/>
                <w:szCs w:val="20"/>
              </w:rPr>
              <w:t>设备齐全且符合要求3.5分；设备较齐全2-3分；其他情况≤1分。</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sz w:val="24"/>
              </w:rPr>
            </w:pPr>
            <w:r>
              <w:rPr>
                <w:rFonts w:hint="eastAsia" w:ascii="仿宋" w:hAnsi="仿宋" w:eastAsia="仿宋" w:cs="仿宋"/>
                <w:b/>
                <w:sz w:val="24"/>
              </w:rPr>
              <w:t>3.5</w:t>
            </w:r>
          </w:p>
        </w:tc>
      </w:tr>
      <w:tr>
        <w:tblPrEx>
          <w:tblCellMar>
            <w:top w:w="0" w:type="dxa"/>
            <w:left w:w="0" w:type="dxa"/>
            <w:bottom w:w="0" w:type="dxa"/>
            <w:right w:w="0" w:type="dxa"/>
          </w:tblCellMar>
        </w:tblPrEx>
        <w:trPr>
          <w:trHeight w:val="480" w:hRule="atLeast"/>
        </w:trPr>
        <w:tc>
          <w:tcPr>
            <w:tcW w:w="5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rPr>
              <w:t>8</w:t>
            </w:r>
          </w:p>
        </w:tc>
        <w:tc>
          <w:tcPr>
            <w:tcW w:w="37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sz w:val="20"/>
                <w:szCs w:val="20"/>
              </w:rPr>
            </w:pPr>
            <w:r>
              <w:rPr>
                <w:rFonts w:hint="eastAsia" w:ascii="仿宋" w:hAnsi="仿宋" w:eastAsia="仿宋" w:cs="仿宋"/>
                <w:kern w:val="0"/>
                <w:sz w:val="20"/>
                <w:szCs w:val="20"/>
              </w:rPr>
              <w:t>组织管理机构应健全，应建立领导小组。</w:t>
            </w:r>
          </w:p>
        </w:tc>
        <w:tc>
          <w:tcPr>
            <w:tcW w:w="37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sz w:val="20"/>
                <w:szCs w:val="20"/>
              </w:rPr>
            </w:pPr>
            <w:r>
              <w:rPr>
                <w:rFonts w:hint="eastAsia" w:ascii="仿宋" w:hAnsi="仿宋" w:eastAsia="仿宋" w:cs="仿宋"/>
                <w:kern w:val="0"/>
                <w:sz w:val="20"/>
                <w:szCs w:val="20"/>
              </w:rPr>
              <w:t>健全明确3.5分，基本健全明确1-3分，无内容0分。</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sz w:val="24"/>
              </w:rPr>
            </w:pPr>
            <w:r>
              <w:rPr>
                <w:rFonts w:hint="eastAsia" w:ascii="仿宋" w:hAnsi="仿宋" w:eastAsia="仿宋" w:cs="仿宋"/>
                <w:b/>
                <w:sz w:val="24"/>
              </w:rPr>
              <w:t>3.5</w:t>
            </w:r>
          </w:p>
        </w:tc>
      </w:tr>
      <w:tr>
        <w:tblPrEx>
          <w:tblCellMar>
            <w:top w:w="0" w:type="dxa"/>
            <w:left w:w="0" w:type="dxa"/>
            <w:bottom w:w="0" w:type="dxa"/>
            <w:right w:w="0" w:type="dxa"/>
          </w:tblCellMar>
        </w:tblPrEx>
        <w:trPr>
          <w:trHeight w:val="480" w:hRule="atLeast"/>
        </w:trPr>
        <w:tc>
          <w:tcPr>
            <w:tcW w:w="8102"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kern w:val="0"/>
                <w:sz w:val="20"/>
                <w:szCs w:val="20"/>
              </w:rPr>
            </w:pPr>
            <w:r>
              <w:rPr>
                <w:rFonts w:hint="eastAsia" w:ascii="仿宋" w:hAnsi="仿宋" w:eastAsia="仿宋" w:cs="仿宋"/>
                <w:b/>
                <w:bCs/>
                <w:color w:val="000000"/>
                <w:kern w:val="0"/>
                <w:sz w:val="24"/>
              </w:rPr>
              <w:t>总得分V</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sz w:val="24"/>
              </w:rPr>
            </w:pPr>
            <w:r>
              <w:rPr>
                <w:rFonts w:hint="eastAsia" w:ascii="仿宋" w:hAnsi="仿宋" w:eastAsia="仿宋" w:cs="仿宋"/>
                <w:b/>
                <w:sz w:val="24"/>
              </w:rPr>
              <w:t>70</w:t>
            </w:r>
          </w:p>
        </w:tc>
      </w:tr>
    </w:tbl>
    <w:p>
      <w:pPr>
        <w:pStyle w:val="26"/>
        <w:rPr>
          <w:rFonts w:ascii="仿宋" w:hAnsi="仿宋" w:eastAsia="仿宋" w:cs="仿宋"/>
        </w:rPr>
      </w:pPr>
    </w:p>
    <w:p/>
    <w:p/>
    <w:p>
      <w:pPr>
        <w:tabs>
          <w:tab w:val="right" w:pos="9213"/>
        </w:tabs>
        <w:jc w:val="center"/>
      </w:pPr>
      <w:r>
        <w:rPr>
          <w:rFonts w:hint="eastAsia"/>
        </w:rPr>
        <w:br w:type="page"/>
      </w:r>
    </w:p>
    <w:p>
      <w:pPr>
        <w:tabs>
          <w:tab w:val="right" w:pos="9213"/>
        </w:tabs>
        <w:jc w:val="center"/>
        <w:rPr>
          <w:rFonts w:ascii="仿宋" w:hAnsi="仿宋" w:eastAsia="仿宋" w:cs="仿宋"/>
          <w:b/>
          <w:sz w:val="24"/>
          <w:szCs w:val="20"/>
        </w:rPr>
      </w:pPr>
      <w:bookmarkStart w:id="633" w:name="_Toc20213"/>
      <w:r>
        <w:rPr>
          <w:rFonts w:hint="eastAsia" w:ascii="仿宋" w:hAnsi="仿宋" w:eastAsia="仿宋" w:cs="仿宋"/>
          <w:b/>
          <w:sz w:val="24"/>
          <w:szCs w:val="20"/>
        </w:rPr>
        <w:t>报价评分表</w:t>
      </w:r>
      <w:bookmarkEnd w:id="633"/>
    </w:p>
    <w:p>
      <w:pPr>
        <w:pStyle w:val="26"/>
      </w:pPr>
    </w:p>
    <w:tbl>
      <w:tblPr>
        <w:tblStyle w:val="36"/>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681"/>
        <w:gridCol w:w="6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jc w:val="center"/>
        </w:trPr>
        <w:tc>
          <w:tcPr>
            <w:tcW w:w="1263" w:type="dxa"/>
            <w:vAlign w:val="center"/>
          </w:tcPr>
          <w:p>
            <w:pPr>
              <w:jc w:val="center"/>
              <w:rPr>
                <w:rFonts w:ascii="仿宋" w:hAnsi="仿宋" w:eastAsia="仿宋" w:cs="仿宋"/>
              </w:rPr>
            </w:pPr>
            <w:r>
              <w:rPr>
                <w:rFonts w:hint="eastAsia" w:ascii="仿宋" w:hAnsi="仿宋" w:eastAsia="仿宋" w:cs="仿宋"/>
              </w:rPr>
              <w:t>报价评审</w:t>
            </w:r>
          </w:p>
        </w:tc>
        <w:tc>
          <w:tcPr>
            <w:tcW w:w="681" w:type="dxa"/>
            <w:vAlign w:val="center"/>
          </w:tcPr>
          <w:p>
            <w:pPr>
              <w:jc w:val="center"/>
              <w:rPr>
                <w:rFonts w:ascii="仿宋" w:hAnsi="仿宋" w:eastAsia="仿宋" w:cs="仿宋"/>
              </w:rPr>
            </w:pPr>
            <w:r>
              <w:rPr>
                <w:rFonts w:hint="eastAsia" w:ascii="仿宋" w:hAnsi="仿宋" w:eastAsia="仿宋" w:cs="仿宋"/>
              </w:rPr>
              <w:t>10</w:t>
            </w:r>
          </w:p>
        </w:tc>
        <w:tc>
          <w:tcPr>
            <w:tcW w:w="6698" w:type="dxa"/>
            <w:vAlign w:val="center"/>
          </w:tcPr>
          <w:p>
            <w:pPr>
              <w:spacing w:line="440" w:lineRule="exact"/>
              <w:rPr>
                <w:rFonts w:ascii="仿宋" w:hAnsi="仿宋" w:eastAsia="仿宋" w:cs="仿宋"/>
              </w:rPr>
            </w:pPr>
            <w:r>
              <w:rPr>
                <w:rFonts w:hint="eastAsia" w:ascii="仿宋" w:hAnsi="仿宋" w:eastAsia="仿宋" w:cs="仿宋"/>
              </w:rPr>
              <w:t>各供应商的价格得分的计算公式：采用低价优先法计算，即满足采购文件要求且投标价格最低的投标报价为评标基准价，其价格分为满分。其他供应商的价格分统一按照下列公式计算：投标报价得分=(评标基准价／投标报价)×价格权值；计算分数时四舍五入取小数点后两位。由监标人员负责核准每个合格供应商的价格得分。（注：若报价单位为中小企业，其投标报价扣除10 %后参与评审，提供相关证明资料，否则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44" w:type="dxa"/>
            <w:gridSpan w:val="2"/>
            <w:vAlign w:val="center"/>
          </w:tcPr>
          <w:p>
            <w:pPr>
              <w:jc w:val="center"/>
              <w:rPr>
                <w:rFonts w:ascii="仿宋" w:hAnsi="仿宋" w:eastAsia="仿宋" w:cs="仿宋"/>
              </w:rPr>
            </w:pPr>
            <w:r>
              <w:rPr>
                <w:rFonts w:hint="eastAsia" w:ascii="仿宋" w:hAnsi="仿宋" w:eastAsia="仿宋" w:cs="仿宋"/>
              </w:rPr>
              <w:t>报价分合计</w:t>
            </w:r>
          </w:p>
        </w:tc>
        <w:tc>
          <w:tcPr>
            <w:tcW w:w="6698" w:type="dxa"/>
            <w:vAlign w:val="center"/>
          </w:tcPr>
          <w:p>
            <w:pPr>
              <w:jc w:val="center"/>
              <w:rPr>
                <w:rFonts w:ascii="仿宋" w:hAnsi="仿宋" w:eastAsia="仿宋" w:cs="仿宋"/>
              </w:rPr>
            </w:pPr>
            <w:r>
              <w:rPr>
                <w:rFonts w:hint="eastAsia" w:ascii="仿宋" w:hAnsi="仿宋" w:eastAsia="仿宋" w:cs="仿宋"/>
              </w:rPr>
              <w:t>10</w:t>
            </w:r>
          </w:p>
        </w:tc>
      </w:tr>
    </w:tbl>
    <w:p>
      <w:pPr>
        <w:rPr>
          <w:rFonts w:ascii="楷体" w:hAnsi="楷体" w:eastAsia="楷体" w:cs="楷体"/>
          <w:b/>
          <w:color w:val="000000"/>
          <w:sz w:val="24"/>
        </w:rPr>
      </w:pPr>
    </w:p>
    <w:p>
      <w:r>
        <w:br w:type="page"/>
      </w:r>
    </w:p>
    <w:p>
      <w:pPr>
        <w:pStyle w:val="12"/>
      </w:pPr>
    </w:p>
    <w:p>
      <w:pPr>
        <w:spacing w:line="240" w:lineRule="atLeast"/>
        <w:jc w:val="left"/>
        <w:outlineLvl w:val="1"/>
        <w:rPr>
          <w:rFonts w:ascii="楷体" w:hAnsi="楷体" w:eastAsia="楷体" w:cs="楷体"/>
          <w:b/>
          <w:color w:val="000000"/>
          <w:sz w:val="24"/>
        </w:rPr>
      </w:pPr>
      <w:bookmarkStart w:id="634" w:name="_Toc15867"/>
      <w:bookmarkStart w:id="635" w:name="_Toc10288"/>
      <w:bookmarkStart w:id="636" w:name="_Toc8767"/>
      <w:r>
        <w:rPr>
          <w:rFonts w:hint="eastAsia" w:ascii="楷体" w:hAnsi="楷体" w:eastAsia="楷体" w:cs="楷体"/>
          <w:b/>
          <w:color w:val="000000"/>
          <w:sz w:val="24"/>
        </w:rPr>
        <w:t>标项四评分标准</w:t>
      </w:r>
      <w:bookmarkEnd w:id="634"/>
      <w:bookmarkEnd w:id="635"/>
      <w:bookmarkEnd w:id="636"/>
    </w:p>
    <w:p>
      <w:pPr>
        <w:spacing w:line="240" w:lineRule="atLeast"/>
        <w:jc w:val="center"/>
        <w:rPr>
          <w:rFonts w:ascii="仿宋" w:hAnsi="仿宋" w:eastAsia="仿宋" w:cs="仿宋"/>
          <w:b/>
          <w:sz w:val="24"/>
          <w:szCs w:val="20"/>
        </w:rPr>
      </w:pPr>
      <w:r>
        <w:rPr>
          <w:rFonts w:hint="eastAsia" w:ascii="仿宋" w:hAnsi="仿宋" w:eastAsia="仿宋" w:cs="仿宋"/>
          <w:b/>
          <w:sz w:val="24"/>
          <w:szCs w:val="20"/>
        </w:rPr>
        <w:t>商务评分表</w:t>
      </w:r>
    </w:p>
    <w:tbl>
      <w:tblPr>
        <w:tblStyle w:val="36"/>
        <w:tblpPr w:leftFromText="180" w:rightFromText="180" w:vertAnchor="text" w:horzAnchor="page" w:tblpXSpec="center" w:tblpY="191"/>
        <w:tblOverlap w:val="never"/>
        <w:tblW w:w="8498" w:type="dxa"/>
        <w:jc w:val="center"/>
        <w:tblLayout w:type="fixed"/>
        <w:tblCellMar>
          <w:top w:w="0" w:type="dxa"/>
          <w:left w:w="0" w:type="dxa"/>
          <w:bottom w:w="0" w:type="dxa"/>
          <w:right w:w="0" w:type="dxa"/>
        </w:tblCellMar>
      </w:tblPr>
      <w:tblGrid>
        <w:gridCol w:w="639"/>
        <w:gridCol w:w="3876"/>
        <w:gridCol w:w="3202"/>
        <w:gridCol w:w="781"/>
      </w:tblGrid>
      <w:tr>
        <w:tblPrEx>
          <w:tblCellMar>
            <w:top w:w="0" w:type="dxa"/>
            <w:left w:w="0" w:type="dxa"/>
            <w:bottom w:w="0" w:type="dxa"/>
            <w:right w:w="0" w:type="dxa"/>
          </w:tblCellMar>
        </w:tblPrEx>
        <w:trPr>
          <w:trHeight w:val="360" w:hRule="atLeast"/>
          <w:jc w:val="center"/>
        </w:trPr>
        <w:tc>
          <w:tcPr>
            <w:tcW w:w="639"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序号</w:t>
            </w:r>
          </w:p>
        </w:tc>
        <w:tc>
          <w:tcPr>
            <w:tcW w:w="387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评分内容</w:t>
            </w:r>
          </w:p>
        </w:tc>
        <w:tc>
          <w:tcPr>
            <w:tcW w:w="320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评分标准</w:t>
            </w:r>
          </w:p>
        </w:tc>
        <w:tc>
          <w:tcPr>
            <w:tcW w:w="7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满分</w:t>
            </w:r>
          </w:p>
        </w:tc>
      </w:tr>
      <w:tr>
        <w:tblPrEx>
          <w:tblCellMar>
            <w:top w:w="0" w:type="dxa"/>
            <w:left w:w="0" w:type="dxa"/>
            <w:bottom w:w="0" w:type="dxa"/>
            <w:right w:w="0" w:type="dxa"/>
          </w:tblCellMar>
        </w:tblPrEx>
        <w:trPr>
          <w:trHeight w:val="360" w:hRule="atLeast"/>
          <w:jc w:val="center"/>
        </w:trPr>
        <w:tc>
          <w:tcPr>
            <w:tcW w:w="63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38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320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7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val="en-US" w:eastAsia="zh-CN"/>
              </w:rPr>
              <w:t>20</w:t>
            </w:r>
            <w:r>
              <w:rPr>
                <w:rFonts w:hint="eastAsia" w:ascii="仿宋" w:hAnsi="仿宋" w:eastAsia="仿宋" w:cs="仿宋"/>
                <w:b/>
                <w:color w:val="000000"/>
                <w:kern w:val="0"/>
                <w:sz w:val="24"/>
              </w:rPr>
              <w:t>分</w:t>
            </w:r>
          </w:p>
        </w:tc>
      </w:tr>
      <w:tr>
        <w:tblPrEx>
          <w:tblCellMar>
            <w:top w:w="0" w:type="dxa"/>
            <w:left w:w="0" w:type="dxa"/>
            <w:bottom w:w="0" w:type="dxa"/>
            <w:right w:w="0" w:type="dxa"/>
          </w:tblCellMar>
        </w:tblPrEx>
        <w:trPr>
          <w:trHeight w:val="956" w:hRule="atLeast"/>
          <w:jc w:val="center"/>
        </w:trPr>
        <w:tc>
          <w:tcPr>
            <w:tcW w:w="6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1</w:t>
            </w:r>
          </w:p>
        </w:tc>
        <w:tc>
          <w:tcPr>
            <w:tcW w:w="3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abs>
                <w:tab w:val="left" w:pos="1381"/>
              </w:tabs>
              <w:jc w:val="left"/>
              <w:textAlignment w:val="center"/>
              <w:rPr>
                <w:rFonts w:ascii="仿宋" w:hAnsi="仿宋" w:eastAsia="仿宋" w:cs="仿宋"/>
                <w:color w:val="000000"/>
                <w:sz w:val="22"/>
                <w:szCs w:val="22"/>
              </w:rPr>
            </w:pPr>
            <w:r>
              <w:rPr>
                <w:rFonts w:hint="eastAsia" w:ascii="仿宋" w:hAnsi="仿宋" w:eastAsia="仿宋" w:cs="仿宋"/>
                <w:color w:val="000000"/>
                <w:sz w:val="22"/>
                <w:szCs w:val="22"/>
              </w:rPr>
              <w:t>对招标文件及合同条款的确认。</w:t>
            </w:r>
          </w:p>
        </w:tc>
        <w:tc>
          <w:tcPr>
            <w:tcW w:w="320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both"/>
              <w:textAlignment w:val="center"/>
              <w:rPr>
                <w:rFonts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具有明确的确认说明2分，无说明不得分。</w:t>
            </w:r>
          </w:p>
        </w:tc>
        <w:tc>
          <w:tcPr>
            <w:tcW w:w="78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ascii="仿宋" w:hAnsi="仿宋" w:eastAsia="仿宋" w:cs="仿宋"/>
                <w:b/>
                <w:color w:val="000000"/>
                <w:szCs w:val="21"/>
              </w:rPr>
            </w:pPr>
            <w:r>
              <w:rPr>
                <w:rFonts w:hint="eastAsia" w:ascii="仿宋" w:hAnsi="仿宋" w:eastAsia="仿宋" w:cs="仿宋"/>
                <w:b/>
                <w:bCs/>
                <w:i w:val="0"/>
                <w:iCs w:val="0"/>
                <w:color w:val="000000"/>
                <w:kern w:val="0"/>
                <w:sz w:val="21"/>
                <w:szCs w:val="21"/>
                <w:u w:val="none"/>
                <w:lang w:val="en-US" w:eastAsia="zh-CN" w:bidi="ar"/>
              </w:rPr>
              <w:t>2</w:t>
            </w:r>
          </w:p>
        </w:tc>
      </w:tr>
      <w:tr>
        <w:tblPrEx>
          <w:tblCellMar>
            <w:top w:w="0" w:type="dxa"/>
            <w:left w:w="0" w:type="dxa"/>
            <w:bottom w:w="0" w:type="dxa"/>
            <w:right w:w="0" w:type="dxa"/>
          </w:tblCellMar>
        </w:tblPrEx>
        <w:trPr>
          <w:trHeight w:val="956" w:hRule="atLeast"/>
          <w:jc w:val="center"/>
        </w:trPr>
        <w:tc>
          <w:tcPr>
            <w:tcW w:w="6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2</w:t>
            </w:r>
          </w:p>
        </w:tc>
        <w:tc>
          <w:tcPr>
            <w:tcW w:w="3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0"/>
                <w:szCs w:val="20"/>
              </w:rPr>
              <w:t>投入项目人员数量满足要求，工种齐全，人员专业结构配备合理。</w:t>
            </w:r>
          </w:p>
        </w:tc>
        <w:tc>
          <w:tcPr>
            <w:tcW w:w="3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仿宋" w:hAnsi="仿宋" w:eastAsia="仿宋" w:cs="仿宋"/>
                <w:color w:val="000000"/>
                <w:sz w:val="22"/>
                <w:szCs w:val="22"/>
              </w:rPr>
            </w:pPr>
            <w:r>
              <w:rPr>
                <w:rFonts w:hint="eastAsia" w:ascii="仿宋" w:hAnsi="仿宋" w:eastAsia="仿宋" w:cs="仿宋"/>
                <w:i w:val="0"/>
                <w:iCs w:val="0"/>
                <w:color w:val="000000"/>
                <w:kern w:val="0"/>
                <w:sz w:val="20"/>
                <w:szCs w:val="20"/>
                <w:u w:val="none"/>
                <w:lang w:val="en-US" w:eastAsia="zh-CN" w:bidi="ar"/>
              </w:rPr>
              <w:t>人员数量情况0-1分；工种搭配情况0-1分；专业结构情况0-1分。</w:t>
            </w:r>
          </w:p>
        </w:tc>
        <w:tc>
          <w:tcPr>
            <w:tcW w:w="78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ascii="仿宋" w:hAnsi="仿宋" w:eastAsia="仿宋" w:cs="仿宋"/>
                <w:b/>
                <w:color w:val="000000"/>
                <w:szCs w:val="21"/>
              </w:rPr>
            </w:pPr>
            <w:r>
              <w:rPr>
                <w:rFonts w:hint="eastAsia" w:ascii="仿宋" w:hAnsi="仿宋" w:eastAsia="仿宋" w:cs="仿宋"/>
                <w:b/>
                <w:bCs/>
                <w:i w:val="0"/>
                <w:iCs w:val="0"/>
                <w:color w:val="000000"/>
                <w:kern w:val="0"/>
                <w:sz w:val="21"/>
                <w:szCs w:val="21"/>
                <w:u w:val="none"/>
                <w:lang w:val="en-US" w:eastAsia="zh-CN" w:bidi="ar"/>
              </w:rPr>
              <w:t>3</w:t>
            </w:r>
          </w:p>
        </w:tc>
      </w:tr>
      <w:tr>
        <w:tblPrEx>
          <w:tblCellMar>
            <w:top w:w="0" w:type="dxa"/>
            <w:left w:w="0" w:type="dxa"/>
            <w:bottom w:w="0" w:type="dxa"/>
            <w:right w:w="0" w:type="dxa"/>
          </w:tblCellMar>
        </w:tblPrEx>
        <w:trPr>
          <w:trHeight w:val="1146" w:hRule="atLeast"/>
          <w:jc w:val="center"/>
        </w:trPr>
        <w:tc>
          <w:tcPr>
            <w:tcW w:w="6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3</w:t>
            </w:r>
          </w:p>
        </w:tc>
        <w:tc>
          <w:tcPr>
            <w:tcW w:w="3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0"/>
                <w:szCs w:val="20"/>
              </w:rPr>
              <w:t>仪器、设备配置。</w:t>
            </w:r>
          </w:p>
        </w:tc>
        <w:tc>
          <w:tcPr>
            <w:tcW w:w="3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仿宋" w:hAnsi="仿宋" w:eastAsia="仿宋" w:cs="仿宋"/>
                <w:color w:val="000000"/>
                <w:sz w:val="22"/>
                <w:szCs w:val="22"/>
              </w:rPr>
            </w:pPr>
            <w:r>
              <w:rPr>
                <w:rFonts w:hint="eastAsia" w:ascii="仿宋" w:hAnsi="仿宋" w:eastAsia="仿宋" w:cs="仿宋"/>
                <w:i w:val="0"/>
                <w:iCs w:val="0"/>
                <w:color w:val="000000"/>
                <w:kern w:val="0"/>
                <w:sz w:val="20"/>
                <w:szCs w:val="20"/>
                <w:u w:val="none"/>
                <w:lang w:val="en-US" w:eastAsia="zh-CN" w:bidi="ar"/>
              </w:rPr>
              <w:t>设备齐全且满足需求2分；设备较齐全1分；其他情况≤0.9分。</w:t>
            </w:r>
          </w:p>
        </w:tc>
        <w:tc>
          <w:tcPr>
            <w:tcW w:w="78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ascii="仿宋" w:hAnsi="仿宋" w:eastAsia="仿宋" w:cs="仿宋"/>
                <w:b/>
                <w:color w:val="000000"/>
                <w:szCs w:val="21"/>
              </w:rPr>
            </w:pPr>
            <w:r>
              <w:rPr>
                <w:rFonts w:hint="eastAsia" w:ascii="仿宋" w:hAnsi="仿宋" w:eastAsia="仿宋" w:cs="仿宋"/>
                <w:b/>
                <w:bCs/>
                <w:i w:val="0"/>
                <w:iCs w:val="0"/>
                <w:color w:val="000000"/>
                <w:kern w:val="0"/>
                <w:sz w:val="21"/>
                <w:szCs w:val="21"/>
                <w:u w:val="none"/>
                <w:lang w:val="en-US" w:eastAsia="zh-CN" w:bidi="ar"/>
              </w:rPr>
              <w:t>2</w:t>
            </w:r>
          </w:p>
        </w:tc>
      </w:tr>
      <w:tr>
        <w:tblPrEx>
          <w:tblCellMar>
            <w:top w:w="0" w:type="dxa"/>
            <w:left w:w="0" w:type="dxa"/>
            <w:bottom w:w="0" w:type="dxa"/>
            <w:right w:w="0" w:type="dxa"/>
          </w:tblCellMar>
        </w:tblPrEx>
        <w:trPr>
          <w:trHeight w:val="645" w:hRule="atLeast"/>
          <w:jc w:val="center"/>
        </w:trPr>
        <w:tc>
          <w:tcPr>
            <w:tcW w:w="6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4</w:t>
            </w:r>
          </w:p>
        </w:tc>
        <w:tc>
          <w:tcPr>
            <w:tcW w:w="3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sz w:val="22"/>
                <w:szCs w:val="22"/>
              </w:rPr>
              <w:t>近三年资产状况。</w:t>
            </w:r>
          </w:p>
        </w:tc>
        <w:tc>
          <w:tcPr>
            <w:tcW w:w="3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仿宋" w:hAnsi="仿宋" w:eastAsia="仿宋" w:cs="仿宋"/>
                <w:color w:val="000000"/>
                <w:sz w:val="22"/>
                <w:szCs w:val="22"/>
              </w:rPr>
            </w:pPr>
            <w:r>
              <w:rPr>
                <w:rFonts w:hint="eastAsia" w:ascii="仿宋" w:hAnsi="仿宋" w:eastAsia="仿宋" w:cs="仿宋"/>
                <w:i w:val="0"/>
                <w:iCs w:val="0"/>
                <w:color w:val="000000"/>
                <w:kern w:val="0"/>
                <w:sz w:val="22"/>
                <w:szCs w:val="22"/>
                <w:u w:val="none"/>
                <w:lang w:val="en-US" w:eastAsia="zh-CN" w:bidi="ar"/>
              </w:rPr>
              <w:t>资产状况良级及以上2分，良级以下不得分。</w:t>
            </w:r>
          </w:p>
        </w:tc>
        <w:tc>
          <w:tcPr>
            <w:tcW w:w="78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ascii="仿宋" w:hAnsi="仿宋" w:eastAsia="仿宋" w:cs="仿宋"/>
                <w:b/>
                <w:color w:val="000000"/>
                <w:szCs w:val="21"/>
              </w:rPr>
            </w:pPr>
            <w:r>
              <w:rPr>
                <w:rFonts w:hint="eastAsia" w:ascii="仿宋" w:hAnsi="仿宋" w:eastAsia="仿宋" w:cs="仿宋"/>
                <w:b/>
                <w:bCs/>
                <w:i w:val="0"/>
                <w:iCs w:val="0"/>
                <w:color w:val="000000"/>
                <w:kern w:val="0"/>
                <w:sz w:val="21"/>
                <w:szCs w:val="21"/>
                <w:u w:val="none"/>
                <w:lang w:val="en-US" w:eastAsia="zh-CN" w:bidi="ar"/>
              </w:rPr>
              <w:t>2</w:t>
            </w:r>
          </w:p>
        </w:tc>
      </w:tr>
      <w:tr>
        <w:tblPrEx>
          <w:tblCellMar>
            <w:top w:w="0" w:type="dxa"/>
            <w:left w:w="0" w:type="dxa"/>
            <w:bottom w:w="0" w:type="dxa"/>
            <w:right w:w="0" w:type="dxa"/>
          </w:tblCellMar>
        </w:tblPrEx>
        <w:trPr>
          <w:trHeight w:val="1426" w:hRule="atLeast"/>
          <w:jc w:val="center"/>
        </w:trPr>
        <w:tc>
          <w:tcPr>
            <w:tcW w:w="6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5</w:t>
            </w:r>
          </w:p>
        </w:tc>
        <w:tc>
          <w:tcPr>
            <w:tcW w:w="3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0"/>
                <w:szCs w:val="20"/>
              </w:rPr>
              <w:t>组织管理、质量、进度、安全的保障体系及主要措施。</w:t>
            </w:r>
          </w:p>
        </w:tc>
        <w:tc>
          <w:tcPr>
            <w:tcW w:w="3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default" w:ascii="仿宋" w:hAnsi="仿宋" w:eastAsia="仿宋" w:cs="仿宋"/>
                <w:color w:val="000000"/>
                <w:sz w:val="22"/>
                <w:szCs w:val="22"/>
                <w:lang w:val="en-US"/>
              </w:rPr>
            </w:pPr>
            <w:r>
              <w:rPr>
                <w:rFonts w:hint="eastAsia" w:ascii="仿宋" w:hAnsi="仿宋" w:eastAsia="仿宋" w:cs="仿宋"/>
                <w:i w:val="0"/>
                <w:iCs w:val="0"/>
                <w:color w:val="000000"/>
                <w:kern w:val="0"/>
                <w:sz w:val="20"/>
                <w:szCs w:val="20"/>
                <w:u w:val="none"/>
                <w:lang w:val="en-US" w:eastAsia="zh-CN" w:bidi="ar"/>
              </w:rPr>
              <w:t>保障体系齐全、措施有效3分；保障体系基本齐全、措施基本有效1-2分；保障体系不健全≤0.9分.</w:t>
            </w:r>
          </w:p>
        </w:tc>
        <w:tc>
          <w:tcPr>
            <w:tcW w:w="78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ascii="仿宋" w:hAnsi="仿宋" w:eastAsia="仿宋" w:cs="仿宋"/>
                <w:b/>
                <w:color w:val="000000"/>
                <w:szCs w:val="21"/>
              </w:rPr>
            </w:pPr>
            <w:r>
              <w:rPr>
                <w:rFonts w:hint="eastAsia" w:ascii="仿宋" w:hAnsi="仿宋" w:eastAsia="仿宋" w:cs="仿宋"/>
                <w:b/>
                <w:bCs/>
                <w:i w:val="0"/>
                <w:iCs w:val="0"/>
                <w:color w:val="000000"/>
                <w:kern w:val="0"/>
                <w:sz w:val="21"/>
                <w:szCs w:val="21"/>
                <w:u w:val="none"/>
                <w:lang w:val="en-US" w:eastAsia="zh-CN" w:bidi="ar"/>
              </w:rPr>
              <w:t>3</w:t>
            </w:r>
          </w:p>
        </w:tc>
      </w:tr>
      <w:tr>
        <w:tblPrEx>
          <w:tblCellMar>
            <w:top w:w="0" w:type="dxa"/>
            <w:left w:w="0" w:type="dxa"/>
            <w:bottom w:w="0" w:type="dxa"/>
            <w:right w:w="0" w:type="dxa"/>
          </w:tblCellMar>
        </w:tblPrEx>
        <w:trPr>
          <w:trHeight w:val="779" w:hRule="atLeast"/>
          <w:jc w:val="center"/>
        </w:trPr>
        <w:tc>
          <w:tcPr>
            <w:tcW w:w="6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6</w:t>
            </w:r>
          </w:p>
        </w:tc>
        <w:tc>
          <w:tcPr>
            <w:tcW w:w="3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0"/>
                <w:szCs w:val="20"/>
              </w:rPr>
              <w:t>组织管理机构应健全，应建立领导小组。</w:t>
            </w:r>
          </w:p>
        </w:tc>
        <w:tc>
          <w:tcPr>
            <w:tcW w:w="3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仿宋" w:hAnsi="仿宋" w:eastAsia="仿宋" w:cs="仿宋"/>
                <w:color w:val="000000"/>
                <w:sz w:val="22"/>
                <w:szCs w:val="22"/>
              </w:rPr>
            </w:pPr>
            <w:r>
              <w:rPr>
                <w:rFonts w:hint="eastAsia" w:ascii="仿宋" w:hAnsi="仿宋" w:eastAsia="仿宋" w:cs="仿宋"/>
                <w:i w:val="0"/>
                <w:iCs w:val="0"/>
                <w:color w:val="000000"/>
                <w:kern w:val="0"/>
                <w:sz w:val="20"/>
                <w:szCs w:val="20"/>
                <w:u w:val="none"/>
                <w:lang w:val="en-US" w:eastAsia="zh-CN" w:bidi="ar"/>
              </w:rPr>
              <w:t>健全明确2分，基本健全明确1分，无内容≤0.9分。</w:t>
            </w:r>
          </w:p>
        </w:tc>
        <w:tc>
          <w:tcPr>
            <w:tcW w:w="78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ascii="仿宋" w:hAnsi="仿宋" w:eastAsia="仿宋" w:cs="仿宋"/>
                <w:b/>
                <w:color w:val="000000"/>
                <w:szCs w:val="21"/>
              </w:rPr>
            </w:pPr>
            <w:r>
              <w:rPr>
                <w:rFonts w:hint="eastAsia" w:ascii="仿宋" w:hAnsi="仿宋" w:eastAsia="仿宋" w:cs="仿宋"/>
                <w:b/>
                <w:bCs/>
                <w:i w:val="0"/>
                <w:iCs w:val="0"/>
                <w:color w:val="000000"/>
                <w:kern w:val="0"/>
                <w:sz w:val="21"/>
                <w:szCs w:val="21"/>
                <w:u w:val="none"/>
                <w:lang w:val="en-US" w:eastAsia="zh-CN" w:bidi="ar"/>
              </w:rPr>
              <w:t>2</w:t>
            </w:r>
          </w:p>
        </w:tc>
      </w:tr>
      <w:tr>
        <w:tblPrEx>
          <w:tblCellMar>
            <w:top w:w="0" w:type="dxa"/>
            <w:left w:w="0" w:type="dxa"/>
            <w:bottom w:w="0" w:type="dxa"/>
            <w:right w:w="0" w:type="dxa"/>
          </w:tblCellMar>
        </w:tblPrEx>
        <w:trPr>
          <w:trHeight w:val="779" w:hRule="atLeast"/>
          <w:jc w:val="center"/>
        </w:trPr>
        <w:tc>
          <w:tcPr>
            <w:tcW w:w="6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kern w:val="0"/>
                <w:sz w:val="22"/>
                <w:szCs w:val="22"/>
              </w:rPr>
            </w:pPr>
            <w:r>
              <w:rPr>
                <w:rFonts w:hint="eastAsia" w:ascii="仿宋" w:hAnsi="仿宋" w:eastAsia="仿宋" w:cs="仿宋"/>
                <w:b/>
                <w:color w:val="000000"/>
                <w:kern w:val="0"/>
                <w:sz w:val="22"/>
                <w:szCs w:val="22"/>
              </w:rPr>
              <w:t>7</w:t>
            </w:r>
          </w:p>
        </w:tc>
        <w:tc>
          <w:tcPr>
            <w:tcW w:w="3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拟派出的总监、总监代表人的职称。</w:t>
            </w:r>
          </w:p>
        </w:tc>
        <w:tc>
          <w:tcPr>
            <w:tcW w:w="3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仿宋" w:hAnsi="仿宋" w:eastAsia="仿宋" w:cs="仿宋"/>
                <w:color w:val="000000"/>
                <w:sz w:val="22"/>
                <w:szCs w:val="22"/>
              </w:rPr>
            </w:pPr>
            <w:r>
              <w:rPr>
                <w:rFonts w:hint="eastAsia" w:ascii="仿宋" w:hAnsi="仿宋" w:eastAsia="仿宋" w:cs="仿宋"/>
                <w:i w:val="0"/>
                <w:iCs w:val="0"/>
                <w:color w:val="000000"/>
                <w:kern w:val="0"/>
                <w:sz w:val="20"/>
                <w:szCs w:val="20"/>
                <w:u w:val="none"/>
                <w:lang w:val="en-US" w:eastAsia="zh-CN" w:bidi="ar"/>
              </w:rPr>
              <w:t>总监、总监代表人具有全国地质灾害治理工程培训证书2分，没有不得分。</w:t>
            </w:r>
          </w:p>
        </w:tc>
        <w:tc>
          <w:tcPr>
            <w:tcW w:w="78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ascii="仿宋" w:hAnsi="仿宋" w:eastAsia="仿宋" w:cs="仿宋"/>
                <w:b/>
                <w:color w:val="000000"/>
                <w:kern w:val="0"/>
                <w:szCs w:val="21"/>
              </w:rPr>
            </w:pPr>
            <w:r>
              <w:rPr>
                <w:rFonts w:hint="eastAsia" w:ascii="仿宋" w:hAnsi="仿宋" w:eastAsia="仿宋" w:cs="仿宋"/>
                <w:b/>
                <w:bCs/>
                <w:i w:val="0"/>
                <w:iCs w:val="0"/>
                <w:color w:val="000000"/>
                <w:kern w:val="0"/>
                <w:sz w:val="21"/>
                <w:szCs w:val="21"/>
                <w:u w:val="none"/>
                <w:lang w:val="en-US" w:eastAsia="zh-CN" w:bidi="ar"/>
              </w:rPr>
              <w:t>2</w:t>
            </w:r>
          </w:p>
        </w:tc>
      </w:tr>
      <w:tr>
        <w:tblPrEx>
          <w:tblCellMar>
            <w:top w:w="0" w:type="dxa"/>
            <w:left w:w="0" w:type="dxa"/>
            <w:bottom w:w="0" w:type="dxa"/>
            <w:right w:w="0" w:type="dxa"/>
          </w:tblCellMar>
        </w:tblPrEx>
        <w:trPr>
          <w:trHeight w:val="863" w:hRule="atLeast"/>
          <w:jc w:val="center"/>
        </w:trPr>
        <w:tc>
          <w:tcPr>
            <w:tcW w:w="6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kern w:val="0"/>
                <w:sz w:val="22"/>
                <w:szCs w:val="22"/>
              </w:rPr>
            </w:pPr>
            <w:r>
              <w:rPr>
                <w:rFonts w:hint="eastAsia" w:ascii="仿宋" w:hAnsi="仿宋" w:eastAsia="仿宋" w:cs="仿宋"/>
                <w:b/>
                <w:color w:val="000000"/>
                <w:kern w:val="0"/>
                <w:sz w:val="22"/>
                <w:szCs w:val="22"/>
              </w:rPr>
              <w:t>8</w:t>
            </w:r>
          </w:p>
        </w:tc>
        <w:tc>
          <w:tcPr>
            <w:tcW w:w="3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主要业绩。</w:t>
            </w:r>
          </w:p>
        </w:tc>
        <w:tc>
          <w:tcPr>
            <w:tcW w:w="3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仿宋" w:hAnsi="仿宋" w:eastAsia="仿宋" w:cs="仿宋"/>
                <w:color w:val="000000"/>
                <w:sz w:val="22"/>
                <w:szCs w:val="22"/>
              </w:rPr>
            </w:pPr>
            <w:r>
              <w:rPr>
                <w:rFonts w:hint="eastAsia" w:ascii="仿宋" w:hAnsi="仿宋" w:eastAsia="仿宋" w:cs="仿宋"/>
                <w:i w:val="0"/>
                <w:iCs w:val="0"/>
                <w:color w:val="000000"/>
                <w:kern w:val="0"/>
                <w:sz w:val="20"/>
                <w:szCs w:val="20"/>
                <w:u w:val="none"/>
                <w:lang w:val="en-US" w:eastAsia="zh-CN" w:bidi="ar"/>
              </w:rPr>
              <w:t>每提供近三年一项类似业绩并提供证明材料得1分，未提供证明材料不得分，本项最高得3分。</w:t>
            </w:r>
          </w:p>
        </w:tc>
        <w:tc>
          <w:tcPr>
            <w:tcW w:w="78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ascii="仿宋" w:hAnsi="仿宋" w:eastAsia="仿宋" w:cs="仿宋"/>
                <w:b/>
                <w:color w:val="000000"/>
                <w:kern w:val="0"/>
                <w:szCs w:val="21"/>
              </w:rPr>
            </w:pPr>
            <w:r>
              <w:rPr>
                <w:rFonts w:hint="eastAsia" w:ascii="仿宋" w:hAnsi="仿宋" w:eastAsia="仿宋" w:cs="仿宋"/>
                <w:b/>
                <w:bCs/>
                <w:i w:val="0"/>
                <w:iCs w:val="0"/>
                <w:color w:val="000000"/>
                <w:kern w:val="0"/>
                <w:sz w:val="21"/>
                <w:szCs w:val="21"/>
                <w:u w:val="none"/>
                <w:lang w:val="en-US" w:eastAsia="zh-CN" w:bidi="ar"/>
              </w:rPr>
              <w:t>3</w:t>
            </w:r>
          </w:p>
        </w:tc>
      </w:tr>
      <w:tr>
        <w:tblPrEx>
          <w:tblCellMar>
            <w:top w:w="0" w:type="dxa"/>
            <w:left w:w="0" w:type="dxa"/>
            <w:bottom w:w="0" w:type="dxa"/>
            <w:right w:w="0" w:type="dxa"/>
          </w:tblCellMar>
        </w:tblPrEx>
        <w:trPr>
          <w:trHeight w:val="779" w:hRule="atLeast"/>
          <w:jc w:val="center"/>
        </w:trPr>
        <w:tc>
          <w:tcPr>
            <w:tcW w:w="6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kern w:val="0"/>
                <w:sz w:val="22"/>
                <w:szCs w:val="22"/>
              </w:rPr>
            </w:pPr>
            <w:r>
              <w:rPr>
                <w:rFonts w:hint="eastAsia" w:ascii="仿宋" w:hAnsi="仿宋" w:eastAsia="仿宋" w:cs="仿宋"/>
                <w:b/>
                <w:color w:val="000000"/>
                <w:kern w:val="0"/>
                <w:sz w:val="22"/>
                <w:szCs w:val="22"/>
              </w:rPr>
              <w:t>9</w:t>
            </w:r>
          </w:p>
        </w:tc>
        <w:tc>
          <w:tcPr>
            <w:tcW w:w="3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相关承诺。</w:t>
            </w:r>
          </w:p>
        </w:tc>
        <w:tc>
          <w:tcPr>
            <w:tcW w:w="3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ascii="仿宋" w:hAnsi="仿宋" w:eastAsia="仿宋" w:cs="仿宋"/>
                <w:color w:val="000000"/>
                <w:sz w:val="22"/>
                <w:szCs w:val="22"/>
              </w:rPr>
            </w:pPr>
            <w:r>
              <w:rPr>
                <w:rFonts w:hint="eastAsia" w:ascii="仿宋" w:hAnsi="仿宋" w:eastAsia="仿宋" w:cs="仿宋"/>
                <w:i w:val="0"/>
                <w:iCs w:val="0"/>
                <w:color w:val="000000"/>
                <w:kern w:val="0"/>
                <w:sz w:val="20"/>
                <w:szCs w:val="20"/>
                <w:u w:val="none"/>
                <w:lang w:val="en-US" w:eastAsia="zh-CN" w:bidi="ar"/>
              </w:rPr>
              <w:t>承诺全面1分，基本全面0.5分，无承诺不得分。</w:t>
            </w:r>
          </w:p>
        </w:tc>
        <w:tc>
          <w:tcPr>
            <w:tcW w:w="78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ascii="仿宋" w:hAnsi="仿宋" w:eastAsia="仿宋" w:cs="仿宋"/>
                <w:b/>
                <w:color w:val="000000"/>
                <w:kern w:val="0"/>
                <w:szCs w:val="21"/>
              </w:rPr>
            </w:pPr>
            <w:r>
              <w:rPr>
                <w:rFonts w:hint="eastAsia" w:ascii="仿宋" w:hAnsi="仿宋" w:eastAsia="仿宋" w:cs="仿宋"/>
                <w:b/>
                <w:bCs/>
                <w:i w:val="0"/>
                <w:iCs w:val="0"/>
                <w:color w:val="000000"/>
                <w:kern w:val="0"/>
                <w:sz w:val="21"/>
                <w:szCs w:val="21"/>
                <w:u w:val="none"/>
                <w:lang w:val="en-US" w:eastAsia="zh-CN" w:bidi="ar"/>
              </w:rPr>
              <w:t>1</w:t>
            </w:r>
          </w:p>
        </w:tc>
      </w:tr>
      <w:tr>
        <w:tblPrEx>
          <w:tblCellMar>
            <w:top w:w="0" w:type="dxa"/>
            <w:left w:w="0" w:type="dxa"/>
            <w:bottom w:w="0" w:type="dxa"/>
            <w:right w:w="0" w:type="dxa"/>
          </w:tblCellMar>
        </w:tblPrEx>
        <w:trPr>
          <w:trHeight w:val="466" w:hRule="atLeast"/>
          <w:jc w:val="center"/>
        </w:trPr>
        <w:tc>
          <w:tcPr>
            <w:tcW w:w="7717"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总得分V</w:t>
            </w:r>
          </w:p>
        </w:tc>
        <w:tc>
          <w:tcPr>
            <w:tcW w:w="78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仿宋" w:hAnsi="仿宋" w:eastAsia="仿宋" w:cs="仿宋"/>
                <w:b/>
                <w:color w:val="000000"/>
                <w:sz w:val="24"/>
                <w:lang w:val="en-US" w:eastAsia="zh-CN"/>
              </w:rPr>
            </w:pPr>
            <w:r>
              <w:rPr>
                <w:rFonts w:hint="eastAsia" w:ascii="仿宋" w:hAnsi="仿宋" w:eastAsia="仿宋" w:cs="仿宋"/>
                <w:b/>
                <w:color w:val="000000"/>
                <w:kern w:val="0"/>
                <w:sz w:val="24"/>
                <w:lang w:val="en-US" w:eastAsia="zh-CN"/>
              </w:rPr>
              <w:t>20</w:t>
            </w:r>
          </w:p>
        </w:tc>
      </w:tr>
    </w:tbl>
    <w:p>
      <w:pPr>
        <w:pStyle w:val="27"/>
      </w:pPr>
    </w:p>
    <w:p>
      <w:pPr>
        <w:tabs>
          <w:tab w:val="right" w:pos="9213"/>
        </w:tabs>
        <w:jc w:val="center"/>
        <w:rPr>
          <w:rFonts w:ascii="仿宋" w:hAnsi="仿宋" w:eastAsia="仿宋" w:cs="仿宋"/>
          <w:b/>
          <w:sz w:val="24"/>
          <w:szCs w:val="20"/>
        </w:rPr>
      </w:pPr>
      <w:r>
        <w:rPr>
          <w:rFonts w:hint="eastAsia" w:ascii="仿宋" w:hAnsi="仿宋" w:eastAsia="仿宋" w:cs="仿宋"/>
          <w:sz w:val="24"/>
        </w:rPr>
        <w:br w:type="page"/>
      </w:r>
    </w:p>
    <w:p>
      <w:pPr>
        <w:tabs>
          <w:tab w:val="right" w:pos="9213"/>
        </w:tabs>
        <w:jc w:val="center"/>
        <w:rPr>
          <w:rFonts w:ascii="仿宋" w:hAnsi="仿宋" w:eastAsia="仿宋" w:cs="仿宋"/>
          <w:b/>
          <w:sz w:val="24"/>
          <w:szCs w:val="20"/>
        </w:rPr>
      </w:pPr>
      <w:r>
        <w:rPr>
          <w:rFonts w:hint="eastAsia" w:ascii="仿宋" w:hAnsi="仿宋" w:eastAsia="仿宋" w:cs="仿宋"/>
          <w:b/>
          <w:sz w:val="24"/>
          <w:szCs w:val="20"/>
        </w:rPr>
        <w:t>技术评分表</w:t>
      </w:r>
    </w:p>
    <w:tbl>
      <w:tblPr>
        <w:tblStyle w:val="36"/>
        <w:tblpPr w:leftFromText="180" w:rightFromText="180" w:vertAnchor="text" w:horzAnchor="page" w:tblpX="1791" w:tblpY="307"/>
        <w:tblOverlap w:val="never"/>
        <w:tblW w:w="8278" w:type="dxa"/>
        <w:tblInd w:w="0" w:type="dxa"/>
        <w:tblLayout w:type="fixed"/>
        <w:tblCellMar>
          <w:top w:w="0" w:type="dxa"/>
          <w:left w:w="0" w:type="dxa"/>
          <w:bottom w:w="0" w:type="dxa"/>
          <w:right w:w="0" w:type="dxa"/>
        </w:tblCellMar>
      </w:tblPr>
      <w:tblGrid>
        <w:gridCol w:w="622"/>
        <w:gridCol w:w="3776"/>
        <w:gridCol w:w="3119"/>
        <w:gridCol w:w="761"/>
      </w:tblGrid>
      <w:tr>
        <w:tblPrEx>
          <w:tblCellMar>
            <w:top w:w="0" w:type="dxa"/>
            <w:left w:w="0" w:type="dxa"/>
            <w:bottom w:w="0" w:type="dxa"/>
            <w:right w:w="0" w:type="dxa"/>
          </w:tblCellMar>
        </w:tblPrEx>
        <w:trPr>
          <w:trHeight w:val="408" w:hRule="atLeast"/>
        </w:trPr>
        <w:tc>
          <w:tcPr>
            <w:tcW w:w="62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序号</w:t>
            </w:r>
          </w:p>
        </w:tc>
        <w:tc>
          <w:tcPr>
            <w:tcW w:w="377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评分内容</w:t>
            </w:r>
          </w:p>
        </w:tc>
        <w:tc>
          <w:tcPr>
            <w:tcW w:w="3119"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评分标准</w:t>
            </w:r>
          </w:p>
        </w:tc>
        <w:tc>
          <w:tcPr>
            <w:tcW w:w="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满分</w:t>
            </w:r>
          </w:p>
        </w:tc>
      </w:tr>
      <w:tr>
        <w:tblPrEx>
          <w:tblCellMar>
            <w:top w:w="0" w:type="dxa"/>
            <w:left w:w="0" w:type="dxa"/>
            <w:bottom w:w="0" w:type="dxa"/>
            <w:right w:w="0" w:type="dxa"/>
          </w:tblCellMar>
        </w:tblPrEx>
        <w:trPr>
          <w:trHeight w:val="408" w:hRule="atLeast"/>
        </w:trPr>
        <w:tc>
          <w:tcPr>
            <w:tcW w:w="62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37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311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000000"/>
                <w:sz w:val="24"/>
              </w:rPr>
            </w:pPr>
          </w:p>
        </w:tc>
        <w:tc>
          <w:tcPr>
            <w:tcW w:w="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val="en-US" w:eastAsia="zh-CN"/>
              </w:rPr>
              <w:t>7</w:t>
            </w:r>
            <w:r>
              <w:rPr>
                <w:rFonts w:hint="eastAsia" w:ascii="仿宋" w:hAnsi="仿宋" w:eastAsia="仿宋" w:cs="仿宋"/>
                <w:b/>
                <w:color w:val="000000"/>
                <w:kern w:val="0"/>
                <w:sz w:val="24"/>
              </w:rPr>
              <w:t>0分</w:t>
            </w:r>
          </w:p>
        </w:tc>
      </w:tr>
      <w:tr>
        <w:tblPrEx>
          <w:tblCellMar>
            <w:top w:w="0" w:type="dxa"/>
            <w:left w:w="0" w:type="dxa"/>
            <w:bottom w:w="0" w:type="dxa"/>
            <w:right w:w="0" w:type="dxa"/>
          </w:tblCellMar>
        </w:tblPrEx>
        <w:trPr>
          <w:trHeight w:val="1084" w:hRule="atLeast"/>
        </w:trPr>
        <w:tc>
          <w:tcPr>
            <w:tcW w:w="6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1</w:t>
            </w:r>
          </w:p>
        </w:tc>
        <w:tc>
          <w:tcPr>
            <w:tcW w:w="3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标书与招标文件的响应性或完整性。</w:t>
            </w:r>
          </w:p>
        </w:tc>
        <w:tc>
          <w:tcPr>
            <w:tcW w:w="31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leftChars="0" w:right="0" w:rightChars="0"/>
              <w:jc w:val="both"/>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val="en-US" w:eastAsia="zh-CN" w:bidi="ar"/>
              </w:rPr>
              <w:t>完全响应和完整7分；部分响应或部分完整3-6分；未响应部分分额较大且不完整≤2分</w:t>
            </w:r>
          </w:p>
        </w:tc>
        <w:tc>
          <w:tcPr>
            <w:tcW w:w="7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ascii="仿宋" w:hAnsi="仿宋" w:eastAsia="仿宋" w:cs="仿宋"/>
                <w:b/>
                <w:color w:val="000000"/>
                <w:szCs w:val="21"/>
              </w:rPr>
            </w:pPr>
            <w:r>
              <w:rPr>
                <w:rFonts w:hint="eastAsia" w:ascii="仿宋" w:hAnsi="仿宋" w:eastAsia="仿宋" w:cs="仿宋"/>
                <w:b/>
                <w:bCs/>
                <w:color w:val="000000"/>
                <w:kern w:val="0"/>
                <w:sz w:val="21"/>
                <w:szCs w:val="21"/>
                <w:lang w:val="en-US" w:eastAsia="zh-CN" w:bidi="ar"/>
              </w:rPr>
              <w:t>7</w:t>
            </w:r>
          </w:p>
        </w:tc>
      </w:tr>
      <w:tr>
        <w:tblPrEx>
          <w:tblCellMar>
            <w:top w:w="0" w:type="dxa"/>
            <w:left w:w="0" w:type="dxa"/>
            <w:bottom w:w="0" w:type="dxa"/>
            <w:right w:w="0" w:type="dxa"/>
          </w:tblCellMar>
        </w:tblPrEx>
        <w:trPr>
          <w:trHeight w:val="1084" w:hRule="atLeast"/>
        </w:trPr>
        <w:tc>
          <w:tcPr>
            <w:tcW w:w="6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2</w:t>
            </w:r>
          </w:p>
        </w:tc>
        <w:tc>
          <w:tcPr>
            <w:tcW w:w="3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监理工作范围、内容、目标及依据，监理机构和组织形式健全。</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leftChars="0" w:right="0" w:rightChars="0"/>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val="en-US" w:eastAsia="zh-CN" w:bidi="ar"/>
              </w:rPr>
              <w:t>合理18-21分；较合理13-17分；其他情况≤12分（一项不合理扣2分）</w:t>
            </w:r>
          </w:p>
        </w:tc>
        <w:tc>
          <w:tcPr>
            <w:tcW w:w="7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ascii="仿宋" w:hAnsi="仿宋" w:eastAsia="仿宋" w:cs="仿宋"/>
                <w:b/>
                <w:color w:val="000000"/>
                <w:szCs w:val="21"/>
              </w:rPr>
            </w:pPr>
            <w:r>
              <w:rPr>
                <w:rFonts w:hint="eastAsia" w:ascii="仿宋" w:hAnsi="仿宋" w:eastAsia="仿宋" w:cs="仿宋"/>
                <w:b/>
                <w:bCs/>
                <w:color w:val="000000"/>
                <w:kern w:val="0"/>
                <w:sz w:val="21"/>
                <w:szCs w:val="21"/>
                <w:lang w:val="en-US" w:eastAsia="zh-CN" w:bidi="ar"/>
              </w:rPr>
              <w:t>21</w:t>
            </w:r>
          </w:p>
        </w:tc>
      </w:tr>
      <w:tr>
        <w:tblPrEx>
          <w:tblCellMar>
            <w:top w:w="0" w:type="dxa"/>
            <w:left w:w="0" w:type="dxa"/>
            <w:bottom w:w="0" w:type="dxa"/>
            <w:right w:w="0" w:type="dxa"/>
          </w:tblCellMar>
        </w:tblPrEx>
        <w:trPr>
          <w:trHeight w:val="1299" w:hRule="atLeast"/>
        </w:trPr>
        <w:tc>
          <w:tcPr>
            <w:tcW w:w="6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3</w:t>
            </w:r>
          </w:p>
        </w:tc>
        <w:tc>
          <w:tcPr>
            <w:tcW w:w="3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监理工作程序的合理性，技术要求的可行性。技术要求应符合相关地质灾害工程监理规范</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leftChars="0" w:right="0" w:rightChars="0"/>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val="en-US" w:eastAsia="zh-CN" w:bidi="ar"/>
              </w:rPr>
              <w:t>合理13-18分；较合理8-12分；其他情况≤7分（一项不合理扣2分）</w:t>
            </w:r>
          </w:p>
        </w:tc>
        <w:tc>
          <w:tcPr>
            <w:tcW w:w="7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ascii="仿宋" w:hAnsi="仿宋" w:eastAsia="仿宋" w:cs="仿宋"/>
                <w:b/>
                <w:color w:val="000000"/>
                <w:szCs w:val="21"/>
              </w:rPr>
            </w:pPr>
            <w:r>
              <w:rPr>
                <w:rFonts w:hint="eastAsia" w:ascii="仿宋" w:hAnsi="仿宋" w:eastAsia="仿宋" w:cs="仿宋"/>
                <w:b/>
                <w:bCs/>
                <w:color w:val="000000"/>
                <w:kern w:val="0"/>
                <w:sz w:val="21"/>
                <w:szCs w:val="21"/>
                <w:lang w:val="en-US" w:eastAsia="zh-CN" w:bidi="ar"/>
              </w:rPr>
              <w:t>18</w:t>
            </w:r>
          </w:p>
        </w:tc>
      </w:tr>
      <w:tr>
        <w:tblPrEx>
          <w:tblCellMar>
            <w:top w:w="0" w:type="dxa"/>
            <w:left w:w="0" w:type="dxa"/>
            <w:bottom w:w="0" w:type="dxa"/>
            <w:right w:w="0" w:type="dxa"/>
          </w:tblCellMar>
        </w:tblPrEx>
        <w:trPr>
          <w:trHeight w:val="731" w:hRule="atLeast"/>
        </w:trPr>
        <w:tc>
          <w:tcPr>
            <w:tcW w:w="6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4</w:t>
            </w:r>
          </w:p>
        </w:tc>
        <w:tc>
          <w:tcPr>
            <w:tcW w:w="3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监理工作方法、措施和制度，工程质量控制方法及措施全面合理。</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leftChars="0" w:right="0" w:rightChars="0"/>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val="en-US" w:eastAsia="zh-CN" w:bidi="ar"/>
              </w:rPr>
              <w:t>全面14分；较全面7-13分；其他情况≤6分</w:t>
            </w:r>
          </w:p>
        </w:tc>
        <w:tc>
          <w:tcPr>
            <w:tcW w:w="7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ascii="仿宋" w:hAnsi="仿宋" w:eastAsia="仿宋" w:cs="仿宋"/>
                <w:b/>
                <w:color w:val="000000"/>
                <w:szCs w:val="21"/>
              </w:rPr>
            </w:pPr>
            <w:r>
              <w:rPr>
                <w:rFonts w:hint="eastAsia" w:ascii="仿宋" w:hAnsi="仿宋" w:eastAsia="仿宋" w:cs="仿宋"/>
                <w:b/>
                <w:bCs/>
                <w:color w:val="000000"/>
                <w:kern w:val="0"/>
                <w:sz w:val="21"/>
                <w:szCs w:val="21"/>
                <w:lang w:val="en-US" w:eastAsia="zh-CN" w:bidi="ar"/>
              </w:rPr>
              <w:t>14</w:t>
            </w:r>
          </w:p>
        </w:tc>
      </w:tr>
      <w:tr>
        <w:tblPrEx>
          <w:tblCellMar>
            <w:top w:w="0" w:type="dxa"/>
            <w:left w:w="0" w:type="dxa"/>
            <w:bottom w:w="0" w:type="dxa"/>
            <w:right w:w="0" w:type="dxa"/>
          </w:tblCellMar>
        </w:tblPrEx>
        <w:trPr>
          <w:trHeight w:val="1617" w:hRule="atLeast"/>
        </w:trPr>
        <w:tc>
          <w:tcPr>
            <w:tcW w:w="6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5</w:t>
            </w:r>
          </w:p>
        </w:tc>
        <w:tc>
          <w:tcPr>
            <w:tcW w:w="3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预期成果应包括：监理规划、项目监理实施细则；监理工作总结、质量评估报告；监理工作照片集、监理日志、月报、通知单及相关记录，其他原始资料等</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leftChars="0" w:right="0" w:rightChars="0"/>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val="en-US" w:eastAsia="zh-CN" w:bidi="ar"/>
              </w:rPr>
              <w:t>齐全有效7分；基本齐全有效3-6分；其他情况≤2分</w:t>
            </w:r>
          </w:p>
        </w:tc>
        <w:tc>
          <w:tcPr>
            <w:tcW w:w="7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ascii="仿宋" w:hAnsi="仿宋" w:eastAsia="仿宋" w:cs="仿宋"/>
                <w:b/>
                <w:color w:val="000000"/>
                <w:szCs w:val="21"/>
              </w:rPr>
            </w:pPr>
            <w:r>
              <w:rPr>
                <w:rFonts w:hint="eastAsia" w:ascii="仿宋" w:hAnsi="仿宋" w:eastAsia="仿宋" w:cs="仿宋"/>
                <w:b/>
                <w:bCs/>
                <w:color w:val="000000"/>
                <w:kern w:val="0"/>
                <w:sz w:val="21"/>
                <w:szCs w:val="21"/>
                <w:lang w:val="en-US" w:eastAsia="zh-CN" w:bidi="ar"/>
              </w:rPr>
              <w:t>7</w:t>
            </w:r>
          </w:p>
        </w:tc>
      </w:tr>
      <w:tr>
        <w:tblPrEx>
          <w:tblCellMar>
            <w:top w:w="0" w:type="dxa"/>
            <w:left w:w="0" w:type="dxa"/>
            <w:bottom w:w="0" w:type="dxa"/>
            <w:right w:w="0" w:type="dxa"/>
          </w:tblCellMar>
        </w:tblPrEx>
        <w:trPr>
          <w:trHeight w:val="883" w:hRule="atLeast"/>
        </w:trPr>
        <w:tc>
          <w:tcPr>
            <w:tcW w:w="6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6</w:t>
            </w:r>
          </w:p>
        </w:tc>
        <w:tc>
          <w:tcPr>
            <w:tcW w:w="3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项目负责人及主要技术人员的配备应全面，人员结构应合理。</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leftChars="0" w:right="0" w:rightChars="0"/>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val="en-US" w:eastAsia="zh-CN" w:bidi="ar"/>
              </w:rPr>
              <w:t>人员配置合理3分，较合理≤2分</w:t>
            </w:r>
          </w:p>
        </w:tc>
        <w:tc>
          <w:tcPr>
            <w:tcW w:w="7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ascii="仿宋" w:hAnsi="仿宋" w:eastAsia="仿宋" w:cs="仿宋"/>
                <w:b/>
                <w:color w:val="000000"/>
                <w:szCs w:val="21"/>
              </w:rPr>
            </w:pPr>
            <w:r>
              <w:rPr>
                <w:rFonts w:hint="eastAsia" w:ascii="仿宋" w:hAnsi="仿宋" w:eastAsia="仿宋" w:cs="仿宋"/>
                <w:b/>
                <w:bCs/>
                <w:color w:val="000000"/>
                <w:kern w:val="0"/>
                <w:sz w:val="21"/>
                <w:szCs w:val="21"/>
                <w:lang w:val="en-US" w:eastAsia="zh-CN" w:bidi="ar"/>
              </w:rPr>
              <w:t>3</w:t>
            </w:r>
          </w:p>
        </w:tc>
      </w:tr>
      <w:tr>
        <w:tblPrEx>
          <w:tblCellMar>
            <w:top w:w="0" w:type="dxa"/>
            <w:left w:w="0" w:type="dxa"/>
            <w:bottom w:w="0" w:type="dxa"/>
            <w:right w:w="0" w:type="dxa"/>
          </w:tblCellMar>
        </w:tblPrEx>
        <w:trPr>
          <w:trHeight w:val="528" w:hRule="atLeast"/>
        </w:trPr>
        <w:tc>
          <w:tcPr>
            <w:tcW w:w="7517"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总得分V</w:t>
            </w:r>
          </w:p>
        </w:tc>
        <w:tc>
          <w:tcPr>
            <w:tcW w:w="7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val="en-US" w:eastAsia="zh-CN"/>
              </w:rPr>
              <w:t>7</w:t>
            </w:r>
            <w:r>
              <w:rPr>
                <w:rFonts w:hint="eastAsia" w:ascii="仿宋" w:hAnsi="仿宋" w:eastAsia="仿宋" w:cs="仿宋"/>
                <w:b/>
                <w:color w:val="000000"/>
                <w:kern w:val="0"/>
                <w:sz w:val="24"/>
              </w:rPr>
              <w:t>0</w:t>
            </w:r>
          </w:p>
        </w:tc>
      </w:tr>
    </w:tbl>
    <w:p>
      <w:pPr>
        <w:pStyle w:val="26"/>
        <w:rPr>
          <w:rFonts w:ascii="仿宋" w:hAnsi="仿宋" w:eastAsia="仿宋" w:cs="仿宋"/>
        </w:rPr>
      </w:pPr>
    </w:p>
    <w:p/>
    <w:p/>
    <w:p>
      <w:pPr>
        <w:tabs>
          <w:tab w:val="right" w:pos="9213"/>
        </w:tabs>
        <w:jc w:val="center"/>
      </w:pPr>
      <w:r>
        <w:rPr>
          <w:rFonts w:hint="eastAsia"/>
        </w:rPr>
        <w:br w:type="page"/>
      </w:r>
    </w:p>
    <w:p>
      <w:pPr>
        <w:tabs>
          <w:tab w:val="right" w:pos="9213"/>
        </w:tabs>
        <w:jc w:val="center"/>
      </w:pPr>
      <w:bookmarkStart w:id="637" w:name="_Toc24923"/>
      <w:r>
        <w:rPr>
          <w:rFonts w:hint="eastAsia" w:ascii="仿宋" w:hAnsi="仿宋" w:eastAsia="仿宋" w:cs="仿宋"/>
          <w:b/>
          <w:sz w:val="24"/>
          <w:szCs w:val="20"/>
        </w:rPr>
        <w:t>报价评分表</w:t>
      </w:r>
      <w:bookmarkEnd w:id="637"/>
    </w:p>
    <w:p>
      <w:pPr>
        <w:pStyle w:val="26"/>
      </w:pPr>
    </w:p>
    <w:tbl>
      <w:tblPr>
        <w:tblStyle w:val="36"/>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681"/>
        <w:gridCol w:w="6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jc w:val="center"/>
        </w:trPr>
        <w:tc>
          <w:tcPr>
            <w:tcW w:w="1263" w:type="dxa"/>
            <w:vAlign w:val="center"/>
          </w:tcPr>
          <w:p>
            <w:pPr>
              <w:jc w:val="center"/>
              <w:rPr>
                <w:rFonts w:ascii="仿宋" w:hAnsi="仿宋" w:eastAsia="仿宋" w:cs="仿宋"/>
              </w:rPr>
            </w:pPr>
            <w:r>
              <w:rPr>
                <w:rFonts w:hint="eastAsia" w:ascii="仿宋" w:hAnsi="仿宋" w:eastAsia="仿宋" w:cs="仿宋"/>
              </w:rPr>
              <w:t>报价评审</w:t>
            </w:r>
          </w:p>
        </w:tc>
        <w:tc>
          <w:tcPr>
            <w:tcW w:w="681" w:type="dxa"/>
            <w:vAlign w:val="center"/>
          </w:tcPr>
          <w:p>
            <w:pPr>
              <w:jc w:val="center"/>
              <w:rPr>
                <w:rFonts w:ascii="仿宋" w:hAnsi="仿宋" w:eastAsia="仿宋" w:cs="仿宋"/>
              </w:rPr>
            </w:pPr>
            <w:r>
              <w:rPr>
                <w:rFonts w:hint="eastAsia" w:ascii="仿宋" w:hAnsi="仿宋" w:eastAsia="仿宋" w:cs="仿宋"/>
              </w:rPr>
              <w:t>10</w:t>
            </w:r>
          </w:p>
        </w:tc>
        <w:tc>
          <w:tcPr>
            <w:tcW w:w="6698" w:type="dxa"/>
            <w:vAlign w:val="center"/>
          </w:tcPr>
          <w:p>
            <w:pPr>
              <w:spacing w:line="440" w:lineRule="exact"/>
              <w:rPr>
                <w:rFonts w:ascii="仿宋" w:hAnsi="仿宋" w:eastAsia="仿宋" w:cs="仿宋"/>
              </w:rPr>
            </w:pPr>
            <w:r>
              <w:rPr>
                <w:rFonts w:hint="eastAsia" w:ascii="仿宋" w:hAnsi="仿宋" w:eastAsia="仿宋" w:cs="仿宋"/>
              </w:rPr>
              <w:t>各供应商的价格得分的计算公式：采用低价优先法计算，即满足招标文件要求且投标价格最低的投标报价为评标基准价，其价格分为满分。其他投标人的价格分统一按照下列公式计算：投标报价得分=(评标基准价／投标报价)×价格权值；计算分数时四舍五入取小数点后两位。由监标人员负责核准每个合格供应商的价格得分。（注：若报价单位为中小企业，其投标报价扣除10 %后参与评审，提供相关证明资料，否则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44" w:type="dxa"/>
            <w:gridSpan w:val="2"/>
            <w:vAlign w:val="center"/>
          </w:tcPr>
          <w:p>
            <w:pPr>
              <w:jc w:val="center"/>
              <w:rPr>
                <w:rFonts w:ascii="仿宋" w:hAnsi="仿宋" w:eastAsia="仿宋" w:cs="仿宋"/>
              </w:rPr>
            </w:pPr>
            <w:r>
              <w:rPr>
                <w:rFonts w:hint="eastAsia" w:ascii="仿宋" w:hAnsi="仿宋" w:eastAsia="仿宋" w:cs="仿宋"/>
              </w:rPr>
              <w:t>报价分合计</w:t>
            </w:r>
          </w:p>
        </w:tc>
        <w:tc>
          <w:tcPr>
            <w:tcW w:w="6698" w:type="dxa"/>
            <w:vAlign w:val="center"/>
          </w:tcPr>
          <w:p>
            <w:pPr>
              <w:jc w:val="center"/>
              <w:rPr>
                <w:rFonts w:ascii="仿宋" w:hAnsi="仿宋" w:eastAsia="仿宋" w:cs="仿宋"/>
              </w:rPr>
            </w:pPr>
            <w:r>
              <w:rPr>
                <w:rFonts w:hint="eastAsia" w:ascii="仿宋" w:hAnsi="仿宋" w:eastAsia="仿宋" w:cs="仿宋"/>
              </w:rPr>
              <w:t>10</w:t>
            </w:r>
          </w:p>
        </w:tc>
      </w:tr>
    </w:tbl>
    <w:p>
      <w:pPr>
        <w:rPr>
          <w:rFonts w:ascii="楷体" w:hAnsi="楷体" w:eastAsia="楷体" w:cs="楷体"/>
          <w:b/>
          <w:color w:val="000000"/>
          <w:sz w:val="24"/>
        </w:rPr>
      </w:pPr>
    </w:p>
    <w:p>
      <w:r>
        <w:br w:type="page"/>
      </w:r>
    </w:p>
    <w:p>
      <w:pPr>
        <w:pStyle w:val="4"/>
      </w:pPr>
    </w:p>
    <w:p>
      <w:pPr>
        <w:pStyle w:val="4"/>
        <w:ind w:firstLine="480"/>
      </w:pPr>
    </w:p>
    <w:p>
      <w:pPr>
        <w:widowControl/>
        <w:jc w:val="center"/>
        <w:rPr>
          <w:rFonts w:ascii="仿宋" w:hAnsi="仿宋" w:eastAsia="仿宋" w:cs="仿宋"/>
          <w:b/>
          <w:sz w:val="48"/>
          <w:szCs w:val="48"/>
        </w:rPr>
      </w:pPr>
    </w:p>
    <w:p>
      <w:pPr>
        <w:widowControl/>
        <w:jc w:val="center"/>
        <w:rPr>
          <w:rFonts w:hint="eastAsia" w:ascii="仿宋" w:hAnsi="仿宋" w:eastAsia="仿宋" w:cs="仿宋"/>
          <w:b/>
          <w:sz w:val="48"/>
          <w:szCs w:val="48"/>
        </w:rPr>
      </w:pPr>
      <w:r>
        <w:rPr>
          <w:rFonts w:hint="eastAsia" w:ascii="仿宋" w:hAnsi="仿宋" w:eastAsia="仿宋" w:cs="仿宋"/>
          <w:b/>
          <w:sz w:val="48"/>
          <w:szCs w:val="48"/>
        </w:rPr>
        <w:t>吐鲁番市2023年中央自然灾害防治</w:t>
      </w:r>
    </w:p>
    <w:p>
      <w:pPr>
        <w:widowControl/>
        <w:jc w:val="center"/>
        <w:rPr>
          <w:rFonts w:ascii="仿宋" w:hAnsi="仿宋" w:eastAsia="仿宋" w:cs="仿宋"/>
          <w:b/>
          <w:sz w:val="48"/>
          <w:szCs w:val="48"/>
        </w:rPr>
      </w:pPr>
      <w:r>
        <w:rPr>
          <w:rFonts w:hint="eastAsia" w:ascii="仿宋" w:hAnsi="仿宋" w:eastAsia="仿宋" w:cs="仿宋"/>
          <w:b/>
          <w:sz w:val="48"/>
          <w:szCs w:val="48"/>
        </w:rPr>
        <w:t>体系建设项目</w:t>
      </w:r>
    </w:p>
    <w:p>
      <w:pPr>
        <w:pStyle w:val="26"/>
        <w:rPr>
          <w:rFonts w:ascii="仿宋" w:hAnsi="仿宋" w:eastAsia="仿宋" w:cs="仿宋"/>
          <w:b/>
          <w:sz w:val="48"/>
          <w:szCs w:val="48"/>
        </w:rPr>
      </w:pPr>
    </w:p>
    <w:p>
      <w:pPr>
        <w:widowControl/>
        <w:jc w:val="left"/>
        <w:rPr>
          <w:rFonts w:ascii="仿宋" w:hAnsi="仿宋" w:eastAsia="仿宋" w:cs="仿宋"/>
        </w:rPr>
      </w:pPr>
    </w:p>
    <w:p>
      <w:pPr>
        <w:pStyle w:val="4"/>
        <w:ind w:firstLine="480"/>
      </w:pPr>
    </w:p>
    <w:p>
      <w:pPr>
        <w:spacing w:line="240" w:lineRule="atLeast"/>
        <w:jc w:val="center"/>
        <w:rPr>
          <w:rFonts w:ascii="仿宋" w:hAnsi="仿宋" w:eastAsia="仿宋" w:cs="仿宋"/>
          <w:bCs/>
          <w:sz w:val="52"/>
          <w:szCs w:val="52"/>
        </w:rPr>
      </w:pPr>
      <w:r>
        <w:rPr>
          <w:rFonts w:hint="eastAsia" w:ascii="仿宋" w:hAnsi="仿宋" w:eastAsia="仿宋" w:cs="仿宋"/>
          <w:bCs/>
          <w:sz w:val="52"/>
          <w:szCs w:val="52"/>
        </w:rPr>
        <w:t xml:space="preserve"> </w:t>
      </w:r>
      <w:r>
        <w:rPr>
          <w:rFonts w:hint="eastAsia" w:ascii="仿宋" w:hAnsi="仿宋" w:eastAsia="仿宋" w:cs="仿宋"/>
          <w:b/>
          <w:sz w:val="52"/>
          <w:szCs w:val="52"/>
        </w:rPr>
        <w:t>采购文件</w:t>
      </w:r>
    </w:p>
    <w:p>
      <w:pPr>
        <w:spacing w:line="240" w:lineRule="atLeast"/>
        <w:ind w:left="1080" w:leftChars="257" w:hanging="540"/>
        <w:jc w:val="center"/>
        <w:rPr>
          <w:rFonts w:ascii="仿宋" w:hAnsi="仿宋" w:eastAsia="仿宋" w:cs="仿宋"/>
          <w:bCs/>
          <w:sz w:val="52"/>
          <w:szCs w:val="52"/>
        </w:rPr>
      </w:pPr>
    </w:p>
    <w:p>
      <w:pPr>
        <w:spacing w:line="240" w:lineRule="atLeast"/>
        <w:ind w:left="1080" w:leftChars="257" w:hanging="540"/>
        <w:jc w:val="center"/>
        <w:rPr>
          <w:rFonts w:ascii="仿宋" w:hAnsi="仿宋" w:eastAsia="仿宋" w:cs="仿宋"/>
          <w:bCs/>
          <w:sz w:val="32"/>
          <w:szCs w:val="32"/>
        </w:rPr>
      </w:pPr>
      <w:r>
        <w:rPr>
          <w:rFonts w:hint="eastAsia" w:ascii="仿宋" w:hAnsi="仿宋" w:eastAsia="仿宋" w:cs="仿宋"/>
          <w:bCs/>
          <w:sz w:val="32"/>
          <w:szCs w:val="32"/>
        </w:rPr>
        <w:t>（项目编号：GYZB-TLFDZFZ2023）</w:t>
      </w:r>
    </w:p>
    <w:p>
      <w:pPr>
        <w:pStyle w:val="11"/>
        <w:ind w:firstLine="0"/>
      </w:pPr>
    </w:p>
    <w:p>
      <w:pPr>
        <w:spacing w:line="240" w:lineRule="atLeast"/>
        <w:ind w:left="1080" w:leftChars="257" w:hanging="540"/>
        <w:jc w:val="center"/>
        <w:rPr>
          <w:rFonts w:ascii="仿宋" w:hAnsi="仿宋" w:eastAsia="仿宋" w:cs="仿宋"/>
          <w:b/>
          <w:sz w:val="52"/>
        </w:rPr>
      </w:pPr>
    </w:p>
    <w:p>
      <w:pPr>
        <w:spacing w:line="240" w:lineRule="atLeast"/>
        <w:ind w:left="1079" w:leftChars="257" w:hanging="539"/>
        <w:jc w:val="center"/>
        <w:outlineLvl w:val="0"/>
        <w:rPr>
          <w:rFonts w:ascii="仿宋" w:hAnsi="仿宋" w:eastAsia="仿宋" w:cs="仿宋"/>
          <w:b/>
          <w:sz w:val="36"/>
          <w:szCs w:val="36"/>
        </w:rPr>
      </w:pPr>
      <w:bookmarkStart w:id="638" w:name="_Toc8965"/>
      <w:bookmarkStart w:id="639" w:name="_Toc852"/>
      <w:bookmarkStart w:id="640" w:name="_Toc10067"/>
      <w:bookmarkStart w:id="641" w:name="_Toc13303"/>
      <w:r>
        <w:rPr>
          <w:rFonts w:hint="eastAsia" w:ascii="仿宋" w:hAnsi="仿宋" w:eastAsia="仿宋" w:cs="仿宋"/>
          <w:b/>
          <w:sz w:val="36"/>
          <w:szCs w:val="36"/>
        </w:rPr>
        <w:t>第三册</w:t>
      </w:r>
      <w:bookmarkEnd w:id="638"/>
      <w:bookmarkEnd w:id="639"/>
      <w:bookmarkEnd w:id="640"/>
      <w:bookmarkEnd w:id="641"/>
    </w:p>
    <w:p>
      <w:pPr>
        <w:pStyle w:val="3"/>
        <w:ind w:firstLine="1044"/>
        <w:rPr>
          <w:rFonts w:ascii="仿宋" w:hAnsi="仿宋" w:eastAsia="仿宋" w:cs="仿宋"/>
          <w:b/>
          <w:sz w:val="52"/>
        </w:rPr>
      </w:pPr>
    </w:p>
    <w:p>
      <w:pPr>
        <w:pStyle w:val="4"/>
        <w:ind w:firstLine="480"/>
      </w:pPr>
    </w:p>
    <w:p>
      <w:pPr>
        <w:spacing w:line="360" w:lineRule="auto"/>
        <w:ind w:firstLine="837" w:firstLineChars="299"/>
        <w:jc w:val="left"/>
        <w:rPr>
          <w:rFonts w:ascii="仿宋" w:hAnsi="仿宋" w:eastAsia="仿宋" w:cs="仿宋"/>
          <w:sz w:val="28"/>
          <w:szCs w:val="28"/>
          <w:u w:val="single"/>
        </w:rPr>
      </w:pPr>
      <w:r>
        <w:rPr>
          <w:rFonts w:hint="eastAsia" w:ascii="仿宋" w:hAnsi="仿宋" w:eastAsia="仿宋" w:cs="仿宋"/>
          <w:sz w:val="28"/>
          <w:szCs w:val="28"/>
        </w:rPr>
        <w:t>采 购 人：</w:t>
      </w:r>
      <w:r>
        <w:rPr>
          <w:rFonts w:hint="eastAsia" w:ascii="仿宋" w:hAnsi="仿宋" w:eastAsia="仿宋" w:cs="仿宋"/>
          <w:sz w:val="28"/>
          <w:szCs w:val="28"/>
          <w:u w:val="single"/>
        </w:rPr>
        <w:t>吐鲁番市自然资源局</w:t>
      </w:r>
    </w:p>
    <w:p>
      <w:pPr>
        <w:spacing w:line="600" w:lineRule="exact"/>
        <w:ind w:firstLine="837" w:firstLineChars="299"/>
        <w:rPr>
          <w:rFonts w:ascii="仿宋" w:hAnsi="仿宋" w:eastAsia="仿宋" w:cs="仿宋"/>
          <w:sz w:val="28"/>
          <w:szCs w:val="28"/>
        </w:rPr>
      </w:pPr>
      <w:r>
        <w:rPr>
          <w:rFonts w:hint="eastAsia" w:ascii="仿宋" w:hAnsi="仿宋" w:eastAsia="仿宋" w:cs="仿宋"/>
          <w:sz w:val="28"/>
          <w:szCs w:val="28"/>
        </w:rPr>
        <w:t>采购代理机构：</w:t>
      </w:r>
      <w:r>
        <w:rPr>
          <w:rFonts w:hint="eastAsia" w:ascii="仿宋" w:hAnsi="仿宋" w:eastAsia="仿宋" w:cs="仿宋"/>
          <w:sz w:val="28"/>
          <w:szCs w:val="28"/>
          <w:u w:val="single"/>
        </w:rPr>
        <w:t>新疆国源土地矿产资源交易中心（有限公司）</w:t>
      </w:r>
      <w:r>
        <w:rPr>
          <w:rFonts w:hint="eastAsia" w:ascii="仿宋" w:hAnsi="仿宋" w:eastAsia="仿宋" w:cs="仿宋"/>
          <w:sz w:val="28"/>
          <w:szCs w:val="28"/>
        </w:rPr>
        <w:t xml:space="preserve"> </w:t>
      </w:r>
    </w:p>
    <w:p>
      <w:pPr>
        <w:spacing w:line="600" w:lineRule="exact"/>
        <w:ind w:firstLine="837" w:firstLineChars="299"/>
        <w:rPr>
          <w:rFonts w:ascii="仿宋" w:hAnsi="仿宋" w:eastAsia="仿宋" w:cs="仿宋"/>
          <w:sz w:val="28"/>
          <w:szCs w:val="28"/>
          <w:u w:val="single"/>
        </w:rPr>
      </w:pPr>
      <w:r>
        <w:rPr>
          <w:rFonts w:hint="eastAsia" w:ascii="仿宋" w:hAnsi="仿宋" w:eastAsia="仿宋" w:cs="仿宋"/>
          <w:sz w:val="28"/>
          <w:szCs w:val="28"/>
        </w:rPr>
        <w:t>发出日期：</w:t>
      </w:r>
      <w:r>
        <w:rPr>
          <w:rFonts w:hint="eastAsia" w:ascii="仿宋" w:hAnsi="仿宋" w:eastAsia="仿宋" w:cs="仿宋"/>
          <w:sz w:val="28"/>
          <w:szCs w:val="28"/>
          <w:u w:val="single"/>
        </w:rPr>
        <w:t>2023年2月</w:t>
      </w:r>
    </w:p>
    <w:p>
      <w:pPr>
        <w:pStyle w:val="4"/>
        <w:ind w:firstLine="560"/>
        <w:rPr>
          <w:rFonts w:ascii="仿宋" w:hAnsi="仿宋" w:eastAsia="仿宋" w:cs="仿宋"/>
          <w:sz w:val="28"/>
          <w:szCs w:val="28"/>
          <w:u w:val="single"/>
        </w:rPr>
      </w:pPr>
      <w:r>
        <w:rPr>
          <w:rFonts w:hint="eastAsia" w:ascii="仿宋" w:hAnsi="仿宋" w:eastAsia="仿宋" w:cs="仿宋"/>
          <w:sz w:val="28"/>
          <w:szCs w:val="28"/>
          <w:u w:val="single"/>
        </w:rPr>
        <w:br w:type="page"/>
      </w:r>
    </w:p>
    <w:p>
      <w:pPr>
        <w:pStyle w:val="7"/>
        <w:tabs>
          <w:tab w:val="left" w:pos="0"/>
        </w:tabs>
        <w:spacing w:before="0" w:after="0" w:line="240" w:lineRule="atLeast"/>
        <w:ind w:firstLine="2249" w:firstLineChars="700"/>
        <w:jc w:val="both"/>
        <w:rPr>
          <w:rFonts w:ascii="仿宋" w:hAnsi="仿宋" w:eastAsia="仿宋" w:cs="仿宋"/>
        </w:rPr>
      </w:pPr>
      <w:bookmarkStart w:id="642" w:name="_Toc518923128"/>
      <w:bookmarkStart w:id="643" w:name="_Toc31983"/>
      <w:bookmarkStart w:id="644" w:name="_Toc3170"/>
      <w:bookmarkStart w:id="645" w:name="_Toc23018"/>
      <w:bookmarkStart w:id="646" w:name="_Toc666"/>
      <w:r>
        <w:rPr>
          <w:rFonts w:hint="eastAsia" w:ascii="仿宋" w:hAnsi="仿宋" w:eastAsia="仿宋" w:cs="仿宋"/>
        </w:rPr>
        <w:t>第7章  政府采购合同</w:t>
      </w:r>
      <w:bookmarkEnd w:id="603"/>
      <w:bookmarkEnd w:id="642"/>
      <w:bookmarkEnd w:id="643"/>
      <w:bookmarkEnd w:id="644"/>
      <w:bookmarkEnd w:id="645"/>
      <w:bookmarkEnd w:id="646"/>
      <w:bookmarkStart w:id="647" w:name="_Hlt487972895"/>
      <w:bookmarkEnd w:id="647"/>
      <w:bookmarkStart w:id="648" w:name="_Toc216513788"/>
      <w:bookmarkStart w:id="649" w:name="_Toc487900382"/>
    </w:p>
    <w:bookmarkEnd w:id="648"/>
    <w:bookmarkEnd w:id="649"/>
    <w:p>
      <w:pPr>
        <w:pStyle w:val="11"/>
        <w:spacing w:line="240" w:lineRule="atLeast"/>
        <w:ind w:left="1080" w:leftChars="257" w:hanging="540"/>
        <w:rPr>
          <w:rFonts w:ascii="仿宋" w:hAnsi="仿宋" w:eastAsia="仿宋" w:cs="仿宋"/>
          <w:sz w:val="28"/>
        </w:rPr>
      </w:pPr>
    </w:p>
    <w:p>
      <w:pPr>
        <w:spacing w:line="240" w:lineRule="atLeast"/>
        <w:ind w:left="-567" w:leftChars="-270" w:firstLine="540"/>
        <w:jc w:val="center"/>
        <w:rPr>
          <w:rFonts w:ascii="仿宋" w:hAnsi="仿宋" w:eastAsia="仿宋" w:cs="仿宋"/>
          <w:kern w:val="44"/>
          <w:sz w:val="28"/>
          <w:szCs w:val="28"/>
        </w:rPr>
      </w:pPr>
      <w:r>
        <w:rPr>
          <w:rFonts w:hint="eastAsia" w:ascii="仿宋" w:hAnsi="仿宋" w:eastAsia="仿宋" w:cs="仿宋"/>
          <w:kern w:val="44"/>
          <w:sz w:val="28"/>
          <w:szCs w:val="28"/>
        </w:rPr>
        <w:t>请参照服务类政府采购合同参考范本订立采购合同。</w:t>
      </w:r>
    </w:p>
    <w:p>
      <w:pPr>
        <w:rPr>
          <w:rFonts w:ascii="仿宋" w:hAnsi="仿宋" w:eastAsia="仿宋" w:cs="仿宋"/>
          <w:sz w:val="28"/>
          <w:szCs w:val="28"/>
          <w:u w:val="single"/>
        </w:rPr>
      </w:pPr>
      <w:r>
        <w:rPr>
          <w:rFonts w:hint="eastAsia" w:ascii="仿宋" w:hAnsi="仿宋" w:eastAsia="仿宋" w:cs="仿宋"/>
          <w:sz w:val="28"/>
          <w:szCs w:val="28"/>
        </w:rPr>
        <w:t>合同编号：</w:t>
      </w:r>
      <w:r>
        <w:rPr>
          <w:rFonts w:hint="eastAsia" w:ascii="仿宋" w:hAnsi="仿宋" w:eastAsia="仿宋" w:cs="仿宋"/>
          <w:sz w:val="28"/>
          <w:szCs w:val="28"/>
          <w:u w:val="single"/>
        </w:rPr>
        <w:t xml:space="preserve">           </w:t>
      </w:r>
    </w:p>
    <w:p>
      <w:pPr>
        <w:spacing w:line="480" w:lineRule="auto"/>
        <w:rPr>
          <w:rFonts w:ascii="仿宋" w:hAnsi="仿宋" w:eastAsia="仿宋" w:cs="仿宋"/>
          <w:b/>
          <w:bCs/>
          <w:sz w:val="28"/>
          <w:szCs w:val="28"/>
        </w:rPr>
      </w:pPr>
    </w:p>
    <w:p>
      <w:pPr>
        <w:spacing w:line="480" w:lineRule="auto"/>
        <w:jc w:val="center"/>
        <w:outlineLvl w:val="1"/>
        <w:rPr>
          <w:rFonts w:ascii="仿宋" w:hAnsi="仿宋" w:eastAsia="仿宋" w:cs="仿宋"/>
          <w:b/>
          <w:bCs/>
          <w:sz w:val="28"/>
          <w:szCs w:val="28"/>
        </w:rPr>
      </w:pPr>
      <w:bookmarkStart w:id="650" w:name="_Toc7714"/>
      <w:bookmarkStart w:id="651" w:name="_Toc5621"/>
      <w:bookmarkStart w:id="652" w:name="_Toc24570"/>
      <w:bookmarkStart w:id="653" w:name="_Toc30529"/>
      <w:r>
        <w:rPr>
          <w:rFonts w:hint="eastAsia" w:ascii="仿宋" w:hAnsi="仿宋" w:eastAsia="仿宋" w:cs="仿宋"/>
          <w:b/>
          <w:bCs/>
          <w:sz w:val="28"/>
          <w:szCs w:val="28"/>
        </w:rPr>
        <w:t>吐鲁番市政府采购合同</w:t>
      </w:r>
      <w:bookmarkEnd w:id="650"/>
      <w:bookmarkEnd w:id="651"/>
      <w:bookmarkEnd w:id="652"/>
      <w:bookmarkEnd w:id="653"/>
    </w:p>
    <w:p>
      <w:pPr>
        <w:pStyle w:val="52"/>
        <w:ind w:firstLine="0"/>
        <w:rPr>
          <w:rFonts w:ascii="仿宋" w:hAnsi="仿宋" w:eastAsia="仿宋" w:cs="仿宋"/>
          <w:sz w:val="28"/>
          <w:szCs w:val="28"/>
        </w:rPr>
      </w:pPr>
    </w:p>
    <w:p>
      <w:pPr>
        <w:pStyle w:val="52"/>
        <w:ind w:firstLine="0"/>
        <w:rPr>
          <w:rFonts w:ascii="仿宋" w:hAnsi="仿宋" w:eastAsia="仿宋" w:cs="仿宋"/>
          <w:sz w:val="28"/>
          <w:szCs w:val="28"/>
        </w:rPr>
      </w:pPr>
    </w:p>
    <w:p>
      <w:pPr>
        <w:pStyle w:val="52"/>
        <w:ind w:firstLine="0"/>
        <w:jc w:val="center"/>
        <w:outlineLvl w:val="1"/>
        <w:rPr>
          <w:rFonts w:ascii="仿宋" w:hAnsi="仿宋" w:eastAsia="仿宋" w:cs="仿宋"/>
          <w:b/>
          <w:bCs/>
          <w:sz w:val="28"/>
          <w:szCs w:val="28"/>
        </w:rPr>
      </w:pPr>
      <w:bookmarkStart w:id="654" w:name="_Toc7770"/>
      <w:bookmarkStart w:id="655" w:name="_Toc1059"/>
      <w:bookmarkStart w:id="656" w:name="_Toc29640"/>
      <w:r>
        <w:rPr>
          <w:rFonts w:hint="eastAsia" w:ascii="仿宋" w:hAnsi="仿宋" w:eastAsia="仿宋" w:cs="仿宋"/>
          <w:b/>
          <w:bCs/>
          <w:sz w:val="28"/>
          <w:szCs w:val="28"/>
        </w:rPr>
        <w:t>第一部分 合同书</w:t>
      </w:r>
      <w:bookmarkEnd w:id="654"/>
      <w:bookmarkEnd w:id="655"/>
      <w:bookmarkEnd w:id="656"/>
    </w:p>
    <w:p>
      <w:pPr>
        <w:pStyle w:val="52"/>
        <w:ind w:firstLine="0"/>
        <w:rPr>
          <w:rFonts w:ascii="仿宋" w:hAnsi="仿宋" w:eastAsia="仿宋" w:cs="仿宋"/>
          <w:sz w:val="28"/>
          <w:szCs w:val="28"/>
        </w:rPr>
      </w:pPr>
    </w:p>
    <w:p>
      <w:pPr>
        <w:pStyle w:val="52"/>
        <w:ind w:firstLine="0"/>
        <w:rPr>
          <w:rFonts w:ascii="仿宋" w:hAnsi="仿宋" w:eastAsia="仿宋" w:cs="仿宋"/>
          <w:sz w:val="28"/>
          <w:szCs w:val="28"/>
        </w:rPr>
      </w:pPr>
    </w:p>
    <w:p>
      <w:pPr>
        <w:spacing w:before="120" w:line="22" w:lineRule="atLeast"/>
        <w:rPr>
          <w:rFonts w:ascii="仿宋" w:hAnsi="仿宋" w:eastAsia="仿宋" w:cs="仿宋"/>
          <w:sz w:val="28"/>
          <w:szCs w:val="28"/>
        </w:rPr>
      </w:pPr>
    </w:p>
    <w:p>
      <w:pPr>
        <w:spacing w:before="120" w:line="22" w:lineRule="atLeast"/>
        <w:ind w:left="960"/>
        <w:rPr>
          <w:rFonts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u w:val="single"/>
        </w:rPr>
        <w:t xml:space="preserve">                                     </w:t>
      </w:r>
    </w:p>
    <w:p>
      <w:pPr>
        <w:pStyle w:val="50"/>
        <w:spacing w:before="120" w:line="22" w:lineRule="atLeast"/>
        <w:rPr>
          <w:rFonts w:ascii="仿宋" w:hAnsi="仿宋" w:eastAsia="仿宋" w:cs="仿宋"/>
          <w:szCs w:val="24"/>
        </w:rPr>
      </w:pPr>
    </w:p>
    <w:p>
      <w:pPr>
        <w:pStyle w:val="50"/>
        <w:spacing w:before="120" w:line="22" w:lineRule="atLeast"/>
        <w:rPr>
          <w:rFonts w:ascii="仿宋" w:hAnsi="仿宋" w:eastAsia="仿宋" w:cs="仿宋"/>
          <w:szCs w:val="24"/>
        </w:rPr>
      </w:pPr>
    </w:p>
    <w:p>
      <w:pPr>
        <w:rPr>
          <w:rFonts w:ascii="仿宋" w:hAnsi="仿宋" w:eastAsia="仿宋" w:cs="仿宋"/>
          <w:sz w:val="24"/>
        </w:rPr>
      </w:pPr>
    </w:p>
    <w:p>
      <w:pPr>
        <w:spacing w:before="120" w:line="22" w:lineRule="atLeast"/>
        <w:ind w:left="960"/>
        <w:rPr>
          <w:rFonts w:ascii="仿宋" w:hAnsi="仿宋" w:eastAsia="仿宋" w:cs="仿宋"/>
          <w:sz w:val="24"/>
          <w:u w:val="single"/>
        </w:rPr>
      </w:pPr>
      <w:r>
        <w:rPr>
          <w:rFonts w:hint="eastAsia" w:ascii="仿宋" w:hAnsi="仿宋" w:eastAsia="仿宋" w:cs="仿宋"/>
          <w:sz w:val="24"/>
        </w:rPr>
        <w:t>甲方：</w:t>
      </w:r>
      <w:r>
        <w:rPr>
          <w:rFonts w:hint="eastAsia" w:ascii="仿宋" w:hAnsi="仿宋" w:eastAsia="仿宋" w:cs="仿宋"/>
          <w:sz w:val="24"/>
          <w:u w:val="single"/>
        </w:rPr>
        <w:t xml:space="preserve">                                       </w:t>
      </w:r>
    </w:p>
    <w:p>
      <w:pPr>
        <w:spacing w:before="120" w:line="22" w:lineRule="atLeast"/>
        <w:rPr>
          <w:rFonts w:ascii="仿宋" w:hAnsi="仿宋" w:eastAsia="仿宋" w:cs="仿宋"/>
          <w:sz w:val="24"/>
        </w:rPr>
      </w:pPr>
    </w:p>
    <w:p>
      <w:pPr>
        <w:spacing w:before="120" w:line="22" w:lineRule="atLeast"/>
        <w:ind w:left="960"/>
        <w:rPr>
          <w:rFonts w:ascii="仿宋" w:hAnsi="仿宋" w:eastAsia="仿宋" w:cs="仿宋"/>
          <w:sz w:val="24"/>
          <w:u w:val="single"/>
        </w:rPr>
      </w:pPr>
      <w:r>
        <w:rPr>
          <w:rFonts w:hint="eastAsia" w:ascii="仿宋" w:hAnsi="仿宋" w:eastAsia="仿宋" w:cs="仿宋"/>
          <w:sz w:val="24"/>
        </w:rPr>
        <w:t>乙方：</w:t>
      </w:r>
      <w:r>
        <w:rPr>
          <w:rFonts w:hint="eastAsia" w:ascii="仿宋" w:hAnsi="仿宋" w:eastAsia="仿宋" w:cs="仿宋"/>
          <w:sz w:val="24"/>
          <w:u w:val="single"/>
        </w:rPr>
        <w:t xml:space="preserve">                                       </w:t>
      </w:r>
    </w:p>
    <w:p>
      <w:pPr>
        <w:spacing w:before="120" w:line="22" w:lineRule="atLeast"/>
        <w:rPr>
          <w:rFonts w:ascii="仿宋" w:hAnsi="仿宋" w:eastAsia="仿宋" w:cs="仿宋"/>
          <w:sz w:val="24"/>
        </w:rPr>
      </w:pPr>
    </w:p>
    <w:p>
      <w:pPr>
        <w:spacing w:before="120" w:line="22" w:lineRule="atLeast"/>
        <w:ind w:firstLine="960" w:firstLineChars="400"/>
        <w:rPr>
          <w:rFonts w:ascii="仿宋" w:hAnsi="仿宋" w:eastAsia="仿宋" w:cs="仿宋"/>
          <w:sz w:val="24"/>
          <w:u w:val="single"/>
        </w:rPr>
      </w:pPr>
      <w:r>
        <w:rPr>
          <w:rFonts w:hint="eastAsia" w:ascii="仿宋" w:hAnsi="仿宋" w:eastAsia="仿宋" w:cs="仿宋"/>
          <w:sz w:val="24"/>
        </w:rPr>
        <w:t>签订地：</w:t>
      </w:r>
      <w:r>
        <w:rPr>
          <w:rFonts w:hint="eastAsia" w:ascii="仿宋" w:hAnsi="仿宋" w:eastAsia="仿宋" w:cs="仿宋"/>
          <w:sz w:val="24"/>
          <w:u w:val="single"/>
        </w:rPr>
        <w:t xml:space="preserve">                                     </w:t>
      </w:r>
    </w:p>
    <w:p>
      <w:pPr>
        <w:spacing w:before="120" w:line="22" w:lineRule="atLeast"/>
        <w:rPr>
          <w:rFonts w:ascii="仿宋" w:hAnsi="仿宋" w:eastAsia="仿宋" w:cs="仿宋"/>
          <w:sz w:val="24"/>
        </w:rPr>
      </w:pPr>
    </w:p>
    <w:p>
      <w:pPr>
        <w:spacing w:before="120" w:line="22" w:lineRule="atLeast"/>
        <w:ind w:firstLine="960" w:firstLineChars="400"/>
        <w:rPr>
          <w:rFonts w:ascii="仿宋" w:hAnsi="仿宋" w:eastAsia="仿宋" w:cs="仿宋"/>
          <w:sz w:val="24"/>
          <w:u w:val="single"/>
        </w:rPr>
      </w:pPr>
      <w:r>
        <w:rPr>
          <w:rFonts w:hint="eastAsia" w:ascii="仿宋" w:hAnsi="仿宋" w:eastAsia="仿宋" w:cs="仿宋"/>
          <w:sz w:val="24"/>
        </w:rPr>
        <w:t>签订日期：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autoSpaceDE w:val="0"/>
        <w:autoSpaceDN w:val="0"/>
        <w:adjustRightInd w:val="0"/>
        <w:spacing w:line="600" w:lineRule="exact"/>
        <w:ind w:firstLine="640"/>
        <w:jc w:val="center"/>
        <w:rPr>
          <w:rFonts w:ascii="仿宋" w:hAnsi="仿宋" w:eastAsia="仿宋" w:cs="仿宋"/>
          <w:sz w:val="24"/>
        </w:rPr>
        <w:sectPr>
          <w:headerReference r:id="rId5" w:type="default"/>
          <w:footerReference r:id="rId6" w:type="default"/>
          <w:pgSz w:w="11907" w:h="16840"/>
          <w:pgMar w:top="1474" w:right="1814" w:bottom="1474" w:left="1814" w:header="851" w:footer="851" w:gutter="0"/>
          <w:pgNumType w:fmt="decimal"/>
          <w:cols w:space="720" w:num="1"/>
          <w:docGrid w:linePitch="462" w:charSpace="0"/>
        </w:sectPr>
      </w:pPr>
    </w:p>
    <w:p>
      <w:pPr>
        <w:spacing w:line="560" w:lineRule="exact"/>
        <w:ind w:firstLine="480" w:firstLineChars="200"/>
        <w:rPr>
          <w:rFonts w:ascii="仿宋" w:hAnsi="仿宋" w:eastAsia="仿宋" w:cs="仿宋"/>
          <w:sz w:val="24"/>
        </w:rPr>
      </w:pPr>
      <w:r>
        <w:rPr>
          <w:rFonts w:hint="eastAsia" w:ascii="仿宋" w:hAnsi="仿宋" w:eastAsia="仿宋" w:cs="仿宋"/>
          <w:sz w:val="24"/>
          <w:u w:val="single"/>
          <w:lang w:val="zh-CN"/>
        </w:rPr>
        <w:t xml:space="preserve">        </w:t>
      </w:r>
      <w:r>
        <w:rPr>
          <w:rFonts w:hint="eastAsia" w:ascii="仿宋" w:hAnsi="仿宋" w:eastAsia="仿宋" w:cs="仿宋"/>
          <w:sz w:val="24"/>
          <w:lang w:val="zh-CN"/>
        </w:rPr>
        <w:t>年</w:t>
      </w:r>
      <w:r>
        <w:rPr>
          <w:rFonts w:hint="eastAsia" w:ascii="仿宋" w:hAnsi="仿宋" w:eastAsia="仿宋" w:cs="仿宋"/>
          <w:sz w:val="24"/>
          <w:u w:val="single"/>
          <w:lang w:val="zh-CN"/>
        </w:rPr>
        <w:t xml:space="preserve">    </w:t>
      </w:r>
      <w:r>
        <w:rPr>
          <w:rFonts w:hint="eastAsia" w:ascii="仿宋" w:hAnsi="仿宋" w:eastAsia="仿宋" w:cs="仿宋"/>
          <w:sz w:val="24"/>
          <w:lang w:val="zh-CN"/>
        </w:rPr>
        <w:t>月</w:t>
      </w:r>
      <w:r>
        <w:rPr>
          <w:rFonts w:hint="eastAsia" w:ascii="仿宋" w:hAnsi="仿宋" w:eastAsia="仿宋" w:cs="仿宋"/>
          <w:sz w:val="24"/>
          <w:u w:val="single"/>
          <w:lang w:val="zh-CN"/>
        </w:rPr>
        <w:t xml:space="preserve">    </w:t>
      </w:r>
      <w:r>
        <w:rPr>
          <w:rFonts w:hint="eastAsia" w:ascii="仿宋" w:hAnsi="仿宋" w:eastAsia="仿宋" w:cs="仿宋"/>
          <w:sz w:val="24"/>
          <w:lang w:val="zh-CN"/>
        </w:rPr>
        <w:t>日</w:t>
      </w:r>
      <w:r>
        <w:rPr>
          <w:rFonts w:hint="eastAsia" w:ascii="仿宋" w:hAnsi="仿宋" w:eastAsia="仿宋" w:cs="仿宋"/>
          <w:sz w:val="24"/>
        </w:rPr>
        <w:t>，</w:t>
      </w:r>
      <w:r>
        <w:rPr>
          <w:rFonts w:hint="eastAsia" w:ascii="仿宋" w:hAnsi="仿宋" w:eastAsia="仿宋" w:cs="仿宋"/>
          <w:sz w:val="24"/>
          <w:u w:val="single"/>
        </w:rPr>
        <w:t xml:space="preserve">  吐鲁番市自然资源局  </w:t>
      </w:r>
      <w:r>
        <w:rPr>
          <w:rFonts w:hint="eastAsia" w:ascii="仿宋" w:hAnsi="仿宋" w:eastAsia="仿宋" w:cs="仿宋"/>
          <w:sz w:val="24"/>
        </w:rPr>
        <w:t>以</w:t>
      </w:r>
      <w:r>
        <w:rPr>
          <w:rFonts w:hint="eastAsia" w:ascii="仿宋" w:hAnsi="仿宋" w:eastAsia="仿宋" w:cs="仿宋"/>
          <w:sz w:val="24"/>
          <w:u w:val="single"/>
        </w:rPr>
        <w:t xml:space="preserve">公开招标方式  </w:t>
      </w:r>
      <w:r>
        <w:rPr>
          <w:rFonts w:hint="eastAsia" w:ascii="仿宋" w:hAnsi="仿宋" w:eastAsia="仿宋" w:cs="仿宋"/>
          <w:sz w:val="24"/>
        </w:rPr>
        <w:t>对</w:t>
      </w:r>
      <w:r>
        <w:rPr>
          <w:rFonts w:hint="eastAsia" w:ascii="仿宋" w:hAnsi="仿宋" w:eastAsia="仿宋" w:cs="仿宋"/>
          <w:sz w:val="24"/>
          <w:u w:val="single"/>
        </w:rPr>
        <w:t xml:space="preserve">                    </w:t>
      </w:r>
      <w:r>
        <w:rPr>
          <w:rFonts w:hint="eastAsia" w:ascii="仿宋" w:hAnsi="仿宋" w:eastAsia="仿宋" w:cs="仿宋"/>
          <w:sz w:val="24"/>
        </w:rPr>
        <w:t>项目进行了采购。经</w:t>
      </w:r>
      <w:r>
        <w:rPr>
          <w:rFonts w:hint="eastAsia" w:ascii="仿宋" w:hAnsi="仿宋" w:eastAsia="仿宋" w:cs="仿宋"/>
          <w:sz w:val="24"/>
          <w:u w:val="single"/>
        </w:rPr>
        <w:t xml:space="preserve">   （相关评定主体名称）   </w:t>
      </w:r>
      <w:r>
        <w:rPr>
          <w:rFonts w:hint="eastAsia" w:ascii="仿宋" w:hAnsi="仿宋" w:eastAsia="仿宋" w:cs="仿宋"/>
          <w:sz w:val="24"/>
        </w:rPr>
        <w:t>评定，</w:t>
      </w:r>
      <w:r>
        <w:rPr>
          <w:rFonts w:hint="eastAsia" w:ascii="仿宋" w:hAnsi="仿宋" w:eastAsia="仿宋" w:cs="仿宋"/>
          <w:sz w:val="24"/>
          <w:u w:val="single"/>
        </w:rPr>
        <w:t xml:space="preserve">   （中标供应商名称） </w:t>
      </w:r>
      <w:r>
        <w:rPr>
          <w:rFonts w:hint="eastAsia" w:ascii="仿宋" w:hAnsi="仿宋" w:eastAsia="仿宋" w:cs="仿宋"/>
          <w:sz w:val="24"/>
        </w:rPr>
        <w:t>为该项目中标供应商。现于中标通知书发出之日起三十日内，按照采购文件确定的事项签订本合同。</w:t>
      </w:r>
    </w:p>
    <w:p>
      <w:pPr>
        <w:spacing w:line="560" w:lineRule="exact"/>
        <w:ind w:firstLine="480" w:firstLineChars="200"/>
        <w:rPr>
          <w:rFonts w:ascii="仿宋" w:hAnsi="仿宋" w:eastAsia="仿宋" w:cs="仿宋"/>
          <w:sz w:val="24"/>
        </w:rPr>
      </w:pPr>
      <w:r>
        <w:rPr>
          <w:rFonts w:hint="eastAsia" w:ascii="仿宋" w:hAnsi="仿宋" w:eastAsia="仿宋" w:cs="仿宋"/>
          <w:sz w:val="24"/>
          <w:lang w:val="zh-CN"/>
        </w:rPr>
        <w:t>根据《中华人民共和国合同法》《中华人民共和国政府采购法》等相关法律法规之规定，按照平等、自愿、公平和诚实信用的原则，经</w:t>
      </w:r>
      <w:r>
        <w:rPr>
          <w:rFonts w:hint="eastAsia" w:ascii="仿宋" w:hAnsi="仿宋" w:eastAsia="仿宋" w:cs="仿宋"/>
          <w:sz w:val="24"/>
          <w:u w:val="single"/>
        </w:rPr>
        <w:t xml:space="preserve">   （采购人名称）   </w:t>
      </w:r>
      <w:r>
        <w:rPr>
          <w:rFonts w:hint="eastAsia" w:ascii="仿宋" w:hAnsi="仿宋" w:eastAsia="仿宋" w:cs="仿宋"/>
          <w:sz w:val="24"/>
          <w:lang w:val="zh-CN"/>
        </w:rPr>
        <w:t>(以下简称：甲方)和</w:t>
      </w:r>
      <w:r>
        <w:rPr>
          <w:rFonts w:hint="eastAsia" w:ascii="仿宋" w:hAnsi="仿宋" w:eastAsia="仿宋" w:cs="仿宋"/>
          <w:sz w:val="24"/>
          <w:u w:val="single"/>
        </w:rPr>
        <w:t xml:space="preserve">   （中标供应商名称）   </w:t>
      </w:r>
      <w:r>
        <w:rPr>
          <w:rFonts w:hint="eastAsia" w:ascii="仿宋" w:hAnsi="仿宋" w:eastAsia="仿宋" w:cs="仿宋"/>
          <w:sz w:val="24"/>
          <w:lang w:val="zh-CN"/>
        </w:rPr>
        <w:t>(以下简称：乙方)协商一致，约定以下合同</w:t>
      </w:r>
      <w:r>
        <w:rPr>
          <w:rFonts w:hint="eastAsia" w:ascii="仿宋" w:hAnsi="仿宋" w:eastAsia="仿宋" w:cs="仿宋"/>
          <w:sz w:val="24"/>
        </w:rPr>
        <w:t>条款，以兹共同遵守、全面履行。</w:t>
      </w:r>
    </w:p>
    <w:p>
      <w:pPr>
        <w:spacing w:line="560" w:lineRule="exact"/>
        <w:ind w:firstLine="482" w:firstLineChars="200"/>
        <w:outlineLvl w:val="0"/>
        <w:rPr>
          <w:rFonts w:ascii="仿宋" w:hAnsi="仿宋" w:eastAsia="仿宋" w:cs="仿宋"/>
          <w:sz w:val="24"/>
        </w:rPr>
      </w:pPr>
      <w:bookmarkStart w:id="657" w:name="_Toc15367"/>
      <w:bookmarkStart w:id="658" w:name="_Toc9801"/>
      <w:bookmarkStart w:id="659" w:name="_Toc19273"/>
      <w:bookmarkStart w:id="660" w:name="_Toc26481"/>
      <w:bookmarkStart w:id="661" w:name="_Toc20421"/>
      <w:bookmarkStart w:id="662" w:name="_Toc11616"/>
      <w:bookmarkStart w:id="663" w:name="_Toc22967"/>
      <w:bookmarkStart w:id="664" w:name="_Toc28855"/>
      <w:bookmarkStart w:id="665" w:name="_Toc14893"/>
      <w:r>
        <w:rPr>
          <w:rFonts w:hint="eastAsia" w:ascii="仿宋" w:hAnsi="仿宋" w:eastAsia="仿宋" w:cs="仿宋"/>
          <w:b/>
          <w:bCs/>
          <w:sz w:val="24"/>
        </w:rPr>
        <w:t>1.1 合同组成部分</w:t>
      </w:r>
      <w:bookmarkEnd w:id="657"/>
      <w:bookmarkEnd w:id="658"/>
      <w:bookmarkEnd w:id="659"/>
      <w:bookmarkEnd w:id="660"/>
      <w:bookmarkEnd w:id="661"/>
      <w:bookmarkEnd w:id="662"/>
      <w:bookmarkEnd w:id="663"/>
      <w:bookmarkEnd w:id="664"/>
      <w:bookmarkEnd w:id="665"/>
    </w:p>
    <w:p>
      <w:pPr>
        <w:spacing w:line="560" w:lineRule="exact"/>
        <w:ind w:firstLine="480" w:firstLineChars="200"/>
        <w:rPr>
          <w:rFonts w:ascii="仿宋" w:hAnsi="仿宋" w:eastAsia="仿宋" w:cs="仿宋"/>
          <w:sz w:val="24"/>
        </w:rPr>
      </w:pPr>
      <w:r>
        <w:rPr>
          <w:rFonts w:hint="eastAsia" w:ascii="仿宋" w:hAnsi="仿宋" w:eastAsia="仿宋" w:cs="仿宋"/>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仿宋" w:hAnsi="仿宋" w:eastAsia="仿宋" w:cs="仿宋"/>
          <w:sz w:val="24"/>
        </w:rPr>
      </w:pPr>
      <w:r>
        <w:rPr>
          <w:rFonts w:hint="eastAsia" w:ascii="仿宋" w:hAnsi="仿宋" w:eastAsia="仿宋" w:cs="仿宋"/>
          <w:sz w:val="24"/>
        </w:rPr>
        <w:t>1.1.1 本合同及其补充合同、变更协议；</w:t>
      </w:r>
    </w:p>
    <w:p>
      <w:pPr>
        <w:spacing w:line="560" w:lineRule="exact"/>
        <w:ind w:firstLine="480" w:firstLineChars="200"/>
        <w:rPr>
          <w:rFonts w:ascii="仿宋" w:hAnsi="仿宋" w:eastAsia="仿宋" w:cs="仿宋"/>
          <w:sz w:val="24"/>
        </w:rPr>
      </w:pPr>
      <w:r>
        <w:rPr>
          <w:rFonts w:hint="eastAsia" w:ascii="仿宋" w:hAnsi="仿宋" w:eastAsia="仿宋" w:cs="仿宋"/>
          <w:sz w:val="24"/>
        </w:rPr>
        <w:t>1.1.2 中标通知书；</w:t>
      </w:r>
    </w:p>
    <w:p>
      <w:pPr>
        <w:spacing w:line="560" w:lineRule="exact"/>
        <w:ind w:firstLine="480" w:firstLineChars="200"/>
        <w:rPr>
          <w:rFonts w:ascii="仿宋" w:hAnsi="仿宋" w:eastAsia="仿宋" w:cs="仿宋"/>
          <w:sz w:val="24"/>
        </w:rPr>
      </w:pPr>
      <w:r>
        <w:rPr>
          <w:rFonts w:hint="eastAsia" w:ascii="仿宋" w:hAnsi="仿宋" w:eastAsia="仿宋" w:cs="仿宋"/>
          <w:sz w:val="24"/>
        </w:rPr>
        <w:t>1.1.3 投标文件（含澄清或者说明文件）；</w:t>
      </w:r>
    </w:p>
    <w:p>
      <w:pPr>
        <w:spacing w:line="560" w:lineRule="exact"/>
        <w:ind w:firstLine="480" w:firstLineChars="200"/>
        <w:rPr>
          <w:rFonts w:ascii="仿宋" w:hAnsi="仿宋" w:eastAsia="仿宋" w:cs="仿宋"/>
          <w:sz w:val="24"/>
        </w:rPr>
      </w:pPr>
      <w:r>
        <w:rPr>
          <w:rFonts w:hint="eastAsia" w:ascii="仿宋" w:hAnsi="仿宋" w:eastAsia="仿宋" w:cs="仿宋"/>
          <w:sz w:val="24"/>
        </w:rPr>
        <w:t>1.1.4 采购文件（含澄清或者修改文件）；</w:t>
      </w:r>
    </w:p>
    <w:p>
      <w:pPr>
        <w:spacing w:line="560" w:lineRule="exact"/>
        <w:ind w:firstLine="480" w:firstLineChars="200"/>
        <w:rPr>
          <w:rFonts w:ascii="仿宋" w:hAnsi="仿宋" w:eastAsia="仿宋" w:cs="仿宋"/>
          <w:sz w:val="24"/>
        </w:rPr>
      </w:pPr>
      <w:r>
        <w:rPr>
          <w:rFonts w:hint="eastAsia" w:ascii="仿宋" w:hAnsi="仿宋" w:eastAsia="仿宋" w:cs="仿宋"/>
          <w:sz w:val="24"/>
        </w:rPr>
        <w:t>1.1.5 其他相关采购文件。</w:t>
      </w:r>
    </w:p>
    <w:p>
      <w:pPr>
        <w:spacing w:line="560" w:lineRule="exact"/>
        <w:ind w:firstLine="482" w:firstLineChars="200"/>
        <w:outlineLvl w:val="0"/>
        <w:rPr>
          <w:rFonts w:ascii="仿宋" w:hAnsi="仿宋" w:eastAsia="仿宋" w:cs="仿宋"/>
          <w:b/>
          <w:bCs/>
          <w:sz w:val="24"/>
        </w:rPr>
      </w:pPr>
      <w:bookmarkStart w:id="666" w:name="_Toc28809"/>
      <w:bookmarkStart w:id="667" w:name="_Toc18585"/>
      <w:bookmarkStart w:id="668" w:name="_Toc11548"/>
      <w:bookmarkStart w:id="669" w:name="_Toc6773"/>
      <w:bookmarkStart w:id="670" w:name="_Toc6311"/>
      <w:bookmarkStart w:id="671" w:name="_Toc22185"/>
      <w:bookmarkStart w:id="672" w:name="_Toc2918"/>
      <w:bookmarkStart w:id="673" w:name="_Toc12407"/>
      <w:bookmarkStart w:id="674" w:name="_Toc4283"/>
      <w:r>
        <w:rPr>
          <w:rFonts w:hint="eastAsia" w:ascii="仿宋" w:hAnsi="仿宋" w:eastAsia="仿宋" w:cs="仿宋"/>
          <w:b/>
          <w:bCs/>
          <w:sz w:val="24"/>
        </w:rPr>
        <w:t>1.2 标的</w:t>
      </w:r>
      <w:bookmarkEnd w:id="666"/>
      <w:bookmarkEnd w:id="667"/>
      <w:bookmarkEnd w:id="668"/>
      <w:bookmarkEnd w:id="669"/>
      <w:bookmarkEnd w:id="670"/>
      <w:bookmarkEnd w:id="671"/>
      <w:bookmarkEnd w:id="672"/>
      <w:bookmarkEnd w:id="673"/>
      <w:bookmarkEnd w:id="674"/>
    </w:p>
    <w:p>
      <w:pPr>
        <w:spacing w:line="560" w:lineRule="exact"/>
        <w:ind w:firstLine="480" w:firstLineChars="200"/>
        <w:rPr>
          <w:rFonts w:ascii="仿宋" w:hAnsi="仿宋" w:eastAsia="仿宋" w:cs="仿宋"/>
          <w:sz w:val="24"/>
          <w:u w:val="single"/>
        </w:rPr>
      </w:pPr>
      <w:r>
        <w:rPr>
          <w:rFonts w:hint="eastAsia" w:ascii="仿宋" w:hAnsi="仿宋" w:eastAsia="仿宋" w:cs="仿宋"/>
          <w:sz w:val="24"/>
        </w:rPr>
        <w:t>1.2.1 标的名称：</w:t>
      </w:r>
      <w:r>
        <w:rPr>
          <w:rFonts w:hint="eastAsia" w:ascii="仿宋" w:hAnsi="仿宋" w:eastAsia="仿宋" w:cs="仿宋"/>
          <w:sz w:val="24"/>
          <w:u w:val="single"/>
        </w:rPr>
        <w:t xml:space="preserve">                （详见清单）</w:t>
      </w:r>
    </w:p>
    <w:p>
      <w:pPr>
        <w:spacing w:line="560" w:lineRule="exact"/>
        <w:ind w:firstLine="480" w:firstLineChars="200"/>
        <w:rPr>
          <w:rFonts w:ascii="仿宋" w:hAnsi="仿宋" w:eastAsia="仿宋" w:cs="仿宋"/>
          <w:sz w:val="24"/>
          <w:u w:val="single"/>
        </w:rPr>
      </w:pPr>
      <w:r>
        <w:rPr>
          <w:rFonts w:hint="eastAsia" w:ascii="仿宋" w:hAnsi="仿宋" w:eastAsia="仿宋" w:cs="仿宋"/>
          <w:sz w:val="24"/>
        </w:rPr>
        <w:t>1.2.2 标的数量：</w:t>
      </w:r>
      <w:r>
        <w:rPr>
          <w:rFonts w:hint="eastAsia" w:ascii="仿宋" w:hAnsi="仿宋" w:eastAsia="仿宋" w:cs="仿宋"/>
          <w:sz w:val="24"/>
          <w:u w:val="single"/>
        </w:rPr>
        <w:t>按采购文件要求（详见清单）</w:t>
      </w:r>
    </w:p>
    <w:p>
      <w:pPr>
        <w:spacing w:line="560" w:lineRule="exact"/>
        <w:ind w:firstLine="480" w:firstLineChars="200"/>
        <w:rPr>
          <w:rFonts w:ascii="仿宋" w:hAnsi="仿宋" w:eastAsia="仿宋" w:cs="仿宋"/>
          <w:sz w:val="24"/>
        </w:rPr>
      </w:pPr>
      <w:r>
        <w:rPr>
          <w:rFonts w:hint="eastAsia" w:ascii="仿宋" w:hAnsi="仿宋" w:eastAsia="仿宋" w:cs="仿宋"/>
          <w:sz w:val="24"/>
        </w:rPr>
        <w:t>1.2.3 标的质量：</w:t>
      </w:r>
      <w:r>
        <w:rPr>
          <w:rFonts w:hint="eastAsia" w:ascii="仿宋" w:hAnsi="仿宋" w:eastAsia="仿宋" w:cs="仿宋"/>
          <w:sz w:val="24"/>
          <w:u w:val="single"/>
        </w:rPr>
        <w:t>按采购文件要求和投标文件的实际填写。</w:t>
      </w:r>
    </w:p>
    <w:p>
      <w:pPr>
        <w:spacing w:line="560" w:lineRule="exact"/>
        <w:ind w:firstLine="482" w:firstLineChars="200"/>
        <w:outlineLvl w:val="0"/>
        <w:rPr>
          <w:rFonts w:ascii="仿宋" w:hAnsi="仿宋" w:eastAsia="仿宋" w:cs="仿宋"/>
          <w:b/>
          <w:bCs/>
          <w:sz w:val="24"/>
        </w:rPr>
      </w:pPr>
      <w:bookmarkStart w:id="675" w:name="_Toc13918"/>
      <w:bookmarkStart w:id="676" w:name="_Toc14367"/>
      <w:bookmarkStart w:id="677" w:name="_Toc21124"/>
      <w:bookmarkStart w:id="678" w:name="_Toc4929"/>
      <w:bookmarkStart w:id="679" w:name="_Toc1386"/>
      <w:bookmarkStart w:id="680" w:name="_Toc5560"/>
      <w:bookmarkStart w:id="681" w:name="_Toc5635"/>
      <w:bookmarkStart w:id="682" w:name="_Toc30528"/>
      <w:bookmarkStart w:id="683" w:name="_Toc14026"/>
      <w:r>
        <w:rPr>
          <w:rFonts w:hint="eastAsia" w:ascii="仿宋" w:hAnsi="仿宋" w:eastAsia="仿宋" w:cs="仿宋"/>
          <w:b/>
          <w:bCs/>
          <w:sz w:val="24"/>
        </w:rPr>
        <w:t>1.3 价款</w:t>
      </w:r>
      <w:bookmarkEnd w:id="675"/>
      <w:bookmarkEnd w:id="676"/>
      <w:bookmarkEnd w:id="677"/>
      <w:bookmarkEnd w:id="678"/>
      <w:bookmarkEnd w:id="679"/>
      <w:bookmarkEnd w:id="680"/>
      <w:bookmarkEnd w:id="681"/>
      <w:bookmarkEnd w:id="682"/>
      <w:bookmarkEnd w:id="683"/>
    </w:p>
    <w:p>
      <w:pPr>
        <w:spacing w:line="560" w:lineRule="exact"/>
        <w:ind w:firstLine="480" w:firstLineChars="200"/>
        <w:rPr>
          <w:rFonts w:ascii="仿宋" w:hAnsi="仿宋" w:eastAsia="仿宋" w:cs="仿宋"/>
          <w:sz w:val="24"/>
        </w:rPr>
      </w:pPr>
      <w:r>
        <w:rPr>
          <w:rFonts w:hint="eastAsia" w:ascii="仿宋" w:hAnsi="仿宋" w:eastAsia="仿宋" w:cs="仿宋"/>
          <w:sz w:val="24"/>
        </w:rPr>
        <w:t>本合同总价为：￥</w:t>
      </w:r>
      <w:r>
        <w:rPr>
          <w:rFonts w:hint="eastAsia" w:ascii="仿宋" w:hAnsi="仿宋" w:eastAsia="仿宋" w:cs="仿宋"/>
          <w:sz w:val="24"/>
          <w:u w:val="single"/>
        </w:rPr>
        <w:t xml:space="preserve">           </w:t>
      </w:r>
      <w:r>
        <w:rPr>
          <w:rFonts w:hint="eastAsia" w:ascii="仿宋" w:hAnsi="仿宋" w:eastAsia="仿宋" w:cs="仿宋"/>
          <w:sz w:val="24"/>
        </w:rPr>
        <w:t>元（大写：</w:t>
      </w:r>
      <w:r>
        <w:rPr>
          <w:rFonts w:hint="eastAsia" w:ascii="仿宋" w:hAnsi="仿宋" w:eastAsia="仿宋" w:cs="仿宋"/>
          <w:sz w:val="24"/>
          <w:u w:val="single"/>
        </w:rPr>
        <w:t xml:space="preserve">                 </w:t>
      </w:r>
      <w:r>
        <w:rPr>
          <w:rFonts w:hint="eastAsia" w:ascii="仿宋" w:hAnsi="仿宋" w:eastAsia="仿宋" w:cs="仿宋"/>
          <w:sz w:val="24"/>
        </w:rPr>
        <w:t>元人民币）。</w:t>
      </w:r>
    </w:p>
    <w:p>
      <w:pPr>
        <w:spacing w:line="560" w:lineRule="exact"/>
        <w:ind w:firstLine="480" w:firstLineChars="200"/>
        <w:rPr>
          <w:rFonts w:ascii="仿宋" w:hAnsi="仿宋" w:eastAsia="仿宋" w:cs="仿宋"/>
          <w:sz w:val="24"/>
          <w:u w:val="single"/>
        </w:rPr>
      </w:pPr>
      <w:r>
        <w:rPr>
          <w:rFonts w:hint="eastAsia" w:ascii="仿宋" w:hAnsi="仿宋" w:eastAsia="仿宋" w:cs="仿宋"/>
          <w:sz w:val="24"/>
        </w:rPr>
        <w:t>价格：</w:t>
      </w:r>
    </w:p>
    <w:tbl>
      <w:tblPr>
        <w:tblStyle w:val="36"/>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1"/>
              <w:spacing w:line="560" w:lineRule="exact"/>
              <w:jc w:val="center"/>
              <w:rPr>
                <w:rFonts w:ascii="仿宋" w:hAnsi="仿宋" w:eastAsia="仿宋" w:cs="仿宋"/>
                <w:color w:val="000000"/>
                <w:kern w:val="2"/>
                <w:sz w:val="24"/>
                <w:szCs w:val="24"/>
              </w:rPr>
            </w:pPr>
            <w:r>
              <w:rPr>
                <w:rFonts w:hint="eastAsia" w:ascii="仿宋" w:hAnsi="仿宋" w:eastAsia="仿宋" w:cs="仿宋"/>
                <w:color w:val="000000"/>
                <w:kern w:val="2"/>
                <w:sz w:val="24"/>
                <w:szCs w:val="24"/>
              </w:rPr>
              <w:t>序号</w:t>
            </w:r>
          </w:p>
        </w:tc>
        <w:tc>
          <w:tcPr>
            <w:tcW w:w="3402" w:type="dxa"/>
            <w:vAlign w:val="center"/>
          </w:tcPr>
          <w:p>
            <w:pPr>
              <w:pStyle w:val="51"/>
              <w:spacing w:line="560" w:lineRule="exact"/>
              <w:ind w:firstLine="200"/>
              <w:jc w:val="center"/>
              <w:rPr>
                <w:rFonts w:ascii="仿宋" w:hAnsi="仿宋" w:eastAsia="仿宋" w:cs="仿宋"/>
                <w:color w:val="000000"/>
                <w:kern w:val="2"/>
                <w:sz w:val="24"/>
                <w:szCs w:val="24"/>
              </w:rPr>
            </w:pPr>
            <w:r>
              <w:rPr>
                <w:rFonts w:hint="eastAsia" w:ascii="仿宋" w:hAnsi="仿宋" w:eastAsia="仿宋" w:cs="仿宋"/>
                <w:color w:val="000000"/>
                <w:kern w:val="2"/>
                <w:sz w:val="24"/>
                <w:szCs w:val="24"/>
              </w:rPr>
              <w:t>产品名称</w:t>
            </w:r>
          </w:p>
        </w:tc>
        <w:tc>
          <w:tcPr>
            <w:tcW w:w="2552" w:type="dxa"/>
            <w:vAlign w:val="center"/>
          </w:tcPr>
          <w:p>
            <w:pPr>
              <w:pStyle w:val="51"/>
              <w:spacing w:line="560" w:lineRule="exact"/>
              <w:jc w:val="center"/>
              <w:rPr>
                <w:rFonts w:ascii="仿宋" w:hAnsi="仿宋" w:eastAsia="仿宋" w:cs="仿宋"/>
                <w:color w:val="000000"/>
                <w:kern w:val="2"/>
                <w:sz w:val="24"/>
                <w:szCs w:val="24"/>
              </w:rPr>
            </w:pPr>
            <w:r>
              <w:rPr>
                <w:rFonts w:hint="eastAsia" w:ascii="仿宋" w:hAnsi="仿宋" w:eastAsia="仿宋" w:cs="仿宋"/>
                <w:color w:val="000000"/>
                <w:kern w:val="2"/>
                <w:sz w:val="24"/>
                <w:szCs w:val="24"/>
              </w:rPr>
              <w:t>产品价格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1"/>
              <w:spacing w:line="560" w:lineRule="exact"/>
              <w:ind w:firstLine="200"/>
              <w:jc w:val="center"/>
              <w:rPr>
                <w:rFonts w:ascii="仿宋" w:hAnsi="仿宋" w:eastAsia="仿宋" w:cs="仿宋"/>
                <w:color w:val="000000"/>
                <w:kern w:val="2"/>
                <w:sz w:val="24"/>
                <w:szCs w:val="24"/>
              </w:rPr>
            </w:pPr>
          </w:p>
        </w:tc>
        <w:tc>
          <w:tcPr>
            <w:tcW w:w="3402" w:type="dxa"/>
            <w:vAlign w:val="center"/>
          </w:tcPr>
          <w:p>
            <w:pPr>
              <w:pStyle w:val="51"/>
              <w:spacing w:line="560" w:lineRule="exact"/>
              <w:ind w:firstLine="200"/>
              <w:jc w:val="center"/>
              <w:rPr>
                <w:rFonts w:ascii="仿宋" w:hAnsi="仿宋" w:eastAsia="仿宋" w:cs="仿宋"/>
                <w:color w:val="000000"/>
                <w:kern w:val="2"/>
                <w:sz w:val="24"/>
                <w:szCs w:val="24"/>
              </w:rPr>
            </w:pPr>
          </w:p>
        </w:tc>
        <w:tc>
          <w:tcPr>
            <w:tcW w:w="2552" w:type="dxa"/>
            <w:vAlign w:val="center"/>
          </w:tcPr>
          <w:p>
            <w:pPr>
              <w:pStyle w:val="51"/>
              <w:spacing w:line="560" w:lineRule="exact"/>
              <w:ind w:firstLine="200"/>
              <w:jc w:val="center"/>
              <w:rPr>
                <w:rFonts w:ascii="仿宋" w:hAnsi="仿宋"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1"/>
              <w:spacing w:line="560" w:lineRule="exact"/>
              <w:ind w:firstLine="200"/>
              <w:jc w:val="center"/>
              <w:rPr>
                <w:rFonts w:ascii="仿宋" w:hAnsi="仿宋" w:eastAsia="仿宋" w:cs="仿宋"/>
                <w:color w:val="000000"/>
                <w:kern w:val="2"/>
                <w:sz w:val="24"/>
                <w:szCs w:val="24"/>
              </w:rPr>
            </w:pPr>
          </w:p>
        </w:tc>
        <w:tc>
          <w:tcPr>
            <w:tcW w:w="3402" w:type="dxa"/>
            <w:vAlign w:val="center"/>
          </w:tcPr>
          <w:p>
            <w:pPr>
              <w:pStyle w:val="51"/>
              <w:spacing w:line="560" w:lineRule="exact"/>
              <w:ind w:firstLine="200"/>
              <w:jc w:val="center"/>
              <w:rPr>
                <w:rFonts w:ascii="仿宋" w:hAnsi="仿宋" w:eastAsia="仿宋" w:cs="仿宋"/>
                <w:color w:val="000000"/>
                <w:kern w:val="2"/>
                <w:sz w:val="24"/>
                <w:szCs w:val="24"/>
              </w:rPr>
            </w:pPr>
          </w:p>
        </w:tc>
        <w:tc>
          <w:tcPr>
            <w:tcW w:w="2552" w:type="dxa"/>
            <w:vAlign w:val="center"/>
          </w:tcPr>
          <w:p>
            <w:pPr>
              <w:pStyle w:val="51"/>
              <w:spacing w:line="560" w:lineRule="exact"/>
              <w:ind w:firstLine="200"/>
              <w:jc w:val="center"/>
              <w:rPr>
                <w:rFonts w:ascii="仿宋" w:hAnsi="仿宋"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1"/>
              <w:spacing w:line="560" w:lineRule="exact"/>
              <w:ind w:firstLine="200"/>
              <w:jc w:val="center"/>
              <w:rPr>
                <w:rFonts w:ascii="仿宋" w:hAnsi="仿宋" w:eastAsia="仿宋" w:cs="仿宋"/>
                <w:color w:val="000000"/>
                <w:kern w:val="2"/>
                <w:sz w:val="24"/>
                <w:szCs w:val="24"/>
              </w:rPr>
            </w:pPr>
          </w:p>
        </w:tc>
        <w:tc>
          <w:tcPr>
            <w:tcW w:w="3402" w:type="dxa"/>
            <w:vAlign w:val="center"/>
          </w:tcPr>
          <w:p>
            <w:pPr>
              <w:pStyle w:val="51"/>
              <w:spacing w:line="560" w:lineRule="exact"/>
              <w:ind w:firstLine="200"/>
              <w:jc w:val="center"/>
              <w:rPr>
                <w:rFonts w:ascii="仿宋" w:hAnsi="仿宋" w:eastAsia="仿宋" w:cs="仿宋"/>
                <w:color w:val="000000"/>
                <w:kern w:val="2"/>
                <w:sz w:val="24"/>
                <w:szCs w:val="24"/>
              </w:rPr>
            </w:pPr>
          </w:p>
        </w:tc>
        <w:tc>
          <w:tcPr>
            <w:tcW w:w="2552" w:type="dxa"/>
            <w:vAlign w:val="center"/>
          </w:tcPr>
          <w:p>
            <w:pPr>
              <w:pStyle w:val="51"/>
              <w:spacing w:line="560" w:lineRule="exact"/>
              <w:ind w:firstLine="200"/>
              <w:jc w:val="center"/>
              <w:rPr>
                <w:rFonts w:ascii="仿宋" w:hAnsi="仿宋"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1"/>
              <w:spacing w:line="560" w:lineRule="exact"/>
              <w:ind w:firstLine="200"/>
              <w:jc w:val="center"/>
              <w:rPr>
                <w:rFonts w:ascii="仿宋" w:hAnsi="仿宋" w:eastAsia="仿宋" w:cs="仿宋"/>
                <w:color w:val="000000"/>
                <w:kern w:val="2"/>
                <w:sz w:val="24"/>
                <w:szCs w:val="24"/>
              </w:rPr>
            </w:pPr>
          </w:p>
        </w:tc>
        <w:tc>
          <w:tcPr>
            <w:tcW w:w="3402" w:type="dxa"/>
            <w:vAlign w:val="center"/>
          </w:tcPr>
          <w:p>
            <w:pPr>
              <w:pStyle w:val="51"/>
              <w:spacing w:line="560" w:lineRule="exact"/>
              <w:ind w:firstLine="200"/>
              <w:jc w:val="center"/>
              <w:rPr>
                <w:rFonts w:ascii="仿宋" w:hAnsi="仿宋" w:eastAsia="仿宋" w:cs="仿宋"/>
                <w:color w:val="000000"/>
                <w:kern w:val="2"/>
                <w:sz w:val="24"/>
                <w:szCs w:val="24"/>
              </w:rPr>
            </w:pPr>
          </w:p>
        </w:tc>
        <w:tc>
          <w:tcPr>
            <w:tcW w:w="2552" w:type="dxa"/>
            <w:vAlign w:val="center"/>
          </w:tcPr>
          <w:p>
            <w:pPr>
              <w:pStyle w:val="51"/>
              <w:spacing w:line="560" w:lineRule="exact"/>
              <w:ind w:firstLine="200"/>
              <w:jc w:val="center"/>
              <w:rPr>
                <w:rFonts w:ascii="仿宋" w:hAnsi="仿宋"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51"/>
              <w:spacing w:line="560" w:lineRule="exact"/>
              <w:ind w:firstLine="200"/>
              <w:jc w:val="center"/>
              <w:rPr>
                <w:rFonts w:ascii="仿宋" w:hAnsi="仿宋" w:eastAsia="仿宋" w:cs="仿宋"/>
                <w:color w:val="000000"/>
                <w:kern w:val="2"/>
                <w:sz w:val="24"/>
                <w:szCs w:val="24"/>
              </w:rPr>
            </w:pPr>
            <w:r>
              <w:rPr>
                <w:rFonts w:hint="eastAsia" w:ascii="仿宋" w:hAnsi="仿宋" w:eastAsia="仿宋" w:cs="仿宋"/>
                <w:color w:val="000000"/>
                <w:kern w:val="2"/>
                <w:sz w:val="24"/>
                <w:szCs w:val="24"/>
              </w:rPr>
              <w:t>总价</w:t>
            </w:r>
          </w:p>
        </w:tc>
        <w:tc>
          <w:tcPr>
            <w:tcW w:w="2552" w:type="dxa"/>
            <w:vAlign w:val="center"/>
          </w:tcPr>
          <w:p>
            <w:pPr>
              <w:pStyle w:val="51"/>
              <w:spacing w:line="560" w:lineRule="exact"/>
              <w:ind w:firstLine="200"/>
              <w:jc w:val="center"/>
              <w:rPr>
                <w:rFonts w:ascii="仿宋" w:hAnsi="仿宋" w:eastAsia="仿宋" w:cs="仿宋"/>
                <w:color w:val="000000"/>
                <w:kern w:val="2"/>
                <w:sz w:val="24"/>
                <w:szCs w:val="24"/>
              </w:rPr>
            </w:pPr>
          </w:p>
        </w:tc>
      </w:tr>
    </w:tbl>
    <w:p>
      <w:pPr>
        <w:spacing w:line="560" w:lineRule="exact"/>
        <w:ind w:firstLine="482" w:firstLineChars="200"/>
        <w:outlineLvl w:val="0"/>
        <w:rPr>
          <w:rFonts w:ascii="仿宋" w:hAnsi="仿宋" w:eastAsia="仿宋" w:cs="仿宋"/>
          <w:b/>
          <w:bCs/>
          <w:sz w:val="24"/>
        </w:rPr>
      </w:pPr>
      <w:bookmarkStart w:id="684" w:name="_Toc30158"/>
      <w:bookmarkStart w:id="685" w:name="_Toc10744"/>
      <w:bookmarkStart w:id="686" w:name="_Toc3654"/>
      <w:bookmarkStart w:id="687" w:name="_Toc1291"/>
      <w:bookmarkStart w:id="688" w:name="_Toc30506"/>
      <w:bookmarkStart w:id="689" w:name="_Toc14993"/>
      <w:bookmarkStart w:id="690" w:name="_Toc26916"/>
      <w:bookmarkStart w:id="691" w:name="_Toc23913"/>
      <w:bookmarkStart w:id="692" w:name="_Toc4771"/>
      <w:r>
        <w:rPr>
          <w:rFonts w:hint="eastAsia" w:ascii="仿宋" w:hAnsi="仿宋" w:eastAsia="仿宋" w:cs="仿宋"/>
          <w:b/>
          <w:bCs/>
          <w:sz w:val="24"/>
        </w:rPr>
        <w:t>1.4 付款方式和发票开具方式</w:t>
      </w:r>
      <w:bookmarkEnd w:id="684"/>
      <w:bookmarkEnd w:id="685"/>
      <w:bookmarkEnd w:id="686"/>
      <w:bookmarkEnd w:id="687"/>
      <w:bookmarkEnd w:id="688"/>
      <w:bookmarkEnd w:id="689"/>
      <w:bookmarkEnd w:id="690"/>
      <w:bookmarkEnd w:id="691"/>
      <w:bookmarkEnd w:id="692"/>
    </w:p>
    <w:p>
      <w:pPr>
        <w:pStyle w:val="16"/>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1.4.1付款方式：详见采购文件要求。</w:t>
      </w:r>
    </w:p>
    <w:p>
      <w:pPr>
        <w:spacing w:line="560" w:lineRule="exact"/>
        <w:ind w:firstLine="480" w:firstLineChars="200"/>
        <w:rPr>
          <w:rFonts w:ascii="仿宋" w:hAnsi="仿宋" w:eastAsia="仿宋" w:cs="仿宋"/>
          <w:sz w:val="24"/>
        </w:rPr>
      </w:pPr>
      <w:r>
        <w:rPr>
          <w:rFonts w:hint="eastAsia" w:ascii="仿宋" w:hAnsi="仿宋" w:eastAsia="仿宋" w:cs="仿宋"/>
          <w:sz w:val="24"/>
        </w:rPr>
        <w:t>1.4.2 发票开具方式：乙方提供发票</w:t>
      </w:r>
    </w:p>
    <w:p>
      <w:pPr>
        <w:spacing w:line="560" w:lineRule="exact"/>
        <w:ind w:firstLine="482" w:firstLineChars="200"/>
        <w:outlineLvl w:val="0"/>
        <w:rPr>
          <w:rFonts w:ascii="仿宋" w:hAnsi="仿宋" w:eastAsia="仿宋" w:cs="仿宋"/>
          <w:b/>
          <w:bCs/>
          <w:sz w:val="24"/>
        </w:rPr>
      </w:pPr>
      <w:bookmarkStart w:id="693" w:name="_Toc31421"/>
      <w:bookmarkStart w:id="694" w:name="_Toc4760"/>
      <w:bookmarkStart w:id="695" w:name="_Toc13989"/>
      <w:bookmarkStart w:id="696" w:name="_Toc12078"/>
      <w:bookmarkStart w:id="697" w:name="_Toc22230"/>
      <w:bookmarkStart w:id="698" w:name="_Toc11108"/>
      <w:bookmarkStart w:id="699" w:name="_Toc3625"/>
      <w:bookmarkStart w:id="700" w:name="_Toc8772"/>
      <w:bookmarkStart w:id="701" w:name="_Toc29562"/>
      <w:r>
        <w:rPr>
          <w:rFonts w:hint="eastAsia" w:ascii="仿宋" w:hAnsi="仿宋" w:eastAsia="仿宋" w:cs="仿宋"/>
          <w:b/>
          <w:bCs/>
          <w:sz w:val="24"/>
        </w:rPr>
        <w:t>1.5 履行期限、地点和方式</w:t>
      </w:r>
      <w:bookmarkEnd w:id="693"/>
      <w:bookmarkEnd w:id="694"/>
      <w:bookmarkEnd w:id="695"/>
      <w:bookmarkEnd w:id="696"/>
      <w:bookmarkEnd w:id="697"/>
      <w:bookmarkEnd w:id="698"/>
      <w:bookmarkEnd w:id="699"/>
      <w:bookmarkEnd w:id="700"/>
      <w:bookmarkEnd w:id="701"/>
    </w:p>
    <w:p>
      <w:pPr>
        <w:spacing w:line="560" w:lineRule="exact"/>
        <w:ind w:firstLine="480" w:firstLineChars="200"/>
        <w:rPr>
          <w:rFonts w:ascii="仿宋" w:hAnsi="仿宋" w:eastAsia="仿宋" w:cs="仿宋"/>
          <w:sz w:val="24"/>
          <w:u w:val="single"/>
        </w:rPr>
      </w:pPr>
      <w:r>
        <w:rPr>
          <w:rFonts w:hint="eastAsia" w:ascii="仿宋" w:hAnsi="仿宋" w:eastAsia="仿宋" w:cs="仿宋"/>
          <w:sz w:val="24"/>
        </w:rPr>
        <w:t>1.5.1 履行期限：</w:t>
      </w:r>
      <w:r>
        <w:rPr>
          <w:rFonts w:hint="eastAsia" w:ascii="仿宋" w:hAnsi="仿宋" w:eastAsia="仿宋" w:cs="仿宋"/>
          <w:sz w:val="24"/>
          <w:u w:val="single"/>
        </w:rPr>
        <w:t xml:space="preserve">  按采购文件要求      </w:t>
      </w:r>
    </w:p>
    <w:p>
      <w:pPr>
        <w:spacing w:line="560" w:lineRule="exact"/>
        <w:ind w:firstLine="480" w:firstLineChars="200"/>
        <w:rPr>
          <w:rFonts w:ascii="仿宋" w:hAnsi="仿宋" w:eastAsia="仿宋" w:cs="仿宋"/>
          <w:b/>
          <w:bCs/>
          <w:sz w:val="24"/>
        </w:rPr>
      </w:pPr>
      <w:r>
        <w:rPr>
          <w:rFonts w:hint="eastAsia" w:ascii="仿宋" w:hAnsi="仿宋" w:eastAsia="仿宋" w:cs="仿宋"/>
          <w:sz w:val="24"/>
        </w:rPr>
        <w:t xml:space="preserve">1.5.2 </w:t>
      </w:r>
      <w:r>
        <w:rPr>
          <w:rFonts w:hint="eastAsia" w:ascii="仿宋" w:hAnsi="仿宋" w:eastAsia="仿宋" w:cs="仿宋"/>
          <w:b/>
          <w:bCs/>
          <w:sz w:val="24"/>
        </w:rPr>
        <w:t>履行地点：采购人指定地点</w:t>
      </w:r>
    </w:p>
    <w:p>
      <w:pPr>
        <w:spacing w:line="560" w:lineRule="exact"/>
        <w:ind w:firstLine="480" w:firstLineChars="200"/>
        <w:rPr>
          <w:rFonts w:ascii="仿宋" w:hAnsi="仿宋" w:eastAsia="仿宋" w:cs="仿宋"/>
          <w:sz w:val="24"/>
        </w:rPr>
      </w:pPr>
      <w:r>
        <w:rPr>
          <w:rFonts w:hint="eastAsia" w:ascii="仿宋" w:hAnsi="仿宋" w:eastAsia="仿宋" w:cs="仿宋"/>
          <w:sz w:val="24"/>
        </w:rPr>
        <w:t>1.5.3 履行方式：现场验收。</w:t>
      </w:r>
    </w:p>
    <w:p>
      <w:pPr>
        <w:spacing w:line="560" w:lineRule="exact"/>
        <w:ind w:firstLine="482" w:firstLineChars="200"/>
        <w:outlineLvl w:val="0"/>
        <w:rPr>
          <w:rFonts w:ascii="仿宋" w:hAnsi="仿宋" w:eastAsia="仿宋" w:cs="仿宋"/>
          <w:sz w:val="24"/>
          <w:u w:val="single"/>
        </w:rPr>
      </w:pPr>
      <w:bookmarkStart w:id="702" w:name="_Toc2375"/>
      <w:bookmarkStart w:id="703" w:name="_Toc5623"/>
      <w:bookmarkStart w:id="704" w:name="_Toc5698"/>
      <w:bookmarkStart w:id="705" w:name="_Toc19013"/>
      <w:bookmarkStart w:id="706" w:name="_Toc24662"/>
      <w:bookmarkStart w:id="707" w:name="_Toc22489"/>
      <w:bookmarkStart w:id="708" w:name="_Toc8586"/>
      <w:bookmarkStart w:id="709" w:name="_Toc3079"/>
      <w:bookmarkStart w:id="710" w:name="_Toc6274"/>
      <w:r>
        <w:rPr>
          <w:rFonts w:hint="eastAsia" w:ascii="仿宋" w:hAnsi="仿宋" w:eastAsia="仿宋" w:cs="仿宋"/>
          <w:b/>
          <w:bCs/>
          <w:sz w:val="24"/>
        </w:rPr>
        <w:t>1.6 违约责任</w:t>
      </w:r>
      <w:bookmarkEnd w:id="702"/>
      <w:bookmarkEnd w:id="703"/>
      <w:bookmarkEnd w:id="704"/>
      <w:bookmarkEnd w:id="705"/>
      <w:bookmarkEnd w:id="706"/>
      <w:bookmarkEnd w:id="707"/>
      <w:bookmarkEnd w:id="708"/>
      <w:bookmarkEnd w:id="709"/>
      <w:bookmarkEnd w:id="710"/>
    </w:p>
    <w:p>
      <w:pPr>
        <w:spacing w:line="560" w:lineRule="exact"/>
        <w:ind w:firstLine="480" w:firstLineChars="200"/>
        <w:rPr>
          <w:rFonts w:ascii="仿宋" w:hAnsi="仿宋" w:eastAsia="仿宋" w:cs="仿宋"/>
          <w:sz w:val="24"/>
        </w:rPr>
      </w:pPr>
      <w:r>
        <w:rPr>
          <w:rFonts w:hint="eastAsia" w:ascii="仿宋" w:hAnsi="仿宋" w:eastAsia="仿宋" w:cs="仿宋"/>
          <w:sz w:val="24"/>
        </w:rPr>
        <w:t>1.6.1 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sz w:val="24"/>
          <w:u w:val="single"/>
        </w:rPr>
        <w:t xml:space="preserve">     </w:t>
      </w:r>
      <w:r>
        <w:rPr>
          <w:rFonts w:hint="eastAsia" w:ascii="仿宋" w:hAnsi="仿宋" w:eastAsia="仿宋" w:cs="仿宋"/>
          <w:sz w:val="24"/>
        </w:rPr>
        <w:t>%计算，最高限额为本合同总价的</w:t>
      </w:r>
      <w:r>
        <w:rPr>
          <w:rFonts w:hint="eastAsia" w:ascii="仿宋" w:hAnsi="仿宋" w:eastAsia="仿宋" w:cs="仿宋"/>
          <w:sz w:val="24"/>
          <w:u w:val="single"/>
        </w:rPr>
        <w:t xml:space="preserve">      </w:t>
      </w:r>
      <w:r>
        <w:rPr>
          <w:rFonts w:hint="eastAsia" w:ascii="仿宋" w:hAnsi="仿宋" w:eastAsia="仿宋" w:cs="仿宋"/>
          <w:sz w:val="24"/>
        </w:rPr>
        <w:t>%；迟延履行的违约金计算数额达到前述最高限额之日起，甲方有权在要求乙方支付违约金的同时，书面通知乙方解除本合同；</w:t>
      </w:r>
    </w:p>
    <w:p>
      <w:pPr>
        <w:spacing w:line="560" w:lineRule="exact"/>
        <w:ind w:firstLine="480" w:firstLineChars="200"/>
        <w:rPr>
          <w:rFonts w:ascii="仿宋" w:hAnsi="仿宋" w:eastAsia="仿宋" w:cs="仿宋"/>
          <w:sz w:val="24"/>
        </w:rPr>
      </w:pPr>
      <w:r>
        <w:rPr>
          <w:rFonts w:hint="eastAsia" w:ascii="仿宋" w:hAnsi="仿宋" w:eastAsia="仿宋" w:cs="仿宋"/>
          <w:sz w:val="24"/>
        </w:rPr>
        <w:t>1.6.2 除不可抗力外，如果甲方没有按照本合同约定的付款方式付款，那么乙方可要求甲方支付违约金，违约金按每迟延付款一日的应付而未付款的</w:t>
      </w:r>
      <w:r>
        <w:rPr>
          <w:rFonts w:hint="eastAsia" w:ascii="仿宋" w:hAnsi="仿宋" w:eastAsia="仿宋" w:cs="仿宋"/>
          <w:sz w:val="24"/>
          <w:u w:val="single"/>
        </w:rPr>
        <w:t xml:space="preserve">    </w:t>
      </w:r>
      <w:r>
        <w:rPr>
          <w:rFonts w:hint="eastAsia" w:ascii="仿宋" w:hAnsi="仿宋" w:eastAsia="仿宋" w:cs="仿宋"/>
          <w:sz w:val="24"/>
        </w:rPr>
        <w:t>%计算，最高限额为本合同总价的</w:t>
      </w:r>
      <w:r>
        <w:rPr>
          <w:rFonts w:hint="eastAsia" w:ascii="仿宋" w:hAnsi="仿宋" w:eastAsia="仿宋" w:cs="仿宋"/>
          <w:sz w:val="24"/>
          <w:u w:val="single"/>
        </w:rPr>
        <w:t xml:space="preserve">    </w:t>
      </w:r>
      <w:r>
        <w:rPr>
          <w:rFonts w:hint="eastAsia" w:ascii="仿宋" w:hAnsi="仿宋" w:eastAsia="仿宋" w:cs="仿宋"/>
          <w:sz w:val="24"/>
        </w:rPr>
        <w:t>%；迟延付款的违约金计算数额达到前述最高限额之日起，乙方有权在要求甲方支付违约金的同时，书面通知甲方解除本合同；</w:t>
      </w:r>
    </w:p>
    <w:p>
      <w:pPr>
        <w:spacing w:line="560" w:lineRule="exact"/>
        <w:ind w:firstLine="480" w:firstLineChars="200"/>
        <w:rPr>
          <w:rFonts w:ascii="仿宋" w:hAnsi="仿宋" w:eastAsia="仿宋" w:cs="仿宋"/>
          <w:sz w:val="24"/>
        </w:rPr>
      </w:pPr>
      <w:r>
        <w:rPr>
          <w:rFonts w:hint="eastAsia" w:ascii="仿宋" w:hAnsi="仿宋" w:eastAsia="仿宋" w:cs="仿宋"/>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仿宋" w:hAnsi="仿宋" w:eastAsia="仿宋" w:cs="仿宋"/>
          <w:sz w:val="24"/>
        </w:rPr>
      </w:pPr>
      <w:r>
        <w:rPr>
          <w:rFonts w:hint="eastAsia" w:ascii="仿宋" w:hAnsi="仿宋" w:eastAsia="仿宋" w:cs="仿宋"/>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仿宋" w:hAnsi="仿宋" w:eastAsia="仿宋" w:cs="仿宋"/>
          <w:sz w:val="24"/>
        </w:rPr>
      </w:pPr>
      <w:r>
        <w:rPr>
          <w:rFonts w:hint="eastAsia" w:ascii="仿宋" w:hAnsi="仿宋" w:eastAsia="仿宋" w:cs="仿宋"/>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仿宋" w:hAnsi="仿宋" w:eastAsia="仿宋" w:cs="仿宋"/>
          <w:sz w:val="24"/>
        </w:rPr>
      </w:pPr>
      <w:r>
        <w:rPr>
          <w:rFonts w:hint="eastAsia" w:ascii="仿宋" w:hAnsi="仿宋" w:eastAsia="仿宋" w:cs="仿宋"/>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仿宋" w:hAnsi="仿宋" w:eastAsia="仿宋" w:cs="仿宋"/>
          <w:b/>
          <w:bCs/>
          <w:sz w:val="24"/>
        </w:rPr>
      </w:pPr>
      <w:bookmarkStart w:id="711" w:name="_Toc31206"/>
      <w:bookmarkStart w:id="712" w:name="_Toc2030"/>
      <w:bookmarkStart w:id="713" w:name="_Toc799"/>
      <w:bookmarkStart w:id="714" w:name="_Toc26807"/>
      <w:bookmarkStart w:id="715" w:name="_Toc30329"/>
      <w:bookmarkStart w:id="716" w:name="_Toc32454"/>
      <w:bookmarkStart w:id="717" w:name="_Toc9497"/>
      <w:bookmarkStart w:id="718" w:name="_Toc18683"/>
      <w:bookmarkStart w:id="719" w:name="_Toc9399"/>
      <w:r>
        <w:rPr>
          <w:rFonts w:hint="eastAsia" w:ascii="仿宋" w:hAnsi="仿宋" w:eastAsia="仿宋" w:cs="仿宋"/>
          <w:b/>
          <w:bCs/>
          <w:sz w:val="24"/>
        </w:rPr>
        <w:t>1.7 合同争议的解决</w:t>
      </w:r>
      <w:bookmarkEnd w:id="711"/>
      <w:bookmarkEnd w:id="712"/>
      <w:bookmarkEnd w:id="713"/>
      <w:bookmarkEnd w:id="714"/>
      <w:bookmarkEnd w:id="715"/>
      <w:bookmarkEnd w:id="716"/>
      <w:bookmarkEnd w:id="717"/>
      <w:bookmarkEnd w:id="718"/>
      <w:bookmarkEnd w:id="719"/>
    </w:p>
    <w:p>
      <w:pPr>
        <w:spacing w:line="560" w:lineRule="exact"/>
        <w:ind w:firstLine="480" w:firstLineChars="200"/>
        <w:rPr>
          <w:rFonts w:ascii="仿宋" w:hAnsi="仿宋" w:eastAsia="仿宋" w:cs="仿宋"/>
          <w:sz w:val="24"/>
        </w:rPr>
      </w:pPr>
      <w:r>
        <w:rPr>
          <w:rFonts w:hint="eastAsia" w:ascii="仿宋" w:hAnsi="仿宋" w:eastAsia="仿宋" w:cs="仿宋"/>
          <w:sz w:val="24"/>
        </w:rPr>
        <w:t>本合同履行过程中发生的任何争议，双方当事人均可通过和解或者调解解决；不愿和解、调解或者和解、调解不成的，可以选择下列第</w:t>
      </w:r>
      <w:r>
        <w:rPr>
          <w:rFonts w:hint="eastAsia" w:ascii="仿宋" w:hAnsi="仿宋" w:eastAsia="仿宋" w:cs="仿宋"/>
          <w:sz w:val="24"/>
          <w:u w:val="single"/>
        </w:rPr>
        <w:t xml:space="preserve"> 2 </w:t>
      </w:r>
      <w:r>
        <w:rPr>
          <w:rFonts w:hint="eastAsia" w:ascii="仿宋" w:hAnsi="仿宋" w:eastAsia="仿宋" w:cs="仿宋"/>
          <w:sz w:val="24"/>
        </w:rPr>
        <w:t>种方式解决：</w:t>
      </w:r>
    </w:p>
    <w:p>
      <w:pPr>
        <w:spacing w:line="560" w:lineRule="exact"/>
        <w:ind w:firstLine="480" w:firstLineChars="200"/>
        <w:rPr>
          <w:rFonts w:ascii="仿宋" w:hAnsi="仿宋" w:eastAsia="仿宋" w:cs="仿宋"/>
          <w:sz w:val="24"/>
        </w:rPr>
      </w:pPr>
      <w:r>
        <w:rPr>
          <w:rFonts w:hint="eastAsia" w:ascii="仿宋" w:hAnsi="仿宋" w:eastAsia="仿宋" w:cs="仿宋"/>
          <w:sz w:val="24"/>
        </w:rPr>
        <w:t>1.7.1 将争议提交</w:t>
      </w:r>
      <w:r>
        <w:rPr>
          <w:rFonts w:hint="eastAsia" w:ascii="仿宋" w:hAnsi="仿宋" w:eastAsia="仿宋" w:cs="仿宋"/>
          <w:sz w:val="24"/>
          <w:u w:val="single"/>
        </w:rPr>
        <w:t xml:space="preserve">              </w:t>
      </w:r>
      <w:r>
        <w:rPr>
          <w:rFonts w:hint="eastAsia" w:ascii="仿宋" w:hAnsi="仿宋" w:eastAsia="仿宋" w:cs="仿宋"/>
          <w:sz w:val="24"/>
        </w:rPr>
        <w:t>仲裁委员会依申请仲裁时其现行有效的仲裁规则裁决；</w:t>
      </w:r>
    </w:p>
    <w:p>
      <w:pPr>
        <w:spacing w:line="560" w:lineRule="exact"/>
        <w:ind w:firstLine="480" w:firstLineChars="200"/>
        <w:rPr>
          <w:rFonts w:ascii="仿宋" w:hAnsi="仿宋" w:eastAsia="仿宋" w:cs="仿宋"/>
          <w:sz w:val="24"/>
        </w:rPr>
      </w:pPr>
      <w:r>
        <w:rPr>
          <w:rFonts w:hint="eastAsia" w:ascii="仿宋" w:hAnsi="仿宋" w:eastAsia="仿宋" w:cs="仿宋"/>
          <w:sz w:val="24"/>
        </w:rPr>
        <w:t>1.7.2 向</w:t>
      </w:r>
      <w:r>
        <w:rPr>
          <w:rFonts w:hint="eastAsia" w:ascii="仿宋" w:hAnsi="仿宋" w:eastAsia="仿宋" w:cs="仿宋"/>
          <w:sz w:val="24"/>
          <w:u w:val="single"/>
        </w:rPr>
        <w:t>吐鲁番市</w:t>
      </w:r>
      <w:r>
        <w:rPr>
          <w:rFonts w:hint="eastAsia" w:ascii="仿宋" w:hAnsi="仿宋" w:eastAsia="仿宋" w:cs="仿宋"/>
          <w:sz w:val="24"/>
        </w:rPr>
        <w:t>人民法院起诉。</w:t>
      </w:r>
    </w:p>
    <w:p>
      <w:pPr>
        <w:spacing w:line="560" w:lineRule="exact"/>
        <w:ind w:firstLine="482" w:firstLineChars="200"/>
        <w:outlineLvl w:val="0"/>
        <w:rPr>
          <w:rFonts w:ascii="仿宋" w:hAnsi="仿宋" w:eastAsia="仿宋" w:cs="仿宋"/>
          <w:b/>
          <w:bCs/>
          <w:sz w:val="24"/>
        </w:rPr>
      </w:pPr>
      <w:bookmarkStart w:id="720" w:name="_Toc20437"/>
      <w:bookmarkStart w:id="721" w:name="_Toc16417"/>
      <w:bookmarkStart w:id="722" w:name="_Toc30135"/>
      <w:bookmarkStart w:id="723" w:name="_Toc23784"/>
      <w:bookmarkStart w:id="724" w:name="_Toc12464"/>
      <w:bookmarkStart w:id="725" w:name="_Toc12273"/>
      <w:bookmarkStart w:id="726" w:name="_Toc26227"/>
      <w:bookmarkStart w:id="727" w:name="_Toc15827"/>
      <w:bookmarkStart w:id="728" w:name="_Toc22625"/>
      <w:r>
        <w:rPr>
          <w:rFonts w:hint="eastAsia" w:ascii="仿宋" w:hAnsi="仿宋" w:eastAsia="仿宋" w:cs="仿宋"/>
          <w:b/>
          <w:bCs/>
          <w:sz w:val="24"/>
        </w:rPr>
        <w:t>1.8 合同生效</w:t>
      </w:r>
      <w:bookmarkEnd w:id="720"/>
      <w:bookmarkEnd w:id="721"/>
      <w:bookmarkEnd w:id="722"/>
      <w:bookmarkEnd w:id="723"/>
      <w:bookmarkEnd w:id="724"/>
      <w:bookmarkEnd w:id="725"/>
      <w:bookmarkEnd w:id="726"/>
      <w:bookmarkEnd w:id="727"/>
      <w:bookmarkEnd w:id="728"/>
    </w:p>
    <w:p>
      <w:pPr>
        <w:spacing w:line="560" w:lineRule="exact"/>
        <w:ind w:firstLine="480" w:firstLineChars="200"/>
        <w:rPr>
          <w:rFonts w:ascii="仿宋" w:hAnsi="仿宋" w:eastAsia="仿宋" w:cs="仿宋"/>
          <w:b/>
          <w:bCs/>
          <w:sz w:val="24"/>
        </w:rPr>
      </w:pPr>
      <w:r>
        <w:rPr>
          <w:rFonts w:hint="eastAsia" w:ascii="仿宋" w:hAnsi="仿宋" w:eastAsia="仿宋" w:cs="仿宋"/>
          <w:sz w:val="24"/>
        </w:rPr>
        <w:t>本合同自双方当事人盖章或者签字时生效。</w:t>
      </w:r>
    </w:p>
    <w:p>
      <w:pPr>
        <w:autoSpaceDE w:val="0"/>
        <w:autoSpaceDN w:val="0"/>
        <w:adjustRightInd w:val="0"/>
        <w:spacing w:line="560" w:lineRule="exact"/>
        <w:rPr>
          <w:rFonts w:ascii="仿宋" w:hAnsi="仿宋" w:eastAsia="仿宋" w:cs="仿宋"/>
          <w:sz w:val="24"/>
          <w:lang w:val="zh-CN"/>
        </w:rPr>
      </w:pPr>
    </w:p>
    <w:p>
      <w:pPr>
        <w:autoSpaceDE w:val="0"/>
        <w:autoSpaceDN w:val="0"/>
        <w:adjustRightInd w:val="0"/>
        <w:spacing w:line="560" w:lineRule="exact"/>
        <w:rPr>
          <w:rFonts w:ascii="仿宋" w:hAnsi="仿宋" w:eastAsia="仿宋" w:cs="仿宋"/>
          <w:sz w:val="24"/>
          <w:lang w:val="zh-CN"/>
        </w:rPr>
      </w:pPr>
      <w:r>
        <w:rPr>
          <w:rFonts w:hint="eastAsia" w:ascii="仿宋" w:hAnsi="仿宋" w:eastAsia="仿宋" w:cs="仿宋"/>
          <w:b/>
          <w:bCs/>
          <w:sz w:val="24"/>
          <w:lang w:val="zh-CN"/>
        </w:rPr>
        <w:t>甲方</w:t>
      </w:r>
      <w:r>
        <w:rPr>
          <w:rFonts w:hint="eastAsia" w:ascii="仿宋" w:hAnsi="仿宋" w:eastAsia="仿宋" w:cs="仿宋"/>
          <w:sz w:val="24"/>
          <w:lang w:val="zh-CN"/>
        </w:rPr>
        <w:t xml:space="preserve">：                             </w:t>
      </w:r>
      <w:r>
        <w:rPr>
          <w:rFonts w:hint="eastAsia" w:ascii="仿宋" w:hAnsi="仿宋" w:eastAsia="仿宋" w:cs="仿宋"/>
          <w:b/>
          <w:bCs/>
          <w:sz w:val="24"/>
          <w:lang w:val="zh-CN"/>
        </w:rPr>
        <w:t xml:space="preserve">      乙方</w:t>
      </w:r>
      <w:r>
        <w:rPr>
          <w:rFonts w:hint="eastAsia" w:ascii="仿宋" w:hAnsi="仿宋" w:eastAsia="仿宋" w:cs="仿宋"/>
          <w:sz w:val="24"/>
          <w:lang w:val="zh-CN"/>
        </w:rPr>
        <w:t>：</w:t>
      </w:r>
    </w:p>
    <w:p>
      <w:pPr>
        <w:autoSpaceDE w:val="0"/>
        <w:autoSpaceDN w:val="0"/>
        <w:adjustRightInd w:val="0"/>
        <w:spacing w:line="560" w:lineRule="exact"/>
        <w:ind w:left="5040" w:hanging="5040" w:hangingChars="2100"/>
        <w:rPr>
          <w:rFonts w:ascii="仿宋" w:hAnsi="仿宋" w:eastAsia="仿宋" w:cs="仿宋"/>
          <w:sz w:val="24"/>
          <w:lang w:val="zh-CN"/>
        </w:rPr>
      </w:pPr>
      <w:r>
        <w:rPr>
          <w:rFonts w:hint="eastAsia" w:ascii="仿宋" w:hAnsi="仿宋" w:eastAsia="仿宋" w:cs="仿宋"/>
          <w:sz w:val="24"/>
          <w:lang w:val="zh-CN"/>
        </w:rPr>
        <w:t>统一社会信用代码：                        统一社会信用代码或身份证号码：</w:t>
      </w:r>
    </w:p>
    <w:p>
      <w:pPr>
        <w:autoSpaceDE w:val="0"/>
        <w:autoSpaceDN w:val="0"/>
        <w:adjustRightInd w:val="0"/>
        <w:spacing w:line="560" w:lineRule="exact"/>
        <w:rPr>
          <w:rFonts w:ascii="仿宋" w:hAnsi="仿宋" w:eastAsia="仿宋" w:cs="仿宋"/>
          <w:sz w:val="24"/>
          <w:lang w:val="zh-CN"/>
        </w:rPr>
      </w:pPr>
      <w:r>
        <w:rPr>
          <w:rFonts w:hint="eastAsia" w:ascii="仿宋" w:hAnsi="仿宋" w:eastAsia="仿宋" w:cs="仿宋"/>
          <w:sz w:val="24"/>
          <w:lang w:val="zh-CN"/>
        </w:rPr>
        <w:t>住所：                                   住所：</w:t>
      </w:r>
    </w:p>
    <w:p>
      <w:pPr>
        <w:autoSpaceDE w:val="0"/>
        <w:autoSpaceDN w:val="0"/>
        <w:adjustRightInd w:val="0"/>
        <w:spacing w:line="560" w:lineRule="exact"/>
        <w:rPr>
          <w:rFonts w:ascii="仿宋" w:hAnsi="仿宋" w:eastAsia="仿宋" w:cs="仿宋"/>
          <w:sz w:val="24"/>
          <w:lang w:val="zh-CN"/>
        </w:rPr>
      </w:pPr>
      <w:r>
        <w:rPr>
          <w:rFonts w:hint="eastAsia" w:ascii="仿宋" w:hAnsi="仿宋" w:eastAsia="仿宋" w:cs="仿宋"/>
          <w:sz w:val="24"/>
          <w:lang w:val="zh-CN"/>
        </w:rPr>
        <w:t>法定代表人或                             法定代表人</w:t>
      </w:r>
    </w:p>
    <w:p>
      <w:pPr>
        <w:autoSpaceDE w:val="0"/>
        <w:autoSpaceDN w:val="0"/>
        <w:adjustRightInd w:val="0"/>
        <w:spacing w:line="560" w:lineRule="exact"/>
        <w:rPr>
          <w:rFonts w:ascii="仿宋" w:hAnsi="仿宋" w:eastAsia="仿宋" w:cs="仿宋"/>
          <w:sz w:val="24"/>
          <w:lang w:val="zh-CN"/>
        </w:rPr>
      </w:pPr>
      <w:r>
        <w:rPr>
          <w:rFonts w:hint="eastAsia" w:ascii="仿宋" w:hAnsi="仿宋" w:eastAsia="仿宋" w:cs="仿宋"/>
          <w:sz w:val="24"/>
          <w:lang w:val="zh-CN"/>
        </w:rPr>
        <w:t xml:space="preserve">授权代表（签字）：                        或授权代表（签字）: </w:t>
      </w:r>
    </w:p>
    <w:p>
      <w:pPr>
        <w:autoSpaceDE w:val="0"/>
        <w:autoSpaceDN w:val="0"/>
        <w:adjustRightInd w:val="0"/>
        <w:spacing w:line="560" w:lineRule="exact"/>
        <w:rPr>
          <w:rFonts w:ascii="仿宋" w:hAnsi="仿宋" w:eastAsia="仿宋" w:cs="仿宋"/>
          <w:sz w:val="24"/>
          <w:lang w:val="zh-CN"/>
        </w:rPr>
      </w:pPr>
      <w:r>
        <w:rPr>
          <w:rFonts w:hint="eastAsia" w:ascii="仿宋" w:hAnsi="仿宋" w:eastAsia="仿宋" w:cs="仿宋"/>
          <w:sz w:val="24"/>
          <w:lang w:val="zh-CN"/>
        </w:rPr>
        <w:t>联系人：                                 联系人：</w:t>
      </w:r>
    </w:p>
    <w:p>
      <w:pPr>
        <w:autoSpaceDE w:val="0"/>
        <w:autoSpaceDN w:val="0"/>
        <w:adjustRightInd w:val="0"/>
        <w:spacing w:line="560" w:lineRule="exact"/>
        <w:rPr>
          <w:rFonts w:ascii="仿宋" w:hAnsi="仿宋" w:eastAsia="仿宋" w:cs="仿宋"/>
          <w:sz w:val="24"/>
          <w:lang w:val="zh-CN"/>
        </w:rPr>
      </w:pPr>
      <w:r>
        <w:rPr>
          <w:rFonts w:hint="eastAsia" w:ascii="仿宋" w:hAnsi="仿宋" w:eastAsia="仿宋" w:cs="仿宋"/>
          <w:sz w:val="24"/>
          <w:lang w:val="zh-CN"/>
        </w:rPr>
        <w:t>约定送达地址：                           约定送达地址：</w:t>
      </w:r>
    </w:p>
    <w:p>
      <w:pPr>
        <w:autoSpaceDE w:val="0"/>
        <w:autoSpaceDN w:val="0"/>
        <w:adjustRightInd w:val="0"/>
        <w:spacing w:line="560" w:lineRule="exact"/>
        <w:rPr>
          <w:rFonts w:ascii="仿宋" w:hAnsi="仿宋" w:eastAsia="仿宋" w:cs="仿宋"/>
          <w:sz w:val="24"/>
          <w:lang w:val="zh-CN"/>
        </w:rPr>
      </w:pPr>
      <w:r>
        <w:rPr>
          <w:rFonts w:hint="eastAsia" w:ascii="仿宋" w:hAnsi="仿宋" w:eastAsia="仿宋" w:cs="仿宋"/>
          <w:sz w:val="24"/>
          <w:lang w:val="zh-CN"/>
        </w:rPr>
        <w:t>邮政编码：                               邮政编码：</w:t>
      </w:r>
    </w:p>
    <w:p>
      <w:pPr>
        <w:autoSpaceDE w:val="0"/>
        <w:autoSpaceDN w:val="0"/>
        <w:adjustRightInd w:val="0"/>
        <w:spacing w:line="560" w:lineRule="exact"/>
        <w:rPr>
          <w:rFonts w:ascii="仿宋" w:hAnsi="仿宋" w:eastAsia="仿宋" w:cs="仿宋"/>
          <w:sz w:val="24"/>
          <w:lang w:val="zh-CN"/>
        </w:rPr>
      </w:pPr>
      <w:r>
        <w:rPr>
          <w:rFonts w:hint="eastAsia" w:ascii="仿宋" w:hAnsi="仿宋" w:eastAsia="仿宋" w:cs="仿宋"/>
          <w:sz w:val="24"/>
          <w:lang w:val="zh-CN"/>
        </w:rPr>
        <w:t xml:space="preserve">电话:                                    电话: </w:t>
      </w:r>
    </w:p>
    <w:p>
      <w:pPr>
        <w:autoSpaceDE w:val="0"/>
        <w:autoSpaceDN w:val="0"/>
        <w:adjustRightInd w:val="0"/>
        <w:spacing w:line="560" w:lineRule="exact"/>
        <w:rPr>
          <w:rFonts w:ascii="仿宋" w:hAnsi="仿宋" w:eastAsia="仿宋" w:cs="仿宋"/>
          <w:sz w:val="24"/>
          <w:lang w:val="zh-CN"/>
        </w:rPr>
      </w:pPr>
      <w:r>
        <w:rPr>
          <w:rFonts w:hint="eastAsia" w:ascii="仿宋" w:hAnsi="仿宋" w:eastAsia="仿宋" w:cs="仿宋"/>
          <w:sz w:val="24"/>
          <w:lang w:val="zh-CN"/>
        </w:rPr>
        <w:t>传真:                                    传真:</w:t>
      </w:r>
    </w:p>
    <w:p>
      <w:pPr>
        <w:autoSpaceDE w:val="0"/>
        <w:autoSpaceDN w:val="0"/>
        <w:adjustRightInd w:val="0"/>
        <w:spacing w:line="560" w:lineRule="exact"/>
        <w:rPr>
          <w:rFonts w:ascii="仿宋" w:hAnsi="仿宋" w:eastAsia="仿宋" w:cs="仿宋"/>
          <w:sz w:val="24"/>
        </w:rPr>
      </w:pPr>
      <w:r>
        <w:rPr>
          <w:rFonts w:hint="eastAsia" w:ascii="仿宋" w:hAnsi="仿宋" w:eastAsia="仿宋" w:cs="仿宋"/>
          <w:sz w:val="24"/>
          <w:lang w:val="zh-CN"/>
        </w:rPr>
        <w:t>电子邮箱：                               电子邮箱：</w:t>
      </w:r>
    </w:p>
    <w:p>
      <w:pPr>
        <w:autoSpaceDE w:val="0"/>
        <w:autoSpaceDN w:val="0"/>
        <w:adjustRightInd w:val="0"/>
        <w:spacing w:line="560" w:lineRule="exact"/>
        <w:rPr>
          <w:rFonts w:ascii="仿宋" w:hAnsi="仿宋" w:eastAsia="仿宋" w:cs="仿宋"/>
          <w:sz w:val="24"/>
        </w:rPr>
      </w:pPr>
      <w:r>
        <w:rPr>
          <w:rFonts w:hint="eastAsia" w:ascii="仿宋" w:hAnsi="仿宋" w:eastAsia="仿宋" w:cs="仿宋"/>
          <w:sz w:val="24"/>
        </w:rPr>
        <w:t xml:space="preserve">开户银行：                               开户银行： </w:t>
      </w:r>
    </w:p>
    <w:p>
      <w:pPr>
        <w:autoSpaceDE w:val="0"/>
        <w:autoSpaceDN w:val="0"/>
        <w:adjustRightInd w:val="0"/>
        <w:spacing w:line="560" w:lineRule="exact"/>
        <w:rPr>
          <w:rFonts w:ascii="仿宋" w:hAnsi="仿宋" w:eastAsia="仿宋" w:cs="仿宋"/>
          <w:sz w:val="24"/>
        </w:rPr>
      </w:pPr>
      <w:r>
        <w:rPr>
          <w:rFonts w:hint="eastAsia" w:ascii="仿宋" w:hAnsi="仿宋" w:eastAsia="仿宋" w:cs="仿宋"/>
          <w:sz w:val="24"/>
        </w:rPr>
        <w:t xml:space="preserve">开户名称：                               开户名称： </w:t>
      </w:r>
    </w:p>
    <w:p>
      <w:pPr>
        <w:autoSpaceDE w:val="0"/>
        <w:autoSpaceDN w:val="0"/>
        <w:adjustRightInd w:val="0"/>
        <w:spacing w:line="560" w:lineRule="exact"/>
        <w:rPr>
          <w:rFonts w:ascii="仿宋" w:hAnsi="仿宋" w:eastAsia="仿宋" w:cs="仿宋"/>
          <w:sz w:val="24"/>
        </w:rPr>
      </w:pPr>
      <w:r>
        <w:rPr>
          <w:rFonts w:hint="eastAsia" w:ascii="仿宋" w:hAnsi="仿宋" w:eastAsia="仿宋" w:cs="仿宋"/>
          <w:sz w:val="24"/>
        </w:rPr>
        <w:t>开户账号：</w:t>
      </w:r>
      <w:r>
        <w:rPr>
          <w:rFonts w:hint="eastAsia" w:ascii="仿宋" w:hAnsi="仿宋" w:eastAsia="仿宋" w:cs="仿宋"/>
          <w:sz w:val="24"/>
          <w:lang w:val="zh-CN"/>
        </w:rPr>
        <w:t xml:space="preserve">                               </w:t>
      </w:r>
      <w:r>
        <w:rPr>
          <w:rFonts w:hint="eastAsia" w:ascii="仿宋" w:hAnsi="仿宋" w:eastAsia="仿宋" w:cs="仿宋"/>
          <w:sz w:val="24"/>
        </w:rPr>
        <w:t>开户账号：</w:t>
      </w:r>
    </w:p>
    <w:p>
      <w:pPr>
        <w:widowControl/>
        <w:spacing w:line="560" w:lineRule="exact"/>
        <w:jc w:val="left"/>
        <w:rPr>
          <w:rFonts w:ascii="仿宋" w:hAnsi="仿宋" w:eastAsia="仿宋" w:cs="仿宋"/>
          <w:b/>
          <w:bCs/>
          <w:sz w:val="24"/>
        </w:rPr>
      </w:pPr>
    </w:p>
    <w:p>
      <w:pPr>
        <w:widowControl/>
        <w:spacing w:line="560" w:lineRule="exact"/>
        <w:jc w:val="left"/>
        <w:rPr>
          <w:rFonts w:ascii="仿宋" w:hAnsi="仿宋" w:eastAsia="仿宋" w:cs="仿宋"/>
          <w:b/>
          <w:bCs/>
          <w:kern w:val="0"/>
          <w:sz w:val="24"/>
        </w:rPr>
      </w:pPr>
    </w:p>
    <w:p>
      <w:pPr>
        <w:rPr>
          <w:rFonts w:hint="eastAsia" w:ascii="仿宋" w:hAnsi="仿宋" w:eastAsia="仿宋" w:cs="仿宋"/>
          <w:b/>
          <w:bCs/>
          <w:szCs w:val="24"/>
        </w:rPr>
      </w:pPr>
      <w:r>
        <w:rPr>
          <w:rFonts w:hint="eastAsia" w:ascii="仿宋" w:hAnsi="仿宋" w:eastAsia="仿宋" w:cs="仿宋"/>
          <w:b/>
          <w:bCs/>
          <w:szCs w:val="24"/>
        </w:rPr>
        <w:br w:type="page"/>
      </w:r>
    </w:p>
    <w:p>
      <w:pPr>
        <w:pStyle w:val="52"/>
        <w:spacing w:line="560" w:lineRule="exact"/>
        <w:ind w:firstLine="200"/>
        <w:jc w:val="center"/>
        <w:outlineLvl w:val="1"/>
        <w:rPr>
          <w:rFonts w:ascii="仿宋" w:hAnsi="仿宋" w:eastAsia="仿宋" w:cs="仿宋"/>
          <w:b/>
          <w:bCs/>
          <w:szCs w:val="24"/>
        </w:rPr>
      </w:pPr>
      <w:bookmarkStart w:id="729" w:name="_Toc11371"/>
      <w:bookmarkStart w:id="730" w:name="_Toc7537"/>
      <w:bookmarkStart w:id="731" w:name="_Toc5620"/>
      <w:r>
        <w:rPr>
          <w:rFonts w:hint="eastAsia" w:ascii="仿宋" w:hAnsi="仿宋" w:eastAsia="仿宋" w:cs="仿宋"/>
          <w:b/>
          <w:bCs/>
          <w:szCs w:val="24"/>
        </w:rPr>
        <w:t>第二部分 合同一般条款</w:t>
      </w:r>
      <w:bookmarkEnd w:id="729"/>
      <w:bookmarkEnd w:id="730"/>
      <w:bookmarkEnd w:id="731"/>
    </w:p>
    <w:p>
      <w:pPr>
        <w:spacing w:line="560" w:lineRule="exact"/>
        <w:ind w:firstLine="482" w:firstLineChars="200"/>
        <w:outlineLvl w:val="0"/>
        <w:rPr>
          <w:rFonts w:ascii="仿宋" w:hAnsi="仿宋" w:eastAsia="仿宋" w:cs="仿宋"/>
          <w:b/>
          <w:bCs/>
          <w:sz w:val="24"/>
        </w:rPr>
      </w:pPr>
      <w:bookmarkStart w:id="732" w:name="_Toc4090"/>
      <w:bookmarkStart w:id="733" w:name="_Toc14021"/>
      <w:bookmarkStart w:id="734" w:name="_Toc5363"/>
      <w:bookmarkStart w:id="735" w:name="_Toc5228"/>
      <w:bookmarkStart w:id="736" w:name="_Toc24240"/>
      <w:bookmarkStart w:id="737" w:name="_Toc25079"/>
      <w:bookmarkStart w:id="738" w:name="_Toc19680"/>
      <w:bookmarkStart w:id="739" w:name="_Toc31297"/>
      <w:bookmarkStart w:id="740" w:name="_Toc28466"/>
      <w:r>
        <w:rPr>
          <w:rFonts w:hint="eastAsia" w:ascii="仿宋" w:hAnsi="仿宋" w:eastAsia="仿宋" w:cs="仿宋"/>
          <w:b/>
          <w:bCs/>
          <w:sz w:val="24"/>
        </w:rPr>
        <w:t>2.1 定义</w:t>
      </w:r>
      <w:bookmarkEnd w:id="732"/>
      <w:bookmarkEnd w:id="733"/>
      <w:bookmarkEnd w:id="734"/>
      <w:bookmarkEnd w:id="735"/>
      <w:bookmarkEnd w:id="736"/>
      <w:bookmarkEnd w:id="737"/>
      <w:bookmarkEnd w:id="738"/>
      <w:bookmarkEnd w:id="739"/>
      <w:bookmarkEnd w:id="740"/>
    </w:p>
    <w:p>
      <w:pPr>
        <w:spacing w:line="560" w:lineRule="exact"/>
        <w:ind w:firstLine="480" w:firstLineChars="200"/>
        <w:rPr>
          <w:rFonts w:ascii="仿宋" w:hAnsi="仿宋" w:eastAsia="仿宋" w:cs="仿宋"/>
          <w:sz w:val="24"/>
        </w:rPr>
      </w:pPr>
      <w:r>
        <w:rPr>
          <w:rFonts w:hint="eastAsia" w:ascii="仿宋" w:hAnsi="仿宋" w:eastAsia="仿宋" w:cs="仿宋"/>
          <w:sz w:val="24"/>
        </w:rPr>
        <w:t>本合同中的下列词语应按以下内容进行解释：</w:t>
      </w:r>
    </w:p>
    <w:p>
      <w:pPr>
        <w:spacing w:line="560" w:lineRule="exact"/>
        <w:ind w:firstLine="480" w:firstLineChars="200"/>
        <w:rPr>
          <w:rFonts w:ascii="仿宋" w:hAnsi="仿宋" w:eastAsia="仿宋" w:cs="仿宋"/>
          <w:sz w:val="24"/>
        </w:rPr>
      </w:pPr>
      <w:r>
        <w:rPr>
          <w:rFonts w:hint="eastAsia" w:ascii="仿宋" w:hAnsi="仿宋" w:eastAsia="仿宋" w:cs="仿宋"/>
          <w:sz w:val="24"/>
        </w:rPr>
        <w:t>2.1.1 “合同”系指采购人和中标供应商签订的载明双方当事人所达成的协议，并包括所有的附件、附录和构成合同的其他文件。</w:t>
      </w:r>
    </w:p>
    <w:p>
      <w:pPr>
        <w:spacing w:line="560" w:lineRule="exact"/>
        <w:ind w:firstLine="480" w:firstLineChars="200"/>
        <w:rPr>
          <w:rFonts w:ascii="仿宋" w:hAnsi="仿宋" w:eastAsia="仿宋" w:cs="仿宋"/>
          <w:sz w:val="24"/>
        </w:rPr>
      </w:pPr>
      <w:r>
        <w:rPr>
          <w:rFonts w:hint="eastAsia" w:ascii="仿宋" w:hAnsi="仿宋" w:eastAsia="仿宋" w:cs="仿宋"/>
          <w:sz w:val="24"/>
        </w:rPr>
        <w:t>2.1.2 “合同价”系指根据合同约定，中标供应商在完全履行合同义务后，采购人应支付给中标供应商的价格。</w:t>
      </w:r>
    </w:p>
    <w:p>
      <w:pPr>
        <w:spacing w:line="560" w:lineRule="exact"/>
        <w:ind w:firstLine="480" w:firstLineChars="200"/>
        <w:rPr>
          <w:rFonts w:ascii="仿宋" w:hAnsi="仿宋" w:eastAsia="仿宋" w:cs="仿宋"/>
          <w:sz w:val="24"/>
        </w:rPr>
      </w:pPr>
      <w:r>
        <w:rPr>
          <w:rFonts w:hint="eastAsia" w:ascii="仿宋" w:hAnsi="仿宋" w:eastAsia="仿宋" w:cs="仿宋"/>
          <w:sz w:val="24"/>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仿宋" w:hAnsi="仿宋" w:eastAsia="仿宋" w:cs="仿宋"/>
          <w:sz w:val="24"/>
        </w:rPr>
      </w:pPr>
      <w:r>
        <w:rPr>
          <w:rFonts w:hint="eastAsia" w:ascii="仿宋" w:hAnsi="仿宋" w:eastAsia="仿宋" w:cs="仿宋"/>
          <w:sz w:val="24"/>
        </w:rPr>
        <w:t>2.1.4 “甲方”系指与中标供应商签署合同的采购人；采购人委托采购代理机构代表其与乙方签订合同的，采购人的授权委托书作为合同附件。</w:t>
      </w:r>
    </w:p>
    <w:p>
      <w:pPr>
        <w:spacing w:line="560" w:lineRule="exact"/>
        <w:ind w:firstLine="480" w:firstLineChars="200"/>
        <w:rPr>
          <w:rFonts w:ascii="仿宋" w:hAnsi="仿宋" w:eastAsia="仿宋" w:cs="仿宋"/>
          <w:sz w:val="24"/>
        </w:rPr>
      </w:pPr>
      <w:r>
        <w:rPr>
          <w:rFonts w:hint="eastAsia" w:ascii="仿宋" w:hAnsi="仿宋" w:eastAsia="仿宋" w:cs="仿宋"/>
          <w:sz w:val="24"/>
        </w:rPr>
        <w:t>2.1.5 “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仿宋" w:hAnsi="仿宋" w:eastAsia="仿宋" w:cs="仿宋"/>
          <w:sz w:val="24"/>
        </w:rPr>
      </w:pPr>
      <w:r>
        <w:rPr>
          <w:rFonts w:hint="eastAsia" w:ascii="仿宋" w:hAnsi="仿宋" w:eastAsia="仿宋" w:cs="仿宋"/>
          <w:sz w:val="24"/>
        </w:rPr>
        <w:t>2.1.6 “现场”系指合同约定提供服务的地点。</w:t>
      </w:r>
    </w:p>
    <w:p>
      <w:pPr>
        <w:spacing w:line="560" w:lineRule="exact"/>
        <w:ind w:firstLine="482" w:firstLineChars="200"/>
        <w:outlineLvl w:val="0"/>
        <w:rPr>
          <w:rFonts w:ascii="仿宋" w:hAnsi="仿宋" w:eastAsia="仿宋" w:cs="仿宋"/>
          <w:b/>
          <w:bCs/>
          <w:sz w:val="24"/>
        </w:rPr>
      </w:pPr>
      <w:bookmarkStart w:id="741" w:name="_Toc23289"/>
      <w:bookmarkStart w:id="742" w:name="_Toc3769"/>
      <w:bookmarkStart w:id="743" w:name="_Toc16752"/>
      <w:bookmarkStart w:id="744" w:name="_Toc27234"/>
      <w:bookmarkStart w:id="745" w:name="_Toc20210"/>
      <w:bookmarkStart w:id="746" w:name="_Toc31402"/>
      <w:bookmarkStart w:id="747" w:name="_Toc3294"/>
      <w:bookmarkStart w:id="748" w:name="_Toc19539"/>
      <w:bookmarkStart w:id="749" w:name="_Toc6788"/>
      <w:r>
        <w:rPr>
          <w:rFonts w:hint="eastAsia" w:ascii="仿宋" w:hAnsi="仿宋" w:eastAsia="仿宋" w:cs="仿宋"/>
          <w:b/>
          <w:bCs/>
          <w:sz w:val="24"/>
        </w:rPr>
        <w:t>2.2 技术规范</w:t>
      </w:r>
      <w:bookmarkEnd w:id="741"/>
      <w:bookmarkEnd w:id="742"/>
      <w:bookmarkEnd w:id="743"/>
      <w:bookmarkEnd w:id="744"/>
      <w:bookmarkEnd w:id="745"/>
      <w:bookmarkEnd w:id="746"/>
      <w:bookmarkEnd w:id="747"/>
      <w:bookmarkEnd w:id="748"/>
      <w:bookmarkEnd w:id="749"/>
    </w:p>
    <w:p>
      <w:pPr>
        <w:spacing w:line="560" w:lineRule="exact"/>
        <w:ind w:firstLine="480" w:firstLineChars="200"/>
        <w:rPr>
          <w:rFonts w:ascii="仿宋" w:hAnsi="仿宋" w:eastAsia="仿宋" w:cs="仿宋"/>
          <w:sz w:val="24"/>
        </w:rPr>
      </w:pPr>
      <w:r>
        <w:rPr>
          <w:rFonts w:hint="eastAsia" w:ascii="仿宋" w:hAnsi="仿宋" w:eastAsia="仿宋" w:cs="仿宋"/>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ascii="仿宋" w:hAnsi="仿宋" w:eastAsia="仿宋" w:cs="仿宋"/>
          <w:b/>
          <w:bCs/>
          <w:sz w:val="24"/>
        </w:rPr>
      </w:pPr>
      <w:bookmarkStart w:id="750" w:name="_Toc12412"/>
      <w:bookmarkStart w:id="751" w:name="_Toc9161"/>
      <w:bookmarkStart w:id="752" w:name="_Toc27945"/>
      <w:bookmarkStart w:id="753" w:name="_Toc13673"/>
      <w:bookmarkStart w:id="754" w:name="_Toc4133"/>
      <w:bookmarkStart w:id="755" w:name="_Toc28641"/>
      <w:bookmarkStart w:id="756" w:name="_Toc6921"/>
      <w:bookmarkStart w:id="757" w:name="_Toc15074"/>
      <w:bookmarkStart w:id="758" w:name="_Toc27802"/>
      <w:r>
        <w:rPr>
          <w:rFonts w:hint="eastAsia" w:ascii="仿宋" w:hAnsi="仿宋" w:eastAsia="仿宋" w:cs="仿宋"/>
          <w:b/>
          <w:bCs/>
          <w:sz w:val="24"/>
        </w:rPr>
        <w:t>2.3 知识产权</w:t>
      </w:r>
      <w:bookmarkEnd w:id="750"/>
      <w:bookmarkEnd w:id="751"/>
      <w:bookmarkEnd w:id="752"/>
      <w:bookmarkEnd w:id="753"/>
      <w:bookmarkEnd w:id="754"/>
      <w:bookmarkEnd w:id="755"/>
      <w:bookmarkEnd w:id="756"/>
      <w:bookmarkEnd w:id="757"/>
      <w:bookmarkEnd w:id="758"/>
    </w:p>
    <w:p>
      <w:pPr>
        <w:spacing w:line="560" w:lineRule="exact"/>
        <w:ind w:firstLine="480" w:firstLineChars="200"/>
        <w:rPr>
          <w:rFonts w:ascii="仿宋" w:hAnsi="仿宋" w:eastAsia="仿宋" w:cs="仿宋"/>
          <w:sz w:val="24"/>
        </w:rPr>
      </w:pPr>
      <w:r>
        <w:rPr>
          <w:rFonts w:hint="eastAsia" w:ascii="仿宋" w:hAnsi="仿宋" w:eastAsia="仿宋" w:cs="仿宋"/>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2" w:firstLineChars="200"/>
        <w:rPr>
          <w:rFonts w:ascii="仿宋" w:hAnsi="仿宋" w:eastAsia="仿宋" w:cs="仿宋"/>
          <w:b/>
          <w:bCs/>
          <w:sz w:val="24"/>
        </w:rPr>
      </w:pPr>
      <w:r>
        <w:rPr>
          <w:rFonts w:hint="eastAsia" w:ascii="仿宋" w:hAnsi="仿宋" w:eastAsia="仿宋" w:cs="仿宋"/>
          <w:b/>
          <w:bCs/>
          <w:sz w:val="24"/>
        </w:rPr>
        <w:t>2.4 履约检查和问题反馈</w:t>
      </w:r>
    </w:p>
    <w:p>
      <w:pPr>
        <w:spacing w:line="560" w:lineRule="exact"/>
        <w:ind w:firstLine="480" w:firstLineChars="200"/>
        <w:rPr>
          <w:rFonts w:ascii="仿宋" w:hAnsi="仿宋" w:eastAsia="仿宋" w:cs="仿宋"/>
          <w:sz w:val="24"/>
        </w:rPr>
      </w:pPr>
      <w:r>
        <w:rPr>
          <w:rFonts w:hint="eastAsia" w:ascii="仿宋" w:hAnsi="仿宋" w:eastAsia="仿宋" w:cs="仿宋"/>
          <w:sz w:val="24"/>
        </w:rPr>
        <w:t>2.4.1甲方有权在其认为必要时，对乙方是否能够按照合同约定提供服务进行履约检查，以确保乙方所提供的服务能够依约满足甲方之采购需求，但不得因履约检查妨碍乙方的正常工作，乙方应予积极配合；</w:t>
      </w:r>
    </w:p>
    <w:p>
      <w:pPr>
        <w:spacing w:line="560" w:lineRule="exact"/>
        <w:ind w:firstLine="480" w:firstLineChars="200"/>
        <w:rPr>
          <w:rFonts w:ascii="仿宋" w:hAnsi="仿宋" w:eastAsia="仿宋" w:cs="仿宋"/>
          <w:sz w:val="24"/>
        </w:rPr>
      </w:pPr>
      <w:r>
        <w:rPr>
          <w:rFonts w:hint="eastAsia" w:ascii="仿宋" w:hAnsi="仿宋" w:eastAsia="仿宋" w:cs="仿宋"/>
          <w:sz w:val="24"/>
        </w:rPr>
        <w:t>2.4.2 合同履行期间，甲方有权将履行过程中出现的问题反馈给乙方，双方当事人应以书面形式约定需要完善和改进的内容。</w:t>
      </w:r>
    </w:p>
    <w:p>
      <w:pPr>
        <w:spacing w:line="560" w:lineRule="exact"/>
        <w:ind w:firstLine="482" w:firstLineChars="200"/>
        <w:outlineLvl w:val="0"/>
        <w:rPr>
          <w:rFonts w:ascii="仿宋" w:hAnsi="仿宋" w:eastAsia="仿宋" w:cs="仿宋"/>
          <w:b/>
          <w:bCs/>
          <w:sz w:val="24"/>
        </w:rPr>
      </w:pPr>
      <w:bookmarkStart w:id="759" w:name="_Toc5166"/>
      <w:bookmarkStart w:id="760" w:name="_Toc13154"/>
      <w:bookmarkStart w:id="761" w:name="_Toc13467"/>
      <w:bookmarkStart w:id="762" w:name="_Toc2867"/>
      <w:bookmarkStart w:id="763" w:name="_Toc6934"/>
      <w:bookmarkStart w:id="764" w:name="_Toc30507"/>
      <w:bookmarkStart w:id="765" w:name="_Toc18990"/>
      <w:bookmarkStart w:id="766" w:name="_Toc16163"/>
      <w:bookmarkStart w:id="767" w:name="_Toc20136"/>
      <w:r>
        <w:rPr>
          <w:rFonts w:hint="eastAsia" w:ascii="仿宋" w:hAnsi="仿宋" w:eastAsia="仿宋" w:cs="仿宋"/>
          <w:b/>
          <w:bCs/>
          <w:sz w:val="24"/>
        </w:rPr>
        <w:t>2.5 技术资料和保密义务</w:t>
      </w:r>
      <w:bookmarkEnd w:id="759"/>
      <w:bookmarkEnd w:id="760"/>
      <w:bookmarkEnd w:id="761"/>
      <w:bookmarkEnd w:id="762"/>
      <w:bookmarkEnd w:id="763"/>
      <w:bookmarkEnd w:id="764"/>
      <w:bookmarkEnd w:id="765"/>
      <w:bookmarkEnd w:id="766"/>
      <w:bookmarkEnd w:id="767"/>
    </w:p>
    <w:p>
      <w:pPr>
        <w:spacing w:line="560" w:lineRule="exact"/>
        <w:ind w:firstLine="480" w:firstLineChars="200"/>
        <w:rPr>
          <w:rFonts w:ascii="仿宋" w:hAnsi="仿宋" w:eastAsia="仿宋" w:cs="仿宋"/>
          <w:sz w:val="24"/>
        </w:rPr>
      </w:pPr>
      <w:r>
        <w:rPr>
          <w:rFonts w:hint="eastAsia" w:ascii="仿宋" w:hAnsi="仿宋" w:eastAsia="仿宋" w:cs="仿宋"/>
          <w:sz w:val="24"/>
        </w:rPr>
        <w:t>2.5.1 乙方有权依据合同约定和项目需要，向甲方了解有关情况，调阅有关资料等，甲方应予积极配合；</w:t>
      </w:r>
    </w:p>
    <w:p>
      <w:pPr>
        <w:spacing w:line="560" w:lineRule="exact"/>
        <w:ind w:firstLine="480" w:firstLineChars="200"/>
        <w:rPr>
          <w:rFonts w:ascii="仿宋" w:hAnsi="仿宋" w:eastAsia="仿宋" w:cs="仿宋"/>
          <w:sz w:val="24"/>
        </w:rPr>
      </w:pPr>
      <w:r>
        <w:rPr>
          <w:rFonts w:hint="eastAsia" w:ascii="仿宋" w:hAnsi="仿宋" w:eastAsia="仿宋" w:cs="仿宋"/>
          <w:sz w:val="24"/>
        </w:rPr>
        <w:t>2.5.2 乙方有义务妥善保管和保护由甲方提供的前款信息和资料等；</w:t>
      </w:r>
    </w:p>
    <w:p>
      <w:pPr>
        <w:spacing w:line="560" w:lineRule="exact"/>
        <w:ind w:firstLine="480" w:firstLineChars="200"/>
        <w:rPr>
          <w:rFonts w:ascii="仿宋" w:hAnsi="仿宋" w:eastAsia="仿宋" w:cs="仿宋"/>
          <w:sz w:val="24"/>
        </w:rPr>
      </w:pPr>
      <w:r>
        <w:rPr>
          <w:rFonts w:hint="eastAsia" w:ascii="仿宋" w:hAnsi="仿宋" w:eastAsia="仿宋" w:cs="仿宋"/>
          <w:sz w:val="24"/>
        </w:rPr>
        <w:t>2.5.3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仿宋" w:hAnsi="仿宋" w:eastAsia="仿宋" w:cs="仿宋"/>
          <w:b/>
          <w:bCs/>
          <w:sz w:val="24"/>
        </w:rPr>
      </w:pPr>
      <w:bookmarkStart w:id="768" w:name="_Toc30735"/>
      <w:bookmarkStart w:id="769" w:name="_Toc32048"/>
      <w:bookmarkStart w:id="770" w:name="_Toc19069"/>
      <w:bookmarkStart w:id="771" w:name="_Toc15606"/>
      <w:bookmarkStart w:id="772" w:name="_Toc25146"/>
      <w:r>
        <w:rPr>
          <w:rFonts w:hint="eastAsia" w:ascii="仿宋" w:hAnsi="仿宋" w:eastAsia="仿宋" w:cs="仿宋"/>
          <w:b/>
          <w:bCs/>
          <w:sz w:val="24"/>
        </w:rPr>
        <w:t>2.6 质量保证</w:t>
      </w:r>
      <w:bookmarkEnd w:id="768"/>
      <w:bookmarkEnd w:id="769"/>
      <w:bookmarkEnd w:id="770"/>
      <w:bookmarkEnd w:id="771"/>
      <w:bookmarkEnd w:id="772"/>
    </w:p>
    <w:p>
      <w:pPr>
        <w:spacing w:line="560" w:lineRule="exact"/>
        <w:ind w:firstLine="480" w:firstLineChars="200"/>
        <w:rPr>
          <w:rFonts w:ascii="仿宋" w:hAnsi="仿宋" w:eastAsia="仿宋" w:cs="仿宋"/>
          <w:sz w:val="24"/>
        </w:rPr>
      </w:pPr>
      <w:r>
        <w:rPr>
          <w:rFonts w:hint="eastAsia" w:ascii="仿宋" w:hAnsi="仿宋" w:eastAsia="仿宋" w:cs="仿宋"/>
          <w:sz w:val="24"/>
        </w:rPr>
        <w:t>2.6.1 乙方应建立和完善履行合同的内部质量保证体系，并提供相关内部规章制度给甲方，以便甲方进行监督检查；</w:t>
      </w:r>
    </w:p>
    <w:p>
      <w:pPr>
        <w:spacing w:line="560" w:lineRule="exact"/>
        <w:ind w:firstLine="480" w:firstLineChars="200"/>
        <w:rPr>
          <w:rFonts w:ascii="仿宋" w:hAnsi="仿宋" w:eastAsia="仿宋" w:cs="仿宋"/>
          <w:sz w:val="24"/>
        </w:rPr>
      </w:pPr>
      <w:r>
        <w:rPr>
          <w:rFonts w:hint="eastAsia" w:ascii="仿宋" w:hAnsi="仿宋" w:eastAsia="仿宋" w:cs="仿宋"/>
          <w:sz w:val="24"/>
        </w:rPr>
        <w:t>2.6.2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仿宋" w:hAnsi="仿宋" w:eastAsia="仿宋" w:cs="仿宋"/>
          <w:b/>
          <w:bCs/>
          <w:sz w:val="24"/>
        </w:rPr>
      </w:pPr>
      <w:bookmarkStart w:id="773" w:name="_Toc19025"/>
      <w:bookmarkStart w:id="774" w:name="_Toc22267"/>
      <w:bookmarkStart w:id="775" w:name="_Toc14811"/>
      <w:bookmarkStart w:id="776" w:name="_Toc2434"/>
      <w:bookmarkStart w:id="777" w:name="_Toc29245"/>
      <w:r>
        <w:rPr>
          <w:rFonts w:hint="eastAsia" w:ascii="仿宋" w:hAnsi="仿宋" w:eastAsia="仿宋" w:cs="仿宋"/>
          <w:b/>
          <w:bCs/>
          <w:sz w:val="24"/>
        </w:rPr>
        <w:t>2.7 延迟履行</w:t>
      </w:r>
      <w:bookmarkEnd w:id="773"/>
      <w:bookmarkEnd w:id="774"/>
      <w:bookmarkEnd w:id="775"/>
      <w:bookmarkEnd w:id="776"/>
      <w:bookmarkEnd w:id="777"/>
    </w:p>
    <w:p>
      <w:pPr>
        <w:spacing w:line="560" w:lineRule="exact"/>
        <w:ind w:firstLine="480" w:firstLineChars="200"/>
        <w:rPr>
          <w:rFonts w:ascii="仿宋" w:hAnsi="仿宋" w:eastAsia="仿宋" w:cs="仿宋"/>
          <w:sz w:val="24"/>
        </w:rPr>
      </w:pPr>
      <w:r>
        <w:rPr>
          <w:rFonts w:hint="eastAsia" w:ascii="仿宋" w:hAnsi="仿宋" w:eastAsia="仿宋" w:cs="仿宋"/>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仿宋" w:hAnsi="仿宋" w:eastAsia="仿宋" w:cs="仿宋"/>
          <w:b/>
          <w:bCs/>
          <w:sz w:val="24"/>
        </w:rPr>
      </w:pPr>
      <w:bookmarkStart w:id="778" w:name="_Toc14532"/>
      <w:bookmarkStart w:id="779" w:name="_Toc10611"/>
      <w:bookmarkStart w:id="780" w:name="_Toc3810"/>
      <w:bookmarkStart w:id="781" w:name="_Toc31252"/>
      <w:bookmarkStart w:id="782" w:name="_Toc14908"/>
      <w:r>
        <w:rPr>
          <w:rFonts w:hint="eastAsia" w:ascii="仿宋" w:hAnsi="仿宋" w:eastAsia="仿宋" w:cs="仿宋"/>
          <w:b/>
          <w:bCs/>
          <w:sz w:val="24"/>
        </w:rPr>
        <w:t>2.8 合同变更</w:t>
      </w:r>
      <w:bookmarkEnd w:id="778"/>
      <w:bookmarkEnd w:id="779"/>
      <w:bookmarkEnd w:id="780"/>
      <w:bookmarkEnd w:id="781"/>
      <w:bookmarkEnd w:id="782"/>
    </w:p>
    <w:p>
      <w:pPr>
        <w:spacing w:line="560" w:lineRule="exact"/>
        <w:ind w:firstLine="480" w:firstLineChars="200"/>
        <w:rPr>
          <w:rFonts w:ascii="仿宋" w:hAnsi="仿宋" w:eastAsia="仿宋" w:cs="仿宋"/>
          <w:sz w:val="24"/>
        </w:rPr>
      </w:pPr>
      <w:r>
        <w:rPr>
          <w:rFonts w:hint="eastAsia" w:ascii="仿宋" w:hAnsi="仿宋" w:eastAsia="仿宋" w:cs="仿宋"/>
          <w:sz w:val="24"/>
        </w:rPr>
        <w:t>2.8.1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ascii="仿宋" w:hAnsi="仿宋" w:eastAsia="仿宋" w:cs="仿宋"/>
          <w:sz w:val="24"/>
        </w:rPr>
      </w:pPr>
      <w:r>
        <w:rPr>
          <w:rFonts w:hint="eastAsia" w:ascii="仿宋" w:hAnsi="仿宋" w:eastAsia="仿宋" w:cs="仿宋"/>
          <w:sz w:val="24"/>
        </w:rPr>
        <w:t>2.8.2 合同继续履行将损害国家利益和社会公共利益的，双方当事人应当以书面形式变更合同。有过错的一方应当承担赔偿责任，双方当事人都有过错的，各自承担相应的责任。</w:t>
      </w:r>
    </w:p>
    <w:p>
      <w:pPr>
        <w:spacing w:line="560" w:lineRule="exact"/>
        <w:ind w:firstLine="482" w:firstLineChars="200"/>
        <w:outlineLvl w:val="0"/>
        <w:rPr>
          <w:rFonts w:ascii="仿宋" w:hAnsi="仿宋" w:eastAsia="仿宋" w:cs="仿宋"/>
          <w:b/>
          <w:bCs/>
          <w:sz w:val="24"/>
        </w:rPr>
      </w:pPr>
      <w:bookmarkStart w:id="783" w:name="_Toc4358"/>
      <w:bookmarkStart w:id="784" w:name="_Toc26689"/>
      <w:bookmarkStart w:id="785" w:name="_Toc23368"/>
      <w:bookmarkStart w:id="786" w:name="_Toc42"/>
      <w:bookmarkStart w:id="787" w:name="_Toc22615"/>
      <w:bookmarkStart w:id="788" w:name="_Toc10663"/>
      <w:bookmarkStart w:id="789" w:name="_Toc21830"/>
      <w:bookmarkStart w:id="790" w:name="_Toc32030"/>
      <w:bookmarkStart w:id="791" w:name="_Toc12698"/>
      <w:r>
        <w:rPr>
          <w:rFonts w:hint="eastAsia" w:ascii="仿宋" w:hAnsi="仿宋" w:eastAsia="仿宋" w:cs="仿宋"/>
          <w:b/>
          <w:bCs/>
          <w:sz w:val="24"/>
        </w:rPr>
        <w:t>2.9 合同转让和分包</w:t>
      </w:r>
      <w:bookmarkEnd w:id="783"/>
      <w:bookmarkEnd w:id="784"/>
      <w:bookmarkEnd w:id="785"/>
      <w:bookmarkEnd w:id="786"/>
      <w:bookmarkEnd w:id="787"/>
      <w:bookmarkEnd w:id="788"/>
      <w:bookmarkEnd w:id="789"/>
      <w:bookmarkEnd w:id="790"/>
      <w:bookmarkEnd w:id="791"/>
    </w:p>
    <w:p>
      <w:pPr>
        <w:spacing w:line="560" w:lineRule="exact"/>
        <w:ind w:firstLine="480" w:firstLineChars="200"/>
        <w:rPr>
          <w:rFonts w:hint="eastAsia" w:ascii="仿宋" w:hAnsi="仿宋" w:eastAsia="仿宋" w:cs="仿宋"/>
          <w:sz w:val="24"/>
          <w:szCs w:val="24"/>
        </w:rPr>
      </w:pPr>
      <w:bookmarkStart w:id="792" w:name="_Toc25571"/>
      <w:bookmarkStart w:id="793" w:name="_Toc14371"/>
      <w:bookmarkStart w:id="794" w:name="_Toc26633"/>
      <w:bookmarkStart w:id="795" w:name="_Toc32494"/>
      <w:bookmarkStart w:id="796" w:name="_Toc4720"/>
      <w:r>
        <w:rPr>
          <w:rFonts w:hint="eastAsia" w:ascii="仿宋" w:hAnsi="仿宋" w:eastAsia="仿宋" w:cs="仿宋"/>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仿宋" w:hAnsi="仿宋" w:eastAsia="仿宋" w:cs="仿宋"/>
          <w:b/>
          <w:bCs/>
          <w:sz w:val="24"/>
        </w:rPr>
      </w:pPr>
      <w:bookmarkStart w:id="797" w:name="_Toc24394"/>
      <w:bookmarkStart w:id="798" w:name="_Toc734"/>
      <w:bookmarkStart w:id="799" w:name="_Toc22129"/>
      <w:bookmarkStart w:id="800" w:name="_Toc30496"/>
      <w:r>
        <w:rPr>
          <w:rFonts w:hint="eastAsia" w:ascii="仿宋" w:hAnsi="仿宋" w:eastAsia="仿宋" w:cs="仿宋"/>
          <w:b/>
          <w:bCs/>
          <w:sz w:val="24"/>
        </w:rPr>
        <w:t>2.10 不可抗力</w:t>
      </w:r>
      <w:bookmarkEnd w:id="792"/>
      <w:bookmarkEnd w:id="793"/>
      <w:bookmarkEnd w:id="794"/>
      <w:bookmarkEnd w:id="795"/>
      <w:bookmarkEnd w:id="796"/>
      <w:bookmarkEnd w:id="797"/>
      <w:bookmarkEnd w:id="798"/>
      <w:bookmarkEnd w:id="799"/>
      <w:bookmarkEnd w:id="800"/>
    </w:p>
    <w:p>
      <w:pPr>
        <w:spacing w:line="560" w:lineRule="exact"/>
        <w:ind w:firstLine="480" w:firstLineChars="200"/>
        <w:rPr>
          <w:rFonts w:ascii="仿宋" w:hAnsi="仿宋" w:eastAsia="仿宋" w:cs="仿宋"/>
          <w:sz w:val="24"/>
        </w:rPr>
      </w:pPr>
      <w:r>
        <w:rPr>
          <w:rFonts w:hint="eastAsia" w:ascii="仿宋" w:hAnsi="仿宋" w:eastAsia="仿宋" w:cs="仿宋"/>
          <w:sz w:val="24"/>
        </w:rPr>
        <w:t>2.10.1如果任何一方遭遇法律规定的不可抗力，致使合同履行受阻时，履行合同的期限应予延长，延长的期限应相当于不可抗力所影响的时间；</w:t>
      </w:r>
    </w:p>
    <w:p>
      <w:pPr>
        <w:spacing w:line="560" w:lineRule="exact"/>
        <w:ind w:firstLine="480" w:firstLineChars="200"/>
        <w:rPr>
          <w:rFonts w:ascii="仿宋" w:hAnsi="仿宋" w:eastAsia="仿宋" w:cs="仿宋"/>
          <w:sz w:val="24"/>
        </w:rPr>
      </w:pPr>
      <w:r>
        <w:rPr>
          <w:rFonts w:hint="eastAsia" w:ascii="仿宋" w:hAnsi="仿宋" w:eastAsia="仿宋" w:cs="仿宋"/>
          <w:sz w:val="24"/>
        </w:rPr>
        <w:t>2.10.2 因不可抗力致使不能实现合同目的的，当事人可以解除合同；</w:t>
      </w:r>
    </w:p>
    <w:p>
      <w:pPr>
        <w:spacing w:line="560" w:lineRule="exact"/>
        <w:ind w:firstLine="480" w:firstLineChars="200"/>
        <w:rPr>
          <w:rFonts w:ascii="仿宋" w:hAnsi="仿宋" w:eastAsia="仿宋" w:cs="仿宋"/>
          <w:sz w:val="24"/>
        </w:rPr>
      </w:pPr>
      <w:r>
        <w:rPr>
          <w:rFonts w:hint="eastAsia" w:ascii="仿宋" w:hAnsi="仿宋" w:eastAsia="仿宋" w:cs="仿宋"/>
          <w:sz w:val="24"/>
        </w:rPr>
        <w:t>2.10.3 因不可抗力致使合同有变更必要的，双方当事人应在</w:t>
      </w:r>
      <w:r>
        <w:rPr>
          <w:rFonts w:hint="eastAsia" w:ascii="仿宋" w:hAnsi="仿宋" w:eastAsia="仿宋" w:cs="仿宋"/>
          <w:b/>
          <w:bCs/>
          <w:i/>
          <w:iCs/>
          <w:sz w:val="24"/>
          <w:u w:val="single"/>
        </w:rPr>
        <w:t>5个工作日</w:t>
      </w:r>
      <w:r>
        <w:rPr>
          <w:rFonts w:hint="eastAsia" w:ascii="仿宋" w:hAnsi="仿宋" w:eastAsia="仿宋" w:cs="仿宋"/>
          <w:sz w:val="24"/>
        </w:rPr>
        <w:t>内以书面形式变更合同；</w:t>
      </w:r>
    </w:p>
    <w:p>
      <w:pPr>
        <w:spacing w:line="560" w:lineRule="exact"/>
        <w:ind w:firstLine="480" w:firstLineChars="200"/>
        <w:rPr>
          <w:rFonts w:ascii="仿宋" w:hAnsi="仿宋" w:eastAsia="仿宋" w:cs="仿宋"/>
          <w:sz w:val="24"/>
        </w:rPr>
      </w:pPr>
      <w:r>
        <w:rPr>
          <w:rFonts w:hint="eastAsia" w:ascii="仿宋" w:hAnsi="仿宋" w:eastAsia="仿宋" w:cs="仿宋"/>
          <w:sz w:val="24"/>
        </w:rPr>
        <w:t>2.10.4受不可抗力影响的一方在不可抗力发生后，应在</w:t>
      </w:r>
      <w:r>
        <w:rPr>
          <w:rFonts w:hint="eastAsia" w:ascii="仿宋" w:hAnsi="仿宋" w:eastAsia="仿宋" w:cs="仿宋"/>
          <w:b/>
          <w:bCs/>
          <w:i/>
          <w:iCs/>
          <w:sz w:val="24"/>
          <w:u w:val="single"/>
        </w:rPr>
        <w:t>3个工作日</w:t>
      </w:r>
      <w:r>
        <w:rPr>
          <w:rFonts w:hint="eastAsia" w:ascii="仿宋" w:hAnsi="仿宋" w:eastAsia="仿宋" w:cs="仿宋"/>
          <w:sz w:val="24"/>
        </w:rPr>
        <w:t>内以书面形式通知对方当事人，并在</w:t>
      </w:r>
      <w:r>
        <w:rPr>
          <w:rFonts w:hint="eastAsia" w:ascii="仿宋" w:hAnsi="仿宋" w:eastAsia="仿宋" w:cs="仿宋"/>
          <w:b/>
          <w:bCs/>
          <w:i/>
          <w:iCs/>
          <w:sz w:val="24"/>
          <w:u w:val="single"/>
        </w:rPr>
        <w:t>5个工作日</w:t>
      </w:r>
      <w:r>
        <w:rPr>
          <w:rFonts w:hint="eastAsia" w:ascii="仿宋" w:hAnsi="仿宋" w:eastAsia="仿宋" w:cs="仿宋"/>
          <w:sz w:val="24"/>
        </w:rPr>
        <w:t>内，将有关部门出具的证明文件送达对方当事人。</w:t>
      </w:r>
    </w:p>
    <w:p>
      <w:pPr>
        <w:spacing w:line="560" w:lineRule="exact"/>
        <w:ind w:firstLine="482" w:firstLineChars="200"/>
        <w:outlineLvl w:val="0"/>
        <w:rPr>
          <w:rFonts w:ascii="仿宋" w:hAnsi="仿宋" w:eastAsia="仿宋" w:cs="仿宋"/>
          <w:b/>
          <w:bCs/>
          <w:sz w:val="24"/>
        </w:rPr>
      </w:pPr>
      <w:bookmarkStart w:id="801" w:name="_Toc3638"/>
      <w:bookmarkStart w:id="802" w:name="_Toc14115"/>
      <w:bookmarkStart w:id="803" w:name="_Toc23972"/>
      <w:bookmarkStart w:id="804" w:name="_Toc25783"/>
      <w:bookmarkStart w:id="805" w:name="_Toc24465"/>
      <w:bookmarkStart w:id="806" w:name="_Toc12445"/>
      <w:bookmarkStart w:id="807" w:name="_Toc10672"/>
      <w:bookmarkStart w:id="808" w:name="_Toc23854"/>
      <w:bookmarkStart w:id="809" w:name="_Toc5790"/>
      <w:r>
        <w:rPr>
          <w:rFonts w:hint="eastAsia" w:ascii="仿宋" w:hAnsi="仿宋" w:eastAsia="仿宋" w:cs="仿宋"/>
          <w:b/>
          <w:bCs/>
          <w:sz w:val="24"/>
        </w:rPr>
        <w:t>2.11 税费</w:t>
      </w:r>
      <w:bookmarkEnd w:id="801"/>
      <w:bookmarkEnd w:id="802"/>
      <w:bookmarkEnd w:id="803"/>
      <w:bookmarkEnd w:id="804"/>
      <w:bookmarkEnd w:id="805"/>
      <w:bookmarkEnd w:id="806"/>
      <w:bookmarkEnd w:id="807"/>
      <w:bookmarkEnd w:id="808"/>
      <w:bookmarkEnd w:id="809"/>
    </w:p>
    <w:p>
      <w:pPr>
        <w:spacing w:line="560" w:lineRule="exact"/>
        <w:ind w:firstLine="480" w:firstLineChars="200"/>
        <w:rPr>
          <w:rFonts w:ascii="仿宋" w:hAnsi="仿宋" w:eastAsia="仿宋" w:cs="仿宋"/>
          <w:sz w:val="24"/>
        </w:rPr>
      </w:pPr>
      <w:r>
        <w:rPr>
          <w:rFonts w:hint="eastAsia" w:ascii="仿宋" w:hAnsi="仿宋" w:eastAsia="仿宋" w:cs="仿宋"/>
          <w:sz w:val="24"/>
        </w:rPr>
        <w:t>与合同有关的一切税费，均按照中华人民共和国法律的相关规定缴纳。</w:t>
      </w:r>
    </w:p>
    <w:p>
      <w:pPr>
        <w:spacing w:line="560" w:lineRule="exact"/>
        <w:ind w:firstLine="482" w:firstLineChars="200"/>
        <w:outlineLvl w:val="0"/>
        <w:rPr>
          <w:rFonts w:ascii="仿宋" w:hAnsi="仿宋" w:eastAsia="仿宋" w:cs="仿宋"/>
          <w:b/>
          <w:bCs/>
          <w:sz w:val="24"/>
        </w:rPr>
      </w:pPr>
      <w:bookmarkStart w:id="810" w:name="_Toc20786"/>
      <w:bookmarkStart w:id="811" w:name="_Toc7154"/>
      <w:bookmarkStart w:id="812" w:name="_Toc14814"/>
      <w:bookmarkStart w:id="813" w:name="_Toc1856"/>
      <w:bookmarkStart w:id="814" w:name="_Toc26883"/>
      <w:bookmarkStart w:id="815" w:name="_Toc25525"/>
      <w:bookmarkStart w:id="816" w:name="_Toc30105"/>
      <w:bookmarkStart w:id="817" w:name="_Toc7315"/>
      <w:bookmarkStart w:id="818" w:name="_Toc20258"/>
      <w:r>
        <w:rPr>
          <w:rFonts w:hint="eastAsia" w:ascii="仿宋" w:hAnsi="仿宋" w:eastAsia="仿宋" w:cs="仿宋"/>
          <w:b/>
          <w:bCs/>
          <w:sz w:val="24"/>
        </w:rPr>
        <w:t>2.12 乙方破产</w:t>
      </w:r>
      <w:bookmarkEnd w:id="810"/>
      <w:bookmarkEnd w:id="811"/>
      <w:bookmarkEnd w:id="812"/>
      <w:bookmarkEnd w:id="813"/>
      <w:bookmarkEnd w:id="814"/>
      <w:bookmarkEnd w:id="815"/>
      <w:bookmarkEnd w:id="816"/>
      <w:bookmarkEnd w:id="817"/>
      <w:bookmarkEnd w:id="818"/>
    </w:p>
    <w:p>
      <w:pPr>
        <w:spacing w:line="560" w:lineRule="exact"/>
        <w:ind w:firstLine="480" w:firstLineChars="200"/>
        <w:rPr>
          <w:rFonts w:ascii="仿宋" w:hAnsi="仿宋" w:eastAsia="仿宋" w:cs="仿宋"/>
          <w:sz w:val="24"/>
        </w:rPr>
      </w:pPr>
      <w:r>
        <w:rPr>
          <w:rFonts w:hint="eastAsia" w:ascii="仿宋" w:hAnsi="仿宋" w:eastAsia="仿宋" w:cs="仿宋"/>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仿宋" w:hAnsi="仿宋" w:eastAsia="仿宋" w:cs="仿宋"/>
          <w:b/>
          <w:bCs/>
          <w:sz w:val="24"/>
        </w:rPr>
      </w:pPr>
      <w:bookmarkStart w:id="819" w:name="_Toc2016"/>
      <w:bookmarkStart w:id="820" w:name="_Toc23323"/>
      <w:bookmarkStart w:id="821" w:name="_Toc26264"/>
      <w:bookmarkStart w:id="822" w:name="_Toc1123"/>
      <w:bookmarkStart w:id="823" w:name="_Toc6462"/>
      <w:bookmarkStart w:id="824" w:name="_Toc32020"/>
      <w:bookmarkStart w:id="825" w:name="_Toc27399"/>
      <w:r>
        <w:rPr>
          <w:rFonts w:hint="eastAsia" w:ascii="仿宋" w:hAnsi="仿宋" w:eastAsia="仿宋" w:cs="仿宋"/>
          <w:b/>
          <w:bCs/>
          <w:sz w:val="24"/>
        </w:rPr>
        <w:t>2.13 合同中止、终止</w:t>
      </w:r>
      <w:bookmarkEnd w:id="819"/>
      <w:bookmarkEnd w:id="820"/>
      <w:bookmarkEnd w:id="821"/>
      <w:bookmarkEnd w:id="822"/>
      <w:bookmarkEnd w:id="823"/>
      <w:bookmarkEnd w:id="824"/>
      <w:bookmarkEnd w:id="825"/>
    </w:p>
    <w:p>
      <w:pPr>
        <w:spacing w:line="560" w:lineRule="exact"/>
        <w:ind w:firstLine="480" w:firstLineChars="200"/>
        <w:rPr>
          <w:rFonts w:ascii="仿宋" w:hAnsi="仿宋" w:eastAsia="仿宋" w:cs="仿宋"/>
          <w:sz w:val="24"/>
        </w:rPr>
      </w:pPr>
      <w:r>
        <w:rPr>
          <w:rFonts w:hint="eastAsia" w:ascii="仿宋" w:hAnsi="仿宋" w:eastAsia="仿宋" w:cs="仿宋"/>
          <w:sz w:val="24"/>
        </w:rPr>
        <w:t>2.13.1 双方当事人不得擅自中止或者终止合同；</w:t>
      </w:r>
    </w:p>
    <w:p>
      <w:pPr>
        <w:spacing w:line="560" w:lineRule="exact"/>
        <w:ind w:firstLine="480" w:firstLineChars="200"/>
        <w:rPr>
          <w:rFonts w:ascii="仿宋" w:hAnsi="仿宋" w:eastAsia="仿宋" w:cs="仿宋"/>
          <w:sz w:val="24"/>
        </w:rPr>
      </w:pPr>
      <w:r>
        <w:rPr>
          <w:rFonts w:hint="eastAsia" w:ascii="仿宋" w:hAnsi="仿宋" w:eastAsia="仿宋" w:cs="仿宋"/>
          <w:sz w:val="24"/>
        </w:rPr>
        <w:t>2.13.2合同继续履行将损害国家利益和社会公共利益的，双方当事人应当中止或者终止合同。有过错的一方应当承担赔偿责任，双方当事人都有过错的，各自承担相应的责任。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仿宋" w:hAnsi="仿宋" w:eastAsia="仿宋" w:cs="仿宋"/>
          <w:b/>
          <w:bCs/>
          <w:sz w:val="24"/>
        </w:rPr>
      </w:pPr>
      <w:bookmarkStart w:id="826" w:name="_Toc19797"/>
      <w:bookmarkStart w:id="827" w:name="_Toc14525"/>
      <w:bookmarkStart w:id="828" w:name="_Toc11706"/>
      <w:bookmarkStart w:id="829" w:name="_Toc17363"/>
      <w:bookmarkStart w:id="830" w:name="_Toc1969"/>
      <w:bookmarkStart w:id="831" w:name="_Toc9916"/>
      <w:bookmarkStart w:id="832" w:name="_Toc26552"/>
      <w:r>
        <w:rPr>
          <w:rFonts w:hint="eastAsia" w:ascii="仿宋" w:hAnsi="仿宋" w:eastAsia="仿宋" w:cs="仿宋"/>
          <w:b/>
          <w:bCs/>
          <w:sz w:val="24"/>
        </w:rPr>
        <w:t>2.14 检验和验收</w:t>
      </w:r>
      <w:bookmarkEnd w:id="826"/>
      <w:bookmarkEnd w:id="827"/>
      <w:bookmarkEnd w:id="828"/>
      <w:bookmarkEnd w:id="829"/>
      <w:bookmarkEnd w:id="830"/>
      <w:bookmarkEnd w:id="831"/>
      <w:bookmarkEnd w:id="832"/>
    </w:p>
    <w:p>
      <w:pPr>
        <w:tabs>
          <w:tab w:val="left" w:pos="360"/>
          <w:tab w:val="left" w:pos="540"/>
          <w:tab w:val="left" w:pos="1080"/>
        </w:tabs>
        <w:spacing w:line="560" w:lineRule="exact"/>
        <w:ind w:firstLine="480" w:firstLineChars="200"/>
        <w:rPr>
          <w:rFonts w:ascii="仿宋" w:hAnsi="仿宋" w:eastAsia="仿宋" w:cs="仿宋"/>
          <w:sz w:val="24"/>
        </w:rPr>
      </w:pPr>
      <w:r>
        <w:rPr>
          <w:rFonts w:hint="eastAsia" w:ascii="仿宋" w:hAnsi="仿宋" w:eastAsia="仿宋" w:cs="仿宋"/>
          <w:sz w:val="24"/>
        </w:rPr>
        <w:t>2.14.1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仿宋" w:hAnsi="仿宋" w:eastAsia="仿宋" w:cs="仿宋"/>
          <w:sz w:val="24"/>
        </w:rPr>
      </w:pPr>
      <w:r>
        <w:rPr>
          <w:rFonts w:hint="eastAsia" w:ascii="仿宋" w:hAnsi="仿宋" w:eastAsia="仿宋" w:cs="仿宋"/>
          <w:sz w:val="24"/>
        </w:rPr>
        <w:t>2.14.2 检验和验收标准、程序等具体内容以及前述验收书的效力详见磋商文件及投标文件要求。</w:t>
      </w:r>
    </w:p>
    <w:p>
      <w:pPr>
        <w:spacing w:line="560" w:lineRule="exact"/>
        <w:ind w:firstLine="482" w:firstLineChars="200"/>
        <w:outlineLvl w:val="0"/>
        <w:rPr>
          <w:rFonts w:ascii="仿宋" w:hAnsi="仿宋" w:eastAsia="仿宋" w:cs="仿宋"/>
          <w:b/>
          <w:bCs/>
          <w:sz w:val="24"/>
        </w:rPr>
      </w:pPr>
      <w:bookmarkStart w:id="833" w:name="_Toc26392"/>
      <w:bookmarkStart w:id="834" w:name="_Toc2308"/>
      <w:bookmarkStart w:id="835" w:name="_Toc12666"/>
      <w:bookmarkStart w:id="836" w:name="_Toc31892"/>
      <w:bookmarkStart w:id="837" w:name="_Toc25198"/>
      <w:bookmarkStart w:id="838" w:name="_Toc9808"/>
      <w:bookmarkStart w:id="839" w:name="_Toc29691"/>
      <w:bookmarkStart w:id="840" w:name="_Toc29835"/>
      <w:bookmarkStart w:id="841" w:name="_Toc24186"/>
      <w:r>
        <w:rPr>
          <w:rFonts w:hint="eastAsia" w:ascii="仿宋" w:hAnsi="仿宋" w:eastAsia="仿宋" w:cs="仿宋"/>
          <w:b/>
          <w:bCs/>
          <w:sz w:val="24"/>
        </w:rPr>
        <w:t>2.15 通知和送达</w:t>
      </w:r>
      <w:bookmarkEnd w:id="833"/>
      <w:bookmarkEnd w:id="834"/>
      <w:bookmarkEnd w:id="835"/>
      <w:bookmarkEnd w:id="836"/>
      <w:bookmarkEnd w:id="837"/>
      <w:bookmarkEnd w:id="838"/>
      <w:bookmarkEnd w:id="839"/>
      <w:bookmarkEnd w:id="840"/>
      <w:bookmarkEnd w:id="841"/>
    </w:p>
    <w:p>
      <w:pPr>
        <w:spacing w:line="560" w:lineRule="exact"/>
        <w:ind w:firstLine="480" w:firstLineChars="200"/>
        <w:rPr>
          <w:rFonts w:ascii="仿宋" w:hAnsi="仿宋" w:eastAsia="仿宋" w:cs="仿宋"/>
          <w:sz w:val="24"/>
        </w:rPr>
      </w:pPr>
      <w:bookmarkStart w:id="842" w:name="_Toc7073"/>
      <w:bookmarkStart w:id="843" w:name="_Toc29220"/>
      <w:r>
        <w:rPr>
          <w:rFonts w:hint="eastAsia" w:ascii="仿宋" w:hAnsi="仿宋" w:eastAsia="仿宋" w:cs="仿宋"/>
          <w:sz w:val="24"/>
        </w:rPr>
        <w:t>2.15.1 任何一方因履行合同而以合同第一部分尾部所列明的所有通知、文件、材料，均视为已向对方当事人送达；任何一方变更上述送达方式或者地址的，应于</w:t>
      </w:r>
      <w:r>
        <w:rPr>
          <w:rFonts w:hint="eastAsia" w:ascii="仿宋" w:hAnsi="仿宋" w:eastAsia="仿宋" w:cs="仿宋"/>
          <w:sz w:val="24"/>
          <w:u w:val="single"/>
        </w:rPr>
        <w:t xml:space="preserve">   </w:t>
      </w:r>
      <w:r>
        <w:rPr>
          <w:rFonts w:hint="eastAsia" w:ascii="仿宋" w:hAnsi="仿宋" w:eastAsia="仿宋" w:cs="仿宋"/>
          <w:sz w:val="24"/>
        </w:rPr>
        <w:t>个工作日内书面通知对方当事人，在对方当事人收到有关变更通知之前，变更前的约定送达方式或者地址仍视为有效。</w:t>
      </w:r>
      <w:bookmarkEnd w:id="842"/>
      <w:bookmarkEnd w:id="843"/>
    </w:p>
    <w:p>
      <w:pPr>
        <w:spacing w:line="560" w:lineRule="exact"/>
        <w:ind w:firstLine="480" w:firstLineChars="200"/>
        <w:rPr>
          <w:rFonts w:ascii="仿宋" w:hAnsi="仿宋" w:eastAsia="仿宋" w:cs="仿宋"/>
          <w:sz w:val="24"/>
        </w:rPr>
      </w:pPr>
      <w:bookmarkStart w:id="844" w:name="_Toc27674"/>
      <w:bookmarkStart w:id="845" w:name="_Toc18401"/>
      <w:r>
        <w:rPr>
          <w:rFonts w:hint="eastAsia" w:ascii="仿宋" w:hAnsi="仿宋" w:eastAsia="仿宋" w:cs="仿宋"/>
          <w:sz w:val="24"/>
        </w:rPr>
        <w:t>2.15.2以当面交付方式送达的，交付之时视为送达；以电子邮件方式送达的，发出电子邮件之时视为送达；以传真方式送达的，发出传真之时视为送达；以邮寄方式送达的，邮件挂号寄出或者交邮之日之次日视为送达。</w:t>
      </w:r>
      <w:bookmarkEnd w:id="844"/>
      <w:bookmarkEnd w:id="845"/>
    </w:p>
    <w:p>
      <w:pPr>
        <w:spacing w:line="560" w:lineRule="exact"/>
        <w:ind w:firstLine="482" w:firstLineChars="200"/>
        <w:outlineLvl w:val="0"/>
        <w:rPr>
          <w:rFonts w:ascii="仿宋" w:hAnsi="仿宋" w:eastAsia="仿宋" w:cs="仿宋"/>
          <w:b/>
          <w:bCs/>
          <w:sz w:val="24"/>
        </w:rPr>
      </w:pPr>
      <w:bookmarkStart w:id="846" w:name="_Toc5063"/>
      <w:bookmarkStart w:id="847" w:name="_Toc27644"/>
      <w:bookmarkStart w:id="848" w:name="_Toc12254"/>
      <w:bookmarkStart w:id="849" w:name="_Toc15336"/>
      <w:bookmarkStart w:id="850" w:name="_Toc17088"/>
      <w:bookmarkStart w:id="851" w:name="_Toc20808"/>
      <w:bookmarkStart w:id="852" w:name="_Toc10923"/>
      <w:bookmarkStart w:id="853" w:name="_Toc28906"/>
      <w:bookmarkStart w:id="854" w:name="_Toc23017"/>
      <w:r>
        <w:rPr>
          <w:rFonts w:hint="eastAsia" w:ascii="仿宋" w:hAnsi="仿宋" w:eastAsia="仿宋" w:cs="仿宋"/>
          <w:b/>
          <w:bCs/>
          <w:sz w:val="24"/>
        </w:rPr>
        <w:t>2.16 合同使用的文字和适用的法律</w:t>
      </w:r>
      <w:bookmarkEnd w:id="846"/>
      <w:bookmarkEnd w:id="847"/>
      <w:bookmarkEnd w:id="848"/>
      <w:bookmarkEnd w:id="849"/>
      <w:bookmarkEnd w:id="850"/>
      <w:bookmarkEnd w:id="851"/>
      <w:bookmarkEnd w:id="852"/>
      <w:bookmarkEnd w:id="853"/>
      <w:bookmarkEnd w:id="854"/>
    </w:p>
    <w:p>
      <w:pPr>
        <w:spacing w:line="560" w:lineRule="exact"/>
        <w:ind w:firstLine="480" w:firstLineChars="200"/>
        <w:rPr>
          <w:rFonts w:ascii="仿宋" w:hAnsi="仿宋" w:eastAsia="仿宋" w:cs="仿宋"/>
          <w:sz w:val="24"/>
        </w:rPr>
      </w:pPr>
      <w:r>
        <w:rPr>
          <w:rFonts w:hint="eastAsia" w:ascii="仿宋" w:hAnsi="仿宋" w:eastAsia="仿宋" w:cs="仿宋"/>
          <w:sz w:val="24"/>
        </w:rPr>
        <w:t>2.16.1 合同使用汉语书就、变更和解释；</w:t>
      </w:r>
    </w:p>
    <w:p>
      <w:pPr>
        <w:spacing w:line="560" w:lineRule="exact"/>
        <w:ind w:firstLine="480" w:firstLineChars="200"/>
        <w:rPr>
          <w:rFonts w:ascii="仿宋" w:hAnsi="仿宋" w:eastAsia="仿宋" w:cs="仿宋"/>
          <w:sz w:val="24"/>
        </w:rPr>
      </w:pPr>
      <w:r>
        <w:rPr>
          <w:rFonts w:hint="eastAsia" w:ascii="仿宋" w:hAnsi="仿宋" w:eastAsia="仿宋" w:cs="仿宋"/>
          <w:sz w:val="24"/>
        </w:rPr>
        <w:t>2.16.2 合同适用中华人民共和国法律。</w:t>
      </w:r>
    </w:p>
    <w:p>
      <w:pPr>
        <w:spacing w:line="560" w:lineRule="exact"/>
        <w:ind w:firstLine="482" w:firstLineChars="200"/>
        <w:outlineLvl w:val="0"/>
        <w:rPr>
          <w:rFonts w:ascii="仿宋" w:hAnsi="仿宋" w:eastAsia="仿宋" w:cs="仿宋"/>
          <w:b/>
          <w:bCs/>
          <w:sz w:val="24"/>
        </w:rPr>
      </w:pPr>
      <w:bookmarkStart w:id="855" w:name="_Toc5375"/>
      <w:bookmarkStart w:id="856" w:name="_Toc27403"/>
      <w:bookmarkStart w:id="857" w:name="_Toc1492"/>
      <w:bookmarkStart w:id="858" w:name="_Toc30096"/>
      <w:bookmarkStart w:id="859" w:name="_Toc22661"/>
      <w:bookmarkStart w:id="860" w:name="_Toc27127"/>
      <w:bookmarkStart w:id="861" w:name="_Toc7021"/>
      <w:bookmarkStart w:id="862" w:name="_Toc22266"/>
      <w:bookmarkStart w:id="863" w:name="_Toc5613"/>
      <w:r>
        <w:rPr>
          <w:rFonts w:hint="eastAsia" w:ascii="仿宋" w:hAnsi="仿宋" w:eastAsia="仿宋" w:cs="仿宋"/>
          <w:b/>
          <w:bCs/>
          <w:sz w:val="24"/>
        </w:rPr>
        <w:t>2.17 履约保证金</w:t>
      </w:r>
      <w:bookmarkEnd w:id="855"/>
      <w:bookmarkEnd w:id="856"/>
      <w:bookmarkEnd w:id="857"/>
      <w:bookmarkEnd w:id="858"/>
      <w:bookmarkEnd w:id="859"/>
      <w:bookmarkEnd w:id="860"/>
      <w:bookmarkEnd w:id="861"/>
      <w:bookmarkEnd w:id="862"/>
      <w:bookmarkEnd w:id="863"/>
    </w:p>
    <w:p>
      <w:pPr>
        <w:spacing w:line="560" w:lineRule="exact"/>
        <w:ind w:firstLine="480" w:firstLineChars="200"/>
        <w:rPr>
          <w:rFonts w:ascii="仿宋" w:hAnsi="仿宋" w:eastAsia="仿宋" w:cs="仿宋"/>
          <w:color w:val="0000FF"/>
          <w:sz w:val="24"/>
        </w:rPr>
      </w:pPr>
      <w:r>
        <w:rPr>
          <w:rFonts w:hint="eastAsia" w:ascii="仿宋" w:hAnsi="仿宋" w:eastAsia="仿宋" w:cs="仿宋"/>
          <w:sz w:val="24"/>
        </w:rPr>
        <w:t>2.17.1 采购文件要求乙方提交履约保证金的，乙方应按合同金额的</w:t>
      </w:r>
      <w:r>
        <w:rPr>
          <w:rFonts w:hint="eastAsia" w:ascii="仿宋" w:hAnsi="仿宋" w:eastAsia="仿宋" w:cs="仿宋"/>
          <w:sz w:val="24"/>
          <w:u w:val="single"/>
        </w:rPr>
        <w:t xml:space="preserve">       </w:t>
      </w:r>
      <w:r>
        <w:rPr>
          <w:rFonts w:hint="eastAsia" w:ascii="仿宋" w:hAnsi="仿宋" w:eastAsia="仿宋" w:cs="仿宋"/>
          <w:sz w:val="24"/>
        </w:rPr>
        <w:t>计算向下取整至万元，以支票、汇票或者转账等非现金形式，在签订合同前5个日历日内向采购人交纳履约保证金；</w:t>
      </w:r>
    </w:p>
    <w:p>
      <w:pPr>
        <w:spacing w:line="560" w:lineRule="exact"/>
        <w:ind w:firstLine="480" w:firstLineChars="200"/>
        <w:rPr>
          <w:rFonts w:ascii="仿宋" w:hAnsi="仿宋" w:eastAsia="仿宋" w:cs="仿宋"/>
          <w:sz w:val="24"/>
        </w:rPr>
      </w:pPr>
      <w:r>
        <w:rPr>
          <w:rFonts w:hint="eastAsia" w:ascii="仿宋" w:hAnsi="仿宋" w:eastAsia="仿宋" w:cs="仿宋"/>
          <w:sz w:val="24"/>
        </w:rPr>
        <w:t>2.17.2 履约保证金在项</w:t>
      </w:r>
      <w:r>
        <w:rPr>
          <w:rFonts w:hint="eastAsia" w:ascii="仿宋" w:hAnsi="仿宋" w:eastAsia="仿宋" w:cs="仿宋"/>
          <w:color w:val="auto"/>
          <w:sz w:val="24"/>
        </w:rPr>
        <w:t>目竣工3</w:t>
      </w:r>
      <w:r>
        <w:rPr>
          <w:rFonts w:hint="eastAsia" w:ascii="仿宋" w:hAnsi="仿宋" w:eastAsia="仿宋" w:cs="仿宋"/>
          <w:sz w:val="24"/>
        </w:rPr>
        <w:t>个月验收合格后5个工作日内，将履约保证金退还乙方；</w:t>
      </w:r>
    </w:p>
    <w:p>
      <w:pPr>
        <w:spacing w:line="560" w:lineRule="exact"/>
        <w:ind w:firstLine="480" w:firstLineChars="200"/>
        <w:rPr>
          <w:rFonts w:ascii="仿宋" w:hAnsi="仿宋" w:eastAsia="仿宋" w:cs="仿宋"/>
          <w:sz w:val="24"/>
        </w:rPr>
      </w:pPr>
      <w:r>
        <w:rPr>
          <w:rFonts w:hint="eastAsia" w:ascii="仿宋" w:hAnsi="仿宋" w:eastAsia="仿宋" w:cs="仿宋"/>
          <w:sz w:val="24"/>
        </w:rPr>
        <w:t>2.17.3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560" w:lineRule="exact"/>
        <w:ind w:firstLine="482" w:firstLineChars="200"/>
        <w:rPr>
          <w:rFonts w:ascii="仿宋" w:hAnsi="仿宋" w:eastAsia="仿宋" w:cs="仿宋"/>
          <w:b/>
          <w:bCs/>
          <w:sz w:val="24"/>
        </w:rPr>
      </w:pPr>
      <w:r>
        <w:rPr>
          <w:rFonts w:hint="eastAsia" w:ascii="仿宋" w:hAnsi="仿宋" w:eastAsia="仿宋" w:cs="仿宋"/>
          <w:b/>
          <w:bCs/>
          <w:sz w:val="24"/>
        </w:rPr>
        <w:t>2.18 合同份数</w:t>
      </w:r>
    </w:p>
    <w:p>
      <w:pPr>
        <w:spacing w:line="560" w:lineRule="exact"/>
        <w:ind w:firstLine="480" w:firstLineChars="200"/>
        <w:rPr>
          <w:rFonts w:ascii="仿宋" w:hAnsi="仿宋" w:eastAsia="仿宋" w:cs="仿宋"/>
          <w:sz w:val="24"/>
        </w:rPr>
      </w:pPr>
      <w:r>
        <w:rPr>
          <w:rFonts w:hint="eastAsia" w:ascii="仿宋" w:hAnsi="仿宋" w:eastAsia="仿宋" w:cs="仿宋"/>
          <w:sz w:val="24"/>
        </w:rPr>
        <w:t>合同一式</w:t>
      </w:r>
      <w:r>
        <w:rPr>
          <w:rFonts w:hint="eastAsia" w:ascii="仿宋" w:hAnsi="仿宋" w:eastAsia="仿宋" w:cs="仿宋"/>
          <w:sz w:val="24"/>
          <w:lang w:val="en-US" w:eastAsia="zh-CN"/>
        </w:rPr>
        <w:t>陆</w:t>
      </w:r>
      <w:r>
        <w:rPr>
          <w:rFonts w:hint="eastAsia" w:ascii="仿宋" w:hAnsi="仿宋" w:eastAsia="仿宋" w:cs="仿宋"/>
          <w:sz w:val="24"/>
        </w:rPr>
        <w:t>份，甲乙双方各持</w:t>
      </w:r>
      <w:r>
        <w:rPr>
          <w:rFonts w:hint="eastAsia" w:ascii="仿宋" w:hAnsi="仿宋" w:eastAsia="仿宋" w:cs="仿宋"/>
          <w:sz w:val="24"/>
          <w:lang w:val="en-US" w:eastAsia="zh-CN"/>
        </w:rPr>
        <w:t>3</w:t>
      </w:r>
      <w:r>
        <w:rPr>
          <w:rFonts w:hint="eastAsia" w:ascii="仿宋" w:hAnsi="仿宋" w:eastAsia="仿宋" w:cs="仿宋"/>
          <w:sz w:val="24"/>
        </w:rPr>
        <w:t>份，每份均具有同等法律效力。</w:t>
      </w:r>
    </w:p>
    <w:p>
      <w:pPr>
        <w:pStyle w:val="11"/>
        <w:rPr>
          <w:rFonts w:ascii="仿宋" w:hAnsi="仿宋" w:eastAsia="仿宋" w:cs="仿宋"/>
          <w:sz w:val="28"/>
          <w:szCs w:val="21"/>
          <w:highlight w:val="red"/>
        </w:rPr>
      </w:pPr>
    </w:p>
    <w:p>
      <w:pPr>
        <w:pStyle w:val="11"/>
        <w:rPr>
          <w:rFonts w:ascii="仿宋" w:hAnsi="仿宋" w:eastAsia="仿宋" w:cs="仿宋"/>
          <w:kern w:val="44"/>
          <w:sz w:val="28"/>
          <w:szCs w:val="28"/>
        </w:rPr>
      </w:pPr>
      <w:r>
        <w:rPr>
          <w:rFonts w:hint="eastAsia" w:ascii="仿宋" w:hAnsi="仿宋" w:eastAsia="仿宋" w:cs="仿宋"/>
          <w:b/>
          <w:bCs/>
          <w:kern w:val="2"/>
          <w:sz w:val="32"/>
          <w:szCs w:val="32"/>
        </w:rPr>
        <w:t>（本合同仅供参考）</w:t>
      </w:r>
    </w:p>
    <w:p>
      <w:pPr>
        <w:pStyle w:val="4"/>
        <w:ind w:firstLine="560"/>
        <w:rPr>
          <w:rFonts w:ascii="仿宋" w:hAnsi="仿宋" w:eastAsia="仿宋" w:cs="仿宋"/>
          <w:kern w:val="44"/>
          <w:sz w:val="28"/>
          <w:szCs w:val="28"/>
        </w:rPr>
      </w:pPr>
    </w:p>
    <w:p>
      <w:pPr>
        <w:pStyle w:val="3"/>
        <w:ind w:firstLine="560"/>
        <w:rPr>
          <w:rFonts w:ascii="仿宋" w:hAnsi="仿宋" w:eastAsia="仿宋" w:cs="仿宋"/>
          <w:kern w:val="44"/>
          <w:sz w:val="28"/>
          <w:szCs w:val="28"/>
        </w:rPr>
      </w:pPr>
    </w:p>
    <w:p>
      <w:pPr>
        <w:pStyle w:val="4"/>
        <w:ind w:firstLine="560"/>
        <w:rPr>
          <w:rFonts w:ascii="仿宋" w:hAnsi="仿宋" w:eastAsia="仿宋" w:cs="仿宋"/>
          <w:kern w:val="44"/>
          <w:sz w:val="28"/>
          <w:szCs w:val="28"/>
        </w:rPr>
      </w:pPr>
    </w:p>
    <w:p>
      <w:pPr>
        <w:pStyle w:val="3"/>
        <w:ind w:firstLine="560"/>
        <w:rPr>
          <w:rFonts w:ascii="仿宋" w:hAnsi="仿宋" w:eastAsia="仿宋" w:cs="仿宋"/>
          <w:kern w:val="44"/>
          <w:sz w:val="28"/>
          <w:szCs w:val="28"/>
        </w:rPr>
      </w:pPr>
    </w:p>
    <w:p>
      <w:pPr>
        <w:pStyle w:val="4"/>
        <w:ind w:firstLine="560"/>
        <w:rPr>
          <w:rFonts w:ascii="仿宋" w:hAnsi="仿宋" w:eastAsia="仿宋" w:cs="仿宋"/>
          <w:kern w:val="44"/>
          <w:sz w:val="28"/>
          <w:szCs w:val="28"/>
        </w:rPr>
      </w:pPr>
    </w:p>
    <w:p>
      <w:pPr>
        <w:pStyle w:val="3"/>
        <w:ind w:firstLine="560"/>
        <w:rPr>
          <w:rFonts w:ascii="仿宋" w:hAnsi="仿宋" w:eastAsia="仿宋" w:cs="仿宋"/>
          <w:kern w:val="44"/>
          <w:sz w:val="28"/>
          <w:szCs w:val="28"/>
        </w:rPr>
      </w:pPr>
    </w:p>
    <w:p>
      <w:pPr>
        <w:pStyle w:val="8"/>
        <w:spacing w:before="0" w:line="240" w:lineRule="atLeast"/>
        <w:jc w:val="both"/>
        <w:outlineLvl w:val="9"/>
        <w:rPr>
          <w:rFonts w:ascii="仿宋" w:hAnsi="仿宋" w:eastAsia="仿宋" w:cs="仿宋"/>
          <w:sz w:val="24"/>
        </w:rPr>
      </w:pPr>
    </w:p>
    <w:sectPr>
      <w:headerReference r:id="rId7" w:type="default"/>
      <w:footerReference r:id="rId8" w:type="default"/>
      <w:pgSz w:w="11907" w:h="16840"/>
      <w:pgMar w:top="1474" w:right="1814" w:bottom="1474" w:left="1814"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8</w:t>
                    </w:r>
                    <w:r>
                      <w:fldChar w:fldCharType="end"/>
                    </w:r>
                  </w:p>
                </w:txbxContent>
              </v:textbox>
            </v:shape>
          </w:pict>
        </mc:Fallback>
      </mc:AlternateContent>
    </w:r>
  </w:p>
  <w:p>
    <w:pPr>
      <w:pStyle w:val="2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70</w:t>
                    </w:r>
                    <w:r>
                      <w:fldChar w:fldCharType="end"/>
                    </w:r>
                  </w:p>
                </w:txbxContent>
              </v:textbox>
            </v:shape>
          </w:pict>
        </mc:Fallback>
      </mc:AlternateContent>
    </w:r>
  </w:p>
  <w:p>
    <w:pPr>
      <w:pStyle w:val="2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C3715F"/>
    <w:multiLevelType w:val="singleLevel"/>
    <w:tmpl w:val="E9C3715F"/>
    <w:lvl w:ilvl="0" w:tentative="0">
      <w:start w:val="1"/>
      <w:numFmt w:val="decimal"/>
      <w:lvlText w:val="%1."/>
      <w:lvlJc w:val="left"/>
      <w:pPr>
        <w:tabs>
          <w:tab w:val="left" w:pos="312"/>
        </w:tabs>
      </w:pPr>
    </w:lvl>
  </w:abstractNum>
  <w:abstractNum w:abstractNumId="1">
    <w:nsid w:val="155E6A8F"/>
    <w:multiLevelType w:val="multilevel"/>
    <w:tmpl w:val="155E6A8F"/>
    <w:lvl w:ilvl="0" w:tentative="0">
      <w:start w:val="1"/>
      <w:numFmt w:val="decimal"/>
      <w:lvlText w:val="（%1）"/>
      <w:lvlJc w:val="left"/>
      <w:pPr>
        <w:tabs>
          <w:tab w:val="left" w:pos="1571"/>
        </w:tabs>
        <w:ind w:left="1511" w:hanging="720"/>
      </w:pPr>
      <w:rPr>
        <w:rFonts w:ascii="仿宋_GB2312" w:hAnsi="宋体" w:eastAsia="仿宋_GB2312" w:cs="Times New Roman"/>
      </w:rPr>
    </w:lvl>
    <w:lvl w:ilvl="1" w:tentative="0">
      <w:start w:val="1"/>
      <w:numFmt w:val="lowerLetter"/>
      <w:lvlText w:val="%2)"/>
      <w:lvlJc w:val="left"/>
      <w:pPr>
        <w:tabs>
          <w:tab w:val="left" w:pos="1739"/>
        </w:tabs>
        <w:ind w:left="1679" w:hanging="420"/>
      </w:pPr>
    </w:lvl>
    <w:lvl w:ilvl="2" w:tentative="0">
      <w:start w:val="1"/>
      <w:numFmt w:val="lowerRoman"/>
      <w:lvlText w:val="%3."/>
      <w:lvlJc w:val="right"/>
      <w:pPr>
        <w:tabs>
          <w:tab w:val="left" w:pos="2159"/>
        </w:tabs>
        <w:ind w:left="2099" w:hanging="420"/>
      </w:pPr>
    </w:lvl>
    <w:lvl w:ilvl="3" w:tentative="0">
      <w:start w:val="1"/>
      <w:numFmt w:val="decimal"/>
      <w:lvlText w:val="%4."/>
      <w:lvlJc w:val="left"/>
      <w:pPr>
        <w:tabs>
          <w:tab w:val="left" w:pos="2579"/>
        </w:tabs>
        <w:ind w:left="2519" w:hanging="420"/>
      </w:pPr>
    </w:lvl>
    <w:lvl w:ilvl="4" w:tentative="0">
      <w:start w:val="1"/>
      <w:numFmt w:val="lowerLetter"/>
      <w:lvlText w:val="%5)"/>
      <w:lvlJc w:val="left"/>
      <w:pPr>
        <w:tabs>
          <w:tab w:val="left" w:pos="2999"/>
        </w:tabs>
        <w:ind w:left="2939" w:hanging="420"/>
      </w:pPr>
    </w:lvl>
    <w:lvl w:ilvl="5" w:tentative="0">
      <w:start w:val="1"/>
      <w:numFmt w:val="lowerRoman"/>
      <w:lvlText w:val="%6."/>
      <w:lvlJc w:val="right"/>
      <w:pPr>
        <w:tabs>
          <w:tab w:val="left" w:pos="3419"/>
        </w:tabs>
        <w:ind w:left="3359" w:hanging="420"/>
      </w:pPr>
    </w:lvl>
    <w:lvl w:ilvl="6" w:tentative="0">
      <w:start w:val="1"/>
      <w:numFmt w:val="decimal"/>
      <w:lvlText w:val="%7."/>
      <w:lvlJc w:val="left"/>
      <w:pPr>
        <w:tabs>
          <w:tab w:val="left" w:pos="3839"/>
        </w:tabs>
        <w:ind w:left="3779" w:hanging="420"/>
      </w:pPr>
    </w:lvl>
    <w:lvl w:ilvl="7" w:tentative="0">
      <w:start w:val="1"/>
      <w:numFmt w:val="lowerLetter"/>
      <w:lvlText w:val="%8)"/>
      <w:lvlJc w:val="left"/>
      <w:pPr>
        <w:tabs>
          <w:tab w:val="left" w:pos="4259"/>
        </w:tabs>
        <w:ind w:left="4199" w:hanging="420"/>
      </w:pPr>
    </w:lvl>
    <w:lvl w:ilvl="8" w:tentative="0">
      <w:start w:val="1"/>
      <w:numFmt w:val="lowerRoman"/>
      <w:lvlText w:val="%9."/>
      <w:lvlJc w:val="right"/>
      <w:pPr>
        <w:tabs>
          <w:tab w:val="left" w:pos="4679"/>
        </w:tabs>
        <w:ind w:left="4619" w:hanging="420"/>
      </w:pPr>
    </w:lvl>
  </w:abstractNum>
  <w:abstractNum w:abstractNumId="2">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
    <w:nsid w:val="2A91BA1F"/>
    <w:multiLevelType w:val="singleLevel"/>
    <w:tmpl w:val="2A91BA1F"/>
    <w:lvl w:ilvl="0" w:tentative="0">
      <w:start w:val="3"/>
      <w:numFmt w:val="decimal"/>
      <w:suff w:val="space"/>
      <w:lvlText w:val="第%1章"/>
      <w:lvlJc w:val="left"/>
    </w:lvl>
  </w:abstractNum>
  <w:abstractNum w:abstractNumId="4">
    <w:nsid w:val="41DF016E"/>
    <w:multiLevelType w:val="singleLevel"/>
    <w:tmpl w:val="41DF016E"/>
    <w:lvl w:ilvl="0" w:tentative="0">
      <w:start w:val="2"/>
      <w:numFmt w:val="chineseCounting"/>
      <w:suff w:val="space"/>
      <w:lvlText w:val="第%1部分"/>
      <w:lvlJc w:val="left"/>
      <w:rPr>
        <w:rFonts w:hint="eastAsia"/>
      </w:rPr>
    </w:lvl>
  </w:abstractNum>
  <w:abstractNum w:abstractNumId="5">
    <w:nsid w:val="53F98F85"/>
    <w:multiLevelType w:val="singleLevel"/>
    <w:tmpl w:val="53F98F85"/>
    <w:lvl w:ilvl="0" w:tentative="0">
      <w:start w:val="2"/>
      <w:numFmt w:val="chineseCounting"/>
      <w:suff w:val="nothing"/>
      <w:lvlText w:val="（%1）"/>
      <w:lvlJc w:val="left"/>
    </w:lvl>
  </w:abstractNum>
  <w:abstractNum w:abstractNumId="6">
    <w:nsid w:val="6B02DAB2"/>
    <w:multiLevelType w:val="singleLevel"/>
    <w:tmpl w:val="6B02DAB2"/>
    <w:lvl w:ilvl="0" w:tentative="0">
      <w:start w:val="3"/>
      <w:numFmt w:val="chineseCounting"/>
      <w:pStyle w:val="49"/>
      <w:suff w:val="nothing"/>
      <w:lvlText w:val="%1、"/>
      <w:lvlJc w:val="left"/>
      <w:rPr>
        <w:rFonts w:hint="eastAsia"/>
      </w:rPr>
    </w:lvl>
  </w:abstractNum>
  <w:num w:numId="1">
    <w:abstractNumId w:val="6"/>
  </w:num>
  <w:num w:numId="2">
    <w:abstractNumId w:val="2"/>
  </w:num>
  <w:num w:numId="3">
    <w:abstractNumId w:val="3"/>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MjljNGJjYzI5MzE1MDlkODM5MGY5YzNkM2EzYjkzNjYifQ=="/>
    <w:docVar w:name="KSO_WPS_MARK_KEY" w:val="220804f1-8066-4e4c-b350-7948679ff49e"/>
    <w:docVar w:name="VTCASE" w:val="4"/>
    <w:docVar w:name="VTCommandPending" w:val="NONE"/>
  </w:docVars>
  <w:rsids>
    <w:rsidRoot w:val="00887D93"/>
    <w:rsid w:val="000004CD"/>
    <w:rsid w:val="000005B8"/>
    <w:rsid w:val="00001783"/>
    <w:rsid w:val="00001797"/>
    <w:rsid w:val="0000273B"/>
    <w:rsid w:val="000041A8"/>
    <w:rsid w:val="000055D7"/>
    <w:rsid w:val="00006340"/>
    <w:rsid w:val="0001529F"/>
    <w:rsid w:val="000157E2"/>
    <w:rsid w:val="0001697A"/>
    <w:rsid w:val="000169E1"/>
    <w:rsid w:val="00020D78"/>
    <w:rsid w:val="00021486"/>
    <w:rsid w:val="00021AE8"/>
    <w:rsid w:val="00022E94"/>
    <w:rsid w:val="000232D5"/>
    <w:rsid w:val="00023E81"/>
    <w:rsid w:val="000240E4"/>
    <w:rsid w:val="000313B5"/>
    <w:rsid w:val="000320BA"/>
    <w:rsid w:val="00032B95"/>
    <w:rsid w:val="000333A8"/>
    <w:rsid w:val="000434F9"/>
    <w:rsid w:val="00043533"/>
    <w:rsid w:val="00045D67"/>
    <w:rsid w:val="000535DA"/>
    <w:rsid w:val="000538CC"/>
    <w:rsid w:val="000541C7"/>
    <w:rsid w:val="00054A8E"/>
    <w:rsid w:val="000559E5"/>
    <w:rsid w:val="00056583"/>
    <w:rsid w:val="00056932"/>
    <w:rsid w:val="00057BB2"/>
    <w:rsid w:val="0006019D"/>
    <w:rsid w:val="000612B3"/>
    <w:rsid w:val="00061B68"/>
    <w:rsid w:val="00063750"/>
    <w:rsid w:val="00064C17"/>
    <w:rsid w:val="00065379"/>
    <w:rsid w:val="0006726A"/>
    <w:rsid w:val="000673C5"/>
    <w:rsid w:val="0007042A"/>
    <w:rsid w:val="00070907"/>
    <w:rsid w:val="000719AB"/>
    <w:rsid w:val="00072878"/>
    <w:rsid w:val="00073852"/>
    <w:rsid w:val="0007473A"/>
    <w:rsid w:val="00076670"/>
    <w:rsid w:val="00077B52"/>
    <w:rsid w:val="00080B56"/>
    <w:rsid w:val="00080FC7"/>
    <w:rsid w:val="00081D11"/>
    <w:rsid w:val="00083115"/>
    <w:rsid w:val="00093645"/>
    <w:rsid w:val="00096150"/>
    <w:rsid w:val="00096F54"/>
    <w:rsid w:val="000A0225"/>
    <w:rsid w:val="000A31C4"/>
    <w:rsid w:val="000A3727"/>
    <w:rsid w:val="000A49C1"/>
    <w:rsid w:val="000A799B"/>
    <w:rsid w:val="000B3242"/>
    <w:rsid w:val="000B3392"/>
    <w:rsid w:val="000B362F"/>
    <w:rsid w:val="000B366A"/>
    <w:rsid w:val="000B6C50"/>
    <w:rsid w:val="000C024A"/>
    <w:rsid w:val="000C0FDF"/>
    <w:rsid w:val="000C3524"/>
    <w:rsid w:val="000C5071"/>
    <w:rsid w:val="000C55ED"/>
    <w:rsid w:val="000C6F86"/>
    <w:rsid w:val="000D1613"/>
    <w:rsid w:val="000D19C1"/>
    <w:rsid w:val="000D31E3"/>
    <w:rsid w:val="000D4E69"/>
    <w:rsid w:val="000D5125"/>
    <w:rsid w:val="000D7812"/>
    <w:rsid w:val="000E1288"/>
    <w:rsid w:val="000E3784"/>
    <w:rsid w:val="000E37E0"/>
    <w:rsid w:val="000E47A0"/>
    <w:rsid w:val="000E597F"/>
    <w:rsid w:val="000E5BFC"/>
    <w:rsid w:val="000E6393"/>
    <w:rsid w:val="000E694F"/>
    <w:rsid w:val="000E7158"/>
    <w:rsid w:val="000F137C"/>
    <w:rsid w:val="000F2D05"/>
    <w:rsid w:val="000F2EEE"/>
    <w:rsid w:val="000F4234"/>
    <w:rsid w:val="000F6215"/>
    <w:rsid w:val="000F63C8"/>
    <w:rsid w:val="000F6581"/>
    <w:rsid w:val="00102417"/>
    <w:rsid w:val="001032CC"/>
    <w:rsid w:val="00105B0B"/>
    <w:rsid w:val="00112163"/>
    <w:rsid w:val="00114579"/>
    <w:rsid w:val="00115BF1"/>
    <w:rsid w:val="0012032C"/>
    <w:rsid w:val="0012244B"/>
    <w:rsid w:val="001224B5"/>
    <w:rsid w:val="00122643"/>
    <w:rsid w:val="0012425B"/>
    <w:rsid w:val="001244F8"/>
    <w:rsid w:val="001247F0"/>
    <w:rsid w:val="001252D8"/>
    <w:rsid w:val="00125710"/>
    <w:rsid w:val="001257D4"/>
    <w:rsid w:val="001259BC"/>
    <w:rsid w:val="001275DA"/>
    <w:rsid w:val="00131E0D"/>
    <w:rsid w:val="0013359E"/>
    <w:rsid w:val="001365D8"/>
    <w:rsid w:val="00137694"/>
    <w:rsid w:val="00141B26"/>
    <w:rsid w:val="00141EAC"/>
    <w:rsid w:val="001433AC"/>
    <w:rsid w:val="00143652"/>
    <w:rsid w:val="0014627C"/>
    <w:rsid w:val="001572B8"/>
    <w:rsid w:val="00157C74"/>
    <w:rsid w:val="001602F6"/>
    <w:rsid w:val="00161678"/>
    <w:rsid w:val="00162805"/>
    <w:rsid w:val="00165014"/>
    <w:rsid w:val="0017180F"/>
    <w:rsid w:val="001733C3"/>
    <w:rsid w:val="00173BFF"/>
    <w:rsid w:val="00174749"/>
    <w:rsid w:val="00174FCA"/>
    <w:rsid w:val="00175AFB"/>
    <w:rsid w:val="00176F12"/>
    <w:rsid w:val="001770BE"/>
    <w:rsid w:val="00177A3E"/>
    <w:rsid w:val="00180E88"/>
    <w:rsid w:val="00183E4B"/>
    <w:rsid w:val="00187B13"/>
    <w:rsid w:val="00187EB4"/>
    <w:rsid w:val="00192332"/>
    <w:rsid w:val="00193BB3"/>
    <w:rsid w:val="00196FA0"/>
    <w:rsid w:val="001A3B44"/>
    <w:rsid w:val="001A5EEB"/>
    <w:rsid w:val="001A62A5"/>
    <w:rsid w:val="001A7DAE"/>
    <w:rsid w:val="001B28F7"/>
    <w:rsid w:val="001B4216"/>
    <w:rsid w:val="001B49A4"/>
    <w:rsid w:val="001B4E60"/>
    <w:rsid w:val="001B521B"/>
    <w:rsid w:val="001B5CC8"/>
    <w:rsid w:val="001B6587"/>
    <w:rsid w:val="001B7CB1"/>
    <w:rsid w:val="001C0582"/>
    <w:rsid w:val="001C058D"/>
    <w:rsid w:val="001C26FB"/>
    <w:rsid w:val="001C54C3"/>
    <w:rsid w:val="001C577E"/>
    <w:rsid w:val="001C6EF0"/>
    <w:rsid w:val="001D027D"/>
    <w:rsid w:val="001D4A1E"/>
    <w:rsid w:val="001D65C4"/>
    <w:rsid w:val="001D70E9"/>
    <w:rsid w:val="001E181E"/>
    <w:rsid w:val="001E3F03"/>
    <w:rsid w:val="001E44EF"/>
    <w:rsid w:val="001E6C1A"/>
    <w:rsid w:val="001E7629"/>
    <w:rsid w:val="001E7E8B"/>
    <w:rsid w:val="001F2F0B"/>
    <w:rsid w:val="001F3130"/>
    <w:rsid w:val="001F5442"/>
    <w:rsid w:val="001F5903"/>
    <w:rsid w:val="001F5D14"/>
    <w:rsid w:val="001F7292"/>
    <w:rsid w:val="002001DC"/>
    <w:rsid w:val="00201CA5"/>
    <w:rsid w:val="00203778"/>
    <w:rsid w:val="0020407A"/>
    <w:rsid w:val="00205A72"/>
    <w:rsid w:val="00207F4A"/>
    <w:rsid w:val="00210AE7"/>
    <w:rsid w:val="002123C7"/>
    <w:rsid w:val="00213411"/>
    <w:rsid w:val="00216D4F"/>
    <w:rsid w:val="00216E43"/>
    <w:rsid w:val="00220866"/>
    <w:rsid w:val="002231A4"/>
    <w:rsid w:val="00223245"/>
    <w:rsid w:val="00224447"/>
    <w:rsid w:val="00224A77"/>
    <w:rsid w:val="00225665"/>
    <w:rsid w:val="0022671D"/>
    <w:rsid w:val="0023090E"/>
    <w:rsid w:val="00231C64"/>
    <w:rsid w:val="0023318A"/>
    <w:rsid w:val="00236A9B"/>
    <w:rsid w:val="0023715B"/>
    <w:rsid w:val="00237592"/>
    <w:rsid w:val="0024245D"/>
    <w:rsid w:val="00244A0E"/>
    <w:rsid w:val="00244F73"/>
    <w:rsid w:val="002466E9"/>
    <w:rsid w:val="0025092A"/>
    <w:rsid w:val="002509CA"/>
    <w:rsid w:val="00251A29"/>
    <w:rsid w:val="00251B89"/>
    <w:rsid w:val="00252D27"/>
    <w:rsid w:val="00253615"/>
    <w:rsid w:val="00253950"/>
    <w:rsid w:val="00254F7E"/>
    <w:rsid w:val="0025569E"/>
    <w:rsid w:val="002564FE"/>
    <w:rsid w:val="002603EB"/>
    <w:rsid w:val="00261FEB"/>
    <w:rsid w:val="00264327"/>
    <w:rsid w:val="002650F1"/>
    <w:rsid w:val="00266403"/>
    <w:rsid w:val="00266406"/>
    <w:rsid w:val="0026674D"/>
    <w:rsid w:val="002679CA"/>
    <w:rsid w:val="00272722"/>
    <w:rsid w:val="002745E7"/>
    <w:rsid w:val="002760AC"/>
    <w:rsid w:val="00277935"/>
    <w:rsid w:val="00277E8E"/>
    <w:rsid w:val="00280DD6"/>
    <w:rsid w:val="00281AF5"/>
    <w:rsid w:val="00282496"/>
    <w:rsid w:val="002825A0"/>
    <w:rsid w:val="00282E7B"/>
    <w:rsid w:val="00283033"/>
    <w:rsid w:val="00283122"/>
    <w:rsid w:val="002854DC"/>
    <w:rsid w:val="0028616B"/>
    <w:rsid w:val="00290CDE"/>
    <w:rsid w:val="00290DE2"/>
    <w:rsid w:val="0029397A"/>
    <w:rsid w:val="002A1899"/>
    <w:rsid w:val="002A2315"/>
    <w:rsid w:val="002A3153"/>
    <w:rsid w:val="002A566C"/>
    <w:rsid w:val="002A6C9C"/>
    <w:rsid w:val="002B328F"/>
    <w:rsid w:val="002C10AC"/>
    <w:rsid w:val="002C12B1"/>
    <w:rsid w:val="002C2AE8"/>
    <w:rsid w:val="002C2FF3"/>
    <w:rsid w:val="002C3A5A"/>
    <w:rsid w:val="002C4ABE"/>
    <w:rsid w:val="002C71EC"/>
    <w:rsid w:val="002C7548"/>
    <w:rsid w:val="002C780B"/>
    <w:rsid w:val="002C7E47"/>
    <w:rsid w:val="002D2C13"/>
    <w:rsid w:val="002D2E66"/>
    <w:rsid w:val="002D2FFB"/>
    <w:rsid w:val="002D4E16"/>
    <w:rsid w:val="002D505C"/>
    <w:rsid w:val="002D5DF8"/>
    <w:rsid w:val="002D731D"/>
    <w:rsid w:val="002D7F8D"/>
    <w:rsid w:val="002E334D"/>
    <w:rsid w:val="002E486A"/>
    <w:rsid w:val="002E53C0"/>
    <w:rsid w:val="002E672F"/>
    <w:rsid w:val="002E766C"/>
    <w:rsid w:val="002F02C8"/>
    <w:rsid w:val="002F04FD"/>
    <w:rsid w:val="002F1B31"/>
    <w:rsid w:val="002F2D5F"/>
    <w:rsid w:val="002F46DC"/>
    <w:rsid w:val="002F5145"/>
    <w:rsid w:val="002F5CB9"/>
    <w:rsid w:val="002F683C"/>
    <w:rsid w:val="00302182"/>
    <w:rsid w:val="00306072"/>
    <w:rsid w:val="0030675F"/>
    <w:rsid w:val="0031140B"/>
    <w:rsid w:val="003117C6"/>
    <w:rsid w:val="00314E3D"/>
    <w:rsid w:val="00317120"/>
    <w:rsid w:val="0032100C"/>
    <w:rsid w:val="003212C2"/>
    <w:rsid w:val="00321921"/>
    <w:rsid w:val="00321926"/>
    <w:rsid w:val="0033060D"/>
    <w:rsid w:val="003318F3"/>
    <w:rsid w:val="00331ECA"/>
    <w:rsid w:val="00333919"/>
    <w:rsid w:val="00334F3E"/>
    <w:rsid w:val="003379AF"/>
    <w:rsid w:val="00337C5C"/>
    <w:rsid w:val="003408FF"/>
    <w:rsid w:val="0034126F"/>
    <w:rsid w:val="00343E4C"/>
    <w:rsid w:val="00351550"/>
    <w:rsid w:val="00352BC8"/>
    <w:rsid w:val="00354141"/>
    <w:rsid w:val="00355D82"/>
    <w:rsid w:val="00356CAF"/>
    <w:rsid w:val="003671F3"/>
    <w:rsid w:val="00367712"/>
    <w:rsid w:val="00367C88"/>
    <w:rsid w:val="00367DB2"/>
    <w:rsid w:val="0037053F"/>
    <w:rsid w:val="00370601"/>
    <w:rsid w:val="00370B19"/>
    <w:rsid w:val="00371C8C"/>
    <w:rsid w:val="00373408"/>
    <w:rsid w:val="003748EB"/>
    <w:rsid w:val="00374DDB"/>
    <w:rsid w:val="00375DCD"/>
    <w:rsid w:val="00376F36"/>
    <w:rsid w:val="003800A6"/>
    <w:rsid w:val="00380914"/>
    <w:rsid w:val="0038151E"/>
    <w:rsid w:val="00382451"/>
    <w:rsid w:val="00382FFA"/>
    <w:rsid w:val="00383B0A"/>
    <w:rsid w:val="0038469A"/>
    <w:rsid w:val="0038491D"/>
    <w:rsid w:val="00386B36"/>
    <w:rsid w:val="00387606"/>
    <w:rsid w:val="00387858"/>
    <w:rsid w:val="00391DD2"/>
    <w:rsid w:val="003925E1"/>
    <w:rsid w:val="00393D74"/>
    <w:rsid w:val="003943A7"/>
    <w:rsid w:val="00396041"/>
    <w:rsid w:val="003960FB"/>
    <w:rsid w:val="00396A66"/>
    <w:rsid w:val="003A1A69"/>
    <w:rsid w:val="003A37B8"/>
    <w:rsid w:val="003A582F"/>
    <w:rsid w:val="003A6B72"/>
    <w:rsid w:val="003B020F"/>
    <w:rsid w:val="003B3917"/>
    <w:rsid w:val="003B41D9"/>
    <w:rsid w:val="003B7293"/>
    <w:rsid w:val="003C53B2"/>
    <w:rsid w:val="003C6323"/>
    <w:rsid w:val="003C6422"/>
    <w:rsid w:val="003C6C9A"/>
    <w:rsid w:val="003D4037"/>
    <w:rsid w:val="003D54B8"/>
    <w:rsid w:val="003D6961"/>
    <w:rsid w:val="003E1168"/>
    <w:rsid w:val="003E2C77"/>
    <w:rsid w:val="003E2C89"/>
    <w:rsid w:val="003E3C14"/>
    <w:rsid w:val="003E5935"/>
    <w:rsid w:val="003E6516"/>
    <w:rsid w:val="003E747A"/>
    <w:rsid w:val="003F0149"/>
    <w:rsid w:val="003F11BD"/>
    <w:rsid w:val="003F123A"/>
    <w:rsid w:val="003F2550"/>
    <w:rsid w:val="003F3746"/>
    <w:rsid w:val="003F3B41"/>
    <w:rsid w:val="003F4748"/>
    <w:rsid w:val="003F61AC"/>
    <w:rsid w:val="00401267"/>
    <w:rsid w:val="00401B70"/>
    <w:rsid w:val="00402836"/>
    <w:rsid w:val="0040367C"/>
    <w:rsid w:val="00404B23"/>
    <w:rsid w:val="00405154"/>
    <w:rsid w:val="0040528B"/>
    <w:rsid w:val="00405BBF"/>
    <w:rsid w:val="00406E06"/>
    <w:rsid w:val="0041195F"/>
    <w:rsid w:val="0041238C"/>
    <w:rsid w:val="00412829"/>
    <w:rsid w:val="0041314E"/>
    <w:rsid w:val="00414EDB"/>
    <w:rsid w:val="004164DF"/>
    <w:rsid w:val="00416CBC"/>
    <w:rsid w:val="00420310"/>
    <w:rsid w:val="00422FBE"/>
    <w:rsid w:val="00425FB2"/>
    <w:rsid w:val="004261AF"/>
    <w:rsid w:val="00426BB0"/>
    <w:rsid w:val="00427258"/>
    <w:rsid w:val="004310A2"/>
    <w:rsid w:val="00431E68"/>
    <w:rsid w:val="00433EEA"/>
    <w:rsid w:val="0044012D"/>
    <w:rsid w:val="004408B0"/>
    <w:rsid w:val="004408EE"/>
    <w:rsid w:val="00441C7F"/>
    <w:rsid w:val="00441E5E"/>
    <w:rsid w:val="00442EFC"/>
    <w:rsid w:val="0044524F"/>
    <w:rsid w:val="0044654E"/>
    <w:rsid w:val="004504F2"/>
    <w:rsid w:val="00450C1F"/>
    <w:rsid w:val="00455240"/>
    <w:rsid w:val="0045705D"/>
    <w:rsid w:val="0045738E"/>
    <w:rsid w:val="00457AEF"/>
    <w:rsid w:val="0046046C"/>
    <w:rsid w:val="00461673"/>
    <w:rsid w:val="0046619A"/>
    <w:rsid w:val="004663F3"/>
    <w:rsid w:val="00467553"/>
    <w:rsid w:val="00471F78"/>
    <w:rsid w:val="004723DF"/>
    <w:rsid w:val="00473B94"/>
    <w:rsid w:val="00473DC2"/>
    <w:rsid w:val="0047556E"/>
    <w:rsid w:val="00475991"/>
    <w:rsid w:val="00475B13"/>
    <w:rsid w:val="00480D8D"/>
    <w:rsid w:val="004814E5"/>
    <w:rsid w:val="00483DB5"/>
    <w:rsid w:val="00484641"/>
    <w:rsid w:val="004846F8"/>
    <w:rsid w:val="00490A94"/>
    <w:rsid w:val="004911E4"/>
    <w:rsid w:val="004912F4"/>
    <w:rsid w:val="004922BC"/>
    <w:rsid w:val="00492CE8"/>
    <w:rsid w:val="00493558"/>
    <w:rsid w:val="00493EC9"/>
    <w:rsid w:val="00495251"/>
    <w:rsid w:val="00495B0C"/>
    <w:rsid w:val="004A1759"/>
    <w:rsid w:val="004A2275"/>
    <w:rsid w:val="004A3872"/>
    <w:rsid w:val="004A3AC0"/>
    <w:rsid w:val="004A4ED0"/>
    <w:rsid w:val="004B0706"/>
    <w:rsid w:val="004B22B1"/>
    <w:rsid w:val="004B46E5"/>
    <w:rsid w:val="004B6542"/>
    <w:rsid w:val="004B72A3"/>
    <w:rsid w:val="004C1E33"/>
    <w:rsid w:val="004C6870"/>
    <w:rsid w:val="004C6E24"/>
    <w:rsid w:val="004C6E53"/>
    <w:rsid w:val="004D29A3"/>
    <w:rsid w:val="004D4958"/>
    <w:rsid w:val="004D4D48"/>
    <w:rsid w:val="004D5250"/>
    <w:rsid w:val="004D6AD9"/>
    <w:rsid w:val="004E0517"/>
    <w:rsid w:val="004E0C12"/>
    <w:rsid w:val="004E13F0"/>
    <w:rsid w:val="004E1E1E"/>
    <w:rsid w:val="004E43BF"/>
    <w:rsid w:val="004E4854"/>
    <w:rsid w:val="004E56CE"/>
    <w:rsid w:val="004E66DE"/>
    <w:rsid w:val="004E70E8"/>
    <w:rsid w:val="004E77F7"/>
    <w:rsid w:val="004F036B"/>
    <w:rsid w:val="004F0E54"/>
    <w:rsid w:val="004F74EF"/>
    <w:rsid w:val="004F7B7E"/>
    <w:rsid w:val="00501785"/>
    <w:rsid w:val="00503724"/>
    <w:rsid w:val="00504E3C"/>
    <w:rsid w:val="00506F69"/>
    <w:rsid w:val="00513F7C"/>
    <w:rsid w:val="005149B8"/>
    <w:rsid w:val="005168FA"/>
    <w:rsid w:val="00516F1C"/>
    <w:rsid w:val="005175C0"/>
    <w:rsid w:val="00520001"/>
    <w:rsid w:val="00523291"/>
    <w:rsid w:val="0052391C"/>
    <w:rsid w:val="0052393A"/>
    <w:rsid w:val="00530C3F"/>
    <w:rsid w:val="00532B1D"/>
    <w:rsid w:val="00534347"/>
    <w:rsid w:val="00537F20"/>
    <w:rsid w:val="00540C55"/>
    <w:rsid w:val="00542227"/>
    <w:rsid w:val="005422EB"/>
    <w:rsid w:val="0054426F"/>
    <w:rsid w:val="0054508F"/>
    <w:rsid w:val="00545C00"/>
    <w:rsid w:val="00546F3A"/>
    <w:rsid w:val="005475C6"/>
    <w:rsid w:val="00550C61"/>
    <w:rsid w:val="00552FBA"/>
    <w:rsid w:val="00554D9D"/>
    <w:rsid w:val="00555A82"/>
    <w:rsid w:val="00556C52"/>
    <w:rsid w:val="0056008C"/>
    <w:rsid w:val="0056245F"/>
    <w:rsid w:val="00562C2E"/>
    <w:rsid w:val="00563F14"/>
    <w:rsid w:val="00570A8A"/>
    <w:rsid w:val="005713D5"/>
    <w:rsid w:val="00571BE1"/>
    <w:rsid w:val="0057268E"/>
    <w:rsid w:val="005806C7"/>
    <w:rsid w:val="00582CA5"/>
    <w:rsid w:val="0058473A"/>
    <w:rsid w:val="005852AF"/>
    <w:rsid w:val="005921D2"/>
    <w:rsid w:val="005A1737"/>
    <w:rsid w:val="005A1914"/>
    <w:rsid w:val="005A1D6F"/>
    <w:rsid w:val="005A378B"/>
    <w:rsid w:val="005A3804"/>
    <w:rsid w:val="005A40B3"/>
    <w:rsid w:val="005B1361"/>
    <w:rsid w:val="005B177D"/>
    <w:rsid w:val="005B3B4A"/>
    <w:rsid w:val="005B4C4C"/>
    <w:rsid w:val="005B7966"/>
    <w:rsid w:val="005C0341"/>
    <w:rsid w:val="005C3CDD"/>
    <w:rsid w:val="005C52CA"/>
    <w:rsid w:val="005C5BAA"/>
    <w:rsid w:val="005D2B33"/>
    <w:rsid w:val="005D4B36"/>
    <w:rsid w:val="005D54FD"/>
    <w:rsid w:val="005D5B37"/>
    <w:rsid w:val="005D6D35"/>
    <w:rsid w:val="005E1062"/>
    <w:rsid w:val="005E12BD"/>
    <w:rsid w:val="005E305E"/>
    <w:rsid w:val="005E4A88"/>
    <w:rsid w:val="005E51BD"/>
    <w:rsid w:val="005E53A4"/>
    <w:rsid w:val="005E60BC"/>
    <w:rsid w:val="005F1F63"/>
    <w:rsid w:val="005F324D"/>
    <w:rsid w:val="005F4C0F"/>
    <w:rsid w:val="005F7930"/>
    <w:rsid w:val="005F7CE5"/>
    <w:rsid w:val="006011F9"/>
    <w:rsid w:val="006014EE"/>
    <w:rsid w:val="006016B0"/>
    <w:rsid w:val="00602247"/>
    <w:rsid w:val="006029C9"/>
    <w:rsid w:val="006054AE"/>
    <w:rsid w:val="00606661"/>
    <w:rsid w:val="00612A91"/>
    <w:rsid w:val="00615BD4"/>
    <w:rsid w:val="006176D9"/>
    <w:rsid w:val="0062063C"/>
    <w:rsid w:val="00621EEA"/>
    <w:rsid w:val="00622049"/>
    <w:rsid w:val="00625EAC"/>
    <w:rsid w:val="00625F7B"/>
    <w:rsid w:val="006267AC"/>
    <w:rsid w:val="00630C8F"/>
    <w:rsid w:val="0063126C"/>
    <w:rsid w:val="006321D9"/>
    <w:rsid w:val="00635ACD"/>
    <w:rsid w:val="006369DB"/>
    <w:rsid w:val="00645F9B"/>
    <w:rsid w:val="006462F4"/>
    <w:rsid w:val="00647924"/>
    <w:rsid w:val="00647EFF"/>
    <w:rsid w:val="00653828"/>
    <w:rsid w:val="00653EEF"/>
    <w:rsid w:val="00656DB1"/>
    <w:rsid w:val="0065706C"/>
    <w:rsid w:val="006570F3"/>
    <w:rsid w:val="006574CA"/>
    <w:rsid w:val="00662F85"/>
    <w:rsid w:val="00663087"/>
    <w:rsid w:val="00665814"/>
    <w:rsid w:val="006658F7"/>
    <w:rsid w:val="00667926"/>
    <w:rsid w:val="006723DE"/>
    <w:rsid w:val="00672A07"/>
    <w:rsid w:val="00672A3D"/>
    <w:rsid w:val="00673C56"/>
    <w:rsid w:val="00684218"/>
    <w:rsid w:val="00684A17"/>
    <w:rsid w:val="0068548A"/>
    <w:rsid w:val="006863E6"/>
    <w:rsid w:val="00686ACA"/>
    <w:rsid w:val="006904AF"/>
    <w:rsid w:val="00693194"/>
    <w:rsid w:val="00695821"/>
    <w:rsid w:val="0069607D"/>
    <w:rsid w:val="006960C5"/>
    <w:rsid w:val="006A05F8"/>
    <w:rsid w:val="006A0897"/>
    <w:rsid w:val="006A4246"/>
    <w:rsid w:val="006A56B9"/>
    <w:rsid w:val="006A64EB"/>
    <w:rsid w:val="006A7FD4"/>
    <w:rsid w:val="006B0E91"/>
    <w:rsid w:val="006B1891"/>
    <w:rsid w:val="006B37AE"/>
    <w:rsid w:val="006B38B5"/>
    <w:rsid w:val="006B3C07"/>
    <w:rsid w:val="006B7254"/>
    <w:rsid w:val="006B73B9"/>
    <w:rsid w:val="006C415F"/>
    <w:rsid w:val="006C4B81"/>
    <w:rsid w:val="006C517C"/>
    <w:rsid w:val="006C5CAA"/>
    <w:rsid w:val="006C7F43"/>
    <w:rsid w:val="006D09AC"/>
    <w:rsid w:val="006D16F3"/>
    <w:rsid w:val="006D49E3"/>
    <w:rsid w:val="006D4C2C"/>
    <w:rsid w:val="006E019F"/>
    <w:rsid w:val="006E33F6"/>
    <w:rsid w:val="006E3E50"/>
    <w:rsid w:val="006E402A"/>
    <w:rsid w:val="006E525F"/>
    <w:rsid w:val="006E57A7"/>
    <w:rsid w:val="006E74F5"/>
    <w:rsid w:val="006E7DCA"/>
    <w:rsid w:val="006F1B26"/>
    <w:rsid w:val="006F2035"/>
    <w:rsid w:val="006F24C5"/>
    <w:rsid w:val="006F28EE"/>
    <w:rsid w:val="006F42C2"/>
    <w:rsid w:val="006F602A"/>
    <w:rsid w:val="006F671D"/>
    <w:rsid w:val="006F7412"/>
    <w:rsid w:val="007034E2"/>
    <w:rsid w:val="00704E65"/>
    <w:rsid w:val="0071025E"/>
    <w:rsid w:val="007105A5"/>
    <w:rsid w:val="00710B8D"/>
    <w:rsid w:val="00713024"/>
    <w:rsid w:val="00714A4F"/>
    <w:rsid w:val="00715D6B"/>
    <w:rsid w:val="00715EF6"/>
    <w:rsid w:val="00717CC2"/>
    <w:rsid w:val="007212F0"/>
    <w:rsid w:val="00722EC6"/>
    <w:rsid w:val="00723FF6"/>
    <w:rsid w:val="0072460B"/>
    <w:rsid w:val="007269B1"/>
    <w:rsid w:val="0072706A"/>
    <w:rsid w:val="0072710E"/>
    <w:rsid w:val="00727776"/>
    <w:rsid w:val="00730DF7"/>
    <w:rsid w:val="007331F6"/>
    <w:rsid w:val="0073362F"/>
    <w:rsid w:val="00733A3E"/>
    <w:rsid w:val="00740605"/>
    <w:rsid w:val="007407AF"/>
    <w:rsid w:val="00747B97"/>
    <w:rsid w:val="00747DD4"/>
    <w:rsid w:val="00751820"/>
    <w:rsid w:val="00751B7E"/>
    <w:rsid w:val="00752AB2"/>
    <w:rsid w:val="00754193"/>
    <w:rsid w:val="007556C8"/>
    <w:rsid w:val="00756FA1"/>
    <w:rsid w:val="00763FD6"/>
    <w:rsid w:val="0076431D"/>
    <w:rsid w:val="00766DE9"/>
    <w:rsid w:val="007678A5"/>
    <w:rsid w:val="007679B3"/>
    <w:rsid w:val="00770841"/>
    <w:rsid w:val="00771308"/>
    <w:rsid w:val="00771F67"/>
    <w:rsid w:val="0077418F"/>
    <w:rsid w:val="00774C01"/>
    <w:rsid w:val="00780078"/>
    <w:rsid w:val="00781B6F"/>
    <w:rsid w:val="007823C9"/>
    <w:rsid w:val="007825A8"/>
    <w:rsid w:val="007835B7"/>
    <w:rsid w:val="00784CDB"/>
    <w:rsid w:val="007863E1"/>
    <w:rsid w:val="007910D3"/>
    <w:rsid w:val="0079336E"/>
    <w:rsid w:val="00796263"/>
    <w:rsid w:val="007A5BD0"/>
    <w:rsid w:val="007B41D1"/>
    <w:rsid w:val="007B4B46"/>
    <w:rsid w:val="007B5D01"/>
    <w:rsid w:val="007B5E5F"/>
    <w:rsid w:val="007B6CA0"/>
    <w:rsid w:val="007B6F71"/>
    <w:rsid w:val="007C01DE"/>
    <w:rsid w:val="007C06F8"/>
    <w:rsid w:val="007C27E5"/>
    <w:rsid w:val="007C2E24"/>
    <w:rsid w:val="007C3F78"/>
    <w:rsid w:val="007C4B09"/>
    <w:rsid w:val="007C6167"/>
    <w:rsid w:val="007C6EB8"/>
    <w:rsid w:val="007C7809"/>
    <w:rsid w:val="007C7BAC"/>
    <w:rsid w:val="007D13B9"/>
    <w:rsid w:val="007D45F8"/>
    <w:rsid w:val="007D71F7"/>
    <w:rsid w:val="007E024C"/>
    <w:rsid w:val="007E160E"/>
    <w:rsid w:val="007E1BDD"/>
    <w:rsid w:val="007E437B"/>
    <w:rsid w:val="007E700C"/>
    <w:rsid w:val="007E7388"/>
    <w:rsid w:val="007F0429"/>
    <w:rsid w:val="007F1BAF"/>
    <w:rsid w:val="007F1F1C"/>
    <w:rsid w:val="007F2277"/>
    <w:rsid w:val="007F2CE5"/>
    <w:rsid w:val="007F433C"/>
    <w:rsid w:val="007F554A"/>
    <w:rsid w:val="007F5C8A"/>
    <w:rsid w:val="008004B0"/>
    <w:rsid w:val="00803782"/>
    <w:rsid w:val="008045D9"/>
    <w:rsid w:val="0080702C"/>
    <w:rsid w:val="00812094"/>
    <w:rsid w:val="0081333B"/>
    <w:rsid w:val="008140D7"/>
    <w:rsid w:val="00815D49"/>
    <w:rsid w:val="00821DF6"/>
    <w:rsid w:val="00823CCC"/>
    <w:rsid w:val="00827179"/>
    <w:rsid w:val="0083029A"/>
    <w:rsid w:val="00830426"/>
    <w:rsid w:val="00830E02"/>
    <w:rsid w:val="00831C83"/>
    <w:rsid w:val="00831E0A"/>
    <w:rsid w:val="008343C4"/>
    <w:rsid w:val="00835847"/>
    <w:rsid w:val="00835C6F"/>
    <w:rsid w:val="00837429"/>
    <w:rsid w:val="0083745B"/>
    <w:rsid w:val="00840252"/>
    <w:rsid w:val="00840420"/>
    <w:rsid w:val="0084102C"/>
    <w:rsid w:val="00842DE3"/>
    <w:rsid w:val="008433FA"/>
    <w:rsid w:val="00844F5E"/>
    <w:rsid w:val="00846701"/>
    <w:rsid w:val="0084727D"/>
    <w:rsid w:val="0085232F"/>
    <w:rsid w:val="00854E2A"/>
    <w:rsid w:val="008550CD"/>
    <w:rsid w:val="00857E3A"/>
    <w:rsid w:val="00861135"/>
    <w:rsid w:val="008633BD"/>
    <w:rsid w:val="00864495"/>
    <w:rsid w:val="00867059"/>
    <w:rsid w:val="00867A5A"/>
    <w:rsid w:val="008711B1"/>
    <w:rsid w:val="00871FBA"/>
    <w:rsid w:val="00872119"/>
    <w:rsid w:val="008722FB"/>
    <w:rsid w:val="00876B51"/>
    <w:rsid w:val="00877EA2"/>
    <w:rsid w:val="008808CA"/>
    <w:rsid w:val="00887D93"/>
    <w:rsid w:val="00890601"/>
    <w:rsid w:val="00890D7D"/>
    <w:rsid w:val="008931DE"/>
    <w:rsid w:val="008933C7"/>
    <w:rsid w:val="00894216"/>
    <w:rsid w:val="008959F9"/>
    <w:rsid w:val="00896786"/>
    <w:rsid w:val="00897413"/>
    <w:rsid w:val="008A118C"/>
    <w:rsid w:val="008A46DC"/>
    <w:rsid w:val="008A4BF4"/>
    <w:rsid w:val="008A510D"/>
    <w:rsid w:val="008A5EDE"/>
    <w:rsid w:val="008A7A4E"/>
    <w:rsid w:val="008B0AFF"/>
    <w:rsid w:val="008B2FA8"/>
    <w:rsid w:val="008B3253"/>
    <w:rsid w:val="008C020E"/>
    <w:rsid w:val="008C2E02"/>
    <w:rsid w:val="008C2F9E"/>
    <w:rsid w:val="008C5FE0"/>
    <w:rsid w:val="008D03EA"/>
    <w:rsid w:val="008D16BD"/>
    <w:rsid w:val="008D2E91"/>
    <w:rsid w:val="008D58E2"/>
    <w:rsid w:val="008D6283"/>
    <w:rsid w:val="008D7FB0"/>
    <w:rsid w:val="008E050B"/>
    <w:rsid w:val="008E0C7A"/>
    <w:rsid w:val="008E1010"/>
    <w:rsid w:val="008E2C2E"/>
    <w:rsid w:val="008E388A"/>
    <w:rsid w:val="008E6FF1"/>
    <w:rsid w:val="008E72A8"/>
    <w:rsid w:val="008F0627"/>
    <w:rsid w:val="008F0D78"/>
    <w:rsid w:val="008F2498"/>
    <w:rsid w:val="008F41FB"/>
    <w:rsid w:val="008F4B49"/>
    <w:rsid w:val="008F54F6"/>
    <w:rsid w:val="008F5C9B"/>
    <w:rsid w:val="009039C8"/>
    <w:rsid w:val="00905B77"/>
    <w:rsid w:val="00906FD6"/>
    <w:rsid w:val="009079D0"/>
    <w:rsid w:val="009104AA"/>
    <w:rsid w:val="009127EC"/>
    <w:rsid w:val="00914466"/>
    <w:rsid w:val="00914D04"/>
    <w:rsid w:val="00915D8A"/>
    <w:rsid w:val="00917746"/>
    <w:rsid w:val="009209A5"/>
    <w:rsid w:val="00920F98"/>
    <w:rsid w:val="00922448"/>
    <w:rsid w:val="009228BB"/>
    <w:rsid w:val="00922FDA"/>
    <w:rsid w:val="009244DF"/>
    <w:rsid w:val="00927EF6"/>
    <w:rsid w:val="00930D45"/>
    <w:rsid w:val="00933885"/>
    <w:rsid w:val="00936E93"/>
    <w:rsid w:val="00937FDA"/>
    <w:rsid w:val="00941F09"/>
    <w:rsid w:val="00943719"/>
    <w:rsid w:val="00944948"/>
    <w:rsid w:val="00947632"/>
    <w:rsid w:val="0094786C"/>
    <w:rsid w:val="00947B9F"/>
    <w:rsid w:val="00947FB4"/>
    <w:rsid w:val="00952D2F"/>
    <w:rsid w:val="00952D60"/>
    <w:rsid w:val="00952E44"/>
    <w:rsid w:val="00953E07"/>
    <w:rsid w:val="00955447"/>
    <w:rsid w:val="00955A17"/>
    <w:rsid w:val="00956A67"/>
    <w:rsid w:val="00957C50"/>
    <w:rsid w:val="00960E12"/>
    <w:rsid w:val="0096331F"/>
    <w:rsid w:val="00963914"/>
    <w:rsid w:val="00963A90"/>
    <w:rsid w:val="00965440"/>
    <w:rsid w:val="009729D8"/>
    <w:rsid w:val="00973461"/>
    <w:rsid w:val="009740B0"/>
    <w:rsid w:val="0097453F"/>
    <w:rsid w:val="00974577"/>
    <w:rsid w:val="00975045"/>
    <w:rsid w:val="00976670"/>
    <w:rsid w:val="00976BC3"/>
    <w:rsid w:val="00976E64"/>
    <w:rsid w:val="009771EF"/>
    <w:rsid w:val="00977929"/>
    <w:rsid w:val="00980E76"/>
    <w:rsid w:val="0098426D"/>
    <w:rsid w:val="00993B1F"/>
    <w:rsid w:val="0099428D"/>
    <w:rsid w:val="009952C0"/>
    <w:rsid w:val="00995932"/>
    <w:rsid w:val="00996D49"/>
    <w:rsid w:val="009A0FAF"/>
    <w:rsid w:val="009A1C77"/>
    <w:rsid w:val="009A51E6"/>
    <w:rsid w:val="009A5BC5"/>
    <w:rsid w:val="009A61AA"/>
    <w:rsid w:val="009A747C"/>
    <w:rsid w:val="009A7DAC"/>
    <w:rsid w:val="009B1804"/>
    <w:rsid w:val="009B2B6E"/>
    <w:rsid w:val="009B7D7E"/>
    <w:rsid w:val="009C10F7"/>
    <w:rsid w:val="009C11B1"/>
    <w:rsid w:val="009C1722"/>
    <w:rsid w:val="009C1BE0"/>
    <w:rsid w:val="009C2A36"/>
    <w:rsid w:val="009C6235"/>
    <w:rsid w:val="009C6E76"/>
    <w:rsid w:val="009D3E29"/>
    <w:rsid w:val="009D3E42"/>
    <w:rsid w:val="009D5602"/>
    <w:rsid w:val="009D682E"/>
    <w:rsid w:val="009E5844"/>
    <w:rsid w:val="009E7C9A"/>
    <w:rsid w:val="009F2B85"/>
    <w:rsid w:val="009F4C6D"/>
    <w:rsid w:val="00A01D25"/>
    <w:rsid w:val="00A0528A"/>
    <w:rsid w:val="00A0624A"/>
    <w:rsid w:val="00A06830"/>
    <w:rsid w:val="00A10533"/>
    <w:rsid w:val="00A12892"/>
    <w:rsid w:val="00A149DF"/>
    <w:rsid w:val="00A1634D"/>
    <w:rsid w:val="00A1707B"/>
    <w:rsid w:val="00A200BD"/>
    <w:rsid w:val="00A23E0E"/>
    <w:rsid w:val="00A26922"/>
    <w:rsid w:val="00A3095D"/>
    <w:rsid w:val="00A30BA2"/>
    <w:rsid w:val="00A32694"/>
    <w:rsid w:val="00A33A18"/>
    <w:rsid w:val="00A350BE"/>
    <w:rsid w:val="00A35C8A"/>
    <w:rsid w:val="00A4149B"/>
    <w:rsid w:val="00A51ECF"/>
    <w:rsid w:val="00A5335D"/>
    <w:rsid w:val="00A5435C"/>
    <w:rsid w:val="00A561BA"/>
    <w:rsid w:val="00A56524"/>
    <w:rsid w:val="00A5794D"/>
    <w:rsid w:val="00A610B8"/>
    <w:rsid w:val="00A61208"/>
    <w:rsid w:val="00A62660"/>
    <w:rsid w:val="00A64D6A"/>
    <w:rsid w:val="00A66A0F"/>
    <w:rsid w:val="00A67FB0"/>
    <w:rsid w:val="00A700BE"/>
    <w:rsid w:val="00A7038D"/>
    <w:rsid w:val="00A73440"/>
    <w:rsid w:val="00A74945"/>
    <w:rsid w:val="00A755F2"/>
    <w:rsid w:val="00A75908"/>
    <w:rsid w:val="00A75D01"/>
    <w:rsid w:val="00A76B01"/>
    <w:rsid w:val="00A813D7"/>
    <w:rsid w:val="00A83BB1"/>
    <w:rsid w:val="00A8704A"/>
    <w:rsid w:val="00A87807"/>
    <w:rsid w:val="00A90332"/>
    <w:rsid w:val="00A9272D"/>
    <w:rsid w:val="00A94426"/>
    <w:rsid w:val="00A9734B"/>
    <w:rsid w:val="00A97D26"/>
    <w:rsid w:val="00AA06C5"/>
    <w:rsid w:val="00AA1669"/>
    <w:rsid w:val="00AA3A8E"/>
    <w:rsid w:val="00AA5BB8"/>
    <w:rsid w:val="00AA5D50"/>
    <w:rsid w:val="00AA6487"/>
    <w:rsid w:val="00AB001E"/>
    <w:rsid w:val="00AB2D04"/>
    <w:rsid w:val="00AB318B"/>
    <w:rsid w:val="00AB7D6A"/>
    <w:rsid w:val="00AC3A3F"/>
    <w:rsid w:val="00AC4817"/>
    <w:rsid w:val="00AC5FE9"/>
    <w:rsid w:val="00AD1335"/>
    <w:rsid w:val="00AD190D"/>
    <w:rsid w:val="00AD2DAB"/>
    <w:rsid w:val="00AD2E60"/>
    <w:rsid w:val="00AE0CFD"/>
    <w:rsid w:val="00AE0EBA"/>
    <w:rsid w:val="00AE1BBB"/>
    <w:rsid w:val="00AE2F4C"/>
    <w:rsid w:val="00AE3B4A"/>
    <w:rsid w:val="00AE4A87"/>
    <w:rsid w:val="00AE5C17"/>
    <w:rsid w:val="00AE6D39"/>
    <w:rsid w:val="00AE749B"/>
    <w:rsid w:val="00AE789E"/>
    <w:rsid w:val="00AF0629"/>
    <w:rsid w:val="00AF1BF1"/>
    <w:rsid w:val="00AF32B8"/>
    <w:rsid w:val="00AF3CB3"/>
    <w:rsid w:val="00AF459B"/>
    <w:rsid w:val="00AF5337"/>
    <w:rsid w:val="00AF53C2"/>
    <w:rsid w:val="00AF71F6"/>
    <w:rsid w:val="00AF7C60"/>
    <w:rsid w:val="00B005C5"/>
    <w:rsid w:val="00B02305"/>
    <w:rsid w:val="00B02E23"/>
    <w:rsid w:val="00B1175D"/>
    <w:rsid w:val="00B1220D"/>
    <w:rsid w:val="00B12731"/>
    <w:rsid w:val="00B12AA5"/>
    <w:rsid w:val="00B13C18"/>
    <w:rsid w:val="00B14DF1"/>
    <w:rsid w:val="00B153B3"/>
    <w:rsid w:val="00B17CBB"/>
    <w:rsid w:val="00B20BBF"/>
    <w:rsid w:val="00B217CC"/>
    <w:rsid w:val="00B25447"/>
    <w:rsid w:val="00B25460"/>
    <w:rsid w:val="00B271C9"/>
    <w:rsid w:val="00B2792C"/>
    <w:rsid w:val="00B328AB"/>
    <w:rsid w:val="00B32F09"/>
    <w:rsid w:val="00B33D96"/>
    <w:rsid w:val="00B33E36"/>
    <w:rsid w:val="00B34862"/>
    <w:rsid w:val="00B34F0E"/>
    <w:rsid w:val="00B35F5F"/>
    <w:rsid w:val="00B36F78"/>
    <w:rsid w:val="00B3755E"/>
    <w:rsid w:val="00B404A6"/>
    <w:rsid w:val="00B40A63"/>
    <w:rsid w:val="00B45C45"/>
    <w:rsid w:val="00B53460"/>
    <w:rsid w:val="00B56FB7"/>
    <w:rsid w:val="00B577A6"/>
    <w:rsid w:val="00B61E09"/>
    <w:rsid w:val="00B6274D"/>
    <w:rsid w:val="00B62B63"/>
    <w:rsid w:val="00B64D41"/>
    <w:rsid w:val="00B66CB3"/>
    <w:rsid w:val="00B66D6E"/>
    <w:rsid w:val="00B706C6"/>
    <w:rsid w:val="00B72434"/>
    <w:rsid w:val="00B739CF"/>
    <w:rsid w:val="00B7475F"/>
    <w:rsid w:val="00B76F8C"/>
    <w:rsid w:val="00B774B5"/>
    <w:rsid w:val="00B80B07"/>
    <w:rsid w:val="00B8178C"/>
    <w:rsid w:val="00B81BF0"/>
    <w:rsid w:val="00B82E33"/>
    <w:rsid w:val="00B82ECB"/>
    <w:rsid w:val="00B8310B"/>
    <w:rsid w:val="00B83C8B"/>
    <w:rsid w:val="00B85BAF"/>
    <w:rsid w:val="00B8624F"/>
    <w:rsid w:val="00B90874"/>
    <w:rsid w:val="00B90BFA"/>
    <w:rsid w:val="00B93044"/>
    <w:rsid w:val="00B931B0"/>
    <w:rsid w:val="00B939B7"/>
    <w:rsid w:val="00B95599"/>
    <w:rsid w:val="00B95E2C"/>
    <w:rsid w:val="00BA129B"/>
    <w:rsid w:val="00BA2C17"/>
    <w:rsid w:val="00BA40F3"/>
    <w:rsid w:val="00BA4D22"/>
    <w:rsid w:val="00BA5882"/>
    <w:rsid w:val="00BA5957"/>
    <w:rsid w:val="00BA5F6B"/>
    <w:rsid w:val="00BA6BD0"/>
    <w:rsid w:val="00BB048C"/>
    <w:rsid w:val="00BB0589"/>
    <w:rsid w:val="00BB1977"/>
    <w:rsid w:val="00BB1AF8"/>
    <w:rsid w:val="00BB2E2A"/>
    <w:rsid w:val="00BB2FD8"/>
    <w:rsid w:val="00BC21CA"/>
    <w:rsid w:val="00BC223D"/>
    <w:rsid w:val="00BC3515"/>
    <w:rsid w:val="00BC3923"/>
    <w:rsid w:val="00BC59C2"/>
    <w:rsid w:val="00BD02CC"/>
    <w:rsid w:val="00BD22C7"/>
    <w:rsid w:val="00BD277B"/>
    <w:rsid w:val="00BD530D"/>
    <w:rsid w:val="00BE205B"/>
    <w:rsid w:val="00BE264E"/>
    <w:rsid w:val="00BE279F"/>
    <w:rsid w:val="00BE4E80"/>
    <w:rsid w:val="00BE68B4"/>
    <w:rsid w:val="00BE7C07"/>
    <w:rsid w:val="00BF11F5"/>
    <w:rsid w:val="00BF693C"/>
    <w:rsid w:val="00C029B6"/>
    <w:rsid w:val="00C03B0F"/>
    <w:rsid w:val="00C03E68"/>
    <w:rsid w:val="00C109AE"/>
    <w:rsid w:val="00C124B7"/>
    <w:rsid w:val="00C13FBE"/>
    <w:rsid w:val="00C16AB3"/>
    <w:rsid w:val="00C17224"/>
    <w:rsid w:val="00C174DC"/>
    <w:rsid w:val="00C17685"/>
    <w:rsid w:val="00C202DA"/>
    <w:rsid w:val="00C20CBD"/>
    <w:rsid w:val="00C223A5"/>
    <w:rsid w:val="00C22456"/>
    <w:rsid w:val="00C23A93"/>
    <w:rsid w:val="00C23BCF"/>
    <w:rsid w:val="00C2648A"/>
    <w:rsid w:val="00C2711D"/>
    <w:rsid w:val="00C275B4"/>
    <w:rsid w:val="00C310A0"/>
    <w:rsid w:val="00C32DF0"/>
    <w:rsid w:val="00C351DB"/>
    <w:rsid w:val="00C36A88"/>
    <w:rsid w:val="00C4070B"/>
    <w:rsid w:val="00C417E0"/>
    <w:rsid w:val="00C44141"/>
    <w:rsid w:val="00C53EEF"/>
    <w:rsid w:val="00C55A01"/>
    <w:rsid w:val="00C56A39"/>
    <w:rsid w:val="00C56FA8"/>
    <w:rsid w:val="00C57DD6"/>
    <w:rsid w:val="00C61F76"/>
    <w:rsid w:val="00C62A8F"/>
    <w:rsid w:val="00C630BE"/>
    <w:rsid w:val="00C634E0"/>
    <w:rsid w:val="00C6410A"/>
    <w:rsid w:val="00C64870"/>
    <w:rsid w:val="00C671BC"/>
    <w:rsid w:val="00C6762B"/>
    <w:rsid w:val="00C70919"/>
    <w:rsid w:val="00C72E3E"/>
    <w:rsid w:val="00C759E4"/>
    <w:rsid w:val="00C75BEC"/>
    <w:rsid w:val="00C7681C"/>
    <w:rsid w:val="00C80D96"/>
    <w:rsid w:val="00C83560"/>
    <w:rsid w:val="00C836E3"/>
    <w:rsid w:val="00C83A19"/>
    <w:rsid w:val="00C8527E"/>
    <w:rsid w:val="00C855D2"/>
    <w:rsid w:val="00C85E96"/>
    <w:rsid w:val="00C86FBD"/>
    <w:rsid w:val="00C9128F"/>
    <w:rsid w:val="00C91666"/>
    <w:rsid w:val="00C9219D"/>
    <w:rsid w:val="00C923D5"/>
    <w:rsid w:val="00C931C7"/>
    <w:rsid w:val="00C94E84"/>
    <w:rsid w:val="00CA088C"/>
    <w:rsid w:val="00CA18FB"/>
    <w:rsid w:val="00CA1BD1"/>
    <w:rsid w:val="00CA1CEF"/>
    <w:rsid w:val="00CA6167"/>
    <w:rsid w:val="00CA6919"/>
    <w:rsid w:val="00CA7190"/>
    <w:rsid w:val="00CB030A"/>
    <w:rsid w:val="00CB125C"/>
    <w:rsid w:val="00CB455B"/>
    <w:rsid w:val="00CB4D87"/>
    <w:rsid w:val="00CC1BA2"/>
    <w:rsid w:val="00CC24F0"/>
    <w:rsid w:val="00CC4E6E"/>
    <w:rsid w:val="00CC6E0A"/>
    <w:rsid w:val="00CC7617"/>
    <w:rsid w:val="00CC7935"/>
    <w:rsid w:val="00CD009D"/>
    <w:rsid w:val="00CD0EED"/>
    <w:rsid w:val="00CD17D1"/>
    <w:rsid w:val="00CD66B7"/>
    <w:rsid w:val="00CD66FB"/>
    <w:rsid w:val="00CD67D5"/>
    <w:rsid w:val="00CE0A68"/>
    <w:rsid w:val="00CE52FE"/>
    <w:rsid w:val="00CE63CA"/>
    <w:rsid w:val="00CE6D2A"/>
    <w:rsid w:val="00CE70E4"/>
    <w:rsid w:val="00CF0889"/>
    <w:rsid w:val="00CF2156"/>
    <w:rsid w:val="00CF2AC8"/>
    <w:rsid w:val="00CF3102"/>
    <w:rsid w:val="00CF41C5"/>
    <w:rsid w:val="00CF4D7B"/>
    <w:rsid w:val="00CF5F8F"/>
    <w:rsid w:val="00CF6914"/>
    <w:rsid w:val="00CF7F24"/>
    <w:rsid w:val="00CF7F30"/>
    <w:rsid w:val="00D003AF"/>
    <w:rsid w:val="00D049C3"/>
    <w:rsid w:val="00D056C1"/>
    <w:rsid w:val="00D074C5"/>
    <w:rsid w:val="00D07715"/>
    <w:rsid w:val="00D106FE"/>
    <w:rsid w:val="00D118EE"/>
    <w:rsid w:val="00D125E8"/>
    <w:rsid w:val="00D12D3B"/>
    <w:rsid w:val="00D1447F"/>
    <w:rsid w:val="00D148D9"/>
    <w:rsid w:val="00D151D4"/>
    <w:rsid w:val="00D15FDA"/>
    <w:rsid w:val="00D161B7"/>
    <w:rsid w:val="00D165E0"/>
    <w:rsid w:val="00D165ED"/>
    <w:rsid w:val="00D20334"/>
    <w:rsid w:val="00D21ED8"/>
    <w:rsid w:val="00D22A32"/>
    <w:rsid w:val="00D23012"/>
    <w:rsid w:val="00D233FB"/>
    <w:rsid w:val="00D26AC6"/>
    <w:rsid w:val="00D26EC1"/>
    <w:rsid w:val="00D2709A"/>
    <w:rsid w:val="00D30569"/>
    <w:rsid w:val="00D3114F"/>
    <w:rsid w:val="00D31F30"/>
    <w:rsid w:val="00D31F45"/>
    <w:rsid w:val="00D33287"/>
    <w:rsid w:val="00D335BB"/>
    <w:rsid w:val="00D34B05"/>
    <w:rsid w:val="00D37504"/>
    <w:rsid w:val="00D37996"/>
    <w:rsid w:val="00D42BF2"/>
    <w:rsid w:val="00D4725F"/>
    <w:rsid w:val="00D4756D"/>
    <w:rsid w:val="00D476C1"/>
    <w:rsid w:val="00D51660"/>
    <w:rsid w:val="00D54091"/>
    <w:rsid w:val="00D54B9A"/>
    <w:rsid w:val="00D54F2F"/>
    <w:rsid w:val="00D557F5"/>
    <w:rsid w:val="00D61100"/>
    <w:rsid w:val="00D61C45"/>
    <w:rsid w:val="00D62AEF"/>
    <w:rsid w:val="00D62CE1"/>
    <w:rsid w:val="00D6327D"/>
    <w:rsid w:val="00D64DD6"/>
    <w:rsid w:val="00D6587C"/>
    <w:rsid w:val="00D72C4E"/>
    <w:rsid w:val="00D74B15"/>
    <w:rsid w:val="00D756CA"/>
    <w:rsid w:val="00D77713"/>
    <w:rsid w:val="00D7798A"/>
    <w:rsid w:val="00D8307B"/>
    <w:rsid w:val="00D836F7"/>
    <w:rsid w:val="00D84509"/>
    <w:rsid w:val="00D84645"/>
    <w:rsid w:val="00D84EFB"/>
    <w:rsid w:val="00D85D38"/>
    <w:rsid w:val="00D864F8"/>
    <w:rsid w:val="00D879A3"/>
    <w:rsid w:val="00D9074B"/>
    <w:rsid w:val="00D93123"/>
    <w:rsid w:val="00D93A8E"/>
    <w:rsid w:val="00D945BD"/>
    <w:rsid w:val="00DA533C"/>
    <w:rsid w:val="00DA5B6B"/>
    <w:rsid w:val="00DA700C"/>
    <w:rsid w:val="00DB2147"/>
    <w:rsid w:val="00DB2EF0"/>
    <w:rsid w:val="00DB4640"/>
    <w:rsid w:val="00DB72D0"/>
    <w:rsid w:val="00DC44F4"/>
    <w:rsid w:val="00DD027E"/>
    <w:rsid w:val="00DD0447"/>
    <w:rsid w:val="00DD27D9"/>
    <w:rsid w:val="00DE2783"/>
    <w:rsid w:val="00DE27B8"/>
    <w:rsid w:val="00DE3D55"/>
    <w:rsid w:val="00DE454A"/>
    <w:rsid w:val="00DE70C6"/>
    <w:rsid w:val="00DF0C56"/>
    <w:rsid w:val="00DF0DB1"/>
    <w:rsid w:val="00DF1FFC"/>
    <w:rsid w:val="00DF21A8"/>
    <w:rsid w:val="00DF3A84"/>
    <w:rsid w:val="00E0061F"/>
    <w:rsid w:val="00E01663"/>
    <w:rsid w:val="00E07277"/>
    <w:rsid w:val="00E074CD"/>
    <w:rsid w:val="00E07A39"/>
    <w:rsid w:val="00E104EF"/>
    <w:rsid w:val="00E125CB"/>
    <w:rsid w:val="00E13EDF"/>
    <w:rsid w:val="00E146EE"/>
    <w:rsid w:val="00E14A44"/>
    <w:rsid w:val="00E15373"/>
    <w:rsid w:val="00E165C9"/>
    <w:rsid w:val="00E17165"/>
    <w:rsid w:val="00E202E6"/>
    <w:rsid w:val="00E21B3E"/>
    <w:rsid w:val="00E21F7E"/>
    <w:rsid w:val="00E224C3"/>
    <w:rsid w:val="00E25D87"/>
    <w:rsid w:val="00E300EC"/>
    <w:rsid w:val="00E31E46"/>
    <w:rsid w:val="00E34AE2"/>
    <w:rsid w:val="00E35D13"/>
    <w:rsid w:val="00E37601"/>
    <w:rsid w:val="00E42235"/>
    <w:rsid w:val="00E43B3E"/>
    <w:rsid w:val="00E443BA"/>
    <w:rsid w:val="00E45FB7"/>
    <w:rsid w:val="00E470CE"/>
    <w:rsid w:val="00E47E41"/>
    <w:rsid w:val="00E50F94"/>
    <w:rsid w:val="00E528C9"/>
    <w:rsid w:val="00E52BC5"/>
    <w:rsid w:val="00E5462E"/>
    <w:rsid w:val="00E579CE"/>
    <w:rsid w:val="00E65605"/>
    <w:rsid w:val="00E65AFF"/>
    <w:rsid w:val="00E67411"/>
    <w:rsid w:val="00E6767D"/>
    <w:rsid w:val="00E7411A"/>
    <w:rsid w:val="00E775C6"/>
    <w:rsid w:val="00E77A83"/>
    <w:rsid w:val="00E83219"/>
    <w:rsid w:val="00E85972"/>
    <w:rsid w:val="00E85B6F"/>
    <w:rsid w:val="00E868F9"/>
    <w:rsid w:val="00E90E9C"/>
    <w:rsid w:val="00E91F67"/>
    <w:rsid w:val="00E93A6E"/>
    <w:rsid w:val="00E93D9F"/>
    <w:rsid w:val="00E93E89"/>
    <w:rsid w:val="00E9512C"/>
    <w:rsid w:val="00EA0077"/>
    <w:rsid w:val="00EA0E38"/>
    <w:rsid w:val="00EA1872"/>
    <w:rsid w:val="00EA604E"/>
    <w:rsid w:val="00EA6140"/>
    <w:rsid w:val="00EA6536"/>
    <w:rsid w:val="00EA6803"/>
    <w:rsid w:val="00EA7167"/>
    <w:rsid w:val="00EB34AD"/>
    <w:rsid w:val="00EB39F8"/>
    <w:rsid w:val="00EB3AE8"/>
    <w:rsid w:val="00EB5C52"/>
    <w:rsid w:val="00EB6196"/>
    <w:rsid w:val="00EB67F0"/>
    <w:rsid w:val="00EB6B0C"/>
    <w:rsid w:val="00EB6F46"/>
    <w:rsid w:val="00EC058C"/>
    <w:rsid w:val="00EC1BDE"/>
    <w:rsid w:val="00EC1F4B"/>
    <w:rsid w:val="00ED1413"/>
    <w:rsid w:val="00ED1663"/>
    <w:rsid w:val="00ED1976"/>
    <w:rsid w:val="00ED49E6"/>
    <w:rsid w:val="00ED50F5"/>
    <w:rsid w:val="00ED6BE1"/>
    <w:rsid w:val="00ED7757"/>
    <w:rsid w:val="00EE027B"/>
    <w:rsid w:val="00EE31DF"/>
    <w:rsid w:val="00EE5C10"/>
    <w:rsid w:val="00EE7916"/>
    <w:rsid w:val="00EF1C6E"/>
    <w:rsid w:val="00EF3FD3"/>
    <w:rsid w:val="00EF4D3B"/>
    <w:rsid w:val="00EF6A34"/>
    <w:rsid w:val="00EF7579"/>
    <w:rsid w:val="00F00BE0"/>
    <w:rsid w:val="00F016BD"/>
    <w:rsid w:val="00F04C2B"/>
    <w:rsid w:val="00F0680A"/>
    <w:rsid w:val="00F06ED0"/>
    <w:rsid w:val="00F1006F"/>
    <w:rsid w:val="00F10A95"/>
    <w:rsid w:val="00F12013"/>
    <w:rsid w:val="00F12999"/>
    <w:rsid w:val="00F12EE5"/>
    <w:rsid w:val="00F13822"/>
    <w:rsid w:val="00F14565"/>
    <w:rsid w:val="00F14A70"/>
    <w:rsid w:val="00F1737F"/>
    <w:rsid w:val="00F175A5"/>
    <w:rsid w:val="00F212FC"/>
    <w:rsid w:val="00F230F1"/>
    <w:rsid w:val="00F26AB4"/>
    <w:rsid w:val="00F27B8D"/>
    <w:rsid w:val="00F304FB"/>
    <w:rsid w:val="00F313F8"/>
    <w:rsid w:val="00F315AB"/>
    <w:rsid w:val="00F35871"/>
    <w:rsid w:val="00F35D52"/>
    <w:rsid w:val="00F373E1"/>
    <w:rsid w:val="00F400F4"/>
    <w:rsid w:val="00F42574"/>
    <w:rsid w:val="00F425D4"/>
    <w:rsid w:val="00F45257"/>
    <w:rsid w:val="00F45CA2"/>
    <w:rsid w:val="00F45D78"/>
    <w:rsid w:val="00F46154"/>
    <w:rsid w:val="00F46AD5"/>
    <w:rsid w:val="00F47616"/>
    <w:rsid w:val="00F47DCD"/>
    <w:rsid w:val="00F50CA4"/>
    <w:rsid w:val="00F50CE7"/>
    <w:rsid w:val="00F5301A"/>
    <w:rsid w:val="00F549E7"/>
    <w:rsid w:val="00F5550D"/>
    <w:rsid w:val="00F618BB"/>
    <w:rsid w:val="00F6302F"/>
    <w:rsid w:val="00F63F99"/>
    <w:rsid w:val="00F67625"/>
    <w:rsid w:val="00F710DA"/>
    <w:rsid w:val="00F76B14"/>
    <w:rsid w:val="00F85F21"/>
    <w:rsid w:val="00F90CF5"/>
    <w:rsid w:val="00F91AD8"/>
    <w:rsid w:val="00F922B1"/>
    <w:rsid w:val="00F964D7"/>
    <w:rsid w:val="00FA1CBD"/>
    <w:rsid w:val="00FA56EF"/>
    <w:rsid w:val="00FA5D99"/>
    <w:rsid w:val="00FA72F6"/>
    <w:rsid w:val="00FB0E27"/>
    <w:rsid w:val="00FB10A3"/>
    <w:rsid w:val="00FB2842"/>
    <w:rsid w:val="00FB36D4"/>
    <w:rsid w:val="00FB3B0F"/>
    <w:rsid w:val="00FB42A1"/>
    <w:rsid w:val="00FB510B"/>
    <w:rsid w:val="00FB5D1B"/>
    <w:rsid w:val="00FC1C97"/>
    <w:rsid w:val="00FC26BF"/>
    <w:rsid w:val="00FC3491"/>
    <w:rsid w:val="00FC423E"/>
    <w:rsid w:val="00FC523E"/>
    <w:rsid w:val="00FC6CE0"/>
    <w:rsid w:val="00FC7232"/>
    <w:rsid w:val="00FC7525"/>
    <w:rsid w:val="00FD2F3C"/>
    <w:rsid w:val="00FD418F"/>
    <w:rsid w:val="00FD4365"/>
    <w:rsid w:val="00FD46B0"/>
    <w:rsid w:val="00FD4D39"/>
    <w:rsid w:val="00FD4F52"/>
    <w:rsid w:val="00FE1EF3"/>
    <w:rsid w:val="00FE315D"/>
    <w:rsid w:val="00FE3182"/>
    <w:rsid w:val="00FE41E1"/>
    <w:rsid w:val="00FE55F1"/>
    <w:rsid w:val="00FE7613"/>
    <w:rsid w:val="00FF0175"/>
    <w:rsid w:val="00FF213C"/>
    <w:rsid w:val="00FF4D81"/>
    <w:rsid w:val="00FF75F5"/>
    <w:rsid w:val="012C5761"/>
    <w:rsid w:val="017046B5"/>
    <w:rsid w:val="018F054B"/>
    <w:rsid w:val="024B26CE"/>
    <w:rsid w:val="02AB0B8E"/>
    <w:rsid w:val="03433819"/>
    <w:rsid w:val="03822C68"/>
    <w:rsid w:val="03CB50B5"/>
    <w:rsid w:val="041651F4"/>
    <w:rsid w:val="049F43DF"/>
    <w:rsid w:val="04B22E9E"/>
    <w:rsid w:val="051D1B41"/>
    <w:rsid w:val="054162A1"/>
    <w:rsid w:val="05540833"/>
    <w:rsid w:val="05DF46DF"/>
    <w:rsid w:val="06225B6E"/>
    <w:rsid w:val="06667684"/>
    <w:rsid w:val="07C1731B"/>
    <w:rsid w:val="085F7C0E"/>
    <w:rsid w:val="095D1A5F"/>
    <w:rsid w:val="09A37CB3"/>
    <w:rsid w:val="09BD6E8E"/>
    <w:rsid w:val="09D449C2"/>
    <w:rsid w:val="0A6D7B49"/>
    <w:rsid w:val="0A774A1C"/>
    <w:rsid w:val="0A9C1B06"/>
    <w:rsid w:val="0AA8018E"/>
    <w:rsid w:val="0B1873A5"/>
    <w:rsid w:val="0B450737"/>
    <w:rsid w:val="0B49704E"/>
    <w:rsid w:val="0BC03108"/>
    <w:rsid w:val="0BE47B36"/>
    <w:rsid w:val="0C054382"/>
    <w:rsid w:val="0C9475FE"/>
    <w:rsid w:val="0C9A104D"/>
    <w:rsid w:val="0CDC6CA4"/>
    <w:rsid w:val="0D874311"/>
    <w:rsid w:val="0DB74BA1"/>
    <w:rsid w:val="0DDD130C"/>
    <w:rsid w:val="0EB16EFF"/>
    <w:rsid w:val="0F0136F4"/>
    <w:rsid w:val="0F0A35A6"/>
    <w:rsid w:val="0F7A70CC"/>
    <w:rsid w:val="0FA1651E"/>
    <w:rsid w:val="0FC50D8F"/>
    <w:rsid w:val="10451C7D"/>
    <w:rsid w:val="10A3646A"/>
    <w:rsid w:val="118848CF"/>
    <w:rsid w:val="11CA69B5"/>
    <w:rsid w:val="124E25CC"/>
    <w:rsid w:val="12FB1FFC"/>
    <w:rsid w:val="13172843"/>
    <w:rsid w:val="132451DE"/>
    <w:rsid w:val="13472720"/>
    <w:rsid w:val="14377EC4"/>
    <w:rsid w:val="14675B7E"/>
    <w:rsid w:val="14CE2B49"/>
    <w:rsid w:val="155E4085"/>
    <w:rsid w:val="15B52295"/>
    <w:rsid w:val="15EC5AC1"/>
    <w:rsid w:val="168A6CDE"/>
    <w:rsid w:val="168E2D78"/>
    <w:rsid w:val="16A27AC5"/>
    <w:rsid w:val="16A64D6D"/>
    <w:rsid w:val="16C04C56"/>
    <w:rsid w:val="16EB2471"/>
    <w:rsid w:val="172E2B9C"/>
    <w:rsid w:val="18003993"/>
    <w:rsid w:val="18196A06"/>
    <w:rsid w:val="181E2472"/>
    <w:rsid w:val="182D3D5F"/>
    <w:rsid w:val="18434A76"/>
    <w:rsid w:val="18A272E6"/>
    <w:rsid w:val="18BA600F"/>
    <w:rsid w:val="1956552E"/>
    <w:rsid w:val="19CC4F40"/>
    <w:rsid w:val="1A3426E3"/>
    <w:rsid w:val="1A853F9F"/>
    <w:rsid w:val="1AEC041D"/>
    <w:rsid w:val="1AEC419B"/>
    <w:rsid w:val="1AF6583C"/>
    <w:rsid w:val="1C085136"/>
    <w:rsid w:val="1D242FC2"/>
    <w:rsid w:val="1DB769D1"/>
    <w:rsid w:val="1DC01C11"/>
    <w:rsid w:val="1DE87BD4"/>
    <w:rsid w:val="1E054C48"/>
    <w:rsid w:val="1E1B3173"/>
    <w:rsid w:val="1E211684"/>
    <w:rsid w:val="1E7A4E2D"/>
    <w:rsid w:val="1E847FB4"/>
    <w:rsid w:val="1F082D3D"/>
    <w:rsid w:val="1FCF77B6"/>
    <w:rsid w:val="204627AF"/>
    <w:rsid w:val="20572949"/>
    <w:rsid w:val="20C0563E"/>
    <w:rsid w:val="2133411B"/>
    <w:rsid w:val="214B4697"/>
    <w:rsid w:val="223A00A8"/>
    <w:rsid w:val="23447637"/>
    <w:rsid w:val="23F5768F"/>
    <w:rsid w:val="246529A6"/>
    <w:rsid w:val="24804E1B"/>
    <w:rsid w:val="25997426"/>
    <w:rsid w:val="25BF62B8"/>
    <w:rsid w:val="25CF59CB"/>
    <w:rsid w:val="260C39F2"/>
    <w:rsid w:val="261A0491"/>
    <w:rsid w:val="26C66E06"/>
    <w:rsid w:val="26D259BC"/>
    <w:rsid w:val="270246D4"/>
    <w:rsid w:val="271257BE"/>
    <w:rsid w:val="27645745"/>
    <w:rsid w:val="27C621B9"/>
    <w:rsid w:val="28855A7D"/>
    <w:rsid w:val="28E40298"/>
    <w:rsid w:val="299C178C"/>
    <w:rsid w:val="29A21E55"/>
    <w:rsid w:val="2A0A2D83"/>
    <w:rsid w:val="2A472991"/>
    <w:rsid w:val="2AAB0BA0"/>
    <w:rsid w:val="2AFB4D94"/>
    <w:rsid w:val="2B755F4B"/>
    <w:rsid w:val="2BA67271"/>
    <w:rsid w:val="2BC24BED"/>
    <w:rsid w:val="2BE0319D"/>
    <w:rsid w:val="2BE95450"/>
    <w:rsid w:val="2C6544D8"/>
    <w:rsid w:val="2C8C39F6"/>
    <w:rsid w:val="2CD52E61"/>
    <w:rsid w:val="2CF2533C"/>
    <w:rsid w:val="2D632394"/>
    <w:rsid w:val="2DE515E5"/>
    <w:rsid w:val="2EB22755"/>
    <w:rsid w:val="2EB65D97"/>
    <w:rsid w:val="2EC64046"/>
    <w:rsid w:val="2F434FDE"/>
    <w:rsid w:val="2F725AED"/>
    <w:rsid w:val="2F754C15"/>
    <w:rsid w:val="2FAC5CBE"/>
    <w:rsid w:val="2FF24A24"/>
    <w:rsid w:val="30561E3F"/>
    <w:rsid w:val="306150E4"/>
    <w:rsid w:val="30735F9F"/>
    <w:rsid w:val="30A06F64"/>
    <w:rsid w:val="30CC197B"/>
    <w:rsid w:val="31B91D72"/>
    <w:rsid w:val="31E22C88"/>
    <w:rsid w:val="322C3A43"/>
    <w:rsid w:val="328205D3"/>
    <w:rsid w:val="328F3A54"/>
    <w:rsid w:val="32C9667D"/>
    <w:rsid w:val="32E853BA"/>
    <w:rsid w:val="32F87C1B"/>
    <w:rsid w:val="33760457"/>
    <w:rsid w:val="33EB1895"/>
    <w:rsid w:val="34066E5C"/>
    <w:rsid w:val="350D4388"/>
    <w:rsid w:val="353A46B7"/>
    <w:rsid w:val="356F73C9"/>
    <w:rsid w:val="35A32A3D"/>
    <w:rsid w:val="35B1151A"/>
    <w:rsid w:val="35B6520A"/>
    <w:rsid w:val="35F745D6"/>
    <w:rsid w:val="36035BCB"/>
    <w:rsid w:val="36524D5F"/>
    <w:rsid w:val="36593EB8"/>
    <w:rsid w:val="365E0BEC"/>
    <w:rsid w:val="3680580C"/>
    <w:rsid w:val="369B0D16"/>
    <w:rsid w:val="36E575BE"/>
    <w:rsid w:val="3799633A"/>
    <w:rsid w:val="37C07E80"/>
    <w:rsid w:val="38520B8E"/>
    <w:rsid w:val="39070852"/>
    <w:rsid w:val="3929383F"/>
    <w:rsid w:val="394A4C3B"/>
    <w:rsid w:val="399B1DB8"/>
    <w:rsid w:val="3A12743D"/>
    <w:rsid w:val="3BC978A7"/>
    <w:rsid w:val="3BFC46F4"/>
    <w:rsid w:val="3C183F80"/>
    <w:rsid w:val="3C18466D"/>
    <w:rsid w:val="3C357C06"/>
    <w:rsid w:val="3C792FD5"/>
    <w:rsid w:val="3C8B3CCA"/>
    <w:rsid w:val="3CDB4807"/>
    <w:rsid w:val="3D2179C7"/>
    <w:rsid w:val="3D3E557C"/>
    <w:rsid w:val="3E727BBA"/>
    <w:rsid w:val="3F3A5152"/>
    <w:rsid w:val="3FC833AB"/>
    <w:rsid w:val="3FFC0940"/>
    <w:rsid w:val="40156849"/>
    <w:rsid w:val="40345B32"/>
    <w:rsid w:val="4049358C"/>
    <w:rsid w:val="40582115"/>
    <w:rsid w:val="40A904D7"/>
    <w:rsid w:val="40D85040"/>
    <w:rsid w:val="412214B2"/>
    <w:rsid w:val="4160274D"/>
    <w:rsid w:val="41BE6428"/>
    <w:rsid w:val="44086C32"/>
    <w:rsid w:val="44EF1B82"/>
    <w:rsid w:val="44F22B38"/>
    <w:rsid w:val="44FF5255"/>
    <w:rsid w:val="45644B25"/>
    <w:rsid w:val="45E77C31"/>
    <w:rsid w:val="45FD1FD2"/>
    <w:rsid w:val="45FF7BEE"/>
    <w:rsid w:val="461B2714"/>
    <w:rsid w:val="465855D4"/>
    <w:rsid w:val="46794BE0"/>
    <w:rsid w:val="469B2720"/>
    <w:rsid w:val="473D2DF8"/>
    <w:rsid w:val="48D32C81"/>
    <w:rsid w:val="48D923C7"/>
    <w:rsid w:val="491B7D4D"/>
    <w:rsid w:val="49221512"/>
    <w:rsid w:val="499B2B75"/>
    <w:rsid w:val="4A226C77"/>
    <w:rsid w:val="4A4C1516"/>
    <w:rsid w:val="4ADA6BB7"/>
    <w:rsid w:val="4AF01045"/>
    <w:rsid w:val="4B14032B"/>
    <w:rsid w:val="4B307AE9"/>
    <w:rsid w:val="4B717BA7"/>
    <w:rsid w:val="4B862CAD"/>
    <w:rsid w:val="4BDA5CFE"/>
    <w:rsid w:val="4CFA39CE"/>
    <w:rsid w:val="4D282CB4"/>
    <w:rsid w:val="4D3B1AB9"/>
    <w:rsid w:val="4D48236F"/>
    <w:rsid w:val="4DC1760D"/>
    <w:rsid w:val="4E6B322B"/>
    <w:rsid w:val="4EC56C2F"/>
    <w:rsid w:val="4EEE449A"/>
    <w:rsid w:val="4F231585"/>
    <w:rsid w:val="4F7E6A86"/>
    <w:rsid w:val="502D02BC"/>
    <w:rsid w:val="503700FB"/>
    <w:rsid w:val="50DE06E3"/>
    <w:rsid w:val="51423F3F"/>
    <w:rsid w:val="51526ABB"/>
    <w:rsid w:val="516914A3"/>
    <w:rsid w:val="5176537C"/>
    <w:rsid w:val="517944E3"/>
    <w:rsid w:val="51933661"/>
    <w:rsid w:val="51AC6956"/>
    <w:rsid w:val="51E5108B"/>
    <w:rsid w:val="52483304"/>
    <w:rsid w:val="52D24297"/>
    <w:rsid w:val="52D32AFD"/>
    <w:rsid w:val="52E16C74"/>
    <w:rsid w:val="53240C30"/>
    <w:rsid w:val="535D0F42"/>
    <w:rsid w:val="53B4319B"/>
    <w:rsid w:val="54E500CA"/>
    <w:rsid w:val="55314071"/>
    <w:rsid w:val="55544E7D"/>
    <w:rsid w:val="556E1D75"/>
    <w:rsid w:val="56D97FD1"/>
    <w:rsid w:val="570470BA"/>
    <w:rsid w:val="572A1B2D"/>
    <w:rsid w:val="578E58A0"/>
    <w:rsid w:val="57B53639"/>
    <w:rsid w:val="58881554"/>
    <w:rsid w:val="59E11BC5"/>
    <w:rsid w:val="59FE5684"/>
    <w:rsid w:val="5A294673"/>
    <w:rsid w:val="5A6F7A2D"/>
    <w:rsid w:val="5AF56077"/>
    <w:rsid w:val="5B001520"/>
    <w:rsid w:val="5B8B5925"/>
    <w:rsid w:val="5B9E0C30"/>
    <w:rsid w:val="5C223BC9"/>
    <w:rsid w:val="5C7C6396"/>
    <w:rsid w:val="5C9A03FD"/>
    <w:rsid w:val="5CDB24E5"/>
    <w:rsid w:val="5D8D419C"/>
    <w:rsid w:val="5DB82739"/>
    <w:rsid w:val="5DC155E2"/>
    <w:rsid w:val="5DD51960"/>
    <w:rsid w:val="5DED6DA2"/>
    <w:rsid w:val="5E3B443B"/>
    <w:rsid w:val="5EC42D73"/>
    <w:rsid w:val="5F197194"/>
    <w:rsid w:val="5F3D2878"/>
    <w:rsid w:val="5F44298B"/>
    <w:rsid w:val="5F55219B"/>
    <w:rsid w:val="5F944D2C"/>
    <w:rsid w:val="5FCB4D87"/>
    <w:rsid w:val="5FED68F6"/>
    <w:rsid w:val="5FF95CF0"/>
    <w:rsid w:val="60384F4A"/>
    <w:rsid w:val="603E49EB"/>
    <w:rsid w:val="60C648E5"/>
    <w:rsid w:val="60C66115"/>
    <w:rsid w:val="60CD4825"/>
    <w:rsid w:val="61800D2B"/>
    <w:rsid w:val="61BC2A15"/>
    <w:rsid w:val="61D86AC2"/>
    <w:rsid w:val="62337EF3"/>
    <w:rsid w:val="62716BBC"/>
    <w:rsid w:val="627E7A26"/>
    <w:rsid w:val="634E7828"/>
    <w:rsid w:val="639F78D1"/>
    <w:rsid w:val="63B63F59"/>
    <w:rsid w:val="642E21E2"/>
    <w:rsid w:val="65117867"/>
    <w:rsid w:val="654639B4"/>
    <w:rsid w:val="66094ED0"/>
    <w:rsid w:val="66700908"/>
    <w:rsid w:val="668D28D9"/>
    <w:rsid w:val="66A40EC3"/>
    <w:rsid w:val="67375276"/>
    <w:rsid w:val="67A535E2"/>
    <w:rsid w:val="67A80762"/>
    <w:rsid w:val="67C67312"/>
    <w:rsid w:val="688C19B0"/>
    <w:rsid w:val="689A7718"/>
    <w:rsid w:val="6917469A"/>
    <w:rsid w:val="697E2311"/>
    <w:rsid w:val="69B33D58"/>
    <w:rsid w:val="69F50936"/>
    <w:rsid w:val="6A0368D7"/>
    <w:rsid w:val="6A472730"/>
    <w:rsid w:val="6AA628DF"/>
    <w:rsid w:val="6B0A3E88"/>
    <w:rsid w:val="6B700603"/>
    <w:rsid w:val="6B94314E"/>
    <w:rsid w:val="6B974B12"/>
    <w:rsid w:val="6BAB7017"/>
    <w:rsid w:val="6BD4551A"/>
    <w:rsid w:val="6BDD4FB2"/>
    <w:rsid w:val="6BE50451"/>
    <w:rsid w:val="6BEF2BAB"/>
    <w:rsid w:val="6C283CF7"/>
    <w:rsid w:val="6CC0101E"/>
    <w:rsid w:val="6D8816C8"/>
    <w:rsid w:val="6E1355C9"/>
    <w:rsid w:val="6E3B4CCA"/>
    <w:rsid w:val="6E505373"/>
    <w:rsid w:val="6EA16987"/>
    <w:rsid w:val="6EA25DF9"/>
    <w:rsid w:val="6F8D1FC2"/>
    <w:rsid w:val="6F8D5C1A"/>
    <w:rsid w:val="6FD27139"/>
    <w:rsid w:val="7010208F"/>
    <w:rsid w:val="703B6854"/>
    <w:rsid w:val="704A44DC"/>
    <w:rsid w:val="706933FF"/>
    <w:rsid w:val="70BF1008"/>
    <w:rsid w:val="70E574F3"/>
    <w:rsid w:val="71326C39"/>
    <w:rsid w:val="716147BD"/>
    <w:rsid w:val="71883D59"/>
    <w:rsid w:val="724539F8"/>
    <w:rsid w:val="72611DE4"/>
    <w:rsid w:val="726E545D"/>
    <w:rsid w:val="72B73FF5"/>
    <w:rsid w:val="72FF44EF"/>
    <w:rsid w:val="74A165CC"/>
    <w:rsid w:val="74AE1D28"/>
    <w:rsid w:val="755B645C"/>
    <w:rsid w:val="75615E2A"/>
    <w:rsid w:val="75776E8F"/>
    <w:rsid w:val="75B60F89"/>
    <w:rsid w:val="761728C2"/>
    <w:rsid w:val="761E2EDE"/>
    <w:rsid w:val="76823514"/>
    <w:rsid w:val="76B07EDE"/>
    <w:rsid w:val="76DB2B7D"/>
    <w:rsid w:val="775D10FB"/>
    <w:rsid w:val="77695595"/>
    <w:rsid w:val="786257FC"/>
    <w:rsid w:val="791D4BEA"/>
    <w:rsid w:val="792F6D7C"/>
    <w:rsid w:val="7987697C"/>
    <w:rsid w:val="79D1422E"/>
    <w:rsid w:val="7A9F47F8"/>
    <w:rsid w:val="7B602F54"/>
    <w:rsid w:val="7C1C6325"/>
    <w:rsid w:val="7C520C2F"/>
    <w:rsid w:val="7CC067C4"/>
    <w:rsid w:val="7D3E444E"/>
    <w:rsid w:val="7D602FB4"/>
    <w:rsid w:val="7D622872"/>
    <w:rsid w:val="7DD74FBC"/>
    <w:rsid w:val="7E462371"/>
    <w:rsid w:val="7F083EE0"/>
    <w:rsid w:val="7F4B70A4"/>
    <w:rsid w:val="7F862913"/>
    <w:rsid w:val="7F991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6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8">
    <w:name w:val="heading 2"/>
    <w:basedOn w:val="1"/>
    <w:next w:val="1"/>
    <w:link w:val="7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9">
    <w:name w:val="heading 3"/>
    <w:basedOn w:val="1"/>
    <w:next w:val="1"/>
    <w:link w:val="6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4"/>
    <w:qFormat/>
    <w:uiPriority w:val="0"/>
    <w:pPr>
      <w:tabs>
        <w:tab w:val="left" w:pos="567"/>
      </w:tabs>
      <w:spacing w:before="120" w:line="22" w:lineRule="atLeast"/>
    </w:pPr>
    <w:rPr>
      <w:rFonts w:ascii="宋体" w:hAnsi="宋体"/>
      <w:sz w:val="24"/>
    </w:rPr>
  </w:style>
  <w:style w:type="paragraph" w:styleId="3">
    <w:name w:val="Body Text First Indent"/>
    <w:basedOn w:val="2"/>
    <w:next w:val="4"/>
    <w:qFormat/>
    <w:uiPriority w:val="0"/>
    <w:pPr>
      <w:autoSpaceDE w:val="0"/>
      <w:autoSpaceDN w:val="0"/>
      <w:adjustRightInd w:val="0"/>
      <w:spacing w:line="360" w:lineRule="auto"/>
      <w:ind w:firstLine="420" w:firstLineChars="200"/>
    </w:pPr>
    <w:rPr>
      <w:rFonts w:ascii="Arial" w:hAnsi="Arial"/>
      <w:szCs w:val="21"/>
    </w:rPr>
  </w:style>
  <w:style w:type="paragraph" w:styleId="4">
    <w:name w:val="Body Text First Indent 2"/>
    <w:basedOn w:val="5"/>
    <w:next w:val="3"/>
    <w:unhideWhenUsed/>
    <w:qFormat/>
    <w:uiPriority w:val="99"/>
    <w:pPr>
      <w:ind w:firstLine="420" w:firstLineChars="200"/>
    </w:pPr>
  </w:style>
  <w:style w:type="paragraph" w:styleId="5">
    <w:name w:val="Body Text Indent"/>
    <w:basedOn w:val="1"/>
    <w:next w:val="6"/>
    <w:qFormat/>
    <w:uiPriority w:val="0"/>
    <w:pPr>
      <w:spacing w:line="360" w:lineRule="auto"/>
      <w:ind w:firstLine="570"/>
    </w:pPr>
    <w:rPr>
      <w:sz w:val="24"/>
    </w:rPr>
  </w:style>
  <w:style w:type="paragraph" w:styleId="10">
    <w:name w:val="toc 7"/>
    <w:basedOn w:val="1"/>
    <w:next w:val="1"/>
    <w:qFormat/>
    <w:uiPriority w:val="39"/>
    <w:pPr>
      <w:ind w:left="2520" w:leftChars="1200"/>
    </w:pPr>
  </w:style>
  <w:style w:type="paragraph" w:styleId="11">
    <w:name w:val="Normal Indent"/>
    <w:basedOn w:val="1"/>
    <w:next w:val="12"/>
    <w:qFormat/>
    <w:uiPriority w:val="0"/>
    <w:pPr>
      <w:autoSpaceDE w:val="0"/>
      <w:autoSpaceDN w:val="0"/>
      <w:adjustRightInd w:val="0"/>
      <w:ind w:firstLine="420"/>
      <w:jc w:val="left"/>
    </w:pPr>
    <w:rPr>
      <w:rFonts w:ascii="宋体"/>
      <w:kern w:val="0"/>
      <w:sz w:val="24"/>
      <w:szCs w:val="20"/>
    </w:rPr>
  </w:style>
  <w:style w:type="paragraph" w:customStyle="1" w:styleId="12">
    <w:name w:val="样式 正文缩进 + 首行缩进:  2 字符"/>
    <w:basedOn w:val="11"/>
    <w:qFormat/>
    <w:uiPriority w:val="0"/>
    <w:pPr>
      <w:ind w:firstLine="560" w:firstLineChars="200"/>
    </w:pPr>
    <w:rPr>
      <w:rFonts w:cs="宋体"/>
    </w:rPr>
  </w:style>
  <w:style w:type="paragraph" w:styleId="13">
    <w:name w:val="annotation text"/>
    <w:basedOn w:val="1"/>
    <w:link w:val="58"/>
    <w:qFormat/>
    <w:uiPriority w:val="99"/>
    <w:pPr>
      <w:jc w:val="left"/>
    </w:pPr>
  </w:style>
  <w:style w:type="paragraph" w:styleId="14">
    <w:name w:val="toc 5"/>
    <w:basedOn w:val="1"/>
    <w:next w:val="1"/>
    <w:qFormat/>
    <w:uiPriority w:val="39"/>
    <w:pPr>
      <w:ind w:left="1680" w:leftChars="800"/>
    </w:pPr>
  </w:style>
  <w:style w:type="paragraph" w:styleId="15">
    <w:name w:val="toc 3"/>
    <w:basedOn w:val="1"/>
    <w:next w:val="1"/>
    <w:qFormat/>
    <w:uiPriority w:val="39"/>
    <w:pPr>
      <w:tabs>
        <w:tab w:val="left" w:pos="1260"/>
        <w:tab w:val="right" w:leader="dot" w:pos="8630"/>
      </w:tabs>
      <w:ind w:left="840" w:leftChars="400"/>
    </w:pPr>
  </w:style>
  <w:style w:type="paragraph" w:styleId="16">
    <w:name w:val="Plain Text"/>
    <w:basedOn w:val="1"/>
    <w:link w:val="62"/>
    <w:qFormat/>
    <w:uiPriority w:val="0"/>
    <w:rPr>
      <w:rFonts w:ascii="宋体" w:hAnsi="Courier New"/>
      <w:szCs w:val="20"/>
    </w:rPr>
  </w:style>
  <w:style w:type="paragraph" w:styleId="17">
    <w:name w:val="toc 8"/>
    <w:basedOn w:val="1"/>
    <w:next w:val="1"/>
    <w:qFormat/>
    <w:uiPriority w:val="39"/>
    <w:pPr>
      <w:ind w:left="2940" w:leftChars="1400"/>
    </w:pPr>
  </w:style>
  <w:style w:type="paragraph" w:styleId="18">
    <w:name w:val="Date"/>
    <w:basedOn w:val="1"/>
    <w:next w:val="1"/>
    <w:link w:val="67"/>
    <w:qFormat/>
    <w:uiPriority w:val="0"/>
    <w:pPr>
      <w:ind w:left="100" w:leftChars="2500"/>
    </w:pPr>
    <w:rPr>
      <w:rFonts w:ascii="仿宋_GB2312" w:hAnsi="宋体" w:eastAsia="仿宋_GB2312"/>
      <w:color w:val="000000"/>
      <w:sz w:val="24"/>
    </w:rPr>
  </w:style>
  <w:style w:type="paragraph" w:styleId="19">
    <w:name w:val="Body Text Indent 2"/>
    <w:basedOn w:val="1"/>
    <w:qFormat/>
    <w:uiPriority w:val="0"/>
    <w:pPr>
      <w:ind w:firstLine="480" w:firstLineChars="200"/>
    </w:pPr>
    <w:rPr>
      <w:rFonts w:ascii="仿宋_GB2312" w:eastAsia="仿宋_GB2312"/>
      <w:sz w:val="24"/>
    </w:rPr>
  </w:style>
  <w:style w:type="paragraph" w:styleId="20">
    <w:name w:val="Balloon Text"/>
    <w:basedOn w:val="1"/>
    <w:link w:val="60"/>
    <w:qFormat/>
    <w:uiPriority w:val="0"/>
    <w:rPr>
      <w:sz w:val="18"/>
      <w:szCs w:val="18"/>
    </w:rPr>
  </w:style>
  <w:style w:type="paragraph" w:styleId="21">
    <w:name w:val="footer"/>
    <w:basedOn w:val="1"/>
    <w:link w:val="5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2">
    <w:name w:val="envelope return"/>
    <w:basedOn w:val="1"/>
    <w:qFormat/>
    <w:uiPriority w:val="0"/>
    <w:pPr>
      <w:snapToGrid w:val="0"/>
    </w:pPr>
    <w:rPr>
      <w:rFonts w:ascii="Arial" w:hAnsi="Arial"/>
    </w:rPr>
  </w:style>
  <w:style w:type="paragraph" w:styleId="23">
    <w:name w:val="header"/>
    <w:basedOn w:val="1"/>
    <w:link w:val="68"/>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style>
  <w:style w:type="paragraph" w:styleId="25">
    <w:name w:val="toc 4"/>
    <w:basedOn w:val="1"/>
    <w:next w:val="1"/>
    <w:qFormat/>
    <w:uiPriority w:val="39"/>
    <w:pPr>
      <w:ind w:left="1260" w:leftChars="600"/>
    </w:pPr>
  </w:style>
  <w:style w:type="paragraph" w:styleId="26">
    <w:name w:val="List"/>
    <w:basedOn w:val="1"/>
    <w:qFormat/>
    <w:uiPriority w:val="0"/>
    <w:pPr>
      <w:ind w:left="420" w:hanging="420"/>
    </w:pPr>
    <w:rPr>
      <w:sz w:val="24"/>
      <w:szCs w:val="20"/>
    </w:rPr>
  </w:style>
  <w:style w:type="paragraph" w:styleId="27">
    <w:name w:val="footnote text"/>
    <w:basedOn w:val="1"/>
    <w:qFormat/>
    <w:uiPriority w:val="0"/>
    <w:pPr>
      <w:adjustRightInd w:val="0"/>
      <w:spacing w:line="315" w:lineRule="atLeast"/>
      <w:textAlignment w:val="baseline"/>
    </w:pPr>
    <w:rPr>
      <w:rFonts w:ascii="宋体" w:hAnsi="宋体"/>
      <w:sz w:val="18"/>
      <w:szCs w:val="18"/>
    </w:rPr>
  </w:style>
  <w:style w:type="paragraph" w:styleId="28">
    <w:name w:val="toc 6"/>
    <w:basedOn w:val="1"/>
    <w:next w:val="1"/>
    <w:qFormat/>
    <w:uiPriority w:val="39"/>
    <w:pPr>
      <w:ind w:left="2100" w:leftChars="1000"/>
    </w:pPr>
  </w:style>
  <w:style w:type="paragraph" w:styleId="29">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0">
    <w:name w:val="toc 2"/>
    <w:basedOn w:val="1"/>
    <w:next w:val="1"/>
    <w:qFormat/>
    <w:uiPriority w:val="39"/>
    <w:pPr>
      <w:ind w:left="420" w:leftChars="200"/>
    </w:pPr>
  </w:style>
  <w:style w:type="paragraph" w:styleId="31">
    <w:name w:val="toc 9"/>
    <w:basedOn w:val="1"/>
    <w:next w:val="1"/>
    <w:qFormat/>
    <w:uiPriority w:val="39"/>
    <w:pPr>
      <w:ind w:left="3360" w:leftChars="1600"/>
    </w:pPr>
  </w:style>
  <w:style w:type="paragraph" w:styleId="32">
    <w:name w:val="Body Text 2"/>
    <w:basedOn w:val="1"/>
    <w:qFormat/>
    <w:uiPriority w:val="0"/>
    <w:pPr>
      <w:spacing w:after="120" w:line="480" w:lineRule="auto"/>
    </w:pPr>
    <w:rPr>
      <w:rFonts w:ascii="Arial" w:hAnsi="Arial"/>
      <w:sz w:val="24"/>
    </w:rPr>
  </w:style>
  <w:style w:type="paragraph" w:styleId="33">
    <w:name w:val="Normal (Web)"/>
    <w:basedOn w:val="1"/>
    <w:qFormat/>
    <w:uiPriority w:val="0"/>
    <w:pPr>
      <w:widowControl/>
      <w:jc w:val="left"/>
    </w:pPr>
    <w:rPr>
      <w:rFonts w:ascii="宋体" w:hAnsi="宋体" w:cs="宋体"/>
      <w:kern w:val="0"/>
      <w:sz w:val="24"/>
    </w:rPr>
  </w:style>
  <w:style w:type="paragraph" w:styleId="34">
    <w:name w:val="index 1"/>
    <w:basedOn w:val="1"/>
    <w:next w:val="1"/>
    <w:semiHidden/>
    <w:qFormat/>
    <w:uiPriority w:val="0"/>
    <w:rPr>
      <w:szCs w:val="20"/>
    </w:rPr>
  </w:style>
  <w:style w:type="paragraph" w:styleId="35">
    <w:name w:val="annotation subject"/>
    <w:basedOn w:val="13"/>
    <w:next w:val="13"/>
    <w:link w:val="61"/>
    <w:qFormat/>
    <w:uiPriority w:val="0"/>
    <w:rPr>
      <w:b/>
      <w:bCs/>
    </w:rPr>
  </w:style>
  <w:style w:type="table" w:styleId="37">
    <w:name w:val="Table Grid"/>
    <w:basedOn w:val="3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qFormat/>
    <w:uiPriority w:val="0"/>
    <w:rPr>
      <w:rFonts w:ascii="Arial" w:hAnsi="Arial" w:eastAsia="Times New Roman" w:cs="Verdana"/>
      <w:b/>
      <w:bCs/>
      <w:kern w:val="0"/>
      <w:sz w:val="24"/>
      <w:lang w:eastAsia="en-US"/>
    </w:rPr>
  </w:style>
  <w:style w:type="character" w:styleId="40">
    <w:name w:val="page number"/>
    <w:qFormat/>
    <w:uiPriority w:val="0"/>
  </w:style>
  <w:style w:type="character" w:styleId="41">
    <w:name w:val="Hyperlink"/>
    <w:qFormat/>
    <w:uiPriority w:val="99"/>
    <w:rPr>
      <w:color w:val="0000FF"/>
      <w:u w:val="single"/>
    </w:rPr>
  </w:style>
  <w:style w:type="character" w:styleId="42">
    <w:name w:val="annotation reference"/>
    <w:qFormat/>
    <w:uiPriority w:val="99"/>
    <w:rPr>
      <w:sz w:val="21"/>
      <w:szCs w:val="21"/>
    </w:rPr>
  </w:style>
  <w:style w:type="paragraph" w:customStyle="1" w:styleId="43">
    <w:name w:val="Default"/>
    <w:next w:val="1"/>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44">
    <w:name w:val="样式1"/>
    <w:basedOn w:val="1"/>
    <w:qFormat/>
    <w:uiPriority w:val="0"/>
    <w:pPr>
      <w:adjustRightInd w:val="0"/>
      <w:textAlignment w:val="baseline"/>
    </w:pPr>
    <w:rPr>
      <w:rFonts w:ascii="宋体" w:hAnsi="宋体"/>
      <w:kern w:val="0"/>
      <w:szCs w:val="21"/>
    </w:rPr>
  </w:style>
  <w:style w:type="paragraph" w:customStyle="1" w:styleId="45">
    <w:name w:val="列出段落1"/>
    <w:basedOn w:val="1"/>
    <w:qFormat/>
    <w:uiPriority w:val="99"/>
    <w:pPr>
      <w:ind w:firstLine="420" w:firstLineChars="200"/>
    </w:pPr>
  </w:style>
  <w:style w:type="paragraph" w:customStyle="1" w:styleId="46">
    <w:name w:val="正文1"/>
    <w:basedOn w:val="1"/>
    <w:qFormat/>
    <w:uiPriority w:val="0"/>
    <w:pPr>
      <w:ind w:firstLine="420" w:firstLineChars="200"/>
    </w:pPr>
    <w:rPr>
      <w:rFonts w:ascii="宋体" w:hAnsi="宋体"/>
    </w:rPr>
  </w:style>
  <w:style w:type="paragraph" w:styleId="47">
    <w:name w:val="List Paragraph"/>
    <w:basedOn w:val="1"/>
    <w:qFormat/>
    <w:uiPriority w:val="34"/>
    <w:pPr>
      <w:widowControl/>
      <w:ind w:firstLine="420" w:firstLineChars="200"/>
      <w:jc w:val="left"/>
    </w:pPr>
    <w:rPr>
      <w:kern w:val="0"/>
      <w:sz w:val="24"/>
    </w:rPr>
  </w:style>
  <w:style w:type="paragraph" w:customStyle="1" w:styleId="48">
    <w:name w:val="Char"/>
    <w:basedOn w:val="1"/>
    <w:qFormat/>
    <w:uiPriority w:val="0"/>
    <w:pPr>
      <w:tabs>
        <w:tab w:val="left" w:pos="360"/>
      </w:tabs>
    </w:pPr>
    <w:rPr>
      <w:sz w:val="24"/>
    </w:rPr>
  </w:style>
  <w:style w:type="paragraph" w:customStyle="1" w:styleId="49">
    <w:name w:val="标号标题"/>
    <w:basedOn w:val="1"/>
    <w:qFormat/>
    <w:uiPriority w:val="99"/>
    <w:pPr>
      <w:widowControl/>
      <w:numPr>
        <w:ilvl w:val="0"/>
        <w:numId w:val="1"/>
      </w:numPr>
      <w:tabs>
        <w:tab w:val="left" w:pos="360"/>
        <w:tab w:val="left" w:pos="1133"/>
      </w:tabs>
      <w:spacing w:line="360" w:lineRule="auto"/>
      <w:jc w:val="left"/>
    </w:pPr>
    <w:rPr>
      <w:b/>
      <w:bCs/>
      <w:szCs w:val="21"/>
    </w:rPr>
  </w:style>
  <w:style w:type="paragraph" w:customStyle="1" w:styleId="50">
    <w:name w:val="索引 11"/>
    <w:basedOn w:val="1"/>
    <w:next w:val="1"/>
    <w:qFormat/>
    <w:uiPriority w:val="0"/>
    <w:pPr>
      <w:spacing w:line="360" w:lineRule="auto"/>
    </w:pPr>
    <w:rPr>
      <w:rFonts w:ascii="仿宋_GB2312" w:eastAsia="仿宋_GB2312"/>
      <w:sz w:val="24"/>
      <w:szCs w:val="20"/>
    </w:rPr>
  </w:style>
  <w:style w:type="paragraph" w:customStyle="1" w:styleId="51">
    <w:name w:val="纯文本1"/>
    <w:basedOn w:val="1"/>
    <w:link w:val="56"/>
    <w:qFormat/>
    <w:uiPriority w:val="0"/>
    <w:rPr>
      <w:rFonts w:ascii="宋体" w:hAnsi="Courier New"/>
      <w:kern w:val="0"/>
      <w:sz w:val="20"/>
      <w:szCs w:val="20"/>
    </w:rPr>
  </w:style>
  <w:style w:type="paragraph" w:customStyle="1" w:styleId="52">
    <w:name w:val="正文缩进1"/>
    <w:basedOn w:val="1"/>
    <w:link w:val="66"/>
    <w:qFormat/>
    <w:uiPriority w:val="0"/>
    <w:pPr>
      <w:autoSpaceDE w:val="0"/>
      <w:autoSpaceDN w:val="0"/>
      <w:adjustRightInd w:val="0"/>
      <w:ind w:firstLine="420"/>
      <w:jc w:val="left"/>
    </w:pPr>
    <w:rPr>
      <w:rFonts w:ascii="宋体"/>
      <w:kern w:val="0"/>
      <w:sz w:val="24"/>
      <w:szCs w:val="20"/>
    </w:rPr>
  </w:style>
  <w:style w:type="character" w:customStyle="1" w:styleId="53">
    <w:name w:val="页眉 Char1"/>
    <w:semiHidden/>
    <w:qFormat/>
    <w:uiPriority w:val="99"/>
    <w:rPr>
      <w:kern w:val="2"/>
      <w:sz w:val="18"/>
      <w:szCs w:val="18"/>
    </w:rPr>
  </w:style>
  <w:style w:type="character" w:customStyle="1" w:styleId="54">
    <w:name w:val="标题 2 Char"/>
    <w:link w:val="8"/>
    <w:qFormat/>
    <w:uiPriority w:val="0"/>
    <w:rPr>
      <w:rFonts w:ascii="Arial" w:hAnsi="Arial" w:eastAsia="黑体"/>
      <w:b/>
      <w:sz w:val="30"/>
    </w:rPr>
  </w:style>
  <w:style w:type="character" w:customStyle="1" w:styleId="55">
    <w:name w:val="页脚 Char"/>
    <w:link w:val="21"/>
    <w:qFormat/>
    <w:uiPriority w:val="99"/>
    <w:rPr>
      <w:rFonts w:ascii="宋体"/>
      <w:sz w:val="18"/>
    </w:rPr>
  </w:style>
  <w:style w:type="character" w:customStyle="1" w:styleId="56">
    <w:name w:val="纯文本 Char1"/>
    <w:link w:val="51"/>
    <w:qFormat/>
    <w:uiPriority w:val="0"/>
    <w:rPr>
      <w:rFonts w:ascii="宋体" w:hAnsi="Courier New"/>
    </w:rPr>
  </w:style>
  <w:style w:type="character" w:customStyle="1" w:styleId="57">
    <w:name w:val="NormalCharacter"/>
    <w:qFormat/>
    <w:uiPriority w:val="0"/>
  </w:style>
  <w:style w:type="character" w:customStyle="1" w:styleId="58">
    <w:name w:val="批注文字 Char"/>
    <w:link w:val="13"/>
    <w:qFormat/>
    <w:uiPriority w:val="99"/>
    <w:rPr>
      <w:kern w:val="2"/>
      <w:sz w:val="21"/>
      <w:szCs w:val="24"/>
    </w:rPr>
  </w:style>
  <w:style w:type="character" w:customStyle="1" w:styleId="59">
    <w:name w:val="批注主题 Char1"/>
    <w:semiHidden/>
    <w:qFormat/>
    <w:uiPriority w:val="99"/>
    <w:rPr>
      <w:b/>
      <w:bCs/>
      <w:kern w:val="2"/>
      <w:sz w:val="21"/>
      <w:szCs w:val="24"/>
    </w:rPr>
  </w:style>
  <w:style w:type="character" w:customStyle="1" w:styleId="60">
    <w:name w:val="批注框文本 Char"/>
    <w:link w:val="20"/>
    <w:qFormat/>
    <w:uiPriority w:val="0"/>
    <w:rPr>
      <w:kern w:val="2"/>
      <w:sz w:val="18"/>
      <w:szCs w:val="18"/>
    </w:rPr>
  </w:style>
  <w:style w:type="character" w:customStyle="1" w:styleId="61">
    <w:name w:val="批注主题 Char"/>
    <w:link w:val="35"/>
    <w:qFormat/>
    <w:uiPriority w:val="0"/>
    <w:rPr>
      <w:b/>
      <w:bCs/>
      <w:kern w:val="2"/>
      <w:sz w:val="21"/>
      <w:szCs w:val="24"/>
    </w:rPr>
  </w:style>
  <w:style w:type="character" w:customStyle="1" w:styleId="62">
    <w:name w:val="纯文本 Char"/>
    <w:link w:val="16"/>
    <w:qFormat/>
    <w:uiPriority w:val="0"/>
    <w:rPr>
      <w:rFonts w:ascii="宋体" w:hAnsi="Courier New"/>
      <w:kern w:val="2"/>
      <w:sz w:val="21"/>
    </w:rPr>
  </w:style>
  <w:style w:type="character" w:customStyle="1" w:styleId="63">
    <w:name w:val="标题 3 Char"/>
    <w:link w:val="9"/>
    <w:qFormat/>
    <w:uiPriority w:val="0"/>
    <w:rPr>
      <w:rFonts w:ascii="宋体"/>
      <w:b/>
      <w:sz w:val="24"/>
      <w:u w:val="single"/>
    </w:rPr>
  </w:style>
  <w:style w:type="character" w:customStyle="1" w:styleId="64">
    <w:name w:val="正文文本 Char"/>
    <w:link w:val="2"/>
    <w:qFormat/>
    <w:uiPriority w:val="0"/>
    <w:rPr>
      <w:rFonts w:ascii="宋体" w:hAnsi="宋体"/>
      <w:kern w:val="2"/>
      <w:sz w:val="24"/>
      <w:szCs w:val="24"/>
    </w:rPr>
  </w:style>
  <w:style w:type="character" w:customStyle="1" w:styleId="65">
    <w:name w:val="批注框文本 Char1"/>
    <w:semiHidden/>
    <w:qFormat/>
    <w:uiPriority w:val="99"/>
    <w:rPr>
      <w:kern w:val="2"/>
      <w:sz w:val="18"/>
      <w:szCs w:val="18"/>
    </w:rPr>
  </w:style>
  <w:style w:type="character" w:customStyle="1" w:styleId="66">
    <w:name w:val="正文缩进 Char1"/>
    <w:link w:val="52"/>
    <w:qFormat/>
    <w:uiPriority w:val="0"/>
    <w:rPr>
      <w:rFonts w:ascii="宋体"/>
      <w:sz w:val="24"/>
    </w:rPr>
  </w:style>
  <w:style w:type="character" w:customStyle="1" w:styleId="67">
    <w:name w:val="日期 Char"/>
    <w:link w:val="18"/>
    <w:qFormat/>
    <w:uiPriority w:val="0"/>
    <w:rPr>
      <w:rFonts w:ascii="仿宋_GB2312" w:hAnsi="宋体" w:eastAsia="仿宋_GB2312"/>
      <w:color w:val="000000"/>
      <w:kern w:val="2"/>
      <w:sz w:val="24"/>
      <w:szCs w:val="24"/>
    </w:rPr>
  </w:style>
  <w:style w:type="character" w:customStyle="1" w:styleId="68">
    <w:name w:val="页眉 Char"/>
    <w:link w:val="23"/>
    <w:qFormat/>
    <w:uiPriority w:val="0"/>
    <w:rPr>
      <w:kern w:val="2"/>
      <w:sz w:val="18"/>
      <w:szCs w:val="18"/>
    </w:rPr>
  </w:style>
  <w:style w:type="character" w:customStyle="1" w:styleId="69">
    <w:name w:val="标题 1 Char"/>
    <w:link w:val="7"/>
    <w:qFormat/>
    <w:uiPriority w:val="0"/>
    <w:rPr>
      <w:rFonts w:ascii="宋体"/>
      <w:b/>
      <w:kern w:val="44"/>
      <w:sz w:val="32"/>
    </w:rPr>
  </w:style>
  <w:style w:type="character" w:customStyle="1" w:styleId="70">
    <w:name w:val="批注文字 Char1"/>
    <w:semiHidden/>
    <w:qFormat/>
    <w:uiPriority w:val="99"/>
    <w:rPr>
      <w:kern w:val="2"/>
      <w:sz w:val="21"/>
      <w:szCs w:val="24"/>
    </w:rPr>
  </w:style>
  <w:style w:type="table" w:customStyle="1" w:styleId="71">
    <w:name w:val="Table Normal"/>
    <w:qFormat/>
    <w:uiPriority w:val="0"/>
    <w:tblPr>
      <w:tblCellMar>
        <w:top w:w="0" w:type="dxa"/>
        <w:left w:w="0" w:type="dxa"/>
        <w:bottom w:w="0" w:type="dxa"/>
        <w:right w:w="0" w:type="dxa"/>
      </w:tblCellMar>
    </w:tblPr>
  </w:style>
  <w:style w:type="character" w:customStyle="1" w:styleId="72">
    <w:name w:val="fontstyle01"/>
    <w:basedOn w:val="38"/>
    <w:qFormat/>
    <w:uiPriority w:val="0"/>
    <w:rPr>
      <w:rFonts w:hint="eastAsia" w:ascii="仿宋_GB2312" w:eastAsia="仿宋_GB2312"/>
      <w:color w:val="000000"/>
      <w:sz w:val="28"/>
      <w:szCs w:val="28"/>
    </w:rPr>
  </w:style>
  <w:style w:type="paragraph" w:customStyle="1" w:styleId="73">
    <w:name w:val="Table Paragraph"/>
    <w:basedOn w:val="1"/>
    <w:qFormat/>
    <w:uiPriority w:val="1"/>
    <w:rPr>
      <w:rFonts w:ascii="宋体" w:hAnsi="宋体" w:cs="宋体"/>
      <w:lang w:val="zh-CN" w:bidi="zh-CN"/>
    </w:rPr>
  </w:style>
  <w:style w:type="character" w:customStyle="1" w:styleId="74">
    <w:name w:val="标题 2 Char1"/>
    <w:link w:val="8"/>
    <w:qFormat/>
    <w:uiPriority w:val="0"/>
    <w:rPr>
      <w:rFonts w:ascii="Arial" w:hAnsi="Arial" w:eastAsia="黑体" w:cs="Times New Roman"/>
      <w:b/>
      <w:bCs/>
      <w:sz w:val="32"/>
      <w:szCs w:val="32"/>
    </w:rPr>
  </w:style>
  <w:style w:type="character" w:customStyle="1" w:styleId="75">
    <w:name w:val="font31"/>
    <w:basedOn w:val="38"/>
    <w:qFormat/>
    <w:uiPriority w:val="0"/>
    <w:rPr>
      <w:rFonts w:hint="eastAsia" w:ascii="仿宋" w:hAnsi="仿宋" w:eastAsia="仿宋" w:cs="仿宋"/>
      <w:color w:val="000000"/>
      <w:sz w:val="20"/>
      <w:szCs w:val="20"/>
      <w:u w:val="none"/>
    </w:rPr>
  </w:style>
  <w:style w:type="character" w:customStyle="1" w:styleId="76">
    <w:name w:val="font21"/>
    <w:basedOn w:val="38"/>
    <w:qFormat/>
    <w:uiPriority w:val="0"/>
    <w:rPr>
      <w:rFonts w:hint="eastAsia" w:ascii="仿宋" w:hAnsi="仿宋" w:eastAsia="仿宋" w:cs="仿宋"/>
      <w:color w:val="000000"/>
      <w:sz w:val="20"/>
      <w:szCs w:val="20"/>
      <w:u w:val="none"/>
    </w:rPr>
  </w:style>
  <w:style w:type="paragraph" w:customStyle="1" w:styleId="77">
    <w:name w:val="WPSOffice手动目录 1"/>
    <w:qFormat/>
    <w:uiPriority w:val="0"/>
    <w:pPr>
      <w:ind w:leftChars="0"/>
    </w:pPr>
    <w:rPr>
      <w:rFonts w:ascii="Times New Roman" w:hAnsi="Times New Roman" w:eastAsia="宋体" w:cs="Times New Roman"/>
      <w:sz w:val="20"/>
      <w:szCs w:val="20"/>
    </w:rPr>
  </w:style>
  <w:style w:type="paragraph" w:customStyle="1" w:styleId="7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80</Pages>
  <Words>43569</Words>
  <Characters>46966</Characters>
  <Lines>375</Lines>
  <Paragraphs>105</Paragraphs>
  <TotalTime>3</TotalTime>
  <ScaleCrop>false</ScaleCrop>
  <LinksUpToDate>false</LinksUpToDate>
  <CharactersWithSpaces>49878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2021-04-05T13:24:00Z</dcterms:created>
  <dc:creator>USER-</dc:creator>
  <cp:lastModifiedBy>孙丽</cp:lastModifiedBy>
  <cp:lastPrinted>2023-02-20T11:14:00Z</cp:lastPrinted>
  <dcterms:modified xsi:type="dcterms:W3CDTF">2023-02-22T05:21:32Z</dcterms:modified>
  <dc:title>02年杜范本稿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3F46D2B38A954B40BFCE19AB3E0B922D</vt:lpwstr>
  </property>
</Properties>
</file>