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（十包）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阿勒泰地区2023年动物疫苗采购项目（十包）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阿勒泰地区2023年动物疫苗采购项目（十包）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076"/>
      <w:bookmarkStart w:id="1" w:name="_Toc12782"/>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阿勒泰地区2023年动物疫苗采购项目（十包）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723800（元）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723800（元）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10.34（万头份）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w:t>
            </w:r>
            <w:bookmarkStart w:id="92" w:name="_GoBack"/>
            <w:bookmarkEnd w:id="92"/>
            <w:r>
              <w:rPr>
                <w:rFonts w:hint="eastAsia" w:ascii="宋体" w:hAnsi="宋体" w:cs="Times New Roman"/>
                <w:color w:val="auto"/>
                <w:sz w:val="24"/>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投标保证金金额：人民币</w:t>
            </w:r>
            <w:r>
              <w:rPr>
                <w:rFonts w:hint="eastAsia"/>
                <w:highlight w:val="none"/>
                <w:lang w:val="en-US" w:eastAsia="zh-CN"/>
              </w:rPr>
              <w:t>14000</w:t>
            </w:r>
            <w:r>
              <w:rPr>
                <w:rFonts w:hint="default"/>
                <w:highlight w:val="none"/>
                <w:lang w:val="en-US" w:eastAsia="zh-CN"/>
              </w:rPr>
              <w:t>.00元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采购代理服务费在审批的项目预算中已经列支的，由采购人支付，并按照财政部门规定列支；在审批的项目预算中未列支的，采购代理服务费用由成交供应商支付，见供应商须知前附表。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hint="eastAsia" w:ascii="宋体" w:hAnsi="宋体" w:cs="宋体"/>
          <w:color w:val="111111"/>
          <w:sz w:val="24"/>
          <w:szCs w:val="24"/>
          <w:shd w:val="clear" w:color="auto" w:fill="FFFFFF"/>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5106"/>
      <w:bookmarkStart w:id="12" w:name="_Toc28529"/>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阿勒泰地区2023年动物疫苗采购项目（十包）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eastAsia="宋体" w:cs="宋体"/>
                <w:b/>
                <w:bCs/>
                <w:color w:val="auto"/>
                <w:sz w:val="21"/>
                <w:szCs w:val="21"/>
                <w:lang w:val="en-US" w:eastAsia="zh-CN"/>
              </w:rPr>
              <w:t>布鲁氏菌病活疫苗（A19株）</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kern w:val="0"/>
                <w:sz w:val="21"/>
                <w:szCs w:val="21"/>
              </w:rPr>
              <w:t>产品技术指标及生产能力技术部分</w:t>
            </w:r>
            <w:r>
              <w:rPr>
                <w:rFonts w:hint="eastAsia" w:ascii="宋体" w:hAnsi="宋体" w:cs="宋体"/>
                <w:color w:val="auto"/>
                <w:sz w:val="24"/>
                <w:szCs w:val="24"/>
              </w:rPr>
              <w:t>（30%）</w:t>
            </w:r>
          </w:p>
        </w:tc>
        <w:tc>
          <w:tcPr>
            <w:tcW w:w="6285" w:type="dxa"/>
            <w:vAlign w:val="top"/>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2"/>
              <w:rPr>
                <w:rFonts w:cs="宋体"/>
                <w:color w:val="auto"/>
                <w:szCs w:val="21"/>
              </w:rPr>
            </w:pPr>
            <w:r>
              <w:rPr>
                <w:rFonts w:hint="eastAsia" w:cs="宋体"/>
                <w:color w:val="auto"/>
                <w:szCs w:val="21"/>
              </w:rPr>
              <w:t>2、产品功能（满分3分）：</w:t>
            </w:r>
          </w:p>
          <w:p>
            <w:pPr>
              <w:pStyle w:val="2"/>
              <w:rPr>
                <w:rFonts w:cs="宋体"/>
                <w:color w:val="auto"/>
                <w:szCs w:val="21"/>
              </w:rPr>
            </w:pPr>
            <w:r>
              <w:rPr>
                <w:rFonts w:hint="eastAsia" w:cs="宋体"/>
                <w:color w:val="auto"/>
                <w:szCs w:val="21"/>
              </w:rPr>
              <w:t>①所投产品满足国家对该产品的技术生产要求具有完整的产品说明书、使用范围、使用方法，注意事项等情况。说明书内容全面，分项介绍详细，配图完整易理解</w:t>
            </w:r>
            <w:r>
              <w:rPr>
                <w:rFonts w:hint="eastAsia" w:cs="宋体"/>
                <w:color w:val="auto"/>
                <w:szCs w:val="21"/>
                <w:lang w:eastAsia="zh-CN"/>
              </w:rPr>
              <w:t>，</w:t>
            </w:r>
            <w:r>
              <w:rPr>
                <w:rFonts w:hint="eastAsia" w:cs="宋体"/>
                <w:color w:val="auto"/>
                <w:szCs w:val="21"/>
              </w:rPr>
              <w:t>得3分；</w:t>
            </w:r>
          </w:p>
          <w:p>
            <w:pPr>
              <w:pStyle w:val="2"/>
              <w:rPr>
                <w:rFonts w:cs="宋体"/>
                <w:color w:val="auto"/>
                <w:szCs w:val="21"/>
              </w:rPr>
            </w:pPr>
            <w:r>
              <w:rPr>
                <w:rFonts w:hint="eastAsia" w:cs="宋体"/>
                <w:color w:val="auto"/>
                <w:szCs w:val="21"/>
              </w:rPr>
              <w:t>②说明书简略，分项介绍内容不明确、不清晰得</w:t>
            </w:r>
            <w:r>
              <w:rPr>
                <w:rFonts w:cs="宋体"/>
                <w:color w:val="auto"/>
                <w:szCs w:val="21"/>
              </w:rPr>
              <w:t>1</w:t>
            </w:r>
            <w:r>
              <w:rPr>
                <w:rFonts w:hint="eastAsia" w:cs="宋体"/>
                <w:color w:val="auto"/>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rPr>
              <w:t>③</w:t>
            </w:r>
            <w:r>
              <w:rPr>
                <w:rFonts w:hint="eastAsia" w:cs="宋体"/>
                <w:color w:val="auto"/>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eastAsia="zh-CN"/>
              </w:rPr>
              <w:t>变异检验（满分</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分）</w:t>
            </w:r>
          </w:p>
          <w:p>
            <w:pPr>
              <w:pStyle w:val="15"/>
              <w:pBdr>
                <w:bottom w:val="none" w:color="auto" w:sz="0" w:space="0"/>
              </w:pBd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①粗糙型菌落低于</w:t>
            </w:r>
            <w:r>
              <w:rPr>
                <w:rFonts w:hint="eastAsia" w:ascii="宋体" w:hAnsi="宋体" w:eastAsia="宋体" w:cs="宋体"/>
                <w:color w:val="auto"/>
                <w:sz w:val="21"/>
                <w:szCs w:val="21"/>
                <w:lang w:val="en-US" w:eastAsia="zh-CN"/>
              </w:rPr>
              <w:t>5%的得2分；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②粗糙型菌落低于</w:t>
            </w:r>
            <w:r>
              <w:rPr>
                <w:rFonts w:hint="eastAsia" w:ascii="宋体" w:hAnsi="宋体" w:eastAsia="宋体" w:cs="宋体"/>
                <w:color w:val="auto"/>
                <w:sz w:val="21"/>
                <w:szCs w:val="21"/>
                <w:lang w:val="en-US" w:eastAsia="zh-CN"/>
              </w:rPr>
              <w:t>4%的得3分；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③粗糙型菌落低于</w:t>
            </w:r>
            <w:r>
              <w:rPr>
                <w:rFonts w:hint="eastAsia" w:ascii="宋体" w:hAnsi="宋体" w:eastAsia="宋体" w:cs="宋体"/>
                <w:color w:val="auto"/>
                <w:sz w:val="21"/>
                <w:szCs w:val="21"/>
                <w:lang w:val="en-US" w:eastAsia="zh-CN"/>
              </w:rPr>
              <w:t>3%的得4分</w:t>
            </w:r>
          </w:p>
          <w:p>
            <w:pPr>
              <w:pStyle w:val="15"/>
              <w:pBdr>
                <w:bottom w:val="none" w:color="auto" w:sz="0" w:space="0"/>
              </w:pBdr>
              <w:jc w:val="left"/>
              <w:rPr>
                <w:rFonts w:ascii="宋体" w:hAnsi="宋体" w:cs="宋体"/>
                <w:sz w:val="21"/>
                <w:szCs w:val="21"/>
              </w:rPr>
            </w:pPr>
            <w:r>
              <w:rPr>
                <w:rFonts w:hint="eastAsia" w:ascii="宋体" w:hAnsi="宋体" w:eastAsia="宋体" w:cs="宋体"/>
                <w:color w:val="auto"/>
                <w:sz w:val="21"/>
                <w:szCs w:val="21"/>
                <w:lang w:eastAsia="zh-CN"/>
              </w:rPr>
              <w:t>④粗糙型菌落高于</w:t>
            </w:r>
            <w:r>
              <w:rPr>
                <w:rFonts w:hint="eastAsia" w:ascii="宋体" w:hAnsi="宋体" w:eastAsia="宋体" w:cs="宋体"/>
                <w:color w:val="auto"/>
                <w:sz w:val="21"/>
                <w:szCs w:val="21"/>
                <w:lang w:val="en-US" w:eastAsia="zh-CN"/>
              </w:rPr>
              <w:t>5%的不得分；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spacing w:line="360" w:lineRule="auto"/>
              <w:jc w:val="left"/>
              <w:rPr>
                <w:rFonts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、检验结果（满分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spacing w:line="360" w:lineRule="auto"/>
              <w:rPr>
                <w:rFonts w:cs="宋体"/>
                <w:color w:val="auto"/>
                <w:szCs w:val="21"/>
                <w:highlight w:val="none"/>
              </w:rPr>
            </w:pPr>
            <w:r>
              <w:rPr>
                <w:rFonts w:hint="eastAsia" w:cs="宋体"/>
                <w:color w:val="auto"/>
                <w:szCs w:val="21"/>
                <w:highlight w:val="none"/>
              </w:rPr>
              <w:t xml:space="preserve">布鲁氏菌病活疫苗（A19株）活菌计数均达到国家标准（每头份活菌含量 </w:t>
            </w:r>
            <w:r>
              <w:rPr>
                <w:rFonts w:hint="eastAsia" w:ascii="仿宋" w:hAnsi="仿宋" w:eastAsia="仿宋" w:cs="仿宋"/>
                <w:color w:val="auto"/>
                <w:szCs w:val="21"/>
                <w:highlight w:val="none"/>
              </w:rPr>
              <w:t xml:space="preserve">≥ </w:t>
            </w:r>
            <w:r>
              <w:rPr>
                <w:rFonts w:hint="eastAsia" w:cs="宋体"/>
                <w:color w:val="auto"/>
                <w:szCs w:val="21"/>
                <w:highlight w:val="none"/>
              </w:rPr>
              <w:t>6 X 10</w:t>
            </w:r>
            <w:r>
              <w:rPr>
                <w:rFonts w:hint="eastAsia" w:cs="宋体"/>
                <w:color w:val="auto"/>
                <w:szCs w:val="21"/>
                <w:highlight w:val="none"/>
                <w:vertAlign w:val="superscript"/>
              </w:rPr>
              <w:t>10</w:t>
            </w:r>
            <w:r>
              <w:rPr>
                <w:rFonts w:hint="eastAsia" w:cs="宋体"/>
                <w:color w:val="auto"/>
                <w:szCs w:val="21"/>
                <w:highlight w:val="none"/>
              </w:rPr>
              <w:t xml:space="preserve">  CFU的得</w:t>
            </w:r>
            <w:r>
              <w:rPr>
                <w:rFonts w:hint="eastAsia" w:cs="宋体"/>
                <w:color w:val="auto"/>
                <w:szCs w:val="21"/>
                <w:highlight w:val="none"/>
                <w:lang w:val="en-US" w:eastAsia="zh-CN"/>
              </w:rPr>
              <w:t>3</w:t>
            </w:r>
            <w:r>
              <w:rPr>
                <w:rFonts w:hint="eastAsia" w:cs="宋体"/>
                <w:color w:val="auto"/>
                <w:szCs w:val="21"/>
                <w:highlight w:val="none"/>
              </w:rPr>
              <w:t>分，</w:t>
            </w:r>
          </w:p>
          <w:p>
            <w:pPr>
              <w:pStyle w:val="15"/>
              <w:pBdr>
                <w:bottom w:val="none" w:color="auto" w:sz="0" w:space="0"/>
              </w:pBdr>
              <w:jc w:val="left"/>
              <w:rPr>
                <w:rFonts w:ascii="宋体" w:hAnsi="宋体" w:cs="宋体"/>
                <w:color w:val="000000" w:themeColor="text1"/>
                <w:sz w:val="21"/>
                <w:szCs w:val="21"/>
                <w:highlight w:val="none"/>
              </w:rPr>
            </w:pPr>
            <w:r>
              <w:rPr>
                <w:rFonts w:hint="eastAsia" w:cs="宋体"/>
                <w:color w:val="auto"/>
                <w:szCs w:val="21"/>
                <w:highlight w:val="none"/>
              </w:rPr>
              <w:t>活菌计数每高  1 X 10</w:t>
            </w:r>
            <w:r>
              <w:rPr>
                <w:rFonts w:hint="eastAsia" w:cs="宋体"/>
                <w:color w:val="auto"/>
                <w:szCs w:val="21"/>
                <w:highlight w:val="none"/>
                <w:vertAlign w:val="superscript"/>
              </w:rPr>
              <w:t>10</w:t>
            </w:r>
            <w:r>
              <w:rPr>
                <w:rFonts w:hint="eastAsia" w:cs="宋体"/>
                <w:color w:val="auto"/>
                <w:szCs w:val="21"/>
                <w:highlight w:val="none"/>
              </w:rPr>
              <w:t xml:space="preserve">  CFU增加</w:t>
            </w:r>
            <w:r>
              <w:rPr>
                <w:rFonts w:hint="eastAsia" w:cs="宋体"/>
                <w:color w:val="auto"/>
                <w:szCs w:val="21"/>
                <w:highlight w:val="none"/>
                <w:lang w:val="en-US" w:eastAsia="zh-CN"/>
              </w:rPr>
              <w:t>1</w:t>
            </w:r>
            <w:r>
              <w:rPr>
                <w:rFonts w:hint="eastAsia" w:cs="宋体"/>
                <w:color w:val="auto"/>
                <w:szCs w:val="21"/>
                <w:highlight w:val="none"/>
              </w:rPr>
              <w:t>分；</w:t>
            </w:r>
            <w:r>
              <w:rPr>
                <w:rFonts w:hint="eastAsia" w:ascii="宋体" w:hAnsi="宋体" w:cs="宋体"/>
                <w:color w:val="auto"/>
                <w:sz w:val="21"/>
                <w:szCs w:val="21"/>
                <w:highlight w:val="none"/>
                <w:lang w:eastAsia="zh-CN"/>
              </w:rPr>
              <w:t>（最多加</w:t>
            </w:r>
            <w:r>
              <w:rPr>
                <w:rFonts w:hint="eastAsia" w:ascii="宋体" w:hAnsi="宋体" w:cs="宋体"/>
                <w:color w:val="auto"/>
                <w:sz w:val="21"/>
                <w:szCs w:val="21"/>
                <w:highlight w:val="none"/>
                <w:lang w:val="en-US" w:eastAsia="zh-CN"/>
              </w:rPr>
              <w:t>2分</w:t>
            </w:r>
            <w:r>
              <w:rPr>
                <w:rFonts w:hint="eastAsia" w:ascii="宋体" w:hAnsi="宋体" w:cs="宋体"/>
                <w:color w:val="auto"/>
                <w:sz w:val="21"/>
                <w:szCs w:val="21"/>
                <w:highlight w:val="none"/>
                <w:lang w:eastAsia="zh-CN"/>
              </w:rPr>
              <w:t>）</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lang w:val="en-US" w:eastAsia="zh-CN"/>
              </w:rPr>
              <w:t>7</w:t>
            </w:r>
            <w:r>
              <w:rPr>
                <w:rFonts w:hint="eastAsia" w:ascii="宋体" w:hAnsi="宋体" w:cs="宋体"/>
                <w:color w:val="auto"/>
                <w:sz w:val="21"/>
                <w:szCs w:val="21"/>
              </w:rPr>
              <w:t>、</w:t>
            </w:r>
            <w:r>
              <w:rPr>
                <w:rFonts w:hint="eastAsia" w:ascii="宋体" w:hAnsi="宋体" w:cs="宋体"/>
                <w:color w:val="auto"/>
                <w:sz w:val="21"/>
                <w:szCs w:val="21"/>
                <w:lang w:eastAsia="zh-CN"/>
              </w:rPr>
              <w:t>剩余水分测定</w:t>
            </w:r>
            <w:r>
              <w:rPr>
                <w:rFonts w:hint="eastAsia" w:ascii="宋体" w:hAnsi="宋体" w:cs="宋体"/>
                <w:color w:val="auto"/>
                <w:sz w:val="21"/>
                <w:szCs w:val="21"/>
              </w:rPr>
              <w:t>（满分</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①</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cs="宋体"/>
                <w:color w:val="auto"/>
                <w:sz w:val="21"/>
                <w:szCs w:val="21"/>
              </w:rPr>
              <w:t>②</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3 </w:t>
            </w:r>
            <w:r>
              <w:rPr>
                <w:rFonts w:hint="eastAsia" w:ascii="宋体" w:hAnsi="宋体" w:cs="宋体"/>
                <w:color w:val="auto"/>
                <w:sz w:val="21"/>
                <w:szCs w:val="21"/>
              </w:rPr>
              <w:t>% 的得</w:t>
            </w:r>
            <w:r>
              <w:rPr>
                <w:rFonts w:hint="eastAsia" w:ascii="宋体" w:hAnsi="宋体" w:cs="宋体"/>
                <w:color w:val="auto"/>
                <w:sz w:val="21"/>
                <w:szCs w:val="21"/>
                <w:lang w:val="en-US" w:eastAsia="zh-CN"/>
              </w:rPr>
              <w:t>3</w:t>
            </w:r>
            <w:r>
              <w:rPr>
                <w:rFonts w:hint="eastAsia" w:ascii="宋体" w:hAnsi="宋体" w:cs="宋体"/>
                <w:color w:val="auto"/>
                <w:sz w:val="21"/>
                <w:szCs w:val="21"/>
              </w:rPr>
              <w:t>分</w:t>
            </w:r>
          </w:p>
          <w:p>
            <w:pPr>
              <w:pStyle w:val="15"/>
              <w:pBdr>
                <w:bottom w:val="none" w:color="auto" w:sz="0" w:space="0"/>
              </w:pBdr>
              <w:jc w:val="left"/>
              <w:rPr>
                <w:rFonts w:hint="eastAsia" w:ascii="宋体" w:hAnsi="宋体" w:cs="宋体"/>
                <w:color w:val="auto"/>
                <w:sz w:val="21"/>
                <w:szCs w:val="21"/>
              </w:rPr>
            </w:pPr>
            <w:r>
              <w:rPr>
                <w:rFonts w:hint="eastAsia" w:ascii="宋体" w:hAnsi="宋体" w:cs="宋体"/>
                <w:color w:val="auto"/>
                <w:sz w:val="21"/>
                <w:szCs w:val="21"/>
              </w:rPr>
              <w:t>③</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2 </w:t>
            </w:r>
            <w:r>
              <w:rPr>
                <w:rFonts w:hint="eastAsia" w:ascii="宋体" w:hAnsi="宋体" w:cs="宋体"/>
                <w:color w:val="auto"/>
                <w:sz w:val="21"/>
                <w:szCs w:val="21"/>
              </w:rPr>
              <w:t>% 的得</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sz w:val="24"/>
                <w:szCs w:val="24"/>
              </w:rPr>
            </w:pPr>
            <w:r>
              <w:rPr>
                <w:rFonts w:hint="eastAsia" w:ascii="宋体" w:hAnsi="宋体" w:eastAsia="宋体" w:cs="宋体"/>
                <w:color w:val="auto"/>
                <w:sz w:val="21"/>
                <w:szCs w:val="21"/>
              </w:rPr>
              <w:t>④</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w:t>
            </w:r>
            <w:r>
              <w:rPr>
                <w:rFonts w:hint="eastAsia" w:ascii="宋体" w:hAnsi="宋体" w:cs="宋体"/>
                <w:color w:val="auto"/>
                <w:sz w:val="21"/>
                <w:szCs w:val="21"/>
                <w:lang w:eastAsia="zh-CN"/>
              </w:rPr>
              <w:t>高</w:t>
            </w:r>
            <w:r>
              <w:rPr>
                <w:rFonts w:hint="eastAsia" w:ascii="宋体" w:hAnsi="宋体" w:cs="宋体"/>
                <w:color w:val="auto"/>
                <w:sz w:val="21"/>
                <w:szCs w:val="21"/>
              </w:rPr>
              <w:t>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w:t>
            </w:r>
            <w:r>
              <w:rPr>
                <w:rFonts w:hint="eastAsia" w:ascii="宋体" w:hAnsi="宋体" w:cs="宋体"/>
                <w:color w:val="auto"/>
                <w:sz w:val="21"/>
                <w:szCs w:val="21"/>
                <w:lang w:eastAsia="zh-CN"/>
              </w:rPr>
              <w:t>不</w:t>
            </w:r>
            <w:r>
              <w:rPr>
                <w:rFonts w:hint="eastAsia" w:ascii="宋体" w:hAnsi="宋体" w:cs="宋体"/>
                <w:color w:val="auto"/>
                <w:sz w:val="21"/>
                <w:szCs w:val="21"/>
              </w:rPr>
              <w:t>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lang w:val="en-US" w:eastAsia="zh-CN"/>
              </w:rPr>
              <w:t>4</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19761"/>
      <w:bookmarkStart w:id="20" w:name="_Toc21324"/>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阿勒泰地区2023年动物疫苗采购项目（十包）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阿勒泰地区2023年动物疫苗采购项目（十包）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884"/>
      <w:bookmarkEnd w:id="25"/>
      <w:bookmarkStart w:id="26" w:name="_Toc138638718"/>
      <w:bookmarkEnd w:id="26"/>
      <w:bookmarkStart w:id="27" w:name="_Toc138638907"/>
      <w:bookmarkEnd w:id="27"/>
      <w:bookmarkStart w:id="28" w:name="_Toc138638535"/>
      <w:bookmarkEnd w:id="28"/>
      <w:bookmarkStart w:id="29" w:name="_Toc138638719"/>
      <w:bookmarkEnd w:id="29"/>
      <w:bookmarkStart w:id="30" w:name="_Toc138638509"/>
      <w:bookmarkEnd w:id="30"/>
      <w:bookmarkStart w:id="31" w:name="_Toc138638534"/>
      <w:bookmarkEnd w:id="31"/>
      <w:bookmarkStart w:id="32" w:name="_Toc138638510"/>
      <w:bookmarkEnd w:id="32"/>
      <w:bookmarkStart w:id="33" w:name="_合同文件的组成及解释顺序"/>
      <w:bookmarkEnd w:id="33"/>
      <w:bookmarkStart w:id="34" w:name="_Toc138638883"/>
      <w:bookmarkEnd w:id="34"/>
      <w:bookmarkStart w:id="35" w:name="_Toc138638773"/>
      <w:bookmarkEnd w:id="35"/>
      <w:bookmarkStart w:id="36" w:name="_Toc138639091"/>
      <w:bookmarkEnd w:id="36"/>
      <w:bookmarkStart w:id="37" w:name="_Toc138639145"/>
      <w:bookmarkEnd w:id="37"/>
      <w:bookmarkStart w:id="38" w:name="_Toc138638702"/>
      <w:bookmarkEnd w:id="38"/>
      <w:bookmarkStart w:id="39" w:name="_Toc138639074"/>
      <w:bookmarkEnd w:id="39"/>
      <w:bookmarkStart w:id="40" w:name="_Toc138638538"/>
      <w:bookmarkEnd w:id="40"/>
      <w:bookmarkStart w:id="41" w:name="_Toc138638910"/>
      <w:bookmarkEnd w:id="41"/>
      <w:bookmarkStart w:id="42" w:name="_Toc138638906"/>
      <w:bookmarkEnd w:id="42"/>
      <w:bookmarkStart w:id="43" w:name="_Toc138639090"/>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阿勒泰地区2023年动物疫苗采购项目（十包）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布鲁氏菌病活疫苗（A19株）</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10.34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1.规格：10、20头份/瓶。</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2.贮藏与有效期：2-8℃冷藏或-15℃保存，有效期12个月；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3.产品的安全检验指标应符合中国兽医药品监察所审核认可的“兽用生物制品生产与检验报告”要求，免疫期牛为72个月；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4.交货时有效期在8个月以上；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5.每头份活菌数含量不少于6.0×1010CFU活菌；</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6.应有实用可行的免疫操作规程，人员防护措施，环境保护措施（疫苗污染用具的回收)，确保人畜安全。</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17208"/>
      <w:bookmarkStart w:id="47" w:name="_Toc26951"/>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27018_WPSOffice_Level1"/>
      <w:bookmarkStart w:id="50" w:name="_Toc439255246"/>
    </w:p>
    <w:p>
      <w:pPr>
        <w:tabs>
          <w:tab w:val="center" w:pos="4832"/>
          <w:tab w:val="left" w:pos="7140"/>
        </w:tabs>
        <w:spacing w:line="360" w:lineRule="auto"/>
        <w:jc w:val="left"/>
        <w:outlineLvl w:val="2"/>
        <w:rPr>
          <w:rFonts w:ascii="宋体" w:cs="Arial"/>
          <w:kern w:val="0"/>
          <w:sz w:val="24"/>
          <w:szCs w:val="24"/>
        </w:rPr>
      </w:pPr>
      <w:bookmarkStart w:id="51" w:name="_Toc28983"/>
      <w:bookmarkStart w:id="52" w:name="_Toc16729"/>
      <w:bookmarkStart w:id="53" w:name="_Toc8866"/>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10385"/>
      <w:bookmarkStart w:id="55" w:name="_Toc24342"/>
      <w:bookmarkStart w:id="56" w:name="_Toc16176"/>
      <w:bookmarkStart w:id="57" w:name="_Toc439255248"/>
      <w:bookmarkStart w:id="58" w:name="_Toc267320050"/>
      <w:bookmarkStart w:id="59" w:name="_Toc7742_WPSOffice_Level1"/>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267320051"/>
      <w:bookmarkStart w:id="61" w:name="_Toc439255249"/>
      <w:bookmarkStart w:id="62" w:name="_Toc13600_WPSOffice_Level1"/>
    </w:p>
    <w:p>
      <w:pPr>
        <w:tabs>
          <w:tab w:val="center" w:pos="4832"/>
          <w:tab w:val="left" w:pos="7140"/>
        </w:tabs>
        <w:spacing w:line="360" w:lineRule="auto"/>
        <w:jc w:val="left"/>
        <w:outlineLvl w:val="2"/>
        <w:rPr>
          <w:rFonts w:ascii="宋体" w:cs="Arial"/>
          <w:kern w:val="0"/>
          <w:sz w:val="24"/>
          <w:szCs w:val="24"/>
        </w:rPr>
      </w:pPr>
      <w:bookmarkStart w:id="63" w:name="_Toc7577"/>
      <w:bookmarkStart w:id="64" w:name="_Toc24187"/>
      <w:bookmarkStart w:id="65" w:name="_Toc18005"/>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31012"/>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20832"/>
      <w:bookmarkStart w:id="73" w:name="_Toc17147"/>
      <w:bookmarkStart w:id="74" w:name="_Toc7598"/>
      <w:bookmarkStart w:id="75" w:name="_Toc12840_WPSOffice_Level1"/>
      <w:bookmarkStart w:id="76" w:name="_Toc439255252"/>
      <w:bookmarkStart w:id="77" w:name="_Toc267320054"/>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pStyle w:val="10"/>
        <w:numPr>
          <w:ilvl w:val="0"/>
          <w:numId w:val="0"/>
        </w:numPr>
      </w:pPr>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widowControl/>
        <w:spacing w:line="360" w:lineRule="auto"/>
        <w:jc w:val="center"/>
        <w:textAlignment w:val="center"/>
        <w:rPr>
          <w:rFonts w:ascii="宋体" w:hAnsi="宋体" w:cs="宋体"/>
          <w:b/>
          <w:sz w:val="24"/>
          <w:szCs w:val="24"/>
        </w:rPr>
      </w:pPr>
    </w:p>
    <w:p>
      <w:r>
        <w:rPr>
          <w:rFonts w:hint="eastAsia" w:ascii="宋体" w:hAnsi="宋体" w:cs="宋体"/>
          <w:b/>
          <w:bCs/>
          <w:kern w:val="0"/>
          <w:sz w:val="24"/>
          <w:szCs w:val="24"/>
        </w:rPr>
        <w:br w:type="page"/>
      </w: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4D3E1A"/>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446B9"/>
    <w:rsid w:val="01156984"/>
    <w:rsid w:val="014A46A8"/>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0DA182E"/>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2A1D88"/>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17734"/>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C944AB"/>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2F4B0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11DC8"/>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05F7"/>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4DC1BAD"/>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CA057D"/>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3726B"/>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55C15"/>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2441FC"/>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235C2A"/>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33704</Words>
  <Characters>35727</Characters>
  <Lines>331</Lines>
  <Paragraphs>93</Paragraphs>
  <TotalTime>0</TotalTime>
  <ScaleCrop>false</ScaleCrop>
  <LinksUpToDate>false</LinksUpToDate>
  <CharactersWithSpaces>36931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2023-03-03T08:22:07Z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