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（十二包）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阿勒泰地区2023年动物疫苗采购项目（十二包）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阿勒泰地区2023年动物疫苗采购项目（十二包）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19"/>
        <w:keepNext w:val="0"/>
        <w:keepLines w:val="0"/>
        <w:widowControl/>
        <w:suppressLineNumbers w:val="0"/>
        <w:spacing w:before="75" w:beforeAutospacing="0" w:after="75" w:afterAutospacing="0"/>
        <w:ind w:left="0" w:right="0"/>
      </w:pPr>
      <w:bookmarkStart w:id="2" w:name="_Toc27824"/>
    </w:p>
    <w:p>
      <w:pPr>
        <w:jc w:val="center"/>
        <w:rPr>
          <w:rFonts w:hint="eastAsia" w:ascii="黑体" w:hAnsi="黑体" w:eastAsia="黑体" w:cs="黑体"/>
          <w:bCs/>
          <w:sz w:val="32"/>
          <w:szCs w:val="32"/>
        </w:rPr>
      </w:pPr>
    </w:p>
    <w:p>
      <w:pPr>
        <w:pStyle w:val="4"/>
        <w:bidi w:val="0"/>
        <w:jc w:val="center"/>
        <w:rPr>
          <w:rFonts w:hint="eastAsia"/>
          <w:sz w:val="36"/>
          <w:szCs w:val="20"/>
        </w:rPr>
      </w:pPr>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阿勒泰地区2023年动物疫苗采购项目（十二包）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643300（元）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643300（元）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9.19（万头份）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w:t>
            </w:r>
            <w:bookmarkStart w:id="92" w:name="_GoBack"/>
            <w:bookmarkEnd w:id="92"/>
            <w:r>
              <w:rPr>
                <w:rFonts w:hint="eastAsia" w:ascii="宋体" w:hAnsi="宋体" w:cs="Times New Roman"/>
                <w:color w:val="auto"/>
                <w:sz w:val="24"/>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12000</w:t>
            </w:r>
            <w:r>
              <w:rPr>
                <w:rFonts w:hint="default"/>
                <w:highlight w:val="none"/>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阿勒泰地区2023年动物疫苗采购项目（十二包）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eastAsia="宋体" w:cs="宋体"/>
                <w:b/>
                <w:bCs/>
                <w:color w:val="auto"/>
                <w:sz w:val="21"/>
                <w:szCs w:val="21"/>
                <w:lang w:val="en-US" w:eastAsia="zh-CN"/>
              </w:rPr>
              <w:t>布鲁氏菌病活疫苗（A19株）</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vAlign w:val="top"/>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变异检验（满分</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分）</w:t>
            </w:r>
          </w:p>
          <w:p>
            <w:pPr>
              <w:pStyle w:val="15"/>
              <w:pBdr>
                <w:bottom w:val="none" w:color="auto" w:sz="0" w:space="0"/>
              </w:pBd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①粗糙型菌落低于</w:t>
            </w:r>
            <w:r>
              <w:rPr>
                <w:rFonts w:hint="eastAsia" w:ascii="宋体" w:hAnsi="宋体" w:eastAsia="宋体" w:cs="宋体"/>
                <w:color w:val="auto"/>
                <w:sz w:val="21"/>
                <w:szCs w:val="21"/>
                <w:lang w:val="en-US" w:eastAsia="zh-CN"/>
              </w:rPr>
              <w:t>5%的得2分；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②粗糙型菌落低于</w:t>
            </w:r>
            <w:r>
              <w:rPr>
                <w:rFonts w:hint="eastAsia" w:ascii="宋体" w:hAnsi="宋体" w:eastAsia="宋体" w:cs="宋体"/>
                <w:color w:val="auto"/>
                <w:sz w:val="21"/>
                <w:szCs w:val="21"/>
                <w:lang w:val="en-US" w:eastAsia="zh-CN"/>
              </w:rPr>
              <w:t>4%的得3分；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③粗糙型菌落低于</w:t>
            </w:r>
            <w:r>
              <w:rPr>
                <w:rFonts w:hint="eastAsia" w:ascii="宋体" w:hAnsi="宋体" w:eastAsia="宋体" w:cs="宋体"/>
                <w:color w:val="auto"/>
                <w:sz w:val="21"/>
                <w:szCs w:val="21"/>
                <w:lang w:val="en-US" w:eastAsia="zh-CN"/>
              </w:rPr>
              <w:t>3%的得4分</w:t>
            </w:r>
          </w:p>
          <w:p>
            <w:pPr>
              <w:pStyle w:val="15"/>
              <w:pBdr>
                <w:bottom w:val="none" w:color="auto" w:sz="0" w:space="0"/>
              </w:pBdr>
              <w:jc w:val="left"/>
              <w:rPr>
                <w:rFonts w:ascii="宋体" w:hAnsi="宋体" w:cs="宋体"/>
                <w:sz w:val="21"/>
                <w:szCs w:val="21"/>
              </w:rPr>
            </w:pPr>
            <w:r>
              <w:rPr>
                <w:rFonts w:hint="eastAsia" w:ascii="宋体" w:hAnsi="宋体" w:eastAsia="宋体" w:cs="宋体"/>
                <w:color w:val="auto"/>
                <w:sz w:val="21"/>
                <w:szCs w:val="21"/>
                <w:lang w:eastAsia="zh-CN"/>
              </w:rPr>
              <w:t>④粗糙型菌落高于</w:t>
            </w:r>
            <w:r>
              <w:rPr>
                <w:rFonts w:hint="eastAsia" w:ascii="宋体" w:hAnsi="宋体" w:eastAsia="宋体" w:cs="宋体"/>
                <w:color w:val="auto"/>
                <w:sz w:val="21"/>
                <w:szCs w:val="21"/>
                <w:lang w:val="en-US" w:eastAsia="zh-CN"/>
              </w:rPr>
              <w:t>5%的不得分；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spacing w:line="360" w:lineRule="auto"/>
              <w:jc w:val="left"/>
              <w:rPr>
                <w:rFonts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、检验结果（满分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spacing w:line="360" w:lineRule="auto"/>
              <w:rPr>
                <w:rFonts w:cs="宋体"/>
                <w:color w:val="auto"/>
                <w:szCs w:val="21"/>
                <w:highlight w:val="none"/>
              </w:rPr>
            </w:pPr>
            <w:r>
              <w:rPr>
                <w:rFonts w:hint="eastAsia" w:cs="宋体"/>
                <w:color w:val="auto"/>
                <w:szCs w:val="21"/>
                <w:highlight w:val="none"/>
              </w:rPr>
              <w:t xml:space="preserve">布鲁氏菌病活疫苗（A19株）活菌计数均达到国家标准（每头份活菌含量 </w:t>
            </w:r>
            <w:r>
              <w:rPr>
                <w:rFonts w:hint="eastAsia" w:ascii="仿宋" w:hAnsi="仿宋" w:eastAsia="仿宋" w:cs="仿宋"/>
                <w:color w:val="auto"/>
                <w:szCs w:val="21"/>
                <w:highlight w:val="none"/>
              </w:rPr>
              <w:t xml:space="preserve">≥ </w:t>
            </w:r>
            <w:r>
              <w:rPr>
                <w:rFonts w:hint="eastAsia" w:cs="宋体"/>
                <w:color w:val="auto"/>
                <w:szCs w:val="21"/>
                <w:highlight w:val="none"/>
              </w:rPr>
              <w:t>6 X 10</w:t>
            </w:r>
            <w:r>
              <w:rPr>
                <w:rFonts w:hint="eastAsia" w:cs="宋体"/>
                <w:color w:val="auto"/>
                <w:szCs w:val="21"/>
                <w:highlight w:val="none"/>
                <w:vertAlign w:val="superscript"/>
              </w:rPr>
              <w:t>10</w:t>
            </w:r>
            <w:r>
              <w:rPr>
                <w:rFonts w:hint="eastAsia" w:cs="宋体"/>
                <w:color w:val="auto"/>
                <w:szCs w:val="21"/>
                <w:highlight w:val="none"/>
              </w:rPr>
              <w:t xml:space="preserve">  CFU的得</w:t>
            </w:r>
            <w:r>
              <w:rPr>
                <w:rFonts w:hint="eastAsia" w:cs="宋体"/>
                <w:color w:val="auto"/>
                <w:szCs w:val="21"/>
                <w:highlight w:val="none"/>
                <w:lang w:val="en-US" w:eastAsia="zh-CN"/>
              </w:rPr>
              <w:t>3</w:t>
            </w:r>
            <w:r>
              <w:rPr>
                <w:rFonts w:hint="eastAsia" w:cs="宋体"/>
                <w:color w:val="auto"/>
                <w:szCs w:val="21"/>
                <w:highlight w:val="none"/>
              </w:rPr>
              <w:t>分，</w:t>
            </w:r>
          </w:p>
          <w:p>
            <w:pPr>
              <w:pStyle w:val="15"/>
              <w:pBdr>
                <w:bottom w:val="none" w:color="auto" w:sz="0" w:space="0"/>
              </w:pBdr>
              <w:jc w:val="left"/>
              <w:rPr>
                <w:rFonts w:ascii="宋体" w:hAnsi="宋体" w:cs="宋体"/>
                <w:color w:val="000000" w:themeColor="text1"/>
                <w:sz w:val="21"/>
                <w:szCs w:val="21"/>
                <w:highlight w:val="none"/>
              </w:rPr>
            </w:pPr>
            <w:r>
              <w:rPr>
                <w:rFonts w:hint="eastAsia" w:cs="宋体"/>
                <w:color w:val="auto"/>
                <w:szCs w:val="21"/>
                <w:highlight w:val="none"/>
              </w:rPr>
              <w:t>活菌计数每高  1 X 10</w:t>
            </w:r>
            <w:r>
              <w:rPr>
                <w:rFonts w:hint="eastAsia" w:cs="宋体"/>
                <w:color w:val="auto"/>
                <w:szCs w:val="21"/>
                <w:highlight w:val="none"/>
                <w:vertAlign w:val="superscript"/>
              </w:rPr>
              <w:t>10</w:t>
            </w:r>
            <w:r>
              <w:rPr>
                <w:rFonts w:hint="eastAsia" w:cs="宋体"/>
                <w:color w:val="auto"/>
                <w:szCs w:val="21"/>
                <w:highlight w:val="none"/>
              </w:rPr>
              <w:t xml:space="preserve">  CFU增加</w:t>
            </w:r>
            <w:r>
              <w:rPr>
                <w:rFonts w:hint="eastAsia" w:cs="宋体"/>
                <w:color w:val="auto"/>
                <w:szCs w:val="21"/>
                <w:highlight w:val="none"/>
                <w:lang w:val="en-US" w:eastAsia="zh-CN"/>
              </w:rPr>
              <w:t>1</w:t>
            </w:r>
            <w:r>
              <w:rPr>
                <w:rFonts w:hint="eastAsia" w:cs="宋体"/>
                <w:color w:val="auto"/>
                <w:szCs w:val="21"/>
                <w:highlight w:val="none"/>
              </w:rPr>
              <w:t>分；</w:t>
            </w:r>
            <w:r>
              <w:rPr>
                <w:rFonts w:hint="eastAsia" w:ascii="宋体" w:hAnsi="宋体" w:cs="宋体"/>
                <w:color w:val="auto"/>
                <w:sz w:val="21"/>
                <w:szCs w:val="21"/>
                <w:highlight w:val="none"/>
                <w:lang w:eastAsia="zh-CN"/>
              </w:rPr>
              <w:t>（最多加</w:t>
            </w:r>
            <w:r>
              <w:rPr>
                <w:rFonts w:hint="eastAsia" w:ascii="宋体" w:hAnsi="宋体" w:cs="宋体"/>
                <w:color w:val="auto"/>
                <w:sz w:val="21"/>
                <w:szCs w:val="21"/>
                <w:highlight w:val="none"/>
                <w:lang w:val="en-US" w:eastAsia="zh-CN"/>
              </w:rPr>
              <w:t>2分</w:t>
            </w:r>
            <w:r>
              <w:rPr>
                <w:rFonts w:hint="eastAsia" w:ascii="宋体" w:hAnsi="宋体" w:cs="宋体"/>
                <w:color w:val="auto"/>
                <w:sz w:val="21"/>
                <w:szCs w:val="21"/>
                <w:highlight w:val="none"/>
                <w:lang w:eastAsia="zh-CN"/>
              </w:rPr>
              <w:t>）</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w:t>
            </w:r>
            <w:r>
              <w:rPr>
                <w:rFonts w:hint="eastAsia" w:ascii="宋体" w:hAnsi="宋体" w:cs="宋体"/>
                <w:color w:val="auto"/>
                <w:sz w:val="21"/>
                <w:szCs w:val="21"/>
                <w:lang w:eastAsia="zh-CN"/>
              </w:rPr>
              <w:t>剩余水分测定</w:t>
            </w:r>
            <w:r>
              <w:rPr>
                <w:rFonts w:hint="eastAsia" w:ascii="宋体" w:hAnsi="宋体" w:cs="宋体"/>
                <w:color w:val="auto"/>
                <w:sz w:val="21"/>
                <w:szCs w:val="21"/>
              </w:rPr>
              <w:t>（满分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cs="宋体"/>
                <w:color w:val="auto"/>
                <w:sz w:val="21"/>
                <w:szCs w:val="21"/>
              </w:rPr>
              <w:t>②</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3 </w:t>
            </w:r>
            <w:r>
              <w:rPr>
                <w:rFonts w:hint="eastAsia" w:ascii="宋体" w:hAnsi="宋体" w:cs="宋体"/>
                <w:color w:val="auto"/>
                <w:sz w:val="21"/>
                <w:szCs w:val="21"/>
              </w:rPr>
              <w:t>% 的得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pStyle w:val="15"/>
              <w:pBdr>
                <w:bottom w:val="none" w:color="auto" w:sz="0" w:space="0"/>
              </w:pBdr>
              <w:jc w:val="left"/>
              <w:rPr>
                <w:rFonts w:hint="eastAsia" w:ascii="宋体" w:hAnsi="宋体" w:cs="宋体"/>
                <w:color w:val="auto"/>
                <w:sz w:val="21"/>
                <w:szCs w:val="21"/>
              </w:rPr>
            </w:pPr>
            <w:r>
              <w:rPr>
                <w:rFonts w:hint="eastAsia" w:ascii="宋体" w:hAnsi="宋体" w:cs="宋体"/>
                <w:color w:val="auto"/>
                <w:sz w:val="21"/>
                <w:szCs w:val="21"/>
              </w:rPr>
              <w:t>③</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2 </w:t>
            </w:r>
            <w:r>
              <w:rPr>
                <w:rFonts w:hint="eastAsia" w:ascii="宋体" w:hAnsi="宋体" w:cs="宋体"/>
                <w:color w:val="auto"/>
                <w:sz w:val="21"/>
                <w:szCs w:val="21"/>
              </w:rPr>
              <w:t>%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sz w:val="24"/>
                <w:szCs w:val="24"/>
              </w:rPr>
            </w:pPr>
            <w:r>
              <w:rPr>
                <w:rFonts w:hint="eastAsia" w:ascii="宋体" w:hAnsi="宋体" w:eastAsia="宋体" w:cs="宋体"/>
                <w:color w:val="auto"/>
                <w:sz w:val="21"/>
                <w:szCs w:val="21"/>
              </w:rPr>
              <w:t>④</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w:t>
            </w:r>
            <w:r>
              <w:rPr>
                <w:rFonts w:hint="eastAsia" w:ascii="宋体" w:hAnsi="宋体" w:cs="宋体"/>
                <w:color w:val="auto"/>
                <w:sz w:val="21"/>
                <w:szCs w:val="21"/>
                <w:lang w:eastAsia="zh-CN"/>
              </w:rPr>
              <w:t>高</w:t>
            </w:r>
            <w:r>
              <w:rPr>
                <w:rFonts w:hint="eastAsia" w:ascii="宋体" w:hAnsi="宋体" w:cs="宋体"/>
                <w:color w:val="auto"/>
                <w:sz w:val="21"/>
                <w:szCs w:val="21"/>
              </w:rPr>
              <w:t>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w:t>
            </w:r>
            <w:r>
              <w:rPr>
                <w:rFonts w:hint="eastAsia" w:ascii="宋体" w:hAnsi="宋体" w:cs="宋体"/>
                <w:color w:val="auto"/>
                <w:sz w:val="21"/>
                <w:szCs w:val="21"/>
                <w:lang w:eastAsia="zh-CN"/>
              </w:rPr>
              <w:t>不</w:t>
            </w:r>
            <w:r>
              <w:rPr>
                <w:rFonts w:hint="eastAsia" w:ascii="宋体" w:hAnsi="宋体" w:cs="宋体"/>
                <w:color w:val="auto"/>
                <w:sz w:val="21"/>
                <w:szCs w:val="21"/>
              </w:rPr>
              <w:t>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lang w:val="en-US" w:eastAsia="zh-CN"/>
              </w:rPr>
              <w:t>4</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阿勒泰地区2023年动物疫苗采购项目（十二包）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阿勒泰地区2023年动物疫苗采购项目（十二包）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718"/>
      <w:bookmarkEnd w:id="25"/>
      <w:bookmarkStart w:id="26" w:name="_Toc138638773"/>
      <w:bookmarkEnd w:id="26"/>
      <w:bookmarkStart w:id="27" w:name="_Toc138638538"/>
      <w:bookmarkEnd w:id="27"/>
      <w:bookmarkStart w:id="28" w:name="_Toc138638719"/>
      <w:bookmarkEnd w:id="28"/>
      <w:bookmarkStart w:id="29" w:name="_合同文件的组成及解释顺序"/>
      <w:bookmarkEnd w:id="29"/>
      <w:bookmarkStart w:id="30" w:name="_Toc138638884"/>
      <w:bookmarkEnd w:id="30"/>
      <w:bookmarkStart w:id="31" w:name="_Toc138638883"/>
      <w:bookmarkEnd w:id="31"/>
      <w:bookmarkStart w:id="32" w:name="_Toc138638510"/>
      <w:bookmarkEnd w:id="32"/>
      <w:bookmarkStart w:id="33" w:name="_Toc138638535"/>
      <w:bookmarkEnd w:id="33"/>
      <w:bookmarkStart w:id="34" w:name="_Toc138638509"/>
      <w:bookmarkEnd w:id="34"/>
      <w:bookmarkStart w:id="35" w:name="_Toc138638907"/>
      <w:bookmarkEnd w:id="35"/>
      <w:bookmarkStart w:id="36" w:name="_Toc138639091"/>
      <w:bookmarkEnd w:id="36"/>
      <w:bookmarkStart w:id="37" w:name="_Toc138639145"/>
      <w:bookmarkEnd w:id="37"/>
      <w:bookmarkStart w:id="38" w:name="_Toc138638910"/>
      <w:bookmarkEnd w:id="38"/>
      <w:bookmarkStart w:id="39" w:name="_Toc138638702"/>
      <w:bookmarkEnd w:id="39"/>
      <w:bookmarkStart w:id="40" w:name="_Toc138638906"/>
      <w:bookmarkEnd w:id="40"/>
      <w:bookmarkStart w:id="41" w:name="_Toc138639090"/>
      <w:bookmarkEnd w:id="41"/>
      <w:bookmarkStart w:id="42" w:name="_Toc138639074"/>
      <w:bookmarkEnd w:id="42"/>
      <w:bookmarkStart w:id="43" w:name="_Toc138638534"/>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阿勒泰地区2023年动物疫苗采购项目（十二包）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布鲁氏菌病活疫苗（A19株）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9.19</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1.规格：10、20头份/瓶。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2.贮藏与有效期：2-8℃冷藏或-15℃保存，有效期12个月；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3.产品的安全检验指标应符合中国兽医药品监察所审核认可的“兽用生物制品生产与检验报告”要求，免疫期牛为72个月；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4.交货时有效期在8个月以上；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5.每头份活菌数含量不少于6.0×1010CFU活菌；</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6.应有实用可行的免疫操作规程，人员防护措施，环境保护措施（疫苗污染用具的回收)，确保人畜安全。</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8866"/>
      <w:bookmarkStart w:id="53" w:name="_Toc28983"/>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7742_WPSOffice_Level1"/>
      <w:bookmarkStart w:id="58" w:name="_Toc267320050"/>
      <w:bookmarkStart w:id="59" w:name="_Toc439255248"/>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439255249"/>
      <w:bookmarkStart w:id="61" w:name="_Toc267320051"/>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2418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17147"/>
      <w:bookmarkStart w:id="73" w:name="_Toc7598"/>
      <w:bookmarkStart w:id="74" w:name="_Toc20832"/>
      <w:bookmarkStart w:id="75" w:name="_Toc439255252"/>
      <w:bookmarkStart w:id="76" w:name="_Toc12840_WPSOffice_Level1"/>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br w:type="page"/>
      </w: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
      <w:pPr>
        <w:pStyle w:val="2"/>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4A46A8"/>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625994"/>
    <w:rsid w:val="1AD77FAB"/>
    <w:rsid w:val="1AEB473F"/>
    <w:rsid w:val="1AF11A33"/>
    <w:rsid w:val="1B002F23"/>
    <w:rsid w:val="1B0B2872"/>
    <w:rsid w:val="1B101DBF"/>
    <w:rsid w:val="1B431B24"/>
    <w:rsid w:val="1B5C1B76"/>
    <w:rsid w:val="1B817734"/>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05F7"/>
    <w:rsid w:val="2F015A77"/>
    <w:rsid w:val="2F2B3A41"/>
    <w:rsid w:val="2F6C2E0D"/>
    <w:rsid w:val="2F6D291B"/>
    <w:rsid w:val="2F8337D6"/>
    <w:rsid w:val="2FBD23AC"/>
    <w:rsid w:val="2FBE6486"/>
    <w:rsid w:val="2FD1610F"/>
    <w:rsid w:val="2FDD23AE"/>
    <w:rsid w:val="2FE50B90"/>
    <w:rsid w:val="2FEF3FE9"/>
    <w:rsid w:val="30093444"/>
    <w:rsid w:val="300E2218"/>
    <w:rsid w:val="303E2A51"/>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3938CE"/>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2446A"/>
    <w:rsid w:val="3C33405E"/>
    <w:rsid w:val="3C350283"/>
    <w:rsid w:val="3C502C92"/>
    <w:rsid w:val="3C5F0B0C"/>
    <w:rsid w:val="3C68002C"/>
    <w:rsid w:val="3C822EAC"/>
    <w:rsid w:val="3C946B12"/>
    <w:rsid w:val="3CA274FD"/>
    <w:rsid w:val="3CA32A44"/>
    <w:rsid w:val="3CB30E5D"/>
    <w:rsid w:val="3CC72495"/>
    <w:rsid w:val="3CC72799"/>
    <w:rsid w:val="3CCA057D"/>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B71FF6"/>
    <w:rsid w:val="49F402E8"/>
    <w:rsid w:val="4A075672"/>
    <w:rsid w:val="4A1B5B22"/>
    <w:rsid w:val="4A201C61"/>
    <w:rsid w:val="4A2B2559"/>
    <w:rsid w:val="4A8301BC"/>
    <w:rsid w:val="4A9119C5"/>
    <w:rsid w:val="4A950577"/>
    <w:rsid w:val="4A9A2FE4"/>
    <w:rsid w:val="4A9D63EE"/>
    <w:rsid w:val="4A9E7B55"/>
    <w:rsid w:val="4AFA30CF"/>
    <w:rsid w:val="4B1865C6"/>
    <w:rsid w:val="4B1E7A5E"/>
    <w:rsid w:val="4B2B7454"/>
    <w:rsid w:val="4B3E382E"/>
    <w:rsid w:val="4B6D6ABD"/>
    <w:rsid w:val="4B7A06FF"/>
    <w:rsid w:val="4B9A293D"/>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55C15"/>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61502"/>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5E4C1E"/>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2441FC"/>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97479B"/>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75593D"/>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156FF"/>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33657</Words>
  <Characters>35676</Characters>
  <Lines>331</Lines>
  <Paragraphs>93</Paragraphs>
  <TotalTime>0</TotalTime>
  <ScaleCrop>false</ScaleCrop>
  <LinksUpToDate>false</LinksUpToDate>
  <CharactersWithSpaces>36830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2023-03-03T08:22:33Z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