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color w:val="auto"/>
          <w:sz w:val="48"/>
          <w:szCs w:val="48"/>
          <w:lang w:val="en-US" w:eastAsia="zh-CN"/>
        </w:rPr>
      </w:pPr>
    </w:p>
    <w:p>
      <w:pPr>
        <w:jc w:val="center"/>
        <w:rPr>
          <w:rFonts w:hint="eastAsia" w:ascii="宋体" w:hAnsi="宋体"/>
          <w:b/>
          <w:color w:val="auto"/>
          <w:sz w:val="48"/>
          <w:szCs w:val="48"/>
          <w:lang w:val="en-US" w:eastAsia="zh-CN"/>
        </w:rPr>
      </w:pPr>
      <w:r>
        <w:rPr>
          <w:rFonts w:hint="eastAsia" w:ascii="宋体" w:hAnsi="宋体"/>
          <w:b/>
          <w:color w:val="auto"/>
          <w:sz w:val="48"/>
          <w:szCs w:val="48"/>
          <w:lang w:val="en-US" w:eastAsia="zh-CN"/>
        </w:rPr>
        <w:t>阿勒泰地区2023年动物疫苗采购项目</w:t>
      </w:r>
    </w:p>
    <w:p>
      <w:pPr>
        <w:jc w:val="center"/>
        <w:rPr>
          <w:rFonts w:hint="eastAsia" w:ascii="宋体" w:hAnsi="宋体" w:eastAsia="宋体"/>
          <w:b/>
          <w:color w:val="auto"/>
          <w:sz w:val="48"/>
          <w:szCs w:val="48"/>
          <w:lang w:val="en-US" w:eastAsia="zh-CN"/>
        </w:rPr>
      </w:pPr>
      <w:r>
        <w:rPr>
          <w:rFonts w:hint="eastAsia" w:ascii="宋体" w:hAnsi="宋体"/>
          <w:b/>
          <w:color w:val="auto"/>
          <w:sz w:val="48"/>
          <w:szCs w:val="48"/>
          <w:lang w:val="en-US" w:eastAsia="zh-CN"/>
        </w:rPr>
        <w:t>（二包）</w:t>
      </w:r>
    </w:p>
    <w:p>
      <w:pPr>
        <w:rPr>
          <w:rFonts w:hint="eastAsia" w:ascii="宋体" w:hAnsi="宋体"/>
          <w:b/>
          <w:color w:val="auto"/>
          <w:sz w:val="52"/>
          <w:szCs w:val="52"/>
        </w:rPr>
      </w:pPr>
    </w:p>
    <w:p>
      <w:pPr>
        <w:jc w:val="center"/>
        <w:rPr>
          <w:rFonts w:hint="eastAsia" w:ascii="宋体" w:hAnsi="宋体"/>
          <w:b/>
          <w:color w:val="auto"/>
          <w:sz w:val="92"/>
          <w:szCs w:val="92"/>
        </w:rPr>
      </w:pPr>
    </w:p>
    <w:p>
      <w:pPr>
        <w:jc w:val="center"/>
        <w:rPr>
          <w:rFonts w:hint="eastAsia" w:ascii="宋体" w:hAnsi="宋体"/>
          <w:b/>
          <w:color w:val="auto"/>
          <w:sz w:val="84"/>
          <w:szCs w:val="84"/>
        </w:rPr>
      </w:pPr>
      <w:r>
        <w:rPr>
          <w:rFonts w:hint="eastAsia" w:ascii="宋体" w:hAnsi="宋体"/>
          <w:b/>
          <w:color w:val="auto"/>
          <w:sz w:val="84"/>
          <w:szCs w:val="84"/>
        </w:rPr>
        <w:t>招</w:t>
      </w:r>
    </w:p>
    <w:p>
      <w:pPr>
        <w:jc w:val="center"/>
        <w:rPr>
          <w:rFonts w:hint="eastAsia" w:ascii="宋体" w:hAnsi="宋体"/>
          <w:b/>
          <w:color w:val="auto"/>
          <w:sz w:val="84"/>
          <w:szCs w:val="84"/>
        </w:rPr>
      </w:pPr>
      <w:r>
        <w:rPr>
          <w:rFonts w:hint="eastAsia" w:ascii="宋体" w:hAnsi="宋体"/>
          <w:b/>
          <w:color w:val="auto"/>
          <w:sz w:val="84"/>
          <w:szCs w:val="84"/>
        </w:rPr>
        <w:t>标</w:t>
      </w:r>
    </w:p>
    <w:p>
      <w:pPr>
        <w:jc w:val="center"/>
        <w:rPr>
          <w:rFonts w:hint="eastAsia" w:ascii="宋体" w:hAnsi="宋体"/>
          <w:b/>
          <w:color w:val="auto"/>
          <w:sz w:val="84"/>
          <w:szCs w:val="84"/>
        </w:rPr>
      </w:pPr>
      <w:r>
        <w:rPr>
          <w:rFonts w:hint="eastAsia" w:ascii="宋体" w:hAnsi="宋体"/>
          <w:b/>
          <w:color w:val="auto"/>
          <w:sz w:val="84"/>
          <w:szCs w:val="84"/>
        </w:rPr>
        <w:t>文</w:t>
      </w:r>
    </w:p>
    <w:p>
      <w:pPr>
        <w:jc w:val="center"/>
        <w:rPr>
          <w:rFonts w:hint="eastAsia" w:ascii="宋体" w:hAnsi="宋体"/>
          <w:b/>
          <w:color w:val="auto"/>
          <w:sz w:val="92"/>
          <w:szCs w:val="92"/>
        </w:rPr>
      </w:pPr>
      <w:r>
        <w:rPr>
          <w:rFonts w:hint="eastAsia" w:ascii="宋体" w:hAnsi="宋体"/>
          <w:b/>
          <w:color w:val="auto"/>
          <w:sz w:val="84"/>
          <w:szCs w:val="84"/>
        </w:rPr>
        <w:t>件</w:t>
      </w:r>
    </w:p>
    <w:p>
      <w:pPr>
        <w:ind w:firstLine="720" w:firstLineChars="300"/>
        <w:rPr>
          <w:rFonts w:hint="eastAsia" w:ascii="宋体" w:hAnsi="宋体"/>
          <w:color w:val="auto"/>
          <w:sz w:val="24"/>
        </w:rPr>
      </w:pPr>
    </w:p>
    <w:p>
      <w:pPr>
        <w:tabs>
          <w:tab w:val="left" w:pos="3200"/>
        </w:tabs>
        <w:rPr>
          <w:rFonts w:hint="eastAsia" w:ascii="宋体" w:hAnsi="宋体"/>
          <w:color w:val="auto"/>
          <w:sz w:val="24"/>
        </w:rPr>
      </w:pPr>
    </w:p>
    <w:p>
      <w:pPr>
        <w:tabs>
          <w:tab w:val="left" w:pos="3200"/>
        </w:tabs>
        <w:rPr>
          <w:rFonts w:ascii="宋体" w:hAnsi="宋体"/>
          <w:color w:val="auto"/>
          <w:sz w:val="24"/>
        </w:rPr>
      </w:pPr>
    </w:p>
    <w:p>
      <w:pPr>
        <w:pStyle w:val="2"/>
        <w:rPr>
          <w:rFonts w:ascii="宋体" w:hAnsi="宋体"/>
          <w:color w:val="auto"/>
          <w:sz w:val="24"/>
        </w:rPr>
      </w:pPr>
    </w:p>
    <w:p>
      <w:pPr>
        <w:tabs>
          <w:tab w:val="left" w:pos="3200"/>
        </w:tabs>
        <w:rPr>
          <w:rFonts w:hint="eastAsia" w:ascii="宋体" w:hAnsi="宋体"/>
          <w:color w:val="auto"/>
          <w:sz w:val="24"/>
        </w:rPr>
      </w:pPr>
    </w:p>
    <w:p>
      <w:pPr>
        <w:pStyle w:val="2"/>
        <w:rPr>
          <w:rFonts w:hint="eastAsia" w:ascii="宋体" w:hAnsi="宋体"/>
          <w:color w:val="auto"/>
          <w:sz w:val="24"/>
        </w:rPr>
      </w:pPr>
    </w:p>
    <w:p>
      <w:pPr>
        <w:pStyle w:val="3"/>
        <w:rPr>
          <w:rFonts w:hint="eastAsia"/>
        </w:rPr>
      </w:pPr>
    </w:p>
    <w:p>
      <w:pPr>
        <w:pStyle w:val="3"/>
        <w:rPr>
          <w:rFonts w:hint="eastAsia"/>
        </w:rPr>
      </w:pPr>
    </w:p>
    <w:p>
      <w:pPr>
        <w:spacing w:line="600" w:lineRule="exact"/>
        <w:ind w:left="1280" w:hanging="1285" w:hangingChars="400"/>
        <w:jc w:val="both"/>
        <w:rPr>
          <w:rFonts w:hint="eastAsia" w:ascii="宋体" w:hAnsi="宋体"/>
          <w:b/>
          <w:color w:val="auto"/>
          <w:sz w:val="32"/>
          <w:szCs w:val="32"/>
          <w:lang w:eastAsia="zh-CN"/>
        </w:rPr>
      </w:pPr>
      <w:r>
        <w:rPr>
          <w:rFonts w:hint="eastAsia" w:ascii="宋体" w:hAnsi="宋体"/>
          <w:b/>
          <w:color w:val="auto"/>
          <w:sz w:val="32"/>
          <w:szCs w:val="32"/>
          <w:lang w:eastAsia="zh-CN"/>
        </w:rPr>
        <w:t>招标人：</w:t>
      </w:r>
      <w:r>
        <w:rPr>
          <w:rFonts w:hint="eastAsia" w:ascii="宋体" w:hAnsi="宋体"/>
          <w:b/>
          <w:color w:val="auto"/>
          <w:sz w:val="32"/>
          <w:szCs w:val="32"/>
          <w:lang w:val="en-US" w:eastAsia="zh-CN"/>
        </w:rPr>
        <w:t>阿勒泰地区动物疾病控制与诊断中心</w:t>
      </w:r>
    </w:p>
    <w:p>
      <w:pPr>
        <w:spacing w:line="600" w:lineRule="exact"/>
        <w:jc w:val="both"/>
        <w:rPr>
          <w:rFonts w:hint="eastAsia" w:ascii="宋体" w:hAnsi="宋体"/>
          <w:b/>
          <w:color w:val="auto"/>
          <w:sz w:val="32"/>
          <w:szCs w:val="32"/>
          <w:lang w:eastAsia="zh-CN"/>
        </w:rPr>
      </w:pPr>
    </w:p>
    <w:p>
      <w:pPr>
        <w:spacing w:line="600" w:lineRule="exact"/>
        <w:jc w:val="both"/>
        <w:rPr>
          <w:rFonts w:hint="eastAsia" w:ascii="宋体" w:hAnsi="宋体"/>
          <w:b/>
          <w:color w:val="auto"/>
          <w:sz w:val="32"/>
          <w:szCs w:val="32"/>
          <w:lang w:eastAsia="zh-CN"/>
        </w:rPr>
      </w:pPr>
      <w:r>
        <w:rPr>
          <w:rFonts w:hint="eastAsia" w:ascii="宋体" w:hAnsi="宋体"/>
          <w:b/>
          <w:color w:val="auto"/>
          <w:sz w:val="32"/>
          <w:szCs w:val="32"/>
          <w:lang w:eastAsia="zh-CN"/>
        </w:rPr>
        <w:t>招标代理公司：</w:t>
      </w:r>
      <w:r>
        <w:rPr>
          <w:rFonts w:hint="eastAsia" w:ascii="宋体" w:hAnsi="宋体"/>
          <w:b/>
          <w:color w:val="auto"/>
          <w:sz w:val="32"/>
          <w:szCs w:val="32"/>
          <w:lang w:val="en-US" w:eastAsia="zh-CN"/>
        </w:rPr>
        <w:t>新疆鑫诚正昊项目咨询有限公司</w:t>
      </w:r>
    </w:p>
    <w:p>
      <w:pPr>
        <w:spacing w:line="600" w:lineRule="exact"/>
        <w:ind w:firstLine="1928" w:firstLineChars="600"/>
        <w:jc w:val="both"/>
        <w:rPr>
          <w:rFonts w:hint="eastAsia" w:ascii="宋体" w:hAnsi="宋体"/>
          <w:b/>
          <w:color w:val="auto"/>
          <w:sz w:val="32"/>
          <w:szCs w:val="32"/>
          <w:lang w:eastAsia="zh-CN"/>
        </w:rPr>
      </w:pPr>
    </w:p>
    <w:p>
      <w:pPr>
        <w:spacing w:line="600" w:lineRule="exact"/>
        <w:jc w:val="center"/>
        <w:rPr>
          <w:rFonts w:hint="eastAsia" w:ascii="宋体" w:hAnsi="宋体"/>
          <w:b/>
          <w:color w:val="auto"/>
          <w:sz w:val="32"/>
          <w:szCs w:val="32"/>
          <w:lang w:eastAsia="zh-CN"/>
        </w:rPr>
      </w:pPr>
      <w:r>
        <w:rPr>
          <w:rFonts w:hint="eastAsia" w:ascii="宋体" w:hAnsi="宋体"/>
          <w:b/>
          <w:color w:val="auto"/>
          <w:sz w:val="32"/>
          <w:szCs w:val="32"/>
          <w:lang w:eastAsia="zh-CN"/>
        </w:rPr>
        <w:t>二〇二三年</w:t>
      </w:r>
      <w:r>
        <w:rPr>
          <w:rFonts w:hint="eastAsia" w:ascii="宋体" w:hAnsi="宋体"/>
          <w:b/>
          <w:color w:val="auto"/>
          <w:sz w:val="32"/>
          <w:szCs w:val="32"/>
          <w:lang w:val="en-US" w:eastAsia="zh-CN"/>
        </w:rPr>
        <w:t>二</w:t>
      </w:r>
      <w:r>
        <w:rPr>
          <w:rFonts w:hint="eastAsia" w:ascii="宋体" w:hAnsi="宋体"/>
          <w:b/>
          <w:color w:val="auto"/>
          <w:sz w:val="32"/>
          <w:szCs w:val="32"/>
          <w:lang w:eastAsia="zh-CN"/>
        </w:rPr>
        <w:t>月</w:t>
      </w:r>
    </w:p>
    <w:p>
      <w:pPr>
        <w:rPr>
          <w:rFonts w:hint="eastAsia" w:ascii="宋体" w:hAnsi="宋体"/>
          <w:b/>
          <w:color w:val="auto"/>
          <w:sz w:val="52"/>
          <w:szCs w:val="52"/>
        </w:rPr>
      </w:pPr>
      <w:r>
        <w:rPr>
          <w:rFonts w:hint="eastAsia" w:ascii="宋体" w:hAnsi="宋体"/>
          <w:b/>
          <w:color w:val="auto"/>
          <w:sz w:val="52"/>
          <w:szCs w:val="52"/>
        </w:rPr>
        <w:br w:type="page"/>
      </w:r>
    </w:p>
    <w:p>
      <w:pPr>
        <w:jc w:val="center"/>
        <w:rPr>
          <w:rFonts w:hint="eastAsia" w:ascii="宋体" w:hAnsi="宋体"/>
          <w:b/>
          <w:color w:val="auto"/>
          <w:sz w:val="52"/>
          <w:szCs w:val="52"/>
        </w:rPr>
      </w:pPr>
      <w:r>
        <w:rPr>
          <w:rFonts w:hint="eastAsia" w:ascii="宋体" w:hAnsi="宋体"/>
          <w:b/>
          <w:color w:val="auto"/>
          <w:sz w:val="52"/>
          <w:szCs w:val="52"/>
        </w:rPr>
        <w:t>招标文件</w:t>
      </w:r>
    </w:p>
    <w:p>
      <w:pPr>
        <w:spacing w:line="600" w:lineRule="exact"/>
        <w:jc w:val="left"/>
        <w:rPr>
          <w:rFonts w:hint="eastAsia" w:ascii="宋体" w:hAnsi="宋体"/>
          <w:b/>
          <w:color w:val="auto"/>
          <w:sz w:val="30"/>
          <w:szCs w:val="30"/>
          <w:lang w:val="en-US" w:eastAsia="zh-CN"/>
        </w:rPr>
      </w:pPr>
    </w:p>
    <w:p>
      <w:pPr>
        <w:spacing w:line="600" w:lineRule="exact"/>
        <w:ind w:left="298" w:leftChars="142" w:firstLine="0" w:firstLineChars="0"/>
        <w:jc w:val="left"/>
        <w:rPr>
          <w:rFonts w:hint="eastAsia" w:ascii="宋体" w:hAnsi="宋体"/>
          <w:b/>
          <w:color w:val="auto"/>
          <w:sz w:val="30"/>
          <w:szCs w:val="30"/>
          <w:lang w:val="en-US" w:eastAsia="zh-CN"/>
        </w:rPr>
      </w:pPr>
      <w:r>
        <w:rPr>
          <w:rFonts w:hint="eastAsia" w:ascii="宋体" w:hAnsi="宋体"/>
          <w:b/>
          <w:color w:val="auto"/>
          <w:sz w:val="30"/>
          <w:szCs w:val="30"/>
          <w:lang w:val="en-US" w:eastAsia="zh-CN"/>
        </w:rPr>
        <w:t>项目</w:t>
      </w:r>
      <w:r>
        <w:rPr>
          <w:rFonts w:hint="eastAsia" w:ascii="宋体" w:hAnsi="宋体"/>
          <w:b/>
          <w:color w:val="auto"/>
          <w:sz w:val="30"/>
          <w:szCs w:val="30"/>
        </w:rPr>
        <w:t>名称：</w:t>
      </w:r>
      <w:r>
        <w:rPr>
          <w:rFonts w:hint="eastAsia" w:ascii="宋体" w:hAnsi="宋体"/>
          <w:b/>
          <w:color w:val="auto"/>
          <w:sz w:val="30"/>
          <w:szCs w:val="30"/>
          <w:lang w:val="en-US" w:eastAsia="zh-CN"/>
        </w:rPr>
        <w:t>阿勒泰地区2023年动物疫苗采购项目（二包）</w:t>
      </w:r>
    </w:p>
    <w:p>
      <w:pPr>
        <w:spacing w:line="600" w:lineRule="exact"/>
        <w:ind w:left="1804" w:leftChars="142" w:hanging="1506" w:hangingChars="500"/>
        <w:jc w:val="left"/>
        <w:rPr>
          <w:rFonts w:hint="eastAsia" w:ascii="Verdana" w:hAnsi="Verdana" w:cs="宋体"/>
          <w:b/>
          <w:color w:val="auto"/>
          <w:kern w:val="0"/>
          <w:sz w:val="30"/>
          <w:szCs w:val="30"/>
        </w:rPr>
      </w:pPr>
      <w:r>
        <w:rPr>
          <w:rFonts w:hint="eastAsia" w:ascii="宋体" w:hAnsi="宋体"/>
          <w:b/>
          <w:color w:val="auto"/>
          <w:sz w:val="30"/>
          <w:szCs w:val="30"/>
        </w:rPr>
        <w:t>招 标 人：</w:t>
      </w:r>
      <w:r>
        <w:rPr>
          <w:rFonts w:hint="eastAsia" w:ascii="宋体" w:hAnsi="宋体"/>
          <w:b/>
          <w:color w:val="auto"/>
          <w:sz w:val="30"/>
          <w:szCs w:val="30"/>
          <w:lang w:val="en-US" w:eastAsia="zh-CN"/>
        </w:rPr>
        <w:t>阿勒泰地区动物疾病控制与诊断中心</w:t>
      </w:r>
    </w:p>
    <w:p>
      <w:pPr>
        <w:spacing w:line="600" w:lineRule="exact"/>
        <w:ind w:firstLine="301" w:firstLineChars="100"/>
        <w:rPr>
          <w:rFonts w:hint="eastAsia" w:ascii="宋体" w:hAnsi="宋体"/>
          <w:b/>
          <w:color w:val="auto"/>
          <w:sz w:val="30"/>
          <w:szCs w:val="30"/>
        </w:rPr>
      </w:pPr>
      <w:r>
        <w:rPr>
          <w:rFonts w:hint="eastAsia" w:ascii="宋体" w:hAnsi="宋体"/>
          <w:b/>
          <w:color w:val="auto"/>
          <w:sz w:val="30"/>
          <w:szCs w:val="30"/>
        </w:rPr>
        <w:t xml:space="preserve">法定代表人或授权委托人（签章）： </w:t>
      </w:r>
    </w:p>
    <w:p>
      <w:pPr>
        <w:widowControl/>
        <w:spacing w:line="700" w:lineRule="exact"/>
        <w:ind w:firstLine="301" w:firstLineChars="100"/>
        <w:jc w:val="left"/>
        <w:rPr>
          <w:rFonts w:hint="default" w:ascii="宋体" w:hAnsi="宋体"/>
          <w:b/>
          <w:color w:val="auto"/>
          <w:sz w:val="30"/>
          <w:szCs w:val="30"/>
          <w:lang w:val="en-US" w:eastAsia="zh-CN"/>
        </w:rPr>
      </w:pPr>
      <w:r>
        <w:rPr>
          <w:rFonts w:hint="eastAsia" w:ascii="宋体" w:hAnsi="宋体"/>
          <w:b/>
          <w:color w:val="auto"/>
          <w:sz w:val="30"/>
          <w:szCs w:val="30"/>
        </w:rPr>
        <w:t>联 系 人：</w:t>
      </w:r>
      <w:r>
        <w:rPr>
          <w:rFonts w:hint="eastAsia" w:ascii="宋体" w:hAnsi="宋体"/>
          <w:b/>
          <w:color w:val="auto"/>
          <w:sz w:val="30"/>
          <w:szCs w:val="30"/>
          <w:lang w:val="en-US" w:eastAsia="zh-CN"/>
        </w:rPr>
        <w:t>李鑫</w:t>
      </w:r>
    </w:p>
    <w:p>
      <w:pPr>
        <w:widowControl/>
        <w:spacing w:line="700" w:lineRule="exact"/>
        <w:ind w:firstLine="301" w:firstLineChars="100"/>
        <w:jc w:val="left"/>
        <w:rPr>
          <w:rFonts w:hint="eastAsia" w:ascii="宋体" w:hAnsi="宋体"/>
          <w:b/>
          <w:color w:val="auto"/>
          <w:sz w:val="30"/>
          <w:szCs w:val="30"/>
        </w:rPr>
      </w:pPr>
      <w:r>
        <w:rPr>
          <w:rFonts w:hint="eastAsia" w:ascii="宋体" w:hAnsi="宋体"/>
          <w:b/>
          <w:color w:val="auto"/>
          <w:sz w:val="30"/>
          <w:szCs w:val="30"/>
        </w:rPr>
        <w:t>联系方式：18097520661</w:t>
      </w:r>
    </w:p>
    <w:p>
      <w:pPr>
        <w:spacing w:line="480" w:lineRule="exact"/>
        <w:rPr>
          <w:rFonts w:hint="eastAsia" w:ascii="宋体" w:hAnsi="宋体"/>
          <w:b/>
          <w:color w:val="auto"/>
          <w:sz w:val="30"/>
          <w:szCs w:val="30"/>
        </w:rPr>
      </w:pPr>
      <w:r>
        <w:rPr>
          <w:rFonts w:hint="eastAsia" w:ascii="宋体" w:hAnsi="宋体"/>
          <w:b/>
          <w:color w:val="auto"/>
          <w:sz w:val="30"/>
          <w:szCs w:val="30"/>
        </w:rPr>
        <w:t xml:space="preserve"> </w:t>
      </w:r>
    </w:p>
    <w:p>
      <w:pPr>
        <w:spacing w:line="480" w:lineRule="exact"/>
        <w:rPr>
          <w:rFonts w:hint="eastAsia" w:ascii="宋体" w:hAnsi="宋体"/>
          <w:b/>
          <w:color w:val="auto"/>
          <w:sz w:val="30"/>
          <w:szCs w:val="30"/>
        </w:rPr>
      </w:pPr>
    </w:p>
    <w:p>
      <w:pPr>
        <w:spacing w:line="700" w:lineRule="exact"/>
        <w:rPr>
          <w:rFonts w:hint="eastAsia" w:ascii="宋体" w:hAnsi="宋体"/>
          <w:b/>
          <w:color w:val="auto"/>
          <w:sz w:val="30"/>
          <w:szCs w:val="30"/>
        </w:rPr>
      </w:pPr>
      <w:r>
        <w:rPr>
          <w:rFonts w:hint="eastAsia" w:ascii="宋体" w:hAnsi="宋体"/>
          <w:b/>
          <w:color w:val="auto"/>
          <w:sz w:val="30"/>
          <w:szCs w:val="30"/>
        </w:rPr>
        <w:t xml:space="preserve">  </w:t>
      </w:r>
    </w:p>
    <w:p>
      <w:pPr>
        <w:spacing w:line="700" w:lineRule="exact"/>
        <w:ind w:firstLine="301" w:firstLineChars="100"/>
        <w:rPr>
          <w:rFonts w:hint="eastAsia" w:ascii="宋体" w:hAnsi="宋体"/>
          <w:b/>
          <w:color w:val="auto"/>
          <w:sz w:val="30"/>
          <w:szCs w:val="30"/>
        </w:rPr>
      </w:pPr>
      <w:r>
        <w:rPr>
          <w:rFonts w:hint="eastAsia" w:ascii="宋体" w:hAnsi="宋体"/>
          <w:b/>
          <w:color w:val="auto"/>
          <w:sz w:val="30"/>
          <w:szCs w:val="30"/>
        </w:rPr>
        <w:t>招标代理机构：</w:t>
      </w:r>
      <w:r>
        <w:rPr>
          <w:rFonts w:hint="eastAsia" w:ascii="宋体" w:hAnsi="宋体"/>
          <w:b/>
          <w:color w:val="auto"/>
          <w:sz w:val="30"/>
          <w:szCs w:val="30"/>
          <w:lang w:val="en-US" w:eastAsia="zh-CN"/>
        </w:rPr>
        <w:t>新疆鑫诚正昊项目咨询有限公司</w:t>
      </w:r>
    </w:p>
    <w:p>
      <w:pPr>
        <w:spacing w:line="700" w:lineRule="exact"/>
        <w:ind w:firstLine="602" w:firstLineChars="200"/>
        <w:rPr>
          <w:rFonts w:hint="eastAsia" w:ascii="宋体" w:hAnsi="宋体"/>
          <w:b/>
          <w:color w:val="auto"/>
          <w:sz w:val="30"/>
          <w:szCs w:val="30"/>
        </w:rPr>
      </w:pPr>
      <w:r>
        <w:rPr>
          <w:rFonts w:hint="eastAsia" w:ascii="宋体" w:hAnsi="宋体"/>
          <w:b/>
          <w:color w:val="auto"/>
          <w:sz w:val="30"/>
          <w:szCs w:val="30"/>
        </w:rPr>
        <w:t>法定代表人或授权委托人（签章）：</w:t>
      </w:r>
    </w:p>
    <w:p>
      <w:pPr>
        <w:spacing w:line="700" w:lineRule="exact"/>
        <w:ind w:firstLine="301" w:firstLineChars="100"/>
        <w:rPr>
          <w:rFonts w:hint="eastAsia" w:ascii="宋体" w:hAnsi="宋体"/>
          <w:b/>
          <w:color w:val="auto"/>
          <w:sz w:val="30"/>
          <w:szCs w:val="30"/>
          <w:lang w:val="en-US" w:eastAsia="zh-CN"/>
        </w:rPr>
      </w:pPr>
      <w:r>
        <w:rPr>
          <w:rFonts w:hint="eastAsia" w:ascii="宋体" w:hAnsi="宋体"/>
          <w:b/>
          <w:color w:val="auto"/>
          <w:sz w:val="30"/>
          <w:szCs w:val="30"/>
        </w:rPr>
        <w:t xml:space="preserve"> </w:t>
      </w:r>
      <w:r>
        <w:rPr>
          <w:rFonts w:hint="eastAsia" w:ascii="宋体" w:hAnsi="宋体"/>
          <w:b/>
          <w:color w:val="auto"/>
          <w:sz w:val="30"/>
          <w:szCs w:val="30"/>
          <w:lang w:val="en-US" w:eastAsia="zh-CN"/>
        </w:rPr>
        <w:t xml:space="preserve"> </w:t>
      </w:r>
      <w:r>
        <w:rPr>
          <w:rFonts w:hint="eastAsia" w:ascii="宋体" w:hAnsi="宋体"/>
          <w:b/>
          <w:color w:val="auto"/>
          <w:sz w:val="30"/>
          <w:szCs w:val="30"/>
        </w:rPr>
        <w:t>联 系 人：</w:t>
      </w:r>
      <w:r>
        <w:rPr>
          <w:rFonts w:hint="eastAsia" w:ascii="宋体" w:hAnsi="宋体"/>
          <w:b/>
          <w:color w:val="auto"/>
          <w:sz w:val="30"/>
          <w:szCs w:val="30"/>
          <w:lang w:val="en-US" w:eastAsia="zh-CN"/>
        </w:rPr>
        <w:t>魏少雷</w:t>
      </w:r>
    </w:p>
    <w:p>
      <w:pPr>
        <w:spacing w:line="700" w:lineRule="exact"/>
        <w:ind w:firstLine="301" w:firstLineChars="100"/>
        <w:rPr>
          <w:rFonts w:hint="default" w:ascii="宋体" w:hAnsi="宋体"/>
          <w:b/>
          <w:color w:val="auto"/>
          <w:sz w:val="30"/>
          <w:szCs w:val="30"/>
          <w:lang w:val="en-US" w:eastAsia="zh-CN"/>
        </w:rPr>
      </w:pPr>
      <w:r>
        <w:rPr>
          <w:rFonts w:hint="eastAsia" w:ascii="宋体" w:hAnsi="宋体"/>
          <w:b/>
          <w:color w:val="auto"/>
          <w:sz w:val="30"/>
          <w:szCs w:val="30"/>
        </w:rPr>
        <w:t>联系电话：</w:t>
      </w:r>
      <w:r>
        <w:rPr>
          <w:rFonts w:hint="eastAsia" w:ascii="宋体" w:hAnsi="宋体"/>
          <w:b/>
          <w:color w:val="auto"/>
          <w:sz w:val="30"/>
          <w:szCs w:val="30"/>
          <w:lang w:val="en-US" w:eastAsia="zh-CN"/>
        </w:rPr>
        <w:t>19990655789</w:t>
      </w:r>
    </w:p>
    <w:p>
      <w:pPr>
        <w:spacing w:line="700" w:lineRule="exact"/>
        <w:ind w:firstLine="301" w:firstLineChars="100"/>
        <w:rPr>
          <w:rFonts w:hint="eastAsia" w:ascii="宋体" w:hAnsi="宋体"/>
          <w:b/>
          <w:color w:val="auto"/>
          <w:sz w:val="30"/>
          <w:szCs w:val="30"/>
          <w:lang w:val="en-US" w:eastAsia="zh-CN"/>
        </w:rPr>
      </w:pPr>
      <w:r>
        <w:rPr>
          <w:rFonts w:hint="eastAsia" w:ascii="宋体" w:hAnsi="宋体"/>
          <w:b/>
          <w:color w:val="auto"/>
          <w:sz w:val="30"/>
          <w:szCs w:val="30"/>
        </w:rPr>
        <w:t>联系地址：新疆阿勒泰地区阿勒泰市东风路2区将军城三期1栋</w:t>
      </w:r>
    </w:p>
    <w:p>
      <w:pPr>
        <w:pStyle w:val="9"/>
        <w:rPr>
          <w:rFonts w:hint="eastAsia" w:ascii="宋体" w:hAnsi="宋体"/>
          <w:b/>
          <w:color w:val="auto"/>
          <w:sz w:val="32"/>
          <w:szCs w:val="32"/>
          <w:lang w:val="en-US" w:eastAsia="zh-CN"/>
        </w:rPr>
      </w:pPr>
    </w:p>
    <w:p>
      <w:pPr>
        <w:spacing w:line="700" w:lineRule="exact"/>
        <w:ind w:firstLine="301" w:firstLineChars="100"/>
        <w:jc w:val="center"/>
        <w:rPr>
          <w:rFonts w:hint="eastAsia" w:ascii="宋体" w:hAnsi="宋体" w:eastAsia="宋体" w:cs="Times New Roman"/>
          <w:b/>
          <w:color w:val="auto"/>
          <w:sz w:val="30"/>
          <w:szCs w:val="30"/>
          <w:lang w:val="en-US" w:eastAsia="zh-CN"/>
        </w:rPr>
      </w:pPr>
      <w:r>
        <w:rPr>
          <w:rFonts w:hint="eastAsia" w:ascii="宋体" w:hAnsi="宋体" w:eastAsia="宋体" w:cs="Times New Roman"/>
          <w:b/>
          <w:color w:val="auto"/>
          <w:sz w:val="30"/>
          <w:szCs w:val="30"/>
          <w:lang w:val="en-US" w:eastAsia="zh-CN"/>
        </w:rPr>
        <w:t>二〇二</w:t>
      </w:r>
      <w:r>
        <w:rPr>
          <w:rFonts w:hint="eastAsia" w:ascii="宋体" w:hAnsi="宋体" w:cs="Times New Roman"/>
          <w:b/>
          <w:color w:val="auto"/>
          <w:sz w:val="30"/>
          <w:szCs w:val="30"/>
          <w:lang w:val="en-US" w:eastAsia="zh-CN"/>
        </w:rPr>
        <w:t>三</w:t>
      </w:r>
      <w:r>
        <w:rPr>
          <w:rFonts w:hint="eastAsia" w:ascii="宋体" w:hAnsi="宋体" w:eastAsia="宋体" w:cs="Times New Roman"/>
          <w:b/>
          <w:color w:val="auto"/>
          <w:sz w:val="30"/>
          <w:szCs w:val="30"/>
          <w:lang w:val="en-US" w:eastAsia="zh-CN"/>
        </w:rPr>
        <w:t>年</w:t>
      </w:r>
      <w:r>
        <w:rPr>
          <w:rFonts w:hint="eastAsia" w:ascii="宋体" w:hAnsi="宋体" w:cs="Times New Roman"/>
          <w:b/>
          <w:color w:val="auto"/>
          <w:sz w:val="30"/>
          <w:szCs w:val="30"/>
          <w:lang w:val="en-US" w:eastAsia="zh-CN"/>
        </w:rPr>
        <w:t>二</w:t>
      </w:r>
      <w:r>
        <w:rPr>
          <w:rFonts w:hint="eastAsia" w:ascii="宋体" w:hAnsi="宋体" w:eastAsia="宋体" w:cs="Times New Roman"/>
          <w:b/>
          <w:color w:val="auto"/>
          <w:sz w:val="30"/>
          <w:szCs w:val="30"/>
          <w:lang w:val="en-US" w:eastAsia="zh-CN"/>
        </w:rPr>
        <w:t>月</w:t>
      </w:r>
    </w:p>
    <w:p>
      <w:pPr>
        <w:rPr>
          <w:rFonts w:hint="eastAsia"/>
        </w:rPr>
      </w:pPr>
      <w:r>
        <w:rPr>
          <w:rFonts w:hint="eastAsia"/>
        </w:rPr>
        <w:br w:type="page"/>
      </w:r>
    </w:p>
    <w:p>
      <w:pPr>
        <w:pStyle w:val="4"/>
        <w:bidi w:val="0"/>
        <w:ind w:firstLine="3960" w:firstLineChars="900"/>
        <w:jc w:val="both"/>
        <w:rPr>
          <w:rFonts w:hint="eastAsia"/>
        </w:rPr>
      </w:pPr>
      <w:r>
        <w:rPr>
          <w:rFonts w:hint="eastAsia"/>
        </w:rPr>
        <w:t>目录</w:t>
      </w:r>
    </w:p>
    <w:p>
      <w:pPr>
        <w:pStyle w:val="9"/>
        <w:jc w:val="both"/>
      </w:pPr>
    </w:p>
    <w:p>
      <w:pPr>
        <w:pStyle w:val="16"/>
        <w:tabs>
          <w:tab w:val="right" w:leader="dot" w:pos="8306"/>
        </w:tabs>
        <w:rPr>
          <w:sz w:val="24"/>
          <w:szCs w:val="24"/>
        </w:rPr>
      </w:pPr>
      <w:r>
        <w:rPr>
          <w:rFonts w:ascii="宋体" w:hAnsi="宋体" w:cs="宋体"/>
          <w:b/>
          <w:bCs/>
          <w:sz w:val="24"/>
          <w:szCs w:val="24"/>
        </w:rPr>
        <w:fldChar w:fldCharType="begin"/>
      </w:r>
      <w:r>
        <w:rPr>
          <w:rFonts w:ascii="宋体" w:hAnsi="宋体" w:cs="宋体"/>
          <w:b/>
          <w:bCs/>
          <w:sz w:val="24"/>
          <w:szCs w:val="24"/>
        </w:rPr>
        <w:instrText xml:space="preserve">TOC \o "1-3" \h \u </w:instrText>
      </w:r>
      <w:r>
        <w:rPr>
          <w:rFonts w:ascii="宋体" w:hAnsi="宋体" w:cs="宋体"/>
          <w:b/>
          <w:bCs/>
          <w:sz w:val="24"/>
          <w:szCs w:val="24"/>
        </w:rPr>
        <w:fldChar w:fldCharType="separate"/>
      </w:r>
      <w:r>
        <w:rPr>
          <w:sz w:val="24"/>
          <w:szCs w:val="24"/>
        </w:rPr>
        <w:fldChar w:fldCharType="begin"/>
      </w:r>
      <w:r>
        <w:rPr>
          <w:sz w:val="24"/>
          <w:szCs w:val="24"/>
        </w:rPr>
        <w:instrText xml:space="preserve"> HYPERLINK \l "_Toc1076" </w:instrText>
      </w:r>
      <w:r>
        <w:rPr>
          <w:sz w:val="24"/>
          <w:szCs w:val="24"/>
        </w:rPr>
        <w:fldChar w:fldCharType="separate"/>
      </w:r>
      <w:r>
        <w:rPr>
          <w:rFonts w:hint="eastAsia" w:ascii="黑体" w:hAnsi="黑体" w:eastAsia="黑体" w:cs="黑体"/>
          <w:bCs/>
          <w:sz w:val="24"/>
          <w:szCs w:val="24"/>
        </w:rPr>
        <w:t>第一章 招标公告</w:t>
      </w:r>
      <w:r>
        <w:rPr>
          <w:sz w:val="24"/>
          <w:szCs w:val="24"/>
        </w:rPr>
        <w:tab/>
      </w:r>
      <w:r>
        <w:rPr>
          <w:sz w:val="24"/>
          <w:szCs w:val="24"/>
        </w:rPr>
        <w:fldChar w:fldCharType="begin"/>
      </w:r>
      <w:r>
        <w:rPr>
          <w:sz w:val="24"/>
          <w:szCs w:val="24"/>
        </w:rPr>
        <w:instrText xml:space="preserve"> PAGEREF _Toc1076 \h </w:instrText>
      </w:r>
      <w:r>
        <w:rPr>
          <w:sz w:val="24"/>
          <w:szCs w:val="24"/>
        </w:rPr>
        <w:fldChar w:fldCharType="separate"/>
      </w:r>
      <w:r>
        <w:rPr>
          <w:sz w:val="24"/>
          <w:szCs w:val="24"/>
        </w:rPr>
        <w:t>2</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"_Toc27824" </w:instrText>
      </w:r>
      <w:r>
        <w:rPr>
          <w:sz w:val="24"/>
          <w:szCs w:val="24"/>
        </w:rPr>
        <w:fldChar w:fldCharType="separate"/>
      </w:r>
      <w:r>
        <w:rPr>
          <w:rFonts w:hint="eastAsia" w:ascii="黑体" w:hAnsi="黑体" w:eastAsia="黑体" w:cs="黑体"/>
          <w:bCs/>
          <w:sz w:val="24"/>
          <w:szCs w:val="24"/>
        </w:rPr>
        <w:t>第二章投标人须知前附表</w:t>
      </w:r>
      <w:r>
        <w:rPr>
          <w:sz w:val="24"/>
          <w:szCs w:val="24"/>
        </w:rPr>
        <w:tab/>
      </w:r>
      <w:r>
        <w:rPr>
          <w:sz w:val="24"/>
          <w:szCs w:val="24"/>
        </w:rPr>
        <w:fldChar w:fldCharType="begin"/>
      </w:r>
      <w:r>
        <w:rPr>
          <w:sz w:val="24"/>
          <w:szCs w:val="24"/>
        </w:rPr>
        <w:instrText xml:space="preserve"> PAGEREF _Toc27824 \h </w:instrText>
      </w:r>
      <w:r>
        <w:rPr>
          <w:sz w:val="24"/>
          <w:szCs w:val="24"/>
        </w:rPr>
        <w:fldChar w:fldCharType="separate"/>
      </w:r>
      <w:r>
        <w:rPr>
          <w:sz w:val="24"/>
          <w:szCs w:val="24"/>
        </w:rPr>
        <w:t>5</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"_Toc14733" </w:instrText>
      </w:r>
      <w:r>
        <w:rPr>
          <w:sz w:val="24"/>
          <w:szCs w:val="24"/>
        </w:rPr>
        <w:fldChar w:fldCharType="separate"/>
      </w:r>
      <w:r>
        <w:rPr>
          <w:rFonts w:hint="eastAsia" w:ascii="黑体" w:hAnsi="黑体" w:eastAsia="黑体" w:cs="黑体"/>
          <w:bCs/>
          <w:sz w:val="24"/>
          <w:szCs w:val="24"/>
        </w:rPr>
        <w:t>第三章 投标须知</w:t>
      </w:r>
      <w:r>
        <w:rPr>
          <w:sz w:val="24"/>
          <w:szCs w:val="24"/>
        </w:rPr>
        <w:tab/>
      </w:r>
      <w:r>
        <w:rPr>
          <w:sz w:val="24"/>
          <w:szCs w:val="24"/>
        </w:rPr>
        <w:fldChar w:fldCharType="begin"/>
      </w:r>
      <w:r>
        <w:rPr>
          <w:sz w:val="24"/>
          <w:szCs w:val="24"/>
        </w:rPr>
        <w:instrText xml:space="preserve"> PAGEREF _Toc14733 \h </w:instrText>
      </w:r>
      <w:r>
        <w:rPr>
          <w:sz w:val="24"/>
          <w:szCs w:val="24"/>
        </w:rPr>
        <w:fldChar w:fldCharType="separate"/>
      </w:r>
      <w:r>
        <w:rPr>
          <w:sz w:val="24"/>
          <w:szCs w:val="24"/>
        </w:rPr>
        <w:t>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"_Toc30774" </w:instrText>
      </w:r>
      <w:r>
        <w:rPr>
          <w:sz w:val="24"/>
          <w:szCs w:val="24"/>
        </w:rPr>
        <w:fldChar w:fldCharType="separate"/>
      </w:r>
      <w:r>
        <w:rPr>
          <w:rFonts w:hint="eastAsia" w:ascii="宋体" w:hAnsi="宋体" w:cs="宋体"/>
          <w:sz w:val="24"/>
          <w:szCs w:val="24"/>
        </w:rPr>
        <w:t>第一节 总则</w:t>
      </w:r>
      <w:r>
        <w:rPr>
          <w:sz w:val="24"/>
          <w:szCs w:val="24"/>
        </w:rPr>
        <w:tab/>
      </w:r>
      <w:r>
        <w:rPr>
          <w:sz w:val="24"/>
          <w:szCs w:val="24"/>
        </w:rPr>
        <w:fldChar w:fldCharType="begin"/>
      </w:r>
      <w:r>
        <w:rPr>
          <w:sz w:val="24"/>
          <w:szCs w:val="24"/>
        </w:rPr>
        <w:instrText xml:space="preserve"> PAGEREF _Toc30774 \h </w:instrText>
      </w:r>
      <w:r>
        <w:rPr>
          <w:sz w:val="24"/>
          <w:szCs w:val="24"/>
        </w:rPr>
        <w:fldChar w:fldCharType="separate"/>
      </w:r>
      <w:r>
        <w:rPr>
          <w:sz w:val="24"/>
          <w:szCs w:val="24"/>
        </w:rPr>
        <w:t>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"_Toc25582" </w:instrText>
      </w:r>
      <w:r>
        <w:rPr>
          <w:sz w:val="24"/>
          <w:szCs w:val="24"/>
        </w:rPr>
        <w:fldChar w:fldCharType="separate"/>
      </w:r>
      <w:r>
        <w:rPr>
          <w:rFonts w:hint="eastAsia" w:ascii="宋体" w:hAnsi="宋体" w:cs="宋体"/>
          <w:sz w:val="24"/>
          <w:szCs w:val="24"/>
        </w:rPr>
        <w:t>第二节 招标文件</w:t>
      </w:r>
      <w:r>
        <w:rPr>
          <w:sz w:val="24"/>
          <w:szCs w:val="24"/>
        </w:rPr>
        <w:tab/>
      </w:r>
      <w:r>
        <w:rPr>
          <w:sz w:val="24"/>
          <w:szCs w:val="24"/>
        </w:rPr>
        <w:fldChar w:fldCharType="begin"/>
      </w:r>
      <w:r>
        <w:rPr>
          <w:sz w:val="24"/>
          <w:szCs w:val="24"/>
        </w:rPr>
        <w:instrText xml:space="preserve"> PAGEREF _Toc25582 \h </w:instrText>
      </w:r>
      <w:r>
        <w:rPr>
          <w:sz w:val="24"/>
          <w:szCs w:val="24"/>
        </w:rPr>
        <w:fldChar w:fldCharType="separate"/>
      </w:r>
      <w:r>
        <w:rPr>
          <w:sz w:val="24"/>
          <w:szCs w:val="24"/>
        </w:rPr>
        <w:t>13</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"_Toc9055" </w:instrText>
      </w:r>
      <w:r>
        <w:rPr>
          <w:sz w:val="24"/>
          <w:szCs w:val="24"/>
        </w:rPr>
        <w:fldChar w:fldCharType="separate"/>
      </w:r>
      <w:r>
        <w:rPr>
          <w:rFonts w:hint="eastAsia" w:ascii="宋体" w:hAnsi="宋体" w:cs="宋体"/>
          <w:sz w:val="24"/>
          <w:szCs w:val="24"/>
        </w:rPr>
        <w:t>第三节 投标文件</w:t>
      </w:r>
      <w:r>
        <w:rPr>
          <w:sz w:val="24"/>
          <w:szCs w:val="24"/>
        </w:rPr>
        <w:tab/>
      </w:r>
      <w:r>
        <w:rPr>
          <w:sz w:val="24"/>
          <w:szCs w:val="24"/>
        </w:rPr>
        <w:fldChar w:fldCharType="begin"/>
      </w:r>
      <w:r>
        <w:rPr>
          <w:sz w:val="24"/>
          <w:szCs w:val="24"/>
        </w:rPr>
        <w:instrText xml:space="preserve"> PAGEREF _Toc9055 \h </w:instrText>
      </w:r>
      <w:r>
        <w:rPr>
          <w:sz w:val="24"/>
          <w:szCs w:val="24"/>
        </w:rPr>
        <w:fldChar w:fldCharType="separate"/>
      </w:r>
      <w:r>
        <w:rPr>
          <w:sz w:val="24"/>
          <w:szCs w:val="24"/>
        </w:rPr>
        <w:t>14</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"_Toc12338" </w:instrText>
      </w:r>
      <w:r>
        <w:rPr>
          <w:sz w:val="24"/>
          <w:szCs w:val="24"/>
        </w:rPr>
        <w:fldChar w:fldCharType="separate"/>
      </w:r>
      <w:r>
        <w:rPr>
          <w:rFonts w:hint="eastAsia" w:ascii="宋体" w:hAnsi="宋体" w:cs="宋体"/>
          <w:sz w:val="24"/>
          <w:szCs w:val="24"/>
        </w:rPr>
        <w:t>第四节 纪律和监督</w:t>
      </w:r>
      <w:r>
        <w:rPr>
          <w:sz w:val="24"/>
          <w:szCs w:val="24"/>
        </w:rPr>
        <w:tab/>
      </w:r>
      <w:r>
        <w:rPr>
          <w:sz w:val="24"/>
          <w:szCs w:val="24"/>
        </w:rPr>
        <w:fldChar w:fldCharType="begin"/>
      </w:r>
      <w:r>
        <w:rPr>
          <w:sz w:val="24"/>
          <w:szCs w:val="24"/>
        </w:rPr>
        <w:instrText xml:space="preserve"> PAGEREF _Toc12338 \h </w:instrText>
      </w:r>
      <w:r>
        <w:rPr>
          <w:sz w:val="24"/>
          <w:szCs w:val="24"/>
        </w:rPr>
        <w:fldChar w:fldCharType="separate"/>
      </w:r>
      <w:r>
        <w:rPr>
          <w:sz w:val="24"/>
          <w:szCs w:val="24"/>
        </w:rPr>
        <w:t>16</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"_Toc28529" </w:instrText>
      </w:r>
      <w:r>
        <w:rPr>
          <w:sz w:val="24"/>
          <w:szCs w:val="24"/>
        </w:rPr>
        <w:fldChar w:fldCharType="separate"/>
      </w:r>
      <w:r>
        <w:rPr>
          <w:rFonts w:hint="eastAsia" w:ascii="宋体" w:hAnsi="宋体" w:cs="宋体"/>
          <w:sz w:val="24"/>
          <w:szCs w:val="24"/>
        </w:rPr>
        <w:t>第五节 询问、质疑和投诉</w:t>
      </w:r>
      <w:r>
        <w:rPr>
          <w:sz w:val="24"/>
          <w:szCs w:val="24"/>
        </w:rPr>
        <w:tab/>
      </w:r>
      <w:r>
        <w:rPr>
          <w:sz w:val="24"/>
          <w:szCs w:val="24"/>
        </w:rPr>
        <w:fldChar w:fldCharType="begin"/>
      </w:r>
      <w:r>
        <w:rPr>
          <w:sz w:val="24"/>
          <w:szCs w:val="24"/>
        </w:rPr>
        <w:instrText xml:space="preserve"> PAGEREF _Toc28529 \h </w:instrText>
      </w:r>
      <w:r>
        <w:rPr>
          <w:sz w:val="24"/>
          <w:szCs w:val="24"/>
        </w:rPr>
        <w:fldChar w:fldCharType="separate"/>
      </w:r>
      <w:r>
        <w:rPr>
          <w:sz w:val="24"/>
          <w:szCs w:val="24"/>
        </w:rPr>
        <w:t>17</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"_Toc27389" </w:instrText>
      </w:r>
      <w:r>
        <w:rPr>
          <w:sz w:val="24"/>
          <w:szCs w:val="24"/>
        </w:rPr>
        <w:fldChar w:fldCharType="separate"/>
      </w:r>
      <w:r>
        <w:rPr>
          <w:rFonts w:hint="eastAsia" w:ascii="宋体" w:hAnsi="宋体" w:cs="宋体"/>
          <w:sz w:val="24"/>
          <w:szCs w:val="24"/>
        </w:rPr>
        <w:t>第六节 评标</w:t>
      </w:r>
      <w:r>
        <w:rPr>
          <w:sz w:val="24"/>
          <w:szCs w:val="24"/>
        </w:rPr>
        <w:tab/>
      </w:r>
      <w:r>
        <w:rPr>
          <w:sz w:val="24"/>
          <w:szCs w:val="24"/>
        </w:rPr>
        <w:fldChar w:fldCharType="begin"/>
      </w:r>
      <w:r>
        <w:rPr>
          <w:sz w:val="24"/>
          <w:szCs w:val="24"/>
        </w:rPr>
        <w:instrText xml:space="preserve"> PAGEREF _Toc27389 \h </w:instrText>
      </w:r>
      <w:r>
        <w:rPr>
          <w:sz w:val="24"/>
          <w:szCs w:val="24"/>
        </w:rPr>
        <w:fldChar w:fldCharType="separate"/>
      </w:r>
      <w:r>
        <w:rPr>
          <w:sz w:val="24"/>
          <w:szCs w:val="24"/>
        </w:rPr>
        <w:t>18</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"_Toc19761" </w:instrText>
      </w:r>
      <w:r>
        <w:rPr>
          <w:sz w:val="24"/>
          <w:szCs w:val="24"/>
        </w:rPr>
        <w:fldChar w:fldCharType="separate"/>
      </w:r>
      <w:r>
        <w:rPr>
          <w:rFonts w:hint="eastAsia" w:ascii="宋体" w:hAnsi="宋体" w:cs="宋体"/>
          <w:sz w:val="24"/>
          <w:szCs w:val="24"/>
        </w:rPr>
        <w:t>第七节 定标及合同授予</w:t>
      </w:r>
      <w:r>
        <w:rPr>
          <w:sz w:val="24"/>
          <w:szCs w:val="24"/>
        </w:rPr>
        <w:tab/>
      </w:r>
      <w:r>
        <w:rPr>
          <w:sz w:val="24"/>
          <w:szCs w:val="24"/>
        </w:rPr>
        <w:fldChar w:fldCharType="begin"/>
      </w:r>
      <w:r>
        <w:rPr>
          <w:sz w:val="24"/>
          <w:szCs w:val="24"/>
        </w:rPr>
        <w:instrText xml:space="preserve"> PAGEREF _Toc19761 \h </w:instrText>
      </w:r>
      <w:r>
        <w:rPr>
          <w:sz w:val="24"/>
          <w:szCs w:val="24"/>
        </w:rPr>
        <w:fldChar w:fldCharType="separate"/>
      </w:r>
      <w:r>
        <w:rPr>
          <w:sz w:val="24"/>
          <w:szCs w:val="24"/>
        </w:rPr>
        <w:t>31</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"_Toc26112" </w:instrText>
      </w:r>
      <w:r>
        <w:rPr>
          <w:sz w:val="24"/>
          <w:szCs w:val="24"/>
        </w:rPr>
        <w:fldChar w:fldCharType="separate"/>
      </w:r>
      <w:r>
        <w:rPr>
          <w:rFonts w:hint="eastAsia" w:ascii="宋体" w:hAnsi="宋体" w:cs="宋体"/>
          <w:sz w:val="24"/>
          <w:szCs w:val="24"/>
        </w:rPr>
        <w:t>第八节 合同条款及格式</w:t>
      </w:r>
      <w:r>
        <w:rPr>
          <w:sz w:val="24"/>
          <w:szCs w:val="24"/>
        </w:rPr>
        <w:tab/>
      </w:r>
      <w:r>
        <w:rPr>
          <w:sz w:val="24"/>
          <w:szCs w:val="24"/>
        </w:rPr>
        <w:fldChar w:fldCharType="begin"/>
      </w:r>
      <w:r>
        <w:rPr>
          <w:sz w:val="24"/>
          <w:szCs w:val="24"/>
        </w:rPr>
        <w:instrText xml:space="preserve"> PAGEREF _Toc26112 \h </w:instrText>
      </w:r>
      <w:r>
        <w:rPr>
          <w:sz w:val="24"/>
          <w:szCs w:val="24"/>
        </w:rPr>
        <w:fldChar w:fldCharType="separate"/>
      </w:r>
      <w:r>
        <w:rPr>
          <w:sz w:val="24"/>
          <w:szCs w:val="24"/>
        </w:rPr>
        <w:t>33</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"_Toc25473" </w:instrText>
      </w:r>
      <w:r>
        <w:rPr>
          <w:sz w:val="24"/>
          <w:szCs w:val="24"/>
        </w:rPr>
        <w:fldChar w:fldCharType="separate"/>
      </w:r>
      <w:r>
        <w:rPr>
          <w:rFonts w:hint="eastAsia" w:ascii="黑体" w:hAnsi="黑体" w:eastAsia="黑体" w:cs="黑体"/>
          <w:bCs/>
          <w:sz w:val="24"/>
          <w:szCs w:val="24"/>
        </w:rPr>
        <w:t>第四章 技术标准和服务要求</w:t>
      </w:r>
      <w:r>
        <w:rPr>
          <w:sz w:val="24"/>
          <w:szCs w:val="24"/>
        </w:rPr>
        <w:tab/>
      </w:r>
      <w:r>
        <w:rPr>
          <w:sz w:val="24"/>
          <w:szCs w:val="24"/>
        </w:rPr>
        <w:fldChar w:fldCharType="begin"/>
      </w:r>
      <w:r>
        <w:rPr>
          <w:sz w:val="24"/>
          <w:szCs w:val="24"/>
        </w:rPr>
        <w:instrText xml:space="preserve"> PAGEREF _Toc25473 \h </w:instrText>
      </w:r>
      <w:r>
        <w:rPr>
          <w:sz w:val="24"/>
          <w:szCs w:val="24"/>
        </w:rPr>
        <w:fldChar w:fldCharType="separate"/>
      </w:r>
      <w:r>
        <w:rPr>
          <w:sz w:val="24"/>
          <w:szCs w:val="24"/>
        </w:rPr>
        <w:t>43</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"_Toc16551" </w:instrText>
      </w:r>
      <w:r>
        <w:rPr>
          <w:sz w:val="24"/>
          <w:szCs w:val="24"/>
        </w:rPr>
        <w:fldChar w:fldCharType="separate"/>
      </w:r>
      <w:r>
        <w:rPr>
          <w:rFonts w:hint="eastAsia" w:ascii="宋体" w:hAnsi="宋体" w:cs="宋体"/>
          <w:sz w:val="24"/>
          <w:szCs w:val="24"/>
        </w:rPr>
        <w:t xml:space="preserve">第一节 </w:t>
      </w:r>
      <w:r>
        <w:rPr>
          <w:rFonts w:hint="eastAsia" w:ascii="宋体" w:hAnsi="宋体" w:cs="宋体"/>
          <w:color w:val="auto"/>
          <w:kern w:val="0"/>
          <w:sz w:val="24"/>
          <w:szCs w:val="24"/>
          <w:lang w:val="en-US" w:eastAsia="zh-CN" w:bidi="ar-SA"/>
        </w:rPr>
        <w:t>阿勒泰地区2023年动物疫苗采购项目（二包）</w:t>
      </w:r>
      <w:r>
        <w:rPr>
          <w:rFonts w:hint="eastAsia" w:ascii="宋体" w:hAnsi="宋体" w:cs="宋体"/>
          <w:bCs/>
          <w:sz w:val="24"/>
          <w:szCs w:val="24"/>
        </w:rPr>
        <w:t>需求技术参数</w:t>
      </w:r>
      <w:r>
        <w:rPr>
          <w:sz w:val="24"/>
          <w:szCs w:val="24"/>
        </w:rPr>
        <w:tab/>
      </w:r>
      <w:r>
        <w:rPr>
          <w:sz w:val="24"/>
          <w:szCs w:val="24"/>
        </w:rPr>
        <w:fldChar w:fldCharType="begin"/>
      </w:r>
      <w:r>
        <w:rPr>
          <w:sz w:val="24"/>
          <w:szCs w:val="24"/>
        </w:rPr>
        <w:instrText xml:space="preserve"> PAGEREF _Toc16551 \h </w:instrText>
      </w:r>
      <w:r>
        <w:rPr>
          <w:sz w:val="24"/>
          <w:szCs w:val="24"/>
        </w:rPr>
        <w:fldChar w:fldCharType="separate"/>
      </w:r>
      <w:r>
        <w:rPr>
          <w:sz w:val="24"/>
          <w:szCs w:val="24"/>
        </w:rPr>
        <w:t>43</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"_Toc24549" </w:instrText>
      </w:r>
      <w:r>
        <w:rPr>
          <w:sz w:val="24"/>
          <w:szCs w:val="24"/>
        </w:rPr>
        <w:fldChar w:fldCharType="separate"/>
      </w:r>
      <w:r>
        <w:rPr>
          <w:rFonts w:hint="eastAsia" w:ascii="宋体" w:hAnsi="宋体" w:cs="宋体"/>
          <w:sz w:val="24"/>
          <w:szCs w:val="24"/>
        </w:rPr>
        <w:t>第二节 供货服务商一览表</w:t>
      </w:r>
      <w:r>
        <w:rPr>
          <w:sz w:val="24"/>
          <w:szCs w:val="24"/>
        </w:rPr>
        <w:tab/>
      </w:r>
      <w:r>
        <w:rPr>
          <w:sz w:val="24"/>
          <w:szCs w:val="24"/>
        </w:rPr>
        <w:fldChar w:fldCharType="begin"/>
      </w:r>
      <w:r>
        <w:rPr>
          <w:sz w:val="24"/>
          <w:szCs w:val="24"/>
        </w:rPr>
        <w:instrText xml:space="preserve"> PAGEREF _Toc24549 \h </w:instrText>
      </w:r>
      <w:r>
        <w:rPr>
          <w:sz w:val="24"/>
          <w:szCs w:val="24"/>
        </w:rPr>
        <w:fldChar w:fldCharType="separate"/>
      </w:r>
      <w:r>
        <w:rPr>
          <w:sz w:val="24"/>
          <w:szCs w:val="24"/>
        </w:rPr>
        <w:t>44</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"_Toc30472" </w:instrText>
      </w:r>
      <w:r>
        <w:rPr>
          <w:sz w:val="24"/>
          <w:szCs w:val="24"/>
        </w:rPr>
        <w:fldChar w:fldCharType="separate"/>
      </w:r>
      <w:r>
        <w:rPr>
          <w:rFonts w:hint="eastAsia" w:ascii="宋体" w:hAnsi="宋体" w:cs="宋体"/>
          <w:sz w:val="24"/>
          <w:szCs w:val="24"/>
        </w:rPr>
        <w:t>第三节 供货服务要求</w:t>
      </w:r>
      <w:r>
        <w:rPr>
          <w:sz w:val="24"/>
          <w:szCs w:val="24"/>
        </w:rPr>
        <w:tab/>
      </w:r>
      <w:r>
        <w:rPr>
          <w:sz w:val="24"/>
          <w:szCs w:val="24"/>
        </w:rPr>
        <w:fldChar w:fldCharType="begin"/>
      </w:r>
      <w:r>
        <w:rPr>
          <w:sz w:val="24"/>
          <w:szCs w:val="24"/>
        </w:rPr>
        <w:instrText xml:space="preserve"> PAGEREF _Toc30472 \h </w:instrText>
      </w:r>
      <w:r>
        <w:rPr>
          <w:sz w:val="24"/>
          <w:szCs w:val="24"/>
        </w:rPr>
        <w:fldChar w:fldCharType="separate"/>
      </w:r>
      <w:r>
        <w:rPr>
          <w:sz w:val="24"/>
          <w:szCs w:val="24"/>
        </w:rPr>
        <w:t>45</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"_Toc18492" </w:instrText>
      </w:r>
      <w:r>
        <w:rPr>
          <w:sz w:val="24"/>
          <w:szCs w:val="24"/>
        </w:rPr>
        <w:fldChar w:fldCharType="separate"/>
      </w:r>
      <w:r>
        <w:rPr>
          <w:rFonts w:hint="eastAsia" w:ascii="宋体" w:hAnsi="宋体" w:cs="宋体"/>
          <w:sz w:val="24"/>
          <w:szCs w:val="24"/>
        </w:rPr>
        <w:t>3.1供货期、地点、运输方式及验收方式</w:t>
      </w:r>
      <w:r>
        <w:rPr>
          <w:sz w:val="24"/>
          <w:szCs w:val="24"/>
        </w:rPr>
        <w:tab/>
      </w:r>
      <w:r>
        <w:rPr>
          <w:sz w:val="24"/>
          <w:szCs w:val="24"/>
        </w:rPr>
        <w:fldChar w:fldCharType="begin"/>
      </w:r>
      <w:r>
        <w:rPr>
          <w:sz w:val="24"/>
          <w:szCs w:val="24"/>
        </w:rPr>
        <w:instrText xml:space="preserve"> PAGEREF _Toc18492 \h </w:instrText>
      </w:r>
      <w:r>
        <w:rPr>
          <w:sz w:val="24"/>
          <w:szCs w:val="24"/>
        </w:rPr>
        <w:fldChar w:fldCharType="separate"/>
      </w:r>
      <w:r>
        <w:rPr>
          <w:sz w:val="24"/>
          <w:szCs w:val="24"/>
        </w:rPr>
        <w:t>45</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"_Toc28983" </w:instrText>
      </w:r>
      <w:r>
        <w:rPr>
          <w:sz w:val="24"/>
          <w:szCs w:val="24"/>
        </w:rPr>
        <w:fldChar w:fldCharType="separate"/>
      </w:r>
      <w:r>
        <w:rPr>
          <w:rFonts w:hint="eastAsia" w:ascii="宋体" w:hAnsi="宋体" w:cs="宋体"/>
          <w:sz w:val="24"/>
          <w:szCs w:val="24"/>
        </w:rPr>
        <w:t>3.</w:t>
      </w:r>
      <w:r>
        <w:rPr>
          <w:rFonts w:ascii="宋体" w:hAnsi="宋体" w:cs="宋体"/>
          <w:sz w:val="24"/>
          <w:szCs w:val="24"/>
        </w:rPr>
        <w:t xml:space="preserve">2 </w:t>
      </w:r>
      <w:r>
        <w:rPr>
          <w:rFonts w:hint="eastAsia" w:ascii="宋体" w:hAnsi="宋体" w:cs="宋体"/>
          <w:sz w:val="24"/>
          <w:szCs w:val="24"/>
        </w:rPr>
        <w:t>质量责任</w:t>
      </w:r>
      <w:r>
        <w:rPr>
          <w:sz w:val="24"/>
          <w:szCs w:val="24"/>
        </w:rPr>
        <w:tab/>
      </w:r>
      <w:r>
        <w:rPr>
          <w:sz w:val="24"/>
          <w:szCs w:val="24"/>
        </w:rPr>
        <w:fldChar w:fldCharType="begin"/>
      </w:r>
      <w:r>
        <w:rPr>
          <w:sz w:val="24"/>
          <w:szCs w:val="24"/>
        </w:rPr>
        <w:instrText xml:space="preserve"> PAGEREF _Toc28983 \h </w:instrText>
      </w:r>
      <w:r>
        <w:rPr>
          <w:sz w:val="24"/>
          <w:szCs w:val="24"/>
        </w:rPr>
        <w:fldChar w:fldCharType="separate"/>
      </w:r>
      <w:r>
        <w:rPr>
          <w:sz w:val="24"/>
          <w:szCs w:val="24"/>
        </w:rPr>
        <w:t>45</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"_Toc16176" </w:instrText>
      </w:r>
      <w:r>
        <w:rPr>
          <w:sz w:val="24"/>
          <w:szCs w:val="24"/>
        </w:rPr>
        <w:fldChar w:fldCharType="separate"/>
      </w:r>
      <w:r>
        <w:rPr>
          <w:rFonts w:hint="eastAsia" w:ascii="宋体" w:hAnsi="宋体" w:cs="宋体"/>
          <w:sz w:val="24"/>
          <w:szCs w:val="24"/>
        </w:rPr>
        <w:t>3.3质量保证及售后服务</w:t>
      </w:r>
      <w:r>
        <w:rPr>
          <w:sz w:val="24"/>
          <w:szCs w:val="24"/>
        </w:rPr>
        <w:tab/>
      </w:r>
      <w:r>
        <w:rPr>
          <w:sz w:val="24"/>
          <w:szCs w:val="24"/>
        </w:rPr>
        <w:fldChar w:fldCharType="begin"/>
      </w:r>
      <w:r>
        <w:rPr>
          <w:sz w:val="24"/>
          <w:szCs w:val="24"/>
        </w:rPr>
        <w:instrText xml:space="preserve"> PAGEREF _Toc16176 \h </w:instrText>
      </w:r>
      <w:r>
        <w:rPr>
          <w:sz w:val="24"/>
          <w:szCs w:val="24"/>
        </w:rPr>
        <w:fldChar w:fldCharType="separate"/>
      </w:r>
      <w:r>
        <w:rPr>
          <w:sz w:val="24"/>
          <w:szCs w:val="24"/>
        </w:rPr>
        <w:t>46</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"_Toc24187" </w:instrText>
      </w:r>
      <w:r>
        <w:rPr>
          <w:sz w:val="24"/>
          <w:szCs w:val="24"/>
        </w:rPr>
        <w:fldChar w:fldCharType="separate"/>
      </w:r>
      <w:r>
        <w:rPr>
          <w:rFonts w:hint="eastAsia" w:ascii="宋体" w:hAnsi="宋体" w:cs="宋体"/>
          <w:sz w:val="24"/>
          <w:szCs w:val="24"/>
        </w:rPr>
        <w:t>3.4付款方式</w:t>
      </w:r>
      <w:r>
        <w:rPr>
          <w:sz w:val="24"/>
          <w:szCs w:val="24"/>
        </w:rPr>
        <w:tab/>
      </w:r>
      <w:r>
        <w:rPr>
          <w:sz w:val="24"/>
          <w:szCs w:val="24"/>
        </w:rPr>
        <w:fldChar w:fldCharType="begin"/>
      </w:r>
      <w:r>
        <w:rPr>
          <w:sz w:val="24"/>
          <w:szCs w:val="24"/>
        </w:rPr>
        <w:instrText xml:space="preserve"> PAGEREF _Toc24187 \h </w:instrText>
      </w:r>
      <w:r>
        <w:rPr>
          <w:sz w:val="24"/>
          <w:szCs w:val="24"/>
        </w:rPr>
        <w:fldChar w:fldCharType="separate"/>
      </w:r>
      <w:r>
        <w:rPr>
          <w:sz w:val="24"/>
          <w:szCs w:val="24"/>
        </w:rPr>
        <w:t>47</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"_Toc31012" </w:instrText>
      </w:r>
      <w:r>
        <w:rPr>
          <w:sz w:val="24"/>
          <w:szCs w:val="24"/>
        </w:rPr>
        <w:fldChar w:fldCharType="separate"/>
      </w:r>
      <w:r>
        <w:rPr>
          <w:rFonts w:hint="eastAsia" w:ascii="宋体" w:hAnsi="宋体" w:cs="宋体"/>
          <w:sz w:val="24"/>
          <w:szCs w:val="24"/>
        </w:rPr>
        <w:t>3.5知识产权</w:t>
      </w:r>
      <w:r>
        <w:rPr>
          <w:sz w:val="24"/>
          <w:szCs w:val="24"/>
        </w:rPr>
        <w:tab/>
      </w:r>
      <w:r>
        <w:rPr>
          <w:sz w:val="24"/>
          <w:szCs w:val="24"/>
        </w:rPr>
        <w:fldChar w:fldCharType="begin"/>
      </w:r>
      <w:r>
        <w:rPr>
          <w:sz w:val="24"/>
          <w:szCs w:val="24"/>
        </w:rPr>
        <w:instrText xml:space="preserve"> PAGEREF _Toc31012 \h </w:instrText>
      </w:r>
      <w:r>
        <w:rPr>
          <w:sz w:val="24"/>
          <w:szCs w:val="24"/>
        </w:rPr>
        <w:fldChar w:fldCharType="separate"/>
      </w:r>
      <w:r>
        <w:rPr>
          <w:sz w:val="24"/>
          <w:szCs w:val="24"/>
        </w:rPr>
        <w:t>48</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"_Toc17147" </w:instrText>
      </w:r>
      <w:r>
        <w:rPr>
          <w:sz w:val="24"/>
          <w:szCs w:val="24"/>
        </w:rPr>
        <w:fldChar w:fldCharType="separate"/>
      </w:r>
      <w:r>
        <w:rPr>
          <w:rFonts w:hint="eastAsia" w:ascii="宋体" w:hAnsi="宋体" w:cs="宋体"/>
          <w:sz w:val="24"/>
          <w:szCs w:val="24"/>
        </w:rPr>
        <w:t>3.6其他</w:t>
      </w:r>
      <w:r>
        <w:rPr>
          <w:sz w:val="24"/>
          <w:szCs w:val="24"/>
        </w:rPr>
        <w:tab/>
      </w:r>
      <w:r>
        <w:rPr>
          <w:sz w:val="24"/>
          <w:szCs w:val="24"/>
        </w:rPr>
        <w:fldChar w:fldCharType="begin"/>
      </w:r>
      <w:r>
        <w:rPr>
          <w:sz w:val="24"/>
          <w:szCs w:val="24"/>
        </w:rPr>
        <w:instrText xml:space="preserve"> PAGEREF _Toc17147 \h </w:instrText>
      </w:r>
      <w:r>
        <w:rPr>
          <w:sz w:val="24"/>
          <w:szCs w:val="24"/>
        </w:rPr>
        <w:fldChar w:fldCharType="separate"/>
      </w:r>
      <w:r>
        <w:rPr>
          <w:sz w:val="24"/>
          <w:szCs w:val="24"/>
        </w:rPr>
        <w:t>48</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"_Toc19890" </w:instrText>
      </w:r>
      <w:r>
        <w:rPr>
          <w:sz w:val="24"/>
          <w:szCs w:val="24"/>
        </w:rPr>
        <w:fldChar w:fldCharType="separate"/>
      </w:r>
      <w:r>
        <w:rPr>
          <w:rFonts w:hint="eastAsia" w:ascii="黑体" w:hAnsi="黑体" w:eastAsia="黑体" w:cs="黑体"/>
          <w:bCs/>
          <w:sz w:val="24"/>
          <w:szCs w:val="24"/>
        </w:rPr>
        <w:t>第五章 投标文件格式</w:t>
      </w:r>
      <w:r>
        <w:rPr>
          <w:sz w:val="24"/>
          <w:szCs w:val="24"/>
        </w:rPr>
        <w:tab/>
      </w:r>
      <w:r>
        <w:rPr>
          <w:sz w:val="24"/>
          <w:szCs w:val="24"/>
        </w:rPr>
        <w:fldChar w:fldCharType="begin"/>
      </w:r>
      <w:r>
        <w:rPr>
          <w:sz w:val="24"/>
          <w:szCs w:val="24"/>
        </w:rPr>
        <w:instrText xml:space="preserve"> PAGEREF _Toc19890 \h </w:instrText>
      </w:r>
      <w:r>
        <w:rPr>
          <w:sz w:val="24"/>
          <w:szCs w:val="24"/>
        </w:rPr>
        <w:fldChar w:fldCharType="separate"/>
      </w:r>
      <w:r>
        <w:rPr>
          <w:sz w:val="24"/>
          <w:szCs w:val="24"/>
        </w:rPr>
        <w:t>49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"_Toc5067" </w:instrText>
      </w:r>
      <w:r>
        <w:rPr>
          <w:sz w:val="24"/>
          <w:szCs w:val="24"/>
        </w:rPr>
        <w:fldChar w:fldCharType="separate"/>
      </w:r>
      <w:r>
        <w:rPr>
          <w:rFonts w:hint="eastAsia" w:ascii="宋体" w:hAnsi="宋体" w:cs="宋体"/>
          <w:sz w:val="24"/>
          <w:szCs w:val="24"/>
        </w:rPr>
        <w:t>第一节 投标文件封面示例</w:t>
      </w:r>
      <w:r>
        <w:rPr>
          <w:sz w:val="24"/>
          <w:szCs w:val="24"/>
        </w:rPr>
        <w:tab/>
      </w:r>
      <w:r>
        <w:rPr>
          <w:sz w:val="24"/>
          <w:szCs w:val="24"/>
        </w:rPr>
        <w:fldChar w:fldCharType="begin"/>
      </w:r>
      <w:r>
        <w:rPr>
          <w:sz w:val="24"/>
          <w:szCs w:val="24"/>
        </w:rPr>
        <w:instrText xml:space="preserve"> PAGEREF _Toc5067 \h </w:instrText>
      </w:r>
      <w:r>
        <w:rPr>
          <w:sz w:val="24"/>
          <w:szCs w:val="24"/>
        </w:rPr>
        <w:fldChar w:fldCharType="separate"/>
      </w:r>
      <w:r>
        <w:rPr>
          <w:sz w:val="24"/>
          <w:szCs w:val="24"/>
        </w:rPr>
        <w:t>49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"_Toc29172" </w:instrText>
      </w:r>
      <w:r>
        <w:rPr>
          <w:sz w:val="24"/>
          <w:szCs w:val="24"/>
        </w:rPr>
        <w:fldChar w:fldCharType="separate"/>
      </w:r>
      <w:r>
        <w:rPr>
          <w:rFonts w:hint="eastAsia" w:ascii="宋体" w:hAnsi="宋体" w:cs="宋体"/>
          <w:sz w:val="24"/>
          <w:szCs w:val="24"/>
        </w:rPr>
        <w:t>第二节 投标文件目录示例</w:t>
      </w:r>
      <w:r>
        <w:rPr>
          <w:sz w:val="24"/>
          <w:szCs w:val="24"/>
        </w:rPr>
        <w:tab/>
      </w:r>
      <w:r>
        <w:rPr>
          <w:sz w:val="24"/>
          <w:szCs w:val="24"/>
        </w:rPr>
        <w:fldChar w:fldCharType="begin"/>
      </w:r>
      <w:r>
        <w:rPr>
          <w:sz w:val="24"/>
          <w:szCs w:val="24"/>
        </w:rPr>
        <w:instrText xml:space="preserve"> PAGEREF _Toc29172 \h </w:instrText>
      </w:r>
      <w:r>
        <w:rPr>
          <w:sz w:val="24"/>
          <w:szCs w:val="24"/>
        </w:rPr>
        <w:fldChar w:fldCharType="separate"/>
      </w:r>
      <w:r>
        <w:rPr>
          <w:sz w:val="24"/>
          <w:szCs w:val="24"/>
        </w:rPr>
        <w:t>50</w:t>
      </w:r>
      <w:r>
        <w:rPr>
          <w:sz w:val="24"/>
          <w:szCs w:val="24"/>
        </w:rPr>
        <w:fldChar w:fldCharType="end"/>
      </w:r>
      <w:r>
        <w:rPr>
          <w:sz w:val="24"/>
          <w:szCs w:val="24"/>
        </w:rPr>
        <w:fldChar w:fldCharType="end"/>
      </w:r>
    </w:p>
    <w:p>
      <w:pPr>
        <w:rPr>
          <w:rFonts w:ascii="宋体" w:hAnsi="宋体" w:cs="宋体"/>
          <w:bCs/>
        </w:rPr>
      </w:pPr>
      <w:r>
        <w:rPr>
          <w:rFonts w:ascii="宋体" w:hAnsi="宋体" w:cs="宋体"/>
          <w:bCs/>
          <w:sz w:val="24"/>
          <w:szCs w:val="24"/>
        </w:rPr>
        <w:fldChar w:fldCharType="end"/>
      </w:r>
    </w:p>
    <w:p/>
    <w:p/>
    <w:p/>
    <w:p/>
    <w:p/>
    <w:p>
      <w:pPr>
        <w:pStyle w:val="10"/>
        <w:numPr>
          <w:ilvl w:val="0"/>
          <w:numId w:val="0"/>
        </w:numPr>
        <w:rPr>
          <w:rFonts w:hAnsi="黑体" w:cs="黑体"/>
          <w:bCs/>
          <w:sz w:val="32"/>
          <w:szCs w:val="32"/>
        </w:rPr>
      </w:pPr>
    </w:p>
    <w:p>
      <w:pPr>
        <w:pStyle w:val="10"/>
        <w:numPr>
          <w:ilvl w:val="0"/>
          <w:numId w:val="0"/>
        </w:numPr>
        <w:rPr>
          <w:rFonts w:hAnsi="黑体" w:cs="黑体"/>
          <w:bCs/>
          <w:sz w:val="32"/>
          <w:szCs w:val="32"/>
        </w:rPr>
      </w:pPr>
    </w:p>
    <w:p>
      <w:pPr>
        <w:rPr>
          <w:rFonts w:ascii="黑体" w:hAnsi="黑体" w:eastAsia="黑体" w:cs="黑体"/>
          <w:bCs/>
          <w:sz w:val="32"/>
          <w:szCs w:val="32"/>
        </w:rPr>
      </w:pPr>
    </w:p>
    <w:p>
      <w:pPr>
        <w:pStyle w:val="4"/>
        <w:bidi w:val="0"/>
        <w:jc w:val="center"/>
        <w:rPr>
          <w:rFonts w:hint="eastAsia" w:ascii="黑体" w:hAnsi="黑体" w:eastAsia="黑体" w:cs="黑体"/>
          <w:bCs/>
          <w:sz w:val="32"/>
          <w:szCs w:val="32"/>
        </w:rPr>
        <w:sectPr>
          <w:headerReference r:id="rId3" w:type="default"/>
          <w:footerReference r:id="rId4" w:type="default"/>
          <w:pgSz w:w="11906" w:h="16838"/>
          <w:pgMar w:top="1134" w:right="1418" w:bottom="1134" w:left="1418" w:header="851" w:footer="992" w:gutter="0"/>
          <w:cols w:space="720" w:num="1"/>
          <w:docGrid w:linePitch="312" w:charSpace="0"/>
        </w:sectPr>
      </w:pPr>
      <w:bookmarkStart w:id="0" w:name="_Toc12782"/>
      <w:bookmarkStart w:id="1" w:name="_Toc1076"/>
    </w:p>
    <w:p>
      <w:pPr>
        <w:pStyle w:val="4"/>
        <w:bidi w:val="0"/>
        <w:jc w:val="center"/>
        <w:rPr>
          <w:rFonts w:hint="eastAsia" w:ascii="黑体" w:hAnsi="黑体" w:eastAsia="黑体" w:cs="黑体"/>
          <w:bCs/>
          <w:sz w:val="32"/>
          <w:szCs w:val="32"/>
        </w:rPr>
      </w:pPr>
      <w:r>
        <w:rPr>
          <w:rFonts w:hint="eastAsia" w:ascii="黑体" w:hAnsi="黑体" w:eastAsia="黑体" w:cs="黑体"/>
          <w:bCs/>
          <w:sz w:val="32"/>
          <w:szCs w:val="32"/>
        </w:rPr>
        <w:t xml:space="preserve">第一章 </w:t>
      </w:r>
      <w:bookmarkEnd w:id="0"/>
      <w:bookmarkEnd w:id="1"/>
      <w:r>
        <w:rPr>
          <w:rFonts w:hint="eastAsia" w:ascii="黑体" w:hAnsi="黑体" w:eastAsia="黑体" w:cs="黑体"/>
          <w:bCs/>
          <w:sz w:val="32"/>
          <w:szCs w:val="32"/>
          <w:lang w:val="en-US" w:eastAsia="zh-CN"/>
        </w:rPr>
        <w:t>招标</w:t>
      </w:r>
      <w:r>
        <w:rPr>
          <w:rFonts w:hint="eastAsia" w:ascii="黑体" w:hAnsi="黑体" w:eastAsia="黑体" w:cs="黑体"/>
          <w:bCs/>
          <w:sz w:val="32"/>
          <w:szCs w:val="32"/>
        </w:rPr>
        <w:t>公告</w:t>
      </w:r>
    </w:p>
    <w:p>
      <w:pPr>
        <w:pStyle w:val="4"/>
        <w:bidi w:val="0"/>
        <w:jc w:val="center"/>
        <w:rPr>
          <w:rFonts w:hint="eastAsia"/>
          <w:sz w:val="36"/>
          <w:szCs w:val="20"/>
        </w:rPr>
      </w:pPr>
      <w:bookmarkStart w:id="2" w:name="_Toc27824"/>
      <w:r>
        <w:rPr>
          <w:rFonts w:hint="eastAsia"/>
          <w:sz w:val="36"/>
          <w:szCs w:val="20"/>
          <w:lang w:val="en-US" w:eastAsia="zh-CN"/>
        </w:rPr>
        <w:t>阿勒泰地区2023年动物疫苗采购项目招标</w:t>
      </w:r>
      <w:r>
        <w:rPr>
          <w:rFonts w:hint="eastAsia"/>
          <w:sz w:val="36"/>
          <w:szCs w:val="20"/>
        </w:rPr>
        <w:t>公告</w:t>
      </w:r>
    </w:p>
    <w:tbl>
      <w:tblPr>
        <w:tblStyle w:val="20"/>
        <w:tblW w:w="93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9331" w:type="dxa"/>
            <w:tcBorders>
              <w:top w:val="single" w:color="auto" w:sz="4" w:space="0"/>
              <w:left w:val="single" w:color="auto" w:sz="4" w:space="0"/>
              <w:bottom w:val="single" w:color="auto" w:sz="4" w:space="0"/>
              <w:right w:val="single" w:color="auto" w:sz="4" w:space="0"/>
            </w:tcBorders>
            <w:noWrap/>
            <w:vAlign w:val="center"/>
          </w:tcPr>
          <w:p>
            <w:pPr>
              <w:pStyle w:val="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项目概况</w:t>
            </w:r>
          </w:p>
          <w:p>
            <w:pPr>
              <w:pStyle w:val="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阿勒泰地区2023年动物疫苗采购项目招标项目的潜在投标人应在政采云平台线上获取获取招标文件，并于2023年03月2</w:t>
            </w:r>
            <w:r>
              <w:rPr>
                <w:rFonts w:hint="eastAsia" w:cs="宋体"/>
                <w:sz w:val="24"/>
                <w:szCs w:val="24"/>
                <w:lang w:val="en-US" w:eastAsia="zh-CN"/>
              </w:rPr>
              <w:t>4</w:t>
            </w:r>
            <w:r>
              <w:rPr>
                <w:rFonts w:hint="eastAsia" w:ascii="宋体" w:hAnsi="宋体" w:eastAsia="宋体" w:cs="宋体"/>
                <w:sz w:val="24"/>
                <w:szCs w:val="24"/>
              </w:rPr>
              <w:t>日 10:30（北京时间）前递交投标文件。</w:t>
            </w:r>
          </w:p>
        </w:tc>
      </w:tr>
    </w:tbl>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27"/>
          <w:szCs w:val="27"/>
        </w:rPr>
      </w:pPr>
      <w:r>
        <w:rPr>
          <w:rStyle w:val="23"/>
          <w:rFonts w:ascii="黑体" w:hAnsi="宋体" w:eastAsia="黑体" w:cs="黑体"/>
          <w:i w:val="0"/>
          <w:iCs w:val="0"/>
          <w:caps w:val="0"/>
          <w:color w:val="000000"/>
          <w:spacing w:val="0"/>
          <w:sz w:val="27"/>
          <w:szCs w:val="27"/>
        </w:rPr>
        <w:t>一、项目基本情况</w:t>
      </w:r>
    </w:p>
    <w:p>
      <w:pPr>
        <w:pStyle w:val="19"/>
        <w:keepNext w:val="0"/>
        <w:keepLines w:val="0"/>
        <w:widowControl/>
        <w:suppressLineNumbers w:val="0"/>
        <w:spacing w:before="75" w:beforeAutospacing="0" w:after="75" w:afterAutospacing="0" w:line="300" w:lineRule="atLeast"/>
        <w:ind w:left="0" w:right="0" w:firstLine="420"/>
      </w:pPr>
      <w:r>
        <w:rPr>
          <w:rFonts w:ascii="仿宋" w:hAnsi="仿宋" w:eastAsia="仿宋" w:cs="仿宋"/>
          <w:i w:val="0"/>
          <w:iCs w:val="0"/>
          <w:caps w:val="0"/>
          <w:color w:val="000000"/>
          <w:spacing w:val="0"/>
          <w:sz w:val="27"/>
          <w:szCs w:val="27"/>
        </w:rPr>
        <w:t>项目编号：</w:t>
      </w:r>
      <w:r>
        <w:rPr>
          <w:rFonts w:hint="eastAsia" w:ascii="仿宋" w:hAnsi="仿宋" w:eastAsia="仿宋" w:cs="仿宋"/>
          <w:i w:val="0"/>
          <w:iCs w:val="0"/>
          <w:caps w:val="0"/>
          <w:color w:val="000000"/>
          <w:spacing w:val="0"/>
          <w:sz w:val="27"/>
          <w:szCs w:val="27"/>
        </w:rPr>
        <w:t>ZHZB2023009</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项目名称：阿勒泰地区2023年动物疫苗采购项目</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采购方式：公开招标</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预算金额（元）：10929824.6</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最高限价（元）：1890850,765850,772900,371100,1849600,69580,80689.6,487773,185484,723800,478100,643300,452900,338250,878436,264407,676805</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采购需求：</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标项一</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标项名称:阿勒泰地区2023年动物疫苗采购项目（一包）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预算金额（元）:1890850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标项二</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标项名称:阿勒泰地区2023年动物疫苗采购项目（二包）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预算金额（元）:765850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标项名称:阿勒泰地区2023年动物疫苗采购项目（三包）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预算金额（元）:772900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标项四</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标项名称:阿勒泰地区2023年动物疫苗采购项目（四包）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预算金额（元）:371100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标项五</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标项名称:阿勒泰地区2023年动物疫苗采购项目（五包）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预算金额（元）:1849600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标项六</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标项名称:阿勒泰地区2023年动物疫苗采购项目（六包）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预算金额（元）:69580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简要规格描述或项目基本概况介绍、用途：猪O型口蹄疫灭火苗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标项七</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标项名称:阿勒泰地区2023年动物疫苗采购项目（七包）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预算金额（元）:80689.6</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简要规格描述或项目基本概况介绍、用途：高致病性禽流感</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标项八</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标项名称:阿勒泰地区2023年动物疫苗采购项目（八包）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预算金额（元）:487773</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简要规格描述或项目基本概况介绍、用途：小反刍、羊痘二联苗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标项九</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标项名称:阿勒泰地区2023年动物疫苗采购项目（九包）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预算金额（元）:185484</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简要规格描述或项目基本概况介绍、用途：布鲁氏菌病活疫苗（M5株或M5-90株）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预算金额（元）:723800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标项十一</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标项名称:阿勒泰地区2023年动物疫苗采购项目（十一包）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预算金额（元）:478100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标项十二</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标项名称:阿勒泰地区2023年动物疫苗采购项目（十二包）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预算金额（元）:643300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标项名称:阿勒泰地区2023年动物疫苗采购项目（十三包）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预算金额（元）:452900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标项十四</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标项名称:阿勒泰地区2023年动物疫苗采购项目（十四包）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预算金额（元）:338250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简要规格描述或项目基本概况介绍、用途：山羊痘活疫苗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标项十五</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标项名称:阿勒泰地区2023年动物疫苗采购项目（十五包）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预算金额（元）:878436</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简要规格描述或项目基本概况介绍、用途：气肿疽灭活疫苗、无荚膜炭疽芽孢疫苗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标项十六</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标项名称:阿勒泰地区2023年动物疫苗采购项目（十六包）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预算金额（元）:264407</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简要规格描述或项目基本概况介绍、用途：羊快疫、猝疽、羔羊痢疾、肠毒血症三联四防灭活疫苗等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标项十七</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标项名称:阿勒泰地区2023年动物疫苗采购项目（十七包）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预算金额（元）:676805</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简要规格描述或项目基本概况介绍、用途：新城疫等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合同履约期限：标项 1、2、3、4、5、6、7、8、9、10、11、12、13、14、15、16、17，具体详见招标文件</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本项目（否）接受联合体投标。</w:t>
      </w:r>
    </w:p>
    <w:p>
      <w:pPr>
        <w:pStyle w:val="19"/>
        <w:keepNext w:val="0"/>
        <w:keepLines w:val="0"/>
        <w:widowControl/>
        <w:suppressLineNumbers w:val="0"/>
        <w:spacing w:before="75" w:beforeAutospacing="0" w:after="75" w:afterAutospacing="0" w:line="300" w:lineRule="atLeast"/>
        <w:ind w:left="0" w:right="0"/>
      </w:pPr>
    </w:p>
    <w:p>
      <w:pPr>
        <w:pStyle w:val="19"/>
        <w:keepNext w:val="0"/>
        <w:keepLines w:val="0"/>
        <w:widowControl/>
        <w:suppressLineNumbers w:val="0"/>
        <w:spacing w:before="75" w:beforeAutospacing="0" w:after="75" w:afterAutospacing="0" w:line="300" w:lineRule="atLeast"/>
        <w:ind w:left="0" w:right="0"/>
      </w:pPr>
      <w:r>
        <w:rPr>
          <w:rStyle w:val="23"/>
          <w:rFonts w:ascii="黑体" w:hAnsi="宋体" w:eastAsia="黑体" w:cs="黑体"/>
          <w:i w:val="0"/>
          <w:iCs w:val="0"/>
          <w:caps w:val="0"/>
          <w:color w:val="000000"/>
          <w:spacing w:val="0"/>
          <w:sz w:val="27"/>
          <w:szCs w:val="27"/>
        </w:rPr>
        <w:t>二、申请人的资格要求：</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1.满足《中华人民共和国政府采购法》第二十二条规定；</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2.落实政府采购政策需满足的资格要求：无</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3.本项目的特定资格要求：</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【标项1、2、3、4、5、6、7、8、9、10、11、12、13、14、15、16、17】</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（1）法人代表或其委托代理人应提供本人身份证原件的，委托代理人还应提供《法定代表人身份证明》及《法人代表授权委托书》原件；</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（2）有效经年检的三证合一营业执照原件；</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（3）供应商如在“信用中国”网站、中国政府采购网被列入严重违法失信行为记录名单的（尚在处罚期内的），将拒绝其参加本次政府采购活动﹙投标人网上自行打印后加盖投标单位公章﹚；</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（4）投标人具有有效的《兽药经营许可证》及《兽药生产许可证》原件；</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（5）兽药产品批准文号；有效期内的兽药GMP证书；</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（6）相互关联存在实际控股、管理关系的两个企业，不得参加同一项目的投标；</w:t>
      </w:r>
    </w:p>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27"/>
          <w:szCs w:val="27"/>
        </w:rPr>
      </w:pPr>
      <w:r>
        <w:rPr>
          <w:rStyle w:val="23"/>
          <w:rFonts w:ascii="黑体" w:hAnsi="宋体" w:eastAsia="黑体" w:cs="黑体"/>
          <w:i w:val="0"/>
          <w:iCs w:val="0"/>
          <w:caps w:val="0"/>
          <w:color w:val="000000"/>
          <w:spacing w:val="0"/>
          <w:sz w:val="27"/>
          <w:szCs w:val="27"/>
        </w:rPr>
        <w:t>三、获取招标文件</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时间：2023年03月04日至2023年03月10日，每天上午10:30至14:00，下午16:00至19:30（北京时间，法定节假日除外）</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地点：线下获取地址：新疆阿勒泰地区阿勒泰市东风路2区将军城三期1栋</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方式：现场获取或线上获取（线上获取将需要提交的相关资料以PDF彩色扫描件加盖公章的文件发送至邮箱：825549022@qq.com）</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售价（元）：0</w:t>
      </w:r>
    </w:p>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27"/>
          <w:szCs w:val="27"/>
        </w:rPr>
      </w:pPr>
      <w:r>
        <w:rPr>
          <w:rStyle w:val="23"/>
          <w:rFonts w:ascii="黑体" w:hAnsi="宋体" w:eastAsia="黑体" w:cs="黑体"/>
          <w:i w:val="0"/>
          <w:iCs w:val="0"/>
          <w:caps w:val="0"/>
          <w:color w:val="000000"/>
          <w:spacing w:val="0"/>
          <w:sz w:val="27"/>
          <w:szCs w:val="27"/>
        </w:rPr>
        <w:t>四、提交投标文件截止时间、开标时间和地点</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提交投标文件截止时间：2023年03月24日 10:30（北京时间）</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投标地点：新疆阿勒泰地区阿勒泰市东风路2区将军城三期1栋2楼开标厅</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开标时间：2023年03月24日 10:30（北京时间）</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开标地点：新疆鑫诚正昊项目咨询有限公司2楼开标厅</w:t>
      </w:r>
    </w:p>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31"/>
          <w:szCs w:val="31"/>
        </w:rPr>
      </w:pPr>
      <w:r>
        <w:rPr>
          <w:rStyle w:val="23"/>
          <w:rFonts w:ascii="黑体" w:hAnsi="宋体" w:eastAsia="黑体" w:cs="黑体"/>
          <w:i w:val="0"/>
          <w:iCs w:val="0"/>
          <w:caps w:val="0"/>
          <w:color w:val="000000"/>
          <w:spacing w:val="0"/>
          <w:sz w:val="27"/>
          <w:szCs w:val="27"/>
        </w:rPr>
        <w:t>五、公告期限</w:t>
      </w:r>
    </w:p>
    <w:p>
      <w:pPr>
        <w:pStyle w:val="19"/>
        <w:keepNext w:val="0"/>
        <w:keepLines w:val="0"/>
        <w:widowControl/>
        <w:suppressLineNumbers w:val="0"/>
        <w:spacing w:before="75" w:beforeAutospacing="0" w:after="75" w:afterAutospacing="0"/>
        <w:ind w:left="0" w:right="0" w:firstLine="420"/>
        <w:rPr>
          <w:rFonts w:ascii="sans-serif" w:hAnsi="sans-serif" w:eastAsia="sans-serif" w:cs="sans-serif"/>
          <w:i w:val="0"/>
          <w:iCs w:val="0"/>
          <w:caps w:val="0"/>
          <w:color w:val="000000"/>
          <w:spacing w:val="0"/>
          <w:sz w:val="24"/>
          <w:szCs w:val="24"/>
        </w:rPr>
      </w:pPr>
      <w:r>
        <w:rPr>
          <w:rFonts w:hint="eastAsia" w:ascii="仿宋" w:hAnsi="仿宋" w:eastAsia="仿宋" w:cs="仿宋"/>
          <w:i w:val="0"/>
          <w:iCs w:val="0"/>
          <w:caps w:val="0"/>
          <w:color w:val="000000"/>
          <w:spacing w:val="0"/>
          <w:sz w:val="27"/>
          <w:szCs w:val="27"/>
        </w:rPr>
        <w:t>自本公告发布之日起5个工作日。</w:t>
      </w:r>
    </w:p>
    <w:p>
      <w:pPr>
        <w:pStyle w:val="19"/>
        <w:keepNext w:val="0"/>
        <w:keepLines w:val="0"/>
        <w:widowControl/>
        <w:suppressLineNumbers w:val="0"/>
        <w:spacing w:before="255" w:beforeAutospacing="0" w:after="255" w:afterAutospacing="0" w:line="300" w:lineRule="atLeast"/>
        <w:ind w:left="0" w:right="0" w:firstLine="0"/>
        <w:jc w:val="both"/>
        <w:rPr>
          <w:rFonts w:hint="default" w:ascii="黑体" w:hAnsi="宋体" w:eastAsia="黑体" w:cs="黑体"/>
          <w:i w:val="0"/>
          <w:iCs w:val="0"/>
          <w:caps w:val="0"/>
          <w:color w:val="000000"/>
          <w:spacing w:val="0"/>
          <w:sz w:val="27"/>
          <w:szCs w:val="27"/>
        </w:rPr>
      </w:pPr>
      <w:r>
        <w:rPr>
          <w:rStyle w:val="23"/>
          <w:rFonts w:hint="default" w:ascii="黑体" w:hAnsi="宋体" w:eastAsia="黑体" w:cs="黑体"/>
          <w:i w:val="0"/>
          <w:iCs w:val="0"/>
          <w:caps w:val="0"/>
          <w:color w:val="000000"/>
          <w:spacing w:val="0"/>
          <w:sz w:val="27"/>
          <w:szCs w:val="27"/>
        </w:rPr>
        <w:t>六、其他补充事宜</w:t>
      </w:r>
    </w:p>
    <w:p>
      <w:pPr>
        <w:pStyle w:val="19"/>
        <w:keepNext w:val="0"/>
        <w:keepLines w:val="0"/>
        <w:widowControl/>
        <w:suppressLineNumbers w:val="0"/>
        <w:spacing w:before="75" w:beforeAutospacing="0" w:after="75" w:afterAutospacing="0" w:line="315" w:lineRule="atLeast"/>
        <w:ind w:left="0" w:right="0" w:firstLine="420"/>
        <w:rPr>
          <w:rFonts w:hint="default" w:ascii="sans-serif" w:hAnsi="sans-serif" w:eastAsia="sans-serif" w:cs="sans-serif"/>
          <w:i w:val="0"/>
          <w:iCs w:val="0"/>
          <w:caps w:val="0"/>
          <w:color w:val="000000"/>
          <w:spacing w:val="0"/>
          <w:sz w:val="24"/>
          <w:szCs w:val="24"/>
        </w:rPr>
      </w:pPr>
      <w:r>
        <w:rPr>
          <w:rFonts w:hint="eastAsia" w:ascii="仿宋" w:hAnsi="仿宋" w:eastAsia="仿宋" w:cs="仿宋"/>
          <w:i w:val="0"/>
          <w:iCs w:val="0"/>
          <w:caps w:val="0"/>
          <w:color w:val="000000"/>
          <w:spacing w:val="0"/>
          <w:sz w:val="27"/>
          <w:szCs w:val="27"/>
        </w:rPr>
        <w:t>获取文件时需要提交的相关资料：（1）法人代表或其委托代理人身份证，委托代理人提供《法定代表人身份证明》及《法人代表授权委托书》；</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（2）有效经年检的三证合一营业执照；</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（3）供应商在“信用中国”网站、中国政府采购网关于严重违法失信行为记录名单的查询；</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（4）投标人具有有效的《兽药经营许可证》及《兽药生产许可证》；</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（5）兽药产品批准文号；有效期内的兽药GMP证书；</w:t>
      </w:r>
    </w:p>
    <w:p>
      <w:pPr>
        <w:pStyle w:val="19"/>
        <w:keepNext w:val="0"/>
        <w:keepLines w:val="0"/>
        <w:widowControl/>
        <w:suppressLineNumbers w:val="0"/>
        <w:spacing w:before="75" w:beforeAutospacing="0" w:after="75" w:afterAutospacing="0"/>
        <w:ind w:left="0" w:right="0" w:firstLine="0"/>
        <w:rPr>
          <w:rFonts w:hint="eastAsia" w:asciiTheme="minorEastAsia" w:hAnsiTheme="minorEastAsia" w:eastAsiaTheme="minorEastAsia" w:cstheme="minorEastAsia"/>
          <w:i w:val="0"/>
          <w:iCs w:val="0"/>
          <w:caps w:val="0"/>
          <w:color w:val="000000"/>
          <w:spacing w:val="0"/>
          <w:sz w:val="24"/>
          <w:szCs w:val="24"/>
        </w:rPr>
      </w:pPr>
      <w:r>
        <w:rPr>
          <w:rFonts w:hint="eastAsia" w:asciiTheme="minorEastAsia" w:hAnsiTheme="minorEastAsia" w:eastAsiaTheme="minorEastAsia" w:cstheme="minorEastAsia"/>
          <w:i w:val="0"/>
          <w:iCs w:val="0"/>
          <w:caps w:val="0"/>
          <w:color w:val="000000"/>
          <w:spacing w:val="0"/>
          <w:sz w:val="24"/>
          <w:szCs w:val="24"/>
        </w:rPr>
        <w:t>特别提示：</w:t>
      </w:r>
      <w:r>
        <w:rPr>
          <w:rFonts w:hint="eastAsia" w:asciiTheme="minorEastAsia" w:hAnsiTheme="minorEastAsia" w:eastAsiaTheme="minorEastAsia" w:cstheme="minorEastAsia"/>
          <w:i w:val="0"/>
          <w:iCs w:val="0"/>
          <w:caps w:val="0"/>
          <w:color w:val="000000"/>
          <w:spacing w:val="0"/>
          <w:sz w:val="24"/>
          <w:szCs w:val="24"/>
        </w:rPr>
        <w:br w:type="textWrapping"/>
      </w:r>
      <w:r>
        <w:rPr>
          <w:rFonts w:hint="eastAsia" w:asciiTheme="minorEastAsia" w:hAnsiTheme="minorEastAsia" w:eastAsiaTheme="minorEastAsia" w:cstheme="minorEastAsia"/>
          <w:i w:val="0"/>
          <w:iCs w:val="0"/>
          <w:caps w:val="0"/>
          <w:color w:val="000000"/>
          <w:spacing w:val="0"/>
          <w:sz w:val="24"/>
          <w:szCs w:val="24"/>
        </w:rPr>
        <w:t>1、超过200万元的货物和服务采购项目、超过400万元的工程采购项目中适宜由中小企业提供的，预留该部分采购项目预算总额的30%以上专门面向中小企业采购，其中预留给小微企业的比例不低于60%。</w:t>
      </w:r>
      <w:r>
        <w:rPr>
          <w:rFonts w:hint="eastAsia" w:asciiTheme="minorEastAsia" w:hAnsiTheme="minorEastAsia" w:eastAsiaTheme="minorEastAsia" w:cstheme="minorEastAsia"/>
          <w:i w:val="0"/>
          <w:iCs w:val="0"/>
          <w:caps w:val="0"/>
          <w:color w:val="000000"/>
          <w:spacing w:val="0"/>
          <w:sz w:val="24"/>
          <w:szCs w:val="24"/>
        </w:rPr>
        <w:br w:type="textWrapping"/>
      </w:r>
      <w:r>
        <w:rPr>
          <w:rFonts w:hint="eastAsia" w:asciiTheme="minorEastAsia" w:hAnsiTheme="minorEastAsia" w:eastAsiaTheme="minorEastAsia" w:cstheme="minorEastAsia"/>
          <w:i w:val="0"/>
          <w:iCs w:val="0"/>
          <w:caps w:val="0"/>
          <w:color w:val="000000"/>
          <w:spacing w:val="0"/>
          <w:sz w:val="24"/>
          <w:szCs w:val="24"/>
        </w:rPr>
        <w:t>2、对于未预留份额专门面向中小企业的采购项目，以及预留份额项目中的非预留部分采购包，采购人、采购代理机构应当对符合规定的小微企业报价给予10%~20%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r>
        <w:rPr>
          <w:rFonts w:hint="eastAsia" w:asciiTheme="minorEastAsia" w:hAnsiTheme="minorEastAsia" w:eastAsiaTheme="minorEastAsia" w:cstheme="minorEastAsia"/>
          <w:i w:val="0"/>
          <w:iCs w:val="0"/>
          <w:caps w:val="0"/>
          <w:color w:val="000000"/>
          <w:spacing w:val="0"/>
          <w:sz w:val="24"/>
          <w:szCs w:val="24"/>
        </w:rPr>
        <w:br w:type="textWrapping"/>
      </w:r>
      <w:r>
        <w:rPr>
          <w:rFonts w:hint="eastAsia" w:asciiTheme="minorEastAsia" w:hAnsiTheme="minorEastAsia" w:eastAsiaTheme="minorEastAsia" w:cstheme="minorEastAsia"/>
          <w:i w:val="0"/>
          <w:iCs w:val="0"/>
          <w:caps w:val="0"/>
          <w:color w:val="000000"/>
          <w:spacing w:val="0"/>
          <w:sz w:val="24"/>
          <w:szCs w:val="24"/>
        </w:rPr>
        <w:t>3、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4%~6%（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w:t>
      </w:r>
    </w:p>
    <w:p>
      <w:pPr>
        <w:pStyle w:val="19"/>
        <w:keepNext w:val="0"/>
        <w:keepLines w:val="0"/>
        <w:widowControl/>
        <w:suppressLineNumbers w:val="0"/>
        <w:spacing w:before="255" w:beforeAutospacing="0" w:after="255" w:afterAutospacing="0" w:line="480" w:lineRule="atLeast"/>
        <w:ind w:left="0" w:right="0" w:firstLine="0"/>
        <w:jc w:val="both"/>
        <w:rPr>
          <w:rFonts w:hint="default" w:ascii="黑体" w:hAnsi="宋体" w:eastAsia="黑体" w:cs="黑体"/>
          <w:i w:val="0"/>
          <w:iCs w:val="0"/>
          <w:caps w:val="0"/>
          <w:color w:val="000000"/>
          <w:spacing w:val="0"/>
          <w:sz w:val="31"/>
          <w:szCs w:val="31"/>
        </w:rPr>
      </w:pPr>
      <w:r>
        <w:rPr>
          <w:rStyle w:val="23"/>
          <w:rFonts w:hint="default" w:ascii="黑体" w:hAnsi="宋体" w:eastAsia="黑体" w:cs="黑体"/>
          <w:i w:val="0"/>
          <w:iCs w:val="0"/>
          <w:caps w:val="0"/>
          <w:color w:val="000000"/>
          <w:spacing w:val="0"/>
          <w:sz w:val="27"/>
          <w:szCs w:val="27"/>
        </w:rPr>
        <w:t>七、对本次采购提出询问，请按以下方式联系</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1.采购人信息</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名 称：</w:t>
      </w:r>
      <w:r>
        <w:rPr>
          <w:rStyle w:val="34"/>
          <w:rFonts w:hint="eastAsia" w:ascii="仿宋" w:hAnsi="仿宋" w:eastAsia="仿宋" w:cs="仿宋"/>
          <w:i w:val="0"/>
          <w:iCs w:val="0"/>
          <w:caps w:val="0"/>
          <w:color w:val="000000"/>
          <w:spacing w:val="0"/>
          <w:sz w:val="27"/>
          <w:szCs w:val="27"/>
        </w:rPr>
        <w:t>阿勒泰地区动物疾病控制与诊断中心</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地 址：阿勒泰市金山路七道巷18号</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联系方式：0906-2155826</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2.采购代理机构信息</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名 称：新疆鑫诚正昊项目咨询有限公司</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地 址：阿勒泰市团结路街道红墩路12号将军城克兰郡3期1栋</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联系方式：19990655789</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3.项目联系方式</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项目联系人：</w:t>
      </w:r>
      <w:r>
        <w:rPr>
          <w:rStyle w:val="34"/>
          <w:rFonts w:hint="eastAsia" w:ascii="仿宋" w:hAnsi="仿宋" w:eastAsia="仿宋" w:cs="仿宋"/>
          <w:i w:val="0"/>
          <w:iCs w:val="0"/>
          <w:caps w:val="0"/>
          <w:color w:val="000000"/>
          <w:spacing w:val="0"/>
          <w:sz w:val="27"/>
          <w:szCs w:val="27"/>
        </w:rPr>
        <w:t>魏少雷</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电 话：</w:t>
      </w:r>
      <w:r>
        <w:rPr>
          <w:rStyle w:val="34"/>
          <w:rFonts w:hint="eastAsia" w:ascii="仿宋" w:hAnsi="仿宋" w:eastAsia="仿宋" w:cs="仿宋"/>
          <w:i w:val="0"/>
          <w:iCs w:val="0"/>
          <w:caps w:val="0"/>
          <w:color w:val="000000"/>
          <w:spacing w:val="0"/>
          <w:sz w:val="27"/>
          <w:szCs w:val="27"/>
        </w:rPr>
        <w:t>19990655789</w:t>
      </w:r>
    </w:p>
    <w:p>
      <w:pPr>
        <w:pStyle w:val="19"/>
        <w:keepNext w:val="0"/>
        <w:keepLines w:val="0"/>
        <w:widowControl/>
        <w:suppressLineNumbers w:val="0"/>
        <w:spacing w:before="75" w:beforeAutospacing="0" w:after="75" w:afterAutospacing="0"/>
        <w:ind w:left="0" w:right="0"/>
      </w:pPr>
    </w:p>
    <w:p>
      <w:pPr>
        <w:jc w:val="center"/>
        <w:rPr>
          <w:rFonts w:hint="eastAsia" w:ascii="黑体" w:hAnsi="黑体" w:eastAsia="黑体" w:cs="黑体"/>
          <w:bCs/>
          <w:sz w:val="32"/>
          <w:szCs w:val="32"/>
        </w:rPr>
      </w:pPr>
    </w:p>
    <w:p>
      <w:pPr>
        <w:pStyle w:val="2"/>
        <w:rPr>
          <w:rFonts w:hint="eastAsia" w:ascii="黑体" w:hAnsi="黑体" w:eastAsia="黑体" w:cs="黑体"/>
          <w:bCs/>
          <w:sz w:val="32"/>
          <w:szCs w:val="32"/>
        </w:rPr>
      </w:pPr>
    </w:p>
    <w:p>
      <w:pPr>
        <w:pStyle w:val="19"/>
        <w:keepNext w:val="0"/>
        <w:keepLines w:val="0"/>
        <w:widowControl/>
        <w:suppressLineNumbers w:val="0"/>
        <w:spacing w:before="75" w:beforeAutospacing="0" w:after="75" w:afterAutospacing="0"/>
        <w:ind w:left="0" w:right="0"/>
      </w:pPr>
    </w:p>
    <w:p>
      <w:pPr>
        <w:jc w:val="center"/>
        <w:rPr>
          <w:rFonts w:hint="eastAsia" w:ascii="黑体" w:hAnsi="黑体" w:eastAsia="黑体" w:cs="黑体"/>
          <w:bCs/>
          <w:sz w:val="32"/>
          <w:szCs w:val="32"/>
        </w:rPr>
      </w:pPr>
    </w:p>
    <w:p>
      <w:pPr>
        <w:pStyle w:val="2"/>
        <w:rPr>
          <w:rFonts w:hint="eastAsia" w:ascii="黑体" w:hAnsi="黑体" w:eastAsia="黑体" w:cs="黑体"/>
          <w:bCs/>
          <w:sz w:val="32"/>
          <w:szCs w:val="32"/>
        </w:rPr>
      </w:pPr>
    </w:p>
    <w:p>
      <w:pPr>
        <w:pStyle w:val="3"/>
        <w:rPr>
          <w:rFonts w:hint="eastAsia"/>
        </w:rPr>
      </w:pPr>
    </w:p>
    <w:p>
      <w:pPr>
        <w:jc w:val="center"/>
        <w:rPr>
          <w:rFonts w:ascii="黑体" w:hAnsi="黑体" w:eastAsia="黑体" w:cs="黑体"/>
          <w:bCs/>
          <w:sz w:val="32"/>
          <w:szCs w:val="32"/>
        </w:rPr>
      </w:pPr>
      <w:r>
        <w:rPr>
          <w:rFonts w:hint="eastAsia" w:ascii="黑体" w:hAnsi="黑体" w:eastAsia="黑体" w:cs="黑体"/>
          <w:bCs/>
          <w:sz w:val="32"/>
          <w:szCs w:val="32"/>
        </w:rPr>
        <w:t>第二章投标人须知前附表</w:t>
      </w:r>
      <w:bookmarkEnd w:id="2"/>
    </w:p>
    <w:tbl>
      <w:tblPr>
        <w:tblStyle w:val="21"/>
        <w:tblW w:w="908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57" w:type="dxa"/>
          <w:left w:w="57" w:type="dxa"/>
          <w:bottom w:w="57" w:type="dxa"/>
          <w:right w:w="57" w:type="dxa"/>
        </w:tblCellMar>
      </w:tblPr>
      <w:tblGrid>
        <w:gridCol w:w="597"/>
        <w:gridCol w:w="1461"/>
        <w:gridCol w:w="70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7" w:hRule="atLeast"/>
          <w:jc w:val="center"/>
        </w:trPr>
        <w:tc>
          <w:tcPr>
            <w:tcW w:w="597" w:type="dxa"/>
            <w:vAlign w:val="center"/>
          </w:tcPr>
          <w:p>
            <w:pPr>
              <w:jc w:val="center"/>
              <w:rPr>
                <w:rFonts w:hint="eastAsia" w:ascii="宋体" w:hAnsi="宋体" w:eastAsia="宋体" w:cs="Times New Roman"/>
                <w:color w:val="auto"/>
                <w:sz w:val="24"/>
                <w:lang w:eastAsia="zh-CN"/>
              </w:rPr>
            </w:pPr>
            <w:r>
              <w:rPr>
                <w:rFonts w:hint="eastAsia" w:ascii="宋体" w:hAnsi="宋体" w:eastAsia="宋体" w:cs="Times New Roman"/>
                <w:color w:val="auto"/>
                <w:sz w:val="24"/>
                <w:lang w:eastAsia="zh-CN"/>
              </w:rPr>
              <w:t>序号</w:t>
            </w:r>
          </w:p>
        </w:tc>
        <w:tc>
          <w:tcPr>
            <w:tcW w:w="1461" w:type="dxa"/>
            <w:tcBorders>
              <w:right w:val="single" w:color="auto" w:sz="4" w:space="0"/>
            </w:tcBorders>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项  目</w:t>
            </w:r>
          </w:p>
        </w:tc>
        <w:tc>
          <w:tcPr>
            <w:tcW w:w="7022" w:type="dxa"/>
            <w:tcBorders>
              <w:left w:val="single" w:color="auto" w:sz="4" w:space="0"/>
            </w:tcBorders>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编列内容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restart"/>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采购人</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采购人名称：</w:t>
            </w:r>
            <w:r>
              <w:rPr>
                <w:rFonts w:hint="eastAsia" w:cs="宋体"/>
                <w:color w:val="auto"/>
                <w:kern w:val="0"/>
                <w:sz w:val="24"/>
                <w:szCs w:val="24"/>
                <w:lang w:val="en-US" w:eastAsia="zh-CN" w:bidi="ar-SA"/>
              </w:rPr>
              <w:t>阿勒泰地区动物疾病控制与诊断中心</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地址：阿勒泰市金山路</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default"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联系人：</w:t>
            </w:r>
            <w:r>
              <w:rPr>
                <w:rFonts w:hint="eastAsia" w:cs="宋体"/>
                <w:color w:val="auto"/>
                <w:kern w:val="0"/>
                <w:sz w:val="24"/>
                <w:szCs w:val="24"/>
                <w:lang w:val="en-US" w:eastAsia="zh-CN" w:bidi="ar-SA"/>
              </w:rPr>
              <w:t>李</w:t>
            </w:r>
            <w:r>
              <w:rPr>
                <w:rFonts w:hint="eastAsia" w:ascii="Calibri" w:hAnsi="Calibri" w:eastAsia="宋体" w:cs="宋体"/>
                <w:sz w:val="24"/>
                <w:szCs w:val="24"/>
                <w:lang w:val="en-US" w:eastAsia="zh-CN"/>
              </w:rPr>
              <w:t>鑫</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联系电话：18097520661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采购代理机构</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采购代理机构：</w:t>
            </w:r>
            <w:r>
              <w:rPr>
                <w:rFonts w:hint="eastAsia" w:cs="宋体"/>
                <w:color w:val="auto"/>
                <w:kern w:val="0"/>
                <w:sz w:val="24"/>
                <w:szCs w:val="24"/>
                <w:lang w:val="en-US" w:eastAsia="zh-CN" w:bidi="ar-SA"/>
              </w:rPr>
              <w:t>新疆鑫诚正昊项目咨询有限公司</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 xml:space="preserve">地址：新疆阿勒泰地区阿勒泰市东风路2区将军城三期1栋    </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联系人：</w:t>
            </w:r>
            <w:r>
              <w:rPr>
                <w:rFonts w:hint="eastAsia" w:cs="宋体"/>
                <w:color w:val="auto"/>
                <w:kern w:val="0"/>
                <w:sz w:val="24"/>
                <w:szCs w:val="24"/>
                <w:lang w:val="en-US" w:eastAsia="zh-CN" w:bidi="ar-SA"/>
              </w:rPr>
              <w:t>魏少雷</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ascii="宋体" w:hAnsi="宋体" w:eastAsia="宋体" w:cs="Times New Roman"/>
                <w:color w:val="auto"/>
                <w:sz w:val="24"/>
                <w:lang w:val="en-US"/>
              </w:rPr>
            </w:pPr>
            <w:r>
              <w:rPr>
                <w:rFonts w:hint="eastAsia" w:ascii="宋体" w:hAnsi="宋体" w:eastAsia="宋体" w:cs="宋体"/>
                <w:color w:val="auto"/>
                <w:kern w:val="0"/>
                <w:sz w:val="24"/>
                <w:szCs w:val="24"/>
                <w:lang w:val="en-US" w:eastAsia="zh-CN" w:bidi="ar-SA"/>
              </w:rPr>
              <w:t>联系电话：</w:t>
            </w:r>
            <w:r>
              <w:rPr>
                <w:rFonts w:hint="eastAsia" w:cs="宋体"/>
                <w:color w:val="auto"/>
                <w:kern w:val="0"/>
                <w:sz w:val="24"/>
                <w:szCs w:val="24"/>
                <w:lang w:val="en-US" w:eastAsia="zh-CN" w:bidi="ar-SA"/>
              </w:rPr>
              <w:t>19990655789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restart"/>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2</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项目名称</w:t>
            </w:r>
          </w:p>
        </w:tc>
        <w:tc>
          <w:tcPr>
            <w:tcW w:w="7022" w:type="dxa"/>
            <w:vAlign w:val="center"/>
          </w:tcPr>
          <w:p>
            <w:pPr>
              <w:jc w:val="left"/>
              <w:rPr>
                <w:rFonts w:hint="eastAsia" w:ascii="宋体" w:hAnsi="宋体" w:eastAsia="宋体" w:cs="Times New Roman"/>
                <w:color w:val="auto"/>
                <w:sz w:val="24"/>
              </w:rPr>
            </w:pPr>
            <w:r>
              <w:rPr>
                <w:rFonts w:hint="eastAsia" w:ascii="宋体" w:hAnsi="宋体" w:cs="宋体"/>
                <w:color w:val="auto"/>
                <w:kern w:val="0"/>
                <w:sz w:val="24"/>
                <w:szCs w:val="24"/>
                <w:lang w:val="en-US" w:eastAsia="zh-CN" w:bidi="ar-SA"/>
              </w:rPr>
              <w:t>阿勒泰地区2023年动物疫苗采购项目（二包）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项目编号</w:t>
            </w:r>
          </w:p>
        </w:tc>
        <w:tc>
          <w:tcPr>
            <w:tcW w:w="7022" w:type="dxa"/>
            <w:vAlign w:val="center"/>
          </w:tcPr>
          <w:p>
            <w:pPr>
              <w:jc w:val="left"/>
              <w:rPr>
                <w:rFonts w:hint="default" w:ascii="宋体" w:hAnsi="宋体" w:eastAsia="宋体" w:cs="Times New Roman"/>
                <w:color w:val="auto"/>
                <w:sz w:val="24"/>
                <w:highlight w:val="none"/>
                <w:lang w:val="en-US" w:eastAsia="zh-CN"/>
              </w:rPr>
            </w:pPr>
            <w:r>
              <w:rPr>
                <w:rFonts w:hint="eastAsia" w:ascii="宋体" w:hAnsi="宋体" w:eastAsia="宋体" w:cs="宋体"/>
                <w:color w:val="auto"/>
                <w:kern w:val="0"/>
                <w:sz w:val="24"/>
                <w:szCs w:val="24"/>
                <w:highlight w:val="none"/>
                <w:lang w:val="en-US" w:eastAsia="zh-CN" w:bidi="ar-SA"/>
              </w:rPr>
              <w:t>ZFCGA-ZHZB202</w:t>
            </w:r>
            <w:r>
              <w:rPr>
                <w:rFonts w:hint="eastAsia" w:cs="宋体"/>
                <w:color w:val="auto"/>
                <w:kern w:val="0"/>
                <w:sz w:val="24"/>
                <w:szCs w:val="24"/>
                <w:highlight w:val="none"/>
                <w:lang w:val="en-US" w:eastAsia="zh-CN" w:bidi="ar-SA"/>
              </w:rPr>
              <w:t>3009-2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项目地点</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eastAsia="宋体" w:cs="Times New Roman"/>
                <w:color w:val="auto"/>
                <w:sz w:val="24"/>
              </w:rPr>
              <w:t>新疆维吾尔自治区</w:t>
            </w:r>
            <w:r>
              <w:rPr>
                <w:rFonts w:hint="eastAsia" w:ascii="宋体" w:hAnsi="宋体" w:cs="Times New Roman"/>
                <w:color w:val="auto"/>
                <w:sz w:val="24"/>
                <w:lang w:val="en-US" w:eastAsia="zh-CN"/>
              </w:rPr>
              <w:t>阿勒泰地区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供货地点</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中标企业通过冷链运输疫苗送达至采购人指定地点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供货时间</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lang w:val="en-US" w:eastAsia="zh-CN"/>
              </w:rPr>
              <w:t>按照甲乙双方签订的合同日期执行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资金来源</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财政资金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预算金额</w:t>
            </w:r>
          </w:p>
        </w:tc>
        <w:tc>
          <w:tcPr>
            <w:tcW w:w="7022" w:type="dxa"/>
            <w:vAlign w:val="center"/>
          </w:tcPr>
          <w:p>
            <w:pPr>
              <w:jc w:val="left"/>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765850（元）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最高限价</w:t>
            </w:r>
          </w:p>
        </w:tc>
        <w:tc>
          <w:tcPr>
            <w:tcW w:w="7022" w:type="dxa"/>
            <w:vAlign w:val="center"/>
          </w:tcPr>
          <w:p>
            <w:pPr>
              <w:jc w:val="left"/>
              <w:rPr>
                <w:rFonts w:hint="default"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rPr>
              <w:t>765850（元）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lang w:eastAsia="zh-CN"/>
              </w:rPr>
            </w:pPr>
            <w:r>
              <w:rPr>
                <w:rFonts w:hint="eastAsia" w:ascii="宋体" w:hAnsi="宋体" w:cs="Times New Roman"/>
                <w:color w:val="auto"/>
                <w:sz w:val="24"/>
                <w:highlight w:val="none"/>
                <w:lang w:eastAsia="zh-CN"/>
              </w:rPr>
              <w:t>数量</w:t>
            </w:r>
          </w:p>
        </w:tc>
        <w:tc>
          <w:tcPr>
            <w:tcW w:w="7022" w:type="dxa"/>
            <w:vAlign w:val="center"/>
          </w:tcPr>
          <w:p>
            <w:pPr>
              <w:jc w:val="left"/>
              <w:rPr>
                <w:rFonts w:hint="default" w:ascii="宋体" w:hAnsi="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106.89（万头份）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货款支付</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货物到达采购人指定地点，验收完成后，支付本期款项。</w:t>
            </w:r>
            <w:r>
              <w:rPr>
                <w:rFonts w:hint="eastAsia" w:ascii="宋体" w:hAnsi="宋体" w:cs="Times New Roman"/>
                <w:color w:val="auto"/>
                <w:sz w:val="24"/>
                <w:lang w:eastAsia="zh-CN"/>
              </w:rPr>
              <w:t>（</w:t>
            </w:r>
            <w:r>
              <w:rPr>
                <w:rFonts w:hint="eastAsia" w:ascii="宋体" w:hAnsi="宋体" w:cs="Times New Roman"/>
                <w:color w:val="auto"/>
                <w:sz w:val="24"/>
                <w:lang w:val="en-US" w:eastAsia="zh-CN"/>
              </w:rPr>
              <w:t>具体以</w:t>
            </w:r>
            <w:r>
              <w:rPr>
                <w:rFonts w:hint="eastAsia" w:ascii="宋体" w:hAnsi="宋体" w:eastAsia="宋体" w:cs="Times New Roman"/>
                <w:color w:val="auto"/>
                <w:sz w:val="24"/>
              </w:rPr>
              <w:t>中标企业与最终使用单位签订合同为准</w:t>
            </w:r>
            <w:r>
              <w:rPr>
                <w:rFonts w:hint="eastAsia" w:ascii="宋体" w:hAnsi="宋体" w:cs="Times New Roman"/>
                <w:color w:val="auto"/>
                <w:sz w:val="24"/>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招标方式</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公开招标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现场踏勘</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不组织现场考察或者召开答疑会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评比办法</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本项目采用综合评估法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资格审查方式</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资格后审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3</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采购需求</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详细说明见第四章“技术标准和服务要求”。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4</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投标人的资格要求</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4.1投标人参加本项目招标采购活动应当具备以下条件：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投标人须符合《中华人民共和国政府采购法》第二十二条规定的条件，并且不属于《政府采购法》第十二条规定的回避情形；</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Times New Roman"/>
                <w:color w:val="auto"/>
                <w:sz w:val="24"/>
              </w:rPr>
            </w:pPr>
            <w:r>
              <w:rPr>
                <w:rFonts w:hint="eastAsia" w:ascii="宋体" w:hAnsi="宋体" w:eastAsia="宋体" w:cs="Times New Roman"/>
                <w:color w:val="auto"/>
                <w:sz w:val="24"/>
              </w:rPr>
              <w:t>4.2</w:t>
            </w:r>
            <w:r>
              <w:rPr>
                <w:rFonts w:hint="eastAsia" w:ascii="宋体" w:hAnsi="宋体" w:eastAsia="宋体" w:cs="Times New Roman"/>
                <w:color w:val="auto"/>
                <w:sz w:val="24"/>
                <w:lang w:val="en-US" w:eastAsia="zh-CN"/>
              </w:rPr>
              <w:t>本项目的特殊资格要求</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（1）法人代表或其委托代理人身份证原件，委托代理人提供《法定代表人身份证明》及《法人代表授权委托书》原件；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（2）有效经年检的三证合一营业执照原件；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（3）供应商如在“信用中国”网站、中国政府采购网被列入严重违法失信行为记录名单的（尚在处罚期内的），将拒绝其参加本次政府采购活动；</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（4）投标人具有有效的《兽药经营许可证》</w:t>
            </w:r>
            <w:r>
              <w:rPr>
                <w:rFonts w:hint="eastAsia" w:cs="宋体"/>
                <w:color w:val="auto"/>
                <w:kern w:val="0"/>
                <w:sz w:val="24"/>
                <w:szCs w:val="24"/>
                <w:lang w:val="en-US" w:eastAsia="zh-CN" w:bidi="ar-SA"/>
              </w:rPr>
              <w:t>及</w:t>
            </w:r>
            <w:r>
              <w:rPr>
                <w:rFonts w:hint="eastAsia" w:ascii="宋体" w:hAnsi="宋体" w:eastAsia="宋体" w:cs="宋体"/>
                <w:color w:val="auto"/>
                <w:kern w:val="0"/>
                <w:sz w:val="24"/>
                <w:szCs w:val="24"/>
                <w:lang w:val="en-US" w:eastAsia="zh-CN" w:bidi="ar-SA"/>
              </w:rPr>
              <w:t>《兽药生产许可证》原件；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（5）兽药产品批准文号；有效期内的兽药GMP证书原件；</w:t>
            </w:r>
          </w:p>
          <w:p>
            <w:pPr>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（6）相互关联存在实际控股、管理关系的两个企业，不得参加同一项目的投标；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1310" w:hRule="atLeast"/>
          <w:jc w:val="center"/>
        </w:trPr>
        <w:tc>
          <w:tcPr>
            <w:tcW w:w="597" w:type="dxa"/>
            <w:vMerge w:val="restart"/>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5</w:t>
            </w: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获取投标文件</w:t>
            </w:r>
          </w:p>
        </w:tc>
        <w:tc>
          <w:tcPr>
            <w:tcW w:w="7022" w:type="dxa"/>
            <w:vAlign w:val="center"/>
          </w:tcPr>
          <w:p>
            <w:pPr>
              <w:jc w:val="left"/>
              <w:rPr>
                <w:rFonts w:hint="default"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rPr>
              <w:t>时</w:t>
            </w:r>
            <w:r>
              <w:rPr>
                <w:rFonts w:hint="eastAsia" w:ascii="宋体" w:hAnsi="宋体" w:eastAsia="宋体" w:cs="Times New Roman"/>
                <w:color w:val="auto"/>
                <w:sz w:val="24"/>
                <w:highlight w:val="none"/>
                <w:lang w:val="en-US" w:eastAsia="zh-CN"/>
              </w:rPr>
              <w:t>间：2023年3月</w:t>
            </w:r>
            <w:r>
              <w:rPr>
                <w:rFonts w:hint="eastAsia" w:ascii="宋体" w:hAnsi="宋体" w:cs="Times New Roman"/>
                <w:color w:val="auto"/>
                <w:sz w:val="24"/>
                <w:highlight w:val="none"/>
                <w:lang w:val="en-US" w:eastAsia="zh-CN"/>
              </w:rPr>
              <w:t>4</w:t>
            </w:r>
            <w:r>
              <w:rPr>
                <w:rFonts w:hint="eastAsia" w:ascii="宋体" w:hAnsi="宋体" w:eastAsia="宋体" w:cs="Times New Roman"/>
                <w:color w:val="auto"/>
                <w:sz w:val="24"/>
                <w:highlight w:val="none"/>
                <w:lang w:val="en-US" w:eastAsia="zh-CN"/>
              </w:rPr>
              <w:t>日至2023年3月</w:t>
            </w:r>
            <w:r>
              <w:rPr>
                <w:rFonts w:hint="eastAsia" w:ascii="宋体" w:hAnsi="宋体" w:cs="Times New Roman"/>
                <w:color w:val="auto"/>
                <w:sz w:val="24"/>
                <w:highlight w:val="none"/>
                <w:lang w:val="en-US" w:eastAsia="zh-CN"/>
              </w:rPr>
              <w:t>10</w:t>
            </w:r>
            <w:r>
              <w:rPr>
                <w:rFonts w:hint="eastAsia" w:ascii="宋体" w:hAnsi="宋体" w:eastAsia="宋体" w:cs="Times New Roman"/>
                <w:color w:val="auto"/>
                <w:sz w:val="24"/>
                <w:highlight w:val="none"/>
                <w:lang w:val="en-US" w:eastAsia="zh-CN"/>
              </w:rPr>
              <w:t>日，每天上午</w:t>
            </w:r>
            <w:r>
              <w:rPr>
                <w:rFonts w:hint="eastAsia" w:ascii="宋体" w:hAnsi="宋体" w:cs="Times New Roman"/>
                <w:color w:val="auto"/>
                <w:sz w:val="24"/>
                <w:highlight w:val="none"/>
                <w:lang w:val="en-US" w:eastAsia="zh-CN"/>
              </w:rPr>
              <w:t>1</w:t>
            </w:r>
            <w:r>
              <w:rPr>
                <w:rFonts w:hint="eastAsia" w:ascii="宋体" w:hAnsi="宋体" w:eastAsia="宋体" w:cs="Times New Roman"/>
                <w:color w:val="auto"/>
                <w:sz w:val="24"/>
                <w:highlight w:val="none"/>
                <w:lang w:val="en-US" w:eastAsia="zh-CN"/>
              </w:rPr>
              <w:t>0:</w:t>
            </w:r>
            <w:r>
              <w:rPr>
                <w:rFonts w:hint="eastAsia" w:ascii="宋体" w:hAnsi="宋体" w:cs="Times New Roman"/>
                <w:color w:val="auto"/>
                <w:sz w:val="24"/>
                <w:highlight w:val="none"/>
                <w:lang w:val="en-US" w:eastAsia="zh-CN"/>
              </w:rPr>
              <w:t>3</w:t>
            </w:r>
            <w:r>
              <w:rPr>
                <w:rFonts w:hint="eastAsia" w:ascii="宋体" w:hAnsi="宋体" w:eastAsia="宋体" w:cs="Times New Roman"/>
                <w:color w:val="auto"/>
                <w:sz w:val="24"/>
                <w:highlight w:val="none"/>
                <w:lang w:val="en-US" w:eastAsia="zh-CN"/>
              </w:rPr>
              <w:t>0至1</w:t>
            </w:r>
            <w:r>
              <w:rPr>
                <w:rFonts w:hint="eastAsia" w:ascii="宋体" w:hAnsi="宋体" w:cs="Times New Roman"/>
                <w:color w:val="auto"/>
                <w:sz w:val="24"/>
                <w:highlight w:val="none"/>
                <w:lang w:val="en-US" w:eastAsia="zh-CN"/>
              </w:rPr>
              <w:t>4</w:t>
            </w:r>
            <w:r>
              <w:rPr>
                <w:rFonts w:hint="eastAsia" w:ascii="宋体" w:hAnsi="宋体" w:eastAsia="宋体" w:cs="Times New Roman"/>
                <w:color w:val="auto"/>
                <w:sz w:val="24"/>
                <w:highlight w:val="none"/>
                <w:lang w:val="en-US" w:eastAsia="zh-CN"/>
              </w:rPr>
              <w:t>:00，下午1</w:t>
            </w:r>
            <w:r>
              <w:rPr>
                <w:rFonts w:hint="eastAsia" w:ascii="宋体" w:hAnsi="宋体" w:cs="Times New Roman"/>
                <w:color w:val="auto"/>
                <w:sz w:val="24"/>
                <w:highlight w:val="none"/>
                <w:lang w:val="en-US" w:eastAsia="zh-CN"/>
              </w:rPr>
              <w:t>6</w:t>
            </w:r>
            <w:r>
              <w:rPr>
                <w:rFonts w:hint="eastAsia" w:ascii="宋体" w:hAnsi="宋体" w:eastAsia="宋体" w:cs="Times New Roman"/>
                <w:color w:val="auto"/>
                <w:sz w:val="24"/>
                <w:highlight w:val="none"/>
                <w:lang w:val="en-US" w:eastAsia="zh-CN"/>
              </w:rPr>
              <w:t>:00至</w:t>
            </w:r>
            <w:r>
              <w:rPr>
                <w:rFonts w:hint="eastAsia" w:ascii="宋体" w:hAnsi="宋体" w:cs="Times New Roman"/>
                <w:color w:val="auto"/>
                <w:sz w:val="24"/>
                <w:highlight w:val="none"/>
                <w:lang w:val="en-US" w:eastAsia="zh-CN"/>
              </w:rPr>
              <w:t>19</w:t>
            </w:r>
            <w:r>
              <w:rPr>
                <w:rFonts w:hint="eastAsia" w:ascii="宋体" w:hAnsi="宋体" w:eastAsia="宋体" w:cs="Times New Roman"/>
                <w:color w:val="auto"/>
                <w:sz w:val="24"/>
                <w:highlight w:val="none"/>
                <w:lang w:val="en-US" w:eastAsia="zh-CN"/>
              </w:rPr>
              <w:t>:</w:t>
            </w:r>
            <w:r>
              <w:rPr>
                <w:rFonts w:hint="eastAsia" w:ascii="宋体" w:hAnsi="宋体" w:cs="Times New Roman"/>
                <w:color w:val="auto"/>
                <w:sz w:val="24"/>
                <w:highlight w:val="none"/>
                <w:lang w:val="en-US" w:eastAsia="zh-CN"/>
              </w:rPr>
              <w:t>30（北京时间，法定节假日除外）</w:t>
            </w:r>
          </w:p>
          <w:p>
            <w:pPr>
              <w:jc w:val="left"/>
              <w:rPr>
                <w:rFonts w:hint="eastAsia" w:ascii="宋体" w:hAnsi="宋体" w:eastAsia="宋体" w:cs="Times New Roman"/>
                <w:color w:val="auto"/>
                <w:sz w:val="24"/>
                <w:highlight w:val="none"/>
              </w:rPr>
            </w:pPr>
            <w:r>
              <w:rPr>
                <w:rFonts w:hint="eastAsia" w:ascii="宋体" w:hAnsi="宋体" w:eastAsia="宋体" w:cs="Times New Roman"/>
                <w:color w:val="auto"/>
                <w:kern w:val="0"/>
                <w:sz w:val="24"/>
                <w:szCs w:val="24"/>
                <w:highlight w:val="none"/>
                <w:lang w:val="en-US" w:eastAsia="zh-CN" w:bidi="ar-SA"/>
              </w:rPr>
              <w:t>地点：新</w:t>
            </w:r>
            <w:bookmarkStart w:id="92" w:name="_GoBack"/>
            <w:bookmarkEnd w:id="92"/>
            <w:r>
              <w:rPr>
                <w:rFonts w:hint="eastAsia" w:ascii="宋体" w:hAnsi="宋体" w:eastAsia="宋体" w:cs="Times New Roman"/>
                <w:color w:val="auto"/>
                <w:kern w:val="0"/>
                <w:sz w:val="24"/>
                <w:szCs w:val="24"/>
                <w:highlight w:val="none"/>
                <w:lang w:val="en-US" w:eastAsia="zh-CN" w:bidi="ar-SA"/>
              </w:rPr>
              <w:t>疆阿勒泰地区阿勒泰市东风路2区将军城三期1栋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方式</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现场获取或线上获取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招标文件费</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0元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6</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公告期限</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自本公告发布之日起5个工作日。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7</w:t>
            </w: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投标文件递交</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提交投标文件截止时间：202</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年</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月</w:t>
            </w:r>
            <w:r>
              <w:rPr>
                <w:rFonts w:hint="eastAsia" w:cs="宋体"/>
                <w:color w:val="auto"/>
                <w:kern w:val="0"/>
                <w:sz w:val="24"/>
                <w:szCs w:val="24"/>
                <w:highlight w:val="none"/>
                <w:lang w:val="en-US" w:eastAsia="zh-CN" w:bidi="ar-SA"/>
              </w:rPr>
              <w:t>24</w:t>
            </w:r>
            <w:r>
              <w:rPr>
                <w:rFonts w:hint="eastAsia" w:ascii="宋体" w:hAnsi="宋体" w:eastAsia="宋体" w:cs="宋体"/>
                <w:color w:val="auto"/>
                <w:kern w:val="0"/>
                <w:sz w:val="24"/>
                <w:szCs w:val="24"/>
                <w:highlight w:val="none"/>
                <w:lang w:val="en-US" w:eastAsia="zh-CN" w:bidi="ar-SA"/>
              </w:rPr>
              <w:t>日10:30（北京时间）</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投标地点：新疆阿勒泰地区阿勒泰市东风路2区将军城三期1栋2楼开标厅</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Times New Roman"/>
                <w:color w:val="auto"/>
                <w:sz w:val="24"/>
                <w:highlight w:val="none"/>
              </w:rPr>
            </w:pPr>
            <w:r>
              <w:rPr>
                <w:rFonts w:hint="eastAsia" w:ascii="宋体" w:hAnsi="宋体" w:eastAsia="宋体" w:cs="宋体"/>
                <w:color w:val="auto"/>
                <w:kern w:val="0"/>
                <w:sz w:val="24"/>
                <w:szCs w:val="24"/>
                <w:highlight w:val="none"/>
                <w:lang w:val="en-US" w:eastAsia="zh-CN" w:bidi="ar-SA"/>
              </w:rPr>
              <w:t>开标时间：202</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年</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月</w:t>
            </w:r>
            <w:r>
              <w:rPr>
                <w:rFonts w:hint="eastAsia" w:cs="宋体"/>
                <w:color w:val="auto"/>
                <w:kern w:val="0"/>
                <w:sz w:val="24"/>
                <w:szCs w:val="24"/>
                <w:highlight w:val="none"/>
                <w:lang w:val="en-US" w:eastAsia="zh-CN" w:bidi="ar-SA"/>
              </w:rPr>
              <w:t>24</w:t>
            </w:r>
            <w:r>
              <w:rPr>
                <w:rFonts w:hint="eastAsia" w:ascii="宋体" w:hAnsi="宋体" w:eastAsia="宋体" w:cs="宋体"/>
                <w:color w:val="auto"/>
                <w:kern w:val="0"/>
                <w:sz w:val="24"/>
                <w:szCs w:val="24"/>
                <w:highlight w:val="none"/>
                <w:lang w:val="en-US" w:eastAsia="zh-CN" w:bidi="ar-SA"/>
              </w:rPr>
              <w:t>日10:30（北京时间）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8</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投标保证金</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投标保证金金额：人民币</w:t>
            </w:r>
            <w:r>
              <w:rPr>
                <w:rFonts w:hint="eastAsia"/>
                <w:lang w:val="en-US" w:eastAsia="zh-CN"/>
              </w:rPr>
              <w:t>14000.00</w:t>
            </w:r>
            <w:r>
              <w:rPr>
                <w:rFonts w:hint="default"/>
                <w:lang w:val="en-US" w:eastAsia="zh-CN"/>
              </w:rPr>
              <w:t>元</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投标保证金缴纳方式：投标保证金应当以支票、网上银行支付或者金融机构、担保机构出具的保函等非现金形式交纳。</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投标保证金缴纳要求：</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1、投标保证金以电汇、网银形式提交的，应在投标截止时间前以总公司的基本账户通过网银一次性汇入指定账户（以到账时间为准），不接受现金及任何个人汇款。确认到账后，持银行交款单、基本户开户许可证（基本存款账户信息）到新疆鑫诚正昊项目咨询有限公司3楼财务室换取票据收据，开标现场持此项目开具的票据收据原件，标书内附此票据收据复印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2、投标保证金以保函形式提交的，在开标现场持金融机构、担保机构出具的保函原件，标书内附此项目保函复印件。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3、有效投标保证金成功交纳后，截止开标时间，供应商无正当理由不参加该项目投标且不递交弃标函，投标保证金不予退还。</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 xml:space="preserve">  开户银行：中国农业银行股份有限公司阿勒泰市支行</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开户名称：新疆鑫诚正昊项目咨询有限公司</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帐    号： 30 1508 0104 0001 587</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行号： 1039 0201  5081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9</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投标文件份数</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纸质版</w:t>
            </w:r>
            <w:r>
              <w:rPr>
                <w:rFonts w:hint="eastAsia" w:ascii="宋体" w:hAnsi="宋体" w:eastAsia="宋体" w:cs="Times New Roman"/>
                <w:color w:val="auto"/>
                <w:sz w:val="24"/>
              </w:rPr>
              <w:t>投标文件应一式</w:t>
            </w:r>
            <w:r>
              <w:rPr>
                <w:rFonts w:hint="eastAsia" w:ascii="宋体" w:hAnsi="宋体" w:cs="Times New Roman"/>
                <w:color w:val="auto"/>
                <w:sz w:val="24"/>
                <w:lang w:val="en-US" w:eastAsia="zh-CN"/>
              </w:rPr>
              <w:t>2</w:t>
            </w:r>
            <w:r>
              <w:rPr>
                <w:rFonts w:hint="eastAsia" w:ascii="宋体" w:hAnsi="宋体" w:eastAsia="宋体" w:cs="Times New Roman"/>
                <w:color w:val="auto"/>
                <w:sz w:val="24"/>
              </w:rPr>
              <w:t>份：其中正本1份，副本</w:t>
            </w:r>
            <w:r>
              <w:rPr>
                <w:rFonts w:hint="eastAsia" w:ascii="宋体" w:hAnsi="宋体" w:cs="Times New Roman"/>
                <w:color w:val="auto"/>
                <w:sz w:val="24"/>
                <w:lang w:val="en-US" w:eastAsia="zh-CN"/>
              </w:rPr>
              <w:t>1</w:t>
            </w:r>
            <w:r>
              <w:rPr>
                <w:rFonts w:hint="eastAsia" w:ascii="宋体" w:hAnsi="宋体" w:eastAsia="宋体" w:cs="Times New Roman"/>
                <w:color w:val="auto"/>
                <w:sz w:val="24"/>
              </w:rPr>
              <w:t>份</w:t>
            </w:r>
            <w:r>
              <w:rPr>
                <w:rFonts w:hint="eastAsia" w:ascii="宋体" w:hAnsi="宋体" w:cs="Times New Roman"/>
                <w:color w:val="auto"/>
                <w:sz w:val="24"/>
                <w:lang w:val="en-US" w:eastAsia="zh-CN"/>
              </w:rPr>
              <w:t>,</w:t>
            </w:r>
            <w:r>
              <w:rPr>
                <w:rFonts w:hint="eastAsia" w:ascii="宋体" w:hAnsi="宋体" w:eastAsia="宋体" w:cs="Times New Roman"/>
                <w:color w:val="auto"/>
                <w:sz w:val="24"/>
              </w:rPr>
              <w:t>注明“正本”和“副本”字样，如果正本与副本不符，应以正本为准</w:t>
            </w:r>
            <w:r>
              <w:rPr>
                <w:rFonts w:hint="eastAsia" w:ascii="宋体" w:hAnsi="宋体" w:cs="Times New Roman"/>
                <w:color w:val="auto"/>
                <w:sz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10</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投标有效期</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45</w:t>
            </w:r>
            <w:r>
              <w:rPr>
                <w:rFonts w:hint="eastAsia" w:ascii="宋体" w:hAnsi="宋体" w:eastAsia="宋体" w:cs="Times New Roman"/>
                <w:color w:val="auto"/>
                <w:sz w:val="24"/>
                <w:lang w:val="en-US" w:eastAsia="zh-CN"/>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11</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招标公告发布媒体</w:t>
            </w:r>
          </w:p>
        </w:tc>
        <w:tc>
          <w:tcPr>
            <w:tcW w:w="7022" w:type="dxa"/>
            <w:vAlign w:val="center"/>
          </w:tcPr>
          <w:p>
            <w:pPr>
              <w:jc w:val="left"/>
              <w:rPr>
                <w:rFonts w:hint="eastAsia" w:ascii="宋体" w:hAnsi="宋体" w:eastAsia="宋体" w:cs="Times New Roman"/>
                <w:color w:val="auto"/>
                <w:sz w:val="24"/>
                <w:lang w:val="en-US" w:eastAsia="zh-CN"/>
              </w:rPr>
            </w:pPr>
            <w:r>
              <w:rPr>
                <w:rFonts w:hint="eastAsia" w:ascii="宋体" w:hAnsi="宋体" w:eastAsia="宋体" w:cs="Times New Roman"/>
                <w:color w:val="auto"/>
                <w:sz w:val="24"/>
              </w:rPr>
              <w:t>新疆政府采购网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12</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履约保证金</w:t>
            </w:r>
          </w:p>
        </w:tc>
        <w:tc>
          <w:tcPr>
            <w:tcW w:w="7022" w:type="dxa"/>
            <w:vAlign w:val="center"/>
          </w:tcPr>
          <w:p>
            <w:pPr>
              <w:jc w:val="left"/>
              <w:rPr>
                <w:rFonts w:hint="eastAsia" w:ascii="宋体" w:hAnsi="宋体" w:eastAsia="宋体" w:cs="Times New Roman"/>
                <w:color w:val="auto"/>
                <w:sz w:val="24"/>
              </w:rPr>
            </w:pPr>
            <w:r>
              <w:rPr>
                <w:rFonts w:hint="eastAsia" w:ascii="宋体" w:hAnsi="宋体" w:cs="Times New Roman"/>
                <w:color w:val="auto"/>
                <w:sz w:val="24"/>
                <w:lang w:eastAsia="zh-CN"/>
              </w:rPr>
              <w:t>☑</w:t>
            </w:r>
            <w:r>
              <w:rPr>
                <w:rFonts w:hint="eastAsia" w:ascii="宋体" w:hAnsi="宋体" w:eastAsia="宋体" w:cs="Times New Roman"/>
                <w:color w:val="auto"/>
                <w:sz w:val="24"/>
              </w:rPr>
              <w:t xml:space="preserve"> 不需要</w:t>
            </w:r>
          </w:p>
          <w:p>
            <w:pPr>
              <w:jc w:val="left"/>
              <w:rPr>
                <w:rFonts w:hint="eastAsia" w:ascii="宋体" w:hAnsi="宋体" w:eastAsia="宋体" w:cs="Times New Roman"/>
                <w:color w:val="auto"/>
                <w:sz w:val="24"/>
                <w:lang w:eastAsia="zh-CN"/>
              </w:rPr>
            </w:pPr>
            <w:r>
              <w:rPr>
                <w:rFonts w:hint="eastAsia" w:ascii="宋体" w:hAnsi="宋体" w:cs="Times New Roman"/>
                <w:color w:val="auto"/>
                <w:sz w:val="24"/>
                <w:lang w:eastAsia="zh-CN"/>
              </w:rPr>
              <w:t>□</w:t>
            </w:r>
            <w:r>
              <w:rPr>
                <w:rFonts w:hint="eastAsia" w:ascii="宋体" w:hAnsi="宋体" w:eastAsia="宋体" w:cs="Times New Roman"/>
                <w:color w:val="auto"/>
                <w:sz w:val="24"/>
              </w:rPr>
              <w:t xml:space="preserve"> 需要</w:t>
            </w:r>
            <w:r>
              <w:rPr>
                <w:rFonts w:hint="eastAsia" w:ascii="宋体" w:hAnsi="宋体" w:cs="Times New Roman"/>
                <w:color w:val="auto"/>
                <w:sz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13</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投标人资格（开标时查验内容）</w:t>
            </w:r>
          </w:p>
        </w:tc>
        <w:tc>
          <w:tcPr>
            <w:tcW w:w="7022" w:type="dxa"/>
            <w:vAlign w:val="center"/>
          </w:tcPr>
          <w:p>
            <w:pPr>
              <w:jc w:val="left"/>
              <w:rPr>
                <w:rFonts w:hint="eastAsia" w:ascii="宋体" w:hAnsi="宋体" w:eastAsia="宋体" w:cs="Times New Roman"/>
                <w:color w:val="0000FF"/>
                <w:sz w:val="24"/>
              </w:rPr>
            </w:pPr>
            <w:r>
              <w:rPr>
                <w:rFonts w:hint="eastAsia" w:ascii="宋体" w:hAnsi="宋体" w:eastAsia="宋体" w:cs="Times New Roman"/>
                <w:color w:val="auto"/>
                <w:sz w:val="24"/>
              </w:rPr>
              <w:t>13.1投标人须提供如下资料</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13.1.1.营业执照；</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13.1.2.《兽药经营许可证》</w:t>
            </w:r>
            <w:r>
              <w:rPr>
                <w:rFonts w:hint="eastAsia" w:ascii="宋体" w:hAnsi="宋体" w:cs="Times New Roman"/>
                <w:color w:val="auto"/>
                <w:sz w:val="24"/>
                <w:lang w:eastAsia="zh-CN"/>
              </w:rPr>
              <w:t>及</w:t>
            </w:r>
            <w:r>
              <w:rPr>
                <w:rFonts w:hint="eastAsia" w:ascii="宋体" w:hAnsi="宋体" w:eastAsia="宋体" w:cs="Times New Roman"/>
                <w:color w:val="auto"/>
                <w:sz w:val="24"/>
              </w:rPr>
              <w:t>《兽药生产许可证》；</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13.1.3.兽药产品批准文号；有效期内的兽药GMP证书；</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13.1.4.法定代表人身份证明书及法定代表人身份证原件或授权委托书及委托代理人身份证；</w:t>
            </w:r>
          </w:p>
          <w:p>
            <w:pPr>
              <w:pStyle w:val="11"/>
              <w:ind w:left="0" w:leftChars="0" w:firstLine="0" w:firstLineChars="0"/>
              <w:rPr>
                <w:rFonts w:hint="eastAsia" w:ascii="宋体" w:hAnsi="宋体" w:cs="宋体"/>
                <w:bCs/>
                <w:sz w:val="24"/>
                <w:szCs w:val="24"/>
              </w:rPr>
            </w:pPr>
            <w:r>
              <w:rPr>
                <w:rFonts w:hint="eastAsia" w:ascii="宋体" w:hAnsi="宋体" w:eastAsia="宋体" w:cs="Times New Roman"/>
                <w:color w:val="auto"/>
                <w:sz w:val="24"/>
              </w:rPr>
              <w:t>13.1.</w:t>
            </w:r>
            <w:r>
              <w:rPr>
                <w:rFonts w:hint="eastAsia" w:ascii="宋体" w:hAnsi="宋体" w:cs="Times New Roman"/>
                <w:color w:val="auto"/>
                <w:sz w:val="24"/>
                <w:lang w:val="en-US" w:eastAsia="zh-CN"/>
              </w:rPr>
              <w:t>5</w:t>
            </w:r>
            <w:r>
              <w:rPr>
                <w:rFonts w:hint="eastAsia" w:ascii="宋体" w:hAnsi="宋体" w:eastAsia="宋体" w:cs="Times New Roman"/>
                <w:color w:val="auto"/>
                <w:sz w:val="24"/>
              </w:rPr>
              <w:t>.</w:t>
            </w:r>
            <w:r>
              <w:rPr>
                <w:rFonts w:hint="eastAsia" w:ascii="宋体" w:hAnsi="宋体" w:cs="宋体"/>
                <w:sz w:val="24"/>
                <w:szCs w:val="24"/>
              </w:rPr>
              <w:t>近</w:t>
            </w:r>
            <w:r>
              <w:rPr>
                <w:rFonts w:hint="eastAsia" w:ascii="宋体" w:hAnsi="宋体" w:cs="宋体"/>
                <w:sz w:val="24"/>
                <w:szCs w:val="24"/>
                <w:lang w:eastAsia="zh-CN"/>
              </w:rPr>
              <w:t>一</w:t>
            </w:r>
            <w:r>
              <w:rPr>
                <w:rFonts w:hint="eastAsia" w:ascii="宋体" w:hAnsi="宋体" w:cs="宋体"/>
                <w:sz w:val="24"/>
                <w:szCs w:val="24"/>
              </w:rPr>
              <w:t>年</w:t>
            </w:r>
            <w:r>
              <w:rPr>
                <w:rFonts w:hint="eastAsia" w:ascii="宋体" w:hAnsi="宋体" w:cs="宋体"/>
                <w:sz w:val="24"/>
                <w:szCs w:val="24"/>
                <w:lang w:eastAsia="zh-CN"/>
              </w:rPr>
              <w:t>（</w:t>
            </w:r>
            <w:r>
              <w:rPr>
                <w:rFonts w:hint="eastAsia" w:ascii="宋体" w:hAnsi="宋体" w:cs="宋体"/>
                <w:sz w:val="24"/>
                <w:szCs w:val="24"/>
                <w:lang w:val="en-US" w:eastAsia="zh-CN"/>
              </w:rPr>
              <w:t>2021年度</w:t>
            </w:r>
            <w:r>
              <w:rPr>
                <w:rFonts w:hint="eastAsia" w:ascii="宋体" w:hAnsi="宋体" w:cs="宋体"/>
                <w:sz w:val="24"/>
                <w:szCs w:val="24"/>
                <w:lang w:eastAsia="zh-CN"/>
              </w:rPr>
              <w:t>）</w:t>
            </w:r>
            <w:r>
              <w:rPr>
                <w:rFonts w:hint="eastAsia" w:ascii="宋体" w:hAnsi="宋体" w:cs="宋体"/>
                <w:sz w:val="24"/>
                <w:szCs w:val="24"/>
              </w:rPr>
              <w:t>的财务审计报告</w:t>
            </w:r>
            <w:r>
              <w:rPr>
                <w:rFonts w:hint="eastAsia" w:ascii="宋体" w:hAnsi="宋体" w:cs="宋体"/>
                <w:sz w:val="24"/>
                <w:szCs w:val="24"/>
                <w:lang w:eastAsia="zh-CN"/>
              </w:rPr>
              <w:t>或财务报表</w:t>
            </w:r>
            <w:r>
              <w:rPr>
                <w:rFonts w:hint="eastAsia" w:ascii="宋体" w:hAnsi="宋体" w:cs="宋体"/>
                <w:sz w:val="24"/>
                <w:szCs w:val="24"/>
              </w:rPr>
              <w:t>〔成立不足一年提供成立至今的财务报表〕</w:t>
            </w:r>
            <w:r>
              <w:rPr>
                <w:rFonts w:hint="eastAsia" w:ascii="宋体" w:hAnsi="宋体" w:cs="宋体"/>
                <w:bCs/>
                <w:sz w:val="24"/>
                <w:szCs w:val="24"/>
              </w:rPr>
              <w:t>；</w:t>
            </w:r>
          </w:p>
          <w:p>
            <w:pPr>
              <w:rPr>
                <w:rFonts w:hint="eastAsia"/>
              </w:rPr>
            </w:pPr>
            <w:r>
              <w:rPr>
                <w:rFonts w:hint="eastAsia" w:ascii="宋体" w:hAnsi="宋体" w:eastAsia="宋体" w:cs="Times New Roman"/>
                <w:color w:val="auto"/>
                <w:sz w:val="24"/>
              </w:rPr>
              <w:t>13.1.</w:t>
            </w:r>
            <w:r>
              <w:rPr>
                <w:rFonts w:hint="eastAsia" w:ascii="宋体" w:hAnsi="宋体" w:cs="Times New Roman"/>
                <w:color w:val="auto"/>
                <w:sz w:val="24"/>
                <w:lang w:val="en-US" w:eastAsia="zh-CN"/>
              </w:rPr>
              <w:t>6</w:t>
            </w:r>
            <w:r>
              <w:rPr>
                <w:rFonts w:hint="eastAsia" w:ascii="宋体" w:hAnsi="宋体" w:eastAsia="宋体" w:cs="Times New Roman"/>
                <w:color w:val="auto"/>
                <w:sz w:val="24"/>
              </w:rPr>
              <w:t>.</w:t>
            </w:r>
            <w:r>
              <w:rPr>
                <w:rFonts w:hint="eastAsia" w:ascii="宋体" w:hAnsi="宋体" w:cs="宋体"/>
                <w:bCs/>
                <w:sz w:val="24"/>
                <w:szCs w:val="24"/>
              </w:rPr>
              <w:t>企业及授权委托人的</w:t>
            </w:r>
            <w:r>
              <w:rPr>
                <w:rFonts w:hint="eastAsia" w:ascii="宋体" w:hAnsi="宋体" w:cs="宋体"/>
                <w:bCs/>
                <w:sz w:val="24"/>
                <w:szCs w:val="24"/>
                <w:lang w:eastAsia="zh-CN"/>
              </w:rPr>
              <w:t>近三个月的</w:t>
            </w:r>
            <w:r>
              <w:rPr>
                <w:rFonts w:hint="eastAsia" w:ascii="宋体" w:hAnsi="宋体" w:cs="宋体"/>
                <w:bCs/>
                <w:sz w:val="24"/>
                <w:szCs w:val="24"/>
              </w:rPr>
              <w:t>社保缴纳证明（退休人员提供退休证）；</w:t>
            </w:r>
          </w:p>
          <w:p>
            <w:pPr>
              <w:jc w:val="left"/>
              <w:rPr>
                <w:rFonts w:hint="eastAsia" w:ascii="宋体" w:hAnsi="宋体" w:eastAsia="宋体" w:cs="Times New Roman"/>
                <w:color w:val="auto"/>
                <w:sz w:val="24"/>
              </w:rPr>
            </w:pPr>
            <w:r>
              <w:rPr>
                <w:rFonts w:hint="eastAsia" w:ascii="宋体" w:hAnsi="宋体" w:cs="Times New Roman"/>
                <w:color w:val="auto"/>
                <w:sz w:val="24"/>
                <w:lang w:val="en-US" w:eastAsia="zh-CN"/>
              </w:rPr>
              <w:t>注：</w:t>
            </w:r>
            <w:r>
              <w:rPr>
                <w:rFonts w:hint="eastAsia" w:ascii="宋体" w:hAnsi="宋体" w:eastAsia="宋体" w:cs="Times New Roman"/>
                <w:color w:val="auto"/>
                <w:sz w:val="24"/>
                <w:lang w:eastAsia="zh-CN"/>
              </w:rPr>
              <w:t>以上材料</w:t>
            </w:r>
            <w:r>
              <w:rPr>
                <w:rFonts w:hint="eastAsia" w:ascii="宋体" w:hAnsi="宋体" w:cs="Times New Roman"/>
                <w:color w:val="auto"/>
                <w:sz w:val="24"/>
                <w:lang w:val="en-US" w:eastAsia="zh-CN"/>
              </w:rPr>
              <w:t>提供原件及</w:t>
            </w:r>
            <w:r>
              <w:rPr>
                <w:rFonts w:hint="eastAsia" w:ascii="宋体" w:hAnsi="宋体" w:eastAsia="宋体" w:cs="Times New Roman"/>
                <w:color w:val="auto"/>
                <w:sz w:val="24"/>
                <w:lang w:eastAsia="zh-CN"/>
              </w:rPr>
              <w:t>逐</w:t>
            </w:r>
            <w:r>
              <w:rPr>
                <w:rFonts w:hint="eastAsia" w:ascii="宋体" w:hAnsi="宋体" w:eastAsia="宋体" w:cs="Times New Roman"/>
                <w:color w:val="auto"/>
                <w:sz w:val="24"/>
                <w:lang w:val="en-US" w:eastAsia="zh-CN"/>
              </w:rPr>
              <w:t>页</w:t>
            </w:r>
            <w:r>
              <w:rPr>
                <w:rFonts w:hint="eastAsia" w:ascii="宋体" w:hAnsi="宋体" w:eastAsia="宋体" w:cs="Times New Roman"/>
                <w:color w:val="auto"/>
                <w:sz w:val="24"/>
              </w:rPr>
              <w:t>加盖印章</w:t>
            </w:r>
            <w:r>
              <w:rPr>
                <w:rFonts w:hint="eastAsia" w:ascii="宋体" w:hAnsi="宋体" w:cs="Times New Roman"/>
                <w:color w:val="auto"/>
                <w:sz w:val="24"/>
                <w:lang w:val="en-US" w:eastAsia="zh-CN"/>
              </w:rPr>
              <w:t>的复印件</w:t>
            </w:r>
            <w:r>
              <w:rPr>
                <w:rFonts w:hint="eastAsia" w:ascii="宋体" w:hAnsi="宋体" w:eastAsia="宋体" w:cs="Times New Roman"/>
                <w:color w:val="auto"/>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5"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14</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投标人应考虑多方因素</w:t>
            </w:r>
          </w:p>
        </w:tc>
        <w:tc>
          <w:tcPr>
            <w:tcW w:w="7022" w:type="dxa"/>
            <w:vAlign w:val="center"/>
          </w:tcPr>
          <w:p>
            <w:pPr>
              <w:jc w:val="left"/>
              <w:rPr>
                <w:rFonts w:hint="eastAsia" w:ascii="宋体" w:hAnsi="宋体" w:eastAsia="宋体" w:cs="Times New Roman"/>
                <w:color w:val="auto"/>
                <w:sz w:val="24"/>
              </w:rPr>
            </w:pPr>
            <w:r>
              <w:rPr>
                <w:rFonts w:hint="eastAsia" w:ascii="宋体" w:hAnsi="宋体" w:cs="Times New Roman"/>
                <w:color w:val="auto"/>
                <w:sz w:val="24"/>
                <w:lang w:val="en-US" w:eastAsia="zh-CN"/>
              </w:rPr>
              <w:t>1</w:t>
            </w:r>
            <w:r>
              <w:rPr>
                <w:rFonts w:hint="eastAsia" w:ascii="宋体" w:hAnsi="宋体" w:eastAsia="宋体" w:cs="Times New Roman"/>
                <w:color w:val="auto"/>
                <w:sz w:val="24"/>
              </w:rPr>
              <w:t>.国家政策调整或取消该招标品种的，该品种将不再列入招标计划或如果已经进行了招标的该品种将作为无效招标处理，由此产生的一切费用和损失由投标人承担，采购人不承担任何责任；</w:t>
            </w:r>
          </w:p>
          <w:p>
            <w:pPr>
              <w:jc w:val="left"/>
              <w:rPr>
                <w:rFonts w:hint="eastAsia" w:ascii="宋体" w:hAnsi="宋体" w:eastAsia="宋体" w:cs="Times New Roman"/>
                <w:color w:val="auto"/>
                <w:sz w:val="24"/>
              </w:rPr>
            </w:pPr>
            <w:r>
              <w:rPr>
                <w:rFonts w:hint="eastAsia" w:ascii="宋体" w:hAnsi="宋体" w:cs="Times New Roman"/>
                <w:color w:val="auto"/>
                <w:sz w:val="24"/>
                <w:lang w:val="en-US" w:eastAsia="zh-CN"/>
              </w:rPr>
              <w:t>2</w:t>
            </w:r>
            <w:r>
              <w:rPr>
                <w:rFonts w:hint="eastAsia" w:ascii="宋体" w:hAnsi="宋体" w:eastAsia="宋体" w:cs="Times New Roman"/>
                <w:color w:val="auto"/>
                <w:sz w:val="24"/>
              </w:rPr>
              <w:t>.本招标活动适用于</w:t>
            </w:r>
            <w:r>
              <w:rPr>
                <w:rFonts w:hint="eastAsia" w:ascii="宋体" w:hAnsi="宋体" w:cs="Times New Roman"/>
                <w:color w:val="auto"/>
                <w:sz w:val="24"/>
                <w:lang w:eastAsia="zh-CN"/>
              </w:rPr>
              <w:t>阿勒泰地区动物疾病控制与诊断中心</w:t>
            </w:r>
            <w:r>
              <w:rPr>
                <w:rFonts w:hint="eastAsia" w:ascii="宋体" w:hAnsi="宋体" w:eastAsia="宋体" w:cs="Times New Roman"/>
                <w:color w:val="auto"/>
                <w:sz w:val="24"/>
              </w:rPr>
              <w:t>，中标企业领取成交通知书后与采购人签订《疫苗采购供应合同》；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5" w:hRule="atLeast"/>
          <w:jc w:val="center"/>
        </w:trPr>
        <w:tc>
          <w:tcPr>
            <w:tcW w:w="597" w:type="dxa"/>
            <w:vAlign w:val="center"/>
          </w:tcPr>
          <w:p>
            <w:pPr>
              <w:jc w:val="center"/>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15</w:t>
            </w:r>
          </w:p>
        </w:tc>
        <w:tc>
          <w:tcPr>
            <w:tcW w:w="1461" w:type="dxa"/>
            <w:vAlign w:val="center"/>
          </w:tcPr>
          <w:p>
            <w:pPr>
              <w:jc w:val="center"/>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落实政府采购政策</w:t>
            </w:r>
          </w:p>
        </w:tc>
        <w:tc>
          <w:tcPr>
            <w:tcW w:w="7022" w:type="dxa"/>
            <w:vAlign w:val="center"/>
          </w:tcPr>
          <w:p>
            <w:pPr>
              <w:jc w:val="left"/>
              <w:rPr>
                <w:rFonts w:hint="eastAsia"/>
                <w:lang w:val="en-US" w:eastAsia="zh-CN"/>
              </w:rPr>
            </w:pPr>
            <w:r>
              <w:rPr>
                <w:rFonts w:hint="eastAsia"/>
                <w:lang w:val="en-US" w:eastAsia="zh-CN"/>
              </w:rPr>
              <w:t>（1）小微企业单独参加本项目的投标：</w:t>
            </w:r>
          </w:p>
          <w:p>
            <w:pPr>
              <w:jc w:val="left"/>
              <w:rPr>
                <w:rFonts w:hint="eastAsia"/>
                <w:lang w:val="en-US" w:eastAsia="zh-CN"/>
              </w:rPr>
            </w:pPr>
            <w:r>
              <w:rPr>
                <w:rFonts w:hint="eastAsia"/>
                <w:lang w:val="en-US" w:eastAsia="zh-CN"/>
              </w:rPr>
              <w:t>1、提供小型、微型企业生产的产品，给予10%的价格扣除，用扣除后的价格参与评审，应当在响应文件中提供有效的《中小企业声明函》，并对其真实性负责。</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监狱企业：监狱企业是指由司法部认定的为罪犯、戒毒人员提供生产项目和劳动对象，且全部产权属于司法部监狱管理局、戒毒管理局、直属煤矿管理局，各省、自治区、直辖市监狱管理局、戒毒管理局，各地（设区的市）监狱、强制戒毒隔离所、戒毒康复所，以及新疆生产建设兵团监狱管理局、戒毒管理局的企业。</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监狱企业视同微型企业。</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（1）监狱企业参加本项目的投标，视同微型企业投标，提供本单位生产的产品享受10%价格扣除。</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（2）参加本次采购活动的监狱企业，应当在响应文件中提供由省级以上监狱管理局、戒毒管理局（含新疆建设生产兵团）出具的属于监狱企业的证明文件，不再提供《中小企业声明函》，不重复享受政策。</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残疾人福利性单位：根据财政部  民政部《中国残疾人联合会关于促进残疾人就业政府采购政策的通知》（财库【2017】141号）的规定。</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（1）残疾人福利性单位参加本项目的投标，视同小型、微型企业投标，提供本单位生产的产品享受8%的价格扣除。</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（2）参加本次采购活动的残疾人福利性单位，应当在询价响应文件中提供由141号文规定的《残疾人福利性单位声明函》，不再提供《中小企业声明函》，不重复享受政策。</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节能及环境标志产品：（一）根据《国务院办公厅关于建立政府强制采购节能产品制度的通知》（国办发[2007]51号）和财政部、发展改革委发布的《节能产品政府采购实施意见》（财库[2004]185号）以及《财政部、发展改革委关于调整节能产品政府采购清单的通知》最新的规定，本次采购货物中属政府强制采购节能产品的，投标人所投产品必须是《节能产品政府采购清单》内产品，并提供清单内证明材料，否则投标无效。其他产品若属于“节能产品政府采购清单”内产品，在同等条件下，优先采购清单中的产品。</w:t>
            </w:r>
          </w:p>
          <w:p>
            <w:pPr>
              <w:keepNext w:val="0"/>
              <w:keepLines w:val="0"/>
              <w:pageBreakBefore w:val="0"/>
              <w:widowControl w:val="0"/>
              <w:numPr>
                <w:ilvl w:val="0"/>
                <w:numId w:val="2"/>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节能产品”系指列入财政部、国家发改委最新公布《节能产品政府采购清单》的产品；“环境标志产品”系指列入财政部、环保部最新公布的《环境标志政府采购清单》的产品。同一合同包内的节能、环境标志、政府采购产品部分价格扣除只对属于清单内的非强制类产品进行价格扣除，强制类产品已作为投标时强制性要求不再给予价格扣除。若节能、环境标志清单内的产品仅是构成投标产品的部件、组件或零件的，则该投标产品不予价格扣除。</w:t>
            </w:r>
          </w:p>
          <w:p>
            <w:pPr>
              <w:pStyle w:val="2"/>
              <w:numPr>
                <w:ilvl w:val="0"/>
                <w:numId w:val="0"/>
              </w:numPr>
              <w:ind w:left="0" w:leftChars="0" w:firstLine="0" w:firstLineChars="0"/>
              <w:rPr>
                <w:rFonts w:hint="eastAsia" w:ascii="宋体" w:hAnsi="宋体" w:cs="Times New Roman"/>
                <w:color w:val="auto"/>
                <w:sz w:val="24"/>
                <w:lang w:val="en-US" w:eastAsia="zh-CN"/>
              </w:rPr>
            </w:pPr>
            <w:r>
              <w:rPr>
                <w:rFonts w:hint="eastAsia" w:ascii="宋体" w:hAnsi="宋体" w:cs="宋体"/>
                <w:b/>
                <w:bCs/>
                <w:i w:val="0"/>
                <w:iCs w:val="0"/>
                <w:color w:val="auto"/>
                <w:spacing w:val="0"/>
                <w:sz w:val="21"/>
                <w:szCs w:val="21"/>
                <w:vertAlign w:val="baseline"/>
                <w:lang w:val="en-US" w:eastAsia="zh-CN"/>
              </w:rPr>
              <w:t>价格项扣除：对于节能清单部分产品，环境清单部分产品的价格给予3%的扣除，用扣除后的价格参加评审。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5" w:hRule="atLeast"/>
          <w:jc w:val="center"/>
        </w:trPr>
        <w:tc>
          <w:tcPr>
            <w:tcW w:w="597" w:type="dxa"/>
            <w:vAlign w:val="center"/>
          </w:tcPr>
          <w:p>
            <w:pPr>
              <w:jc w:val="center"/>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16</w:t>
            </w:r>
          </w:p>
        </w:tc>
        <w:tc>
          <w:tcPr>
            <w:tcW w:w="1461" w:type="dxa"/>
            <w:vAlign w:val="center"/>
          </w:tcPr>
          <w:p>
            <w:pPr>
              <w:jc w:val="center"/>
              <w:rPr>
                <w:rFonts w:hint="eastAsia" w:ascii="宋体" w:hAnsi="宋体" w:cs="Times New Roman"/>
                <w:color w:val="auto"/>
                <w:sz w:val="24"/>
                <w:lang w:val="en-US" w:eastAsia="zh-CN"/>
              </w:rPr>
            </w:pPr>
            <w:r>
              <w:rPr>
                <w:rFonts w:hint="eastAsia" w:ascii="宋体" w:hAnsi="宋体" w:cs="Times New Roman"/>
                <w:color w:val="auto"/>
                <w:sz w:val="24"/>
                <w:lang w:val="en-US" w:eastAsia="zh-CN"/>
              </w:rPr>
              <w:t>本项目所属行业</w:t>
            </w:r>
          </w:p>
        </w:tc>
        <w:tc>
          <w:tcPr>
            <w:tcW w:w="7022" w:type="dxa"/>
            <w:vAlign w:val="center"/>
          </w:tcPr>
          <w:p>
            <w:pPr>
              <w:pStyle w:val="2"/>
              <w:numPr>
                <w:ilvl w:val="0"/>
                <w:numId w:val="0"/>
              </w:numPr>
              <w:ind w:left="0" w:leftChars="0" w:firstLine="0" w:firstLineChars="0"/>
              <w:rPr>
                <w:rFonts w:hint="eastAsia" w:ascii="宋体" w:hAnsi="宋体" w:cs="宋体"/>
                <w:b/>
                <w:bCs/>
                <w:i w:val="0"/>
                <w:iCs w:val="0"/>
                <w:color w:val="auto"/>
                <w:spacing w:val="0"/>
                <w:sz w:val="21"/>
                <w:szCs w:val="21"/>
                <w:vertAlign w:val="baseline"/>
                <w:lang w:val="en-US" w:eastAsia="zh-CN"/>
              </w:rPr>
            </w:pPr>
            <w:r>
              <w:rPr>
                <w:rFonts w:hint="eastAsia" w:cs="宋体"/>
                <w:b/>
                <w:bCs/>
                <w:i w:val="0"/>
                <w:iCs w:val="0"/>
                <w:color w:val="auto"/>
                <w:spacing w:val="0"/>
                <w:sz w:val="21"/>
                <w:szCs w:val="21"/>
                <w:vertAlign w:val="baseline"/>
                <w:lang w:val="en-US" w:eastAsia="zh-CN"/>
              </w:rPr>
              <w:t>制造业</w:t>
            </w:r>
          </w:p>
        </w:tc>
      </w:tr>
    </w:tbl>
    <w:p>
      <w:pPr>
        <w:jc w:val="left"/>
        <w:rPr>
          <w:rFonts w:ascii="宋体" w:hAnsi="宋体"/>
          <w:b/>
          <w:bCs/>
          <w:sz w:val="24"/>
          <w:szCs w:val="24"/>
        </w:rPr>
      </w:pPr>
      <w:r>
        <w:rPr>
          <w:rFonts w:hint="eastAsia" w:ascii="宋体" w:hAnsi="宋体"/>
          <w:b/>
          <w:bCs/>
          <w:sz w:val="24"/>
          <w:szCs w:val="24"/>
        </w:rPr>
        <w:t>本表是本</w:t>
      </w:r>
      <w:r>
        <w:rPr>
          <w:rFonts w:ascii="宋体" w:hAnsi="宋体"/>
          <w:b/>
          <w:bCs/>
          <w:sz w:val="24"/>
          <w:szCs w:val="24"/>
        </w:rPr>
        <w:t>招标项目</w:t>
      </w:r>
      <w:r>
        <w:rPr>
          <w:rFonts w:hint="eastAsia" w:ascii="宋体" w:hAnsi="宋体"/>
          <w:b/>
          <w:bCs/>
          <w:sz w:val="24"/>
          <w:szCs w:val="24"/>
        </w:rPr>
        <w:t>的具体资料，是对投标人须知的具体补充和修改，如有矛盾，以本资料表为准。</w:t>
      </w:r>
    </w:p>
    <w:p>
      <w:pPr>
        <w:rPr>
          <w:rFonts w:ascii="黑体" w:hAnsi="黑体" w:eastAsia="黑体" w:cs="黑体"/>
          <w:bCs/>
          <w:sz w:val="32"/>
          <w:szCs w:val="32"/>
        </w:rPr>
      </w:pPr>
    </w:p>
    <w:p>
      <w:pPr>
        <w:pStyle w:val="10"/>
        <w:numPr>
          <w:ilvl w:val="0"/>
          <w:numId w:val="0"/>
        </w:numPr>
        <w:rPr>
          <w:rFonts w:hAnsi="黑体" w:cs="黑体"/>
          <w:bCs/>
          <w:sz w:val="32"/>
          <w:szCs w:val="32"/>
        </w:rPr>
      </w:pPr>
    </w:p>
    <w:p>
      <w:pPr>
        <w:rPr>
          <w:rFonts w:ascii="黑体" w:hAnsi="黑体" w:eastAsia="黑体" w:cs="黑体"/>
          <w:bCs/>
          <w:sz w:val="32"/>
          <w:szCs w:val="32"/>
        </w:rPr>
      </w:pPr>
      <w:bookmarkStart w:id="3" w:name="_Toc14733"/>
      <w:r>
        <w:rPr>
          <w:rFonts w:hint="eastAsia" w:ascii="黑体" w:hAnsi="黑体" w:eastAsia="黑体" w:cs="黑体"/>
          <w:bCs/>
          <w:sz w:val="32"/>
          <w:szCs w:val="32"/>
        </w:rPr>
        <w:br w:type="page"/>
      </w:r>
    </w:p>
    <w:p>
      <w:pPr>
        <w:spacing w:line="440" w:lineRule="exact"/>
        <w:jc w:val="center"/>
        <w:outlineLvl w:val="0"/>
        <w:rPr>
          <w:rFonts w:ascii="宋体" w:hAnsi="宋体" w:cs="宋体"/>
          <w:b/>
          <w:sz w:val="24"/>
          <w:szCs w:val="24"/>
        </w:rPr>
      </w:pPr>
      <w:r>
        <w:rPr>
          <w:rFonts w:hint="eastAsia" w:ascii="黑体" w:hAnsi="黑体" w:eastAsia="黑体" w:cs="黑体"/>
          <w:bCs/>
          <w:sz w:val="32"/>
          <w:szCs w:val="32"/>
        </w:rPr>
        <w:t>第三章 投标须知</w:t>
      </w:r>
      <w:bookmarkEnd w:id="3"/>
      <w:bookmarkStart w:id="4" w:name="_BookMark_2"/>
      <w:bookmarkEnd w:id="4"/>
    </w:p>
    <w:p>
      <w:pPr>
        <w:pStyle w:val="2"/>
        <w:rPr>
          <w:rFonts w:cs="宋体"/>
          <w:color w:val="000000"/>
          <w:kern w:val="0"/>
          <w:sz w:val="24"/>
        </w:rPr>
      </w:pP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5" w:name="_Toc30774"/>
      <w:r>
        <w:rPr>
          <w:rFonts w:hint="eastAsia" w:ascii="宋体" w:hAnsi="宋体" w:cs="宋体"/>
          <w:b/>
          <w:sz w:val="24"/>
          <w:szCs w:val="24"/>
        </w:rPr>
        <w:t>第一节 总则</w:t>
      </w:r>
      <w:bookmarkEnd w:id="5"/>
    </w:p>
    <w:p>
      <w:pPr>
        <w:widowControl/>
        <w:shd w:val="clear" w:color="auto" w:fill="FFFFFF"/>
        <w:snapToGrid w:val="0"/>
        <w:spacing w:line="360" w:lineRule="auto"/>
        <w:rPr>
          <w:rFonts w:ascii="宋体" w:hAnsi="宋体" w:cs="宋体"/>
          <w:b/>
          <w:bCs/>
          <w:kern w:val="0"/>
          <w:sz w:val="24"/>
          <w:szCs w:val="24"/>
        </w:rPr>
      </w:pPr>
      <w:r>
        <w:rPr>
          <w:rFonts w:hint="eastAsia" w:ascii="宋体" w:hAnsi="宋体" w:cs="宋体"/>
          <w:b/>
          <w:bCs/>
          <w:kern w:val="0"/>
          <w:sz w:val="24"/>
          <w:szCs w:val="24"/>
        </w:rPr>
        <w:t>1.1 项目适用范围</w:t>
      </w:r>
    </w:p>
    <w:p>
      <w:pPr>
        <w:spacing w:line="360" w:lineRule="auto"/>
        <w:ind w:firstLine="480" w:firstLineChars="200"/>
        <w:rPr>
          <w:rFonts w:ascii="宋体" w:hAnsi="宋体" w:cs="宋体"/>
          <w:sz w:val="24"/>
          <w:szCs w:val="24"/>
        </w:rPr>
      </w:pPr>
      <w:r>
        <w:rPr>
          <w:rFonts w:hint="eastAsia" w:ascii="宋体" w:hAnsi="宋体" w:cs="宋体"/>
          <w:sz w:val="24"/>
          <w:szCs w:val="24"/>
        </w:rPr>
        <w:t>本次招标采取公开招标方式，且文件仅适用于本招标项目中所叙述的货物和服务等。</w:t>
      </w:r>
    </w:p>
    <w:p>
      <w:pPr>
        <w:pStyle w:val="7"/>
      </w:pPr>
    </w:p>
    <w:p>
      <w:pPr>
        <w:spacing w:line="360" w:lineRule="auto"/>
        <w:rPr>
          <w:rFonts w:ascii="宋体" w:hAnsi="宋体" w:cs="宋体"/>
          <w:b/>
          <w:bCs/>
          <w:sz w:val="24"/>
          <w:szCs w:val="24"/>
        </w:rPr>
      </w:pPr>
      <w:r>
        <w:rPr>
          <w:rFonts w:hint="eastAsia" w:ascii="宋体" w:hAnsi="宋体" w:cs="宋体"/>
          <w:b/>
          <w:bCs/>
          <w:sz w:val="24"/>
          <w:szCs w:val="24"/>
        </w:rPr>
        <w:t>1.2项目的一般概述</w:t>
      </w:r>
    </w:p>
    <w:p>
      <w:pPr>
        <w:spacing w:line="360" w:lineRule="auto"/>
        <w:ind w:firstLine="480" w:firstLineChars="200"/>
        <w:rPr>
          <w:rFonts w:ascii="宋体" w:hAnsi="宋体" w:cs="宋体"/>
          <w:sz w:val="24"/>
          <w:szCs w:val="24"/>
        </w:rPr>
      </w:pPr>
      <w:r>
        <w:rPr>
          <w:rFonts w:hint="eastAsia" w:ascii="宋体" w:hAnsi="宋体" w:cs="宋体"/>
          <w:sz w:val="24"/>
          <w:szCs w:val="24"/>
        </w:rPr>
        <w:t>1.2.1 采购人：见投标人须知前附表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1.2.2采购代理机构：见投标人须知前附表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1.2.3项目名称、编号、地址：见投标人须知前附表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1.2.4供货时间、地址：见投标人须知前附表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1.2.5采购需求：见投标人须知前附表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1.2.6投标人应考虑多方因素：见投标人须知前附表。</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宋体"/>
          <w:b/>
          <w:bCs/>
          <w:sz w:val="24"/>
          <w:szCs w:val="24"/>
        </w:rPr>
        <w:t>1.3</w:t>
      </w:r>
      <w:r>
        <w:rPr>
          <w:rFonts w:hint="eastAsia" w:ascii="宋体" w:hAnsi="宋体" w:cs="Arial"/>
          <w:b/>
          <w:bCs/>
          <w:kern w:val="0"/>
          <w:sz w:val="24"/>
          <w:szCs w:val="24"/>
        </w:rPr>
        <w:t>费用承担</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1.3.1招标文件费：见投标人须知前附表。</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1.3.2</w:t>
      </w:r>
      <w:r>
        <w:rPr>
          <w:rFonts w:hint="eastAsia" w:asciiTheme="majorEastAsia" w:hAnsiTheme="majorEastAsia" w:eastAsiaTheme="majorEastAsia" w:cstheme="majorEastAsia"/>
          <w:sz w:val="24"/>
          <w:szCs w:val="24"/>
        </w:rPr>
        <w:t>投标人自行承担响应招标、参加投标竞争的一切费用。不论投标的结果如何，采购人或采购代理机构在任何情况下均无义务和责任,承担因投标所发生的一切费用。</w:t>
      </w:r>
    </w:p>
    <w:p>
      <w:pPr>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1.3.3招标代理服务费由中标企业支付。</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采购代理服务费收取按照原国家计委《招标代理服务收费管理暂行办法》（计价格〔2002〕1980号）、国家发展改革委办公厅《关于招标代理服务收费有关问题的通知》（发改办价格〔2003〕857号）和国家发展改革委《关于降低部分建设项目收费标准规范收费行为等有关问题的通知》（发改价格〔2011〕534号）规定，以中标金额为基准计算并收取。中标金额在5亿元以上的代理服务费实行收费上限，货物类代理服务费上限为350万元。</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采购代理服务费用由成交供应商支付，见供应商须知前附表。</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采购代理服务费采用差额定率累进计费方式。标准如下：</w:t>
      </w:r>
    </w:p>
    <w:tbl>
      <w:tblPr>
        <w:tblStyle w:val="20"/>
        <w:tblW w:w="9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9"/>
        <w:gridCol w:w="4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pict>
                <v:line id="直接连接符 4" o:spid="_x0000_s1032" o:spt="20" style="position:absolute;left:0pt;margin-left:-4.05pt;margin-top:-4.8pt;height:75.75pt;width:233.6pt;z-index:251667456;mso-width-relative:page;mso-height-relative:page;" filled="f" stroked="t" coordsize="21600,21600" o:gfxdata="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JzruE2gAAAAkBAAAPAAAAAAAAAAEAIAAAACIAAABkcnMvZG93&#10;bnJldi54bWxQSwECFAAUAAAACACHTuJAN5v9Cv4BAAD4AwAADgAAAAAAAAABACAAAAApAQAAZHJz&#10;L2Uyb0RvYy54bWxQSwUGAAAAAAYABgBZAQAAmQUAAAAA&#10;">
                  <v:path arrowok="t"/>
                  <v:fill on="f" focussize="0,0"/>
                  <v:stroke weight="0.25pt" color="#000000" joinstyle="round"/>
                  <v:imagedata o:title=""/>
                  <o:lock v:ext="edit" aspectratio="f"/>
                </v:line>
              </w:pict>
            </w:r>
            <w:r>
              <w:rPr>
                <w:rFonts w:hint="eastAsia" w:ascii="宋体" w:hAnsi="宋体" w:cs="Arial"/>
                <w:kern w:val="0"/>
                <w:sz w:val="24"/>
                <w:szCs w:val="24"/>
              </w:rPr>
              <w:pict>
                <v:line id="直接连接符 2" o:spid="_x0000_s1033" o:spt="20" style="position:absolute;left:0pt;margin-left:-5.65pt;margin-top:-4.9pt;height:30.65pt;width:233.75pt;z-index:251666432;mso-width-relative:page;mso-height-relative:page;" filled="f" stroked="t" coordsize="21600,21600" o:gfxdata="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AY4HazZAAAACQEAAA8AAAAAAAAAAQAgAAAAIgAAAGRycy9kb3ducmV2&#10;LnhtbFBLAQIUABQAAAAIAIdO4kCusLUd+wEAAPgDAAAOAAAAAAAAAAEAIAAAACgBAABkcnMvZTJv&#10;RG9jLnhtbFBLBQYAAAAABgAGAFkBAACVBQAAAAA=&#10;">
                  <v:path arrowok="t"/>
                  <v:fill on="f" focussize="0,0"/>
                  <v:stroke weight="0.25pt" color="#000000" joinstyle="round"/>
                  <v:imagedata o:title=""/>
                  <o:lock v:ext="edit" aspectratio="f"/>
                </v:line>
              </w:pict>
            </w:r>
            <w:r>
              <w:rPr>
                <w:rFonts w:hint="eastAsia" w:ascii="宋体" w:hAnsi="宋体" w:cs="Arial"/>
                <w:kern w:val="0"/>
                <w:sz w:val="24"/>
                <w:szCs w:val="24"/>
              </w:rPr>
              <w:t>服务类型</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 xml:space="preserve">                             费率</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中标金额（万元）</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货物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100以下</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100-500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500-1000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1000-5000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5000-10000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10000-100000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1000000以上</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0.01%</w:t>
            </w:r>
          </w:p>
        </w:tc>
      </w:tr>
    </w:tbl>
    <w:p>
      <w:pPr>
        <w:widowControl/>
        <w:shd w:val="clear" w:color="auto" w:fill="FFFFFF"/>
        <w:snapToGrid w:val="0"/>
        <w:spacing w:line="360" w:lineRule="auto"/>
        <w:rPr>
          <w:rFonts w:ascii="宋体" w:hAnsi="宋体" w:cs="Arial"/>
          <w:color w:val="0000FF"/>
          <w:kern w:val="0"/>
          <w:sz w:val="24"/>
          <w:szCs w:val="24"/>
        </w:rPr>
      </w:pPr>
    </w:p>
    <w:p>
      <w:pPr>
        <w:pStyle w:val="7"/>
        <w:spacing w:line="360" w:lineRule="auto"/>
        <w:ind w:firstLine="480" w:firstLineChars="200"/>
        <w:rPr>
          <w:color w:val="auto"/>
        </w:rPr>
      </w:pPr>
      <w:r>
        <w:rPr>
          <w:rFonts w:hint="eastAsia" w:ascii="宋体" w:hAnsi="宋体" w:cs="Arial"/>
          <w:color w:val="auto"/>
          <w:kern w:val="0"/>
          <w:sz w:val="24"/>
          <w:szCs w:val="24"/>
        </w:rPr>
        <w:t>1.</w:t>
      </w:r>
      <w:r>
        <w:rPr>
          <w:rFonts w:hint="eastAsia" w:asciiTheme="majorEastAsia" w:hAnsiTheme="majorEastAsia" w:eastAsiaTheme="majorEastAsia" w:cstheme="majorEastAsia"/>
          <w:kern w:val="2"/>
          <w:sz w:val="24"/>
          <w:szCs w:val="24"/>
          <w:lang w:val="en-US" w:eastAsia="zh-CN" w:bidi="ar-SA"/>
        </w:rPr>
        <w:t>3.4如中标企业未按规定缴纳招标代理服务费，中标企业承诺同意应当支付的招标代理服务费从提交的投标保证金内抵销。</w:t>
      </w:r>
    </w:p>
    <w:p>
      <w:pPr>
        <w:pStyle w:val="10"/>
        <w:numPr>
          <w:ilvl w:val="0"/>
          <w:numId w:val="0"/>
        </w:numPr>
      </w:pPr>
    </w:p>
    <w:p>
      <w:pPr>
        <w:widowControl/>
        <w:shd w:val="clear" w:color="auto" w:fill="FFFFFF"/>
        <w:snapToGrid w:val="0"/>
        <w:spacing w:line="360" w:lineRule="auto"/>
        <w:rPr>
          <w:rFonts w:hint="eastAsia" w:ascii="宋体" w:hAnsi="宋体" w:eastAsia="宋体" w:cs="Arial"/>
          <w:b/>
          <w:bCs/>
          <w:kern w:val="0"/>
          <w:sz w:val="24"/>
          <w:szCs w:val="24"/>
          <w:lang w:eastAsia="zh-CN"/>
        </w:rPr>
      </w:pPr>
      <w:r>
        <w:rPr>
          <w:rFonts w:ascii="宋体" w:hAnsi="宋体" w:cs="Arial"/>
          <w:b/>
          <w:bCs/>
          <w:kern w:val="0"/>
          <w:sz w:val="24"/>
          <w:szCs w:val="24"/>
        </w:rPr>
        <w:t>1.</w:t>
      </w:r>
      <w:r>
        <w:rPr>
          <w:rFonts w:hint="eastAsia" w:ascii="宋体" w:hAnsi="宋体" w:cs="Arial"/>
          <w:b/>
          <w:bCs/>
          <w:kern w:val="0"/>
          <w:sz w:val="24"/>
          <w:szCs w:val="24"/>
        </w:rPr>
        <w:t>4投标保证金</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1.4.1按有关规定，投标保证金为预算价的</w:t>
      </w:r>
      <w:r>
        <w:rPr>
          <w:rFonts w:hint="eastAsia" w:asciiTheme="majorEastAsia" w:hAnsiTheme="majorEastAsia" w:eastAsiaTheme="majorEastAsia" w:cstheme="majorEastAsia"/>
          <w:sz w:val="24"/>
          <w:szCs w:val="24"/>
          <w:lang w:val="en-US" w:eastAsia="zh-CN"/>
        </w:rPr>
        <w:t>2%以内</w:t>
      </w:r>
      <w:r>
        <w:rPr>
          <w:rFonts w:hint="eastAsia" w:asciiTheme="majorEastAsia" w:hAnsiTheme="majorEastAsia" w:eastAsiaTheme="majorEastAsia" w:cstheme="majorEastAsia"/>
          <w:sz w:val="24"/>
          <w:szCs w:val="24"/>
        </w:rPr>
        <w:t>。投标人在提交投标文件时，应提交不少于《投标人须知前附表》第</w:t>
      </w:r>
      <w:r>
        <w:rPr>
          <w:rFonts w:hint="eastAsia" w:asciiTheme="majorEastAsia" w:hAnsiTheme="majorEastAsia" w:eastAsiaTheme="majorEastAsia" w:cstheme="majorEastAsia"/>
          <w:sz w:val="24"/>
          <w:szCs w:val="24"/>
          <w:u w:val="single"/>
        </w:rPr>
        <w:t xml:space="preserve"> 8</w:t>
      </w:r>
      <w:r>
        <w:rPr>
          <w:rFonts w:hint="eastAsia" w:asciiTheme="majorEastAsia" w:hAnsiTheme="majorEastAsia" w:eastAsiaTheme="majorEastAsia" w:cstheme="majorEastAsia"/>
          <w:sz w:val="24"/>
          <w:szCs w:val="24"/>
        </w:rPr>
        <w:t>条约定的投标保证金数额，按要求缴纳；并作为其投标的一部分。</w:t>
      </w:r>
    </w:p>
    <w:p>
      <w:pPr>
        <w:spacing w:line="360" w:lineRule="auto"/>
        <w:ind w:firstLine="241" w:firstLineChars="100"/>
        <w:jc w:val="left"/>
        <w:rPr>
          <w:rFonts w:ascii="宋体" w:hAnsi="宋体"/>
          <w:b/>
          <w:bCs/>
          <w:kern w:val="0"/>
          <w:sz w:val="24"/>
          <w:szCs w:val="24"/>
        </w:rPr>
      </w:pPr>
      <w:r>
        <w:rPr>
          <w:rFonts w:hint="eastAsia" w:ascii="宋体" w:hAnsi="宋体" w:cs="宋体"/>
          <w:b/>
          <w:bCs/>
          <w:color w:val="111111"/>
          <w:sz w:val="24"/>
          <w:szCs w:val="24"/>
          <w:shd w:val="clear" w:color="auto" w:fill="FFFFFF"/>
        </w:rPr>
        <w:t>（1）</w:t>
      </w:r>
      <w:r>
        <w:rPr>
          <w:rFonts w:hint="eastAsia" w:ascii="宋体" w:hAnsi="宋体"/>
          <w:b/>
          <w:bCs/>
          <w:kern w:val="0"/>
          <w:sz w:val="24"/>
          <w:szCs w:val="24"/>
        </w:rPr>
        <w:t>投标保证金额缴纳形式：</w:t>
      </w:r>
      <w:r>
        <w:rPr>
          <w:rFonts w:hint="eastAsia" w:ascii="宋体" w:hAnsi="宋体" w:eastAsia="宋体" w:cs="宋体"/>
          <w:color w:val="auto"/>
          <w:kern w:val="0"/>
          <w:sz w:val="24"/>
          <w:szCs w:val="24"/>
          <w:lang w:val="en-US" w:eastAsia="zh-CN" w:bidi="ar-SA"/>
        </w:rPr>
        <w:t>转账、支票、汇票、本票、或者金融机构、担保机构出具的保函等。</w:t>
      </w:r>
    </w:p>
    <w:p>
      <w:pPr>
        <w:keepNext/>
        <w:widowControl/>
        <w:spacing w:line="360" w:lineRule="auto"/>
        <w:ind w:firstLine="241" w:firstLineChars="100"/>
        <w:jc w:val="left"/>
        <w:rPr>
          <w:rFonts w:hint="eastAsia" w:ascii="宋体" w:hAnsi="宋体" w:eastAsia="宋体" w:cs="Times New Roman"/>
          <w:b/>
          <w:bCs/>
          <w:kern w:val="0"/>
          <w:sz w:val="24"/>
          <w:szCs w:val="24"/>
        </w:rPr>
      </w:pPr>
      <w:r>
        <w:rPr>
          <w:rFonts w:hint="eastAsia" w:ascii="宋体" w:hAnsi="宋体" w:cs="宋体"/>
          <w:b/>
          <w:bCs/>
          <w:color w:val="111111"/>
          <w:sz w:val="24"/>
          <w:szCs w:val="24"/>
          <w:shd w:val="clear" w:color="auto" w:fill="FFFFFF"/>
        </w:rPr>
        <w:t>（2）</w:t>
      </w:r>
      <w:r>
        <w:rPr>
          <w:rFonts w:hint="eastAsia" w:ascii="宋体" w:hAnsi="宋体" w:eastAsia="宋体" w:cs="Times New Roman"/>
          <w:b/>
          <w:bCs/>
          <w:kern w:val="0"/>
          <w:sz w:val="24"/>
          <w:szCs w:val="24"/>
        </w:rPr>
        <w:t>递交时间：在投标文件截止时间前提交(以银行到账信息</w:t>
      </w:r>
      <w:r>
        <w:rPr>
          <w:rFonts w:hint="eastAsia" w:ascii="宋体" w:hAnsi="宋体" w:cs="Times New Roman"/>
          <w:b/>
          <w:bCs/>
          <w:kern w:val="0"/>
          <w:sz w:val="24"/>
          <w:szCs w:val="24"/>
          <w:lang w:val="en-US" w:eastAsia="zh-CN"/>
        </w:rPr>
        <w:t>或开具保函时间</w:t>
      </w:r>
      <w:r>
        <w:rPr>
          <w:rFonts w:hint="eastAsia" w:ascii="宋体" w:hAnsi="宋体" w:eastAsia="宋体" w:cs="Times New Roman"/>
          <w:b/>
          <w:bCs/>
          <w:kern w:val="0"/>
          <w:sz w:val="24"/>
          <w:szCs w:val="24"/>
        </w:rPr>
        <w:t>为准）；</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1.4.2 采购人投标保证金退还</w:t>
      </w:r>
    </w:p>
    <w:p>
      <w:pPr>
        <w:spacing w:line="360" w:lineRule="auto"/>
        <w:ind w:firstLine="480" w:firstLineChars="200"/>
        <w:jc w:val="left"/>
        <w:rPr>
          <w:rFonts w:ascii="宋体" w:hAns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1</w:t>
      </w:r>
      <w:r>
        <w:rPr>
          <w:rFonts w:hint="eastAsia" w:ascii="宋体" w:hAnsi="宋体" w:cs="宋体"/>
          <w:sz w:val="24"/>
          <w:szCs w:val="24"/>
        </w:rPr>
        <w:t>）投标人在投标截止时间前撤回已提交的投标文件的，采购人或者采购代理机构应当自收到投标人书面撤回通知之日起5个工作日内，退还已收取的投标保证金，但因投标人自身原因导致无法及时退还的除外。</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宋体" w:hAnsi="宋体" w:cs="宋体"/>
          <w:sz w:val="24"/>
          <w:szCs w:val="24"/>
        </w:rPr>
        <w:t>（</w:t>
      </w:r>
      <w:r>
        <w:rPr>
          <w:rFonts w:hint="eastAsia" w:ascii="宋体" w:hAnsi="宋体" w:cs="宋体"/>
          <w:sz w:val="24"/>
          <w:szCs w:val="24"/>
          <w:lang w:val="en-US" w:eastAsia="zh-CN"/>
        </w:rPr>
        <w:t>2</w:t>
      </w:r>
      <w:r>
        <w:rPr>
          <w:rFonts w:hint="eastAsia" w:ascii="宋体" w:hAnsi="宋体" w:cs="宋体"/>
          <w:sz w:val="24"/>
          <w:szCs w:val="24"/>
        </w:rPr>
        <w:t>）中标企业自收到中标通知书之日三十日内与采购人签订《协议》，并根据采购人实际需要与采购人《疫苗采购供应合同》。自采购合同签订之日并送一份《协议》、《疫苗采购供应合同》原件及履约保函复印件加盖公章给采购代理机构，按每标包，单个中标产品的合同实际总金额计算招标代理服务费，成功缴纳后，5个工作日内退还该中标企业的投标保证金或者转为中标人的履约保证金。</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1.4.3 投标保证金有效期与投标有效期一致。</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1.4.4 不予退还投标保证金的情形：</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（1）投标人在规定的投标有效期内撤销或修改其投标文件的；</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（2）中标人在收到中标通知书后，无正当理由拒签合同协议书或在签订合同时提出附加条件或者更改合同实质性内容的；</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（3）未按招标文件规定提交履约保证金的。</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1.4.5下列任何情况发生时，情节严重的，由采购人或招标代理机构上报相关财政监督部门，将其列入不良行为记录名单，在一至三年内禁止参加政府采购活动，并予以通报：</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（1）投标人在投标有效期内采用不正当的手段扰乱招投标秩序；</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（2）将中标项目转让给他人，或者在投标文件中未说明，且未经批准，将中标项目分包给他人的； </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（3）拒绝履行合同义务的；</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1.5投标有效期：</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出现特殊情况需要延长投标有效期的，采购人将通知所有投标人延长投标有效期。投标人同意延长的，应当相应延长其投标保证金的有效期，但不得要求或被允许修改或撤销其投标文件；投标人拒绝延长的，其投标失效，但投标人有权收回其投标保证金。</w:t>
      </w:r>
    </w:p>
    <w:p>
      <w:pPr>
        <w:pStyle w:val="7"/>
      </w:pPr>
    </w:p>
    <w:p>
      <w:pPr>
        <w:widowControl/>
        <w:shd w:val="clear" w:color="auto" w:fill="FFFFFF"/>
        <w:snapToGrid w:val="0"/>
        <w:spacing w:line="360" w:lineRule="auto"/>
        <w:rPr>
          <w:rFonts w:ascii="宋体" w:hAnsi="宋体" w:cs="Arial"/>
          <w:b/>
          <w:bCs/>
          <w:kern w:val="0"/>
          <w:sz w:val="24"/>
          <w:szCs w:val="24"/>
        </w:rPr>
      </w:pPr>
      <w:r>
        <w:rPr>
          <w:rFonts w:hint="eastAsia" w:ascii="宋体" w:hAnsi="宋体" w:cs="Arial"/>
          <w:b/>
          <w:bCs/>
          <w:kern w:val="0"/>
          <w:sz w:val="24"/>
          <w:szCs w:val="24"/>
        </w:rPr>
        <w:t>1.6踏勘现场</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.1 </w:t>
      </w:r>
      <w:r>
        <w:rPr>
          <w:rFonts w:hint="eastAsia" w:ascii="宋体" w:hAnsi="宋体" w:cs="Arial"/>
          <w:kern w:val="0"/>
          <w:sz w:val="24"/>
          <w:szCs w:val="24"/>
        </w:rPr>
        <w:t>投标人须知前附表规定组织踏勘现场的，采购人或采购代理机构按投标人须知前附表规定的时间、地点组织投标人踏勘项目现场。</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.2 </w:t>
      </w:r>
      <w:r>
        <w:rPr>
          <w:rFonts w:hint="eastAsia" w:ascii="宋体" w:hAnsi="宋体" w:cs="Arial"/>
          <w:kern w:val="0"/>
          <w:sz w:val="24"/>
          <w:szCs w:val="24"/>
        </w:rPr>
        <w:t>投标人踏勘现场发生的费用自理。</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.3 </w:t>
      </w:r>
      <w:r>
        <w:rPr>
          <w:rFonts w:hint="eastAsia" w:ascii="宋体" w:hAnsi="宋体" w:cs="Arial"/>
          <w:kern w:val="0"/>
          <w:sz w:val="24"/>
          <w:szCs w:val="24"/>
        </w:rPr>
        <w:t>除采购人或采购代理机构的原因外，投标人自行负责在踏勘现场中所发生的人员伤亡和财产损失。</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.4 </w:t>
      </w:r>
      <w:r>
        <w:rPr>
          <w:rFonts w:hint="eastAsia" w:ascii="宋体" w:hAnsi="宋体" w:cs="Arial"/>
          <w:kern w:val="0"/>
          <w:sz w:val="24"/>
          <w:szCs w:val="24"/>
        </w:rPr>
        <w:t>采购人或采购代理机构在踏勘现场中介绍的项目有关情况，供投标人在编制投标文件时参考，采购人或采购代理机构不对投标人据此作出的判断和决策负责。</w:t>
      </w:r>
    </w:p>
    <w:p>
      <w:pPr>
        <w:widowControl/>
        <w:shd w:val="clear" w:color="auto" w:fill="FFFFFF"/>
        <w:snapToGrid w:val="0"/>
        <w:spacing w:line="360" w:lineRule="auto"/>
        <w:ind w:firstLine="480" w:firstLineChars="200"/>
        <w:rPr>
          <w:rFonts w:ascii="宋体" w:hAns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w:t>
      </w:r>
      <w:r>
        <w:rPr>
          <w:rFonts w:hint="eastAsia" w:ascii="宋体" w:hAnsi="宋体" w:cs="Arial"/>
          <w:kern w:val="0"/>
          <w:sz w:val="24"/>
          <w:szCs w:val="24"/>
        </w:rPr>
        <w:t>5本项目不组织现场考察或者开答疑会。</w:t>
      </w:r>
    </w:p>
    <w:p>
      <w:pPr>
        <w:widowControl/>
        <w:shd w:val="clear" w:color="auto" w:fill="FFFFFF"/>
        <w:snapToGrid w:val="0"/>
        <w:spacing w:line="360" w:lineRule="auto"/>
        <w:rPr>
          <w:rFonts w:ascii="宋体" w:cs="Arial"/>
          <w:b/>
          <w:bCs/>
          <w:kern w:val="0"/>
          <w:sz w:val="24"/>
          <w:szCs w:val="24"/>
        </w:rPr>
      </w:pPr>
      <w:r>
        <w:rPr>
          <w:rFonts w:hint="eastAsia" w:ascii="宋体" w:hAnsi="宋体" w:cs="宋体"/>
          <w:b/>
          <w:bCs/>
          <w:sz w:val="24"/>
          <w:szCs w:val="24"/>
        </w:rPr>
        <w:t>1.7</w:t>
      </w:r>
      <w:r>
        <w:rPr>
          <w:rFonts w:hint="eastAsia" w:ascii="宋体" w:hAnsi="宋体" w:cs="Arial"/>
          <w:b/>
          <w:bCs/>
          <w:kern w:val="0"/>
          <w:sz w:val="24"/>
          <w:szCs w:val="24"/>
        </w:rPr>
        <w:t>投标人存在下列情况之一的，投标无效：</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1.7.1未按照招标文件的规定提交投标保证金的；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1.7.2投标文件未按招标文件要求签署、盖章的；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1.7.3</w:t>
      </w:r>
      <w:r>
        <w:rPr>
          <w:rFonts w:hint="eastAsia" w:ascii="宋体" w:cs="Arial"/>
          <w:kern w:val="0"/>
          <w:sz w:val="24"/>
          <w:szCs w:val="24"/>
        </w:rPr>
        <w:t>不具备招标文件中规定的资格要求的；</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1.7.4报价超过招标文件中规定的预算金额或者最高限价的；</w:t>
      </w:r>
    </w:p>
    <w:p>
      <w:pPr>
        <w:widowControl/>
        <w:shd w:val="clear" w:color="auto" w:fill="FFFFFF"/>
        <w:tabs>
          <w:tab w:val="left" w:pos="754"/>
        </w:tabs>
        <w:snapToGrid w:val="0"/>
        <w:spacing w:line="360" w:lineRule="auto"/>
        <w:ind w:firstLine="480" w:firstLineChars="200"/>
        <w:rPr>
          <w:rFonts w:ascii="宋体" w:cs="Arial"/>
          <w:kern w:val="0"/>
          <w:sz w:val="24"/>
          <w:szCs w:val="24"/>
        </w:rPr>
      </w:pPr>
      <w:r>
        <w:rPr>
          <w:rFonts w:hint="eastAsia" w:ascii="宋体" w:hAnsi="宋体" w:cs="Arial"/>
          <w:kern w:val="0"/>
          <w:sz w:val="24"/>
          <w:szCs w:val="24"/>
        </w:rPr>
        <w:t>1.</w:t>
      </w:r>
      <w:r>
        <w:rPr>
          <w:rFonts w:hint="eastAsia" w:ascii="宋体" w:hAnsi="宋体" w:cs="Arial"/>
          <w:kern w:val="0"/>
          <w:sz w:val="24"/>
          <w:szCs w:val="24"/>
        </w:rPr>
        <w:tab/>
      </w:r>
      <w:r>
        <w:rPr>
          <w:rFonts w:hint="eastAsia" w:ascii="宋体" w:hAnsi="宋体" w:cs="Arial"/>
          <w:kern w:val="0"/>
          <w:sz w:val="24"/>
          <w:szCs w:val="24"/>
        </w:rPr>
        <w:t>7.5投标文件含有采购人不能接受的附加条件的；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1.7.6</w:t>
      </w:r>
      <w:r>
        <w:rPr>
          <w:rFonts w:hint="eastAsia" w:ascii="宋体" w:cs="Arial"/>
          <w:kern w:val="0"/>
          <w:sz w:val="24"/>
          <w:szCs w:val="24"/>
        </w:rPr>
        <w:t>不具备招标文件中规定的资格要求的；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1.7.7与采购人存在利害关系可能影响招标公正性的法人、其他组织或者个人的；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1.7.8单位负责人为同一人或者存在控股、管理关系的不同单位，参加同一标段投标或者未划分标段的同一招标项目投标的；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1.7.9法定代表人为同一个人的两个及两个以上法人，母公司、全资子公司及其控股公司，参加同一标段投标或者未划分标段的同一招标项目投标的；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1.7.10被责令停业的；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1.7.11被暂停或取消投标资格的；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1.7.12财产被接管或冻结的；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1.7.13在最近三年内有骗取中标或严重违约或重大质量问题的；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1.7.14投标文件中有弄虚作假的内容，其投标文件作废（假证书、假业绩、隐瞒不良行为记录、夸大荣誉）；</w:t>
      </w:r>
    </w:p>
    <w:p>
      <w:pPr>
        <w:pStyle w:val="7"/>
        <w:spacing w:line="360" w:lineRule="auto"/>
        <w:ind w:firstLine="480" w:firstLineChars="200"/>
        <w:rPr>
          <w:rFonts w:ascii="宋体" w:hAnsi="宋体" w:cs="@仿宋_GB2312"/>
          <w:sz w:val="24"/>
          <w:szCs w:val="18"/>
        </w:rPr>
      </w:pPr>
      <w:r>
        <w:rPr>
          <w:rFonts w:hint="eastAsia" w:ascii="宋体" w:hAnsi="宋体" w:cs="Arial"/>
          <w:kern w:val="0"/>
          <w:sz w:val="24"/>
          <w:szCs w:val="24"/>
        </w:rPr>
        <w:t>1.7.15法律、规定和招标文件规定的其他无效情形</w:t>
      </w:r>
    </w:p>
    <w:p>
      <w:pPr>
        <w:widowControl/>
        <w:shd w:val="clear" w:color="auto" w:fill="FFFFFF"/>
        <w:snapToGrid w:val="0"/>
        <w:spacing w:line="360" w:lineRule="auto"/>
        <w:rPr>
          <w:rFonts w:ascii="宋体" w:cs="Arial"/>
          <w:b/>
          <w:bCs/>
          <w:kern w:val="0"/>
          <w:sz w:val="24"/>
          <w:szCs w:val="24"/>
        </w:rPr>
      </w:pPr>
      <w:r>
        <w:rPr>
          <w:rFonts w:hint="eastAsia" w:ascii="宋体" w:hAnsi="宋体" w:cs="宋体"/>
          <w:b/>
          <w:bCs/>
          <w:sz w:val="24"/>
          <w:szCs w:val="24"/>
        </w:rPr>
        <w:t>1.8 投标人应具备承担本招标项目的资格条件和能力：</w:t>
      </w:r>
    </w:p>
    <w:p>
      <w:pPr>
        <w:spacing w:line="360" w:lineRule="auto"/>
        <w:ind w:firstLine="480" w:firstLineChars="200"/>
        <w:rPr>
          <w:rFonts w:ascii="宋体" w:hAnsi="宋体" w:cs="宋体"/>
          <w:kern w:val="0"/>
          <w:sz w:val="24"/>
          <w:szCs w:val="24"/>
        </w:rPr>
      </w:pPr>
      <w:r>
        <w:rPr>
          <w:rFonts w:hint="eastAsia" w:ascii="宋体" w:hAnsi="宋体" w:cs="宋体"/>
          <w:sz w:val="24"/>
          <w:szCs w:val="24"/>
        </w:rPr>
        <w:t>1.8.1投标人的资格要求见投标人须知前附表</w:t>
      </w:r>
      <w:r>
        <w:rPr>
          <w:rFonts w:hint="eastAsia" w:ascii="宋体" w:hAnsi="宋体" w:cs="宋体"/>
          <w:kern w:val="0"/>
          <w:sz w:val="24"/>
          <w:szCs w:val="24"/>
        </w:rPr>
        <w:t>；</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.2具有良好的商业信誉和健全的财务会计制度</w:t>
      </w:r>
      <w:r>
        <w:rPr>
          <w:rFonts w:hint="eastAsia" w:ascii="宋体" w:hAnsi="宋体" w:cs="宋体"/>
          <w:color w:val="000000" w:themeColor="text1"/>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(1)会计师事务所出具的202</w:t>
      </w:r>
      <w:r>
        <w:rPr>
          <w:rFonts w:hint="eastAsia" w:ascii="宋体" w:hAnsi="宋体" w:cs="宋体"/>
          <w:sz w:val="24"/>
          <w:szCs w:val="24"/>
          <w:lang w:val="en-US" w:eastAsia="zh-CN"/>
        </w:rPr>
        <w:t>1</w:t>
      </w:r>
      <w:r>
        <w:rPr>
          <w:rFonts w:hint="eastAsia" w:ascii="宋体" w:hAnsi="宋体" w:cs="宋体"/>
          <w:sz w:val="24"/>
          <w:szCs w:val="24"/>
        </w:rPr>
        <w:t>年度财务审计报告</w:t>
      </w:r>
      <w:r>
        <w:rPr>
          <w:rFonts w:hint="eastAsia" w:ascii="宋体" w:hAnsi="宋体" w:cs="宋体"/>
          <w:sz w:val="24"/>
          <w:szCs w:val="24"/>
          <w:lang w:eastAsia="zh-CN"/>
        </w:rPr>
        <w:t>或财务报表</w:t>
      </w:r>
      <w:r>
        <w:rPr>
          <w:rFonts w:hint="eastAsia" w:ascii="宋体" w:hAnsi="宋体" w:cs="宋体"/>
          <w:sz w:val="24"/>
          <w:szCs w:val="24"/>
        </w:rPr>
        <w:t>（报告中须包括资产负债表、利润表、现金流量表及财务报表附注）；</w:t>
      </w:r>
    </w:p>
    <w:p>
      <w:pPr>
        <w:spacing w:line="360" w:lineRule="auto"/>
        <w:ind w:firstLine="480" w:firstLineChars="200"/>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rPr>
        <w:t>(2)如果投标人为新成立单位，则需提供新企业</w:t>
      </w:r>
      <w:r>
        <w:rPr>
          <w:rFonts w:hint="eastAsia" w:ascii="宋体" w:hAnsi="宋体" w:cs="宋体"/>
          <w:color w:val="auto"/>
          <w:sz w:val="24"/>
          <w:szCs w:val="24"/>
          <w:highlight w:val="none"/>
          <w:lang w:eastAsia="zh-CN"/>
        </w:rPr>
        <w:t>成立至今的报告</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.3具有依法缴纳税收和社会保障资金的良好记录</w:t>
      </w:r>
      <w:r>
        <w:rPr>
          <w:rFonts w:hint="eastAsia" w:ascii="宋体" w:hAnsi="宋体" w:cs="宋体"/>
          <w:color w:val="000000" w:themeColor="text1"/>
          <w:sz w:val="24"/>
          <w:szCs w:val="24"/>
        </w:rPr>
        <w:t>；</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.4具有履行合同所必需的专业技术能力与人员队伍</w:t>
      </w:r>
      <w:r>
        <w:rPr>
          <w:rFonts w:hint="eastAsia" w:ascii="宋体" w:hAnsi="宋体" w:cs="宋体"/>
          <w:color w:val="000000" w:themeColor="text1"/>
          <w:sz w:val="24"/>
          <w:szCs w:val="24"/>
        </w:rPr>
        <w:t>；</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5具有良好信用，近三年内没有被监管部门予以行政处罚或有关部门予以禁入处理等记录,具有良好的信誉,诚实信用；未列入信用中国（www.creditchina.gov.cn）重大税收违法案件当事人名单，未列入中国执行信息公开网（http://zxgk.court.gov.cn/）“失信被执行”记录，未列入中国政府采购网（www.ccgp.gov.cn）政府采购严重违法失信行为记录名单；投标人近三年无因投标申请人违约或不恰当履约引起的合同终止、纠纷、争议、仲裁和公诉纪录；</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6便于招标人完成评标定标工作，资质有效期应覆盖投标有效期，资质证书报名阶段没过期，开标时可能过期时须提供资质审批部门开具的证明，证明正在履行复验程序且无导致企业资质降级或撤销是由的书面证明。</w:t>
      </w:r>
    </w:p>
    <w:p>
      <w:pPr>
        <w:pStyle w:val="7"/>
        <w:spacing w:line="360" w:lineRule="auto"/>
        <w:ind w:firstLine="480" w:firstLineChars="200"/>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.7</w:t>
      </w:r>
      <w:r>
        <w:rPr>
          <w:rFonts w:hint="eastAsia" w:ascii="宋体" w:hAnsi="宋体" w:cs="宋体"/>
          <w:color w:val="000000" w:themeColor="text1"/>
          <w:sz w:val="24"/>
          <w:szCs w:val="24"/>
        </w:rPr>
        <w:t>法律、法规规定的其他条件。</w:t>
      </w:r>
    </w:p>
    <w:p>
      <w:pPr>
        <w:pStyle w:val="7"/>
        <w:spacing w:line="360" w:lineRule="auto"/>
        <w:ind w:firstLine="480" w:firstLineChars="200"/>
        <w:rPr>
          <w:rFonts w:ascii="宋体" w:hAnsi="宋体" w:cs="宋体"/>
          <w:color w:val="000000" w:themeColor="text1"/>
          <w:sz w:val="24"/>
          <w:szCs w:val="24"/>
        </w:rPr>
      </w:pPr>
    </w:p>
    <w:p>
      <w:pPr>
        <w:widowControl/>
        <w:shd w:val="clear" w:color="auto" w:fill="FFFFFF"/>
        <w:snapToGrid w:val="0"/>
        <w:spacing w:line="360" w:lineRule="auto"/>
        <w:rPr>
          <w:rFonts w:ascii="宋体" w:cs="Arial"/>
          <w:b/>
          <w:bCs/>
          <w:kern w:val="0"/>
          <w:sz w:val="24"/>
          <w:szCs w:val="24"/>
        </w:rPr>
      </w:pPr>
      <w:r>
        <w:rPr>
          <w:rFonts w:hint="eastAsia" w:asciiTheme="majorEastAsia" w:hAnsiTheme="majorEastAsia" w:eastAsiaTheme="majorEastAsia" w:cstheme="majorEastAsia"/>
          <w:b/>
          <w:color w:val="000000" w:themeColor="text1"/>
          <w:sz w:val="24"/>
          <w:szCs w:val="24"/>
        </w:rPr>
        <w:t>1.9</w:t>
      </w:r>
      <w:r>
        <w:rPr>
          <w:rFonts w:hint="eastAsia" w:ascii="宋体" w:hAnsi="宋体" w:cs="宋体"/>
          <w:b/>
          <w:bCs/>
          <w:sz w:val="24"/>
          <w:szCs w:val="24"/>
        </w:rPr>
        <w:t>招标文件的约束力：</w:t>
      </w:r>
    </w:p>
    <w:p>
      <w:pPr>
        <w:pStyle w:val="10"/>
        <w:numPr>
          <w:ilvl w:val="0"/>
          <w:numId w:val="0"/>
        </w:numPr>
        <w:spacing w:line="360" w:lineRule="auto"/>
        <w:rPr>
          <w:rFonts w:ascii="宋体" w:hAnsi="宋体" w:eastAsia="宋体" w:cs="宋体"/>
          <w:kern w:val="0"/>
          <w:sz w:val="24"/>
          <w:szCs w:val="24"/>
        </w:rPr>
      </w:pPr>
      <w:r>
        <w:rPr>
          <w:rFonts w:hint="eastAsia" w:ascii="宋体" w:hAnsi="宋体" w:eastAsia="宋体" w:cs="宋体"/>
          <w:sz w:val="24"/>
          <w:szCs w:val="24"/>
        </w:rPr>
        <w:t xml:space="preserve">    投标人报名参与本项目即被认可接受本招标文件中的所有条款和规定。</w:t>
      </w:r>
    </w:p>
    <w:p>
      <w:pPr>
        <w:pStyle w:val="2"/>
        <w:rPr>
          <w:rFonts w:cs="宋体"/>
          <w:color w:val="000000"/>
          <w:kern w:val="0"/>
          <w:sz w:val="24"/>
        </w:rPr>
      </w:pP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6" w:name="_Toc13635"/>
      <w:bookmarkStart w:id="7" w:name="_Toc25582"/>
      <w:r>
        <w:rPr>
          <w:rFonts w:hint="eastAsia" w:ascii="宋体" w:hAnsi="宋体" w:cs="宋体"/>
          <w:b/>
          <w:sz w:val="24"/>
          <w:szCs w:val="24"/>
        </w:rPr>
        <w:t xml:space="preserve">第二节 </w:t>
      </w:r>
      <w:bookmarkEnd w:id="6"/>
      <w:r>
        <w:rPr>
          <w:rFonts w:hint="eastAsia" w:ascii="宋体" w:hAnsi="宋体" w:cs="宋体"/>
          <w:b/>
          <w:sz w:val="24"/>
          <w:szCs w:val="24"/>
        </w:rPr>
        <w:t>招标文件</w:t>
      </w:r>
      <w:bookmarkEnd w:id="7"/>
    </w:p>
    <w:p>
      <w:pPr>
        <w:widowControl/>
        <w:shd w:val="clear" w:color="auto" w:fill="FFFFFF"/>
        <w:snapToGrid w:val="0"/>
        <w:spacing w:line="360" w:lineRule="auto"/>
        <w:rPr>
          <w:rFonts w:ascii="宋体" w:cs="Arial"/>
          <w:b/>
          <w:bCs/>
          <w:kern w:val="0"/>
          <w:sz w:val="24"/>
          <w:szCs w:val="24"/>
        </w:rPr>
      </w:pPr>
      <w:r>
        <w:rPr>
          <w:rFonts w:ascii="宋体" w:hAnsi="宋体" w:cs="Arial"/>
          <w:b/>
          <w:bCs/>
          <w:kern w:val="0"/>
          <w:sz w:val="24"/>
          <w:szCs w:val="24"/>
        </w:rPr>
        <w:t xml:space="preserve">2.1 </w:t>
      </w:r>
      <w:r>
        <w:rPr>
          <w:rFonts w:hint="eastAsia" w:ascii="宋体" w:hAnsi="宋体" w:cs="Arial"/>
          <w:b/>
          <w:bCs/>
          <w:kern w:val="0"/>
          <w:sz w:val="24"/>
          <w:szCs w:val="24"/>
        </w:rPr>
        <w:t>招标文件的组成</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2.1.1招标公告；</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2.1.2投标人须知前附表；</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2.1.3投标人须知</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2.1.4技术标准和服务要求；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2.1.5投标文件格式（附文件后）；</w:t>
      </w:r>
    </w:p>
    <w:p>
      <w:pPr>
        <w:pStyle w:val="7"/>
      </w:pPr>
    </w:p>
    <w:p>
      <w:pPr>
        <w:widowControl/>
        <w:shd w:val="clear" w:color="auto" w:fill="FFFFFF"/>
        <w:snapToGrid w:val="0"/>
        <w:spacing w:line="360" w:lineRule="auto"/>
        <w:rPr>
          <w:rFonts w:ascii="宋体" w:cs="Arial"/>
          <w:b/>
          <w:bCs/>
          <w:kern w:val="0"/>
          <w:sz w:val="24"/>
          <w:szCs w:val="24"/>
        </w:rPr>
      </w:pPr>
      <w:r>
        <w:rPr>
          <w:rFonts w:ascii="宋体" w:hAnsi="宋体" w:cs="Arial"/>
          <w:b/>
          <w:bCs/>
          <w:kern w:val="0"/>
          <w:sz w:val="24"/>
          <w:szCs w:val="24"/>
        </w:rPr>
        <w:t>2.</w:t>
      </w:r>
      <w:r>
        <w:rPr>
          <w:rFonts w:hint="eastAsia" w:ascii="宋体" w:hAnsi="宋体" w:cs="Arial"/>
          <w:b/>
          <w:bCs/>
          <w:kern w:val="0"/>
          <w:sz w:val="24"/>
          <w:szCs w:val="24"/>
        </w:rPr>
        <w:t>2招标文件的澄清</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2</w:t>
      </w:r>
      <w:r>
        <w:rPr>
          <w:rFonts w:ascii="宋体" w:hAnsi="宋体" w:cs="Arial"/>
          <w:kern w:val="0"/>
          <w:sz w:val="24"/>
          <w:szCs w:val="24"/>
        </w:rPr>
        <w:t xml:space="preserve">.1 </w:t>
      </w:r>
      <w:r>
        <w:rPr>
          <w:rFonts w:hint="eastAsia" w:ascii="宋体" w:hAnsi="宋体" w:cs="Arial"/>
          <w:kern w:val="0"/>
          <w:sz w:val="24"/>
          <w:szCs w:val="24"/>
        </w:rPr>
        <w:t>投标人应当仔细阅读和检查招标文件的全部内容。如发现缺页或附件不全，应当及时向采购代理机构提出，以便补齐。如有疑问，应当在投标人须知前附表规定的时间、方式向采购代理机构提出，要求采购代理机构对招标文件予以澄清。</w:t>
      </w:r>
    </w:p>
    <w:p>
      <w:pPr>
        <w:widowControl/>
        <w:shd w:val="clear" w:color="auto" w:fill="FFFFFF"/>
        <w:snapToGrid w:val="0"/>
        <w:spacing w:line="360" w:lineRule="auto"/>
        <w:ind w:firstLine="480" w:firstLineChars="200"/>
        <w:rPr>
          <w:rFonts w:ascii="宋体" w:hAnsi="宋体" w:cs="Arial"/>
          <w:kern w:val="0"/>
          <w:sz w:val="24"/>
          <w:szCs w:val="24"/>
        </w:rPr>
      </w:pPr>
      <w:r>
        <w:rPr>
          <w:rFonts w:ascii="宋体" w:hAnsi="宋体" w:cs="Arial"/>
          <w:kern w:val="0"/>
          <w:sz w:val="24"/>
          <w:szCs w:val="24"/>
        </w:rPr>
        <w:t>2.</w:t>
      </w:r>
      <w:r>
        <w:rPr>
          <w:rFonts w:hint="eastAsia" w:ascii="宋体" w:hAnsi="宋体" w:cs="Arial"/>
          <w:kern w:val="0"/>
          <w:sz w:val="24"/>
          <w:szCs w:val="24"/>
        </w:rPr>
        <w:t>2</w:t>
      </w:r>
      <w:r>
        <w:rPr>
          <w:rFonts w:ascii="宋体" w:hAnsi="宋体" w:cs="Arial"/>
          <w:kern w:val="0"/>
          <w:sz w:val="24"/>
          <w:szCs w:val="24"/>
        </w:rPr>
        <w:t xml:space="preserve">.2 </w:t>
      </w:r>
      <w:r>
        <w:rPr>
          <w:rFonts w:hint="eastAsia" w:ascii="宋体" w:hAnsi="宋体" w:cs="Arial"/>
          <w:kern w:val="0"/>
          <w:sz w:val="24"/>
          <w:szCs w:val="24"/>
        </w:rPr>
        <w:t>招标文件的澄清将按照投标人须知前附表规定的时间、方式发布，但不指明澄清问题的来源。</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2.3招标文件的修改</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.1 </w:t>
      </w:r>
      <w:r>
        <w:rPr>
          <w:rFonts w:hint="eastAsia" w:ascii="宋体" w:hAnsi="宋体" w:cs="Arial"/>
          <w:kern w:val="0"/>
          <w:sz w:val="24"/>
          <w:szCs w:val="24"/>
        </w:rPr>
        <w:t>招标文件的修改将按照投标人须知前附表规定的时间、方式发布，但不指明澄清问题的来源。</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.2 </w:t>
      </w:r>
      <w:r>
        <w:rPr>
          <w:rFonts w:hint="eastAsia" w:ascii="宋体" w:hAnsi="宋体" w:cs="Arial"/>
          <w:kern w:val="0"/>
          <w:sz w:val="24"/>
          <w:szCs w:val="24"/>
        </w:rPr>
        <w:t>在投标人须知前附表规定的截止时间前，无论出于何种原因，采购代理机构和采购人可主动地或在解答潜在投标人提出的澄清问题时对招标文件进行修改。</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.3 </w:t>
      </w:r>
      <w:r>
        <w:rPr>
          <w:rFonts w:hint="eastAsia" w:ascii="宋体" w:hAnsi="宋体" w:cs="Arial"/>
          <w:kern w:val="0"/>
          <w:sz w:val="24"/>
          <w:szCs w:val="24"/>
        </w:rPr>
        <w:t>招标文件的修改部分是招标文件的组成部分对投标人具有约束力。</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.4 </w:t>
      </w:r>
      <w:r>
        <w:rPr>
          <w:rFonts w:hint="eastAsia" w:ascii="宋体" w:hAnsi="宋体" w:cs="Arial"/>
          <w:kern w:val="0"/>
          <w:sz w:val="24"/>
          <w:szCs w:val="24"/>
        </w:rPr>
        <w:t>为使投标人准备投标时有充分时间对招标文件的修改部分进行研究，采购人可适当推迟投标截止期。</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.5 </w:t>
      </w:r>
      <w:r>
        <w:rPr>
          <w:rFonts w:hint="eastAsia" w:ascii="宋体" w:hAnsi="宋体" w:cs="Arial"/>
          <w:kern w:val="0"/>
          <w:sz w:val="24"/>
          <w:szCs w:val="24"/>
        </w:rPr>
        <w:t>当采购人发放的招标文件及招标文件的答疑文件、修改文件、补充文件前后不一致，发生矛盾情况时，以最后发出的为准。</w:t>
      </w:r>
    </w:p>
    <w:p>
      <w:pPr>
        <w:tabs>
          <w:tab w:val="left" w:pos="630"/>
        </w:tabs>
        <w:spacing w:line="360" w:lineRule="auto"/>
        <w:ind w:firstLine="480" w:firstLineChars="200"/>
        <w:jc w:val="left"/>
        <w:textAlignment w:val="center"/>
        <w:rPr>
          <w:rFonts w:asciiTheme="majorEastAsia" w:hAnsiTheme="majorEastAsia" w:eastAsiaTheme="majorEastAsia" w:cstheme="majorEastAsia"/>
          <w:color w:val="000000" w:themeColor="text1"/>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.6 </w:t>
      </w:r>
      <w:r>
        <w:rPr>
          <w:rFonts w:hint="eastAsia" w:ascii="宋体" w:hAnsi="宋体" w:cs="Arial"/>
          <w:kern w:val="0"/>
          <w:sz w:val="24"/>
          <w:szCs w:val="24"/>
        </w:rPr>
        <w:t>如果招标文件各个组成部分之间出现歧义或相互矛盾，或任何文件中呈现明显的或不符合逻辑等的错误，或在文件编写过程中经常出现的打印错误等，投标人应将需要澄清的内容在投标人须知前附表规定的时间之前提出。根据合同条款中的相关约定，如果投标人在投标过程中未能发现并对有关歧义、矛盾或错误提出澄清请求，而在中标后发现并提出，</w:t>
      </w:r>
      <w:r>
        <w:rPr>
          <w:rFonts w:hint="eastAsia" w:asciiTheme="majorEastAsia" w:hAnsiTheme="majorEastAsia" w:eastAsiaTheme="majorEastAsia" w:cstheme="majorEastAsia"/>
          <w:color w:val="000000" w:themeColor="text1"/>
          <w:sz w:val="24"/>
          <w:szCs w:val="24"/>
        </w:rPr>
        <w:t>中标企业</w:t>
      </w:r>
      <w:r>
        <w:rPr>
          <w:rFonts w:hint="eastAsia" w:ascii="宋体" w:hAnsi="宋体" w:cs="Arial"/>
          <w:kern w:val="0"/>
          <w:sz w:val="24"/>
          <w:szCs w:val="24"/>
        </w:rPr>
        <w:t>将必须接受由采购人依据合同有关条款而做出的书面澄清</w:t>
      </w:r>
      <w:r>
        <w:rPr>
          <w:rFonts w:hint="eastAsia" w:asciiTheme="majorEastAsia" w:hAnsiTheme="majorEastAsia" w:eastAsiaTheme="majorEastAsia" w:cstheme="majorEastAsia"/>
          <w:color w:val="000000" w:themeColor="text1"/>
          <w:sz w:val="24"/>
          <w:szCs w:val="24"/>
        </w:rPr>
        <w:t>。</w:t>
      </w:r>
    </w:p>
    <w:p>
      <w:pPr>
        <w:widowControl/>
        <w:shd w:val="clear" w:color="auto" w:fill="FFFFFF"/>
        <w:snapToGrid w:val="0"/>
        <w:spacing w:line="360" w:lineRule="auto"/>
        <w:rPr>
          <w:rFonts w:ascii="宋体" w:hAnsi="宋体" w:cs="Arial"/>
          <w:b/>
          <w:bCs/>
          <w:kern w:val="0"/>
          <w:sz w:val="24"/>
          <w:szCs w:val="24"/>
        </w:rPr>
      </w:pPr>
      <w:r>
        <w:rPr>
          <w:rFonts w:hint="eastAsia" w:ascii="宋体" w:hAnsi="宋体" w:cs="Arial"/>
          <w:b/>
          <w:bCs/>
          <w:kern w:val="0"/>
          <w:sz w:val="24"/>
          <w:szCs w:val="24"/>
        </w:rPr>
        <w:t>2.4保密</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参与招标投标活动的各方应当对招标文件和投标文件中的商业和技术等秘密保密，否则应当承担相应的法律责任。</w:t>
      </w:r>
    </w:p>
    <w:p>
      <w:pPr>
        <w:pStyle w:val="7"/>
      </w:pPr>
    </w:p>
    <w:p>
      <w:pPr>
        <w:tabs>
          <w:tab w:val="center" w:pos="4832"/>
          <w:tab w:val="left" w:pos="7140"/>
        </w:tabs>
        <w:spacing w:line="360" w:lineRule="auto"/>
        <w:jc w:val="center"/>
        <w:outlineLvl w:val="1"/>
        <w:rPr>
          <w:rFonts w:ascii="宋体" w:hAnsi="宋体" w:cs="宋体"/>
          <w:b/>
          <w:sz w:val="24"/>
          <w:szCs w:val="24"/>
        </w:rPr>
      </w:pPr>
      <w:bookmarkStart w:id="8" w:name="_Toc9055"/>
      <w:r>
        <w:rPr>
          <w:rFonts w:hint="eastAsia" w:ascii="宋体" w:hAnsi="宋体" w:cs="宋体"/>
          <w:b/>
          <w:sz w:val="24"/>
          <w:szCs w:val="24"/>
        </w:rPr>
        <w:t>第三节 投标文件</w:t>
      </w:r>
      <w:bookmarkEnd w:id="8"/>
    </w:p>
    <w:p>
      <w:pPr>
        <w:tabs>
          <w:tab w:val="left" w:pos="630"/>
        </w:tabs>
        <w:spacing w:line="360" w:lineRule="auto"/>
        <w:jc w:val="left"/>
        <w:textAlignment w:val="center"/>
        <w:rPr>
          <w:rFonts w:asciiTheme="majorEastAsia" w:hAnsiTheme="majorEastAsia" w:cstheme="majorEastAsia"/>
          <w:b/>
          <w:bCs/>
          <w:color w:val="000000" w:themeColor="text1"/>
          <w:sz w:val="24"/>
          <w:szCs w:val="24"/>
        </w:rPr>
      </w:pPr>
      <w:r>
        <w:rPr>
          <w:rFonts w:hint="eastAsia" w:ascii="宋体" w:hAnsi="宋体" w:cs="Arial"/>
          <w:b/>
          <w:bCs/>
          <w:kern w:val="0"/>
          <w:sz w:val="24"/>
          <w:szCs w:val="24"/>
        </w:rPr>
        <w:t>3</w:t>
      </w:r>
      <w:r>
        <w:rPr>
          <w:rFonts w:ascii="宋体" w:hAnsi="宋体" w:cs="Arial"/>
          <w:b/>
          <w:bCs/>
          <w:kern w:val="0"/>
          <w:sz w:val="24"/>
          <w:szCs w:val="24"/>
        </w:rPr>
        <w:t xml:space="preserve">.1 </w:t>
      </w:r>
      <w:r>
        <w:rPr>
          <w:rFonts w:hint="eastAsia" w:ascii="宋体" w:hAnsi="宋体" w:cs="Arial"/>
          <w:b/>
          <w:bCs/>
          <w:kern w:val="0"/>
          <w:sz w:val="24"/>
          <w:szCs w:val="24"/>
        </w:rPr>
        <w:t>投标文件的组成</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w:t>
      </w:r>
      <w:r>
        <w:rPr>
          <w:rFonts w:ascii="宋体" w:hAnsi="宋体" w:cs="Arial"/>
          <w:kern w:val="0"/>
          <w:sz w:val="24"/>
          <w:szCs w:val="24"/>
        </w:rPr>
        <w:t>1</w:t>
      </w:r>
      <w:r>
        <w:rPr>
          <w:rFonts w:hint="eastAsia" w:ascii="宋体" w:hAnsi="宋体" w:cs="Arial"/>
          <w:kern w:val="0"/>
          <w:sz w:val="24"/>
          <w:szCs w:val="24"/>
        </w:rPr>
        <w:t>）投标函</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（2）开标一览表（报价单）</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（3）法定代表人身份证明书</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（4）授权委托书</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（5）投标人概况</w:t>
      </w:r>
    </w:p>
    <w:p>
      <w:pPr>
        <w:widowControl/>
        <w:shd w:val="clear" w:color="auto" w:fill="FFFFFF"/>
        <w:snapToGrid w:val="0"/>
        <w:spacing w:line="360" w:lineRule="auto"/>
        <w:ind w:firstLine="480" w:firstLineChars="200"/>
        <w:rPr>
          <w:rFonts w:ascii="宋体" w:hAnsi="宋体" w:cs="Arial"/>
          <w:color w:val="auto"/>
          <w:kern w:val="0"/>
          <w:sz w:val="24"/>
          <w:szCs w:val="24"/>
        </w:rPr>
      </w:pPr>
      <w:r>
        <w:rPr>
          <w:rFonts w:hint="eastAsia" w:ascii="宋体" w:hAnsi="宋体" w:cs="Arial"/>
          <w:color w:val="auto"/>
          <w:kern w:val="0"/>
          <w:sz w:val="24"/>
          <w:szCs w:val="24"/>
        </w:rPr>
        <w:t>（6）投标人近3年类似项目业绩表</w:t>
      </w:r>
    </w:p>
    <w:p>
      <w:pPr>
        <w:widowControl/>
        <w:shd w:val="clear" w:color="auto" w:fill="FFFFFF"/>
        <w:snapToGrid w:val="0"/>
        <w:spacing w:line="360" w:lineRule="auto"/>
        <w:ind w:firstLine="480" w:firstLineChars="200"/>
        <w:rPr>
          <w:rFonts w:ascii="宋体" w:hAnsi="宋体" w:cs="Arial"/>
          <w:color w:val="auto"/>
          <w:kern w:val="0"/>
          <w:sz w:val="24"/>
          <w:szCs w:val="24"/>
        </w:rPr>
      </w:pPr>
      <w:r>
        <w:rPr>
          <w:rFonts w:hint="eastAsia" w:ascii="宋体" w:hAnsi="宋体" w:cs="Arial"/>
          <w:color w:val="auto"/>
          <w:kern w:val="0"/>
          <w:sz w:val="24"/>
          <w:szCs w:val="24"/>
        </w:rPr>
        <w:t>（7）项目负责人简历表</w:t>
      </w:r>
    </w:p>
    <w:p>
      <w:pPr>
        <w:widowControl/>
        <w:shd w:val="clear" w:color="auto" w:fill="FFFFFF"/>
        <w:snapToGrid w:val="0"/>
        <w:spacing w:line="360" w:lineRule="auto"/>
        <w:ind w:firstLine="480" w:firstLineChars="200"/>
        <w:rPr>
          <w:color w:val="auto"/>
        </w:rPr>
      </w:pPr>
      <w:r>
        <w:rPr>
          <w:rFonts w:hint="eastAsia" w:ascii="宋体" w:hAnsi="宋体" w:cs="Arial"/>
          <w:color w:val="auto"/>
          <w:kern w:val="0"/>
          <w:sz w:val="24"/>
          <w:szCs w:val="24"/>
        </w:rPr>
        <w:t>（8）项目管理人员表</w:t>
      </w:r>
    </w:p>
    <w:p>
      <w:pPr>
        <w:widowControl/>
        <w:shd w:val="clear" w:color="auto" w:fill="FFFFFF"/>
        <w:snapToGrid w:val="0"/>
        <w:spacing w:line="360" w:lineRule="auto"/>
        <w:ind w:firstLine="480" w:firstLineChars="200"/>
        <w:rPr>
          <w:rFonts w:ascii="宋体" w:cs="Arial"/>
          <w:color w:val="auto"/>
          <w:kern w:val="0"/>
          <w:sz w:val="24"/>
          <w:szCs w:val="24"/>
        </w:rPr>
      </w:pPr>
      <w:r>
        <w:rPr>
          <w:rFonts w:hint="eastAsia" w:ascii="宋体" w:hAnsi="宋体" w:cs="Arial"/>
          <w:color w:val="auto"/>
          <w:kern w:val="0"/>
          <w:sz w:val="24"/>
          <w:szCs w:val="24"/>
        </w:rPr>
        <w:t>（9）其他需要提交的资料</w:t>
      </w:r>
    </w:p>
    <w:p>
      <w:pPr>
        <w:widowControl/>
        <w:shd w:val="clear" w:color="auto" w:fill="FFFFFF"/>
        <w:snapToGrid w:val="0"/>
        <w:spacing w:line="360" w:lineRule="auto"/>
        <w:rPr>
          <w:rFonts w:ascii="宋体" w:cs="Arial"/>
          <w:b/>
          <w:bCs/>
          <w:kern w:val="0"/>
          <w:sz w:val="24"/>
          <w:szCs w:val="24"/>
        </w:rPr>
      </w:pPr>
      <w:r>
        <w:rPr>
          <w:rFonts w:ascii="宋体" w:hAnsi="宋体" w:cs="Arial"/>
          <w:b/>
          <w:bCs/>
          <w:kern w:val="0"/>
          <w:sz w:val="24"/>
          <w:szCs w:val="24"/>
        </w:rPr>
        <w:t xml:space="preserve">3.2 </w:t>
      </w:r>
      <w:r>
        <w:rPr>
          <w:rFonts w:hint="eastAsia" w:ascii="宋体" w:hAnsi="宋体" w:cs="Arial"/>
          <w:b/>
          <w:bCs/>
          <w:kern w:val="0"/>
          <w:sz w:val="24"/>
          <w:szCs w:val="24"/>
        </w:rPr>
        <w:t>投标价格</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 xml:space="preserve">3.2.1 </w:t>
      </w:r>
      <w:r>
        <w:rPr>
          <w:rFonts w:hint="eastAsia" w:ascii="宋体" w:hAnsi="宋体" w:cs="Arial"/>
          <w:kern w:val="0"/>
          <w:sz w:val="24"/>
          <w:szCs w:val="24"/>
        </w:rPr>
        <w:t>投标人应当按第四章“技术标准和服务要求”的规定进行报价，并填写第五章“投标文件格式”中开标一览表（报价单）的投标报价表。</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 xml:space="preserve">3.2.2 </w:t>
      </w:r>
      <w:r>
        <w:rPr>
          <w:rFonts w:hint="eastAsia" w:ascii="宋体" w:hAnsi="宋体" w:cs="Arial"/>
          <w:kern w:val="0"/>
          <w:sz w:val="24"/>
          <w:szCs w:val="24"/>
        </w:rPr>
        <w:t>投标人的投标价格不能超出本项目最高限价。</w:t>
      </w:r>
    </w:p>
    <w:p>
      <w:pPr>
        <w:tabs>
          <w:tab w:val="left" w:pos="630"/>
        </w:tabs>
        <w:spacing w:line="360" w:lineRule="auto"/>
        <w:ind w:firstLine="480" w:firstLineChars="200"/>
        <w:jc w:val="left"/>
        <w:textAlignment w:val="center"/>
        <w:rPr>
          <w:rFonts w:asciiTheme="majorEastAsia" w:hAnsiTheme="majorEastAsia" w:eastAsiaTheme="majorEastAsia" w:cstheme="majorEastAsia"/>
          <w:color w:val="FF0000"/>
          <w:sz w:val="24"/>
          <w:szCs w:val="24"/>
        </w:rPr>
      </w:pPr>
      <w:r>
        <w:rPr>
          <w:rFonts w:ascii="宋体" w:hAnsi="宋体" w:cs="Arial"/>
          <w:kern w:val="0"/>
          <w:sz w:val="24"/>
          <w:szCs w:val="24"/>
        </w:rPr>
        <w:t>3.2.3</w:t>
      </w:r>
      <w:r>
        <w:rPr>
          <w:rFonts w:hint="eastAsia" w:ascii="宋体" w:hAnsi="宋体" w:cs="Arial"/>
          <w:kern w:val="0"/>
          <w:sz w:val="24"/>
          <w:szCs w:val="24"/>
        </w:rPr>
        <w:t>投标人在投标截止时间前修改投标函中的</w:t>
      </w:r>
      <w:r>
        <w:rPr>
          <w:rFonts w:hint="eastAsia" w:ascii="宋体" w:hAnsi="宋体" w:cs="Arial"/>
          <w:color w:val="auto"/>
          <w:kern w:val="0"/>
          <w:sz w:val="24"/>
          <w:szCs w:val="24"/>
        </w:rPr>
        <w:t>投标报价的</w:t>
      </w:r>
      <w:r>
        <w:rPr>
          <w:rFonts w:hint="eastAsia" w:ascii="宋体" w:hAnsi="宋体" w:cs="Arial"/>
          <w:kern w:val="0"/>
          <w:sz w:val="24"/>
          <w:szCs w:val="24"/>
        </w:rPr>
        <w:t>，应同时修改第五章“投标文件格式”中开标一览表（报价单）的相应报价。</w:t>
      </w:r>
    </w:p>
    <w:p>
      <w:pPr>
        <w:spacing w:line="360" w:lineRule="auto"/>
        <w:jc w:val="left"/>
        <w:rPr>
          <w:rFonts w:asciiTheme="majorEastAsia" w:hAnsiTheme="majorEastAsia" w:eastAsiaTheme="majorEastAsia" w:cstheme="majorEastAsia"/>
          <w:b/>
          <w:bCs/>
          <w:color w:val="000000" w:themeColor="text1"/>
          <w:sz w:val="24"/>
          <w:szCs w:val="24"/>
        </w:rPr>
      </w:pPr>
      <w:r>
        <w:rPr>
          <w:rFonts w:hint="eastAsia" w:ascii="宋体" w:hAnsi="宋体" w:cs="Arial"/>
          <w:b/>
          <w:bCs/>
          <w:kern w:val="0"/>
          <w:sz w:val="24"/>
          <w:szCs w:val="24"/>
        </w:rPr>
        <w:t>3.3投标文件</w:t>
      </w:r>
      <w:r>
        <w:rPr>
          <w:rFonts w:hint="eastAsia" w:asciiTheme="majorEastAsia" w:hAnsiTheme="majorEastAsia" w:eastAsiaTheme="majorEastAsia" w:cstheme="majorEastAsia"/>
          <w:b/>
          <w:bCs/>
          <w:color w:val="000000" w:themeColor="text1"/>
          <w:sz w:val="24"/>
          <w:szCs w:val="24"/>
        </w:rPr>
        <w:t>密封</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3.3.1投标文件按标包分别编制、胶装、密封递交，不允许将两个及以上标包的投标文件编制、胶装、密封在一起，不得采用活页装订，否则，届时其投标将被拒绝。</w:t>
      </w:r>
    </w:p>
    <w:p>
      <w:pPr>
        <w:widowControl/>
        <w:shd w:val="clear" w:color="auto" w:fill="FFFFFF"/>
        <w:snapToGrid w:val="0"/>
        <w:spacing w:line="360" w:lineRule="auto"/>
        <w:ind w:firstLine="480" w:firstLineChars="200"/>
        <w:rPr>
          <w:rFonts w:hint="eastAsia" w:ascii="宋体" w:hAnsi="宋体" w:eastAsia="宋体" w:cs="Arial"/>
          <w:kern w:val="0"/>
          <w:sz w:val="24"/>
          <w:szCs w:val="24"/>
          <w:lang w:eastAsia="zh-CN"/>
        </w:rPr>
      </w:pPr>
      <w:r>
        <w:rPr>
          <w:rFonts w:hint="eastAsia" w:ascii="宋体" w:hAnsi="宋体" w:cs="Arial"/>
          <w:kern w:val="0"/>
          <w:sz w:val="24"/>
          <w:szCs w:val="24"/>
        </w:rPr>
        <w:t>3.3.2投标人必须在各封套上标记以下要求：</w:t>
      </w:r>
    </w:p>
    <w:p>
      <w:pPr>
        <w:spacing w:line="360" w:lineRule="auto"/>
        <w:ind w:firstLine="960" w:firstLineChars="400"/>
        <w:jc w:val="left"/>
        <w:rPr>
          <w:rFonts w:ascii="宋体" w:hAnsi="宋体" w:cs="宋体"/>
          <w:kern w:val="0"/>
          <w:sz w:val="24"/>
          <w:szCs w:val="24"/>
        </w:rPr>
      </w:pPr>
      <w:r>
        <w:rPr>
          <w:rFonts w:hint="eastAsia" w:ascii="宋体" w:hAnsi="宋体" w:cs="宋体"/>
          <w:kern w:val="0"/>
          <w:sz w:val="24"/>
          <w:szCs w:val="24"/>
        </w:rPr>
        <w:t>项目名称（标包号）：</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项目编号：</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投标人名称：</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投标人注册地址：</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委托代理人：</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联系电话：</w:t>
      </w:r>
    </w:p>
    <w:p>
      <w:pPr>
        <w:widowControl/>
        <w:shd w:val="clear" w:color="auto" w:fill="FFFFFF"/>
        <w:snapToGrid w:val="0"/>
        <w:spacing w:line="360" w:lineRule="auto"/>
        <w:ind w:firstLine="960" w:firstLineChars="400"/>
        <w:rPr>
          <w:rFonts w:ascii="宋体" w:cs="Arial"/>
          <w:kern w:val="0"/>
          <w:sz w:val="24"/>
          <w:szCs w:val="24"/>
        </w:rPr>
      </w:pPr>
      <w:r>
        <w:rPr>
          <w:rFonts w:hint="eastAsia" w:ascii="宋体" w:hAnsi="宋体" w:cs="宋体"/>
          <w:kern w:val="0"/>
          <w:sz w:val="24"/>
          <w:szCs w:val="24"/>
        </w:rPr>
        <w:t>在XXXX年XX月XX日XX：XX前不得启封。</w:t>
      </w:r>
    </w:p>
    <w:p>
      <w:pPr>
        <w:widowControl/>
        <w:shd w:val="clear" w:color="auto" w:fill="FFFFFF"/>
        <w:snapToGrid w:val="0"/>
        <w:spacing w:line="360" w:lineRule="auto"/>
        <w:ind w:firstLine="482" w:firstLineChars="200"/>
        <w:rPr>
          <w:rFonts w:ascii="宋体" w:hAnsi="宋体" w:cs="宋体"/>
          <w:b/>
          <w:bCs/>
          <w:kern w:val="0"/>
          <w:sz w:val="24"/>
          <w:szCs w:val="24"/>
        </w:rPr>
      </w:pPr>
      <w:r>
        <w:rPr>
          <w:rFonts w:hint="eastAsia" w:ascii="宋体" w:hAnsi="宋体" w:cs="宋体"/>
          <w:b/>
          <w:bCs/>
          <w:kern w:val="0"/>
          <w:sz w:val="24"/>
          <w:szCs w:val="24"/>
        </w:rPr>
        <w:t>3.3.3投标人投标文件若有以下情况的采购代理机构有权拒绝：</w:t>
      </w:r>
    </w:p>
    <w:p>
      <w:pPr>
        <w:pStyle w:val="10"/>
        <w:numPr>
          <w:ilvl w:val="0"/>
          <w:numId w:val="0"/>
        </w:numPr>
        <w:spacing w:line="360" w:lineRule="auto"/>
        <w:ind w:firstLine="480" w:firstLineChars="200"/>
        <w:rPr>
          <w:rFonts w:hint="eastAsia" w:ascii="宋体" w:hAnsi="宋体" w:eastAsia="宋体" w:cs="宋体"/>
          <w:kern w:val="0"/>
          <w:sz w:val="24"/>
          <w:szCs w:val="24"/>
          <w:lang w:eastAsia="zh-CN"/>
        </w:rPr>
      </w:pPr>
      <w:r>
        <w:rPr>
          <w:rFonts w:hint="eastAsia" w:ascii="宋体" w:hAnsi="宋体" w:eastAsia="宋体" w:cs="宋体"/>
          <w:kern w:val="0"/>
          <w:sz w:val="24"/>
          <w:szCs w:val="24"/>
        </w:rPr>
        <w:t>①</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投标文件在递交截止时间后递交的；</w:t>
      </w:r>
    </w:p>
    <w:p>
      <w:pPr>
        <w:pStyle w:val="10"/>
        <w:numPr>
          <w:ilvl w:val="0"/>
          <w:numId w:val="0"/>
        </w:numPr>
        <w:spacing w:line="360" w:lineRule="auto"/>
        <w:ind w:firstLine="480" w:firstLineChars="200"/>
        <w:rPr>
          <w:rFonts w:ascii="宋体" w:hAnsi="宋体" w:eastAsia="宋体" w:cs="宋体"/>
          <w:kern w:val="0"/>
          <w:sz w:val="24"/>
          <w:szCs w:val="24"/>
        </w:rPr>
      </w:pPr>
      <w:r>
        <w:rPr>
          <w:rFonts w:hint="eastAsia" w:ascii="宋体" w:hAnsi="宋体" w:eastAsia="宋体" w:cs="宋体"/>
          <w:kern w:val="0"/>
          <w:sz w:val="24"/>
          <w:szCs w:val="24"/>
        </w:rPr>
        <w:t>②投标文件不完整或有附加条件的，有保留的，有涂改的，有变更的；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3.3.4</w:t>
      </w:r>
      <w:r>
        <w:rPr>
          <w:rFonts w:hint="eastAsia" w:ascii="宋体" w:hAnsi="宋体" w:cs="Arial"/>
          <w:kern w:val="0"/>
          <w:sz w:val="24"/>
          <w:szCs w:val="24"/>
        </w:rPr>
        <w:t>投标文件格式</w:t>
      </w:r>
    </w:p>
    <w:p>
      <w:pPr>
        <w:widowControl/>
        <w:shd w:val="clear" w:color="auto" w:fill="FFFFFF"/>
        <w:snapToGrid w:val="0"/>
        <w:spacing w:line="360" w:lineRule="auto"/>
        <w:ind w:firstLine="480" w:firstLineChars="200"/>
        <w:rPr>
          <w:rFonts w:ascii="宋体" w:cs="Arial"/>
          <w:b/>
          <w:bCs/>
          <w:kern w:val="0"/>
          <w:sz w:val="24"/>
          <w:szCs w:val="24"/>
        </w:rPr>
      </w:pPr>
      <w:r>
        <w:rPr>
          <w:rFonts w:hint="eastAsia" w:ascii="宋体" w:hAnsi="宋体" w:cs="宋体"/>
          <w:kern w:val="0"/>
          <w:sz w:val="24"/>
          <w:szCs w:val="24"/>
        </w:rPr>
        <w:t>①投标文件电子版要求包含投标文件全部内容，投标文件电子版与纸质版不一致时以纸质文件为准。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投标文件应当对招标文件有关招标范围、技术与服务要求等实质性内容做出响应。</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投标文件必须在开启</w:t>
      </w:r>
      <w:r>
        <w:rPr>
          <w:rFonts w:hint="eastAsia" w:ascii="宋体" w:hAnsi="宋体" w:cs="Arial"/>
          <w:kern w:val="0"/>
          <w:sz w:val="24"/>
          <w:szCs w:val="24"/>
          <w:lang w:eastAsia="zh-CN"/>
        </w:rPr>
        <w:t>后解密</w:t>
      </w:r>
      <w:r>
        <w:rPr>
          <w:rFonts w:hint="eastAsia" w:ascii="宋体" w:hAnsi="宋体" w:cs="Arial"/>
          <w:kern w:val="0"/>
          <w:sz w:val="24"/>
          <w:szCs w:val="24"/>
        </w:rPr>
        <w:t>。否则整个投标文件将被视为不响应招标文件，而予以拒绝。</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投标文件采用</w:t>
      </w:r>
      <w:r>
        <w:rPr>
          <w:rFonts w:ascii="宋体" w:hAnsi="宋体" w:cs="Arial"/>
          <w:kern w:val="0"/>
          <w:sz w:val="24"/>
          <w:szCs w:val="24"/>
        </w:rPr>
        <w:t>A4</w:t>
      </w:r>
      <w:r>
        <w:rPr>
          <w:rFonts w:hint="eastAsia" w:ascii="宋体" w:hAnsi="宋体" w:cs="Arial"/>
          <w:kern w:val="0"/>
          <w:sz w:val="24"/>
          <w:szCs w:val="24"/>
        </w:rPr>
        <w:t>打印纸。</w:t>
      </w:r>
    </w:p>
    <w:p>
      <w:pPr>
        <w:widowControl/>
        <w:shd w:val="clear" w:color="auto" w:fill="FFFFFF"/>
        <w:snapToGrid w:val="0"/>
        <w:spacing w:line="360" w:lineRule="auto"/>
        <w:ind w:firstLine="480" w:firstLineChars="200"/>
        <w:rPr>
          <w:rFonts w:ascii="宋体" w:cs="Arial"/>
          <w:kern w:val="0"/>
          <w:sz w:val="24"/>
          <w:szCs w:val="24"/>
        </w:rPr>
      </w:pPr>
      <w:r>
        <w:rPr>
          <w:rFonts w:hint="eastAsia" w:ascii="微软雅黑" w:hAnsi="微软雅黑" w:eastAsia="微软雅黑" w:cs="微软雅黑"/>
          <w:kern w:val="0"/>
          <w:sz w:val="24"/>
          <w:szCs w:val="24"/>
        </w:rPr>
        <w:t>⑤</w:t>
      </w:r>
      <w:r>
        <w:rPr>
          <w:rFonts w:hint="eastAsia" w:ascii="宋体" w:hAnsi="宋体" w:cs="Arial"/>
          <w:kern w:val="0"/>
          <w:sz w:val="24"/>
          <w:szCs w:val="24"/>
        </w:rPr>
        <w:t>投标文件可以用蓝黑墨水笔或炭素笔书写</w:t>
      </w:r>
      <w:r>
        <w:rPr>
          <w:rFonts w:ascii="宋体" w:cs="Arial"/>
          <w:kern w:val="0"/>
          <w:sz w:val="24"/>
          <w:szCs w:val="24"/>
        </w:rPr>
        <w:t>,</w:t>
      </w:r>
      <w:r>
        <w:rPr>
          <w:rFonts w:hint="eastAsia" w:ascii="宋体" w:hAnsi="宋体" w:cs="Arial"/>
          <w:kern w:val="0"/>
          <w:sz w:val="24"/>
          <w:szCs w:val="24"/>
        </w:rPr>
        <w:t>但建议最好采用打印书写方式书写。</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微软雅黑" w:hAnsi="微软雅黑" w:eastAsia="微软雅黑" w:cs="微软雅黑"/>
          <w:kern w:val="0"/>
          <w:sz w:val="24"/>
          <w:szCs w:val="24"/>
        </w:rPr>
        <w:t>⑥</w:t>
      </w:r>
      <w:r>
        <w:rPr>
          <w:rFonts w:hint="eastAsia" w:ascii="宋体" w:hAnsi="宋体" w:cs="Arial"/>
          <w:kern w:val="0"/>
          <w:sz w:val="24"/>
          <w:szCs w:val="24"/>
        </w:rPr>
        <w:t>投标文件正本和副本如有不一致之处，以正本为准。</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宋体"/>
          <w:b/>
          <w:bCs/>
          <w:kern w:val="0"/>
          <w:sz w:val="24"/>
          <w:szCs w:val="24"/>
        </w:rPr>
        <w:t>3.3.5</w:t>
      </w:r>
      <w:r>
        <w:rPr>
          <w:rFonts w:hint="eastAsia" w:ascii="宋体" w:hAnsi="宋体" w:cs="Arial"/>
          <w:b/>
          <w:bCs/>
          <w:kern w:val="0"/>
          <w:sz w:val="24"/>
          <w:szCs w:val="24"/>
        </w:rPr>
        <w:t>投标文件的修改与撤回</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投标人递交投标文件后，在规定投标截止时间前，可以书面形式向采购人递交修改或撤回其投标文件的通知。</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修改的内容为投标文件的组成部分。修改的投标文件应按照本招标文件的规定进行编制、密封、标记和递交，并标明“修改”字样。</w:t>
      </w:r>
    </w:p>
    <w:p>
      <w:pPr>
        <w:pStyle w:val="5"/>
      </w:pPr>
    </w:p>
    <w:p>
      <w:pPr>
        <w:tabs>
          <w:tab w:val="center" w:pos="4832"/>
          <w:tab w:val="left" w:pos="7140"/>
        </w:tabs>
        <w:spacing w:line="360" w:lineRule="auto"/>
        <w:jc w:val="center"/>
        <w:outlineLvl w:val="1"/>
        <w:rPr>
          <w:rFonts w:ascii="宋体" w:hAnsi="宋体" w:cs="宋体"/>
          <w:b/>
          <w:sz w:val="24"/>
          <w:szCs w:val="24"/>
        </w:rPr>
      </w:pPr>
      <w:bookmarkStart w:id="9" w:name="_Toc12338"/>
      <w:bookmarkStart w:id="10" w:name="_Toc2117"/>
      <w:r>
        <w:rPr>
          <w:rFonts w:hint="eastAsia" w:ascii="宋体" w:hAnsi="宋体" w:cs="宋体"/>
          <w:b/>
          <w:sz w:val="24"/>
          <w:szCs w:val="24"/>
        </w:rPr>
        <w:t>第四节 纪律和监督</w:t>
      </w:r>
      <w:bookmarkEnd w:id="9"/>
      <w:bookmarkEnd w:id="10"/>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.1 </w:t>
      </w:r>
      <w:r>
        <w:rPr>
          <w:rFonts w:hint="eastAsia" w:ascii="宋体" w:hAnsi="宋体" w:cs="Arial"/>
          <w:b/>
          <w:bCs/>
          <w:kern w:val="0"/>
          <w:sz w:val="24"/>
          <w:szCs w:val="24"/>
        </w:rPr>
        <w:t>对采购人的纪律要求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采购人不得泄漏招标投标活动中应当保密的情况和资料，不得与投标人串通损害国家利益、社会公共利益或者他人合法权益。</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.2 </w:t>
      </w:r>
      <w:r>
        <w:rPr>
          <w:rFonts w:hint="eastAsia" w:ascii="宋体" w:hAnsi="宋体" w:cs="Arial"/>
          <w:b/>
          <w:bCs/>
          <w:kern w:val="0"/>
          <w:sz w:val="24"/>
          <w:szCs w:val="24"/>
        </w:rPr>
        <w:t>对投标人的纪律要求</w:t>
      </w:r>
    </w:p>
    <w:p>
      <w:pPr>
        <w:widowControl/>
        <w:shd w:val="clear" w:color="auto" w:fill="FFFFFF"/>
        <w:snapToGrid w:val="0"/>
        <w:spacing w:line="360" w:lineRule="auto"/>
        <w:ind w:firstLine="482" w:firstLineChars="200"/>
        <w:rPr>
          <w:rFonts w:ascii="宋体" w:hAnsi="宋体" w:cs="Arial"/>
          <w:b/>
          <w:bCs/>
          <w:kern w:val="0"/>
          <w:sz w:val="24"/>
          <w:szCs w:val="24"/>
        </w:rPr>
      </w:pPr>
      <w:r>
        <w:rPr>
          <w:rFonts w:hint="eastAsia" w:ascii="宋体" w:hAnsi="宋体" w:cs="Arial"/>
          <w:b/>
          <w:bCs/>
          <w:kern w:val="0"/>
          <w:sz w:val="24"/>
          <w:szCs w:val="24"/>
        </w:rPr>
        <w:t>投标人有下列情形之一的，视为投标人串通投标，其投标无效：</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4.2.1不同投标人的投标文件由同一单位或者个人编制；</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4.2.2不同投标人委托同一单位或者个人办理投标事宜；</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4.2.3不同投标人的投标文件载明的项目管理成员或者联系人员为同一人；</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4.2.4</w:t>
      </w:r>
      <w:r>
        <w:rPr>
          <w:rFonts w:hint="eastAsia" w:ascii="宋体" w:hAnsi="宋体" w:cs="宋体"/>
          <w:kern w:val="0"/>
          <w:sz w:val="24"/>
          <w:szCs w:val="24"/>
        </w:rPr>
        <w:t>不同投标人的投标文件异常一致或者投标报价呈现规律性差异；</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4.2.5不同投标人的投标文件相互混装；</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Arial"/>
          <w:kern w:val="0"/>
          <w:sz w:val="24"/>
          <w:szCs w:val="24"/>
        </w:rPr>
        <w:t>4.2.6</w:t>
      </w:r>
      <w:r>
        <w:rPr>
          <w:rFonts w:hint="eastAsia" w:ascii="宋体" w:hAnsi="宋体" w:cs="宋体"/>
          <w:kern w:val="0"/>
          <w:sz w:val="24"/>
          <w:szCs w:val="24"/>
        </w:rPr>
        <w:t>不同投标人的投标保证金从同一单位或者个人的账户转出。</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.3 </w:t>
      </w:r>
      <w:r>
        <w:rPr>
          <w:rFonts w:hint="eastAsia" w:ascii="宋体" w:hAnsi="宋体" w:cs="Arial"/>
          <w:b/>
          <w:bCs/>
          <w:kern w:val="0"/>
          <w:sz w:val="24"/>
          <w:szCs w:val="24"/>
        </w:rPr>
        <w:t>对评标委员会成员的纪律要求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评标办法没有规定的评审因素和标准进行评标。</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.4 </w:t>
      </w:r>
      <w:r>
        <w:rPr>
          <w:rFonts w:hint="eastAsia" w:ascii="宋体" w:hAnsi="宋体" w:cs="Arial"/>
          <w:b/>
          <w:bCs/>
          <w:kern w:val="0"/>
          <w:sz w:val="24"/>
          <w:szCs w:val="24"/>
        </w:rPr>
        <w:t>对与评标活动有关的工作人员的纪律要求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.5 </w:t>
      </w:r>
      <w:r>
        <w:rPr>
          <w:rFonts w:hint="eastAsia" w:ascii="宋体" w:hAnsi="宋体" w:cs="Arial"/>
          <w:b/>
          <w:bCs/>
          <w:kern w:val="0"/>
          <w:sz w:val="24"/>
          <w:szCs w:val="24"/>
        </w:rPr>
        <w:t>监督</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本项目的招标投标活动及其相关当事人应当接受有管辖权的监督部门依法实施的监督。</w:t>
      </w:r>
    </w:p>
    <w:p>
      <w:pPr>
        <w:pStyle w:val="5"/>
      </w:pPr>
    </w:p>
    <w:p>
      <w:pPr>
        <w:tabs>
          <w:tab w:val="center" w:pos="4832"/>
          <w:tab w:val="left" w:pos="7140"/>
        </w:tabs>
        <w:spacing w:line="360" w:lineRule="auto"/>
        <w:jc w:val="center"/>
        <w:outlineLvl w:val="1"/>
        <w:rPr>
          <w:rFonts w:ascii="宋体" w:hAnsi="宋体" w:cs="宋体"/>
          <w:sz w:val="24"/>
          <w:szCs w:val="24"/>
        </w:rPr>
      </w:pPr>
      <w:bookmarkStart w:id="11" w:name="_Toc5106"/>
      <w:bookmarkStart w:id="12" w:name="_Toc28529"/>
      <w:r>
        <w:rPr>
          <w:rFonts w:hint="eastAsia" w:ascii="宋体" w:hAnsi="宋体" w:cs="宋体"/>
          <w:b/>
          <w:sz w:val="24"/>
          <w:szCs w:val="24"/>
        </w:rPr>
        <w:t>第五节 询问、质疑和投诉</w:t>
      </w:r>
      <w:bookmarkEnd w:id="11"/>
      <w:bookmarkEnd w:id="12"/>
    </w:p>
    <w:p>
      <w:pPr>
        <w:spacing w:line="360" w:lineRule="auto"/>
        <w:rPr>
          <w:rFonts w:ascii="宋体" w:hAnsi="宋体" w:cs="宋体"/>
          <w:b/>
          <w:bCs/>
          <w:sz w:val="24"/>
          <w:szCs w:val="24"/>
        </w:rPr>
      </w:pPr>
      <w:r>
        <w:rPr>
          <w:rFonts w:hint="eastAsia" w:ascii="宋体" w:hAnsi="宋体" w:cs="宋体"/>
          <w:b/>
          <w:bCs/>
          <w:sz w:val="24"/>
          <w:szCs w:val="24"/>
        </w:rPr>
        <w:t>5.1询问</w:t>
      </w:r>
    </w:p>
    <w:p>
      <w:pPr>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投标人对采购活动事项有疑问的，可以提出询问，我公司将在两个工作日内作出答复，但答复的内容不涉及商业秘密。</w:t>
      </w:r>
    </w:p>
    <w:p>
      <w:pPr>
        <w:spacing w:line="360" w:lineRule="auto"/>
        <w:rPr>
          <w:rFonts w:ascii="宋体" w:hAnsi="宋体" w:cs="宋体"/>
          <w:sz w:val="24"/>
          <w:szCs w:val="24"/>
        </w:rPr>
      </w:pPr>
    </w:p>
    <w:p>
      <w:pPr>
        <w:spacing w:line="360" w:lineRule="auto"/>
        <w:rPr>
          <w:rFonts w:ascii="宋体" w:hAnsi="宋体" w:cs="宋体"/>
          <w:b/>
          <w:bCs/>
          <w:sz w:val="24"/>
          <w:szCs w:val="24"/>
        </w:rPr>
      </w:pPr>
      <w:r>
        <w:rPr>
          <w:rFonts w:hint="eastAsia" w:ascii="宋体" w:hAnsi="宋体" w:cs="宋体"/>
          <w:b/>
          <w:bCs/>
          <w:sz w:val="24"/>
          <w:szCs w:val="24"/>
        </w:rPr>
        <w:t>5.2质疑</w:t>
      </w:r>
    </w:p>
    <w:p>
      <w:pPr>
        <w:spacing w:line="360" w:lineRule="auto"/>
        <w:ind w:firstLine="480" w:firstLineChars="200"/>
        <w:rPr>
          <w:rFonts w:ascii="宋体" w:hAnsi="宋体" w:cs="宋体"/>
          <w:sz w:val="24"/>
          <w:szCs w:val="24"/>
        </w:rPr>
      </w:pPr>
      <w:r>
        <w:rPr>
          <w:rFonts w:hint="eastAsia" w:ascii="宋体" w:hAnsi="宋体" w:cs="宋体"/>
          <w:sz w:val="24"/>
          <w:szCs w:val="24"/>
        </w:rPr>
        <w:t>5.2.1提出质疑的</w:t>
      </w:r>
      <w:r>
        <w:rPr>
          <w:rFonts w:hint="eastAsia" w:ascii="宋体" w:hAnsi="宋体" w:cs="宋体"/>
          <w:sz w:val="24"/>
          <w:szCs w:val="24"/>
          <w:lang w:val="zh-CN"/>
        </w:rPr>
        <w:t>投标人</w:t>
      </w:r>
      <w:r>
        <w:rPr>
          <w:rFonts w:hint="eastAsia" w:ascii="宋体" w:hAnsi="宋体" w:cs="宋体"/>
          <w:sz w:val="24"/>
          <w:szCs w:val="24"/>
        </w:rPr>
        <w:t>应当是参与所质疑项目采购活动的供应商。潜在供应商依法获取其可质疑的采购文件的，可以对采购文件提出质疑。</w:t>
      </w:r>
    </w:p>
    <w:p>
      <w:pPr>
        <w:snapToGrid w:val="0"/>
        <w:spacing w:line="360" w:lineRule="auto"/>
        <w:ind w:firstLine="480"/>
        <w:rPr>
          <w:rFonts w:ascii="宋体" w:hAnsi="宋体" w:cs="宋体"/>
          <w:kern w:val="0"/>
          <w:sz w:val="24"/>
          <w:szCs w:val="24"/>
        </w:rPr>
      </w:pPr>
      <w:r>
        <w:rPr>
          <w:rFonts w:hint="eastAsia" w:ascii="宋体" w:hAnsi="宋体" w:cs="宋体"/>
          <w:sz w:val="24"/>
          <w:szCs w:val="24"/>
        </w:rPr>
        <w:t>5.2.2</w:t>
      </w:r>
      <w:r>
        <w:rPr>
          <w:rFonts w:hint="eastAsia" w:ascii="宋体" w:hAnsi="宋体" w:cs="宋体"/>
          <w:sz w:val="24"/>
          <w:szCs w:val="24"/>
          <w:lang w:val="zh-CN"/>
        </w:rPr>
        <w:t>投标人</w:t>
      </w:r>
      <w:r>
        <w:rPr>
          <w:rFonts w:hint="eastAsia" w:ascii="宋体" w:hAnsi="宋体" w:cs="宋体"/>
          <w:sz w:val="24"/>
          <w:szCs w:val="24"/>
        </w:rPr>
        <w:t>认为采购文件、采购过程和采购结果使自己的权益受到损害的，可以在知道或应知其权益受到损害之日起七个工作日内，以书面形式提出质疑。</w:t>
      </w:r>
    </w:p>
    <w:p>
      <w:pPr>
        <w:snapToGrid w:val="0"/>
        <w:spacing w:line="360" w:lineRule="auto"/>
        <w:ind w:firstLine="480"/>
        <w:rPr>
          <w:rFonts w:ascii="宋体" w:hAnsi="宋体" w:cs="宋体"/>
          <w:kern w:val="0"/>
          <w:sz w:val="24"/>
          <w:szCs w:val="24"/>
        </w:rPr>
      </w:pPr>
      <w:r>
        <w:rPr>
          <w:rFonts w:hint="eastAsia" w:ascii="宋体" w:hAnsi="宋体" w:cs="宋体"/>
          <w:sz w:val="24"/>
          <w:szCs w:val="24"/>
        </w:rPr>
        <w:t>5.2.3</w:t>
      </w:r>
      <w:r>
        <w:rPr>
          <w:rFonts w:hint="eastAsia" w:ascii="宋体" w:hAnsi="宋体" w:cs="宋体"/>
          <w:sz w:val="24"/>
          <w:szCs w:val="24"/>
          <w:lang w:val="zh-CN"/>
        </w:rPr>
        <w:t>投标人</w:t>
      </w:r>
      <w:r>
        <w:rPr>
          <w:rFonts w:hint="eastAsia" w:ascii="宋体" w:hAnsi="宋体" w:cs="宋体"/>
          <w:kern w:val="0"/>
          <w:sz w:val="24"/>
          <w:szCs w:val="24"/>
        </w:rPr>
        <w:t>应当在法定质疑期内一次性提出针对同一采购程序环节的质疑。</w:t>
      </w:r>
      <w:r>
        <w:rPr>
          <w:rFonts w:hint="eastAsia" w:ascii="宋体" w:hAnsi="宋体" w:cs="宋体"/>
          <w:sz w:val="24"/>
          <w:szCs w:val="24"/>
          <w:lang w:val="zh-CN"/>
        </w:rPr>
        <w:t>投标人</w:t>
      </w:r>
      <w:r>
        <w:rPr>
          <w:rFonts w:hint="eastAsia" w:ascii="宋体" w:hAnsi="宋体" w:cs="宋体"/>
          <w:kern w:val="0"/>
          <w:sz w:val="24"/>
          <w:szCs w:val="24"/>
        </w:rPr>
        <w:t>如在法定期限内对同一采购程序环节提出多次质疑的，将只对供应商第一次质疑作出答复。</w:t>
      </w:r>
    </w:p>
    <w:p>
      <w:pPr>
        <w:snapToGrid w:val="0"/>
        <w:spacing w:line="360" w:lineRule="auto"/>
        <w:ind w:firstLine="480"/>
        <w:rPr>
          <w:rFonts w:ascii="宋体" w:hAnsi="宋体" w:cs="宋体"/>
          <w:sz w:val="24"/>
          <w:szCs w:val="24"/>
        </w:rPr>
      </w:pPr>
      <w:r>
        <w:rPr>
          <w:rFonts w:hint="eastAsia" w:ascii="宋体" w:hAnsi="宋体" w:cs="宋体"/>
          <w:sz w:val="24"/>
          <w:szCs w:val="24"/>
        </w:rPr>
        <w:t>5.2.4质疑函必须按要求的格式和内容进行填写。</w:t>
      </w:r>
      <w:r>
        <w:rPr>
          <w:rFonts w:hint="eastAsia" w:ascii="宋体" w:hAnsi="宋体" w:cs="宋体"/>
          <w:sz w:val="24"/>
          <w:szCs w:val="24"/>
          <w:lang w:val="zh-CN"/>
        </w:rPr>
        <w:t>投标人</w:t>
      </w:r>
      <w:r>
        <w:rPr>
          <w:rFonts w:hint="eastAsia" w:ascii="宋体" w:hAnsi="宋体" w:cs="宋体"/>
          <w:sz w:val="24"/>
          <w:szCs w:val="24"/>
        </w:rPr>
        <w:t>如组成联合体参加投标，则《质疑函范本》中要求签字、盖章、加盖公章之处，联合体各方均须按要求签字、盖章、加盖公章。</w:t>
      </w:r>
    </w:p>
    <w:p>
      <w:pPr>
        <w:snapToGrid w:val="0"/>
        <w:spacing w:line="360" w:lineRule="auto"/>
        <w:ind w:firstLine="480"/>
        <w:rPr>
          <w:rFonts w:ascii="宋体" w:hAnsi="宋体" w:cs="宋体"/>
          <w:sz w:val="24"/>
          <w:szCs w:val="24"/>
        </w:rPr>
      </w:pPr>
      <w:r>
        <w:rPr>
          <w:rFonts w:hint="eastAsia" w:ascii="宋体" w:hAnsi="宋体" w:cs="宋体"/>
          <w:sz w:val="24"/>
          <w:szCs w:val="24"/>
        </w:rPr>
        <w:t>5.2.5只接收以纸质原件形式送达的质疑。项目开标前的质疑（针对采购文件的质疑），由采购人负责回复答疑。项目开评标中评标结束后由</w:t>
      </w:r>
      <w:r>
        <w:rPr>
          <w:rFonts w:hint="eastAsia" w:ascii="宋体" w:hAnsi="宋体" w:cs="宋体"/>
          <w:color w:val="000000" w:themeColor="text1"/>
          <w:sz w:val="24"/>
          <w:szCs w:val="24"/>
        </w:rPr>
        <w:t>代理公司</w:t>
      </w:r>
      <w:r>
        <w:rPr>
          <w:rFonts w:hint="eastAsia" w:ascii="宋体" w:hAnsi="宋体" w:cs="宋体"/>
          <w:sz w:val="24"/>
          <w:szCs w:val="24"/>
        </w:rPr>
        <w:t>负责回复。</w:t>
      </w:r>
    </w:p>
    <w:p>
      <w:pPr>
        <w:snapToGrid w:val="0"/>
        <w:spacing w:line="360" w:lineRule="auto"/>
        <w:ind w:firstLine="480"/>
        <w:rPr>
          <w:rFonts w:ascii="宋体" w:hAnsi="宋体" w:cs="宋体"/>
          <w:sz w:val="24"/>
          <w:szCs w:val="24"/>
        </w:rPr>
      </w:pPr>
      <w:r>
        <w:rPr>
          <w:rFonts w:hint="eastAsia" w:ascii="宋体" w:hAnsi="宋体" w:cs="宋体"/>
          <w:sz w:val="24"/>
          <w:szCs w:val="24"/>
        </w:rPr>
        <w:t>开标前、后质疑（针对采购文件的质疑）接收人：本项目采购单位联系人，联系地址：见第一章 。</w:t>
      </w:r>
    </w:p>
    <w:p>
      <w:pPr>
        <w:snapToGrid w:val="0"/>
        <w:spacing w:line="360" w:lineRule="auto"/>
        <w:ind w:firstLine="480"/>
        <w:rPr>
          <w:rFonts w:ascii="宋体" w:hAnsi="宋体" w:cs="宋体"/>
          <w:sz w:val="24"/>
          <w:szCs w:val="24"/>
        </w:rPr>
      </w:pPr>
      <w:r>
        <w:rPr>
          <w:rFonts w:hint="eastAsia" w:ascii="宋体" w:hAnsi="宋体" w:cs="宋体"/>
          <w:sz w:val="24"/>
          <w:szCs w:val="24"/>
        </w:rPr>
        <w:t>5.2.6以下情形的质疑不予受理</w:t>
      </w:r>
    </w:p>
    <w:p>
      <w:pPr>
        <w:snapToGrid w:val="0"/>
        <w:spacing w:line="360" w:lineRule="auto"/>
        <w:ind w:firstLine="480"/>
        <w:rPr>
          <w:rFonts w:ascii="宋体" w:hAnsi="宋体" w:cs="宋体"/>
          <w:sz w:val="24"/>
          <w:szCs w:val="24"/>
        </w:rPr>
      </w:pPr>
      <w:r>
        <w:rPr>
          <w:rFonts w:hint="eastAsia" w:ascii="宋体" w:hAnsi="宋体" w:cs="宋体"/>
          <w:sz w:val="24"/>
          <w:szCs w:val="24"/>
        </w:rPr>
        <w:t>①内容不符合《政府采购质疑和投诉办法》第十二条规定的质疑。</w:t>
      </w:r>
    </w:p>
    <w:p>
      <w:pPr>
        <w:snapToGrid w:val="0"/>
        <w:spacing w:line="360" w:lineRule="auto"/>
        <w:ind w:firstLine="480"/>
        <w:rPr>
          <w:rFonts w:ascii="宋体" w:hAnsi="宋体" w:cs="宋体"/>
          <w:sz w:val="24"/>
          <w:szCs w:val="24"/>
        </w:rPr>
      </w:pPr>
      <w:r>
        <w:rPr>
          <w:rFonts w:hint="eastAsia" w:ascii="宋体" w:hAnsi="宋体" w:cs="宋体"/>
          <w:sz w:val="24"/>
          <w:szCs w:val="24"/>
        </w:rPr>
        <w:t>②超出政府采购法定期限的质疑。</w:t>
      </w:r>
    </w:p>
    <w:p>
      <w:pPr>
        <w:snapToGrid w:val="0"/>
        <w:spacing w:line="360" w:lineRule="auto"/>
        <w:ind w:firstLine="480"/>
        <w:rPr>
          <w:rFonts w:ascii="宋体" w:hAnsi="宋体" w:cs="宋体"/>
          <w:sz w:val="24"/>
          <w:szCs w:val="24"/>
        </w:rPr>
      </w:pPr>
      <w:r>
        <w:rPr>
          <w:rFonts w:hint="eastAsia" w:ascii="宋体" w:hAnsi="宋体" w:cs="宋体"/>
          <w:sz w:val="24"/>
          <w:szCs w:val="24"/>
        </w:rPr>
        <w:t>③以传真、电子邮件等方式递交的非原件形式的质疑。</w:t>
      </w:r>
    </w:p>
    <w:p>
      <w:pPr>
        <w:snapToGrid w:val="0"/>
        <w:spacing w:line="360" w:lineRule="auto"/>
        <w:ind w:firstLine="480"/>
        <w:rPr>
          <w:rFonts w:ascii="宋体" w:hAnsi="宋体" w:cs="宋体"/>
          <w:sz w:val="24"/>
          <w:szCs w:val="24"/>
        </w:rPr>
      </w:pPr>
      <w:r>
        <w:rPr>
          <w:rFonts w:hint="eastAsia" w:ascii="宋体" w:hAnsi="宋体" w:cs="宋体"/>
          <w:sz w:val="24"/>
          <w:szCs w:val="24"/>
        </w:rPr>
        <w:t>④未参加投标活动的投标人或在投标活动中自身权益未受到损害的投标人所提出的质疑。</w:t>
      </w:r>
    </w:p>
    <w:p>
      <w:pPr>
        <w:snapToGrid w:val="0"/>
        <w:spacing w:line="360" w:lineRule="auto"/>
        <w:ind w:firstLine="480"/>
        <w:rPr>
          <w:rFonts w:ascii="宋体" w:hAnsi="宋体" w:cs="宋体"/>
          <w:sz w:val="24"/>
          <w:szCs w:val="24"/>
        </w:rPr>
      </w:pPr>
      <w:r>
        <w:rPr>
          <w:rFonts w:hint="eastAsia" w:ascii="宋体" w:hAnsi="宋体" w:cs="宋体"/>
          <w:sz w:val="24"/>
          <w:szCs w:val="24"/>
        </w:rPr>
        <w:t>⑤投标人组成联合体参加投标，联合体中任何一方或多方未按要求签字、盖章、加盖公章的质疑。</w:t>
      </w:r>
    </w:p>
    <w:p>
      <w:pPr>
        <w:spacing w:line="360" w:lineRule="auto"/>
        <w:ind w:firstLine="480" w:firstLineChars="200"/>
        <w:rPr>
          <w:rFonts w:ascii="宋体" w:hAnsi="宋体" w:cs="宋体"/>
          <w:sz w:val="24"/>
          <w:szCs w:val="24"/>
        </w:rPr>
      </w:pPr>
      <w:r>
        <w:rPr>
          <w:rFonts w:hint="eastAsia" w:ascii="宋体" w:hAnsi="宋体" w:cs="宋体"/>
          <w:sz w:val="24"/>
          <w:szCs w:val="24"/>
        </w:rPr>
        <w:t>5.2.7投标人提出书面质疑必须有理、有据，不得捏造事实、提供虚假材料进行恶意质疑。否则，一经查实，依据政府采购的有关规定，报请政府采购监管部门对该投标人进行相应的行政处罚和记录该供应商的失信信息。</w:t>
      </w:r>
    </w:p>
    <w:p>
      <w:pPr>
        <w:spacing w:line="360" w:lineRule="auto"/>
        <w:rPr>
          <w:rFonts w:ascii="宋体" w:hAnsi="宋体" w:cs="宋体"/>
          <w:sz w:val="24"/>
          <w:szCs w:val="24"/>
        </w:rPr>
      </w:pPr>
    </w:p>
    <w:p>
      <w:pPr>
        <w:spacing w:line="360" w:lineRule="auto"/>
        <w:rPr>
          <w:rFonts w:ascii="宋体" w:hAnsi="宋体" w:cs="宋体"/>
          <w:b/>
          <w:bCs/>
          <w:sz w:val="24"/>
          <w:szCs w:val="24"/>
        </w:rPr>
      </w:pPr>
      <w:r>
        <w:rPr>
          <w:rFonts w:hint="eastAsia" w:ascii="宋体" w:hAnsi="宋体" w:cs="宋体"/>
          <w:b/>
          <w:bCs/>
          <w:sz w:val="24"/>
          <w:szCs w:val="24"/>
        </w:rPr>
        <w:t>5.3投诉</w:t>
      </w:r>
    </w:p>
    <w:p>
      <w:pPr>
        <w:spacing w:line="360" w:lineRule="auto"/>
        <w:ind w:firstLine="480" w:firstLineChars="200"/>
      </w:pPr>
      <w:r>
        <w:rPr>
          <w:rFonts w:hint="eastAsia" w:ascii="宋体" w:hAnsi="宋体" w:cs="宋体"/>
          <w:sz w:val="24"/>
          <w:szCs w:val="24"/>
          <w:lang w:val="zh-CN"/>
        </w:rPr>
        <w:t>质疑供应商对我单位的答复不满意，或未在规定的时间内作出答复的，可以在答复期满</w:t>
      </w:r>
      <w:r>
        <w:rPr>
          <w:rFonts w:hint="eastAsia" w:ascii="宋体" w:hAnsi="宋体" w:cs="宋体"/>
          <w:sz w:val="24"/>
          <w:szCs w:val="24"/>
        </w:rPr>
        <w:t>后十五个工作日内向财政厅政府采购处</w:t>
      </w:r>
      <w:r>
        <w:rPr>
          <w:rFonts w:hint="eastAsia" w:ascii="宋体" w:hAnsi="宋体" w:cs="宋体"/>
          <w:sz w:val="24"/>
          <w:szCs w:val="24"/>
          <w:lang w:val="zh-CN"/>
        </w:rPr>
        <w:t>投诉。</w:t>
      </w:r>
      <w:bookmarkStart w:id="13" w:name="_BookMark_1"/>
      <w:bookmarkEnd w:id="13"/>
    </w:p>
    <w:p>
      <w:pPr>
        <w:pStyle w:val="10"/>
        <w:numPr>
          <w:ilvl w:val="0"/>
          <w:numId w:val="0"/>
        </w:numPr>
      </w:pPr>
    </w:p>
    <w:p>
      <w:pPr>
        <w:pStyle w:val="10"/>
        <w:numPr>
          <w:ilvl w:val="0"/>
          <w:numId w:val="0"/>
        </w:numPr>
      </w:pPr>
    </w:p>
    <w:p>
      <w:pPr>
        <w:tabs>
          <w:tab w:val="center" w:pos="4832"/>
          <w:tab w:val="left" w:pos="7140"/>
        </w:tabs>
        <w:spacing w:line="360" w:lineRule="auto"/>
        <w:jc w:val="center"/>
        <w:outlineLvl w:val="1"/>
        <w:rPr>
          <w:rFonts w:ascii="宋体" w:hAnsi="宋体" w:cs="宋体"/>
          <w:b/>
          <w:sz w:val="24"/>
          <w:szCs w:val="24"/>
        </w:rPr>
      </w:pPr>
      <w:bookmarkStart w:id="14" w:name="_Toc27389"/>
      <w:r>
        <w:rPr>
          <w:rFonts w:hint="eastAsia" w:ascii="宋体" w:hAnsi="宋体" w:cs="宋体"/>
          <w:b/>
          <w:sz w:val="24"/>
          <w:szCs w:val="24"/>
        </w:rPr>
        <w:t>第六节 评标</w:t>
      </w:r>
      <w:bookmarkEnd w:id="14"/>
    </w:p>
    <w:p>
      <w:pPr>
        <w:tabs>
          <w:tab w:val="left" w:pos="630"/>
        </w:tabs>
        <w:spacing w:line="360" w:lineRule="auto"/>
        <w:jc w:val="left"/>
        <w:textAlignment w:val="center"/>
        <w:rPr>
          <w:rFonts w:asciiTheme="majorEastAsia" w:hAnsiTheme="majorEastAsia" w:eastAsiaTheme="majorEastAsia" w:cstheme="majorEastAsia"/>
          <w:b/>
          <w:bCs/>
          <w:color w:val="000000" w:themeColor="text1"/>
          <w:sz w:val="24"/>
          <w:szCs w:val="24"/>
        </w:rPr>
      </w:pPr>
      <w:r>
        <w:rPr>
          <w:rFonts w:hint="eastAsia" w:ascii="宋体" w:hAnsi="宋体" w:cs="Arial"/>
          <w:b/>
          <w:bCs/>
          <w:kern w:val="0"/>
          <w:sz w:val="24"/>
          <w:szCs w:val="24"/>
        </w:rPr>
        <w:t>6</w:t>
      </w:r>
      <w:r>
        <w:rPr>
          <w:rFonts w:ascii="宋体" w:hAnsi="宋体" w:cs="Arial"/>
          <w:b/>
          <w:bCs/>
          <w:kern w:val="0"/>
          <w:sz w:val="24"/>
          <w:szCs w:val="24"/>
        </w:rPr>
        <w:t>.</w:t>
      </w:r>
      <w:r>
        <w:rPr>
          <w:rFonts w:hint="eastAsia" w:ascii="宋体" w:hAnsi="宋体" w:cs="Arial"/>
          <w:b/>
          <w:bCs/>
          <w:kern w:val="0"/>
          <w:sz w:val="24"/>
          <w:szCs w:val="24"/>
        </w:rPr>
        <w:t>1</w:t>
      </w:r>
      <w:r>
        <w:rPr>
          <w:rFonts w:hint="eastAsia" w:asciiTheme="majorEastAsia" w:hAnsiTheme="majorEastAsia" w:eastAsiaTheme="majorEastAsia" w:cstheme="majorEastAsia"/>
          <w:b/>
          <w:bCs/>
          <w:color w:val="000000" w:themeColor="text1"/>
          <w:sz w:val="24"/>
          <w:szCs w:val="24"/>
        </w:rPr>
        <w:t xml:space="preserve"> 评标委员会</w:t>
      </w:r>
    </w:p>
    <w:p>
      <w:pPr>
        <w:widowControl/>
        <w:shd w:val="clear" w:color="auto" w:fill="FFFFFF"/>
        <w:snapToGrid w:val="0"/>
        <w:spacing w:line="360" w:lineRule="auto"/>
        <w:ind w:firstLine="480" w:firstLineChars="200"/>
        <w:rPr>
          <w:rFonts w:ascii="宋体" w:cs="Arial"/>
          <w:color w:val="000000"/>
          <w:kern w:val="0"/>
          <w:sz w:val="24"/>
          <w:szCs w:val="24"/>
        </w:rPr>
      </w:pPr>
      <w:r>
        <w:rPr>
          <w:rFonts w:hint="eastAsia" w:ascii="宋体" w:hAnsi="宋体" w:cs="Arial"/>
          <w:kern w:val="0"/>
          <w:sz w:val="24"/>
          <w:szCs w:val="24"/>
        </w:rPr>
        <w:t>6</w:t>
      </w:r>
      <w:r>
        <w:rPr>
          <w:rFonts w:ascii="宋体" w:hAnsi="宋体" w:cs="Arial"/>
          <w:kern w:val="0"/>
          <w:sz w:val="24"/>
          <w:szCs w:val="24"/>
        </w:rPr>
        <w:t xml:space="preserve">.1.1 </w:t>
      </w:r>
      <w:r>
        <w:rPr>
          <w:rFonts w:hint="eastAsia" w:ascii="宋体" w:hAnsi="宋体" w:cs="Arial"/>
          <w:kern w:val="0"/>
          <w:sz w:val="24"/>
          <w:szCs w:val="24"/>
        </w:rPr>
        <w:t>评标由采购人按照《政府采购评审专家管理办法》财库〔2016〕198号，依法组建的评标委员会负责。</w:t>
      </w:r>
      <w:r>
        <w:rPr>
          <w:rFonts w:hint="eastAsia" w:ascii="宋体" w:hAnsi="宋体" w:cs="Arial"/>
          <w:b/>
          <w:bCs/>
          <w:kern w:val="0"/>
          <w:sz w:val="24"/>
          <w:szCs w:val="24"/>
        </w:rPr>
        <w:t>评标委员会由采购人</w:t>
      </w:r>
      <w:r>
        <w:rPr>
          <w:rFonts w:hint="eastAsia" w:ascii="宋体" w:hAnsi="宋体" w:cs="Arial"/>
          <w:b/>
          <w:bCs/>
          <w:kern w:val="0"/>
          <w:sz w:val="24"/>
          <w:szCs w:val="24"/>
          <w:lang w:val="en-US" w:eastAsia="zh-CN"/>
        </w:rPr>
        <w:t>1</w:t>
      </w:r>
      <w:r>
        <w:rPr>
          <w:rFonts w:hint="eastAsia" w:ascii="宋体" w:hAnsi="宋体" w:cs="Arial"/>
          <w:b/>
          <w:bCs/>
          <w:kern w:val="0"/>
          <w:sz w:val="24"/>
          <w:szCs w:val="24"/>
        </w:rPr>
        <w:t>人和评审专家</w:t>
      </w:r>
      <w:r>
        <w:rPr>
          <w:rFonts w:hint="eastAsia" w:ascii="宋体" w:hAnsi="宋体" w:cs="Arial"/>
          <w:b/>
          <w:bCs/>
          <w:kern w:val="0"/>
          <w:sz w:val="24"/>
          <w:szCs w:val="24"/>
          <w:lang w:val="en-US" w:eastAsia="zh-CN"/>
        </w:rPr>
        <w:t>4</w:t>
      </w:r>
      <w:r>
        <w:rPr>
          <w:rFonts w:hint="eastAsia" w:ascii="宋体" w:hAnsi="宋体" w:cs="Arial"/>
          <w:b/>
          <w:bCs/>
          <w:kern w:val="0"/>
          <w:sz w:val="24"/>
          <w:szCs w:val="24"/>
        </w:rPr>
        <w:t>人，共</w:t>
      </w:r>
      <w:r>
        <w:rPr>
          <w:rFonts w:hint="eastAsia" w:ascii="宋体" w:hAnsi="宋体" w:cs="Arial"/>
          <w:b/>
          <w:bCs/>
          <w:kern w:val="0"/>
          <w:sz w:val="24"/>
          <w:szCs w:val="24"/>
          <w:lang w:val="en-US" w:eastAsia="zh-CN"/>
        </w:rPr>
        <w:t>5</w:t>
      </w:r>
      <w:r>
        <w:rPr>
          <w:rFonts w:hint="eastAsia" w:ascii="宋体" w:hAnsi="宋体" w:cs="Arial"/>
          <w:b/>
          <w:bCs/>
          <w:kern w:val="0"/>
          <w:sz w:val="24"/>
          <w:szCs w:val="24"/>
        </w:rPr>
        <w:t>人组成。</w:t>
      </w:r>
      <w:r>
        <w:rPr>
          <w:rFonts w:hint="eastAsia" w:ascii="宋体" w:cs="Arial"/>
          <w:kern w:val="0"/>
          <w:sz w:val="24"/>
          <w:szCs w:val="24"/>
        </w:rPr>
        <w:t>根据项目特点，于开标前从评审专家库中随机抽取专家组建评标委员会</w:t>
      </w:r>
      <w:r>
        <w:rPr>
          <w:rFonts w:hint="eastAsia" w:ascii="宋体" w:hAnsi="宋体" w:cs="Arial"/>
          <w:color w:val="000000"/>
          <w:kern w:val="0"/>
          <w:sz w:val="24"/>
          <w:szCs w:val="24"/>
        </w:rPr>
        <w:t>。评标委员会在监督人员的监督下独立完成评标工作，负责对投标文件进行审查、质询、评审、推选中标候选人。</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w:t>
      </w:r>
      <w:r>
        <w:rPr>
          <w:rFonts w:ascii="宋体" w:hAnsi="宋体" w:cs="Arial"/>
          <w:kern w:val="0"/>
          <w:sz w:val="24"/>
          <w:szCs w:val="24"/>
        </w:rPr>
        <w:t xml:space="preserve">.1.2 </w:t>
      </w:r>
      <w:r>
        <w:rPr>
          <w:rFonts w:hint="eastAsia" w:ascii="宋体" w:hAnsi="宋体" w:cs="Arial"/>
          <w:kern w:val="0"/>
          <w:sz w:val="24"/>
          <w:szCs w:val="24"/>
        </w:rPr>
        <w:t>评标委员会按照规定履行下列职责：</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①</w:t>
      </w:r>
      <w:r>
        <w:rPr>
          <w:rFonts w:hint="eastAsia" w:ascii="宋体" w:cs="Arial"/>
          <w:kern w:val="0"/>
          <w:sz w:val="24"/>
          <w:szCs w:val="24"/>
        </w:rPr>
        <w:t>承担投标文件的审核工作，并作出评价；</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cs="Arial"/>
          <w:kern w:val="0"/>
          <w:sz w:val="24"/>
          <w:szCs w:val="24"/>
        </w:rPr>
        <w:t>要求投标人对投标文件有关事宜作出澄清或答复；</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cs="Arial"/>
          <w:kern w:val="0"/>
          <w:sz w:val="24"/>
          <w:szCs w:val="24"/>
        </w:rPr>
        <w:t>对质疑问题的审议工作；</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④</w:t>
      </w:r>
      <w:r>
        <w:rPr>
          <w:rFonts w:hint="eastAsia" w:ascii="宋体" w:cs="Arial"/>
          <w:kern w:val="0"/>
          <w:sz w:val="24"/>
          <w:szCs w:val="24"/>
        </w:rPr>
        <w:t>推荐中标候选供应商名单或者直接确定入中标应商；</w:t>
      </w:r>
    </w:p>
    <w:p>
      <w:pPr>
        <w:widowControl/>
        <w:shd w:val="clear" w:color="auto" w:fill="FFFFFF"/>
        <w:snapToGrid w:val="0"/>
        <w:spacing w:line="360" w:lineRule="auto"/>
        <w:ind w:firstLine="480" w:firstLineChars="200"/>
        <w:rPr>
          <w:rFonts w:ascii="宋体" w:cs="Arial"/>
          <w:color w:val="000000"/>
          <w:kern w:val="0"/>
          <w:sz w:val="24"/>
          <w:szCs w:val="24"/>
        </w:rPr>
      </w:pPr>
      <w:r>
        <w:rPr>
          <w:rFonts w:hint="eastAsia" w:ascii="微软雅黑" w:hAnsi="微软雅黑" w:eastAsia="微软雅黑" w:cs="微软雅黑"/>
          <w:kern w:val="0"/>
          <w:sz w:val="24"/>
          <w:szCs w:val="24"/>
        </w:rPr>
        <w:t>⑤</w:t>
      </w:r>
      <w:r>
        <w:rPr>
          <w:rFonts w:hint="eastAsia" w:ascii="宋体" w:cs="Arial"/>
          <w:kern w:val="0"/>
          <w:sz w:val="24"/>
          <w:szCs w:val="24"/>
        </w:rPr>
        <w:t>向有关部门反映招标项目评审过程中的问题，提出意见和建议。专家对评审的招标内容负责，并承担相应的责任。</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w:t>
      </w:r>
      <w:r>
        <w:rPr>
          <w:rFonts w:ascii="宋体" w:hAnsi="宋体" w:cs="Arial"/>
          <w:kern w:val="0"/>
          <w:sz w:val="24"/>
          <w:szCs w:val="24"/>
        </w:rPr>
        <w:t>.1.</w:t>
      </w:r>
      <w:r>
        <w:rPr>
          <w:rFonts w:hint="eastAsia" w:ascii="宋体" w:hAnsi="宋体" w:cs="Arial"/>
          <w:kern w:val="0"/>
          <w:sz w:val="24"/>
          <w:szCs w:val="24"/>
        </w:rPr>
        <w:t>3评标委员会享有以下权利：</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对供应商所供货物、服务质量的评审权</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按照招标文件对评审意见承担相应责任</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推荐中标候选人供应商的表决权</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参与评标报告的书写</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微软雅黑" w:hAnsi="微软雅黑" w:eastAsia="微软雅黑" w:cs="微软雅黑"/>
          <w:kern w:val="0"/>
          <w:sz w:val="24"/>
          <w:szCs w:val="24"/>
        </w:rPr>
        <w:t>⑤</w:t>
      </w:r>
      <w:r>
        <w:rPr>
          <w:rFonts w:hint="eastAsia" w:ascii="宋体" w:cs="Arial"/>
          <w:kern w:val="0"/>
          <w:sz w:val="24"/>
          <w:szCs w:val="24"/>
        </w:rPr>
        <w:t>配合相关部门的投诉处理工作；</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微软雅黑" w:hAnsi="微软雅黑" w:eastAsia="微软雅黑" w:cs="微软雅黑"/>
          <w:kern w:val="0"/>
          <w:sz w:val="24"/>
          <w:szCs w:val="24"/>
        </w:rPr>
        <w:t>⑥</w:t>
      </w:r>
      <w:r>
        <w:rPr>
          <w:rFonts w:hint="eastAsia" w:ascii="宋体" w:hAnsi="宋体" w:cs="Arial"/>
          <w:kern w:val="0"/>
          <w:sz w:val="24"/>
          <w:szCs w:val="24"/>
        </w:rPr>
        <w:t>配合答复投标人提出的质疑。</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w:t>
      </w:r>
      <w:r>
        <w:rPr>
          <w:rFonts w:ascii="宋体" w:hAnsi="宋体" w:cs="Arial"/>
          <w:kern w:val="0"/>
          <w:sz w:val="24"/>
          <w:szCs w:val="24"/>
        </w:rPr>
        <w:t>.1.</w:t>
      </w:r>
      <w:r>
        <w:rPr>
          <w:rFonts w:hint="eastAsia" w:ascii="宋体" w:hAnsi="宋体" w:cs="Arial"/>
          <w:kern w:val="0"/>
          <w:sz w:val="24"/>
          <w:szCs w:val="24"/>
        </w:rPr>
        <w:t>4评标委员会成员有下列情形之一的，应当回避：</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cs="Arial"/>
          <w:kern w:val="0"/>
          <w:sz w:val="24"/>
          <w:szCs w:val="24"/>
        </w:rPr>
        <w:t>参加采购活动前三年内,与投标人存在劳动关系,或者担任过投标人的董事、监事,或者是投标人的控股股东或实际控制人。</w:t>
      </w:r>
    </w:p>
    <w:p>
      <w:pPr>
        <w:widowControl/>
        <w:shd w:val="clear" w:color="auto" w:fill="FFFFFF"/>
        <w:snapToGrid w:val="0"/>
        <w:spacing w:line="360" w:lineRule="auto"/>
        <w:ind w:firstLine="480" w:firstLineChars="200"/>
        <w:rPr>
          <w:rFonts w:ascii="宋体" w:hAnsi="宋体" w:cs="Arial"/>
          <w:color w:val="000000" w:themeColor="text1"/>
          <w:kern w:val="0"/>
          <w:sz w:val="24"/>
          <w:szCs w:val="24"/>
        </w:rPr>
      </w:pPr>
      <w:r>
        <w:rPr>
          <w:rFonts w:hint="eastAsia" w:ascii="宋体" w:hAnsi="宋体" w:cs="宋体"/>
          <w:kern w:val="0"/>
          <w:sz w:val="24"/>
          <w:szCs w:val="24"/>
        </w:rPr>
        <w:t>②</w:t>
      </w:r>
      <w:r>
        <w:rPr>
          <w:rFonts w:hint="eastAsia" w:ascii="宋体" w:cs="Arial"/>
          <w:kern w:val="0"/>
          <w:sz w:val="24"/>
          <w:szCs w:val="24"/>
        </w:rPr>
        <w:t>与投标人的法定代表人或者负责人有夫妻、直系血亲、三代以内旁系血亲或者近姻</w:t>
      </w:r>
      <w:r>
        <w:rPr>
          <w:rFonts w:hint="eastAsia" w:ascii="宋体" w:cs="Arial"/>
          <w:color w:val="000000" w:themeColor="text1"/>
          <w:kern w:val="0"/>
          <w:sz w:val="24"/>
          <w:szCs w:val="24"/>
        </w:rPr>
        <w:t>亲关系</w:t>
      </w:r>
      <w:r>
        <w:rPr>
          <w:rFonts w:hint="eastAsia" w:ascii="宋体" w:hAnsi="宋体" w:cs="Arial"/>
          <w:color w:val="000000" w:themeColor="text1"/>
          <w:kern w:val="0"/>
          <w:sz w:val="24"/>
          <w:szCs w:val="24"/>
        </w:rPr>
        <w:t>。</w:t>
      </w:r>
    </w:p>
    <w:p>
      <w:pPr>
        <w:spacing w:line="360" w:lineRule="auto"/>
        <w:ind w:left="420" w:leftChars="200"/>
        <w:jc w:val="left"/>
        <w:rPr>
          <w:rFonts w:asciiTheme="majorEastAsia" w:hAnsiTheme="majorEastAsia" w:eastAsiaTheme="majorEastAsia" w:cstheme="majorEastAsia"/>
          <w:color w:val="000000" w:themeColor="text1"/>
          <w:sz w:val="24"/>
          <w:szCs w:val="24"/>
        </w:rPr>
      </w:pPr>
      <w:r>
        <w:rPr>
          <w:rFonts w:hint="eastAsia" w:ascii="宋体" w:hAnsi="宋体" w:cs="宋体"/>
          <w:kern w:val="0"/>
          <w:sz w:val="24"/>
          <w:szCs w:val="24"/>
        </w:rPr>
        <w:t>③</w:t>
      </w:r>
      <w:r>
        <w:rPr>
          <w:rFonts w:hint="eastAsia" w:ascii="宋体" w:hAnsi="宋体" w:cs="Arial"/>
          <w:color w:val="000000" w:themeColor="text1"/>
          <w:kern w:val="0"/>
          <w:sz w:val="24"/>
          <w:szCs w:val="24"/>
        </w:rPr>
        <w:t>与投标人有其他可能影响政府采购活动公平、公正进行的关系。</w:t>
      </w:r>
    </w:p>
    <w:p>
      <w:pPr>
        <w:tabs>
          <w:tab w:val="left" w:pos="630"/>
        </w:tabs>
        <w:spacing w:line="360" w:lineRule="auto"/>
        <w:jc w:val="left"/>
        <w:textAlignment w:val="center"/>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6.2 评标原则</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6.2.1 评标过程中应遵循公开、公平、公正、择优的原则；</w:t>
      </w:r>
    </w:p>
    <w:p>
      <w:pPr>
        <w:tabs>
          <w:tab w:val="left" w:pos="210"/>
        </w:tabs>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6.2.2 评标应同时维护用户单位和投标单位的利益；</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6.2.3 资格审查合格的投标企业，中标机会均等；</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6.2.4 评标人员应独立进行评审，对个人的评审意见承担法律责任；</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6.2.5 评标人员不得私自泄露评标内容；</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6.2.6 评标采取质量、性能、价格、服务综合比、物有所值；</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6.2.7 本次采购方式为公开招标方式，各投标单位的报价为最终报价不得更改。</w:t>
      </w:r>
    </w:p>
    <w:p>
      <w:pPr>
        <w:tabs>
          <w:tab w:val="left" w:pos="210"/>
        </w:tabs>
        <w:spacing w:line="360" w:lineRule="auto"/>
        <w:jc w:val="left"/>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6.3 评标方法</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宋体" w:hAnsi="宋体" w:cs="Arial"/>
          <w:kern w:val="0"/>
          <w:sz w:val="24"/>
          <w:szCs w:val="24"/>
        </w:rPr>
        <w:t>本次评标采用综合评估法。评标委员会对满足招标文件实质性要求的投标文件，按照本节规定的评审标准进行评审。评标中各评委若发生意见分歧，以少数服从多数原则确定。</w:t>
      </w:r>
    </w:p>
    <w:p>
      <w:pPr>
        <w:tabs>
          <w:tab w:val="left" w:pos="630"/>
        </w:tabs>
        <w:spacing w:line="360" w:lineRule="auto"/>
        <w:jc w:val="left"/>
        <w:textAlignment w:val="center"/>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6.4 评标标准</w:t>
      </w:r>
    </w:p>
    <w:p>
      <w:pPr>
        <w:pStyle w:val="12"/>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根据综合评分法最大限度的满足招标文件中规定的各项综合评价的投标，且综合得分高低确定中标企业顺序排名。</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1资格审查：评审因素和评审标准见《资格审查标准》。</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2完备性及符合性审查：评审因素和评审标准见《完备性及符合性审查标准》。</w:t>
      </w:r>
    </w:p>
    <w:p>
      <w:pPr>
        <w:widowControl/>
        <w:shd w:val="clear" w:color="auto" w:fill="FFFFFF"/>
        <w:snapToGrid w:val="0"/>
        <w:spacing w:line="360" w:lineRule="auto"/>
        <w:ind w:firstLine="480" w:firstLineChars="200"/>
        <w:rPr>
          <w:rFonts w:ascii="宋体" w:cs="Arial"/>
          <w:color w:val="000000"/>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3</w:t>
      </w:r>
      <w:r>
        <w:rPr>
          <w:rFonts w:hint="eastAsia" w:ascii="宋体" w:cs="Arial"/>
          <w:color w:val="000000"/>
          <w:kern w:val="0"/>
          <w:sz w:val="24"/>
          <w:szCs w:val="24"/>
        </w:rPr>
        <w:t>详细评审：评审因素和评审标准见《详细评审标准》。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4投标报价评分标准：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分值构成及权重：见评标办法前附表。</w:t>
      </w:r>
    </w:p>
    <w:p>
      <w:pPr>
        <w:widowControl/>
        <w:shd w:val="clear" w:color="auto" w:fill="FFFFFF"/>
        <w:snapToGrid w:val="0"/>
        <w:spacing w:line="360" w:lineRule="auto"/>
        <w:ind w:firstLine="480" w:firstLineChars="200"/>
        <w:rPr>
          <w:rFonts w:ascii="宋体" w:cs="Arial"/>
          <w:kern w:val="0"/>
          <w:sz w:val="24"/>
          <w:szCs w:val="24"/>
        </w:rPr>
      </w:pPr>
      <w:r>
        <w:rPr>
          <w:rFonts w:hint="eastAsia" w:ascii="微软雅黑" w:hAnsi="微软雅黑" w:eastAsia="微软雅黑" w:cs="微软雅黑"/>
          <w:kern w:val="0"/>
          <w:sz w:val="24"/>
          <w:szCs w:val="24"/>
        </w:rPr>
        <w:t>②</w:t>
      </w:r>
      <w:r>
        <w:rPr>
          <w:rFonts w:hint="eastAsia" w:ascii="宋体" w:hAnsi="宋体" w:cs="Arial"/>
          <w:kern w:val="0"/>
          <w:sz w:val="24"/>
          <w:szCs w:val="24"/>
        </w:rPr>
        <w:t>评标基准价计算：见评标办法前附表。</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宋体" w:hAnsi="宋体" w:cs="宋体"/>
          <w:kern w:val="0"/>
          <w:sz w:val="24"/>
          <w:szCs w:val="24"/>
        </w:rPr>
        <w:t>③</w:t>
      </w:r>
      <w:r>
        <w:rPr>
          <w:rFonts w:hint="eastAsia" w:ascii="宋体" w:hAnsi="宋体" w:cs="Arial"/>
          <w:kern w:val="0"/>
          <w:sz w:val="24"/>
          <w:szCs w:val="24"/>
        </w:rPr>
        <w:t>投标报价得分的计算：见评标办法前附表。</w:t>
      </w:r>
    </w:p>
    <w:p>
      <w:pPr>
        <w:jc w:val="center"/>
        <w:rPr>
          <w:b/>
          <w:bCs/>
          <w:sz w:val="24"/>
          <w:szCs w:val="24"/>
        </w:rPr>
      </w:pPr>
      <w:bookmarkStart w:id="15" w:name="_BookMark_10"/>
      <w:bookmarkEnd w:id="15"/>
      <w:r>
        <w:rPr>
          <w:rFonts w:hint="eastAsia"/>
          <w:b/>
          <w:bCs/>
          <w:sz w:val="24"/>
          <w:szCs w:val="24"/>
        </w:rPr>
        <w:t>综合评估法</w:t>
      </w:r>
    </w:p>
    <w:p>
      <w:pPr>
        <w:jc w:val="center"/>
        <w:rPr>
          <w:sz w:val="24"/>
          <w:szCs w:val="24"/>
        </w:rPr>
      </w:pPr>
      <w:bookmarkStart w:id="16" w:name="_Toc1514"/>
      <w:r>
        <w:rPr>
          <w:rFonts w:hint="eastAsia"/>
          <w:sz w:val="24"/>
          <w:szCs w:val="24"/>
        </w:rPr>
        <w:t>评标办法前附表</w:t>
      </w:r>
      <w:bookmarkEnd w:id="16"/>
    </w:p>
    <w:tbl>
      <w:tblPr>
        <w:tblStyle w:val="20"/>
        <w:tblW w:w="9160" w:type="dxa"/>
        <w:jc w:val="center"/>
        <w:tblLayout w:type="fixed"/>
        <w:tblCellMar>
          <w:top w:w="0" w:type="dxa"/>
          <w:left w:w="0" w:type="dxa"/>
          <w:bottom w:w="0" w:type="dxa"/>
          <w:right w:w="0" w:type="dxa"/>
        </w:tblCellMar>
      </w:tblPr>
      <w:tblGrid>
        <w:gridCol w:w="612"/>
        <w:gridCol w:w="2393"/>
        <w:gridCol w:w="6155"/>
      </w:tblGrid>
      <w:tr>
        <w:tblPrEx>
          <w:tblCellMar>
            <w:top w:w="0" w:type="dxa"/>
            <w:left w:w="0" w:type="dxa"/>
            <w:bottom w:w="0" w:type="dxa"/>
            <w:right w:w="0" w:type="dxa"/>
          </w:tblCellMar>
        </w:tblPrEx>
        <w:trPr>
          <w:cantSplit/>
          <w:trHeight w:val="325"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sz w:val="24"/>
                <w:szCs w:val="24"/>
              </w:rPr>
            </w:pPr>
            <w:r>
              <w:rPr>
                <w:rFonts w:hint="eastAsia" w:ascii="宋体" w:hAnsi="宋体"/>
                <w:sz w:val="24"/>
                <w:szCs w:val="24"/>
              </w:rPr>
              <w:t>序号</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sz w:val="24"/>
                <w:szCs w:val="24"/>
              </w:rPr>
            </w:pPr>
            <w:r>
              <w:rPr>
                <w:rFonts w:hint="eastAsia" w:ascii="宋体" w:hAnsi="宋体"/>
                <w:sz w:val="24"/>
                <w:szCs w:val="24"/>
              </w:rPr>
              <w:t>条款内容</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sz w:val="24"/>
                <w:szCs w:val="24"/>
              </w:rPr>
            </w:pPr>
            <w:r>
              <w:rPr>
                <w:rFonts w:hint="eastAsia" w:ascii="宋体" w:hAnsi="宋体"/>
                <w:sz w:val="24"/>
                <w:szCs w:val="24"/>
              </w:rPr>
              <w:t>编列内容</w:t>
            </w:r>
          </w:p>
        </w:tc>
      </w:tr>
      <w:tr>
        <w:tblPrEx>
          <w:tblCellMar>
            <w:top w:w="0" w:type="dxa"/>
            <w:left w:w="0" w:type="dxa"/>
            <w:bottom w:w="0" w:type="dxa"/>
            <w:right w:w="0" w:type="dxa"/>
          </w:tblCellMar>
        </w:tblPrEx>
        <w:trPr>
          <w:cantSplit/>
          <w:trHeight w:val="630"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ascii="宋体" w:hAnsi="宋体"/>
                <w:sz w:val="24"/>
                <w:szCs w:val="24"/>
              </w:rPr>
              <w:t>1</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分值构成及权重</w:t>
            </w:r>
          </w:p>
          <w:p>
            <w:pPr>
              <w:rPr>
                <w:rFonts w:ascii="宋体" w:hAnsi="宋体"/>
                <w:sz w:val="24"/>
                <w:szCs w:val="24"/>
              </w:rPr>
            </w:pPr>
            <w:r>
              <w:rPr>
                <w:rFonts w:ascii="宋体" w:hAnsi="宋体"/>
                <w:sz w:val="24"/>
                <w:szCs w:val="24"/>
              </w:rPr>
              <w:t>(</w:t>
            </w:r>
            <w:r>
              <w:rPr>
                <w:rFonts w:hint="eastAsia" w:ascii="宋体" w:hAnsi="宋体"/>
                <w:sz w:val="24"/>
                <w:szCs w:val="24"/>
              </w:rPr>
              <w:t>总分</w:t>
            </w:r>
            <w:r>
              <w:rPr>
                <w:rFonts w:ascii="宋体" w:hAnsi="宋体"/>
                <w:sz w:val="24"/>
                <w:szCs w:val="24"/>
              </w:rPr>
              <w:t>100</w:t>
            </w:r>
            <w:r>
              <w:rPr>
                <w:rFonts w:hint="eastAsia" w:ascii="宋体" w:hAnsi="宋体"/>
                <w:sz w:val="24"/>
                <w:szCs w:val="24"/>
              </w:rPr>
              <w:t>分</w:t>
            </w:r>
            <w:r>
              <w:rPr>
                <w:rFonts w:ascii="宋体" w:hAnsi="宋体"/>
                <w:sz w:val="24"/>
                <w:szCs w:val="24"/>
              </w:rPr>
              <w:t>)</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hAnsi="宋体"/>
                <w:sz w:val="24"/>
                <w:szCs w:val="24"/>
              </w:rPr>
            </w:pPr>
            <w:r>
              <w:rPr>
                <w:rFonts w:ascii="宋体" w:hAnsi="宋体"/>
                <w:sz w:val="24"/>
                <w:szCs w:val="24"/>
              </w:rPr>
              <w:t>1.</w:t>
            </w:r>
            <w:r>
              <w:rPr>
                <w:rFonts w:hint="eastAsia" w:ascii="宋体" w:hAnsi="宋体"/>
                <w:sz w:val="24"/>
                <w:szCs w:val="24"/>
              </w:rPr>
              <w:t>详细评审部分权重</w:t>
            </w:r>
            <w:r>
              <w:rPr>
                <w:rFonts w:ascii="宋体" w:hAnsi="宋体"/>
                <w:sz w:val="24"/>
                <w:szCs w:val="24"/>
              </w:rPr>
              <w:t>Q1=70%</w:t>
            </w:r>
          </w:p>
          <w:p>
            <w:pPr>
              <w:rPr>
                <w:rFonts w:ascii="宋体" w:hAnsi="宋体"/>
                <w:sz w:val="24"/>
                <w:szCs w:val="24"/>
              </w:rPr>
            </w:pPr>
            <w:r>
              <w:rPr>
                <w:rFonts w:ascii="宋体" w:hAnsi="宋体"/>
                <w:sz w:val="24"/>
                <w:szCs w:val="24"/>
              </w:rPr>
              <w:t>2.</w:t>
            </w:r>
            <w:r>
              <w:rPr>
                <w:rFonts w:hint="eastAsia" w:ascii="宋体" w:hAnsi="宋体"/>
                <w:sz w:val="24"/>
                <w:szCs w:val="24"/>
              </w:rPr>
              <w:t>投标报价权重</w:t>
            </w:r>
            <w:r>
              <w:rPr>
                <w:rFonts w:ascii="宋体" w:hAnsi="宋体"/>
                <w:sz w:val="24"/>
                <w:szCs w:val="24"/>
              </w:rPr>
              <w:t>Q2=30%</w:t>
            </w:r>
          </w:p>
        </w:tc>
      </w:tr>
      <w:tr>
        <w:tblPrEx>
          <w:tblCellMar>
            <w:top w:w="0" w:type="dxa"/>
            <w:left w:w="0" w:type="dxa"/>
            <w:bottom w:w="0" w:type="dxa"/>
            <w:right w:w="0" w:type="dxa"/>
          </w:tblCellMar>
        </w:tblPrEx>
        <w:trPr>
          <w:cantSplit/>
          <w:trHeight w:val="147"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2</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资格审查</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详见《资格审查标准》</w:t>
            </w:r>
          </w:p>
        </w:tc>
      </w:tr>
      <w:tr>
        <w:tblPrEx>
          <w:tblCellMar>
            <w:top w:w="0" w:type="dxa"/>
            <w:left w:w="0" w:type="dxa"/>
            <w:bottom w:w="0" w:type="dxa"/>
            <w:right w:w="0" w:type="dxa"/>
          </w:tblCellMar>
        </w:tblPrEx>
        <w:trPr>
          <w:cantSplit/>
          <w:trHeight w:val="325"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3</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完备性及符合性审查</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详见《完备性及符合性审查标准》</w:t>
            </w:r>
          </w:p>
        </w:tc>
      </w:tr>
      <w:tr>
        <w:tblPrEx>
          <w:tblCellMar>
            <w:top w:w="0" w:type="dxa"/>
            <w:left w:w="0" w:type="dxa"/>
            <w:bottom w:w="0" w:type="dxa"/>
            <w:right w:w="0" w:type="dxa"/>
          </w:tblCellMar>
        </w:tblPrEx>
        <w:trPr>
          <w:cantSplit/>
          <w:trHeight w:val="325"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4</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hAnsi="宋体"/>
                <w:sz w:val="24"/>
                <w:szCs w:val="24"/>
              </w:rPr>
            </w:pPr>
            <w:r>
              <w:rPr>
                <w:rFonts w:hint="eastAsia" w:ascii="宋体" w:hAnsi="宋体"/>
                <w:sz w:val="24"/>
                <w:szCs w:val="24"/>
              </w:rPr>
              <w:t>投标品牌</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hAnsi="宋体"/>
                <w:sz w:val="24"/>
                <w:szCs w:val="24"/>
              </w:rPr>
            </w:pPr>
            <w:r>
              <w:rPr>
                <w:rFonts w:hint="eastAsia" w:ascii="宋体" w:hAnsi="宋体"/>
                <w:sz w:val="24"/>
                <w:szCs w:val="24"/>
              </w:rPr>
              <w:t>详见《投标品牌统计》</w:t>
            </w:r>
          </w:p>
        </w:tc>
      </w:tr>
      <w:tr>
        <w:tblPrEx>
          <w:tblCellMar>
            <w:top w:w="0" w:type="dxa"/>
            <w:left w:w="0" w:type="dxa"/>
            <w:bottom w:w="0" w:type="dxa"/>
            <w:right w:w="0" w:type="dxa"/>
          </w:tblCellMar>
        </w:tblPrEx>
        <w:trPr>
          <w:cantSplit/>
          <w:trHeight w:val="325" w:hRule="atLeast"/>
          <w:jc w:val="center"/>
        </w:trPr>
        <w:tc>
          <w:tcPr>
            <w:tcW w:w="612" w:type="dxa"/>
            <w:vMerge w:val="restart"/>
            <w:tcBorders>
              <w:top w:val="single" w:color="auto" w:sz="8" w:space="0"/>
              <w:left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5</w:t>
            </w:r>
          </w:p>
        </w:tc>
        <w:tc>
          <w:tcPr>
            <w:tcW w:w="2393" w:type="dxa"/>
            <w:vMerge w:val="restart"/>
            <w:tcBorders>
              <w:top w:val="single" w:color="auto" w:sz="8" w:space="0"/>
              <w:left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详细评审</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详见《详细评审标准》及</w:t>
            </w:r>
            <w:r>
              <w:rPr>
                <w:rFonts w:hint="eastAsia" w:ascii="宋体" w:cs="Arial"/>
                <w:kern w:val="0"/>
                <w:sz w:val="24"/>
                <w:szCs w:val="24"/>
              </w:rPr>
              <w:t>本节第3.7款</w:t>
            </w:r>
          </w:p>
        </w:tc>
      </w:tr>
      <w:tr>
        <w:tblPrEx>
          <w:tblCellMar>
            <w:top w:w="0" w:type="dxa"/>
            <w:left w:w="0" w:type="dxa"/>
            <w:bottom w:w="0" w:type="dxa"/>
            <w:right w:w="0" w:type="dxa"/>
          </w:tblCellMar>
        </w:tblPrEx>
        <w:trPr>
          <w:cantSplit/>
          <w:trHeight w:val="2577" w:hRule="atLeast"/>
          <w:jc w:val="center"/>
        </w:trPr>
        <w:tc>
          <w:tcPr>
            <w:tcW w:w="612" w:type="dxa"/>
            <w:vMerge w:val="continue"/>
            <w:tcBorders>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p>
        </w:tc>
        <w:tc>
          <w:tcPr>
            <w:tcW w:w="2393" w:type="dxa"/>
            <w:vMerge w:val="continue"/>
            <w:tcBorders>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tcPr>
          <w:p>
            <w:pPr>
              <w:rPr>
                <w:rFonts w:ascii="宋体" w:hAnsi="宋体"/>
                <w:color w:val="000000"/>
                <w:sz w:val="24"/>
                <w:szCs w:val="24"/>
              </w:rPr>
            </w:pPr>
            <w:r>
              <w:rPr>
                <w:rFonts w:hint="eastAsia" w:ascii="宋体" w:hAnsi="宋体"/>
                <w:sz w:val="24"/>
                <w:szCs w:val="24"/>
              </w:rPr>
              <w:t>投标报价得分计算方法：</w:t>
            </w:r>
          </w:p>
          <w:p>
            <w:pPr>
              <w:rPr>
                <w:rFonts w:hint="eastAsia" w:ascii="宋体" w:hAnsi="宋体" w:eastAsia="宋体"/>
                <w:bCs/>
                <w:color w:val="000000"/>
                <w:sz w:val="24"/>
                <w:szCs w:val="24"/>
                <w:lang w:eastAsia="zh-CN"/>
              </w:rPr>
            </w:pPr>
            <w:r>
              <w:rPr>
                <w:rFonts w:hint="eastAsia" w:ascii="宋体" w:hAnsi="宋体"/>
                <w:color w:val="000000"/>
                <w:sz w:val="24"/>
                <w:szCs w:val="24"/>
              </w:rPr>
              <w:t>1</w:t>
            </w:r>
            <w:r>
              <w:rPr>
                <w:rFonts w:hint="eastAsia" w:ascii="宋体" w:hAnsi="宋体"/>
                <w:bCs/>
                <w:color w:val="000000"/>
                <w:sz w:val="24"/>
                <w:szCs w:val="24"/>
              </w:rPr>
              <w:t>.投标报价的确定</w:t>
            </w:r>
            <w:r>
              <w:rPr>
                <w:rFonts w:hint="eastAsia" w:ascii="宋体" w:hAnsi="宋体"/>
                <w:bCs/>
                <w:color w:val="000000"/>
                <w:sz w:val="24"/>
                <w:szCs w:val="24"/>
                <w:lang w:val="en-US" w:eastAsia="zh-CN"/>
              </w:rPr>
              <w:t xml:space="preserve"> </w:t>
            </w:r>
          </w:p>
          <w:p>
            <w:pPr>
              <w:rPr>
                <w:rFonts w:ascii="宋体" w:hAnsi="宋体"/>
                <w:bCs/>
                <w:color w:val="000000"/>
                <w:sz w:val="24"/>
                <w:szCs w:val="24"/>
              </w:rPr>
            </w:pPr>
            <w:r>
              <w:rPr>
                <w:rFonts w:hint="eastAsia" w:ascii="宋体" w:hAnsi="宋体"/>
                <w:bCs/>
                <w:color w:val="000000"/>
                <w:sz w:val="24"/>
                <w:szCs w:val="24"/>
              </w:rPr>
              <w:t>投标报价是指经评审的且不超过采购预算金额的投标价格</w:t>
            </w:r>
          </w:p>
          <w:p>
            <w:pPr>
              <w:rPr>
                <w:rFonts w:ascii="宋体" w:hAnsi="宋体"/>
                <w:bCs/>
                <w:color w:val="000000"/>
                <w:sz w:val="24"/>
                <w:szCs w:val="24"/>
              </w:rPr>
            </w:pPr>
            <w:r>
              <w:rPr>
                <w:rFonts w:hint="eastAsia" w:ascii="宋体" w:hAnsi="宋体"/>
                <w:bCs/>
                <w:color w:val="000000"/>
                <w:sz w:val="24"/>
                <w:szCs w:val="24"/>
              </w:rPr>
              <w:t>2.评标基准价的确定</w:t>
            </w:r>
          </w:p>
          <w:p>
            <w:pPr>
              <w:rPr>
                <w:rFonts w:ascii="宋体" w:hAnsi="宋体"/>
                <w:bCs/>
                <w:color w:val="000000"/>
                <w:sz w:val="24"/>
                <w:szCs w:val="24"/>
              </w:rPr>
            </w:pPr>
            <w:r>
              <w:rPr>
                <w:rFonts w:ascii="宋体" w:hAnsi="宋体"/>
                <w:bCs/>
                <w:color w:val="000000"/>
                <w:sz w:val="24"/>
                <w:szCs w:val="24"/>
              </w:rPr>
              <w:t>满足招标文件要求且</w:t>
            </w:r>
            <w:r>
              <w:rPr>
                <w:rFonts w:hint="eastAsia" w:ascii="宋体" w:hAnsi="宋体"/>
                <w:bCs/>
                <w:color w:val="000000"/>
                <w:sz w:val="24"/>
                <w:szCs w:val="24"/>
              </w:rPr>
              <w:t>投标报价</w:t>
            </w:r>
            <w:r>
              <w:rPr>
                <w:rFonts w:ascii="宋体" w:hAnsi="宋体"/>
                <w:bCs/>
                <w:color w:val="000000"/>
                <w:sz w:val="24"/>
                <w:szCs w:val="24"/>
              </w:rPr>
              <w:t>最低的为评标基准价</w:t>
            </w:r>
          </w:p>
          <w:p>
            <w:pPr>
              <w:rPr>
                <w:rFonts w:ascii="宋体" w:hAnsi="宋体"/>
                <w:bCs/>
                <w:color w:val="000000"/>
                <w:sz w:val="24"/>
                <w:szCs w:val="24"/>
              </w:rPr>
            </w:pPr>
            <w:r>
              <w:rPr>
                <w:rFonts w:hint="eastAsia" w:ascii="宋体" w:hAnsi="宋体"/>
                <w:bCs/>
                <w:color w:val="000000"/>
                <w:sz w:val="24"/>
                <w:szCs w:val="24"/>
              </w:rPr>
              <w:t>3.</w:t>
            </w:r>
            <w:r>
              <w:rPr>
                <w:rFonts w:ascii="宋体" w:hAnsi="宋体"/>
                <w:bCs/>
                <w:color w:val="000000"/>
                <w:sz w:val="24"/>
                <w:szCs w:val="24"/>
              </w:rPr>
              <w:t>投标报价得分=(评标基准价／投标报价)×100×</w:t>
            </w:r>
            <w:r>
              <w:rPr>
                <w:rFonts w:hint="eastAsia" w:ascii="宋体" w:hAnsi="宋体"/>
                <w:bCs/>
                <w:color w:val="000000"/>
                <w:sz w:val="24"/>
                <w:szCs w:val="24"/>
              </w:rPr>
              <w:t>Q2</w:t>
            </w:r>
          </w:p>
          <w:p>
            <w:pPr>
              <w:rPr>
                <w:rFonts w:ascii="宋体" w:hAnsi="宋体"/>
                <w:color w:val="000000"/>
                <w:sz w:val="24"/>
                <w:szCs w:val="24"/>
              </w:rPr>
            </w:pPr>
            <w:r>
              <w:rPr>
                <w:rFonts w:hint="eastAsia" w:ascii="宋体" w:hAnsi="宋体"/>
                <w:bCs/>
                <w:color w:val="000000"/>
                <w:sz w:val="24"/>
                <w:szCs w:val="24"/>
              </w:rPr>
              <w:t>4.</w:t>
            </w:r>
            <w:r>
              <w:rPr>
                <w:rFonts w:hint="eastAsia" w:ascii="宋体" w:hAnsi="宋体"/>
                <w:color w:val="000000"/>
                <w:sz w:val="24"/>
                <w:szCs w:val="24"/>
              </w:rPr>
              <w:t>评分分值计算保留小数点后两位，小数点后三位“四舍五入”。</w:t>
            </w:r>
          </w:p>
        </w:tc>
      </w:tr>
    </w:tbl>
    <w:p>
      <w:pPr>
        <w:widowControl/>
        <w:shd w:val="clear" w:color="auto" w:fill="FFFFFF"/>
        <w:snapToGrid w:val="0"/>
        <w:jc w:val="center"/>
        <w:rPr>
          <w:rFonts w:ascii="宋体" w:hAnsi="宋体" w:cs="Arial"/>
          <w:b/>
          <w:kern w:val="0"/>
          <w:sz w:val="24"/>
          <w:szCs w:val="24"/>
        </w:rPr>
      </w:pPr>
      <w:bookmarkStart w:id="17" w:name="_Toc501719166"/>
    </w:p>
    <w:p>
      <w:pPr>
        <w:widowControl/>
        <w:shd w:val="clear" w:color="auto" w:fill="FFFFFF"/>
        <w:snapToGrid w:val="0"/>
        <w:jc w:val="center"/>
        <w:rPr>
          <w:rFonts w:ascii="宋体" w:hAnsi="宋体" w:cs="Arial"/>
          <w:b/>
          <w:kern w:val="0"/>
          <w:sz w:val="24"/>
          <w:szCs w:val="24"/>
        </w:rPr>
      </w:pPr>
      <w:r>
        <w:rPr>
          <w:rFonts w:hint="eastAsia" w:ascii="宋体" w:hAnsi="宋体" w:cs="Arial"/>
          <w:b/>
          <w:kern w:val="0"/>
          <w:sz w:val="24"/>
          <w:szCs w:val="24"/>
        </w:rPr>
        <w:t>《资格审查标准》</w:t>
      </w:r>
      <w:bookmarkEnd w:id="17"/>
    </w:p>
    <w:tbl>
      <w:tblPr>
        <w:tblStyle w:val="20"/>
        <w:tblW w:w="9160" w:type="dxa"/>
        <w:jc w:val="center"/>
        <w:tblLayout w:type="fixed"/>
        <w:tblCellMar>
          <w:top w:w="0" w:type="dxa"/>
          <w:left w:w="0" w:type="dxa"/>
          <w:bottom w:w="0" w:type="dxa"/>
          <w:right w:w="0" w:type="dxa"/>
        </w:tblCellMar>
      </w:tblPr>
      <w:tblGrid>
        <w:gridCol w:w="618"/>
        <w:gridCol w:w="8542"/>
      </w:tblGrid>
      <w:tr>
        <w:tblPrEx>
          <w:tblCellMar>
            <w:top w:w="0" w:type="dxa"/>
            <w:left w:w="0" w:type="dxa"/>
            <w:bottom w:w="0" w:type="dxa"/>
            <w:right w:w="0" w:type="dxa"/>
          </w:tblCellMar>
        </w:tblPrEx>
        <w:trPr>
          <w:cantSplit/>
          <w:trHeight w:val="429" w:hRule="atLeast"/>
          <w:jc w:val="center"/>
        </w:trPr>
        <w:tc>
          <w:tcPr>
            <w:tcW w:w="618"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序号</w:t>
            </w:r>
          </w:p>
        </w:tc>
        <w:tc>
          <w:tcPr>
            <w:tcW w:w="8542"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审查标准</w:t>
            </w:r>
          </w:p>
        </w:tc>
      </w:tr>
      <w:tr>
        <w:tblPrEx>
          <w:tblCellMar>
            <w:top w:w="0" w:type="dxa"/>
            <w:left w:w="0" w:type="dxa"/>
            <w:bottom w:w="0" w:type="dxa"/>
            <w:right w:w="0" w:type="dxa"/>
          </w:tblCellMar>
        </w:tblPrEx>
        <w:trPr>
          <w:cantSplit/>
          <w:trHeight w:val="314" w:hRule="atLeast"/>
          <w:jc w:val="center"/>
        </w:trPr>
        <w:tc>
          <w:tcPr>
            <w:tcW w:w="618"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1</w:t>
            </w:r>
          </w:p>
        </w:tc>
        <w:tc>
          <w:tcPr>
            <w:tcW w:w="8542"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left"/>
              <w:rPr>
                <w:rFonts w:ascii="宋体" w:hAnsi="宋体" w:cs="Arial"/>
                <w:kern w:val="0"/>
                <w:sz w:val="24"/>
                <w:szCs w:val="24"/>
              </w:rPr>
            </w:pPr>
            <w:r>
              <w:rPr>
                <w:rFonts w:hint="eastAsia" w:ascii="宋体" w:hAnsi="宋体" w:cs="宋体"/>
                <w:sz w:val="24"/>
              </w:rPr>
              <w:t>提供</w:t>
            </w:r>
            <w:r>
              <w:rPr>
                <w:rFonts w:hint="eastAsia" w:ascii="宋体" w:hAnsi="宋体" w:cs="宋体"/>
                <w:kern w:val="0"/>
                <w:sz w:val="24"/>
                <w:szCs w:val="24"/>
              </w:rPr>
              <w:t>有效内与供应商投标文件名称一致的营业执照</w:t>
            </w:r>
          </w:p>
        </w:tc>
      </w:tr>
      <w:tr>
        <w:tblPrEx>
          <w:tblCellMar>
            <w:top w:w="0" w:type="dxa"/>
            <w:left w:w="0" w:type="dxa"/>
            <w:bottom w:w="0" w:type="dxa"/>
            <w:right w:w="0" w:type="dxa"/>
          </w:tblCellMar>
        </w:tblPrEx>
        <w:trPr>
          <w:cantSplit/>
          <w:trHeight w:val="409"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2</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宋体"/>
                <w:sz w:val="24"/>
              </w:rPr>
              <w:t>提供《兽药经营许可证</w:t>
            </w:r>
            <w:r>
              <w:rPr>
                <w:rFonts w:hint="eastAsia" w:ascii="宋体" w:hAnsi="宋体" w:cs="宋体"/>
                <w:color w:val="auto"/>
                <w:sz w:val="24"/>
              </w:rPr>
              <w:t>》</w:t>
            </w:r>
            <w:r>
              <w:rPr>
                <w:rFonts w:hint="eastAsia" w:ascii="宋体" w:hAnsi="宋体" w:cs="宋体"/>
                <w:color w:val="auto"/>
                <w:sz w:val="24"/>
                <w:lang w:eastAsia="zh-CN"/>
              </w:rPr>
              <w:t>及</w:t>
            </w:r>
            <w:r>
              <w:rPr>
                <w:rFonts w:hint="eastAsia" w:ascii="宋体" w:hAnsi="宋体" w:cs="宋体"/>
                <w:color w:val="auto"/>
                <w:sz w:val="24"/>
              </w:rPr>
              <w:t>《</w:t>
            </w:r>
            <w:r>
              <w:rPr>
                <w:rFonts w:hint="eastAsia" w:ascii="宋体" w:hAnsi="宋体" w:cs="宋体"/>
                <w:sz w:val="24"/>
              </w:rPr>
              <w:t>兽药生产许可证》</w:t>
            </w:r>
          </w:p>
        </w:tc>
      </w:tr>
      <w:tr>
        <w:tblPrEx>
          <w:tblCellMar>
            <w:top w:w="0" w:type="dxa"/>
            <w:left w:w="0" w:type="dxa"/>
            <w:bottom w:w="0" w:type="dxa"/>
            <w:right w:w="0" w:type="dxa"/>
          </w:tblCellMar>
        </w:tblPrEx>
        <w:trPr>
          <w:cantSplit/>
          <w:trHeight w:val="90"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3</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宋体"/>
                <w:sz w:val="24"/>
              </w:rPr>
              <w:t>提</w:t>
            </w:r>
            <w:r>
              <w:rPr>
                <w:rFonts w:hint="eastAsia" w:ascii="宋体" w:hAnsi="宋体" w:cs="宋体"/>
                <w:sz w:val="24"/>
                <w:szCs w:val="24"/>
              </w:rPr>
              <w:t>供</w:t>
            </w:r>
            <w:r>
              <w:rPr>
                <w:rFonts w:hint="eastAsia" w:ascii="宋体" w:hAnsi="宋体" w:cs="宋体"/>
                <w:color w:val="000000" w:themeColor="text1"/>
                <w:sz w:val="24"/>
                <w:szCs w:val="24"/>
              </w:rPr>
              <w:t>兽药产品批准文号；有效期内的兽药GMP证书</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4</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cs="Arial"/>
                <w:kern w:val="0"/>
                <w:sz w:val="24"/>
                <w:szCs w:val="24"/>
              </w:rPr>
            </w:pPr>
            <w:r>
              <w:rPr>
                <w:rFonts w:hint="eastAsia" w:ascii="宋体" w:hAnsi="宋体" w:cs="Arial"/>
                <w:kern w:val="0"/>
                <w:sz w:val="24"/>
                <w:szCs w:val="24"/>
              </w:rPr>
              <w:t>供应商唯一性的报价</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5</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cs="宋体"/>
                <w:sz w:val="24"/>
              </w:rPr>
            </w:pPr>
            <w:r>
              <w:rPr>
                <w:rFonts w:hint="eastAsia" w:ascii="宋体" w:hAnsi="宋体" w:cs="宋体"/>
                <w:sz w:val="24"/>
              </w:rPr>
              <w:t>提供授权委托人《法定代表人授权委托书》及身份证（法人前来投标的提供《法人身份证明书》及身份证）</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6</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cs="宋体"/>
                <w:sz w:val="24"/>
                <w:highlight w:val="none"/>
              </w:rPr>
            </w:pPr>
            <w:r>
              <w:rPr>
                <w:rFonts w:hint="eastAsia" w:ascii="宋体" w:hAnsi="宋体" w:cs="宋体"/>
                <w:bCs/>
                <w:sz w:val="24"/>
                <w:szCs w:val="24"/>
                <w:highlight w:val="none"/>
                <w:lang w:eastAsia="zh-CN"/>
              </w:rPr>
              <w:t>提供</w:t>
            </w:r>
            <w:r>
              <w:rPr>
                <w:rFonts w:hint="eastAsia" w:ascii="宋体" w:hAnsi="宋体" w:cs="宋体"/>
                <w:bCs/>
                <w:sz w:val="24"/>
                <w:szCs w:val="24"/>
                <w:highlight w:val="none"/>
              </w:rPr>
              <w:t>企业及授权委托人的</w:t>
            </w:r>
            <w:r>
              <w:rPr>
                <w:rFonts w:hint="eastAsia" w:ascii="宋体" w:hAnsi="宋体" w:cs="宋体"/>
                <w:bCs/>
                <w:sz w:val="24"/>
                <w:szCs w:val="24"/>
                <w:highlight w:val="none"/>
                <w:lang w:eastAsia="zh-CN"/>
              </w:rPr>
              <w:t>近三个月的</w:t>
            </w:r>
            <w:r>
              <w:rPr>
                <w:rFonts w:hint="eastAsia" w:ascii="宋体" w:hAnsi="宋体" w:cs="宋体"/>
                <w:bCs/>
                <w:sz w:val="24"/>
                <w:szCs w:val="24"/>
                <w:highlight w:val="none"/>
              </w:rPr>
              <w:t>社保缴纳证明（退休人员提供退休证）</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4"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7</w:t>
            </w:r>
          </w:p>
        </w:tc>
        <w:tc>
          <w:tcPr>
            <w:tcW w:w="8542" w:type="dxa"/>
            <w:tcBorders>
              <w:top w:val="nil"/>
              <w:left w:val="nil"/>
              <w:bottom w:val="single" w:color="auto" w:sz="4"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sz w:val="24"/>
                <w:szCs w:val="24"/>
              </w:rPr>
            </w:pPr>
            <w:r>
              <w:rPr>
                <w:rFonts w:hint="eastAsia" w:ascii="宋体" w:hAnsi="宋体" w:cs="宋体"/>
                <w:sz w:val="24"/>
                <w:szCs w:val="24"/>
              </w:rPr>
              <w:t>提供近</w:t>
            </w:r>
            <w:r>
              <w:rPr>
                <w:rFonts w:hint="eastAsia" w:ascii="宋体" w:hAnsi="宋体" w:cs="宋体"/>
                <w:sz w:val="24"/>
                <w:szCs w:val="24"/>
                <w:lang w:eastAsia="zh-CN"/>
              </w:rPr>
              <w:t>一</w:t>
            </w:r>
            <w:r>
              <w:rPr>
                <w:rFonts w:hint="eastAsia" w:ascii="宋体" w:hAnsi="宋体" w:cs="宋体"/>
                <w:sz w:val="24"/>
                <w:szCs w:val="24"/>
              </w:rPr>
              <w:t>年</w:t>
            </w:r>
            <w:r>
              <w:rPr>
                <w:rFonts w:hint="eastAsia" w:ascii="宋体" w:hAnsi="宋体" w:cs="宋体"/>
                <w:sz w:val="24"/>
                <w:szCs w:val="24"/>
                <w:lang w:eastAsia="zh-CN"/>
              </w:rPr>
              <w:t>（</w:t>
            </w:r>
            <w:r>
              <w:rPr>
                <w:rFonts w:hint="eastAsia" w:ascii="宋体" w:hAnsi="宋体" w:cs="宋体"/>
                <w:sz w:val="24"/>
                <w:szCs w:val="24"/>
                <w:lang w:val="en-US" w:eastAsia="zh-CN"/>
              </w:rPr>
              <w:t>2021年</w:t>
            </w:r>
            <w:r>
              <w:rPr>
                <w:rFonts w:hint="eastAsia" w:ascii="宋体" w:hAnsi="宋体" w:cs="宋体"/>
                <w:sz w:val="24"/>
                <w:szCs w:val="24"/>
                <w:lang w:eastAsia="zh-CN"/>
              </w:rPr>
              <w:t>）</w:t>
            </w:r>
            <w:r>
              <w:rPr>
                <w:rFonts w:hint="eastAsia" w:ascii="宋体" w:hAnsi="宋体" w:cs="宋体"/>
                <w:sz w:val="24"/>
                <w:szCs w:val="24"/>
              </w:rPr>
              <w:t>的财务审计报告</w:t>
            </w:r>
            <w:r>
              <w:rPr>
                <w:rFonts w:hint="eastAsia" w:ascii="宋体" w:hAnsi="宋体" w:cs="宋体"/>
                <w:sz w:val="24"/>
                <w:szCs w:val="24"/>
                <w:lang w:eastAsia="zh-CN"/>
              </w:rPr>
              <w:t>（需要包含资产负债表、利润表、现金流量表和附注）或财务报表</w:t>
            </w:r>
            <w:r>
              <w:rPr>
                <w:rFonts w:hint="eastAsia" w:ascii="宋体" w:hAnsi="宋体" w:cs="宋体"/>
                <w:sz w:val="24"/>
                <w:szCs w:val="24"/>
              </w:rPr>
              <w:t>〔成立不足一年提供成立至今的财务报表〕</w:t>
            </w:r>
            <w:r>
              <w:rPr>
                <w:rFonts w:hint="eastAsia" w:ascii="宋体" w:hAnsi="宋体" w:cs="宋体"/>
                <w:bCs/>
                <w:sz w:val="24"/>
                <w:szCs w:val="24"/>
              </w:rPr>
              <w:t>；</w:t>
            </w:r>
          </w:p>
        </w:tc>
      </w:tr>
      <w:tr>
        <w:tblPrEx>
          <w:tblCellMar>
            <w:top w:w="0" w:type="dxa"/>
            <w:left w:w="0" w:type="dxa"/>
            <w:bottom w:w="0" w:type="dxa"/>
            <w:right w:w="0" w:type="dxa"/>
          </w:tblCellMar>
        </w:tblPrEx>
        <w:trPr>
          <w:cantSplit/>
          <w:trHeight w:val="411" w:hRule="atLeast"/>
          <w:jc w:val="center"/>
        </w:trPr>
        <w:tc>
          <w:tcPr>
            <w:tcW w:w="618"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8</w:t>
            </w:r>
          </w:p>
        </w:tc>
        <w:tc>
          <w:tcPr>
            <w:tcW w:w="854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napToGrid w:val="0"/>
              <w:jc w:val="left"/>
              <w:rPr>
                <w:rFonts w:ascii="宋体" w:hAnsi="宋体"/>
                <w:sz w:val="24"/>
                <w:szCs w:val="24"/>
              </w:rPr>
            </w:pPr>
            <w:r>
              <w:rPr>
                <w:rFonts w:hint="eastAsia" w:ascii="宋体" w:hAnsi="宋体" w:cs="宋体"/>
                <w:kern w:val="0"/>
                <w:sz w:val="24"/>
                <w:szCs w:val="24"/>
              </w:rPr>
              <w:t>投标人如在“信用中国”网站（www.creditchina.gov.cn）、中国政府采购网（www.ccgp.gov.cn）被列入失信被执行人、重大税收违法案件当事人名单、政府采购严重违法失信行为记录名单的（尚在处罚期内的），将拒绝本次政府采购活动；</w:t>
            </w:r>
            <w:r>
              <w:rPr>
                <w:rFonts w:hint="eastAsia" w:ascii="宋体" w:hAnsi="宋体" w:cs="宋体"/>
                <w:sz w:val="24"/>
              </w:rPr>
              <w:t>查询结果页面清晰截图</w:t>
            </w:r>
          </w:p>
        </w:tc>
      </w:tr>
      <w:tr>
        <w:tblPrEx>
          <w:tblCellMar>
            <w:top w:w="0" w:type="dxa"/>
            <w:left w:w="0" w:type="dxa"/>
            <w:bottom w:w="0" w:type="dxa"/>
            <w:right w:w="0" w:type="dxa"/>
          </w:tblCellMar>
        </w:tblPrEx>
        <w:trPr>
          <w:cantSplit/>
          <w:trHeight w:val="950" w:hRule="atLeast"/>
          <w:jc w:val="center"/>
        </w:trPr>
        <w:tc>
          <w:tcPr>
            <w:tcW w:w="9160" w:type="dxa"/>
            <w:gridSpan w:val="2"/>
            <w:tcBorders>
              <w:top w:val="single" w:color="auto" w:sz="4" w:space="0"/>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hint="eastAsia" w:ascii="宋体" w:hAnsi="宋体" w:cs="Arial"/>
                <w:b/>
                <w:bCs/>
                <w:kern w:val="0"/>
                <w:sz w:val="24"/>
                <w:szCs w:val="24"/>
              </w:rPr>
            </w:pPr>
            <w:bookmarkStart w:id="18" w:name="_Toc501719167"/>
            <w:r>
              <w:rPr>
                <w:rFonts w:hint="eastAsia" w:ascii="宋体" w:hAnsi="宋体" w:cs="Arial"/>
                <w:b/>
                <w:bCs/>
                <w:kern w:val="0"/>
                <w:sz w:val="24"/>
                <w:szCs w:val="24"/>
              </w:rPr>
              <w:t>备注：如果资格评审中有一项不满足审查标准的，采购人将认定该投标人不通过资格审查，投标文件将被拒绝评审。并且不允许投标人通过修改或撤销其不符合要求的差异或保留，使之成为具有响应性的投标。</w:t>
            </w:r>
          </w:p>
        </w:tc>
      </w:tr>
    </w:tbl>
    <w:p>
      <w:pPr>
        <w:widowControl/>
        <w:shd w:val="clear" w:color="auto" w:fill="FFFFFF"/>
        <w:snapToGrid w:val="0"/>
        <w:jc w:val="center"/>
        <w:rPr>
          <w:rFonts w:ascii="宋体" w:hAnsi="宋体" w:cs="Arial"/>
          <w:b/>
          <w:kern w:val="0"/>
          <w:sz w:val="24"/>
          <w:szCs w:val="24"/>
        </w:rPr>
      </w:pPr>
      <w:r>
        <w:rPr>
          <w:rFonts w:hint="eastAsia" w:ascii="宋体" w:hAnsi="宋体" w:cs="Arial"/>
          <w:b/>
          <w:kern w:val="0"/>
          <w:sz w:val="24"/>
          <w:szCs w:val="24"/>
        </w:rPr>
        <w:t>《完备性及符合性审查标准》</w:t>
      </w:r>
      <w:bookmarkEnd w:id="18"/>
    </w:p>
    <w:tbl>
      <w:tblPr>
        <w:tblStyle w:val="20"/>
        <w:tblW w:w="9177" w:type="dxa"/>
        <w:jc w:val="center"/>
        <w:tblLayout w:type="fixed"/>
        <w:tblCellMar>
          <w:top w:w="0" w:type="dxa"/>
          <w:left w:w="0" w:type="dxa"/>
          <w:bottom w:w="0" w:type="dxa"/>
          <w:right w:w="0" w:type="dxa"/>
        </w:tblCellMar>
      </w:tblPr>
      <w:tblGrid>
        <w:gridCol w:w="621"/>
        <w:gridCol w:w="8556"/>
      </w:tblGrid>
      <w:tr>
        <w:tblPrEx>
          <w:tblCellMar>
            <w:top w:w="0" w:type="dxa"/>
            <w:left w:w="0" w:type="dxa"/>
            <w:bottom w:w="0" w:type="dxa"/>
            <w:right w:w="0" w:type="dxa"/>
          </w:tblCellMar>
        </w:tblPrEx>
        <w:trPr>
          <w:cantSplit/>
          <w:trHeight w:val="465" w:hRule="atLeast"/>
          <w:jc w:val="center"/>
        </w:trPr>
        <w:tc>
          <w:tcPr>
            <w:tcW w:w="621"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序号</w:t>
            </w:r>
          </w:p>
        </w:tc>
        <w:tc>
          <w:tcPr>
            <w:tcW w:w="8556"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评审标准</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1</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投标文件要求签署并加盖投标人章、法定代表人章处未签署和加盖的；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pStyle w:val="10"/>
              <w:numPr>
                <w:ilvl w:val="0"/>
                <w:numId w:val="0"/>
              </w:numPr>
              <w:jc w:val="center"/>
            </w:pPr>
            <w:r>
              <w:rPr>
                <w:rFonts w:hint="eastAsia" w:ascii="宋体" w:hAnsi="宋体" w:eastAsia="宋体" w:cs="Arial"/>
                <w:kern w:val="0"/>
                <w:sz w:val="24"/>
                <w:szCs w:val="24"/>
              </w:rPr>
              <w:t>2</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投标价格不得超过投标人须知前附表中的采购预算金额及最高限价的；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3</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投标文件不符合招标文件实质性要求的</w:t>
            </w:r>
            <w:r>
              <w:rPr>
                <w:rFonts w:hint="eastAsia" w:ascii="宋体" w:hAnsi="宋体" w:cs="宋体"/>
                <w:sz w:val="24"/>
                <w:szCs w:val="24"/>
              </w:rPr>
              <w:t>；</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4</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宋体"/>
                <w:sz w:val="24"/>
                <w:szCs w:val="24"/>
              </w:rPr>
              <w:t>投标人所报交货期是否满足招标文件规定期限的；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5</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宋体"/>
                <w:sz w:val="24"/>
                <w:szCs w:val="24"/>
              </w:rPr>
            </w:pPr>
            <w:r>
              <w:rPr>
                <w:rFonts w:hint="eastAsia" w:ascii="宋体" w:hAnsi="宋体" w:cs="宋体"/>
                <w:sz w:val="24"/>
                <w:szCs w:val="24"/>
              </w:rPr>
              <w:t>投标有效期是否满足招标文件要求的；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6</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宋体"/>
                <w:color w:val="auto"/>
                <w:sz w:val="24"/>
              </w:rPr>
            </w:pPr>
            <w:r>
              <w:rPr>
                <w:rFonts w:hint="eastAsia" w:ascii="宋体" w:hAnsi="宋体" w:cs="宋体"/>
                <w:color w:val="auto"/>
                <w:sz w:val="24"/>
              </w:rPr>
              <w:t>投标文件是否按招标文件规定格式完整准确填写</w:t>
            </w:r>
            <w:r>
              <w:rPr>
                <w:rFonts w:hint="eastAsia" w:ascii="宋体" w:hAnsi="宋体" w:cs="宋体"/>
                <w:color w:val="auto"/>
                <w:sz w:val="24"/>
                <w:szCs w:val="24"/>
              </w:rPr>
              <w:t>；</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7</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hint="eastAsia" w:ascii="宋体" w:hAnsi="宋体" w:eastAsia="宋体" w:cs="宋体"/>
                <w:color w:val="auto"/>
                <w:sz w:val="24"/>
                <w:lang w:val="en-US" w:eastAsia="zh-CN"/>
              </w:rPr>
            </w:pPr>
            <w:r>
              <w:rPr>
                <w:rFonts w:hint="eastAsia" w:ascii="宋体" w:hAnsi="宋体" w:cs="宋体"/>
                <w:color w:val="auto"/>
                <w:sz w:val="24"/>
              </w:rPr>
              <w:t>是否承诺对所提供的疫苗产品小规格包装不低于总供货量的20%</w:t>
            </w:r>
            <w:r>
              <w:rPr>
                <w:rFonts w:hint="eastAsia" w:ascii="宋体" w:hAnsi="宋体" w:cs="宋体"/>
                <w:color w:val="auto"/>
                <w:sz w:val="24"/>
                <w:szCs w:val="24"/>
              </w:rPr>
              <w:t>；</w:t>
            </w:r>
          </w:p>
        </w:tc>
      </w:tr>
      <w:tr>
        <w:tblPrEx>
          <w:tblCellMar>
            <w:top w:w="0" w:type="dxa"/>
            <w:left w:w="0" w:type="dxa"/>
            <w:bottom w:w="0" w:type="dxa"/>
            <w:right w:w="0" w:type="dxa"/>
          </w:tblCellMar>
        </w:tblPrEx>
        <w:trPr>
          <w:cantSplit/>
          <w:trHeight w:val="20" w:hRule="atLeast"/>
          <w:jc w:val="center"/>
        </w:trPr>
        <w:tc>
          <w:tcPr>
            <w:tcW w:w="9177" w:type="dxa"/>
            <w:gridSpan w:val="2"/>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b/>
                <w:bCs/>
                <w:kern w:val="0"/>
                <w:sz w:val="24"/>
                <w:szCs w:val="24"/>
              </w:rPr>
              <w:t>备注：完备性及符合性审查中有一项不满足评审标准的，评标委员会将认定该投标人不通过完备性及符合性审查，不得进入下一阶段评审。并且不允许投标人通过修改或撤销其不符合要求的差异或保留，使之成为具有响应性的投标。</w:t>
            </w:r>
          </w:p>
        </w:tc>
      </w:tr>
    </w:tbl>
    <w:p>
      <w:pPr>
        <w:jc w:val="center"/>
        <w:rPr>
          <w:rFonts w:ascii="宋体" w:hAnsi="宋体" w:cs="Arial"/>
          <w:b/>
          <w:kern w:val="0"/>
          <w:sz w:val="24"/>
          <w:szCs w:val="24"/>
        </w:rPr>
      </w:pPr>
    </w:p>
    <w:p>
      <w:pPr>
        <w:jc w:val="left"/>
        <w:rPr>
          <w:rFonts w:ascii="宋体" w:hAnsi="宋体" w:cs="Arial"/>
          <w:kern w:val="0"/>
          <w:sz w:val="24"/>
          <w:szCs w:val="24"/>
        </w:rPr>
      </w:pPr>
      <w:r>
        <w:rPr>
          <w:rFonts w:hint="eastAsia" w:ascii="宋体" w:hAnsi="宋体" w:cs="Arial"/>
          <w:kern w:val="0"/>
          <w:sz w:val="24"/>
          <w:szCs w:val="24"/>
        </w:rPr>
        <w:t>只有通过了资格审查、完备性及符合性审查且</w:t>
      </w:r>
      <w:r>
        <w:rPr>
          <w:rFonts w:hint="eastAsia" w:ascii="宋体" w:cs="Arial"/>
          <w:kern w:val="0"/>
          <w:sz w:val="24"/>
          <w:szCs w:val="24"/>
        </w:rPr>
        <w:t>投标人不少于3个</w:t>
      </w:r>
      <w:r>
        <w:rPr>
          <w:rFonts w:hint="eastAsia" w:ascii="宋体" w:hAnsi="宋体" w:cs="Arial"/>
          <w:kern w:val="0"/>
          <w:sz w:val="24"/>
          <w:szCs w:val="24"/>
        </w:rPr>
        <w:t>方可进入详细评审。</w:t>
      </w:r>
    </w:p>
    <w:p>
      <w:pPr>
        <w:pStyle w:val="5"/>
      </w:pPr>
    </w:p>
    <w:p>
      <w:pPr>
        <w:jc w:val="center"/>
        <w:rPr>
          <w:rFonts w:ascii="宋体" w:hAnsi="宋体" w:cs="Arial"/>
          <w:b/>
          <w:kern w:val="0"/>
          <w:sz w:val="24"/>
          <w:szCs w:val="24"/>
        </w:rPr>
      </w:pPr>
      <w:r>
        <w:rPr>
          <w:rFonts w:hint="eastAsia" w:ascii="宋体" w:hAnsi="宋体" w:cs="Arial"/>
          <w:b/>
          <w:kern w:val="0"/>
          <w:sz w:val="24"/>
          <w:szCs w:val="24"/>
        </w:rPr>
        <w:t>《详细评审标准》</w:t>
      </w:r>
    </w:p>
    <w:p>
      <w:pPr>
        <w:snapToGrid w:val="0"/>
        <w:spacing w:line="360" w:lineRule="auto"/>
        <w:jc w:val="left"/>
        <w:rPr>
          <w:rFonts w:ascii="宋体" w:hAnsi="宋体" w:cs="宋体"/>
          <w:b/>
          <w:bCs/>
          <w:sz w:val="24"/>
          <w:szCs w:val="24"/>
        </w:rPr>
      </w:pPr>
      <w:r>
        <w:rPr>
          <w:rFonts w:hint="eastAsia" w:ascii="宋体" w:hAnsi="宋体" w:cs="宋体"/>
          <w:b/>
          <w:bCs/>
          <w:sz w:val="24"/>
          <w:szCs w:val="24"/>
        </w:rPr>
        <w:t>1、价格部分（满分30分）</w:t>
      </w:r>
    </w:p>
    <w:p>
      <w:pPr>
        <w:snapToGrid w:val="0"/>
        <w:spacing w:line="360" w:lineRule="auto"/>
        <w:ind w:firstLine="480" w:firstLineChars="200"/>
        <w:jc w:val="left"/>
        <w:rPr>
          <w:rFonts w:ascii="宋体" w:hAnsi="宋体" w:cs="宋体"/>
          <w:sz w:val="24"/>
          <w:szCs w:val="24"/>
        </w:rPr>
      </w:pPr>
      <w:r>
        <w:rPr>
          <w:rFonts w:hint="eastAsia" w:ascii="宋体" w:hAnsi="宋体" w:cs="宋体"/>
          <w:bCs/>
          <w:sz w:val="24"/>
          <w:szCs w:val="24"/>
        </w:rPr>
        <w:t>综合评分法中的价格分统一采用低价优先法计算，即满足投标文件要求且最后报价最低的供应商的价格为评标基准价，其价格分为满分</w:t>
      </w:r>
      <w:r>
        <w:rPr>
          <w:rFonts w:hint="eastAsia" w:ascii="宋体" w:hAnsi="宋体" w:cs="宋体"/>
          <w:sz w:val="24"/>
          <w:szCs w:val="24"/>
        </w:rPr>
        <w:t>。其他投标人的价格分统一按照下列公式计算：</w:t>
      </w:r>
    </w:p>
    <w:p>
      <w:pPr>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投标报价得分=(评标基准价／评标报价)×投标报价权重</w:t>
      </w:r>
    </w:p>
    <w:p>
      <w:pPr>
        <w:snapToGrid w:val="0"/>
        <w:spacing w:line="400" w:lineRule="exact"/>
        <w:ind w:firstLine="465"/>
        <w:rPr>
          <w:rFonts w:ascii="宋体" w:hAnsi="宋体" w:cs="宋体"/>
          <w:b/>
          <w:bCs/>
          <w:sz w:val="24"/>
          <w:szCs w:val="24"/>
        </w:rPr>
      </w:pPr>
      <w:r>
        <w:rPr>
          <w:rFonts w:hint="eastAsia" w:ascii="宋体" w:hAnsi="宋体" w:cs="宋体"/>
          <w:b/>
          <w:bCs/>
          <w:sz w:val="24"/>
          <w:szCs w:val="24"/>
        </w:rPr>
        <w:t>注：各投标供应商不得采取恶意</w:t>
      </w:r>
      <w:r>
        <w:rPr>
          <w:rFonts w:hint="eastAsia" w:ascii="宋体" w:hAnsi="宋体" w:cs="宋体"/>
          <w:b/>
          <w:bCs/>
          <w:color w:val="000000"/>
          <w:sz w:val="24"/>
          <w:szCs w:val="24"/>
        </w:rPr>
        <w:t>竞价</w:t>
      </w:r>
      <w:r>
        <w:rPr>
          <w:rFonts w:hint="eastAsia" w:ascii="宋体" w:hAnsi="宋体" w:cs="宋体"/>
          <w:b/>
          <w:bCs/>
          <w:sz w:val="24"/>
          <w:szCs w:val="24"/>
        </w:rPr>
        <w:t>方式投标，不得以低于成本的价格参与投标。如评标委员会一致认为供应商恶意报价，其投标文件将作无效投标处理。</w:t>
      </w:r>
    </w:p>
    <w:p>
      <w:pPr>
        <w:pStyle w:val="7"/>
      </w:pPr>
    </w:p>
    <w:p>
      <w:pPr>
        <w:pStyle w:val="15"/>
        <w:jc w:val="left"/>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2、商务评分标准（40分）</w:t>
      </w:r>
    </w:p>
    <w:tbl>
      <w:tblPr>
        <w:tblStyle w:val="21"/>
        <w:tblW w:w="89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1560"/>
        <w:gridCol w:w="5802"/>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3"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序号</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评分因素</w:t>
            </w:r>
          </w:p>
        </w:tc>
        <w:tc>
          <w:tcPr>
            <w:tcW w:w="5802"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评分标准</w:t>
            </w:r>
          </w:p>
        </w:tc>
        <w:tc>
          <w:tcPr>
            <w:tcW w:w="82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产品业绩</w:t>
            </w:r>
          </w:p>
        </w:tc>
        <w:tc>
          <w:tcPr>
            <w:tcW w:w="5802" w:type="dxa"/>
            <w:vAlign w:val="top"/>
          </w:tcPr>
          <w:p>
            <w:pPr>
              <w:pStyle w:val="15"/>
              <w:pBdr>
                <w:bottom w:val="none" w:color="auto" w:sz="0" w:space="0"/>
              </w:pBdr>
              <w:jc w:val="left"/>
              <w:rPr>
                <w:rFonts w:hint="eastAsia" w:ascii="宋体" w:hAnsi="宋体" w:cs="宋体"/>
                <w:color w:val="auto"/>
                <w:sz w:val="24"/>
                <w:szCs w:val="24"/>
              </w:rPr>
            </w:pPr>
            <w:r>
              <w:rPr>
                <w:rFonts w:hint="eastAsia" w:ascii="宋体" w:hAnsi="宋体" w:cs="宋体"/>
                <w:color w:val="auto"/>
                <w:sz w:val="24"/>
                <w:szCs w:val="24"/>
                <w:lang w:eastAsia="zh-CN"/>
              </w:rPr>
              <w:t>近</w:t>
            </w:r>
            <w:r>
              <w:rPr>
                <w:rFonts w:hint="eastAsia" w:ascii="宋体" w:hAnsi="宋体" w:cs="宋体"/>
                <w:color w:val="auto"/>
                <w:sz w:val="24"/>
                <w:szCs w:val="24"/>
                <w:lang w:val="en-US" w:eastAsia="zh-CN"/>
              </w:rPr>
              <w:t>3</w:t>
            </w:r>
            <w:r>
              <w:rPr>
                <w:rFonts w:hint="eastAsia" w:ascii="宋体" w:hAnsi="宋体" w:cs="宋体"/>
                <w:color w:val="auto"/>
                <w:sz w:val="24"/>
                <w:szCs w:val="24"/>
              </w:rPr>
              <w:t>年以来的类似产品业绩，（提供合同</w:t>
            </w:r>
            <w:r>
              <w:rPr>
                <w:rFonts w:hint="eastAsia" w:ascii="宋体" w:hAnsi="宋体" w:cs="宋体"/>
                <w:color w:val="auto"/>
                <w:sz w:val="24"/>
                <w:szCs w:val="24"/>
                <w:lang w:val="en-US" w:eastAsia="zh-CN"/>
              </w:rPr>
              <w:t>协议书或者</w:t>
            </w:r>
            <w:r>
              <w:rPr>
                <w:rFonts w:hint="eastAsia" w:ascii="宋体" w:hAnsi="宋体" w:cs="宋体"/>
                <w:color w:val="auto"/>
                <w:sz w:val="24"/>
                <w:szCs w:val="24"/>
              </w:rPr>
              <w:t>中标通知书</w:t>
            </w:r>
            <w:r>
              <w:rPr>
                <w:rFonts w:hint="eastAsia" w:ascii="宋体" w:hAnsi="宋体" w:cs="宋体"/>
                <w:color w:val="auto"/>
                <w:sz w:val="24"/>
                <w:szCs w:val="24"/>
                <w:lang w:val="en-US" w:eastAsia="zh-CN"/>
              </w:rPr>
              <w:t>）</w:t>
            </w:r>
            <w:r>
              <w:rPr>
                <w:rFonts w:hint="eastAsia" w:ascii="宋体" w:hAnsi="宋体" w:cs="宋体"/>
                <w:color w:val="auto"/>
                <w:sz w:val="24"/>
                <w:szCs w:val="24"/>
              </w:rPr>
              <w:t>；</w:t>
            </w:r>
          </w:p>
          <w:p>
            <w:pPr>
              <w:pStyle w:val="15"/>
              <w:pBdr>
                <w:bottom w:val="none" w:color="auto" w:sz="0" w:space="0"/>
              </w:pBdr>
              <w:jc w:val="left"/>
              <w:rPr>
                <w:rFonts w:hint="eastAsia" w:ascii="宋体" w:hAnsi="宋体" w:eastAsia="宋体" w:cs="宋体"/>
                <w:color w:val="auto"/>
                <w:sz w:val="24"/>
                <w:szCs w:val="24"/>
                <w:lang w:eastAsia="zh-CN"/>
              </w:rPr>
            </w:pPr>
            <w:r>
              <w:rPr>
                <w:rFonts w:hint="eastAsia" w:ascii="宋体" w:hAnsi="宋体" w:cs="宋体"/>
                <w:color w:val="auto"/>
                <w:sz w:val="24"/>
                <w:szCs w:val="24"/>
              </w:rPr>
              <w:t>每</w:t>
            </w:r>
            <w:r>
              <w:rPr>
                <w:rFonts w:hint="eastAsia" w:ascii="宋体" w:hAnsi="宋体" w:cs="宋体"/>
                <w:color w:val="auto"/>
                <w:sz w:val="24"/>
                <w:szCs w:val="24"/>
                <w:lang w:eastAsia="zh-CN"/>
              </w:rPr>
              <w:t>提供一</w:t>
            </w:r>
            <w:r>
              <w:rPr>
                <w:rFonts w:hint="eastAsia" w:ascii="宋体" w:hAnsi="宋体" w:cs="宋体"/>
                <w:color w:val="auto"/>
                <w:sz w:val="24"/>
                <w:szCs w:val="24"/>
              </w:rPr>
              <w:t>个</w:t>
            </w:r>
            <w:r>
              <w:rPr>
                <w:rFonts w:hint="eastAsia" w:ascii="宋体" w:hAnsi="宋体" w:cs="宋体"/>
                <w:color w:val="auto"/>
                <w:sz w:val="24"/>
                <w:szCs w:val="24"/>
                <w:lang w:eastAsia="zh-CN"/>
              </w:rPr>
              <w:t>有效业绩</w:t>
            </w:r>
            <w:r>
              <w:rPr>
                <w:rFonts w:hint="eastAsia" w:ascii="宋体" w:hAnsi="宋体" w:cs="宋体"/>
                <w:color w:val="auto"/>
                <w:sz w:val="24"/>
                <w:szCs w:val="24"/>
              </w:rPr>
              <w:t>得</w:t>
            </w:r>
            <w:r>
              <w:rPr>
                <w:rFonts w:hint="eastAsia" w:ascii="宋体" w:hAnsi="宋体" w:cs="宋体"/>
                <w:color w:val="auto"/>
                <w:sz w:val="24"/>
                <w:szCs w:val="24"/>
                <w:lang w:val="en-US" w:eastAsia="zh-CN"/>
              </w:rPr>
              <w:t>2</w:t>
            </w:r>
            <w:r>
              <w:rPr>
                <w:rFonts w:hint="eastAsia" w:ascii="宋体" w:hAnsi="宋体" w:cs="宋体"/>
                <w:color w:val="auto"/>
                <w:sz w:val="24"/>
                <w:szCs w:val="24"/>
              </w:rPr>
              <w:t>分，没有的不得分；</w:t>
            </w:r>
          </w:p>
        </w:tc>
        <w:tc>
          <w:tcPr>
            <w:tcW w:w="820"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2</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培训</w:t>
            </w:r>
          </w:p>
        </w:tc>
        <w:tc>
          <w:tcPr>
            <w:tcW w:w="5802" w:type="dxa"/>
            <w:vAlign w:val="top"/>
          </w:tcPr>
          <w:p>
            <w:pPr>
              <w:pStyle w:val="15"/>
              <w:pBdr>
                <w:bottom w:val="none" w:color="auto" w:sz="0" w:space="0"/>
              </w:pBdr>
              <w:jc w:val="left"/>
              <w:rPr>
                <w:rFonts w:hint="eastAsia" w:ascii="宋体" w:hAnsi="宋体" w:cs="宋体"/>
                <w:color w:val="auto"/>
                <w:sz w:val="24"/>
                <w:szCs w:val="24"/>
                <w:lang w:eastAsia="zh-CN"/>
              </w:rPr>
            </w:pPr>
            <w:r>
              <w:rPr>
                <w:rFonts w:hint="eastAsia" w:ascii="宋体" w:hAnsi="宋体" w:cs="宋体"/>
                <w:color w:val="auto"/>
                <w:sz w:val="24"/>
                <w:szCs w:val="24"/>
              </w:rPr>
              <w:t>培训方案</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满分6</w:t>
            </w:r>
            <w:r>
              <w:rPr>
                <w:rFonts w:hint="eastAsia" w:ascii="宋体" w:hAnsi="宋体" w:cs="宋体"/>
                <w:color w:val="auto"/>
                <w:sz w:val="24"/>
                <w:szCs w:val="24"/>
                <w:lang w:eastAsia="zh-CN"/>
              </w:rPr>
              <w:t>）</w:t>
            </w:r>
          </w:p>
          <w:p>
            <w:pPr>
              <w:pStyle w:val="15"/>
              <w:pBdr>
                <w:bottom w:val="none" w:color="auto" w:sz="0" w:space="0"/>
              </w:pBdr>
              <w:jc w:val="left"/>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投标企业对采购方各县（市）、乡镇、村防疫人员进行技术培训并制定培训方案（满分6分）：</w:t>
            </w:r>
          </w:p>
          <w:p>
            <w:pPr>
              <w:pStyle w:val="15"/>
              <w:pBdr>
                <w:bottom w:val="none" w:color="auto" w:sz="0" w:space="0"/>
              </w:pBdr>
              <w:jc w:val="left"/>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①培训方案详细，并对各县（市）、乡镇、村防疫人员有明确的培训时间、数量和地点的得6分；</w:t>
            </w:r>
          </w:p>
          <w:p>
            <w:pPr>
              <w:pStyle w:val="15"/>
              <w:pBdr>
                <w:bottom w:val="none" w:color="auto" w:sz="0" w:space="0"/>
              </w:pBdr>
              <w:jc w:val="left"/>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②方案一般可行，时间、数量和地点明确，但各县（市）、乡镇、村没有明确的划分计划的得3分；</w:t>
            </w:r>
          </w:p>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lang w:val="en-US" w:eastAsia="zh-CN"/>
              </w:rPr>
              <w:t>③没有的不得分；</w:t>
            </w:r>
          </w:p>
        </w:tc>
        <w:tc>
          <w:tcPr>
            <w:tcW w:w="820"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trPr>
        <w:tc>
          <w:tcPr>
            <w:tcW w:w="723" w:type="dxa"/>
            <w:vMerge w:val="restart"/>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3</w:t>
            </w:r>
          </w:p>
        </w:tc>
        <w:tc>
          <w:tcPr>
            <w:tcW w:w="1560" w:type="dxa"/>
            <w:vMerge w:val="restart"/>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疫苗免疫副反应、免疫失败、产品质量问题等处理方案损失补偿</w:t>
            </w:r>
          </w:p>
        </w:tc>
        <w:tc>
          <w:tcPr>
            <w:tcW w:w="5802" w:type="dxa"/>
            <w:vAlign w:val="top"/>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rPr>
              <w:t>投标企业承诺因疫苗反应、免疫失败、产品质量导致畜禽死亡或流产造成损失按照不低于国家标准补偿得</w:t>
            </w:r>
            <w:r>
              <w:rPr>
                <w:rFonts w:hint="eastAsia" w:ascii="宋体" w:hAnsi="宋体" w:cs="宋体"/>
                <w:color w:val="auto"/>
                <w:sz w:val="24"/>
                <w:szCs w:val="24"/>
                <w:lang w:val="en-US" w:eastAsia="zh-CN"/>
              </w:rPr>
              <w:t>2</w:t>
            </w:r>
            <w:r>
              <w:rPr>
                <w:rFonts w:hint="eastAsia" w:ascii="宋体" w:hAnsi="宋体" w:cs="宋体"/>
                <w:color w:val="auto"/>
                <w:sz w:val="24"/>
                <w:szCs w:val="24"/>
              </w:rPr>
              <w:t>分（满分</w:t>
            </w:r>
            <w:r>
              <w:rPr>
                <w:rFonts w:hint="eastAsia" w:ascii="宋体" w:hAnsi="宋体" w:cs="宋体"/>
                <w:color w:val="auto"/>
                <w:sz w:val="24"/>
                <w:szCs w:val="24"/>
                <w:lang w:val="en-US" w:eastAsia="zh-CN"/>
              </w:rPr>
              <w:t>2</w:t>
            </w:r>
            <w:r>
              <w:rPr>
                <w:rFonts w:hint="eastAsia" w:ascii="宋体" w:hAnsi="宋体" w:cs="宋体"/>
                <w:color w:val="auto"/>
                <w:sz w:val="24"/>
                <w:szCs w:val="24"/>
              </w:rPr>
              <w:t>分）。</w:t>
            </w:r>
          </w:p>
        </w:tc>
        <w:tc>
          <w:tcPr>
            <w:tcW w:w="820" w:type="dxa"/>
            <w:vMerge w:val="restart"/>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trPr>
        <w:tc>
          <w:tcPr>
            <w:tcW w:w="723" w:type="dxa"/>
            <w:vMerge w:val="continue"/>
            <w:vAlign w:val="center"/>
          </w:tcPr>
          <w:p>
            <w:pPr>
              <w:pStyle w:val="15"/>
              <w:pBdr>
                <w:bottom w:val="none" w:color="auto" w:sz="0" w:space="0"/>
              </w:pBdr>
              <w:rPr>
                <w:rFonts w:ascii="宋体" w:hAnsi="宋体" w:cs="宋体"/>
                <w:color w:val="auto"/>
                <w:sz w:val="24"/>
                <w:szCs w:val="24"/>
              </w:rPr>
            </w:pPr>
          </w:p>
        </w:tc>
        <w:tc>
          <w:tcPr>
            <w:tcW w:w="1560" w:type="dxa"/>
            <w:vMerge w:val="continue"/>
            <w:vAlign w:val="center"/>
          </w:tcPr>
          <w:p>
            <w:pPr>
              <w:pStyle w:val="15"/>
              <w:pBdr>
                <w:bottom w:val="none" w:color="auto" w:sz="0" w:space="0"/>
              </w:pBdr>
              <w:rPr>
                <w:rFonts w:ascii="宋体" w:hAnsi="宋体" w:cs="宋体"/>
                <w:color w:val="auto"/>
                <w:sz w:val="24"/>
                <w:szCs w:val="24"/>
              </w:rPr>
            </w:pPr>
          </w:p>
        </w:tc>
        <w:tc>
          <w:tcPr>
            <w:tcW w:w="5802" w:type="dxa"/>
            <w:vAlign w:val="top"/>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rPr>
              <w:t>建立补偿准备金的补偿方案</w:t>
            </w:r>
            <w:r>
              <w:rPr>
                <w:rFonts w:hint="eastAsia" w:ascii="宋体" w:hAnsi="宋体" w:cs="宋体"/>
                <w:color w:val="auto"/>
                <w:sz w:val="24"/>
                <w:szCs w:val="24"/>
                <w:lang w:val="en-US" w:eastAsia="zh-CN"/>
              </w:rPr>
              <w:t>优，能满足实际需求的</w:t>
            </w:r>
            <w:r>
              <w:rPr>
                <w:rFonts w:hint="eastAsia" w:ascii="宋体" w:hAnsi="宋体" w:cs="宋体"/>
                <w:color w:val="auto"/>
                <w:sz w:val="24"/>
                <w:szCs w:val="24"/>
              </w:rPr>
              <w:t>得</w:t>
            </w:r>
            <w:r>
              <w:rPr>
                <w:rFonts w:hint="eastAsia" w:ascii="宋体" w:hAnsi="宋体" w:cs="宋体"/>
                <w:color w:val="auto"/>
                <w:sz w:val="24"/>
                <w:szCs w:val="24"/>
                <w:lang w:val="en-US" w:eastAsia="zh-CN"/>
              </w:rPr>
              <w:t>4</w:t>
            </w:r>
            <w:r>
              <w:rPr>
                <w:rFonts w:hint="eastAsia" w:ascii="宋体" w:hAnsi="宋体" w:cs="宋体"/>
                <w:color w:val="auto"/>
                <w:sz w:val="24"/>
                <w:szCs w:val="24"/>
              </w:rPr>
              <w:t>分</w:t>
            </w:r>
            <w:r>
              <w:rPr>
                <w:rFonts w:hint="eastAsia" w:ascii="宋体" w:hAnsi="宋体" w:cs="宋体"/>
                <w:color w:val="auto"/>
                <w:sz w:val="24"/>
                <w:szCs w:val="24"/>
                <w:lang w:val="en-US" w:eastAsia="zh-CN"/>
              </w:rPr>
              <w:t>；没有不得分。</w:t>
            </w:r>
            <w:r>
              <w:rPr>
                <w:rFonts w:hint="eastAsia" w:ascii="宋体" w:hAnsi="宋体" w:cs="宋体"/>
                <w:color w:val="auto"/>
                <w:sz w:val="24"/>
                <w:szCs w:val="24"/>
              </w:rPr>
              <w:t>（满分</w:t>
            </w:r>
            <w:r>
              <w:rPr>
                <w:rFonts w:hint="eastAsia" w:ascii="宋体" w:hAnsi="宋体" w:cs="宋体"/>
                <w:color w:val="auto"/>
                <w:sz w:val="24"/>
                <w:szCs w:val="24"/>
                <w:lang w:val="en-US" w:eastAsia="zh-CN"/>
              </w:rPr>
              <w:t>4</w:t>
            </w:r>
            <w:r>
              <w:rPr>
                <w:rFonts w:hint="eastAsia" w:ascii="宋体" w:hAnsi="宋体" w:cs="宋体"/>
                <w:color w:val="auto"/>
                <w:sz w:val="24"/>
                <w:szCs w:val="24"/>
              </w:rPr>
              <w:t>分）</w:t>
            </w:r>
          </w:p>
        </w:tc>
        <w:tc>
          <w:tcPr>
            <w:tcW w:w="820" w:type="dxa"/>
            <w:vMerge w:val="continue"/>
            <w:vAlign w:val="center"/>
          </w:tcPr>
          <w:p>
            <w:pPr>
              <w:pStyle w:val="15"/>
              <w:pBdr>
                <w:bottom w:val="none" w:color="auto" w:sz="0" w:space="0"/>
              </w:pBdr>
              <w:rPr>
                <w:rFonts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p>
        </w:tc>
        <w:tc>
          <w:tcPr>
            <w:tcW w:w="1560" w:type="dxa"/>
            <w:vAlign w:val="center"/>
          </w:tcPr>
          <w:p>
            <w:pPr>
              <w:pStyle w:val="15"/>
              <w:pBdr>
                <w:bottom w:val="none" w:color="auto" w:sz="0" w:space="0"/>
              </w:pBdr>
              <w:rPr>
                <w:rFonts w:ascii="宋体" w:hAnsi="宋体" w:cs="宋体"/>
                <w:color w:val="auto"/>
                <w:sz w:val="24"/>
                <w:szCs w:val="24"/>
                <w:highlight w:val="none"/>
              </w:rPr>
            </w:pPr>
            <w:r>
              <w:rPr>
                <w:rFonts w:hint="eastAsia" w:ascii="宋体" w:hAnsi="宋体" w:cs="宋体"/>
                <w:color w:val="auto"/>
                <w:sz w:val="24"/>
                <w:szCs w:val="24"/>
                <w:highlight w:val="none"/>
              </w:rPr>
              <w:t>抗体水平监测</w:t>
            </w:r>
          </w:p>
        </w:tc>
        <w:tc>
          <w:tcPr>
            <w:tcW w:w="5802" w:type="dxa"/>
            <w:vAlign w:val="top"/>
          </w:tcPr>
          <w:p>
            <w:pPr>
              <w:pStyle w:val="15"/>
              <w:pBdr>
                <w:bottom w:val="none" w:color="auto" w:sz="0" w:space="0"/>
              </w:pBdr>
              <w:jc w:val="left"/>
              <w:rPr>
                <w:rFonts w:ascii="宋体" w:hAnsi="宋体" w:cs="宋体"/>
                <w:color w:val="auto"/>
                <w:sz w:val="24"/>
                <w:szCs w:val="24"/>
                <w:highlight w:val="none"/>
              </w:rPr>
            </w:pPr>
            <w:r>
              <w:rPr>
                <w:rFonts w:hint="eastAsia" w:ascii="宋体" w:hAnsi="宋体" w:cs="宋体"/>
                <w:color w:val="auto"/>
                <w:sz w:val="24"/>
                <w:szCs w:val="24"/>
                <w:highlight w:val="none"/>
              </w:rPr>
              <w:t>投标企业进行抗体水平监测并制定监测方案</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往期</w:t>
            </w:r>
            <w:r>
              <w:rPr>
                <w:rFonts w:hint="eastAsia" w:ascii="宋体" w:hAnsi="宋体" w:cs="宋体"/>
                <w:color w:val="auto"/>
                <w:sz w:val="24"/>
                <w:szCs w:val="24"/>
                <w:highlight w:val="none"/>
                <w:lang w:eastAsia="zh-CN"/>
              </w:rPr>
              <w:t>合格率达到</w:t>
            </w:r>
            <w:r>
              <w:rPr>
                <w:rFonts w:hint="eastAsia" w:ascii="宋体" w:hAnsi="宋体" w:cs="宋体"/>
                <w:color w:val="auto"/>
                <w:sz w:val="24"/>
                <w:szCs w:val="24"/>
                <w:highlight w:val="none"/>
                <w:lang w:val="en-US" w:eastAsia="zh-CN"/>
              </w:rPr>
              <w:t>70%以上</w:t>
            </w:r>
            <w:r>
              <w:rPr>
                <w:rFonts w:hint="eastAsia" w:ascii="宋体" w:hAnsi="宋体" w:cs="宋体"/>
                <w:color w:val="auto"/>
                <w:sz w:val="24"/>
                <w:szCs w:val="24"/>
                <w:highlight w:val="none"/>
              </w:rPr>
              <w:t>（免疫抗体监测比例为中标产品免疫数量的万分之五）（满分</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分）</w:t>
            </w:r>
          </w:p>
          <w:p>
            <w:pPr>
              <w:pStyle w:val="15"/>
              <w:pBdr>
                <w:bottom w:val="none" w:color="auto" w:sz="0" w:space="0"/>
              </w:pBdr>
              <w:jc w:val="left"/>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①制定监测方案</w:t>
            </w:r>
            <w:r>
              <w:rPr>
                <w:rFonts w:hint="eastAsia" w:ascii="宋体" w:hAnsi="宋体" w:cs="宋体"/>
                <w:color w:val="auto"/>
                <w:sz w:val="24"/>
                <w:szCs w:val="24"/>
                <w:highlight w:val="none"/>
                <w:lang w:val="en-US" w:eastAsia="zh-CN"/>
              </w:rPr>
              <w:t>可行性强</w:t>
            </w:r>
            <w:r>
              <w:rPr>
                <w:rFonts w:hint="eastAsia" w:ascii="宋体" w:hAnsi="宋体" w:cs="宋体"/>
                <w:color w:val="auto"/>
                <w:sz w:val="24"/>
                <w:szCs w:val="24"/>
                <w:highlight w:val="none"/>
              </w:rPr>
              <w:t>的得</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分</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监测方案有瑕疵不完善得1分，没有不得分。</w:t>
            </w:r>
          </w:p>
          <w:p>
            <w:pPr>
              <w:pStyle w:val="15"/>
              <w:pBdr>
                <w:bottom w:val="none" w:color="auto" w:sz="0" w:space="0"/>
              </w:pBdr>
              <w:jc w:val="left"/>
              <w:rPr>
                <w:rFonts w:ascii="宋体" w:hAnsi="宋体" w:cs="宋体"/>
                <w:color w:val="auto"/>
                <w:sz w:val="24"/>
                <w:szCs w:val="24"/>
                <w:highlight w:val="none"/>
              </w:rPr>
            </w:pPr>
            <w:r>
              <w:rPr>
                <w:rFonts w:hint="eastAsia" w:ascii="宋体" w:hAnsi="宋体" w:cs="宋体"/>
                <w:color w:val="auto"/>
                <w:sz w:val="24"/>
                <w:szCs w:val="24"/>
                <w:highlight w:val="none"/>
              </w:rPr>
              <w:t>②承诺提供满足中标产品免疫抗体水平监测所需的技术支持且监测方案操作性强的得3-4分，操作性较好得1-2分，操作性一般不得分。</w:t>
            </w:r>
          </w:p>
        </w:tc>
        <w:tc>
          <w:tcPr>
            <w:tcW w:w="820" w:type="dxa"/>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8"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5</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售后服务及质量保障措施</w:t>
            </w:r>
          </w:p>
        </w:tc>
        <w:tc>
          <w:tcPr>
            <w:tcW w:w="5802" w:type="dxa"/>
            <w:vAlign w:val="top"/>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lang w:eastAsia="zh-CN"/>
              </w:rPr>
              <w:t>针对本</w:t>
            </w:r>
            <w:r>
              <w:rPr>
                <w:rFonts w:hint="eastAsia" w:ascii="宋体" w:hAnsi="宋体" w:cs="Arial"/>
                <w:color w:val="auto"/>
                <w:sz w:val="24"/>
                <w:szCs w:val="24"/>
              </w:rPr>
              <w:t>项目</w:t>
            </w:r>
            <w:r>
              <w:rPr>
                <w:rFonts w:hint="eastAsia" w:ascii="宋体" w:hAnsi="宋体" w:cs="Arial"/>
                <w:color w:val="auto"/>
                <w:sz w:val="24"/>
                <w:szCs w:val="24"/>
                <w:lang w:eastAsia="zh-CN"/>
              </w:rPr>
              <w:t>制度</w:t>
            </w:r>
            <w:r>
              <w:rPr>
                <w:rFonts w:hint="eastAsia" w:ascii="宋体" w:hAnsi="宋体" w:cs="Arial"/>
                <w:color w:val="auto"/>
                <w:sz w:val="24"/>
                <w:szCs w:val="24"/>
              </w:rPr>
              <w:t>进度计划安排、配送方案、验收组织安排是否完整合理、是否符合需求，以及质量保证措施、等综合情况</w:t>
            </w:r>
            <w:r>
              <w:rPr>
                <w:rFonts w:hint="eastAsia" w:ascii="宋体" w:hAnsi="宋体" w:cs="宋体"/>
                <w:color w:val="auto"/>
                <w:sz w:val="24"/>
                <w:szCs w:val="24"/>
              </w:rPr>
              <w:t>进行赋分（满分7分）</w:t>
            </w:r>
          </w:p>
          <w:p>
            <w:pPr>
              <w:pStyle w:val="15"/>
              <w:pBdr>
                <w:bottom w:val="none" w:color="auto" w:sz="0" w:space="0"/>
              </w:pBdr>
              <w:jc w:val="left"/>
              <w:rPr>
                <w:rFonts w:ascii="宋体" w:hAnsi="宋体" w:cs="宋体"/>
                <w:color w:val="auto"/>
                <w:sz w:val="24"/>
                <w:szCs w:val="24"/>
              </w:rPr>
            </w:pPr>
            <w:r>
              <w:rPr>
                <w:rFonts w:hint="eastAsia" w:ascii="宋体" w:hAnsi="宋体" w:cs="Arial"/>
                <w:color w:val="auto"/>
                <w:sz w:val="24"/>
                <w:szCs w:val="24"/>
                <w:lang w:val="en-US" w:eastAsia="zh-CN"/>
              </w:rPr>
              <w:t>5.1</w:t>
            </w:r>
            <w:r>
              <w:rPr>
                <w:rFonts w:hint="eastAsia" w:ascii="宋体" w:hAnsi="宋体" w:cs="Arial"/>
                <w:color w:val="auto"/>
                <w:sz w:val="24"/>
                <w:szCs w:val="24"/>
              </w:rPr>
              <w:t>项目进度计划安排、配送方案、验收组织安排</w:t>
            </w:r>
            <w:r>
              <w:rPr>
                <w:rFonts w:hint="eastAsia" w:ascii="宋体" w:hAnsi="宋体" w:cs="Arial"/>
                <w:color w:val="auto"/>
                <w:sz w:val="24"/>
                <w:szCs w:val="24"/>
                <w:lang w:eastAsia="zh-CN"/>
              </w:rPr>
              <w:t>、</w:t>
            </w:r>
            <w:r>
              <w:rPr>
                <w:rFonts w:hint="eastAsia" w:ascii="宋体" w:hAnsi="宋体" w:cs="Arial"/>
                <w:color w:val="auto"/>
                <w:sz w:val="24"/>
                <w:szCs w:val="24"/>
              </w:rPr>
              <w:t>质量保证措施</w:t>
            </w:r>
            <w:r>
              <w:rPr>
                <w:rFonts w:hint="eastAsia" w:ascii="宋体" w:hAnsi="宋体" w:cs="Arial"/>
                <w:color w:val="auto"/>
                <w:sz w:val="24"/>
                <w:szCs w:val="24"/>
                <w:lang w:eastAsia="zh-CN"/>
              </w:rPr>
              <w:t>等</w:t>
            </w:r>
            <w:r>
              <w:rPr>
                <w:rFonts w:hint="eastAsia" w:ascii="宋体" w:hAnsi="宋体" w:cs="Arial"/>
                <w:color w:val="auto"/>
                <w:sz w:val="24"/>
                <w:szCs w:val="24"/>
              </w:rPr>
              <w:t>完整合理、符合需求</w:t>
            </w:r>
            <w:r>
              <w:rPr>
                <w:rFonts w:hint="eastAsia" w:ascii="宋体" w:hAnsi="宋体" w:cs="Arial"/>
                <w:color w:val="auto"/>
                <w:sz w:val="24"/>
                <w:szCs w:val="24"/>
                <w:lang w:eastAsia="zh-CN"/>
              </w:rPr>
              <w:t>，切实可行</w:t>
            </w:r>
            <w:r>
              <w:rPr>
                <w:rFonts w:hint="eastAsia" w:ascii="宋体" w:hAnsi="宋体" w:cs="Arial"/>
                <w:color w:val="auto"/>
                <w:sz w:val="24"/>
                <w:szCs w:val="24"/>
                <w:lang w:val="en-US" w:eastAsia="zh-CN"/>
              </w:rPr>
              <w:t>的</w:t>
            </w:r>
            <w:r>
              <w:rPr>
                <w:rFonts w:hint="eastAsia" w:ascii="宋体" w:hAnsi="宋体" w:cs="Arial"/>
                <w:color w:val="auto"/>
                <w:sz w:val="24"/>
                <w:szCs w:val="24"/>
                <w:lang w:eastAsia="zh-CN"/>
              </w:rPr>
              <w:t>得</w:t>
            </w:r>
            <w:r>
              <w:rPr>
                <w:rFonts w:hint="eastAsia" w:ascii="宋体" w:hAnsi="宋体" w:cs="Arial"/>
                <w:color w:val="auto"/>
                <w:sz w:val="24"/>
                <w:szCs w:val="24"/>
                <w:lang w:val="en-US" w:eastAsia="zh-CN"/>
              </w:rPr>
              <w:t>4</w:t>
            </w:r>
            <w:r>
              <w:rPr>
                <w:rFonts w:hint="eastAsia" w:ascii="宋体" w:hAnsi="宋体" w:cs="宋体"/>
                <w:color w:val="auto"/>
                <w:sz w:val="24"/>
                <w:szCs w:val="24"/>
              </w:rPr>
              <w:t>分</w:t>
            </w:r>
            <w:r>
              <w:rPr>
                <w:rFonts w:hint="eastAsia" w:ascii="宋体" w:hAnsi="宋体" w:cs="宋体"/>
                <w:color w:val="auto"/>
                <w:sz w:val="24"/>
                <w:szCs w:val="24"/>
                <w:lang w:eastAsia="zh-CN"/>
              </w:rPr>
              <w:t>，</w:t>
            </w:r>
            <w:r>
              <w:rPr>
                <w:rFonts w:hint="eastAsia" w:ascii="宋体" w:hAnsi="宋体" w:cs="Arial"/>
                <w:color w:val="auto"/>
                <w:sz w:val="24"/>
                <w:szCs w:val="24"/>
              </w:rPr>
              <w:t>项目进度计划安排、配送方案、验收组织安排</w:t>
            </w:r>
            <w:r>
              <w:rPr>
                <w:rFonts w:hint="eastAsia" w:ascii="宋体" w:hAnsi="宋体" w:cs="Arial"/>
                <w:color w:val="auto"/>
                <w:sz w:val="24"/>
                <w:szCs w:val="24"/>
                <w:lang w:eastAsia="zh-CN"/>
              </w:rPr>
              <w:t>、</w:t>
            </w:r>
            <w:r>
              <w:rPr>
                <w:rFonts w:hint="eastAsia" w:ascii="宋体" w:hAnsi="宋体" w:cs="Arial"/>
                <w:color w:val="auto"/>
                <w:sz w:val="24"/>
                <w:szCs w:val="24"/>
              </w:rPr>
              <w:t>质量保证措施</w:t>
            </w:r>
            <w:r>
              <w:rPr>
                <w:rFonts w:hint="eastAsia" w:ascii="宋体" w:hAnsi="宋体" w:cs="Arial"/>
                <w:color w:val="auto"/>
                <w:sz w:val="24"/>
                <w:szCs w:val="24"/>
                <w:lang w:eastAsia="zh-CN"/>
              </w:rPr>
              <w:t>等</w:t>
            </w:r>
            <w:r>
              <w:rPr>
                <w:rFonts w:hint="eastAsia" w:ascii="宋体" w:hAnsi="宋体" w:cs="Arial"/>
                <w:color w:val="auto"/>
                <w:sz w:val="24"/>
                <w:szCs w:val="24"/>
                <w:lang w:val="en-US" w:eastAsia="zh-CN"/>
              </w:rPr>
              <w:t>安排基本满足需求的</w:t>
            </w:r>
            <w:r>
              <w:rPr>
                <w:rFonts w:hint="eastAsia" w:ascii="宋体" w:hAnsi="宋体" w:cs="宋体"/>
                <w:color w:val="auto"/>
                <w:sz w:val="24"/>
                <w:szCs w:val="24"/>
                <w:lang w:eastAsia="zh-CN"/>
              </w:rPr>
              <w:t>得</w:t>
            </w:r>
            <w:r>
              <w:rPr>
                <w:rFonts w:hint="eastAsia" w:ascii="宋体" w:hAnsi="宋体" w:cs="宋体"/>
                <w:color w:val="auto"/>
                <w:sz w:val="24"/>
                <w:szCs w:val="24"/>
                <w:lang w:val="en-US" w:eastAsia="zh-CN"/>
              </w:rPr>
              <w:t>2</w:t>
            </w:r>
            <w:r>
              <w:rPr>
                <w:rFonts w:hint="eastAsia" w:ascii="宋体" w:hAnsi="宋体" w:cs="宋体"/>
                <w:color w:val="auto"/>
                <w:sz w:val="24"/>
                <w:szCs w:val="24"/>
                <w:lang w:eastAsia="zh-CN"/>
              </w:rPr>
              <w:t>分，没有不得分。</w:t>
            </w:r>
          </w:p>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lang w:val="en-US" w:eastAsia="zh-CN"/>
              </w:rPr>
              <w:t>5.2</w:t>
            </w:r>
            <w:r>
              <w:rPr>
                <w:rFonts w:hint="eastAsia" w:ascii="宋体" w:hAnsi="宋体" w:cs="宋体"/>
                <w:color w:val="auto"/>
                <w:sz w:val="24"/>
                <w:szCs w:val="24"/>
              </w:rPr>
              <w:t>产品包装（满分3分）</w:t>
            </w:r>
          </w:p>
          <w:p>
            <w:pPr>
              <w:pStyle w:val="15"/>
              <w:pBdr>
                <w:bottom w:val="none" w:color="auto" w:sz="0" w:space="0"/>
              </w:pBdr>
              <w:ind w:firstLine="480" w:firstLineChars="200"/>
              <w:jc w:val="left"/>
              <w:rPr>
                <w:rFonts w:hint="eastAsia" w:ascii="宋体" w:hAnsi="宋体" w:cs="宋体"/>
                <w:color w:val="auto"/>
                <w:sz w:val="24"/>
                <w:szCs w:val="24"/>
              </w:rPr>
            </w:pPr>
            <w:r>
              <w:rPr>
                <w:rFonts w:hint="eastAsia" w:ascii="宋体" w:hAnsi="宋体" w:cs="宋体"/>
                <w:color w:val="auto"/>
                <w:sz w:val="24"/>
                <w:szCs w:val="24"/>
              </w:rPr>
              <w:t>产品供货提供不低于合同数量40%的小规格包装的得3分；</w:t>
            </w:r>
          </w:p>
          <w:p>
            <w:pPr>
              <w:pStyle w:val="15"/>
              <w:pBdr>
                <w:bottom w:val="none" w:color="auto" w:sz="0" w:space="0"/>
              </w:pBdr>
              <w:ind w:firstLine="480" w:firstLineChars="200"/>
              <w:jc w:val="left"/>
              <w:rPr>
                <w:rFonts w:hint="eastAsia" w:ascii="宋体" w:hAnsi="宋体" w:cs="宋体"/>
                <w:color w:val="auto"/>
                <w:sz w:val="24"/>
                <w:szCs w:val="24"/>
              </w:rPr>
            </w:pPr>
            <w:r>
              <w:rPr>
                <w:rFonts w:hint="eastAsia" w:ascii="宋体" w:hAnsi="宋体" w:cs="宋体"/>
                <w:color w:val="auto"/>
                <w:sz w:val="24"/>
                <w:szCs w:val="24"/>
              </w:rPr>
              <w:t>产品供货提供不低于合同数量30%的小规格包装的得2分；</w:t>
            </w:r>
          </w:p>
          <w:p>
            <w:pPr>
              <w:pStyle w:val="15"/>
              <w:pBdr>
                <w:bottom w:val="none" w:color="auto" w:sz="0" w:space="0"/>
              </w:pBdr>
              <w:ind w:firstLine="480" w:firstLineChars="200"/>
              <w:jc w:val="left"/>
              <w:rPr>
                <w:rFonts w:hint="eastAsia" w:ascii="宋体" w:hAnsi="宋体" w:eastAsia="宋体" w:cs="宋体"/>
                <w:color w:val="auto"/>
                <w:sz w:val="24"/>
                <w:szCs w:val="24"/>
                <w:lang w:eastAsia="zh-CN"/>
              </w:rPr>
            </w:pPr>
            <w:r>
              <w:rPr>
                <w:rFonts w:hint="eastAsia" w:ascii="宋体" w:hAnsi="宋体" w:cs="宋体"/>
                <w:color w:val="auto"/>
                <w:sz w:val="24"/>
                <w:szCs w:val="24"/>
              </w:rPr>
              <w:t>产品供货提供不低于合同数量20%的小规格包装的得1分；</w:t>
            </w:r>
          </w:p>
          <w:p>
            <w:pPr>
              <w:pStyle w:val="15"/>
              <w:pBdr>
                <w:bottom w:val="none" w:color="auto" w:sz="0" w:space="0"/>
              </w:pBdr>
              <w:ind w:firstLine="480" w:firstLineChars="200"/>
              <w:jc w:val="left"/>
              <w:rPr>
                <w:rFonts w:hint="eastAsia" w:ascii="宋体" w:hAnsi="宋体" w:cs="宋体"/>
                <w:color w:val="auto"/>
                <w:sz w:val="24"/>
                <w:szCs w:val="24"/>
              </w:rPr>
            </w:pPr>
            <w:r>
              <w:rPr>
                <w:rFonts w:hint="eastAsia" w:ascii="宋体" w:hAnsi="宋体" w:cs="宋体"/>
                <w:color w:val="auto"/>
                <w:sz w:val="24"/>
                <w:szCs w:val="24"/>
                <w:lang w:val="en-US" w:eastAsia="zh-CN"/>
              </w:rPr>
              <w:t>5.3</w:t>
            </w:r>
            <w:r>
              <w:rPr>
                <w:rFonts w:hint="eastAsia" w:ascii="宋体" w:hAnsi="宋体" w:cs="宋体"/>
                <w:color w:val="auto"/>
                <w:sz w:val="24"/>
              </w:rPr>
              <w:t>在</w:t>
            </w:r>
            <w:r>
              <w:rPr>
                <w:rFonts w:hint="eastAsia" w:ascii="宋体" w:hAnsi="宋体" w:cs="宋体"/>
                <w:color w:val="auto"/>
                <w:sz w:val="24"/>
                <w:lang w:eastAsia="zh-CN"/>
              </w:rPr>
              <w:t>项目所在地</w:t>
            </w:r>
            <w:r>
              <w:rPr>
                <w:rFonts w:hint="eastAsia" w:ascii="宋体" w:hAnsi="宋体" w:cs="宋体"/>
                <w:color w:val="auto"/>
                <w:sz w:val="24"/>
              </w:rPr>
              <w:t>提供售后保障服务网点，配备专业技术服务人员（</w:t>
            </w:r>
            <w:r>
              <w:rPr>
                <w:rFonts w:hint="eastAsia" w:ascii="宋体" w:hAnsi="宋体" w:cs="宋体"/>
                <w:color w:val="auto"/>
                <w:sz w:val="24"/>
                <w:lang w:eastAsia="zh-CN"/>
              </w:rPr>
              <w:t>可</w:t>
            </w:r>
            <w:r>
              <w:rPr>
                <w:rFonts w:hint="eastAsia" w:ascii="宋体" w:hAnsi="宋体" w:cs="宋体"/>
                <w:color w:val="auto"/>
                <w:sz w:val="24"/>
              </w:rPr>
              <w:t>委托相关</w:t>
            </w:r>
            <w:r>
              <w:rPr>
                <w:rFonts w:hint="eastAsia" w:ascii="宋体" w:hAnsi="宋体" w:cs="宋体"/>
                <w:color w:val="auto"/>
                <w:sz w:val="24"/>
                <w:lang w:eastAsia="zh-CN"/>
              </w:rPr>
              <w:t>服务机构，服务机构需具备兽用生物制品经营许可证，人员需具备执业兽医资格证）</w:t>
            </w:r>
            <w:r>
              <w:rPr>
                <w:rFonts w:hint="eastAsia" w:ascii="宋体" w:hAnsi="宋体" w:cs="宋体"/>
                <w:color w:val="auto"/>
                <w:sz w:val="24"/>
              </w:rPr>
              <w:t>，</w:t>
            </w:r>
            <w:r>
              <w:rPr>
                <w:rFonts w:hint="eastAsia" w:ascii="宋体" w:hAnsi="宋体" w:cs="宋体"/>
                <w:color w:val="auto"/>
                <w:sz w:val="24"/>
                <w:lang w:eastAsia="zh-CN"/>
              </w:rPr>
              <w:t>提供委托协议等</w:t>
            </w:r>
            <w:r>
              <w:rPr>
                <w:rFonts w:hint="eastAsia" w:ascii="宋体" w:hAnsi="宋体" w:cs="宋体"/>
                <w:color w:val="auto"/>
                <w:sz w:val="24"/>
              </w:rPr>
              <w:t>证明材料</w:t>
            </w:r>
            <w:r>
              <w:rPr>
                <w:rFonts w:hint="eastAsia" w:ascii="宋体" w:hAnsi="宋体" w:cs="宋体"/>
                <w:color w:val="auto"/>
                <w:sz w:val="24"/>
                <w:lang w:eastAsia="zh-CN"/>
              </w:rPr>
              <w:t>。有</w:t>
            </w:r>
            <w:r>
              <w:rPr>
                <w:rFonts w:hint="eastAsia" w:ascii="宋体" w:hAnsi="宋体" w:cs="宋体"/>
                <w:color w:val="auto"/>
                <w:sz w:val="24"/>
              </w:rPr>
              <w:t>的得</w:t>
            </w:r>
            <w:r>
              <w:rPr>
                <w:rFonts w:hint="eastAsia" w:ascii="宋体" w:hAnsi="宋体" w:cs="宋体"/>
                <w:color w:val="auto"/>
                <w:sz w:val="24"/>
                <w:lang w:val="en-US" w:eastAsia="zh-CN"/>
              </w:rPr>
              <w:t>2</w:t>
            </w:r>
            <w:r>
              <w:rPr>
                <w:rFonts w:hint="eastAsia" w:ascii="宋体" w:hAnsi="宋体" w:cs="宋体"/>
                <w:color w:val="auto"/>
                <w:sz w:val="24"/>
              </w:rPr>
              <w:t>分</w:t>
            </w:r>
            <w:r>
              <w:rPr>
                <w:rFonts w:hint="eastAsia" w:ascii="宋体" w:hAnsi="宋体" w:cs="宋体"/>
                <w:color w:val="auto"/>
                <w:sz w:val="24"/>
                <w:szCs w:val="24"/>
              </w:rPr>
              <w:t>；没有不得分</w:t>
            </w:r>
            <w:r>
              <w:rPr>
                <w:rFonts w:hint="eastAsia" w:ascii="宋体" w:hAnsi="宋体" w:cs="宋体"/>
                <w:color w:val="auto"/>
                <w:sz w:val="24"/>
              </w:rPr>
              <w:t>。</w:t>
            </w:r>
            <w:r>
              <w:rPr>
                <w:rFonts w:hint="eastAsia" w:ascii="宋体" w:hAnsi="宋体" w:cs="宋体"/>
                <w:color w:val="auto"/>
                <w:sz w:val="24"/>
                <w:szCs w:val="24"/>
              </w:rPr>
              <w:t>（满分</w:t>
            </w:r>
            <w:r>
              <w:rPr>
                <w:rFonts w:hint="eastAsia" w:ascii="宋体" w:hAnsi="宋体" w:cs="宋体"/>
                <w:color w:val="auto"/>
                <w:sz w:val="24"/>
                <w:szCs w:val="24"/>
                <w:lang w:val="en-US" w:eastAsia="zh-CN"/>
              </w:rPr>
              <w:t>2</w:t>
            </w:r>
            <w:r>
              <w:rPr>
                <w:rFonts w:hint="eastAsia" w:ascii="宋体" w:hAnsi="宋体" w:cs="宋体"/>
                <w:color w:val="auto"/>
                <w:sz w:val="24"/>
                <w:szCs w:val="24"/>
              </w:rPr>
              <w:t>分）</w:t>
            </w:r>
          </w:p>
          <w:p>
            <w:pPr>
              <w:pStyle w:val="15"/>
              <w:pBdr>
                <w:bottom w:val="none" w:color="auto" w:sz="0" w:space="0"/>
              </w:pBdr>
              <w:jc w:val="left"/>
              <w:rPr>
                <w:rFonts w:hint="eastAsia" w:ascii="宋体" w:hAnsi="宋体" w:cs="宋体"/>
                <w:color w:val="auto"/>
                <w:sz w:val="24"/>
              </w:rPr>
            </w:pPr>
            <w:r>
              <w:rPr>
                <w:rFonts w:hint="eastAsia" w:ascii="宋体" w:hAnsi="宋体" w:cs="宋体"/>
                <w:color w:val="auto"/>
                <w:sz w:val="24"/>
                <w:lang w:val="en-US" w:eastAsia="zh-CN"/>
              </w:rPr>
              <w:t>5.4承诺供货</w:t>
            </w:r>
            <w:r>
              <w:rPr>
                <w:rFonts w:hint="eastAsia" w:ascii="宋体" w:hAnsi="宋体" w:cs="宋体"/>
                <w:color w:val="auto"/>
                <w:sz w:val="24"/>
              </w:rPr>
              <w:t>时间10日内，特殊情况3个日内，或采购人通知执行交货期满足招标文件（满分</w:t>
            </w:r>
            <w:r>
              <w:rPr>
                <w:rFonts w:hint="eastAsia" w:ascii="宋体" w:hAnsi="宋体" w:cs="宋体"/>
                <w:color w:val="auto"/>
                <w:sz w:val="24"/>
                <w:lang w:val="en-US" w:eastAsia="zh-CN"/>
              </w:rPr>
              <w:t>3</w:t>
            </w:r>
            <w:r>
              <w:rPr>
                <w:rFonts w:hint="eastAsia" w:ascii="宋体" w:hAnsi="宋体" w:cs="宋体"/>
                <w:color w:val="auto"/>
                <w:sz w:val="24"/>
              </w:rPr>
              <w:t>分）：</w:t>
            </w:r>
          </w:p>
          <w:p>
            <w:pPr>
              <w:pStyle w:val="15"/>
              <w:pBdr>
                <w:bottom w:val="none" w:color="auto" w:sz="0" w:space="0"/>
              </w:pBdr>
              <w:jc w:val="left"/>
              <w:rPr>
                <w:rFonts w:hint="eastAsia" w:ascii="宋体" w:hAnsi="宋体" w:eastAsia="宋体" w:cs="宋体"/>
                <w:color w:val="auto"/>
                <w:sz w:val="24"/>
                <w:lang w:eastAsia="zh-CN"/>
              </w:rPr>
            </w:pPr>
            <w:r>
              <w:rPr>
                <w:rFonts w:hint="eastAsia" w:ascii="宋体" w:hAnsi="宋体" w:cs="宋体"/>
                <w:color w:val="auto"/>
                <w:sz w:val="24"/>
              </w:rPr>
              <w:t>①</w:t>
            </w:r>
            <w:r>
              <w:rPr>
                <w:rFonts w:hint="eastAsia" w:ascii="宋体" w:hAnsi="宋体" w:cs="宋体"/>
                <w:color w:val="auto"/>
                <w:sz w:val="24"/>
                <w:lang w:val="en-US" w:eastAsia="zh-CN"/>
              </w:rPr>
              <w:t>供货</w:t>
            </w:r>
            <w:r>
              <w:rPr>
                <w:rFonts w:hint="eastAsia" w:ascii="宋体" w:hAnsi="宋体" w:cs="宋体"/>
                <w:color w:val="auto"/>
                <w:sz w:val="24"/>
              </w:rPr>
              <w:t>时间1-5日的得</w:t>
            </w:r>
            <w:r>
              <w:rPr>
                <w:rFonts w:hint="eastAsia" w:ascii="宋体" w:hAnsi="宋体" w:cs="宋体"/>
                <w:color w:val="auto"/>
                <w:sz w:val="21"/>
                <w:szCs w:val="21"/>
                <w:lang w:val="en-US" w:eastAsia="zh-CN"/>
              </w:rPr>
              <w:t>3</w:t>
            </w:r>
            <w:r>
              <w:rPr>
                <w:rFonts w:hint="eastAsia" w:ascii="宋体" w:hAnsi="宋体" w:cs="宋体"/>
                <w:color w:val="auto"/>
                <w:sz w:val="24"/>
              </w:rPr>
              <w:t>分</w:t>
            </w:r>
            <w:r>
              <w:rPr>
                <w:rFonts w:hint="eastAsia" w:ascii="宋体" w:hAnsi="宋体" w:cs="宋体"/>
                <w:color w:val="auto"/>
                <w:sz w:val="24"/>
                <w:lang w:eastAsia="zh-CN"/>
              </w:rPr>
              <w:t>；</w:t>
            </w:r>
          </w:p>
          <w:p>
            <w:pPr>
              <w:pStyle w:val="15"/>
              <w:pBdr>
                <w:bottom w:val="none" w:color="auto" w:sz="0" w:space="0"/>
              </w:pBdr>
              <w:jc w:val="left"/>
              <w:rPr>
                <w:rFonts w:hint="eastAsia" w:ascii="宋体" w:hAnsi="宋体" w:eastAsia="宋体" w:cs="宋体"/>
                <w:color w:val="auto"/>
                <w:sz w:val="24"/>
                <w:lang w:eastAsia="zh-CN"/>
              </w:rPr>
            </w:pPr>
            <w:r>
              <w:rPr>
                <w:rFonts w:hint="eastAsia" w:ascii="宋体" w:hAnsi="宋体" w:cs="宋体"/>
                <w:color w:val="auto"/>
                <w:sz w:val="24"/>
              </w:rPr>
              <w:t>②</w:t>
            </w:r>
            <w:r>
              <w:rPr>
                <w:rFonts w:hint="eastAsia" w:ascii="宋体" w:hAnsi="宋体" w:cs="宋体"/>
                <w:color w:val="auto"/>
                <w:sz w:val="24"/>
                <w:lang w:val="en-US" w:eastAsia="zh-CN"/>
              </w:rPr>
              <w:t>供</w:t>
            </w:r>
            <w:r>
              <w:rPr>
                <w:rFonts w:hint="eastAsia" w:ascii="宋体" w:hAnsi="宋体" w:cs="宋体"/>
                <w:color w:val="auto"/>
                <w:sz w:val="24"/>
              </w:rPr>
              <w:t>货时间5-10日的得1分</w:t>
            </w:r>
            <w:r>
              <w:rPr>
                <w:rFonts w:hint="eastAsia" w:ascii="宋体" w:hAnsi="宋体" w:cs="宋体"/>
                <w:color w:val="auto"/>
                <w:sz w:val="24"/>
                <w:lang w:eastAsia="zh-CN"/>
              </w:rPr>
              <w:t>；</w:t>
            </w:r>
          </w:p>
          <w:p>
            <w:pPr>
              <w:pStyle w:val="15"/>
              <w:pBdr>
                <w:bottom w:val="none" w:color="auto" w:sz="0" w:space="0"/>
              </w:pBdr>
              <w:jc w:val="left"/>
              <w:rPr>
                <w:rFonts w:hint="default" w:ascii="宋体" w:hAnsi="宋体" w:eastAsia="宋体" w:cs="宋体"/>
                <w:color w:val="auto"/>
                <w:sz w:val="24"/>
                <w:lang w:val="en-US" w:eastAsia="zh-CN"/>
              </w:rPr>
            </w:pPr>
            <w:r>
              <w:rPr>
                <w:rFonts w:hint="eastAsia" w:ascii="宋体" w:hAnsi="宋体" w:cs="宋体"/>
                <w:color w:val="auto"/>
                <w:sz w:val="24"/>
                <w:lang w:val="en-US" w:eastAsia="zh-CN"/>
              </w:rPr>
              <w:t>③无承诺不得分。</w:t>
            </w:r>
          </w:p>
        </w:tc>
        <w:tc>
          <w:tcPr>
            <w:tcW w:w="820"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6</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响应时间</w:t>
            </w:r>
          </w:p>
        </w:tc>
        <w:tc>
          <w:tcPr>
            <w:tcW w:w="5802" w:type="dxa"/>
            <w:vAlign w:val="top"/>
          </w:tcPr>
          <w:p>
            <w:pPr>
              <w:rPr>
                <w:rFonts w:ascii="宋体" w:hAnsi="宋体" w:cs="宋体"/>
                <w:color w:val="auto"/>
                <w:sz w:val="24"/>
              </w:rPr>
            </w:pPr>
            <w:r>
              <w:rPr>
                <w:rFonts w:hint="eastAsia" w:ascii="宋体" w:hAnsi="宋体" w:cs="宋体"/>
                <w:color w:val="auto"/>
                <w:sz w:val="24"/>
              </w:rPr>
              <w:t>投标人承诺响应时间</w:t>
            </w:r>
            <w:r>
              <w:rPr>
                <w:rFonts w:hint="eastAsia" w:ascii="宋体" w:hAnsi="宋体" w:cs="宋体"/>
                <w:color w:val="auto"/>
                <w:sz w:val="24"/>
                <w:szCs w:val="24"/>
              </w:rPr>
              <w:t>（满分</w:t>
            </w:r>
            <w:r>
              <w:rPr>
                <w:rFonts w:hint="eastAsia" w:ascii="宋体" w:hAnsi="宋体" w:cs="宋体"/>
                <w:color w:val="auto"/>
                <w:sz w:val="24"/>
                <w:szCs w:val="24"/>
                <w:lang w:val="en-US" w:eastAsia="zh-CN"/>
              </w:rPr>
              <w:t>4</w:t>
            </w:r>
            <w:r>
              <w:rPr>
                <w:rFonts w:hint="eastAsia" w:ascii="宋体" w:hAnsi="宋体" w:cs="宋体"/>
                <w:color w:val="auto"/>
                <w:sz w:val="24"/>
                <w:szCs w:val="24"/>
              </w:rPr>
              <w:t>分）</w:t>
            </w:r>
          </w:p>
          <w:p>
            <w:pPr>
              <w:rPr>
                <w:rFonts w:ascii="宋体" w:hAnsi="宋体" w:cs="宋体"/>
                <w:color w:val="auto"/>
                <w:sz w:val="24"/>
              </w:rPr>
            </w:pPr>
            <w:r>
              <w:rPr>
                <w:rFonts w:hint="eastAsia" w:ascii="宋体" w:hAnsi="宋体" w:cs="宋体"/>
                <w:color w:val="auto"/>
                <w:sz w:val="24"/>
                <w:szCs w:val="24"/>
              </w:rPr>
              <w:t>①</w:t>
            </w:r>
            <w:r>
              <w:rPr>
                <w:rFonts w:hint="eastAsia" w:ascii="宋体" w:hAnsi="宋体" w:cs="宋体"/>
                <w:color w:val="auto"/>
                <w:sz w:val="24"/>
              </w:rPr>
              <w:t>投标人承诺措施全面</w:t>
            </w:r>
            <w:r>
              <w:rPr>
                <w:rFonts w:hint="eastAsia" w:ascii="宋体" w:hAnsi="宋体" w:cs="宋体"/>
                <w:color w:val="auto"/>
                <w:sz w:val="24"/>
                <w:lang w:eastAsia="zh-CN"/>
              </w:rPr>
              <w:t>、</w:t>
            </w:r>
            <w:r>
              <w:rPr>
                <w:rFonts w:hint="eastAsia" w:ascii="宋体" w:hAnsi="宋体" w:cs="宋体"/>
                <w:color w:val="auto"/>
                <w:sz w:val="24"/>
              </w:rPr>
              <w:t>可行性强，对疫苗免疫严重副反应现场处置响应时间</w:t>
            </w:r>
            <w:r>
              <w:rPr>
                <w:rFonts w:ascii="Arial" w:hAnsi="Arial" w:cs="Arial"/>
                <w:color w:val="auto"/>
                <w:sz w:val="24"/>
              </w:rPr>
              <w:t>≤</w:t>
            </w:r>
            <w:r>
              <w:rPr>
                <w:rFonts w:hint="eastAsia" w:ascii="宋体" w:hAnsi="宋体" w:cs="宋体"/>
                <w:color w:val="auto"/>
                <w:sz w:val="24"/>
              </w:rPr>
              <w:t>24小时，给予反应死亡赔偿费的得2分；</w:t>
            </w:r>
          </w:p>
          <w:p>
            <w:pPr>
              <w:rPr>
                <w:rFonts w:ascii="宋体" w:hAnsi="宋体" w:cs="宋体"/>
                <w:color w:val="auto"/>
                <w:sz w:val="24"/>
              </w:rPr>
            </w:pPr>
            <w:r>
              <w:rPr>
                <w:rFonts w:hint="eastAsia" w:ascii="宋体" w:hAnsi="宋体" w:cs="宋体"/>
                <w:color w:val="auto"/>
                <w:sz w:val="24"/>
                <w:szCs w:val="24"/>
              </w:rPr>
              <w:t>②</w:t>
            </w:r>
            <w:r>
              <w:rPr>
                <w:rFonts w:hint="eastAsia" w:ascii="宋体" w:hAnsi="宋体" w:cs="宋体"/>
                <w:color w:val="auto"/>
                <w:sz w:val="24"/>
              </w:rPr>
              <w:t>投标人承诺及时兑付的的得</w:t>
            </w:r>
            <w:r>
              <w:rPr>
                <w:rFonts w:hint="eastAsia" w:ascii="宋体" w:hAnsi="宋体" w:cs="宋体"/>
                <w:color w:val="auto"/>
                <w:sz w:val="24"/>
                <w:lang w:val="en-US" w:eastAsia="zh-CN"/>
              </w:rPr>
              <w:t>2</w:t>
            </w:r>
            <w:r>
              <w:rPr>
                <w:rFonts w:hint="eastAsia" w:ascii="宋体" w:hAnsi="宋体" w:cs="宋体"/>
                <w:color w:val="auto"/>
                <w:sz w:val="24"/>
              </w:rPr>
              <w:t>分。</w:t>
            </w:r>
          </w:p>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rPr>
              <w:t>③</w:t>
            </w:r>
            <w:r>
              <w:rPr>
                <w:rFonts w:hint="eastAsia" w:ascii="宋体" w:hAnsi="宋体" w:cs="宋体"/>
                <w:color w:val="auto"/>
                <w:sz w:val="24"/>
              </w:rPr>
              <w:t>无承诺不得分。</w:t>
            </w:r>
          </w:p>
        </w:tc>
        <w:tc>
          <w:tcPr>
            <w:tcW w:w="820" w:type="dxa"/>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7</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产品保险</w:t>
            </w:r>
          </w:p>
        </w:tc>
        <w:tc>
          <w:tcPr>
            <w:tcW w:w="5802" w:type="dxa"/>
            <w:vAlign w:val="top"/>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rPr>
              <w:t>有</w:t>
            </w:r>
            <w:r>
              <w:rPr>
                <w:rFonts w:hint="eastAsia" w:ascii="宋体" w:hAnsi="宋体" w:cs="宋体"/>
                <w:color w:val="auto"/>
                <w:sz w:val="24"/>
                <w:szCs w:val="24"/>
              </w:rPr>
              <w:t>在保险有效期内的产品投保证明</w:t>
            </w:r>
            <w:r>
              <w:rPr>
                <w:rFonts w:hint="eastAsia" w:ascii="宋体" w:hAnsi="宋体" w:cs="宋体"/>
                <w:color w:val="auto"/>
                <w:sz w:val="24"/>
              </w:rPr>
              <w:t>（须提供有效的证明材料）</w:t>
            </w:r>
            <w:r>
              <w:rPr>
                <w:rFonts w:hint="eastAsia" w:ascii="宋体" w:hAnsi="宋体" w:cs="宋体"/>
                <w:color w:val="auto"/>
                <w:sz w:val="24"/>
                <w:szCs w:val="24"/>
              </w:rPr>
              <w:t>得2分，没有或过期的不得分</w:t>
            </w:r>
            <w:r>
              <w:rPr>
                <w:rFonts w:hint="eastAsia" w:ascii="宋体" w:hAnsi="宋体" w:cs="宋体"/>
                <w:color w:val="auto"/>
                <w:sz w:val="24"/>
                <w:szCs w:val="24"/>
                <w:lang w:eastAsia="zh-CN"/>
              </w:rPr>
              <w:t>。</w:t>
            </w:r>
            <w:r>
              <w:rPr>
                <w:rFonts w:hint="eastAsia" w:ascii="宋体" w:hAnsi="宋体" w:cs="宋体"/>
                <w:color w:val="auto"/>
                <w:sz w:val="24"/>
                <w:szCs w:val="24"/>
              </w:rPr>
              <w:t>（满分2分）</w:t>
            </w:r>
          </w:p>
        </w:tc>
        <w:tc>
          <w:tcPr>
            <w:tcW w:w="82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23" w:type="dxa"/>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 xml:space="preserve"> </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小计</w:t>
            </w:r>
          </w:p>
        </w:tc>
        <w:tc>
          <w:tcPr>
            <w:tcW w:w="5802" w:type="dxa"/>
            <w:vAlign w:val="top"/>
          </w:tcPr>
          <w:p>
            <w:pPr>
              <w:pStyle w:val="15"/>
              <w:pBdr>
                <w:bottom w:val="none" w:color="auto" w:sz="0" w:space="0"/>
              </w:pBdr>
              <w:jc w:val="left"/>
              <w:rPr>
                <w:rFonts w:ascii="宋体" w:hAnsi="宋体" w:cs="宋体"/>
                <w:color w:val="auto"/>
                <w:sz w:val="24"/>
                <w:szCs w:val="24"/>
              </w:rPr>
            </w:pPr>
          </w:p>
        </w:tc>
        <w:tc>
          <w:tcPr>
            <w:tcW w:w="82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40</w:t>
            </w:r>
          </w:p>
        </w:tc>
      </w:tr>
    </w:tbl>
    <w:p>
      <w:r>
        <w:br w:type="page"/>
      </w:r>
    </w:p>
    <w:p>
      <w:pPr>
        <w:numPr>
          <w:ilvl w:val="0"/>
          <w:numId w:val="3"/>
        </w:numPr>
        <w:spacing w:line="480" w:lineRule="exact"/>
        <w:rPr>
          <w:rFonts w:ascii="宋体" w:hAnsi="宋体" w:cs="宋体"/>
          <w:b/>
          <w:bCs/>
          <w:color w:val="000000" w:themeColor="text1"/>
          <w:sz w:val="24"/>
          <w:szCs w:val="24"/>
        </w:rPr>
      </w:pPr>
      <w:r>
        <w:rPr>
          <w:rFonts w:hint="eastAsia" w:ascii="宋体" w:hAnsi="宋体" w:cs="宋体"/>
          <w:b/>
          <w:bCs/>
          <w:color w:val="000000" w:themeColor="text1"/>
          <w:sz w:val="24"/>
          <w:szCs w:val="24"/>
        </w:rPr>
        <w:t>技术评分标准（30分）</w:t>
      </w:r>
    </w:p>
    <w:p>
      <w:pPr>
        <w:pStyle w:val="10"/>
        <w:numPr>
          <w:ilvl w:val="0"/>
          <w:numId w:val="0"/>
        </w:numPr>
        <w:rPr>
          <w:rFonts w:ascii="宋体" w:hAnsi="宋体" w:eastAsia="宋体" w:cs="宋体"/>
          <w:b/>
          <w:bCs/>
          <w:sz w:val="21"/>
          <w:szCs w:val="21"/>
        </w:rPr>
      </w:pPr>
      <w:r>
        <w:rPr>
          <w:rFonts w:hint="eastAsia" w:ascii="宋体" w:hAnsi="宋体" w:eastAsia="宋体" w:cs="宋体"/>
          <w:b/>
          <w:bCs/>
          <w:color w:val="auto"/>
          <w:sz w:val="21"/>
          <w:szCs w:val="21"/>
          <w:lang w:val="en-US" w:eastAsia="zh-CN"/>
        </w:rPr>
        <w:t>阿勒泰地区2023年动物疫苗采购项目（二包）</w:t>
      </w:r>
      <w:r>
        <w:rPr>
          <w:rFonts w:hint="eastAsia" w:ascii="宋体" w:hAnsi="宋体" w:eastAsia="宋体" w:cs="宋体"/>
          <w:b/>
          <w:bCs/>
          <w:sz w:val="21"/>
          <w:szCs w:val="21"/>
        </w:rPr>
        <w:t>：</w:t>
      </w:r>
      <w:r>
        <w:rPr>
          <w:rFonts w:hint="eastAsia" w:ascii="宋体" w:hAnsi="宋体" w:eastAsia="宋体" w:cs="宋体"/>
          <w:b/>
          <w:bCs/>
          <w:kern w:val="0"/>
          <w:sz w:val="21"/>
          <w:szCs w:val="21"/>
        </w:rPr>
        <w:t>技术打分表</w:t>
      </w:r>
    </w:p>
    <w:tbl>
      <w:tblPr>
        <w:tblStyle w:val="21"/>
        <w:tblW w:w="89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7"/>
        <w:gridCol w:w="1514"/>
        <w:gridCol w:w="6285"/>
        <w:gridCol w:w="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序号</w:t>
            </w:r>
          </w:p>
        </w:tc>
        <w:tc>
          <w:tcPr>
            <w:tcW w:w="1514"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评分因素及权值</w:t>
            </w:r>
          </w:p>
        </w:tc>
        <w:tc>
          <w:tcPr>
            <w:tcW w:w="6285"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评分标准</w:t>
            </w:r>
          </w:p>
        </w:tc>
        <w:tc>
          <w:tcPr>
            <w:tcW w:w="585"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restart"/>
            <w:vAlign w:val="center"/>
          </w:tcPr>
          <w:p>
            <w:pPr>
              <w:pStyle w:val="15"/>
              <w:pBdr>
                <w:bottom w:val="none" w:color="auto" w:sz="0" w:space="0"/>
              </w:pBdr>
              <w:rPr>
                <w:rFonts w:ascii="宋体" w:hAnsi="宋体" w:cs="宋体"/>
                <w:sz w:val="24"/>
                <w:szCs w:val="24"/>
              </w:rPr>
            </w:pPr>
            <w:r>
              <w:rPr>
                <w:rFonts w:hint="eastAsia" w:ascii="宋体" w:hAnsi="宋体" w:cs="宋体"/>
                <w:color w:val="auto"/>
                <w:sz w:val="21"/>
                <w:szCs w:val="21"/>
                <w:lang w:val="en-US" w:eastAsia="zh-CN"/>
              </w:rPr>
              <w:t>1</w:t>
            </w:r>
          </w:p>
        </w:tc>
        <w:tc>
          <w:tcPr>
            <w:tcW w:w="1514" w:type="dxa"/>
            <w:vMerge w:val="restart"/>
            <w:vAlign w:val="center"/>
          </w:tcPr>
          <w:p>
            <w:pPr>
              <w:pStyle w:val="15"/>
              <w:pBdr>
                <w:bottom w:val="none" w:color="auto" w:sz="0" w:space="0"/>
              </w:pBdr>
              <w:rPr>
                <w:rFonts w:ascii="宋体" w:hAnsi="宋体" w:cs="宋体"/>
                <w:sz w:val="24"/>
                <w:szCs w:val="24"/>
              </w:rPr>
            </w:pPr>
            <w:r>
              <w:rPr>
                <w:rFonts w:hint="eastAsia" w:ascii="宋体" w:hAnsi="宋体" w:cs="宋体"/>
                <w:kern w:val="0"/>
                <w:sz w:val="21"/>
                <w:szCs w:val="21"/>
              </w:rPr>
              <w:t>产品技术指标及生产能力技术部分</w:t>
            </w:r>
            <w:r>
              <w:rPr>
                <w:rFonts w:hint="eastAsia" w:ascii="宋体" w:hAnsi="宋体" w:cs="宋体"/>
                <w:sz w:val="24"/>
                <w:szCs w:val="24"/>
              </w:rPr>
              <w:t>（30%）</w:t>
            </w:r>
          </w:p>
        </w:tc>
        <w:tc>
          <w:tcPr>
            <w:tcW w:w="6285" w:type="dxa"/>
          </w:tcPr>
          <w:p>
            <w:pPr>
              <w:pStyle w:val="2"/>
              <w:rPr>
                <w:rFonts w:cs="宋体"/>
                <w:color w:val="auto"/>
                <w:szCs w:val="21"/>
                <w:highlight w:val="none"/>
              </w:rPr>
            </w:pPr>
            <w:r>
              <w:rPr>
                <w:rFonts w:hint="eastAsia" w:cs="宋体"/>
                <w:color w:val="auto"/>
                <w:szCs w:val="21"/>
              </w:rPr>
              <w:t>1</w:t>
            </w:r>
            <w:r>
              <w:rPr>
                <w:rFonts w:hint="eastAsia" w:cs="宋体"/>
                <w:color w:val="auto"/>
                <w:szCs w:val="21"/>
                <w:highlight w:val="none"/>
              </w:rPr>
              <w:t>、生产企业</w:t>
            </w:r>
            <w:r>
              <w:rPr>
                <w:rFonts w:hint="eastAsia" w:cs="宋体"/>
                <w:color w:val="auto"/>
                <w:szCs w:val="21"/>
                <w:highlight w:val="none"/>
                <w:lang w:eastAsia="zh-CN"/>
              </w:rPr>
              <w:t>能力</w:t>
            </w:r>
            <w:r>
              <w:rPr>
                <w:rFonts w:hint="eastAsia" w:cs="宋体"/>
                <w:color w:val="auto"/>
                <w:szCs w:val="21"/>
                <w:highlight w:val="none"/>
              </w:rPr>
              <w:t>（满分</w:t>
            </w:r>
            <w:r>
              <w:rPr>
                <w:rFonts w:hint="eastAsia" w:cs="宋体"/>
                <w:color w:val="auto"/>
                <w:szCs w:val="21"/>
                <w:highlight w:val="none"/>
                <w:lang w:val="en-US" w:eastAsia="zh-CN"/>
              </w:rPr>
              <w:t>4</w:t>
            </w:r>
            <w:r>
              <w:rPr>
                <w:rFonts w:hint="eastAsia" w:cs="宋体"/>
                <w:color w:val="auto"/>
                <w:szCs w:val="21"/>
                <w:highlight w:val="none"/>
              </w:rPr>
              <w:t>分）：</w:t>
            </w:r>
          </w:p>
          <w:p>
            <w:pPr>
              <w:pStyle w:val="2"/>
              <w:rPr>
                <w:rFonts w:hint="default" w:eastAsia="宋体" w:cs="宋体"/>
                <w:color w:val="auto"/>
                <w:szCs w:val="21"/>
                <w:highlight w:val="none"/>
                <w:lang w:val="en-US" w:eastAsia="zh-CN"/>
              </w:rPr>
            </w:pPr>
            <w:r>
              <w:rPr>
                <w:rFonts w:hint="eastAsia" w:cs="宋体"/>
                <w:color w:val="auto"/>
                <w:szCs w:val="21"/>
                <w:highlight w:val="none"/>
              </w:rPr>
              <w:t xml:space="preserve">① </w:t>
            </w:r>
            <w:r>
              <w:rPr>
                <w:rFonts w:hint="eastAsia" w:cs="宋体"/>
                <w:color w:val="auto"/>
                <w:szCs w:val="21"/>
                <w:highlight w:val="none"/>
                <w:lang w:eastAsia="zh-CN"/>
              </w:rPr>
              <w:t>具有本包所采购疫苗独立</w:t>
            </w:r>
            <w:r>
              <w:rPr>
                <w:rFonts w:hint="eastAsia" w:cs="宋体"/>
                <w:color w:val="auto"/>
                <w:szCs w:val="21"/>
                <w:highlight w:val="none"/>
              </w:rPr>
              <w:t>生产线</w:t>
            </w:r>
            <w:r>
              <w:rPr>
                <w:rFonts w:hint="eastAsia" w:cs="宋体"/>
                <w:color w:val="auto"/>
                <w:szCs w:val="21"/>
                <w:highlight w:val="none"/>
                <w:lang w:eastAsia="zh-CN"/>
              </w:rPr>
              <w:t>并通过</w:t>
            </w:r>
            <w:r>
              <w:rPr>
                <w:rFonts w:hint="eastAsia" w:cs="宋体"/>
                <w:color w:val="auto"/>
                <w:szCs w:val="21"/>
                <w:highlight w:val="none"/>
                <w:lang w:val="en-US" w:eastAsia="zh-CN"/>
              </w:rPr>
              <w:t>GMP动态认证。</w:t>
            </w:r>
            <w:r>
              <w:rPr>
                <w:rFonts w:hint="eastAsia" w:cs="宋体"/>
                <w:color w:val="auto"/>
                <w:szCs w:val="21"/>
                <w:highlight w:val="none"/>
              </w:rPr>
              <w:t>（提供设备清晰发票复印件，数额可辨认）</w:t>
            </w:r>
            <w:r>
              <w:rPr>
                <w:rFonts w:hint="eastAsia" w:cs="宋体"/>
                <w:color w:val="auto"/>
                <w:szCs w:val="21"/>
                <w:highlight w:val="none"/>
                <w:lang w:val="en-US" w:eastAsia="zh-CN"/>
              </w:rPr>
              <w:t>提供得2分，不提供不得分。</w:t>
            </w:r>
          </w:p>
          <w:p>
            <w:pPr>
              <w:pStyle w:val="15"/>
              <w:pBdr>
                <w:bottom w:val="none" w:color="auto" w:sz="0" w:space="0"/>
              </w:pBdr>
              <w:jc w:val="left"/>
              <w:rPr>
                <w:rFonts w:hint="eastAsia" w:ascii="宋体" w:hAnsi="宋体" w:eastAsia="宋体" w:cs="宋体"/>
                <w:sz w:val="21"/>
                <w:szCs w:val="21"/>
                <w:lang w:eastAsia="zh-CN"/>
              </w:rPr>
            </w:pPr>
            <w:r>
              <w:rPr>
                <w:rFonts w:hint="eastAsia" w:ascii="宋体" w:hAnsi="宋体" w:cs="宋体"/>
                <w:color w:val="auto"/>
                <w:sz w:val="21"/>
                <w:szCs w:val="21"/>
                <w:highlight w:val="none"/>
              </w:rPr>
              <w:t>②</w:t>
            </w:r>
            <w:r>
              <w:rPr>
                <w:rFonts w:hint="eastAsia" w:cs="宋体"/>
                <w:color w:val="auto"/>
                <w:sz w:val="21"/>
                <w:szCs w:val="21"/>
                <w:highlight w:val="none"/>
              </w:rPr>
              <w:t>生产工艺先进性满足并优于本次疫苗采购的（提供国家级</w:t>
            </w:r>
            <w:r>
              <w:rPr>
                <w:rFonts w:hint="eastAsia" w:cs="宋体"/>
                <w:color w:val="auto"/>
                <w:sz w:val="21"/>
                <w:szCs w:val="21"/>
                <w:highlight w:val="none"/>
                <w:lang w:val="en-US" w:eastAsia="zh-CN"/>
              </w:rPr>
              <w:t>或</w:t>
            </w:r>
            <w:r>
              <w:rPr>
                <w:rFonts w:hint="eastAsia" w:cs="宋体"/>
                <w:color w:val="auto"/>
                <w:sz w:val="21"/>
                <w:szCs w:val="21"/>
                <w:highlight w:val="none"/>
              </w:rPr>
              <w:t>省级权威部门出具的鉴定文件或报告得</w:t>
            </w:r>
            <w:r>
              <w:rPr>
                <w:rFonts w:hint="eastAsia" w:cs="宋体"/>
                <w:color w:val="auto"/>
                <w:sz w:val="21"/>
                <w:szCs w:val="21"/>
                <w:highlight w:val="none"/>
                <w:lang w:val="en-US" w:eastAsia="zh-CN"/>
              </w:rPr>
              <w:t>2</w:t>
            </w:r>
            <w:r>
              <w:rPr>
                <w:rFonts w:hint="eastAsia" w:cs="宋体"/>
                <w:color w:val="auto"/>
                <w:sz w:val="21"/>
                <w:szCs w:val="21"/>
                <w:highlight w:val="none"/>
              </w:rPr>
              <w:t>分</w:t>
            </w:r>
            <w:r>
              <w:rPr>
                <w:rFonts w:hint="eastAsia" w:cs="宋体"/>
                <w:color w:val="auto"/>
                <w:sz w:val="21"/>
                <w:szCs w:val="21"/>
                <w:highlight w:val="none"/>
                <w:lang w:val="en-US" w:eastAsia="zh-CN"/>
              </w:rPr>
              <w:t>.</w:t>
            </w:r>
            <w:r>
              <w:rPr>
                <w:rFonts w:hint="eastAsia" w:cs="宋体"/>
                <w:color w:val="auto"/>
                <w:sz w:val="21"/>
                <w:szCs w:val="21"/>
              </w:rPr>
              <w:t>或报告得3分；省级权威部门出具的鉴定文件或报告得2分</w:t>
            </w:r>
            <w:r>
              <w:rPr>
                <w:rFonts w:hint="eastAsia" w:cs="宋体"/>
                <w:color w:val="auto"/>
                <w:sz w:val="21"/>
                <w:szCs w:val="21"/>
                <w:lang w:eastAsia="zh-CN"/>
              </w:rPr>
              <w:t>。</w:t>
            </w:r>
          </w:p>
        </w:tc>
        <w:tc>
          <w:tcPr>
            <w:tcW w:w="585" w:type="dxa"/>
            <w:vAlign w:val="center"/>
          </w:tcPr>
          <w:p>
            <w:pPr>
              <w:pStyle w:val="15"/>
              <w:pBdr>
                <w:bottom w:val="none" w:color="auto" w:sz="0" w:space="0"/>
              </w:pBdr>
              <w:rPr>
                <w:rFonts w:hint="eastAsia" w:ascii="宋体" w:hAnsi="宋体" w:eastAsia="宋体" w:cs="宋体"/>
                <w:sz w:val="24"/>
                <w:szCs w:val="24"/>
                <w:lang w:val="en-US" w:eastAsia="zh-CN"/>
              </w:rPr>
            </w:pPr>
            <w:r>
              <w:rPr>
                <w:rFonts w:hint="eastAsia" w:ascii="宋体" w:hAnsi="宋体" w:cs="宋体"/>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2"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tcPr>
          <w:p>
            <w:pPr>
              <w:pStyle w:val="2"/>
              <w:rPr>
                <w:rFonts w:cs="宋体"/>
                <w:szCs w:val="21"/>
              </w:rPr>
            </w:pPr>
            <w:r>
              <w:rPr>
                <w:rFonts w:hint="eastAsia" w:cs="宋体"/>
                <w:szCs w:val="21"/>
              </w:rPr>
              <w:t>2、产品功能（满分3分）：</w:t>
            </w:r>
          </w:p>
          <w:p>
            <w:pPr>
              <w:pStyle w:val="2"/>
              <w:rPr>
                <w:rFonts w:cs="宋体"/>
                <w:szCs w:val="21"/>
              </w:rPr>
            </w:pPr>
            <w:r>
              <w:rPr>
                <w:rFonts w:hint="eastAsia" w:cs="宋体"/>
                <w:color w:val="000000" w:themeColor="text1"/>
                <w:szCs w:val="21"/>
              </w:rPr>
              <w:t>①</w:t>
            </w:r>
            <w:r>
              <w:rPr>
                <w:rFonts w:hint="eastAsia" w:cs="宋体"/>
                <w:szCs w:val="21"/>
              </w:rPr>
              <w:t>所投产品满足国家对该产品的技术生产要求具有完整的产品说明书、使用范围、使用方法，注意事项等情况。说明书内容全面，分项介绍详细，配图完整易理解</w:t>
            </w:r>
            <w:r>
              <w:rPr>
                <w:rFonts w:hint="eastAsia" w:cs="宋体"/>
                <w:szCs w:val="21"/>
                <w:lang w:eastAsia="zh-CN"/>
              </w:rPr>
              <w:t>，</w:t>
            </w:r>
            <w:r>
              <w:rPr>
                <w:rFonts w:hint="eastAsia" w:cs="宋体"/>
                <w:szCs w:val="21"/>
              </w:rPr>
              <w:t>得3分；</w:t>
            </w:r>
          </w:p>
          <w:p>
            <w:pPr>
              <w:pStyle w:val="2"/>
              <w:rPr>
                <w:rFonts w:cs="宋体"/>
                <w:szCs w:val="21"/>
              </w:rPr>
            </w:pPr>
            <w:r>
              <w:rPr>
                <w:rFonts w:hint="eastAsia" w:cs="宋体"/>
                <w:color w:val="000000" w:themeColor="text1"/>
                <w:szCs w:val="21"/>
              </w:rPr>
              <w:t>②</w:t>
            </w:r>
            <w:r>
              <w:rPr>
                <w:rFonts w:hint="eastAsia" w:cs="宋体"/>
                <w:szCs w:val="21"/>
              </w:rPr>
              <w:t>说明书简略，分项介绍内容不明确、不清晰得</w:t>
            </w:r>
            <w:r>
              <w:rPr>
                <w:rFonts w:cs="宋体"/>
                <w:szCs w:val="21"/>
              </w:rPr>
              <w:t>1</w:t>
            </w:r>
            <w:r>
              <w:rPr>
                <w:rFonts w:hint="eastAsia" w:cs="宋体"/>
                <w:szCs w:val="21"/>
              </w:rPr>
              <w:t>分；</w:t>
            </w:r>
          </w:p>
          <w:p>
            <w:pPr>
              <w:pStyle w:val="15"/>
              <w:pBdr>
                <w:bottom w:val="none" w:color="auto" w:sz="0" w:space="0"/>
              </w:pBdr>
              <w:jc w:val="left"/>
              <w:rPr>
                <w:rFonts w:ascii="宋体" w:hAnsi="宋体" w:cs="宋体"/>
                <w:sz w:val="21"/>
                <w:szCs w:val="21"/>
              </w:rPr>
            </w:pPr>
            <w:r>
              <w:rPr>
                <w:rFonts w:hint="eastAsia" w:ascii="宋体" w:hAnsi="宋体" w:cs="宋体"/>
                <w:color w:val="000000" w:themeColor="text1"/>
                <w:sz w:val="21"/>
                <w:szCs w:val="21"/>
              </w:rPr>
              <w:t>③</w:t>
            </w:r>
            <w:r>
              <w:rPr>
                <w:rFonts w:hint="eastAsia" w:cs="宋体"/>
                <w:sz w:val="21"/>
                <w:szCs w:val="21"/>
              </w:rPr>
              <w:t>未提供说明书不得分。</w:t>
            </w:r>
          </w:p>
        </w:tc>
        <w:tc>
          <w:tcPr>
            <w:tcW w:w="585"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tcPr>
          <w:p>
            <w:pPr>
              <w:pStyle w:val="15"/>
              <w:pBdr>
                <w:bottom w:val="none" w:color="auto" w:sz="0" w:space="0"/>
              </w:pBdr>
              <w:jc w:val="left"/>
              <w:rPr>
                <w:rFonts w:hint="eastAsia" w:ascii="宋体" w:hAnsi="宋体" w:cs="Arial"/>
                <w:color w:val="auto"/>
                <w:kern w:val="0"/>
                <w:sz w:val="21"/>
                <w:szCs w:val="21"/>
              </w:rPr>
            </w:pPr>
            <w:r>
              <w:rPr>
                <w:rFonts w:hint="eastAsia" w:ascii="宋体" w:hAnsi="宋体" w:cs="Arial"/>
                <w:color w:val="auto"/>
                <w:kern w:val="0"/>
                <w:sz w:val="21"/>
                <w:szCs w:val="21"/>
              </w:rPr>
              <w:t>3、疫苗的冷链运输（满分</w:t>
            </w:r>
            <w:r>
              <w:rPr>
                <w:rFonts w:hint="eastAsia" w:ascii="宋体" w:hAnsi="宋体" w:cs="Arial"/>
                <w:color w:val="auto"/>
                <w:kern w:val="0"/>
                <w:sz w:val="21"/>
                <w:szCs w:val="21"/>
                <w:lang w:val="en-US" w:eastAsia="zh-CN"/>
              </w:rPr>
              <w:t>5</w:t>
            </w:r>
            <w:r>
              <w:rPr>
                <w:rFonts w:hint="eastAsia" w:ascii="宋体" w:hAnsi="宋体" w:cs="Arial"/>
                <w:color w:val="auto"/>
                <w:kern w:val="0"/>
                <w:sz w:val="21"/>
                <w:szCs w:val="21"/>
              </w:rPr>
              <w:t>分）：</w:t>
            </w:r>
          </w:p>
          <w:p>
            <w:pPr>
              <w:pStyle w:val="2"/>
              <w:rPr>
                <w:rFonts w:hint="eastAsia" w:cs="宋体"/>
                <w:color w:val="auto"/>
                <w:szCs w:val="21"/>
              </w:rPr>
            </w:pPr>
            <w:r>
              <w:rPr>
                <w:rFonts w:hint="eastAsia" w:cs="宋体"/>
                <w:color w:val="auto"/>
                <w:szCs w:val="21"/>
              </w:rPr>
              <w:t>①承诺疫苗用专用冷藏车</w:t>
            </w:r>
            <w:r>
              <w:rPr>
                <w:rFonts w:hint="eastAsia" w:cs="宋体"/>
                <w:color w:val="auto"/>
                <w:szCs w:val="21"/>
                <w:lang w:val="en-US" w:eastAsia="zh-CN"/>
              </w:rPr>
              <w:t>在途</w:t>
            </w:r>
            <w:r>
              <w:rPr>
                <w:rFonts w:hint="eastAsia" w:cs="宋体"/>
                <w:color w:val="auto"/>
                <w:szCs w:val="21"/>
              </w:rPr>
              <w:t>运输不超过72小时或航空运输不超过24小时，有全程温控记录设备和数据的得</w:t>
            </w:r>
            <w:r>
              <w:rPr>
                <w:rFonts w:hint="eastAsia" w:cs="宋体"/>
                <w:color w:val="auto"/>
                <w:szCs w:val="21"/>
                <w:lang w:val="en-US" w:eastAsia="zh-CN"/>
              </w:rPr>
              <w:t>5</w:t>
            </w:r>
            <w:r>
              <w:rPr>
                <w:rFonts w:hint="eastAsia" w:cs="宋体"/>
                <w:color w:val="auto"/>
                <w:szCs w:val="21"/>
              </w:rPr>
              <w:t>分；</w:t>
            </w:r>
          </w:p>
          <w:p>
            <w:pPr>
              <w:pStyle w:val="2"/>
              <w:rPr>
                <w:rFonts w:hint="eastAsia" w:cs="宋体"/>
                <w:color w:val="auto"/>
                <w:szCs w:val="21"/>
              </w:rPr>
            </w:pPr>
            <w:r>
              <w:rPr>
                <w:rFonts w:hint="eastAsia" w:cs="宋体"/>
                <w:color w:val="auto"/>
                <w:szCs w:val="21"/>
              </w:rPr>
              <w:t>②疫苗用冷藏车</w:t>
            </w:r>
            <w:r>
              <w:rPr>
                <w:rFonts w:hint="eastAsia" w:cs="宋体"/>
                <w:color w:val="auto"/>
                <w:szCs w:val="21"/>
                <w:lang w:val="en-US" w:eastAsia="zh-CN"/>
              </w:rPr>
              <w:t>在途</w:t>
            </w:r>
            <w:r>
              <w:rPr>
                <w:rFonts w:hint="eastAsia" w:cs="宋体"/>
                <w:color w:val="auto"/>
                <w:szCs w:val="21"/>
              </w:rPr>
              <w:t>运输超过72小时或航空运输超过24小时，全程温控记录设备和数据的得</w:t>
            </w:r>
            <w:r>
              <w:rPr>
                <w:rFonts w:hint="eastAsia" w:cs="宋体"/>
                <w:color w:val="auto"/>
                <w:szCs w:val="21"/>
                <w:lang w:val="en-US" w:eastAsia="zh-CN"/>
              </w:rPr>
              <w:t>2</w:t>
            </w:r>
            <w:r>
              <w:rPr>
                <w:rFonts w:hint="eastAsia" w:cs="宋体"/>
                <w:color w:val="auto"/>
                <w:szCs w:val="21"/>
              </w:rPr>
              <w:t>分；</w:t>
            </w:r>
          </w:p>
          <w:p>
            <w:pPr>
              <w:pStyle w:val="2"/>
              <w:rPr>
                <w:rFonts w:ascii="宋体" w:hAnsi="宋体" w:cs="宋体"/>
                <w:sz w:val="21"/>
                <w:szCs w:val="21"/>
              </w:rPr>
            </w:pPr>
            <w:r>
              <w:rPr>
                <w:rFonts w:hint="eastAsia" w:cs="宋体"/>
                <w:color w:val="auto"/>
                <w:szCs w:val="21"/>
              </w:rPr>
              <w:t>③超过以上最低时限或未采取规定运载工具运输的不得分。</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tcPr>
          <w:p>
            <w:pPr>
              <w:pStyle w:val="15"/>
              <w:pBdr>
                <w:bottom w:val="none" w:color="auto" w:sz="0" w:space="0"/>
              </w:pBdr>
              <w:jc w:val="left"/>
              <w:rPr>
                <w:rFonts w:ascii="宋体" w:hAnsi="宋体" w:cs="宋体"/>
                <w:color w:val="auto"/>
                <w:sz w:val="21"/>
                <w:szCs w:val="21"/>
                <w:highlight w:val="none"/>
              </w:rPr>
            </w:pPr>
            <w:r>
              <w:rPr>
                <w:rFonts w:hint="eastAsia" w:ascii="宋体" w:hAnsi="宋体" w:cs="宋体"/>
                <w:color w:val="auto"/>
                <w:sz w:val="21"/>
                <w:szCs w:val="21"/>
              </w:rPr>
              <w:t>4</w:t>
            </w:r>
            <w:r>
              <w:rPr>
                <w:rFonts w:hint="eastAsia" w:ascii="宋体" w:hAnsi="宋体" w:cs="宋体"/>
                <w:color w:val="auto"/>
                <w:sz w:val="21"/>
                <w:szCs w:val="21"/>
                <w:highlight w:val="none"/>
              </w:rPr>
              <w:t>、安全性（满分</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分）：</w:t>
            </w:r>
          </w:p>
          <w:p>
            <w:pPr>
              <w:pStyle w:val="15"/>
              <w:pBdr>
                <w:bottom w:val="none" w:color="auto" w:sz="0" w:space="0"/>
              </w:pBdr>
              <w:jc w:val="left"/>
              <w:rPr>
                <w:rFonts w:ascii="宋体" w:hAnsi="宋体" w:cs="宋体"/>
                <w:sz w:val="21"/>
                <w:szCs w:val="21"/>
              </w:rPr>
            </w:pPr>
            <w:r>
              <w:rPr>
                <w:rFonts w:hint="eastAsia" w:ascii="宋体" w:hAnsi="宋体" w:cs="宋体"/>
                <w:color w:val="auto"/>
                <w:sz w:val="21"/>
                <w:szCs w:val="21"/>
                <w:highlight w:val="none"/>
              </w:rPr>
              <w:t>每提供1份相关安全性证明文件，并提供地州市和（或）省级以上动物疫控机构出具的良好的评价证明材料和满意度反馈表的得1分，满分</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分</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vAlign w:val="top"/>
          </w:tcPr>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lang w:val="en-US" w:eastAsia="zh-CN"/>
              </w:rPr>
              <w:t>5</w:t>
            </w:r>
            <w:r>
              <w:rPr>
                <w:rFonts w:hint="eastAsia" w:ascii="宋体" w:hAnsi="宋体" w:cs="宋体"/>
                <w:color w:val="000000" w:themeColor="text1"/>
                <w:sz w:val="21"/>
                <w:szCs w:val="21"/>
              </w:rPr>
              <w:t>、所投疫苗202</w:t>
            </w:r>
            <w:r>
              <w:rPr>
                <w:rFonts w:hint="eastAsia" w:ascii="宋体" w:hAnsi="宋体" w:cs="宋体"/>
                <w:color w:val="000000" w:themeColor="text1"/>
                <w:sz w:val="21"/>
                <w:szCs w:val="21"/>
                <w:lang w:val="en-US" w:eastAsia="zh-CN"/>
              </w:rPr>
              <w:t>2</w:t>
            </w:r>
            <w:r>
              <w:rPr>
                <w:rFonts w:hint="eastAsia" w:ascii="宋体" w:hAnsi="宋体" w:cs="宋体"/>
                <w:color w:val="000000" w:themeColor="text1"/>
                <w:sz w:val="21"/>
                <w:szCs w:val="21"/>
              </w:rPr>
              <w:t>年的PD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（提供批签发报告复印件，原件备查）（满分10分）：</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①提供202</w:t>
            </w:r>
            <w:r>
              <w:rPr>
                <w:rFonts w:hint="eastAsia" w:ascii="宋体" w:hAnsi="宋体" w:cs="宋体"/>
                <w:color w:val="000000" w:themeColor="text1"/>
                <w:sz w:val="21"/>
                <w:szCs w:val="21"/>
                <w:lang w:val="en-US" w:eastAsia="zh-CN"/>
              </w:rPr>
              <w:t>2</w:t>
            </w:r>
            <w:r>
              <w:rPr>
                <w:rFonts w:hint="eastAsia" w:ascii="宋体" w:hAnsi="宋体" w:cs="宋体"/>
                <w:color w:val="000000" w:themeColor="text1"/>
                <w:sz w:val="21"/>
                <w:szCs w:val="21"/>
              </w:rPr>
              <w:t>年以来连续3个批次的批签发（共3分）：</w:t>
            </w:r>
          </w:p>
          <w:p>
            <w:pPr>
              <w:pStyle w:val="15"/>
              <w:pBdr>
                <w:bottom w:val="none" w:color="auto" w:sz="0" w:space="0"/>
              </w:pBdr>
              <w:jc w:val="left"/>
              <w:rPr>
                <w:rFonts w:ascii="宋体" w:hAnsi="宋体" w:cs="宋体"/>
                <w:b/>
                <w:bCs/>
                <w:color w:val="000000" w:themeColor="text1"/>
                <w:sz w:val="21"/>
                <w:szCs w:val="21"/>
              </w:rPr>
            </w:pPr>
            <w:r>
              <w:rPr>
                <w:rFonts w:hint="eastAsia" w:ascii="宋体" w:hAnsi="宋体" w:cs="宋体"/>
                <w:color w:val="000000" w:themeColor="text1"/>
                <w:sz w:val="21"/>
                <w:szCs w:val="21"/>
              </w:rPr>
              <w:t>3个批次在同一月内生产的得3分；二个月内生产的得2分；半年内的得1分；否则不得分；</w:t>
            </w:r>
          </w:p>
          <w:p>
            <w:pPr>
              <w:pStyle w:val="15"/>
              <w:pBdr>
                <w:bottom w:val="none" w:color="auto" w:sz="0" w:space="0"/>
              </w:pBdr>
              <w:jc w:val="left"/>
              <w:rPr>
                <w:rFonts w:ascii="宋体" w:hAnsi="宋体" w:cs="宋体"/>
                <w:b/>
                <w:bCs/>
                <w:color w:val="000000" w:themeColor="text1"/>
                <w:sz w:val="21"/>
                <w:szCs w:val="21"/>
              </w:rPr>
            </w:pPr>
            <w:r>
              <w:rPr>
                <w:rFonts w:hint="eastAsia" w:ascii="宋体" w:hAnsi="宋体" w:cs="宋体"/>
                <w:color w:val="000000" w:themeColor="text1"/>
                <w:sz w:val="21"/>
                <w:szCs w:val="21"/>
              </w:rPr>
              <w:t>②以《兽用生物制品生产与检验报告》为依据，计算上述3批次疫苗的PD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平均数（满分6分）：达到6个PD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的得2分；每高一个PD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加1分，加到满分为止；</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③PD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值的离散度（满分1分）：</w:t>
            </w:r>
          </w:p>
          <w:p>
            <w:pPr>
              <w:pStyle w:val="15"/>
              <w:pBdr>
                <w:bottom w:val="none" w:color="auto" w:sz="0" w:space="0"/>
              </w:pBdr>
              <w:jc w:val="left"/>
              <w:rPr>
                <w:rFonts w:ascii="宋体" w:hAnsi="宋体" w:cs="宋体"/>
                <w:sz w:val="21"/>
                <w:szCs w:val="21"/>
              </w:rPr>
            </w:pPr>
            <w:r>
              <w:rPr>
                <w:rFonts w:hint="eastAsia" w:ascii="宋体" w:hAnsi="宋体" w:cs="宋体"/>
                <w:color w:val="000000" w:themeColor="text1"/>
                <w:sz w:val="21"/>
                <w:szCs w:val="21"/>
              </w:rPr>
              <w:t>上述3个批次双组份疫苗的离散度在±1以内得1分，±2以内得0.5分，有一个批次及以上PD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值不在此范围不得分。（示例：PD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值均值为10，则3个批次批签发PD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值在9～11之间的得1分，8～12之间的得0.5分，除此以外不得分</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vAlign w:val="top"/>
          </w:tcPr>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lang w:val="en-US" w:eastAsia="zh-CN"/>
              </w:rPr>
              <w:t>6</w:t>
            </w:r>
            <w:r>
              <w:rPr>
                <w:rFonts w:hint="eastAsia" w:ascii="宋体" w:hAnsi="宋体" w:cs="宋体"/>
                <w:color w:val="000000" w:themeColor="text1"/>
                <w:sz w:val="21"/>
                <w:szCs w:val="21"/>
              </w:rPr>
              <w:t>、内毒素检测每头份疫苗不超过50EU/ml（满分</w:t>
            </w:r>
            <w:r>
              <w:rPr>
                <w:rFonts w:hint="eastAsia" w:ascii="宋体" w:hAnsi="宋体" w:cs="宋体"/>
                <w:color w:val="000000" w:themeColor="text1"/>
                <w:sz w:val="21"/>
                <w:szCs w:val="21"/>
                <w:lang w:val="en-US" w:eastAsia="zh-CN"/>
              </w:rPr>
              <w:t>3</w:t>
            </w:r>
            <w:r>
              <w:rPr>
                <w:rFonts w:hint="eastAsia" w:ascii="宋体" w:hAnsi="宋体" w:cs="宋体"/>
                <w:color w:val="000000" w:themeColor="text1"/>
                <w:sz w:val="21"/>
                <w:szCs w:val="21"/>
              </w:rPr>
              <w:t>分）：</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①连续3批的检验报告单、提供企业签发的内毒素检验规程，证明检验过并提供上述材料的得0.5分</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②证明低于20EU/ml加</w:t>
            </w:r>
            <w:r>
              <w:rPr>
                <w:rFonts w:hint="eastAsia" w:ascii="宋体" w:hAnsi="宋体" w:cs="宋体"/>
                <w:color w:val="000000" w:themeColor="text1"/>
                <w:sz w:val="21"/>
                <w:szCs w:val="21"/>
                <w:lang w:val="en-US" w:eastAsia="zh-CN"/>
              </w:rPr>
              <w:t>1</w:t>
            </w:r>
            <w:r>
              <w:rPr>
                <w:rFonts w:hint="eastAsia" w:ascii="宋体" w:hAnsi="宋体" w:cs="宋体"/>
                <w:color w:val="000000" w:themeColor="text1"/>
                <w:sz w:val="21"/>
                <w:szCs w:val="21"/>
              </w:rPr>
              <w:t>分；</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③证明低于10EU/ml加1</w:t>
            </w:r>
            <w:r>
              <w:rPr>
                <w:rFonts w:hint="eastAsia" w:ascii="宋体" w:hAnsi="宋体" w:cs="宋体"/>
                <w:color w:val="000000" w:themeColor="text1"/>
                <w:sz w:val="21"/>
                <w:szCs w:val="21"/>
                <w:lang w:val="en-US" w:eastAsia="zh-CN"/>
              </w:rPr>
              <w:t>.5</w:t>
            </w:r>
            <w:r>
              <w:rPr>
                <w:rFonts w:hint="eastAsia" w:ascii="宋体" w:hAnsi="宋体" w:cs="宋体"/>
                <w:color w:val="000000" w:themeColor="text1"/>
                <w:sz w:val="21"/>
                <w:szCs w:val="21"/>
              </w:rPr>
              <w:t>分；</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④证明低于5EU/ml加</w:t>
            </w:r>
            <w:r>
              <w:rPr>
                <w:rFonts w:hint="eastAsia" w:ascii="宋体" w:hAnsi="宋体" w:cs="宋体"/>
                <w:color w:val="000000" w:themeColor="text1"/>
                <w:sz w:val="21"/>
                <w:szCs w:val="21"/>
                <w:lang w:val="en-US" w:eastAsia="zh-CN"/>
              </w:rPr>
              <w:t>2</w:t>
            </w:r>
            <w:r>
              <w:rPr>
                <w:rFonts w:hint="eastAsia" w:ascii="宋体" w:hAnsi="宋体" w:cs="宋体"/>
                <w:color w:val="000000" w:themeColor="text1"/>
                <w:sz w:val="21"/>
                <w:szCs w:val="21"/>
              </w:rPr>
              <w:t>.5分；</w:t>
            </w:r>
          </w:p>
          <w:p>
            <w:pPr>
              <w:pStyle w:val="15"/>
              <w:pBdr>
                <w:bottom w:val="none" w:color="auto" w:sz="0" w:space="0"/>
              </w:pBdr>
              <w:jc w:val="left"/>
              <w:rPr>
                <w:rFonts w:ascii="宋体" w:hAnsi="宋体" w:cs="宋体"/>
                <w:color w:val="000000" w:themeColor="text1"/>
                <w:sz w:val="21"/>
                <w:szCs w:val="21"/>
              </w:rPr>
            </w:pPr>
            <w:r>
              <w:rPr>
                <w:rFonts w:hint="eastAsia" w:ascii="微软雅黑" w:hAnsi="微软雅黑" w:eastAsia="微软雅黑" w:cs="微软雅黑"/>
                <w:color w:val="000000" w:themeColor="text1"/>
                <w:sz w:val="21"/>
                <w:szCs w:val="21"/>
              </w:rPr>
              <w:t>⑤</w:t>
            </w:r>
            <w:r>
              <w:rPr>
                <w:rFonts w:hint="eastAsia" w:ascii="宋体" w:hAnsi="宋体" w:cs="宋体"/>
                <w:color w:val="000000" w:themeColor="text1"/>
                <w:sz w:val="21"/>
                <w:szCs w:val="21"/>
              </w:rPr>
              <w:t>内毒素超过50EU/ml不得分；</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sz w:val="24"/>
                <w:szCs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7" w:type="dxa"/>
            <w:vAlign w:val="center"/>
          </w:tcPr>
          <w:p>
            <w:pPr>
              <w:pStyle w:val="15"/>
              <w:pBdr>
                <w:bottom w:val="none" w:color="auto" w:sz="0" w:space="0"/>
              </w:pBdr>
              <w:rPr>
                <w:rFonts w:ascii="宋体" w:hAnsi="宋体" w:cs="宋体"/>
                <w:sz w:val="24"/>
                <w:szCs w:val="24"/>
              </w:rPr>
            </w:pPr>
          </w:p>
        </w:tc>
        <w:tc>
          <w:tcPr>
            <w:tcW w:w="1514"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小计</w:t>
            </w:r>
          </w:p>
        </w:tc>
        <w:tc>
          <w:tcPr>
            <w:tcW w:w="6285" w:type="dxa"/>
          </w:tcPr>
          <w:p>
            <w:pPr>
              <w:pStyle w:val="15"/>
              <w:pBdr>
                <w:bottom w:val="none" w:color="auto" w:sz="0" w:space="0"/>
              </w:pBdr>
              <w:jc w:val="left"/>
              <w:rPr>
                <w:rFonts w:ascii="宋体" w:hAnsi="宋体" w:cs="宋体"/>
                <w:sz w:val="24"/>
                <w:szCs w:val="24"/>
              </w:rPr>
            </w:pPr>
          </w:p>
        </w:tc>
        <w:tc>
          <w:tcPr>
            <w:tcW w:w="585"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30</w:t>
            </w:r>
          </w:p>
        </w:tc>
      </w:tr>
    </w:tbl>
    <w:p>
      <w:pPr>
        <w:pStyle w:val="7"/>
        <w:ind w:firstLine="0"/>
      </w:pPr>
    </w:p>
    <w:p/>
    <w:p>
      <w:pPr>
        <w:tabs>
          <w:tab w:val="left" w:pos="210"/>
        </w:tabs>
        <w:spacing w:line="360" w:lineRule="auto"/>
        <w:jc w:val="left"/>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6.5 评标程序</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评标活动将按以下步骤进行：评标准备，资格审查，完备性及符合性审查，详细评审，澄清、说明或补正，推荐中标候选人及提交评标报告。</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 xml:space="preserve">.1 </w:t>
      </w:r>
      <w:r>
        <w:rPr>
          <w:rFonts w:hint="eastAsia" w:ascii="宋体" w:hAnsi="宋体" w:cs="Arial"/>
          <w:b/>
          <w:bCs/>
          <w:kern w:val="0"/>
          <w:sz w:val="24"/>
          <w:szCs w:val="24"/>
        </w:rPr>
        <w:t>评标准备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评标委员会成员签到</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评标委员会成员到达评标现场时应当在签到表上签到以证明其出席。</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评标委员会的分工</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评标委员会首先推选一名评标委员会主任</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⒈评标委员会主任负责评标活动的组织领导工作。评标委员会主任与评标委员会其他成员具有同等的评标权力。</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 xml:space="preserve">⒉评标委员会主任除履行自己作为评标委员会成员独立评标的职责外，主要负责以下工作： </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⒊组织评标委员会成员学习招标文件；</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⒋汇总各评标委员会成员认为需要投标人澄清、说明或者补正的问题；</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⒌组织评标委员会对投标人质询并对投标人的答复进行评审；</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⒍对出现较大争议的事项进行书面记录；</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⒎组织收回评标过程中使用的文件、表格和评标记录以及其他资料，并查验评标记录的完整性及有效性；</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⒏组织对评标结论进行复核确认；</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⒐组织编写评标报告。</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④熟悉文件资料</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⑤采购人或采购代理机构应当向评标委员会提供评标所需的信息和数据，包括：</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⒈招标文件及其澄清修改等招标文件补充；</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⒉未在开标会上当场拒绝的各投标文件；</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⒊开标会记录；</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⒋评标表格；</w:t>
      </w:r>
    </w:p>
    <w:p>
      <w:pPr>
        <w:widowControl/>
        <w:shd w:val="clear" w:color="auto" w:fill="FFFFFF"/>
        <w:snapToGrid w:val="0"/>
        <w:spacing w:line="360" w:lineRule="auto"/>
        <w:ind w:firstLine="720" w:firstLineChars="300"/>
        <w:rPr>
          <w:rFonts w:ascii="宋体" w:cs="Arial"/>
          <w:kern w:val="0"/>
          <w:sz w:val="24"/>
          <w:szCs w:val="24"/>
        </w:rPr>
      </w:pPr>
      <w:r>
        <w:rPr>
          <w:rFonts w:hint="eastAsia" w:ascii="宋体" w:hAnsi="宋体" w:cs="宋体"/>
          <w:kern w:val="0"/>
          <w:sz w:val="24"/>
          <w:szCs w:val="24"/>
        </w:rPr>
        <w:t>⒌其他信息和数据</w:t>
      </w:r>
      <w:r>
        <w:rPr>
          <w:rFonts w:hint="eastAsia" w:ascii="宋体" w:hAnsi="宋体" w:cs="Arial"/>
          <w:kern w:val="0"/>
          <w:sz w:val="24"/>
          <w:szCs w:val="24"/>
        </w:rPr>
        <w:t>；</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w:t>
      </w:r>
      <w:r>
        <w:rPr>
          <w:rFonts w:hint="eastAsia" w:ascii="宋体" w:hAnsi="宋体" w:cs="Arial"/>
          <w:b/>
          <w:bCs/>
          <w:kern w:val="0"/>
          <w:sz w:val="24"/>
          <w:szCs w:val="24"/>
        </w:rPr>
        <w:t>2资格审查（适用于资格后审）</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采购人会依据本章规定的评审因素和审查标准，对投标人的资格审查资料进行资格审查。资格审查有一项未通过审查标准，采购人将认定整个投标文件不响应招标文件而否决其投标，并且不允许投标人通过修改或撤销其不符合要求的差异或保留，使之成为具有响应性的投标。</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w:t>
      </w:r>
      <w:r>
        <w:rPr>
          <w:rFonts w:hint="eastAsia" w:ascii="宋体" w:hAnsi="宋体" w:cs="Arial"/>
          <w:b/>
          <w:bCs/>
          <w:kern w:val="0"/>
          <w:sz w:val="24"/>
          <w:szCs w:val="24"/>
        </w:rPr>
        <w:t>3完备性及符合性审查</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评标委员会依据本章规定的评审因素和评审标准，对投标人的投标文件进行完备性及符合性审查。完备性及符合性审查有一项未通过评审标准，评标委员会将认定整个投标文件不响应招标文件而否决其投标，并且不允许投标人通过修改或撤销其不符合要求的差异或保留，使之成为具有响应性的投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完备性及符合性审查条款是指对本招标项目产生了重大影响的重大偏差，而且纠正此类偏差将会对响应本次招标的其他投标人的竞争地位产生不公正的影响。</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细微偏差是指投标文件在实质上响应招标文件要求，但在个别地方存在疏漏或者提供了不完整的技术信息和数据等情况，并且补正这些遗漏和不完整不会对其他投标人造成不公平的结果。细微偏差不影响投标文件的有效性，评标委员会可要求存在细微偏差的投标人予以补正。</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w:t>
      </w:r>
      <w:r>
        <w:rPr>
          <w:rFonts w:hint="eastAsia" w:ascii="宋体" w:hAnsi="宋体" w:cs="Arial"/>
          <w:b/>
          <w:bCs/>
          <w:kern w:val="0"/>
          <w:sz w:val="24"/>
          <w:szCs w:val="24"/>
        </w:rPr>
        <w:t>4详细评审</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只有通过了资格审查、完备性及符合性审查且</w:t>
      </w:r>
      <w:r>
        <w:rPr>
          <w:rFonts w:hint="eastAsia" w:ascii="宋体" w:cs="Arial"/>
          <w:kern w:val="0"/>
          <w:sz w:val="24"/>
          <w:szCs w:val="24"/>
        </w:rPr>
        <w:t>投标人不少于3个</w:t>
      </w:r>
      <w:r>
        <w:rPr>
          <w:rFonts w:hint="eastAsia" w:ascii="宋体" w:hAnsi="宋体" w:cs="Arial"/>
          <w:kern w:val="0"/>
          <w:sz w:val="24"/>
          <w:szCs w:val="24"/>
        </w:rPr>
        <w:t>方可进入详细评审。</w:t>
      </w:r>
    </w:p>
    <w:p>
      <w:pPr>
        <w:widowControl/>
        <w:shd w:val="clear" w:color="auto" w:fill="FFFFFF"/>
        <w:snapToGrid w:val="0"/>
        <w:spacing w:line="360" w:lineRule="auto"/>
        <w:rPr>
          <w:rFonts w:ascii="宋体" w:cs="Arial"/>
          <w:kern w:val="0"/>
          <w:sz w:val="24"/>
          <w:szCs w:val="24"/>
        </w:rPr>
      </w:pPr>
      <w:r>
        <w:rPr>
          <w:rFonts w:hint="eastAsia" w:ascii="宋体" w:hAnsi="宋体" w:cs="Arial"/>
          <w:b/>
          <w:bCs/>
          <w:kern w:val="0"/>
          <w:sz w:val="24"/>
          <w:szCs w:val="24"/>
        </w:rPr>
        <w:t>6.6开标程序</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按下列程序进行开标：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6.6.1宣布开标纪律；</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6.6.2开标会主持人介绍参加会议的人员；；</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6.6.3公布在投标截止时间前递交投标文件的投标人名称，并点名确认投标人是否派人到场</w:t>
      </w:r>
      <w:r>
        <w:rPr>
          <w:rFonts w:ascii="宋体" w:hAnsi="宋体" w:cs="Arial"/>
          <w:kern w:val="0"/>
          <w:sz w:val="24"/>
          <w:szCs w:val="24"/>
        </w:rPr>
        <w:t>参加开标</w:t>
      </w:r>
      <w:r>
        <w:rPr>
          <w:rFonts w:hint="eastAsia" w:ascii="宋体" w:hAnsi="宋体" w:cs="Arial"/>
          <w:kern w:val="0"/>
          <w:sz w:val="24"/>
          <w:szCs w:val="24"/>
        </w:rPr>
        <w:t>，由采购人或监督人查验投标人法定代表人授权委托书及其有效身份证明；投标人未派人到场</w:t>
      </w:r>
      <w:r>
        <w:rPr>
          <w:rFonts w:ascii="宋体" w:hAnsi="宋体" w:cs="Arial"/>
          <w:kern w:val="0"/>
          <w:sz w:val="24"/>
          <w:szCs w:val="24"/>
        </w:rPr>
        <w:t>参加开标</w:t>
      </w:r>
      <w:r>
        <w:rPr>
          <w:rFonts w:hint="eastAsia" w:ascii="宋体" w:hAnsi="宋体" w:cs="Arial"/>
          <w:kern w:val="0"/>
          <w:sz w:val="24"/>
          <w:szCs w:val="24"/>
        </w:rPr>
        <w:t>的</w:t>
      </w:r>
      <w:r>
        <w:rPr>
          <w:rFonts w:ascii="宋体" w:hAnsi="宋体" w:cs="Arial"/>
          <w:kern w:val="0"/>
          <w:sz w:val="24"/>
          <w:szCs w:val="24"/>
        </w:rPr>
        <w:t>，视同认可开标结果</w:t>
      </w:r>
      <w:r>
        <w:rPr>
          <w:rFonts w:hint="eastAsia" w:ascii="宋体" w:hAnsi="宋体" w:cs="Arial"/>
          <w:kern w:val="0"/>
          <w:sz w:val="24"/>
          <w:szCs w:val="24"/>
        </w:rPr>
        <w:t>；</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6.6.4由投标人或者其推选的代表检查投标文件的密封情况，经监督代表及投标人确认无误后，由采购代理机构工作人员宣布公开拆标、唱标。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6.6.5按照规定采购代理机构工作人员当众拆封投标文件，宣布投标人名称、投标价格和招标文件规定的需要宣布的其他内容，并作记录；</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6.6.6投标人不足3家的，不得开标。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6.6.7评标委员会成员不得参加开标活动。</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6.6.8投标文件报价出现前后不一致的，除招标文件另有规定外，按照下列规定修正：</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投标文件中开标一览表（报价表）内容与投标文件中相应内容不一致的，以开标一览表（报价表）为准。</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大写金额和小写金额不一致的，以大写金额为准。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总价金额与按单价汇总金额不一致的，以单价金额计算结果为准；单价金额小数点或者百分比有明显错位的，以开标一览表（报价表）的总价为准，并修改单价。</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对不同文字文本投标文件的解释发生异议的，以中文文本为准。</w:t>
      </w:r>
    </w:p>
    <w:p>
      <w:pPr>
        <w:widowControl/>
        <w:shd w:val="clear" w:color="auto" w:fill="FFFFFF"/>
        <w:snapToGrid w:val="0"/>
        <w:spacing w:line="360" w:lineRule="auto"/>
        <w:ind w:firstLine="480" w:firstLineChars="200"/>
      </w:pPr>
      <w:r>
        <w:rPr>
          <w:rFonts w:hint="eastAsia" w:ascii="微软雅黑" w:hAnsi="微软雅黑" w:eastAsia="微软雅黑" w:cs="微软雅黑"/>
          <w:kern w:val="0"/>
          <w:sz w:val="24"/>
          <w:szCs w:val="24"/>
        </w:rPr>
        <w:t>⑤</w:t>
      </w:r>
      <w:r>
        <w:rPr>
          <w:rFonts w:hint="eastAsia" w:ascii="宋体" w:hAnsi="宋体" w:cs="Arial"/>
          <w:kern w:val="0"/>
          <w:sz w:val="24"/>
          <w:szCs w:val="24"/>
        </w:rPr>
        <w:t>同时出现两种以上不一致的，按照前款规定的顺序修正。修正后的报价须经授权委托代理人签字并加盖公章后产生约束力，投标人不确认的，其投标无效。</w:t>
      </w:r>
    </w:p>
    <w:p>
      <w:pPr>
        <w:pStyle w:val="10"/>
        <w:numPr>
          <w:ilvl w:val="0"/>
          <w:numId w:val="0"/>
        </w:numPr>
        <w:rPr>
          <w:rFonts w:ascii="宋体" w:hAnsi="宋体" w:cs="Arial"/>
          <w:kern w:val="0"/>
          <w:sz w:val="24"/>
          <w:szCs w:val="24"/>
        </w:rPr>
      </w:pPr>
    </w:p>
    <w:p>
      <w:pPr>
        <w:widowControl/>
        <w:shd w:val="clear" w:color="auto" w:fill="FFFFFF"/>
        <w:snapToGrid w:val="0"/>
        <w:spacing w:line="360" w:lineRule="auto"/>
        <w:rPr>
          <w:rFonts w:ascii="宋体" w:hAnsi="宋体" w:cs="宋体"/>
          <w:b/>
          <w:bCs/>
          <w:kern w:val="0"/>
          <w:sz w:val="24"/>
          <w:szCs w:val="24"/>
        </w:rPr>
      </w:pPr>
      <w:r>
        <w:rPr>
          <w:rFonts w:hint="eastAsia" w:ascii="宋体" w:hAnsi="宋体" w:cs="宋体"/>
          <w:b/>
          <w:bCs/>
          <w:kern w:val="0"/>
          <w:sz w:val="24"/>
          <w:szCs w:val="24"/>
        </w:rPr>
        <w:t>6.7澄清、说明和补正</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6.7.1在不改变投标人投标文件实质性内容的前提下，评标委员会应当对投标文件进行基础性数据分析和整理，从而发现并提取其中可能存在的对招标范围理解的偏差、技术响应偏离、投标价格的算术性错误、错漏项、投标价格构成不合理、不平衡报价等存在明显异常的问题。</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6.7.2澄清、说明和补正内容不得改变投标文件的实质性内容（算术性错误修正的除外）。投标人的书面澄清、说明和补正属于投标文件的组成部分。</w:t>
      </w:r>
    </w:p>
    <w:p>
      <w:pPr>
        <w:widowControl/>
        <w:shd w:val="clear" w:color="auto" w:fill="FFFFFF"/>
        <w:snapToGrid w:val="0"/>
        <w:spacing w:line="360" w:lineRule="auto"/>
        <w:ind w:firstLine="480" w:firstLineChars="200"/>
        <w:rPr>
          <w:rFonts w:ascii="宋体" w:hAnsi="宋体" w:cs="宋体"/>
          <w:color w:val="FF0000"/>
          <w:kern w:val="0"/>
          <w:sz w:val="24"/>
          <w:szCs w:val="24"/>
        </w:rPr>
      </w:pPr>
      <w:r>
        <w:rPr>
          <w:rFonts w:hint="eastAsia" w:ascii="宋体" w:hAnsi="宋体" w:cs="宋体"/>
          <w:kern w:val="0"/>
          <w:sz w:val="24"/>
          <w:szCs w:val="24"/>
        </w:rPr>
        <w:t>6.7.3</w:t>
      </w:r>
      <w:r>
        <w:rPr>
          <w:rFonts w:hint="eastAsia" w:ascii="宋体" w:hAnsi="宋体" w:cs="宋体"/>
          <w:color w:val="000000"/>
          <w:kern w:val="0"/>
          <w:sz w:val="24"/>
          <w:szCs w:val="24"/>
        </w:rPr>
        <w:t>评标委员会</w:t>
      </w:r>
      <w:r>
        <w:rPr>
          <w:rFonts w:hint="eastAsia" w:ascii="宋体" w:hAnsi="宋体" w:cs="宋体"/>
          <w:kern w:val="0"/>
          <w:sz w:val="24"/>
          <w:szCs w:val="24"/>
        </w:rPr>
        <w:t>针对需要投标</w:t>
      </w:r>
      <w:r>
        <w:rPr>
          <w:rFonts w:hint="eastAsia" w:ascii="宋体" w:hAnsi="宋体" w:cs="宋体"/>
          <w:color w:val="000000"/>
          <w:kern w:val="0"/>
          <w:sz w:val="24"/>
          <w:szCs w:val="24"/>
        </w:rPr>
        <w:t>人对所提交投标文件中不明确的内容进行书面澄清、说明或补正。</w:t>
      </w:r>
      <w:r>
        <w:rPr>
          <w:rFonts w:hint="eastAsia" w:ascii="宋体" w:hAnsi="宋体" w:cs="宋体"/>
          <w:kern w:val="0"/>
          <w:sz w:val="24"/>
          <w:szCs w:val="24"/>
        </w:rPr>
        <w:t>澄清通知不得向投标人提出带有暗示性或诱导性问题，或向其明确投标文件中的遗漏和错误。</w:t>
      </w:r>
      <w:r>
        <w:rPr>
          <w:rFonts w:hint="eastAsia" w:ascii="宋体" w:hAnsi="宋体" w:cs="宋体"/>
          <w:color w:val="000000"/>
          <w:kern w:val="0"/>
          <w:sz w:val="24"/>
          <w:szCs w:val="24"/>
        </w:rPr>
        <w:t>投标人接到评标委员会发出的书面澄清通知后，应按评标委员会的要求提供书面澄清资料，并在规定的时间递交到指定地点。评标委员会不接受投标人主动提出的澄清、说明或补正。</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6.7.4评标委员会对投标人提交的澄清、说明或补正有疑问的，可以要求投标人进一步澄清、说明或补正，直至满足评标委员会的要求。</w:t>
      </w:r>
    </w:p>
    <w:p>
      <w:pPr>
        <w:widowControl/>
        <w:shd w:val="clear" w:color="auto" w:fill="FFFFFF"/>
        <w:snapToGrid w:val="0"/>
        <w:spacing w:line="360" w:lineRule="auto"/>
        <w:ind w:firstLine="480" w:firstLineChars="200"/>
        <w:rPr>
          <w:rFonts w:ascii="宋体" w:hAnsi="宋体" w:cs="宋体"/>
          <w:b/>
          <w:bCs/>
          <w:kern w:val="0"/>
          <w:sz w:val="24"/>
          <w:szCs w:val="24"/>
        </w:rPr>
      </w:pPr>
      <w:r>
        <w:rPr>
          <w:rFonts w:hint="eastAsia" w:ascii="宋体" w:hAnsi="宋体" w:cs="宋体"/>
          <w:kern w:val="0"/>
          <w:sz w:val="24"/>
          <w:szCs w:val="24"/>
        </w:rPr>
        <w:t>6.7.5</w:t>
      </w:r>
      <w:r>
        <w:rPr>
          <w:rFonts w:hint="eastAsia" w:ascii="宋体" w:hAnsi="宋体" w:cs="宋体"/>
          <w:b/>
          <w:bCs/>
          <w:kern w:val="0"/>
          <w:sz w:val="24"/>
          <w:szCs w:val="24"/>
        </w:rPr>
        <w:t>评标委员会发现投标人的报价明显低于其他投标人投标价格，使得其投标价格可能低于其成本的，应当要求该投标人作出书面说明并提供相应的证明材料。投标人不能合理说明或者不能提供相应证明材料的，由评标委员会认定该投标人以低于成本报价竞标，否决其投标。</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6.7.6投标报价评分：对投标报价进行投标报价得分计算，计算方法详见评标办法前附表。</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6.7.7汇总评分结果，评分分值计算保留小数点后两位，小数点后第三位“四舍五入”。</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6.7.8详细评审工作全部结束后，投标人总得分排序按照以下原则进行。</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6.7.9按照总得分由高到低顺序对投标人进行排序；</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6.7.10总得分相同时报价低的投标人排序靠前；</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6.7.11总得分相同且报价相同的投标人，采取随机抽取方式确定排序顺序。</w:t>
      </w:r>
    </w:p>
    <w:p>
      <w:pPr>
        <w:widowControl/>
        <w:shd w:val="clear" w:color="auto" w:fill="FFFFFF"/>
        <w:snapToGrid w:val="0"/>
        <w:spacing w:line="360" w:lineRule="auto"/>
        <w:rPr>
          <w:rFonts w:ascii="宋体" w:hAnsi="宋体" w:cs="宋体"/>
          <w:b/>
          <w:bCs/>
          <w:kern w:val="0"/>
          <w:sz w:val="24"/>
          <w:szCs w:val="24"/>
        </w:rPr>
      </w:pPr>
      <w:r>
        <w:rPr>
          <w:rFonts w:hint="eastAsia" w:ascii="宋体" w:hAnsi="宋体" w:cs="宋体"/>
          <w:b/>
          <w:bCs/>
          <w:kern w:val="0"/>
          <w:sz w:val="24"/>
          <w:szCs w:val="24"/>
        </w:rPr>
        <w:t>6.8推荐中标候选人及提交评标报告</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6.8.1评标委员会推荐中标候选人，得分由高到低顺序排列排序第一的投标人将被确定为第一中标候选人，以此类推确定出规定数量的中标候选人。</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6.8.2当通过了资格审查、完备性及符合性审查后，投标人少于3个时，采购人应当依法重新招标。</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6.8.3评标委员会完成评标后，应当向采购人提交书面评标报告。</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6.8.4特殊情况的处置程序</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①关于评标活动暂停</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评标委员会应当执行连续评标的原则，按评标办法中规定的程序、内容、方法、标准完成全部评标工作。只有发生不可抗力导致评标工作无法继续时，评标活动方可暂停。发生评标暂停情况时，应当封存全部投标文件和评标记录，待不可抗力的影响结束且具备继续评标的条件时，由原评标委员会继续评标。</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②关于评标中途更换评委</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除非发生下列情况之一，评标委员会成员不得在评标中途更换：</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⒈因不可抗拒的客观原因，不能到场或需在评标中途退出评标活动。</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⒉根据法律法规规定，某个或某几个评标委员会成员需要回避。</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退出评标的评标委员会成员，</w:t>
      </w:r>
      <w:r>
        <w:rPr>
          <w:rFonts w:hint="eastAsia" w:ascii="宋体" w:hAnsi="宋体" w:cs="Arial"/>
          <w:kern w:val="0"/>
          <w:sz w:val="24"/>
          <w:szCs w:val="24"/>
        </w:rPr>
        <w:t>其已完成的评标行为无效，由更换的评委进行评标。</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在评标环节中，需评标委员会就某项定性的评审结论做出表决的，由评标委员会全体成员按照少数服从多数的原则确定。</w:t>
      </w:r>
    </w:p>
    <w:p>
      <w:pPr>
        <w:pStyle w:val="5"/>
        <w:rPr>
          <w:rFonts w:ascii="宋体" w:hAnsi="宋体" w:cs="Arial"/>
          <w:sz w:val="24"/>
          <w:szCs w:val="24"/>
        </w:rPr>
      </w:pPr>
    </w:p>
    <w:p>
      <w:pPr>
        <w:pStyle w:val="6"/>
        <w:rPr>
          <w:rFonts w:cs="Arial"/>
          <w:kern w:val="0"/>
          <w:sz w:val="24"/>
          <w:szCs w:val="24"/>
        </w:rPr>
      </w:pPr>
    </w:p>
    <w:p>
      <w:pPr>
        <w:pStyle w:val="6"/>
        <w:rPr>
          <w:rFonts w:cs="Arial"/>
          <w:kern w:val="0"/>
          <w:sz w:val="24"/>
          <w:szCs w:val="24"/>
        </w:rPr>
      </w:pPr>
    </w:p>
    <w:p>
      <w:pPr>
        <w:pStyle w:val="6"/>
        <w:rPr>
          <w:rFonts w:cs="Arial"/>
          <w:kern w:val="0"/>
          <w:sz w:val="24"/>
          <w:szCs w:val="24"/>
        </w:rPr>
      </w:pPr>
    </w:p>
    <w:p>
      <w:pPr>
        <w:widowControl/>
        <w:shd w:val="clear" w:color="auto" w:fill="FFFFFF"/>
        <w:snapToGrid w:val="0"/>
        <w:spacing w:line="360" w:lineRule="auto"/>
        <w:ind w:firstLine="482" w:firstLineChars="200"/>
        <w:jc w:val="center"/>
        <w:rPr>
          <w:rFonts w:hint="eastAsia" w:ascii="宋体" w:hAnsi="宋体"/>
          <w:b/>
          <w:sz w:val="24"/>
          <w:szCs w:val="24"/>
        </w:rPr>
      </w:pPr>
    </w:p>
    <w:p>
      <w:pPr>
        <w:rPr>
          <w:rFonts w:hint="eastAsia"/>
        </w:rPr>
      </w:pPr>
    </w:p>
    <w:p>
      <w:pPr>
        <w:widowControl/>
        <w:shd w:val="clear" w:color="auto" w:fill="FFFFFF"/>
        <w:snapToGrid w:val="0"/>
        <w:spacing w:line="360" w:lineRule="auto"/>
        <w:ind w:firstLine="482" w:firstLineChars="200"/>
        <w:jc w:val="center"/>
        <w:rPr>
          <w:rFonts w:ascii="宋体"/>
          <w:b/>
          <w:sz w:val="24"/>
          <w:szCs w:val="24"/>
        </w:rPr>
      </w:pPr>
      <w:r>
        <w:rPr>
          <w:rFonts w:hint="eastAsia" w:ascii="宋体" w:hAnsi="宋体"/>
          <w:b/>
          <w:sz w:val="24"/>
          <w:szCs w:val="24"/>
        </w:rPr>
        <w:t>问题澄清通知</w:t>
      </w:r>
    </w:p>
    <w:p>
      <w:pPr>
        <w:rPr>
          <w:rFonts w:ascii="宋体"/>
          <w:sz w:val="24"/>
          <w:szCs w:val="24"/>
        </w:rPr>
      </w:pPr>
    </w:p>
    <w:p>
      <w:pPr>
        <w:rPr>
          <w:rFonts w:ascii="宋体" w:cs="Arial"/>
          <w:kern w:val="0"/>
          <w:sz w:val="24"/>
          <w:szCs w:val="24"/>
        </w:rPr>
      </w:pPr>
      <w:r>
        <w:rPr>
          <w:rFonts w:hint="eastAsia" w:ascii="宋体" w:hAnsi="宋体" w:cs="Arial"/>
          <w:kern w:val="0"/>
          <w:sz w:val="24"/>
          <w:szCs w:val="24"/>
        </w:rPr>
        <w:t>（投标人名称）：</w:t>
      </w:r>
    </w:p>
    <w:p>
      <w:pPr>
        <w:ind w:firstLine="480" w:firstLineChars="200"/>
        <w:rPr>
          <w:rFonts w:ascii="宋体" w:cs="Arial"/>
          <w:kern w:val="0"/>
          <w:sz w:val="24"/>
          <w:szCs w:val="24"/>
        </w:rPr>
      </w:pPr>
      <w:r>
        <w:rPr>
          <w:rFonts w:hint="eastAsia" w:ascii="宋体" w:hAnsi="宋体" w:cs="Arial"/>
          <w:kern w:val="0"/>
          <w:sz w:val="24"/>
          <w:szCs w:val="24"/>
        </w:rPr>
        <w:t>（招标项目名称）招标的评标委员会，对你方的投标文件进行了仔细的审查，现需你方对本通知所附质疑问卷中的问题以书面形式予以澄清、说明或者补正。</w:t>
      </w:r>
    </w:p>
    <w:p>
      <w:pPr>
        <w:rPr>
          <w:rFonts w:ascii="宋体" w:cs="Arial"/>
          <w:kern w:val="0"/>
          <w:sz w:val="24"/>
          <w:szCs w:val="24"/>
        </w:rPr>
      </w:pPr>
      <w:r>
        <w:rPr>
          <w:rFonts w:hint="eastAsia" w:ascii="宋体" w:hAnsi="宋体" w:cs="Arial"/>
          <w:kern w:val="0"/>
          <w:sz w:val="24"/>
          <w:szCs w:val="24"/>
        </w:rPr>
        <w:t>质疑问题：</w:t>
      </w: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评标委员会员（签字）：</w:t>
      </w: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日期：年月日</w:t>
      </w:r>
    </w:p>
    <w:p>
      <w:pPr>
        <w:jc w:val="center"/>
        <w:rPr>
          <w:rFonts w:ascii="宋体" w:hAnsi="宋体"/>
          <w:b/>
          <w:sz w:val="24"/>
          <w:szCs w:val="24"/>
        </w:rPr>
      </w:pPr>
    </w:p>
    <w:p>
      <w:pPr>
        <w:jc w:val="center"/>
        <w:rPr>
          <w:rFonts w:ascii="宋体" w:hAnsi="宋体"/>
          <w:b/>
          <w:sz w:val="24"/>
          <w:szCs w:val="24"/>
        </w:rPr>
      </w:pPr>
    </w:p>
    <w:p>
      <w:pPr>
        <w:jc w:val="center"/>
        <w:rPr>
          <w:rFonts w:ascii="宋体" w:hAnsi="宋体"/>
          <w:b/>
          <w:sz w:val="24"/>
          <w:szCs w:val="24"/>
        </w:rPr>
      </w:pPr>
    </w:p>
    <w:p>
      <w:pPr>
        <w:pStyle w:val="5"/>
        <w:rPr>
          <w:rFonts w:ascii="宋体" w:hAnsi="宋体"/>
          <w:sz w:val="24"/>
          <w:szCs w:val="24"/>
        </w:rPr>
      </w:pPr>
    </w:p>
    <w:p>
      <w:pPr>
        <w:pStyle w:val="6"/>
      </w:pPr>
    </w:p>
    <w:p>
      <w:pPr>
        <w:jc w:val="center"/>
        <w:rPr>
          <w:rFonts w:ascii="宋体"/>
          <w:b/>
          <w:sz w:val="24"/>
          <w:szCs w:val="24"/>
        </w:rPr>
      </w:pPr>
      <w:r>
        <w:rPr>
          <w:rFonts w:hint="eastAsia" w:ascii="宋体" w:hAnsi="宋体"/>
          <w:b/>
          <w:sz w:val="24"/>
          <w:szCs w:val="24"/>
        </w:rPr>
        <w:t>问题的澄清、说明或补正</w:t>
      </w:r>
    </w:p>
    <w:p>
      <w:pPr>
        <w:rPr>
          <w:rFonts w:ascii="宋体" w:hAnsi="宋体" w:cs="Arial"/>
          <w:kern w:val="0"/>
          <w:sz w:val="24"/>
          <w:szCs w:val="24"/>
        </w:rPr>
      </w:pPr>
    </w:p>
    <w:p>
      <w:pPr>
        <w:rPr>
          <w:rFonts w:ascii="宋体" w:cs="Arial"/>
          <w:kern w:val="0"/>
          <w:sz w:val="24"/>
          <w:szCs w:val="24"/>
        </w:rPr>
      </w:pPr>
      <w:r>
        <w:rPr>
          <w:rFonts w:hint="eastAsia" w:ascii="宋体" w:hAnsi="宋体" w:cs="Arial"/>
          <w:kern w:val="0"/>
          <w:sz w:val="24"/>
          <w:szCs w:val="24"/>
        </w:rPr>
        <w:t>评标委员会：</w:t>
      </w:r>
    </w:p>
    <w:p>
      <w:pPr>
        <w:ind w:firstLine="480" w:firstLineChars="200"/>
        <w:rPr>
          <w:rFonts w:ascii="宋体" w:cs="Arial"/>
          <w:kern w:val="0"/>
          <w:sz w:val="24"/>
          <w:szCs w:val="24"/>
        </w:rPr>
      </w:pPr>
      <w:r>
        <w:rPr>
          <w:rFonts w:hint="eastAsia" w:ascii="宋体" w:hAnsi="宋体" w:cs="Arial"/>
          <w:kern w:val="0"/>
          <w:sz w:val="24"/>
          <w:szCs w:val="24"/>
        </w:rPr>
        <w:t>（招标项目名称）的问题澄清通知已收悉，现澄清、说明或者补正如下：</w:t>
      </w: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法定代表人或其授权委托人（签字）：</w:t>
      </w: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日期：年月日</w:t>
      </w:r>
    </w:p>
    <w:p>
      <w:pPr>
        <w:pStyle w:val="10"/>
        <w:numPr>
          <w:ilvl w:val="0"/>
          <w:numId w:val="0"/>
        </w:numPr>
        <w:rPr>
          <w:rFonts w:ascii="宋体" w:hAnsi="宋体" w:cs="Arial"/>
          <w:kern w:val="0"/>
          <w:sz w:val="24"/>
          <w:szCs w:val="24"/>
        </w:rPr>
      </w:pPr>
    </w:p>
    <w:p>
      <w:pPr>
        <w:pStyle w:val="5"/>
        <w:jc w:val="both"/>
        <w:rPr>
          <w:rFonts w:ascii="宋体" w:hAnsi="宋体" w:cs="Arial"/>
          <w:sz w:val="24"/>
          <w:szCs w:val="24"/>
        </w:rPr>
      </w:pPr>
    </w:p>
    <w:p>
      <w:pPr>
        <w:pStyle w:val="6"/>
      </w:pPr>
    </w:p>
    <w:p>
      <w:pPr>
        <w:pStyle w:val="6"/>
        <w:ind w:firstLine="0"/>
      </w:pPr>
    </w:p>
    <w:p>
      <w:pPr>
        <w:pStyle w:val="2"/>
        <w:rPr>
          <w:rFonts w:cs="宋体"/>
          <w:color w:val="000000"/>
          <w:kern w:val="0"/>
          <w:sz w:val="24"/>
        </w:rPr>
      </w:pPr>
    </w:p>
    <w:p>
      <w:pPr>
        <w:tabs>
          <w:tab w:val="center" w:pos="4832"/>
          <w:tab w:val="left" w:pos="7140"/>
        </w:tabs>
        <w:spacing w:line="360" w:lineRule="auto"/>
        <w:jc w:val="center"/>
        <w:outlineLvl w:val="1"/>
        <w:rPr>
          <w:rFonts w:hint="eastAsia" w:ascii="宋体" w:hAnsi="宋体" w:cs="宋体"/>
          <w:b/>
          <w:sz w:val="24"/>
          <w:szCs w:val="24"/>
        </w:rPr>
      </w:pPr>
      <w:bookmarkStart w:id="19" w:name="_Toc21324"/>
      <w:bookmarkStart w:id="20" w:name="_Toc19761"/>
    </w:p>
    <w:p>
      <w:pPr>
        <w:tabs>
          <w:tab w:val="center" w:pos="4832"/>
          <w:tab w:val="left" w:pos="7140"/>
        </w:tabs>
        <w:spacing w:line="360" w:lineRule="auto"/>
        <w:jc w:val="center"/>
        <w:outlineLvl w:val="1"/>
        <w:rPr>
          <w:rFonts w:ascii="宋体" w:hAnsi="宋体" w:cs="宋体"/>
          <w:b/>
          <w:sz w:val="24"/>
          <w:szCs w:val="24"/>
        </w:rPr>
      </w:pPr>
      <w:r>
        <w:rPr>
          <w:rFonts w:hint="eastAsia" w:ascii="宋体" w:hAnsi="宋体" w:cs="宋体"/>
          <w:b/>
          <w:sz w:val="24"/>
          <w:szCs w:val="24"/>
        </w:rPr>
        <w:t>第七节 定标及合同授予</w:t>
      </w:r>
      <w:bookmarkEnd w:id="19"/>
      <w:bookmarkEnd w:id="20"/>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.1 </w:t>
      </w:r>
      <w:r>
        <w:rPr>
          <w:rFonts w:hint="eastAsia" w:ascii="宋体" w:hAnsi="宋体" w:cs="Arial"/>
          <w:b/>
          <w:bCs/>
          <w:kern w:val="0"/>
          <w:sz w:val="24"/>
          <w:szCs w:val="24"/>
        </w:rPr>
        <w:t>定标方法</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7</w:t>
      </w:r>
      <w:r>
        <w:rPr>
          <w:rFonts w:ascii="宋体" w:hAnsi="宋体" w:cs="Arial"/>
          <w:kern w:val="0"/>
          <w:sz w:val="24"/>
          <w:szCs w:val="24"/>
        </w:rPr>
        <w:t xml:space="preserve">.1.1 </w:t>
      </w:r>
      <w:r>
        <w:rPr>
          <w:rFonts w:hint="eastAsia" w:ascii="宋体" w:hAnsi="宋体" w:cs="Arial"/>
          <w:kern w:val="0"/>
          <w:sz w:val="24"/>
          <w:szCs w:val="24"/>
        </w:rPr>
        <w:t>评标活动遵循公平、公正、科学和择优的原则。评标委员会按照招标文件中规定的方法、评审因素、标准和程序对投标文件进行评审，并按投标人须知前附表的规定，综合评估得分最高的为中标候选人顺序排名。</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未通过审查的投标文件为无效标。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经评标委员会三分之二以上组员同意对存在重大偏离的投标文件可判定为无效标</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③</w:t>
      </w:r>
      <w:r>
        <w:rPr>
          <w:rFonts w:hint="eastAsia" w:ascii="宋体" w:cs="Arial"/>
          <w:kern w:val="0"/>
          <w:sz w:val="24"/>
          <w:szCs w:val="24"/>
        </w:rPr>
        <w:t>对投标文件中含义不明确、同类问题表述不一致或者有明显错误的内容，评标委员会可以书面要求投标人作出必要的澄清说明或者纠正（应由评标委员会签字）。投标人的澄清说明或补正也须书面形式（由其授权代表签字），并不得超出投标文件的范围或者改变投标文件的实质性内容。</w:t>
      </w:r>
      <w:r>
        <w:rPr>
          <w:rFonts w:hint="eastAsia" w:ascii="宋体" w:hAnsi="宋体" w:cs="Arial"/>
          <w:kern w:val="0"/>
          <w:sz w:val="24"/>
          <w:szCs w:val="24"/>
        </w:rPr>
        <w:t>。</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评标过程出现异议的，由评标委员会共同商讨决定，需要投标人澄清的，评标委员会将以书面形式通知投标人。</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2</w:t>
      </w:r>
      <w:r>
        <w:rPr>
          <w:rFonts w:hint="eastAsia" w:ascii="宋体" w:hAnsi="宋体" w:cs="宋体"/>
          <w:sz w:val="24"/>
        </w:rPr>
        <w:t>评标委员会按综合得分高低推荐中标候选人或者确定中标人，得分相同的，以报价低的为优先中标候选人。</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3评标委员会认为</w:t>
      </w:r>
      <w:r>
        <w:rPr>
          <w:rFonts w:hint="eastAsia" w:ascii="宋体" w:hAnsi="宋体" w:cs="宋体"/>
          <w:sz w:val="24"/>
        </w:rPr>
        <w:t>中标</w:t>
      </w:r>
      <w:r>
        <w:rPr>
          <w:rFonts w:hint="eastAsia" w:ascii="宋体" w:hAnsi="宋体" w:cs="Arial"/>
          <w:kern w:val="0"/>
          <w:sz w:val="24"/>
          <w:szCs w:val="24"/>
        </w:rPr>
        <w:t>候选人投标价或某些分项报价明显不合理或低于成本，有可能影响商品质量和不能诚信履约的，可要求其在规定期限内提供书面文件及相关证明材料解释说明，否则，可取消其候选资格，按排名顺序递补候选人，以此类推。若排名第一的候选人，放弃中标、因不可抗力提出不能履行合同等情况，根据《评标委员会和评标方法暂行规定》执行。</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4如成交候选投标人被确认为不具备执行合同的能力，采购人将考虑按同样的程序审查下一个</w:t>
      </w:r>
      <w:r>
        <w:rPr>
          <w:rFonts w:hint="eastAsia" w:ascii="宋体" w:hAnsi="宋体" w:cs="宋体"/>
          <w:sz w:val="24"/>
        </w:rPr>
        <w:t>中标</w:t>
      </w:r>
      <w:r>
        <w:rPr>
          <w:rFonts w:hint="eastAsia" w:ascii="宋体" w:hAnsi="宋体" w:cs="Arial"/>
          <w:kern w:val="0"/>
          <w:sz w:val="24"/>
          <w:szCs w:val="24"/>
        </w:rPr>
        <w:t>候选人。</w:t>
      </w:r>
    </w:p>
    <w:p>
      <w:pPr>
        <w:widowControl/>
        <w:shd w:val="clear" w:color="auto" w:fill="FFFFFF"/>
        <w:snapToGrid w:val="0"/>
        <w:spacing w:line="360" w:lineRule="auto"/>
        <w:ind w:firstLine="480" w:firstLineChars="200"/>
        <w:rPr>
          <w:rFonts w:ascii="宋体" w:cs="Arial"/>
          <w:b/>
          <w:bCs/>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5</w:t>
      </w:r>
      <w:r>
        <w:rPr>
          <w:rFonts w:hint="eastAsia" w:ascii="宋体" w:hAnsi="宋体" w:cs="Arial"/>
          <w:b/>
          <w:bCs/>
          <w:kern w:val="0"/>
          <w:sz w:val="24"/>
          <w:szCs w:val="24"/>
        </w:rPr>
        <w:t>对未成交的供应企业不作未成交原因的解释</w:t>
      </w:r>
      <w:r>
        <w:rPr>
          <w:rFonts w:hint="eastAsia" w:ascii="宋体" w:hAnsi="宋体" w:cs="Arial"/>
          <w:kern w:val="0"/>
          <w:sz w:val="24"/>
          <w:szCs w:val="24"/>
        </w:rPr>
        <w:t>。</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.2 </w:t>
      </w:r>
      <w:r>
        <w:rPr>
          <w:rFonts w:hint="eastAsia" w:ascii="宋体" w:hAnsi="宋体" w:cs="Arial"/>
          <w:b/>
          <w:bCs/>
          <w:kern w:val="0"/>
          <w:sz w:val="24"/>
          <w:szCs w:val="24"/>
        </w:rPr>
        <w:t>中标候选人公示</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在中标通知书发出前，中标候选人的情况将在招标公告发布的媒体上公示，公示期为1个工作日。</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.3 </w:t>
      </w:r>
      <w:r>
        <w:rPr>
          <w:rFonts w:hint="eastAsia" w:ascii="宋体" w:hAnsi="宋体" w:cs="Arial"/>
          <w:b/>
          <w:bCs/>
          <w:kern w:val="0"/>
          <w:sz w:val="24"/>
          <w:szCs w:val="24"/>
        </w:rPr>
        <w:t>中标通知</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公示期满后，代理机构以书面形式向中标人发出中标通知书，并及时通知其它投标人中标结果。成交供应企业及时领取中标通知书。</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.4 </w:t>
      </w:r>
      <w:r>
        <w:rPr>
          <w:rFonts w:hint="eastAsia" w:ascii="宋体" w:hAnsi="宋体" w:cs="Arial"/>
          <w:b/>
          <w:bCs/>
          <w:kern w:val="0"/>
          <w:sz w:val="24"/>
          <w:szCs w:val="24"/>
        </w:rPr>
        <w:t>履约保证金</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.4.1</w:t>
      </w:r>
      <w:r>
        <w:rPr>
          <w:rFonts w:hint="eastAsia" w:ascii="宋体" w:hAnsi="宋体" w:cs="Arial"/>
          <w:kern w:val="0"/>
          <w:sz w:val="24"/>
          <w:szCs w:val="24"/>
        </w:rPr>
        <w:t>在签订合同前，中标人应按投标人须知前附表规定的金额、形式向采购人提交履约保证金。联合体中标的，其履约保证金由牵头人提交，并应符合投标人须知前附表的规定。</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 xml:space="preserve">.4.2 </w:t>
      </w:r>
      <w:r>
        <w:rPr>
          <w:rFonts w:hint="eastAsia" w:ascii="宋体" w:hAnsi="宋体" w:cs="Arial"/>
          <w:kern w:val="0"/>
          <w:sz w:val="24"/>
          <w:szCs w:val="24"/>
        </w:rPr>
        <w:t>中标人不能按第二章投标人须知前附表中第12条要求提交履约保证金的，视为放弃中标，其投标保证金不予退还；给采购人造成的损失超过投标保证金数额的，中标人还应当对超过部分予以赔偿。</w:t>
      </w:r>
    </w:p>
    <w:p>
      <w:pPr>
        <w:widowControl/>
        <w:shd w:val="clear" w:color="auto" w:fill="FFFFFF"/>
        <w:snapToGrid w:val="0"/>
        <w:spacing w:line="360" w:lineRule="auto"/>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 xml:space="preserve">.5 </w:t>
      </w:r>
      <w:r>
        <w:rPr>
          <w:rFonts w:hint="eastAsia" w:ascii="宋体" w:hAnsi="宋体" w:cs="Arial"/>
          <w:kern w:val="0"/>
          <w:sz w:val="24"/>
          <w:szCs w:val="24"/>
        </w:rPr>
        <w:t>签订合同</w:t>
      </w:r>
    </w:p>
    <w:p>
      <w:pPr>
        <w:widowControl/>
        <w:shd w:val="clear" w:color="auto" w:fill="FFFFFF"/>
        <w:snapToGrid w:val="0"/>
        <w:spacing w:line="360" w:lineRule="auto"/>
        <w:ind w:firstLine="480" w:firstLineChars="200"/>
        <w:rPr>
          <w:rFonts w:ascii="宋体" w:cs="Arial"/>
          <w:kern w:val="0"/>
          <w:sz w:val="24"/>
          <w:szCs w:val="24"/>
        </w:rPr>
      </w:pPr>
      <w:bookmarkStart w:id="21" w:name="_BookMark_11"/>
      <w:bookmarkEnd w:id="21"/>
      <w:r>
        <w:rPr>
          <w:rFonts w:hint="eastAsia" w:ascii="宋体" w:hAnsi="宋体" w:cs="Arial"/>
          <w:kern w:val="0"/>
          <w:sz w:val="24"/>
          <w:szCs w:val="24"/>
        </w:rPr>
        <w:t>7</w:t>
      </w:r>
      <w:r>
        <w:rPr>
          <w:rFonts w:ascii="宋体" w:hAnsi="宋体" w:cs="Arial"/>
          <w:kern w:val="0"/>
          <w:sz w:val="24"/>
          <w:szCs w:val="24"/>
        </w:rPr>
        <w:t>.5.1</w:t>
      </w:r>
      <w:r>
        <w:rPr>
          <w:rFonts w:hint="eastAsia" w:ascii="宋体" w:cs="Arial"/>
          <w:kern w:val="0"/>
          <w:sz w:val="24"/>
          <w:szCs w:val="24"/>
        </w:rPr>
        <w:t>采购人和</w:t>
      </w:r>
      <w:r>
        <w:rPr>
          <w:rFonts w:hint="eastAsia" w:ascii="宋体" w:hAnsi="宋体" w:cs="宋体"/>
          <w:sz w:val="24"/>
        </w:rPr>
        <w:t>中标</w:t>
      </w:r>
      <w:r>
        <w:rPr>
          <w:rFonts w:hint="eastAsia" w:ascii="宋体" w:cs="Arial"/>
          <w:kern w:val="0"/>
          <w:sz w:val="24"/>
          <w:szCs w:val="24"/>
        </w:rPr>
        <w:t>企业应当自中标通知书发出之日起30日内，按照招标文件和</w:t>
      </w:r>
      <w:r>
        <w:rPr>
          <w:rFonts w:hint="eastAsia" w:ascii="宋体" w:hAnsi="宋体" w:cs="宋体"/>
          <w:sz w:val="24"/>
        </w:rPr>
        <w:t>中标</w:t>
      </w:r>
      <w:r>
        <w:rPr>
          <w:rFonts w:hint="eastAsia" w:ascii="宋体" w:cs="Arial"/>
          <w:kern w:val="0"/>
          <w:sz w:val="24"/>
          <w:szCs w:val="24"/>
        </w:rPr>
        <w:t>企业的投标文件订立书面合同。所签订的合同不得对招标文件确定的事项和</w:t>
      </w:r>
      <w:r>
        <w:rPr>
          <w:rFonts w:hint="eastAsia" w:ascii="宋体" w:hAnsi="宋体" w:cs="宋体"/>
          <w:sz w:val="24"/>
        </w:rPr>
        <w:t>中标</w:t>
      </w:r>
      <w:r>
        <w:rPr>
          <w:rFonts w:hint="eastAsia" w:ascii="宋体" w:cs="Arial"/>
          <w:kern w:val="0"/>
          <w:sz w:val="24"/>
          <w:szCs w:val="24"/>
        </w:rPr>
        <w:t>企业投标文件作实质性修改。采购人不得向</w:t>
      </w:r>
      <w:r>
        <w:rPr>
          <w:rFonts w:hint="eastAsia" w:ascii="宋体" w:hAnsi="宋体" w:cs="宋体"/>
          <w:sz w:val="24"/>
        </w:rPr>
        <w:t>中标</w:t>
      </w:r>
      <w:r>
        <w:rPr>
          <w:rFonts w:hint="eastAsia" w:ascii="宋体" w:cs="Arial"/>
          <w:kern w:val="0"/>
          <w:sz w:val="24"/>
          <w:szCs w:val="24"/>
        </w:rPr>
        <w:t>企业提出任何不合理的要求及私下订立背离合同实质性内容的协议作为签订合同的条件。招标文件、</w:t>
      </w:r>
      <w:r>
        <w:rPr>
          <w:rFonts w:hint="eastAsia" w:ascii="宋体" w:hAnsi="宋体" w:cs="宋体"/>
          <w:sz w:val="24"/>
        </w:rPr>
        <w:t>中标</w:t>
      </w:r>
      <w:r>
        <w:rPr>
          <w:rFonts w:hint="eastAsia" w:ascii="宋体" w:cs="Arial"/>
          <w:kern w:val="0"/>
          <w:sz w:val="24"/>
          <w:szCs w:val="24"/>
        </w:rPr>
        <w:t>企业的投标文件及评标过程中有关澄清等文件作为合同附件。</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7.5.2</w:t>
      </w:r>
      <w:r>
        <w:rPr>
          <w:rFonts w:hint="eastAsia" w:ascii="宋体" w:hAnsi="宋体" w:cs="宋体"/>
          <w:sz w:val="24"/>
        </w:rPr>
        <w:t>中标</w:t>
      </w:r>
      <w:r>
        <w:rPr>
          <w:rFonts w:hint="eastAsia" w:ascii="宋体" w:cs="Arial"/>
          <w:kern w:val="0"/>
          <w:sz w:val="24"/>
          <w:szCs w:val="24"/>
        </w:rPr>
        <w:t>企业因不可抗力或自身原因不能签订协议合同或者不能履行合同的，采购人可以按成交候选顺序确定新的</w:t>
      </w:r>
      <w:r>
        <w:rPr>
          <w:rFonts w:hint="eastAsia" w:ascii="宋体" w:hAnsi="宋体" w:cs="宋体"/>
          <w:sz w:val="24"/>
        </w:rPr>
        <w:t>中标</w:t>
      </w:r>
      <w:r>
        <w:rPr>
          <w:rFonts w:hint="eastAsia" w:ascii="宋体" w:cs="Arial"/>
          <w:kern w:val="0"/>
          <w:sz w:val="24"/>
          <w:szCs w:val="24"/>
        </w:rPr>
        <w:t>供应企业并签订合同，依次类推，或重新进行采购。</w:t>
      </w:r>
    </w:p>
    <w:p>
      <w:pPr>
        <w:spacing w:line="360" w:lineRule="auto"/>
        <w:rPr>
          <w:rFonts w:ascii="宋体" w:hAnsi="宋体" w:cs="宋体"/>
          <w:sz w:val="24"/>
          <w:szCs w:val="24"/>
        </w:rPr>
      </w:pPr>
    </w:p>
    <w:p>
      <w:pPr>
        <w:widowControl/>
        <w:shd w:val="clear" w:color="auto" w:fill="FFFFFF"/>
        <w:snapToGrid w:val="0"/>
        <w:spacing w:line="360" w:lineRule="auto"/>
        <w:ind w:firstLine="482" w:firstLineChars="200"/>
        <w:rPr>
          <w:rFonts w:ascii="宋体" w:hAnsi="宋体" w:cs="宋体"/>
          <w:b/>
          <w:sz w:val="24"/>
          <w:szCs w:val="24"/>
        </w:rPr>
      </w:pPr>
      <w:bookmarkStart w:id="22" w:name="_BookMark_12"/>
      <w:bookmarkEnd w:id="22"/>
    </w:p>
    <w:p>
      <w:pPr>
        <w:rPr>
          <w:rFonts w:ascii="宋体" w:hAnsi="宋体" w:cs="宋体"/>
          <w:b/>
          <w:sz w:val="24"/>
          <w:szCs w:val="24"/>
        </w:rPr>
      </w:pPr>
      <w:r>
        <w:rPr>
          <w:rFonts w:hint="eastAsia" w:ascii="宋体" w:hAnsi="宋体" w:cs="宋体"/>
          <w:b/>
          <w:sz w:val="24"/>
          <w:szCs w:val="24"/>
        </w:rPr>
        <w:br w:type="page"/>
      </w:r>
    </w:p>
    <w:p>
      <w:pPr>
        <w:tabs>
          <w:tab w:val="center" w:pos="4832"/>
          <w:tab w:val="left" w:pos="7140"/>
        </w:tabs>
        <w:spacing w:line="360" w:lineRule="auto"/>
        <w:jc w:val="center"/>
        <w:outlineLvl w:val="1"/>
        <w:rPr>
          <w:rFonts w:ascii="宋体" w:hAnsi="宋体" w:cs="宋体"/>
          <w:b/>
          <w:sz w:val="24"/>
          <w:szCs w:val="24"/>
        </w:rPr>
      </w:pPr>
      <w:bookmarkStart w:id="23" w:name="_Toc26112"/>
      <w:r>
        <w:rPr>
          <w:rFonts w:hint="eastAsia" w:ascii="宋体" w:hAnsi="宋体" w:cs="宋体"/>
          <w:b/>
          <w:sz w:val="24"/>
          <w:szCs w:val="24"/>
        </w:rPr>
        <w:t>第八节 合同条款及格式</w:t>
      </w:r>
      <w:bookmarkEnd w:id="23"/>
    </w:p>
    <w:p>
      <w:pPr>
        <w:widowControl/>
        <w:spacing w:before="240" w:line="360" w:lineRule="auto"/>
        <w:jc w:val="center"/>
        <w:rPr>
          <w:rFonts w:hint="eastAsia" w:ascii="宋体" w:hAnsi="宋体" w:cs="楷体_GB2312"/>
          <w:b/>
          <w:bCs/>
          <w:color w:val="333333"/>
          <w:kern w:val="0"/>
          <w:sz w:val="32"/>
          <w:szCs w:val="32"/>
        </w:rPr>
      </w:pPr>
    </w:p>
    <w:p>
      <w:pPr>
        <w:widowControl/>
        <w:spacing w:before="240" w:line="360" w:lineRule="auto"/>
        <w:jc w:val="center"/>
        <w:rPr>
          <w:rFonts w:ascii="宋体" w:hAnsi="宋体" w:cs="楷体_GB2312"/>
          <w:b/>
          <w:bCs/>
          <w:color w:val="333333"/>
          <w:kern w:val="0"/>
          <w:sz w:val="32"/>
          <w:szCs w:val="32"/>
        </w:rPr>
      </w:pPr>
      <w:r>
        <w:rPr>
          <w:rFonts w:hint="eastAsia" w:ascii="宋体" w:hAnsi="宋体" w:cs="楷体_GB2312"/>
          <w:b/>
          <w:bCs/>
          <w:color w:val="333333"/>
          <w:kern w:val="0"/>
          <w:sz w:val="32"/>
          <w:szCs w:val="32"/>
        </w:rPr>
        <w:t>协议</w:t>
      </w:r>
    </w:p>
    <w:p>
      <w:pPr>
        <w:pStyle w:val="10"/>
        <w:numPr>
          <w:ilvl w:val="0"/>
          <w:numId w:val="0"/>
        </w:numPr>
      </w:pPr>
    </w:p>
    <w:p>
      <w:pPr>
        <w:pStyle w:val="10"/>
        <w:numPr>
          <w:ilvl w:val="0"/>
          <w:numId w:val="0"/>
        </w:numPr>
        <w:jc w:val="center"/>
        <w:rPr>
          <w:rFonts w:ascii="宋体" w:hAnsi="宋体" w:cs="Arial"/>
          <w:color w:val="auto"/>
          <w:kern w:val="0"/>
          <w:sz w:val="21"/>
          <w:szCs w:val="21"/>
        </w:rPr>
      </w:pPr>
      <w:r>
        <w:rPr>
          <w:rFonts w:hint="eastAsia" w:ascii="宋体" w:hAnsi="宋体" w:eastAsia="宋体" w:cs="宋体"/>
          <w:color w:val="auto"/>
          <w:kern w:val="0"/>
          <w:sz w:val="24"/>
          <w:szCs w:val="24"/>
          <w:lang w:val="en-US" w:eastAsia="zh-CN" w:bidi="ar-SA"/>
        </w:rPr>
        <w:t>阿勒泰地区2023年动物疫苗采购项目（二包）</w:t>
      </w:r>
    </w:p>
    <w:p>
      <w:pPr>
        <w:widowControl/>
        <w:spacing w:line="360" w:lineRule="auto"/>
        <w:jc w:val="left"/>
        <w:rPr>
          <w:rFonts w:ascii="宋体" w:hAnsi="宋体" w:cs="宋体"/>
          <w:color w:val="333333"/>
          <w:kern w:val="0"/>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widowControl/>
        <w:spacing w:line="360" w:lineRule="auto"/>
        <w:jc w:val="left"/>
        <w:rPr>
          <w:rFonts w:ascii="宋体" w:hAnsi="宋体" w:cs="宋体"/>
          <w:color w:val="333333"/>
          <w:kern w:val="0"/>
          <w:szCs w:val="21"/>
          <w:u w:val="single"/>
        </w:rPr>
      </w:pPr>
      <w:r>
        <w:rPr>
          <w:rFonts w:hint="eastAsia" w:ascii="宋体" w:hAnsi="宋体" w:cs="宋体"/>
          <w:color w:val="333333"/>
          <w:kern w:val="0"/>
          <w:szCs w:val="21"/>
        </w:rPr>
        <w:t>采购方：</w:t>
      </w:r>
      <w:r>
        <w:rPr>
          <w:rFonts w:hint="eastAsia" w:ascii="宋体" w:hAnsi="宋体" w:cs="宋体"/>
          <w:color w:val="333333"/>
          <w:kern w:val="0"/>
          <w:szCs w:val="21"/>
          <w:u w:val="single"/>
          <w:lang w:eastAsia="zh-CN"/>
        </w:rPr>
        <w:t>阿勒泰地区动物疾病控制与诊断中心</w:t>
      </w:r>
      <w:r>
        <w:rPr>
          <w:rFonts w:hint="eastAsia" w:ascii="宋体" w:hAnsi="宋体" w:cs="宋体"/>
          <w:color w:val="333333"/>
          <w:kern w:val="0"/>
          <w:szCs w:val="21"/>
        </w:rPr>
        <w:t>（以下简称甲方）</w:t>
      </w:r>
    </w:p>
    <w:p>
      <w:pPr>
        <w:widowControl/>
        <w:spacing w:line="360" w:lineRule="auto"/>
        <w:jc w:val="left"/>
        <w:rPr>
          <w:rFonts w:ascii="宋体" w:hAnsi="宋体" w:cs="宋体"/>
          <w:color w:val="333333"/>
          <w:kern w:val="0"/>
          <w:szCs w:val="21"/>
        </w:rPr>
      </w:pPr>
      <w:r>
        <w:rPr>
          <w:rFonts w:hint="eastAsia" w:ascii="宋体" w:hAnsi="宋体" w:cs="宋体"/>
          <w:color w:val="333333"/>
          <w:kern w:val="0"/>
          <w:szCs w:val="21"/>
        </w:rPr>
        <w:t>联系电话：</w:t>
      </w:r>
    </w:p>
    <w:p>
      <w:pPr>
        <w:pStyle w:val="10"/>
        <w:numPr>
          <w:ilvl w:val="0"/>
          <w:numId w:val="0"/>
        </w:numPr>
        <w:spacing w:line="360" w:lineRule="auto"/>
        <w:rPr>
          <w:rFonts w:ascii="宋体" w:hAnsi="宋体" w:eastAsia="宋体" w:cs="宋体"/>
          <w:color w:val="333333"/>
          <w:kern w:val="0"/>
          <w:sz w:val="21"/>
          <w:szCs w:val="21"/>
        </w:rPr>
      </w:pPr>
    </w:p>
    <w:p>
      <w:pPr>
        <w:pStyle w:val="10"/>
        <w:numPr>
          <w:ilvl w:val="0"/>
          <w:numId w:val="0"/>
        </w:numPr>
        <w:spacing w:line="360" w:lineRule="auto"/>
        <w:rPr>
          <w:rFonts w:ascii="宋体" w:hAnsi="宋体" w:eastAsia="宋体" w:cs="宋体"/>
          <w:color w:val="333333"/>
          <w:kern w:val="0"/>
          <w:sz w:val="21"/>
          <w:szCs w:val="21"/>
          <w:u w:val="single"/>
        </w:rPr>
      </w:pPr>
      <w:r>
        <w:rPr>
          <w:rFonts w:hint="eastAsia" w:ascii="宋体" w:hAnsi="宋体" w:eastAsia="宋体" w:cs="宋体"/>
          <w:color w:val="333333"/>
          <w:kern w:val="0"/>
          <w:sz w:val="21"/>
          <w:szCs w:val="21"/>
        </w:rPr>
        <w:t>投标人：（以下简称乙方）</w:t>
      </w:r>
    </w:p>
    <w:p>
      <w:pPr>
        <w:pStyle w:val="10"/>
        <w:numPr>
          <w:ilvl w:val="0"/>
          <w:numId w:val="0"/>
        </w:numPr>
        <w:spacing w:line="360" w:lineRule="auto"/>
        <w:rPr>
          <w:rFonts w:eastAsia="宋体"/>
        </w:rPr>
      </w:pPr>
      <w:r>
        <w:rPr>
          <w:rFonts w:hint="eastAsia" w:ascii="宋体" w:hAnsi="宋体" w:eastAsia="宋体" w:cs="宋体"/>
          <w:color w:val="333333"/>
          <w:kern w:val="0"/>
          <w:sz w:val="21"/>
          <w:szCs w:val="21"/>
        </w:rPr>
        <w:t>联系电话：</w:t>
      </w:r>
    </w:p>
    <w:p>
      <w:pPr>
        <w:pStyle w:val="10"/>
        <w:numPr>
          <w:ilvl w:val="0"/>
          <w:numId w:val="0"/>
        </w:numPr>
        <w:spacing w:line="360" w:lineRule="auto"/>
        <w:rPr>
          <w:rFonts w:ascii="宋体" w:hAnsi="宋体" w:eastAsia="宋体" w:cs="宋体"/>
          <w:color w:val="333333"/>
          <w:kern w:val="0"/>
          <w:sz w:val="21"/>
          <w:szCs w:val="21"/>
        </w:rPr>
      </w:pPr>
    </w:p>
    <w:p>
      <w:pPr>
        <w:pStyle w:val="10"/>
        <w:numPr>
          <w:ilvl w:val="0"/>
          <w:numId w:val="0"/>
        </w:numPr>
        <w:spacing w:line="360" w:lineRule="auto"/>
        <w:rPr>
          <w:rFonts w:ascii="宋体" w:hAnsi="宋体" w:eastAsia="宋体" w:cs="宋体"/>
          <w:color w:val="333333"/>
          <w:kern w:val="0"/>
          <w:sz w:val="21"/>
          <w:szCs w:val="21"/>
        </w:rPr>
      </w:pPr>
      <w:r>
        <w:rPr>
          <w:rFonts w:hint="eastAsia" w:ascii="宋体" w:hAnsi="宋体" w:eastAsia="宋体" w:cs="宋体"/>
          <w:color w:val="333333"/>
          <w:kern w:val="0"/>
          <w:sz w:val="21"/>
          <w:szCs w:val="21"/>
        </w:rPr>
        <w:t>项目标包号：</w:t>
      </w:r>
    </w:p>
    <w:p>
      <w:pPr>
        <w:pStyle w:val="10"/>
        <w:numPr>
          <w:ilvl w:val="0"/>
          <w:numId w:val="0"/>
        </w:numPr>
        <w:spacing w:line="360" w:lineRule="auto"/>
        <w:rPr>
          <w:rFonts w:ascii="宋体" w:hAnsi="宋体" w:eastAsia="宋体" w:cs="宋体"/>
          <w:sz w:val="21"/>
          <w:szCs w:val="21"/>
        </w:rPr>
      </w:pPr>
      <w:r>
        <w:rPr>
          <w:rFonts w:hint="eastAsia" w:ascii="宋体" w:hAnsi="宋体" w:eastAsia="宋体" w:cs="宋体"/>
          <w:color w:val="333333"/>
          <w:kern w:val="0"/>
          <w:sz w:val="21"/>
          <w:szCs w:val="21"/>
        </w:rPr>
        <w:t>项目编号：</w:t>
      </w:r>
    </w:p>
    <w:p>
      <w:pPr>
        <w:widowControl/>
        <w:spacing w:line="360" w:lineRule="auto"/>
        <w:rPr>
          <w:rFonts w:ascii="宋体" w:hAnsi="宋体" w:cs="宋体"/>
          <w:color w:val="000000"/>
          <w:kern w:val="0"/>
          <w:szCs w:val="21"/>
        </w:rPr>
      </w:pPr>
      <w:r>
        <w:rPr>
          <w:rFonts w:hint="eastAsia" w:ascii="宋体" w:hAnsi="宋体" w:cs="宋体"/>
          <w:color w:val="000000"/>
          <w:kern w:val="0"/>
          <w:szCs w:val="21"/>
        </w:rPr>
        <w:t>日期：</w:t>
      </w: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widowControl/>
        <w:spacing w:line="360" w:lineRule="auto"/>
        <w:jc w:val="left"/>
        <w:rPr>
          <w:rFonts w:hint="eastAsia" w:ascii="宋体" w:hAnsi="宋体" w:eastAsia="宋体" w:cs="宋体"/>
          <w:color w:val="333333"/>
          <w:kern w:val="0"/>
          <w:sz w:val="24"/>
          <w:szCs w:val="24"/>
          <w:u w:val="single"/>
          <w:lang w:eastAsia="zh-CN"/>
        </w:rPr>
      </w:pPr>
      <w:r>
        <w:rPr>
          <w:rFonts w:hint="eastAsia" w:ascii="宋体" w:hAnsi="宋体" w:cs="宋体"/>
          <w:color w:val="333333"/>
          <w:kern w:val="0"/>
          <w:sz w:val="24"/>
          <w:szCs w:val="24"/>
        </w:rPr>
        <w:t>甲方：</w:t>
      </w:r>
      <w:r>
        <w:rPr>
          <w:rFonts w:hint="eastAsia" w:ascii="宋体" w:hAnsi="宋体" w:cs="宋体"/>
          <w:color w:val="333333"/>
          <w:kern w:val="0"/>
          <w:sz w:val="24"/>
          <w:szCs w:val="24"/>
          <w:u w:val="single"/>
          <w:lang w:eastAsia="zh-CN"/>
        </w:rPr>
        <w:t>阿勒泰地区动物疾病控制与诊断中心</w:t>
      </w:r>
    </w:p>
    <w:p>
      <w:pPr>
        <w:pStyle w:val="10"/>
        <w:numPr>
          <w:ilvl w:val="0"/>
          <w:numId w:val="0"/>
        </w:numPr>
        <w:rPr>
          <w:rFonts w:ascii="宋体" w:hAnsi="宋体" w:eastAsia="宋体" w:cs="宋体"/>
          <w:color w:val="000000"/>
          <w:kern w:val="0"/>
          <w:sz w:val="24"/>
          <w:szCs w:val="24"/>
        </w:rPr>
      </w:pPr>
      <w:r>
        <w:rPr>
          <w:rFonts w:hint="eastAsia" w:ascii="宋体" w:hAnsi="宋体" w:eastAsia="宋体" w:cs="宋体"/>
          <w:color w:val="000000"/>
          <w:kern w:val="0"/>
          <w:sz w:val="24"/>
          <w:szCs w:val="24"/>
        </w:rPr>
        <w:t>乙方：</w:t>
      </w:r>
    </w:p>
    <w:p>
      <w:pPr>
        <w:pStyle w:val="10"/>
        <w:numPr>
          <w:ilvl w:val="0"/>
          <w:numId w:val="0"/>
        </w:numPr>
        <w:rPr>
          <w:rFonts w:ascii="宋体" w:hAnsi="宋体" w:eastAsia="宋体" w:cs="宋体"/>
          <w:color w:val="000000"/>
          <w:kern w:val="0"/>
          <w:sz w:val="24"/>
          <w:szCs w:val="24"/>
        </w:rPr>
      </w:pP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甲乙双方根据《中华人民共和国政府采购法》、《中华人民共和国民法典》、《中华人民共和国兽用生物制品生产规程》《中华人民共和国兽用生物制品质量标准》及颁布的相应产品质量标准等法律及有关法规的规定，乙方对本次招标文件及其全部相关文件文本通过详细阅读已对有关要求完全了解。为依法完成本项目，甲、乙双方在友好协商、公平、自愿的基础上，就本项目相关事宜达成一致，并签署订立本协议，内容如下：</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w:t>
      </w:r>
      <w:r>
        <w:rPr>
          <w:rFonts w:hint="eastAsia" w:ascii="宋体" w:hAnsi="宋体" w:cs="宋体"/>
          <w:b/>
          <w:bCs/>
          <w:color w:val="000000"/>
          <w:kern w:val="0"/>
          <w:sz w:val="24"/>
          <w:szCs w:val="24"/>
        </w:rPr>
        <w:t>一、甲方的权利和义务</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1.甲方组织本次采购活动，应当符合采购价格低于市场平均价格、采购效率更高、采购质量优良和服务良好的要求。</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2.甲方就本项目的任何或全部事项相关的活动或行为，均应当严格遵循公开透明原则、公平竞争原则、公正原则和诚实信用原则。</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3.甲方（及其代表的采购单位）有权根据实际使用需要及乙方在投标文件中的承诺，确定最终采购的产品、配置、数量和相关服务的内容。</w:t>
      </w:r>
    </w:p>
    <w:p>
      <w:pPr>
        <w:pStyle w:val="10"/>
        <w:numPr>
          <w:ilvl w:val="0"/>
          <w:numId w:val="0"/>
        </w:numPr>
        <w:spacing w:line="360" w:lineRule="auto"/>
        <w:ind w:firstLine="480" w:firstLineChars="200"/>
        <w:rPr>
          <w:rFonts w:ascii="宋体" w:hAnsi="宋体" w:eastAsia="宋体" w:cs="宋体"/>
          <w:sz w:val="24"/>
          <w:szCs w:val="24"/>
        </w:rPr>
      </w:pPr>
      <w:r>
        <w:rPr>
          <w:rFonts w:hint="eastAsia" w:ascii="宋体" w:hAnsi="宋体" w:eastAsia="宋体" w:cs="宋体"/>
          <w:color w:val="000000"/>
          <w:kern w:val="0"/>
          <w:sz w:val="24"/>
          <w:szCs w:val="24"/>
        </w:rPr>
        <w:t>4.甲方有权按照本项目招标文件以及供货合同和本协议等文本对乙方的履约行为进行监督和检查，并要求其提供相关信息和资料。如发现乙方违反招标文件或本协议或供货合同的有关规定或承诺，甲方有权追究乙方的违约责任，暂停或取消乙方的供货资格，情节严重的，有权通过有关媒体予以公告或其他形式的披露，并列入政府采购不良供应商名单。</w:t>
      </w:r>
    </w:p>
    <w:p>
      <w:pPr>
        <w:widowControl/>
        <w:spacing w:line="360" w:lineRule="auto"/>
        <w:ind w:firstLine="480"/>
        <w:rPr>
          <w:rFonts w:ascii="宋体" w:hAnsi="宋体" w:cs="宋体"/>
          <w:b/>
          <w:bCs/>
          <w:color w:val="000000"/>
          <w:kern w:val="0"/>
          <w:sz w:val="24"/>
          <w:szCs w:val="24"/>
        </w:rPr>
      </w:pPr>
      <w:r>
        <w:rPr>
          <w:rFonts w:hint="eastAsia" w:ascii="宋体" w:hAnsi="宋体" w:cs="宋体"/>
          <w:b/>
          <w:bCs/>
          <w:color w:val="000000"/>
          <w:kern w:val="0"/>
          <w:sz w:val="24"/>
          <w:szCs w:val="24"/>
        </w:rPr>
        <w:t>二、乙方的权利和义务</w:t>
      </w:r>
    </w:p>
    <w:p>
      <w:pPr>
        <w:widowControl/>
        <w:spacing w:line="360" w:lineRule="auto"/>
        <w:ind w:firstLine="240" w:firstLineChars="100"/>
        <w:rPr>
          <w:rFonts w:ascii="宋体" w:hAnsi="宋体" w:cs="宋体"/>
          <w:color w:val="000000"/>
          <w:kern w:val="0"/>
          <w:sz w:val="24"/>
          <w:szCs w:val="24"/>
        </w:rPr>
      </w:pPr>
      <w:r>
        <w:rPr>
          <w:rFonts w:hint="eastAsia" w:ascii="宋体" w:hAnsi="宋体" w:cs="宋体"/>
          <w:color w:val="000000"/>
          <w:kern w:val="0"/>
          <w:sz w:val="24"/>
          <w:szCs w:val="24"/>
        </w:rPr>
        <w:t> 1. 乙方在通过本</w:t>
      </w:r>
      <w:r>
        <w:rPr>
          <w:rFonts w:hint="eastAsia" w:ascii="宋体" w:hAnsi="宋体" w:cs="宋体"/>
          <w:color w:val="auto"/>
          <w:kern w:val="0"/>
          <w:sz w:val="24"/>
          <w:szCs w:val="24"/>
        </w:rPr>
        <w:t>次</w:t>
      </w:r>
      <w:r>
        <w:rPr>
          <w:rFonts w:hint="eastAsia" w:ascii="宋体" w:hAnsi="宋体" w:cs="宋体"/>
          <w:color w:val="auto"/>
          <w:kern w:val="0"/>
          <w:sz w:val="24"/>
          <w:szCs w:val="24"/>
          <w:lang w:val="en-US" w:eastAsia="zh-CN"/>
        </w:rPr>
        <w:t>阿勒泰地区2023年动物疫苗采购项目（二包）</w:t>
      </w:r>
      <w:r>
        <w:rPr>
          <w:rFonts w:hint="eastAsia" w:ascii="宋体" w:hAnsi="宋体" w:cs="宋体"/>
          <w:color w:val="000000"/>
          <w:kern w:val="0"/>
          <w:sz w:val="24"/>
          <w:szCs w:val="24"/>
        </w:rPr>
        <w:t>评审后，取得为</w:t>
      </w:r>
      <w:r>
        <w:rPr>
          <w:rFonts w:hint="eastAsia" w:ascii="宋体" w:hAnsi="宋体" w:cs="宋体"/>
          <w:color w:val="000000"/>
          <w:kern w:val="0"/>
          <w:sz w:val="24"/>
          <w:szCs w:val="24"/>
          <w:lang w:eastAsia="zh-CN"/>
        </w:rPr>
        <w:t>阿勒泰地区动物疾病控制与诊断中心</w:t>
      </w:r>
      <w:r>
        <w:rPr>
          <w:rFonts w:hint="eastAsia" w:ascii="宋体" w:hAnsi="宋体" w:cs="宋体"/>
          <w:color w:val="000000"/>
          <w:kern w:val="0"/>
          <w:sz w:val="24"/>
          <w:szCs w:val="24"/>
        </w:rPr>
        <w:t>提供成交产品的有效资格。</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2. 乙方应按照本项目招标文件的要求销售本项目成交产品。乙方确保产品质量合格、所投产品批准文号合法有效并保证承担与此相关的法律后果（除本协议其他款项特别约定外，乙方在本条款下承担的赔偿责任限于采购单位的直接损失）。甲方及采购单位有权要求乙方承担法律及招标文件规定、投标文件承诺和供货合同约定的相关责任。</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3. 乙方提供的投标货物应皆为符合国家标准和招标文件要求的正品合格产品，乙方承诺为各采购单位和最终使用用户（以下简称采购单位）提供符合或高于国家标准和招标文件全部要求的服务，及在乙方中国总部对外公众网站上和公司所利用的其他媒体上承诺的标准配置和服务。乙方应接受采购单位提出的电话咨询、订货及送货上门要求。</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3.乙方应保证依据招标文件要求和乙方投标文件的承诺，及时向甲方提供高质量的中标产品和服务、成交价格不高于中标价格，且不在《供货合同》内容之外提出任何附加条款，若实际存在任何该等附加或额外条款，无论签署的情形如何，除非经甲方书面认可，均应当被视为是无效的。  </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4.乙方应保证依据招标文件要求和乙方投标文件的承诺，及时向采购单位提供高质量的中标产品和服务，且不在《供货合同》内容之外提出任何附加条款，若实际存在任何该等附加或额外条款，无论签署的情形如何，除非经甲方书面认可，均应当被视为是无效的。</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5.当采购单位投诉协议供货产品存在质量问题时，乙方承诺按照本协议及招标文件、供货合同中相关的规定、约定处理；对原料、设计、工艺等导致普遍性质量问题的情形，除按照本协议及招标文件、供货合同中相关的规定、约定处理外，还应当按照惯例适用召回制度；对于被有权机关（含质检机关）证实产品存在非常规违法、违规方面的问题（包含但不限于伪造品/假货/返修品/走私产品），乙方承诺会按照受采购单位投诉的产品的合同金额无条件先行双倍赔付后，再根据具体情况由乙方履行供货合同约定的赔偿。在上述任何情形下，若乙方不认同采购单位投诉的问题或双方无法就是否存在产品问题以及问题类型达成一致书面意见的，乙方在此承诺同意将产品送至新疆维吾尔自治区政府采购中心指定的第三方机构进行检验并承担由此发生的送检费用。</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6.乙方特别承诺提供的中标产品的供货价格均低新疆维吾尔自治区除</w:t>
      </w:r>
      <w:r>
        <w:rPr>
          <w:rFonts w:hint="eastAsia" w:ascii="宋体" w:hAnsi="宋体" w:cs="宋体"/>
          <w:color w:val="000000"/>
          <w:kern w:val="0"/>
          <w:sz w:val="24"/>
          <w:szCs w:val="24"/>
          <w:lang w:val="en-US" w:eastAsia="zh-CN"/>
        </w:rPr>
        <w:t>阿勒泰</w:t>
      </w:r>
      <w:r>
        <w:rPr>
          <w:rFonts w:hint="eastAsia" w:ascii="宋体" w:hAnsi="宋体" w:cs="宋体"/>
          <w:color w:val="000000"/>
          <w:kern w:val="0"/>
          <w:sz w:val="24"/>
          <w:szCs w:val="24"/>
        </w:rPr>
        <w:t>地区外其他地州（市）同类型招标项目供货价及结算价、优惠价。</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7.乙方知道甲方将自行或委托第三方对乙方定期或不定期地进行协议供货产品行情调查、调研和执行情况检查，并据此监测协议供货产品的供货价格，乙方须保证按规定提供相关资料；若发现采购单位实际成交价高于乙方的协议供货价或不满足招标文件规定和投标时的承诺时，乙方应当在甲方规定期限内将价格降低到采购单位实际成交价以下并满足招标文件规定和投标时的承诺（甲方有权按照采购单位所能有效证明的实际成交的价格先行调低协议供货最高限价，乙方会2日内调查并做出能够为甲方所接受的合理解释，在此之前，乙方将先行按照此较低价格持续供货，否则将被暂停供货资格，直至能够提供充分证据证明并做出能够为甲方所接受的合理解释后再行恢复）。若采购单位要求，供货合同实际履行方需退还此时至近一次乙方申报价格无变更期间所实际多收的款项，则乙方必须在3日内退还多收的款项。否则甲方将暂停乙方的供货资格，直至取消乙方协议供货资格，但同时并不应当减免供货合同实际履行方应退还多收款项的责任。甲方对乙方的处理结果将在有关媒体上予以公告。  </w:t>
      </w: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8.乙方在供货时遵从甲方关于本项目的采购程序，按中标合同文本规定内容及招标文件规定的方式与各采购单位签订合同，妥善保管该合同，保证不会将合同及/或其中的权利、义务转让，保证不会转包、分包。</w:t>
      </w:r>
    </w:p>
    <w:p>
      <w:pPr>
        <w:widowControl/>
        <w:spacing w:line="360" w:lineRule="auto"/>
        <w:ind w:firstLine="480" w:firstLineChars="200"/>
        <w:rPr>
          <w:rFonts w:ascii="宋体" w:hAnsi="宋体" w:cs="宋体"/>
          <w:b/>
          <w:bCs/>
          <w:color w:val="000000"/>
          <w:kern w:val="0"/>
          <w:sz w:val="24"/>
          <w:szCs w:val="24"/>
          <w:highlight w:val="red"/>
        </w:rPr>
      </w:pPr>
      <w:r>
        <w:rPr>
          <w:rFonts w:hint="eastAsia" w:ascii="宋体" w:hAnsi="宋体" w:cs="宋体"/>
          <w:color w:val="000000"/>
          <w:kern w:val="0"/>
          <w:sz w:val="24"/>
          <w:szCs w:val="24"/>
        </w:rPr>
        <w:t>9.</w:t>
      </w:r>
      <w:r>
        <w:rPr>
          <w:rFonts w:hint="eastAsia" w:ascii="宋体" w:hAnsi="宋体" w:cs="宋体"/>
          <w:color w:val="000000" w:themeColor="text1"/>
          <w:kern w:val="0"/>
          <w:sz w:val="24"/>
          <w:szCs w:val="24"/>
        </w:rPr>
        <w:t xml:space="preserve">乙方承诺：对本协议、本项目招标文件、投标文件、相关合同的任何内容的违反，或提供虚假资料、信息等，均构成违约；对任何违约，乙方将无条件地承担违约责任，向甲方支付违约金人民币壹佰万元。 </w:t>
      </w: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10.</w:t>
      </w:r>
      <w:r>
        <w:rPr>
          <w:rFonts w:hint="eastAsia" w:ascii="宋体" w:hAnsi="宋体" w:cs="宋体"/>
          <w:color w:val="000000" w:themeColor="text1"/>
          <w:kern w:val="0"/>
          <w:sz w:val="24"/>
          <w:szCs w:val="24"/>
        </w:rPr>
        <w:t>乙方承诺：</w:t>
      </w:r>
      <w:r>
        <w:rPr>
          <w:rFonts w:hint="eastAsia" w:ascii="宋体" w:hAnsi="宋体" w:cs="宋体"/>
          <w:color w:val="000000"/>
          <w:kern w:val="0"/>
          <w:sz w:val="24"/>
          <w:szCs w:val="24"/>
        </w:rPr>
        <w:t xml:space="preserve">甲方已充分提示及要求乙方，乙方亦已经保证：乙方在本项目项下的任何行为均将严格遵守法律、法规的规定，包括但不限于应当符合有关依法纳税、环境保护、知识产权、童工禁用、劳动保护、劳动保险与待遇等各方面的规定。尽管乙方已做出上述保证，若一旦发生违反法律、法规、承诺之任何情形，均属乙方单方面之因素、原因、责任，任何情况下乙方均应当承担相应的法律责任。  </w:t>
      </w: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11.乙方同意本协议适用于</w:t>
      </w:r>
      <w:r>
        <w:rPr>
          <w:rFonts w:hint="eastAsia" w:ascii="宋体" w:hAnsi="宋体" w:cs="宋体"/>
          <w:color w:val="000000"/>
          <w:kern w:val="0"/>
          <w:sz w:val="24"/>
          <w:szCs w:val="24"/>
          <w:lang w:eastAsia="zh-CN"/>
        </w:rPr>
        <w:t>阿勒泰地区动物疾病控制与诊断中心</w:t>
      </w:r>
      <w:r>
        <w:rPr>
          <w:rFonts w:hint="eastAsia" w:ascii="宋体" w:hAnsi="宋体" w:cs="宋体"/>
          <w:color w:val="000000"/>
          <w:kern w:val="0"/>
          <w:sz w:val="24"/>
          <w:szCs w:val="24"/>
        </w:rPr>
        <w:t>提供中标产品的有效资格，以及甲方指定的共享本次协议供货招标结果的其他单位</w:t>
      </w:r>
      <w:r>
        <w:rPr>
          <w:rFonts w:hint="eastAsia" w:ascii="宋体" w:hAnsi="宋体" w:cs="宋体"/>
          <w:sz w:val="24"/>
        </w:rPr>
        <w:t>。</w:t>
      </w:r>
    </w:p>
    <w:p>
      <w:pPr>
        <w:widowControl/>
        <w:spacing w:line="360" w:lineRule="auto"/>
        <w:ind w:firstLine="480" w:firstLineChars="200"/>
        <w:rPr>
          <w:rFonts w:ascii="宋体" w:hAnsi="宋体" w:cs="宋体"/>
          <w:sz w:val="24"/>
          <w:szCs w:val="24"/>
        </w:rPr>
      </w:pPr>
      <w:r>
        <w:rPr>
          <w:rFonts w:hint="eastAsia" w:ascii="宋体" w:hAnsi="宋体" w:cs="宋体"/>
          <w:color w:val="000000"/>
          <w:kern w:val="0"/>
          <w:sz w:val="24"/>
          <w:szCs w:val="24"/>
        </w:rPr>
        <w:t>12.本协议有效期间，乙方经行业主管部门授予的资格（质）如发生变更，或机构变更、相关人员变动、歇业、停产、转产等状况，应在2个工作日内通知甲方。</w:t>
      </w:r>
    </w:p>
    <w:p>
      <w:pPr>
        <w:spacing w:line="360" w:lineRule="auto"/>
        <w:ind w:firstLine="482" w:firstLineChars="200"/>
        <w:rPr>
          <w:rFonts w:ascii="宋体" w:hAnsi="宋体" w:cs="宋体"/>
          <w:b/>
          <w:bCs/>
          <w:color w:val="000000"/>
          <w:kern w:val="0"/>
          <w:sz w:val="24"/>
          <w:szCs w:val="24"/>
        </w:rPr>
      </w:pPr>
      <w:r>
        <w:rPr>
          <w:rFonts w:hint="eastAsia" w:ascii="宋体" w:hAnsi="宋体" w:cs="宋体"/>
          <w:b/>
          <w:bCs/>
          <w:color w:val="000000"/>
          <w:kern w:val="0"/>
          <w:sz w:val="24"/>
          <w:szCs w:val="24"/>
        </w:rPr>
        <w:t>三、其他规定</w:t>
      </w:r>
    </w:p>
    <w:p>
      <w:pPr>
        <w:adjustRightInd w:val="0"/>
        <w:snapToGrid w:val="0"/>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（1）合同有效期</w:t>
      </w:r>
      <w:r>
        <w:rPr>
          <w:rFonts w:hint="eastAsia" w:ascii="宋体" w:hAnsi="宋体" w:cs="宋体"/>
          <w:color w:val="000000"/>
          <w:kern w:val="0"/>
          <w:sz w:val="24"/>
          <w:szCs w:val="24"/>
          <w:u w:val="single"/>
        </w:rPr>
        <w:t xml:space="preserve"> 一 </w:t>
      </w:r>
      <w:r>
        <w:rPr>
          <w:rFonts w:hint="eastAsia" w:ascii="宋体" w:hAnsi="宋体" w:cs="宋体"/>
          <w:color w:val="000000"/>
          <w:kern w:val="0"/>
          <w:sz w:val="24"/>
          <w:szCs w:val="24"/>
        </w:rPr>
        <w:t>年。</w:t>
      </w:r>
    </w:p>
    <w:p>
      <w:pPr>
        <w:adjustRightInd w:val="0"/>
        <w:snapToGrid w:val="0"/>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（2）</w:t>
      </w:r>
      <w:r>
        <w:rPr>
          <w:rFonts w:hint="eastAsia" w:ascii="宋体" w:hAnsi="宋体" w:cs="宋体"/>
          <w:sz w:val="24"/>
          <w:szCs w:val="24"/>
        </w:rPr>
        <w:t>本合同一式六份，甲乙双方各执二份，招标代理机构二份，</w:t>
      </w:r>
      <w:r>
        <w:rPr>
          <w:rFonts w:hint="eastAsia" w:ascii="宋体" w:hAnsi="宋体" w:cs="宋体"/>
          <w:color w:val="000000"/>
          <w:kern w:val="0"/>
          <w:sz w:val="24"/>
          <w:szCs w:val="24"/>
        </w:rPr>
        <w:t>自双方签字之日起生效，并在乙方依照本协议为采购单位提供的所有产品及服务的质量保证期届满之前一直有效。本协议及本项目招标文件、投标文件、已经签署或以任何其它方式有效成立的合同中所涉及事项的期限，均作为本协议所涉及或相关事项的有效期限。</w:t>
      </w:r>
    </w:p>
    <w:p>
      <w:pPr>
        <w:adjustRightInd w:val="0"/>
        <w:snapToGrid w:val="0"/>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（3）本协议履行过程中发生争议，双方应友好协商解决，协商不成时，任何一方均可以向甲方所在地人民法院诉讼解决。</w:t>
      </w:r>
    </w:p>
    <w:p>
      <w:pPr>
        <w:pStyle w:val="2"/>
        <w:spacing w:line="360" w:lineRule="auto"/>
        <w:rPr>
          <w:rFonts w:cs="宋体"/>
          <w:color w:val="000000"/>
          <w:kern w:val="0"/>
          <w:sz w:val="24"/>
          <w:szCs w:val="24"/>
        </w:rPr>
      </w:pPr>
    </w:p>
    <w:p>
      <w:pPr>
        <w:widowControl/>
        <w:spacing w:line="360" w:lineRule="auto"/>
        <w:jc w:val="left"/>
        <w:rPr>
          <w:rFonts w:ascii="宋体" w:hAnsi="宋体" w:cs="宋体"/>
          <w:bCs/>
          <w:color w:val="333333"/>
          <w:kern w:val="0"/>
          <w:szCs w:val="21"/>
          <w:u w:val="single"/>
        </w:rPr>
      </w:pPr>
      <w:r>
        <w:rPr>
          <w:rFonts w:hint="eastAsia" w:ascii="宋体" w:hAnsi="宋体" w:cs="宋体"/>
          <w:bCs/>
          <w:color w:val="333333"/>
          <w:kern w:val="0"/>
          <w:szCs w:val="21"/>
        </w:rPr>
        <w:t xml:space="preserve">甲方： </w:t>
      </w:r>
      <w:r>
        <w:rPr>
          <w:rFonts w:hint="eastAsia" w:ascii="宋体" w:hAnsi="宋体" w:cs="宋体"/>
          <w:bCs/>
          <w:color w:val="333333"/>
          <w:kern w:val="0"/>
          <w:szCs w:val="21"/>
          <w:lang w:eastAsia="zh-CN"/>
        </w:rPr>
        <w:t>阿勒泰地区动物疾病控制与诊断中心</w:t>
      </w:r>
      <w:r>
        <w:rPr>
          <w:rFonts w:hint="eastAsia" w:ascii="宋体" w:hAnsi="宋体" w:cs="宋体"/>
          <w:bCs/>
          <w:color w:val="333333"/>
          <w:kern w:val="0"/>
          <w:szCs w:val="21"/>
        </w:rPr>
        <w:t xml:space="preserve"> 乙方：</w:t>
      </w:r>
    </w:p>
    <w:p>
      <w:pPr>
        <w:widowControl/>
        <w:spacing w:line="360" w:lineRule="auto"/>
        <w:jc w:val="left"/>
        <w:rPr>
          <w:rFonts w:ascii="宋体" w:hAnsi="宋体" w:cs="宋体"/>
          <w:bCs/>
          <w:color w:val="333333"/>
          <w:kern w:val="0"/>
          <w:szCs w:val="21"/>
        </w:rPr>
      </w:pPr>
      <w:r>
        <w:rPr>
          <w:rFonts w:hint="eastAsia" w:ascii="宋体" w:hAnsi="宋体" w:cs="宋体"/>
          <w:bCs/>
          <w:color w:val="333333"/>
          <w:kern w:val="0"/>
          <w:szCs w:val="21"/>
        </w:rPr>
        <w:t>（盖章）             （盖章）</w:t>
      </w:r>
    </w:p>
    <w:p>
      <w:pPr>
        <w:widowControl/>
        <w:spacing w:line="360" w:lineRule="auto"/>
        <w:jc w:val="left"/>
        <w:rPr>
          <w:rFonts w:ascii="宋体" w:hAnsi="宋体" w:cs="宋体"/>
          <w:bCs/>
          <w:color w:val="333333"/>
          <w:kern w:val="0"/>
          <w:szCs w:val="21"/>
        </w:rPr>
      </w:pPr>
      <w:r>
        <w:rPr>
          <w:rFonts w:hint="eastAsia" w:ascii="宋体" w:hAnsi="宋体" w:cs="宋体"/>
          <w:bCs/>
          <w:color w:val="333333"/>
          <w:kern w:val="0"/>
          <w:szCs w:val="21"/>
        </w:rPr>
        <w:t>法定代表人或其授权代表：法定代表人或其授权代表：</w:t>
      </w:r>
    </w:p>
    <w:p>
      <w:pPr>
        <w:widowControl/>
        <w:spacing w:line="360" w:lineRule="auto"/>
        <w:jc w:val="left"/>
        <w:rPr>
          <w:rFonts w:ascii="宋体" w:hAnsi="宋体" w:cs="宋体"/>
          <w:bCs/>
          <w:color w:val="333333"/>
          <w:kern w:val="0"/>
          <w:szCs w:val="21"/>
        </w:rPr>
      </w:pPr>
    </w:p>
    <w:p>
      <w:pPr>
        <w:pStyle w:val="10"/>
        <w:numPr>
          <w:ilvl w:val="0"/>
          <w:numId w:val="0"/>
        </w:numPr>
        <w:rPr>
          <w:rFonts w:ascii="宋体" w:hAnsi="宋体" w:eastAsia="宋体" w:cs="宋体"/>
          <w:bCs/>
          <w:color w:val="333333"/>
          <w:kern w:val="0"/>
          <w:sz w:val="21"/>
          <w:szCs w:val="21"/>
          <w:u w:val="single"/>
        </w:rPr>
      </w:pPr>
      <w:r>
        <w:rPr>
          <w:rFonts w:hint="eastAsia" w:ascii="宋体" w:hAnsi="宋体" w:eastAsia="宋体" w:cs="宋体"/>
          <w:bCs/>
          <w:color w:val="333333"/>
          <w:kern w:val="0"/>
          <w:sz w:val="21"/>
          <w:szCs w:val="21"/>
        </w:rPr>
        <w:t>联系电话：</w:t>
      </w:r>
      <w:r>
        <w:rPr>
          <w:rFonts w:hint="eastAsia" w:ascii="宋体" w:hAnsi="宋体" w:eastAsia="宋体" w:cs="宋体"/>
          <w:color w:val="000000" w:themeColor="text1"/>
          <w:kern w:val="0"/>
          <w:sz w:val="21"/>
          <w:szCs w:val="21"/>
        </w:rPr>
        <w:t xml:space="preserve">                   </w:t>
      </w:r>
      <w:r>
        <w:rPr>
          <w:rFonts w:hint="eastAsia" w:ascii="宋体" w:hAnsi="宋体" w:eastAsia="宋体" w:cs="宋体"/>
          <w:bCs/>
          <w:color w:val="333333"/>
          <w:kern w:val="0"/>
          <w:sz w:val="21"/>
          <w:szCs w:val="21"/>
        </w:rPr>
        <w:t>联系电话：</w:t>
      </w:r>
    </w:p>
    <w:p>
      <w:pPr>
        <w:widowControl/>
        <w:spacing w:line="360" w:lineRule="auto"/>
        <w:jc w:val="left"/>
        <w:rPr>
          <w:rFonts w:ascii="宋体" w:hAnsi="宋体" w:cs="宋体"/>
          <w:bCs/>
          <w:color w:val="333333"/>
          <w:kern w:val="0"/>
          <w:szCs w:val="21"/>
        </w:rPr>
      </w:pPr>
    </w:p>
    <w:p>
      <w:pPr>
        <w:pStyle w:val="10"/>
        <w:numPr>
          <w:ilvl w:val="0"/>
          <w:numId w:val="0"/>
        </w:numPr>
        <w:rPr>
          <w:rFonts w:ascii="宋体" w:hAnsi="宋体" w:eastAsia="宋体" w:cs="宋体"/>
          <w:bCs/>
          <w:color w:val="333333"/>
          <w:kern w:val="0"/>
          <w:sz w:val="21"/>
          <w:szCs w:val="21"/>
          <w:u w:val="single"/>
        </w:rPr>
      </w:pPr>
      <w:r>
        <w:rPr>
          <w:rFonts w:hint="eastAsia" w:ascii="宋体" w:hAnsi="宋体" w:eastAsia="宋体" w:cs="宋体"/>
          <w:bCs/>
          <w:color w:val="333333"/>
          <w:kern w:val="0"/>
          <w:sz w:val="21"/>
          <w:szCs w:val="21"/>
        </w:rPr>
        <w:t>开户行：开户行：</w:t>
      </w:r>
    </w:p>
    <w:p>
      <w:pPr>
        <w:pStyle w:val="10"/>
        <w:numPr>
          <w:ilvl w:val="0"/>
          <w:numId w:val="0"/>
        </w:numPr>
        <w:rPr>
          <w:rFonts w:ascii="宋体" w:hAnsi="宋体" w:eastAsia="宋体" w:cs="宋体"/>
          <w:bCs/>
          <w:color w:val="333333"/>
          <w:kern w:val="0"/>
          <w:sz w:val="21"/>
          <w:szCs w:val="21"/>
        </w:rPr>
      </w:pPr>
    </w:p>
    <w:p>
      <w:pPr>
        <w:pStyle w:val="10"/>
        <w:numPr>
          <w:ilvl w:val="0"/>
          <w:numId w:val="0"/>
        </w:numPr>
        <w:rPr>
          <w:rFonts w:ascii="宋体" w:hAnsi="宋体" w:eastAsia="宋体" w:cs="宋体"/>
          <w:bCs/>
          <w:color w:val="333333"/>
          <w:kern w:val="0"/>
          <w:sz w:val="21"/>
          <w:szCs w:val="21"/>
          <w:u w:val="single"/>
        </w:rPr>
      </w:pPr>
    </w:p>
    <w:p>
      <w:pPr>
        <w:pStyle w:val="10"/>
        <w:numPr>
          <w:ilvl w:val="0"/>
          <w:numId w:val="0"/>
        </w:numPr>
        <w:rPr>
          <w:rFonts w:ascii="宋体" w:hAnsi="宋体" w:eastAsia="宋体" w:cs="宋体"/>
          <w:bCs/>
          <w:color w:val="333333"/>
          <w:kern w:val="0"/>
          <w:sz w:val="21"/>
          <w:szCs w:val="21"/>
        </w:rPr>
      </w:pPr>
      <w:r>
        <w:rPr>
          <w:rFonts w:hint="eastAsia" w:ascii="宋体" w:hAnsi="宋体" w:eastAsia="宋体" w:cs="宋体"/>
          <w:bCs/>
          <w:color w:val="333333"/>
          <w:kern w:val="0"/>
          <w:sz w:val="21"/>
          <w:szCs w:val="21"/>
        </w:rPr>
        <w:t>账户：账户：</w:t>
      </w:r>
    </w:p>
    <w:p>
      <w:pPr>
        <w:pStyle w:val="10"/>
        <w:numPr>
          <w:ilvl w:val="0"/>
          <w:numId w:val="0"/>
        </w:numPr>
        <w:rPr>
          <w:rFonts w:ascii="宋体" w:hAnsi="宋体" w:eastAsia="宋体" w:cs="宋体"/>
          <w:bCs/>
          <w:color w:val="333333"/>
          <w:kern w:val="0"/>
          <w:sz w:val="21"/>
          <w:szCs w:val="21"/>
        </w:rPr>
      </w:pPr>
    </w:p>
    <w:p>
      <w:pPr>
        <w:pStyle w:val="10"/>
        <w:numPr>
          <w:ilvl w:val="0"/>
          <w:numId w:val="0"/>
        </w:numPr>
        <w:rPr>
          <w:rFonts w:ascii="宋体" w:hAnsi="宋体" w:eastAsia="宋体" w:cs="宋体"/>
          <w:bCs/>
          <w:color w:val="333333"/>
          <w:kern w:val="0"/>
          <w:sz w:val="21"/>
          <w:szCs w:val="21"/>
        </w:rPr>
      </w:pPr>
      <w:r>
        <w:rPr>
          <w:rFonts w:hint="eastAsia" w:ascii="宋体" w:hAnsi="宋体" w:eastAsia="宋体" w:cs="宋体"/>
          <w:bCs/>
          <w:color w:val="333333"/>
          <w:kern w:val="0"/>
          <w:sz w:val="21"/>
          <w:szCs w:val="21"/>
        </w:rPr>
        <w:t>地址：</w:t>
      </w:r>
      <w:r>
        <w:rPr>
          <w:rFonts w:hint="eastAsia" w:ascii="宋体" w:hAnsi="宋体" w:eastAsia="宋体" w:cs="宋体"/>
          <w:sz w:val="21"/>
          <w:szCs w:val="21"/>
          <w:lang w:val="en-US" w:eastAsia="zh-CN"/>
        </w:rPr>
        <w:t xml:space="preserve">新疆阿勒泰市金山路       </w:t>
      </w:r>
      <w:r>
        <w:rPr>
          <w:rFonts w:hint="eastAsia" w:ascii="宋体" w:hAnsi="宋体" w:eastAsia="宋体" w:cs="宋体"/>
          <w:bCs/>
          <w:color w:val="333333"/>
          <w:kern w:val="0"/>
          <w:sz w:val="21"/>
          <w:szCs w:val="21"/>
        </w:rPr>
        <w:t xml:space="preserve">   地址：</w:t>
      </w:r>
    </w:p>
    <w:p>
      <w:pPr>
        <w:pStyle w:val="10"/>
        <w:numPr>
          <w:ilvl w:val="0"/>
          <w:numId w:val="0"/>
        </w:numPr>
        <w:rPr>
          <w:rFonts w:ascii="宋体" w:hAnsi="宋体" w:eastAsia="宋体" w:cs="宋体"/>
          <w:bCs/>
          <w:color w:val="333333"/>
          <w:kern w:val="0"/>
          <w:sz w:val="21"/>
          <w:szCs w:val="21"/>
        </w:rPr>
      </w:pPr>
    </w:p>
    <w:p>
      <w:pPr>
        <w:widowControl/>
        <w:spacing w:line="360" w:lineRule="auto"/>
        <w:jc w:val="left"/>
        <w:rPr>
          <w:rFonts w:ascii="宋体" w:hAnsi="宋体" w:cs="宋体"/>
          <w:bCs/>
          <w:color w:val="333333"/>
          <w:kern w:val="0"/>
          <w:szCs w:val="21"/>
        </w:rPr>
      </w:pPr>
    </w:p>
    <w:p>
      <w:pPr>
        <w:widowControl/>
        <w:spacing w:line="360" w:lineRule="auto"/>
        <w:jc w:val="left"/>
        <w:rPr>
          <w:rFonts w:ascii="宋体" w:hAnsi="宋体" w:cs="宋体"/>
          <w:bCs/>
          <w:szCs w:val="21"/>
        </w:rPr>
      </w:pPr>
      <w:r>
        <w:rPr>
          <w:rFonts w:hint="eastAsia" w:ascii="宋体" w:hAnsi="宋体" w:cs="宋体"/>
          <w:bCs/>
          <w:color w:val="333333"/>
          <w:kern w:val="0"/>
          <w:szCs w:val="21"/>
        </w:rPr>
        <w:t>日 期：                           日期：</w:t>
      </w:r>
    </w:p>
    <w:p>
      <w:pPr>
        <w:rPr>
          <w:b/>
          <w:bCs/>
          <w:sz w:val="36"/>
          <w:szCs w:val="36"/>
        </w:rPr>
      </w:pPr>
    </w:p>
    <w:p>
      <w:pPr>
        <w:rPr>
          <w:b/>
          <w:bCs/>
          <w:sz w:val="36"/>
          <w:szCs w:val="36"/>
        </w:rPr>
      </w:pPr>
      <w:r>
        <w:rPr>
          <w:rFonts w:hint="eastAsia"/>
          <w:b/>
          <w:bCs/>
          <w:sz w:val="36"/>
          <w:szCs w:val="36"/>
        </w:rPr>
        <w:br w:type="page"/>
      </w:r>
    </w:p>
    <w:p>
      <w:pPr>
        <w:jc w:val="center"/>
        <w:rPr>
          <w:b/>
          <w:bCs/>
          <w:sz w:val="36"/>
          <w:szCs w:val="36"/>
        </w:rPr>
      </w:pPr>
      <w:r>
        <w:rPr>
          <w:rFonts w:hint="eastAsia"/>
          <w:b/>
          <w:bCs/>
          <w:sz w:val="36"/>
          <w:szCs w:val="36"/>
        </w:rPr>
        <w:t>疫苗采购供应合同</w:t>
      </w:r>
    </w:p>
    <w:p>
      <w:pPr>
        <w:widowControl/>
        <w:spacing w:line="360" w:lineRule="auto"/>
        <w:jc w:val="left"/>
        <w:rPr>
          <w:rFonts w:ascii="宋体" w:hAnsi="宋体" w:cs="宋体"/>
          <w:color w:val="333333"/>
          <w:kern w:val="0"/>
          <w:sz w:val="24"/>
          <w:szCs w:val="24"/>
        </w:rPr>
      </w:pPr>
    </w:p>
    <w:p>
      <w:pPr>
        <w:widowControl/>
        <w:spacing w:line="360" w:lineRule="auto"/>
        <w:jc w:val="left"/>
        <w:rPr>
          <w:rFonts w:ascii="宋体" w:hAnsi="宋体" w:cs="宋体"/>
          <w:color w:val="333333"/>
          <w:kern w:val="0"/>
          <w:sz w:val="24"/>
          <w:szCs w:val="24"/>
        </w:rPr>
      </w:pPr>
      <w:r>
        <w:rPr>
          <w:rFonts w:hint="eastAsia" w:ascii="宋体" w:hAnsi="宋体" w:cs="宋体"/>
          <w:color w:val="333333"/>
          <w:kern w:val="0"/>
          <w:sz w:val="24"/>
          <w:szCs w:val="24"/>
        </w:rPr>
        <w:t>采购方：（以下简称甲方）</w:t>
      </w:r>
    </w:p>
    <w:p>
      <w:pPr>
        <w:widowControl/>
        <w:spacing w:line="360" w:lineRule="auto"/>
        <w:jc w:val="left"/>
        <w:rPr>
          <w:rFonts w:ascii="宋体" w:hAnsi="宋体" w:cs="宋体"/>
          <w:color w:val="333333"/>
          <w:kern w:val="0"/>
          <w:sz w:val="24"/>
          <w:szCs w:val="24"/>
        </w:rPr>
      </w:pPr>
      <w:r>
        <w:rPr>
          <w:rFonts w:hint="eastAsia" w:ascii="宋体" w:hAnsi="宋体" w:cs="宋体"/>
          <w:color w:val="333333"/>
          <w:kern w:val="0"/>
          <w:sz w:val="24"/>
          <w:szCs w:val="24"/>
        </w:rPr>
        <w:t>供货方：（以下简称乙方）</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根据项目名称(项目编号：     )及相关结果，甲、乙双方经协商一致，签订本合同。   </w:t>
      </w:r>
    </w:p>
    <w:p>
      <w:pPr>
        <w:adjustRightInd w:val="0"/>
        <w:snapToGrid w:val="0"/>
        <w:spacing w:line="360" w:lineRule="auto"/>
        <w:rPr>
          <w:rFonts w:ascii="宋体" w:hAnsi="宋体" w:cs="宋体"/>
          <w:b/>
          <w:sz w:val="24"/>
        </w:rPr>
      </w:pPr>
      <w:r>
        <w:rPr>
          <w:rFonts w:hint="eastAsia" w:ascii="宋体" w:hAnsi="宋体" w:cs="宋体"/>
          <w:b/>
          <w:sz w:val="24"/>
        </w:rPr>
        <w:t>一、合同编号：</w:t>
      </w:r>
    </w:p>
    <w:p>
      <w:pPr>
        <w:adjustRightInd w:val="0"/>
        <w:snapToGrid w:val="0"/>
        <w:spacing w:line="360" w:lineRule="auto"/>
        <w:ind w:firstLine="480" w:firstLineChars="200"/>
        <w:rPr>
          <w:rFonts w:ascii="宋体" w:hAnsi="宋体" w:cs="宋体"/>
          <w:sz w:val="24"/>
        </w:rPr>
      </w:pPr>
    </w:p>
    <w:p>
      <w:pPr>
        <w:adjustRightInd w:val="0"/>
        <w:snapToGrid w:val="0"/>
        <w:spacing w:line="360" w:lineRule="auto"/>
        <w:rPr>
          <w:rFonts w:ascii="宋体" w:hAnsi="宋体" w:cs="宋体"/>
          <w:b/>
          <w:sz w:val="24"/>
        </w:rPr>
      </w:pPr>
      <w:r>
        <w:rPr>
          <w:rFonts w:hint="eastAsia" w:ascii="宋体" w:hAnsi="宋体" w:cs="宋体"/>
          <w:b/>
          <w:sz w:val="24"/>
        </w:rPr>
        <w:t>二、签订地点：</w:t>
      </w:r>
    </w:p>
    <w:p>
      <w:pPr>
        <w:adjustRightInd w:val="0"/>
        <w:snapToGrid w:val="0"/>
        <w:spacing w:line="360" w:lineRule="auto"/>
        <w:rPr>
          <w:rFonts w:ascii="宋体" w:hAnsi="宋体" w:cs="宋体"/>
          <w:sz w:val="24"/>
        </w:rPr>
      </w:pPr>
    </w:p>
    <w:p>
      <w:pPr>
        <w:adjustRightInd w:val="0"/>
        <w:snapToGrid w:val="0"/>
        <w:spacing w:line="360" w:lineRule="auto"/>
        <w:rPr>
          <w:rFonts w:ascii="宋体" w:hAnsi="宋体" w:cs="宋体"/>
          <w:b/>
          <w:sz w:val="24"/>
        </w:rPr>
      </w:pPr>
      <w:r>
        <w:rPr>
          <w:rFonts w:hint="eastAsia" w:ascii="宋体" w:hAnsi="宋体" w:cs="宋体"/>
          <w:b/>
          <w:sz w:val="24"/>
        </w:rPr>
        <w:t>三、签订时间：</w:t>
      </w:r>
    </w:p>
    <w:p>
      <w:pPr>
        <w:adjustRightInd w:val="0"/>
        <w:snapToGrid w:val="0"/>
        <w:spacing w:line="360" w:lineRule="auto"/>
        <w:ind w:firstLine="480" w:firstLineChars="200"/>
        <w:rPr>
          <w:rFonts w:ascii="宋体" w:hAnsi="宋体" w:cs="宋体"/>
          <w:sz w:val="24"/>
        </w:rPr>
      </w:pPr>
      <w:r>
        <w:rPr>
          <w:rFonts w:hint="eastAsia" w:ascii="宋体" w:hAnsi="宋体" w:cs="宋体"/>
          <w:sz w:val="24"/>
          <w:u w:val="single"/>
        </w:rPr>
        <w:t xml:space="preserve">     年   月   日</w:t>
      </w:r>
    </w:p>
    <w:p>
      <w:pPr>
        <w:adjustRightInd w:val="0"/>
        <w:snapToGrid w:val="0"/>
        <w:spacing w:line="360" w:lineRule="auto"/>
        <w:rPr>
          <w:rFonts w:ascii="宋体" w:hAnsi="宋体" w:cs="宋体"/>
          <w:b/>
          <w:sz w:val="24"/>
        </w:rPr>
      </w:pPr>
      <w:r>
        <w:rPr>
          <w:rFonts w:hint="eastAsia" w:ascii="宋体" w:hAnsi="宋体" w:cs="宋体"/>
          <w:b/>
          <w:sz w:val="24"/>
        </w:rPr>
        <w:t>四、合同内容：</w:t>
      </w:r>
    </w:p>
    <w:p>
      <w:pPr>
        <w:tabs>
          <w:tab w:val="left" w:pos="840"/>
        </w:tabs>
        <w:adjustRightInd w:val="0"/>
        <w:snapToGrid w:val="0"/>
        <w:spacing w:line="360" w:lineRule="auto"/>
        <w:ind w:firstLine="480" w:firstLineChars="200"/>
        <w:rPr>
          <w:rFonts w:ascii="宋体" w:hAnsi="宋体" w:cs="宋体"/>
          <w:sz w:val="24"/>
        </w:rPr>
      </w:pPr>
      <w:r>
        <w:rPr>
          <w:rFonts w:hint="eastAsia" w:ascii="宋体" w:hAnsi="宋体" w:cs="宋体"/>
          <w:sz w:val="24"/>
        </w:rPr>
        <w:t>甲方向乙方订购的货物及服务如下：</w:t>
      </w:r>
    </w:p>
    <w:p>
      <w:pPr>
        <w:tabs>
          <w:tab w:val="left" w:pos="840"/>
        </w:tabs>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1、动物疫苗品名、生产厂商、规格、数量等信息详见供货一览表。 </w:t>
      </w:r>
    </w:p>
    <w:p>
      <w:pPr>
        <w:pStyle w:val="10"/>
        <w:numPr>
          <w:ilvl w:val="0"/>
          <w:numId w:val="0"/>
        </w:numPr>
      </w:pPr>
    </w:p>
    <w:p>
      <w:pPr>
        <w:tabs>
          <w:tab w:val="left" w:pos="840"/>
        </w:tabs>
        <w:adjustRightInd w:val="0"/>
        <w:snapToGrid w:val="0"/>
        <w:spacing w:line="360" w:lineRule="auto"/>
        <w:ind w:firstLine="480" w:firstLineChars="200"/>
        <w:jc w:val="center"/>
        <w:rPr>
          <w:rFonts w:ascii="宋体" w:hAnsi="宋体" w:cs="宋体"/>
          <w:sz w:val="24"/>
        </w:rPr>
      </w:pPr>
      <w:r>
        <w:rPr>
          <w:rFonts w:hint="eastAsia" w:ascii="宋体" w:hAnsi="宋体" w:cs="宋体"/>
          <w:sz w:val="24"/>
        </w:rPr>
        <w:t>春防供货信息一览表</w:t>
      </w:r>
    </w:p>
    <w:p>
      <w:pPr>
        <w:pStyle w:val="10"/>
        <w:numPr>
          <w:ilvl w:val="0"/>
          <w:numId w:val="0"/>
        </w:numPr>
      </w:pPr>
    </w:p>
    <w:tbl>
      <w:tblPr>
        <w:tblStyle w:val="21"/>
        <w:tblW w:w="928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45"/>
        <w:gridCol w:w="1882"/>
        <w:gridCol w:w="1392"/>
        <w:gridCol w:w="1086"/>
        <w:gridCol w:w="1327"/>
        <w:gridCol w:w="1327"/>
        <w:gridCol w:w="13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45" w:type="dxa"/>
          </w:tcPr>
          <w:p>
            <w:pPr>
              <w:pStyle w:val="10"/>
              <w:numPr>
                <w:ilvl w:val="0"/>
                <w:numId w:val="0"/>
              </w:numPr>
            </w:pPr>
            <w:r>
              <w:rPr>
                <w:rFonts w:hint="eastAsia"/>
              </w:rPr>
              <w:t>序号</w:t>
            </w:r>
          </w:p>
        </w:tc>
        <w:tc>
          <w:tcPr>
            <w:tcW w:w="1882" w:type="dxa"/>
          </w:tcPr>
          <w:p>
            <w:pPr>
              <w:pStyle w:val="10"/>
              <w:numPr>
                <w:ilvl w:val="0"/>
                <w:numId w:val="0"/>
              </w:numPr>
            </w:pPr>
            <w:r>
              <w:rPr>
                <w:rFonts w:hint="eastAsia"/>
              </w:rPr>
              <w:t>疫苗品名型号</w:t>
            </w:r>
          </w:p>
        </w:tc>
        <w:tc>
          <w:tcPr>
            <w:tcW w:w="1392" w:type="dxa"/>
          </w:tcPr>
          <w:p>
            <w:pPr>
              <w:pStyle w:val="10"/>
              <w:numPr>
                <w:ilvl w:val="0"/>
                <w:numId w:val="0"/>
              </w:numPr>
            </w:pPr>
            <w:r>
              <w:rPr>
                <w:rFonts w:hint="eastAsia"/>
              </w:rPr>
              <w:t>规格参数</w:t>
            </w:r>
          </w:p>
        </w:tc>
        <w:tc>
          <w:tcPr>
            <w:tcW w:w="1086" w:type="dxa"/>
          </w:tcPr>
          <w:p>
            <w:pPr>
              <w:pStyle w:val="10"/>
              <w:numPr>
                <w:ilvl w:val="0"/>
                <w:numId w:val="0"/>
              </w:numPr>
            </w:pPr>
            <w:r>
              <w:rPr>
                <w:rFonts w:hint="eastAsia"/>
              </w:rPr>
              <w:t>数量</w:t>
            </w:r>
          </w:p>
        </w:tc>
        <w:tc>
          <w:tcPr>
            <w:tcW w:w="1327" w:type="dxa"/>
          </w:tcPr>
          <w:p>
            <w:pPr>
              <w:pStyle w:val="10"/>
              <w:numPr>
                <w:ilvl w:val="0"/>
                <w:numId w:val="0"/>
              </w:numPr>
            </w:pPr>
            <w:r>
              <w:rPr>
                <w:rFonts w:hint="eastAsia"/>
              </w:rPr>
              <w:t>单价</w:t>
            </w:r>
          </w:p>
        </w:tc>
        <w:tc>
          <w:tcPr>
            <w:tcW w:w="1327" w:type="dxa"/>
          </w:tcPr>
          <w:p>
            <w:pPr>
              <w:pStyle w:val="10"/>
              <w:numPr>
                <w:ilvl w:val="0"/>
                <w:numId w:val="0"/>
              </w:numPr>
            </w:pPr>
            <w:r>
              <w:rPr>
                <w:rFonts w:hint="eastAsia"/>
              </w:rPr>
              <w:t>总金额</w:t>
            </w:r>
          </w:p>
        </w:tc>
        <w:tc>
          <w:tcPr>
            <w:tcW w:w="1327" w:type="dxa"/>
          </w:tcPr>
          <w:p>
            <w:pPr>
              <w:pStyle w:val="10"/>
              <w:numPr>
                <w:ilvl w:val="0"/>
                <w:numId w:val="0"/>
              </w:numPr>
            </w:pPr>
            <w:r>
              <w:rPr>
                <w:rFonts w:hint="eastAsia"/>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1" w:hRule="atLeast"/>
        </w:trPr>
        <w:tc>
          <w:tcPr>
            <w:tcW w:w="945" w:type="dxa"/>
          </w:tcPr>
          <w:p>
            <w:pPr>
              <w:pStyle w:val="10"/>
              <w:numPr>
                <w:ilvl w:val="0"/>
                <w:numId w:val="0"/>
              </w:numPr>
            </w:pPr>
          </w:p>
        </w:tc>
        <w:tc>
          <w:tcPr>
            <w:tcW w:w="1882" w:type="dxa"/>
          </w:tcPr>
          <w:p>
            <w:pPr>
              <w:pStyle w:val="10"/>
              <w:numPr>
                <w:ilvl w:val="0"/>
                <w:numId w:val="0"/>
              </w:numPr>
            </w:pPr>
          </w:p>
        </w:tc>
        <w:tc>
          <w:tcPr>
            <w:tcW w:w="1392" w:type="dxa"/>
          </w:tcPr>
          <w:p>
            <w:pPr>
              <w:pStyle w:val="10"/>
              <w:numPr>
                <w:ilvl w:val="0"/>
                <w:numId w:val="0"/>
              </w:numPr>
            </w:pPr>
          </w:p>
        </w:tc>
        <w:tc>
          <w:tcPr>
            <w:tcW w:w="1086"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r>
    </w:tbl>
    <w:p>
      <w:pPr>
        <w:pStyle w:val="10"/>
        <w:numPr>
          <w:ilvl w:val="0"/>
          <w:numId w:val="0"/>
        </w:numPr>
      </w:pPr>
    </w:p>
    <w:p>
      <w:pPr>
        <w:tabs>
          <w:tab w:val="left" w:pos="840"/>
        </w:tabs>
        <w:adjustRightInd w:val="0"/>
        <w:snapToGrid w:val="0"/>
        <w:spacing w:line="360" w:lineRule="auto"/>
        <w:ind w:firstLine="480" w:firstLineChars="200"/>
        <w:jc w:val="center"/>
        <w:rPr>
          <w:rFonts w:ascii="宋体" w:hAnsi="宋体" w:cs="宋体"/>
          <w:sz w:val="24"/>
        </w:rPr>
      </w:pPr>
      <w:r>
        <w:rPr>
          <w:rFonts w:hint="eastAsia" w:ascii="宋体" w:hAnsi="宋体" w:cs="宋体"/>
          <w:sz w:val="24"/>
        </w:rPr>
        <w:t>秋防供货信息一览表</w:t>
      </w:r>
    </w:p>
    <w:p>
      <w:pPr>
        <w:pStyle w:val="10"/>
        <w:numPr>
          <w:ilvl w:val="0"/>
          <w:numId w:val="0"/>
        </w:numPr>
      </w:pPr>
    </w:p>
    <w:tbl>
      <w:tblPr>
        <w:tblStyle w:val="21"/>
        <w:tblW w:w="928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4"/>
        <w:gridCol w:w="1541"/>
        <w:gridCol w:w="1924"/>
        <w:gridCol w:w="1086"/>
        <w:gridCol w:w="1327"/>
        <w:gridCol w:w="1327"/>
        <w:gridCol w:w="13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4" w:type="dxa"/>
          </w:tcPr>
          <w:p>
            <w:pPr>
              <w:pStyle w:val="10"/>
              <w:numPr>
                <w:ilvl w:val="0"/>
                <w:numId w:val="0"/>
              </w:numPr>
            </w:pPr>
            <w:r>
              <w:rPr>
                <w:rFonts w:hint="eastAsia"/>
              </w:rPr>
              <w:t>序号</w:t>
            </w:r>
          </w:p>
        </w:tc>
        <w:tc>
          <w:tcPr>
            <w:tcW w:w="1541" w:type="dxa"/>
          </w:tcPr>
          <w:p>
            <w:pPr>
              <w:pStyle w:val="10"/>
              <w:numPr>
                <w:ilvl w:val="0"/>
                <w:numId w:val="0"/>
              </w:numPr>
            </w:pPr>
            <w:r>
              <w:rPr>
                <w:rFonts w:hint="eastAsia"/>
              </w:rPr>
              <w:t>疫苗品名型号</w:t>
            </w:r>
          </w:p>
        </w:tc>
        <w:tc>
          <w:tcPr>
            <w:tcW w:w="1924" w:type="dxa"/>
          </w:tcPr>
          <w:p>
            <w:pPr>
              <w:pStyle w:val="10"/>
              <w:numPr>
                <w:ilvl w:val="0"/>
                <w:numId w:val="0"/>
              </w:numPr>
            </w:pPr>
            <w:r>
              <w:rPr>
                <w:rFonts w:hint="eastAsia"/>
              </w:rPr>
              <w:t>规格参数</w:t>
            </w:r>
          </w:p>
        </w:tc>
        <w:tc>
          <w:tcPr>
            <w:tcW w:w="1086" w:type="dxa"/>
          </w:tcPr>
          <w:p>
            <w:pPr>
              <w:pStyle w:val="10"/>
              <w:numPr>
                <w:ilvl w:val="0"/>
                <w:numId w:val="0"/>
              </w:numPr>
            </w:pPr>
            <w:r>
              <w:rPr>
                <w:rFonts w:hint="eastAsia"/>
              </w:rPr>
              <w:t>数量</w:t>
            </w:r>
          </w:p>
        </w:tc>
        <w:tc>
          <w:tcPr>
            <w:tcW w:w="1327" w:type="dxa"/>
          </w:tcPr>
          <w:p>
            <w:pPr>
              <w:pStyle w:val="10"/>
              <w:numPr>
                <w:ilvl w:val="0"/>
                <w:numId w:val="0"/>
              </w:numPr>
            </w:pPr>
            <w:r>
              <w:rPr>
                <w:rFonts w:hint="eastAsia"/>
              </w:rPr>
              <w:t>单价</w:t>
            </w:r>
          </w:p>
        </w:tc>
        <w:tc>
          <w:tcPr>
            <w:tcW w:w="1327" w:type="dxa"/>
          </w:tcPr>
          <w:p>
            <w:pPr>
              <w:pStyle w:val="10"/>
              <w:numPr>
                <w:ilvl w:val="0"/>
                <w:numId w:val="0"/>
              </w:numPr>
            </w:pPr>
            <w:r>
              <w:rPr>
                <w:rFonts w:hint="eastAsia"/>
              </w:rPr>
              <w:t>总金额</w:t>
            </w:r>
          </w:p>
        </w:tc>
        <w:tc>
          <w:tcPr>
            <w:tcW w:w="1327" w:type="dxa"/>
          </w:tcPr>
          <w:p>
            <w:pPr>
              <w:pStyle w:val="10"/>
              <w:numPr>
                <w:ilvl w:val="0"/>
                <w:numId w:val="0"/>
              </w:numPr>
            </w:pPr>
            <w:r>
              <w:rPr>
                <w:rFonts w:hint="eastAsia"/>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1" w:hRule="atLeast"/>
        </w:trPr>
        <w:tc>
          <w:tcPr>
            <w:tcW w:w="754" w:type="dxa"/>
          </w:tcPr>
          <w:p>
            <w:pPr>
              <w:pStyle w:val="10"/>
              <w:numPr>
                <w:ilvl w:val="0"/>
                <w:numId w:val="0"/>
              </w:numPr>
            </w:pPr>
          </w:p>
        </w:tc>
        <w:tc>
          <w:tcPr>
            <w:tcW w:w="1541" w:type="dxa"/>
          </w:tcPr>
          <w:p>
            <w:pPr>
              <w:pStyle w:val="10"/>
              <w:numPr>
                <w:ilvl w:val="0"/>
                <w:numId w:val="0"/>
              </w:numPr>
            </w:pPr>
          </w:p>
        </w:tc>
        <w:tc>
          <w:tcPr>
            <w:tcW w:w="1924" w:type="dxa"/>
          </w:tcPr>
          <w:p>
            <w:pPr>
              <w:pStyle w:val="10"/>
              <w:numPr>
                <w:ilvl w:val="0"/>
                <w:numId w:val="0"/>
              </w:numPr>
            </w:pPr>
          </w:p>
        </w:tc>
        <w:tc>
          <w:tcPr>
            <w:tcW w:w="1086"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r>
    </w:tbl>
    <w:p>
      <w:pPr>
        <w:tabs>
          <w:tab w:val="left" w:pos="840"/>
        </w:tabs>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2、价格构成：合同价格包括成本、税款、包装、运费、售后服务等全部费用，价格一次确定不再变更，本次采购货品单价以报价一览表为准。 </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3、合同所签定疫苗数量仅为参考数量，买方可根据疫苗实际使用情况、国家免疫政策变化或免疫实际需求情况适当增减疫苗数量。如果兽医主管部门调整了动物免疫计划，调整或取消动物部分的疫苗品种，该疫苗品种将不再列入招标计划或已经进行了招标的将作为无效招标处理，由此产生的一切费用和损失由乙方承担，甲方不承担任何责任。同时，根据国家强制免疫工作要求，如果将强制免疫病种疫苗毒株进行更换或调整的，乙方应根据农业农村部调整的疫苗毒株进行生产，并按合同签订的数量向甲方提供调整后的疫苗。</w:t>
      </w:r>
    </w:p>
    <w:p>
      <w:pPr>
        <w:tabs>
          <w:tab w:val="left" w:pos="840"/>
        </w:tabs>
        <w:adjustRightInd w:val="0"/>
        <w:snapToGrid w:val="0"/>
        <w:spacing w:line="360" w:lineRule="auto"/>
        <w:rPr>
          <w:rFonts w:ascii="宋体" w:hAnsi="宋体" w:cs="宋体"/>
          <w:b/>
          <w:sz w:val="24"/>
        </w:rPr>
      </w:pPr>
      <w:r>
        <w:rPr>
          <w:rFonts w:hint="eastAsia" w:ascii="宋体" w:hAnsi="宋体" w:cs="宋体"/>
          <w:sz w:val="24"/>
        </w:rPr>
        <w:t>4</w:t>
      </w:r>
      <w:r>
        <w:rPr>
          <w:rFonts w:hint="eastAsia" w:ascii="宋体" w:hAnsi="宋体" w:cs="宋体"/>
          <w:b/>
          <w:sz w:val="24"/>
        </w:rPr>
        <w:t>、合同金额：</w:t>
      </w:r>
    </w:p>
    <w:p>
      <w:pPr>
        <w:adjustRightInd w:val="0"/>
        <w:snapToGrid w:val="0"/>
        <w:spacing w:line="360" w:lineRule="auto"/>
        <w:ind w:firstLine="480" w:firstLineChars="200"/>
        <w:rPr>
          <w:rFonts w:hint="eastAsia" w:ascii="宋体" w:hAnsi="宋体" w:eastAsia="宋体" w:cs="宋体"/>
          <w:sz w:val="24"/>
          <w:u w:val="single"/>
          <w:lang w:eastAsia="zh-CN"/>
        </w:rPr>
      </w:pPr>
      <w:r>
        <w:rPr>
          <w:rFonts w:hint="eastAsia" w:ascii="宋体" w:hAnsi="宋体" w:cs="宋体"/>
          <w:sz w:val="24"/>
        </w:rPr>
        <w:t>小写：</w:t>
      </w:r>
      <w:r>
        <w:rPr>
          <w:rFonts w:hint="eastAsia" w:ascii="宋体" w:hAnsi="宋体" w:cs="宋体"/>
          <w:sz w:val="24"/>
          <w:u w:val="single"/>
        </w:rPr>
        <w:t xml:space="preserve">¥   ，   ，   .00 </w:t>
      </w:r>
    </w:p>
    <w:p>
      <w:pPr>
        <w:adjustRightInd w:val="0"/>
        <w:snapToGrid w:val="0"/>
        <w:spacing w:line="360" w:lineRule="auto"/>
        <w:ind w:firstLine="480" w:firstLineChars="200"/>
        <w:rPr>
          <w:rFonts w:ascii="宋体" w:hAnsi="宋体" w:cs="宋体"/>
          <w:sz w:val="24"/>
          <w:u w:val="single"/>
        </w:rPr>
      </w:pPr>
      <w:r>
        <w:rPr>
          <w:rFonts w:hint="eastAsia" w:ascii="宋体" w:hAnsi="宋体" w:cs="宋体"/>
          <w:sz w:val="24"/>
        </w:rPr>
        <w:t>大写：</w:t>
      </w:r>
    </w:p>
    <w:p>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rPr>
        <w:t>数量：</w:t>
      </w:r>
    </w:p>
    <w:p>
      <w:pPr>
        <w:tabs>
          <w:tab w:val="left" w:pos="840"/>
        </w:tabs>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包装要求：不论采取何种包装形式，卖方均需确保货品无破损，无污染，且方便二次运输。产品包装按照大小包装分配成一定比例供货，而且标识清楚，以方便散养动物免疫注射使用，避免造成疫苗浪费。因包装不当造成的损失由卖方负责，包退包换。</w:t>
      </w:r>
    </w:p>
    <w:p>
      <w:pPr>
        <w:pStyle w:val="10"/>
        <w:numPr>
          <w:ilvl w:val="0"/>
          <w:numId w:val="0"/>
        </w:numPr>
        <w:rPr>
          <w:rFonts w:hint="default" w:eastAsia="黑体"/>
          <w:highlight w:val="none"/>
          <w:lang w:val="en-US" w:eastAsia="zh-CN"/>
        </w:rPr>
      </w:pPr>
      <w:r>
        <w:rPr>
          <w:rFonts w:hint="eastAsia"/>
          <w:highlight w:val="none"/>
          <w:lang w:val="en-US" w:eastAsia="zh-CN"/>
        </w:rPr>
        <w:t>备注：政府资金由阿勒泰地区动物疾控中心拨付，其余资金由各县、市、景区自行承担。</w:t>
      </w:r>
    </w:p>
    <w:p>
      <w:pPr>
        <w:adjustRightInd w:val="0"/>
        <w:snapToGrid w:val="0"/>
        <w:spacing w:line="360" w:lineRule="auto"/>
        <w:rPr>
          <w:rFonts w:ascii="宋体" w:hAnsi="宋体" w:cs="宋体"/>
          <w:b/>
          <w:sz w:val="24"/>
          <w:highlight w:val="none"/>
        </w:rPr>
      </w:pPr>
      <w:r>
        <w:rPr>
          <w:rFonts w:hint="eastAsia" w:ascii="宋体" w:hAnsi="宋体" w:cs="宋体"/>
          <w:b/>
          <w:sz w:val="24"/>
          <w:highlight w:val="none"/>
        </w:rPr>
        <w:t>五、交货时间、交货地点和验收单位：</w:t>
      </w:r>
    </w:p>
    <w:p>
      <w:pPr>
        <w:adjustRightInd w:val="0"/>
        <w:snapToGrid w:val="0"/>
        <w:spacing w:line="360" w:lineRule="auto"/>
        <w:ind w:firstLine="480" w:firstLineChars="200"/>
        <w:rPr>
          <w:rFonts w:ascii="宋体" w:hAnsi="宋体" w:cs="宋体"/>
          <w:sz w:val="24"/>
        </w:rPr>
      </w:pPr>
      <w:r>
        <w:rPr>
          <w:rFonts w:hint="eastAsia" w:ascii="宋体" w:hAnsi="宋体" w:cs="宋体"/>
          <w:sz w:val="24"/>
          <w:highlight w:val="none"/>
        </w:rPr>
        <w:t>（1）交货时间和地点：接到通知后，在规定时间内运达</w:t>
      </w:r>
      <w:r>
        <w:rPr>
          <w:rFonts w:hint="eastAsia" w:ascii="宋体" w:hAnsi="宋体" w:cs="宋体"/>
          <w:sz w:val="24"/>
          <w:highlight w:val="none"/>
          <w:lang w:eastAsia="zh-CN"/>
        </w:rPr>
        <w:t>阿勒</w:t>
      </w:r>
      <w:r>
        <w:rPr>
          <w:rFonts w:hint="eastAsia" w:ascii="宋体" w:hAnsi="宋体" w:cs="宋体"/>
          <w:sz w:val="24"/>
          <w:lang w:eastAsia="zh-CN"/>
        </w:rPr>
        <w:t>泰地区动物疾病控制与诊断中心</w:t>
      </w:r>
      <w:r>
        <w:rPr>
          <w:rFonts w:hint="eastAsia" w:ascii="宋体" w:hAnsi="宋体" w:cs="宋体"/>
          <w:sz w:val="24"/>
        </w:rPr>
        <w:t>动物疫苗储备库。</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（2）验收单位：收货单位为疫苗验收第一责任单位，</w:t>
      </w:r>
      <w:r>
        <w:rPr>
          <w:rFonts w:hint="eastAsia" w:ascii="宋体" w:hAnsi="宋体" w:cs="宋体"/>
          <w:sz w:val="24"/>
          <w:lang w:eastAsia="zh-CN"/>
        </w:rPr>
        <w:t>阿勒泰地区动物疾病控制与诊断中心</w:t>
      </w:r>
      <w:r>
        <w:rPr>
          <w:rFonts w:hint="eastAsia" w:ascii="宋体" w:hAnsi="宋体" w:cs="宋体"/>
          <w:sz w:val="24"/>
        </w:rPr>
        <w:t>负责疫苗验收工作。</w:t>
      </w:r>
    </w:p>
    <w:p>
      <w:pPr>
        <w:adjustRightInd w:val="0"/>
        <w:snapToGrid w:val="0"/>
        <w:spacing w:line="360" w:lineRule="auto"/>
        <w:rPr>
          <w:rFonts w:ascii="宋体" w:hAnsi="宋体" w:cs="宋体"/>
          <w:sz w:val="24"/>
        </w:rPr>
      </w:pPr>
      <w:r>
        <w:rPr>
          <w:rFonts w:hint="eastAsia" w:ascii="宋体" w:hAnsi="宋体" w:cs="宋体"/>
          <w:b/>
          <w:bCs/>
          <w:sz w:val="24"/>
          <w:szCs w:val="24"/>
        </w:rPr>
        <w:t>六</w:t>
      </w:r>
      <w:r>
        <w:rPr>
          <w:rFonts w:hint="eastAsia" w:ascii="宋体" w:hAnsi="宋体" w:cs="宋体"/>
          <w:b/>
          <w:bCs/>
        </w:rPr>
        <w:t>、</w:t>
      </w:r>
      <w:r>
        <w:rPr>
          <w:rFonts w:hint="eastAsia" w:ascii="宋体" w:hAnsi="宋体" w:cs="宋体"/>
          <w:b/>
          <w:sz w:val="24"/>
        </w:rPr>
        <w:t>验收方式：双方</w:t>
      </w:r>
      <w:r>
        <w:rPr>
          <w:rFonts w:hint="eastAsia" w:ascii="宋体" w:hAnsi="宋体" w:cs="宋体"/>
          <w:sz w:val="24"/>
        </w:rPr>
        <w:t>在</w:t>
      </w:r>
      <w:r>
        <w:rPr>
          <w:rFonts w:hint="eastAsia" w:ascii="宋体" w:hAnsi="宋体" w:cs="宋体"/>
          <w:sz w:val="24"/>
          <w:u w:val="single"/>
          <w:lang w:val="en-US" w:eastAsia="zh-CN"/>
        </w:rPr>
        <w:t xml:space="preserve">              </w:t>
      </w:r>
      <w:r>
        <w:rPr>
          <w:rFonts w:hint="eastAsia" w:ascii="宋体" w:hAnsi="宋体" w:cs="宋体"/>
          <w:sz w:val="24"/>
        </w:rPr>
        <w:t>交货验收，如发现损坏、缺件等问题，由乙方负责更换和补齐。</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（1）甲方应在10个工作日内完成到货验收工作，验收合格后在验收单上签署 “验收合格”字样。</w:t>
      </w:r>
    </w:p>
    <w:p>
      <w:pPr>
        <w:adjustRightInd w:val="0"/>
        <w:snapToGrid w:val="0"/>
        <w:spacing w:line="360" w:lineRule="auto"/>
        <w:ind w:firstLine="480" w:firstLineChars="200"/>
        <w:jc w:val="left"/>
        <w:rPr>
          <w:rFonts w:ascii="宋体" w:hAnsi="宋体" w:cs="宋体"/>
          <w:sz w:val="24"/>
        </w:rPr>
      </w:pPr>
      <w:r>
        <w:rPr>
          <w:rFonts w:hint="eastAsia" w:ascii="宋体" w:hAnsi="宋体" w:cs="宋体"/>
          <w:sz w:val="24"/>
        </w:rPr>
        <w:t>（2）甲方委托的验收人在疫苗验收中发现不符合合同要求和验收标准或有异议时，及时通知乙方，乙方应在接到通知后三天内给予答复，并负责处理，若需送法定质检部门检验，检验费用由乙方承担。如发现疫苗质量严重不符合质量要求的，甲方可通知乙方停止供货，解除合同，乙方自愿放弃一切抗辩权利。</w:t>
      </w:r>
    </w:p>
    <w:p>
      <w:pPr>
        <w:pStyle w:val="10"/>
        <w:numPr>
          <w:ilvl w:val="0"/>
          <w:numId w:val="0"/>
        </w:numPr>
      </w:pPr>
    </w:p>
    <w:p>
      <w:pPr>
        <w:adjustRightInd w:val="0"/>
        <w:snapToGrid w:val="0"/>
        <w:spacing w:line="360" w:lineRule="auto"/>
        <w:rPr>
          <w:rFonts w:ascii="宋体" w:hAnsi="宋体" w:cs="宋体"/>
          <w:sz w:val="24"/>
        </w:rPr>
      </w:pPr>
      <w:r>
        <w:rPr>
          <w:rFonts w:hint="eastAsia" w:ascii="宋体" w:hAnsi="宋体" w:cs="宋体"/>
          <w:b/>
          <w:bCs/>
          <w:sz w:val="24"/>
        </w:rPr>
        <w:t>七、付款方式：</w:t>
      </w:r>
      <w:r>
        <w:rPr>
          <w:rFonts w:hint="eastAsia" w:ascii="宋体" w:hAnsi="宋体" w:cs="宋体"/>
          <w:sz w:val="24"/>
        </w:rPr>
        <w:t>经疫苗接收单位验收合格后，凭验收合格证明、合同及按合同总价开据的发票（完税价），待资金到位后，由甲方支付全部货款。</w:t>
      </w:r>
    </w:p>
    <w:p>
      <w:pPr>
        <w:pStyle w:val="10"/>
        <w:numPr>
          <w:ilvl w:val="0"/>
          <w:numId w:val="0"/>
        </w:numPr>
      </w:pPr>
    </w:p>
    <w:p>
      <w:pPr>
        <w:adjustRightInd w:val="0"/>
        <w:snapToGrid w:val="0"/>
        <w:spacing w:line="360" w:lineRule="auto"/>
        <w:rPr>
          <w:rFonts w:ascii="宋体" w:hAnsi="宋体" w:cs="宋体"/>
          <w:b/>
          <w:bCs/>
          <w:sz w:val="24"/>
        </w:rPr>
      </w:pPr>
      <w:r>
        <w:rPr>
          <w:rFonts w:hint="eastAsia" w:ascii="宋体" w:hAnsi="宋体" w:cs="宋体"/>
          <w:b/>
          <w:bCs/>
          <w:sz w:val="24"/>
        </w:rPr>
        <w:t>八、乙方的义务和责任</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1、乙方所提供的动物疫苗符合国家现行有效标准，因质量问题而发生的任何损失均由乙方负责 。</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2、乙方承担交货前的一切风险和费用。</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3、乙方在发运疫苗时需提供相应的技术文件，包括使用说明等。</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4、乙方对所供产品保质期应按生产厂商的承诺执行(附生产厂家承诺)以实际产品招标文件要求执行。</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5、凡货款由财政国库或甲方支付的,乙方凭合同向甲方供货,未见合同供货而造成的一切后果由乙方负责。</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6、乙方不履行合同或交付的疫苗全部或部分不符合合同要求的，甲方或甲方委托验收人有权拒收不符合质量要求的全部或部分疫苗，乙方须向甲方支付疫苗价款总额10%的违约金。</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7、疫苗质量不符合合同规定时，乙方负责包退包换。由于上述原因导致延误交货时间的，每延误一日，供应方应按逾期交货部分疫苗价款总值的5‰向甲方偿付违约金。</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8、乙方必须按合同规定的日期交货，每逾期一日，乙方必须向甲方支付逾期交货疫苗总额5‰的违约金。逾期交货超过10日，甲方有权解除合同</w:t>
      </w:r>
      <w:r>
        <w:rPr>
          <w:rFonts w:hint="eastAsia" w:ascii="宋体" w:hAnsi="宋体" w:cs="宋体"/>
          <w:szCs w:val="28"/>
        </w:rPr>
        <w:t>，</w:t>
      </w:r>
      <w:r>
        <w:rPr>
          <w:rFonts w:hint="eastAsia" w:ascii="宋体" w:hAnsi="宋体" w:cs="宋体"/>
          <w:sz w:val="24"/>
        </w:rPr>
        <w:t>履约保证金不予退还。</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9、疫苗作为生物制品，在运输过程中必须按照生物制品运输保存的条件要求使用冷链进行运送，运输工具要配温度记录装置，疫苗接收单位将现场测温，对不符合动物疫苗运输条件的疫苗，疫苗接收单位有权拒收。由此造成的一切损失由乙方承担，而且由此延误了供苗时间造成的损失应由乙方负责补偿。</w:t>
      </w:r>
    </w:p>
    <w:p>
      <w:pPr>
        <w:pStyle w:val="10"/>
        <w:numPr>
          <w:ilvl w:val="0"/>
          <w:numId w:val="0"/>
        </w:numPr>
      </w:pPr>
    </w:p>
    <w:p>
      <w:pPr>
        <w:adjustRightInd w:val="0"/>
        <w:snapToGrid w:val="0"/>
        <w:spacing w:line="360" w:lineRule="auto"/>
        <w:rPr>
          <w:rFonts w:ascii="宋体" w:hAnsi="宋体" w:cs="宋体"/>
          <w:b/>
          <w:bCs/>
          <w:sz w:val="24"/>
        </w:rPr>
      </w:pPr>
      <w:r>
        <w:rPr>
          <w:rFonts w:hint="eastAsia" w:ascii="宋体" w:hAnsi="宋体" w:cs="宋体"/>
          <w:b/>
          <w:bCs/>
          <w:sz w:val="24"/>
        </w:rPr>
        <w:t>九、培训和售后服务</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(1)乙方应根据销售计划无偿为甲方提供畜禽免疫相关知识的培训，甲方可以提出培训计划，培训费用由乙方承担，培训对象为甲方确定的相关兽医技术人员。</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(2)因注射疫苗造成畜禽发病、死亡或经济损失的，供货厂家48小时内派人现场调查解决或由供需双方组成联合调查组认定，确认是由于疫苗质量引起的损失，将由供货厂家补偿。</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(3)如因注射疫苗暴发疫情，乙方与供货厂家应会同有关部门组成调查小组查清原因，确认是由产品质量原因造成，供货厂家应承担扑疫经费，并赔偿相应的经济损失。</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(4)如果某地区畜禽注射供应商提供的疫苗后出现规模性群体性动物不良反应，乙方应在24小时内派专业技术人员到达现场，进行采样、分析和解决问题，并承担不良反应所造成的一切损失；因疫苗原因造成畜禽群体性应激反应甚至死亡的，经甲方或其授权的县级以上动物疫病预防控制机构认定后，由乙方给予补偿相应损失。由于大多数动物疫苗普遍存在过敏反应和造成动物因注苗过敏死亡现象，目前国家尚未出台补偿标准和办法，个别畜禽因注苗发生死亡的情况，给防疫工作带来较大困难，疫苗生产企业应主动对受损失的养殖户进行补偿。</w:t>
      </w:r>
    </w:p>
    <w:p>
      <w:pPr>
        <w:adjustRightInd w:val="0"/>
        <w:snapToGrid w:val="0"/>
        <w:spacing w:line="360" w:lineRule="auto"/>
        <w:ind w:firstLine="240" w:firstLineChars="100"/>
        <w:rPr>
          <w:rFonts w:ascii="宋体" w:hAnsi="宋体" w:cs="宋体"/>
          <w:bCs/>
          <w:sz w:val="24"/>
        </w:rPr>
      </w:pPr>
      <w:r>
        <w:rPr>
          <w:rFonts w:hint="eastAsia" w:ascii="宋体" w:hAnsi="宋体" w:cs="宋体"/>
          <w:bCs/>
          <w:sz w:val="24"/>
        </w:rPr>
        <w:t>（5）经甲方组织对各类疫苗抗体效价测定，达不到国家要求的疫苗，停止继续使用，中止供苗合同，必要时要对提供疫苗造成的损失进行赔偿。</w:t>
      </w:r>
    </w:p>
    <w:p>
      <w:pPr>
        <w:adjustRightInd w:val="0"/>
        <w:snapToGrid w:val="0"/>
        <w:spacing w:line="360" w:lineRule="auto"/>
        <w:ind w:firstLine="480" w:firstLineChars="200"/>
        <w:rPr>
          <w:rFonts w:ascii="宋体" w:hAnsi="宋体" w:cs="宋体"/>
          <w:sz w:val="24"/>
        </w:rPr>
      </w:pPr>
    </w:p>
    <w:p>
      <w:pPr>
        <w:adjustRightInd w:val="0"/>
        <w:snapToGrid w:val="0"/>
        <w:spacing w:line="360" w:lineRule="auto"/>
        <w:rPr>
          <w:rFonts w:ascii="宋体" w:hAnsi="宋体" w:cs="宋体"/>
          <w:sz w:val="24"/>
        </w:rPr>
      </w:pPr>
      <w:r>
        <w:rPr>
          <w:rFonts w:hint="eastAsia" w:ascii="宋体" w:hAnsi="宋体" w:cs="宋体"/>
          <w:b/>
          <w:bCs/>
          <w:sz w:val="24"/>
        </w:rPr>
        <w:t>十、违约责任：</w:t>
      </w:r>
      <w:r>
        <w:rPr>
          <w:rFonts w:hint="eastAsia" w:ascii="宋体" w:hAnsi="宋体" w:cs="宋体"/>
          <w:sz w:val="24"/>
        </w:rPr>
        <w:t>乙方应依据合同规定时间按时交货，如不能按期交货或者所交货品存在严重质量问题，造成疫情或规模性群体性动物不良反应的，则乙方构成违约，由此给甲方带来的损失由乙方承担，甲方将视情节没收乙方的履约保证金，追究乙方的违约责任，乙方须向甲方支付疫苗价款总额20%的违约金。</w:t>
      </w:r>
    </w:p>
    <w:p>
      <w:pPr>
        <w:pStyle w:val="2"/>
        <w:rPr>
          <w:rFonts w:cs="宋体"/>
        </w:rPr>
      </w:pPr>
    </w:p>
    <w:p>
      <w:pPr>
        <w:adjustRightInd w:val="0"/>
        <w:snapToGrid w:val="0"/>
        <w:spacing w:line="360" w:lineRule="auto"/>
        <w:rPr>
          <w:rFonts w:ascii="宋体" w:hAnsi="宋体" w:cs="宋体"/>
          <w:b/>
          <w:sz w:val="24"/>
        </w:rPr>
      </w:pPr>
      <w:r>
        <w:rPr>
          <w:rFonts w:hint="eastAsia" w:ascii="宋体" w:hAnsi="宋体" w:cs="宋体"/>
          <w:b/>
          <w:sz w:val="24"/>
        </w:rPr>
        <w:t>十一、合同解释：</w:t>
      </w:r>
    </w:p>
    <w:p>
      <w:pPr>
        <w:adjustRightInd w:val="0"/>
        <w:snapToGrid w:val="0"/>
        <w:spacing w:line="360" w:lineRule="auto"/>
        <w:rPr>
          <w:rFonts w:ascii="宋体" w:hAnsi="宋体" w:cs="宋体"/>
          <w:sz w:val="24"/>
        </w:rPr>
      </w:pPr>
      <w:r>
        <w:rPr>
          <w:rFonts w:hint="eastAsia" w:ascii="宋体" w:hAnsi="宋体" w:cs="宋体"/>
          <w:sz w:val="24"/>
        </w:rPr>
        <w:t xml:space="preserve">如合同条文存在歧义，《民法典》又无明文规定，依照交易习惯和采购当事人招标文件、投标文件以及订立合同的目的做合理并且善意的解释，以维护交易安全和社会的公序良俗。 </w:t>
      </w:r>
    </w:p>
    <w:p>
      <w:pPr>
        <w:adjustRightInd w:val="0"/>
        <w:snapToGrid w:val="0"/>
        <w:spacing w:line="360" w:lineRule="auto"/>
        <w:rPr>
          <w:rFonts w:ascii="宋体" w:hAnsi="宋体" w:cs="宋体"/>
          <w:b/>
          <w:sz w:val="24"/>
        </w:rPr>
      </w:pPr>
      <w:r>
        <w:rPr>
          <w:rFonts w:hint="eastAsia" w:ascii="宋体" w:hAnsi="宋体" w:cs="宋体"/>
          <w:b/>
          <w:sz w:val="24"/>
        </w:rPr>
        <w:t>招标文件、投标文件，供应商在评标过程中的承诺文件，合同所附供货一览表均为本合同不可分割的一部分。如果供货一览表的内容与招、投标文件和评标结果表不一致时，以招、投标文件和评标结果表为准。</w:t>
      </w:r>
    </w:p>
    <w:p>
      <w:pPr>
        <w:adjustRightInd w:val="0"/>
        <w:snapToGrid w:val="0"/>
        <w:spacing w:line="360" w:lineRule="auto"/>
        <w:ind w:firstLine="480" w:firstLineChars="200"/>
        <w:rPr>
          <w:rFonts w:ascii="宋体" w:hAnsi="宋体" w:cs="宋体"/>
          <w:sz w:val="24"/>
        </w:rPr>
      </w:pPr>
    </w:p>
    <w:p>
      <w:pPr>
        <w:adjustRightInd w:val="0"/>
        <w:snapToGrid w:val="0"/>
        <w:spacing w:line="360" w:lineRule="auto"/>
        <w:rPr>
          <w:rFonts w:ascii="宋体" w:hAnsi="宋体" w:cs="宋体"/>
          <w:b/>
          <w:sz w:val="24"/>
        </w:rPr>
      </w:pPr>
      <w:r>
        <w:rPr>
          <w:rFonts w:hint="eastAsia" w:ascii="宋体" w:hAnsi="宋体" w:cs="宋体"/>
          <w:b/>
          <w:sz w:val="24"/>
        </w:rPr>
        <w:t>十二、争议解决</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本合同执行过程中发生的一切争议，双方应通过友好协商解决，如协商不能解决，任何一方均可向甲方所在地人民法院诉讼解决。</w:t>
      </w:r>
    </w:p>
    <w:p>
      <w:pPr>
        <w:adjustRightInd w:val="0"/>
        <w:snapToGrid w:val="0"/>
        <w:spacing w:line="360" w:lineRule="auto"/>
        <w:rPr>
          <w:rFonts w:ascii="宋体" w:hAnsi="宋体" w:cs="宋体"/>
          <w:b/>
          <w:sz w:val="24"/>
        </w:rPr>
      </w:pPr>
      <w:r>
        <w:rPr>
          <w:rFonts w:hint="eastAsia" w:ascii="宋体" w:hAnsi="宋体" w:cs="宋体"/>
          <w:b/>
          <w:sz w:val="24"/>
        </w:rPr>
        <w:t>十三、合同生效</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本合同经买卖双方签字盖章后且买方收到卖方提交的履约保证金后生效。本合同具有法律效力，受国家法律保护。</w:t>
      </w:r>
    </w:p>
    <w:p>
      <w:pPr>
        <w:adjustRightInd w:val="0"/>
        <w:snapToGrid w:val="0"/>
        <w:spacing w:line="360" w:lineRule="auto"/>
        <w:rPr>
          <w:rFonts w:ascii="宋体" w:hAnsi="宋体" w:cs="宋体"/>
          <w:b/>
          <w:sz w:val="24"/>
        </w:rPr>
      </w:pPr>
      <w:r>
        <w:rPr>
          <w:rFonts w:hint="eastAsia" w:ascii="宋体" w:hAnsi="宋体" w:cs="宋体"/>
          <w:b/>
          <w:sz w:val="24"/>
        </w:rPr>
        <w:t>十四、合同份数</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本合同一式六份，</w:t>
      </w:r>
      <w:r>
        <w:rPr>
          <w:rFonts w:hint="eastAsia" w:ascii="宋体" w:hAnsi="宋体" w:cs="宋体"/>
          <w:sz w:val="24"/>
          <w:lang w:eastAsia="zh-CN"/>
        </w:rPr>
        <w:t>阿勒泰地区动物疾病控制与诊断中心</w:t>
      </w:r>
      <w:r>
        <w:rPr>
          <w:rFonts w:hint="eastAsia" w:ascii="宋体" w:hAnsi="宋体" w:cs="宋体"/>
          <w:sz w:val="24"/>
        </w:rPr>
        <w:t>一份，甲乙双方各执二份，招标代理机构一份。</w:t>
      </w:r>
    </w:p>
    <w:p>
      <w:pPr>
        <w:adjustRightInd w:val="0"/>
        <w:snapToGrid w:val="0"/>
        <w:spacing w:line="360" w:lineRule="auto"/>
        <w:rPr>
          <w:rFonts w:ascii="宋体" w:hAnsi="宋体" w:cs="宋体"/>
          <w:b/>
          <w:sz w:val="24"/>
        </w:rPr>
      </w:pPr>
      <w:r>
        <w:rPr>
          <w:rFonts w:hint="eastAsia" w:ascii="宋体" w:hAnsi="宋体" w:cs="宋体"/>
          <w:b/>
          <w:sz w:val="24"/>
        </w:rPr>
        <w:t>十五、其他</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其它未尽事宜由买卖双方协商约定。另定补充协议，补充协议与本协议具有同等法律效力。</w:t>
      </w:r>
    </w:p>
    <w:p>
      <w:pPr>
        <w:widowControl/>
        <w:spacing w:line="360" w:lineRule="auto"/>
        <w:jc w:val="left"/>
        <w:rPr>
          <w:rFonts w:ascii="宋体" w:hAnsi="宋体" w:cs="宋体"/>
          <w:b/>
          <w:color w:val="333333"/>
          <w:kern w:val="0"/>
          <w:sz w:val="24"/>
          <w:szCs w:val="24"/>
        </w:rPr>
      </w:pPr>
    </w:p>
    <w:p>
      <w:pPr>
        <w:widowControl/>
        <w:spacing w:line="360" w:lineRule="auto"/>
        <w:jc w:val="left"/>
        <w:rPr>
          <w:rFonts w:ascii="宋体" w:hAnsi="宋体" w:cs="宋体"/>
          <w:b/>
          <w:color w:val="333333"/>
          <w:kern w:val="0"/>
          <w:sz w:val="24"/>
          <w:szCs w:val="24"/>
        </w:rPr>
      </w:pPr>
    </w:p>
    <w:p>
      <w:pPr>
        <w:widowControl/>
        <w:spacing w:line="360" w:lineRule="auto"/>
        <w:jc w:val="left"/>
        <w:rPr>
          <w:rFonts w:ascii="宋体" w:hAnsi="宋体" w:cs="宋体"/>
          <w:b/>
          <w:color w:val="333333"/>
          <w:kern w:val="0"/>
          <w:sz w:val="24"/>
          <w:szCs w:val="24"/>
        </w:rPr>
      </w:pPr>
      <w:r>
        <w:rPr>
          <w:rFonts w:hint="eastAsia" w:ascii="宋体" w:hAnsi="宋体" w:cs="宋体"/>
          <w:b/>
          <w:color w:val="333333"/>
          <w:kern w:val="0"/>
          <w:sz w:val="24"/>
          <w:szCs w:val="24"/>
        </w:rPr>
        <w:t>甲方采购方：（盖章）              乙方供货服务方：（盖章）</w:t>
      </w:r>
    </w:p>
    <w:p>
      <w:pPr>
        <w:widowControl/>
        <w:spacing w:line="360" w:lineRule="auto"/>
        <w:jc w:val="left"/>
        <w:rPr>
          <w:rFonts w:ascii="宋体" w:hAnsi="宋体" w:cs="宋体"/>
          <w:color w:val="333333"/>
          <w:kern w:val="0"/>
          <w:sz w:val="24"/>
          <w:szCs w:val="24"/>
        </w:rPr>
      </w:pPr>
      <w:r>
        <w:rPr>
          <w:rFonts w:hint="eastAsia" w:ascii="宋体" w:hAnsi="宋体" w:cs="宋体"/>
          <w:color w:val="333333"/>
          <w:kern w:val="0"/>
          <w:sz w:val="24"/>
          <w:szCs w:val="24"/>
        </w:rPr>
        <w:t>法人代表：                        法人代表：</w:t>
      </w:r>
    </w:p>
    <w:p>
      <w:pPr>
        <w:widowControl/>
        <w:spacing w:line="360" w:lineRule="auto"/>
        <w:jc w:val="left"/>
        <w:rPr>
          <w:rFonts w:ascii="宋体" w:hAnsi="宋体" w:cs="宋体"/>
          <w:color w:val="333333"/>
          <w:sz w:val="24"/>
          <w:szCs w:val="24"/>
        </w:rPr>
      </w:pPr>
      <w:r>
        <w:rPr>
          <w:rFonts w:hint="eastAsia" w:ascii="宋体" w:hAnsi="宋体" w:cs="宋体"/>
          <w:color w:val="333333"/>
          <w:kern w:val="0"/>
          <w:sz w:val="24"/>
          <w:szCs w:val="24"/>
        </w:rPr>
        <w:t>委托人：                          委托人：</w:t>
      </w:r>
    </w:p>
    <w:p>
      <w:pPr>
        <w:widowControl/>
        <w:spacing w:line="360" w:lineRule="auto"/>
        <w:jc w:val="left"/>
        <w:rPr>
          <w:rFonts w:ascii="仿宋" w:hAnsi="仿宋" w:eastAsia="仿宋"/>
          <w:sz w:val="30"/>
          <w:szCs w:val="30"/>
        </w:rPr>
      </w:pPr>
      <w:r>
        <w:rPr>
          <w:rFonts w:hint="eastAsia" w:ascii="宋体" w:hAnsi="宋体" w:cs="宋体"/>
          <w:color w:val="333333"/>
          <w:kern w:val="0"/>
          <w:sz w:val="24"/>
          <w:szCs w:val="24"/>
        </w:rPr>
        <w:t>日 期：                           日期：</w:t>
      </w:r>
    </w:p>
    <w:p>
      <w:pPr>
        <w:pStyle w:val="10"/>
        <w:numPr>
          <w:ilvl w:val="0"/>
          <w:numId w:val="0"/>
        </w:numPr>
      </w:pPr>
    </w:p>
    <w:p>
      <w:pPr>
        <w:pStyle w:val="10"/>
        <w:numPr>
          <w:ilvl w:val="0"/>
          <w:numId w:val="0"/>
        </w:numPr>
      </w:pPr>
    </w:p>
    <w:p>
      <w:pPr>
        <w:rPr>
          <w:rFonts w:ascii="黑体" w:hAnsi="黑体" w:eastAsia="黑体" w:cs="黑体"/>
          <w:bCs/>
          <w:sz w:val="32"/>
          <w:szCs w:val="32"/>
        </w:rPr>
      </w:pPr>
      <w:r>
        <w:rPr>
          <w:rFonts w:hint="eastAsia" w:ascii="黑体" w:hAnsi="黑体" w:eastAsia="黑体" w:cs="黑体"/>
          <w:bCs/>
          <w:sz w:val="32"/>
          <w:szCs w:val="32"/>
        </w:rPr>
        <w:br w:type="page"/>
      </w:r>
    </w:p>
    <w:p>
      <w:pPr>
        <w:spacing w:line="440" w:lineRule="exact"/>
        <w:jc w:val="center"/>
        <w:outlineLvl w:val="0"/>
        <w:rPr>
          <w:rFonts w:ascii="宋体" w:hAnsi="宋体" w:cs="宋体"/>
          <w:b/>
          <w:sz w:val="24"/>
          <w:szCs w:val="24"/>
        </w:rPr>
      </w:pPr>
      <w:bookmarkStart w:id="24" w:name="_Toc25473"/>
      <w:r>
        <w:rPr>
          <w:rFonts w:hint="eastAsia" w:ascii="黑体" w:hAnsi="黑体" w:eastAsia="黑体" w:cs="黑体"/>
          <w:bCs/>
          <w:sz w:val="32"/>
          <w:szCs w:val="32"/>
        </w:rPr>
        <w:t>第四章 技术标准和服务要求</w:t>
      </w:r>
      <w:bookmarkEnd w:id="24"/>
      <w:bookmarkStart w:id="25" w:name="_Toc138638907"/>
      <w:bookmarkEnd w:id="25"/>
      <w:bookmarkStart w:id="26" w:name="_Toc138639145"/>
      <w:bookmarkEnd w:id="26"/>
      <w:bookmarkStart w:id="27" w:name="_Toc138638534"/>
      <w:bookmarkEnd w:id="27"/>
      <w:bookmarkStart w:id="28" w:name="_Toc138639074"/>
      <w:bookmarkEnd w:id="28"/>
      <w:bookmarkStart w:id="29" w:name="_Toc138638718"/>
      <w:bookmarkEnd w:id="29"/>
      <w:bookmarkStart w:id="30" w:name="_Toc138638906"/>
      <w:bookmarkEnd w:id="30"/>
      <w:bookmarkStart w:id="31" w:name="_Toc138638509"/>
      <w:bookmarkEnd w:id="31"/>
      <w:bookmarkStart w:id="32" w:name="_Toc138638538"/>
      <w:bookmarkEnd w:id="32"/>
      <w:bookmarkStart w:id="33" w:name="_Toc138638702"/>
      <w:bookmarkEnd w:id="33"/>
      <w:bookmarkStart w:id="34" w:name="_Toc138638773"/>
      <w:bookmarkEnd w:id="34"/>
      <w:bookmarkStart w:id="35" w:name="_合同文件的组成及解释顺序"/>
      <w:bookmarkEnd w:id="35"/>
      <w:bookmarkStart w:id="36" w:name="_Toc138639090"/>
      <w:bookmarkEnd w:id="36"/>
      <w:bookmarkStart w:id="37" w:name="_Toc138638719"/>
      <w:bookmarkEnd w:id="37"/>
      <w:bookmarkStart w:id="38" w:name="_Toc138639091"/>
      <w:bookmarkEnd w:id="38"/>
      <w:bookmarkStart w:id="39" w:name="_Toc138638510"/>
      <w:bookmarkEnd w:id="39"/>
      <w:bookmarkStart w:id="40" w:name="_Toc138638535"/>
      <w:bookmarkEnd w:id="40"/>
      <w:bookmarkStart w:id="41" w:name="_Toc138638883"/>
      <w:bookmarkEnd w:id="41"/>
      <w:bookmarkStart w:id="42" w:name="_Toc138638884"/>
      <w:bookmarkEnd w:id="42"/>
      <w:bookmarkStart w:id="43" w:name="_Toc138638910"/>
      <w:bookmarkEnd w:id="43"/>
    </w:p>
    <w:p>
      <w:pPr>
        <w:pStyle w:val="2"/>
        <w:rPr>
          <w:rFonts w:cs="宋体"/>
          <w:color w:val="000000"/>
          <w:kern w:val="0"/>
          <w:sz w:val="24"/>
        </w:rPr>
      </w:pPr>
    </w:p>
    <w:p>
      <w:pPr>
        <w:numPr>
          <w:ilvl w:val="0"/>
          <w:numId w:val="4"/>
        </w:numPr>
        <w:tabs>
          <w:tab w:val="center" w:pos="4832"/>
          <w:tab w:val="left" w:pos="7140"/>
        </w:tabs>
        <w:spacing w:line="360" w:lineRule="auto"/>
        <w:jc w:val="center"/>
        <w:outlineLvl w:val="1"/>
        <w:rPr>
          <w:rFonts w:ascii="宋体" w:hAnsi="宋体" w:cs="宋体"/>
          <w:b/>
          <w:sz w:val="24"/>
          <w:szCs w:val="24"/>
        </w:rPr>
      </w:pPr>
      <w:bookmarkStart w:id="44" w:name="_Toc16551"/>
      <w:r>
        <w:rPr>
          <w:rFonts w:hint="eastAsia" w:ascii="宋体" w:hAnsi="宋体" w:cs="宋体"/>
          <w:b/>
          <w:bCs/>
          <w:sz w:val="24"/>
          <w:szCs w:val="24"/>
          <w:lang w:val="en-US" w:eastAsia="zh-CN"/>
        </w:rPr>
        <w:t>阿勒泰地区2023年动物疫苗采购项目（二包）</w:t>
      </w:r>
      <w:r>
        <w:rPr>
          <w:rFonts w:hint="eastAsia" w:ascii="宋体" w:hAnsi="宋体" w:cs="宋体"/>
          <w:b/>
          <w:bCs/>
          <w:sz w:val="24"/>
          <w:szCs w:val="24"/>
        </w:rPr>
        <w:t>需求技术参数</w:t>
      </w:r>
      <w:bookmarkEnd w:id="44"/>
    </w:p>
    <w:tbl>
      <w:tblPr>
        <w:tblStyle w:val="20"/>
        <w:tblpPr w:leftFromText="180" w:rightFromText="180" w:vertAnchor="text" w:horzAnchor="page" w:tblpX="1411" w:tblpY="219"/>
        <w:tblOverlap w:val="never"/>
        <w:tblW w:w="10200" w:type="dxa"/>
        <w:tblInd w:w="0" w:type="dxa"/>
        <w:tblLayout w:type="fixed"/>
        <w:tblCellMar>
          <w:top w:w="0" w:type="dxa"/>
          <w:left w:w="0" w:type="dxa"/>
          <w:bottom w:w="0" w:type="dxa"/>
          <w:right w:w="0" w:type="dxa"/>
        </w:tblCellMar>
      </w:tblPr>
      <w:tblGrid>
        <w:gridCol w:w="607"/>
        <w:gridCol w:w="2259"/>
        <w:gridCol w:w="1234"/>
        <w:gridCol w:w="1234"/>
        <w:gridCol w:w="3632"/>
        <w:gridCol w:w="618"/>
        <w:gridCol w:w="616"/>
      </w:tblGrid>
      <w:tr>
        <w:tblPrEx>
          <w:tblCellMar>
            <w:top w:w="0" w:type="dxa"/>
            <w:left w:w="0" w:type="dxa"/>
            <w:bottom w:w="0" w:type="dxa"/>
            <w:right w:w="0" w:type="dxa"/>
          </w:tblCellMar>
        </w:tblPrEx>
        <w:trPr>
          <w:trHeight w:val="720" w:hRule="atLeast"/>
        </w:trPr>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b/>
                <w:bCs/>
                <w:sz w:val="24"/>
                <w:szCs w:val="24"/>
              </w:rPr>
            </w:pPr>
            <w:r>
              <w:rPr>
                <w:rFonts w:hint="eastAsia" w:ascii="宋体" w:hAnsi="宋体" w:cs="宋体"/>
                <w:b/>
                <w:bCs/>
                <w:sz w:val="24"/>
                <w:szCs w:val="24"/>
              </w:rPr>
              <w:t>序号</w:t>
            </w:r>
          </w:p>
        </w:tc>
        <w:tc>
          <w:tcPr>
            <w:tcW w:w="2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b/>
                <w:bCs/>
                <w:sz w:val="24"/>
                <w:szCs w:val="24"/>
              </w:rPr>
            </w:pPr>
            <w:r>
              <w:rPr>
                <w:rFonts w:hint="eastAsia" w:ascii="宋体" w:hAnsi="宋体" w:cs="宋体"/>
                <w:b/>
                <w:bCs/>
                <w:sz w:val="24"/>
                <w:szCs w:val="24"/>
              </w:rPr>
              <w:t>疫苗品名</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bCs/>
                <w:sz w:val="24"/>
                <w:szCs w:val="24"/>
                <w:lang w:val="en-US" w:eastAsia="zh-CN"/>
              </w:rPr>
            </w:pPr>
            <w:r>
              <w:rPr>
                <w:rFonts w:hint="eastAsia" w:ascii="宋体" w:hAnsi="宋体" w:cs="宋体"/>
                <w:b/>
                <w:bCs/>
                <w:sz w:val="24"/>
                <w:szCs w:val="24"/>
                <w:lang w:val="en-US" w:eastAsia="zh-CN"/>
              </w:rPr>
              <w:t>数量</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bCs/>
                <w:sz w:val="24"/>
                <w:szCs w:val="24"/>
                <w:lang w:eastAsia="zh-CN"/>
              </w:rPr>
            </w:pPr>
            <w:r>
              <w:rPr>
                <w:rFonts w:hint="eastAsia" w:ascii="宋体" w:hAnsi="宋体" w:cs="宋体"/>
                <w:b/>
                <w:bCs/>
                <w:sz w:val="24"/>
                <w:szCs w:val="24"/>
                <w:lang w:eastAsia="zh-CN"/>
              </w:rPr>
              <w:t>单位</w:t>
            </w:r>
          </w:p>
        </w:tc>
        <w:tc>
          <w:tcPr>
            <w:tcW w:w="4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b/>
                <w:bCs/>
                <w:sz w:val="24"/>
                <w:szCs w:val="24"/>
              </w:rPr>
            </w:pPr>
            <w:r>
              <w:rPr>
                <w:rFonts w:hint="eastAsia" w:ascii="宋体" w:hAnsi="宋体" w:cs="宋体"/>
                <w:b/>
                <w:bCs/>
                <w:sz w:val="24"/>
                <w:szCs w:val="24"/>
              </w:rPr>
              <w:t>主要技术参数及要求</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宋体" w:hAnsi="宋体" w:cs="宋体"/>
                <w:b/>
                <w:bCs/>
                <w:sz w:val="24"/>
                <w:szCs w:val="24"/>
              </w:rPr>
            </w:pPr>
            <w:r>
              <w:rPr>
                <w:rFonts w:hint="eastAsia" w:ascii="宋体" w:hAnsi="宋体" w:cs="宋体"/>
                <w:b/>
                <w:bCs/>
                <w:sz w:val="24"/>
                <w:szCs w:val="24"/>
              </w:rPr>
              <w:t>备注</w:t>
            </w:r>
          </w:p>
        </w:tc>
      </w:tr>
      <w:tr>
        <w:tblPrEx>
          <w:tblCellMar>
            <w:top w:w="0" w:type="dxa"/>
            <w:left w:w="0" w:type="dxa"/>
            <w:bottom w:w="0" w:type="dxa"/>
            <w:right w:w="0" w:type="dxa"/>
          </w:tblCellMar>
        </w:tblPrEx>
        <w:trPr>
          <w:trHeight w:val="720" w:hRule="atLeast"/>
        </w:trPr>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rPr>
              <w:t>1</w:t>
            </w:r>
          </w:p>
        </w:tc>
        <w:tc>
          <w:tcPr>
            <w:tcW w:w="2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rPr>
              <w:t>牛口蹄疫O、A二价灭活苗</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cs="宋体"/>
                <w:color w:val="000000"/>
                <w:kern w:val="0"/>
                <w:szCs w:val="21"/>
                <w:lang w:val="en-US" w:eastAsia="zh-CN"/>
              </w:rPr>
            </w:pPr>
            <w:r>
              <w:rPr>
                <w:rFonts w:hint="eastAsia" w:ascii="宋体" w:hAnsi="宋体" w:cs="宋体"/>
                <w:color w:val="auto"/>
                <w:kern w:val="0"/>
                <w:sz w:val="24"/>
                <w:szCs w:val="24"/>
                <w:highlight w:val="none"/>
                <w:lang w:val="en-US" w:eastAsia="zh-CN" w:bidi="ar-SA"/>
              </w:rPr>
              <w:t>46.28</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lang w:eastAsia="zh-CN"/>
              </w:rPr>
            </w:pPr>
            <w:r>
              <w:rPr>
                <w:rFonts w:hint="eastAsia" w:ascii="宋体" w:hAnsi="宋体" w:cs="宋体"/>
                <w:color w:val="000000"/>
                <w:kern w:val="0"/>
                <w:szCs w:val="21"/>
                <w:lang w:val="en-US" w:eastAsia="zh-CN"/>
              </w:rPr>
              <w:t>万头份</w:t>
            </w:r>
          </w:p>
        </w:tc>
        <w:tc>
          <w:tcPr>
            <w:tcW w:w="4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1.规格：50、100毫升/瓶。</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2.贮藏与有效期：在2-8℃保存，有效期为12个月。</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3.产品的安全检验指标应符合中国兽医药品监察所审核认可的“兽用生物制品生产与检验报告”要求，免疫持续期6个月以上。</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4.交货时产品有效期在8个月以上。</w:t>
            </w:r>
          </w:p>
          <w:p>
            <w:pPr>
              <w:widowControl/>
              <w:jc w:val="left"/>
              <w:textAlignment w:val="center"/>
              <w:rPr>
                <w:rFonts w:hint="eastAsia" w:ascii="宋体" w:hAnsi="宋体" w:cs="宋体"/>
                <w:color w:val="000000"/>
                <w:kern w:val="0"/>
                <w:szCs w:val="21"/>
              </w:rPr>
            </w:pPr>
            <w:r>
              <w:rPr>
                <w:rFonts w:hint="eastAsia" w:ascii="宋体" w:hAnsi="宋体" w:cs="宋体"/>
                <w:color w:val="000000"/>
                <w:kern w:val="0"/>
                <w:szCs w:val="21"/>
                <w:lang w:val="en-US" w:eastAsia="zh-CN"/>
              </w:rPr>
              <w:t>5.采用206油佐剂生产；效力检验，每头份疫苗应至少含牛口蹄疫0型、A型各6 PD50；内毒素含量不高于50EU/毫升；总蛋白含量不高于350ug/毫升。</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宋体" w:hAnsi="宋体" w:cs="宋体"/>
                <w:b/>
                <w:bCs/>
                <w:sz w:val="24"/>
                <w:szCs w:val="24"/>
              </w:rPr>
            </w:pPr>
          </w:p>
        </w:tc>
      </w:tr>
      <w:tr>
        <w:tblPrEx>
          <w:tblCellMar>
            <w:top w:w="0" w:type="dxa"/>
            <w:left w:w="0" w:type="dxa"/>
            <w:bottom w:w="0" w:type="dxa"/>
            <w:right w:w="0" w:type="dxa"/>
          </w:tblCellMar>
        </w:tblPrEx>
        <w:trPr>
          <w:trHeight w:val="720" w:hRule="atLeast"/>
        </w:trPr>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2</w:t>
            </w:r>
          </w:p>
        </w:tc>
        <w:tc>
          <w:tcPr>
            <w:tcW w:w="2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rPr>
              <w:t>羊口蹄疫O、A二价灭活苗</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lang w:val="en-US" w:eastAsia="zh-CN"/>
              </w:rPr>
            </w:pPr>
            <w:r>
              <w:rPr>
                <w:rFonts w:hint="eastAsia" w:ascii="宋体" w:hAnsi="宋体" w:cs="宋体"/>
                <w:color w:val="auto"/>
                <w:kern w:val="0"/>
                <w:sz w:val="24"/>
                <w:szCs w:val="24"/>
                <w:highlight w:val="none"/>
                <w:lang w:val="en-US" w:eastAsia="zh-CN" w:bidi="ar-SA"/>
              </w:rPr>
              <w:t>60.61</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万头份</w:t>
            </w:r>
          </w:p>
        </w:tc>
        <w:tc>
          <w:tcPr>
            <w:tcW w:w="4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1.规格：50、100毫升/瓶。</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2.贮藏与有效期：在2-8℃保存，有效期为12个月。</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3.产品的安全检验指标应符合中国兽医药品监察所审核认可的“兽用生物制品生产与检验报告”要求，免疫持续期6个月以上。</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4.交货时产品有效期在8个月以上。</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5.采用206油佐剂生产；效力检验，每头份疫苗应至少含牛口蹄疫0型、A型各6 PD50；内毒素含量不高于50EU/毫升；总蛋白含量不高于350ug/毫升。</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宋体" w:hAnsi="宋体" w:cs="宋体"/>
                <w:b/>
                <w:bCs/>
                <w:sz w:val="24"/>
                <w:szCs w:val="24"/>
              </w:rPr>
            </w:pPr>
          </w:p>
        </w:tc>
      </w:tr>
      <w:tr>
        <w:tblPrEx>
          <w:tblCellMar>
            <w:top w:w="0" w:type="dxa"/>
            <w:left w:w="0" w:type="dxa"/>
            <w:bottom w:w="0" w:type="dxa"/>
            <w:right w:w="0" w:type="dxa"/>
          </w:tblCellMar>
        </w:tblPrEx>
        <w:trPr>
          <w:trHeight w:val="2456" w:hRule="atLeast"/>
        </w:trPr>
        <w:tc>
          <w:tcPr>
            <w:tcW w:w="8966" w:type="dxa"/>
            <w:gridSpan w:val="5"/>
            <w:tcBorders>
              <w:top w:val="nil"/>
              <w:left w:val="nil"/>
              <w:bottom w:val="nil"/>
              <w:right w:val="nil"/>
            </w:tcBorders>
            <w:shd w:val="clear" w:color="auto" w:fill="auto"/>
            <w:tcMar>
              <w:top w:w="15" w:type="dxa"/>
              <w:left w:w="15" w:type="dxa"/>
              <w:right w:w="15" w:type="dxa"/>
            </w:tcMar>
            <w:vAlign w:val="center"/>
          </w:tcPr>
          <w:p>
            <w:pPr>
              <w:widowControl/>
              <w:jc w:val="left"/>
              <w:textAlignment w:val="center"/>
              <w:rPr>
                <w:rFonts w:hint="eastAsia" w:ascii="等线" w:hAnsi="等线" w:eastAsia="等线" w:cs="等线"/>
                <w:color w:val="000000"/>
                <w:kern w:val="0"/>
                <w:sz w:val="22"/>
                <w:lang w:eastAsia="zh-CN"/>
              </w:rPr>
            </w:pPr>
            <w:r>
              <w:rPr>
                <w:rFonts w:ascii="等线" w:hAnsi="等线" w:eastAsia="等线" w:cs="等线"/>
                <w:color w:val="000000"/>
                <w:kern w:val="0"/>
                <w:sz w:val="22"/>
              </w:rPr>
              <w:t>1、产品质量及技术标准应符合或遵守《中华人民共和国兽用生物制品生产规程》《中华人民共和国兽用生物制品质量标准》及颁布的相应产品质量标准。</w:t>
            </w:r>
          </w:p>
          <w:p>
            <w:pPr>
              <w:widowControl/>
              <w:jc w:val="left"/>
              <w:textAlignment w:val="center"/>
              <w:rPr>
                <w:rFonts w:hint="eastAsia" w:ascii="等线" w:hAnsi="等线" w:eastAsia="等线" w:cs="等线"/>
                <w:color w:val="000000"/>
                <w:kern w:val="0"/>
                <w:sz w:val="22"/>
                <w:lang w:eastAsia="zh-CN"/>
              </w:rPr>
            </w:pPr>
            <w:r>
              <w:rPr>
                <w:rFonts w:ascii="等线" w:hAnsi="等线" w:eastAsia="等线" w:cs="等线"/>
                <w:color w:val="000000"/>
                <w:kern w:val="0"/>
                <w:sz w:val="22"/>
              </w:rPr>
              <w:t>2、产品的物理性状、无菌检验、安全检验、效力检验等指标应出具中国兽医药品监察所审核认可的“兽用生物制品生产与检验报告”（批签发记录）。</w:t>
            </w:r>
          </w:p>
          <w:p>
            <w:pPr>
              <w:widowControl/>
              <w:jc w:val="left"/>
              <w:textAlignment w:val="center"/>
              <w:rPr>
                <w:rFonts w:hint="eastAsia" w:ascii="等线" w:hAnsi="等线" w:eastAsia="等线" w:cs="等线"/>
                <w:color w:val="000000"/>
                <w:kern w:val="0"/>
                <w:sz w:val="22"/>
                <w:lang w:eastAsia="zh-CN"/>
              </w:rPr>
            </w:pPr>
            <w:r>
              <w:rPr>
                <w:rFonts w:ascii="等线" w:hAnsi="等线" w:eastAsia="等线" w:cs="等线"/>
                <w:color w:val="000000"/>
                <w:kern w:val="0"/>
                <w:sz w:val="22"/>
              </w:rPr>
              <w:t>3、投标单位应在投标文件中提供农业部备案的兽药注册目录，质量标准、说明书和标签。</w:t>
            </w:r>
          </w:p>
          <w:p>
            <w:pPr>
              <w:widowControl/>
              <w:jc w:val="left"/>
              <w:textAlignment w:val="center"/>
              <w:rPr>
                <w:rFonts w:ascii="等线" w:hAnsi="等线" w:eastAsia="等线" w:cs="等线"/>
                <w:color w:val="000000"/>
                <w:sz w:val="22"/>
              </w:rPr>
            </w:pPr>
            <w:r>
              <w:rPr>
                <w:rFonts w:ascii="等线" w:hAnsi="等线" w:eastAsia="等线" w:cs="等线"/>
                <w:color w:val="000000"/>
                <w:kern w:val="0"/>
                <w:sz w:val="22"/>
              </w:rPr>
              <w:t>4、招标之前或之后，如遇农业农村部政策调整，有关疫苗毒株变更，相应产品直接变更。</w:t>
            </w:r>
          </w:p>
        </w:tc>
        <w:tc>
          <w:tcPr>
            <w:tcW w:w="1234" w:type="dxa"/>
            <w:gridSpan w:val="2"/>
            <w:tcBorders>
              <w:top w:val="nil"/>
              <w:left w:val="nil"/>
              <w:bottom w:val="nil"/>
              <w:right w:val="nil"/>
            </w:tcBorders>
            <w:shd w:val="clear" w:color="auto" w:fill="auto"/>
            <w:tcMar>
              <w:top w:w="15" w:type="dxa"/>
              <w:left w:w="15" w:type="dxa"/>
              <w:right w:w="15" w:type="dxa"/>
            </w:tcMar>
            <w:vAlign w:val="center"/>
          </w:tcPr>
          <w:p>
            <w:pPr>
              <w:widowControl/>
              <w:jc w:val="left"/>
              <w:textAlignment w:val="center"/>
              <w:rPr>
                <w:rFonts w:ascii="等线" w:hAnsi="等线" w:eastAsia="等线" w:cs="等线"/>
                <w:color w:val="000000"/>
                <w:kern w:val="0"/>
                <w:sz w:val="22"/>
              </w:rPr>
            </w:pPr>
          </w:p>
        </w:tc>
      </w:tr>
    </w:tbl>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3"/>
        <w:rPr>
          <w:rFonts w:cs="宋体"/>
          <w:color w:val="000000"/>
          <w:kern w:val="0"/>
          <w:sz w:val="24"/>
        </w:rPr>
      </w:pPr>
    </w:p>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45" w:name="_Toc30472"/>
      <w:r>
        <w:rPr>
          <w:rFonts w:hint="eastAsia" w:ascii="宋体" w:hAnsi="宋体" w:cs="宋体"/>
          <w:b/>
          <w:sz w:val="24"/>
          <w:szCs w:val="24"/>
        </w:rPr>
        <w:t>第</w:t>
      </w:r>
      <w:r>
        <w:rPr>
          <w:rFonts w:hint="eastAsia" w:ascii="宋体" w:hAnsi="宋体" w:cs="宋体"/>
          <w:b/>
          <w:sz w:val="24"/>
          <w:szCs w:val="24"/>
          <w:lang w:eastAsia="zh-CN"/>
        </w:rPr>
        <w:t>二</w:t>
      </w:r>
      <w:r>
        <w:rPr>
          <w:rFonts w:hint="eastAsia" w:ascii="宋体" w:hAnsi="宋体" w:cs="宋体"/>
          <w:b/>
          <w:sz w:val="24"/>
          <w:szCs w:val="24"/>
        </w:rPr>
        <w:t>节 供货服务要求</w:t>
      </w:r>
      <w:bookmarkEnd w:id="45"/>
    </w:p>
    <w:p>
      <w:pPr>
        <w:widowControl/>
        <w:jc w:val="center"/>
        <w:textAlignment w:val="center"/>
        <w:rPr>
          <w:rFonts w:ascii="宋体" w:hAnsi="宋体" w:cs="宋体"/>
          <w:b/>
          <w:sz w:val="30"/>
          <w:szCs w:val="30"/>
        </w:rPr>
      </w:pPr>
    </w:p>
    <w:p>
      <w:pPr>
        <w:widowControl/>
        <w:jc w:val="center"/>
        <w:textAlignment w:val="center"/>
        <w:rPr>
          <w:rFonts w:ascii="宋体" w:hAnsi="宋体" w:cs="宋体"/>
          <w:b/>
          <w:sz w:val="30"/>
          <w:szCs w:val="30"/>
        </w:rPr>
      </w:pPr>
      <w:r>
        <w:rPr>
          <w:rFonts w:hint="eastAsia" w:ascii="宋体" w:hAnsi="宋体" w:cs="宋体"/>
          <w:b/>
          <w:sz w:val="30"/>
          <w:szCs w:val="30"/>
          <w:lang w:eastAsia="zh-CN"/>
        </w:rPr>
        <w:t>供货</w:t>
      </w:r>
      <w:r>
        <w:rPr>
          <w:rFonts w:hint="eastAsia" w:ascii="宋体" w:hAnsi="宋体" w:cs="宋体"/>
          <w:b/>
          <w:sz w:val="30"/>
          <w:szCs w:val="30"/>
        </w:rPr>
        <w:t>服务要求</w:t>
      </w:r>
    </w:p>
    <w:p>
      <w:pPr>
        <w:tabs>
          <w:tab w:val="center" w:pos="4832"/>
          <w:tab w:val="left" w:pos="7140"/>
        </w:tabs>
        <w:spacing w:line="360" w:lineRule="auto"/>
        <w:jc w:val="left"/>
        <w:outlineLvl w:val="2"/>
        <w:rPr>
          <w:rFonts w:ascii="宋体" w:hAnsi="宋体" w:cs="宋体"/>
          <w:b/>
          <w:sz w:val="24"/>
          <w:szCs w:val="24"/>
        </w:rPr>
      </w:pPr>
      <w:bookmarkStart w:id="46" w:name="_Toc26951"/>
      <w:bookmarkStart w:id="47" w:name="_Toc17208"/>
    </w:p>
    <w:p>
      <w:pPr>
        <w:tabs>
          <w:tab w:val="center" w:pos="4832"/>
          <w:tab w:val="left" w:pos="7140"/>
        </w:tabs>
        <w:spacing w:line="360" w:lineRule="auto"/>
        <w:jc w:val="left"/>
        <w:outlineLvl w:val="2"/>
        <w:rPr>
          <w:rFonts w:ascii="宋体" w:cs="Arial"/>
          <w:kern w:val="0"/>
          <w:sz w:val="24"/>
          <w:szCs w:val="24"/>
        </w:rPr>
      </w:pPr>
      <w:bookmarkStart w:id="48" w:name="_Toc18492"/>
      <w:r>
        <w:rPr>
          <w:rFonts w:hint="eastAsia" w:ascii="宋体" w:hAnsi="宋体" w:cs="宋体"/>
          <w:b/>
          <w:sz w:val="24"/>
          <w:szCs w:val="24"/>
        </w:rPr>
        <w:t>3.1供货期、地点、运输方式及验收方式</w:t>
      </w:r>
      <w:bookmarkEnd w:id="46"/>
      <w:bookmarkEnd w:id="47"/>
      <w:bookmarkEnd w:id="48"/>
    </w:p>
    <w:p>
      <w:pPr>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rPr>
        <w:t>3.1.1 供货期：1</w:t>
      </w:r>
      <w:r>
        <w:rPr>
          <w:rFonts w:hint="eastAsia" w:ascii="宋体" w:hAnsi="宋体" w:cs="宋体"/>
          <w:sz w:val="24"/>
          <w:szCs w:val="24"/>
          <w:lang w:val="en-US" w:eastAsia="zh-CN"/>
        </w:rPr>
        <w:t>按照甲乙双方签订的合同日期执行</w:t>
      </w:r>
    </w:p>
    <w:p>
      <w:pPr>
        <w:spacing w:line="360" w:lineRule="auto"/>
        <w:ind w:firstLine="480" w:firstLineChars="200"/>
        <w:rPr>
          <w:rFonts w:ascii="宋体" w:hAnsi="宋体" w:cs="宋体"/>
          <w:kern w:val="0"/>
          <w:sz w:val="24"/>
          <w:szCs w:val="24"/>
        </w:rPr>
      </w:pPr>
      <w:r>
        <w:rPr>
          <w:rFonts w:hint="eastAsia" w:ascii="宋体" w:hAnsi="宋体" w:cs="宋体"/>
          <w:sz w:val="24"/>
          <w:szCs w:val="24"/>
        </w:rPr>
        <w:t>3.1.2 供货地点：</w:t>
      </w:r>
      <w:r>
        <w:rPr>
          <w:rFonts w:hint="eastAsia" w:ascii="宋体" w:hAnsi="宋体" w:cs="宋体"/>
          <w:kern w:val="0"/>
          <w:sz w:val="24"/>
          <w:szCs w:val="24"/>
        </w:rPr>
        <w:t>采购方指定地点（</w:t>
      </w:r>
      <w:r>
        <w:rPr>
          <w:rFonts w:hint="eastAsia" w:ascii="宋体" w:hAnsi="宋体" w:cs="宋体"/>
          <w:sz w:val="24"/>
          <w:szCs w:val="24"/>
          <w:lang w:eastAsia="zh-CN"/>
        </w:rPr>
        <w:t>阿勒泰地区动物疾病控制与诊断中心</w:t>
      </w:r>
      <w:r>
        <w:rPr>
          <w:rFonts w:hint="eastAsia" w:ascii="宋体" w:hAnsi="宋体" w:cs="宋体"/>
          <w:sz w:val="24"/>
          <w:szCs w:val="24"/>
        </w:rPr>
        <w:t>，以下简称甲方</w:t>
      </w:r>
      <w:r>
        <w:rPr>
          <w:rFonts w:hint="eastAsia" w:ascii="宋体" w:hAnsi="宋体" w:cs="宋体"/>
          <w:kern w:val="0"/>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3.1.3 运输要求：由中标企业（以下简称乙方）通过冷链运输疫苗，送至采购人指定地点，专用疫苗冷链运输，必须有连续温度监控仪，</w:t>
      </w:r>
      <w:r>
        <w:rPr>
          <w:rFonts w:hint="eastAsia" w:ascii="宋体" w:hAnsi="宋体" w:cs="宋体"/>
          <w:color w:val="000000"/>
          <w:sz w:val="24"/>
          <w:szCs w:val="24"/>
        </w:rPr>
        <w:t>内包装有泡沫保温箱、外包装使用纸箱，</w:t>
      </w:r>
      <w:r>
        <w:rPr>
          <w:rFonts w:hint="eastAsia" w:ascii="宋体" w:hAnsi="宋体" w:cs="宋体"/>
          <w:sz w:val="24"/>
          <w:szCs w:val="24"/>
        </w:rPr>
        <w:t>供货后必须向收货方和采购方提供出库单据、与实物相对应批号的兽用生物制品生产与中监所的批签发报告和温度监控记录表。</w:t>
      </w:r>
    </w:p>
    <w:p>
      <w:pPr>
        <w:spacing w:line="360" w:lineRule="auto"/>
        <w:ind w:firstLine="480" w:firstLineChars="200"/>
        <w:rPr>
          <w:rFonts w:ascii="宋体" w:hAnsi="宋体" w:cs="宋体"/>
          <w:sz w:val="24"/>
          <w:szCs w:val="24"/>
        </w:rPr>
      </w:pPr>
      <w:r>
        <w:rPr>
          <w:rFonts w:hint="eastAsia" w:ascii="宋体" w:hAnsi="宋体" w:cs="宋体"/>
          <w:sz w:val="24"/>
          <w:szCs w:val="24"/>
        </w:rPr>
        <w:t>3.1.4 验收方式</w:t>
      </w:r>
    </w:p>
    <w:p>
      <w:pPr>
        <w:spacing w:line="360" w:lineRule="auto"/>
        <w:ind w:firstLine="480" w:firstLineChars="200"/>
        <w:rPr>
          <w:rFonts w:ascii="宋体" w:hAnsi="宋体" w:cs="宋体"/>
          <w:sz w:val="24"/>
          <w:szCs w:val="24"/>
        </w:rPr>
      </w:pPr>
      <w:r>
        <w:rPr>
          <w:rFonts w:hint="eastAsia" w:ascii="宋体" w:hAnsi="宋体" w:cs="宋体"/>
          <w:sz w:val="24"/>
          <w:szCs w:val="24"/>
        </w:rPr>
        <w:t>⑴乙方必须保证所供应疫苗有效期应满足甲方要求（详见：“招标项目技术需求”中的“主要技术参数”）。</w:t>
      </w:r>
    </w:p>
    <w:p>
      <w:pPr>
        <w:spacing w:line="360" w:lineRule="auto"/>
        <w:ind w:firstLine="480" w:firstLineChars="200"/>
        <w:rPr>
          <w:rFonts w:ascii="宋体" w:hAnsi="宋体" w:cs="宋体"/>
          <w:sz w:val="24"/>
          <w:szCs w:val="24"/>
        </w:rPr>
      </w:pPr>
      <w:r>
        <w:rPr>
          <w:rFonts w:hint="eastAsia" w:ascii="宋体" w:hAnsi="宋体" w:cs="宋体"/>
          <w:sz w:val="24"/>
          <w:szCs w:val="24"/>
        </w:rPr>
        <w:t>⑵甲方按质量标准和疫苗的具体要求，对所有疫苗进行逐件核验（包装、产品名称、文号、批号、商标、规格、生产日期、失效日期、贮存条件、防伪标识、作用与用途、用法与用量、企业名称、批签发报告、运输过程中温度监控记录等）。甲方经核验发现该批货物不符合具体要求的，于到货之日起5个工作日内电话或书面通知乙方并退回该批疫苗，所产生的费用由乙方负责。</w:t>
      </w:r>
    </w:p>
    <w:p>
      <w:pPr>
        <w:spacing w:line="360" w:lineRule="auto"/>
        <w:ind w:firstLine="480" w:firstLineChars="200"/>
        <w:rPr>
          <w:rFonts w:ascii="宋体" w:hAnsi="宋体" w:cs="宋体"/>
          <w:sz w:val="24"/>
          <w:szCs w:val="24"/>
        </w:rPr>
      </w:pPr>
      <w:r>
        <w:rPr>
          <w:rFonts w:hint="eastAsia" w:ascii="宋体" w:hAnsi="宋体" w:cs="宋体"/>
          <w:sz w:val="24"/>
          <w:szCs w:val="24"/>
        </w:rPr>
        <w:t>⑶产品说明书内注意事项与瓶签说明必须一致。</w:t>
      </w:r>
    </w:p>
    <w:p>
      <w:pPr>
        <w:spacing w:line="360" w:lineRule="auto"/>
        <w:ind w:firstLine="480" w:firstLineChars="200"/>
        <w:rPr>
          <w:rFonts w:ascii="宋体" w:hAnsi="宋体" w:cs="宋体"/>
          <w:sz w:val="24"/>
          <w:szCs w:val="24"/>
        </w:rPr>
      </w:pPr>
      <w:r>
        <w:rPr>
          <w:rFonts w:hint="eastAsia" w:ascii="宋体" w:hAnsi="宋体" w:cs="宋体"/>
          <w:sz w:val="24"/>
          <w:szCs w:val="24"/>
        </w:rPr>
        <w:t>⑷在甲方查验货物时如数量少于定货数量，以甲方实际收到的数量为准，按甲方要求决定是否补发；如数量多于定货数量，由甲方根据需要决定接受或退货。</w:t>
      </w:r>
    </w:p>
    <w:p>
      <w:pPr>
        <w:spacing w:line="360" w:lineRule="auto"/>
        <w:ind w:firstLine="480" w:firstLineChars="200"/>
        <w:rPr>
          <w:rFonts w:ascii="宋体" w:hAnsi="宋体" w:cs="宋体"/>
          <w:sz w:val="24"/>
          <w:szCs w:val="24"/>
        </w:rPr>
      </w:pPr>
      <w:r>
        <w:rPr>
          <w:rFonts w:hint="eastAsia" w:ascii="宋体" w:hAnsi="宋体" w:cs="宋体"/>
          <w:sz w:val="24"/>
          <w:szCs w:val="24"/>
        </w:rPr>
        <w:t>⑸疫苗在运输过程中出现的破损或失效由乙方负责。</w:t>
      </w:r>
    </w:p>
    <w:p>
      <w:pPr>
        <w:widowControl/>
        <w:shd w:val="clear" w:color="auto" w:fill="FFFFFF"/>
        <w:snapToGrid w:val="0"/>
        <w:spacing w:line="360" w:lineRule="auto"/>
        <w:ind w:firstLine="480" w:firstLineChars="200"/>
        <w:rPr>
          <w:rFonts w:ascii="宋体" w:hAnsi="宋体" w:cs="Arial"/>
          <w:kern w:val="0"/>
          <w:sz w:val="24"/>
          <w:szCs w:val="24"/>
        </w:rPr>
      </w:pPr>
      <w:bookmarkStart w:id="49" w:name="_Toc27018_WPSOffice_Level1"/>
      <w:bookmarkStart w:id="50" w:name="_Toc439255246"/>
    </w:p>
    <w:p>
      <w:pPr>
        <w:tabs>
          <w:tab w:val="center" w:pos="4832"/>
          <w:tab w:val="left" w:pos="7140"/>
        </w:tabs>
        <w:spacing w:line="360" w:lineRule="auto"/>
        <w:jc w:val="left"/>
        <w:outlineLvl w:val="2"/>
        <w:rPr>
          <w:rFonts w:ascii="宋体" w:cs="Arial"/>
          <w:kern w:val="0"/>
          <w:sz w:val="24"/>
          <w:szCs w:val="24"/>
        </w:rPr>
      </w:pPr>
      <w:bookmarkStart w:id="51" w:name="_Toc28983"/>
      <w:bookmarkStart w:id="52" w:name="_Toc8866"/>
      <w:bookmarkStart w:id="53" w:name="_Toc16729"/>
      <w:r>
        <w:rPr>
          <w:rFonts w:hint="eastAsia" w:ascii="宋体" w:hAnsi="宋体" w:cs="宋体"/>
          <w:b/>
          <w:sz w:val="24"/>
          <w:szCs w:val="24"/>
        </w:rPr>
        <w:t>3.</w:t>
      </w:r>
      <w:r>
        <w:rPr>
          <w:rFonts w:ascii="宋体" w:hAnsi="宋体" w:cs="宋体"/>
          <w:b/>
          <w:sz w:val="24"/>
          <w:szCs w:val="24"/>
        </w:rPr>
        <w:t xml:space="preserve">2 </w:t>
      </w:r>
      <w:r>
        <w:rPr>
          <w:rFonts w:hint="eastAsia" w:ascii="宋体" w:hAnsi="宋体" w:cs="宋体"/>
          <w:b/>
          <w:sz w:val="24"/>
          <w:szCs w:val="24"/>
        </w:rPr>
        <w:t>质量责任</w:t>
      </w:r>
      <w:bookmarkEnd w:id="51"/>
      <w:bookmarkEnd w:id="52"/>
      <w:bookmarkEnd w:id="53"/>
    </w:p>
    <w:bookmarkEnd w:id="49"/>
    <w:bookmarkEnd w:id="50"/>
    <w:p>
      <w:pPr>
        <w:spacing w:line="360" w:lineRule="auto"/>
        <w:ind w:firstLine="480" w:firstLineChars="200"/>
        <w:rPr>
          <w:rFonts w:ascii="宋体" w:hAnsi="宋体" w:cs="宋体"/>
          <w:sz w:val="24"/>
          <w:szCs w:val="24"/>
        </w:rPr>
      </w:pPr>
      <w:r>
        <w:rPr>
          <w:rFonts w:hint="eastAsia" w:ascii="宋体" w:hAnsi="宋体" w:cs="宋体"/>
          <w:sz w:val="24"/>
          <w:szCs w:val="24"/>
        </w:rPr>
        <w:t>3.2.1 投标人保证所投标产品应是最新或最佳的原材料生产，完全符合国家标准规定的质量、性能和技术规格（疫苗包括包装上印刷的产品名称、文号、批号、商标、规格、生产日期、失效日期、贮存条件、防伪标识、作用与用途、用法与用量、企业名称、批签发报告、运输过程中温度监控记录等。保证在疫苗在低温贮藏条件下运送，在投标文件中承诺的质量保证期内对任何质量问题负责，甲方有权对乙方提供的产品作质量检验，经检测不合格的，将终止合同并追究其相应责任（检测费用由乙方支付）。</w:t>
      </w:r>
    </w:p>
    <w:p>
      <w:pPr>
        <w:spacing w:line="360" w:lineRule="auto"/>
        <w:ind w:firstLine="480" w:firstLineChars="200"/>
        <w:rPr>
          <w:rFonts w:ascii="宋体" w:hAnsi="宋体" w:cs="宋体"/>
          <w:sz w:val="24"/>
          <w:szCs w:val="24"/>
        </w:rPr>
      </w:pPr>
      <w:r>
        <w:rPr>
          <w:rFonts w:hint="eastAsia" w:ascii="宋体" w:hAnsi="宋体" w:cs="宋体"/>
          <w:sz w:val="24"/>
          <w:szCs w:val="24"/>
        </w:rPr>
        <w:t>3.2.2 在使用疫苗过程中出现的苗源反应引起的畜禽死亡或因免疫失败而导致疫情暴发的均由乙方负责处理，并且对造成的损失给予经济赔偿。</w:t>
      </w:r>
    </w:p>
    <w:p>
      <w:pPr>
        <w:spacing w:line="360" w:lineRule="auto"/>
        <w:ind w:firstLine="480" w:firstLineChars="200"/>
        <w:rPr>
          <w:rFonts w:ascii="宋体" w:hAnsi="宋体" w:cs="宋体"/>
          <w:sz w:val="24"/>
          <w:szCs w:val="24"/>
        </w:rPr>
      </w:pPr>
      <w:r>
        <w:rPr>
          <w:rFonts w:hint="eastAsia" w:ascii="宋体" w:hAnsi="宋体" w:cs="宋体"/>
          <w:sz w:val="24"/>
          <w:szCs w:val="24"/>
        </w:rPr>
        <w:t>⑴因注射疫苗引起的畜禽副反应或死亡，经双方联合调查确认后，由乙方负责对造成的损失给予赔偿。</w:t>
      </w:r>
    </w:p>
    <w:p>
      <w:pPr>
        <w:spacing w:line="360" w:lineRule="auto"/>
        <w:ind w:firstLine="480" w:firstLineChars="200"/>
        <w:rPr>
          <w:rFonts w:ascii="宋体" w:hAnsi="宋体" w:cs="宋体"/>
          <w:sz w:val="24"/>
          <w:szCs w:val="24"/>
        </w:rPr>
      </w:pPr>
      <w:r>
        <w:rPr>
          <w:rFonts w:hint="eastAsia" w:ascii="宋体" w:hAnsi="宋体" w:cs="宋体"/>
          <w:sz w:val="24"/>
          <w:szCs w:val="24"/>
        </w:rPr>
        <w:t>⑵在规定的免疫保护期内，免疫后的动物又发生疫情时，乙方接到甲方电话或传真通知后，要及时派专业技术人员到达现场调查核实实际情况，由乙方负责承担一切经济损失以及全部费用。</w:t>
      </w:r>
    </w:p>
    <w:p>
      <w:pPr>
        <w:spacing w:line="360" w:lineRule="auto"/>
        <w:ind w:firstLine="480" w:firstLineChars="200"/>
        <w:rPr>
          <w:rFonts w:ascii="宋体" w:hAnsi="宋体" w:cs="宋体"/>
          <w:sz w:val="24"/>
          <w:szCs w:val="24"/>
        </w:rPr>
      </w:pPr>
      <w:r>
        <w:rPr>
          <w:rFonts w:hint="eastAsia" w:ascii="宋体" w:hAnsi="宋体" w:cs="宋体"/>
          <w:sz w:val="24"/>
          <w:szCs w:val="24"/>
        </w:rPr>
        <w:t>⑶甲方在疫苗的使用过程中，发现疫苗的副反应大或免疫效果差，甲方可根据情况调整采购比例；情况严重的，甲方有权停止采购该中标产品，将库存疫苗做退货处理，其采购合同未执行数量由其余供货服务商履行，由于疫苗副反应大或免疫效果差造成的经济损失，由乙方承担责任。</w:t>
      </w:r>
    </w:p>
    <w:p>
      <w:pPr>
        <w:spacing w:line="360" w:lineRule="auto"/>
        <w:ind w:firstLine="480" w:firstLineChars="200"/>
        <w:rPr>
          <w:rFonts w:ascii="宋体" w:hAnsi="宋体" w:cs="宋体"/>
          <w:sz w:val="24"/>
          <w:szCs w:val="24"/>
        </w:rPr>
      </w:pPr>
      <w:r>
        <w:rPr>
          <w:rFonts w:hint="eastAsia" w:ascii="宋体" w:hAnsi="宋体" w:cs="宋体"/>
          <w:sz w:val="24"/>
          <w:szCs w:val="24"/>
        </w:rPr>
        <w:t>⑷若在疫苗的使用过程中，发现乙方所提供的全部产品出现质量问题，甲方有权停止采购该分包的产品，并将相关情况上报给采购计划主管部门和农业农村部备案，终止该乙方的采购合同，并追究其违约责任。</w:t>
      </w:r>
    </w:p>
    <w:p>
      <w:pPr>
        <w:spacing w:line="360" w:lineRule="auto"/>
        <w:ind w:firstLine="420" w:firstLineChars="200"/>
      </w:pPr>
    </w:p>
    <w:p>
      <w:pPr>
        <w:tabs>
          <w:tab w:val="center" w:pos="4832"/>
          <w:tab w:val="left" w:pos="7140"/>
        </w:tabs>
        <w:spacing w:line="360" w:lineRule="auto"/>
        <w:jc w:val="left"/>
        <w:outlineLvl w:val="2"/>
        <w:rPr>
          <w:rFonts w:ascii="宋体" w:cs="Arial"/>
          <w:kern w:val="0"/>
          <w:sz w:val="24"/>
          <w:szCs w:val="24"/>
        </w:rPr>
      </w:pPr>
      <w:bookmarkStart w:id="54" w:name="_Toc24342"/>
      <w:bookmarkStart w:id="55" w:name="_Toc10385"/>
      <w:bookmarkStart w:id="56" w:name="_Toc16176"/>
      <w:bookmarkStart w:id="57" w:name="_Toc7742_WPSOffice_Level1"/>
      <w:bookmarkStart w:id="58" w:name="_Toc267320050"/>
      <w:bookmarkStart w:id="59" w:name="_Toc439255248"/>
      <w:r>
        <w:rPr>
          <w:rFonts w:hint="eastAsia" w:ascii="宋体" w:hAnsi="宋体" w:cs="宋体"/>
          <w:b/>
          <w:sz w:val="24"/>
          <w:szCs w:val="24"/>
        </w:rPr>
        <w:t>3.3质量保证</w:t>
      </w:r>
      <w:bookmarkEnd w:id="54"/>
      <w:bookmarkEnd w:id="55"/>
      <w:r>
        <w:rPr>
          <w:rFonts w:hint="eastAsia" w:ascii="宋体" w:hAnsi="宋体" w:cs="宋体"/>
          <w:b/>
          <w:sz w:val="24"/>
          <w:szCs w:val="24"/>
        </w:rPr>
        <w:t>及售后服务</w:t>
      </w:r>
      <w:bookmarkEnd w:id="56"/>
    </w:p>
    <w:bookmarkEnd w:id="57"/>
    <w:bookmarkEnd w:id="58"/>
    <w:bookmarkEnd w:id="59"/>
    <w:p>
      <w:pPr>
        <w:spacing w:line="360" w:lineRule="auto"/>
        <w:ind w:firstLine="480" w:firstLineChars="200"/>
        <w:rPr>
          <w:rFonts w:ascii="宋体" w:hAnsi="宋体" w:cs="宋体"/>
          <w:sz w:val="24"/>
          <w:szCs w:val="24"/>
        </w:rPr>
      </w:pPr>
      <w:r>
        <w:rPr>
          <w:rFonts w:hint="eastAsia" w:ascii="宋体" w:hAnsi="宋体" w:cs="宋体"/>
          <w:sz w:val="24"/>
          <w:szCs w:val="24"/>
        </w:rPr>
        <w:t xml:space="preserve">3.3.1 培训：采购方根据供货服务商的承诺，协商免费培训时间、地点及方式，使采购人的使用人员能够正常操作相关设备。 </w:t>
      </w:r>
    </w:p>
    <w:p>
      <w:pPr>
        <w:spacing w:line="360" w:lineRule="auto"/>
        <w:ind w:firstLine="480" w:firstLineChars="200"/>
        <w:rPr>
          <w:rFonts w:ascii="宋体" w:hAnsi="宋体" w:cs="宋体"/>
          <w:sz w:val="24"/>
          <w:szCs w:val="24"/>
        </w:rPr>
      </w:pPr>
      <w:r>
        <w:rPr>
          <w:rFonts w:hint="eastAsia" w:ascii="宋体" w:hAnsi="宋体" w:cs="宋体"/>
          <w:sz w:val="24"/>
          <w:szCs w:val="24"/>
        </w:rPr>
        <w:t>3.3.2 优惠承诺：按照投标人承诺为准。</w:t>
      </w:r>
    </w:p>
    <w:p>
      <w:pPr>
        <w:spacing w:line="360" w:lineRule="auto"/>
        <w:ind w:firstLine="480" w:firstLineChars="200"/>
        <w:rPr>
          <w:rFonts w:ascii="宋体" w:hAnsi="宋体" w:cs="宋体"/>
          <w:sz w:val="24"/>
          <w:szCs w:val="24"/>
        </w:rPr>
      </w:pPr>
      <w:r>
        <w:rPr>
          <w:rFonts w:hint="eastAsia" w:ascii="宋体" w:hAnsi="宋体" w:cs="宋体"/>
          <w:sz w:val="24"/>
          <w:szCs w:val="24"/>
        </w:rPr>
        <w:t>3.3.3 投标人需要其他详细阐明的：</w:t>
      </w:r>
    </w:p>
    <w:p>
      <w:pPr>
        <w:spacing w:line="360" w:lineRule="auto"/>
        <w:ind w:firstLine="480" w:firstLineChars="200"/>
        <w:rPr>
          <w:rFonts w:ascii="宋体" w:hAnsi="宋体" w:cs="宋体"/>
          <w:sz w:val="24"/>
          <w:szCs w:val="24"/>
        </w:rPr>
      </w:pPr>
      <w:r>
        <w:rPr>
          <w:rFonts w:hint="eastAsia" w:ascii="宋体" w:hAnsi="宋体" w:cs="宋体"/>
          <w:sz w:val="24"/>
          <w:szCs w:val="24"/>
        </w:rPr>
        <w:t>⑴所投货物的免费质量保证期：按生产商及国家有关规定。</w:t>
      </w:r>
    </w:p>
    <w:p>
      <w:pPr>
        <w:spacing w:line="360" w:lineRule="auto"/>
        <w:ind w:firstLine="480" w:firstLineChars="200"/>
        <w:rPr>
          <w:rFonts w:ascii="宋体" w:hAnsi="宋体" w:cs="宋体"/>
          <w:sz w:val="24"/>
          <w:szCs w:val="24"/>
        </w:rPr>
      </w:pPr>
      <w:r>
        <w:rPr>
          <w:rFonts w:hint="eastAsia" w:ascii="宋体" w:hAnsi="宋体" w:cs="宋体"/>
          <w:sz w:val="24"/>
          <w:szCs w:val="24"/>
        </w:rPr>
        <w:t>⑵质保期内服务基本要求：</w:t>
      </w:r>
    </w:p>
    <w:p>
      <w:pPr>
        <w:spacing w:line="360" w:lineRule="auto"/>
        <w:ind w:firstLine="720" w:firstLineChars="300"/>
        <w:rPr>
          <w:rFonts w:ascii="宋体" w:hAnsi="宋体" w:cs="宋体"/>
          <w:sz w:val="24"/>
          <w:szCs w:val="24"/>
        </w:rPr>
      </w:pPr>
      <w:r>
        <w:rPr>
          <w:rFonts w:hint="eastAsia" w:ascii="宋体" w:hAnsi="宋体" w:cs="宋体"/>
          <w:sz w:val="24"/>
          <w:szCs w:val="24"/>
        </w:rPr>
        <w:t>①交货时采购人对产品进行抽检，发现产品有沉淀、混浊、变色、分层等现象，采购人拒收，并要求中标人重新发货。并承担所有费用，更换疫苗到达最终用户地不得超过24小时。</w:t>
      </w:r>
    </w:p>
    <w:p>
      <w:pPr>
        <w:spacing w:line="360" w:lineRule="auto"/>
        <w:ind w:firstLine="720" w:firstLineChars="300"/>
        <w:rPr>
          <w:rFonts w:ascii="宋体" w:hAnsi="宋体" w:cs="宋体"/>
          <w:sz w:val="24"/>
          <w:szCs w:val="24"/>
        </w:rPr>
      </w:pPr>
      <w:r>
        <w:rPr>
          <w:rFonts w:hint="eastAsia" w:ascii="微软雅黑" w:hAnsi="微软雅黑" w:eastAsia="微软雅黑" w:cs="微软雅黑"/>
          <w:sz w:val="24"/>
          <w:szCs w:val="24"/>
        </w:rPr>
        <w:t>②</w:t>
      </w:r>
      <w:r>
        <w:rPr>
          <w:rFonts w:hint="eastAsia" w:ascii="宋体" w:hAnsi="宋体" w:cs="宋体"/>
          <w:sz w:val="24"/>
          <w:szCs w:val="24"/>
        </w:rPr>
        <w:t>供货服务商在疫苗质保期内保证疫苗的质量，在有效期内对因检定表明是疫苗质量引起的任何缺陷，实施更换和其它补偿。</w:t>
      </w:r>
    </w:p>
    <w:p>
      <w:pPr>
        <w:spacing w:line="360" w:lineRule="auto"/>
        <w:ind w:firstLine="720" w:firstLineChars="300"/>
        <w:rPr>
          <w:rFonts w:ascii="宋体" w:hAnsi="宋体" w:cs="宋体"/>
          <w:sz w:val="24"/>
          <w:szCs w:val="24"/>
        </w:rPr>
      </w:pPr>
      <w:r>
        <w:rPr>
          <w:rFonts w:hint="eastAsia" w:ascii="宋体" w:hAnsi="宋体" w:cs="宋体"/>
          <w:sz w:val="24"/>
          <w:szCs w:val="24"/>
        </w:rPr>
        <w:t>③</w:t>
      </w:r>
      <w:r>
        <w:rPr>
          <w:rFonts w:hint="eastAsia" w:ascii="宋体" w:hAnsi="宋体"/>
          <w:sz w:val="24"/>
          <w:szCs w:val="28"/>
        </w:rPr>
        <w:t>交货时疫苗有效期不得低于中标人在投标文件中承诺的有效期时长，且包装规格必须与投标文件承诺一致，</w:t>
      </w:r>
      <w:r>
        <w:rPr>
          <w:rFonts w:hint="eastAsia" w:ascii="宋体" w:hAnsi="宋体" w:cs="宋体"/>
          <w:sz w:val="24"/>
          <w:szCs w:val="24"/>
        </w:rPr>
        <w:t>疫苗的供货有效期有效（详见：“招标项目技术标准和服务要求”中的“主要技术参数”中的具体要求）</w:t>
      </w:r>
      <w:r>
        <w:rPr>
          <w:rFonts w:hint="eastAsia" w:ascii="宋体" w:hAnsi="宋体"/>
          <w:sz w:val="24"/>
          <w:szCs w:val="28"/>
        </w:rPr>
        <w:t>否则采购人拒收，并要求中标人重新发货</w:t>
      </w:r>
      <w:r>
        <w:rPr>
          <w:rFonts w:hint="eastAsia" w:ascii="宋体" w:hAnsi="宋体" w:cs="宋体"/>
          <w:sz w:val="24"/>
          <w:szCs w:val="24"/>
        </w:rPr>
        <w:t>。</w:t>
      </w:r>
    </w:p>
    <w:p>
      <w:pPr>
        <w:spacing w:line="360" w:lineRule="auto"/>
        <w:ind w:firstLine="720" w:firstLineChars="300"/>
        <w:rPr>
          <w:rFonts w:ascii="宋体" w:hAnsi="宋体" w:cs="宋体"/>
          <w:sz w:val="24"/>
          <w:szCs w:val="24"/>
        </w:rPr>
      </w:pPr>
      <w:r>
        <w:rPr>
          <w:rFonts w:hint="eastAsia" w:ascii="宋体" w:hAnsi="宋体" w:cs="宋体"/>
          <w:sz w:val="24"/>
          <w:szCs w:val="24"/>
        </w:rPr>
        <w:t>④</w:t>
      </w:r>
      <w:r>
        <w:rPr>
          <w:rFonts w:hint="eastAsia" w:ascii="宋体" w:hAnsi="宋体"/>
          <w:sz w:val="24"/>
          <w:szCs w:val="28"/>
        </w:rPr>
        <w:t>交货时需提供产品出厂合格证、使用说明书和中国兽医药品监察所对该批产品的批签发报告扫描件。</w:t>
      </w:r>
      <w:r>
        <w:rPr>
          <w:rFonts w:hint="eastAsia" w:ascii="宋体" w:hAnsi="宋体" w:cs="宋体"/>
          <w:sz w:val="24"/>
          <w:szCs w:val="24"/>
        </w:rPr>
        <w:t>质保期内供货服务商接到甲方产品出现问题的通知后，至少满足24小时内到达产品使用现场，进行处理。除不可抗力和使用方责任外，费用全部由乙方承担。质保期内产品质量经权威机构鉴定不符合质量要求的，按合同约定承担违约责任，供货服务商应及时收回不合格产品，所产生的费用由</w:t>
      </w:r>
      <w:r>
        <w:rPr>
          <w:rFonts w:hint="eastAsia" w:ascii="宋体" w:hAnsi="宋体"/>
          <w:sz w:val="24"/>
          <w:szCs w:val="28"/>
        </w:rPr>
        <w:t>中标人</w:t>
      </w:r>
      <w:r>
        <w:rPr>
          <w:rFonts w:hint="eastAsia" w:ascii="宋体" w:hAnsi="宋体" w:cs="宋体"/>
          <w:sz w:val="24"/>
          <w:szCs w:val="24"/>
        </w:rPr>
        <w:t>自行负责，采购方立即停止合同。</w:t>
      </w:r>
    </w:p>
    <w:p>
      <w:pPr>
        <w:spacing w:line="360" w:lineRule="auto"/>
        <w:ind w:firstLine="480" w:firstLineChars="200"/>
        <w:rPr>
          <w:rFonts w:ascii="宋体" w:hAnsi="宋体" w:cs="宋体"/>
          <w:sz w:val="24"/>
          <w:szCs w:val="24"/>
        </w:rPr>
      </w:pPr>
      <w:r>
        <w:rPr>
          <w:rFonts w:hint="eastAsia" w:ascii="宋体" w:hAnsi="宋体" w:cs="宋体"/>
          <w:sz w:val="24"/>
          <w:szCs w:val="24"/>
        </w:rPr>
        <w:t>⑶质保期外服务基本要求：</w:t>
      </w:r>
    </w:p>
    <w:p>
      <w:pPr>
        <w:spacing w:line="360" w:lineRule="auto"/>
        <w:ind w:firstLine="720" w:firstLineChars="300"/>
        <w:rPr>
          <w:rFonts w:ascii="宋体" w:hAnsi="宋体" w:cs="宋体"/>
          <w:sz w:val="24"/>
          <w:szCs w:val="24"/>
        </w:rPr>
      </w:pPr>
      <w:r>
        <w:rPr>
          <w:rFonts w:hint="eastAsia" w:ascii="宋体" w:hAnsi="宋体" w:cs="宋体"/>
          <w:sz w:val="24"/>
          <w:szCs w:val="24"/>
        </w:rPr>
        <w:t>供货服务商接到使用方产品出现问题的通知后，24小时内到达产品现场，进行处理，并提供预防接种异常反应处理方案。</w:t>
      </w:r>
    </w:p>
    <w:p>
      <w:pPr>
        <w:spacing w:line="360" w:lineRule="auto"/>
        <w:ind w:firstLine="480" w:firstLineChars="200"/>
        <w:rPr>
          <w:rFonts w:ascii="宋体" w:hAnsi="宋体" w:cs="宋体"/>
          <w:sz w:val="24"/>
          <w:szCs w:val="24"/>
        </w:rPr>
      </w:pPr>
      <w:r>
        <w:rPr>
          <w:rFonts w:hint="eastAsia" w:ascii="宋体" w:hAnsi="宋体" w:cs="宋体"/>
          <w:sz w:val="24"/>
          <w:szCs w:val="24"/>
        </w:rPr>
        <w:t xml:space="preserve">3.3.4 售后服务和技术支持要求 </w:t>
      </w:r>
    </w:p>
    <w:p>
      <w:pPr>
        <w:spacing w:line="360" w:lineRule="auto"/>
        <w:ind w:firstLine="480" w:firstLineChars="200"/>
        <w:rPr>
          <w:rFonts w:ascii="宋体" w:hAnsi="宋体"/>
          <w:sz w:val="24"/>
          <w:szCs w:val="24"/>
        </w:rPr>
      </w:pPr>
      <w:r>
        <w:rPr>
          <w:rFonts w:hint="eastAsia" w:ascii="宋体" w:hAnsi="宋体" w:cs="宋体"/>
          <w:sz w:val="24"/>
          <w:szCs w:val="24"/>
        </w:rPr>
        <w:t>⑴</w:t>
      </w:r>
      <w:r>
        <w:rPr>
          <w:rFonts w:hint="eastAsia" w:ascii="宋体" w:hAnsi="宋体"/>
          <w:sz w:val="24"/>
          <w:szCs w:val="24"/>
        </w:rPr>
        <w:t>送货地点为</w:t>
      </w:r>
      <w:r>
        <w:rPr>
          <w:rFonts w:hint="eastAsia" w:ascii="宋体" w:hAnsi="宋体" w:cs="Arial"/>
          <w:kern w:val="0"/>
          <w:sz w:val="24"/>
          <w:szCs w:val="24"/>
        </w:rPr>
        <w:t>采购人指定地点（</w:t>
      </w:r>
      <w:r>
        <w:rPr>
          <w:rFonts w:hint="eastAsia" w:ascii="宋体" w:hAnsi="宋体" w:cs="宋体"/>
          <w:bCs/>
          <w:sz w:val="24"/>
          <w:szCs w:val="24"/>
          <w:lang w:eastAsia="zh-CN"/>
        </w:rPr>
        <w:t>阿勒泰地区动物疾病控制与诊断中心</w:t>
      </w:r>
      <w:r>
        <w:rPr>
          <w:rFonts w:hint="eastAsia" w:ascii="宋体" w:hAnsi="宋体" w:cs="Arial"/>
          <w:kern w:val="0"/>
          <w:sz w:val="24"/>
          <w:szCs w:val="24"/>
        </w:rPr>
        <w:t>）</w:t>
      </w:r>
      <w:r>
        <w:rPr>
          <w:rFonts w:hint="eastAsia" w:ascii="宋体" w:hAnsi="宋体"/>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⑵供货服务商免费提供技术咨询和相关宣传资料。如采购方需要，供货服务商应免费开展相关疫苗实验、检测、培训等，一切费用由中标企业承担。</w:t>
      </w:r>
    </w:p>
    <w:p>
      <w:pPr>
        <w:spacing w:line="360" w:lineRule="auto"/>
        <w:ind w:firstLine="480" w:firstLineChars="200"/>
        <w:rPr>
          <w:rFonts w:ascii="宋体" w:hAnsi="宋体" w:cs="宋体"/>
          <w:sz w:val="24"/>
          <w:szCs w:val="24"/>
        </w:rPr>
      </w:pPr>
      <w:r>
        <w:rPr>
          <w:rFonts w:hint="eastAsia" w:ascii="宋体" w:hAnsi="宋体" w:cs="宋体"/>
          <w:sz w:val="24"/>
          <w:szCs w:val="24"/>
        </w:rPr>
        <w:t xml:space="preserve">⑶ </w:t>
      </w:r>
      <w:r>
        <w:rPr>
          <w:rFonts w:hint="eastAsia" w:ascii="宋体" w:hAnsi="宋体" w:cs="宋体"/>
          <w:sz w:val="24"/>
          <w:szCs w:val="28"/>
        </w:rPr>
        <w:t>疫苗免疫造成畜禽副反应、死亡或经济损失的，</w:t>
      </w:r>
      <w:r>
        <w:rPr>
          <w:rFonts w:hint="eastAsia" w:ascii="宋体" w:hAnsi="宋体" w:cs="宋体"/>
          <w:sz w:val="24"/>
          <w:szCs w:val="24"/>
        </w:rPr>
        <w:t>中标企业</w:t>
      </w:r>
      <w:r>
        <w:rPr>
          <w:rFonts w:hint="eastAsia" w:ascii="宋体" w:hAnsi="宋体" w:cs="宋体"/>
          <w:sz w:val="24"/>
          <w:szCs w:val="28"/>
        </w:rPr>
        <w:t>无条件及时派人调查或参加由供需双方组成的联合调查小组进行调查。经调查认定或经国家权威部门鉴定，确认是因疫苗质量引起的损失，由中标人负责给予补偿。</w:t>
      </w:r>
    </w:p>
    <w:p>
      <w:pPr>
        <w:spacing w:line="360" w:lineRule="auto"/>
        <w:ind w:firstLine="480" w:firstLineChars="200"/>
        <w:rPr>
          <w:rFonts w:ascii="宋体" w:hAnsi="宋体"/>
          <w:sz w:val="24"/>
          <w:szCs w:val="28"/>
        </w:rPr>
      </w:pPr>
      <w:r>
        <w:rPr>
          <w:rFonts w:hint="eastAsia" w:ascii="宋体" w:hAnsi="宋体" w:cs="宋体"/>
          <w:sz w:val="24"/>
          <w:szCs w:val="24"/>
        </w:rPr>
        <w:t xml:space="preserve">⑷ </w:t>
      </w:r>
      <w:r>
        <w:rPr>
          <w:rFonts w:hint="eastAsia" w:ascii="宋体" w:hAnsi="宋体" w:cs="宋体"/>
          <w:sz w:val="24"/>
          <w:szCs w:val="28"/>
        </w:rPr>
        <w:t>如因免疫失败</w:t>
      </w:r>
      <w:r>
        <w:rPr>
          <w:rFonts w:hint="eastAsia" w:ascii="宋体" w:hAnsi="宋体"/>
          <w:sz w:val="24"/>
          <w:szCs w:val="28"/>
        </w:rPr>
        <w:t>，导致疫情暴发，双方会同有关部门组成调查组查清原因，经权威部门确认是由产品质量原因造成的，</w:t>
      </w:r>
      <w:r>
        <w:rPr>
          <w:rFonts w:hint="eastAsia" w:ascii="宋体" w:hAnsi="宋体" w:cs="宋体"/>
          <w:sz w:val="24"/>
          <w:szCs w:val="24"/>
        </w:rPr>
        <w:t>中标企业</w:t>
      </w:r>
      <w:r>
        <w:rPr>
          <w:rFonts w:hint="eastAsia" w:ascii="宋体" w:hAnsi="宋体"/>
          <w:sz w:val="24"/>
          <w:szCs w:val="28"/>
        </w:rPr>
        <w:t>应承担扑疫经费，并赔偿相应的经济损失。</w:t>
      </w:r>
    </w:p>
    <w:p>
      <w:pPr>
        <w:spacing w:line="360" w:lineRule="auto"/>
        <w:ind w:firstLine="480" w:firstLineChars="200"/>
        <w:rPr>
          <w:rFonts w:ascii="宋体" w:hAnsi="宋体"/>
          <w:sz w:val="24"/>
          <w:szCs w:val="28"/>
        </w:rPr>
      </w:pPr>
      <w:r>
        <w:rPr>
          <w:rFonts w:hint="eastAsia" w:ascii="微软雅黑" w:hAnsi="微软雅黑" w:eastAsia="微软雅黑" w:cs="微软雅黑"/>
          <w:sz w:val="24"/>
          <w:szCs w:val="24"/>
        </w:rPr>
        <w:t>⑸</w:t>
      </w:r>
      <w:r>
        <w:rPr>
          <w:rFonts w:hint="eastAsia" w:ascii="宋体" w:hAnsi="宋体" w:cs="宋体"/>
          <w:sz w:val="24"/>
          <w:szCs w:val="24"/>
        </w:rPr>
        <w:t>详细售后服务内容见本章节部分。如投标人有更优质的服务内容，以投标人承诺的服务内容为准。</w:t>
      </w:r>
    </w:p>
    <w:p>
      <w:pPr>
        <w:spacing w:line="360" w:lineRule="auto"/>
        <w:ind w:firstLine="480" w:firstLineChars="200"/>
        <w:rPr>
          <w:rFonts w:ascii="宋体" w:hAnsi="宋体" w:cs="宋体"/>
          <w:sz w:val="24"/>
          <w:szCs w:val="24"/>
        </w:rPr>
      </w:pPr>
      <w:r>
        <w:rPr>
          <w:rFonts w:hint="eastAsia" w:ascii="宋体" w:hAnsi="宋体" w:cs="宋体"/>
          <w:sz w:val="24"/>
          <w:szCs w:val="24"/>
        </w:rPr>
        <w:t>3.3.5 以上内容及“项目技术规格、数量及技术要求”中的商务要求投标人必须在投标文件上清楚阐明。如投标人有更优质的服务内容，以投标人承诺的服务内容为准。</w:t>
      </w:r>
    </w:p>
    <w:p>
      <w:pPr>
        <w:spacing w:line="360" w:lineRule="auto"/>
        <w:rPr>
          <w:rFonts w:ascii="宋体" w:hAnsi="宋体" w:cs="宋体"/>
          <w:sz w:val="24"/>
          <w:szCs w:val="24"/>
        </w:rPr>
      </w:pPr>
      <w:bookmarkStart w:id="60" w:name="_Toc13600_WPSOffice_Level1"/>
      <w:bookmarkStart w:id="61" w:name="_Toc439255249"/>
      <w:bookmarkStart w:id="62" w:name="_Toc267320051"/>
    </w:p>
    <w:p>
      <w:pPr>
        <w:tabs>
          <w:tab w:val="center" w:pos="4832"/>
          <w:tab w:val="left" w:pos="7140"/>
        </w:tabs>
        <w:spacing w:line="360" w:lineRule="auto"/>
        <w:jc w:val="left"/>
        <w:outlineLvl w:val="2"/>
        <w:rPr>
          <w:rFonts w:ascii="宋体" w:cs="Arial"/>
          <w:kern w:val="0"/>
          <w:sz w:val="24"/>
          <w:szCs w:val="24"/>
        </w:rPr>
      </w:pPr>
      <w:bookmarkStart w:id="63" w:name="_Toc18005"/>
      <w:bookmarkStart w:id="64" w:name="_Toc7577"/>
      <w:bookmarkStart w:id="65" w:name="_Toc24187"/>
      <w:r>
        <w:rPr>
          <w:rFonts w:hint="eastAsia" w:ascii="宋体" w:hAnsi="宋体" w:cs="宋体"/>
          <w:b/>
          <w:sz w:val="24"/>
          <w:szCs w:val="24"/>
        </w:rPr>
        <w:t>3.4付款方式</w:t>
      </w:r>
      <w:bookmarkEnd w:id="63"/>
      <w:bookmarkEnd w:id="64"/>
      <w:bookmarkEnd w:id="65"/>
    </w:p>
    <w:bookmarkEnd w:id="60"/>
    <w:bookmarkEnd w:id="61"/>
    <w:bookmarkEnd w:id="62"/>
    <w:p>
      <w:pPr>
        <w:spacing w:line="360" w:lineRule="auto"/>
        <w:ind w:firstLine="480" w:firstLineChars="200"/>
        <w:rPr>
          <w:rFonts w:ascii="宋体" w:hAnsi="宋体" w:cs="宋体"/>
          <w:sz w:val="24"/>
          <w:szCs w:val="24"/>
        </w:rPr>
      </w:pPr>
      <w:bookmarkStart w:id="66" w:name="_Toc439255250"/>
      <w:bookmarkStart w:id="67" w:name="_Toc267320052"/>
      <w:r>
        <w:rPr>
          <w:rFonts w:hint="eastAsia" w:ascii="宋体" w:hAnsi="宋体" w:cs="宋体"/>
          <w:sz w:val="24"/>
          <w:szCs w:val="24"/>
        </w:rPr>
        <w:t>采购方一次性向有关部门申请核拨应付款。若有关部门因各种原因延期付款，则甲方不负任何责任。</w:t>
      </w:r>
    </w:p>
    <w:p>
      <w:pPr>
        <w:spacing w:line="360" w:lineRule="auto"/>
        <w:rPr>
          <w:rFonts w:ascii="宋体" w:hAnsi="宋体" w:cs="宋体"/>
          <w:sz w:val="24"/>
          <w:szCs w:val="24"/>
        </w:rPr>
      </w:pPr>
      <w:bookmarkStart w:id="68" w:name="_Toc6208_WPSOffice_Level1"/>
    </w:p>
    <w:p>
      <w:pPr>
        <w:tabs>
          <w:tab w:val="center" w:pos="4832"/>
          <w:tab w:val="left" w:pos="7140"/>
        </w:tabs>
        <w:spacing w:line="360" w:lineRule="auto"/>
        <w:jc w:val="left"/>
        <w:outlineLvl w:val="2"/>
        <w:rPr>
          <w:rFonts w:ascii="宋体" w:cs="Arial"/>
          <w:kern w:val="0"/>
          <w:sz w:val="24"/>
          <w:szCs w:val="24"/>
        </w:rPr>
      </w:pPr>
      <w:bookmarkStart w:id="69" w:name="_Toc16945"/>
      <w:bookmarkStart w:id="70" w:name="_Toc8238"/>
      <w:bookmarkStart w:id="71" w:name="_Toc31012"/>
      <w:r>
        <w:rPr>
          <w:rFonts w:hint="eastAsia" w:ascii="宋体" w:hAnsi="宋体" w:cs="宋体"/>
          <w:b/>
          <w:sz w:val="24"/>
          <w:szCs w:val="24"/>
        </w:rPr>
        <w:t>3.5知识产权</w:t>
      </w:r>
      <w:bookmarkEnd w:id="69"/>
      <w:bookmarkEnd w:id="70"/>
      <w:bookmarkEnd w:id="71"/>
    </w:p>
    <w:bookmarkEnd w:id="66"/>
    <w:bookmarkEnd w:id="67"/>
    <w:bookmarkEnd w:id="68"/>
    <w:p>
      <w:pPr>
        <w:spacing w:line="360" w:lineRule="auto"/>
        <w:ind w:firstLine="480" w:firstLineChars="200"/>
        <w:rPr>
          <w:rFonts w:ascii="宋体" w:hAnsi="宋体" w:cs="宋体"/>
          <w:sz w:val="24"/>
          <w:szCs w:val="24"/>
        </w:rPr>
      </w:pPr>
      <w:r>
        <w:rPr>
          <w:rFonts w:hint="eastAsia" w:ascii="宋体" w:hAnsi="宋体" w:cs="宋体"/>
          <w:sz w:val="24"/>
          <w:szCs w:val="24"/>
        </w:rPr>
        <w:t>采购方在中华人民共和国境内使用投标人提供的货物及服务时免受第三方提出的侵犯其专利权或其它知识产权的起诉。如果第三方提出侵权指控，供货服务商应承担由此而引起的一切法律责任和费用。</w:t>
      </w:r>
    </w:p>
    <w:p>
      <w:pPr>
        <w:spacing w:line="360" w:lineRule="auto"/>
        <w:rPr>
          <w:rFonts w:ascii="宋体" w:hAnsi="宋体" w:cs="宋体"/>
          <w:sz w:val="24"/>
          <w:szCs w:val="24"/>
        </w:rPr>
      </w:pPr>
    </w:p>
    <w:p>
      <w:pPr>
        <w:tabs>
          <w:tab w:val="center" w:pos="4832"/>
          <w:tab w:val="left" w:pos="7140"/>
        </w:tabs>
        <w:spacing w:line="360" w:lineRule="auto"/>
        <w:jc w:val="left"/>
        <w:outlineLvl w:val="2"/>
        <w:rPr>
          <w:rFonts w:ascii="宋体" w:cs="Arial"/>
          <w:kern w:val="0"/>
          <w:sz w:val="24"/>
          <w:szCs w:val="24"/>
        </w:rPr>
      </w:pPr>
      <w:bookmarkStart w:id="72" w:name="_Toc7598"/>
      <w:bookmarkStart w:id="73" w:name="_Toc17147"/>
      <w:bookmarkStart w:id="74" w:name="_Toc20832"/>
      <w:bookmarkStart w:id="75" w:name="_Toc12840_WPSOffice_Level1"/>
      <w:bookmarkStart w:id="76" w:name="_Toc439255252"/>
      <w:bookmarkStart w:id="77" w:name="_Toc267320054"/>
      <w:r>
        <w:rPr>
          <w:rFonts w:hint="eastAsia" w:ascii="宋体" w:hAnsi="宋体" w:cs="宋体"/>
          <w:b/>
          <w:sz w:val="24"/>
          <w:szCs w:val="24"/>
        </w:rPr>
        <w:t>3.6其他</w:t>
      </w:r>
      <w:bookmarkEnd w:id="72"/>
      <w:bookmarkEnd w:id="73"/>
      <w:bookmarkEnd w:id="74"/>
    </w:p>
    <w:bookmarkEnd w:id="75"/>
    <w:bookmarkEnd w:id="76"/>
    <w:bookmarkEnd w:id="77"/>
    <w:p>
      <w:pPr>
        <w:spacing w:line="360" w:lineRule="auto"/>
        <w:ind w:firstLine="480" w:firstLineChars="200"/>
        <w:rPr>
          <w:rFonts w:ascii="宋体" w:hAnsi="宋体" w:cs="宋体"/>
          <w:sz w:val="24"/>
          <w:szCs w:val="24"/>
        </w:rPr>
      </w:pPr>
      <w:r>
        <w:rPr>
          <w:rFonts w:hint="eastAsia" w:ascii="宋体" w:hAnsi="宋体" w:cs="宋体"/>
          <w:sz w:val="24"/>
          <w:szCs w:val="24"/>
        </w:rPr>
        <w:t>3.6.1 投标人必须在投标文件中对以上条款和服务承诺明确列出，承诺内容必须达到本篇及招标文件其他条款的要求。</w:t>
      </w:r>
    </w:p>
    <w:p>
      <w:pPr>
        <w:spacing w:line="360" w:lineRule="auto"/>
        <w:ind w:firstLine="480" w:firstLineChars="200"/>
        <w:rPr>
          <w:rFonts w:ascii="宋体" w:hAnsi="宋体"/>
          <w:sz w:val="24"/>
          <w:szCs w:val="28"/>
        </w:rPr>
      </w:pPr>
      <w:r>
        <w:rPr>
          <w:rFonts w:hint="eastAsia" w:ascii="宋体" w:hAnsi="宋体" w:cs="宋体"/>
          <w:sz w:val="24"/>
          <w:szCs w:val="24"/>
        </w:rPr>
        <w:t xml:space="preserve">3.6.2 </w:t>
      </w:r>
      <w:r>
        <w:rPr>
          <w:rFonts w:hint="eastAsia" w:ascii="宋体" w:hAnsi="宋体"/>
          <w:sz w:val="24"/>
          <w:szCs w:val="28"/>
        </w:rPr>
        <w:t>中标人与采购人签订《协议》后，须与用户方签订《疫苗采购供应合同》（包括供货范围、需求数量、单价等），明确具体供货数量、供货时间、送达地点等内容。</w:t>
      </w:r>
    </w:p>
    <w:p>
      <w:pPr>
        <w:spacing w:line="360" w:lineRule="auto"/>
        <w:ind w:firstLine="480" w:firstLineChars="200"/>
        <w:rPr>
          <w:rFonts w:ascii="宋体" w:hAnsi="宋体" w:cs="宋体"/>
          <w:sz w:val="24"/>
          <w:szCs w:val="24"/>
        </w:rPr>
      </w:pPr>
      <w:r>
        <w:rPr>
          <w:rFonts w:hint="eastAsia" w:ascii="宋体" w:hAnsi="宋体" w:cs="宋体"/>
          <w:sz w:val="24"/>
          <w:szCs w:val="24"/>
        </w:rPr>
        <w:t>3.6.3 其他未尽事宜由供需双方在采购合同中详细约定。</w:t>
      </w:r>
    </w:p>
    <w:p>
      <w:pPr>
        <w:spacing w:line="360" w:lineRule="auto"/>
        <w:ind w:firstLine="480" w:firstLineChars="200"/>
        <w:rPr>
          <w:rFonts w:ascii="宋体" w:hAnsi="宋体" w:cs="宋体"/>
          <w:sz w:val="24"/>
          <w:szCs w:val="24"/>
        </w:rPr>
      </w:pPr>
      <w:r>
        <w:rPr>
          <w:rFonts w:hint="eastAsia" w:ascii="宋体" w:hAnsi="宋体" w:cs="宋体"/>
          <w:sz w:val="24"/>
          <w:szCs w:val="24"/>
        </w:rPr>
        <w:t>3.6.4 若供货服务商不能按招标文件规定的交货期正常交货，采购方有权终止采购合同，并将相关情况上报给采购计划主管部门，取消其中标资格。</w:t>
      </w:r>
    </w:p>
    <w:p>
      <w:pPr>
        <w:spacing w:line="360" w:lineRule="auto"/>
        <w:ind w:firstLine="480" w:firstLineChars="200"/>
        <w:rPr>
          <w:rFonts w:ascii="宋体" w:hAnsi="宋体" w:cs="宋体"/>
          <w:sz w:val="24"/>
          <w:szCs w:val="24"/>
        </w:rPr>
      </w:pPr>
      <w:r>
        <w:rPr>
          <w:rFonts w:hint="eastAsia" w:ascii="宋体" w:hAnsi="宋体" w:cs="宋体"/>
          <w:sz w:val="24"/>
          <w:szCs w:val="24"/>
        </w:rPr>
        <w:t>3.6.5 采购方根据国家免疫政策调整情况，享有本次采购疫苗品种、类别、数量调整的权利。</w:t>
      </w:r>
    </w:p>
    <w:p>
      <w:pPr>
        <w:spacing w:line="360" w:lineRule="auto"/>
        <w:ind w:firstLine="480" w:firstLineChars="200"/>
        <w:rPr>
          <w:rFonts w:ascii="宋体" w:hAnsi="宋体" w:cs="宋体"/>
          <w:sz w:val="24"/>
          <w:szCs w:val="24"/>
        </w:rPr>
      </w:pPr>
      <w:r>
        <w:rPr>
          <w:rFonts w:hint="eastAsia" w:ascii="宋体" w:hAnsi="宋体" w:cs="宋体"/>
          <w:sz w:val="24"/>
          <w:szCs w:val="24"/>
        </w:rPr>
        <w:t>3.6.6 采购方有权对供货服务商供应的每一个批次的产品进行产品质量的实验室抽检和免疫效果评价，经检测和评价不符合国家相关标准和要求的，立即对产品进行退货、中止合同且上报监督部门对其进行处罚。</w:t>
      </w:r>
    </w:p>
    <w:p>
      <w:pPr>
        <w:spacing w:line="360" w:lineRule="auto"/>
        <w:rPr>
          <w:rFonts w:ascii="宋体" w:hAnsi="宋体" w:cs="宋体"/>
          <w:sz w:val="24"/>
          <w:szCs w:val="24"/>
        </w:rPr>
      </w:pPr>
    </w:p>
    <w:p>
      <w:pPr>
        <w:spacing w:line="360" w:lineRule="auto"/>
        <w:rPr>
          <w:rFonts w:ascii="宋体" w:hAnsi="宋体" w:cs="宋体"/>
          <w:sz w:val="24"/>
          <w:szCs w:val="24"/>
        </w:rPr>
      </w:pPr>
    </w:p>
    <w:p>
      <w:pPr>
        <w:rPr>
          <w:rFonts w:ascii="黑体" w:hAnsi="黑体" w:eastAsia="黑体" w:cs="黑体"/>
          <w:bCs/>
          <w:sz w:val="32"/>
          <w:szCs w:val="32"/>
        </w:rPr>
      </w:pPr>
    </w:p>
    <w:p>
      <w:pPr>
        <w:rPr>
          <w:rFonts w:ascii="黑体" w:hAnsi="黑体" w:eastAsia="黑体" w:cs="黑体"/>
          <w:bCs/>
          <w:sz w:val="32"/>
          <w:szCs w:val="32"/>
        </w:rPr>
      </w:pPr>
      <w:r>
        <w:rPr>
          <w:rFonts w:hint="eastAsia" w:ascii="黑体" w:hAnsi="黑体" w:eastAsia="黑体" w:cs="黑体"/>
          <w:bCs/>
          <w:sz w:val="32"/>
          <w:szCs w:val="32"/>
        </w:rPr>
        <w:br w:type="page"/>
      </w:r>
    </w:p>
    <w:p>
      <w:pPr>
        <w:spacing w:line="440" w:lineRule="exact"/>
        <w:jc w:val="center"/>
        <w:outlineLvl w:val="0"/>
        <w:rPr>
          <w:rFonts w:ascii="宋体" w:hAnsi="宋体" w:cs="宋体"/>
          <w:b/>
          <w:sz w:val="24"/>
          <w:szCs w:val="24"/>
        </w:rPr>
      </w:pPr>
      <w:bookmarkStart w:id="78" w:name="_Toc19890"/>
      <w:r>
        <w:rPr>
          <w:rFonts w:hint="eastAsia" w:ascii="黑体" w:hAnsi="黑体" w:eastAsia="黑体" w:cs="黑体"/>
          <w:bCs/>
          <w:sz w:val="32"/>
          <w:szCs w:val="32"/>
        </w:rPr>
        <w:t>第五章 投标文件格式</w:t>
      </w:r>
      <w:bookmarkEnd w:id="78"/>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79" w:name="_Toc5067"/>
      <w:r>
        <w:rPr>
          <w:rFonts w:hint="eastAsia" w:ascii="宋体" w:hAnsi="宋体" w:cs="宋体"/>
          <w:b/>
          <w:sz w:val="24"/>
          <w:szCs w:val="24"/>
        </w:rPr>
        <w:t>第一节 投标文件封面示例</w:t>
      </w:r>
      <w:bookmarkEnd w:id="79"/>
    </w:p>
    <w:p>
      <w:pPr>
        <w:pStyle w:val="2"/>
        <w:rPr>
          <w:rFonts w:cs="宋体"/>
          <w:sz w:val="24"/>
          <w:szCs w:val="24"/>
        </w:rPr>
      </w:pPr>
    </w:p>
    <w:p>
      <w:pPr>
        <w:rPr>
          <w:rFonts w:ascii="宋体" w:cs="宋体"/>
          <w:b/>
          <w:sz w:val="24"/>
          <w:szCs w:val="24"/>
        </w:rPr>
      </w:pPr>
    </w:p>
    <w:p>
      <w:pPr>
        <w:rPr>
          <w:rFonts w:ascii="宋体" w:cs="宋体"/>
          <w:b/>
          <w:sz w:val="24"/>
          <w:szCs w:val="24"/>
        </w:rPr>
      </w:pPr>
    </w:p>
    <w:p>
      <w:pPr>
        <w:spacing w:line="720" w:lineRule="auto"/>
        <w:ind w:right="315"/>
        <w:jc w:val="right"/>
        <w:rPr>
          <w:rFonts w:ascii="宋体" w:cs="宋体"/>
          <w:b/>
          <w:sz w:val="24"/>
          <w:szCs w:val="24"/>
          <w:bdr w:val="single" w:color="auto" w:sz="4" w:space="0"/>
        </w:rPr>
      </w:pPr>
      <w:r>
        <w:rPr>
          <w:rFonts w:hint="eastAsia" w:ascii="宋体" w:hAnsi="宋体" w:cs="宋体"/>
          <w:b/>
          <w:sz w:val="24"/>
          <w:szCs w:val="24"/>
          <w:bdr w:val="single" w:color="auto" w:sz="4" w:space="0"/>
        </w:rPr>
        <w:t>正本/副本</w:t>
      </w:r>
    </w:p>
    <w:p>
      <w:pPr>
        <w:spacing w:line="480" w:lineRule="auto"/>
        <w:jc w:val="center"/>
        <w:rPr>
          <w:rFonts w:ascii="宋体" w:hAnsi="宋体" w:cs="宋体"/>
          <w:b/>
          <w:bCs/>
          <w:sz w:val="24"/>
          <w:szCs w:val="24"/>
          <w:u w:val="single"/>
        </w:rPr>
      </w:pPr>
      <w:r>
        <w:rPr>
          <w:rFonts w:hint="eastAsia" w:ascii="宋体" w:hAnsi="宋体" w:cs="宋体"/>
          <w:b/>
          <w:bCs/>
          <w:sz w:val="24"/>
          <w:szCs w:val="24"/>
          <w:u w:val="single"/>
        </w:rPr>
        <w:t>（项目名称）</w:t>
      </w:r>
    </w:p>
    <w:p>
      <w:pPr>
        <w:spacing w:line="480" w:lineRule="auto"/>
        <w:jc w:val="center"/>
        <w:rPr>
          <w:rFonts w:ascii="宋体" w:cs="宋体"/>
          <w:b/>
          <w:bCs/>
          <w:sz w:val="24"/>
          <w:szCs w:val="24"/>
          <w:u w:val="single"/>
        </w:rPr>
      </w:pPr>
      <w:r>
        <w:rPr>
          <w:rFonts w:hint="eastAsia" w:ascii="宋体" w:hAnsi="宋体" w:cs="宋体"/>
          <w:b/>
          <w:bCs/>
          <w:sz w:val="24"/>
          <w:szCs w:val="24"/>
          <w:u w:val="single"/>
        </w:rPr>
        <w:t>（项目编号）</w:t>
      </w:r>
    </w:p>
    <w:p>
      <w:pPr>
        <w:spacing w:line="300" w:lineRule="exact"/>
        <w:jc w:val="center"/>
        <w:rPr>
          <w:rFonts w:ascii="宋体" w:hAnsi="宋体" w:cs="宋体"/>
          <w:b/>
          <w:bCs/>
          <w:sz w:val="24"/>
          <w:szCs w:val="24"/>
        </w:rPr>
      </w:pPr>
    </w:p>
    <w:p>
      <w:pPr>
        <w:spacing w:line="300" w:lineRule="exact"/>
        <w:jc w:val="center"/>
        <w:rPr>
          <w:rFonts w:ascii="宋体" w:hAnsi="宋体" w:cs="宋体"/>
          <w:b/>
          <w:bCs/>
          <w:sz w:val="24"/>
          <w:szCs w:val="24"/>
        </w:rPr>
      </w:pPr>
    </w:p>
    <w:p>
      <w:pPr>
        <w:spacing w:line="300" w:lineRule="exact"/>
        <w:jc w:val="center"/>
        <w:rPr>
          <w:rFonts w:ascii="宋体" w:cs="宋体"/>
          <w:b/>
          <w:bCs/>
          <w:sz w:val="24"/>
          <w:szCs w:val="24"/>
        </w:rPr>
      </w:pPr>
      <w:r>
        <w:rPr>
          <w:rFonts w:hint="eastAsia" w:ascii="宋体" w:hAnsi="宋体" w:cs="宋体"/>
          <w:b/>
          <w:bCs/>
          <w:sz w:val="24"/>
          <w:szCs w:val="24"/>
        </w:rPr>
        <w:t>投标文件</w:t>
      </w:r>
    </w:p>
    <w:p>
      <w:pPr>
        <w:spacing w:line="720" w:lineRule="auto"/>
        <w:rPr>
          <w:rFonts w:ascii="宋体" w:cs="宋体"/>
          <w:sz w:val="24"/>
          <w:szCs w:val="24"/>
        </w:rPr>
      </w:pPr>
    </w:p>
    <w:p>
      <w:pPr>
        <w:pStyle w:val="5"/>
      </w:pPr>
    </w:p>
    <w:p>
      <w:pPr>
        <w:spacing w:line="720" w:lineRule="auto"/>
        <w:rPr>
          <w:rFonts w:ascii="宋体" w:cs="宋体"/>
          <w:sz w:val="24"/>
          <w:szCs w:val="24"/>
        </w:rPr>
      </w:pPr>
      <w:r>
        <w:rPr>
          <w:rFonts w:hint="eastAsia" w:ascii="宋体" w:hAnsi="宋体" w:cs="宋体"/>
          <w:sz w:val="24"/>
          <w:szCs w:val="24"/>
        </w:rPr>
        <w:t>投标人：（盖章）</w:t>
      </w:r>
    </w:p>
    <w:p>
      <w:pPr>
        <w:rPr>
          <w:rFonts w:ascii="宋体" w:hAnsi="宋体" w:cs="Arial"/>
          <w:kern w:val="0"/>
          <w:sz w:val="24"/>
          <w:szCs w:val="24"/>
        </w:rPr>
      </w:pPr>
      <w:r>
        <w:rPr>
          <w:rFonts w:hint="eastAsia" w:ascii="宋体" w:hAnsi="宋体" w:cs="Arial"/>
          <w:kern w:val="0"/>
          <w:sz w:val="24"/>
          <w:szCs w:val="24"/>
        </w:rPr>
        <w:t>法定代表人或委托代理人（签字）：</w:t>
      </w:r>
    </w:p>
    <w:p>
      <w:pPr>
        <w:pStyle w:val="5"/>
      </w:pPr>
    </w:p>
    <w:p>
      <w:pPr>
        <w:spacing w:line="720" w:lineRule="auto"/>
        <w:rPr>
          <w:rFonts w:ascii="宋体" w:cs="宋体"/>
          <w:sz w:val="24"/>
          <w:szCs w:val="24"/>
        </w:rPr>
      </w:pPr>
      <w:r>
        <w:rPr>
          <w:rFonts w:hint="eastAsia" w:ascii="宋体" w:hAnsi="宋体" w:cs="宋体"/>
          <w:sz w:val="24"/>
          <w:szCs w:val="24"/>
        </w:rPr>
        <w:t>单位地址：</w:t>
      </w:r>
    </w:p>
    <w:p>
      <w:pPr>
        <w:spacing w:line="720" w:lineRule="auto"/>
        <w:rPr>
          <w:rFonts w:ascii="宋体" w:cs="宋体"/>
          <w:sz w:val="24"/>
          <w:szCs w:val="24"/>
        </w:rPr>
      </w:pPr>
      <w:r>
        <w:rPr>
          <w:rFonts w:hint="eastAsia" w:ascii="宋体" w:hAnsi="宋体" w:cs="宋体"/>
          <w:sz w:val="24"/>
          <w:szCs w:val="24"/>
        </w:rPr>
        <w:t>邮政编码：</w:t>
      </w:r>
    </w:p>
    <w:p>
      <w:pPr>
        <w:spacing w:line="720" w:lineRule="auto"/>
        <w:rPr>
          <w:rFonts w:ascii="宋体" w:cs="宋体"/>
          <w:sz w:val="24"/>
          <w:szCs w:val="24"/>
        </w:rPr>
      </w:pPr>
      <w:r>
        <w:rPr>
          <w:rFonts w:hint="eastAsia" w:ascii="宋体" w:hAnsi="宋体" w:cs="宋体"/>
          <w:sz w:val="24"/>
          <w:szCs w:val="24"/>
        </w:rPr>
        <w:t>联系人：</w:t>
      </w:r>
    </w:p>
    <w:p>
      <w:pPr>
        <w:spacing w:line="720" w:lineRule="auto"/>
        <w:rPr>
          <w:rFonts w:ascii="宋体" w:cs="宋体"/>
          <w:sz w:val="24"/>
          <w:szCs w:val="24"/>
        </w:rPr>
      </w:pPr>
      <w:r>
        <w:rPr>
          <w:rFonts w:hint="eastAsia" w:ascii="宋体" w:hAnsi="宋体" w:cs="宋体"/>
          <w:sz w:val="24"/>
          <w:szCs w:val="24"/>
        </w:rPr>
        <w:t>联系电话：</w:t>
      </w:r>
    </w:p>
    <w:p>
      <w:pPr>
        <w:spacing w:line="720" w:lineRule="auto"/>
        <w:rPr>
          <w:rFonts w:ascii="宋体" w:cs="宋体"/>
          <w:sz w:val="24"/>
          <w:szCs w:val="24"/>
        </w:rPr>
      </w:pPr>
    </w:p>
    <w:p>
      <w:pPr>
        <w:spacing w:line="720" w:lineRule="auto"/>
        <w:ind w:firstLine="2" w:firstLineChars="1"/>
        <w:jc w:val="center"/>
        <w:rPr>
          <w:rFonts w:ascii="宋体" w:hAnsi="宋体" w:cs="宋体"/>
          <w:sz w:val="24"/>
          <w:szCs w:val="24"/>
        </w:rPr>
      </w:pPr>
      <w:r>
        <w:rPr>
          <w:rFonts w:hint="eastAsia" w:ascii="宋体" w:hAnsi="宋体" w:cs="宋体"/>
          <w:sz w:val="24"/>
          <w:szCs w:val="24"/>
        </w:rPr>
        <w:t>年月日</w:t>
      </w: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80" w:name="_Toc29172"/>
      <w:r>
        <w:rPr>
          <w:rFonts w:hint="eastAsia" w:ascii="宋体" w:hAnsi="宋体" w:cs="宋体"/>
          <w:b/>
          <w:sz w:val="24"/>
          <w:szCs w:val="24"/>
        </w:rPr>
        <w:t>第二节 投标文件目录示例</w:t>
      </w:r>
      <w:bookmarkEnd w:id="80"/>
    </w:p>
    <w:p>
      <w:pPr>
        <w:spacing w:line="280" w:lineRule="exact"/>
        <w:rPr>
          <w:rFonts w:ascii="宋体" w:hAnsi="宋体" w:cs="Arial"/>
          <w:kern w:val="0"/>
          <w:sz w:val="24"/>
          <w:szCs w:val="24"/>
        </w:rPr>
      </w:pPr>
      <w:r>
        <w:rPr>
          <w:rFonts w:ascii="宋体" w:hAnsi="宋体" w:cs="Arial"/>
          <w:kern w:val="0"/>
          <w:sz w:val="24"/>
          <w:szCs w:val="24"/>
        </w:rPr>
        <w:t>1</w:t>
      </w:r>
      <w:r>
        <w:rPr>
          <w:rFonts w:hint="eastAsia" w:ascii="宋体" w:hAnsi="宋体" w:cs="Arial"/>
          <w:kern w:val="0"/>
          <w:sz w:val="24"/>
          <w:szCs w:val="24"/>
        </w:rPr>
        <w:t>、投标函</w:t>
      </w:r>
    </w:p>
    <w:p>
      <w:pPr>
        <w:spacing w:line="280" w:lineRule="exact"/>
        <w:rPr>
          <w:rFonts w:ascii="宋体" w:hAnsi="宋体" w:cs="Arial"/>
          <w:kern w:val="0"/>
          <w:sz w:val="24"/>
          <w:szCs w:val="24"/>
        </w:rPr>
      </w:pPr>
      <w:r>
        <w:rPr>
          <w:rFonts w:ascii="宋体" w:hAnsi="宋体" w:cs="Arial"/>
          <w:kern w:val="0"/>
          <w:sz w:val="24"/>
          <w:szCs w:val="24"/>
        </w:rPr>
        <w:t>2</w:t>
      </w:r>
      <w:r>
        <w:rPr>
          <w:rFonts w:hint="eastAsia" w:ascii="宋体" w:hAnsi="宋体" w:cs="Arial"/>
          <w:kern w:val="0"/>
          <w:sz w:val="24"/>
          <w:szCs w:val="24"/>
        </w:rPr>
        <w:t>、开标一览表</w:t>
      </w:r>
    </w:p>
    <w:p>
      <w:pPr>
        <w:spacing w:line="280" w:lineRule="exact"/>
        <w:rPr>
          <w:rFonts w:ascii="宋体" w:hAnsi="宋体" w:cs="Arial"/>
          <w:kern w:val="0"/>
          <w:sz w:val="24"/>
          <w:szCs w:val="24"/>
        </w:rPr>
      </w:pPr>
      <w:r>
        <w:rPr>
          <w:rFonts w:hint="eastAsia" w:ascii="宋体" w:hAnsi="宋体" w:cs="Arial"/>
          <w:kern w:val="0"/>
          <w:sz w:val="24"/>
          <w:szCs w:val="24"/>
        </w:rPr>
        <w:t>3、法定代表人身份证明书</w:t>
      </w:r>
    </w:p>
    <w:p>
      <w:pPr>
        <w:spacing w:line="280" w:lineRule="exact"/>
        <w:rPr>
          <w:rFonts w:ascii="宋体" w:hAnsi="宋体" w:cs="Arial"/>
          <w:kern w:val="0"/>
          <w:sz w:val="24"/>
          <w:szCs w:val="24"/>
        </w:rPr>
      </w:pPr>
      <w:r>
        <w:rPr>
          <w:rFonts w:hint="eastAsia" w:ascii="宋体" w:hAnsi="宋体" w:cs="Arial"/>
          <w:kern w:val="0"/>
          <w:sz w:val="24"/>
          <w:szCs w:val="24"/>
        </w:rPr>
        <w:t>4、授权委托书</w:t>
      </w:r>
    </w:p>
    <w:p>
      <w:pPr>
        <w:spacing w:line="280" w:lineRule="exact"/>
        <w:rPr>
          <w:rFonts w:ascii="宋体" w:hAnsi="宋体" w:cs="Arial"/>
          <w:kern w:val="0"/>
          <w:sz w:val="24"/>
          <w:szCs w:val="24"/>
        </w:rPr>
      </w:pPr>
      <w:r>
        <w:rPr>
          <w:rFonts w:hint="eastAsia" w:ascii="宋体" w:hAnsi="宋体" w:cs="Arial"/>
          <w:kern w:val="0"/>
          <w:sz w:val="24"/>
          <w:szCs w:val="24"/>
        </w:rPr>
        <w:t>5、投标人概况</w:t>
      </w:r>
    </w:p>
    <w:p>
      <w:pPr>
        <w:spacing w:line="280" w:lineRule="exact"/>
        <w:rPr>
          <w:rFonts w:ascii="宋体" w:hAnsi="宋体" w:cs="Arial"/>
          <w:kern w:val="0"/>
          <w:sz w:val="24"/>
          <w:szCs w:val="24"/>
        </w:rPr>
      </w:pPr>
      <w:r>
        <w:rPr>
          <w:rFonts w:hint="eastAsia" w:ascii="宋体" w:hAnsi="宋体" w:cs="Arial"/>
          <w:kern w:val="0"/>
          <w:sz w:val="24"/>
          <w:szCs w:val="24"/>
        </w:rPr>
        <w:t>6、投标人近年类似项目情况表</w:t>
      </w:r>
    </w:p>
    <w:p>
      <w:pPr>
        <w:spacing w:line="280" w:lineRule="exact"/>
        <w:rPr>
          <w:rFonts w:ascii="宋体" w:hAnsi="宋体" w:cs="Arial"/>
          <w:kern w:val="0"/>
          <w:sz w:val="24"/>
          <w:szCs w:val="24"/>
        </w:rPr>
      </w:pPr>
      <w:r>
        <w:rPr>
          <w:rFonts w:hint="eastAsia" w:ascii="宋体" w:hAnsi="宋体" w:cs="Arial"/>
          <w:kern w:val="0"/>
          <w:sz w:val="24"/>
          <w:szCs w:val="24"/>
        </w:rPr>
        <w:t>7、项目负责人简历表</w:t>
      </w:r>
    </w:p>
    <w:p>
      <w:pPr>
        <w:spacing w:line="280" w:lineRule="exact"/>
        <w:rPr>
          <w:rFonts w:ascii="宋体" w:hAnsi="宋体" w:cs="Arial"/>
          <w:kern w:val="0"/>
          <w:sz w:val="24"/>
          <w:szCs w:val="24"/>
        </w:rPr>
      </w:pPr>
      <w:r>
        <w:rPr>
          <w:rFonts w:hint="eastAsia" w:ascii="宋体" w:hAnsi="宋体" w:cs="Arial"/>
          <w:kern w:val="0"/>
          <w:sz w:val="24"/>
          <w:szCs w:val="24"/>
        </w:rPr>
        <w:t>8、项目管理人员表</w:t>
      </w:r>
    </w:p>
    <w:p>
      <w:pPr>
        <w:spacing w:line="280" w:lineRule="exact"/>
        <w:rPr>
          <w:rFonts w:ascii="宋体" w:hAnsi="宋体" w:cs="Arial"/>
          <w:kern w:val="0"/>
          <w:sz w:val="24"/>
          <w:szCs w:val="24"/>
        </w:rPr>
      </w:pPr>
      <w:r>
        <w:rPr>
          <w:rFonts w:hint="eastAsia" w:ascii="宋体" w:hAnsi="宋体" w:cs="Arial"/>
          <w:kern w:val="0"/>
          <w:sz w:val="24"/>
          <w:szCs w:val="24"/>
        </w:rPr>
        <w:t>9、技术条款偏离表</w:t>
      </w:r>
    </w:p>
    <w:p>
      <w:pPr>
        <w:spacing w:line="280" w:lineRule="exact"/>
        <w:rPr>
          <w:rFonts w:ascii="宋体" w:hAnsi="宋体" w:cs="Arial"/>
          <w:kern w:val="0"/>
          <w:sz w:val="24"/>
          <w:szCs w:val="24"/>
        </w:rPr>
      </w:pPr>
      <w:r>
        <w:rPr>
          <w:rFonts w:hint="eastAsia" w:ascii="宋体" w:hAnsi="宋体" w:cs="Arial"/>
          <w:kern w:val="0"/>
          <w:sz w:val="24"/>
          <w:szCs w:val="24"/>
        </w:rPr>
        <w:t>10、商务条款偏离表</w:t>
      </w:r>
    </w:p>
    <w:p>
      <w:pPr>
        <w:rPr>
          <w:rFonts w:ascii="宋体" w:hAnsi="宋体" w:cs="Arial"/>
          <w:kern w:val="0"/>
          <w:sz w:val="24"/>
          <w:szCs w:val="24"/>
        </w:rPr>
      </w:pPr>
      <w:r>
        <w:rPr>
          <w:rFonts w:hint="eastAsia" w:ascii="宋体" w:hAnsi="宋体" w:cs="Arial"/>
          <w:kern w:val="0"/>
          <w:sz w:val="24"/>
          <w:szCs w:val="24"/>
        </w:rPr>
        <w:t>11、反商业贿赂承诺书</w:t>
      </w:r>
    </w:p>
    <w:p>
      <w:pPr>
        <w:spacing w:line="280" w:lineRule="exact"/>
        <w:rPr>
          <w:rFonts w:ascii="宋体" w:hAnsi="宋体" w:cs="Arial"/>
          <w:kern w:val="0"/>
          <w:sz w:val="24"/>
          <w:szCs w:val="24"/>
        </w:rPr>
      </w:pPr>
      <w:r>
        <w:rPr>
          <w:rFonts w:hint="eastAsia" w:ascii="宋体" w:hAnsi="宋体" w:cs="Arial"/>
          <w:kern w:val="0"/>
          <w:sz w:val="24"/>
          <w:szCs w:val="24"/>
        </w:rPr>
        <w:t>1</w:t>
      </w:r>
      <w:r>
        <w:rPr>
          <w:rFonts w:hint="eastAsia" w:ascii="宋体" w:hAnsi="宋体" w:cs="Arial"/>
          <w:kern w:val="0"/>
          <w:sz w:val="24"/>
          <w:szCs w:val="24"/>
          <w:lang w:val="en-US" w:eastAsia="zh-CN"/>
        </w:rPr>
        <w:t>2</w:t>
      </w:r>
      <w:r>
        <w:rPr>
          <w:rFonts w:hint="eastAsia" w:ascii="宋体" w:hAnsi="宋体" w:cs="Arial"/>
          <w:kern w:val="0"/>
          <w:sz w:val="24"/>
          <w:szCs w:val="24"/>
        </w:rPr>
        <w:t>、其他需要提交的资料（根据招标文件的要求和投标人认为需要提供的资料）</w:t>
      </w:r>
    </w:p>
    <w:p>
      <w:pPr>
        <w:spacing w:line="280" w:lineRule="exact"/>
        <w:rPr>
          <w:rFonts w:ascii="宋体" w:hAnsi="宋体" w:cs="Arial"/>
          <w:kern w:val="0"/>
          <w:sz w:val="24"/>
          <w:szCs w:val="24"/>
        </w:rPr>
      </w:pPr>
    </w:p>
    <w:p>
      <w:pPr>
        <w:spacing w:line="280" w:lineRule="exact"/>
        <w:rPr>
          <w:rFonts w:ascii="宋体"/>
          <w:bCs/>
          <w:sz w:val="24"/>
          <w:szCs w:val="24"/>
        </w:rPr>
      </w:pPr>
      <w:r>
        <w:rPr>
          <w:rFonts w:hint="eastAsia" w:ascii="宋体" w:hAnsi="宋体"/>
          <w:bCs/>
          <w:sz w:val="24"/>
          <w:szCs w:val="24"/>
        </w:rPr>
        <w:t>注：为了便于查找，请按上述顺序编制投标文件内容，并在目录中标明每项内容的起始页码。</w:t>
      </w:r>
    </w:p>
    <w:p>
      <w:pPr>
        <w:rPr>
          <w:rFonts w:ascii="宋体" w:cs="宋体"/>
          <w:b/>
          <w:sz w:val="24"/>
          <w:szCs w:val="24"/>
        </w:rPr>
      </w:pPr>
      <w:r>
        <w:rPr>
          <w:rFonts w:ascii="宋体" w:cs="宋体"/>
          <w:b/>
          <w:sz w:val="24"/>
          <w:szCs w:val="24"/>
        </w:rPr>
        <w:br w:type="page"/>
      </w:r>
    </w:p>
    <w:p>
      <w:pPr>
        <w:pStyle w:val="10"/>
        <w:numPr>
          <w:ilvl w:val="0"/>
          <w:numId w:val="0"/>
        </w:numPr>
      </w:pPr>
    </w:p>
    <w:p>
      <w:pPr>
        <w:widowControl/>
        <w:ind w:firstLine="482" w:firstLineChars="200"/>
        <w:jc w:val="left"/>
        <w:textAlignment w:val="center"/>
        <w:rPr>
          <w:rFonts w:ascii="宋体" w:hAnsi="宋体" w:cs="宋体"/>
          <w:b/>
          <w:bCs/>
          <w:sz w:val="30"/>
          <w:szCs w:val="30"/>
        </w:rPr>
      </w:pPr>
      <w:r>
        <w:rPr>
          <w:rFonts w:hint="eastAsia" w:ascii="宋体" w:hAnsi="宋体" w:cs="Arial"/>
          <w:b/>
          <w:bCs/>
          <w:kern w:val="0"/>
          <w:sz w:val="24"/>
          <w:szCs w:val="24"/>
        </w:rPr>
        <w:t>5.2.1 投标函</w:t>
      </w:r>
    </w:p>
    <w:p>
      <w:pPr>
        <w:jc w:val="center"/>
        <w:rPr>
          <w:b/>
          <w:bCs/>
          <w:sz w:val="32"/>
          <w:szCs w:val="32"/>
        </w:rPr>
      </w:pPr>
      <w:r>
        <w:rPr>
          <w:rFonts w:hint="eastAsia"/>
          <w:b/>
          <w:bCs/>
          <w:sz w:val="32"/>
          <w:szCs w:val="32"/>
        </w:rPr>
        <w:t>投标函</w:t>
      </w:r>
    </w:p>
    <w:p>
      <w:pPr>
        <w:widowControl/>
        <w:shd w:val="clear" w:color="auto" w:fill="FFFFFF"/>
        <w:snapToGrid w:val="0"/>
        <w:spacing w:line="384" w:lineRule="auto"/>
        <w:jc w:val="left"/>
        <w:rPr>
          <w:rFonts w:ascii="宋体" w:cs="Arial"/>
          <w:kern w:val="0"/>
          <w:sz w:val="24"/>
          <w:szCs w:val="24"/>
        </w:rPr>
      </w:pPr>
    </w:p>
    <w:p>
      <w:pPr>
        <w:widowControl/>
        <w:shd w:val="clear" w:color="auto" w:fill="FFFFFF"/>
        <w:snapToGrid w:val="0"/>
        <w:spacing w:line="384" w:lineRule="auto"/>
        <w:jc w:val="left"/>
        <w:rPr>
          <w:rFonts w:ascii="宋体" w:cs="Arial"/>
          <w:kern w:val="0"/>
          <w:sz w:val="24"/>
          <w:szCs w:val="24"/>
        </w:rPr>
      </w:pPr>
      <w:r>
        <w:rPr>
          <w:rFonts w:hint="eastAsia" w:ascii="宋体" w:hAnsi="宋体" w:cs="Arial"/>
          <w:kern w:val="0"/>
          <w:sz w:val="24"/>
          <w:szCs w:val="24"/>
        </w:rPr>
        <w:t>致：（采购人名称）</w:t>
      </w:r>
    </w:p>
    <w:p>
      <w:pPr>
        <w:pStyle w:val="2"/>
        <w:tabs>
          <w:tab w:val="left" w:pos="5580"/>
        </w:tabs>
        <w:spacing w:line="360" w:lineRule="auto"/>
        <w:ind w:left="2" w:leftChars="1" w:firstLine="480" w:firstLineChars="200"/>
        <w:rPr>
          <w:sz w:val="24"/>
        </w:rPr>
      </w:pPr>
      <w:r>
        <w:rPr>
          <w:rFonts w:hint="eastAsia"/>
          <w:sz w:val="24"/>
        </w:rPr>
        <w:t>根据贵方(</w:t>
      </w:r>
      <w:r>
        <w:rPr>
          <w:rFonts w:hint="eastAsia"/>
          <w:iCs/>
          <w:sz w:val="24"/>
        </w:rPr>
        <w:t>项目名称、项目编号</w:t>
      </w:r>
      <w:r>
        <w:rPr>
          <w:rFonts w:hint="eastAsia"/>
          <w:sz w:val="24"/>
        </w:rPr>
        <w:t>)的投标邀请,签字代表(</w:t>
      </w:r>
      <w:r>
        <w:rPr>
          <w:rFonts w:hint="eastAsia"/>
          <w:iCs/>
          <w:sz w:val="24"/>
        </w:rPr>
        <w:t>姓名、职务</w:t>
      </w:r>
      <w:r>
        <w:rPr>
          <w:rFonts w:hint="eastAsia"/>
          <w:sz w:val="24"/>
        </w:rPr>
        <w:t>)经正式授权并代表投标人（投标人</w:t>
      </w:r>
      <w:r>
        <w:rPr>
          <w:rFonts w:hint="eastAsia"/>
          <w:iCs/>
          <w:sz w:val="24"/>
        </w:rPr>
        <w:t>名称、注册地址</w:t>
      </w:r>
      <w:r>
        <w:rPr>
          <w:rFonts w:hint="eastAsia"/>
          <w:sz w:val="24"/>
        </w:rPr>
        <w:t>）提交下述文件正本份、副本份及电子文档份。</w:t>
      </w:r>
    </w:p>
    <w:p>
      <w:pPr>
        <w:pStyle w:val="2"/>
        <w:tabs>
          <w:tab w:val="left" w:pos="5580"/>
        </w:tabs>
        <w:spacing w:line="360" w:lineRule="auto"/>
        <w:ind w:firstLine="482" w:firstLineChars="200"/>
        <w:rPr>
          <w:b/>
          <w:bCs/>
          <w:sz w:val="24"/>
        </w:rPr>
      </w:pPr>
      <w:r>
        <w:rPr>
          <w:rFonts w:hint="eastAsia"/>
          <w:b/>
          <w:bCs/>
          <w:sz w:val="24"/>
        </w:rPr>
        <w:t>据此，签字代表宣布同意如下：</w:t>
      </w:r>
    </w:p>
    <w:p>
      <w:pPr>
        <w:pStyle w:val="2"/>
        <w:tabs>
          <w:tab w:val="left" w:pos="5580"/>
        </w:tabs>
        <w:spacing w:line="360" w:lineRule="auto"/>
        <w:ind w:firstLine="480" w:firstLineChars="200"/>
        <w:rPr>
          <w:b/>
          <w:bCs/>
          <w:sz w:val="24"/>
        </w:rPr>
      </w:pPr>
      <w:r>
        <w:rPr>
          <w:rFonts w:hint="eastAsia" w:asciiTheme="minorEastAsia" w:hAnsiTheme="minorEastAsia" w:eastAsiaTheme="minorEastAsia" w:cstheme="minorEastAsia"/>
          <w:kern w:val="0"/>
          <w:sz w:val="24"/>
          <w:szCs w:val="24"/>
        </w:rPr>
        <w:t>1.本标包我方投标价格为人民币（大写</w:t>
      </w:r>
      <w:r>
        <w:rPr>
          <w:rFonts w:hint="eastAsia" w:asciiTheme="minorEastAsia" w:hAnsiTheme="minorEastAsia" w:eastAsiaTheme="minorEastAsia" w:cstheme="minorEastAsia"/>
          <w:kern w:val="0"/>
          <w:sz w:val="24"/>
          <w:szCs w:val="24"/>
          <w:u w:val="single"/>
        </w:rPr>
        <w:t>）元（</w:t>
      </w:r>
      <w:r>
        <w:rPr>
          <w:rFonts w:hint="eastAsia" w:cs="宋体"/>
          <w:kern w:val="0"/>
          <w:sz w:val="24"/>
          <w:szCs w:val="24"/>
          <w:u w:val="single"/>
        </w:rPr>
        <w:t>￥</w:t>
      </w:r>
      <w:r>
        <w:rPr>
          <w:rFonts w:hint="eastAsia" w:asciiTheme="minorEastAsia" w:hAnsiTheme="minorEastAsia" w:eastAsiaTheme="minorEastAsia" w:cstheme="minorEastAsia"/>
          <w:kern w:val="0"/>
          <w:sz w:val="24"/>
          <w:szCs w:val="24"/>
        </w:rPr>
        <w:t>） ，供货时间为</w:t>
      </w:r>
      <w:r>
        <w:rPr>
          <w:rFonts w:hint="eastAsia" w:asciiTheme="minorEastAsia" w:hAnsiTheme="minorEastAsia" w:eastAsiaTheme="minorEastAsia" w:cstheme="minorEastAsia"/>
          <w:kern w:val="0"/>
          <w:sz w:val="24"/>
          <w:szCs w:val="24"/>
          <w:u w:val="single"/>
          <w:lang w:val="en-US" w:eastAsia="zh-CN"/>
        </w:rPr>
        <w:t xml:space="preserve">   </w:t>
      </w:r>
      <w:r>
        <w:rPr>
          <w:rFonts w:hint="eastAsia" w:asciiTheme="minorEastAsia" w:hAnsiTheme="minorEastAsia" w:eastAsiaTheme="minorEastAsia" w:cstheme="minorEastAsia"/>
          <w:kern w:val="0"/>
          <w:sz w:val="24"/>
          <w:szCs w:val="24"/>
        </w:rPr>
        <w:t>。</w:t>
      </w:r>
    </w:p>
    <w:p>
      <w:pPr>
        <w:widowControl/>
        <w:shd w:val="clear" w:color="auto" w:fill="FFFFFF"/>
        <w:snapToGrid w:val="0"/>
        <w:spacing w:line="384"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2.随同本投标函提交投标保证金一份，以形式出具的投标保证金，金额为人民币（大写）元（</w:t>
      </w:r>
      <w:r>
        <w:rPr>
          <w:rFonts w:hint="eastAsia" w:ascii="宋体" w:hAnsi="宋体" w:cs="宋体"/>
          <w:kern w:val="0"/>
          <w:sz w:val="24"/>
          <w:szCs w:val="24"/>
          <w:u w:val="single"/>
        </w:rPr>
        <w:t>￥</w:t>
      </w:r>
      <w:r>
        <w:rPr>
          <w:rFonts w:hint="eastAsia" w:asciiTheme="minorEastAsia" w:hAnsiTheme="minorEastAsia" w:eastAsiaTheme="minorEastAsia" w:cstheme="minorEastAsia"/>
          <w:kern w:val="0"/>
          <w:sz w:val="24"/>
          <w:szCs w:val="24"/>
        </w:rPr>
        <w:t>） 。</w:t>
      </w:r>
    </w:p>
    <w:p>
      <w:pPr>
        <w:widowControl/>
        <w:shd w:val="clear" w:color="auto" w:fill="FFFFFF"/>
        <w:snapToGrid w:val="0"/>
        <w:spacing w:line="384"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w:t>
      </w:r>
      <w:r>
        <w:rPr>
          <w:rFonts w:hint="eastAsia" w:asciiTheme="minorEastAsia" w:hAnsiTheme="minorEastAsia" w:eastAsiaTheme="minorEastAsia" w:cstheme="minorEastAsia"/>
          <w:sz w:val="24"/>
        </w:rPr>
        <w:t>我方承诺在投标有效期内不补充、修改、替代或者撤回本投标文件。</w:t>
      </w:r>
    </w:p>
    <w:p>
      <w:pPr>
        <w:widowControl/>
        <w:shd w:val="clear" w:color="auto" w:fill="FFFFFF"/>
        <w:snapToGrid w:val="0"/>
        <w:spacing w:line="384" w:lineRule="auto"/>
        <w:ind w:firstLine="480" w:firstLineChars="200"/>
        <w:jc w:val="left"/>
        <w:rPr>
          <w:rFonts w:ascii="宋体" w:cs="Arial"/>
          <w:kern w:val="0"/>
          <w:sz w:val="24"/>
          <w:szCs w:val="24"/>
        </w:rPr>
      </w:pPr>
      <w:r>
        <w:rPr>
          <w:rFonts w:hint="eastAsia" w:cs="Arial"/>
          <w:kern w:val="0"/>
          <w:sz w:val="24"/>
          <w:szCs w:val="24"/>
        </w:rPr>
        <w:t>4</w:t>
      </w:r>
      <w:r>
        <w:rPr>
          <w:rFonts w:ascii="宋体" w:hAnsi="宋体" w:cs="Arial"/>
          <w:kern w:val="0"/>
          <w:sz w:val="24"/>
          <w:szCs w:val="24"/>
        </w:rPr>
        <w:t>.</w:t>
      </w:r>
      <w:r>
        <w:rPr>
          <w:rFonts w:hint="eastAsia" w:asciiTheme="minorEastAsia" w:hAnsiTheme="minorEastAsia" w:eastAsiaTheme="minorEastAsia" w:cstheme="minorEastAsia"/>
          <w:kern w:val="0"/>
          <w:sz w:val="24"/>
          <w:szCs w:val="24"/>
        </w:rPr>
        <w:t>如果我方</w:t>
      </w:r>
      <w:r>
        <w:rPr>
          <w:rFonts w:hint="eastAsia" w:ascii="宋体" w:hAnsi="宋体" w:cs="Arial"/>
          <w:kern w:val="0"/>
          <w:sz w:val="24"/>
          <w:szCs w:val="24"/>
        </w:rPr>
        <w:t>中标，我方将按规定履行合同责任义务。保证在合同约定的服务周期内供货，并确保我方提供产品及服务满足招标文件的要求。</w:t>
      </w:r>
    </w:p>
    <w:p>
      <w:pPr>
        <w:pStyle w:val="2"/>
        <w:tabs>
          <w:tab w:val="left" w:pos="5580"/>
        </w:tabs>
        <w:spacing w:line="360" w:lineRule="auto"/>
        <w:ind w:firstLine="480" w:firstLineChars="200"/>
        <w:rPr>
          <w:sz w:val="24"/>
        </w:rPr>
      </w:pPr>
      <w:r>
        <w:rPr>
          <w:rFonts w:hint="eastAsia" w:cs="Arial"/>
          <w:kern w:val="0"/>
          <w:sz w:val="24"/>
          <w:szCs w:val="24"/>
        </w:rPr>
        <w:t>5</w:t>
      </w:r>
      <w:r>
        <w:rPr>
          <w:rFonts w:cs="Arial"/>
          <w:kern w:val="0"/>
          <w:sz w:val="24"/>
          <w:szCs w:val="24"/>
        </w:rPr>
        <w:t>.</w:t>
      </w:r>
      <w:r>
        <w:rPr>
          <w:rFonts w:hint="eastAsia"/>
          <w:sz w:val="24"/>
        </w:rPr>
        <w:t>本投标文件有效期</w:t>
      </w:r>
      <w:r>
        <w:rPr>
          <w:rFonts w:hint="eastAsia"/>
          <w:sz w:val="24"/>
          <w:szCs w:val="24"/>
        </w:rPr>
        <w:t>为</w:t>
      </w:r>
      <w:r>
        <w:rPr>
          <w:rFonts w:hint="eastAsia" w:cs="宋体"/>
          <w:kern w:val="0"/>
          <w:sz w:val="24"/>
          <w:szCs w:val="24"/>
        </w:rPr>
        <w:t>自投标截止之日起</w:t>
      </w:r>
      <w:r>
        <w:rPr>
          <w:rFonts w:hint="eastAsia"/>
          <w:sz w:val="24"/>
          <w:szCs w:val="24"/>
        </w:rPr>
        <w:t>个</w:t>
      </w:r>
      <w:r>
        <w:rPr>
          <w:rFonts w:hint="eastAsia"/>
          <w:sz w:val="24"/>
          <w:szCs w:val="24"/>
          <w:u w:val="single"/>
          <w:lang w:val="en-US" w:eastAsia="zh-CN"/>
        </w:rPr>
        <w:t xml:space="preserve">    </w:t>
      </w:r>
      <w:r>
        <w:rPr>
          <w:rFonts w:hint="eastAsia"/>
          <w:sz w:val="24"/>
          <w:szCs w:val="24"/>
        </w:rPr>
        <w:t>日历</w:t>
      </w:r>
      <w:r>
        <w:rPr>
          <w:rFonts w:hint="eastAsia"/>
          <w:sz w:val="24"/>
        </w:rPr>
        <w:t>日。</w:t>
      </w:r>
    </w:p>
    <w:p>
      <w:pPr>
        <w:pStyle w:val="2"/>
        <w:tabs>
          <w:tab w:val="left" w:pos="5580"/>
        </w:tabs>
        <w:spacing w:line="360" w:lineRule="auto"/>
        <w:ind w:firstLine="480" w:firstLineChars="200"/>
        <w:rPr>
          <w:sz w:val="24"/>
        </w:rPr>
      </w:pPr>
      <w:r>
        <w:rPr>
          <w:rFonts w:hint="eastAsia" w:cs="Arial"/>
          <w:kern w:val="0"/>
          <w:sz w:val="24"/>
          <w:szCs w:val="24"/>
        </w:rPr>
        <w:t>6</w:t>
      </w:r>
      <w:r>
        <w:rPr>
          <w:rFonts w:cs="Arial"/>
          <w:kern w:val="0"/>
          <w:sz w:val="24"/>
          <w:szCs w:val="24"/>
        </w:rPr>
        <w:t>.</w:t>
      </w:r>
      <w:r>
        <w:rPr>
          <w:rFonts w:hint="eastAsia"/>
          <w:sz w:val="24"/>
        </w:rPr>
        <w:t>已详细审查全部招标文件，包括所有补充通知（如果有的话），完全理解并同意放弃对这方面有不明、误解的权利。</w:t>
      </w:r>
    </w:p>
    <w:p>
      <w:pPr>
        <w:pStyle w:val="2"/>
        <w:tabs>
          <w:tab w:val="left" w:pos="5580"/>
        </w:tabs>
        <w:spacing w:line="360" w:lineRule="auto"/>
        <w:ind w:firstLine="480" w:firstLineChars="200"/>
        <w:rPr>
          <w:sz w:val="24"/>
        </w:rPr>
      </w:pPr>
      <w:r>
        <w:rPr>
          <w:rFonts w:hint="eastAsia" w:cs="Arial"/>
          <w:kern w:val="0"/>
          <w:sz w:val="24"/>
          <w:szCs w:val="24"/>
        </w:rPr>
        <w:t>7</w:t>
      </w:r>
      <w:r>
        <w:rPr>
          <w:rFonts w:cs="Arial"/>
          <w:kern w:val="0"/>
          <w:sz w:val="24"/>
          <w:szCs w:val="24"/>
        </w:rPr>
        <w:t>.</w:t>
      </w:r>
      <w:r>
        <w:rPr>
          <w:rFonts w:hint="eastAsia"/>
          <w:sz w:val="24"/>
        </w:rPr>
        <w:t>我方不是</w:t>
      </w:r>
      <w:r>
        <w:rPr>
          <w:sz w:val="24"/>
        </w:rPr>
        <w:t>为</w:t>
      </w:r>
      <w:r>
        <w:rPr>
          <w:rFonts w:hint="eastAsia"/>
          <w:sz w:val="24"/>
        </w:rPr>
        <w:t>本</w:t>
      </w:r>
      <w:r>
        <w:rPr>
          <w:sz w:val="24"/>
        </w:rPr>
        <w:t>项目提供整体</w:t>
      </w:r>
      <w:r>
        <w:rPr>
          <w:rFonts w:hint="eastAsia"/>
          <w:sz w:val="24"/>
        </w:rPr>
        <w:t>设计</w:t>
      </w:r>
      <w:r>
        <w:rPr>
          <w:sz w:val="24"/>
        </w:rPr>
        <w:t>、规范编制或者项目管理、监理、检测等服务的供应商</w:t>
      </w:r>
      <w:r>
        <w:rPr>
          <w:rFonts w:hint="eastAsia"/>
          <w:sz w:val="24"/>
        </w:rPr>
        <w:t>，我方不是采购代理</w:t>
      </w:r>
      <w:r>
        <w:rPr>
          <w:sz w:val="24"/>
        </w:rPr>
        <w:t>机构</w:t>
      </w:r>
      <w:r>
        <w:rPr>
          <w:rFonts w:hint="eastAsia"/>
          <w:sz w:val="24"/>
        </w:rPr>
        <w:t>的附属机构。</w:t>
      </w:r>
    </w:p>
    <w:p>
      <w:pPr>
        <w:pStyle w:val="2"/>
        <w:tabs>
          <w:tab w:val="left" w:pos="5580"/>
        </w:tabs>
        <w:spacing w:line="360" w:lineRule="auto"/>
        <w:ind w:firstLine="480" w:firstLineChars="200"/>
        <w:rPr>
          <w:sz w:val="24"/>
        </w:rPr>
      </w:pPr>
      <w:r>
        <w:rPr>
          <w:rFonts w:hint="eastAsia" w:cs="Arial"/>
          <w:kern w:val="0"/>
          <w:sz w:val="24"/>
          <w:szCs w:val="24"/>
        </w:rPr>
        <w:t>8</w:t>
      </w:r>
      <w:r>
        <w:rPr>
          <w:rFonts w:cs="Arial"/>
          <w:kern w:val="0"/>
          <w:sz w:val="24"/>
          <w:szCs w:val="24"/>
        </w:rPr>
        <w:t>.</w:t>
      </w:r>
      <w:r>
        <w:rPr>
          <w:rFonts w:hint="eastAsia"/>
          <w:sz w:val="24"/>
        </w:rPr>
        <w:t>按照招标文件的规定，在</w:t>
      </w:r>
      <w:r>
        <w:rPr>
          <w:sz w:val="24"/>
        </w:rPr>
        <w:t>中标后</w:t>
      </w:r>
      <w:r>
        <w:rPr>
          <w:rFonts w:hint="eastAsia"/>
          <w:sz w:val="24"/>
        </w:rPr>
        <w:t>向贵方一次性支付招标代理费。</w:t>
      </w:r>
    </w:p>
    <w:p>
      <w:pPr>
        <w:pStyle w:val="2"/>
        <w:tabs>
          <w:tab w:val="left" w:pos="5580"/>
        </w:tabs>
        <w:spacing w:line="360" w:lineRule="auto"/>
        <w:ind w:firstLine="480" w:firstLineChars="200"/>
        <w:rPr>
          <w:sz w:val="24"/>
        </w:rPr>
      </w:pPr>
      <w:r>
        <w:rPr>
          <w:rFonts w:hint="eastAsia" w:cs="Arial"/>
          <w:kern w:val="0"/>
          <w:sz w:val="24"/>
          <w:szCs w:val="24"/>
        </w:rPr>
        <w:t>9</w:t>
      </w:r>
      <w:r>
        <w:rPr>
          <w:rFonts w:cs="Arial"/>
          <w:kern w:val="0"/>
          <w:sz w:val="24"/>
          <w:szCs w:val="24"/>
        </w:rPr>
        <w:t>.</w:t>
      </w:r>
      <w:r>
        <w:rPr>
          <w:rFonts w:hint="eastAsia"/>
          <w:sz w:val="24"/>
        </w:rPr>
        <w:t>按照贵方可能的要求，提供与投标有关的一切数据或资料，完全理解贵方不一定接受最低价的投标或收到的任何投标。</w:t>
      </w:r>
    </w:p>
    <w:p>
      <w:pPr>
        <w:pStyle w:val="2"/>
        <w:tabs>
          <w:tab w:val="left" w:pos="5580"/>
        </w:tabs>
        <w:spacing w:line="360" w:lineRule="auto"/>
        <w:ind w:firstLine="480" w:firstLineChars="200"/>
        <w:rPr>
          <w:sz w:val="24"/>
        </w:rPr>
      </w:pPr>
      <w:r>
        <w:rPr>
          <w:rFonts w:hint="eastAsia" w:cs="Arial"/>
          <w:kern w:val="0"/>
          <w:sz w:val="24"/>
          <w:szCs w:val="24"/>
        </w:rPr>
        <w:t>10</w:t>
      </w:r>
      <w:r>
        <w:rPr>
          <w:rFonts w:cs="Arial"/>
          <w:kern w:val="0"/>
          <w:sz w:val="24"/>
          <w:szCs w:val="24"/>
        </w:rPr>
        <w:t>.</w:t>
      </w:r>
      <w:r>
        <w:rPr>
          <w:rFonts w:hint="eastAsia"/>
          <w:sz w:val="24"/>
        </w:rPr>
        <w:t>按照招标文件的规定履行合同责任和义务。</w:t>
      </w:r>
    </w:p>
    <w:p>
      <w:pPr>
        <w:pStyle w:val="2"/>
        <w:tabs>
          <w:tab w:val="left" w:pos="5580"/>
        </w:tabs>
        <w:spacing w:line="360" w:lineRule="auto"/>
        <w:ind w:firstLine="480" w:firstLineChars="200"/>
        <w:rPr>
          <w:sz w:val="24"/>
        </w:rPr>
      </w:pPr>
      <w:r>
        <w:rPr>
          <w:rFonts w:hint="eastAsia" w:cs="Arial"/>
          <w:kern w:val="0"/>
          <w:sz w:val="24"/>
          <w:szCs w:val="24"/>
        </w:rPr>
        <w:t>11</w:t>
      </w:r>
      <w:r>
        <w:rPr>
          <w:rFonts w:cs="Arial"/>
          <w:kern w:val="0"/>
          <w:sz w:val="24"/>
          <w:szCs w:val="24"/>
        </w:rPr>
        <w:t>.</w:t>
      </w:r>
      <w:r>
        <w:rPr>
          <w:rFonts w:hint="eastAsia"/>
          <w:sz w:val="24"/>
        </w:rPr>
        <w:t>完全理解并</w:t>
      </w:r>
      <w:r>
        <w:rPr>
          <w:sz w:val="24"/>
        </w:rPr>
        <w:t>无条件承担</w:t>
      </w:r>
      <w:r>
        <w:rPr>
          <w:rFonts w:hint="eastAsia"/>
          <w:sz w:val="24"/>
        </w:rPr>
        <w:t>中标后</w:t>
      </w:r>
      <w:r>
        <w:rPr>
          <w:sz w:val="24"/>
        </w:rPr>
        <w:t>不依法与采购人签订合同的法律后果</w:t>
      </w:r>
      <w:r>
        <w:rPr>
          <w:rFonts w:hint="eastAsia"/>
          <w:sz w:val="24"/>
        </w:rPr>
        <w:t>。</w:t>
      </w:r>
    </w:p>
    <w:p>
      <w:pPr>
        <w:widowControl/>
        <w:shd w:val="clear" w:color="auto" w:fill="FFFFFF"/>
        <w:snapToGrid w:val="0"/>
        <w:spacing w:line="384" w:lineRule="auto"/>
        <w:ind w:firstLine="480" w:firstLineChars="200"/>
        <w:jc w:val="left"/>
        <w:rPr>
          <w:rFonts w:ascii="宋体" w:hAnsi="宋体" w:cs="Arial"/>
          <w:kern w:val="0"/>
          <w:sz w:val="24"/>
          <w:szCs w:val="24"/>
        </w:rPr>
      </w:pPr>
      <w:r>
        <w:rPr>
          <w:rFonts w:hint="eastAsia" w:ascii="宋体" w:hAnsi="宋体" w:cs="Arial"/>
          <w:kern w:val="0"/>
          <w:sz w:val="24"/>
          <w:szCs w:val="24"/>
        </w:rPr>
        <w:t>12</w:t>
      </w:r>
      <w:r>
        <w:rPr>
          <w:rFonts w:ascii="宋体" w:hAnsi="宋体" w:cs="Arial"/>
          <w:kern w:val="0"/>
          <w:sz w:val="24"/>
          <w:szCs w:val="24"/>
        </w:rPr>
        <w:t>.</w:t>
      </w:r>
      <w:r>
        <w:rPr>
          <w:rFonts w:hint="eastAsia" w:ascii="宋体" w:hAnsi="宋体" w:cs="Arial"/>
          <w:kern w:val="0"/>
          <w:sz w:val="24"/>
          <w:szCs w:val="24"/>
        </w:rPr>
        <w:t>我方愿意提供贵方可能要求的与投标有关的一切数据或资料，完全理解贵方不一定接受最低投标报价的投标或收到的任何投标。</w:t>
      </w:r>
    </w:p>
    <w:p>
      <w:pPr>
        <w:widowControl/>
        <w:shd w:val="clear" w:color="auto" w:fill="FFFFFF"/>
        <w:snapToGrid w:val="0"/>
        <w:spacing w:line="384" w:lineRule="auto"/>
        <w:ind w:firstLine="480" w:firstLineChars="200"/>
        <w:jc w:val="left"/>
        <w:rPr>
          <w:rFonts w:ascii="宋体" w:cs="Arial"/>
          <w:kern w:val="0"/>
          <w:sz w:val="24"/>
          <w:szCs w:val="24"/>
        </w:rPr>
      </w:pPr>
      <w:r>
        <w:rPr>
          <w:rFonts w:hint="eastAsia" w:ascii="宋体" w:hAnsi="宋体" w:cs="Arial"/>
          <w:kern w:val="0"/>
          <w:sz w:val="24"/>
          <w:szCs w:val="24"/>
        </w:rPr>
        <w:t>13</w:t>
      </w:r>
      <w:r>
        <w:rPr>
          <w:rFonts w:ascii="宋体" w:hAnsi="宋体" w:cs="Arial"/>
          <w:kern w:val="0"/>
          <w:sz w:val="24"/>
          <w:szCs w:val="24"/>
        </w:rPr>
        <w:t>.</w:t>
      </w:r>
      <w:r>
        <w:rPr>
          <w:rFonts w:hint="eastAsia" w:ascii="宋体" w:hAnsi="宋体" w:cs="Arial"/>
          <w:kern w:val="0"/>
          <w:sz w:val="24"/>
          <w:szCs w:val="24"/>
        </w:rPr>
        <w:t>本投标文件在招标文件规定的投标有效期内对我方具有约束力，如果我方在投标有效期内撤销投标，其投标保证金将被贵方没收。</w:t>
      </w:r>
    </w:p>
    <w:p>
      <w:pPr>
        <w:widowControl/>
        <w:shd w:val="clear" w:color="auto" w:fill="FFFFFF"/>
        <w:snapToGrid w:val="0"/>
        <w:spacing w:line="384" w:lineRule="auto"/>
        <w:ind w:firstLine="480" w:firstLineChars="200"/>
        <w:jc w:val="left"/>
        <w:rPr>
          <w:rFonts w:ascii="宋体" w:hAnsi="宋体" w:cs="Arial"/>
          <w:kern w:val="0"/>
          <w:sz w:val="24"/>
          <w:szCs w:val="24"/>
        </w:rPr>
      </w:pPr>
      <w:r>
        <w:rPr>
          <w:rFonts w:hint="eastAsia" w:cs="Arial"/>
          <w:kern w:val="0"/>
          <w:sz w:val="24"/>
          <w:szCs w:val="24"/>
        </w:rPr>
        <w:t>14</w:t>
      </w:r>
      <w:r>
        <w:rPr>
          <w:rFonts w:ascii="宋体" w:hAnsi="宋体" w:cs="Arial"/>
          <w:kern w:val="0"/>
          <w:sz w:val="24"/>
          <w:szCs w:val="24"/>
        </w:rPr>
        <w:t>.</w:t>
      </w:r>
      <w:r>
        <w:rPr>
          <w:rFonts w:hint="eastAsia" w:ascii="宋体" w:hAnsi="宋体" w:cs="Arial"/>
          <w:kern w:val="0"/>
          <w:sz w:val="24"/>
          <w:szCs w:val="24"/>
        </w:rPr>
        <w:t>如我方中标，在合同签订后3个工作日内向采购代理机构提供采购合同原件一份用于采购资料备案工作</w:t>
      </w:r>
      <w:r>
        <w:rPr>
          <w:rFonts w:hint="eastAsia" w:cs="Arial"/>
          <w:kern w:val="0"/>
          <w:sz w:val="24"/>
          <w:szCs w:val="24"/>
        </w:rPr>
        <w:t>，否则</w:t>
      </w:r>
      <w:r>
        <w:rPr>
          <w:rFonts w:hint="eastAsia" w:ascii="宋体" w:hAnsi="宋体" w:cs="Arial"/>
          <w:kern w:val="0"/>
          <w:sz w:val="24"/>
          <w:szCs w:val="24"/>
        </w:rPr>
        <w:t>投标保证金将被贵方没收。</w:t>
      </w:r>
    </w:p>
    <w:p>
      <w:pPr>
        <w:pStyle w:val="2"/>
        <w:tabs>
          <w:tab w:val="left" w:pos="5580"/>
        </w:tabs>
        <w:spacing w:line="360" w:lineRule="auto"/>
        <w:ind w:firstLine="480" w:firstLineChars="200"/>
        <w:rPr>
          <w:sz w:val="24"/>
        </w:rPr>
      </w:pPr>
      <w:r>
        <w:rPr>
          <w:rFonts w:hint="eastAsia" w:cs="Arial"/>
          <w:kern w:val="0"/>
          <w:sz w:val="24"/>
          <w:szCs w:val="24"/>
        </w:rPr>
        <w:t>15</w:t>
      </w:r>
      <w:r>
        <w:rPr>
          <w:rFonts w:cs="Arial"/>
          <w:kern w:val="0"/>
          <w:sz w:val="24"/>
          <w:szCs w:val="24"/>
        </w:rPr>
        <w:t>.</w:t>
      </w:r>
      <w:r>
        <w:rPr>
          <w:rFonts w:hint="eastAsia" w:cs="Arial"/>
          <w:kern w:val="0"/>
          <w:sz w:val="24"/>
          <w:szCs w:val="24"/>
        </w:rPr>
        <w:t>我方在此声明，所递交的投标文件及有关资料内容完整、真实和准确。</w:t>
      </w:r>
    </w:p>
    <w:p>
      <w:pPr>
        <w:pStyle w:val="2"/>
        <w:tabs>
          <w:tab w:val="left" w:pos="5580"/>
        </w:tabs>
        <w:spacing w:line="360" w:lineRule="auto"/>
        <w:ind w:left="359" w:leftChars="68" w:hanging="216" w:hangingChars="90"/>
        <w:rPr>
          <w:sz w:val="24"/>
        </w:rPr>
      </w:pPr>
    </w:p>
    <w:p>
      <w:pPr>
        <w:pStyle w:val="2"/>
        <w:tabs>
          <w:tab w:val="left" w:pos="5580"/>
        </w:tabs>
        <w:spacing w:line="360" w:lineRule="auto"/>
        <w:ind w:firstLine="480" w:firstLineChars="200"/>
        <w:rPr>
          <w:sz w:val="24"/>
        </w:rPr>
      </w:pPr>
      <w:r>
        <w:rPr>
          <w:rFonts w:hint="eastAsia"/>
          <w:sz w:val="24"/>
        </w:rPr>
        <w:t>与本投标有关的一切正式往来信函请寄：</w:t>
      </w:r>
    </w:p>
    <w:p>
      <w:pPr>
        <w:pStyle w:val="2"/>
        <w:tabs>
          <w:tab w:val="left" w:pos="5580"/>
        </w:tabs>
        <w:spacing w:line="360" w:lineRule="auto"/>
        <w:ind w:left="1080" w:leftChars="257" w:hanging="540"/>
        <w:rPr>
          <w:sz w:val="24"/>
        </w:rPr>
      </w:pPr>
      <w:r>
        <w:rPr>
          <w:rFonts w:hint="eastAsia"/>
          <w:sz w:val="24"/>
        </w:rPr>
        <w:t>地址：</w:t>
      </w:r>
    </w:p>
    <w:p>
      <w:pPr>
        <w:pStyle w:val="2"/>
        <w:tabs>
          <w:tab w:val="left" w:pos="5580"/>
        </w:tabs>
        <w:spacing w:line="360" w:lineRule="auto"/>
        <w:ind w:left="1080" w:leftChars="257" w:hanging="540"/>
        <w:rPr>
          <w:sz w:val="24"/>
        </w:rPr>
      </w:pPr>
      <w:r>
        <w:rPr>
          <w:rFonts w:hint="eastAsia"/>
          <w:sz w:val="24"/>
        </w:rPr>
        <w:t>传真：</w:t>
      </w:r>
    </w:p>
    <w:p>
      <w:pPr>
        <w:pStyle w:val="2"/>
        <w:tabs>
          <w:tab w:val="left" w:pos="5580"/>
        </w:tabs>
        <w:spacing w:line="360" w:lineRule="auto"/>
        <w:ind w:left="1080" w:leftChars="257" w:hanging="540"/>
        <w:rPr>
          <w:sz w:val="24"/>
        </w:rPr>
      </w:pPr>
      <w:r>
        <w:rPr>
          <w:rFonts w:hint="eastAsia"/>
          <w:sz w:val="24"/>
        </w:rPr>
        <w:t>电话：</w:t>
      </w:r>
    </w:p>
    <w:p>
      <w:pPr>
        <w:pStyle w:val="2"/>
        <w:tabs>
          <w:tab w:val="left" w:pos="5580"/>
        </w:tabs>
        <w:spacing w:line="360" w:lineRule="auto"/>
        <w:ind w:left="1080" w:leftChars="257" w:hanging="540"/>
        <w:rPr>
          <w:b/>
          <w:sz w:val="24"/>
        </w:rPr>
      </w:pPr>
      <w:r>
        <w:rPr>
          <w:rFonts w:hint="eastAsia"/>
          <w:sz w:val="24"/>
        </w:rPr>
        <w:t>电子函件：</w:t>
      </w: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10"/>
        <w:numPr>
          <w:ilvl w:val="0"/>
          <w:numId w:val="0"/>
        </w:numPr>
        <w:rPr>
          <w:rFonts w:ascii="宋体" w:hAnsi="宋体" w:cs="宋体"/>
          <w:kern w:val="0"/>
          <w:sz w:val="24"/>
          <w:u w:val="single"/>
        </w:rPr>
      </w:pPr>
    </w:p>
    <w:p>
      <w:pPr>
        <w:pStyle w:val="2"/>
        <w:tabs>
          <w:tab w:val="left" w:pos="5580"/>
        </w:tabs>
        <w:spacing w:line="360" w:lineRule="auto"/>
        <w:ind w:left="1080" w:leftChars="257" w:hanging="540"/>
        <w:rPr>
          <w:sz w:val="24"/>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p>
    <w:p>
      <w:pPr>
        <w:spacing w:line="360" w:lineRule="auto"/>
        <w:rPr>
          <w:rFonts w:ascii="宋体" w:hAnsi="宋体" w:cs="宋体"/>
          <w:b/>
          <w:bCs/>
          <w:szCs w:val="30"/>
        </w:rPr>
      </w:pPr>
      <w:r>
        <w:rPr>
          <w:rFonts w:hint="eastAsia" w:ascii="宋体" w:hAnsi="宋体" w:cs="Arial"/>
          <w:b/>
          <w:bCs/>
          <w:kern w:val="0"/>
          <w:sz w:val="24"/>
          <w:szCs w:val="24"/>
        </w:rPr>
        <w:t>5.2.2 开标一览表(报价表）</w:t>
      </w:r>
    </w:p>
    <w:p>
      <w:pPr>
        <w:spacing w:line="360" w:lineRule="auto"/>
        <w:jc w:val="center"/>
        <w:rPr>
          <w:rFonts w:ascii="宋体" w:hAnsi="宋体" w:cs="宋体"/>
          <w:sz w:val="24"/>
          <w:szCs w:val="24"/>
        </w:rPr>
      </w:pPr>
      <w:r>
        <w:rPr>
          <w:rFonts w:hint="eastAsia"/>
          <w:b/>
          <w:bCs/>
          <w:sz w:val="32"/>
          <w:szCs w:val="32"/>
        </w:rPr>
        <w:t>开标一览表（报价表）</w:t>
      </w:r>
    </w:p>
    <w:p>
      <w:pPr>
        <w:spacing w:line="360" w:lineRule="auto"/>
        <w:rPr>
          <w:rFonts w:ascii="宋体" w:hAnsi="宋体" w:cs="宋体"/>
          <w:sz w:val="24"/>
          <w:szCs w:val="24"/>
          <w:u w:val="single"/>
        </w:rPr>
      </w:pPr>
      <w:r>
        <w:rPr>
          <w:rFonts w:hint="eastAsia" w:ascii="宋体" w:hAnsi="宋体" w:cs="宋体"/>
          <w:sz w:val="24"/>
          <w:szCs w:val="24"/>
        </w:rPr>
        <w:t>项目名称（标包号）：</w:t>
      </w:r>
    </w:p>
    <w:p>
      <w:pPr>
        <w:spacing w:line="360" w:lineRule="auto"/>
        <w:rPr>
          <w:rFonts w:ascii="宋体" w:hAnsi="宋体" w:cs="宋体"/>
          <w:sz w:val="24"/>
          <w:szCs w:val="24"/>
        </w:rPr>
      </w:pPr>
      <w:r>
        <w:rPr>
          <w:rFonts w:hint="eastAsia" w:ascii="宋体" w:hAnsi="宋体" w:cs="宋体"/>
          <w:sz w:val="24"/>
          <w:szCs w:val="24"/>
        </w:rPr>
        <w:t>项目编号：</w:t>
      </w:r>
    </w:p>
    <w:tbl>
      <w:tblPr>
        <w:tblStyle w:val="20"/>
        <w:tblW w:w="9236" w:type="dxa"/>
        <w:tblInd w:w="91" w:type="dxa"/>
        <w:tblLayout w:type="fixed"/>
        <w:tblCellMar>
          <w:top w:w="0" w:type="dxa"/>
          <w:left w:w="108" w:type="dxa"/>
          <w:bottom w:w="0" w:type="dxa"/>
          <w:right w:w="108" w:type="dxa"/>
        </w:tblCellMar>
      </w:tblPr>
      <w:tblGrid>
        <w:gridCol w:w="962"/>
        <w:gridCol w:w="943"/>
        <w:gridCol w:w="280"/>
        <w:gridCol w:w="672"/>
        <w:gridCol w:w="559"/>
        <w:gridCol w:w="198"/>
        <w:gridCol w:w="254"/>
        <w:gridCol w:w="416"/>
        <w:gridCol w:w="693"/>
        <w:gridCol w:w="816"/>
        <w:gridCol w:w="1013"/>
        <w:gridCol w:w="824"/>
        <w:gridCol w:w="886"/>
        <w:gridCol w:w="720"/>
      </w:tblGrid>
      <w:tr>
        <w:tblPrEx>
          <w:tblCellMar>
            <w:top w:w="0" w:type="dxa"/>
            <w:left w:w="108" w:type="dxa"/>
            <w:bottom w:w="0" w:type="dxa"/>
            <w:right w:w="108" w:type="dxa"/>
          </w:tblCellMar>
        </w:tblPrEx>
        <w:trPr>
          <w:cantSplit/>
          <w:trHeight w:val="618" w:hRule="atLeast"/>
        </w:trPr>
        <w:tc>
          <w:tcPr>
            <w:tcW w:w="96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序号</w:t>
            </w:r>
          </w:p>
        </w:tc>
        <w:tc>
          <w:tcPr>
            <w:tcW w:w="1895" w:type="dxa"/>
            <w:gridSpan w:val="3"/>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lang w:eastAsia="zh-CN"/>
              </w:rPr>
              <w:t>货物</w:t>
            </w:r>
            <w:r>
              <w:rPr>
                <w:rFonts w:hint="eastAsia" w:ascii="宋体" w:hAnsi="宋体" w:cs="宋体"/>
                <w:color w:val="auto"/>
                <w:kern w:val="0"/>
                <w:sz w:val="24"/>
              </w:rPr>
              <w:t>名称</w:t>
            </w:r>
          </w:p>
        </w:tc>
        <w:tc>
          <w:tcPr>
            <w:tcW w:w="757"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数量</w:t>
            </w:r>
          </w:p>
        </w:tc>
        <w:tc>
          <w:tcPr>
            <w:tcW w:w="670"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单位</w:t>
            </w:r>
          </w:p>
        </w:tc>
        <w:tc>
          <w:tcPr>
            <w:tcW w:w="1509"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4"/>
              </w:rPr>
            </w:pPr>
            <w:r>
              <w:rPr>
                <w:rFonts w:hint="eastAsia" w:ascii="宋体" w:hAnsi="宋体" w:cs="宋体"/>
                <w:color w:val="auto"/>
                <w:kern w:val="0"/>
                <w:sz w:val="24"/>
              </w:rPr>
              <w:t>投标报价</w:t>
            </w:r>
          </w:p>
          <w:p>
            <w:pPr>
              <w:widowControl/>
              <w:jc w:val="center"/>
              <w:rPr>
                <w:rFonts w:ascii="宋体" w:hAnsi="宋体" w:cs="宋体"/>
                <w:color w:val="auto"/>
                <w:kern w:val="0"/>
                <w:sz w:val="24"/>
              </w:rPr>
            </w:pPr>
            <w:r>
              <w:rPr>
                <w:rFonts w:hint="eastAsia" w:ascii="宋体" w:hAnsi="宋体" w:cs="宋体"/>
                <w:color w:val="auto"/>
                <w:kern w:val="0"/>
                <w:sz w:val="24"/>
              </w:rPr>
              <w:t>（单位：元）</w:t>
            </w:r>
          </w:p>
        </w:tc>
        <w:tc>
          <w:tcPr>
            <w:tcW w:w="101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4"/>
              </w:rPr>
            </w:pPr>
            <w:r>
              <w:rPr>
                <w:rFonts w:hint="eastAsia" w:ascii="宋体" w:hAnsi="宋体" w:cs="宋体"/>
                <w:color w:val="auto"/>
                <w:kern w:val="0"/>
                <w:sz w:val="24"/>
              </w:rPr>
              <w:t>品牌</w:t>
            </w:r>
          </w:p>
          <w:p>
            <w:pPr>
              <w:widowControl/>
              <w:jc w:val="center"/>
              <w:rPr>
                <w:rFonts w:ascii="宋体" w:hAnsi="宋体" w:cs="宋体"/>
                <w:color w:val="auto"/>
                <w:kern w:val="0"/>
                <w:sz w:val="24"/>
              </w:rPr>
            </w:pPr>
            <w:r>
              <w:rPr>
                <w:rFonts w:hint="eastAsia" w:ascii="宋体" w:hAnsi="宋体" w:cs="宋体"/>
                <w:color w:val="auto"/>
                <w:kern w:val="0"/>
                <w:sz w:val="24"/>
              </w:rPr>
              <w:t>产地</w:t>
            </w:r>
          </w:p>
        </w:tc>
        <w:tc>
          <w:tcPr>
            <w:tcW w:w="824" w:type="dxa"/>
            <w:vMerge w:val="restart"/>
            <w:tcBorders>
              <w:top w:val="single" w:color="auto" w:sz="4" w:space="0"/>
              <w:left w:val="single" w:color="auto" w:sz="4" w:space="0"/>
              <w:bottom w:val="single" w:color="000000" w:sz="4" w:space="0"/>
              <w:right w:val="single" w:color="auto" w:sz="4" w:space="0"/>
            </w:tcBorders>
            <w:noWrap w:val="0"/>
            <w:vAlign w:val="center"/>
          </w:tcPr>
          <w:p>
            <w:pPr>
              <w:widowControl/>
              <w:jc w:val="center"/>
              <w:rPr>
                <w:rFonts w:hint="eastAsia" w:ascii="宋体" w:hAnsi="宋体" w:cs="宋体"/>
                <w:color w:val="auto"/>
                <w:kern w:val="0"/>
                <w:sz w:val="24"/>
              </w:rPr>
            </w:pPr>
            <w:r>
              <w:rPr>
                <w:rFonts w:hint="eastAsia" w:ascii="宋体" w:hAnsi="宋体" w:cs="宋体"/>
                <w:color w:val="auto"/>
                <w:kern w:val="0"/>
                <w:sz w:val="24"/>
              </w:rPr>
              <w:t>规格</w:t>
            </w:r>
          </w:p>
          <w:p>
            <w:pPr>
              <w:widowControl/>
              <w:jc w:val="center"/>
              <w:rPr>
                <w:rFonts w:ascii="宋体" w:hAnsi="宋体" w:cs="宋体"/>
                <w:color w:val="auto"/>
                <w:kern w:val="0"/>
                <w:sz w:val="24"/>
              </w:rPr>
            </w:pPr>
            <w:r>
              <w:rPr>
                <w:rFonts w:hint="eastAsia" w:ascii="宋体" w:hAnsi="宋体" w:cs="宋体"/>
                <w:color w:val="auto"/>
                <w:kern w:val="0"/>
                <w:sz w:val="24"/>
              </w:rPr>
              <w:t>型号</w:t>
            </w:r>
          </w:p>
        </w:tc>
        <w:tc>
          <w:tcPr>
            <w:tcW w:w="886"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lang w:eastAsia="zh-CN"/>
              </w:rPr>
              <w:t>供</w:t>
            </w:r>
            <w:r>
              <w:rPr>
                <w:rFonts w:hint="eastAsia" w:ascii="宋体" w:hAnsi="宋体" w:cs="宋体"/>
                <w:color w:val="auto"/>
                <w:kern w:val="0"/>
                <w:sz w:val="24"/>
              </w:rPr>
              <w:t>货期</w:t>
            </w:r>
          </w:p>
        </w:tc>
        <w:tc>
          <w:tcPr>
            <w:tcW w:w="72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备注</w:t>
            </w:r>
          </w:p>
        </w:tc>
      </w:tr>
      <w:tr>
        <w:tblPrEx>
          <w:tblCellMar>
            <w:top w:w="0" w:type="dxa"/>
            <w:left w:w="108" w:type="dxa"/>
            <w:bottom w:w="0" w:type="dxa"/>
            <w:right w:w="108" w:type="dxa"/>
          </w:tblCellMar>
        </w:tblPrEx>
        <w:trPr>
          <w:cantSplit/>
          <w:trHeight w:val="319" w:hRule="atLeast"/>
        </w:trPr>
        <w:tc>
          <w:tcPr>
            <w:tcW w:w="96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1895"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75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67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693" w:type="dxa"/>
            <w:tcBorders>
              <w:top w:val="nil"/>
              <w:left w:val="nil"/>
              <w:bottom w:val="single" w:color="auto" w:sz="4" w:space="0"/>
              <w:right w:val="single" w:color="auto" w:sz="4" w:space="0"/>
            </w:tcBorders>
            <w:noWrap w:val="0"/>
            <w:vAlign w:val="top"/>
          </w:tcPr>
          <w:p>
            <w:pPr>
              <w:widowControl/>
              <w:jc w:val="center"/>
              <w:rPr>
                <w:rFonts w:ascii="宋体" w:hAnsi="宋体" w:cs="宋体"/>
                <w:color w:val="auto"/>
                <w:kern w:val="0"/>
                <w:sz w:val="24"/>
              </w:rPr>
            </w:pPr>
            <w:r>
              <w:rPr>
                <w:rFonts w:hint="eastAsia" w:ascii="宋体" w:hAnsi="宋体" w:cs="宋体"/>
                <w:color w:val="auto"/>
                <w:kern w:val="0"/>
                <w:sz w:val="24"/>
              </w:rPr>
              <w:t>单价</w:t>
            </w:r>
          </w:p>
        </w:tc>
        <w:tc>
          <w:tcPr>
            <w:tcW w:w="816" w:type="dxa"/>
            <w:tcBorders>
              <w:top w:val="nil"/>
              <w:left w:val="nil"/>
              <w:bottom w:val="single" w:color="auto" w:sz="4" w:space="0"/>
              <w:right w:val="single" w:color="auto" w:sz="4" w:space="0"/>
            </w:tcBorders>
            <w:noWrap w:val="0"/>
            <w:vAlign w:val="top"/>
          </w:tcPr>
          <w:p>
            <w:pPr>
              <w:widowControl/>
              <w:jc w:val="center"/>
              <w:rPr>
                <w:rFonts w:ascii="宋体" w:hAnsi="宋体" w:cs="宋体"/>
                <w:color w:val="auto"/>
                <w:kern w:val="0"/>
                <w:sz w:val="24"/>
              </w:rPr>
            </w:pPr>
            <w:r>
              <w:rPr>
                <w:rFonts w:hint="eastAsia" w:ascii="宋体" w:hAnsi="宋体" w:cs="宋体"/>
                <w:color w:val="auto"/>
                <w:kern w:val="0"/>
                <w:sz w:val="24"/>
              </w:rPr>
              <w:t>总价</w:t>
            </w:r>
          </w:p>
        </w:tc>
        <w:tc>
          <w:tcPr>
            <w:tcW w:w="101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824" w:type="dxa"/>
            <w:vMerge w:val="continue"/>
            <w:tcBorders>
              <w:top w:val="single" w:color="auto" w:sz="4" w:space="0"/>
              <w:left w:val="single" w:color="auto" w:sz="4" w:space="0"/>
              <w:bottom w:val="single" w:color="000000" w:sz="4" w:space="0"/>
              <w:right w:val="single" w:color="auto" w:sz="4" w:space="0"/>
            </w:tcBorders>
            <w:noWrap w:val="0"/>
            <w:vAlign w:val="center"/>
          </w:tcPr>
          <w:p>
            <w:pPr>
              <w:widowControl/>
              <w:jc w:val="left"/>
              <w:rPr>
                <w:rFonts w:ascii="宋体" w:hAnsi="宋体" w:cs="宋体"/>
                <w:color w:val="auto"/>
                <w:kern w:val="0"/>
                <w:sz w:val="24"/>
              </w:rPr>
            </w:pPr>
          </w:p>
        </w:tc>
        <w:tc>
          <w:tcPr>
            <w:tcW w:w="88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7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467"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67" w:hRule="atLeast"/>
        </w:trPr>
        <w:tc>
          <w:tcPr>
            <w:tcW w:w="9236" w:type="dxa"/>
            <w:gridSpan w:val="14"/>
            <w:tcBorders>
              <w:top w:val="nil"/>
              <w:left w:val="single" w:color="auto" w:sz="4" w:space="0"/>
              <w:bottom w:val="single" w:color="auto" w:sz="4" w:space="0"/>
              <w:right w:val="single" w:color="auto" w:sz="4" w:space="0"/>
            </w:tcBorders>
            <w:noWrap w:val="0"/>
            <w:vAlign w:val="center"/>
          </w:tcPr>
          <w:p>
            <w:pPr>
              <w:widowControl/>
              <w:rPr>
                <w:rFonts w:hint="eastAsia" w:ascii="宋体" w:hAnsi="宋体"/>
                <w:color w:val="auto"/>
                <w:sz w:val="24"/>
              </w:rPr>
            </w:pPr>
            <w:r>
              <w:rPr>
                <w:rFonts w:hint="eastAsia" w:ascii="宋体" w:hAnsi="宋体"/>
                <w:color w:val="auto"/>
                <w:sz w:val="24"/>
              </w:rPr>
              <w:t>投标总价：（大写）人民币                  。（小写：￥           元）</w:t>
            </w:r>
            <w:r>
              <w:rPr>
                <w:rFonts w:hint="eastAsia" w:ascii="宋体" w:hAnsi="宋体" w:cs="宋体"/>
                <w:color w:val="auto"/>
                <w:kern w:val="0"/>
                <w:sz w:val="24"/>
              </w:rPr>
              <w:t>　</w:t>
            </w:r>
          </w:p>
        </w:tc>
      </w:tr>
      <w:tr>
        <w:tblPrEx>
          <w:tblCellMar>
            <w:top w:w="0" w:type="dxa"/>
            <w:left w:w="108" w:type="dxa"/>
            <w:bottom w:w="0" w:type="dxa"/>
            <w:right w:w="108" w:type="dxa"/>
          </w:tblCellMar>
        </w:tblPrEx>
        <w:trPr>
          <w:trHeight w:val="467" w:hRule="atLeast"/>
        </w:trPr>
        <w:tc>
          <w:tcPr>
            <w:tcW w:w="9236" w:type="dxa"/>
            <w:gridSpan w:val="14"/>
            <w:tcBorders>
              <w:top w:val="nil"/>
              <w:left w:val="single" w:color="auto" w:sz="4" w:space="0"/>
              <w:bottom w:val="single" w:color="auto" w:sz="4" w:space="0"/>
              <w:right w:val="single" w:color="auto" w:sz="4" w:space="0"/>
            </w:tcBorders>
            <w:noWrap w:val="0"/>
            <w:vAlign w:val="center"/>
          </w:tcPr>
          <w:p>
            <w:pPr>
              <w:widowControl/>
              <w:rPr>
                <w:rFonts w:hint="eastAsia" w:ascii="宋体" w:hAnsi="宋体" w:cs="宋体"/>
                <w:color w:val="auto"/>
                <w:kern w:val="0"/>
                <w:sz w:val="24"/>
              </w:rPr>
            </w:pPr>
            <w:r>
              <w:rPr>
                <w:rFonts w:hint="eastAsia" w:ascii="宋体" w:hAnsi="宋体" w:cs="宋体"/>
                <w:color w:val="auto"/>
                <w:kern w:val="0"/>
                <w:sz w:val="24"/>
              </w:rPr>
              <w:t>交货期：</w:t>
            </w:r>
          </w:p>
        </w:tc>
      </w:tr>
      <w:tr>
        <w:tblPrEx>
          <w:tblCellMar>
            <w:top w:w="0" w:type="dxa"/>
            <w:left w:w="108" w:type="dxa"/>
            <w:bottom w:w="0" w:type="dxa"/>
            <w:right w:w="108" w:type="dxa"/>
          </w:tblCellMar>
        </w:tblPrEx>
        <w:trPr>
          <w:trHeight w:val="319" w:hRule="atLeast"/>
        </w:trPr>
        <w:tc>
          <w:tcPr>
            <w:tcW w:w="2185" w:type="dxa"/>
            <w:gridSpan w:val="3"/>
            <w:tcBorders>
              <w:top w:val="nil"/>
              <w:left w:val="nil"/>
              <w:bottom w:val="nil"/>
              <w:right w:val="nil"/>
            </w:tcBorders>
            <w:noWrap w:val="0"/>
            <w:vAlign w:val="center"/>
          </w:tcPr>
          <w:p>
            <w:pPr>
              <w:widowControl/>
              <w:jc w:val="left"/>
              <w:rPr>
                <w:rFonts w:ascii="宋体" w:hAnsi="宋体" w:cs="宋体"/>
                <w:color w:val="auto"/>
                <w:kern w:val="0"/>
                <w:sz w:val="24"/>
              </w:rPr>
            </w:pPr>
          </w:p>
        </w:tc>
        <w:tc>
          <w:tcPr>
            <w:tcW w:w="1231"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52"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69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101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608" w:hRule="atLeast"/>
        </w:trPr>
        <w:tc>
          <w:tcPr>
            <w:tcW w:w="4977" w:type="dxa"/>
            <w:gridSpan w:val="9"/>
            <w:tcBorders>
              <w:top w:val="nil"/>
              <w:left w:val="nil"/>
              <w:bottom w:val="nil"/>
              <w:right w:val="nil"/>
            </w:tcBorders>
            <w:noWrap w:val="0"/>
            <w:vAlign w:val="center"/>
          </w:tcPr>
          <w:p>
            <w:pPr>
              <w:widowControl/>
              <w:rPr>
                <w:rFonts w:ascii="宋体" w:hAnsi="宋体" w:cs="宋体"/>
                <w:color w:val="auto"/>
                <w:kern w:val="0"/>
                <w:sz w:val="24"/>
              </w:rPr>
            </w:pPr>
            <w:r>
              <w:rPr>
                <w:rFonts w:hint="eastAsia" w:ascii="宋体" w:hAnsi="宋体" w:cs="宋体"/>
                <w:color w:val="auto"/>
                <w:kern w:val="0"/>
                <w:sz w:val="24"/>
              </w:rPr>
              <w:t>投标人全称：（盖公章）</w:t>
            </w:r>
          </w:p>
        </w:tc>
        <w:tc>
          <w:tcPr>
            <w:tcW w:w="1829" w:type="dxa"/>
            <w:gridSpan w:val="2"/>
            <w:tcBorders>
              <w:top w:val="nil"/>
              <w:left w:val="nil"/>
              <w:bottom w:val="nil"/>
              <w:right w:val="nil"/>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xml:space="preserve">授权代表（签字）： </w:t>
            </w: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xml:space="preserve">职务：         </w:t>
            </w: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304" w:hRule="atLeast"/>
        </w:trPr>
        <w:tc>
          <w:tcPr>
            <w:tcW w:w="1905" w:type="dxa"/>
            <w:gridSpan w:val="2"/>
            <w:tcBorders>
              <w:top w:val="nil"/>
              <w:left w:val="nil"/>
              <w:bottom w:val="nil"/>
              <w:right w:val="nil"/>
            </w:tcBorders>
            <w:noWrap w:val="0"/>
            <w:vAlign w:val="center"/>
          </w:tcPr>
          <w:p>
            <w:pPr>
              <w:widowControl/>
              <w:rPr>
                <w:rFonts w:ascii="宋体" w:hAnsi="宋体" w:cs="宋体"/>
                <w:color w:val="auto"/>
                <w:kern w:val="0"/>
                <w:sz w:val="24"/>
              </w:rPr>
            </w:pPr>
          </w:p>
        </w:tc>
        <w:tc>
          <w:tcPr>
            <w:tcW w:w="1511" w:type="dxa"/>
            <w:gridSpan w:val="3"/>
            <w:tcBorders>
              <w:top w:val="nil"/>
              <w:left w:val="nil"/>
              <w:bottom w:val="nil"/>
              <w:right w:val="nil"/>
            </w:tcBorders>
            <w:noWrap w:val="0"/>
            <w:vAlign w:val="center"/>
          </w:tcPr>
          <w:p>
            <w:pPr>
              <w:widowControl/>
              <w:jc w:val="left"/>
              <w:rPr>
                <w:rFonts w:ascii="宋体" w:hAnsi="宋体" w:cs="宋体"/>
                <w:color w:val="auto"/>
                <w:kern w:val="0"/>
                <w:sz w:val="24"/>
              </w:rPr>
            </w:pPr>
          </w:p>
        </w:tc>
        <w:tc>
          <w:tcPr>
            <w:tcW w:w="452"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69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101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432" w:hRule="atLeast"/>
        </w:trPr>
        <w:tc>
          <w:tcPr>
            <w:tcW w:w="3416" w:type="dxa"/>
            <w:gridSpan w:val="5"/>
            <w:tcBorders>
              <w:top w:val="nil"/>
              <w:left w:val="nil"/>
              <w:bottom w:val="nil"/>
              <w:right w:val="nil"/>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xml:space="preserve">日期：                   </w:t>
            </w:r>
          </w:p>
        </w:tc>
        <w:tc>
          <w:tcPr>
            <w:tcW w:w="452"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69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101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bl>
    <w:p>
      <w:pPr>
        <w:spacing w:line="400" w:lineRule="exact"/>
        <w:jc w:val="right"/>
        <w:rPr>
          <w:rFonts w:hint="eastAsia" w:ascii="宋体" w:hAnsi="宋体"/>
          <w:color w:val="auto"/>
          <w:sz w:val="24"/>
        </w:rPr>
      </w:pPr>
      <w:r>
        <w:rPr>
          <w:rFonts w:hint="eastAsia" w:ascii="宋体" w:hAnsi="宋体"/>
          <w:color w:val="auto"/>
          <w:sz w:val="24"/>
        </w:rPr>
        <w:t>投标人全称（盖公章）</w:t>
      </w:r>
    </w:p>
    <w:p>
      <w:pPr>
        <w:spacing w:line="400" w:lineRule="exact"/>
        <w:jc w:val="right"/>
        <w:rPr>
          <w:rFonts w:hint="eastAsia" w:ascii="宋体" w:hAnsi="宋体"/>
          <w:color w:val="auto"/>
          <w:sz w:val="24"/>
        </w:rPr>
      </w:pPr>
      <w:r>
        <w:rPr>
          <w:rFonts w:hint="eastAsia" w:ascii="宋体" w:hAnsi="宋体"/>
          <w:color w:val="auto"/>
          <w:sz w:val="24"/>
        </w:rPr>
        <w:t>授权代表（签名）：</w:t>
      </w:r>
    </w:p>
    <w:p>
      <w:pPr>
        <w:spacing w:line="400" w:lineRule="exact"/>
        <w:ind w:firstLine="1200"/>
        <w:jc w:val="right"/>
        <w:rPr>
          <w:rFonts w:hint="eastAsia" w:ascii="宋体" w:hAnsi="宋体"/>
          <w:color w:val="auto"/>
          <w:sz w:val="24"/>
        </w:rPr>
      </w:pPr>
      <w:r>
        <w:rPr>
          <w:rFonts w:hint="eastAsia" w:ascii="宋体" w:hAnsi="宋体"/>
          <w:color w:val="auto"/>
          <w:sz w:val="24"/>
        </w:rPr>
        <w:t>日期：</w:t>
      </w:r>
      <w:r>
        <w:rPr>
          <w:rFonts w:ascii="宋体" w:hAnsi="宋体"/>
          <w:color w:val="auto"/>
          <w:sz w:val="24"/>
        </w:rPr>
        <w:t xml:space="preserve">   </w:t>
      </w:r>
      <w:r>
        <w:rPr>
          <w:rFonts w:hint="eastAsia" w:ascii="宋体" w:hAnsi="宋体"/>
          <w:color w:val="auto"/>
          <w:sz w:val="24"/>
        </w:rPr>
        <w:t>年</w:t>
      </w:r>
      <w:r>
        <w:rPr>
          <w:rFonts w:ascii="宋体" w:hAnsi="宋体"/>
          <w:color w:val="auto"/>
          <w:sz w:val="24"/>
        </w:rPr>
        <w:t xml:space="preserve">  </w:t>
      </w:r>
      <w:r>
        <w:rPr>
          <w:rFonts w:hint="eastAsia" w:ascii="宋体" w:hAnsi="宋体"/>
          <w:color w:val="auto"/>
          <w:sz w:val="24"/>
        </w:rPr>
        <w:t>月</w:t>
      </w:r>
      <w:r>
        <w:rPr>
          <w:rFonts w:ascii="宋体" w:hAnsi="宋体"/>
          <w:color w:val="auto"/>
          <w:sz w:val="24"/>
        </w:rPr>
        <w:t xml:space="preserve">  </w:t>
      </w:r>
      <w:r>
        <w:rPr>
          <w:rFonts w:hint="eastAsia" w:ascii="宋体" w:hAnsi="宋体"/>
          <w:color w:val="auto"/>
          <w:sz w:val="24"/>
        </w:rPr>
        <w:t>日</w:t>
      </w:r>
    </w:p>
    <w:p>
      <w:pPr>
        <w:spacing w:line="360" w:lineRule="auto"/>
        <w:rPr>
          <w:rFonts w:ascii="宋体" w:hAnsi="宋体" w:cs="宋体"/>
          <w:sz w:val="24"/>
          <w:szCs w:val="24"/>
        </w:rPr>
      </w:pPr>
    </w:p>
    <w:p>
      <w:pPr>
        <w:spacing w:line="360" w:lineRule="auto"/>
        <w:ind w:firstLine="482" w:firstLineChars="200"/>
        <w:rPr>
          <w:rFonts w:ascii="宋体" w:hAnsi="宋体" w:cs="宋体"/>
          <w:b/>
          <w:bCs/>
          <w:sz w:val="24"/>
          <w:szCs w:val="24"/>
        </w:rPr>
      </w:pPr>
      <w:r>
        <w:rPr>
          <w:rFonts w:hint="eastAsia" w:ascii="宋体" w:hAnsi="宋体" w:cs="宋体"/>
          <w:b/>
          <w:bCs/>
          <w:sz w:val="24"/>
          <w:szCs w:val="24"/>
        </w:rPr>
        <w:t>说明：</w:t>
      </w:r>
    </w:p>
    <w:p>
      <w:pPr>
        <w:spacing w:line="360" w:lineRule="auto"/>
        <w:ind w:firstLine="480" w:firstLineChars="200"/>
        <w:rPr>
          <w:rFonts w:ascii="宋体" w:hAnsi="宋体" w:cs="宋体"/>
          <w:sz w:val="24"/>
          <w:szCs w:val="28"/>
        </w:rPr>
      </w:pPr>
      <w:r>
        <w:rPr>
          <w:rFonts w:hint="eastAsia" w:ascii="宋体" w:hAnsi="宋体" w:cs="宋体"/>
          <w:sz w:val="24"/>
          <w:szCs w:val="28"/>
        </w:rPr>
        <w:t>1、投标报价均用人民币表示，单位为元。</w:t>
      </w:r>
    </w:p>
    <w:p>
      <w:pPr>
        <w:spacing w:line="360" w:lineRule="auto"/>
        <w:ind w:firstLine="480" w:firstLineChars="200"/>
        <w:rPr>
          <w:rFonts w:ascii="宋体" w:hAnsi="宋体" w:cs="宋体"/>
          <w:bCs/>
          <w:sz w:val="24"/>
          <w:szCs w:val="18"/>
        </w:rPr>
      </w:pPr>
      <w:r>
        <w:rPr>
          <w:rFonts w:hint="eastAsia" w:ascii="宋体" w:hAnsi="宋体" w:cs="宋体"/>
          <w:sz w:val="24"/>
          <w:szCs w:val="28"/>
        </w:rPr>
        <w:t>2、本项目各标包分别报价，投标人对每标包所投标产品报且只能报一个</w:t>
      </w:r>
      <w:r>
        <w:rPr>
          <w:rFonts w:hint="eastAsia" w:ascii="宋体" w:hAnsi="宋体" w:cs="宋体"/>
          <w:bCs/>
          <w:sz w:val="24"/>
          <w:szCs w:val="28"/>
        </w:rPr>
        <w:t>投标价</w:t>
      </w:r>
      <w:r>
        <w:rPr>
          <w:rFonts w:hint="eastAsia" w:ascii="宋体" w:hAnsi="宋体" w:cs="宋体"/>
          <w:sz w:val="24"/>
          <w:szCs w:val="28"/>
        </w:rPr>
        <w:t>，且所报价格不得高于最高限价。</w:t>
      </w:r>
    </w:p>
    <w:p>
      <w:pPr>
        <w:spacing w:line="360" w:lineRule="auto"/>
        <w:ind w:firstLine="480" w:firstLineChars="200"/>
        <w:rPr>
          <w:rFonts w:ascii="宋体" w:hAnsi="宋体" w:cs="宋体"/>
          <w:bCs/>
          <w:sz w:val="24"/>
          <w:szCs w:val="18"/>
        </w:rPr>
      </w:pPr>
      <w:r>
        <w:rPr>
          <w:rFonts w:hint="eastAsia" w:ascii="宋体" w:hAnsi="宋体" w:cs="宋体"/>
          <w:sz w:val="24"/>
          <w:szCs w:val="28"/>
        </w:rPr>
        <w:t>3、投标人对所投产品报价为对应本项目需求的全部货物及所需附件购置费（货款）、包装费、运杂费（含装卸费）、人工费、风险费、保险费、安装测试费、检测费（含各类特殊检测费用）、技术培训费、各种税费、利润、资料费、货到采购人指定地点的所有费用、售后服务开支及完成项目应有的全部费用。</w:t>
      </w:r>
      <w:r>
        <w:rPr>
          <w:rFonts w:hint="eastAsia" w:ascii="宋体" w:hAnsi="宋体" w:cs="宋体"/>
          <w:b/>
          <w:sz w:val="24"/>
          <w:szCs w:val="28"/>
        </w:rPr>
        <w:t>所有优惠均体现在投标报价中，额外标明或承诺提供其他费用或物品均不予认可。</w:t>
      </w:r>
    </w:p>
    <w:p>
      <w:pPr>
        <w:widowControl/>
        <w:jc w:val="left"/>
        <w:textAlignment w:val="center"/>
        <w:rPr>
          <w:rFonts w:ascii="宋体" w:hAnsi="宋体" w:cs="宋体"/>
          <w:b/>
          <w:sz w:val="30"/>
          <w:szCs w:val="30"/>
        </w:rPr>
      </w:pPr>
      <w:r>
        <w:rPr>
          <w:rFonts w:hint="eastAsia" w:ascii="宋体" w:hAnsi="宋体" w:cs="Arial"/>
          <w:b/>
          <w:bCs/>
          <w:kern w:val="0"/>
          <w:sz w:val="24"/>
          <w:szCs w:val="24"/>
        </w:rPr>
        <w:t>5.2.3  法定代表人资格证明书</w:t>
      </w:r>
    </w:p>
    <w:p>
      <w:pPr>
        <w:jc w:val="center"/>
        <w:rPr>
          <w:b/>
          <w:bCs/>
          <w:sz w:val="32"/>
          <w:szCs w:val="32"/>
        </w:rPr>
      </w:pPr>
    </w:p>
    <w:p>
      <w:pPr>
        <w:jc w:val="center"/>
        <w:rPr>
          <w:b/>
          <w:bCs/>
          <w:sz w:val="32"/>
          <w:szCs w:val="32"/>
        </w:rPr>
      </w:pPr>
      <w:r>
        <w:rPr>
          <w:rFonts w:hint="eastAsia"/>
          <w:b/>
          <w:bCs/>
          <w:sz w:val="32"/>
          <w:szCs w:val="32"/>
        </w:rPr>
        <w:t>法定代表人身份证明书</w:t>
      </w:r>
    </w:p>
    <w:p>
      <w:pPr>
        <w:jc w:val="center"/>
        <w:rPr>
          <w:b/>
          <w:bCs/>
          <w:sz w:val="32"/>
          <w:szCs w:val="32"/>
        </w:rPr>
      </w:pPr>
    </w:p>
    <w:p>
      <w:pPr>
        <w:spacing w:line="360" w:lineRule="auto"/>
        <w:rPr>
          <w:rFonts w:ascii="宋体" w:hAnsi="宋体" w:cs="宋体"/>
          <w:sz w:val="24"/>
          <w:szCs w:val="24"/>
        </w:rPr>
      </w:pPr>
      <w:r>
        <w:rPr>
          <w:rFonts w:hint="eastAsia" w:ascii="宋体" w:hAnsi="宋体" w:cs="宋体"/>
          <w:sz w:val="24"/>
          <w:szCs w:val="24"/>
        </w:rPr>
        <w:t xml:space="preserve">单位名称：                              </w:t>
      </w:r>
    </w:p>
    <w:p>
      <w:pPr>
        <w:spacing w:line="360" w:lineRule="auto"/>
        <w:rPr>
          <w:rFonts w:ascii="宋体" w:hAnsi="宋体" w:cs="宋体"/>
          <w:sz w:val="24"/>
          <w:szCs w:val="24"/>
        </w:rPr>
      </w:pPr>
      <w:r>
        <w:rPr>
          <w:rFonts w:hint="eastAsia" w:ascii="宋体" w:hAnsi="宋体" w:cs="宋体"/>
          <w:sz w:val="24"/>
          <w:szCs w:val="24"/>
        </w:rPr>
        <w:t xml:space="preserve">单位性质：                              </w:t>
      </w:r>
    </w:p>
    <w:p>
      <w:pPr>
        <w:spacing w:line="360" w:lineRule="auto"/>
        <w:rPr>
          <w:rFonts w:ascii="宋体" w:hAnsi="宋体" w:cs="宋体"/>
          <w:sz w:val="24"/>
          <w:szCs w:val="24"/>
        </w:rPr>
      </w:pPr>
      <w:r>
        <w:rPr>
          <w:rFonts w:hint="eastAsia" w:ascii="宋体" w:hAnsi="宋体" w:cs="宋体"/>
          <w:sz w:val="24"/>
          <w:szCs w:val="24"/>
        </w:rPr>
        <w:t xml:space="preserve">地    址：                              </w:t>
      </w:r>
    </w:p>
    <w:p>
      <w:pPr>
        <w:spacing w:line="360" w:lineRule="auto"/>
        <w:rPr>
          <w:rFonts w:ascii="宋体" w:hAnsi="宋体" w:cs="宋体"/>
          <w:sz w:val="24"/>
          <w:szCs w:val="24"/>
        </w:rPr>
      </w:pPr>
      <w:r>
        <w:rPr>
          <w:rFonts w:hint="eastAsia" w:ascii="宋体" w:hAnsi="宋体" w:cs="宋体"/>
          <w:sz w:val="24"/>
          <w:szCs w:val="24"/>
        </w:rPr>
        <w:t>成立时间：           年       月       日</w:t>
      </w:r>
    </w:p>
    <w:p>
      <w:pPr>
        <w:spacing w:line="360" w:lineRule="auto"/>
        <w:rPr>
          <w:rFonts w:ascii="宋体" w:hAnsi="宋体" w:cs="宋体"/>
          <w:sz w:val="24"/>
          <w:szCs w:val="24"/>
        </w:rPr>
      </w:pPr>
      <w:r>
        <w:rPr>
          <w:rFonts w:hint="eastAsia" w:ascii="宋体" w:hAnsi="宋体" w:cs="宋体"/>
          <w:sz w:val="24"/>
          <w:szCs w:val="24"/>
        </w:rPr>
        <w:t xml:space="preserve">经营期限：                              </w:t>
      </w:r>
    </w:p>
    <w:p>
      <w:pPr>
        <w:spacing w:line="360" w:lineRule="auto"/>
        <w:rPr>
          <w:rFonts w:ascii="宋体" w:hAnsi="宋体" w:cs="宋体"/>
          <w:sz w:val="24"/>
          <w:szCs w:val="24"/>
        </w:rPr>
      </w:pPr>
    </w:p>
    <w:p>
      <w:pPr>
        <w:spacing w:line="360" w:lineRule="auto"/>
        <w:ind w:firstLine="720" w:firstLineChars="300"/>
        <w:rPr>
          <w:rFonts w:ascii="宋体" w:hAnsi="宋体" w:cs="宋体"/>
          <w:sz w:val="24"/>
          <w:szCs w:val="24"/>
        </w:rPr>
      </w:pPr>
      <w:r>
        <w:rPr>
          <w:rFonts w:hint="eastAsia" w:ascii="宋体" w:hAnsi="宋体" w:cs="宋体"/>
          <w:sz w:val="24"/>
          <w:szCs w:val="24"/>
        </w:rPr>
        <w:t>姓名：性别：年龄：职务：系（投标人名称）的法定代表人。为参加本项目，签署上述的投标文件、进行合同谈判、签署合同和处理与之有关的一切事物。</w:t>
      </w:r>
    </w:p>
    <w:p>
      <w:pPr>
        <w:spacing w:line="360" w:lineRule="auto"/>
        <w:rPr>
          <w:rFonts w:ascii="宋体" w:hAnsi="宋体" w:cs="宋体"/>
          <w:sz w:val="24"/>
          <w:szCs w:val="24"/>
        </w:rPr>
      </w:pPr>
      <w:r>
        <w:rPr>
          <w:rFonts w:hint="eastAsia" w:ascii="宋体" w:hAnsi="宋体" w:cs="宋体"/>
          <w:sz w:val="24"/>
          <w:szCs w:val="24"/>
        </w:rPr>
        <w:t>特此证明。</w:t>
      </w:r>
    </w:p>
    <w:p>
      <w:pPr>
        <w:spacing w:line="360" w:lineRule="auto"/>
        <w:rPr>
          <w:rFonts w:ascii="宋体" w:hAnsi="宋体" w:cs="宋体"/>
          <w:sz w:val="24"/>
          <w:szCs w:val="24"/>
        </w:rPr>
      </w:pPr>
      <w:r>
        <w:rPr>
          <w:rFonts w:hint="eastAsia" w:ascii="宋体" w:hAnsi="宋体" w:cs="宋体"/>
          <w:sz w:val="24"/>
          <w:szCs w:val="24"/>
        </w:rPr>
        <w:t>附：法定代表人身份证明</w:t>
      </w:r>
    </w:p>
    <w:p>
      <w:pPr>
        <w:spacing w:line="360" w:lineRule="auto"/>
        <w:rPr>
          <w:rFonts w:ascii="宋体" w:hAnsi="宋体" w:cs="宋体"/>
          <w:sz w:val="24"/>
          <w:szCs w:val="24"/>
        </w:rPr>
      </w:pPr>
      <w:r>
        <w:rPr>
          <w:rFonts w:ascii="仿宋" w:hAnsi="仿宋" w:eastAsia="仿宋" w:cs="仿宋"/>
        </w:rPr>
        <w:pict>
          <v:roundrect id="_x0000_s1026" o:spid="_x0000_s1026" o:spt="2" style="position:absolute;left:0pt;margin-left:226.2pt;margin-top:0.2pt;height:141.25pt;width:213.4pt;z-index:251660288;v-text-anchor:middle;mso-width-relative:page;mso-height-relative:page;" filled="f" coordsize="21600,21600" arcsize="0.0403703703703704" o:gfxdata="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BknV8z1QAAAAgBAAAP&#10;AAAAAAAAAAEAIAAAACIAAABkcnMvZG93bnJldi54bWxQSwECFAAUAAAACACHTuJAtsW6eY0CAAAG&#10;BQAADgAAAAAAAAABACAAAAAkAQAAZHJzL2Uyb0RvYy54bWxQSwUGAAAAAAYABgBZAQAAIwY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法定代表人身份证反面</w:t>
                  </w:r>
                </w:p>
                <w:p>
                  <w:pPr>
                    <w:jc w:val="center"/>
                  </w:pPr>
                </w:p>
              </w:txbxContent>
            </v:textbox>
          </v:roundrect>
        </w:pict>
      </w:r>
      <w:r>
        <w:rPr>
          <w:rFonts w:ascii="仿宋" w:hAnsi="仿宋" w:eastAsia="仿宋" w:cs="仿宋"/>
        </w:rPr>
        <w:pict>
          <v:roundrect id="_x0000_s1031" o:spid="_x0000_s1031" o:spt="2" style="position:absolute;left:0pt;margin-left:5.4pt;margin-top:0.2pt;height:141.25pt;width:213.4pt;z-index:251659264;v-text-anchor:middle;mso-width-relative:page;mso-height-relative:page;" filled="f" coordsize="21600,21600" arcsize="0.0403703703703704" o:gfxdata="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qDtjT9IAAAAHAQAADwAA&#10;AAAAAAABACAAAAAiAAAAZHJzL2Rvd25yZXYueG1sUEsBAhQAFAAAAAgAh07iQMuWF+qOAgAABgUA&#10;AA4AAAAAAAAAAQAgAAAAIQEAAGRycy9lMm9Eb2MueG1sUEsFBgAAAAAGAAYAWQEAACEGA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法定代表人身份证正面</w:t>
                  </w:r>
                </w:p>
                <w:p>
                  <w:pPr>
                    <w:jc w:val="center"/>
                  </w:pPr>
                </w:p>
              </w:txbxContent>
            </v:textbox>
          </v:roundrect>
        </w:pict>
      </w:r>
    </w:p>
    <w:p>
      <w:pPr>
        <w:spacing w:line="360" w:lineRule="auto"/>
        <w:rPr>
          <w:rFonts w:ascii="宋体" w:hAnsi="宋体" w:cs="宋体"/>
          <w:sz w:val="24"/>
          <w:szCs w:val="24"/>
        </w:rPr>
      </w:pPr>
    </w:p>
    <w:p>
      <w:pPr>
        <w:pStyle w:val="10"/>
        <w:numPr>
          <w:ilvl w:val="0"/>
          <w:numId w:val="0"/>
        </w:numPr>
        <w:rPr>
          <w:rFonts w:ascii="宋体" w:hAnsi="宋体" w:cs="宋体"/>
          <w:sz w:val="24"/>
          <w:szCs w:val="24"/>
        </w:rPr>
      </w:pPr>
    </w:p>
    <w:p>
      <w:pPr>
        <w:pStyle w:val="10"/>
        <w:numPr>
          <w:ilvl w:val="0"/>
          <w:numId w:val="0"/>
        </w:numPr>
        <w:rPr>
          <w:rFonts w:ascii="宋体" w:hAnsi="宋体" w:cs="宋体"/>
          <w:sz w:val="24"/>
          <w:szCs w:val="24"/>
        </w:rPr>
      </w:pPr>
    </w:p>
    <w:p>
      <w:pPr>
        <w:pStyle w:val="10"/>
        <w:numPr>
          <w:ilvl w:val="0"/>
          <w:numId w:val="0"/>
        </w:numPr>
        <w:rPr>
          <w:rFonts w:ascii="宋体" w:hAnsi="宋体" w:cs="宋体"/>
          <w:sz w:val="24"/>
          <w:szCs w:val="24"/>
        </w:rPr>
      </w:pPr>
    </w:p>
    <w:p>
      <w:pPr>
        <w:pStyle w:val="10"/>
        <w:numPr>
          <w:ilvl w:val="0"/>
          <w:numId w:val="0"/>
        </w:numPr>
        <w:rPr>
          <w:rFonts w:ascii="宋体" w:hAnsi="宋体" w:cs="宋体"/>
          <w:sz w:val="24"/>
          <w:szCs w:val="24"/>
        </w:rPr>
      </w:pPr>
    </w:p>
    <w:p>
      <w:pPr>
        <w:spacing w:line="360" w:lineRule="auto"/>
        <w:rPr>
          <w:rFonts w:ascii="宋体" w:hAnsi="宋体" w:cs="宋体"/>
          <w:sz w:val="24"/>
          <w:szCs w:val="24"/>
        </w:rPr>
      </w:pPr>
    </w:p>
    <w:p>
      <w:pPr>
        <w:pStyle w:val="2"/>
        <w:tabs>
          <w:tab w:val="left" w:pos="5580"/>
        </w:tabs>
        <w:spacing w:line="360" w:lineRule="auto"/>
        <w:ind w:left="-540" w:leftChars="-257" w:firstLine="900" w:firstLineChars="375"/>
        <w:rPr>
          <w:sz w:val="24"/>
        </w:rPr>
      </w:pPr>
    </w:p>
    <w:p>
      <w:pPr>
        <w:spacing w:line="360" w:lineRule="auto"/>
        <w:ind w:firstLine="720" w:firstLineChars="300"/>
        <w:rPr>
          <w:rFonts w:ascii="宋体" w:hAnsi="宋体" w:cs="宋体"/>
          <w:sz w:val="24"/>
          <w:szCs w:val="24"/>
        </w:rPr>
      </w:pPr>
    </w:p>
    <w:p>
      <w:pPr>
        <w:pStyle w:val="10"/>
        <w:numPr>
          <w:ilvl w:val="0"/>
          <w:numId w:val="0"/>
        </w:numPr>
      </w:pPr>
    </w:p>
    <w:p>
      <w:pPr>
        <w:pStyle w:val="2"/>
        <w:tabs>
          <w:tab w:val="left" w:pos="5580"/>
        </w:tabs>
        <w:spacing w:line="360" w:lineRule="auto"/>
        <w:ind w:firstLine="3600" w:firstLineChars="1500"/>
        <w:rPr>
          <w:sz w:val="24"/>
        </w:rPr>
      </w:pPr>
      <w:r>
        <w:rPr>
          <w:rFonts w:hint="eastAsia"/>
          <w:sz w:val="24"/>
        </w:rPr>
        <w:t>投标人（盖</w:t>
      </w:r>
      <w:r>
        <w:rPr>
          <w:sz w:val="24"/>
        </w:rPr>
        <w:t>章）：</w:t>
      </w:r>
    </w:p>
    <w:p>
      <w:pPr>
        <w:pStyle w:val="2"/>
        <w:tabs>
          <w:tab w:val="left" w:pos="5580"/>
        </w:tabs>
        <w:spacing w:line="360" w:lineRule="auto"/>
        <w:ind w:firstLine="3600" w:firstLineChars="1500"/>
        <w:rPr>
          <w:sz w:val="24"/>
          <w:u w:val="single"/>
        </w:rPr>
      </w:pPr>
      <w:r>
        <w:rPr>
          <w:rFonts w:hint="eastAsia"/>
          <w:sz w:val="24"/>
        </w:rPr>
        <w:t>法定代表人（签章）：</w:t>
      </w:r>
    </w:p>
    <w:p>
      <w:pPr>
        <w:spacing w:line="360" w:lineRule="auto"/>
        <w:ind w:firstLine="3600" w:firstLineChars="1500"/>
        <w:rPr>
          <w:rFonts w:hAnsi="宋体"/>
          <w:sz w:val="24"/>
          <w:u w:val="single"/>
        </w:rPr>
      </w:pPr>
      <w:r>
        <w:rPr>
          <w:rFonts w:hint="eastAsia"/>
          <w:sz w:val="24"/>
        </w:rPr>
        <w:t>日期</w:t>
      </w:r>
      <w:r>
        <w:rPr>
          <w:rFonts w:hint="eastAsia" w:hAnsi="宋体"/>
          <w:sz w:val="24"/>
        </w:rPr>
        <w:t>：</w:t>
      </w:r>
    </w:p>
    <w:p>
      <w:pPr>
        <w:rPr>
          <w:rFonts w:ascii="宋体" w:hAnsi="宋体" w:cs="Arial"/>
          <w:b/>
          <w:bCs/>
          <w:kern w:val="0"/>
          <w:sz w:val="24"/>
          <w:szCs w:val="24"/>
        </w:r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kern w:val="0"/>
          <w:sz w:val="24"/>
          <w:szCs w:val="24"/>
        </w:rPr>
      </w:pPr>
      <w:r>
        <w:rPr>
          <w:rFonts w:hint="eastAsia" w:ascii="宋体" w:hAnsi="宋体" w:cs="Arial"/>
          <w:b/>
          <w:bCs/>
          <w:kern w:val="0"/>
          <w:sz w:val="24"/>
          <w:szCs w:val="24"/>
        </w:rPr>
        <w:t>5.2.4.  授权委托书</w:t>
      </w:r>
    </w:p>
    <w:p>
      <w:pPr>
        <w:jc w:val="center"/>
        <w:rPr>
          <w:rFonts w:ascii="宋体" w:cs="Arial"/>
          <w:kern w:val="0"/>
          <w:sz w:val="24"/>
          <w:szCs w:val="24"/>
        </w:rPr>
      </w:pPr>
      <w:r>
        <w:rPr>
          <w:rFonts w:hint="eastAsia"/>
          <w:b/>
          <w:bCs/>
          <w:sz w:val="32"/>
          <w:szCs w:val="32"/>
        </w:rPr>
        <w:t>授权委托书</w:t>
      </w:r>
    </w:p>
    <w:p>
      <w:pPr>
        <w:widowControl/>
        <w:shd w:val="clear" w:color="auto" w:fill="FFFFFF"/>
        <w:snapToGrid w:val="0"/>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本授权委托书声明：注册于（注册地址）的 （投标人名称）的在下面签字的（法定代表姓名、职务），代表我单位授权在下面签字的（被授权人的姓名、职务）为我公司的委托代理人。委托代理人根据授权，就（招标项目名称、项目编号）的投标活动，代理人在开标、评标、合同谈判过程中所签署的一切文件和处理与之有关的事务，我公司均予以承认，其法律后果由我公司承担。</w:t>
      </w:r>
    </w:p>
    <w:p>
      <w:pPr>
        <w:pStyle w:val="10"/>
        <w:numPr>
          <w:ilvl w:val="0"/>
          <w:numId w:val="0"/>
        </w:numPr>
        <w:spacing w:line="360" w:lineRule="auto"/>
        <w:rPr>
          <w:rFonts w:ascii="宋体" w:hAnsi="宋体" w:eastAsia="宋体" w:cs="宋体"/>
          <w:sz w:val="24"/>
          <w:szCs w:val="24"/>
        </w:rPr>
      </w:pPr>
      <w:r>
        <w:rPr>
          <w:rFonts w:hint="eastAsia" w:ascii="宋体" w:hAnsi="宋体" w:eastAsia="宋体" w:cs="宋体"/>
          <w:kern w:val="0"/>
          <w:sz w:val="24"/>
          <w:szCs w:val="24"/>
        </w:rPr>
        <w:t xml:space="preserve">    代理人无转委托权，特此委托！</w:t>
      </w:r>
    </w:p>
    <w:p>
      <w:pPr>
        <w:widowControl/>
        <w:shd w:val="clear" w:color="auto" w:fill="FFFFFF"/>
        <w:snapToGrid w:val="0"/>
        <w:spacing w:line="360" w:lineRule="auto"/>
        <w:ind w:firstLine="480" w:firstLineChars="200"/>
        <w:jc w:val="left"/>
        <w:rPr>
          <w:rFonts w:ascii="宋体" w:hAnsi="宋体" w:cs="宋体"/>
          <w:kern w:val="0"/>
          <w:sz w:val="24"/>
          <w:szCs w:val="24"/>
          <w:u w:val="single"/>
        </w:rPr>
      </w:pPr>
      <w:r>
        <w:rPr>
          <w:rFonts w:hint="eastAsia" w:ascii="宋体" w:hAnsi="宋体" w:cs="宋体"/>
          <w:kern w:val="0"/>
          <w:sz w:val="24"/>
          <w:szCs w:val="24"/>
        </w:rPr>
        <w:t>代理人：性别： 年龄：</w:t>
      </w:r>
    </w:p>
    <w:p>
      <w:pPr>
        <w:widowControl/>
        <w:shd w:val="clear" w:color="auto" w:fill="FFFFFF"/>
        <w:snapToGrid w:val="0"/>
        <w:spacing w:line="360" w:lineRule="auto"/>
        <w:ind w:firstLine="480" w:firstLineChars="200"/>
        <w:jc w:val="left"/>
        <w:rPr>
          <w:rFonts w:ascii="宋体" w:cs="Arial"/>
          <w:kern w:val="0"/>
          <w:sz w:val="24"/>
          <w:szCs w:val="24"/>
        </w:rPr>
      </w:pPr>
      <w:r>
        <w:rPr>
          <w:rFonts w:hint="eastAsia" w:ascii="宋体" w:hAnsi="宋体" w:cs="宋体"/>
          <w:kern w:val="0"/>
          <w:sz w:val="24"/>
          <w:szCs w:val="24"/>
        </w:rPr>
        <w:t>身份证号码：部门：</w:t>
      </w:r>
      <w:r>
        <w:rPr>
          <w:rFonts w:hint="eastAsia" w:ascii="宋体" w:hAnsi="宋体" w:cs="Arial"/>
          <w:kern w:val="0"/>
          <w:sz w:val="24"/>
          <w:szCs w:val="24"/>
        </w:rPr>
        <w:t>职务：</w:t>
      </w:r>
    </w:p>
    <w:p>
      <w:pPr>
        <w:widowControl/>
        <w:shd w:val="clear" w:color="auto" w:fill="FFFFFF"/>
        <w:snapToGrid w:val="0"/>
        <w:spacing w:line="360" w:lineRule="auto"/>
        <w:ind w:firstLine="480" w:firstLineChars="200"/>
        <w:jc w:val="left"/>
        <w:rPr>
          <w:rFonts w:ascii="宋体" w:cs="Arial"/>
          <w:kern w:val="0"/>
          <w:sz w:val="24"/>
          <w:szCs w:val="24"/>
        </w:rPr>
      </w:pPr>
      <w:r>
        <w:rPr>
          <w:rFonts w:hint="eastAsia" w:ascii="宋体" w:hAnsi="宋体" w:cs="Arial"/>
          <w:kern w:val="0"/>
          <w:sz w:val="24"/>
          <w:szCs w:val="24"/>
        </w:rPr>
        <w:t>附：法定代表人及授权委托代理人身份证明。</w:t>
      </w:r>
    </w:p>
    <w:p>
      <w:pPr>
        <w:widowControl/>
        <w:shd w:val="clear" w:color="auto" w:fill="FFFFFF"/>
        <w:snapToGrid w:val="0"/>
        <w:spacing w:line="360" w:lineRule="auto"/>
        <w:jc w:val="left"/>
        <w:rPr>
          <w:rFonts w:ascii="宋体" w:cs="Arial"/>
          <w:kern w:val="0"/>
          <w:sz w:val="24"/>
          <w:szCs w:val="24"/>
        </w:rPr>
      </w:pPr>
      <w:r>
        <w:rPr>
          <w:rFonts w:ascii="仿宋" w:hAnsi="仿宋" w:eastAsia="仿宋" w:cs="仿宋"/>
        </w:rPr>
        <w:pict>
          <v:roundrect id="_x0000_s1030" o:spid="_x0000_s1030" o:spt="2" style="position:absolute;left:0pt;margin-left:234.35pt;margin-top:1.5pt;height:125.1pt;width:213.4pt;z-index:251662336;v-text-anchor:middle;mso-width-relative:page;mso-height-relative:page;" filled="f" coordsize="21600,21600" arcsize="0.0239814814814815" o:gfxdata="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J+Mn4XYAAAA&#10;CQEAAA8AAAAAAAAAAQAgAAAAIgAAAGRycy9kb3ducmV2LnhtbFBLAQIUABQAAAAIAIdO4kCvukPE&#10;jwIAAAYFAAAOAAAAAAAAAAEAIAAAACcBAABkcnMvZTJvRG9jLnhtbFBLBQYAAAAABgAGAFkBAAAo&#10;Bg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w:t>
                  </w:r>
                  <w:r>
                    <w:rPr>
                      <w:rFonts w:hint="eastAsia" w:ascii="宋体" w:hAnsi="宋体" w:cs="Arial"/>
                      <w:kern w:val="0"/>
                      <w:sz w:val="24"/>
                      <w:szCs w:val="24"/>
                    </w:rPr>
                    <w:t>定代表</w:t>
                  </w:r>
                  <w:r>
                    <w:rPr>
                      <w:rFonts w:hint="eastAsia" w:ascii="仿宋" w:hAnsi="仿宋" w:eastAsia="仿宋"/>
                      <w:color w:val="000000"/>
                    </w:rPr>
                    <w:t>人身份证反面</w:t>
                  </w:r>
                </w:p>
                <w:p>
                  <w:pPr>
                    <w:jc w:val="center"/>
                  </w:pPr>
                </w:p>
              </w:txbxContent>
            </v:textbox>
          </v:roundrect>
        </w:pict>
      </w:r>
      <w:r>
        <w:rPr>
          <w:rFonts w:ascii="仿宋" w:hAnsi="仿宋" w:eastAsia="仿宋" w:cs="仿宋"/>
        </w:rPr>
        <w:pict>
          <v:roundrect id="_x0000_s1029" o:spid="_x0000_s1029" o:spt="2" style="position:absolute;left:0pt;margin-left:6.1pt;margin-top:0.85pt;height:125.1pt;width:213.4pt;z-index:251661312;v-text-anchor:middle;mso-width-relative:page;mso-height-relative:page;" filled="f" coordsize="21600,21600" arcsize="0.0403703703703704" o:gfxdata="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A3LtqB0wAAAAgBAAAP&#10;AAAAAAAAAAEAIAAAACIAAABkcnMvZG93bnJldi54bWxQSwECFAAUAAAACACHTuJAfOXys48CAAAG&#10;BQAADgAAAAAAAAABACAAAAAiAQAAZHJzL2Uyb0RvYy54bWxQSwUGAAAAAAYABgBZAQAAIwY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w:t>
                  </w:r>
                  <w:r>
                    <w:rPr>
                      <w:rFonts w:hint="eastAsia" w:ascii="宋体" w:hAnsi="宋体" w:cs="Arial"/>
                      <w:kern w:val="0"/>
                      <w:sz w:val="24"/>
                      <w:szCs w:val="24"/>
                    </w:rPr>
                    <w:t>定代表</w:t>
                  </w:r>
                  <w:r>
                    <w:rPr>
                      <w:rFonts w:hint="eastAsia" w:ascii="仿宋" w:hAnsi="仿宋" w:eastAsia="仿宋"/>
                      <w:color w:val="000000"/>
                    </w:rPr>
                    <w:t>人身份证正面</w:t>
                  </w:r>
                </w:p>
                <w:p>
                  <w:pPr>
                    <w:jc w:val="center"/>
                  </w:pPr>
                </w:p>
              </w:txbxContent>
            </v:textbox>
          </v:roundrect>
        </w:pict>
      </w:r>
    </w:p>
    <w:p>
      <w:pPr>
        <w:widowControl/>
        <w:shd w:val="clear" w:color="auto" w:fill="FFFFFF"/>
        <w:snapToGrid w:val="0"/>
        <w:spacing w:line="360" w:lineRule="auto"/>
        <w:jc w:val="left"/>
        <w:rPr>
          <w:rFonts w:ascii="宋体" w:cs="Arial"/>
          <w:kern w:val="0"/>
          <w:sz w:val="24"/>
          <w:szCs w:val="24"/>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20" w:firstLineChars="200"/>
        <w:rPr>
          <w:sz w:val="24"/>
          <w:u w:val="single" w:color="FFFFFF"/>
        </w:rPr>
      </w:pPr>
      <w:r>
        <w:rPr>
          <w:rFonts w:ascii="仿宋" w:hAnsi="仿宋" w:eastAsia="仿宋" w:cs="仿宋"/>
        </w:rPr>
        <w:pict>
          <v:roundrect id="_x0000_s1028" o:spid="_x0000_s1028" o:spt="2" style="position:absolute;left:0pt;margin-left:5.55pt;margin-top:23.05pt;height:125.1pt;width:213.4pt;z-index:251663360;v-text-anchor:middle;mso-width-relative:page;mso-height-relative:page;" filled="f" coordsize="21600,21600" arcsize="0.0403703703703704" o:gfxdata="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Az79pt1gAAAAkB&#10;AAAPAAAAAAAAAAEAIAAAACIAAABkcnMvZG93bnJldi54bWxQSwECFAAUAAAACACHTuJANvF5A48C&#10;AAAGBQAADgAAAAAAAAABACAAAAAlAQAAZHJzL2Uyb0RvYy54bWxQSwUGAAAAAAYABgBZAQAAJgYA&#10;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委托代理人身份证正面</w:t>
                  </w:r>
                </w:p>
                <w:p>
                  <w:pPr>
                    <w:jc w:val="center"/>
                  </w:pPr>
                </w:p>
              </w:txbxContent>
            </v:textbox>
          </v:roundrect>
        </w:pict>
      </w:r>
    </w:p>
    <w:p>
      <w:pPr>
        <w:pStyle w:val="2"/>
        <w:tabs>
          <w:tab w:val="left" w:pos="5580"/>
        </w:tabs>
        <w:spacing w:line="360" w:lineRule="auto"/>
        <w:ind w:firstLine="420" w:firstLineChars="200"/>
        <w:rPr>
          <w:sz w:val="24"/>
          <w:u w:val="single" w:color="FFFFFF"/>
        </w:rPr>
      </w:pPr>
      <w:r>
        <w:rPr>
          <w:rFonts w:ascii="仿宋" w:hAnsi="仿宋" w:eastAsia="仿宋" w:cs="仿宋"/>
        </w:rPr>
        <w:pict>
          <v:roundrect id="_x0000_s1027" o:spid="_x0000_s1027" o:spt="2" style="position:absolute;left:0pt;margin-left:233.85pt;margin-top:1.2pt;height:125.1pt;width:213.4pt;z-index:251664384;v-text-anchor:middle;mso-width-relative:page;mso-height-relative:page;" filled="f" coordsize="21600,21600" arcsize="0.0403703703703704" o:gfxdata="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NANEsrVAAAACQEA&#10;AA8AAAAAAAAAAQAgAAAAIgAAAGRycy9kb3ducmV2LnhtbFBLAQIUABQAAAAIAIdO4kAiws3EjwIA&#10;AAYFAAAOAAAAAAAAAAEAIAAAACQBAABkcnMvZTJvRG9jLnhtbFBLBQYAAAAABgAGAFkBAAAlBgAA&#10;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委托代理人身份证反面</w:t>
                  </w:r>
                </w:p>
                <w:p>
                  <w:pPr>
                    <w:jc w:val="center"/>
                  </w:pPr>
                </w:p>
              </w:txbxContent>
            </v:textbox>
          </v:roundrect>
        </w:pict>
      </w: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spacing w:line="360" w:lineRule="auto"/>
        <w:ind w:firstLine="720" w:firstLineChars="300"/>
        <w:rPr>
          <w:rFonts w:ascii="宋体" w:hAnsi="宋体" w:cs="宋体"/>
          <w:sz w:val="24"/>
          <w:szCs w:val="24"/>
        </w:rPr>
      </w:pPr>
    </w:p>
    <w:p>
      <w:pPr>
        <w:pStyle w:val="2"/>
        <w:tabs>
          <w:tab w:val="left" w:pos="5580"/>
        </w:tabs>
        <w:spacing w:line="360" w:lineRule="auto"/>
        <w:ind w:firstLine="3600" w:firstLineChars="1500"/>
        <w:rPr>
          <w:sz w:val="24"/>
        </w:rPr>
      </w:pPr>
      <w:r>
        <w:rPr>
          <w:rFonts w:hint="eastAsia"/>
          <w:sz w:val="24"/>
        </w:rPr>
        <w:t>投标人（盖</w:t>
      </w:r>
      <w:r>
        <w:rPr>
          <w:sz w:val="24"/>
        </w:rPr>
        <w:t>章）：</w:t>
      </w:r>
    </w:p>
    <w:p>
      <w:pPr>
        <w:pStyle w:val="2"/>
        <w:tabs>
          <w:tab w:val="left" w:pos="5580"/>
        </w:tabs>
        <w:spacing w:line="360" w:lineRule="auto"/>
        <w:ind w:firstLine="3600" w:firstLineChars="1500"/>
        <w:rPr>
          <w:sz w:val="24"/>
          <w:u w:val="single"/>
        </w:rPr>
      </w:pPr>
      <w:r>
        <w:rPr>
          <w:rFonts w:hint="eastAsia"/>
          <w:sz w:val="24"/>
        </w:rPr>
        <w:t>法定代表人（签章）：</w:t>
      </w:r>
    </w:p>
    <w:p>
      <w:pPr>
        <w:pStyle w:val="2"/>
        <w:tabs>
          <w:tab w:val="left" w:pos="5580"/>
        </w:tabs>
        <w:spacing w:line="360" w:lineRule="auto"/>
        <w:ind w:firstLine="3600" w:firstLineChars="1500"/>
        <w:rPr>
          <w:rFonts w:cs="宋体"/>
          <w:kern w:val="0"/>
          <w:sz w:val="24"/>
          <w:szCs w:val="24"/>
          <w:u w:val="single"/>
        </w:rPr>
      </w:pP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600" w:firstLineChars="1500"/>
        <w:rPr>
          <w:sz w:val="24"/>
          <w:u w:val="single"/>
        </w:rPr>
      </w:pPr>
      <w:r>
        <w:rPr>
          <w:rFonts w:hint="eastAsia"/>
          <w:sz w:val="24"/>
        </w:rPr>
        <w:t>委托日期</w:t>
      </w:r>
      <w:r>
        <w:rPr>
          <w:rFonts w:hint="eastAsia" w:hAnsi="宋体"/>
          <w:sz w:val="24"/>
        </w:rPr>
        <w:t>：</w:t>
      </w:r>
    </w:p>
    <w:p>
      <w:pPr>
        <w:spacing w:line="360" w:lineRule="auto"/>
        <w:ind w:firstLine="3600" w:firstLineChars="1500"/>
        <w:rPr>
          <w:sz w:val="24"/>
          <w:u w:val="single"/>
        </w:rPr>
      </w:pPr>
    </w:p>
    <w:p>
      <w:pPr>
        <w:pStyle w:val="5"/>
      </w:pPr>
    </w:p>
    <w:p>
      <w:pPr>
        <w:spacing w:line="360" w:lineRule="auto"/>
        <w:rPr>
          <w:rFonts w:ascii="宋体" w:hAnsi="宋体" w:cs="宋体"/>
          <w:b/>
          <w:bCs/>
          <w:sz w:val="24"/>
          <w:szCs w:val="24"/>
        </w:rPr>
      </w:pPr>
      <w:r>
        <w:rPr>
          <w:rFonts w:hint="eastAsia" w:ascii="宋体" w:hAnsi="宋体" w:cs="宋体"/>
          <w:b/>
          <w:bCs/>
          <w:sz w:val="24"/>
          <w:szCs w:val="24"/>
        </w:rPr>
        <w:t>5.2.5. 无重大违法记录的承诺书</w:t>
      </w:r>
    </w:p>
    <w:p>
      <w:pPr>
        <w:spacing w:line="360" w:lineRule="auto"/>
        <w:rPr>
          <w:rFonts w:ascii="宋体" w:hAnsi="宋体" w:cs="宋体"/>
          <w:sz w:val="24"/>
          <w:szCs w:val="24"/>
        </w:rPr>
      </w:pPr>
    </w:p>
    <w:p>
      <w:pPr>
        <w:spacing w:line="360" w:lineRule="auto"/>
        <w:jc w:val="center"/>
        <w:rPr>
          <w:rFonts w:ascii="宋体" w:hAnsi="宋体" w:cs="宋体"/>
          <w:b/>
          <w:bCs/>
          <w:sz w:val="24"/>
          <w:szCs w:val="24"/>
        </w:rPr>
      </w:pPr>
      <w:r>
        <w:rPr>
          <w:rFonts w:hint="eastAsia" w:ascii="宋体" w:hAnsi="宋体" w:cs="宋体"/>
          <w:b/>
          <w:bCs/>
          <w:sz w:val="24"/>
          <w:szCs w:val="24"/>
        </w:rPr>
        <w:t>参加政府采购活动前3年内</w:t>
      </w:r>
      <w:bookmarkStart w:id="81" w:name="_Toc518923113"/>
      <w:r>
        <w:rPr>
          <w:rFonts w:hint="eastAsia" w:ascii="宋体" w:hAnsi="宋体" w:cs="宋体"/>
          <w:b/>
          <w:bCs/>
          <w:sz w:val="24"/>
          <w:szCs w:val="24"/>
        </w:rPr>
        <w:t>在经营活动中没有重大违法记录的承诺书</w:t>
      </w:r>
      <w:bookmarkEnd w:id="81"/>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r>
        <w:rPr>
          <w:rFonts w:hint="eastAsia" w:ascii="宋体" w:hAnsi="宋体" w:cs="宋体"/>
          <w:sz w:val="24"/>
          <w:szCs w:val="24"/>
        </w:rPr>
        <w:t>致：（采购人）         ：</w:t>
      </w:r>
    </w:p>
    <w:p>
      <w:pPr>
        <w:spacing w:line="360" w:lineRule="auto"/>
        <w:rPr>
          <w:rFonts w:hint="eastAsia" w:ascii="宋体" w:hAnsi="宋体" w:cs="宋体"/>
          <w:sz w:val="24"/>
          <w:szCs w:val="24"/>
        </w:rPr>
      </w:pPr>
    </w:p>
    <w:p>
      <w:pPr>
        <w:spacing w:line="360" w:lineRule="auto"/>
        <w:ind w:firstLine="480" w:firstLineChars="200"/>
        <w:rPr>
          <w:rFonts w:ascii="宋体" w:hAnsi="宋体" w:cs="宋体"/>
          <w:sz w:val="24"/>
          <w:szCs w:val="24"/>
        </w:rPr>
      </w:pPr>
      <w:r>
        <w:rPr>
          <w:rFonts w:hint="eastAsia" w:ascii="宋体" w:hAnsi="宋体" w:cs="宋体"/>
          <w:sz w:val="24"/>
          <w:szCs w:val="24"/>
        </w:rPr>
        <w:t>我公司参与（项目名称标包号、项目编号）投标，本公司郑重声明，我方参加本项目政府采购活动前三年内无重大违法记录，符合《政府采购法》规定的投标人条件。若贵方在本项目采购过程中发现我方政府采购活动前三年内有重大违法记录，我公司将无条件退出本项目的投标，并承担因此引起的一切后果。我方对此声明负全部法律责任。</w:t>
      </w:r>
    </w:p>
    <w:p>
      <w:pPr>
        <w:spacing w:line="360" w:lineRule="auto"/>
        <w:rPr>
          <w:rFonts w:ascii="宋体" w:hAnsi="宋体" w:cs="宋体"/>
          <w:sz w:val="24"/>
          <w:szCs w:val="24"/>
        </w:rPr>
      </w:pPr>
      <w:r>
        <w:rPr>
          <w:rFonts w:hint="eastAsia" w:ascii="宋体" w:hAnsi="宋体" w:cs="宋体"/>
          <w:sz w:val="24"/>
          <w:szCs w:val="24"/>
        </w:rPr>
        <w:t xml:space="preserve">特此声明  </w:t>
      </w:r>
    </w:p>
    <w:p>
      <w:pPr>
        <w:spacing w:line="360" w:lineRule="auto"/>
        <w:rPr>
          <w:rFonts w:ascii="宋体" w:hAnsi="宋体" w:cs="宋体"/>
          <w:sz w:val="24"/>
          <w:szCs w:val="24"/>
        </w:rPr>
      </w:pP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r>
        <w:rPr>
          <w:rFonts w:hint="eastAsia" w:ascii="宋体" w:hAnsi="宋体" w:cs="宋体"/>
          <w:sz w:val="24"/>
          <w:szCs w:val="24"/>
        </w:rPr>
        <w:t>说明：1.投标人应按照相关法规规定如实作出说明。</w:t>
      </w:r>
    </w:p>
    <w:p>
      <w:pPr>
        <w:spacing w:line="360" w:lineRule="auto"/>
        <w:ind w:firstLine="720" w:firstLineChars="300"/>
        <w:rPr>
          <w:rFonts w:ascii="宋体" w:hAnsi="宋体" w:cs="宋体"/>
          <w:sz w:val="24"/>
          <w:szCs w:val="24"/>
        </w:rPr>
      </w:pPr>
      <w:r>
        <w:rPr>
          <w:rFonts w:hint="eastAsia" w:ascii="宋体" w:hAnsi="宋体" w:cs="宋体"/>
          <w:sz w:val="24"/>
          <w:szCs w:val="24"/>
        </w:rPr>
        <w:t>2．按照招标文件的规定盖章（自然人投标的无需盖章，需要签字）。</w:t>
      </w: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pStyle w:val="10"/>
        <w:numPr>
          <w:ilvl w:val="0"/>
          <w:numId w:val="0"/>
        </w:numPr>
        <w:rPr>
          <w:rFonts w:hAnsi="宋体"/>
          <w:b/>
          <w:kern w:val="0"/>
          <w:sz w:val="24"/>
        </w:rPr>
      </w:pPr>
    </w:p>
    <w:p>
      <w:pPr>
        <w:pStyle w:val="10"/>
        <w:numPr>
          <w:ilvl w:val="0"/>
          <w:numId w:val="0"/>
        </w:num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5.2.6. 投标人概况</w:t>
      </w:r>
    </w:p>
    <w:p>
      <w:pPr>
        <w:jc w:val="center"/>
        <w:rPr>
          <w:b/>
          <w:bCs/>
          <w:sz w:val="32"/>
          <w:szCs w:val="32"/>
        </w:rPr>
      </w:pPr>
      <w:bookmarkStart w:id="82" w:name="_Toc505078023"/>
      <w:r>
        <w:rPr>
          <w:rFonts w:hint="eastAsia"/>
          <w:b/>
          <w:bCs/>
          <w:sz w:val="32"/>
          <w:szCs w:val="32"/>
        </w:rPr>
        <w:t>投标人概况</w:t>
      </w:r>
      <w:bookmarkEnd w:id="82"/>
    </w:p>
    <w:p>
      <w:pPr>
        <w:spacing w:line="360" w:lineRule="auto"/>
        <w:rPr>
          <w:rFonts w:ascii="宋体" w:hAnsi="宋体" w:cs="宋体"/>
          <w:sz w:val="24"/>
          <w:szCs w:val="24"/>
        </w:rPr>
      </w:pPr>
      <w:r>
        <w:rPr>
          <w:rFonts w:hint="eastAsia" w:ascii="宋体" w:hAnsi="宋体" w:cs="宋体"/>
          <w:sz w:val="24"/>
          <w:szCs w:val="24"/>
        </w:rPr>
        <w:t>1、投标人名称</w:t>
      </w:r>
    </w:p>
    <w:p>
      <w:pPr>
        <w:spacing w:line="360" w:lineRule="auto"/>
        <w:rPr>
          <w:rFonts w:ascii="宋体" w:hAnsi="宋体" w:cs="宋体"/>
          <w:sz w:val="24"/>
          <w:szCs w:val="24"/>
        </w:rPr>
      </w:pPr>
      <w:r>
        <w:rPr>
          <w:rFonts w:hint="eastAsia" w:ascii="宋体" w:hAnsi="宋体" w:cs="宋体"/>
          <w:sz w:val="24"/>
          <w:szCs w:val="24"/>
        </w:rPr>
        <w:t>2、营业执照</w:t>
      </w:r>
    </w:p>
    <w:p>
      <w:pPr>
        <w:spacing w:line="360" w:lineRule="auto"/>
        <w:rPr>
          <w:rFonts w:ascii="宋体" w:hAnsi="宋体" w:cs="宋体"/>
          <w:sz w:val="24"/>
          <w:szCs w:val="24"/>
        </w:rPr>
      </w:pPr>
      <w:r>
        <w:rPr>
          <w:rFonts w:hint="eastAsia" w:ascii="宋体" w:hAnsi="宋体" w:cs="宋体"/>
          <w:sz w:val="24"/>
          <w:szCs w:val="24"/>
        </w:rPr>
        <w:t>3、投标人地址</w:t>
      </w:r>
    </w:p>
    <w:p>
      <w:pPr>
        <w:spacing w:line="360" w:lineRule="auto"/>
        <w:rPr>
          <w:rFonts w:ascii="宋体" w:hAnsi="宋体" w:cs="宋体"/>
          <w:sz w:val="24"/>
          <w:szCs w:val="24"/>
        </w:rPr>
      </w:pPr>
      <w:r>
        <w:rPr>
          <w:rFonts w:hint="eastAsia" w:ascii="宋体" w:hAnsi="宋体" w:cs="宋体"/>
          <w:sz w:val="24"/>
          <w:szCs w:val="24"/>
        </w:rPr>
        <w:t>4、经营范围</w:t>
      </w:r>
    </w:p>
    <w:p>
      <w:pPr>
        <w:spacing w:line="360" w:lineRule="auto"/>
        <w:rPr>
          <w:rFonts w:ascii="宋体" w:hAnsi="宋体" w:cs="宋体"/>
          <w:sz w:val="24"/>
          <w:szCs w:val="24"/>
        </w:rPr>
      </w:pPr>
      <w:r>
        <w:rPr>
          <w:rFonts w:hint="eastAsia" w:ascii="宋体" w:hAnsi="宋体" w:cs="宋体"/>
          <w:sz w:val="24"/>
          <w:szCs w:val="24"/>
        </w:rPr>
        <w:t>5、营业场所</w:t>
      </w:r>
    </w:p>
    <w:p>
      <w:pPr>
        <w:spacing w:line="360" w:lineRule="auto"/>
        <w:rPr>
          <w:rFonts w:ascii="宋体" w:hAnsi="宋体" w:cs="宋体"/>
          <w:sz w:val="24"/>
          <w:szCs w:val="24"/>
        </w:rPr>
      </w:pPr>
      <w:r>
        <w:rPr>
          <w:rFonts w:hint="eastAsia" w:ascii="宋体" w:hAnsi="宋体" w:cs="宋体"/>
          <w:sz w:val="24"/>
          <w:szCs w:val="24"/>
        </w:rPr>
        <w:t>6、单位综合情况一览表</w:t>
      </w:r>
    </w:p>
    <w:p>
      <w:pPr>
        <w:spacing w:line="360" w:lineRule="auto"/>
        <w:rPr>
          <w:rFonts w:ascii="宋体" w:hAnsi="宋体" w:cs="宋体"/>
          <w:b/>
          <w:sz w:val="30"/>
          <w:szCs w:val="30"/>
        </w:rPr>
      </w:pPr>
      <w:r>
        <w:rPr>
          <w:rFonts w:hint="eastAsia" w:ascii="宋体" w:hAnsi="宋体" w:cs="宋体"/>
          <w:sz w:val="24"/>
          <w:szCs w:val="24"/>
        </w:rPr>
        <w:t>注：须附营业执照副本，</w:t>
      </w:r>
      <w:r>
        <w:rPr>
          <w:rFonts w:hint="eastAsia" w:ascii="宋体" w:hAnsi="宋体" w:cs="宋体"/>
          <w:color w:val="auto"/>
          <w:sz w:val="24"/>
          <w:szCs w:val="24"/>
        </w:rPr>
        <w:t>兽药经营许可证或兽药生产许可证，投标产品的批准文号，投标产品生产商的《兽药GMP证书》，</w:t>
      </w:r>
      <w:r>
        <w:rPr>
          <w:rFonts w:hint="eastAsia" w:ascii="宋体" w:hAnsi="宋体" w:cs="宋体"/>
          <w:sz w:val="24"/>
          <w:szCs w:val="24"/>
        </w:rPr>
        <w:t>行贿犯罪档案查询告知函、“信用中国”网站（</w:t>
      </w:r>
      <w:r>
        <w:fldChar w:fldCharType="begin"/>
      </w:r>
      <w:r>
        <w:instrText xml:space="preserve"> HYPERLINK "http://www.creditchina.gov.cn/" \t "_blank" </w:instrText>
      </w:r>
      <w:r>
        <w:fldChar w:fldCharType="separate"/>
      </w:r>
      <w:r>
        <w:rPr>
          <w:rFonts w:hint="eastAsia" w:ascii="宋体" w:hAnsi="宋体" w:cs="宋体"/>
          <w:sz w:val="24"/>
          <w:szCs w:val="24"/>
        </w:rPr>
        <w:t>www.creditchina.gov.cn</w:t>
      </w:r>
      <w:r>
        <w:rPr>
          <w:rFonts w:hint="eastAsia" w:ascii="宋体" w:hAnsi="宋体" w:cs="宋体"/>
          <w:sz w:val="24"/>
          <w:szCs w:val="24"/>
        </w:rPr>
        <w:fldChar w:fldCharType="end"/>
      </w:r>
      <w:r>
        <w:rPr>
          <w:rFonts w:hint="eastAsia" w:ascii="宋体" w:hAnsi="宋体" w:cs="宋体"/>
          <w:sz w:val="24"/>
          <w:szCs w:val="24"/>
        </w:rPr>
        <w:t>）截图、中国政府采购网（</w:t>
      </w:r>
      <w:r>
        <w:fldChar w:fldCharType="begin"/>
      </w:r>
      <w:r>
        <w:instrText xml:space="preserve"> HYPERLINK "http://www.ccgp.gov.cn/" \t "_blank" </w:instrText>
      </w:r>
      <w:r>
        <w:fldChar w:fldCharType="separate"/>
      </w:r>
      <w:r>
        <w:rPr>
          <w:rFonts w:hint="eastAsia" w:ascii="宋体" w:hAnsi="宋体" w:cs="宋体"/>
          <w:sz w:val="24"/>
          <w:szCs w:val="24"/>
        </w:rPr>
        <w:t>www.ccgp.gov.cn</w:t>
      </w:r>
      <w:r>
        <w:rPr>
          <w:rFonts w:hint="eastAsia" w:ascii="宋体" w:hAnsi="宋体" w:cs="宋体"/>
          <w:sz w:val="24"/>
          <w:szCs w:val="24"/>
        </w:rPr>
        <w:fldChar w:fldCharType="end"/>
      </w:r>
      <w:r>
        <w:rPr>
          <w:rFonts w:hint="eastAsia" w:ascii="宋体" w:hAnsi="宋体" w:cs="宋体"/>
          <w:sz w:val="24"/>
          <w:szCs w:val="24"/>
        </w:rPr>
        <w:t>）截图复印件。</w:t>
      </w:r>
    </w:p>
    <w:p>
      <w:pPr>
        <w:pStyle w:val="10"/>
        <w:numPr>
          <w:ilvl w:val="0"/>
          <w:numId w:val="0"/>
        </w:numPr>
      </w:pPr>
    </w:p>
    <w:p>
      <w:pPr>
        <w:rPr>
          <w:rFonts w:ascii="宋体" w:hAnsi="宋体" w:cs="Arial"/>
          <w:b/>
          <w:bCs/>
          <w:kern w:val="0"/>
          <w:sz w:val="24"/>
          <w:szCs w:val="24"/>
        </w:rPr>
      </w:pPr>
      <w:r>
        <w:rPr>
          <w:rFonts w:hint="eastAsia" w:ascii="宋体" w:hAnsi="宋体" w:cs="Arial"/>
          <w:b/>
          <w:bCs/>
          <w:kern w:val="0"/>
          <w:sz w:val="24"/>
          <w:szCs w:val="24"/>
        </w:rPr>
        <w:t>5.2.7. 项目负责人简历表</w:t>
      </w:r>
    </w:p>
    <w:p>
      <w:pPr>
        <w:spacing w:line="360" w:lineRule="auto"/>
        <w:jc w:val="center"/>
        <w:rPr>
          <w:rFonts w:ascii="宋体"/>
          <w:b/>
          <w:bCs/>
          <w:sz w:val="32"/>
          <w:szCs w:val="32"/>
        </w:rPr>
      </w:pPr>
      <w:bookmarkStart w:id="83" w:name="_Toc505078024"/>
    </w:p>
    <w:p>
      <w:pPr>
        <w:spacing w:line="360" w:lineRule="auto"/>
        <w:jc w:val="center"/>
        <w:rPr>
          <w:rFonts w:ascii="宋体"/>
          <w:b/>
          <w:bCs/>
          <w:sz w:val="32"/>
          <w:szCs w:val="32"/>
        </w:rPr>
      </w:pPr>
      <w:r>
        <w:rPr>
          <w:rFonts w:hint="eastAsia" w:ascii="宋体"/>
          <w:b/>
          <w:bCs/>
          <w:sz w:val="32"/>
          <w:szCs w:val="32"/>
        </w:rPr>
        <w:t>项目负责人简历表</w:t>
      </w:r>
    </w:p>
    <w:bookmarkEnd w:id="83"/>
    <w:tbl>
      <w:tblPr>
        <w:tblStyle w:val="20"/>
        <w:tblW w:w="92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0"/>
        <w:gridCol w:w="2798"/>
        <w:gridCol w:w="1935"/>
        <w:gridCol w:w="2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880" w:type="dxa"/>
            <w:noWrap/>
            <w:vAlign w:val="center"/>
          </w:tcPr>
          <w:p>
            <w:pPr>
              <w:rPr>
                <w:rFonts w:ascii="宋体" w:hAnsi="宋体" w:cs="宋体"/>
                <w:color w:val="000000"/>
              </w:rPr>
            </w:pPr>
            <w:r>
              <w:rPr>
                <w:rFonts w:hint="eastAsia" w:ascii="宋体" w:hAnsi="宋体" w:cs="宋体"/>
                <w:color w:val="000000"/>
              </w:rPr>
              <w:t>姓名</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性别</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880" w:type="dxa"/>
            <w:noWrap/>
            <w:vAlign w:val="center"/>
          </w:tcPr>
          <w:p>
            <w:pPr>
              <w:rPr>
                <w:rFonts w:ascii="宋体" w:hAnsi="宋体" w:cs="宋体"/>
                <w:color w:val="000000"/>
              </w:rPr>
            </w:pPr>
            <w:r>
              <w:rPr>
                <w:rFonts w:hint="eastAsia" w:ascii="宋体" w:hAnsi="宋体" w:cs="宋体"/>
                <w:color w:val="000000"/>
              </w:rPr>
              <w:t>职称</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学历</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880" w:type="dxa"/>
            <w:noWrap/>
            <w:vAlign w:val="center"/>
          </w:tcPr>
          <w:p>
            <w:pPr>
              <w:rPr>
                <w:rFonts w:ascii="宋体" w:hAnsi="宋体" w:cs="宋体"/>
              </w:rPr>
            </w:pPr>
            <w:r>
              <w:rPr>
                <w:rFonts w:hint="eastAsia" w:ascii="宋体" w:hAnsi="宋体" w:cs="宋体"/>
              </w:rPr>
              <w:t>参加工作时间</w:t>
            </w:r>
          </w:p>
        </w:tc>
        <w:tc>
          <w:tcPr>
            <w:tcW w:w="2798" w:type="dxa"/>
            <w:noWrap/>
            <w:vAlign w:val="center"/>
          </w:tcPr>
          <w:p>
            <w:pPr>
              <w:rPr>
                <w:rFonts w:ascii="宋体" w:hAnsi="宋体" w:cs="宋体"/>
              </w:rPr>
            </w:pPr>
          </w:p>
        </w:tc>
        <w:tc>
          <w:tcPr>
            <w:tcW w:w="1935" w:type="dxa"/>
            <w:noWrap/>
            <w:vAlign w:val="center"/>
          </w:tcPr>
          <w:p>
            <w:pPr>
              <w:rPr>
                <w:rFonts w:ascii="宋体" w:hAnsi="宋体" w:cs="宋体"/>
              </w:rPr>
            </w:pPr>
            <w:r>
              <w:rPr>
                <w:rFonts w:hint="eastAsia" w:ascii="宋体" w:hAnsi="宋体" w:cs="宋体"/>
              </w:rPr>
              <w:t>从事项目管理工作年限</w:t>
            </w:r>
          </w:p>
        </w:tc>
        <w:tc>
          <w:tcPr>
            <w:tcW w:w="2639"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880" w:type="dxa"/>
            <w:noWrap/>
            <w:vAlign w:val="center"/>
          </w:tcPr>
          <w:p>
            <w:pPr>
              <w:rPr>
                <w:rFonts w:ascii="宋体" w:hAnsi="宋体" w:cs="宋体"/>
                <w:color w:val="000000"/>
              </w:rPr>
            </w:pPr>
            <w:r>
              <w:rPr>
                <w:rFonts w:hint="eastAsia" w:ascii="宋体" w:hAnsi="宋体" w:cs="宋体"/>
                <w:color w:val="000000"/>
              </w:rPr>
              <w:t>专业</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毕业学校</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880" w:type="dxa"/>
            <w:noWrap/>
            <w:vAlign w:val="center"/>
          </w:tcPr>
          <w:p>
            <w:pPr>
              <w:rPr>
                <w:rFonts w:ascii="宋体" w:hAnsi="宋体" w:cs="宋体"/>
                <w:color w:val="000000"/>
              </w:rPr>
            </w:pPr>
            <w:r>
              <w:rPr>
                <w:rFonts w:hint="eastAsia" w:ascii="宋体" w:hAnsi="宋体" w:cs="宋体"/>
                <w:color w:val="000000"/>
              </w:rPr>
              <w:t>身份证号码</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在公司担任职务</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880" w:type="dxa"/>
            <w:noWrap/>
            <w:vAlign w:val="center"/>
          </w:tcPr>
          <w:p>
            <w:pPr>
              <w:rPr>
                <w:rFonts w:ascii="宋体" w:hAnsi="宋体" w:cs="宋体"/>
                <w:color w:val="000000"/>
              </w:rPr>
            </w:pPr>
            <w:r>
              <w:rPr>
                <w:rFonts w:hint="eastAsia" w:ascii="宋体" w:hAnsi="宋体" w:cs="宋体"/>
                <w:color w:val="000000"/>
              </w:rPr>
              <w:t>执业资格</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证书编号</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880" w:type="dxa"/>
            <w:noWrap/>
            <w:vAlign w:val="center"/>
          </w:tcPr>
          <w:p>
            <w:pPr>
              <w:rPr>
                <w:rFonts w:ascii="宋体" w:hAnsi="宋体" w:cs="宋体"/>
                <w:color w:val="000000"/>
              </w:rPr>
            </w:pPr>
            <w:r>
              <w:rPr>
                <w:rFonts w:hint="eastAsia" w:ascii="宋体" w:hAnsi="宋体" w:cs="宋体"/>
                <w:color w:val="000000"/>
              </w:rPr>
              <w:t>固定电话</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手机号码</w:t>
            </w:r>
          </w:p>
        </w:tc>
        <w:tc>
          <w:tcPr>
            <w:tcW w:w="2639" w:type="dxa"/>
            <w:noWrap/>
          </w:tcPr>
          <w:p>
            <w:pPr>
              <w:rPr>
                <w:rFonts w:ascii="宋体" w:hAnsi="宋体" w:cs="宋体"/>
                <w:color w:val="000000"/>
              </w:rPr>
            </w:pPr>
          </w:p>
        </w:tc>
      </w:tr>
    </w:tbl>
    <w:p>
      <w:pPr>
        <w:spacing w:line="360" w:lineRule="auto"/>
        <w:jc w:val="left"/>
        <w:rPr>
          <w:rFonts w:ascii="宋体" w:cs="Arial"/>
          <w:kern w:val="0"/>
          <w:sz w:val="24"/>
          <w:szCs w:val="24"/>
        </w:rPr>
      </w:pPr>
      <w:r>
        <w:rPr>
          <w:rFonts w:hint="eastAsia" w:ascii="宋体" w:hAnsi="宋体"/>
          <w:bCs/>
          <w:color w:val="000000"/>
        </w:rPr>
        <w:t>项目负责人</w:t>
      </w:r>
      <w:r>
        <w:rPr>
          <w:rFonts w:hint="eastAsia" w:ascii="宋体" w:hAnsi="宋体" w:cs="宋体"/>
        </w:rPr>
        <w:t>应附身份证、注册证书或职称证书、</w:t>
      </w:r>
      <w:r>
        <w:rPr>
          <w:rFonts w:hint="eastAsia" w:ascii="宋体" w:hAnsi="宋体"/>
          <w:bCs/>
          <w:color w:val="000000"/>
        </w:rPr>
        <w:t>学历证书等资料</w:t>
      </w:r>
      <w:r>
        <w:rPr>
          <w:rFonts w:hint="eastAsia" w:ascii="宋体" w:hAnsi="宋体" w:cs="宋体"/>
        </w:rPr>
        <w:t>复印件。</w:t>
      </w:r>
    </w:p>
    <w:p>
      <w:pPr>
        <w:widowControl/>
        <w:shd w:val="clear" w:color="auto" w:fill="FFFFFF"/>
        <w:snapToGrid w:val="0"/>
        <w:spacing w:line="384" w:lineRule="auto"/>
        <w:jc w:val="left"/>
        <w:rPr>
          <w:rFonts w:ascii="宋体" w:cs="Arial"/>
          <w:kern w:val="0"/>
          <w:sz w:val="24"/>
          <w:szCs w:val="24"/>
        </w:rPr>
      </w:pPr>
    </w:p>
    <w:p>
      <w:pPr>
        <w:widowControl/>
        <w:shd w:val="clear" w:color="auto" w:fill="FFFFFF"/>
        <w:snapToGrid w:val="0"/>
        <w:spacing w:line="384" w:lineRule="auto"/>
        <w:jc w:val="left"/>
        <w:rPr>
          <w:rFonts w:ascii="宋体" w:cs="Arial"/>
          <w:kern w:val="0"/>
          <w:sz w:val="24"/>
          <w:szCs w:val="24"/>
        </w:rPr>
      </w:pPr>
    </w:p>
    <w:p>
      <w:pPr>
        <w:spacing w:line="440" w:lineRule="exact"/>
        <w:jc w:val="center"/>
        <w:outlineLvl w:val="0"/>
        <w:rPr>
          <w:rFonts w:ascii="宋体" w:cs="Arial"/>
          <w:kern w:val="0"/>
          <w:sz w:val="24"/>
          <w:szCs w:val="24"/>
        </w:rPr>
      </w:pPr>
    </w:p>
    <w:p>
      <w:pPr>
        <w:widowControl/>
        <w:jc w:val="center"/>
        <w:textAlignment w:val="center"/>
        <w:rPr>
          <w:rFonts w:ascii="宋体" w:hAnsi="宋体" w:cs="宋体"/>
          <w:b/>
          <w:sz w:val="30"/>
          <w:szCs w:val="30"/>
        </w:rPr>
      </w:pPr>
      <w:r>
        <w:rPr>
          <w:rFonts w:ascii="宋体" w:cs="Arial"/>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5.2.8. 项目管理服务人员表</w:t>
      </w:r>
    </w:p>
    <w:p>
      <w:pPr>
        <w:spacing w:line="360" w:lineRule="auto"/>
        <w:jc w:val="center"/>
        <w:rPr>
          <w:rFonts w:ascii="宋体"/>
          <w:b/>
          <w:bCs/>
          <w:sz w:val="32"/>
          <w:szCs w:val="32"/>
        </w:rPr>
      </w:pPr>
      <w:bookmarkStart w:id="84" w:name="_Toc505078025"/>
    </w:p>
    <w:p>
      <w:pPr>
        <w:spacing w:line="360" w:lineRule="auto"/>
        <w:jc w:val="center"/>
        <w:rPr>
          <w:rFonts w:ascii="宋体"/>
          <w:b/>
          <w:bCs/>
          <w:sz w:val="32"/>
          <w:szCs w:val="32"/>
        </w:rPr>
      </w:pPr>
      <w:r>
        <w:rPr>
          <w:rFonts w:hint="eastAsia" w:ascii="宋体"/>
          <w:b/>
          <w:bCs/>
          <w:sz w:val="32"/>
          <w:szCs w:val="32"/>
        </w:rPr>
        <w:t>项目管理服务人员表</w:t>
      </w:r>
    </w:p>
    <w:bookmarkEnd w:id="84"/>
    <w:tbl>
      <w:tblPr>
        <w:tblStyle w:val="20"/>
        <w:tblW w:w="92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1167"/>
        <w:gridCol w:w="1140"/>
        <w:gridCol w:w="1168"/>
        <w:gridCol w:w="1168"/>
        <w:gridCol w:w="1142"/>
        <w:gridCol w:w="1168"/>
        <w:gridCol w:w="11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165" w:type="dxa"/>
            <w:noWrap/>
            <w:vAlign w:val="center"/>
          </w:tcPr>
          <w:p>
            <w:pPr>
              <w:jc w:val="center"/>
              <w:rPr>
                <w:rFonts w:ascii="宋体" w:hAnsi="宋体" w:cs="宋体"/>
              </w:rPr>
            </w:pPr>
            <w:r>
              <w:rPr>
                <w:rFonts w:hint="eastAsia" w:ascii="宋体" w:hAnsi="宋体" w:cs="宋体"/>
              </w:rPr>
              <w:t>姓名</w:t>
            </w:r>
          </w:p>
        </w:tc>
        <w:tc>
          <w:tcPr>
            <w:tcW w:w="1167" w:type="dxa"/>
            <w:noWrap/>
            <w:vAlign w:val="center"/>
          </w:tcPr>
          <w:p>
            <w:pPr>
              <w:jc w:val="center"/>
              <w:rPr>
                <w:rFonts w:ascii="宋体" w:hAnsi="宋体" w:cs="宋体"/>
              </w:rPr>
            </w:pPr>
            <w:r>
              <w:rPr>
                <w:rFonts w:hint="eastAsia" w:ascii="宋体" w:hAnsi="宋体" w:cs="宋体"/>
              </w:rPr>
              <w:t>身份证号码</w:t>
            </w:r>
          </w:p>
        </w:tc>
        <w:tc>
          <w:tcPr>
            <w:tcW w:w="1140" w:type="dxa"/>
            <w:noWrap/>
            <w:vAlign w:val="center"/>
          </w:tcPr>
          <w:p>
            <w:pPr>
              <w:jc w:val="center"/>
              <w:rPr>
                <w:rFonts w:ascii="宋体" w:hAnsi="宋体" w:cs="宋体"/>
              </w:rPr>
            </w:pPr>
            <w:r>
              <w:rPr>
                <w:rFonts w:hint="eastAsia" w:ascii="宋体" w:hAnsi="宋体" w:cs="宋体"/>
              </w:rPr>
              <w:t>性别</w:t>
            </w:r>
          </w:p>
        </w:tc>
        <w:tc>
          <w:tcPr>
            <w:tcW w:w="1168" w:type="dxa"/>
            <w:noWrap/>
            <w:vAlign w:val="center"/>
          </w:tcPr>
          <w:p>
            <w:pPr>
              <w:jc w:val="center"/>
              <w:rPr>
                <w:rFonts w:ascii="宋体" w:hAnsi="宋体" w:cs="宋体"/>
              </w:rPr>
            </w:pPr>
            <w:r>
              <w:rPr>
                <w:rFonts w:hint="eastAsia" w:ascii="宋体" w:hAnsi="宋体" w:cs="宋体"/>
              </w:rPr>
              <w:t>职称</w:t>
            </w:r>
          </w:p>
        </w:tc>
        <w:tc>
          <w:tcPr>
            <w:tcW w:w="1168" w:type="dxa"/>
            <w:noWrap/>
            <w:vAlign w:val="center"/>
          </w:tcPr>
          <w:p>
            <w:pPr>
              <w:jc w:val="center"/>
              <w:rPr>
                <w:rFonts w:ascii="宋体" w:hAnsi="宋体" w:cs="宋体"/>
              </w:rPr>
            </w:pPr>
            <w:r>
              <w:rPr>
                <w:rFonts w:hint="eastAsia" w:ascii="宋体" w:hAnsi="宋体" w:cs="宋体"/>
              </w:rPr>
              <w:t>学历</w:t>
            </w:r>
          </w:p>
        </w:tc>
        <w:tc>
          <w:tcPr>
            <w:tcW w:w="1142" w:type="dxa"/>
            <w:noWrap/>
            <w:vAlign w:val="center"/>
          </w:tcPr>
          <w:p>
            <w:pPr>
              <w:jc w:val="center"/>
              <w:rPr>
                <w:rFonts w:ascii="宋体" w:hAnsi="宋体" w:cs="宋体"/>
              </w:rPr>
            </w:pPr>
            <w:r>
              <w:rPr>
                <w:rFonts w:hint="eastAsia" w:ascii="宋体" w:hAnsi="宋体" w:cs="宋体"/>
              </w:rPr>
              <w:t>专业</w:t>
            </w:r>
          </w:p>
        </w:tc>
        <w:tc>
          <w:tcPr>
            <w:tcW w:w="1168" w:type="dxa"/>
            <w:noWrap/>
            <w:vAlign w:val="center"/>
          </w:tcPr>
          <w:p>
            <w:pPr>
              <w:jc w:val="center"/>
              <w:rPr>
                <w:rFonts w:ascii="宋体" w:hAnsi="宋体" w:cs="宋体"/>
              </w:rPr>
            </w:pPr>
            <w:r>
              <w:rPr>
                <w:rFonts w:hint="eastAsia" w:ascii="宋体" w:hAnsi="宋体" w:cs="宋体"/>
              </w:rPr>
              <w:t>从事项目管理年限</w:t>
            </w:r>
          </w:p>
        </w:tc>
        <w:tc>
          <w:tcPr>
            <w:tcW w:w="1136" w:type="dxa"/>
            <w:noWrap/>
            <w:vAlign w:val="center"/>
          </w:tcPr>
          <w:p>
            <w:pPr>
              <w:jc w:val="center"/>
              <w:rPr>
                <w:rFonts w:ascii="宋体" w:hAnsi="宋体" w:cs="宋体"/>
              </w:rPr>
            </w:pPr>
            <w:r>
              <w:rPr>
                <w:rFonts w:hint="eastAsia" w:ascii="宋体" w:hAnsi="宋体" w:cs="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bl>
    <w:p>
      <w:pPr>
        <w:ind w:firstLine="420" w:firstLineChars="200"/>
        <w:rPr>
          <w:rFonts w:ascii="宋体" w:hAnsi="宋体"/>
        </w:rPr>
      </w:pPr>
      <w:r>
        <w:rPr>
          <w:rFonts w:hint="eastAsia" w:ascii="宋体" w:hAnsi="宋体"/>
        </w:rPr>
        <w:t>1、项目管理人员应包括：项目工程师、质量管理员、材料管理员、安全管理员、计划管理员、资料员和项目项目负责人需要配备的其他关键人员。</w:t>
      </w:r>
    </w:p>
    <w:p>
      <w:pPr>
        <w:ind w:firstLine="420" w:firstLineChars="200"/>
        <w:rPr>
          <w:rFonts w:ascii="宋体" w:cs="Arial"/>
          <w:kern w:val="0"/>
          <w:sz w:val="24"/>
          <w:szCs w:val="24"/>
        </w:rPr>
      </w:pPr>
      <w:r>
        <w:rPr>
          <w:rFonts w:hint="eastAsia" w:ascii="宋体" w:hAnsi="宋体"/>
        </w:rPr>
        <w:t>2、</w:t>
      </w:r>
      <w:r>
        <w:rPr>
          <w:rFonts w:hint="eastAsia" w:ascii="宋体" w:hAnsi="宋体" w:cs="宋体"/>
        </w:rPr>
        <w:t>上述人员应附身份证、注册证书、职称证书、上岗证或培训证复印件。</w:t>
      </w:r>
    </w:p>
    <w:p>
      <w:pPr>
        <w:widowControl/>
        <w:shd w:val="clear" w:color="auto" w:fill="FFFFFF"/>
        <w:snapToGrid w:val="0"/>
        <w:spacing w:line="384" w:lineRule="auto"/>
        <w:jc w:val="left"/>
        <w:rPr>
          <w:rFonts w:ascii="宋体" w:cs="Arial"/>
          <w:kern w:val="0"/>
          <w:sz w:val="24"/>
          <w:szCs w:val="24"/>
        </w:rPr>
      </w:pPr>
    </w:p>
    <w:p>
      <w:pPr>
        <w:tabs>
          <w:tab w:val="center" w:pos="4832"/>
          <w:tab w:val="left" w:pos="7140"/>
        </w:tabs>
        <w:jc w:val="center"/>
        <w:outlineLvl w:val="1"/>
        <w:rPr>
          <w:rFonts w:ascii="宋体" w:hAnsi="宋体"/>
          <w:sz w:val="24"/>
          <w:szCs w:val="24"/>
        </w:rPr>
      </w:pPr>
      <w:r>
        <w:rPr>
          <w:rFonts w:ascii="宋体" w:cs="Arial"/>
          <w:kern w:val="0"/>
          <w:sz w:val="24"/>
          <w:szCs w:val="24"/>
        </w:rPr>
        <w:br w:type="page"/>
      </w: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t>5.2.9. 技术条款偏离表</w:t>
      </w:r>
    </w:p>
    <w:p>
      <w:pPr>
        <w:spacing w:line="360" w:lineRule="auto"/>
        <w:jc w:val="center"/>
        <w:rPr>
          <w:rFonts w:ascii="宋体"/>
          <w:b/>
          <w:bCs/>
          <w:sz w:val="32"/>
          <w:szCs w:val="32"/>
        </w:rPr>
      </w:pPr>
      <w:bookmarkStart w:id="85" w:name="_Toc16454"/>
      <w:bookmarkStart w:id="86" w:name="_Toc568"/>
    </w:p>
    <w:p>
      <w:pPr>
        <w:spacing w:line="360" w:lineRule="auto"/>
        <w:jc w:val="center"/>
        <w:rPr>
          <w:rFonts w:ascii="宋体"/>
          <w:b/>
          <w:bCs/>
          <w:sz w:val="32"/>
          <w:szCs w:val="32"/>
        </w:rPr>
      </w:pPr>
      <w:r>
        <w:rPr>
          <w:rFonts w:hint="eastAsia" w:ascii="宋体"/>
          <w:b/>
          <w:bCs/>
          <w:sz w:val="32"/>
          <w:szCs w:val="32"/>
        </w:rPr>
        <w:t>技术条款偏离表</w:t>
      </w:r>
    </w:p>
    <w:tbl>
      <w:tblPr>
        <w:tblStyle w:val="20"/>
        <w:tblW w:w="889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5"/>
        <w:gridCol w:w="1357"/>
        <w:gridCol w:w="1326"/>
        <w:gridCol w:w="1326"/>
        <w:gridCol w:w="1326"/>
        <w:gridCol w:w="1327"/>
        <w:gridCol w:w="13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vAlign w:val="center"/>
          </w:tcPr>
          <w:p>
            <w:pPr>
              <w:jc w:val="center"/>
              <w:rPr>
                <w:rFonts w:ascii="宋体" w:cs="宋体"/>
                <w:bCs/>
                <w:sz w:val="24"/>
                <w:szCs w:val="24"/>
              </w:rPr>
            </w:pPr>
            <w:r>
              <w:rPr>
                <w:rFonts w:hint="eastAsia" w:ascii="宋体" w:hAnsi="宋体" w:cs="宋体"/>
                <w:bCs/>
                <w:sz w:val="24"/>
                <w:szCs w:val="24"/>
              </w:rPr>
              <w:t>序号</w:t>
            </w:r>
          </w:p>
        </w:tc>
        <w:tc>
          <w:tcPr>
            <w:tcW w:w="1357" w:type="dxa"/>
            <w:noWrap/>
            <w:vAlign w:val="center"/>
          </w:tcPr>
          <w:p>
            <w:pPr>
              <w:jc w:val="center"/>
              <w:rPr>
                <w:rFonts w:ascii="宋体" w:cs="宋体"/>
                <w:bCs/>
                <w:sz w:val="24"/>
                <w:szCs w:val="24"/>
              </w:rPr>
            </w:pPr>
            <w:r>
              <w:rPr>
                <w:rFonts w:hint="eastAsia" w:ascii="宋体" w:hAnsi="宋体" w:cs="宋体"/>
                <w:bCs/>
                <w:sz w:val="24"/>
                <w:szCs w:val="24"/>
              </w:rPr>
              <w:t>货物名称</w:t>
            </w:r>
          </w:p>
        </w:tc>
        <w:tc>
          <w:tcPr>
            <w:tcW w:w="1326" w:type="dxa"/>
            <w:noWrap/>
            <w:vAlign w:val="center"/>
          </w:tcPr>
          <w:p>
            <w:pPr>
              <w:jc w:val="center"/>
              <w:rPr>
                <w:rFonts w:ascii="宋体" w:cs="宋体"/>
                <w:bCs/>
                <w:sz w:val="24"/>
                <w:szCs w:val="24"/>
              </w:rPr>
            </w:pPr>
            <w:r>
              <w:rPr>
                <w:rFonts w:hint="eastAsia" w:ascii="宋体" w:hAnsi="宋体" w:cs="宋体"/>
                <w:bCs/>
                <w:sz w:val="24"/>
                <w:szCs w:val="24"/>
              </w:rPr>
              <w:t>招标文件条目号</w:t>
            </w:r>
          </w:p>
        </w:tc>
        <w:tc>
          <w:tcPr>
            <w:tcW w:w="1326" w:type="dxa"/>
            <w:noWrap/>
            <w:vAlign w:val="center"/>
          </w:tcPr>
          <w:p>
            <w:pPr>
              <w:jc w:val="center"/>
              <w:rPr>
                <w:rFonts w:ascii="宋体" w:cs="宋体"/>
                <w:bCs/>
                <w:sz w:val="24"/>
                <w:szCs w:val="24"/>
              </w:rPr>
            </w:pPr>
            <w:r>
              <w:rPr>
                <w:rFonts w:hint="eastAsia" w:ascii="宋体" w:hAnsi="宋体" w:cs="宋体"/>
                <w:bCs/>
                <w:sz w:val="24"/>
                <w:szCs w:val="24"/>
              </w:rPr>
              <w:t>招标文件要求规格</w:t>
            </w:r>
          </w:p>
        </w:tc>
        <w:tc>
          <w:tcPr>
            <w:tcW w:w="1326" w:type="dxa"/>
            <w:noWrap/>
            <w:vAlign w:val="center"/>
          </w:tcPr>
          <w:p>
            <w:pPr>
              <w:jc w:val="center"/>
              <w:rPr>
                <w:rFonts w:ascii="宋体" w:cs="宋体"/>
                <w:bCs/>
                <w:sz w:val="24"/>
                <w:szCs w:val="24"/>
              </w:rPr>
            </w:pPr>
            <w:r>
              <w:rPr>
                <w:rFonts w:hint="eastAsia" w:ascii="宋体" w:hAnsi="宋体" w:cs="宋体"/>
                <w:bCs/>
                <w:sz w:val="24"/>
                <w:szCs w:val="24"/>
              </w:rPr>
              <w:t>投标规格</w:t>
            </w:r>
          </w:p>
        </w:tc>
        <w:tc>
          <w:tcPr>
            <w:tcW w:w="1327" w:type="dxa"/>
            <w:noWrap/>
            <w:vAlign w:val="center"/>
          </w:tcPr>
          <w:p>
            <w:pPr>
              <w:jc w:val="center"/>
              <w:rPr>
                <w:rFonts w:ascii="宋体" w:cs="宋体"/>
                <w:bCs/>
                <w:sz w:val="24"/>
                <w:szCs w:val="24"/>
              </w:rPr>
            </w:pPr>
            <w:r>
              <w:rPr>
                <w:rFonts w:hint="eastAsia" w:ascii="宋体" w:hAnsi="宋体" w:cs="宋体"/>
                <w:bCs/>
                <w:sz w:val="24"/>
                <w:szCs w:val="24"/>
              </w:rPr>
              <w:t>偏离</w:t>
            </w:r>
          </w:p>
        </w:tc>
        <w:tc>
          <w:tcPr>
            <w:tcW w:w="1327" w:type="dxa"/>
            <w:noWrap/>
            <w:vAlign w:val="center"/>
          </w:tcPr>
          <w:p>
            <w:pPr>
              <w:jc w:val="center"/>
              <w:rPr>
                <w:rFonts w:ascii="宋体" w:cs="宋体"/>
                <w:bCs/>
                <w:sz w:val="24"/>
                <w:szCs w:val="24"/>
              </w:rPr>
            </w:pPr>
            <w:r>
              <w:rPr>
                <w:rFonts w:hint="eastAsia" w:ascii="宋体" w:hAnsi="宋体" w:cs="宋体"/>
                <w:bCs/>
                <w:sz w:val="24"/>
                <w:szCs w:val="24"/>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bl>
    <w:p>
      <w:pPr>
        <w:spacing w:line="360" w:lineRule="auto"/>
        <w:ind w:firstLine="475" w:firstLineChars="198"/>
        <w:jc w:val="left"/>
        <w:rPr>
          <w:rFonts w:ascii="宋体"/>
          <w:sz w:val="24"/>
          <w:szCs w:val="24"/>
        </w:rPr>
      </w:pPr>
      <w:r>
        <w:rPr>
          <w:rFonts w:hint="eastAsia" w:ascii="宋体" w:hAnsi="宋体"/>
          <w:sz w:val="24"/>
          <w:szCs w:val="24"/>
        </w:rPr>
        <w:t>备注：投标人应根据其提供的货物，对照招标文件第四章“技术标准和要求”中的要求，有差异的，则在此表中列明实际响应的内容提要并加以说明，以便查对。本表包括所有的技术响应及差异。无差异说明表示完全响应。</w:t>
      </w:r>
    </w:p>
    <w:p>
      <w:pPr>
        <w:widowControl/>
        <w:shd w:val="clear" w:color="auto" w:fill="FFFFFF"/>
        <w:snapToGrid w:val="0"/>
        <w:spacing w:line="384" w:lineRule="auto"/>
        <w:jc w:val="left"/>
        <w:rPr>
          <w:rFonts w:ascii="宋体" w:cs="Arial"/>
          <w:kern w:val="0"/>
          <w:sz w:val="24"/>
          <w:szCs w:val="24"/>
        </w:rPr>
      </w:pP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tabs>
          <w:tab w:val="center" w:pos="4832"/>
          <w:tab w:val="left" w:pos="7140"/>
        </w:tabs>
        <w:jc w:val="center"/>
        <w:outlineLvl w:val="1"/>
        <w:rPr>
          <w:rFonts w:ascii="宋体" w:hAnsi="宋体" w:cs="宋体"/>
          <w:b/>
          <w:sz w:val="24"/>
          <w:szCs w:val="24"/>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5.2.10. 商务条款偏离表</w:t>
      </w:r>
    </w:p>
    <w:p>
      <w:pPr>
        <w:spacing w:line="360" w:lineRule="auto"/>
        <w:ind w:firstLine="643" w:firstLineChars="200"/>
        <w:jc w:val="center"/>
        <w:rPr>
          <w:rFonts w:ascii="宋体" w:hAnsi="宋体"/>
          <w:b/>
          <w:bCs/>
          <w:sz w:val="32"/>
          <w:szCs w:val="32"/>
        </w:rPr>
      </w:pPr>
    </w:p>
    <w:p>
      <w:pPr>
        <w:spacing w:line="360" w:lineRule="auto"/>
        <w:ind w:firstLine="643" w:firstLineChars="200"/>
        <w:jc w:val="center"/>
        <w:rPr>
          <w:rFonts w:ascii="宋体"/>
          <w:b/>
          <w:bCs/>
          <w:sz w:val="32"/>
          <w:szCs w:val="32"/>
        </w:rPr>
      </w:pPr>
      <w:r>
        <w:rPr>
          <w:rFonts w:hint="eastAsia" w:ascii="宋体" w:hAnsi="宋体"/>
          <w:b/>
          <w:bCs/>
          <w:sz w:val="32"/>
          <w:szCs w:val="32"/>
        </w:rPr>
        <w:t>商务条款偏离表</w:t>
      </w:r>
    </w:p>
    <w:bookmarkEnd w:id="85"/>
    <w:bookmarkEnd w:id="86"/>
    <w:tbl>
      <w:tblPr>
        <w:tblStyle w:val="20"/>
        <w:tblW w:w="90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06"/>
        <w:gridCol w:w="2070"/>
        <w:gridCol w:w="2052"/>
        <w:gridCol w:w="2126"/>
        <w:gridCol w:w="19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3" w:hRule="atLeast"/>
          <w:jc w:val="center"/>
        </w:trPr>
        <w:tc>
          <w:tcPr>
            <w:tcW w:w="806" w:type="dxa"/>
            <w:noWrap/>
            <w:vAlign w:val="center"/>
          </w:tcPr>
          <w:p>
            <w:pPr>
              <w:jc w:val="center"/>
              <w:rPr>
                <w:rFonts w:ascii="宋体" w:cs="宋体"/>
                <w:bCs/>
                <w:sz w:val="24"/>
                <w:szCs w:val="24"/>
              </w:rPr>
            </w:pPr>
            <w:r>
              <w:rPr>
                <w:rFonts w:hint="eastAsia" w:ascii="宋体" w:hAnsi="宋体" w:cs="宋体"/>
                <w:bCs/>
                <w:sz w:val="24"/>
                <w:szCs w:val="24"/>
              </w:rPr>
              <w:t>序号</w:t>
            </w:r>
          </w:p>
        </w:tc>
        <w:tc>
          <w:tcPr>
            <w:tcW w:w="2070" w:type="dxa"/>
            <w:noWrap/>
            <w:vAlign w:val="center"/>
          </w:tcPr>
          <w:p>
            <w:pPr>
              <w:jc w:val="center"/>
              <w:rPr>
                <w:rFonts w:ascii="宋体" w:cs="宋体"/>
                <w:bCs/>
                <w:sz w:val="24"/>
                <w:szCs w:val="24"/>
              </w:rPr>
            </w:pPr>
            <w:r>
              <w:rPr>
                <w:rFonts w:hint="eastAsia" w:ascii="宋体" w:hAnsi="宋体" w:cs="宋体"/>
                <w:bCs/>
                <w:sz w:val="24"/>
                <w:szCs w:val="24"/>
              </w:rPr>
              <w:t>招标文件条目号</w:t>
            </w:r>
          </w:p>
        </w:tc>
        <w:tc>
          <w:tcPr>
            <w:tcW w:w="2052" w:type="dxa"/>
            <w:noWrap/>
            <w:vAlign w:val="center"/>
          </w:tcPr>
          <w:p>
            <w:pPr>
              <w:jc w:val="center"/>
              <w:rPr>
                <w:rFonts w:ascii="宋体" w:cs="宋体"/>
                <w:bCs/>
                <w:sz w:val="24"/>
                <w:szCs w:val="24"/>
              </w:rPr>
            </w:pPr>
            <w:r>
              <w:rPr>
                <w:rFonts w:hint="eastAsia" w:ascii="宋体" w:hAnsi="宋体" w:cs="宋体"/>
                <w:bCs/>
                <w:sz w:val="24"/>
                <w:szCs w:val="24"/>
              </w:rPr>
              <w:t>招标文件的商务条款</w:t>
            </w:r>
          </w:p>
        </w:tc>
        <w:tc>
          <w:tcPr>
            <w:tcW w:w="2126" w:type="dxa"/>
            <w:noWrap/>
            <w:vAlign w:val="center"/>
          </w:tcPr>
          <w:p>
            <w:pPr>
              <w:jc w:val="center"/>
              <w:rPr>
                <w:rFonts w:ascii="宋体" w:cs="宋体"/>
                <w:bCs/>
                <w:sz w:val="24"/>
                <w:szCs w:val="24"/>
              </w:rPr>
            </w:pPr>
            <w:r>
              <w:rPr>
                <w:rFonts w:hint="eastAsia" w:ascii="宋体" w:hAnsi="宋体" w:cs="宋体"/>
                <w:bCs/>
                <w:sz w:val="24"/>
                <w:szCs w:val="24"/>
              </w:rPr>
              <w:t>投标文件的商务条款</w:t>
            </w:r>
          </w:p>
        </w:tc>
        <w:tc>
          <w:tcPr>
            <w:tcW w:w="1985" w:type="dxa"/>
            <w:noWrap/>
            <w:vAlign w:val="center"/>
          </w:tcPr>
          <w:p>
            <w:pPr>
              <w:jc w:val="center"/>
              <w:rPr>
                <w:rFonts w:ascii="宋体" w:cs="宋体"/>
                <w:bCs/>
                <w:sz w:val="24"/>
                <w:szCs w:val="24"/>
              </w:rPr>
            </w:pPr>
            <w:r>
              <w:rPr>
                <w:rFonts w:hint="eastAsia" w:ascii="宋体" w:hAnsi="宋体" w:cs="宋体"/>
                <w:bCs/>
                <w:sz w:val="24"/>
                <w:szCs w:val="24"/>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bl>
    <w:p>
      <w:pPr>
        <w:spacing w:line="360" w:lineRule="auto"/>
        <w:ind w:firstLine="480" w:firstLineChars="200"/>
        <w:jc w:val="left"/>
        <w:rPr>
          <w:rFonts w:ascii="宋体"/>
          <w:sz w:val="24"/>
          <w:szCs w:val="24"/>
        </w:rPr>
      </w:pPr>
      <w:r>
        <w:rPr>
          <w:rFonts w:hint="eastAsia" w:ascii="宋体" w:hAnsi="宋体"/>
          <w:sz w:val="24"/>
          <w:szCs w:val="24"/>
        </w:rPr>
        <w:t>备注：投标人商务条款有差异的，则在此表中列明实际响应的内容提要并加以说明，以便查对。无差异说明表示完全响应。</w:t>
      </w:r>
    </w:p>
    <w:p>
      <w:pPr>
        <w:spacing w:line="360" w:lineRule="auto"/>
        <w:jc w:val="left"/>
        <w:rPr>
          <w:rFonts w:ascii="宋体"/>
          <w:sz w:val="24"/>
          <w:szCs w:val="24"/>
        </w:rPr>
      </w:pP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5.2.11.  反商业贿赂书</w:t>
      </w:r>
    </w:p>
    <w:p>
      <w:pPr>
        <w:spacing w:beforeLines="50" w:afterLines="50" w:line="360" w:lineRule="auto"/>
        <w:jc w:val="center"/>
        <w:rPr>
          <w:rFonts w:ascii="宋体" w:hAnsi="宋体"/>
          <w:b/>
          <w:bCs/>
          <w:sz w:val="32"/>
          <w:szCs w:val="32"/>
        </w:rPr>
      </w:pPr>
    </w:p>
    <w:p>
      <w:pPr>
        <w:spacing w:beforeLines="50" w:afterLines="50" w:line="360" w:lineRule="auto"/>
        <w:jc w:val="center"/>
        <w:rPr>
          <w:rFonts w:ascii="宋体" w:hAnsi="宋体" w:cs="宋体"/>
          <w:b/>
          <w:bCs/>
          <w:sz w:val="32"/>
          <w:szCs w:val="32"/>
        </w:rPr>
      </w:pPr>
      <w:r>
        <w:rPr>
          <w:rFonts w:hint="eastAsia" w:ascii="宋体" w:hAnsi="宋体"/>
          <w:b/>
          <w:bCs/>
          <w:sz w:val="32"/>
          <w:szCs w:val="32"/>
        </w:rPr>
        <w:t>反商业</w:t>
      </w:r>
      <w:r>
        <w:rPr>
          <w:rFonts w:hint="eastAsia" w:ascii="宋体" w:hAnsi="宋体" w:cs="宋体"/>
          <w:b/>
          <w:bCs/>
          <w:sz w:val="32"/>
          <w:szCs w:val="32"/>
        </w:rPr>
        <w:t>贿赂书</w:t>
      </w:r>
    </w:p>
    <w:p>
      <w:pPr>
        <w:pStyle w:val="7"/>
      </w:pPr>
    </w:p>
    <w:p>
      <w:pPr>
        <w:widowControl/>
        <w:spacing w:before="100" w:beforeAutospacing="1" w:after="100" w:afterAutospacing="1" w:line="360" w:lineRule="auto"/>
        <w:ind w:firstLine="480" w:firstLineChars="200"/>
        <w:jc w:val="left"/>
        <w:rPr>
          <w:rFonts w:ascii="宋体" w:hAnsi="宋体" w:cs="宋体"/>
          <w:sz w:val="24"/>
        </w:rPr>
      </w:pPr>
      <w:r>
        <w:rPr>
          <w:rFonts w:hint="eastAsia" w:ascii="宋体" w:hAnsi="宋体" w:cs="宋体"/>
          <w:sz w:val="24"/>
        </w:rPr>
        <w:t>我公司承诺在</w:t>
      </w:r>
      <w:r>
        <w:rPr>
          <w:rFonts w:hint="eastAsia" w:ascii="宋体" w:hAnsi="宋体" w:cs="宋体"/>
          <w:sz w:val="24"/>
          <w:u w:val="single"/>
        </w:rPr>
        <w:t xml:space="preserve">  （项目编号、项目名称）  </w:t>
      </w:r>
      <w:r>
        <w:rPr>
          <w:rFonts w:hint="eastAsia" w:ascii="宋体" w:hAnsi="宋体" w:cs="宋体"/>
          <w:sz w:val="24"/>
        </w:rPr>
        <w:t>招标活动中，不给予国家工作人员以及中介机构工作人员及其亲属各种形式的商业贿赂（包括送礼金礼品、有价证券、购物券、回扣、佣金、咨询费、劳务费、赞助费、宣传费、支付旅游费用、报销各种消费凭证、宴请、娱乐等），如有上述行为，我公司及项目参与人员愿意按照《反不正当竞争法》的有关规定接受处罚。 </w:t>
      </w:r>
    </w:p>
    <w:p>
      <w:pPr>
        <w:spacing w:line="360" w:lineRule="auto"/>
        <w:ind w:firstLine="720" w:firstLineChars="300"/>
        <w:rPr>
          <w:rFonts w:ascii="宋体" w:hAnsi="宋体" w:cs="宋体"/>
          <w:sz w:val="24"/>
          <w:szCs w:val="24"/>
        </w:rPr>
      </w:pPr>
    </w:p>
    <w:p>
      <w:pPr>
        <w:pStyle w:val="2"/>
        <w:tabs>
          <w:tab w:val="left" w:pos="5580"/>
        </w:tabs>
        <w:spacing w:line="360" w:lineRule="auto"/>
        <w:ind w:firstLine="3600" w:firstLineChars="1500"/>
        <w:rPr>
          <w:sz w:val="24"/>
        </w:rPr>
      </w:pPr>
      <w:r>
        <w:rPr>
          <w:rFonts w:hint="eastAsia"/>
          <w:sz w:val="24"/>
        </w:rPr>
        <w:t>投标人（盖</w:t>
      </w:r>
      <w:r>
        <w:rPr>
          <w:sz w:val="24"/>
        </w:rPr>
        <w:t>章）：</w:t>
      </w:r>
    </w:p>
    <w:p>
      <w:pPr>
        <w:pStyle w:val="2"/>
        <w:tabs>
          <w:tab w:val="left" w:pos="5580"/>
        </w:tabs>
        <w:spacing w:line="360" w:lineRule="auto"/>
        <w:ind w:firstLine="3600" w:firstLineChars="1500"/>
        <w:rPr>
          <w:sz w:val="24"/>
          <w:u w:val="single"/>
        </w:rPr>
      </w:pPr>
      <w:r>
        <w:rPr>
          <w:rFonts w:hint="eastAsia"/>
          <w:sz w:val="24"/>
        </w:rPr>
        <w:t>法定代表人（签章）：</w:t>
      </w:r>
    </w:p>
    <w:p>
      <w:pPr>
        <w:pStyle w:val="2"/>
        <w:tabs>
          <w:tab w:val="left" w:pos="5580"/>
        </w:tabs>
        <w:spacing w:line="360" w:lineRule="auto"/>
        <w:ind w:firstLine="3600" w:firstLineChars="1500"/>
        <w:rPr>
          <w:rFonts w:cs="宋体"/>
          <w:kern w:val="0"/>
          <w:sz w:val="24"/>
          <w:szCs w:val="24"/>
          <w:u w:val="single"/>
        </w:rPr>
      </w:pP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4080" w:firstLineChars="1700"/>
        <w:rPr>
          <w:rFonts w:ascii="宋体" w:hAnsi="宋体" w:cs="宋体"/>
          <w:sz w:val="24"/>
          <w:szCs w:val="24"/>
        </w:rPr>
      </w:pPr>
      <w:r>
        <w:rPr>
          <w:rFonts w:hint="eastAsia"/>
          <w:sz w:val="24"/>
        </w:rPr>
        <w:t>日期</w:t>
      </w:r>
      <w:r>
        <w:rPr>
          <w:rFonts w:hint="eastAsia" w:hAnsi="宋体"/>
          <w:sz w:val="24"/>
        </w:rPr>
        <w:t>：</w:t>
      </w:r>
    </w:p>
    <w:p>
      <w:pPr>
        <w:spacing w:line="360" w:lineRule="auto"/>
        <w:rPr>
          <w:rFonts w:ascii="宋体" w:hAnsi="宋体" w:cs="宋体"/>
          <w:sz w:val="24"/>
          <w:szCs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widowControl/>
        <w:spacing w:line="360" w:lineRule="auto"/>
        <w:jc w:val="center"/>
        <w:textAlignment w:val="center"/>
        <w:rPr>
          <w:rFonts w:ascii="宋体" w:hAnsi="宋体" w:cs="宋体"/>
          <w:b/>
          <w:sz w:val="24"/>
          <w:szCs w:val="24"/>
        </w:rPr>
      </w:pPr>
    </w:p>
    <w:p>
      <w:pPr>
        <w:rPr>
          <w:rFonts w:hint="eastAsia" w:ascii="宋体" w:hAnsi="宋体" w:cs="宋体"/>
          <w:b/>
          <w:bCs/>
          <w:kern w:val="0"/>
          <w:sz w:val="24"/>
          <w:szCs w:val="24"/>
        </w:rPr>
      </w:pPr>
      <w:r>
        <w:rPr>
          <w:rFonts w:hint="eastAsia" w:ascii="宋体" w:hAnsi="宋体" w:cs="宋体"/>
          <w:b/>
          <w:bCs/>
          <w:kern w:val="0"/>
          <w:sz w:val="24"/>
          <w:szCs w:val="24"/>
        </w:rPr>
        <w:br w:type="page"/>
      </w:r>
    </w:p>
    <w:p>
      <w:pPr>
        <w:pStyle w:val="2"/>
        <w:rPr>
          <w:rFonts w:hint="eastAsia" w:ascii="宋体" w:hAnsi="宋体" w:cs="宋体"/>
          <w:b/>
          <w:bCs/>
          <w:kern w:val="0"/>
          <w:sz w:val="24"/>
          <w:szCs w:val="24"/>
        </w:rPr>
      </w:pPr>
    </w:p>
    <w:p>
      <w:pPr>
        <w:spacing w:line="360" w:lineRule="auto"/>
        <w:rPr>
          <w:rFonts w:ascii="宋体" w:hAnsi="宋体" w:cs="宋体"/>
          <w:b/>
          <w:bCs/>
          <w:sz w:val="24"/>
          <w:szCs w:val="24"/>
        </w:rPr>
      </w:pPr>
      <w:r>
        <w:rPr>
          <w:rFonts w:hint="eastAsia" w:ascii="宋体" w:hAnsi="宋体" w:cs="宋体"/>
          <w:b/>
          <w:bCs/>
          <w:kern w:val="0"/>
          <w:sz w:val="24"/>
          <w:szCs w:val="24"/>
        </w:rPr>
        <w:t>5.2.12中小微企业声明函</w:t>
      </w:r>
    </w:p>
    <w:p>
      <w:pPr>
        <w:spacing w:line="360" w:lineRule="auto"/>
        <w:rPr>
          <w:rFonts w:ascii="宋体" w:hAnsi="宋体" w:cs="宋体"/>
          <w:sz w:val="24"/>
          <w:szCs w:val="24"/>
        </w:rPr>
      </w:pPr>
    </w:p>
    <w:p>
      <w:pPr>
        <w:jc w:val="center"/>
        <w:rPr>
          <w:rFonts w:hint="eastAsia"/>
          <w:b/>
          <w:highlight w:val="none"/>
        </w:rPr>
      </w:pPr>
      <w:bookmarkStart w:id="87" w:name="_Toc37868813"/>
      <w:r>
        <w:rPr>
          <w:rFonts w:hint="eastAsia"/>
          <w:b/>
          <w:highlight w:val="none"/>
        </w:rPr>
        <w:t>（</w:t>
      </w:r>
      <w:r>
        <w:rPr>
          <w:rFonts w:hint="eastAsia"/>
          <w:b/>
          <w:highlight w:val="none"/>
          <w:lang w:val="en-US" w:eastAsia="zh-CN"/>
        </w:rPr>
        <w:t>一</w:t>
      </w:r>
      <w:r>
        <w:rPr>
          <w:rFonts w:hint="eastAsia"/>
          <w:b/>
          <w:highlight w:val="none"/>
        </w:rPr>
        <w:t>）中小企业声明函（货物）</w:t>
      </w:r>
    </w:p>
    <w:p>
      <w:pPr>
        <w:rPr>
          <w:rFonts w:hint="eastAsia"/>
          <w:highlight w:val="none"/>
        </w:rPr>
      </w:pPr>
    </w:p>
    <w:p>
      <w:pPr>
        <w:rPr>
          <w:rFonts w:hint="eastAsia"/>
          <w:highlight w:val="none"/>
        </w:rPr>
      </w:pPr>
    </w:p>
    <w:p>
      <w:pPr>
        <w:ind w:firstLine="420" w:firstLineChars="200"/>
        <w:rPr>
          <w:rFonts w:hint="eastAsia"/>
          <w:highlight w:val="none"/>
        </w:rPr>
      </w:pPr>
      <w:r>
        <w:rPr>
          <w:rFonts w:hint="eastAsia"/>
          <w:highlight w:val="none"/>
        </w:rPr>
        <w:t>本公司（联合体）郑重声明，根据《政府采购促进中小企业发展管理办法》（财库﹝2020﹞46 号）的规定，本公司（联合体）参加（单位名称）的（项目名称）采购活动，提供的货物全部由符合政策要求的中小企业制造。相关企业（含联合体中的中小企业、签订分包意向协议的中小企业）的具体情况如下：</w:t>
      </w:r>
    </w:p>
    <w:p>
      <w:pPr>
        <w:ind w:firstLine="420" w:firstLineChars="200"/>
        <w:rPr>
          <w:rFonts w:hint="eastAsia"/>
          <w:highlight w:val="none"/>
        </w:rPr>
      </w:pPr>
      <w:r>
        <w:rPr>
          <w:rFonts w:hint="eastAsia"/>
          <w:highlight w:val="none"/>
        </w:rPr>
        <w:t>1. （标的名称） ，属于（采购文件中明确的所属行业）行业；制造商为（企业名称），从业人员人，营业收入为万元，资产总额为万元1，属于（中型企业、小型企业、微型企业）；</w:t>
      </w:r>
    </w:p>
    <w:p>
      <w:pPr>
        <w:ind w:firstLine="420" w:firstLineChars="200"/>
        <w:rPr>
          <w:rFonts w:hint="eastAsia"/>
          <w:highlight w:val="none"/>
        </w:rPr>
      </w:pPr>
      <w:r>
        <w:rPr>
          <w:rFonts w:hint="eastAsia"/>
          <w:highlight w:val="none"/>
        </w:rPr>
        <w:t>2. （标的名称） ，属于（采购文件中明确的所属行业）行业；制造商为（企业名称），从业人员人，营业收入为万元，资产总额为万元，属于（中型企业、小型企业、微型企业）；</w:t>
      </w:r>
    </w:p>
    <w:p>
      <w:pPr>
        <w:rPr>
          <w:highlight w:val="none"/>
        </w:rPr>
      </w:pPr>
      <w:r>
        <w:rPr>
          <w:rFonts w:hint="eastAsia"/>
          <w:highlight w:val="none"/>
        </w:rPr>
        <w:t>……</w:t>
      </w:r>
    </w:p>
    <w:p>
      <w:pPr>
        <w:ind w:firstLine="420" w:firstLineChars="200"/>
        <w:rPr>
          <w:rFonts w:hint="eastAsia"/>
          <w:highlight w:val="none"/>
        </w:rPr>
      </w:pPr>
      <w:r>
        <w:rPr>
          <w:rFonts w:hint="eastAsia"/>
          <w:highlight w:val="none"/>
        </w:rPr>
        <w:t>以上企业，不属于大企业的分支机构，不存在控股股东为大企业的情形，也不存在与大企业的负责人为同一人的情形。</w:t>
      </w:r>
    </w:p>
    <w:p>
      <w:pPr>
        <w:ind w:firstLine="420" w:firstLineChars="200"/>
        <w:rPr>
          <w:rFonts w:hint="eastAsia"/>
        </w:rPr>
      </w:pPr>
      <w:r>
        <w:rPr>
          <w:rFonts w:hint="eastAsia"/>
          <w:highlight w:val="none"/>
        </w:rPr>
        <w:t>本企业对上述声明内容的真实性负责。如有虚假，将依法承担</w:t>
      </w:r>
      <w:r>
        <w:rPr>
          <w:rFonts w:hint="eastAsia"/>
        </w:rPr>
        <w:t>相应责任。</w:t>
      </w:r>
    </w:p>
    <w:p>
      <w:pPr>
        <w:ind w:firstLine="6300" w:firstLineChars="3000"/>
        <w:rPr>
          <w:rFonts w:hint="eastAsia"/>
        </w:rPr>
      </w:pPr>
      <w:r>
        <w:rPr>
          <w:rFonts w:hint="eastAsia"/>
        </w:rPr>
        <w:t>企业名称（盖章）：</w:t>
      </w:r>
    </w:p>
    <w:p>
      <w:pPr>
        <w:ind w:firstLine="6300" w:firstLineChars="3000"/>
        <w:rPr>
          <w:rFonts w:hint="eastAsia"/>
        </w:rPr>
      </w:pPr>
      <w:r>
        <w:rPr>
          <w:rFonts w:hint="eastAsia"/>
        </w:rPr>
        <w:t>日期：</w:t>
      </w:r>
    </w:p>
    <w:p>
      <w:pPr>
        <w:rPr>
          <w:rFonts w:hint="eastAsia"/>
        </w:rPr>
      </w:pPr>
    </w:p>
    <w:p>
      <w:pPr>
        <w:rPr>
          <w:rFonts w:hint="eastAsia"/>
        </w:rPr>
      </w:pPr>
      <w:r>
        <w:rPr>
          <w:rFonts w:hint="eastAsia"/>
        </w:rPr>
        <w:t>1从业人员、营业收入、资产总额填报上一年度数据，无上一年度数据的新成立企业可不填报。</w:t>
      </w:r>
    </w:p>
    <w:p>
      <w:pPr>
        <w:spacing w:line="360" w:lineRule="auto"/>
        <w:rPr>
          <w:rFonts w:ascii="宋体" w:hAnsi="宋体" w:cs="宋体"/>
          <w:sz w:val="24"/>
          <w:szCs w:val="24"/>
          <w:highlight w:val="yellow"/>
        </w:rPr>
      </w:pPr>
    </w:p>
    <w:p>
      <w:pPr>
        <w:pStyle w:val="10"/>
        <w:numPr>
          <w:ilvl w:val="0"/>
          <w:numId w:val="0"/>
        </w:numPr>
        <w:rPr>
          <w:highlight w:val="yellow"/>
        </w:rPr>
      </w:pPr>
    </w:p>
    <w:p>
      <w:pPr>
        <w:spacing w:line="360" w:lineRule="auto"/>
        <w:rPr>
          <w:rFonts w:ascii="宋体" w:hAnsi="宋体" w:cs="宋体"/>
          <w:sz w:val="24"/>
          <w:szCs w:val="24"/>
        </w:rPr>
      </w:pPr>
    </w:p>
    <w:p>
      <w:pPr>
        <w:pStyle w:val="10"/>
        <w:numPr>
          <w:ilvl w:val="0"/>
          <w:numId w:val="0"/>
        </w:numPr>
      </w:pPr>
    </w:p>
    <w:p>
      <w:pPr>
        <w:rPr>
          <w:b/>
          <w:bCs/>
          <w:sz w:val="24"/>
          <w:szCs w:val="24"/>
        </w:rPr>
      </w:pPr>
      <w:bookmarkStart w:id="88" w:name="_Toc37868812"/>
      <w:r>
        <w:rPr>
          <w:rFonts w:hint="eastAsia"/>
          <w:b/>
          <w:bCs/>
          <w:sz w:val="24"/>
          <w:szCs w:val="24"/>
        </w:rPr>
        <w:br w:type="page"/>
      </w:r>
    </w:p>
    <w:p>
      <w:pPr>
        <w:jc w:val="center"/>
        <w:rPr>
          <w:b/>
          <w:bCs/>
          <w:sz w:val="24"/>
          <w:szCs w:val="24"/>
        </w:rPr>
      </w:pPr>
      <w:r>
        <w:rPr>
          <w:rFonts w:hint="eastAsia"/>
          <w:b/>
          <w:bCs/>
          <w:sz w:val="24"/>
          <w:szCs w:val="24"/>
        </w:rPr>
        <w:t>（二）</w:t>
      </w:r>
      <w:r>
        <w:rPr>
          <w:b/>
          <w:bCs/>
          <w:sz w:val="24"/>
          <w:szCs w:val="24"/>
        </w:rPr>
        <w:t>投标人</w:t>
      </w:r>
      <w:r>
        <w:rPr>
          <w:rFonts w:hint="eastAsia"/>
          <w:b/>
          <w:bCs/>
          <w:sz w:val="24"/>
          <w:szCs w:val="24"/>
        </w:rPr>
        <w:t>监狱企业</w:t>
      </w:r>
      <w:r>
        <w:rPr>
          <w:b/>
          <w:bCs/>
          <w:sz w:val="24"/>
          <w:szCs w:val="24"/>
        </w:rPr>
        <w:t>声明函</w:t>
      </w:r>
      <w:bookmarkEnd w:id="88"/>
    </w:p>
    <w:p>
      <w:pPr>
        <w:spacing w:line="360" w:lineRule="auto"/>
        <w:ind w:left="1080" w:leftChars="257" w:hanging="540"/>
        <w:jc w:val="center"/>
        <w:rPr>
          <w:rFonts w:ascii="宋体" w:hAnsi="宋体"/>
          <w:b/>
          <w:kern w:val="0"/>
          <w:sz w:val="24"/>
          <w:szCs w:val="20"/>
        </w:rPr>
      </w:pPr>
    </w:p>
    <w:p>
      <w:pPr>
        <w:widowControl/>
        <w:spacing w:before="100" w:beforeAutospacing="1" w:after="100" w:afterAutospacing="1" w:line="360" w:lineRule="auto"/>
        <w:ind w:firstLine="480" w:firstLineChars="200"/>
        <w:jc w:val="left"/>
        <w:rPr>
          <w:rFonts w:ascii="宋体" w:hAnsi="宋体" w:cs="宋体"/>
          <w:kern w:val="0"/>
          <w:sz w:val="24"/>
        </w:rPr>
      </w:pPr>
      <w:r>
        <w:rPr>
          <w:rFonts w:ascii="宋体" w:hAnsi="宋体" w:cs="宋体"/>
          <w:kern w:val="0"/>
          <w:sz w:val="24"/>
        </w:rPr>
        <w:t>本</w:t>
      </w:r>
      <w:r>
        <w:rPr>
          <w:rFonts w:hint="eastAsia" w:ascii="宋体" w:hAnsi="宋体" w:cs="宋体"/>
          <w:kern w:val="0"/>
          <w:sz w:val="24"/>
        </w:rPr>
        <w:t>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）郑重声明下</w:t>
      </w:r>
      <w:r>
        <w:rPr>
          <w:rFonts w:hint="eastAsia" w:ascii="宋体" w:hAnsi="宋体" w:cs="宋体"/>
          <w:kern w:val="0"/>
          <w:sz w:val="24"/>
        </w:rPr>
        <w:t>列事项（按照</w:t>
      </w:r>
      <w:r>
        <w:rPr>
          <w:rFonts w:ascii="宋体" w:hAnsi="宋体" w:cs="宋体"/>
          <w:kern w:val="0"/>
          <w:sz w:val="24"/>
        </w:rPr>
        <w:t>实际情况勾选或</w:t>
      </w:r>
      <w:r>
        <w:rPr>
          <w:rFonts w:hint="eastAsia" w:ascii="宋体" w:hAnsi="宋体" w:cs="宋体"/>
          <w:kern w:val="0"/>
          <w:sz w:val="24"/>
        </w:rPr>
        <w:t>填空）：</w:t>
      </w:r>
    </w:p>
    <w:p>
      <w:pPr>
        <w:widowControl/>
        <w:spacing w:before="100" w:beforeAutospacing="1" w:after="100" w:afterAutospacing="1" w:line="360" w:lineRule="auto"/>
        <w:ind w:firstLine="480" w:firstLineChars="200"/>
        <w:jc w:val="left"/>
        <w:rPr>
          <w:rFonts w:ascii="宋体" w:hAnsi="宋体" w:cs="宋体"/>
          <w:kern w:val="0"/>
          <w:sz w:val="24"/>
        </w:rPr>
      </w:pPr>
      <w:r>
        <w:rPr>
          <w:rFonts w:ascii="宋体" w:hAnsi="宋体" w:cs="宋体"/>
          <w:kern w:val="0"/>
          <w:sz w:val="24"/>
        </w:rPr>
        <w:t>本</w:t>
      </w:r>
      <w:r>
        <w:rPr>
          <w:rFonts w:hint="eastAsia" w:ascii="宋体" w:hAnsi="宋体" w:cs="宋体"/>
          <w:kern w:val="0"/>
          <w:sz w:val="24"/>
        </w:rPr>
        <w:t>企业（单位）为直接投标人，</w:t>
      </w:r>
      <w:r>
        <w:rPr>
          <w:rFonts w:ascii="宋体" w:hAnsi="宋体" w:cs="宋体"/>
          <w:kern w:val="0"/>
          <w:sz w:val="24"/>
        </w:rPr>
        <w:t>提供本企业</w:t>
      </w:r>
      <w:r>
        <w:rPr>
          <w:rFonts w:hint="eastAsia" w:ascii="宋体" w:hAnsi="宋体" w:cs="宋体"/>
          <w:kern w:val="0"/>
          <w:sz w:val="24"/>
        </w:rPr>
        <w:t>（单位）服务。</w:t>
      </w:r>
    </w:p>
    <w:p>
      <w:pPr>
        <w:widowControl/>
        <w:spacing w:before="100" w:beforeAutospacing="1" w:after="100" w:afterAutospacing="1" w:line="360" w:lineRule="auto"/>
        <w:ind w:firstLine="360" w:firstLineChars="150"/>
        <w:jc w:val="left"/>
        <w:rPr>
          <w:rFonts w:ascii="宋体" w:hAnsi="宋体" w:cs="宋体"/>
          <w:kern w:val="0"/>
          <w:sz w:val="24"/>
        </w:rPr>
      </w:pPr>
      <w:r>
        <w:rPr>
          <w:rFonts w:hint="eastAsia" w:ascii="宋体" w:hAnsi="宋体" w:cs="宋体"/>
          <w:kern w:val="0"/>
          <w:sz w:val="24"/>
        </w:rPr>
        <w:t>（1）</w:t>
      </w:r>
      <w:r>
        <w:rPr>
          <w:rFonts w:ascii="宋体" w:hAnsi="宋体" w:cs="宋体"/>
          <w:kern w:val="0"/>
          <w:sz w:val="24"/>
        </w:rPr>
        <w:t>本</w:t>
      </w:r>
      <w:r>
        <w:rPr>
          <w:rFonts w:hint="eastAsia" w:ascii="宋体" w:hAnsi="宋体" w:cs="宋体"/>
          <w:kern w:val="0"/>
          <w:sz w:val="24"/>
        </w:rPr>
        <w:t>企业（单位）</w:t>
      </w:r>
      <w:r>
        <w:rPr>
          <w:rFonts w:ascii="宋体" w:hAnsi="宋体" w:cs="宋体"/>
          <w:kern w:val="0"/>
          <w:sz w:val="24"/>
        </w:rPr>
        <w:t>（请填写：</w:t>
      </w:r>
      <w:r>
        <w:rPr>
          <w:rFonts w:hint="eastAsia" w:ascii="宋体" w:hAnsi="宋体" w:cs="宋体"/>
          <w:kern w:val="0"/>
          <w:sz w:val="24"/>
        </w:rPr>
        <w:t>是、不是</w:t>
      </w:r>
      <w:r>
        <w:rPr>
          <w:rFonts w:ascii="宋体" w:hAnsi="宋体" w:cs="宋体"/>
          <w:kern w:val="0"/>
          <w:sz w:val="24"/>
        </w:rPr>
        <w:t>）监狱企业。</w:t>
      </w:r>
      <w:r>
        <w:rPr>
          <w:rFonts w:hint="eastAsia" w:ascii="宋体" w:hAnsi="宋体" w:cs="宋体"/>
          <w:kern w:val="0"/>
          <w:sz w:val="24"/>
        </w:rPr>
        <w:t>后附省级以上监狱管理局、戒毒管理局（含新疆生产建设兵团）出具的属于监狱企业的证明文件。</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w:t>
      </w:r>
      <w:r>
        <w:rPr>
          <w:rFonts w:ascii="宋体" w:hAnsi="宋体" w:cs="宋体"/>
          <w:kern w:val="0"/>
          <w:sz w:val="24"/>
        </w:rPr>
        <w:t>2</w:t>
      </w:r>
      <w:r>
        <w:rPr>
          <w:rFonts w:hint="eastAsia" w:ascii="宋体" w:hAnsi="宋体" w:cs="宋体"/>
          <w:kern w:val="0"/>
          <w:sz w:val="24"/>
        </w:rPr>
        <w:t>）</w:t>
      </w:r>
      <w:r>
        <w:rPr>
          <w:rFonts w:ascii="宋体" w:hAnsi="宋体" w:cs="宋体"/>
          <w:kern w:val="0"/>
          <w:sz w:val="24"/>
        </w:rPr>
        <w:t>本</w:t>
      </w:r>
      <w:r>
        <w:rPr>
          <w:rFonts w:hint="eastAsia" w:ascii="宋体" w:hAnsi="宋体" w:cs="宋体"/>
          <w:kern w:val="0"/>
          <w:sz w:val="24"/>
        </w:rPr>
        <w:t>企业（单位）</w:t>
      </w:r>
      <w:r>
        <w:rPr>
          <w:rFonts w:ascii="宋体" w:hAnsi="宋体" w:cs="宋体"/>
          <w:kern w:val="0"/>
          <w:sz w:val="24"/>
        </w:rPr>
        <w:t>（请填写：</w:t>
      </w:r>
      <w:r>
        <w:rPr>
          <w:rFonts w:hint="eastAsia" w:ascii="宋体" w:hAnsi="宋体" w:cs="宋体"/>
          <w:kern w:val="0"/>
          <w:sz w:val="24"/>
        </w:rPr>
        <w:t>是、不是</w:t>
      </w:r>
      <w:r>
        <w:rPr>
          <w:rFonts w:ascii="宋体" w:hAnsi="宋体" w:cs="宋体"/>
          <w:kern w:val="0"/>
          <w:sz w:val="24"/>
        </w:rPr>
        <w:t>）</w:t>
      </w:r>
      <w:r>
        <w:rPr>
          <w:rFonts w:hint="eastAsia" w:ascii="宋体" w:hAnsi="宋体" w:cs="宋体"/>
          <w:kern w:val="0"/>
          <w:sz w:val="24"/>
        </w:rPr>
        <w:t>为联合体一方，</w:t>
      </w:r>
      <w:r>
        <w:rPr>
          <w:rFonts w:ascii="宋体" w:hAnsi="宋体" w:cs="宋体"/>
          <w:kern w:val="0"/>
          <w:sz w:val="24"/>
        </w:rPr>
        <w:t>提供本企业</w:t>
      </w:r>
      <w:r>
        <w:rPr>
          <w:rFonts w:hint="eastAsia" w:ascii="宋体" w:hAnsi="宋体" w:cs="宋体"/>
          <w:kern w:val="0"/>
          <w:sz w:val="24"/>
        </w:rPr>
        <w:t>（单位）的</w:t>
      </w:r>
      <w:r>
        <w:rPr>
          <w:rFonts w:ascii="宋体" w:hAnsi="宋体" w:cs="宋体"/>
          <w:kern w:val="0"/>
          <w:sz w:val="24"/>
        </w:rPr>
        <w:t>服务</w:t>
      </w:r>
      <w:r>
        <w:rPr>
          <w:rFonts w:hint="eastAsia" w:ascii="宋体" w:hAnsi="宋体" w:cs="宋体"/>
          <w:kern w:val="0"/>
          <w:sz w:val="24"/>
        </w:rPr>
        <w:t>。本企业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w:t>
      </w:r>
      <w:r>
        <w:rPr>
          <w:rFonts w:hint="eastAsia" w:ascii="宋体" w:hAnsi="宋体" w:cs="宋体"/>
          <w:kern w:val="0"/>
          <w:sz w:val="24"/>
        </w:rPr>
        <w:t>提供</w:t>
      </w:r>
      <w:r>
        <w:rPr>
          <w:rFonts w:ascii="宋体" w:hAnsi="宋体" w:cs="宋体"/>
          <w:kern w:val="0"/>
          <w:sz w:val="24"/>
        </w:rPr>
        <w:t>协议合同金额占到</w:t>
      </w:r>
      <w:r>
        <w:rPr>
          <w:rFonts w:hint="eastAsia" w:ascii="宋体" w:hAnsi="宋体" w:cs="宋体"/>
          <w:kern w:val="0"/>
          <w:sz w:val="24"/>
        </w:rPr>
        <w:t>共同投标</w:t>
      </w:r>
      <w:r>
        <w:rPr>
          <w:rFonts w:ascii="宋体" w:hAnsi="宋体" w:cs="宋体"/>
          <w:kern w:val="0"/>
          <w:sz w:val="24"/>
        </w:rPr>
        <w:t>协议合同总金额</w:t>
      </w:r>
      <w:r>
        <w:rPr>
          <w:rFonts w:hint="eastAsia" w:ascii="宋体" w:hAnsi="宋体" w:cs="宋体"/>
          <w:kern w:val="0"/>
          <w:sz w:val="24"/>
        </w:rPr>
        <w:t>的比例为。</w:t>
      </w:r>
    </w:p>
    <w:p>
      <w:pPr>
        <w:widowControl/>
        <w:spacing w:before="100" w:beforeAutospacing="1" w:after="100" w:afterAutospacing="1" w:line="360" w:lineRule="auto"/>
        <w:jc w:val="left"/>
        <w:rPr>
          <w:rFonts w:ascii="宋体" w:hAnsi="宋体" w:cs="宋体"/>
          <w:kern w:val="0"/>
          <w:sz w:val="24"/>
        </w:rPr>
      </w:pPr>
      <w:r>
        <w:rPr>
          <w:rFonts w:ascii="宋体" w:hAnsi="宋体" w:cs="宋体"/>
          <w:kern w:val="0"/>
          <w:sz w:val="24"/>
        </w:rPr>
        <w:t>　　本</w:t>
      </w:r>
      <w:r>
        <w:rPr>
          <w:rFonts w:hint="eastAsia" w:ascii="宋体" w:hAnsi="宋体" w:cs="宋体"/>
          <w:kern w:val="0"/>
          <w:sz w:val="24"/>
        </w:rPr>
        <w:t>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）对上述声明的真实性负责。如有虚假，将依法承担相应责任。</w:t>
      </w:r>
    </w:p>
    <w:p>
      <w:pPr>
        <w:widowControl/>
        <w:spacing w:before="100" w:beforeAutospacing="1" w:after="100" w:afterAutospacing="1" w:line="360" w:lineRule="auto"/>
        <w:jc w:val="left"/>
        <w:rPr>
          <w:rFonts w:ascii="宋体" w:hAnsi="宋体" w:cs="宋体"/>
          <w:kern w:val="0"/>
          <w:sz w:val="24"/>
        </w:rPr>
      </w:pPr>
    </w:p>
    <w:p>
      <w:pPr>
        <w:widowControl/>
        <w:spacing w:before="100" w:beforeAutospacing="1" w:after="100" w:afterAutospacing="1" w:line="360" w:lineRule="auto"/>
        <w:jc w:val="left"/>
        <w:rPr>
          <w:rFonts w:ascii="宋体" w:hAnsi="宋体" w:cs="宋体"/>
          <w:kern w:val="0"/>
          <w:sz w:val="24"/>
        </w:rPr>
      </w:pPr>
    </w:p>
    <w:p>
      <w:pPr>
        <w:widowControl/>
        <w:spacing w:before="100" w:beforeAutospacing="1" w:after="100" w:afterAutospacing="1" w:line="360" w:lineRule="auto"/>
        <w:jc w:val="left"/>
        <w:rPr>
          <w:rFonts w:ascii="宋体" w:hAnsi="宋体" w:cs="宋体"/>
          <w:kern w:val="0"/>
          <w:sz w:val="24"/>
        </w:rPr>
      </w:pPr>
    </w:p>
    <w:p>
      <w:pPr>
        <w:spacing w:line="360" w:lineRule="auto"/>
        <w:rPr>
          <w:rFonts w:ascii="宋体" w:hAnsi="宋体" w:cs="宋体"/>
          <w:sz w:val="24"/>
          <w:szCs w:val="24"/>
        </w:rPr>
      </w:pPr>
      <w:r>
        <w:rPr>
          <w:rFonts w:ascii="宋体" w:hAnsi="宋体"/>
          <w:b/>
          <w:kern w:val="0"/>
          <w:sz w:val="24"/>
          <w:szCs w:val="20"/>
        </w:rPr>
        <w:t>　</w:t>
      </w: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10"/>
        <w:numPr>
          <w:ilvl w:val="0"/>
          <w:numId w:val="0"/>
        </w:numPr>
        <w:rPr>
          <w:rFonts w:ascii="宋体" w:hAnsi="宋体" w:cs="宋体"/>
          <w:kern w:val="0"/>
          <w:sz w:val="24"/>
          <w:u w:val="single"/>
        </w:rPr>
      </w:pPr>
    </w:p>
    <w:p>
      <w:pPr>
        <w:pStyle w:val="10"/>
        <w:numPr>
          <w:ilvl w:val="0"/>
          <w:numId w:val="0"/>
        </w:numPr>
        <w:rPr>
          <w:rFonts w:ascii="宋体" w:hAnsi="宋体" w:cs="宋体"/>
          <w:kern w:val="0"/>
          <w:sz w:val="24"/>
          <w:u w:val="single"/>
        </w:rPr>
      </w:pPr>
    </w:p>
    <w:p>
      <w:pPr>
        <w:rPr>
          <w:b/>
          <w:bCs/>
          <w:sz w:val="24"/>
          <w:szCs w:val="24"/>
        </w:rPr>
      </w:pPr>
      <w:r>
        <w:rPr>
          <w:rFonts w:hint="eastAsia"/>
          <w:b/>
          <w:bCs/>
          <w:sz w:val="24"/>
          <w:szCs w:val="24"/>
        </w:rPr>
        <w:br w:type="page"/>
      </w:r>
    </w:p>
    <w:p>
      <w:pPr>
        <w:jc w:val="center"/>
        <w:rPr>
          <w:b/>
          <w:bCs/>
          <w:sz w:val="24"/>
          <w:szCs w:val="24"/>
        </w:rPr>
      </w:pPr>
      <w:r>
        <w:rPr>
          <w:rFonts w:hint="eastAsia"/>
          <w:b/>
          <w:bCs/>
          <w:sz w:val="24"/>
          <w:szCs w:val="24"/>
        </w:rPr>
        <w:t>（三）残疾人福利性单位声明函</w:t>
      </w:r>
      <w:bookmarkEnd w:id="87"/>
    </w:p>
    <w:p>
      <w:pPr>
        <w:spacing w:line="360" w:lineRule="auto"/>
        <w:ind w:left="1080" w:leftChars="257" w:hanging="540"/>
        <w:jc w:val="center"/>
        <w:rPr>
          <w:rFonts w:ascii="宋体" w:hAnsi="宋体"/>
          <w:kern w:val="0"/>
          <w:sz w:val="24"/>
          <w:szCs w:val="20"/>
        </w:rPr>
      </w:pPr>
    </w:p>
    <w:p>
      <w:pPr>
        <w:spacing w:line="360" w:lineRule="auto"/>
        <w:ind w:firstLine="567"/>
        <w:rPr>
          <w:rFonts w:ascii="宋体" w:hAnsi="宋体"/>
          <w:kern w:val="0"/>
          <w:sz w:val="24"/>
          <w:szCs w:val="20"/>
        </w:rPr>
      </w:pPr>
      <w:r>
        <w:rPr>
          <w:rFonts w:hint="eastAsia" w:ascii="宋体" w:hAnsi="宋体"/>
          <w:kern w:val="0"/>
          <w:sz w:val="24"/>
          <w:szCs w:val="20"/>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w:t>
      </w:r>
      <w:r>
        <w:rPr>
          <w:rFonts w:hint="eastAsia" w:ascii="宋体" w:hAnsi="宋体" w:cs="宋体"/>
          <w:kern w:val="0"/>
          <w:sz w:val="24"/>
        </w:rPr>
        <w:t>（由本单位承担工程/提供服务）</w:t>
      </w:r>
      <w:r>
        <w:rPr>
          <w:rFonts w:hint="eastAsia" w:ascii="宋体" w:hAnsi="宋体"/>
          <w:kern w:val="0"/>
          <w:sz w:val="24"/>
          <w:szCs w:val="20"/>
        </w:rPr>
        <w:t>，或者提供其他残疾人福利性单位制造的货物（不包括使用非残疾人福利性单位注册商标的货物）。</w:t>
      </w:r>
    </w:p>
    <w:p>
      <w:pPr>
        <w:spacing w:line="360" w:lineRule="auto"/>
        <w:ind w:left="1080" w:leftChars="257" w:hanging="540"/>
        <w:rPr>
          <w:rFonts w:ascii="宋体" w:hAnsi="宋体"/>
          <w:kern w:val="0"/>
          <w:sz w:val="24"/>
          <w:szCs w:val="20"/>
        </w:rPr>
      </w:pPr>
      <w:r>
        <w:rPr>
          <w:rFonts w:hint="eastAsia" w:ascii="宋体" w:hAnsi="宋体"/>
          <w:kern w:val="0"/>
          <w:sz w:val="24"/>
          <w:szCs w:val="20"/>
        </w:rPr>
        <w:t>本单位对上述声明的真实性负责。如有虚假，将依法承担相应责任。</w:t>
      </w:r>
    </w:p>
    <w:p>
      <w:pPr>
        <w:spacing w:line="360" w:lineRule="auto"/>
        <w:ind w:left="1080" w:leftChars="257" w:hanging="540"/>
        <w:jc w:val="center"/>
        <w:rPr>
          <w:rFonts w:ascii="宋体" w:hAnsi="宋体"/>
          <w:kern w:val="0"/>
          <w:sz w:val="24"/>
          <w:szCs w:val="20"/>
        </w:rPr>
      </w:pPr>
    </w:p>
    <w:p>
      <w:pPr>
        <w:spacing w:line="360" w:lineRule="auto"/>
        <w:ind w:left="1080" w:leftChars="257" w:hanging="540"/>
        <w:jc w:val="center"/>
        <w:rPr>
          <w:rFonts w:ascii="宋体" w:hAnsi="宋体"/>
          <w:kern w:val="0"/>
          <w:sz w:val="24"/>
          <w:szCs w:val="20"/>
        </w:rPr>
      </w:pPr>
    </w:p>
    <w:p>
      <w:pPr>
        <w:spacing w:line="360" w:lineRule="auto"/>
        <w:ind w:left="1080" w:leftChars="257" w:hanging="540"/>
        <w:jc w:val="center"/>
        <w:rPr>
          <w:rFonts w:ascii="宋体" w:hAnsi="宋体"/>
          <w:kern w:val="0"/>
          <w:sz w:val="24"/>
          <w:szCs w:val="20"/>
          <w:u w:val="single"/>
        </w:rPr>
      </w:pPr>
      <w:r>
        <w:rPr>
          <w:rFonts w:hint="eastAsia" w:ascii="宋体" w:hAnsi="宋体"/>
          <w:kern w:val="0"/>
          <w:sz w:val="24"/>
          <w:szCs w:val="20"/>
        </w:rPr>
        <w:t xml:space="preserve">              残疾人</w:t>
      </w:r>
      <w:r>
        <w:rPr>
          <w:rFonts w:ascii="宋体" w:hAnsi="宋体"/>
          <w:kern w:val="0"/>
          <w:sz w:val="24"/>
          <w:szCs w:val="20"/>
        </w:rPr>
        <w:t>福利性单位</w:t>
      </w:r>
      <w:r>
        <w:rPr>
          <w:rFonts w:hint="eastAsia" w:ascii="宋体" w:hAnsi="宋体"/>
          <w:kern w:val="0"/>
          <w:sz w:val="24"/>
          <w:szCs w:val="20"/>
        </w:rPr>
        <w:t>名称（盖公章）：</w:t>
      </w:r>
    </w:p>
    <w:p>
      <w:pPr>
        <w:spacing w:line="360" w:lineRule="auto"/>
        <w:ind w:left="1080" w:leftChars="257" w:hanging="540"/>
        <w:jc w:val="center"/>
        <w:rPr>
          <w:rFonts w:ascii="宋体" w:hAnsi="宋体"/>
          <w:kern w:val="0"/>
          <w:sz w:val="24"/>
          <w:szCs w:val="20"/>
        </w:rPr>
      </w:pPr>
    </w:p>
    <w:p>
      <w:pPr>
        <w:spacing w:line="360" w:lineRule="auto"/>
        <w:ind w:left="645" w:leftChars="307" w:firstLine="2640" w:firstLineChars="1100"/>
        <w:rPr>
          <w:rFonts w:ascii="宋体" w:hAnsi="宋体"/>
          <w:kern w:val="0"/>
          <w:sz w:val="24"/>
          <w:szCs w:val="20"/>
          <w:u w:val="single"/>
        </w:rPr>
      </w:pPr>
      <w:r>
        <w:rPr>
          <w:rFonts w:hint="eastAsia" w:ascii="宋体" w:hAnsi="宋体"/>
          <w:kern w:val="0"/>
          <w:sz w:val="24"/>
          <w:szCs w:val="20"/>
        </w:rPr>
        <w:t>日  期：</w:t>
      </w: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jc w:val="center"/>
        <w:rPr>
          <w:b/>
          <w:bCs/>
          <w:sz w:val="24"/>
          <w:szCs w:val="24"/>
        </w:rPr>
      </w:pPr>
      <w:bookmarkStart w:id="89" w:name="_Toc37868814"/>
      <w:r>
        <w:rPr>
          <w:rFonts w:hint="eastAsia"/>
          <w:b/>
          <w:bCs/>
          <w:sz w:val="24"/>
          <w:szCs w:val="24"/>
        </w:rPr>
        <w:t>（四）制造商</w:t>
      </w:r>
      <w:r>
        <w:rPr>
          <w:b/>
          <w:bCs/>
          <w:sz w:val="24"/>
          <w:szCs w:val="24"/>
        </w:rPr>
        <w:t>企业</w:t>
      </w:r>
      <w:r>
        <w:rPr>
          <w:rFonts w:hint="eastAsia"/>
          <w:b/>
          <w:bCs/>
          <w:sz w:val="24"/>
          <w:szCs w:val="24"/>
        </w:rPr>
        <w:t>（单位）</w:t>
      </w:r>
      <w:r>
        <w:rPr>
          <w:b/>
          <w:bCs/>
          <w:sz w:val="24"/>
          <w:szCs w:val="24"/>
        </w:rPr>
        <w:t>类型声明函</w:t>
      </w:r>
      <w:bookmarkEnd w:id="89"/>
    </w:p>
    <w:p>
      <w:pPr>
        <w:spacing w:line="360" w:lineRule="auto"/>
        <w:ind w:left="1080" w:leftChars="257" w:hanging="540"/>
        <w:jc w:val="center"/>
        <w:rPr>
          <w:rFonts w:ascii="宋体" w:hAnsi="宋体"/>
          <w:b/>
          <w:kern w:val="0"/>
          <w:sz w:val="24"/>
          <w:szCs w:val="20"/>
        </w:rPr>
      </w:pP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本企业（单位）作为______单位的______ 项目的伴随货物的制造商，参加政府采购活动。根据《政府采购促进中小企业发展暂行办法》（财库[2011]181号），《工业和信息化部、国家统计局、国家发展和改革委员会、财政部关于印发中小企业划型标准规定的通知》（工信部联企业[2011]300号）、《财政部 司法部关于政府采购支持监狱企业发展有关问题的通知》（财库〔2014〕68号）以及《关于促进残疾人就业政府采购政策的通知》（财库〔2017〕141号）的有关规定，做出如下声明：</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本企业为______（请填写：大型、中型、小型、微型）企业。</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本企业（请填写：是、不是）监狱企业。后附省级以上监狱管理局、戒毒管理局（含新疆生产建设兵团）出具的属于监狱企业的证明文件。</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本单位（请填写：是、不是）残疾人福利性单位。</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本企业（单位）提供企业（单位）制造的货物。</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）对上述声明的真实性负责。如有虚假，将依法承担相应责任。</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w:t>
      </w:r>
      <w:r>
        <w:rPr>
          <w:rFonts w:ascii="宋体" w:hAnsi="宋体" w:cs="宋体"/>
          <w:kern w:val="0"/>
          <w:sz w:val="24"/>
        </w:rPr>
        <w:t>声明函经制造商和投标人</w:t>
      </w:r>
      <w:r>
        <w:rPr>
          <w:rFonts w:hint="eastAsia" w:ascii="宋体" w:hAnsi="宋体" w:cs="宋体"/>
          <w:kern w:val="0"/>
          <w:sz w:val="24"/>
        </w:rPr>
        <w:t>共同</w:t>
      </w:r>
      <w:r>
        <w:rPr>
          <w:rFonts w:ascii="宋体" w:hAnsi="宋体" w:cs="宋体"/>
          <w:kern w:val="0"/>
          <w:sz w:val="24"/>
        </w:rPr>
        <w:t>盖章</w:t>
      </w:r>
      <w:r>
        <w:rPr>
          <w:rFonts w:hint="eastAsia" w:ascii="宋体" w:hAnsi="宋体" w:cs="宋体"/>
          <w:kern w:val="0"/>
          <w:sz w:val="24"/>
        </w:rPr>
        <w:t>生</w:t>
      </w:r>
      <w:r>
        <w:rPr>
          <w:rFonts w:ascii="宋体" w:hAnsi="宋体" w:cs="宋体"/>
          <w:kern w:val="0"/>
          <w:sz w:val="24"/>
        </w:rPr>
        <w:t>效。</w:t>
      </w:r>
    </w:p>
    <w:p>
      <w:pPr>
        <w:widowControl/>
        <w:spacing w:before="100" w:beforeAutospacing="1" w:after="100" w:afterAutospacing="1" w:line="360" w:lineRule="auto"/>
        <w:ind w:firstLine="5160" w:firstLineChars="2150"/>
        <w:jc w:val="left"/>
        <w:rPr>
          <w:rFonts w:ascii="宋体" w:hAnsi="宋体" w:cs="宋体"/>
          <w:kern w:val="0"/>
          <w:sz w:val="24"/>
        </w:rPr>
      </w:pPr>
    </w:p>
    <w:p>
      <w:pPr>
        <w:widowControl/>
        <w:spacing w:before="100" w:beforeAutospacing="1" w:after="100" w:afterAutospacing="1" w:line="360" w:lineRule="auto"/>
        <w:ind w:firstLine="3960" w:firstLineChars="1650"/>
        <w:jc w:val="left"/>
        <w:rPr>
          <w:rFonts w:ascii="宋体" w:hAnsi="宋体" w:cs="宋体"/>
          <w:kern w:val="0"/>
          <w:sz w:val="24"/>
          <w:u w:val="single"/>
        </w:rPr>
      </w:pPr>
      <w:r>
        <w:rPr>
          <w:rFonts w:hint="eastAsia" w:ascii="宋体" w:hAnsi="宋体" w:cs="宋体"/>
          <w:kern w:val="0"/>
          <w:sz w:val="24"/>
        </w:rPr>
        <w:t>制造商</w:t>
      </w:r>
      <w:r>
        <w:rPr>
          <w:rFonts w:ascii="宋体" w:hAnsi="宋体" w:cs="宋体"/>
          <w:kern w:val="0"/>
          <w:sz w:val="24"/>
        </w:rPr>
        <w:t>名称（</w:t>
      </w:r>
      <w:r>
        <w:rPr>
          <w:rFonts w:hint="eastAsia" w:ascii="宋体" w:hAnsi="宋体" w:cs="宋体"/>
          <w:kern w:val="0"/>
          <w:sz w:val="24"/>
        </w:rPr>
        <w:t>盖公</w:t>
      </w:r>
      <w:r>
        <w:rPr>
          <w:rFonts w:ascii="宋体" w:hAnsi="宋体" w:cs="宋体"/>
          <w:kern w:val="0"/>
          <w:sz w:val="24"/>
        </w:rPr>
        <w:t>章）</w:t>
      </w:r>
      <w:r>
        <w:rPr>
          <w:rFonts w:hint="eastAsia" w:ascii="宋体" w:hAnsi="宋体" w:cs="宋体"/>
          <w:kern w:val="0"/>
          <w:sz w:val="24"/>
        </w:rPr>
        <w:t>：</w:t>
      </w:r>
    </w:p>
    <w:p>
      <w:pPr>
        <w:widowControl/>
        <w:spacing w:before="100" w:beforeAutospacing="1" w:after="100" w:afterAutospacing="1" w:line="360" w:lineRule="auto"/>
        <w:ind w:firstLine="3960" w:firstLineChars="1650"/>
        <w:jc w:val="left"/>
        <w:rPr>
          <w:rFonts w:ascii="宋体" w:hAnsi="宋体" w:cs="宋体"/>
          <w:kern w:val="0"/>
          <w:sz w:val="24"/>
        </w:rPr>
      </w:pPr>
      <w:r>
        <w:rPr>
          <w:rFonts w:hint="eastAsia" w:ascii="宋体" w:hAnsi="宋体" w:cs="宋体"/>
          <w:kern w:val="0"/>
          <w:sz w:val="24"/>
        </w:rPr>
        <w:t>投标人</w:t>
      </w:r>
      <w:r>
        <w:rPr>
          <w:rFonts w:ascii="宋体" w:hAnsi="宋体" w:cs="宋体"/>
          <w:kern w:val="0"/>
          <w:sz w:val="24"/>
        </w:rPr>
        <w:t>名称（盖</w:t>
      </w:r>
      <w:r>
        <w:rPr>
          <w:rFonts w:hint="eastAsia" w:ascii="宋体" w:hAnsi="宋体" w:cs="宋体"/>
          <w:kern w:val="0"/>
          <w:sz w:val="24"/>
        </w:rPr>
        <w:t>公</w:t>
      </w:r>
      <w:r>
        <w:rPr>
          <w:rFonts w:ascii="宋体" w:hAnsi="宋体" w:cs="宋体"/>
          <w:kern w:val="0"/>
          <w:sz w:val="24"/>
        </w:rPr>
        <w:t>章）：</w:t>
      </w:r>
    </w:p>
    <w:p>
      <w:pPr>
        <w:widowControl/>
        <w:spacing w:before="100" w:beforeAutospacing="1" w:after="100" w:afterAutospacing="1" w:line="360" w:lineRule="auto"/>
        <w:ind w:firstLine="3720" w:firstLineChars="1550"/>
        <w:jc w:val="left"/>
        <w:rPr>
          <w:rFonts w:ascii="宋体" w:hAnsi="宋体" w:cs="宋体"/>
          <w:kern w:val="0"/>
          <w:sz w:val="24"/>
          <w:u w:val="single"/>
        </w:rPr>
      </w:pPr>
      <w:r>
        <w:rPr>
          <w:rFonts w:ascii="宋体" w:hAnsi="宋体" w:cs="宋体"/>
          <w:kern w:val="0"/>
          <w:sz w:val="24"/>
        </w:rPr>
        <w:t>　日　期：</w:t>
      </w:r>
    </w:p>
    <w:p>
      <w:pPr>
        <w:pStyle w:val="19"/>
        <w:spacing w:before="0" w:beforeAutospacing="0" w:after="0" w:afterAutospacing="0" w:line="360" w:lineRule="auto"/>
        <w:ind w:firstLine="480" w:firstLineChars="200"/>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3"/>
      </w:pPr>
    </w:p>
    <w:p>
      <w:pPr>
        <w:pStyle w:val="19"/>
        <w:spacing w:before="0" w:beforeAutospacing="0" w:after="0" w:afterAutospacing="0" w:line="360" w:lineRule="auto"/>
        <w:ind w:firstLine="480" w:firstLineChars="200"/>
      </w:pPr>
    </w:p>
    <w:p>
      <w:pPr>
        <w:spacing w:line="360" w:lineRule="auto"/>
        <w:rPr>
          <w:rFonts w:ascii="宋体" w:hAnsi="宋体" w:cs="宋体"/>
          <w:b/>
          <w:szCs w:val="30"/>
        </w:rPr>
      </w:pPr>
    </w:p>
    <w:p>
      <w:pPr>
        <w:rPr>
          <w:rFonts w:ascii="宋体" w:hAnsi="宋体" w:cs="Arial"/>
          <w:b/>
          <w:bCs/>
          <w:kern w:val="0"/>
          <w:sz w:val="24"/>
          <w:szCs w:val="24"/>
        </w:rPr>
      </w:pPr>
      <w:r>
        <w:rPr>
          <w:rFonts w:hint="eastAsia" w:ascii="宋体" w:hAnsi="宋体" w:cs="Arial"/>
          <w:b/>
          <w:bCs/>
          <w:kern w:val="0"/>
          <w:sz w:val="24"/>
          <w:szCs w:val="24"/>
        </w:rPr>
        <w:t>5.2.1</w:t>
      </w:r>
      <w:r>
        <w:rPr>
          <w:rFonts w:hint="eastAsia" w:ascii="宋体" w:hAnsi="宋体" w:cs="Arial"/>
          <w:b/>
          <w:bCs/>
          <w:kern w:val="0"/>
          <w:sz w:val="24"/>
          <w:szCs w:val="24"/>
          <w:lang w:val="en-US" w:eastAsia="zh-CN"/>
        </w:rPr>
        <w:t>3</w:t>
      </w:r>
      <w:r>
        <w:rPr>
          <w:rFonts w:hint="eastAsia" w:ascii="宋体" w:hAnsi="宋体" w:cs="Arial"/>
          <w:b/>
          <w:bCs/>
          <w:kern w:val="0"/>
          <w:sz w:val="24"/>
          <w:szCs w:val="24"/>
        </w:rPr>
        <w:t>. 资格声明（制造商、代理商或经销商）</w:t>
      </w:r>
    </w:p>
    <w:p>
      <w:pPr>
        <w:pStyle w:val="19"/>
        <w:spacing w:before="0" w:beforeAutospacing="0" w:after="0" w:afterAutospacing="0" w:line="360" w:lineRule="auto"/>
        <w:ind w:firstLine="480" w:firstLineChars="200"/>
      </w:pPr>
    </w:p>
    <w:p>
      <w:pPr>
        <w:shd w:val="clear" w:color="auto" w:fill="FFFFFF"/>
        <w:snapToGrid w:val="0"/>
        <w:spacing w:line="384" w:lineRule="auto"/>
        <w:jc w:val="center"/>
        <w:rPr>
          <w:rFonts w:ascii="宋体" w:hAnsi="宋体"/>
          <w:b/>
          <w:bCs/>
          <w:sz w:val="32"/>
          <w:szCs w:val="32"/>
        </w:rPr>
      </w:pPr>
      <w:r>
        <w:rPr>
          <w:rFonts w:hint="eastAsia" w:ascii="宋体" w:hAnsi="宋体"/>
          <w:b/>
          <w:bCs/>
          <w:sz w:val="32"/>
          <w:szCs w:val="32"/>
        </w:rPr>
        <w:t>资格声明（制造商、代理商或经销商）</w:t>
      </w:r>
    </w:p>
    <w:p>
      <w:pPr>
        <w:shd w:val="clear" w:color="auto" w:fill="FFFFFF"/>
        <w:snapToGrid w:val="0"/>
        <w:spacing w:line="384" w:lineRule="auto"/>
        <w:rPr>
          <w:rFonts w:ascii="宋体" w:hAnsi="宋体"/>
          <w:sz w:val="24"/>
          <w:szCs w:val="24"/>
        </w:rPr>
      </w:pPr>
    </w:p>
    <w:p>
      <w:pPr>
        <w:shd w:val="clear" w:color="auto" w:fill="FFFFFF"/>
        <w:snapToGrid w:val="0"/>
        <w:spacing w:line="384" w:lineRule="auto"/>
        <w:rPr>
          <w:rFonts w:ascii="宋体"/>
          <w:sz w:val="24"/>
          <w:szCs w:val="24"/>
        </w:rPr>
      </w:pPr>
      <w:r>
        <w:rPr>
          <w:rFonts w:hint="eastAsia" w:ascii="宋体" w:hAnsi="宋体"/>
          <w:sz w:val="24"/>
          <w:szCs w:val="24"/>
        </w:rPr>
        <w:t>致：（采购人名称）</w:t>
      </w:r>
    </w:p>
    <w:p>
      <w:pPr>
        <w:shd w:val="clear" w:color="auto" w:fill="FFFFFF"/>
        <w:snapToGrid w:val="0"/>
        <w:spacing w:line="384" w:lineRule="auto"/>
        <w:rPr>
          <w:rFonts w:ascii="宋体"/>
          <w:sz w:val="24"/>
          <w:szCs w:val="24"/>
        </w:rPr>
      </w:pPr>
    </w:p>
    <w:p>
      <w:pPr>
        <w:shd w:val="clear" w:color="auto" w:fill="FFFFFF"/>
        <w:snapToGrid w:val="0"/>
        <w:spacing w:line="384" w:lineRule="auto"/>
        <w:ind w:firstLine="420"/>
        <w:rPr>
          <w:rFonts w:ascii="宋体"/>
          <w:sz w:val="24"/>
          <w:szCs w:val="24"/>
        </w:rPr>
      </w:pPr>
      <w:r>
        <w:rPr>
          <w:rFonts w:hint="eastAsia" w:ascii="宋体" w:hAnsi="宋体"/>
          <w:sz w:val="24"/>
          <w:szCs w:val="24"/>
        </w:rPr>
        <w:t>为响应（招标项目标段名称）招标文件的要求，我方作为本次投标货物的</w:t>
      </w:r>
      <w:r>
        <w:rPr>
          <w:rFonts w:hint="eastAsia" w:ascii="宋体" w:hAnsi="宋体"/>
          <w:b/>
          <w:sz w:val="24"/>
          <w:szCs w:val="24"/>
          <w:u w:val="single"/>
        </w:rPr>
        <w:t>（制造商、代理商或经销商）</w:t>
      </w:r>
      <w:r>
        <w:rPr>
          <w:rFonts w:hint="eastAsia" w:ascii="宋体" w:hAnsi="宋体"/>
          <w:sz w:val="24"/>
          <w:szCs w:val="24"/>
        </w:rPr>
        <w:t>，提交如下资料和信息，并声明下述全部资料和信息是真实和准确的。</w:t>
      </w:r>
    </w:p>
    <w:p>
      <w:pPr>
        <w:shd w:val="clear" w:color="auto" w:fill="FFFFFF"/>
        <w:snapToGrid w:val="0"/>
        <w:spacing w:line="384" w:lineRule="auto"/>
        <w:rPr>
          <w:rFonts w:ascii="宋体" w:hAnsi="宋体"/>
          <w:sz w:val="24"/>
          <w:szCs w:val="24"/>
        </w:rPr>
      </w:pPr>
      <w:r>
        <w:rPr>
          <w:rFonts w:hint="eastAsia" w:ascii="宋体" w:hAnsi="宋体"/>
          <w:sz w:val="24"/>
          <w:szCs w:val="24"/>
        </w:rPr>
        <w:t>1、投标人基本情况表</w:t>
      </w:r>
    </w:p>
    <w:p>
      <w:pPr>
        <w:shd w:val="clear" w:color="auto" w:fill="FFFFFF"/>
        <w:snapToGrid w:val="0"/>
        <w:spacing w:line="384" w:lineRule="auto"/>
        <w:rPr>
          <w:rFonts w:ascii="宋体" w:hAnsi="宋体"/>
          <w:sz w:val="24"/>
          <w:szCs w:val="24"/>
        </w:rPr>
      </w:pPr>
      <w:r>
        <w:rPr>
          <w:rFonts w:hint="eastAsia" w:ascii="宋体" w:hAnsi="宋体"/>
          <w:sz w:val="24"/>
          <w:szCs w:val="24"/>
        </w:rPr>
        <w:t>2、投标货物生产能力说明（如有时，制造商提供）</w:t>
      </w:r>
    </w:p>
    <w:p>
      <w:pPr>
        <w:shd w:val="clear" w:color="auto" w:fill="FFFFFF"/>
        <w:snapToGrid w:val="0"/>
        <w:spacing w:line="384" w:lineRule="auto"/>
        <w:rPr>
          <w:rFonts w:ascii="宋体" w:hAnsi="宋体"/>
          <w:sz w:val="24"/>
          <w:szCs w:val="24"/>
        </w:rPr>
      </w:pPr>
      <w:r>
        <w:rPr>
          <w:rFonts w:hint="eastAsia" w:ascii="宋体" w:hAnsi="宋体"/>
          <w:sz w:val="24"/>
          <w:szCs w:val="24"/>
        </w:rPr>
        <w:t>3、制造商授权书（如有时，代理商或经销商提供）</w:t>
      </w:r>
    </w:p>
    <w:p>
      <w:pPr>
        <w:shd w:val="clear" w:color="auto" w:fill="FFFFFF"/>
        <w:snapToGrid w:val="0"/>
        <w:spacing w:line="384" w:lineRule="auto"/>
        <w:rPr>
          <w:rFonts w:ascii="宋体" w:hAnsi="宋体"/>
          <w:sz w:val="24"/>
          <w:szCs w:val="24"/>
        </w:rPr>
      </w:pPr>
      <w:r>
        <w:rPr>
          <w:rFonts w:hint="eastAsia" w:ascii="宋体" w:hAnsi="宋体"/>
          <w:sz w:val="24"/>
          <w:szCs w:val="24"/>
        </w:rPr>
        <w:t>4、投标人近年类似供货项目情况表</w:t>
      </w: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widowControl/>
        <w:spacing w:line="360" w:lineRule="auto"/>
        <w:jc w:val="center"/>
        <w:textAlignment w:val="center"/>
        <w:rPr>
          <w:rFonts w:ascii="宋体" w:hAnsi="宋体" w:cs="宋体"/>
          <w:b/>
          <w:sz w:val="24"/>
          <w:szCs w:val="24"/>
        </w:rPr>
      </w:pPr>
    </w:p>
    <w:p>
      <w:pPr>
        <w:rPr>
          <w:rFonts w:ascii="宋体" w:hAnsi="宋体" w:cs="Arial"/>
          <w:b/>
          <w:bCs/>
          <w:kern w:val="0"/>
          <w:sz w:val="24"/>
          <w:szCs w:val="24"/>
        </w:rPr>
      </w:pPr>
      <w:r>
        <w:rPr>
          <w:rFonts w:hint="eastAsia" w:ascii="宋体" w:hAnsi="宋体" w:cs="Arial"/>
          <w:b/>
          <w:bCs/>
          <w:kern w:val="0"/>
          <w:sz w:val="24"/>
          <w:szCs w:val="24"/>
        </w:rPr>
        <w:t>5.2.14. 投标人近3年类似项目业绩情况表</w:t>
      </w:r>
    </w:p>
    <w:p>
      <w:pPr>
        <w:jc w:val="center"/>
        <w:rPr>
          <w:b/>
          <w:bCs/>
          <w:sz w:val="32"/>
          <w:szCs w:val="32"/>
        </w:rPr>
      </w:pPr>
    </w:p>
    <w:p>
      <w:pPr>
        <w:jc w:val="center"/>
        <w:rPr>
          <w:b/>
          <w:bCs/>
          <w:sz w:val="32"/>
          <w:szCs w:val="32"/>
        </w:rPr>
      </w:pPr>
      <w:r>
        <w:rPr>
          <w:rFonts w:hint="eastAsia"/>
          <w:b/>
          <w:bCs/>
          <w:sz w:val="32"/>
          <w:szCs w:val="32"/>
        </w:rPr>
        <w:t>投标人近3年类似项目业绩情况表</w:t>
      </w:r>
    </w:p>
    <w:tbl>
      <w:tblPr>
        <w:tblStyle w:val="20"/>
        <w:tblW w:w="918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3032"/>
        <w:gridCol w:w="614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项目名称</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采购人名称</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采购人地址</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采购人联系人及电话</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签约日期</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合同价格</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备注</w:t>
            </w:r>
          </w:p>
        </w:tc>
        <w:tc>
          <w:tcPr>
            <w:tcW w:w="6148" w:type="dxa"/>
            <w:noWrap/>
            <w:vAlign w:val="center"/>
          </w:tcPr>
          <w:p>
            <w:pPr>
              <w:jc w:val="center"/>
              <w:rPr>
                <w:rFonts w:ascii="宋体"/>
                <w:sz w:val="24"/>
                <w:szCs w:val="24"/>
              </w:rPr>
            </w:pPr>
          </w:p>
        </w:tc>
      </w:tr>
    </w:tbl>
    <w:p>
      <w:pPr>
        <w:spacing w:line="360" w:lineRule="auto"/>
        <w:jc w:val="left"/>
        <w:rPr>
          <w:rFonts w:ascii="宋体"/>
          <w:sz w:val="24"/>
          <w:szCs w:val="24"/>
        </w:rPr>
      </w:pPr>
      <w:r>
        <w:rPr>
          <w:rFonts w:hint="eastAsia" w:ascii="宋体" w:hAnsi="宋体"/>
          <w:sz w:val="24"/>
          <w:szCs w:val="24"/>
        </w:rPr>
        <w:t>备注：</w:t>
      </w:r>
    </w:p>
    <w:p>
      <w:pPr>
        <w:spacing w:line="360" w:lineRule="auto"/>
        <w:jc w:val="left"/>
        <w:rPr>
          <w:rFonts w:ascii="宋体"/>
          <w:sz w:val="24"/>
          <w:szCs w:val="24"/>
        </w:rPr>
      </w:pPr>
      <w:r>
        <w:rPr>
          <w:rFonts w:hint="eastAsia" w:ascii="宋体"/>
          <w:sz w:val="24"/>
          <w:szCs w:val="24"/>
        </w:rPr>
        <w:t>1、本表后须附类似业绩的证明资料（中标通知书或合同复印件）</w:t>
      </w:r>
    </w:p>
    <w:p>
      <w:pPr>
        <w:spacing w:line="360" w:lineRule="auto"/>
        <w:jc w:val="left"/>
        <w:rPr>
          <w:rFonts w:ascii="宋体"/>
          <w:sz w:val="24"/>
          <w:szCs w:val="24"/>
        </w:rPr>
      </w:pPr>
      <w:r>
        <w:rPr>
          <w:rFonts w:hint="eastAsia" w:ascii="宋体"/>
          <w:sz w:val="24"/>
          <w:szCs w:val="24"/>
        </w:rPr>
        <w:t>2、具体年份要求： 20</w:t>
      </w:r>
      <w:r>
        <w:rPr>
          <w:rFonts w:hint="eastAsia" w:ascii="宋体"/>
          <w:sz w:val="24"/>
          <w:szCs w:val="24"/>
          <w:lang w:val="en-US" w:eastAsia="zh-CN"/>
        </w:rPr>
        <w:t>20</w:t>
      </w:r>
      <w:r>
        <w:rPr>
          <w:rFonts w:hint="eastAsia" w:ascii="宋体"/>
          <w:sz w:val="24"/>
          <w:szCs w:val="24"/>
        </w:rPr>
        <w:t>年、202</w:t>
      </w:r>
      <w:r>
        <w:rPr>
          <w:rFonts w:hint="eastAsia" w:ascii="宋体"/>
          <w:sz w:val="24"/>
          <w:szCs w:val="24"/>
          <w:lang w:val="en-US" w:eastAsia="zh-CN"/>
        </w:rPr>
        <w:t>1</w:t>
      </w:r>
      <w:r>
        <w:rPr>
          <w:rFonts w:hint="eastAsia" w:ascii="宋体"/>
          <w:sz w:val="24"/>
          <w:szCs w:val="24"/>
        </w:rPr>
        <w:t>年、202</w:t>
      </w:r>
      <w:r>
        <w:rPr>
          <w:rFonts w:hint="eastAsia" w:ascii="宋体"/>
          <w:sz w:val="24"/>
          <w:szCs w:val="24"/>
          <w:lang w:val="en-US" w:eastAsia="zh-CN"/>
        </w:rPr>
        <w:t>2</w:t>
      </w:r>
      <w:r>
        <w:rPr>
          <w:rFonts w:hint="eastAsia" w:ascii="宋体"/>
          <w:sz w:val="24"/>
          <w:szCs w:val="24"/>
        </w:rPr>
        <w:t xml:space="preserve">年 </w:t>
      </w:r>
    </w:p>
    <w:p>
      <w:pPr>
        <w:spacing w:line="360" w:lineRule="auto"/>
        <w:jc w:val="left"/>
        <w:rPr>
          <w:rFonts w:ascii="宋体"/>
          <w:sz w:val="24"/>
          <w:szCs w:val="24"/>
        </w:rPr>
      </w:pPr>
      <w:r>
        <w:rPr>
          <w:rFonts w:hint="eastAsia" w:ascii="宋体"/>
          <w:sz w:val="24"/>
          <w:szCs w:val="24"/>
        </w:rPr>
        <w:t>3、每张表格只填写一个项目的信息，并注明序号。</w:t>
      </w:r>
    </w:p>
    <w:p>
      <w:pPr>
        <w:widowControl/>
        <w:shd w:val="clear" w:color="auto" w:fill="FFFFFF"/>
        <w:wordWrap w:val="0"/>
        <w:snapToGrid w:val="0"/>
        <w:jc w:val="right"/>
        <w:rPr>
          <w:rFonts w:ascii="宋体" w:cs="Arial"/>
          <w:kern w:val="0"/>
          <w:sz w:val="24"/>
          <w:szCs w:val="24"/>
        </w:rPr>
      </w:pPr>
    </w:p>
    <w:p>
      <w:pPr>
        <w:widowControl/>
        <w:shd w:val="clear" w:color="auto" w:fill="FFFFFF"/>
        <w:snapToGrid w:val="0"/>
        <w:jc w:val="right"/>
        <w:rPr>
          <w:rFonts w:ascii="宋体" w:cs="Arial"/>
          <w:kern w:val="0"/>
          <w:sz w:val="24"/>
          <w:szCs w:val="24"/>
        </w:rPr>
      </w:pPr>
    </w:p>
    <w:p>
      <w:pPr>
        <w:widowControl/>
        <w:shd w:val="clear" w:color="auto" w:fill="FFFFFF"/>
        <w:snapToGrid w:val="0"/>
        <w:jc w:val="right"/>
        <w:rPr>
          <w:rFonts w:ascii="宋体" w:cs="Arial"/>
          <w:kern w:val="0"/>
          <w:sz w:val="24"/>
          <w:szCs w:val="24"/>
        </w:rPr>
      </w:pPr>
    </w:p>
    <w:p>
      <w:pPr>
        <w:widowControl/>
        <w:shd w:val="clear" w:color="auto" w:fill="FFFFFF"/>
        <w:snapToGrid w:val="0"/>
        <w:jc w:val="right"/>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r>
        <w:rPr>
          <w:rFonts w:hint="eastAsia" w:ascii="宋体" w:hAnsi="宋体" w:cs="Arial"/>
          <w:b/>
          <w:bCs/>
          <w:kern w:val="0"/>
          <w:sz w:val="24"/>
          <w:szCs w:val="24"/>
        </w:rPr>
        <w:t>5.2.15.  供货计划</w:t>
      </w:r>
    </w:p>
    <w:p>
      <w:pPr>
        <w:spacing w:line="360" w:lineRule="auto"/>
        <w:jc w:val="center"/>
        <w:rPr>
          <w:b/>
          <w:bCs/>
          <w:sz w:val="32"/>
          <w:szCs w:val="32"/>
        </w:rPr>
      </w:pPr>
    </w:p>
    <w:p>
      <w:pPr>
        <w:spacing w:line="360" w:lineRule="auto"/>
        <w:jc w:val="center"/>
        <w:rPr>
          <w:b/>
          <w:bCs/>
          <w:sz w:val="32"/>
          <w:szCs w:val="32"/>
        </w:rPr>
      </w:pPr>
      <w:r>
        <w:rPr>
          <w:rFonts w:hint="eastAsia"/>
          <w:b/>
          <w:bCs/>
          <w:sz w:val="32"/>
          <w:szCs w:val="32"/>
        </w:rPr>
        <w:t>供货计划</w:t>
      </w:r>
    </w:p>
    <w:p>
      <w:pPr>
        <w:spacing w:line="360" w:lineRule="auto"/>
        <w:rPr>
          <w:sz w:val="24"/>
          <w:szCs w:val="24"/>
        </w:rPr>
      </w:pPr>
      <w:r>
        <w:rPr>
          <w:rFonts w:hint="eastAsia"/>
          <w:sz w:val="24"/>
          <w:szCs w:val="24"/>
        </w:rPr>
        <w:t>投标人根据企业自身情况编制供货详则。</w:t>
      </w:r>
    </w:p>
    <w:p>
      <w:pPr>
        <w:widowControl/>
        <w:jc w:val="center"/>
        <w:textAlignment w:val="center"/>
        <w:rPr>
          <w:rFonts w:ascii="宋体" w:hAnsi="宋体" w:cs="宋体"/>
          <w:b/>
          <w:sz w:val="30"/>
          <w:szCs w:val="30"/>
        </w:rPr>
      </w:pPr>
    </w:p>
    <w:p>
      <w:pPr>
        <w:widowControl/>
        <w:jc w:val="center"/>
        <w:textAlignment w:val="center"/>
        <w:rPr>
          <w:rFonts w:ascii="宋体" w:hAnsi="宋体" w:cs="宋体"/>
          <w:b/>
          <w:sz w:val="30"/>
          <w:szCs w:val="30"/>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t>5.2.16  服务方案</w:t>
      </w:r>
    </w:p>
    <w:p>
      <w:pPr>
        <w:pStyle w:val="2"/>
        <w:jc w:val="center"/>
        <w:rPr>
          <w:b/>
          <w:bCs/>
          <w:sz w:val="32"/>
          <w:szCs w:val="32"/>
        </w:rPr>
      </w:pPr>
    </w:p>
    <w:p>
      <w:pPr>
        <w:pStyle w:val="2"/>
        <w:jc w:val="center"/>
      </w:pPr>
      <w:r>
        <w:rPr>
          <w:rFonts w:hint="eastAsia"/>
          <w:b/>
          <w:bCs/>
          <w:sz w:val="32"/>
          <w:szCs w:val="32"/>
        </w:rPr>
        <w:t>服务方案</w:t>
      </w:r>
    </w:p>
    <w:p>
      <w:pPr>
        <w:pStyle w:val="2"/>
        <w:ind w:firstLine="480" w:firstLineChars="200"/>
        <w:rPr>
          <w:bCs/>
          <w:sz w:val="24"/>
          <w:szCs w:val="24"/>
        </w:rPr>
      </w:pPr>
      <w:r>
        <w:rPr>
          <w:rFonts w:hint="eastAsia" w:cs="宋体"/>
          <w:bCs/>
          <w:sz w:val="24"/>
          <w:szCs w:val="24"/>
        </w:rPr>
        <w:t>投标人根据此次项目实际需求，制定具体的供货服务方案。</w:t>
      </w: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t>5.2.17.  其他需要提交的资料</w:t>
      </w:r>
    </w:p>
    <w:p>
      <w:pPr>
        <w:spacing w:line="360" w:lineRule="auto"/>
        <w:jc w:val="center"/>
        <w:rPr>
          <w:b/>
          <w:bCs/>
          <w:sz w:val="32"/>
          <w:szCs w:val="32"/>
        </w:rPr>
      </w:pPr>
      <w:r>
        <w:rPr>
          <w:rFonts w:hint="eastAsia"/>
          <w:b/>
          <w:bCs/>
          <w:sz w:val="32"/>
          <w:szCs w:val="32"/>
        </w:rPr>
        <w:t>其他需要提交的资料</w:t>
      </w:r>
    </w:p>
    <w:p>
      <w:pPr>
        <w:spacing w:line="360" w:lineRule="auto"/>
        <w:rPr>
          <w:sz w:val="24"/>
          <w:szCs w:val="24"/>
        </w:rPr>
      </w:pPr>
      <w:r>
        <w:rPr>
          <w:rFonts w:hint="eastAsia"/>
          <w:sz w:val="24"/>
          <w:szCs w:val="24"/>
        </w:rPr>
        <w:t>根据招标文件的要求和投标人认为需要提供的资料。</w:t>
      </w:r>
    </w:p>
    <w:p>
      <w:pPr>
        <w:spacing w:line="440" w:lineRule="exact"/>
        <w:jc w:val="both"/>
        <w:outlineLvl w:val="0"/>
        <w:rPr>
          <w:rFonts w:ascii="宋体" w:hAnsi="宋体" w:cs="宋体"/>
          <w:b/>
          <w:sz w:val="24"/>
          <w:szCs w:val="24"/>
        </w:rPr>
      </w:pPr>
    </w:p>
    <w:p>
      <w:pPr>
        <w:spacing w:line="360" w:lineRule="auto"/>
        <w:rPr>
          <w:rFonts w:ascii="宋体" w:hAnsi="宋体" w:cs="宋体"/>
          <w:b/>
          <w:bCs/>
        </w:rPr>
      </w:pPr>
      <w:bookmarkStart w:id="90" w:name="_Toc8104"/>
      <w:bookmarkStart w:id="91" w:name="_Toc22054"/>
    </w:p>
    <w:bookmarkEnd w:id="90"/>
    <w:bookmarkEnd w:id="91"/>
    <w:p>
      <w:pPr>
        <w:ind w:firstLine="720" w:firstLineChars="300"/>
        <w:rPr>
          <w:rFonts w:asciiTheme="minorEastAsia" w:hAnsiTheme="minorEastAsia" w:eastAsiaTheme="minorEastAsia" w:cstheme="minorEastAsia"/>
          <w:sz w:val="24"/>
          <w:szCs w:val="24"/>
        </w:rPr>
      </w:pPr>
    </w:p>
    <w:sectPr>
      <w:footerReference r:id="rId5" w:type="default"/>
      <w:pgSz w:w="11906" w:h="16838"/>
      <w:pgMar w:top="1134" w:right="1418" w:bottom="1134" w:left="1418" w:header="851" w:footer="992" w:gutter="0"/>
      <w:pgNumType w:fmt="decimal"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rPr>
        <w:rFonts w:ascii="宋体" w:hAnsi="宋体"/>
        <w:sz w:val="30"/>
        <w:szCs w:val="30"/>
      </w:rPr>
    </w:pPr>
  </w:p>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rPr>
        <w:rFonts w:ascii="宋体" w:hAnsi="宋体"/>
        <w:sz w:val="30"/>
        <w:szCs w:val="30"/>
      </w:rPr>
    </w:pPr>
    <w:r>
      <w:rPr>
        <w:sz w:val="30"/>
      </w:rPr>
      <w:pict>
        <v:shape id="_x0000_s2063" o:spid="_x0000_s2063"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3</w:t>
                </w:r>
                <w:r>
                  <w:fldChar w:fldCharType="end"/>
                </w:r>
              </w:p>
            </w:txbxContent>
          </v:textbox>
        </v:shape>
      </w:pict>
    </w:r>
  </w:p>
  <w:p>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266842"/>
    <w:multiLevelType w:val="singleLevel"/>
    <w:tmpl w:val="EB266842"/>
    <w:lvl w:ilvl="0" w:tentative="0">
      <w:start w:val="2"/>
      <w:numFmt w:val="chineseCounting"/>
      <w:suff w:val="nothing"/>
      <w:lvlText w:val="（%1）"/>
      <w:lvlJc w:val="left"/>
      <w:rPr>
        <w:rFonts w:hint="eastAsia"/>
      </w:rPr>
    </w:lvl>
  </w:abstractNum>
  <w:abstractNum w:abstractNumId="1">
    <w:nsid w:val="F2BF7A9B"/>
    <w:multiLevelType w:val="singleLevel"/>
    <w:tmpl w:val="F2BF7A9B"/>
    <w:lvl w:ilvl="0" w:tentative="0">
      <w:start w:val="1"/>
      <w:numFmt w:val="chineseCounting"/>
      <w:suff w:val="space"/>
      <w:lvlText w:val="第%1节"/>
      <w:lvlJc w:val="left"/>
      <w:rPr>
        <w:rFonts w:hint="eastAsia"/>
      </w:rPr>
    </w:lvl>
  </w:abstractNum>
  <w:abstractNum w:abstractNumId="2">
    <w:nsid w:val="FDE47DAE"/>
    <w:multiLevelType w:val="singleLevel"/>
    <w:tmpl w:val="FDE47DAE"/>
    <w:lvl w:ilvl="0" w:tentative="0">
      <w:start w:val="3"/>
      <w:numFmt w:val="decimal"/>
      <w:suff w:val="nothing"/>
      <w:lvlText w:val="%1、"/>
      <w:lvlJc w:val="left"/>
    </w:lvl>
  </w:abstractNum>
  <w:abstractNum w:abstractNumId="3">
    <w:nsid w:val="0000000D"/>
    <w:multiLevelType w:val="multilevel"/>
    <w:tmpl w:val="0000000D"/>
    <w:lvl w:ilvl="0" w:tentative="0">
      <w:start w:val="1"/>
      <w:numFmt w:val="decimal"/>
      <w:pStyle w:val="10"/>
      <w:lvlText w:val="%1."/>
      <w:lvlJc w:val="left"/>
      <w:pPr>
        <w:tabs>
          <w:tab w:val="left" w:pos="780"/>
        </w:tabs>
        <w:ind w:left="790" w:hanging="430"/>
      </w:pPr>
      <w:rPr>
        <w:rFonts w:hint="eastAsia"/>
      </w:rPr>
    </w:lvl>
    <w:lvl w:ilvl="1" w:tentative="0">
      <w:start w:val="1"/>
      <w:numFmt w:val="decimal"/>
      <w:lvlText w:val="%1.%2"/>
      <w:lvlJc w:val="left"/>
      <w:pPr>
        <w:tabs>
          <w:tab w:val="left" w:pos="880"/>
        </w:tabs>
        <w:ind w:left="880" w:hanging="700"/>
      </w:pPr>
      <w:rPr>
        <w:rFonts w:ascii="宋体" w:hAnsi="宋体" w:eastAsia="宋体" w:cs="Times New Roman"/>
        <w:lang w:val="en-US"/>
      </w:rPr>
    </w:lvl>
    <w:lvl w:ilvl="2" w:tentative="0">
      <w:start w:val="1"/>
      <w:numFmt w:val="decimal"/>
      <w:lvlText w:val="%1.%2.%3"/>
      <w:lvlJc w:val="left"/>
      <w:pPr>
        <w:tabs>
          <w:tab w:val="left" w:pos="1360"/>
        </w:tabs>
        <w:ind w:left="1360" w:hanging="1000"/>
      </w:pPr>
      <w:rPr>
        <w:rFonts w:hint="eastAsia"/>
      </w:rPr>
    </w:lvl>
    <w:lvl w:ilvl="3" w:tentative="0">
      <w:start w:val="1"/>
      <w:numFmt w:val="decimal"/>
      <w:lvlText w:val="%1.%2.%3.%4"/>
      <w:lvlJc w:val="left"/>
      <w:pPr>
        <w:tabs>
          <w:tab w:val="left" w:pos="360"/>
        </w:tabs>
        <w:ind w:left="2344" w:hanging="1984"/>
      </w:pPr>
      <w:rPr>
        <w:rFonts w:hint="eastAsia"/>
      </w:rPr>
    </w:lvl>
    <w:lvl w:ilvl="4" w:tentative="0">
      <w:start w:val="1"/>
      <w:numFmt w:val="decimal"/>
      <w:lvlText w:val="%1.%2.%3.%4.%5"/>
      <w:lvlJc w:val="left"/>
      <w:pPr>
        <w:tabs>
          <w:tab w:val="left" w:pos="2911"/>
        </w:tabs>
        <w:ind w:left="2911" w:hanging="850"/>
      </w:pPr>
      <w:rPr>
        <w:rFonts w:hint="eastAsia"/>
      </w:rPr>
    </w:lvl>
    <w:lvl w:ilvl="5" w:tentative="0">
      <w:start w:val="1"/>
      <w:numFmt w:val="decimal"/>
      <w:lvlText w:val="%1.%2.%3.%4.%5.%6"/>
      <w:lvlJc w:val="left"/>
      <w:pPr>
        <w:tabs>
          <w:tab w:val="left" w:pos="3620"/>
        </w:tabs>
        <w:ind w:left="3620" w:hanging="1134"/>
      </w:pPr>
      <w:rPr>
        <w:rFonts w:hint="eastAsia"/>
      </w:rPr>
    </w:lvl>
    <w:lvl w:ilvl="6" w:tentative="0">
      <w:start w:val="1"/>
      <w:numFmt w:val="decimal"/>
      <w:lvlText w:val="%1.%2.%3.%4.%5.%6.%7"/>
      <w:lvlJc w:val="left"/>
      <w:pPr>
        <w:tabs>
          <w:tab w:val="left" w:pos="4187"/>
        </w:tabs>
        <w:ind w:left="4187" w:hanging="1276"/>
      </w:pPr>
      <w:rPr>
        <w:rFonts w:hint="eastAsia"/>
      </w:rPr>
    </w:lvl>
    <w:lvl w:ilvl="7" w:tentative="0">
      <w:start w:val="1"/>
      <w:numFmt w:val="decimal"/>
      <w:lvlText w:val="%1.%2.%3.%4.%5.%6.%7.%8"/>
      <w:lvlJc w:val="left"/>
      <w:pPr>
        <w:tabs>
          <w:tab w:val="left" w:pos="4754"/>
        </w:tabs>
        <w:ind w:left="4754" w:hanging="1418"/>
      </w:pPr>
      <w:rPr>
        <w:rFonts w:hint="eastAsia"/>
      </w:rPr>
    </w:lvl>
    <w:lvl w:ilvl="8" w:tentative="0">
      <w:start w:val="1"/>
      <w:numFmt w:val="decimal"/>
      <w:lvlText w:val="%1.%2.%3.%4.%5.%6.%7.%8.%9"/>
      <w:lvlJc w:val="left"/>
      <w:pPr>
        <w:tabs>
          <w:tab w:val="left" w:pos="5462"/>
        </w:tabs>
        <w:ind w:left="5462" w:hanging="1700"/>
      </w:pPr>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VhZjllOWZmNzFlZGRiMzk5OTI1OTY5MGUxMzU5ZDMifQ=="/>
    <w:docVar w:name="KSO_WPS_MARK_KEY" w:val="ddda2eb1-ad4c-4307-8cf2-10b530e7ab2a"/>
  </w:docVars>
  <w:rsids>
    <w:rsidRoot w:val="00C67C9F"/>
    <w:rsid w:val="000101D2"/>
    <w:rsid w:val="0002695D"/>
    <w:rsid w:val="00081F04"/>
    <w:rsid w:val="000F0E5F"/>
    <w:rsid w:val="00101476"/>
    <w:rsid w:val="001E5056"/>
    <w:rsid w:val="0028522F"/>
    <w:rsid w:val="002A24D7"/>
    <w:rsid w:val="002A2B0B"/>
    <w:rsid w:val="00404FD1"/>
    <w:rsid w:val="00425D03"/>
    <w:rsid w:val="00470E9B"/>
    <w:rsid w:val="004732C3"/>
    <w:rsid w:val="004B167E"/>
    <w:rsid w:val="004C3C5F"/>
    <w:rsid w:val="00505BB2"/>
    <w:rsid w:val="00522BA3"/>
    <w:rsid w:val="005F42E4"/>
    <w:rsid w:val="006E5341"/>
    <w:rsid w:val="0070210C"/>
    <w:rsid w:val="00710F62"/>
    <w:rsid w:val="00745A76"/>
    <w:rsid w:val="007D211B"/>
    <w:rsid w:val="008670BB"/>
    <w:rsid w:val="00884CA1"/>
    <w:rsid w:val="008C7679"/>
    <w:rsid w:val="008E5A91"/>
    <w:rsid w:val="0093118D"/>
    <w:rsid w:val="00937D63"/>
    <w:rsid w:val="00990764"/>
    <w:rsid w:val="009D5FFE"/>
    <w:rsid w:val="00A66E20"/>
    <w:rsid w:val="00AB1178"/>
    <w:rsid w:val="00AD75A8"/>
    <w:rsid w:val="00AE4E5E"/>
    <w:rsid w:val="00B66AE3"/>
    <w:rsid w:val="00BC2D12"/>
    <w:rsid w:val="00C67C9F"/>
    <w:rsid w:val="00C951D5"/>
    <w:rsid w:val="00CF4EDC"/>
    <w:rsid w:val="00FB1E72"/>
    <w:rsid w:val="01106E57"/>
    <w:rsid w:val="01156984"/>
    <w:rsid w:val="01675578"/>
    <w:rsid w:val="016E2F6B"/>
    <w:rsid w:val="01746304"/>
    <w:rsid w:val="017B3E79"/>
    <w:rsid w:val="01AC0DBD"/>
    <w:rsid w:val="01BD4CC9"/>
    <w:rsid w:val="01C26EF9"/>
    <w:rsid w:val="01CF7B30"/>
    <w:rsid w:val="01D0713C"/>
    <w:rsid w:val="01D36FDF"/>
    <w:rsid w:val="02214C05"/>
    <w:rsid w:val="025232AE"/>
    <w:rsid w:val="02624F82"/>
    <w:rsid w:val="027438FD"/>
    <w:rsid w:val="027C6319"/>
    <w:rsid w:val="027D248A"/>
    <w:rsid w:val="02B32C00"/>
    <w:rsid w:val="02BF017A"/>
    <w:rsid w:val="02D05652"/>
    <w:rsid w:val="03105289"/>
    <w:rsid w:val="03142E6D"/>
    <w:rsid w:val="031713E0"/>
    <w:rsid w:val="0336442F"/>
    <w:rsid w:val="033C0578"/>
    <w:rsid w:val="034867F5"/>
    <w:rsid w:val="03590878"/>
    <w:rsid w:val="037D76E5"/>
    <w:rsid w:val="03851B39"/>
    <w:rsid w:val="03862072"/>
    <w:rsid w:val="03AC6FB5"/>
    <w:rsid w:val="03AD0EA7"/>
    <w:rsid w:val="03B56022"/>
    <w:rsid w:val="03FC58EC"/>
    <w:rsid w:val="04087093"/>
    <w:rsid w:val="041B51E5"/>
    <w:rsid w:val="042B3F46"/>
    <w:rsid w:val="043E5F35"/>
    <w:rsid w:val="045811A3"/>
    <w:rsid w:val="046571BB"/>
    <w:rsid w:val="04726EBD"/>
    <w:rsid w:val="04762336"/>
    <w:rsid w:val="04781A0B"/>
    <w:rsid w:val="047C1BC0"/>
    <w:rsid w:val="049D3B84"/>
    <w:rsid w:val="04A17A95"/>
    <w:rsid w:val="04A81002"/>
    <w:rsid w:val="04D8063D"/>
    <w:rsid w:val="04DF34EE"/>
    <w:rsid w:val="04F25266"/>
    <w:rsid w:val="04FC74A2"/>
    <w:rsid w:val="051F32C6"/>
    <w:rsid w:val="052F0EC2"/>
    <w:rsid w:val="05760974"/>
    <w:rsid w:val="059C24DE"/>
    <w:rsid w:val="05B34A99"/>
    <w:rsid w:val="05B61068"/>
    <w:rsid w:val="05C7138E"/>
    <w:rsid w:val="05C77EFD"/>
    <w:rsid w:val="05E037A1"/>
    <w:rsid w:val="05E42351"/>
    <w:rsid w:val="05FF5386"/>
    <w:rsid w:val="060379FA"/>
    <w:rsid w:val="06257AF4"/>
    <w:rsid w:val="064E586F"/>
    <w:rsid w:val="065339FA"/>
    <w:rsid w:val="066D40F0"/>
    <w:rsid w:val="06911475"/>
    <w:rsid w:val="06A05B53"/>
    <w:rsid w:val="06A905A2"/>
    <w:rsid w:val="06B56A05"/>
    <w:rsid w:val="06DC153A"/>
    <w:rsid w:val="06EA78A6"/>
    <w:rsid w:val="07054D61"/>
    <w:rsid w:val="0709226B"/>
    <w:rsid w:val="07222C2C"/>
    <w:rsid w:val="0733548C"/>
    <w:rsid w:val="07483715"/>
    <w:rsid w:val="07513355"/>
    <w:rsid w:val="075D46CE"/>
    <w:rsid w:val="075F61A7"/>
    <w:rsid w:val="078512C5"/>
    <w:rsid w:val="081650CC"/>
    <w:rsid w:val="08443035"/>
    <w:rsid w:val="0845459B"/>
    <w:rsid w:val="08456A73"/>
    <w:rsid w:val="08597FEE"/>
    <w:rsid w:val="087A0515"/>
    <w:rsid w:val="087A2A48"/>
    <w:rsid w:val="087F1432"/>
    <w:rsid w:val="087F6E85"/>
    <w:rsid w:val="0891435B"/>
    <w:rsid w:val="089F31D1"/>
    <w:rsid w:val="08CB470B"/>
    <w:rsid w:val="08CC705C"/>
    <w:rsid w:val="08E15F7E"/>
    <w:rsid w:val="08FB1AFE"/>
    <w:rsid w:val="09157581"/>
    <w:rsid w:val="091D2F0F"/>
    <w:rsid w:val="091E3A38"/>
    <w:rsid w:val="0923052E"/>
    <w:rsid w:val="09297745"/>
    <w:rsid w:val="09571D2F"/>
    <w:rsid w:val="09585C59"/>
    <w:rsid w:val="099871B0"/>
    <w:rsid w:val="099D19A2"/>
    <w:rsid w:val="09B22363"/>
    <w:rsid w:val="09B35997"/>
    <w:rsid w:val="09EA7A06"/>
    <w:rsid w:val="0A3F3D63"/>
    <w:rsid w:val="0A406813"/>
    <w:rsid w:val="0A42202D"/>
    <w:rsid w:val="0A425DEE"/>
    <w:rsid w:val="0A5A5AB5"/>
    <w:rsid w:val="0A637B1D"/>
    <w:rsid w:val="0A7B0640"/>
    <w:rsid w:val="0AA417AC"/>
    <w:rsid w:val="0AAB6A92"/>
    <w:rsid w:val="0AB106BD"/>
    <w:rsid w:val="0AE2150B"/>
    <w:rsid w:val="0B1E5812"/>
    <w:rsid w:val="0B290DCA"/>
    <w:rsid w:val="0B324E4B"/>
    <w:rsid w:val="0B58174C"/>
    <w:rsid w:val="0B6866B1"/>
    <w:rsid w:val="0B6F58DE"/>
    <w:rsid w:val="0BB24931"/>
    <w:rsid w:val="0BBA37C2"/>
    <w:rsid w:val="0BBE153E"/>
    <w:rsid w:val="0BF027CF"/>
    <w:rsid w:val="0C2C334D"/>
    <w:rsid w:val="0C4542D5"/>
    <w:rsid w:val="0C667328"/>
    <w:rsid w:val="0C8002E9"/>
    <w:rsid w:val="0C8F1898"/>
    <w:rsid w:val="0CC31F1E"/>
    <w:rsid w:val="0CE34456"/>
    <w:rsid w:val="0D067720"/>
    <w:rsid w:val="0D0968C0"/>
    <w:rsid w:val="0D0C3CC2"/>
    <w:rsid w:val="0D264C2F"/>
    <w:rsid w:val="0D282311"/>
    <w:rsid w:val="0D2F258C"/>
    <w:rsid w:val="0D340656"/>
    <w:rsid w:val="0D5A5F09"/>
    <w:rsid w:val="0D5F19D9"/>
    <w:rsid w:val="0D613D74"/>
    <w:rsid w:val="0D6B1C3D"/>
    <w:rsid w:val="0D735465"/>
    <w:rsid w:val="0D8526E6"/>
    <w:rsid w:val="0D8E70CB"/>
    <w:rsid w:val="0D963A03"/>
    <w:rsid w:val="0DB12227"/>
    <w:rsid w:val="0DB167B4"/>
    <w:rsid w:val="0DFD017F"/>
    <w:rsid w:val="0E00610A"/>
    <w:rsid w:val="0E303873"/>
    <w:rsid w:val="0E431DCF"/>
    <w:rsid w:val="0E436A73"/>
    <w:rsid w:val="0E5139F9"/>
    <w:rsid w:val="0E542C78"/>
    <w:rsid w:val="0E7E2C97"/>
    <w:rsid w:val="0EA07951"/>
    <w:rsid w:val="0EB72779"/>
    <w:rsid w:val="0ED415EF"/>
    <w:rsid w:val="0ED63EFE"/>
    <w:rsid w:val="0EDA10D3"/>
    <w:rsid w:val="0EE652FC"/>
    <w:rsid w:val="0F135AB3"/>
    <w:rsid w:val="0F45459B"/>
    <w:rsid w:val="0F472617"/>
    <w:rsid w:val="0F5B3242"/>
    <w:rsid w:val="0F7435BB"/>
    <w:rsid w:val="0F831B4B"/>
    <w:rsid w:val="0F843BE6"/>
    <w:rsid w:val="0F844F80"/>
    <w:rsid w:val="0FFC7994"/>
    <w:rsid w:val="10100090"/>
    <w:rsid w:val="101C0CE5"/>
    <w:rsid w:val="103030D9"/>
    <w:rsid w:val="105A5073"/>
    <w:rsid w:val="10630EBF"/>
    <w:rsid w:val="107C2DE4"/>
    <w:rsid w:val="1081031F"/>
    <w:rsid w:val="109B3FCF"/>
    <w:rsid w:val="11186317"/>
    <w:rsid w:val="113F379D"/>
    <w:rsid w:val="1144473C"/>
    <w:rsid w:val="11477335"/>
    <w:rsid w:val="11561999"/>
    <w:rsid w:val="11BF5164"/>
    <w:rsid w:val="12101FDE"/>
    <w:rsid w:val="12175551"/>
    <w:rsid w:val="122B4ED6"/>
    <w:rsid w:val="122D1FFC"/>
    <w:rsid w:val="12910975"/>
    <w:rsid w:val="12BF1302"/>
    <w:rsid w:val="12C62515"/>
    <w:rsid w:val="12D13364"/>
    <w:rsid w:val="12DD76F1"/>
    <w:rsid w:val="12F37B7D"/>
    <w:rsid w:val="1305572E"/>
    <w:rsid w:val="131D31DF"/>
    <w:rsid w:val="13493743"/>
    <w:rsid w:val="137A4B8E"/>
    <w:rsid w:val="138E5777"/>
    <w:rsid w:val="13921104"/>
    <w:rsid w:val="13C86586"/>
    <w:rsid w:val="13D058DD"/>
    <w:rsid w:val="13FE1599"/>
    <w:rsid w:val="1416258D"/>
    <w:rsid w:val="144962F8"/>
    <w:rsid w:val="1480253B"/>
    <w:rsid w:val="14B972A1"/>
    <w:rsid w:val="14D47131"/>
    <w:rsid w:val="151B0DE8"/>
    <w:rsid w:val="154C2C72"/>
    <w:rsid w:val="157674B2"/>
    <w:rsid w:val="15864624"/>
    <w:rsid w:val="15AD65AB"/>
    <w:rsid w:val="15B903FF"/>
    <w:rsid w:val="15CE3113"/>
    <w:rsid w:val="16013F56"/>
    <w:rsid w:val="160E35F4"/>
    <w:rsid w:val="161552A7"/>
    <w:rsid w:val="161E3C5E"/>
    <w:rsid w:val="162C5D78"/>
    <w:rsid w:val="16337568"/>
    <w:rsid w:val="164237B1"/>
    <w:rsid w:val="165F208D"/>
    <w:rsid w:val="167868A4"/>
    <w:rsid w:val="167D072F"/>
    <w:rsid w:val="16A10A6C"/>
    <w:rsid w:val="16B27943"/>
    <w:rsid w:val="16C74C50"/>
    <w:rsid w:val="16FC7116"/>
    <w:rsid w:val="1709242E"/>
    <w:rsid w:val="17173EF7"/>
    <w:rsid w:val="17273CAC"/>
    <w:rsid w:val="172E54EC"/>
    <w:rsid w:val="173E329D"/>
    <w:rsid w:val="17895948"/>
    <w:rsid w:val="17D03681"/>
    <w:rsid w:val="17E665A0"/>
    <w:rsid w:val="17F200CF"/>
    <w:rsid w:val="18241F60"/>
    <w:rsid w:val="185B2BD4"/>
    <w:rsid w:val="189B4425"/>
    <w:rsid w:val="189B6EDC"/>
    <w:rsid w:val="189C45A0"/>
    <w:rsid w:val="18A25957"/>
    <w:rsid w:val="18F643B4"/>
    <w:rsid w:val="18F739E8"/>
    <w:rsid w:val="19293523"/>
    <w:rsid w:val="19324B06"/>
    <w:rsid w:val="1938020B"/>
    <w:rsid w:val="198C73FE"/>
    <w:rsid w:val="1991446C"/>
    <w:rsid w:val="19B0572A"/>
    <w:rsid w:val="19B90620"/>
    <w:rsid w:val="1A3B0906"/>
    <w:rsid w:val="1A4904D7"/>
    <w:rsid w:val="1AD77FAB"/>
    <w:rsid w:val="1AEB473F"/>
    <w:rsid w:val="1AF11A33"/>
    <w:rsid w:val="1B002F23"/>
    <w:rsid w:val="1B0B2872"/>
    <w:rsid w:val="1B101DBF"/>
    <w:rsid w:val="1B431B24"/>
    <w:rsid w:val="1B5C1B76"/>
    <w:rsid w:val="1B89698E"/>
    <w:rsid w:val="1B8C154A"/>
    <w:rsid w:val="1B9E0372"/>
    <w:rsid w:val="1C1806F2"/>
    <w:rsid w:val="1C2161A4"/>
    <w:rsid w:val="1C576E13"/>
    <w:rsid w:val="1C8B2144"/>
    <w:rsid w:val="1CB533A4"/>
    <w:rsid w:val="1CE23B97"/>
    <w:rsid w:val="1CE341B6"/>
    <w:rsid w:val="1CF229F8"/>
    <w:rsid w:val="1CFC1AA8"/>
    <w:rsid w:val="1D0B588B"/>
    <w:rsid w:val="1D213362"/>
    <w:rsid w:val="1D4903EF"/>
    <w:rsid w:val="1D4D3819"/>
    <w:rsid w:val="1D534056"/>
    <w:rsid w:val="1D602215"/>
    <w:rsid w:val="1D74412F"/>
    <w:rsid w:val="1D896722"/>
    <w:rsid w:val="1D8C6352"/>
    <w:rsid w:val="1DB00EF5"/>
    <w:rsid w:val="1DB03BC0"/>
    <w:rsid w:val="1DB55A44"/>
    <w:rsid w:val="1DEB39CB"/>
    <w:rsid w:val="1DEC5119"/>
    <w:rsid w:val="1DFE2196"/>
    <w:rsid w:val="1E2851F8"/>
    <w:rsid w:val="1E390D6A"/>
    <w:rsid w:val="1E411D77"/>
    <w:rsid w:val="1EA638ED"/>
    <w:rsid w:val="1EB35418"/>
    <w:rsid w:val="1ECA3FF8"/>
    <w:rsid w:val="1EE66CDE"/>
    <w:rsid w:val="1F0422E7"/>
    <w:rsid w:val="1F232EC8"/>
    <w:rsid w:val="1F455F2A"/>
    <w:rsid w:val="1F6C1473"/>
    <w:rsid w:val="1F9279CD"/>
    <w:rsid w:val="1FBB33C8"/>
    <w:rsid w:val="1FC06F13"/>
    <w:rsid w:val="1FDF1A00"/>
    <w:rsid w:val="1FE556C1"/>
    <w:rsid w:val="20357E1D"/>
    <w:rsid w:val="2089543C"/>
    <w:rsid w:val="20B25534"/>
    <w:rsid w:val="20C6361D"/>
    <w:rsid w:val="20D60D3F"/>
    <w:rsid w:val="211C6188"/>
    <w:rsid w:val="21573813"/>
    <w:rsid w:val="215E59C0"/>
    <w:rsid w:val="21682C31"/>
    <w:rsid w:val="217B29A3"/>
    <w:rsid w:val="218D3000"/>
    <w:rsid w:val="218E3DD1"/>
    <w:rsid w:val="21924727"/>
    <w:rsid w:val="2197446D"/>
    <w:rsid w:val="21AC71AB"/>
    <w:rsid w:val="21AE6C6A"/>
    <w:rsid w:val="21B43731"/>
    <w:rsid w:val="21C0737A"/>
    <w:rsid w:val="21DF10F4"/>
    <w:rsid w:val="21E17873"/>
    <w:rsid w:val="21F8521D"/>
    <w:rsid w:val="222661B8"/>
    <w:rsid w:val="223647EE"/>
    <w:rsid w:val="223D6366"/>
    <w:rsid w:val="226B5145"/>
    <w:rsid w:val="22705F3E"/>
    <w:rsid w:val="22887B4A"/>
    <w:rsid w:val="22B97C07"/>
    <w:rsid w:val="22C56C61"/>
    <w:rsid w:val="22D02D95"/>
    <w:rsid w:val="22D06B69"/>
    <w:rsid w:val="22DD4E8C"/>
    <w:rsid w:val="22EF7EF7"/>
    <w:rsid w:val="231F7F08"/>
    <w:rsid w:val="232712BF"/>
    <w:rsid w:val="232B70FE"/>
    <w:rsid w:val="23564105"/>
    <w:rsid w:val="2366105C"/>
    <w:rsid w:val="2377724C"/>
    <w:rsid w:val="23B45313"/>
    <w:rsid w:val="23C85AE8"/>
    <w:rsid w:val="23DE27E2"/>
    <w:rsid w:val="23E558BC"/>
    <w:rsid w:val="241B71CF"/>
    <w:rsid w:val="241C0080"/>
    <w:rsid w:val="241C7EAF"/>
    <w:rsid w:val="24245BA0"/>
    <w:rsid w:val="243E799E"/>
    <w:rsid w:val="24557229"/>
    <w:rsid w:val="245B3D71"/>
    <w:rsid w:val="248F2E99"/>
    <w:rsid w:val="24942581"/>
    <w:rsid w:val="24AA3DF1"/>
    <w:rsid w:val="24B74FEF"/>
    <w:rsid w:val="24EA7A0E"/>
    <w:rsid w:val="25296017"/>
    <w:rsid w:val="25581892"/>
    <w:rsid w:val="257123C9"/>
    <w:rsid w:val="25B21AA2"/>
    <w:rsid w:val="25C16138"/>
    <w:rsid w:val="25E30971"/>
    <w:rsid w:val="26115711"/>
    <w:rsid w:val="261379CC"/>
    <w:rsid w:val="26272A0F"/>
    <w:rsid w:val="264F0C79"/>
    <w:rsid w:val="265040D3"/>
    <w:rsid w:val="26604740"/>
    <w:rsid w:val="268728BA"/>
    <w:rsid w:val="269E7CA7"/>
    <w:rsid w:val="26A75422"/>
    <w:rsid w:val="26BA6AF7"/>
    <w:rsid w:val="26D8294A"/>
    <w:rsid w:val="26D82DD5"/>
    <w:rsid w:val="26E36D60"/>
    <w:rsid w:val="26EB005C"/>
    <w:rsid w:val="27250246"/>
    <w:rsid w:val="275935A3"/>
    <w:rsid w:val="276C4254"/>
    <w:rsid w:val="278063CA"/>
    <w:rsid w:val="279055BE"/>
    <w:rsid w:val="27D16BFF"/>
    <w:rsid w:val="27DA002A"/>
    <w:rsid w:val="27F028AD"/>
    <w:rsid w:val="27F43717"/>
    <w:rsid w:val="27FB3EBE"/>
    <w:rsid w:val="280D1C94"/>
    <w:rsid w:val="28417BF2"/>
    <w:rsid w:val="28680229"/>
    <w:rsid w:val="287773A2"/>
    <w:rsid w:val="28AC6BA3"/>
    <w:rsid w:val="28BD1316"/>
    <w:rsid w:val="28BF0170"/>
    <w:rsid w:val="28C7226F"/>
    <w:rsid w:val="290D08D7"/>
    <w:rsid w:val="292535BA"/>
    <w:rsid w:val="292B08F8"/>
    <w:rsid w:val="2934593E"/>
    <w:rsid w:val="29357264"/>
    <w:rsid w:val="29613E1A"/>
    <w:rsid w:val="296A6DC3"/>
    <w:rsid w:val="296F6AF0"/>
    <w:rsid w:val="298C7352"/>
    <w:rsid w:val="29921110"/>
    <w:rsid w:val="29A57C2F"/>
    <w:rsid w:val="29B73FBB"/>
    <w:rsid w:val="29D53B52"/>
    <w:rsid w:val="2A0B607A"/>
    <w:rsid w:val="2A8366F8"/>
    <w:rsid w:val="2A9966F9"/>
    <w:rsid w:val="2ACB035D"/>
    <w:rsid w:val="2AE35384"/>
    <w:rsid w:val="2B0526DD"/>
    <w:rsid w:val="2B0609C0"/>
    <w:rsid w:val="2B0D669B"/>
    <w:rsid w:val="2B170BD2"/>
    <w:rsid w:val="2B2B4FCE"/>
    <w:rsid w:val="2B3C5133"/>
    <w:rsid w:val="2B50182D"/>
    <w:rsid w:val="2B6255AF"/>
    <w:rsid w:val="2B683CD1"/>
    <w:rsid w:val="2B85187A"/>
    <w:rsid w:val="2B980E17"/>
    <w:rsid w:val="2BA50982"/>
    <w:rsid w:val="2BAD70C5"/>
    <w:rsid w:val="2BCD2592"/>
    <w:rsid w:val="2BE02379"/>
    <w:rsid w:val="2BFE5EF4"/>
    <w:rsid w:val="2C04518B"/>
    <w:rsid w:val="2C0E3D97"/>
    <w:rsid w:val="2C0F3291"/>
    <w:rsid w:val="2C115F94"/>
    <w:rsid w:val="2C1C5152"/>
    <w:rsid w:val="2C221AC0"/>
    <w:rsid w:val="2C223330"/>
    <w:rsid w:val="2C390A4E"/>
    <w:rsid w:val="2C4018DD"/>
    <w:rsid w:val="2C516C21"/>
    <w:rsid w:val="2C7016A5"/>
    <w:rsid w:val="2C7A05B4"/>
    <w:rsid w:val="2C8D3392"/>
    <w:rsid w:val="2C8F317C"/>
    <w:rsid w:val="2CAE1BBE"/>
    <w:rsid w:val="2CB91913"/>
    <w:rsid w:val="2CE025E3"/>
    <w:rsid w:val="2CFB1F83"/>
    <w:rsid w:val="2D2F47E1"/>
    <w:rsid w:val="2D3D4DCC"/>
    <w:rsid w:val="2D5C5F79"/>
    <w:rsid w:val="2D5D7A22"/>
    <w:rsid w:val="2D6E2A3E"/>
    <w:rsid w:val="2D7771F9"/>
    <w:rsid w:val="2D7827F9"/>
    <w:rsid w:val="2D7F2692"/>
    <w:rsid w:val="2D977BD7"/>
    <w:rsid w:val="2D9E2129"/>
    <w:rsid w:val="2DA9483D"/>
    <w:rsid w:val="2DAE4C77"/>
    <w:rsid w:val="2DBC452D"/>
    <w:rsid w:val="2DBF44A0"/>
    <w:rsid w:val="2DFF4F32"/>
    <w:rsid w:val="2E2107DB"/>
    <w:rsid w:val="2E361396"/>
    <w:rsid w:val="2E3613BE"/>
    <w:rsid w:val="2E3A062B"/>
    <w:rsid w:val="2E4F50ED"/>
    <w:rsid w:val="2E5B740C"/>
    <w:rsid w:val="2E6F4444"/>
    <w:rsid w:val="2E8D2468"/>
    <w:rsid w:val="2E8D4E26"/>
    <w:rsid w:val="2E960737"/>
    <w:rsid w:val="2EC41D58"/>
    <w:rsid w:val="2EC705F2"/>
    <w:rsid w:val="2EDA2CA2"/>
    <w:rsid w:val="2EDE3B82"/>
    <w:rsid w:val="2EF01D6E"/>
    <w:rsid w:val="2EF577FA"/>
    <w:rsid w:val="2F015A77"/>
    <w:rsid w:val="2F2B3A41"/>
    <w:rsid w:val="2F6C2E0D"/>
    <w:rsid w:val="2F6D291B"/>
    <w:rsid w:val="2F8337D6"/>
    <w:rsid w:val="2FBD23AC"/>
    <w:rsid w:val="2FBE6486"/>
    <w:rsid w:val="2FD1610F"/>
    <w:rsid w:val="2FDD23AE"/>
    <w:rsid w:val="2FE50B90"/>
    <w:rsid w:val="2FEF3FE9"/>
    <w:rsid w:val="30093444"/>
    <w:rsid w:val="300E2218"/>
    <w:rsid w:val="307B7C41"/>
    <w:rsid w:val="30946CE0"/>
    <w:rsid w:val="30AF34A6"/>
    <w:rsid w:val="310149B3"/>
    <w:rsid w:val="31073E58"/>
    <w:rsid w:val="310821F9"/>
    <w:rsid w:val="31342A6B"/>
    <w:rsid w:val="31372458"/>
    <w:rsid w:val="314F6905"/>
    <w:rsid w:val="31565D8B"/>
    <w:rsid w:val="3170096F"/>
    <w:rsid w:val="318230E4"/>
    <w:rsid w:val="31BC1DAB"/>
    <w:rsid w:val="31CC10F8"/>
    <w:rsid w:val="31EC2C5D"/>
    <w:rsid w:val="31F16BA1"/>
    <w:rsid w:val="3204551A"/>
    <w:rsid w:val="320A08EE"/>
    <w:rsid w:val="322F72FD"/>
    <w:rsid w:val="32316B11"/>
    <w:rsid w:val="323B3057"/>
    <w:rsid w:val="32902485"/>
    <w:rsid w:val="32B15033"/>
    <w:rsid w:val="32C006E4"/>
    <w:rsid w:val="32C4038E"/>
    <w:rsid w:val="32C95244"/>
    <w:rsid w:val="32DC4AA5"/>
    <w:rsid w:val="33154BA1"/>
    <w:rsid w:val="3316226B"/>
    <w:rsid w:val="331C76A1"/>
    <w:rsid w:val="333B2EE8"/>
    <w:rsid w:val="336F6231"/>
    <w:rsid w:val="337D4A67"/>
    <w:rsid w:val="337E3B25"/>
    <w:rsid w:val="33B525C2"/>
    <w:rsid w:val="33D82C87"/>
    <w:rsid w:val="33D84DC7"/>
    <w:rsid w:val="33F22CA0"/>
    <w:rsid w:val="34137C61"/>
    <w:rsid w:val="343706EB"/>
    <w:rsid w:val="343B362F"/>
    <w:rsid w:val="34461F9D"/>
    <w:rsid w:val="34465BA7"/>
    <w:rsid w:val="3476000E"/>
    <w:rsid w:val="34827024"/>
    <w:rsid w:val="349037F8"/>
    <w:rsid w:val="349547C3"/>
    <w:rsid w:val="349C7FB4"/>
    <w:rsid w:val="35302754"/>
    <w:rsid w:val="353B1677"/>
    <w:rsid w:val="35604701"/>
    <w:rsid w:val="356367C8"/>
    <w:rsid w:val="3574422D"/>
    <w:rsid w:val="35AD1EA8"/>
    <w:rsid w:val="35E25229"/>
    <w:rsid w:val="35F871F3"/>
    <w:rsid w:val="36164594"/>
    <w:rsid w:val="362D39A7"/>
    <w:rsid w:val="363976F7"/>
    <w:rsid w:val="363E48D6"/>
    <w:rsid w:val="36660C86"/>
    <w:rsid w:val="367676D3"/>
    <w:rsid w:val="367C3368"/>
    <w:rsid w:val="36AD7624"/>
    <w:rsid w:val="373234FA"/>
    <w:rsid w:val="374372BC"/>
    <w:rsid w:val="375A24F7"/>
    <w:rsid w:val="375E6893"/>
    <w:rsid w:val="376917C0"/>
    <w:rsid w:val="37730F13"/>
    <w:rsid w:val="377917C2"/>
    <w:rsid w:val="378B76CC"/>
    <w:rsid w:val="379209F4"/>
    <w:rsid w:val="37A903E4"/>
    <w:rsid w:val="37A95147"/>
    <w:rsid w:val="37B50A29"/>
    <w:rsid w:val="37BC5AD7"/>
    <w:rsid w:val="37BD2102"/>
    <w:rsid w:val="37C54DD6"/>
    <w:rsid w:val="37D92D67"/>
    <w:rsid w:val="37DD5071"/>
    <w:rsid w:val="37EE6761"/>
    <w:rsid w:val="37FD13F1"/>
    <w:rsid w:val="38312326"/>
    <w:rsid w:val="3867644C"/>
    <w:rsid w:val="386E71B7"/>
    <w:rsid w:val="388A37EC"/>
    <w:rsid w:val="38AE3429"/>
    <w:rsid w:val="38CB2A24"/>
    <w:rsid w:val="38D56010"/>
    <w:rsid w:val="38E9076C"/>
    <w:rsid w:val="38F4108B"/>
    <w:rsid w:val="38F87876"/>
    <w:rsid w:val="392E02A7"/>
    <w:rsid w:val="393A4F06"/>
    <w:rsid w:val="393D31CA"/>
    <w:rsid w:val="39432003"/>
    <w:rsid w:val="39480F9F"/>
    <w:rsid w:val="3949091A"/>
    <w:rsid w:val="39585372"/>
    <w:rsid w:val="39842625"/>
    <w:rsid w:val="398B178F"/>
    <w:rsid w:val="39947BE9"/>
    <w:rsid w:val="39985BE4"/>
    <w:rsid w:val="39AC43A3"/>
    <w:rsid w:val="39B96528"/>
    <w:rsid w:val="39D67267"/>
    <w:rsid w:val="39EA4104"/>
    <w:rsid w:val="39FC7775"/>
    <w:rsid w:val="3A1525DB"/>
    <w:rsid w:val="3A1731A6"/>
    <w:rsid w:val="3A1C678F"/>
    <w:rsid w:val="3A2E5FCC"/>
    <w:rsid w:val="3A441736"/>
    <w:rsid w:val="3A4547BD"/>
    <w:rsid w:val="3A4557BD"/>
    <w:rsid w:val="3A507090"/>
    <w:rsid w:val="3A51530F"/>
    <w:rsid w:val="3A807DDE"/>
    <w:rsid w:val="3A8706C8"/>
    <w:rsid w:val="3A8C5F7E"/>
    <w:rsid w:val="3A955DA3"/>
    <w:rsid w:val="3A9B722D"/>
    <w:rsid w:val="3AA12683"/>
    <w:rsid w:val="3AE42A27"/>
    <w:rsid w:val="3AFF23EB"/>
    <w:rsid w:val="3B174552"/>
    <w:rsid w:val="3B4E0E3D"/>
    <w:rsid w:val="3B555025"/>
    <w:rsid w:val="3B845EA6"/>
    <w:rsid w:val="3BAD1C48"/>
    <w:rsid w:val="3BB03962"/>
    <w:rsid w:val="3BDB2003"/>
    <w:rsid w:val="3BE15B0C"/>
    <w:rsid w:val="3BF34BAD"/>
    <w:rsid w:val="3C33405E"/>
    <w:rsid w:val="3C350283"/>
    <w:rsid w:val="3C502C92"/>
    <w:rsid w:val="3C5F0B0C"/>
    <w:rsid w:val="3C68002C"/>
    <w:rsid w:val="3C822EAC"/>
    <w:rsid w:val="3C946B12"/>
    <w:rsid w:val="3CA274FD"/>
    <w:rsid w:val="3CA32A44"/>
    <w:rsid w:val="3CB30E5D"/>
    <w:rsid w:val="3CC72495"/>
    <w:rsid w:val="3CC72799"/>
    <w:rsid w:val="3CD9184D"/>
    <w:rsid w:val="3CF97B4E"/>
    <w:rsid w:val="3D1029A5"/>
    <w:rsid w:val="3D195167"/>
    <w:rsid w:val="3D2A1E59"/>
    <w:rsid w:val="3D451C49"/>
    <w:rsid w:val="3D4D4EFF"/>
    <w:rsid w:val="3D6D2FAC"/>
    <w:rsid w:val="3D881DC5"/>
    <w:rsid w:val="3D940A31"/>
    <w:rsid w:val="3DAE150C"/>
    <w:rsid w:val="3DC53179"/>
    <w:rsid w:val="3DD40C05"/>
    <w:rsid w:val="3E02001E"/>
    <w:rsid w:val="3E022ED6"/>
    <w:rsid w:val="3E5068CB"/>
    <w:rsid w:val="3E6C2CB5"/>
    <w:rsid w:val="3E8658BA"/>
    <w:rsid w:val="3E8A2A42"/>
    <w:rsid w:val="3EC3599D"/>
    <w:rsid w:val="3EC9429D"/>
    <w:rsid w:val="3ED34C82"/>
    <w:rsid w:val="3EDB0304"/>
    <w:rsid w:val="3EDD29FF"/>
    <w:rsid w:val="3EEF1D46"/>
    <w:rsid w:val="3EFC0DC8"/>
    <w:rsid w:val="3F0A622E"/>
    <w:rsid w:val="3F1D32FF"/>
    <w:rsid w:val="3F2C019E"/>
    <w:rsid w:val="3F2F6115"/>
    <w:rsid w:val="3F43423E"/>
    <w:rsid w:val="3F4A21EA"/>
    <w:rsid w:val="3FCD1363"/>
    <w:rsid w:val="3FCF245F"/>
    <w:rsid w:val="3FFD3F53"/>
    <w:rsid w:val="40007F0E"/>
    <w:rsid w:val="40104C12"/>
    <w:rsid w:val="4029304B"/>
    <w:rsid w:val="406D4562"/>
    <w:rsid w:val="409C51BE"/>
    <w:rsid w:val="40AB3059"/>
    <w:rsid w:val="40C96150"/>
    <w:rsid w:val="40CE5E5A"/>
    <w:rsid w:val="40D223AA"/>
    <w:rsid w:val="40F35590"/>
    <w:rsid w:val="40F90683"/>
    <w:rsid w:val="4108757A"/>
    <w:rsid w:val="41173A52"/>
    <w:rsid w:val="413C1DFE"/>
    <w:rsid w:val="41573F70"/>
    <w:rsid w:val="41637BB1"/>
    <w:rsid w:val="416C1EB7"/>
    <w:rsid w:val="4179482B"/>
    <w:rsid w:val="41827B6E"/>
    <w:rsid w:val="418A1810"/>
    <w:rsid w:val="419F0251"/>
    <w:rsid w:val="41EA6B56"/>
    <w:rsid w:val="41EC6278"/>
    <w:rsid w:val="420664AB"/>
    <w:rsid w:val="42551D52"/>
    <w:rsid w:val="426E1896"/>
    <w:rsid w:val="428731AA"/>
    <w:rsid w:val="42AE6D92"/>
    <w:rsid w:val="42C02BBD"/>
    <w:rsid w:val="42CD1CE1"/>
    <w:rsid w:val="42F8798E"/>
    <w:rsid w:val="43017BB5"/>
    <w:rsid w:val="433C3887"/>
    <w:rsid w:val="434F7FAB"/>
    <w:rsid w:val="435D5BFA"/>
    <w:rsid w:val="43AE222E"/>
    <w:rsid w:val="43C73A51"/>
    <w:rsid w:val="43D03B80"/>
    <w:rsid w:val="43D42F80"/>
    <w:rsid w:val="43D71909"/>
    <w:rsid w:val="43E07893"/>
    <w:rsid w:val="43FB0043"/>
    <w:rsid w:val="44070A5E"/>
    <w:rsid w:val="4418505F"/>
    <w:rsid w:val="441B53DD"/>
    <w:rsid w:val="44257191"/>
    <w:rsid w:val="44294B3A"/>
    <w:rsid w:val="44330830"/>
    <w:rsid w:val="44575BAD"/>
    <w:rsid w:val="44694C56"/>
    <w:rsid w:val="446D5748"/>
    <w:rsid w:val="44861206"/>
    <w:rsid w:val="448C15E1"/>
    <w:rsid w:val="449F164A"/>
    <w:rsid w:val="44AD26D9"/>
    <w:rsid w:val="44D62B41"/>
    <w:rsid w:val="44EC09DD"/>
    <w:rsid w:val="44F25289"/>
    <w:rsid w:val="45017F31"/>
    <w:rsid w:val="454E37EF"/>
    <w:rsid w:val="454F3B11"/>
    <w:rsid w:val="45932C38"/>
    <w:rsid w:val="45A100BA"/>
    <w:rsid w:val="45E317DE"/>
    <w:rsid w:val="45E3429F"/>
    <w:rsid w:val="45E9614C"/>
    <w:rsid w:val="45ED31E0"/>
    <w:rsid w:val="46161C7F"/>
    <w:rsid w:val="463026A7"/>
    <w:rsid w:val="463F7D21"/>
    <w:rsid w:val="46790A96"/>
    <w:rsid w:val="4681414C"/>
    <w:rsid w:val="46AF4380"/>
    <w:rsid w:val="46B7617D"/>
    <w:rsid w:val="46BD26B0"/>
    <w:rsid w:val="46DD0676"/>
    <w:rsid w:val="47133C84"/>
    <w:rsid w:val="47222B1B"/>
    <w:rsid w:val="472342CC"/>
    <w:rsid w:val="47290AE7"/>
    <w:rsid w:val="47601C13"/>
    <w:rsid w:val="478F328D"/>
    <w:rsid w:val="479A34A1"/>
    <w:rsid w:val="47C42A34"/>
    <w:rsid w:val="47CB7916"/>
    <w:rsid w:val="47F127D3"/>
    <w:rsid w:val="480702C3"/>
    <w:rsid w:val="482501A3"/>
    <w:rsid w:val="4836779A"/>
    <w:rsid w:val="484F7003"/>
    <w:rsid w:val="48501040"/>
    <w:rsid w:val="48610AC8"/>
    <w:rsid w:val="486875F5"/>
    <w:rsid w:val="487B3DCD"/>
    <w:rsid w:val="48880D54"/>
    <w:rsid w:val="489D100D"/>
    <w:rsid w:val="48A25C63"/>
    <w:rsid w:val="48C07A7E"/>
    <w:rsid w:val="48D100F4"/>
    <w:rsid w:val="48EE6134"/>
    <w:rsid w:val="48F4786A"/>
    <w:rsid w:val="4907057B"/>
    <w:rsid w:val="491752D4"/>
    <w:rsid w:val="492C3D90"/>
    <w:rsid w:val="493372E0"/>
    <w:rsid w:val="494D6ADE"/>
    <w:rsid w:val="49736C08"/>
    <w:rsid w:val="4982373F"/>
    <w:rsid w:val="49F402E8"/>
    <w:rsid w:val="4A075672"/>
    <w:rsid w:val="4A1B5B22"/>
    <w:rsid w:val="4A201C61"/>
    <w:rsid w:val="4A2B2559"/>
    <w:rsid w:val="4A8301BC"/>
    <w:rsid w:val="4A9119C5"/>
    <w:rsid w:val="4A950577"/>
    <w:rsid w:val="4A9A2FE4"/>
    <w:rsid w:val="4A9D63EE"/>
    <w:rsid w:val="4A9E7B55"/>
    <w:rsid w:val="4AFA30CF"/>
    <w:rsid w:val="4B1865C6"/>
    <w:rsid w:val="4B3E382E"/>
    <w:rsid w:val="4B6D6ABD"/>
    <w:rsid w:val="4B7A06FF"/>
    <w:rsid w:val="4BAB3261"/>
    <w:rsid w:val="4BB636BA"/>
    <w:rsid w:val="4BCA2348"/>
    <w:rsid w:val="4BFD7A97"/>
    <w:rsid w:val="4CAA7E25"/>
    <w:rsid w:val="4CCD2F19"/>
    <w:rsid w:val="4D02594C"/>
    <w:rsid w:val="4D2F7A00"/>
    <w:rsid w:val="4D4308C0"/>
    <w:rsid w:val="4D81308E"/>
    <w:rsid w:val="4D813CFA"/>
    <w:rsid w:val="4D8409ED"/>
    <w:rsid w:val="4D84763A"/>
    <w:rsid w:val="4DA8405E"/>
    <w:rsid w:val="4DC76EF1"/>
    <w:rsid w:val="4DCD6AB9"/>
    <w:rsid w:val="4DD84F89"/>
    <w:rsid w:val="4DF04FA6"/>
    <w:rsid w:val="4E290428"/>
    <w:rsid w:val="4E6719F5"/>
    <w:rsid w:val="4E7073C0"/>
    <w:rsid w:val="4E851132"/>
    <w:rsid w:val="4EA658CB"/>
    <w:rsid w:val="4EBE41C8"/>
    <w:rsid w:val="4ECA68D4"/>
    <w:rsid w:val="4EE21C64"/>
    <w:rsid w:val="4F0015AD"/>
    <w:rsid w:val="4F3645E1"/>
    <w:rsid w:val="4F5A58EE"/>
    <w:rsid w:val="4FA4231A"/>
    <w:rsid w:val="4FA62BB6"/>
    <w:rsid w:val="4FB66059"/>
    <w:rsid w:val="4FCD67B7"/>
    <w:rsid w:val="4FEA7D7D"/>
    <w:rsid w:val="4FF83D38"/>
    <w:rsid w:val="5004650E"/>
    <w:rsid w:val="500951DA"/>
    <w:rsid w:val="501675F6"/>
    <w:rsid w:val="501F3AD4"/>
    <w:rsid w:val="50211939"/>
    <w:rsid w:val="50275611"/>
    <w:rsid w:val="503E7BE6"/>
    <w:rsid w:val="504B01B3"/>
    <w:rsid w:val="50505BB9"/>
    <w:rsid w:val="505F2E3E"/>
    <w:rsid w:val="509053DC"/>
    <w:rsid w:val="50930F30"/>
    <w:rsid w:val="509A0C33"/>
    <w:rsid w:val="509E0602"/>
    <w:rsid w:val="50A22EAD"/>
    <w:rsid w:val="50D343FC"/>
    <w:rsid w:val="50D4621C"/>
    <w:rsid w:val="50F153C9"/>
    <w:rsid w:val="51056D79"/>
    <w:rsid w:val="511A58F1"/>
    <w:rsid w:val="511F11FF"/>
    <w:rsid w:val="513678ED"/>
    <w:rsid w:val="513B51EB"/>
    <w:rsid w:val="5144471C"/>
    <w:rsid w:val="5188636F"/>
    <w:rsid w:val="5197045D"/>
    <w:rsid w:val="51970AC5"/>
    <w:rsid w:val="51BB3923"/>
    <w:rsid w:val="51D10778"/>
    <w:rsid w:val="51EE17DC"/>
    <w:rsid w:val="521B2A92"/>
    <w:rsid w:val="521B2D82"/>
    <w:rsid w:val="522B19F4"/>
    <w:rsid w:val="526B549B"/>
    <w:rsid w:val="52792BEC"/>
    <w:rsid w:val="52A76621"/>
    <w:rsid w:val="52D52A39"/>
    <w:rsid w:val="52E15F9A"/>
    <w:rsid w:val="52F2486D"/>
    <w:rsid w:val="530E6862"/>
    <w:rsid w:val="531D530A"/>
    <w:rsid w:val="532003D9"/>
    <w:rsid w:val="532066C0"/>
    <w:rsid w:val="534807CB"/>
    <w:rsid w:val="534D792A"/>
    <w:rsid w:val="53531321"/>
    <w:rsid w:val="53605111"/>
    <w:rsid w:val="538C5F06"/>
    <w:rsid w:val="53A1549C"/>
    <w:rsid w:val="53C758A5"/>
    <w:rsid w:val="53EF159D"/>
    <w:rsid w:val="541E5381"/>
    <w:rsid w:val="54444C88"/>
    <w:rsid w:val="544500D8"/>
    <w:rsid w:val="546750D1"/>
    <w:rsid w:val="54846B1D"/>
    <w:rsid w:val="54871DFC"/>
    <w:rsid w:val="5488491F"/>
    <w:rsid w:val="548A6BD8"/>
    <w:rsid w:val="54956838"/>
    <w:rsid w:val="54A42632"/>
    <w:rsid w:val="54A67CBB"/>
    <w:rsid w:val="54BD621C"/>
    <w:rsid w:val="54C14277"/>
    <w:rsid w:val="54C7677D"/>
    <w:rsid w:val="54CE2075"/>
    <w:rsid w:val="54D7542F"/>
    <w:rsid w:val="54E06860"/>
    <w:rsid w:val="54F06BF2"/>
    <w:rsid w:val="54FC11B8"/>
    <w:rsid w:val="553E324C"/>
    <w:rsid w:val="553F5ABA"/>
    <w:rsid w:val="55571A52"/>
    <w:rsid w:val="556E74FB"/>
    <w:rsid w:val="55723639"/>
    <w:rsid w:val="55A567F7"/>
    <w:rsid w:val="55B142F1"/>
    <w:rsid w:val="55B70C2C"/>
    <w:rsid w:val="55BE4EF1"/>
    <w:rsid w:val="55E12364"/>
    <w:rsid w:val="56046A24"/>
    <w:rsid w:val="560F515E"/>
    <w:rsid w:val="56173973"/>
    <w:rsid w:val="561E4B0C"/>
    <w:rsid w:val="562F78F2"/>
    <w:rsid w:val="5630740B"/>
    <w:rsid w:val="564A715F"/>
    <w:rsid w:val="5654626F"/>
    <w:rsid w:val="56576521"/>
    <w:rsid w:val="5660336B"/>
    <w:rsid w:val="568F468B"/>
    <w:rsid w:val="569D7901"/>
    <w:rsid w:val="56B43740"/>
    <w:rsid w:val="56C540F5"/>
    <w:rsid w:val="56E1114B"/>
    <w:rsid w:val="56E76E34"/>
    <w:rsid w:val="56F47FC0"/>
    <w:rsid w:val="578247C7"/>
    <w:rsid w:val="579A1AC9"/>
    <w:rsid w:val="57B30A5A"/>
    <w:rsid w:val="57B80F79"/>
    <w:rsid w:val="57BE6600"/>
    <w:rsid w:val="57DD54B1"/>
    <w:rsid w:val="581054B3"/>
    <w:rsid w:val="581126CD"/>
    <w:rsid w:val="58223E7B"/>
    <w:rsid w:val="585C5962"/>
    <w:rsid w:val="587248EF"/>
    <w:rsid w:val="58AB32D2"/>
    <w:rsid w:val="58B673E5"/>
    <w:rsid w:val="58CC2B9F"/>
    <w:rsid w:val="58D0448C"/>
    <w:rsid w:val="58D90FE2"/>
    <w:rsid w:val="58E07728"/>
    <w:rsid w:val="58ED46A1"/>
    <w:rsid w:val="58F201D6"/>
    <w:rsid w:val="59004276"/>
    <w:rsid w:val="591F15CA"/>
    <w:rsid w:val="592622CE"/>
    <w:rsid w:val="592E64A4"/>
    <w:rsid w:val="593B41AC"/>
    <w:rsid w:val="59977DE8"/>
    <w:rsid w:val="59C655EC"/>
    <w:rsid w:val="59C811DA"/>
    <w:rsid w:val="59C9625C"/>
    <w:rsid w:val="59CF4D9E"/>
    <w:rsid w:val="59D70C1A"/>
    <w:rsid w:val="59F33B87"/>
    <w:rsid w:val="59FF38D6"/>
    <w:rsid w:val="5A081D3B"/>
    <w:rsid w:val="5A1F7E57"/>
    <w:rsid w:val="5A627F0F"/>
    <w:rsid w:val="5A6C5092"/>
    <w:rsid w:val="5A9E34D8"/>
    <w:rsid w:val="5AC50CF6"/>
    <w:rsid w:val="5AE44379"/>
    <w:rsid w:val="5B0428BB"/>
    <w:rsid w:val="5B29547D"/>
    <w:rsid w:val="5B7D6B26"/>
    <w:rsid w:val="5B880AC3"/>
    <w:rsid w:val="5BA1201C"/>
    <w:rsid w:val="5BC33B7C"/>
    <w:rsid w:val="5BC742EE"/>
    <w:rsid w:val="5C0B26B1"/>
    <w:rsid w:val="5C1F0533"/>
    <w:rsid w:val="5C436B5C"/>
    <w:rsid w:val="5C454781"/>
    <w:rsid w:val="5C5A42A4"/>
    <w:rsid w:val="5C6C4F5F"/>
    <w:rsid w:val="5C7A6F13"/>
    <w:rsid w:val="5C812604"/>
    <w:rsid w:val="5C986AA2"/>
    <w:rsid w:val="5CA31920"/>
    <w:rsid w:val="5CC04A06"/>
    <w:rsid w:val="5CC50485"/>
    <w:rsid w:val="5CFA58F8"/>
    <w:rsid w:val="5D1972E3"/>
    <w:rsid w:val="5D2F3B87"/>
    <w:rsid w:val="5D336975"/>
    <w:rsid w:val="5D3E33FD"/>
    <w:rsid w:val="5D4D6C2A"/>
    <w:rsid w:val="5D4E00D1"/>
    <w:rsid w:val="5D5E6B65"/>
    <w:rsid w:val="5D776126"/>
    <w:rsid w:val="5D832996"/>
    <w:rsid w:val="5D9216AD"/>
    <w:rsid w:val="5DA86797"/>
    <w:rsid w:val="5DEF5E51"/>
    <w:rsid w:val="5E3722FD"/>
    <w:rsid w:val="5E54028A"/>
    <w:rsid w:val="5E556635"/>
    <w:rsid w:val="5E941AA8"/>
    <w:rsid w:val="5EAA4C4E"/>
    <w:rsid w:val="5EDA0C49"/>
    <w:rsid w:val="5EDC2478"/>
    <w:rsid w:val="5EFB7879"/>
    <w:rsid w:val="5F016568"/>
    <w:rsid w:val="5F262932"/>
    <w:rsid w:val="5F267354"/>
    <w:rsid w:val="5F337623"/>
    <w:rsid w:val="5F3C1128"/>
    <w:rsid w:val="5F5F3E3C"/>
    <w:rsid w:val="5F867D76"/>
    <w:rsid w:val="5F977DDA"/>
    <w:rsid w:val="5FB266B4"/>
    <w:rsid w:val="5FD32248"/>
    <w:rsid w:val="5FD4310E"/>
    <w:rsid w:val="601B3175"/>
    <w:rsid w:val="6035574B"/>
    <w:rsid w:val="60507ABF"/>
    <w:rsid w:val="60655CB6"/>
    <w:rsid w:val="608E2C99"/>
    <w:rsid w:val="60D20BE4"/>
    <w:rsid w:val="60D46942"/>
    <w:rsid w:val="60D72667"/>
    <w:rsid w:val="60E049BA"/>
    <w:rsid w:val="60E60910"/>
    <w:rsid w:val="60F56EEB"/>
    <w:rsid w:val="611B2E3D"/>
    <w:rsid w:val="613918D8"/>
    <w:rsid w:val="613A0F21"/>
    <w:rsid w:val="6167665B"/>
    <w:rsid w:val="616873AB"/>
    <w:rsid w:val="61715456"/>
    <w:rsid w:val="61757205"/>
    <w:rsid w:val="618025D5"/>
    <w:rsid w:val="61807082"/>
    <w:rsid w:val="619B4B27"/>
    <w:rsid w:val="61C3277F"/>
    <w:rsid w:val="61D26BB3"/>
    <w:rsid w:val="61FE5622"/>
    <w:rsid w:val="622203A8"/>
    <w:rsid w:val="6225234E"/>
    <w:rsid w:val="62314011"/>
    <w:rsid w:val="62486493"/>
    <w:rsid w:val="62875D3B"/>
    <w:rsid w:val="628B3739"/>
    <w:rsid w:val="62997A83"/>
    <w:rsid w:val="62B72861"/>
    <w:rsid w:val="62CA43D1"/>
    <w:rsid w:val="62F02C83"/>
    <w:rsid w:val="633D499E"/>
    <w:rsid w:val="63443C90"/>
    <w:rsid w:val="6370180B"/>
    <w:rsid w:val="63BE7E17"/>
    <w:rsid w:val="63C33A87"/>
    <w:rsid w:val="63C659AF"/>
    <w:rsid w:val="64013A88"/>
    <w:rsid w:val="64330BB1"/>
    <w:rsid w:val="647C06B8"/>
    <w:rsid w:val="64933490"/>
    <w:rsid w:val="649E61BA"/>
    <w:rsid w:val="64A410ED"/>
    <w:rsid w:val="64B00B6F"/>
    <w:rsid w:val="64E23FA4"/>
    <w:rsid w:val="65023127"/>
    <w:rsid w:val="650630D6"/>
    <w:rsid w:val="65271F32"/>
    <w:rsid w:val="65467418"/>
    <w:rsid w:val="65585B5F"/>
    <w:rsid w:val="658A042A"/>
    <w:rsid w:val="65977B90"/>
    <w:rsid w:val="65AF5BAB"/>
    <w:rsid w:val="65EC7CB1"/>
    <w:rsid w:val="65FD02F2"/>
    <w:rsid w:val="662D696F"/>
    <w:rsid w:val="66675751"/>
    <w:rsid w:val="666A0F81"/>
    <w:rsid w:val="668C327C"/>
    <w:rsid w:val="66BD39C2"/>
    <w:rsid w:val="66BE660B"/>
    <w:rsid w:val="66F07288"/>
    <w:rsid w:val="66FB08F2"/>
    <w:rsid w:val="671A6F1D"/>
    <w:rsid w:val="67641BC1"/>
    <w:rsid w:val="67D86951"/>
    <w:rsid w:val="67DC1D75"/>
    <w:rsid w:val="67F826F1"/>
    <w:rsid w:val="680754AF"/>
    <w:rsid w:val="682500F5"/>
    <w:rsid w:val="6833252D"/>
    <w:rsid w:val="684828EC"/>
    <w:rsid w:val="684C6C8D"/>
    <w:rsid w:val="68503FD1"/>
    <w:rsid w:val="6853211B"/>
    <w:rsid w:val="685A3D07"/>
    <w:rsid w:val="68796D54"/>
    <w:rsid w:val="68A23B13"/>
    <w:rsid w:val="68AA7B17"/>
    <w:rsid w:val="68D85418"/>
    <w:rsid w:val="68EE75B0"/>
    <w:rsid w:val="69146D8D"/>
    <w:rsid w:val="6926095E"/>
    <w:rsid w:val="693326D4"/>
    <w:rsid w:val="69391001"/>
    <w:rsid w:val="69395F66"/>
    <w:rsid w:val="694F4347"/>
    <w:rsid w:val="69822F8B"/>
    <w:rsid w:val="6995713C"/>
    <w:rsid w:val="69A07F2A"/>
    <w:rsid w:val="69A71185"/>
    <w:rsid w:val="69A75FEF"/>
    <w:rsid w:val="69D02B44"/>
    <w:rsid w:val="6A064026"/>
    <w:rsid w:val="6A075B9D"/>
    <w:rsid w:val="6A376AFA"/>
    <w:rsid w:val="6A752B2D"/>
    <w:rsid w:val="6A7F33DE"/>
    <w:rsid w:val="6A8010B0"/>
    <w:rsid w:val="6AAA31DD"/>
    <w:rsid w:val="6AAA3FB9"/>
    <w:rsid w:val="6AEB1FDF"/>
    <w:rsid w:val="6AFA53B6"/>
    <w:rsid w:val="6AFD7B81"/>
    <w:rsid w:val="6B142282"/>
    <w:rsid w:val="6B4A4E86"/>
    <w:rsid w:val="6B4E1582"/>
    <w:rsid w:val="6B7554ED"/>
    <w:rsid w:val="6BB74590"/>
    <w:rsid w:val="6BC931EB"/>
    <w:rsid w:val="6BEC0F6F"/>
    <w:rsid w:val="6C0539D7"/>
    <w:rsid w:val="6C0B6C5F"/>
    <w:rsid w:val="6C3458FD"/>
    <w:rsid w:val="6C555FC0"/>
    <w:rsid w:val="6C845F7B"/>
    <w:rsid w:val="6C946B86"/>
    <w:rsid w:val="6C9B012D"/>
    <w:rsid w:val="6C9E23B8"/>
    <w:rsid w:val="6CFF47CB"/>
    <w:rsid w:val="6D1A278E"/>
    <w:rsid w:val="6D211372"/>
    <w:rsid w:val="6D5C3902"/>
    <w:rsid w:val="6D6828C9"/>
    <w:rsid w:val="6D7B6216"/>
    <w:rsid w:val="6DCC1477"/>
    <w:rsid w:val="6DDC3C87"/>
    <w:rsid w:val="6E146709"/>
    <w:rsid w:val="6E1F0E5A"/>
    <w:rsid w:val="6E5B741C"/>
    <w:rsid w:val="6E6F43DE"/>
    <w:rsid w:val="6E7A265A"/>
    <w:rsid w:val="6E820922"/>
    <w:rsid w:val="6EB72A97"/>
    <w:rsid w:val="6EBC0B32"/>
    <w:rsid w:val="6EC4646B"/>
    <w:rsid w:val="6ECC195B"/>
    <w:rsid w:val="6ED125AC"/>
    <w:rsid w:val="6EEC33E9"/>
    <w:rsid w:val="6F085BE2"/>
    <w:rsid w:val="6FEF23C1"/>
    <w:rsid w:val="6FF846E9"/>
    <w:rsid w:val="6FFD308C"/>
    <w:rsid w:val="70AD079D"/>
    <w:rsid w:val="70B724BA"/>
    <w:rsid w:val="70BC03E9"/>
    <w:rsid w:val="70C71B96"/>
    <w:rsid w:val="70D675A1"/>
    <w:rsid w:val="710555BA"/>
    <w:rsid w:val="71296FB4"/>
    <w:rsid w:val="712E72D6"/>
    <w:rsid w:val="71530153"/>
    <w:rsid w:val="719E1F0C"/>
    <w:rsid w:val="71CC7A99"/>
    <w:rsid w:val="71DD3C6D"/>
    <w:rsid w:val="71E37923"/>
    <w:rsid w:val="72231E4C"/>
    <w:rsid w:val="723F20D4"/>
    <w:rsid w:val="72473C79"/>
    <w:rsid w:val="724C0522"/>
    <w:rsid w:val="725B6198"/>
    <w:rsid w:val="727A07D7"/>
    <w:rsid w:val="72A1288C"/>
    <w:rsid w:val="72F35BF0"/>
    <w:rsid w:val="7303229A"/>
    <w:rsid w:val="73174970"/>
    <w:rsid w:val="731F10F0"/>
    <w:rsid w:val="73376D58"/>
    <w:rsid w:val="73541A17"/>
    <w:rsid w:val="739D55B1"/>
    <w:rsid w:val="739E7C91"/>
    <w:rsid w:val="73A420AC"/>
    <w:rsid w:val="73A75325"/>
    <w:rsid w:val="73BE1586"/>
    <w:rsid w:val="73EF1E6D"/>
    <w:rsid w:val="73F02346"/>
    <w:rsid w:val="73FD1B7E"/>
    <w:rsid w:val="740F34C9"/>
    <w:rsid w:val="74157CA1"/>
    <w:rsid w:val="744E66AF"/>
    <w:rsid w:val="748C1E53"/>
    <w:rsid w:val="74A95321"/>
    <w:rsid w:val="74F02341"/>
    <w:rsid w:val="752959C4"/>
    <w:rsid w:val="754A3111"/>
    <w:rsid w:val="756D6E7F"/>
    <w:rsid w:val="756D7927"/>
    <w:rsid w:val="75717D03"/>
    <w:rsid w:val="759410BF"/>
    <w:rsid w:val="75A90742"/>
    <w:rsid w:val="75B03233"/>
    <w:rsid w:val="75F10CD4"/>
    <w:rsid w:val="75FD79E5"/>
    <w:rsid w:val="7604309D"/>
    <w:rsid w:val="76521EE6"/>
    <w:rsid w:val="76561451"/>
    <w:rsid w:val="76635A7A"/>
    <w:rsid w:val="767057D7"/>
    <w:rsid w:val="767A2A18"/>
    <w:rsid w:val="76866F89"/>
    <w:rsid w:val="76902A7F"/>
    <w:rsid w:val="76AF34A8"/>
    <w:rsid w:val="76B57CDA"/>
    <w:rsid w:val="76B70426"/>
    <w:rsid w:val="76BD2FA8"/>
    <w:rsid w:val="76C77F63"/>
    <w:rsid w:val="76D63DCB"/>
    <w:rsid w:val="76E25005"/>
    <w:rsid w:val="76EE7A48"/>
    <w:rsid w:val="76EF0846"/>
    <w:rsid w:val="76FE07DC"/>
    <w:rsid w:val="77560455"/>
    <w:rsid w:val="77640F67"/>
    <w:rsid w:val="776902DB"/>
    <w:rsid w:val="777C03A4"/>
    <w:rsid w:val="77827014"/>
    <w:rsid w:val="77A97B37"/>
    <w:rsid w:val="77AA6325"/>
    <w:rsid w:val="782A60CC"/>
    <w:rsid w:val="78833D44"/>
    <w:rsid w:val="789D203B"/>
    <w:rsid w:val="78A93521"/>
    <w:rsid w:val="78B473AF"/>
    <w:rsid w:val="78E55F35"/>
    <w:rsid w:val="78EA7F9C"/>
    <w:rsid w:val="78F80721"/>
    <w:rsid w:val="790A2F9A"/>
    <w:rsid w:val="7955555D"/>
    <w:rsid w:val="795612BB"/>
    <w:rsid w:val="795A415F"/>
    <w:rsid w:val="79B9326E"/>
    <w:rsid w:val="79ED6E4F"/>
    <w:rsid w:val="7A2F674C"/>
    <w:rsid w:val="7A513141"/>
    <w:rsid w:val="7A6D3F70"/>
    <w:rsid w:val="7A6D4434"/>
    <w:rsid w:val="7A826D1A"/>
    <w:rsid w:val="7A923181"/>
    <w:rsid w:val="7AA114A5"/>
    <w:rsid w:val="7AA63EA9"/>
    <w:rsid w:val="7AFE24BC"/>
    <w:rsid w:val="7B146FC4"/>
    <w:rsid w:val="7B24292B"/>
    <w:rsid w:val="7B340F26"/>
    <w:rsid w:val="7B5968D9"/>
    <w:rsid w:val="7B6132DD"/>
    <w:rsid w:val="7B6856A4"/>
    <w:rsid w:val="7B914B60"/>
    <w:rsid w:val="7BA04D3C"/>
    <w:rsid w:val="7C170EAB"/>
    <w:rsid w:val="7C1C7250"/>
    <w:rsid w:val="7C6166C5"/>
    <w:rsid w:val="7C8617DD"/>
    <w:rsid w:val="7CB34FF1"/>
    <w:rsid w:val="7CD25687"/>
    <w:rsid w:val="7CF63962"/>
    <w:rsid w:val="7D002E83"/>
    <w:rsid w:val="7D3B1F86"/>
    <w:rsid w:val="7D3D6185"/>
    <w:rsid w:val="7D605CB6"/>
    <w:rsid w:val="7D621534"/>
    <w:rsid w:val="7D6F1D79"/>
    <w:rsid w:val="7D735591"/>
    <w:rsid w:val="7D914B4F"/>
    <w:rsid w:val="7D9A6447"/>
    <w:rsid w:val="7D9B7C47"/>
    <w:rsid w:val="7DC00C0A"/>
    <w:rsid w:val="7DEB404B"/>
    <w:rsid w:val="7DF25A74"/>
    <w:rsid w:val="7E116A7A"/>
    <w:rsid w:val="7E515910"/>
    <w:rsid w:val="7E9C1C76"/>
    <w:rsid w:val="7EB95E49"/>
    <w:rsid w:val="7ECE0C4C"/>
    <w:rsid w:val="7F131F92"/>
    <w:rsid w:val="7F1358E8"/>
    <w:rsid w:val="7F137AAC"/>
    <w:rsid w:val="7F1979EB"/>
    <w:rsid w:val="7F38323D"/>
    <w:rsid w:val="7F455F09"/>
    <w:rsid w:val="7F4C286A"/>
    <w:rsid w:val="7F5E383E"/>
    <w:rsid w:val="7F711A52"/>
    <w:rsid w:val="7F7262A6"/>
    <w:rsid w:val="7F8C0659"/>
    <w:rsid w:val="7FB421BD"/>
    <w:rsid w:val="7FEB656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0"/>
    <w:pPr>
      <w:keepNext/>
      <w:tabs>
        <w:tab w:val="left" w:pos="3360"/>
      </w:tabs>
      <w:snapToGrid w:val="0"/>
      <w:spacing w:beforeLines="100" w:afterLines="50" w:line="800" w:lineRule="atLeast"/>
      <w:jc w:val="center"/>
      <w:outlineLvl w:val="0"/>
    </w:pPr>
    <w:rPr>
      <w:rFonts w:eastAsia="黑体"/>
      <w:sz w:val="44"/>
    </w:rPr>
  </w:style>
  <w:style w:type="paragraph" w:styleId="5">
    <w:name w:val="heading 2"/>
    <w:basedOn w:val="1"/>
    <w:next w:val="6"/>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8">
    <w:name w:val="heading 3"/>
    <w:basedOn w:val="1"/>
    <w:next w:val="1"/>
    <w:qFormat/>
    <w:uiPriority w:val="0"/>
    <w:pPr>
      <w:keepNext/>
      <w:keepLines/>
      <w:adjustRightInd w:val="0"/>
      <w:spacing w:before="260" w:beforeLines="0" w:after="260" w:afterLines="0" w:line="416" w:lineRule="atLeast"/>
      <w:textAlignment w:val="baseline"/>
      <w:outlineLvl w:val="2"/>
    </w:pPr>
    <w:rPr>
      <w:b/>
      <w:kern w:val="0"/>
      <w:sz w:val="32"/>
      <w:szCs w:val="20"/>
    </w:rPr>
  </w:style>
  <w:style w:type="paragraph" w:styleId="9">
    <w:name w:val="heading 4"/>
    <w:basedOn w:val="1"/>
    <w:next w:val="1"/>
    <w:qFormat/>
    <w:uiPriority w:val="0"/>
    <w:pPr>
      <w:keepNext/>
      <w:spacing w:line="360" w:lineRule="auto"/>
      <w:jc w:val="center"/>
      <w:outlineLvl w:val="3"/>
    </w:pPr>
    <w:rPr>
      <w:rFonts w:ascii="宋体" w:hAnsi="宋体"/>
      <w:b/>
      <w:bCs/>
      <w:sz w:val="24"/>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Plain Text"/>
    <w:basedOn w:val="1"/>
    <w:next w:val="3"/>
    <w:link w:val="48"/>
    <w:qFormat/>
    <w:uiPriority w:val="99"/>
    <w:rPr>
      <w:rFonts w:ascii="宋体" w:hAnsi="宋体"/>
    </w:rPr>
  </w:style>
  <w:style w:type="paragraph" w:styleId="3">
    <w:name w:val="index 7"/>
    <w:basedOn w:val="1"/>
    <w:next w:val="1"/>
    <w:qFormat/>
    <w:uiPriority w:val="0"/>
    <w:pPr>
      <w:autoSpaceDE/>
      <w:autoSpaceDN/>
      <w:adjustRightInd/>
      <w:ind w:left="1200" w:leftChars="1200"/>
    </w:pPr>
    <w:rPr>
      <w:color w:val="auto"/>
      <w:kern w:val="2"/>
      <w:szCs w:val="24"/>
    </w:rPr>
  </w:style>
  <w:style w:type="paragraph" w:customStyle="1" w:styleId="6">
    <w:name w:val="文档正文"/>
    <w:basedOn w:val="7"/>
    <w:qFormat/>
    <w:uiPriority w:val="0"/>
    <w:pPr>
      <w:spacing w:line="360" w:lineRule="auto"/>
    </w:pPr>
    <w:rPr>
      <w:rFonts w:ascii="宋体" w:hAnsi="宋体"/>
      <w:b/>
      <w:bCs/>
    </w:rPr>
  </w:style>
  <w:style w:type="paragraph" w:styleId="7">
    <w:name w:val="Normal Indent"/>
    <w:basedOn w:val="1"/>
    <w:qFormat/>
    <w:uiPriority w:val="99"/>
    <w:pPr>
      <w:ind w:firstLine="420"/>
    </w:pPr>
  </w:style>
  <w:style w:type="paragraph" w:styleId="10">
    <w:name w:val="Body Text"/>
    <w:basedOn w:val="1"/>
    <w:next w:val="1"/>
    <w:qFormat/>
    <w:uiPriority w:val="99"/>
    <w:pPr>
      <w:numPr>
        <w:ilvl w:val="0"/>
        <w:numId w:val="1"/>
      </w:numPr>
      <w:tabs>
        <w:tab w:val="clear" w:pos="780"/>
      </w:tabs>
      <w:ind w:left="0" w:firstLine="0"/>
    </w:pPr>
    <w:rPr>
      <w:rFonts w:ascii="黑体" w:eastAsia="黑体"/>
      <w:sz w:val="22"/>
    </w:rPr>
  </w:style>
  <w:style w:type="paragraph" w:styleId="11">
    <w:name w:val="toc 3"/>
    <w:basedOn w:val="1"/>
    <w:next w:val="1"/>
    <w:qFormat/>
    <w:uiPriority w:val="39"/>
    <w:pPr>
      <w:ind w:left="840" w:leftChars="400"/>
    </w:pPr>
    <w:rPr>
      <w:rFonts w:ascii="Times New Roman" w:hAnsi="Times New Roman"/>
      <w:szCs w:val="24"/>
    </w:rPr>
  </w:style>
  <w:style w:type="paragraph" w:styleId="12">
    <w:name w:val="Body Text Indent 2"/>
    <w:basedOn w:val="1"/>
    <w:link w:val="47"/>
    <w:qFormat/>
    <w:uiPriority w:val="0"/>
    <w:pPr>
      <w:spacing w:line="360" w:lineRule="auto"/>
      <w:ind w:firstLine="607"/>
    </w:pPr>
    <w:rPr>
      <w:rFonts w:ascii="楷体_GB2312"/>
      <w:sz w:val="28"/>
      <w:szCs w:val="28"/>
    </w:rPr>
  </w:style>
  <w:style w:type="paragraph" w:styleId="13">
    <w:name w:val="Balloon Text"/>
    <w:basedOn w:val="1"/>
    <w:link w:val="52"/>
    <w:qFormat/>
    <w:uiPriority w:val="0"/>
    <w:rPr>
      <w:sz w:val="18"/>
      <w:szCs w:val="18"/>
    </w:rPr>
  </w:style>
  <w:style w:type="paragraph" w:styleId="14">
    <w:name w:val="footer"/>
    <w:basedOn w:val="1"/>
    <w:qFormat/>
    <w:uiPriority w:val="99"/>
    <w:pPr>
      <w:tabs>
        <w:tab w:val="center" w:pos="4153"/>
        <w:tab w:val="right" w:pos="8306"/>
      </w:tabs>
      <w:snapToGrid w:val="0"/>
      <w:jc w:val="left"/>
    </w:pPr>
    <w:rPr>
      <w:sz w:val="18"/>
      <w:szCs w:val="18"/>
    </w:rPr>
  </w:style>
  <w:style w:type="paragraph" w:styleId="15">
    <w:name w:val="header"/>
    <w:basedOn w:val="1"/>
    <w:link w:val="49"/>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rPr>
      <w:rFonts w:ascii="Times New Roman" w:hAnsi="Times New Roman"/>
      <w:szCs w:val="24"/>
    </w:rPr>
  </w:style>
  <w:style w:type="paragraph" w:styleId="17">
    <w:name w:val="toc 2"/>
    <w:basedOn w:val="1"/>
    <w:next w:val="1"/>
    <w:qFormat/>
    <w:uiPriority w:val="39"/>
    <w:pPr>
      <w:ind w:left="420" w:leftChars="200"/>
    </w:pPr>
    <w:rPr>
      <w:rFonts w:ascii="Times New Roman" w:hAnsi="Times New Roman"/>
      <w:szCs w:val="24"/>
    </w:rPr>
  </w:style>
  <w:style w:type="paragraph" w:styleId="1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9">
    <w:name w:val="Normal (Web)"/>
    <w:basedOn w:val="1"/>
    <w:next w:val="15"/>
    <w:qFormat/>
    <w:uiPriority w:val="0"/>
    <w:pPr>
      <w:widowControl/>
      <w:spacing w:before="100" w:beforeAutospacing="1" w:after="100" w:afterAutospacing="1"/>
      <w:jc w:val="left"/>
    </w:pPr>
    <w:rPr>
      <w:rFonts w:ascii="宋体" w:hAnsi="宋体" w:cs="宋体"/>
      <w:kern w:val="0"/>
      <w:sz w:val="24"/>
      <w:szCs w:val="24"/>
    </w:rPr>
  </w:style>
  <w:style w:type="table" w:styleId="21">
    <w:name w:val="Table Grid"/>
    <w:basedOn w:val="20"/>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3">
    <w:name w:val="Strong"/>
    <w:basedOn w:val="22"/>
    <w:qFormat/>
    <w:uiPriority w:val="99"/>
    <w:rPr>
      <w:rFonts w:cs="Times New Roman"/>
      <w:b/>
    </w:rPr>
  </w:style>
  <w:style w:type="character" w:styleId="24">
    <w:name w:val="page number"/>
    <w:basedOn w:val="22"/>
    <w:qFormat/>
    <w:uiPriority w:val="0"/>
    <w:rPr>
      <w:rFonts w:cs="Times New Roman"/>
    </w:rPr>
  </w:style>
  <w:style w:type="character" w:styleId="25">
    <w:name w:val="FollowedHyperlink"/>
    <w:basedOn w:val="22"/>
    <w:qFormat/>
    <w:uiPriority w:val="0"/>
    <w:rPr>
      <w:color w:val="800080"/>
      <w:u w:val="none"/>
    </w:rPr>
  </w:style>
  <w:style w:type="character" w:styleId="26">
    <w:name w:val="HTML Definition"/>
    <w:basedOn w:val="22"/>
    <w:qFormat/>
    <w:uiPriority w:val="0"/>
  </w:style>
  <w:style w:type="character" w:styleId="27">
    <w:name w:val="HTML Typewriter"/>
    <w:basedOn w:val="22"/>
    <w:qFormat/>
    <w:uiPriority w:val="0"/>
    <w:rPr>
      <w:rFonts w:hint="default" w:ascii="monospace" w:hAnsi="monospace" w:eastAsia="monospace" w:cs="monospace"/>
      <w:sz w:val="20"/>
    </w:rPr>
  </w:style>
  <w:style w:type="character" w:styleId="28">
    <w:name w:val="HTML Acronym"/>
    <w:basedOn w:val="22"/>
    <w:qFormat/>
    <w:uiPriority w:val="0"/>
  </w:style>
  <w:style w:type="character" w:styleId="29">
    <w:name w:val="HTML Variable"/>
    <w:basedOn w:val="22"/>
    <w:qFormat/>
    <w:uiPriority w:val="0"/>
  </w:style>
  <w:style w:type="character" w:styleId="30">
    <w:name w:val="Hyperlink"/>
    <w:basedOn w:val="22"/>
    <w:qFormat/>
    <w:uiPriority w:val="99"/>
    <w:rPr>
      <w:rFonts w:cs="Times New Roman"/>
      <w:color w:val="555555"/>
      <w:u w:val="none"/>
    </w:rPr>
  </w:style>
  <w:style w:type="character" w:styleId="31">
    <w:name w:val="HTML Code"/>
    <w:basedOn w:val="22"/>
    <w:qFormat/>
    <w:uiPriority w:val="0"/>
    <w:rPr>
      <w:rFonts w:hint="default" w:ascii="monospace" w:hAnsi="monospace" w:eastAsia="monospace" w:cs="monospace"/>
      <w:sz w:val="20"/>
    </w:rPr>
  </w:style>
  <w:style w:type="character" w:styleId="32">
    <w:name w:val="HTML Cite"/>
    <w:basedOn w:val="22"/>
    <w:qFormat/>
    <w:uiPriority w:val="0"/>
  </w:style>
  <w:style w:type="character" w:styleId="33">
    <w:name w:val="HTML Keyboard"/>
    <w:basedOn w:val="22"/>
    <w:qFormat/>
    <w:uiPriority w:val="0"/>
    <w:rPr>
      <w:rFonts w:hint="default" w:ascii="monospace" w:hAnsi="monospace" w:eastAsia="monospace" w:cs="monospace"/>
      <w:sz w:val="20"/>
    </w:rPr>
  </w:style>
  <w:style w:type="character" w:styleId="34">
    <w:name w:val="HTML Sample"/>
    <w:basedOn w:val="22"/>
    <w:qFormat/>
    <w:uiPriority w:val="0"/>
    <w:rPr>
      <w:rFonts w:ascii="monospace" w:hAnsi="monospace" w:eastAsia="monospace" w:cs="monospace"/>
    </w:rPr>
  </w:style>
  <w:style w:type="paragraph" w:customStyle="1" w:styleId="35">
    <w:name w:val="Default"/>
    <w:next w:val="1"/>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36">
    <w:name w:val="List Paragraph"/>
    <w:basedOn w:val="1"/>
    <w:qFormat/>
    <w:uiPriority w:val="34"/>
    <w:pPr>
      <w:ind w:firstLine="420" w:firstLineChars="200"/>
    </w:pPr>
  </w:style>
  <w:style w:type="paragraph" w:customStyle="1" w:styleId="37">
    <w:name w:val="缺省文本"/>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38">
    <w:name w:val="样式 样式 样式 样式 标题 2 + 宋体 五号 非加粗 黑色 + 段前: 6 磅 段后: 0 磅 行距: 单倍行距 + 段前:..."/>
    <w:basedOn w:val="1"/>
    <w:qFormat/>
    <w:uiPriority w:val="0"/>
    <w:pPr>
      <w:keepNext/>
      <w:keepLines/>
      <w:adjustRightInd w:val="0"/>
      <w:spacing w:before="240"/>
      <w:textAlignment w:val="baseline"/>
      <w:outlineLvl w:val="1"/>
    </w:pPr>
    <w:rPr>
      <w:rFonts w:ascii="宋体" w:hAnsi="宋体"/>
      <w:b/>
      <w:bCs/>
      <w:kern w:val="0"/>
    </w:rPr>
  </w:style>
  <w:style w:type="character" w:customStyle="1" w:styleId="39">
    <w:name w:val="font21"/>
    <w:basedOn w:val="22"/>
    <w:qFormat/>
    <w:uiPriority w:val="0"/>
    <w:rPr>
      <w:rFonts w:hint="default" w:ascii="等线" w:hAnsi="等线" w:eastAsia="等线" w:cs="等线"/>
      <w:color w:val="000000"/>
      <w:sz w:val="22"/>
      <w:szCs w:val="22"/>
      <w:u w:val="none"/>
    </w:rPr>
  </w:style>
  <w:style w:type="character" w:customStyle="1" w:styleId="40">
    <w:name w:val="font71"/>
    <w:basedOn w:val="22"/>
    <w:qFormat/>
    <w:uiPriority w:val="0"/>
    <w:rPr>
      <w:rFonts w:hint="default" w:ascii="等线" w:hAnsi="等线" w:eastAsia="等线" w:cs="等线"/>
      <w:color w:val="000000"/>
      <w:sz w:val="22"/>
      <w:szCs w:val="22"/>
      <w:u w:val="none"/>
      <w:vertAlign w:val="subscript"/>
    </w:rPr>
  </w:style>
  <w:style w:type="character" w:customStyle="1" w:styleId="41">
    <w:name w:val="font12"/>
    <w:basedOn w:val="22"/>
    <w:qFormat/>
    <w:uiPriority w:val="0"/>
    <w:rPr>
      <w:rFonts w:hint="default" w:ascii="等线" w:hAnsi="等线" w:eastAsia="等线" w:cs="等线"/>
      <w:color w:val="000000"/>
      <w:sz w:val="16"/>
      <w:szCs w:val="16"/>
      <w:u w:val="none"/>
    </w:rPr>
  </w:style>
  <w:style w:type="character" w:customStyle="1" w:styleId="42">
    <w:name w:val="font101"/>
    <w:basedOn w:val="22"/>
    <w:qFormat/>
    <w:uiPriority w:val="0"/>
    <w:rPr>
      <w:rFonts w:hint="default" w:ascii="等线" w:hAnsi="等线" w:eastAsia="等线" w:cs="等线"/>
      <w:color w:val="000000"/>
      <w:sz w:val="22"/>
      <w:szCs w:val="22"/>
      <w:u w:val="none"/>
    </w:rPr>
  </w:style>
  <w:style w:type="character" w:customStyle="1" w:styleId="43">
    <w:name w:val="font91"/>
    <w:basedOn w:val="22"/>
    <w:qFormat/>
    <w:uiPriority w:val="0"/>
    <w:rPr>
      <w:rFonts w:hint="default" w:ascii="等线" w:hAnsi="等线" w:eastAsia="等线" w:cs="等线"/>
      <w:color w:val="000000"/>
      <w:sz w:val="22"/>
      <w:szCs w:val="22"/>
      <w:u w:val="none"/>
      <w:vertAlign w:val="superscript"/>
    </w:rPr>
  </w:style>
  <w:style w:type="character" w:customStyle="1" w:styleId="44">
    <w:name w:val="font51"/>
    <w:basedOn w:val="22"/>
    <w:qFormat/>
    <w:uiPriority w:val="0"/>
    <w:rPr>
      <w:rFonts w:hint="default" w:ascii="等线" w:hAnsi="等线" w:eastAsia="等线" w:cs="等线"/>
      <w:color w:val="000000"/>
      <w:sz w:val="22"/>
      <w:szCs w:val="22"/>
      <w:u w:val="none"/>
    </w:rPr>
  </w:style>
  <w:style w:type="character" w:customStyle="1" w:styleId="45">
    <w:name w:val="font81"/>
    <w:basedOn w:val="22"/>
    <w:qFormat/>
    <w:uiPriority w:val="0"/>
    <w:rPr>
      <w:rFonts w:hint="default" w:ascii="等线" w:hAnsi="等线" w:eastAsia="等线" w:cs="等线"/>
      <w:color w:val="000000"/>
      <w:sz w:val="22"/>
      <w:szCs w:val="22"/>
      <w:u w:val="none"/>
      <w:vertAlign w:val="superscript"/>
    </w:rPr>
  </w:style>
  <w:style w:type="character" w:customStyle="1" w:styleId="46">
    <w:name w:val="font01"/>
    <w:basedOn w:val="22"/>
    <w:qFormat/>
    <w:uiPriority w:val="0"/>
    <w:rPr>
      <w:rFonts w:hint="default" w:ascii="等线" w:hAnsi="等线" w:eastAsia="等线" w:cs="等线"/>
      <w:color w:val="000000"/>
      <w:sz w:val="22"/>
      <w:szCs w:val="22"/>
      <w:u w:val="none"/>
      <w:vertAlign w:val="subscript"/>
    </w:rPr>
  </w:style>
  <w:style w:type="character" w:customStyle="1" w:styleId="47">
    <w:name w:val="正文文本缩进 2 Char"/>
    <w:basedOn w:val="22"/>
    <w:link w:val="12"/>
    <w:qFormat/>
    <w:uiPriority w:val="0"/>
    <w:rPr>
      <w:rFonts w:ascii="楷体_GB2312" w:hAnsi="Calibri"/>
      <w:kern w:val="2"/>
      <w:sz w:val="28"/>
      <w:szCs w:val="28"/>
    </w:rPr>
  </w:style>
  <w:style w:type="character" w:customStyle="1" w:styleId="48">
    <w:name w:val="纯文本 Char"/>
    <w:basedOn w:val="22"/>
    <w:link w:val="2"/>
    <w:qFormat/>
    <w:uiPriority w:val="99"/>
    <w:rPr>
      <w:rFonts w:ascii="宋体" w:hAnsi="宋体"/>
      <w:kern w:val="2"/>
      <w:sz w:val="21"/>
      <w:szCs w:val="22"/>
    </w:rPr>
  </w:style>
  <w:style w:type="character" w:customStyle="1" w:styleId="49">
    <w:name w:val="页眉 Char"/>
    <w:basedOn w:val="22"/>
    <w:link w:val="15"/>
    <w:qFormat/>
    <w:uiPriority w:val="0"/>
    <w:rPr>
      <w:rFonts w:ascii="Calibri" w:hAnsi="Calibri"/>
      <w:kern w:val="2"/>
      <w:sz w:val="18"/>
      <w:szCs w:val="18"/>
    </w:rPr>
  </w:style>
  <w:style w:type="character" w:customStyle="1" w:styleId="50">
    <w:name w:val="bookmark-item"/>
    <w:basedOn w:val="22"/>
    <w:qFormat/>
    <w:uiPriority w:val="0"/>
  </w:style>
  <w:style w:type="paragraph" w:customStyle="1" w:styleId="51">
    <w:name w:val="5）标书正文 首行缩进2字符"/>
    <w:basedOn w:val="1"/>
    <w:qFormat/>
    <w:uiPriority w:val="0"/>
    <w:pPr>
      <w:spacing w:line="480" w:lineRule="exact"/>
      <w:ind w:firstLine="200" w:firstLineChars="200"/>
    </w:pPr>
    <w:rPr>
      <w:rFonts w:ascii="仿宋_GB2312" w:eastAsia="仿宋_GB2312"/>
      <w:sz w:val="28"/>
    </w:rPr>
  </w:style>
  <w:style w:type="character" w:customStyle="1" w:styleId="52">
    <w:name w:val="批注框文本 Char"/>
    <w:basedOn w:val="22"/>
    <w:link w:val="13"/>
    <w:qFormat/>
    <w:uiPriority w:val="0"/>
    <w:rPr>
      <w:rFonts w:ascii="Calibri" w:hAnsi="Calibri"/>
      <w:kern w:val="2"/>
      <w:sz w:val="18"/>
      <w:szCs w:val="18"/>
    </w:rPr>
  </w:style>
  <w:style w:type="paragraph" w:customStyle="1" w:styleId="53">
    <w:name w:val="Default Text"/>
    <w:qFormat/>
    <w:uiPriority w:val="0"/>
    <w:pPr>
      <w:widowControl w:val="0"/>
      <w:autoSpaceDE w:val="0"/>
      <w:autoSpaceDN w:val="0"/>
      <w:adjustRightInd w:val="0"/>
    </w:pPr>
    <w:rPr>
      <w:rFonts w:ascii="Times New Roman" w:hAnsi="Times New Roman" w:eastAsia="宋体" w:cs="Times New Roman"/>
      <w:color w:val="000000"/>
      <w:sz w:val="24"/>
      <w:szCs w:val="22"/>
      <w:lang w:val="en-US" w:eastAsia="zh-CN" w:bidi="ar-SA"/>
    </w:rPr>
  </w:style>
  <w:style w:type="character" w:customStyle="1" w:styleId="54">
    <w:name w:val="font31"/>
    <w:basedOn w:val="22"/>
    <w:qFormat/>
    <w:uiPriority w:val="0"/>
    <w:rPr>
      <w:rFonts w:hint="eastAsia" w:ascii="宋体" w:hAnsi="宋体" w:eastAsia="宋体" w:cs="宋体"/>
      <w:color w:val="000000"/>
      <w:sz w:val="22"/>
      <w:szCs w:val="22"/>
      <w:u w:val="none"/>
    </w:rPr>
  </w:style>
  <w:style w:type="paragraph" w:customStyle="1" w:styleId="55">
    <w:name w:val="Normal (Web)"/>
    <w:basedOn w:val="1"/>
    <w:qFormat/>
    <w:uiPriority w:val="0"/>
    <w:pPr>
      <w:widowControl/>
      <w:spacing w:before="100" w:beforeLines="0" w:beforeAutospacing="1" w:after="100" w:afterLines="0" w:afterAutospacing="1"/>
      <w:jc w:val="left"/>
    </w:pPr>
    <w:rPr>
      <w:rFonts w:asci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63" textRotate="1"/>
    <customShpInfo spid="_x0000_s1032"/>
    <customShpInfo spid="_x0000_s1033"/>
    <customShpInfo spid="_x0000_s1026"/>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70</Pages>
  <Words>34003</Words>
  <Characters>36113</Characters>
  <Lines>331</Lines>
  <Paragraphs>93</Paragraphs>
  <TotalTime>0</TotalTime>
  <ScaleCrop>false</ScaleCrop>
  <LinksUpToDate>false</LinksUpToDate>
  <CharactersWithSpaces>37249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温慧</cp:lastModifiedBy>
  <cp:lastPrinted>2021-12-29T02:10:00Z</cp:lastPrinted>
  <dcterms:modified xsi:type="dcterms:W3CDTF">2023-03-03T08:25:14Z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6D38C4078A6C4268A72FC8C58B8F6863</vt:lpwstr>
  </property>
</Properties>
</file>