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（三包）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阿勒泰地区2023年动物疫苗采购项目（三包）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阿勒泰地区2023年动物疫苗采购项目（三包）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076"/>
      <w:bookmarkStart w:id="1" w:name="_Toc12782"/>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19"/>
        <w:keepNext w:val="0"/>
        <w:keepLines w:val="0"/>
        <w:widowControl/>
        <w:suppressLineNumbers w:val="0"/>
        <w:spacing w:before="75" w:beforeAutospacing="0" w:after="75" w:afterAutospacing="0"/>
        <w:ind w:left="0" w:right="0"/>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阿勒泰地区2023年动物疫苗采购项目（三包）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highlight w:val="none"/>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772900（元）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772900（元）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105.2（万头份）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w:t>
            </w:r>
            <w:bookmarkStart w:id="92" w:name="_GoBack"/>
            <w:bookmarkEnd w:id="92"/>
            <w:r>
              <w:rPr>
                <w:rFonts w:hint="eastAsia" w:ascii="宋体" w:hAnsi="宋体" w:eastAsia="宋体" w:cs="Times New Roman"/>
                <w:color w:val="auto"/>
                <w:sz w:val="24"/>
              </w:rPr>
              <w:t>线上获取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投标保证金金额：人民币</w:t>
            </w:r>
            <w:r>
              <w:rPr>
                <w:rFonts w:hint="eastAsia"/>
                <w:lang w:val="en-US" w:eastAsia="zh-CN"/>
              </w:rPr>
              <w:t>14000</w:t>
            </w:r>
            <w:r>
              <w:rPr>
                <w:rFonts w:hint="default"/>
                <w:lang w:val="en-US" w:eastAsia="zh-CN"/>
              </w:rPr>
              <w:t>.00元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2117"/>
      <w:bookmarkStart w:id="10" w:name="_Toc12338"/>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5106"/>
      <w:bookmarkStart w:id="12" w:name="_Toc28529"/>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阿勒泰地区2023年动物疫苗采购项目（三包）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sz w:val="21"/>
                <w:szCs w:val="21"/>
                <w:lang w:val="en-US" w:eastAsia="zh-CN"/>
              </w:rPr>
              <w:t>1</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kern w:val="0"/>
                <w:sz w:val="21"/>
                <w:szCs w:val="21"/>
              </w:rPr>
              <w:t>产品技术指标及生产能力技术部分</w:t>
            </w:r>
            <w:r>
              <w:rPr>
                <w:rFonts w:hint="eastAsia" w:ascii="宋体" w:hAnsi="宋体" w:cs="宋体"/>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r>
              <w:rPr>
                <w:rFonts w:hint="eastAsia" w:cs="宋体"/>
                <w:color w:val="auto"/>
                <w:sz w:val="21"/>
                <w:szCs w:val="21"/>
              </w:rPr>
              <w:t>或报告得3分；省级权威部门出具的鉴定文件或报告得2分</w:t>
            </w:r>
            <w:r>
              <w:rPr>
                <w:rFonts w:hint="eastAsia" w:cs="宋体"/>
                <w:color w:val="auto"/>
                <w:sz w:val="21"/>
                <w:szCs w:val="21"/>
                <w:lang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2"/>
              <w:rPr>
                <w:rFonts w:cs="宋体"/>
                <w:szCs w:val="21"/>
              </w:rPr>
            </w:pPr>
            <w:r>
              <w:rPr>
                <w:rFonts w:hint="eastAsia" w:cs="宋体"/>
                <w:szCs w:val="21"/>
              </w:rPr>
              <w:t>2、产品功能（满分3分）：</w:t>
            </w:r>
          </w:p>
          <w:p>
            <w:pPr>
              <w:pStyle w:val="2"/>
              <w:rPr>
                <w:rFonts w:cs="宋体"/>
                <w:szCs w:val="21"/>
              </w:rPr>
            </w:pPr>
            <w:r>
              <w:rPr>
                <w:rFonts w:hint="eastAsia" w:cs="宋体"/>
                <w:color w:val="000000" w:themeColor="text1"/>
                <w:szCs w:val="21"/>
              </w:rPr>
              <w:t>①</w:t>
            </w:r>
            <w:r>
              <w:rPr>
                <w:rFonts w:hint="eastAsia" w:cs="宋体"/>
                <w:szCs w:val="21"/>
              </w:rPr>
              <w:t>所投产品满足国家对该产品的技术生产要求具有完整的产品说明书、使用范围、使用方法，注意事项等情况。说明书内容全面，分项介绍详细，配图完整易理解</w:t>
            </w:r>
            <w:r>
              <w:rPr>
                <w:rFonts w:hint="eastAsia" w:cs="宋体"/>
                <w:szCs w:val="21"/>
                <w:lang w:eastAsia="zh-CN"/>
              </w:rPr>
              <w:t>，</w:t>
            </w:r>
            <w:r>
              <w:rPr>
                <w:rFonts w:hint="eastAsia" w:cs="宋体"/>
                <w:szCs w:val="21"/>
              </w:rPr>
              <w:t>得3分；</w:t>
            </w:r>
          </w:p>
          <w:p>
            <w:pPr>
              <w:pStyle w:val="2"/>
              <w:rPr>
                <w:rFonts w:cs="宋体"/>
                <w:szCs w:val="21"/>
              </w:rPr>
            </w:pPr>
            <w:r>
              <w:rPr>
                <w:rFonts w:hint="eastAsia" w:cs="宋体"/>
                <w:color w:val="000000" w:themeColor="text1"/>
                <w:szCs w:val="21"/>
              </w:rPr>
              <w:t>②</w:t>
            </w:r>
            <w:r>
              <w:rPr>
                <w:rFonts w:hint="eastAsia" w:cs="宋体"/>
                <w:szCs w:val="21"/>
              </w:rPr>
              <w:t>说明书简略，分项介绍内容不明确、不清晰得</w:t>
            </w:r>
            <w:r>
              <w:rPr>
                <w:rFonts w:cs="宋体"/>
                <w:szCs w:val="21"/>
              </w:rPr>
              <w:t>1</w:t>
            </w:r>
            <w:r>
              <w:rPr>
                <w:rFonts w:hint="eastAsia" w:cs="宋体"/>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③</w:t>
            </w:r>
            <w:r>
              <w:rPr>
                <w:rFonts w:hint="eastAsia" w:cs="宋体"/>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、所投疫苗202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（提供批签发报告复印件，原件备查）（满分10分）：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①提供202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年以来连续3个批次的批签发（共3分）：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3个批次在同一月内生产的得3分；二个月内生产的得2分；半年内的得1分；否则不得分；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②以《兽用生物制品生产与检验报告》为依据，计算上述3批次疫苗的PD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平均数（满分6分）：达到6个PD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的得2分；每高一个PD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加1分，加到满分为止；</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值的离散度（满分1分）：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上述3个批次双组份疫苗的离散度在±1以内得1分，±2以内得0.5分，有一个批次及以上PD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值不在此范围不得分。（示例：PD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值均值为10，则3个批次批签发PD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值在9～11之间的得1分，8～12之间的得0.5分，除此以外不得分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6</w:t>
            </w:r>
            <w:r>
              <w:rPr>
                <w:rFonts w:hint="eastAsia" w:ascii="宋体" w:hAnsi="宋体" w:cs="宋体"/>
                <w:color w:val="000000" w:themeColor="text1"/>
                <w:sz w:val="21"/>
                <w:szCs w:val="21"/>
              </w:rPr>
              <w:t>、内毒素检测每头份疫苗不超过50EU/ml（满分</w:t>
            </w:r>
            <w:r>
              <w:rPr>
                <w:rFonts w:hint="eastAsia" w:ascii="宋体" w:hAnsi="宋体" w:cs="宋体"/>
                <w:color w:val="000000" w:themeColor="text1"/>
                <w:sz w:val="21"/>
                <w:szCs w:val="21"/>
                <w:lang w:val="en-US" w:eastAsia="zh-CN"/>
              </w:rPr>
              <w:t>3</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①连续3批的检验报告单、提供企业签发的内毒素检验规程，证明检验过并提供上述材料的得0.5分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②证明低于20EU/ml加</w:t>
            </w:r>
            <w:r>
              <w:rPr>
                <w:rFonts w:hint="eastAsia" w:ascii="宋体" w:hAnsi="宋体" w:cs="宋体"/>
                <w:color w:val="000000" w:themeColor="text1"/>
                <w:sz w:val="21"/>
                <w:szCs w:val="21"/>
                <w:lang w:val="en-US" w:eastAsia="zh-CN"/>
              </w:rPr>
              <w:t>1</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③证明低于10EU/ml加1</w:t>
            </w: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④证明低于5EU/ml加</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.5分；</w:t>
            </w:r>
          </w:p>
          <w:p>
            <w:pPr>
              <w:pStyle w:val="15"/>
              <w:pBdr>
                <w:bottom w:val="none" w:color="auto" w:sz="0" w:space="0"/>
              </w:pBdr>
              <w:jc w:val="left"/>
              <w:rPr>
                <w:rFonts w:ascii="宋体" w:hAnsi="宋体" w:cs="宋体"/>
                <w:color w:val="000000" w:themeColor="text1"/>
                <w:sz w:val="21"/>
                <w:szCs w:val="21"/>
              </w:rPr>
            </w:pPr>
            <w:r>
              <w:rPr>
                <w:rFonts w:hint="eastAsia" w:ascii="微软雅黑" w:hAnsi="微软雅黑" w:eastAsia="微软雅黑" w:cs="微软雅黑"/>
                <w:color w:val="000000" w:themeColor="text1"/>
                <w:sz w:val="21"/>
                <w:szCs w:val="21"/>
              </w:rPr>
              <w:t>⑤</w:t>
            </w:r>
            <w:r>
              <w:rPr>
                <w:rFonts w:hint="eastAsia" w:ascii="宋体" w:hAnsi="宋体" w:cs="宋体"/>
                <w:color w:val="000000" w:themeColor="text1"/>
                <w:sz w:val="21"/>
                <w:szCs w:val="21"/>
              </w:rPr>
              <w:t>内毒素超过50EU/ml不得分；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sz w:val="24"/>
                <w:szCs w:val="24"/>
              </w:rPr>
            </w:pP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小计</w:t>
            </w:r>
          </w:p>
        </w:tc>
        <w:tc>
          <w:tcPr>
            <w:tcW w:w="6285" w:type="dxa"/>
          </w:tcPr>
          <w:p>
            <w:pPr>
              <w:pStyle w:val="15"/>
              <w:pBdr>
                <w:bottom w:val="none" w:color="auto" w:sz="0" w:space="0"/>
              </w:pBdr>
              <w:jc w:val="left"/>
              <w:rPr>
                <w:rFonts w:ascii="宋体" w:hAnsi="宋体" w:cs="宋体"/>
                <w:sz w:val="24"/>
                <w:szCs w:val="24"/>
              </w:rPr>
            </w:pP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阿勒泰地区2023年动物疫苗采购项目（三包）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阿勒泰地区2023年动物疫苗采购项目（三包）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906"/>
      <w:bookmarkEnd w:id="25"/>
      <w:bookmarkStart w:id="26" w:name="_Toc138638718"/>
      <w:bookmarkEnd w:id="26"/>
      <w:bookmarkStart w:id="27" w:name="_Toc138639145"/>
      <w:bookmarkEnd w:id="27"/>
      <w:bookmarkStart w:id="28" w:name="_Toc138639090"/>
      <w:bookmarkEnd w:id="28"/>
      <w:bookmarkStart w:id="29" w:name="_合同文件的组成及解释顺序"/>
      <w:bookmarkEnd w:id="29"/>
      <w:bookmarkStart w:id="30" w:name="_Toc138638907"/>
      <w:bookmarkEnd w:id="30"/>
      <w:bookmarkStart w:id="31" w:name="_Toc138638883"/>
      <w:bookmarkEnd w:id="31"/>
      <w:bookmarkStart w:id="32" w:name="_Toc138638773"/>
      <w:bookmarkEnd w:id="32"/>
      <w:bookmarkStart w:id="33" w:name="_Toc138638535"/>
      <w:bookmarkEnd w:id="33"/>
      <w:bookmarkStart w:id="34" w:name="_Toc138638534"/>
      <w:bookmarkEnd w:id="34"/>
      <w:bookmarkStart w:id="35" w:name="_Toc138638538"/>
      <w:bookmarkEnd w:id="35"/>
      <w:bookmarkStart w:id="36" w:name="_Toc138638884"/>
      <w:bookmarkEnd w:id="36"/>
      <w:bookmarkStart w:id="37" w:name="_Toc138638509"/>
      <w:bookmarkEnd w:id="37"/>
      <w:bookmarkStart w:id="38" w:name="_Toc138638510"/>
      <w:bookmarkEnd w:id="38"/>
      <w:bookmarkStart w:id="39" w:name="_Toc138639074"/>
      <w:bookmarkEnd w:id="39"/>
      <w:bookmarkStart w:id="40" w:name="_Toc138639091"/>
      <w:bookmarkEnd w:id="40"/>
      <w:bookmarkStart w:id="41" w:name="_Toc138638719"/>
      <w:bookmarkEnd w:id="41"/>
      <w:bookmarkStart w:id="42" w:name="_Toc138638702"/>
      <w:bookmarkEnd w:id="42"/>
      <w:bookmarkStart w:id="43" w:name="_Toc138638910"/>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阿勒泰地区2023年动物疫苗采购项目（三包）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牛口蹄疫O、A二价灭活苗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auto"/>
                <w:kern w:val="0"/>
                <w:sz w:val="24"/>
                <w:szCs w:val="24"/>
                <w:highlight w:val="none"/>
                <w:lang w:val="en-US" w:eastAsia="zh-CN" w:bidi="ar-SA"/>
              </w:rPr>
              <w:t>49.38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2.贮藏与有效期：在2-8℃保存，有效期为12个月。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4.交货时产品有效期在8个月以上。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5.采用206油佐剂生产；效力检验，每头份疫苗应至少含牛口蹄疫0型、A型各6 PD50；内毒素含量不高于50EU/毫升；总蛋白含量不高于350ug/毫升。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羊口蹄疫O、A二价灭活苗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auto"/>
                <w:kern w:val="0"/>
                <w:sz w:val="24"/>
                <w:szCs w:val="24"/>
                <w:highlight w:val="none"/>
                <w:lang w:val="en-US" w:eastAsia="zh-CN" w:bidi="ar-SA"/>
              </w:rPr>
              <w:t>55.82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2.贮藏与有效期：在2-8℃保存，有效期为12个月。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4.交货时产品有效期在8个月以上。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5.采用206油佐剂生产；效力检验，每头份疫苗应至少含牛口蹄疫0型、A型各6 PD50；内毒素含量不高于50EU/毫升；总蛋白含量不高于350ug/毫升。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26951"/>
      <w:bookmarkStart w:id="47" w:name="_Toc17208"/>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439255246"/>
      <w:bookmarkStart w:id="50" w:name="_Toc27018_WPSOffice_Level1"/>
    </w:p>
    <w:p>
      <w:pPr>
        <w:tabs>
          <w:tab w:val="center" w:pos="4832"/>
          <w:tab w:val="left" w:pos="7140"/>
        </w:tabs>
        <w:spacing w:line="360" w:lineRule="auto"/>
        <w:jc w:val="left"/>
        <w:outlineLvl w:val="2"/>
        <w:rPr>
          <w:rFonts w:ascii="宋体" w:cs="Arial"/>
          <w:kern w:val="0"/>
          <w:sz w:val="24"/>
          <w:szCs w:val="24"/>
        </w:rPr>
      </w:pPr>
      <w:bookmarkStart w:id="51" w:name="_Toc16729"/>
      <w:bookmarkStart w:id="52" w:name="_Toc28983"/>
      <w:bookmarkStart w:id="53" w:name="_Toc8866"/>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24342"/>
      <w:bookmarkStart w:id="55" w:name="_Toc10385"/>
      <w:bookmarkStart w:id="56" w:name="_Toc16176"/>
      <w:bookmarkStart w:id="57" w:name="_Toc7742_WPSOffice_Level1"/>
      <w:bookmarkStart w:id="58" w:name="_Toc439255248"/>
      <w:bookmarkStart w:id="59" w:name="_Toc267320050"/>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439255249"/>
      <w:bookmarkStart w:id="61" w:name="_Toc267320051"/>
      <w:bookmarkStart w:id="62" w:name="_Toc13600_WPSOffice_Level1"/>
    </w:p>
    <w:p>
      <w:pPr>
        <w:tabs>
          <w:tab w:val="center" w:pos="4832"/>
          <w:tab w:val="left" w:pos="7140"/>
        </w:tabs>
        <w:spacing w:line="360" w:lineRule="auto"/>
        <w:jc w:val="left"/>
        <w:outlineLvl w:val="2"/>
        <w:rPr>
          <w:rFonts w:ascii="宋体" w:cs="Arial"/>
          <w:kern w:val="0"/>
          <w:sz w:val="24"/>
          <w:szCs w:val="24"/>
        </w:rPr>
      </w:pPr>
      <w:bookmarkStart w:id="63" w:name="_Toc18005"/>
      <w:bookmarkStart w:id="64" w:name="_Toc24187"/>
      <w:bookmarkStart w:id="65" w:name="_Toc7577"/>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267320052"/>
      <w:bookmarkStart w:id="67" w:name="_Toc439255250"/>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8238"/>
      <w:bookmarkStart w:id="70" w:name="_Toc16945"/>
      <w:bookmarkStart w:id="71" w:name="_Toc31012"/>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20832"/>
      <w:bookmarkStart w:id="73" w:name="_Toc17147"/>
      <w:bookmarkStart w:id="74" w:name="_Toc7598"/>
      <w:bookmarkStart w:id="75" w:name="_Toc267320054"/>
      <w:bookmarkStart w:id="76" w:name="_Toc12840_WPSOffice_Level1"/>
      <w:bookmarkStart w:id="77" w:name="_Toc439255252"/>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16454"/>
      <w:bookmarkStart w:id="86" w:name="_Toc568"/>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pPr>
        <w:rPr>
          <w:rFonts w:hint="eastAsia" w:ascii="宋体" w:hAnsi="宋体" w:cs="宋体"/>
          <w:b/>
          <w:bCs/>
          <w:kern w:val="0"/>
          <w:sz w:val="24"/>
          <w:szCs w:val="24"/>
        </w:rPr>
      </w:pPr>
      <w:r>
        <w:rPr>
          <w:rFonts w:hint="eastAsia" w:ascii="宋体" w:hAnsi="宋体" w:cs="宋体"/>
          <w:b/>
          <w:bCs/>
          <w:kern w:val="0"/>
          <w:sz w:val="24"/>
          <w:szCs w:val="24"/>
        </w:rPr>
        <w:br w:type="page"/>
      </w:r>
    </w:p>
    <w:p>
      <w:pPr>
        <w:pStyle w:val="2"/>
        <w:rPr>
          <w:rFonts w:hint="eastAsia" w:ascii="宋体" w:hAnsi="宋体" w:cs="宋体"/>
          <w:b/>
          <w:bCs/>
          <w:kern w:val="0"/>
          <w:sz w:val="24"/>
          <w:szCs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Pr>
        <w:pStyle w:val="10"/>
        <w:numPr>
          <w:ilvl w:val="0"/>
          <w:numId w:val="0"/>
        </w:numPr>
      </w:pPr>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3"/>
      </w:pP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22054"/>
      <w:bookmarkStart w:id="91" w:name="_Toc810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CC38E2"/>
    <w:rsid w:val="0AE2150B"/>
    <w:rsid w:val="0B1E5812"/>
    <w:rsid w:val="0B290DCA"/>
    <w:rsid w:val="0B324E4B"/>
    <w:rsid w:val="0B58174C"/>
    <w:rsid w:val="0B6866B1"/>
    <w:rsid w:val="0B6F58DE"/>
    <w:rsid w:val="0BB24931"/>
    <w:rsid w:val="0BBA37C2"/>
    <w:rsid w:val="0BBE153E"/>
    <w:rsid w:val="0BF027CF"/>
    <w:rsid w:val="0C19647E"/>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15C5"/>
    <w:rsid w:val="109B3FCF"/>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961910"/>
    <w:rsid w:val="14B972A1"/>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D72F28"/>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190486"/>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D9184D"/>
    <w:rsid w:val="3CF97B4E"/>
    <w:rsid w:val="3D1029A5"/>
    <w:rsid w:val="3D195167"/>
    <w:rsid w:val="3D2A1E59"/>
    <w:rsid w:val="3D3B587A"/>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226A8"/>
    <w:rsid w:val="3F0A622E"/>
    <w:rsid w:val="3F130F89"/>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34AA3"/>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233B39"/>
    <w:rsid w:val="4CAA7E25"/>
    <w:rsid w:val="4CCD2F19"/>
    <w:rsid w:val="4D2F7A00"/>
    <w:rsid w:val="4D4308C0"/>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5F3E3C"/>
    <w:rsid w:val="5F8050B4"/>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B1774C"/>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626B9"/>
    <w:rsid w:val="68AA7B17"/>
    <w:rsid w:val="68D85418"/>
    <w:rsid w:val="68EE75B0"/>
    <w:rsid w:val="69146D8D"/>
    <w:rsid w:val="6926095E"/>
    <w:rsid w:val="693009CF"/>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4430B"/>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634ED0"/>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07CCA"/>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1968BD"/>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34003</Words>
  <Characters>36110</Characters>
  <Lines>331</Lines>
  <Paragraphs>93</Paragraphs>
  <TotalTime>0</TotalTime>
  <ScaleCrop>false</ScaleCrop>
  <LinksUpToDate>false</LinksUpToDate>
  <CharactersWithSpaces>37246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2023-03-03T08:24:59Z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