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（七包）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阿勒泰地区2023年动物疫苗采购项目（七包）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阿勒泰地区2023年动物疫苗采购项目（七包）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阿勒泰地区2023年动物疫苗采购项目（七包）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80689.6（元）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80689.6（元）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69.56（万头份）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bookmarkStart w:id="92" w:name="_GoBack"/>
            <w:bookmarkEnd w:id="92"/>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lang w:val="en-US" w:eastAsia="zh-CN"/>
              </w:rPr>
              <w:t>投</w:t>
            </w:r>
            <w:r>
              <w:rPr>
                <w:rFonts w:hint="default"/>
                <w:highlight w:val="none"/>
                <w:lang w:val="en-US" w:eastAsia="zh-CN"/>
              </w:rPr>
              <w:t>标保证金金额：人民币</w:t>
            </w:r>
            <w:r>
              <w:rPr>
                <w:rFonts w:hint="eastAsia"/>
                <w:highlight w:val="none"/>
                <w:lang w:val="en-US" w:eastAsia="zh-CN"/>
              </w:rPr>
              <w:t>5000.00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需要，履约保证金的金额：中标合同金额的</w:t>
            </w:r>
            <w:r>
              <w:rPr>
                <w:rFonts w:hint="eastAsia" w:ascii="宋体" w:hAnsi="宋体" w:cs="Times New Roman"/>
                <w:color w:val="auto"/>
                <w:sz w:val="24"/>
                <w:lang w:val="en-US" w:eastAsia="zh-CN"/>
              </w:rPr>
              <w:t>10</w:t>
            </w:r>
            <w:r>
              <w:rPr>
                <w:rFonts w:hint="eastAsia" w:ascii="宋体" w:hAnsi="宋体" w:eastAsia="宋体" w:cs="Times New Roman"/>
                <w:color w:val="auto"/>
                <w:sz w:val="24"/>
              </w:rPr>
              <w:t>%（履约保证金须以支票、汇票、本票或者金融机构、担保机构出具的保函等非现金形式提交）</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12.1.“履约保函”或“保证保险保单”（履约保证金）金额不高于合同总额的10%（最终以与采购人签订协议为主）。</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12.2.中标企业收到中标通知书后（签订协议前）向采购人缴纳；</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12.3.在合同签订时中标企业须同时提供“履约保函”或“保证保险保单”（履约保证金）；</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12.4.投标人未按招标文件规定缴纳履约保证金的，视为自动放弃本次中标项目并且投标保证金将不予退还。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default" w:ascii="宋体" w:hAnsi="宋体" w:eastAsia="宋体" w:cs="Arial"/>
          <w:kern w:val="0"/>
          <w:sz w:val="24"/>
          <w:szCs w:val="24"/>
          <w:lang w:val="en-US" w:eastAsia="zh-CN"/>
        </w:rPr>
      </w:pPr>
      <w:r>
        <w:rPr>
          <w:rFonts w:hint="eastAsia" w:ascii="宋体" w:hAnsi="宋体" w:cs="Arial"/>
          <w:kern w:val="0"/>
          <w:sz w:val="24"/>
          <w:szCs w:val="24"/>
          <w:lang w:val="en-US" w:eastAsia="zh-CN"/>
        </w:rPr>
        <w:t>本项目代理费为5000元。</w:t>
      </w:r>
    </w:p>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阿勒泰地区2023年动物疫苗采购项目（七包）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1"/>
                <w:szCs w:val="21"/>
                <w:lang w:eastAsia="zh-CN"/>
              </w:rPr>
              <w:t>重组禽流感病毒(H5+H7)三价灭活疫苗</w:t>
            </w:r>
          </w:p>
        </w:tc>
        <w:tc>
          <w:tcPr>
            <w:tcW w:w="1514"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color w:val="auto"/>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、所投疫苗效价（提供202</w:t>
            </w:r>
            <w:r>
              <w:rPr>
                <w:rFonts w:hint="eastAsia" w:ascii="宋体" w:hAnsi="宋体" w:cs="宋体"/>
                <w:color w:val="auto"/>
                <w:sz w:val="21"/>
                <w:szCs w:val="21"/>
                <w:lang w:val="en-US" w:eastAsia="zh-CN"/>
              </w:rPr>
              <w:t>2</w:t>
            </w:r>
            <w:r>
              <w:rPr>
                <w:rFonts w:hint="eastAsia" w:ascii="宋体" w:hAnsi="宋体" w:cs="宋体"/>
                <w:color w:val="auto"/>
                <w:sz w:val="21"/>
                <w:szCs w:val="21"/>
              </w:rPr>
              <w:t>年来连续3个批次的产品批签发报告复印件，原件备查）：免疫HI抗体平均滴度（GMT)均不低于1：128；</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 ≥ 1：128 ＜ 1：256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② ≥ 1：256 ＜ 1：512  的得3分；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③ ≥ 1：512 ＜ 1：1024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 xml:space="preserve">④≥ 1：1024          </w:t>
            </w:r>
            <w:r>
              <w:rPr>
                <w:rFonts w:hint="eastAsia" w:ascii="宋体" w:hAnsi="宋体" w:cs="宋体"/>
                <w:color w:val="auto"/>
                <w:sz w:val="21"/>
                <w:szCs w:val="21"/>
                <w:lang w:val="en-US" w:eastAsia="zh-CN"/>
              </w:rPr>
              <w:t xml:space="preserve"> </w:t>
            </w:r>
            <w:r>
              <w:rPr>
                <w:rFonts w:hint="eastAsia" w:ascii="宋体" w:hAnsi="宋体" w:cs="宋体"/>
                <w:color w:val="auto"/>
                <w:sz w:val="21"/>
                <w:szCs w:val="21"/>
              </w:rPr>
              <w:t xml:space="preserve"> 的得</w:t>
            </w:r>
            <w:r>
              <w:rPr>
                <w:rFonts w:hint="eastAsia" w:ascii="宋体" w:hAnsi="宋体" w:cs="宋体"/>
                <w:color w:val="auto"/>
                <w:sz w:val="21"/>
                <w:szCs w:val="21"/>
                <w:lang w:val="en-US" w:eastAsia="zh-CN"/>
              </w:rPr>
              <w:t>5</w:t>
            </w:r>
            <w:r>
              <w:rPr>
                <w:rFonts w:hint="eastAsia" w:ascii="宋体" w:hAnsi="宋体" w:cs="宋体"/>
                <w:color w:val="auto"/>
                <w:sz w:val="21"/>
                <w:szCs w:val="21"/>
              </w:rPr>
              <w:t>分；</w:t>
            </w:r>
          </w:p>
        </w:tc>
        <w:tc>
          <w:tcPr>
            <w:tcW w:w="585"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6</w:t>
            </w:r>
            <w:r>
              <w:rPr>
                <w:rFonts w:hint="eastAsia" w:ascii="宋体" w:hAnsi="宋体" w:cs="宋体"/>
                <w:color w:val="auto"/>
                <w:sz w:val="21"/>
                <w:szCs w:val="21"/>
              </w:rPr>
              <w:t>、粘度（满分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 粘度低于100cP的得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②粘度低于50cP的得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③粘度高于100cP的不得分；</w:t>
            </w:r>
          </w:p>
        </w:tc>
        <w:tc>
          <w:tcPr>
            <w:tcW w:w="585"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color w:val="auto"/>
                <w:sz w:val="24"/>
                <w:szCs w:val="24"/>
              </w:rPr>
            </w:pPr>
          </w:p>
        </w:tc>
        <w:tc>
          <w:tcPr>
            <w:tcW w:w="1514" w:type="dxa"/>
            <w:vMerge w:val="continue"/>
            <w:vAlign w:val="center"/>
          </w:tcPr>
          <w:p>
            <w:pPr>
              <w:pStyle w:val="15"/>
              <w:pBdr>
                <w:bottom w:val="none" w:color="auto" w:sz="0" w:space="0"/>
              </w:pBdr>
              <w:rPr>
                <w:rFonts w:ascii="宋体" w:hAnsi="宋体" w:cs="宋体"/>
                <w:color w:val="auto"/>
                <w:sz w:val="24"/>
                <w:szCs w:val="24"/>
              </w:rPr>
            </w:pPr>
          </w:p>
        </w:tc>
        <w:tc>
          <w:tcPr>
            <w:tcW w:w="6285" w:type="dxa"/>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、甲醛残留量测定量（满分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 甲醛残留量测定量低于0.1%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②甲醛残留量测定量低于0.05%的得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③甲醛残留量测定量高于0.1% 的不得分；</w:t>
            </w:r>
          </w:p>
        </w:tc>
        <w:tc>
          <w:tcPr>
            <w:tcW w:w="585"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color w:val="auto"/>
                <w:sz w:val="24"/>
                <w:szCs w:val="24"/>
              </w:rPr>
            </w:pPr>
          </w:p>
        </w:tc>
        <w:tc>
          <w:tcPr>
            <w:tcW w:w="1514"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6285" w:type="dxa"/>
          </w:tcPr>
          <w:p>
            <w:pPr>
              <w:pStyle w:val="15"/>
              <w:pBdr>
                <w:bottom w:val="none" w:color="auto" w:sz="0" w:space="0"/>
              </w:pBdr>
              <w:jc w:val="left"/>
              <w:rPr>
                <w:rFonts w:ascii="宋体" w:hAnsi="宋体" w:cs="宋体"/>
                <w:color w:val="auto"/>
                <w:sz w:val="24"/>
                <w:szCs w:val="24"/>
              </w:rPr>
            </w:pPr>
          </w:p>
        </w:tc>
        <w:tc>
          <w:tcPr>
            <w:tcW w:w="585"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阿勒泰地区2023年动物疫苗采购项目（七包）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阿勒泰地区2023年动物疫苗采购项目（七包）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38"/>
      <w:bookmarkEnd w:id="25"/>
      <w:bookmarkStart w:id="26" w:name="_Toc138638907"/>
      <w:bookmarkEnd w:id="26"/>
      <w:bookmarkStart w:id="27" w:name="_Toc138638773"/>
      <w:bookmarkEnd w:id="27"/>
      <w:bookmarkStart w:id="28" w:name="_Toc138638535"/>
      <w:bookmarkEnd w:id="28"/>
      <w:bookmarkStart w:id="29" w:name="_Toc138639145"/>
      <w:bookmarkEnd w:id="29"/>
      <w:bookmarkStart w:id="30" w:name="_Toc138638906"/>
      <w:bookmarkEnd w:id="30"/>
      <w:bookmarkStart w:id="31" w:name="_Toc138638719"/>
      <w:bookmarkEnd w:id="31"/>
      <w:bookmarkStart w:id="32" w:name="_Toc138638509"/>
      <w:bookmarkEnd w:id="32"/>
      <w:bookmarkStart w:id="33" w:name="_Toc138638910"/>
      <w:bookmarkEnd w:id="33"/>
      <w:bookmarkStart w:id="34" w:name="_Toc138638702"/>
      <w:bookmarkEnd w:id="34"/>
      <w:bookmarkStart w:id="35" w:name="_Toc138638883"/>
      <w:bookmarkEnd w:id="35"/>
      <w:bookmarkStart w:id="36" w:name="_Toc138638534"/>
      <w:bookmarkEnd w:id="36"/>
      <w:bookmarkStart w:id="37" w:name="_Toc138639090"/>
      <w:bookmarkEnd w:id="37"/>
      <w:bookmarkStart w:id="38" w:name="_Toc138639091"/>
      <w:bookmarkEnd w:id="38"/>
      <w:bookmarkStart w:id="39" w:name="_Toc138639074"/>
      <w:bookmarkEnd w:id="39"/>
      <w:bookmarkStart w:id="40" w:name="_Toc138638884"/>
      <w:bookmarkEnd w:id="40"/>
      <w:bookmarkStart w:id="41" w:name="_合同文件的组成及解释顺序"/>
      <w:bookmarkEnd w:id="41"/>
      <w:bookmarkStart w:id="42" w:name="_Toc138638718"/>
      <w:bookmarkEnd w:id="42"/>
      <w:bookmarkStart w:id="43" w:name="_Toc1386385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阿勒泰地区2023年动物疫苗采购项目（七包）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重组禽流感病毒(H5+H7)三价灭活疫苗（H5N1 Re-11株+Re-12株，H7N9 H7-Re3株）或</w:t>
            </w:r>
          </w:p>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重组禽流感病毒(H5+H7)三价灭活疫苗（细胞源，H5N1 Re-11株+Re-12株，H7N9 H7-Re3株）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default" w:ascii="宋体" w:hAnsi="宋体" w:cs="宋体"/>
                <w:color w:val="000000"/>
                <w:kern w:val="0"/>
                <w:szCs w:val="21"/>
                <w:lang w:val="en-US" w:eastAsia="zh-CN"/>
              </w:rPr>
              <w:t>69.56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1.规格：100、250毫升/瓶。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2.贮藏与有效期：在2-8℃保存，有效期为12个月。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5.重组禽流感病毒(H5+H7)三价灭活疫苗（H5N1 Re-11株+Re-12株，H7N9 H7-Re3株）或重组禽流感病毒(H5+H7)三价灭活疫苗（细胞源，H5N1 Re-11株+Re-12株，H7N9 H7-Re3株）毒株接种；粘度应不超过100cP；免疫HI抗体平均滴度（GMT)均不低于1：128；甲醛残留量测定不超过0.1%。</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28983"/>
      <w:bookmarkStart w:id="53" w:name="_Toc8866"/>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267320050"/>
      <w:bookmarkStart w:id="58" w:name="_Toc7742_WPSOffice_Level1"/>
      <w:bookmarkStart w:id="59" w:name="_Toc439255248"/>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26732005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18005"/>
      <w:bookmarkStart w:id="65" w:name="_Toc757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31012"/>
      <w:bookmarkStart w:id="70" w:name="_Toc16945"/>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20832"/>
      <w:bookmarkStart w:id="74" w:name="_Toc17147"/>
      <w:bookmarkStart w:id="75" w:name="_Toc12840_WPSOffice_Level1"/>
      <w:bookmarkStart w:id="76" w:name="_Toc267320054"/>
      <w:bookmarkStart w:id="77" w:name="_Toc439255252"/>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r>
        <w:rPr>
          <w:rFonts w:hint="eastAsia" w:ascii="宋体" w:hAnsi="宋体" w:cs="宋体"/>
          <w:b/>
          <w:bCs/>
          <w:kern w:val="0"/>
          <w:sz w:val="24"/>
          <w:szCs w:val="24"/>
        </w:rPr>
        <w:br w:type="page"/>
      </w:r>
    </w:p>
    <w:p>
      <w:pPr>
        <w:pStyle w:val="2"/>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2"/>
      <w:bookmarkStart w:id="88"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b/>
          <w:bCs/>
          <w:sz w:val="24"/>
          <w:szCs w:val="24"/>
          <w:highlight w:val="yellow"/>
        </w:rPr>
      </w:pPr>
      <w:r>
        <w:rPr>
          <w:rFonts w:hint="eastAsia"/>
          <w:b/>
          <w:bCs/>
          <w:sz w:val="24"/>
          <w:szCs w:val="24"/>
          <w:highlight w:val="yellow"/>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7"/>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8"/>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3"/>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167D0E"/>
    <w:rsid w:val="01675578"/>
    <w:rsid w:val="016E2F6B"/>
    <w:rsid w:val="01746304"/>
    <w:rsid w:val="017B3E79"/>
    <w:rsid w:val="01840EB7"/>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231CF4"/>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3B1F6E"/>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6044FA"/>
    <w:rsid w:val="1A9E2828"/>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D4450C"/>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2275C0"/>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B4A12"/>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2124D3"/>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74E73"/>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7197A"/>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6D6669"/>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046F7F"/>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07FE"/>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00E6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33683</Words>
  <Characters>35778</Characters>
  <Lines>331</Lines>
  <Paragraphs>93</Paragraphs>
  <TotalTime>0</TotalTime>
  <ScaleCrop>false</ScaleCrop>
  <LinksUpToDate>false</LinksUpToDate>
  <CharactersWithSpaces>36975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2023-03-03T08:23:59Z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