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1" w:lineRule="auto"/>
        <w:rPr>
          <w:rFonts w:hint="eastAsia" w:ascii="仿宋" w:hAnsi="仿宋" w:eastAsia="仿宋" w:cs="仿宋"/>
          <w:sz w:val="21"/>
        </w:rPr>
      </w:pPr>
    </w:p>
    <w:p>
      <w:pPr>
        <w:spacing w:line="282" w:lineRule="auto"/>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before="230" w:line="360" w:lineRule="auto"/>
        <w:ind w:left="411" w:leftChars="0" w:right="452" w:rightChars="0" w:firstLine="9" w:firstLineChars="0"/>
        <w:jc w:val="center"/>
        <w:textAlignment w:val="baseline"/>
        <w:rPr>
          <w:rFonts w:hint="eastAsia" w:ascii="仿宋" w:hAnsi="仿宋" w:eastAsia="仿宋" w:cs="仿宋"/>
          <w:sz w:val="52"/>
          <w:szCs w:val="52"/>
          <w:lang w:eastAsia="zh-CN"/>
        </w:rPr>
      </w:pPr>
      <w:r>
        <w:rPr>
          <w:rFonts w:hint="eastAsia" w:ascii="仿宋" w:hAnsi="仿宋" w:eastAsia="仿宋" w:cs="仿宋"/>
          <w:spacing w:val="10"/>
          <w:sz w:val="52"/>
          <w:szCs w:val="52"/>
          <w:lang w:eastAsia="zh-CN"/>
          <w14:textOutline w14:w="13075" w14:cap="sq" w14:cmpd="sng">
            <w14:solidFill>
              <w14:srgbClr w14:val="000000"/>
            </w14:solidFill>
            <w14:prstDash w14:val="solid"/>
            <w14:bevel/>
          </w14:textOutline>
        </w:rPr>
        <w:t>玛纳斯县2023年1.84万亩高标准农田建设项目资料管理</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before="231" w:line="360" w:lineRule="auto"/>
        <w:ind w:left="0" w:leftChars="0" w:firstLine="0" w:firstLineChars="0"/>
        <w:jc w:val="center"/>
        <w:textAlignment w:val="baseline"/>
        <w:rPr>
          <w:rFonts w:hint="eastAsia" w:ascii="仿宋" w:hAnsi="仿宋" w:eastAsia="仿宋" w:cs="仿宋"/>
          <w:sz w:val="52"/>
          <w:szCs w:val="52"/>
        </w:rPr>
      </w:pPr>
      <w:r>
        <w:rPr>
          <w:rFonts w:hint="eastAsia" w:ascii="仿宋" w:hAnsi="仿宋" w:eastAsia="仿宋" w:cs="仿宋"/>
          <w:spacing w:val="8"/>
          <w:sz w:val="52"/>
          <w:szCs w:val="52"/>
          <w14:textOutline w14:w="13075" w14:cap="sq" w14:cmpd="sng">
            <w14:solidFill>
              <w14:srgbClr w14:val="000000"/>
            </w14:solidFill>
            <w14:prstDash w14:val="solid"/>
            <w14:bevel/>
          </w14:textOutline>
        </w:rPr>
        <w:t>竞</w:t>
      </w:r>
      <w:r>
        <w:rPr>
          <w:rFonts w:hint="eastAsia" w:ascii="仿宋" w:hAnsi="仿宋" w:eastAsia="仿宋" w:cs="仿宋"/>
          <w:spacing w:val="7"/>
          <w:sz w:val="52"/>
          <w:szCs w:val="52"/>
          <w14:textOutline w14:w="13075" w14:cap="sq" w14:cmpd="sng">
            <w14:solidFill>
              <w14:srgbClr w14:val="000000"/>
            </w14:solidFill>
            <w14:prstDash w14:val="solid"/>
            <w14:bevel/>
          </w14:textOutline>
        </w:rPr>
        <w:t>争性磋商文件</w:t>
      </w:r>
    </w:p>
    <w:p>
      <w:pPr>
        <w:keepNext w:val="0"/>
        <w:keepLines w:val="0"/>
        <w:pageBreakBefore w:val="0"/>
        <w:widowControl/>
        <w:kinsoku w:val="0"/>
        <w:wordWrap/>
        <w:overflowPunct/>
        <w:topLinePunct w:val="0"/>
        <w:autoSpaceDE w:val="0"/>
        <w:autoSpaceDN w:val="0"/>
        <w:bidi w:val="0"/>
        <w:adjustRightInd w:val="0"/>
        <w:snapToGrid w:val="0"/>
        <w:spacing w:before="75" w:line="360" w:lineRule="auto"/>
        <w:ind w:left="4" w:leftChars="0" w:hanging="4" w:firstLineChars="0"/>
        <w:jc w:val="center"/>
        <w:textAlignment w:val="baseline"/>
        <w:rPr>
          <w:rFonts w:hint="eastAsia" w:ascii="仿宋" w:hAnsi="仿宋" w:eastAsia="仿宋" w:cs="仿宋"/>
          <w:spacing w:val="14"/>
          <w:sz w:val="23"/>
          <w:szCs w:val="23"/>
          <w:lang w:val="en-US" w:eastAsia="zh-CN"/>
          <w14:textOutline w14:w="4358" w14:cap="sq" w14:cmpd="sng">
            <w14:solidFill>
              <w14:srgbClr w14:val="000000"/>
            </w14:solidFill>
            <w14:prstDash w14:val="solid"/>
            <w14:bevel/>
          </w14:textOutline>
        </w:rPr>
      </w:pPr>
      <w:r>
        <w:rPr>
          <w:rFonts w:hint="eastAsia" w:ascii="仿宋" w:hAnsi="仿宋" w:eastAsia="仿宋" w:cs="仿宋"/>
          <w:spacing w:val="14"/>
          <w:sz w:val="23"/>
          <w:szCs w:val="23"/>
          <w:lang w:val="en-US" w:eastAsia="zh-CN"/>
          <w14:textOutline w14:w="4358" w14:cap="sq" w14:cmpd="sng">
            <w14:solidFill>
              <w14:srgbClr w14:val="000000"/>
            </w14:solidFill>
            <w14:prstDash w14:val="solid"/>
            <w14:bevel/>
          </w14:textOutline>
        </w:rPr>
        <w:t>（项目</w:t>
      </w:r>
      <w:r>
        <w:rPr>
          <w:rFonts w:hint="eastAsia" w:ascii="仿宋" w:hAnsi="仿宋" w:eastAsia="仿宋" w:cs="仿宋"/>
          <w:spacing w:val="10"/>
          <w:sz w:val="23"/>
          <w:szCs w:val="23"/>
          <w14:textOutline w14:w="4358" w14:cap="sq" w14:cmpd="sng">
            <w14:solidFill>
              <w14:srgbClr w14:val="000000"/>
            </w14:solidFill>
            <w14:prstDash w14:val="solid"/>
            <w14:bevel/>
          </w14:textOutline>
        </w:rPr>
        <w:t>编号：</w:t>
      </w:r>
      <w:r>
        <w:rPr>
          <w:rFonts w:hint="eastAsia" w:ascii="仿宋" w:hAnsi="仿宋" w:eastAsia="仿宋" w:cs="仿宋"/>
          <w:spacing w:val="14"/>
          <w:sz w:val="23"/>
          <w:szCs w:val="23"/>
          <w:lang w:val="en-US" w:eastAsia="zh-CN"/>
          <w14:textOutline w14:w="4358" w14:cap="sq" w14:cmpd="sng">
            <w14:solidFill>
              <w14:srgbClr w14:val="000000"/>
            </w14:solidFill>
            <w14:prstDash w14:val="solid"/>
            <w14:bevel/>
          </w14:textOutline>
        </w:rPr>
        <w:t>XCDCG-2023-03-04）</w:t>
      </w: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6"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line="257" w:lineRule="auto"/>
        <w:rPr>
          <w:rFonts w:hint="eastAsia" w:ascii="仿宋" w:hAnsi="仿宋" w:eastAsia="仿宋" w:cs="仿宋"/>
          <w:sz w:val="21"/>
        </w:rPr>
      </w:pPr>
    </w:p>
    <w:p>
      <w:pPr>
        <w:spacing w:before="91" w:line="220" w:lineRule="auto"/>
        <w:jc w:val="center"/>
        <w:rPr>
          <w:rFonts w:hint="eastAsia" w:ascii="仿宋" w:hAnsi="仿宋" w:eastAsia="仿宋" w:cs="仿宋"/>
          <w:spacing w:val="-4"/>
          <w:sz w:val="32"/>
          <w:szCs w:val="32"/>
          <w:lang w:eastAsia="zh-CN"/>
        </w:rPr>
      </w:pPr>
      <w:r>
        <w:rPr>
          <w:rFonts w:hint="eastAsia" w:ascii="仿宋" w:hAnsi="仿宋" w:eastAsia="仿宋" w:cs="仿宋"/>
          <w:spacing w:val="-4"/>
          <w:sz w:val="32"/>
          <w:szCs w:val="32"/>
        </w:rPr>
        <w:t>采购人：</w:t>
      </w:r>
      <w:r>
        <w:rPr>
          <w:rFonts w:hint="eastAsia" w:ascii="仿宋" w:hAnsi="仿宋" w:eastAsia="仿宋" w:cs="仿宋"/>
          <w:spacing w:val="-4"/>
          <w:sz w:val="32"/>
          <w:szCs w:val="32"/>
          <w:lang w:eastAsia="zh-CN"/>
        </w:rPr>
        <w:t>玛纳斯县农业农村局</w:t>
      </w:r>
    </w:p>
    <w:p>
      <w:pPr>
        <w:spacing w:before="91" w:line="220" w:lineRule="auto"/>
        <w:jc w:val="center"/>
        <w:rPr>
          <w:rFonts w:hint="eastAsia" w:ascii="仿宋" w:hAnsi="仿宋" w:eastAsia="仿宋" w:cs="仿宋"/>
          <w:spacing w:val="-4"/>
          <w:sz w:val="32"/>
          <w:szCs w:val="32"/>
          <w:lang w:eastAsia="zh-CN"/>
        </w:rPr>
      </w:pPr>
      <w:r>
        <w:rPr>
          <w:rFonts w:hint="eastAsia" w:ascii="仿宋" w:hAnsi="仿宋" w:eastAsia="仿宋" w:cs="仿宋"/>
          <w:spacing w:val="-4"/>
          <w:sz w:val="32"/>
          <w:szCs w:val="32"/>
        </w:rPr>
        <w:t>采购代理机构：</w:t>
      </w:r>
      <w:r>
        <w:rPr>
          <w:rFonts w:hint="eastAsia" w:ascii="仿宋" w:hAnsi="仿宋" w:eastAsia="仿宋" w:cs="仿宋"/>
          <w:spacing w:val="-4"/>
          <w:sz w:val="32"/>
          <w:szCs w:val="32"/>
          <w:lang w:val="en-US" w:eastAsia="zh-CN"/>
        </w:rPr>
        <w:t>新疆新诚达项目管理有限公司</w:t>
      </w:r>
    </w:p>
    <w:p>
      <w:pPr>
        <w:spacing w:before="91" w:line="220" w:lineRule="auto"/>
        <w:jc w:val="center"/>
        <w:rPr>
          <w:rFonts w:hint="eastAsia" w:ascii="仿宋" w:hAnsi="仿宋" w:eastAsia="仿宋" w:cs="仿宋"/>
          <w:spacing w:val="-4"/>
          <w:sz w:val="32"/>
          <w:szCs w:val="32"/>
          <w:lang w:val="en-US" w:eastAsia="zh-CN"/>
        </w:rPr>
        <w:sectPr>
          <w:headerReference r:id="rId3" w:type="default"/>
          <w:footerReference r:id="rId4" w:type="default"/>
          <w:pgSz w:w="11907" w:h="16840"/>
          <w:pgMar w:top="1440" w:right="1800" w:bottom="1440" w:left="1800" w:header="0" w:footer="2370" w:gutter="0"/>
          <w:cols w:space="720" w:num="1"/>
        </w:sectPr>
      </w:pPr>
      <w:r>
        <w:rPr>
          <w:rFonts w:hint="eastAsia" w:ascii="仿宋" w:hAnsi="仿宋" w:eastAsia="仿宋" w:cs="仿宋"/>
          <w:spacing w:val="-4"/>
          <w:sz w:val="32"/>
          <w:szCs w:val="32"/>
          <w:lang w:val="en-US" w:eastAsia="zh-CN"/>
        </w:rPr>
        <w:t>2023年3月</w:t>
      </w:r>
    </w:p>
    <w:p>
      <w:pPr>
        <w:pageBreakBefore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kern w:val="0"/>
          <w:sz w:val="24"/>
          <w:szCs w:val="24"/>
          <w:highlight w:val="none"/>
        </w:rPr>
      </w:pPr>
    </w:p>
    <w:p>
      <w:pPr>
        <w:pageBreakBefore w:val="0"/>
        <w:kinsoku/>
        <w:overflowPunct/>
        <w:topLinePunct w:val="0"/>
        <w:bidi w:val="0"/>
        <w:spacing w:beforeAutospacing="0" w:after="0" w:afterAutospacing="0" w:line="240" w:lineRule="auto"/>
        <w:ind w:left="0" w:leftChars="0" w:right="0" w:firstLine="361" w:firstLineChars="100"/>
        <w:jc w:val="center"/>
        <w:textAlignment w:val="auto"/>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  录</w:t>
      </w:r>
    </w:p>
    <w:sdt>
      <w:sdtPr>
        <w:rPr>
          <w:rFonts w:hint="eastAsia" w:ascii="仿宋" w:hAnsi="仿宋" w:eastAsia="仿宋" w:cs="仿宋"/>
          <w:snapToGrid w:val="0"/>
          <w:color w:val="000000"/>
          <w:kern w:val="0"/>
          <w:sz w:val="24"/>
          <w:szCs w:val="24"/>
        </w:rPr>
        <w:id w:val="147478208"/>
        <w:docPartObj>
          <w:docPartGallery w:val="Table of Contents"/>
          <w:docPartUnique/>
        </w:docPartObj>
      </w:sdtPr>
      <w:sdtEndPr>
        <w:rPr>
          <w:rFonts w:hint="eastAsia" w:ascii="仿宋" w:hAnsi="仿宋" w:eastAsia="仿宋" w:cs="仿宋"/>
          <w:b/>
          <w:bCs/>
          <w:snapToGrid w:val="0"/>
          <w:color w:val="000000"/>
          <w:kern w:val="0"/>
          <w:sz w:val="24"/>
          <w:szCs w:val="24"/>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24"/>
              <w:szCs w:val="24"/>
            </w:rPr>
          </w:pPr>
          <w:bookmarkStart w:id="0" w:name="_Toc27334_WPSOffice_Type1"/>
        </w:p>
        <w:p>
          <w:pPr>
            <w:pageBreakBefore w:val="0"/>
            <w:widowControl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p>
        <w:p>
          <w:pPr>
            <w:pageBreakBefore w:val="0"/>
            <w:widowControl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sz w:val="24"/>
              <w:szCs w:val="24"/>
            </w:rPr>
          </w:pPr>
          <w:r>
            <w:rPr>
              <w:rFonts w:hint="eastAsia" w:ascii="仿宋" w:hAnsi="仿宋" w:eastAsia="仿宋" w:cs="仿宋"/>
              <w:b/>
              <w:color w:val="auto"/>
              <w:sz w:val="24"/>
              <w:szCs w:val="24"/>
              <w:highlight w:val="none"/>
            </w:rPr>
            <w:t>第一卷</w:t>
          </w:r>
        </w:p>
        <w:p>
          <w:pPr>
            <w:pStyle w:val="29"/>
            <w:tabs>
              <w:tab w:val="right" w:leader="dot" w:pos="8306"/>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_Toc15231_WPSOffice_Level1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snapToGrid w:val="0"/>
                <w:color w:val="000000"/>
                <w:kern w:val="0"/>
                <w:sz w:val="24"/>
                <w:szCs w:val="24"/>
              </w:rPr>
              <w:id w:val="147478208"/>
              <w:placeholder>
                <w:docPart w:val="{e946450d-73f1-4e2d-84df-6458b7f5cc64}"/>
              </w:placeholder>
            </w:sdtPr>
            <w:sdtEndPr>
              <w:rPr>
                <w:rFonts w:hint="eastAsia" w:ascii="仿宋" w:hAnsi="仿宋" w:eastAsia="仿宋" w:cs="仿宋"/>
                <w:b/>
                <w:bCs/>
                <w:snapToGrid w:val="0"/>
                <w:color w:val="000000"/>
                <w:kern w:val="0"/>
                <w:sz w:val="24"/>
                <w:szCs w:val="24"/>
              </w:rPr>
            </w:sdtEndPr>
            <w:sdtContent>
              <w:r>
                <w:rPr>
                  <w:rFonts w:hint="eastAsia" w:ascii="仿宋" w:hAnsi="仿宋" w:eastAsia="仿宋" w:cs="仿宋"/>
                  <w:b/>
                  <w:bCs/>
                  <w:sz w:val="24"/>
                  <w:szCs w:val="24"/>
                </w:rPr>
                <w:t>第一章  招标公告</w:t>
              </w:r>
            </w:sdtContent>
          </w:sdt>
          <w:r>
            <w:rPr>
              <w:rFonts w:hint="eastAsia" w:ascii="仿宋" w:hAnsi="仿宋" w:eastAsia="仿宋" w:cs="仿宋"/>
              <w:b/>
              <w:bCs/>
              <w:sz w:val="24"/>
              <w:szCs w:val="24"/>
            </w:rPr>
            <w:tab/>
          </w:r>
          <w:bookmarkStart w:id="1" w:name="_Toc15231_WPSOffice_Level1Page"/>
          <w:r>
            <w:rPr>
              <w:rFonts w:hint="eastAsia" w:ascii="仿宋" w:hAnsi="仿宋" w:eastAsia="仿宋" w:cs="仿宋"/>
              <w:b/>
              <w:bCs/>
              <w:sz w:val="24"/>
              <w:szCs w:val="24"/>
            </w:rPr>
            <w:t>4</w:t>
          </w:r>
          <w:bookmarkEnd w:id="1"/>
          <w:r>
            <w:rPr>
              <w:rFonts w:hint="eastAsia" w:ascii="仿宋" w:hAnsi="仿宋" w:eastAsia="仿宋" w:cs="仿宋"/>
              <w:b/>
              <w:bCs/>
              <w:sz w:val="24"/>
              <w:szCs w:val="24"/>
            </w:rPr>
            <w:fldChar w:fldCharType="end"/>
          </w:r>
        </w:p>
        <w:p>
          <w:pPr>
            <w:pStyle w:val="29"/>
            <w:tabs>
              <w:tab w:val="right" w:leader="dot" w:pos="8306"/>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_Toc27334_WPSOffice_Level1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snapToGrid w:val="0"/>
                <w:color w:val="000000"/>
                <w:kern w:val="0"/>
                <w:sz w:val="24"/>
                <w:szCs w:val="24"/>
              </w:rPr>
              <w:id w:val="147478208"/>
              <w:placeholder>
                <w:docPart w:val="{8a233fd3-2d64-44e7-b2a7-be21bb9b8012}"/>
              </w:placeholder>
            </w:sdtPr>
            <w:sdtEndPr>
              <w:rPr>
                <w:rFonts w:hint="eastAsia" w:ascii="仿宋" w:hAnsi="仿宋" w:eastAsia="仿宋" w:cs="仿宋"/>
                <w:b/>
                <w:bCs/>
                <w:snapToGrid w:val="0"/>
                <w:color w:val="000000"/>
                <w:kern w:val="0"/>
                <w:sz w:val="24"/>
                <w:szCs w:val="24"/>
              </w:rPr>
            </w:sdtEndPr>
            <w:sdtContent>
              <w:r>
                <w:rPr>
                  <w:rFonts w:hint="eastAsia" w:ascii="仿宋" w:hAnsi="仿宋" w:eastAsia="仿宋" w:cs="仿宋"/>
                  <w:b/>
                  <w:bCs/>
                  <w:sz w:val="24"/>
                  <w:szCs w:val="24"/>
                </w:rPr>
                <w:t>第二章 供应商须知</w:t>
              </w:r>
            </w:sdtContent>
          </w:sdt>
          <w:r>
            <w:rPr>
              <w:rFonts w:hint="eastAsia" w:ascii="仿宋" w:hAnsi="仿宋" w:eastAsia="仿宋" w:cs="仿宋"/>
              <w:b/>
              <w:bCs/>
              <w:sz w:val="24"/>
              <w:szCs w:val="24"/>
            </w:rPr>
            <w:tab/>
          </w:r>
          <w:bookmarkStart w:id="2" w:name="_Toc27334_WPSOffice_Level1Page"/>
          <w:r>
            <w:rPr>
              <w:rFonts w:hint="eastAsia" w:ascii="仿宋" w:hAnsi="仿宋" w:eastAsia="仿宋" w:cs="仿宋"/>
              <w:b/>
              <w:bCs/>
              <w:sz w:val="24"/>
              <w:szCs w:val="24"/>
            </w:rPr>
            <w:t>7</w:t>
          </w:r>
          <w:bookmarkEnd w:id="2"/>
          <w:r>
            <w:rPr>
              <w:rFonts w:hint="eastAsia" w:ascii="仿宋" w:hAnsi="仿宋" w:eastAsia="仿宋" w:cs="仿宋"/>
              <w:b/>
              <w:bCs/>
              <w:sz w:val="24"/>
              <w:szCs w:val="24"/>
            </w:rPr>
            <w:fldChar w:fldCharType="end"/>
          </w:r>
        </w:p>
        <w:p>
          <w:pPr>
            <w:pStyle w:val="29"/>
            <w:tabs>
              <w:tab w:val="right" w:leader="dot" w:pos="8306"/>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_Toc6928_WPSOffice_Level1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snapToGrid w:val="0"/>
                <w:color w:val="000000"/>
                <w:kern w:val="0"/>
                <w:sz w:val="24"/>
                <w:szCs w:val="24"/>
              </w:rPr>
              <w:id w:val="147478208"/>
              <w:placeholder>
                <w:docPart w:val="{07e4bfc6-6ac2-44a2-9382-fddb834dc0e7}"/>
              </w:placeholder>
            </w:sdtPr>
            <w:sdtEndPr>
              <w:rPr>
                <w:rFonts w:hint="eastAsia" w:ascii="仿宋" w:hAnsi="仿宋" w:eastAsia="仿宋" w:cs="仿宋"/>
                <w:b/>
                <w:bCs/>
                <w:snapToGrid w:val="0"/>
                <w:color w:val="000000"/>
                <w:kern w:val="0"/>
                <w:sz w:val="24"/>
                <w:szCs w:val="24"/>
              </w:rPr>
            </w:sdtEndPr>
            <w:sdtContent>
              <w:r>
                <w:rPr>
                  <w:rFonts w:hint="eastAsia" w:ascii="仿宋" w:hAnsi="仿宋" w:eastAsia="仿宋" w:cs="仿宋"/>
                  <w:b/>
                  <w:bCs/>
                  <w:sz w:val="24"/>
                  <w:szCs w:val="24"/>
                </w:rPr>
                <w:t>第三章 评标办法（综合评估法）</w:t>
              </w:r>
            </w:sdtContent>
          </w:sdt>
          <w:r>
            <w:rPr>
              <w:rFonts w:hint="eastAsia" w:ascii="仿宋" w:hAnsi="仿宋" w:eastAsia="仿宋" w:cs="仿宋"/>
              <w:b/>
              <w:bCs/>
              <w:sz w:val="24"/>
              <w:szCs w:val="24"/>
            </w:rPr>
            <w:tab/>
          </w:r>
          <w:bookmarkStart w:id="3" w:name="_Toc6928_WPSOffice_Level1Page"/>
          <w:r>
            <w:rPr>
              <w:rFonts w:hint="eastAsia" w:ascii="仿宋" w:hAnsi="仿宋" w:eastAsia="仿宋" w:cs="仿宋"/>
              <w:b/>
              <w:bCs/>
              <w:sz w:val="24"/>
              <w:szCs w:val="24"/>
            </w:rPr>
            <w:t>27</w:t>
          </w:r>
          <w:bookmarkEnd w:id="3"/>
          <w:r>
            <w:rPr>
              <w:rFonts w:hint="eastAsia" w:ascii="仿宋" w:hAnsi="仿宋" w:eastAsia="仿宋" w:cs="仿宋"/>
              <w:b/>
              <w:bCs/>
              <w:sz w:val="24"/>
              <w:szCs w:val="24"/>
            </w:rPr>
            <w:fldChar w:fldCharType="end"/>
          </w:r>
        </w:p>
        <w:p>
          <w:pPr>
            <w:pStyle w:val="29"/>
            <w:tabs>
              <w:tab w:val="right" w:leader="dot" w:pos="8306"/>
            </w:tabs>
            <w:rPr>
              <w:rFonts w:hint="eastAsia" w:ascii="仿宋" w:hAnsi="仿宋" w:eastAsia="仿宋" w:cs="仿宋"/>
              <w:b/>
              <w:bCs/>
              <w:color w:val="auto"/>
              <w:sz w:val="24"/>
              <w:szCs w:val="24"/>
              <w:highlight w:val="none"/>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_Toc29253_WPSOffice_Level1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snapToGrid w:val="0"/>
                <w:color w:val="000000"/>
                <w:kern w:val="0"/>
                <w:sz w:val="24"/>
                <w:szCs w:val="24"/>
              </w:rPr>
              <w:id w:val="147478208"/>
              <w:placeholder>
                <w:docPart w:val="{0ec7735d-5afe-4f11-9c19-b64c8ffbe2a5}"/>
              </w:placeholder>
            </w:sdtPr>
            <w:sdtEndPr>
              <w:rPr>
                <w:rFonts w:hint="eastAsia" w:ascii="仿宋" w:hAnsi="仿宋" w:eastAsia="仿宋" w:cs="仿宋"/>
                <w:b/>
                <w:bCs/>
                <w:snapToGrid w:val="0"/>
                <w:color w:val="000000"/>
                <w:kern w:val="0"/>
                <w:sz w:val="24"/>
                <w:szCs w:val="24"/>
              </w:rPr>
            </w:sdtEndPr>
            <w:sdtContent>
              <w:r>
                <w:rPr>
                  <w:rFonts w:hint="eastAsia" w:ascii="仿宋" w:hAnsi="仿宋" w:eastAsia="仿宋" w:cs="仿宋"/>
                  <w:b/>
                  <w:bCs/>
                  <w:sz w:val="24"/>
                  <w:szCs w:val="24"/>
                </w:rPr>
                <w:t>第四章 合同条款及格式</w:t>
              </w:r>
            </w:sdtContent>
          </w:sdt>
          <w:r>
            <w:rPr>
              <w:rFonts w:hint="eastAsia" w:ascii="仿宋" w:hAnsi="仿宋" w:eastAsia="仿宋" w:cs="仿宋"/>
              <w:b/>
              <w:bCs/>
              <w:sz w:val="24"/>
              <w:szCs w:val="24"/>
            </w:rPr>
            <w:tab/>
          </w:r>
          <w:bookmarkStart w:id="4" w:name="_Toc29253_WPSOffice_Level1Page"/>
          <w:r>
            <w:rPr>
              <w:rFonts w:hint="eastAsia" w:ascii="仿宋" w:hAnsi="仿宋" w:eastAsia="仿宋" w:cs="仿宋"/>
              <w:b/>
              <w:bCs/>
              <w:sz w:val="24"/>
              <w:szCs w:val="24"/>
            </w:rPr>
            <w:t>34</w:t>
          </w:r>
          <w:bookmarkEnd w:id="4"/>
          <w:r>
            <w:rPr>
              <w:rFonts w:hint="eastAsia" w:ascii="仿宋" w:hAnsi="仿宋" w:eastAsia="仿宋" w:cs="仿宋"/>
              <w:b/>
              <w:bCs/>
              <w:sz w:val="24"/>
              <w:szCs w:val="24"/>
            </w:rPr>
            <w:fldChar w:fldCharType="end"/>
          </w:r>
        </w:p>
        <w:p>
          <w:pPr>
            <w:pageBreakBefore w:val="0"/>
            <w:widowControl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bCs/>
              <w:sz w:val="24"/>
              <w:szCs w:val="24"/>
            </w:rPr>
          </w:pPr>
          <w:r>
            <w:rPr>
              <w:rFonts w:hint="eastAsia" w:ascii="仿宋" w:hAnsi="仿宋" w:eastAsia="仿宋" w:cs="仿宋"/>
              <w:b/>
              <w:bCs/>
              <w:color w:val="auto"/>
              <w:sz w:val="24"/>
              <w:szCs w:val="24"/>
              <w:highlight w:val="none"/>
            </w:rPr>
            <w:t>第二卷</w:t>
          </w:r>
        </w:p>
        <w:p>
          <w:pPr>
            <w:pStyle w:val="29"/>
            <w:tabs>
              <w:tab w:val="right" w:leader="dot" w:pos="8306"/>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_Toc1116_WPSOffice_Level1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snapToGrid w:val="0"/>
                <w:color w:val="000000"/>
                <w:kern w:val="0"/>
                <w:sz w:val="24"/>
                <w:szCs w:val="24"/>
              </w:rPr>
              <w:id w:val="147478208"/>
              <w:placeholder>
                <w:docPart w:val="{7b68a32d-eac4-4462-9c58-54fdf30e21f7}"/>
              </w:placeholder>
            </w:sdtPr>
            <w:sdtEndPr>
              <w:rPr>
                <w:rFonts w:hint="eastAsia" w:ascii="仿宋" w:hAnsi="仿宋" w:eastAsia="仿宋" w:cs="仿宋"/>
                <w:b/>
                <w:bCs/>
                <w:snapToGrid w:val="0"/>
                <w:color w:val="000000"/>
                <w:kern w:val="0"/>
                <w:sz w:val="24"/>
                <w:szCs w:val="24"/>
              </w:rPr>
            </w:sdtEndPr>
            <w:sdtContent>
              <w:r>
                <w:rPr>
                  <w:rFonts w:hint="eastAsia" w:ascii="仿宋" w:hAnsi="仿宋" w:eastAsia="仿宋" w:cs="仿宋"/>
                  <w:b/>
                  <w:bCs/>
                  <w:sz w:val="24"/>
                  <w:szCs w:val="24"/>
                </w:rPr>
                <w:t>第五章 项目采购需求</w:t>
              </w:r>
            </w:sdtContent>
          </w:sdt>
          <w:r>
            <w:rPr>
              <w:rFonts w:hint="eastAsia" w:ascii="仿宋" w:hAnsi="仿宋" w:eastAsia="仿宋" w:cs="仿宋"/>
              <w:b/>
              <w:bCs/>
              <w:sz w:val="24"/>
              <w:szCs w:val="24"/>
            </w:rPr>
            <w:tab/>
          </w:r>
          <w:bookmarkStart w:id="5" w:name="_Toc1116_WPSOffice_Level1Page"/>
          <w:r>
            <w:rPr>
              <w:rFonts w:hint="eastAsia" w:ascii="仿宋" w:hAnsi="仿宋" w:eastAsia="仿宋" w:cs="仿宋"/>
              <w:b/>
              <w:bCs/>
              <w:sz w:val="24"/>
              <w:szCs w:val="24"/>
            </w:rPr>
            <w:t>36</w:t>
          </w:r>
          <w:bookmarkEnd w:id="5"/>
          <w:r>
            <w:rPr>
              <w:rFonts w:hint="eastAsia" w:ascii="仿宋" w:hAnsi="仿宋" w:eastAsia="仿宋" w:cs="仿宋"/>
              <w:b/>
              <w:bCs/>
              <w:sz w:val="24"/>
              <w:szCs w:val="24"/>
            </w:rPr>
            <w:fldChar w:fldCharType="end"/>
          </w:r>
        </w:p>
        <w:p>
          <w:pPr>
            <w:pageBreakBefore w:val="0"/>
            <w:widowControl w:val="0"/>
            <w:tabs>
              <w:tab w:val="right" w:leader="middleDot" w:pos="9000"/>
            </w:tabs>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bCs/>
              <w:sz w:val="24"/>
              <w:szCs w:val="24"/>
            </w:rPr>
          </w:pPr>
          <w:r>
            <w:rPr>
              <w:rFonts w:hint="eastAsia" w:ascii="仿宋" w:hAnsi="仿宋" w:eastAsia="仿宋" w:cs="仿宋"/>
              <w:b/>
              <w:bCs/>
              <w:color w:val="auto"/>
              <w:sz w:val="24"/>
              <w:szCs w:val="24"/>
              <w:highlight w:val="none"/>
            </w:rPr>
            <w:t>第三卷</w:t>
          </w:r>
        </w:p>
        <w:p>
          <w:pPr>
            <w:pStyle w:val="29"/>
            <w:tabs>
              <w:tab w:val="right" w:leader="dot" w:pos="8306"/>
            </w:tabs>
            <w:rPr>
              <w:rFonts w:hint="eastAsia" w:ascii="仿宋" w:hAnsi="仿宋" w:eastAsia="仿宋" w:cs="仿宋"/>
              <w:b/>
              <w:bCs/>
              <w:sz w:val="24"/>
              <w:szCs w:val="24"/>
            </w:rPr>
          </w:pPr>
          <w:r>
            <w:rPr>
              <w:rFonts w:hint="eastAsia" w:ascii="仿宋" w:hAnsi="仿宋" w:eastAsia="仿宋" w:cs="仿宋"/>
              <w:b/>
              <w:bCs/>
              <w:sz w:val="24"/>
              <w:szCs w:val="24"/>
            </w:rPr>
            <w:fldChar w:fldCharType="begin"/>
          </w:r>
          <w:r>
            <w:rPr>
              <w:rFonts w:hint="eastAsia" w:ascii="仿宋" w:hAnsi="仿宋" w:eastAsia="仿宋" w:cs="仿宋"/>
              <w:b/>
              <w:bCs/>
              <w:sz w:val="24"/>
              <w:szCs w:val="24"/>
            </w:rPr>
            <w:instrText xml:space="preserve"> HYPERLINK \l _Toc22307_WPSOffice_Level1 </w:instrText>
          </w:r>
          <w:r>
            <w:rPr>
              <w:rFonts w:hint="eastAsia" w:ascii="仿宋" w:hAnsi="仿宋" w:eastAsia="仿宋" w:cs="仿宋"/>
              <w:b/>
              <w:bCs/>
              <w:sz w:val="24"/>
              <w:szCs w:val="24"/>
            </w:rPr>
            <w:fldChar w:fldCharType="separate"/>
          </w:r>
          <w:sdt>
            <w:sdtPr>
              <w:rPr>
                <w:rFonts w:hint="eastAsia" w:ascii="仿宋" w:hAnsi="仿宋" w:eastAsia="仿宋" w:cs="仿宋"/>
                <w:b/>
                <w:bCs/>
                <w:snapToGrid w:val="0"/>
                <w:color w:val="000000"/>
                <w:kern w:val="0"/>
                <w:sz w:val="24"/>
                <w:szCs w:val="24"/>
              </w:rPr>
              <w:id w:val="147478208"/>
              <w:placeholder>
                <w:docPart w:val="{0d151665-0f62-4bb6-912b-f5e21b4d7c1c}"/>
              </w:placeholder>
            </w:sdtPr>
            <w:sdtEndPr>
              <w:rPr>
                <w:rFonts w:hint="eastAsia" w:ascii="仿宋" w:hAnsi="仿宋" w:eastAsia="仿宋" w:cs="仿宋"/>
                <w:b/>
                <w:bCs/>
                <w:snapToGrid w:val="0"/>
                <w:color w:val="000000"/>
                <w:kern w:val="0"/>
                <w:sz w:val="24"/>
                <w:szCs w:val="24"/>
              </w:rPr>
            </w:sdtEndPr>
            <w:sdtContent>
              <w:r>
                <w:rPr>
                  <w:rFonts w:hint="eastAsia" w:ascii="仿宋" w:hAnsi="仿宋" w:eastAsia="仿宋" w:cs="仿宋"/>
                  <w:b/>
                  <w:bCs/>
                  <w:sz w:val="24"/>
                  <w:szCs w:val="24"/>
                </w:rPr>
                <w:t>第六章  磋商文件格式</w:t>
              </w:r>
            </w:sdtContent>
          </w:sdt>
          <w:r>
            <w:rPr>
              <w:rFonts w:hint="eastAsia" w:ascii="仿宋" w:hAnsi="仿宋" w:eastAsia="仿宋" w:cs="仿宋"/>
              <w:b/>
              <w:bCs/>
              <w:sz w:val="24"/>
              <w:szCs w:val="24"/>
            </w:rPr>
            <w:tab/>
          </w:r>
          <w:bookmarkStart w:id="6" w:name="_Toc22307_WPSOffice_Level1Page"/>
          <w:r>
            <w:rPr>
              <w:rFonts w:hint="eastAsia" w:ascii="仿宋" w:hAnsi="仿宋" w:eastAsia="仿宋" w:cs="仿宋"/>
              <w:b/>
              <w:bCs/>
              <w:sz w:val="24"/>
              <w:szCs w:val="24"/>
            </w:rPr>
            <w:t>38</w:t>
          </w:r>
          <w:bookmarkEnd w:id="6"/>
          <w:r>
            <w:rPr>
              <w:rFonts w:hint="eastAsia" w:ascii="仿宋" w:hAnsi="仿宋" w:eastAsia="仿宋" w:cs="仿宋"/>
              <w:b/>
              <w:bCs/>
              <w:sz w:val="24"/>
              <w:szCs w:val="24"/>
            </w:rPr>
            <w:fldChar w:fldCharType="end"/>
          </w:r>
          <w:bookmarkEnd w:id="0"/>
        </w:p>
      </w:sdtContent>
    </w:sdt>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b/>
          <w:color w:val="auto"/>
          <w:sz w:val="52"/>
          <w:szCs w:val="52"/>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rPr>
        <w:t>第一卷</w:t>
      </w:r>
    </w:p>
    <w:p>
      <w:pPr>
        <w:pStyle w:val="2"/>
        <w:rPr>
          <w:rFonts w:hint="eastAsia" w:ascii="仿宋" w:hAnsi="仿宋" w:eastAsia="仿宋" w:cs="仿宋"/>
        </w:rPr>
        <w:sectPr>
          <w:footerReference r:id="rId5" w:type="default"/>
          <w:pgSz w:w="11906" w:h="16839"/>
          <w:pgMar w:top="1440" w:right="1800" w:bottom="1440" w:left="1800" w:header="0" w:footer="1202" w:gutter="0"/>
          <w:pgNumType w:fmt="decimal" w:start="1"/>
          <w:cols w:space="720" w:num="1"/>
        </w:sect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lang w:val="en-US" w:eastAsia="zh-CN"/>
        </w:rPr>
      </w:pPr>
      <w:bookmarkStart w:id="7" w:name="_Toc15231_WPSOffice_Level1"/>
      <w:r>
        <w:rPr>
          <w:rFonts w:hint="eastAsia" w:ascii="仿宋" w:hAnsi="仿宋" w:eastAsia="仿宋" w:cs="仿宋"/>
          <w:b/>
          <w:color w:val="auto"/>
          <w:sz w:val="44"/>
          <w:szCs w:val="44"/>
          <w:highlight w:val="none"/>
          <w:lang w:eastAsia="zh-CN"/>
        </w:rPr>
        <w:t xml:space="preserve">第一章  </w:t>
      </w:r>
      <w:r>
        <w:rPr>
          <w:rFonts w:hint="eastAsia" w:ascii="仿宋" w:hAnsi="仿宋" w:eastAsia="仿宋" w:cs="仿宋"/>
          <w:b/>
          <w:color w:val="auto"/>
          <w:sz w:val="44"/>
          <w:szCs w:val="44"/>
          <w:highlight w:val="none"/>
          <w:lang w:val="en-US" w:eastAsia="zh-CN"/>
        </w:rPr>
        <w:t>招标</w:t>
      </w:r>
      <w:bookmarkEnd w:id="7"/>
      <w:r>
        <w:rPr>
          <w:rFonts w:hint="eastAsia" w:ascii="仿宋" w:hAnsi="仿宋" w:eastAsia="仿宋" w:cs="仿宋"/>
          <w:b/>
          <w:color w:val="auto"/>
          <w:sz w:val="44"/>
          <w:szCs w:val="44"/>
          <w:highlight w:val="none"/>
          <w:lang w:val="en-US" w:eastAsia="zh-CN"/>
        </w:rPr>
        <w:t>公告</w:t>
      </w:r>
    </w:p>
    <w:p>
      <w:pPr>
        <w:rPr>
          <w:rFonts w:hint="eastAsia" w:ascii="仿宋" w:hAnsi="仿宋" w:eastAsia="仿宋" w:cs="仿宋"/>
        </w:rPr>
      </w:pPr>
    </w:p>
    <w:p>
      <w:pPr>
        <w:spacing w:line="57" w:lineRule="exact"/>
        <w:rPr>
          <w:rFonts w:hint="eastAsia" w:ascii="仿宋" w:hAnsi="仿宋" w:eastAsia="仿宋" w:cs="仿宋"/>
        </w:rPr>
      </w:pPr>
    </w:p>
    <w:tbl>
      <w:tblPr>
        <w:tblStyle w:val="26"/>
        <w:tblW w:w="836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6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Ex>
        <w:trPr>
          <w:trHeight w:val="1013" w:hRule="atLeast"/>
        </w:trPr>
        <w:tc>
          <w:tcPr>
            <w:tcW w:w="8360" w:type="dxa"/>
            <w:vAlign w:val="top"/>
          </w:tcPr>
          <w:p>
            <w:pPr>
              <w:spacing w:before="62" w:line="246" w:lineRule="auto"/>
              <w:ind w:left="93" w:right="82" w:firstLine="484"/>
              <w:rPr>
                <w:rFonts w:hint="eastAsia" w:ascii="仿宋" w:hAnsi="仿宋" w:eastAsia="仿宋" w:cs="仿宋"/>
                <w:sz w:val="23"/>
                <w:szCs w:val="23"/>
              </w:rPr>
            </w:pPr>
            <w:r>
              <w:rPr>
                <w:rFonts w:hint="eastAsia" w:ascii="仿宋" w:hAnsi="仿宋" w:eastAsia="仿宋" w:cs="仿宋"/>
                <w:spacing w:val="7"/>
                <w:sz w:val="23"/>
                <w:szCs w:val="23"/>
              </w:rPr>
              <w:t>项目概况：</w:t>
            </w:r>
            <w:r>
              <w:rPr>
                <w:rFonts w:hint="eastAsia" w:ascii="仿宋" w:hAnsi="仿宋" w:eastAsia="仿宋" w:cs="仿宋"/>
                <w:spacing w:val="7"/>
                <w:sz w:val="23"/>
                <w:szCs w:val="23"/>
                <w:u w:val="single" w:color="auto"/>
                <w:lang w:eastAsia="zh-CN"/>
              </w:rPr>
              <w:t>玛纳斯县2023年1.84万亩高标准农田建设项目资料管理</w:t>
            </w:r>
            <w:r>
              <w:rPr>
                <w:rFonts w:hint="eastAsia" w:ascii="仿宋" w:hAnsi="仿宋" w:eastAsia="仿宋" w:cs="仿宋"/>
                <w:spacing w:val="7"/>
                <w:sz w:val="23"/>
                <w:szCs w:val="23"/>
              </w:rPr>
              <w:t>采购项目的潜在供应商</w:t>
            </w:r>
            <w:r>
              <w:rPr>
                <w:rFonts w:hint="eastAsia" w:ascii="仿宋" w:hAnsi="仿宋" w:eastAsia="仿宋" w:cs="仿宋"/>
                <w:spacing w:val="5"/>
                <w:sz w:val="23"/>
                <w:szCs w:val="23"/>
              </w:rPr>
              <w:t>应</w:t>
            </w:r>
            <w:r>
              <w:rPr>
                <w:rFonts w:hint="eastAsia" w:ascii="仿宋" w:hAnsi="仿宋" w:eastAsia="仿宋" w:cs="仿宋"/>
                <w:spacing w:val="2"/>
                <w:sz w:val="23"/>
                <w:szCs w:val="23"/>
              </w:rPr>
              <w:t>在</w:t>
            </w:r>
            <w:r>
              <w:rPr>
                <w:rFonts w:hint="eastAsia" w:ascii="仿宋" w:hAnsi="仿宋" w:eastAsia="仿宋" w:cs="仿宋"/>
                <w:spacing w:val="2"/>
                <w:sz w:val="23"/>
                <w:szCs w:val="23"/>
                <w:u w:val="single" w:color="auto"/>
              </w:rPr>
              <w:t>新疆政府采购网政采云平台 (</w:t>
            </w:r>
            <w:r>
              <w:rPr>
                <w:rFonts w:hint="eastAsia" w:ascii="仿宋" w:hAnsi="仿宋" w:eastAsia="仿宋" w:cs="仿宋"/>
              </w:rPr>
              <w:fldChar w:fldCharType="begin"/>
            </w:r>
            <w:r>
              <w:rPr>
                <w:rFonts w:hint="eastAsia" w:ascii="仿宋" w:hAnsi="仿宋" w:eastAsia="仿宋" w:cs="仿宋"/>
              </w:rPr>
              <w:instrText xml:space="preserve"> HYPERLINK "http://www.zcygov.cn" </w:instrText>
            </w:r>
            <w:r>
              <w:rPr>
                <w:rFonts w:hint="eastAsia" w:ascii="仿宋" w:hAnsi="仿宋" w:eastAsia="仿宋" w:cs="仿宋"/>
              </w:rPr>
              <w:fldChar w:fldCharType="separate"/>
            </w:r>
            <w:r>
              <w:rPr>
                <w:rFonts w:hint="eastAsia" w:ascii="仿宋" w:hAnsi="仿宋" w:eastAsia="仿宋" w:cs="仿宋"/>
                <w:sz w:val="23"/>
                <w:szCs w:val="23"/>
                <w:u w:val="single" w:color="auto"/>
              </w:rPr>
              <w:t>www</w:t>
            </w:r>
            <w:r>
              <w:rPr>
                <w:rFonts w:hint="eastAsia" w:ascii="仿宋" w:hAnsi="仿宋" w:eastAsia="仿宋" w:cs="仿宋"/>
                <w:spacing w:val="2"/>
                <w:sz w:val="23"/>
                <w:szCs w:val="23"/>
                <w:u w:val="single" w:color="auto"/>
              </w:rPr>
              <w:t>.</w:t>
            </w:r>
            <w:r>
              <w:rPr>
                <w:rFonts w:hint="eastAsia" w:ascii="仿宋" w:hAnsi="仿宋" w:eastAsia="仿宋" w:cs="仿宋"/>
                <w:sz w:val="23"/>
                <w:szCs w:val="23"/>
                <w:u w:val="single" w:color="auto"/>
              </w:rPr>
              <w:t>zcygov</w:t>
            </w:r>
            <w:r>
              <w:rPr>
                <w:rFonts w:hint="eastAsia" w:ascii="仿宋" w:hAnsi="仿宋" w:eastAsia="仿宋" w:cs="仿宋"/>
                <w:spacing w:val="2"/>
                <w:sz w:val="23"/>
                <w:szCs w:val="23"/>
                <w:u w:val="single" w:color="auto"/>
              </w:rPr>
              <w:t>.</w:t>
            </w:r>
            <w:r>
              <w:rPr>
                <w:rFonts w:hint="eastAsia" w:ascii="仿宋" w:hAnsi="仿宋" w:eastAsia="仿宋" w:cs="仿宋"/>
                <w:sz w:val="23"/>
                <w:szCs w:val="23"/>
                <w:u w:val="single" w:color="auto"/>
              </w:rPr>
              <w:t>cn</w:t>
            </w:r>
            <w:r>
              <w:rPr>
                <w:rFonts w:hint="eastAsia" w:ascii="仿宋" w:hAnsi="仿宋" w:eastAsia="仿宋" w:cs="仿宋"/>
                <w:sz w:val="23"/>
                <w:szCs w:val="23"/>
                <w:u w:val="single" w:color="auto"/>
              </w:rPr>
              <w:fldChar w:fldCharType="end"/>
            </w:r>
            <w:r>
              <w:rPr>
                <w:rFonts w:hint="eastAsia" w:ascii="仿宋" w:hAnsi="仿宋" w:eastAsia="仿宋" w:cs="仿宋"/>
                <w:spacing w:val="2"/>
                <w:sz w:val="23"/>
                <w:szCs w:val="23"/>
                <w:u w:val="single" w:color="auto"/>
              </w:rPr>
              <w:t xml:space="preserve">) </w:t>
            </w:r>
            <w:r>
              <w:rPr>
                <w:rFonts w:hint="eastAsia" w:ascii="仿宋" w:hAnsi="仿宋" w:eastAsia="仿宋" w:cs="仿宋"/>
                <w:spacing w:val="2"/>
                <w:sz w:val="23"/>
                <w:szCs w:val="23"/>
              </w:rPr>
              <w:t>获取采购文件，并于</w:t>
            </w:r>
            <w:r>
              <w:rPr>
                <w:rFonts w:hint="eastAsia" w:ascii="仿宋" w:hAnsi="仿宋" w:eastAsia="仿宋" w:cs="仿宋"/>
                <w:spacing w:val="2"/>
                <w:sz w:val="23"/>
                <w:szCs w:val="23"/>
                <w:u w:val="single" w:color="auto"/>
              </w:rPr>
              <w:t xml:space="preserve"> </w:t>
            </w:r>
            <w:r>
              <w:rPr>
                <w:rFonts w:hint="eastAsia" w:ascii="仿宋" w:hAnsi="仿宋" w:eastAsia="仿宋" w:cs="仿宋"/>
                <w:spacing w:val="1"/>
                <w:sz w:val="23"/>
                <w:szCs w:val="23"/>
                <w:u w:val="single" w:color="auto"/>
              </w:rPr>
              <w:t>202</w:t>
            </w:r>
            <w:r>
              <w:rPr>
                <w:rFonts w:hint="eastAsia" w:ascii="仿宋" w:hAnsi="仿宋" w:eastAsia="仿宋" w:cs="仿宋"/>
                <w:spacing w:val="1"/>
                <w:sz w:val="23"/>
                <w:szCs w:val="23"/>
                <w:u w:val="single" w:color="auto"/>
                <w:lang w:val="en-US" w:eastAsia="zh-CN"/>
              </w:rPr>
              <w:t>3</w:t>
            </w:r>
            <w:r>
              <w:rPr>
                <w:rFonts w:hint="eastAsia" w:ascii="仿宋" w:hAnsi="仿宋" w:eastAsia="仿宋" w:cs="仿宋"/>
                <w:spacing w:val="1"/>
                <w:sz w:val="23"/>
                <w:szCs w:val="23"/>
                <w:u w:val="single" w:color="auto"/>
              </w:rPr>
              <w:t>年</w:t>
            </w:r>
            <w:r>
              <w:rPr>
                <w:rFonts w:hint="eastAsia" w:ascii="仿宋" w:hAnsi="仿宋" w:eastAsia="仿宋" w:cs="仿宋"/>
                <w:snapToGrid w:val="0"/>
                <w:color w:val="000000"/>
                <w:kern w:val="0"/>
                <w:sz w:val="22"/>
                <w:szCs w:val="22"/>
                <w:u w:val="single" w:color="auto"/>
                <w:lang w:val="en-US" w:eastAsia="zh-CN"/>
              </w:rPr>
              <w:t>3月 27日12:00 分</w:t>
            </w:r>
            <w:r>
              <w:rPr>
                <w:rFonts w:hint="eastAsia" w:ascii="仿宋" w:hAnsi="仿宋" w:eastAsia="仿宋" w:cs="仿宋"/>
                <w:spacing w:val="4"/>
                <w:sz w:val="23"/>
                <w:szCs w:val="23"/>
              </w:rPr>
              <w:t xml:space="preserve"> (北京时间) 前提交响应文件。</w:t>
            </w:r>
          </w:p>
        </w:tc>
      </w:tr>
    </w:tbl>
    <w:p>
      <w:pPr>
        <w:keepNext w:val="0"/>
        <w:keepLines w:val="0"/>
        <w:pageBreakBefore w:val="0"/>
        <w:widowControl/>
        <w:kinsoku w:val="0"/>
        <w:wordWrap/>
        <w:overflowPunct/>
        <w:topLinePunct w:val="0"/>
        <w:autoSpaceDE w:val="0"/>
        <w:autoSpaceDN w:val="0"/>
        <w:bidi w:val="0"/>
        <w:adjustRightInd w:val="0"/>
        <w:snapToGrid w:val="0"/>
        <w:spacing w:before="74" w:line="264" w:lineRule="auto"/>
        <w:textAlignment w:val="baseline"/>
        <w:outlineLvl w:val="0"/>
        <w:rPr>
          <w:rFonts w:hint="eastAsia" w:ascii="仿宋" w:hAnsi="仿宋" w:eastAsia="仿宋" w:cs="仿宋"/>
          <w:spacing w:val="10"/>
          <w:position w:val="2"/>
          <w:sz w:val="23"/>
          <w:szCs w:val="23"/>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仿宋" w:hAnsi="仿宋" w:eastAsia="仿宋" w:cs="仿宋"/>
          <w:sz w:val="22"/>
          <w:szCs w:val="22"/>
        </w:rPr>
      </w:pPr>
      <w:r>
        <w:rPr>
          <w:rStyle w:val="22"/>
          <w:rFonts w:hint="eastAsia" w:ascii="仿宋" w:hAnsi="仿宋" w:eastAsia="仿宋" w:cs="仿宋"/>
          <w:sz w:val="22"/>
          <w:szCs w:val="22"/>
        </w:rPr>
        <w:t>一、项目基本情况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20" w:lineRule="exact"/>
        <w:ind w:right="0" w:firstLine="440" w:firstLineChars="200"/>
        <w:jc w:val="left"/>
        <w:rPr>
          <w:rFonts w:hint="eastAsia" w:ascii="仿宋" w:hAnsi="仿宋" w:eastAsia="仿宋" w:cs="仿宋"/>
          <w:snapToGrid w:val="0"/>
          <w:color w:val="000000"/>
          <w:kern w:val="0"/>
          <w:sz w:val="22"/>
          <w:szCs w:val="22"/>
          <w:lang w:val="en-US" w:eastAsia="zh-CN"/>
        </w:rPr>
      </w:pPr>
      <w:r>
        <w:rPr>
          <w:rFonts w:hint="eastAsia" w:ascii="仿宋" w:hAnsi="仿宋" w:eastAsia="仿宋" w:cs="仿宋"/>
          <w:sz w:val="22"/>
          <w:szCs w:val="22"/>
        </w:rPr>
        <w:t>项目编号：</w:t>
      </w:r>
      <w:r>
        <w:rPr>
          <w:rFonts w:hint="eastAsia" w:ascii="仿宋" w:hAnsi="仿宋" w:eastAsia="仿宋" w:cs="仿宋"/>
          <w:snapToGrid w:val="0"/>
          <w:color w:val="000000"/>
          <w:kern w:val="0"/>
          <w:sz w:val="22"/>
          <w:szCs w:val="22"/>
          <w:lang w:val="en-US" w:eastAsia="zh-CN"/>
        </w:rPr>
        <w:t>XCDCG-2023-03-04</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仿宋" w:hAnsi="仿宋" w:eastAsia="仿宋" w:cs="仿宋"/>
          <w:sz w:val="22"/>
          <w:szCs w:val="22"/>
        </w:rPr>
      </w:pPr>
      <w:r>
        <w:rPr>
          <w:rFonts w:hint="eastAsia" w:ascii="仿宋" w:hAnsi="仿宋" w:eastAsia="仿宋" w:cs="仿宋"/>
          <w:sz w:val="22"/>
          <w:szCs w:val="22"/>
        </w:rPr>
        <w:t>项目名称：</w:t>
      </w:r>
      <w:r>
        <w:rPr>
          <w:rFonts w:hint="eastAsia" w:ascii="仿宋" w:hAnsi="仿宋" w:eastAsia="仿宋" w:cs="仿宋"/>
          <w:sz w:val="22"/>
          <w:szCs w:val="22"/>
          <w:lang w:val="en-US" w:eastAsia="zh-CN"/>
        </w:rPr>
        <w:t>玛纳斯县2023年1.84万亩高标准农田建设项目资料管理</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仿宋" w:hAnsi="仿宋" w:eastAsia="仿宋" w:cs="仿宋"/>
          <w:sz w:val="22"/>
          <w:szCs w:val="22"/>
        </w:rPr>
      </w:pPr>
      <w:r>
        <w:rPr>
          <w:rFonts w:hint="eastAsia" w:ascii="仿宋" w:hAnsi="仿宋" w:eastAsia="仿宋" w:cs="仿宋"/>
          <w:sz w:val="22"/>
          <w:szCs w:val="22"/>
        </w:rPr>
        <w:t>采购方式：</w:t>
      </w:r>
      <w:r>
        <w:rPr>
          <w:rFonts w:hint="eastAsia" w:ascii="仿宋" w:hAnsi="仿宋" w:eastAsia="仿宋" w:cs="仿宋"/>
          <w:sz w:val="22"/>
          <w:szCs w:val="22"/>
          <w:lang w:val="en-US" w:eastAsia="zh-CN"/>
        </w:rPr>
        <w:t>竞争性磋商</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仿宋" w:hAnsi="仿宋" w:eastAsia="仿宋" w:cs="仿宋"/>
          <w:sz w:val="22"/>
          <w:szCs w:val="22"/>
        </w:rPr>
      </w:pPr>
      <w:r>
        <w:rPr>
          <w:rFonts w:hint="eastAsia" w:ascii="仿宋" w:hAnsi="仿宋" w:eastAsia="仿宋" w:cs="仿宋"/>
          <w:sz w:val="22"/>
          <w:szCs w:val="22"/>
        </w:rPr>
        <w:t>预算金额（元）：</w:t>
      </w:r>
      <w:r>
        <w:rPr>
          <w:rFonts w:hint="eastAsia" w:ascii="仿宋" w:hAnsi="仿宋" w:eastAsia="仿宋" w:cs="仿宋"/>
          <w:sz w:val="22"/>
          <w:szCs w:val="22"/>
          <w:lang w:val="en-US" w:eastAsia="zh-CN"/>
        </w:rPr>
        <w:t>50000.00</w:t>
      </w:r>
      <w:r>
        <w:rPr>
          <w:rFonts w:hint="eastAsia" w:ascii="仿宋" w:hAnsi="仿宋" w:eastAsia="仿宋" w:cs="仿宋"/>
          <w:sz w:val="22"/>
          <w:szCs w:val="22"/>
        </w:rPr>
        <w:t>元</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仿宋" w:hAnsi="仿宋" w:eastAsia="仿宋" w:cs="仿宋"/>
          <w:sz w:val="22"/>
          <w:szCs w:val="22"/>
          <w:lang w:val="en-US" w:eastAsia="zh-CN"/>
        </w:rPr>
      </w:pPr>
      <w:r>
        <w:rPr>
          <w:rFonts w:hint="eastAsia" w:ascii="仿宋" w:hAnsi="仿宋" w:eastAsia="仿宋" w:cs="仿宋"/>
          <w:sz w:val="22"/>
          <w:szCs w:val="22"/>
        </w:rPr>
        <w:t>最高限价（元）：</w:t>
      </w:r>
      <w:r>
        <w:rPr>
          <w:rFonts w:hint="eastAsia" w:ascii="仿宋" w:hAnsi="仿宋" w:eastAsia="仿宋" w:cs="仿宋"/>
          <w:sz w:val="22"/>
          <w:szCs w:val="22"/>
          <w:lang w:val="en-US" w:eastAsia="zh-CN"/>
        </w:rPr>
        <w:t>50000.00</w:t>
      </w:r>
      <w:r>
        <w:rPr>
          <w:rFonts w:hint="eastAsia" w:ascii="仿宋" w:hAnsi="仿宋" w:eastAsia="仿宋" w:cs="仿宋"/>
          <w:sz w:val="22"/>
          <w:szCs w:val="22"/>
        </w:rPr>
        <w:t>元</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仿宋" w:hAnsi="仿宋" w:eastAsia="仿宋" w:cs="仿宋"/>
          <w:sz w:val="22"/>
          <w:szCs w:val="22"/>
        </w:rPr>
      </w:pPr>
      <w:r>
        <w:rPr>
          <w:rFonts w:hint="eastAsia" w:ascii="仿宋" w:hAnsi="仿宋" w:eastAsia="仿宋" w:cs="仿宋"/>
          <w:sz w:val="22"/>
          <w:szCs w:val="22"/>
        </w:rPr>
        <w:t>采购需求：</w:t>
      </w:r>
      <w:r>
        <w:rPr>
          <w:rFonts w:hint="eastAsia" w:ascii="仿宋" w:hAnsi="仿宋" w:eastAsia="仿宋" w:cs="仿宋"/>
          <w:sz w:val="22"/>
          <w:szCs w:val="22"/>
          <w:lang w:val="en-US" w:eastAsia="zh-CN"/>
        </w:rPr>
        <w:t>玛纳斯县2023年1.84万亩高标准农田建设项目资料管理。</w:t>
      </w:r>
      <w:r>
        <w:rPr>
          <w:rFonts w:hint="eastAsia" w:ascii="仿宋" w:hAnsi="仿宋" w:eastAsia="仿宋" w:cs="仿宋"/>
          <w:sz w:val="22"/>
          <w:szCs w:val="22"/>
        </w:rPr>
        <w:br w:type="textWrapping"/>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textAlignment w:val="auto"/>
        <w:rPr>
          <w:rFonts w:hint="eastAsia" w:ascii="仿宋" w:hAnsi="仿宋" w:eastAsia="仿宋" w:cs="仿宋"/>
          <w:sz w:val="22"/>
          <w:szCs w:val="22"/>
        </w:rPr>
      </w:pPr>
      <w:r>
        <w:rPr>
          <w:rStyle w:val="22"/>
          <w:rFonts w:hint="eastAsia" w:ascii="仿宋" w:hAnsi="仿宋" w:eastAsia="仿宋" w:cs="仿宋"/>
          <w:sz w:val="22"/>
          <w:szCs w:val="22"/>
        </w:rPr>
        <w:t>二、申请人的资格要求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20" w:lineRule="exact"/>
        <w:ind w:left="0" w:right="0" w:firstLine="480"/>
        <w:jc w:val="left"/>
        <w:rPr>
          <w:rFonts w:hint="eastAsia" w:ascii="仿宋" w:hAnsi="仿宋" w:eastAsia="仿宋" w:cs="仿宋"/>
          <w:spacing w:val="2"/>
          <w:position w:val="4"/>
          <w:sz w:val="23"/>
          <w:szCs w:val="23"/>
        </w:rPr>
      </w:pPr>
      <w:r>
        <w:rPr>
          <w:rFonts w:hint="eastAsia" w:ascii="仿宋" w:hAnsi="仿宋" w:eastAsia="仿宋" w:cs="仿宋"/>
          <w:spacing w:val="2"/>
          <w:position w:val="4"/>
          <w:sz w:val="23"/>
          <w:szCs w:val="23"/>
          <w:lang w:val="en-US" w:eastAsia="zh-CN"/>
        </w:rPr>
        <w:t>1.满足《中华人民共和国政府采购法》第二十二条规定；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20" w:lineRule="exact"/>
        <w:ind w:left="0" w:right="0" w:firstLine="480"/>
        <w:jc w:val="left"/>
        <w:rPr>
          <w:rFonts w:hint="eastAsia" w:ascii="仿宋" w:hAnsi="仿宋" w:eastAsia="仿宋" w:cs="仿宋"/>
          <w:spacing w:val="2"/>
          <w:position w:val="4"/>
          <w:sz w:val="23"/>
          <w:szCs w:val="23"/>
        </w:rPr>
      </w:pPr>
      <w:r>
        <w:rPr>
          <w:rFonts w:hint="eastAsia" w:ascii="仿宋" w:hAnsi="仿宋" w:eastAsia="仿宋" w:cs="仿宋"/>
          <w:spacing w:val="2"/>
          <w:position w:val="4"/>
          <w:sz w:val="23"/>
          <w:szCs w:val="23"/>
          <w:lang w:val="en-US" w:eastAsia="zh-CN"/>
        </w:rPr>
        <w:t>2.落实政府采购政策需满足的资格要求：</w:t>
      </w:r>
      <w:r>
        <w:rPr>
          <w:rFonts w:hint="eastAsia" w:ascii="仿宋" w:hAnsi="仿宋" w:eastAsia="仿宋" w:cs="仿宋"/>
          <w:spacing w:val="7"/>
          <w:sz w:val="23"/>
          <w:szCs w:val="23"/>
          <w:lang w:val="en-US" w:eastAsia="zh-CN"/>
        </w:rPr>
        <w:t>（1）执行财政部工业和信息化部关于印发《政府采购促进中小企业发展管理办法》财库〔2020〕46号的通知中的相关规定。（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20" w:lineRule="exact"/>
        <w:ind w:left="0" w:right="0" w:firstLine="480"/>
        <w:jc w:val="left"/>
        <w:rPr>
          <w:rFonts w:hint="eastAsia" w:ascii="仿宋" w:hAnsi="仿宋" w:eastAsia="仿宋" w:cs="仿宋"/>
          <w:spacing w:val="2"/>
          <w:position w:val="4"/>
          <w:sz w:val="23"/>
          <w:szCs w:val="23"/>
        </w:rPr>
      </w:pPr>
      <w:r>
        <w:rPr>
          <w:rFonts w:hint="eastAsia" w:ascii="仿宋" w:hAnsi="仿宋" w:eastAsia="仿宋" w:cs="仿宋"/>
          <w:spacing w:val="2"/>
          <w:position w:val="4"/>
          <w:sz w:val="23"/>
          <w:szCs w:val="23"/>
          <w:lang w:val="en-US" w:eastAsia="zh-CN"/>
        </w:rPr>
        <w:t>3.本项目的特定资格要求：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20" w:lineRule="exact"/>
        <w:ind w:left="0" w:right="0" w:firstLine="480"/>
        <w:jc w:val="left"/>
        <w:rPr>
          <w:rFonts w:hint="eastAsia" w:ascii="仿宋" w:hAnsi="仿宋" w:eastAsia="仿宋" w:cs="仿宋"/>
          <w:spacing w:val="2"/>
          <w:position w:val="4"/>
          <w:sz w:val="23"/>
          <w:szCs w:val="23"/>
        </w:rPr>
      </w:pPr>
      <w:r>
        <w:rPr>
          <w:rFonts w:hint="eastAsia" w:ascii="仿宋" w:hAnsi="仿宋" w:eastAsia="仿宋" w:cs="仿宋"/>
          <w:spacing w:val="2"/>
          <w:position w:val="4"/>
          <w:sz w:val="23"/>
          <w:szCs w:val="23"/>
          <w:lang w:val="en-US" w:eastAsia="zh-CN"/>
        </w:rPr>
        <w:t>（1）供应商必须是中华人民共和国境内注册的，具有独立法人资格的企业；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20" w:lineRule="exact"/>
        <w:ind w:left="0" w:right="0" w:firstLine="480"/>
        <w:jc w:val="left"/>
        <w:rPr>
          <w:rFonts w:hint="eastAsia" w:ascii="仿宋" w:hAnsi="仿宋" w:eastAsia="仿宋" w:cs="仿宋"/>
          <w:spacing w:val="2"/>
          <w:position w:val="4"/>
          <w:sz w:val="23"/>
          <w:szCs w:val="23"/>
          <w:lang w:val="en-US" w:eastAsia="zh-CN"/>
        </w:rPr>
      </w:pPr>
      <w:r>
        <w:rPr>
          <w:rFonts w:hint="eastAsia" w:ascii="仿宋" w:hAnsi="仿宋" w:eastAsia="仿宋" w:cs="仿宋"/>
          <w:spacing w:val="2"/>
          <w:position w:val="4"/>
          <w:sz w:val="23"/>
          <w:szCs w:val="23"/>
          <w:lang w:val="en-US" w:eastAsia="zh-CN"/>
        </w:rPr>
        <w:t>（2）有效的工商营业执照副本原件、税务登记证副本原件、组织机构代码证副本原件或“三证合一”的营业执照副本原件或当地公证处出具的此资质的公证书原件，且营业范围满足本项目需求具有相关经营范围（档案整理服务等方面并具有相应的服务能力），疆外企业提供新疆维吾尔自治区区外进疆企业信息报送手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20" w:lineRule="exact"/>
        <w:ind w:left="0" w:right="0" w:firstLine="480"/>
        <w:jc w:val="left"/>
        <w:rPr>
          <w:rFonts w:hint="eastAsia" w:ascii="仿宋" w:hAnsi="仿宋" w:eastAsia="仿宋" w:cs="仿宋"/>
          <w:spacing w:val="2"/>
          <w:position w:val="4"/>
          <w:sz w:val="23"/>
          <w:szCs w:val="23"/>
          <w:lang w:val="en-US" w:eastAsia="zh-CN"/>
        </w:rPr>
      </w:pPr>
      <w:r>
        <w:rPr>
          <w:rFonts w:hint="eastAsia" w:ascii="仿宋" w:hAnsi="仿宋" w:eastAsia="仿宋" w:cs="仿宋"/>
          <w:spacing w:val="2"/>
          <w:position w:val="4"/>
          <w:sz w:val="23"/>
          <w:szCs w:val="23"/>
          <w:lang w:val="en-US" w:eastAsia="zh-CN"/>
        </w:rPr>
        <w:t>（3）供应商近三年自2020年1月1日至今同类项目业绩（同类项目指档案整理服务等方面）；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20" w:lineRule="exact"/>
        <w:ind w:left="0" w:right="0" w:firstLine="480"/>
        <w:jc w:val="left"/>
        <w:rPr>
          <w:rFonts w:hint="eastAsia" w:ascii="仿宋" w:hAnsi="仿宋" w:eastAsia="仿宋" w:cs="仿宋"/>
          <w:spacing w:val="2"/>
          <w:position w:val="4"/>
          <w:sz w:val="23"/>
          <w:szCs w:val="23"/>
          <w:lang w:val="en-US" w:eastAsia="zh-CN"/>
        </w:rPr>
      </w:pPr>
      <w:r>
        <w:rPr>
          <w:rFonts w:hint="eastAsia" w:ascii="仿宋" w:hAnsi="仿宋" w:eastAsia="仿宋" w:cs="仿宋"/>
          <w:spacing w:val="2"/>
          <w:position w:val="4"/>
          <w:sz w:val="23"/>
          <w:szCs w:val="23"/>
          <w:lang w:val="en-US" w:eastAsia="zh-CN"/>
        </w:rPr>
        <w:t>（4）供应商近三年在“信用中国”网站（www.creditchina.gov.cn）和中国政府采购网（www.ccgp.gov.cn）未被列入失信被执行人、重大税收违法失信主体、政府采购严重违法失信行为记录名单，并在“中国裁判文书网”（http://wenshu.court.gov.cn/）无行贿犯罪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20" w:lineRule="exact"/>
        <w:ind w:left="0" w:right="0" w:firstLine="480"/>
        <w:jc w:val="left"/>
        <w:rPr>
          <w:rFonts w:hint="eastAsia" w:ascii="仿宋" w:hAnsi="仿宋" w:eastAsia="仿宋" w:cs="仿宋"/>
          <w:spacing w:val="2"/>
          <w:position w:val="4"/>
          <w:sz w:val="23"/>
          <w:szCs w:val="23"/>
          <w:lang w:val="en-US" w:eastAsia="zh-CN"/>
        </w:rPr>
      </w:pPr>
      <w:r>
        <w:rPr>
          <w:rFonts w:hint="eastAsia" w:ascii="仿宋" w:hAnsi="仿宋" w:eastAsia="仿宋" w:cs="仿宋"/>
          <w:spacing w:val="2"/>
          <w:position w:val="4"/>
          <w:sz w:val="23"/>
          <w:szCs w:val="23"/>
          <w:lang w:val="en-US" w:eastAsia="zh-CN"/>
        </w:rPr>
        <w:t>（5）单位负责人为同一人或者存在直接控股、管理关系的不同供应商，不得参加同一合同项下的政府采购活动；</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68" w:firstLineChars="200"/>
        <w:jc w:val="both"/>
        <w:textAlignment w:val="auto"/>
        <w:rPr>
          <w:rFonts w:hint="eastAsia" w:ascii="仿宋" w:hAnsi="仿宋" w:eastAsia="仿宋" w:cs="仿宋"/>
          <w:spacing w:val="2"/>
          <w:position w:val="4"/>
          <w:sz w:val="23"/>
          <w:szCs w:val="23"/>
          <w:lang w:val="en-US" w:eastAsia="zh-CN"/>
        </w:rPr>
      </w:pPr>
      <w:r>
        <w:rPr>
          <w:rFonts w:hint="eastAsia" w:ascii="仿宋" w:hAnsi="仿宋" w:eastAsia="仿宋" w:cs="仿宋"/>
          <w:spacing w:val="2"/>
          <w:position w:val="4"/>
          <w:sz w:val="23"/>
          <w:szCs w:val="23"/>
          <w:lang w:val="en-US" w:eastAsia="zh-CN"/>
        </w:rPr>
        <w:t>（6）具有良好的商业信誉和健全的财务会计制度。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320" w:lineRule="exact"/>
        <w:ind w:left="0" w:right="0" w:firstLine="480"/>
        <w:jc w:val="left"/>
        <w:rPr>
          <w:rFonts w:hint="eastAsia" w:ascii="仿宋" w:hAnsi="仿宋" w:eastAsia="仿宋" w:cs="仿宋"/>
          <w:spacing w:val="2"/>
          <w:position w:val="4"/>
          <w:sz w:val="23"/>
          <w:szCs w:val="23"/>
          <w:lang w:val="en-US" w:eastAsia="zh-CN"/>
        </w:rPr>
      </w:pPr>
      <w:r>
        <w:rPr>
          <w:rFonts w:hint="eastAsia" w:ascii="仿宋" w:hAnsi="仿宋" w:eastAsia="仿宋" w:cs="仿宋"/>
          <w:spacing w:val="2"/>
          <w:position w:val="4"/>
          <w:sz w:val="23"/>
          <w:szCs w:val="23"/>
          <w:lang w:val="en-US" w:eastAsia="zh-CN"/>
        </w:rPr>
        <w:t>4.本项目（否）接受联合体投标</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42" w:firstLineChars="200"/>
        <w:jc w:val="both"/>
        <w:textAlignment w:val="auto"/>
        <w:rPr>
          <w:rStyle w:val="22"/>
          <w:rFonts w:hint="eastAsia" w:ascii="仿宋" w:hAnsi="仿宋" w:eastAsia="仿宋" w:cs="仿宋"/>
          <w:sz w:val="22"/>
          <w:szCs w:val="22"/>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textAlignment w:val="auto"/>
        <w:rPr>
          <w:rStyle w:val="22"/>
          <w:rFonts w:hint="eastAsia" w:ascii="仿宋" w:hAnsi="仿宋" w:eastAsia="仿宋" w:cs="仿宋"/>
          <w:sz w:val="22"/>
          <w:szCs w:val="22"/>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textAlignment w:val="auto"/>
        <w:rPr>
          <w:rStyle w:val="22"/>
          <w:rFonts w:hint="eastAsia" w:ascii="仿宋" w:hAnsi="仿宋" w:eastAsia="仿宋" w:cs="仿宋"/>
          <w:sz w:val="22"/>
          <w:szCs w:val="22"/>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textAlignment w:val="auto"/>
        <w:rPr>
          <w:rStyle w:val="22"/>
          <w:rFonts w:hint="eastAsia" w:ascii="仿宋" w:hAnsi="仿宋" w:eastAsia="仿宋" w:cs="仿宋"/>
          <w:sz w:val="22"/>
          <w:szCs w:val="22"/>
        </w:rPr>
      </w:pPr>
      <w:r>
        <w:rPr>
          <w:rStyle w:val="22"/>
          <w:rFonts w:hint="eastAsia" w:ascii="仿宋" w:hAnsi="仿宋" w:eastAsia="仿宋" w:cs="仿宋"/>
          <w:sz w:val="22"/>
          <w:szCs w:val="22"/>
        </w:rPr>
        <w:t>三、获取招标文件</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40" w:firstLineChars="20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时间：2023年3月14日至2023年3月21日</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40" w:firstLineChars="20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地点：新疆政府采购网政采云平台 (</w:t>
      </w: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"http://www.zcygov.cn" </w:instrText>
      </w:r>
      <w:r>
        <w:rPr>
          <w:rFonts w:hint="eastAsia" w:ascii="仿宋" w:hAnsi="仿宋" w:eastAsia="仿宋" w:cs="仿宋"/>
          <w:sz w:val="22"/>
          <w:szCs w:val="22"/>
          <w:lang w:val="en-US" w:eastAsia="zh-CN"/>
        </w:rPr>
        <w:fldChar w:fldCharType="separate"/>
      </w:r>
      <w:r>
        <w:rPr>
          <w:rFonts w:hint="eastAsia" w:ascii="仿宋" w:hAnsi="仿宋" w:eastAsia="仿宋" w:cs="仿宋"/>
          <w:sz w:val="22"/>
          <w:szCs w:val="22"/>
          <w:lang w:val="en-US" w:eastAsia="zh-CN"/>
        </w:rPr>
        <w:t>www.zcygov.cn</w:t>
      </w:r>
      <w:r>
        <w:rPr>
          <w:rFonts w:hint="eastAsia" w:ascii="仿宋" w:hAnsi="仿宋" w:eastAsia="仿宋" w:cs="仿宋"/>
          <w:sz w:val="22"/>
          <w:szCs w:val="22"/>
          <w:lang w:val="en-US" w:eastAsia="zh-CN"/>
        </w:rPr>
        <w:fldChar w:fldCharType="end"/>
      </w:r>
      <w:r>
        <w:rPr>
          <w:rFonts w:hint="eastAsia" w:ascii="仿宋" w:hAnsi="仿宋" w:eastAsia="仿宋" w:cs="仿宋"/>
          <w:sz w:val="22"/>
          <w:szCs w:val="22"/>
          <w:lang w:val="en-US" w:eastAsia="zh-CN"/>
        </w:rPr>
        <w:t>)</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40" w:firstLineChars="20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方式：线上获取，供应商登录政采云账户,在线申请获取采购文件 (登录政府采购云平台→采购项目→获取采购文件→申请，审核通过后可下载采购文件，如有操作性问题，可与政采云在线客服进行咨询，咨询电话 400-881-7190) 。</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40" w:firstLineChars="20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售价（元）：0</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textAlignment w:val="auto"/>
        <w:rPr>
          <w:rStyle w:val="22"/>
          <w:rFonts w:hint="eastAsia" w:ascii="仿宋" w:hAnsi="仿宋" w:eastAsia="仿宋" w:cs="仿宋"/>
          <w:sz w:val="22"/>
          <w:szCs w:val="22"/>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textAlignment w:val="auto"/>
        <w:rPr>
          <w:rStyle w:val="22"/>
          <w:rFonts w:hint="eastAsia" w:ascii="仿宋" w:hAnsi="仿宋" w:eastAsia="仿宋" w:cs="仿宋"/>
          <w:sz w:val="22"/>
          <w:szCs w:val="22"/>
        </w:rPr>
      </w:pPr>
      <w:r>
        <w:rPr>
          <w:rStyle w:val="22"/>
          <w:rFonts w:hint="eastAsia" w:ascii="仿宋" w:hAnsi="仿宋" w:eastAsia="仿宋" w:cs="仿宋"/>
          <w:sz w:val="22"/>
          <w:szCs w:val="22"/>
        </w:rPr>
        <w:t>四、提交投标文件截止时间、开标时间和地点</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40" w:firstLineChars="20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提交投标文件截止时间：</w:t>
      </w:r>
      <w:r>
        <w:rPr>
          <w:rFonts w:hint="eastAsia" w:ascii="仿宋" w:hAnsi="仿宋" w:eastAsia="仿宋" w:cs="仿宋"/>
          <w:sz w:val="22"/>
          <w:szCs w:val="22"/>
          <w:lang w:val="zh-CN" w:eastAsia="zh-CN"/>
        </w:rPr>
        <w:t>202</w:t>
      </w:r>
      <w:r>
        <w:rPr>
          <w:rFonts w:hint="eastAsia" w:ascii="仿宋" w:hAnsi="仿宋" w:eastAsia="仿宋" w:cs="仿宋"/>
          <w:sz w:val="22"/>
          <w:szCs w:val="22"/>
          <w:lang w:val="en-US" w:eastAsia="zh-CN"/>
        </w:rPr>
        <w:t>3</w:t>
      </w:r>
      <w:r>
        <w:rPr>
          <w:rFonts w:hint="eastAsia" w:ascii="仿宋" w:hAnsi="仿宋" w:eastAsia="仿宋" w:cs="仿宋"/>
          <w:sz w:val="22"/>
          <w:szCs w:val="22"/>
          <w:lang w:val="zh-CN" w:eastAsia="zh-CN"/>
        </w:rPr>
        <w:t>年</w:t>
      </w:r>
      <w:r>
        <w:rPr>
          <w:rFonts w:hint="eastAsia" w:ascii="仿宋" w:hAnsi="仿宋" w:eastAsia="仿宋" w:cs="仿宋"/>
          <w:sz w:val="22"/>
          <w:szCs w:val="22"/>
          <w:lang w:val="en-US" w:eastAsia="zh-CN"/>
        </w:rPr>
        <w:t>3</w:t>
      </w:r>
      <w:r>
        <w:rPr>
          <w:rFonts w:hint="eastAsia" w:ascii="仿宋" w:hAnsi="仿宋" w:eastAsia="仿宋" w:cs="仿宋"/>
          <w:sz w:val="22"/>
          <w:szCs w:val="22"/>
          <w:lang w:val="zh-CN" w:eastAsia="zh-CN"/>
        </w:rPr>
        <w:t>月</w:t>
      </w:r>
      <w:r>
        <w:rPr>
          <w:rFonts w:hint="eastAsia" w:ascii="仿宋" w:hAnsi="仿宋" w:eastAsia="仿宋" w:cs="仿宋"/>
          <w:sz w:val="22"/>
          <w:szCs w:val="22"/>
          <w:lang w:val="en-US" w:eastAsia="zh-CN"/>
        </w:rPr>
        <w:t>27</w:t>
      </w:r>
      <w:r>
        <w:rPr>
          <w:rFonts w:hint="eastAsia" w:ascii="仿宋" w:hAnsi="仿宋" w:eastAsia="仿宋" w:cs="仿宋"/>
          <w:sz w:val="22"/>
          <w:szCs w:val="22"/>
          <w:lang w:val="zh-CN" w:eastAsia="zh-CN"/>
        </w:rPr>
        <w:t>日</w:t>
      </w:r>
      <w:r>
        <w:rPr>
          <w:rFonts w:hint="eastAsia" w:ascii="仿宋" w:hAnsi="仿宋" w:eastAsia="仿宋" w:cs="仿宋"/>
          <w:sz w:val="22"/>
          <w:szCs w:val="22"/>
          <w:lang w:val="en-US" w:eastAsia="zh-CN"/>
        </w:rPr>
        <w:t>12：00分(北京时间)</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40" w:firstLineChars="20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投标地点：新疆政府采购网政采云平台 (</w:t>
      </w: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"http://www.zcygov.cn" </w:instrText>
      </w:r>
      <w:r>
        <w:rPr>
          <w:rFonts w:hint="eastAsia" w:ascii="仿宋" w:hAnsi="仿宋" w:eastAsia="仿宋" w:cs="仿宋"/>
          <w:sz w:val="22"/>
          <w:szCs w:val="22"/>
          <w:lang w:val="en-US" w:eastAsia="zh-CN"/>
        </w:rPr>
        <w:fldChar w:fldCharType="separate"/>
      </w:r>
      <w:r>
        <w:rPr>
          <w:rFonts w:hint="eastAsia" w:ascii="仿宋" w:hAnsi="仿宋" w:eastAsia="仿宋" w:cs="仿宋"/>
          <w:sz w:val="22"/>
          <w:szCs w:val="22"/>
          <w:lang w:val="en-US" w:eastAsia="zh-CN"/>
        </w:rPr>
        <w:t>www.zcygov.cn</w:t>
      </w:r>
      <w:r>
        <w:rPr>
          <w:rFonts w:hint="eastAsia" w:ascii="仿宋" w:hAnsi="仿宋" w:eastAsia="仿宋" w:cs="仿宋"/>
          <w:sz w:val="22"/>
          <w:szCs w:val="22"/>
          <w:lang w:val="en-US" w:eastAsia="zh-CN"/>
        </w:rPr>
        <w:fldChar w:fldCharType="end"/>
      </w:r>
      <w:r>
        <w:rPr>
          <w:rFonts w:hint="eastAsia" w:ascii="仿宋" w:hAnsi="仿宋" w:eastAsia="仿宋" w:cs="仿宋"/>
          <w:sz w:val="22"/>
          <w:szCs w:val="22"/>
          <w:lang w:val="en-US" w:eastAsia="zh-CN"/>
        </w:rPr>
        <w:t>)</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40" w:firstLineChars="20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开标时间：</w:t>
      </w:r>
      <w:r>
        <w:rPr>
          <w:rFonts w:hint="eastAsia" w:ascii="仿宋" w:hAnsi="仿宋" w:eastAsia="仿宋" w:cs="仿宋"/>
          <w:sz w:val="22"/>
          <w:szCs w:val="22"/>
          <w:lang w:val="zh-CN" w:eastAsia="zh-CN"/>
        </w:rPr>
        <w:t>202</w:t>
      </w:r>
      <w:r>
        <w:rPr>
          <w:rFonts w:hint="eastAsia" w:ascii="仿宋" w:hAnsi="仿宋" w:eastAsia="仿宋" w:cs="仿宋"/>
          <w:sz w:val="22"/>
          <w:szCs w:val="22"/>
          <w:lang w:val="en-US" w:eastAsia="zh-CN"/>
        </w:rPr>
        <w:t>3</w:t>
      </w:r>
      <w:r>
        <w:rPr>
          <w:rFonts w:hint="eastAsia" w:ascii="仿宋" w:hAnsi="仿宋" w:eastAsia="仿宋" w:cs="仿宋"/>
          <w:sz w:val="22"/>
          <w:szCs w:val="22"/>
          <w:lang w:val="zh-CN" w:eastAsia="zh-CN"/>
        </w:rPr>
        <w:t>年</w:t>
      </w:r>
      <w:r>
        <w:rPr>
          <w:rFonts w:hint="eastAsia" w:ascii="仿宋" w:hAnsi="仿宋" w:eastAsia="仿宋" w:cs="仿宋"/>
          <w:sz w:val="22"/>
          <w:szCs w:val="22"/>
          <w:lang w:val="en-US" w:eastAsia="zh-CN"/>
        </w:rPr>
        <w:t>3</w:t>
      </w:r>
      <w:r>
        <w:rPr>
          <w:rFonts w:hint="eastAsia" w:ascii="仿宋" w:hAnsi="仿宋" w:eastAsia="仿宋" w:cs="仿宋"/>
          <w:sz w:val="22"/>
          <w:szCs w:val="22"/>
          <w:lang w:val="zh-CN" w:eastAsia="zh-CN"/>
        </w:rPr>
        <w:t>月</w:t>
      </w:r>
      <w:r>
        <w:rPr>
          <w:rFonts w:hint="eastAsia" w:ascii="仿宋" w:hAnsi="仿宋" w:eastAsia="仿宋" w:cs="仿宋"/>
          <w:sz w:val="22"/>
          <w:szCs w:val="22"/>
          <w:lang w:val="en-US" w:eastAsia="zh-CN"/>
        </w:rPr>
        <w:t>27</w:t>
      </w:r>
      <w:r>
        <w:rPr>
          <w:rFonts w:hint="eastAsia" w:ascii="仿宋" w:hAnsi="仿宋" w:eastAsia="仿宋" w:cs="仿宋"/>
          <w:sz w:val="22"/>
          <w:szCs w:val="22"/>
          <w:lang w:val="zh-CN" w:eastAsia="zh-CN"/>
        </w:rPr>
        <w:t>日</w:t>
      </w:r>
      <w:r>
        <w:rPr>
          <w:rFonts w:hint="eastAsia" w:ascii="仿宋" w:hAnsi="仿宋" w:eastAsia="仿宋" w:cs="仿宋"/>
          <w:sz w:val="22"/>
          <w:szCs w:val="22"/>
          <w:lang w:val="en-US" w:eastAsia="zh-CN"/>
        </w:rPr>
        <w:t>12：00分（北京时间）</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40" w:firstLineChars="20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开标地点：新疆政府采购网政采云平台 (</w:t>
      </w:r>
      <w:r>
        <w:rPr>
          <w:rFonts w:hint="eastAsia" w:ascii="仿宋" w:hAnsi="仿宋" w:eastAsia="仿宋" w:cs="仿宋"/>
          <w:sz w:val="22"/>
          <w:szCs w:val="22"/>
          <w:lang w:val="en-US" w:eastAsia="zh-CN"/>
        </w:rPr>
        <w:fldChar w:fldCharType="begin"/>
      </w:r>
      <w:r>
        <w:rPr>
          <w:rFonts w:hint="eastAsia" w:ascii="仿宋" w:hAnsi="仿宋" w:eastAsia="仿宋" w:cs="仿宋"/>
          <w:sz w:val="22"/>
          <w:szCs w:val="22"/>
          <w:lang w:val="en-US" w:eastAsia="zh-CN"/>
        </w:rPr>
        <w:instrText xml:space="preserve"> HYPERLINK "http://www.zcygov.cn" </w:instrText>
      </w:r>
      <w:r>
        <w:rPr>
          <w:rFonts w:hint="eastAsia" w:ascii="仿宋" w:hAnsi="仿宋" w:eastAsia="仿宋" w:cs="仿宋"/>
          <w:sz w:val="22"/>
          <w:szCs w:val="22"/>
          <w:lang w:val="en-US" w:eastAsia="zh-CN"/>
        </w:rPr>
        <w:fldChar w:fldCharType="separate"/>
      </w:r>
      <w:r>
        <w:rPr>
          <w:rFonts w:hint="eastAsia" w:ascii="仿宋" w:hAnsi="仿宋" w:eastAsia="仿宋" w:cs="仿宋"/>
          <w:sz w:val="22"/>
          <w:szCs w:val="22"/>
          <w:lang w:val="en-US" w:eastAsia="zh-CN"/>
        </w:rPr>
        <w:t>www.zcygov.cn</w:t>
      </w:r>
      <w:r>
        <w:rPr>
          <w:rFonts w:hint="eastAsia" w:ascii="仿宋" w:hAnsi="仿宋" w:eastAsia="仿宋" w:cs="仿宋"/>
          <w:sz w:val="22"/>
          <w:szCs w:val="22"/>
          <w:lang w:val="en-US" w:eastAsia="zh-CN"/>
        </w:rPr>
        <w:fldChar w:fldCharType="end"/>
      </w:r>
      <w:r>
        <w:rPr>
          <w:rFonts w:hint="eastAsia" w:ascii="仿宋" w:hAnsi="仿宋" w:eastAsia="仿宋" w:cs="仿宋"/>
          <w:sz w:val="22"/>
          <w:szCs w:val="22"/>
          <w:lang w:val="en-US" w:eastAsia="zh-CN"/>
        </w:rPr>
        <w:t>)</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仿宋" w:hAnsi="仿宋" w:eastAsia="仿宋" w:cs="仿宋"/>
          <w:sz w:val="22"/>
          <w:szCs w:val="22"/>
        </w:rPr>
      </w:pPr>
      <w:r>
        <w:rPr>
          <w:rStyle w:val="22"/>
          <w:rFonts w:hint="eastAsia" w:ascii="仿宋" w:hAnsi="仿宋" w:eastAsia="仿宋" w:cs="仿宋"/>
          <w:sz w:val="22"/>
          <w:szCs w:val="22"/>
        </w:rPr>
        <w:t>五、公告期限</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420"/>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自本公告发布之日起5个工作日。</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仿宋" w:hAnsi="仿宋" w:eastAsia="仿宋" w:cs="仿宋"/>
          <w:sz w:val="22"/>
          <w:szCs w:val="22"/>
        </w:rPr>
      </w:pPr>
      <w:r>
        <w:rPr>
          <w:rStyle w:val="22"/>
          <w:rFonts w:hint="eastAsia" w:ascii="仿宋" w:hAnsi="仿宋" w:eastAsia="仿宋" w:cs="仿宋"/>
          <w:sz w:val="22"/>
          <w:szCs w:val="22"/>
        </w:rPr>
        <w:t>六、其他补充事宜</w:t>
      </w:r>
    </w:p>
    <w:p>
      <w:pPr>
        <w:pStyle w:val="2"/>
        <w:keepNext w:val="0"/>
        <w:keepLines w:val="0"/>
        <w:pageBreakBefore w:val="0"/>
        <w:widowControl/>
        <w:numPr>
          <w:ilvl w:val="0"/>
          <w:numId w:val="0"/>
        </w:numPr>
        <w:wordWrap/>
        <w:overflowPunct/>
        <w:topLinePunct w:val="0"/>
        <w:bidi w:val="0"/>
        <w:spacing w:line="320" w:lineRule="exact"/>
        <w:ind w:firstLine="480" w:firstLineChars="200"/>
        <w:jc w:val="both"/>
        <w:rPr>
          <w:rFonts w:hint="eastAsia" w:ascii="仿宋" w:hAnsi="仿宋" w:eastAsia="仿宋" w:cs="仿宋"/>
          <w:snapToGrid w:val="0"/>
          <w:color w:val="000000"/>
          <w:kern w:val="0"/>
          <w:sz w:val="22"/>
          <w:szCs w:val="22"/>
          <w:lang w:val="en-US" w:eastAsia="zh-CN"/>
        </w:rPr>
      </w:pPr>
      <w:r>
        <w:rPr>
          <w:rFonts w:hint="eastAsia" w:ascii="仿宋" w:hAnsi="仿宋" w:eastAsia="仿宋" w:cs="仿宋"/>
          <w:i w:val="0"/>
          <w:iCs w:val="0"/>
          <w:caps w:val="0"/>
          <w:color w:val="auto"/>
          <w:spacing w:val="0"/>
          <w:sz w:val="24"/>
          <w:szCs w:val="24"/>
          <w:highlight w:val="none"/>
          <w:lang w:val="en-US" w:eastAsia="zh-CN"/>
        </w:rPr>
        <w:t>1、</w:t>
      </w:r>
      <w:r>
        <w:rPr>
          <w:rFonts w:hint="eastAsia" w:ascii="仿宋" w:hAnsi="仿宋" w:eastAsia="仿宋" w:cs="仿宋"/>
          <w:snapToGrid w:val="0"/>
          <w:color w:val="000000"/>
          <w:kern w:val="0"/>
          <w:sz w:val="22"/>
          <w:szCs w:val="22"/>
          <w:lang w:val="en-US" w:eastAsia="zh-CN"/>
        </w:rPr>
        <w:t>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snapToGrid w:val="0"/>
          <w:color w:val="000000"/>
          <w:kern w:val="0"/>
          <w:sz w:val="22"/>
          <w:szCs w:val="22"/>
          <w:lang w:val="en-US" w:eastAsia="zh-CN"/>
        </w:rPr>
        <w:br w:type="textWrapping"/>
      </w:r>
      <w:r>
        <w:rPr>
          <w:rFonts w:hint="eastAsia" w:ascii="仿宋" w:hAnsi="仿宋" w:eastAsia="仿宋" w:cs="仿宋"/>
          <w:snapToGrid w:val="0"/>
          <w:color w:val="000000"/>
          <w:kern w:val="0"/>
          <w:sz w:val="22"/>
          <w:szCs w:val="22"/>
          <w:lang w:val="en-US" w:eastAsia="zh-CN"/>
        </w:rPr>
        <w:t xml:space="preserve">    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snapToGrid w:val="0"/>
          <w:color w:val="000000"/>
          <w:kern w:val="0"/>
          <w:sz w:val="22"/>
          <w:szCs w:val="22"/>
          <w:lang w:val="en-US" w:eastAsia="zh-CN"/>
        </w:rPr>
        <w:br w:type="textWrapping"/>
      </w:r>
      <w:r>
        <w:rPr>
          <w:rFonts w:hint="eastAsia" w:ascii="仿宋" w:hAnsi="仿宋" w:eastAsia="仿宋" w:cs="仿宋"/>
          <w:snapToGrid w:val="0"/>
          <w:color w:val="000000"/>
          <w:kern w:val="0"/>
          <w:sz w:val="22"/>
          <w:szCs w:val="22"/>
          <w:lang w:val="en-US" w:eastAsia="zh-CN"/>
        </w:rPr>
        <w:t xml:space="preserve">    3、供应商在开标时须携带制作加密电子响应文件所使用的CA锁，电脑须提前配置好浏览器（建议使用360浏览器或谷歌浏览器），以便开标时在线解密。</w:t>
      </w:r>
      <w:r>
        <w:rPr>
          <w:rFonts w:hint="eastAsia" w:ascii="仿宋" w:hAnsi="仿宋" w:eastAsia="仿宋" w:cs="仿宋"/>
          <w:snapToGrid w:val="0"/>
          <w:color w:val="000000"/>
          <w:kern w:val="0"/>
          <w:sz w:val="22"/>
          <w:szCs w:val="22"/>
          <w:lang w:val="en-US" w:eastAsia="zh-CN"/>
        </w:rPr>
        <w:br w:type="textWrapping"/>
      </w:r>
      <w:r>
        <w:rPr>
          <w:rFonts w:hint="eastAsia" w:ascii="仿宋" w:hAnsi="仿宋" w:eastAsia="仿宋" w:cs="仿宋"/>
          <w:snapToGrid w:val="0"/>
          <w:color w:val="000000"/>
          <w:kern w:val="0"/>
          <w:sz w:val="22"/>
          <w:szCs w:val="22"/>
          <w:lang w:val="en-US" w:eastAsia="zh-CN"/>
        </w:rPr>
        <w:t xml:space="preserve">    4、投标供应商应当在投标截止时间前，将生成的“电子加密响应文件”上传递交至“政府采购云平台”，投标截止时间以后上传递交的响应文件将被“政府采购云平台”拒收。</w:t>
      </w:r>
    </w:p>
    <w:p>
      <w:pPr>
        <w:pStyle w:val="2"/>
        <w:keepNext w:val="0"/>
        <w:keepLines w:val="0"/>
        <w:pageBreakBefore w:val="0"/>
        <w:widowControl/>
        <w:numPr>
          <w:ilvl w:val="0"/>
          <w:numId w:val="0"/>
        </w:numPr>
        <w:wordWrap/>
        <w:overflowPunct/>
        <w:topLinePunct w:val="0"/>
        <w:bidi w:val="0"/>
        <w:spacing w:line="320" w:lineRule="exact"/>
        <w:jc w:val="both"/>
        <w:rPr>
          <w:rFonts w:hint="eastAsia" w:ascii="仿宋" w:hAnsi="仿宋" w:eastAsia="仿宋" w:cs="仿宋"/>
          <w:b/>
          <w:bCs/>
          <w:snapToGrid w:val="0"/>
          <w:color w:val="000000"/>
          <w:kern w:val="0"/>
          <w:sz w:val="22"/>
          <w:szCs w:val="22"/>
          <w:lang w:val="en-US" w:eastAsia="zh-CN"/>
        </w:rPr>
      </w:pPr>
      <w:r>
        <w:rPr>
          <w:rFonts w:hint="eastAsia" w:ascii="仿宋" w:hAnsi="仿宋" w:eastAsia="仿宋" w:cs="仿宋"/>
          <w:b/>
          <w:bCs/>
          <w:snapToGrid w:val="0"/>
          <w:color w:val="000000"/>
          <w:kern w:val="0"/>
          <w:sz w:val="22"/>
          <w:szCs w:val="22"/>
          <w:lang w:val="en-US" w:eastAsia="zh-CN"/>
        </w:rPr>
        <w:t>特别提示：</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napToGrid w:val="0"/>
          <w:color w:val="000000"/>
          <w:kern w:val="0"/>
          <w:sz w:val="22"/>
          <w:szCs w:val="22"/>
          <w:lang w:val="en-US" w:eastAsia="zh-CN"/>
        </w:rPr>
      </w:pPr>
      <w:r>
        <w:rPr>
          <w:rFonts w:hint="eastAsia" w:ascii="仿宋" w:hAnsi="仿宋" w:eastAsia="仿宋" w:cs="仿宋"/>
          <w:snapToGrid w:val="0"/>
          <w:color w:val="000000"/>
          <w:kern w:val="0"/>
          <w:sz w:val="22"/>
          <w:szCs w:val="22"/>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napToGrid w:val="0"/>
          <w:color w:val="000000"/>
          <w:kern w:val="0"/>
          <w:sz w:val="22"/>
          <w:szCs w:val="22"/>
          <w:lang w:val="en-US" w:eastAsia="zh-CN"/>
        </w:rPr>
      </w:pPr>
      <w:r>
        <w:rPr>
          <w:rFonts w:hint="eastAsia" w:ascii="仿宋" w:hAnsi="仿宋" w:eastAsia="仿宋" w:cs="仿宋"/>
          <w:snapToGrid w:val="0"/>
          <w:color w:val="000000"/>
          <w:kern w:val="0"/>
          <w:sz w:val="22"/>
          <w:szCs w:val="22"/>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napToGrid w:val="0"/>
          <w:color w:val="000000"/>
          <w:kern w:val="0"/>
          <w:sz w:val="22"/>
          <w:szCs w:val="22"/>
          <w:lang w:val="en-US" w:eastAsia="zh-CN"/>
        </w:rPr>
      </w:pPr>
      <w:r>
        <w:rPr>
          <w:rFonts w:hint="eastAsia" w:ascii="仿宋" w:hAnsi="仿宋" w:eastAsia="仿宋" w:cs="仿宋"/>
          <w:snapToGrid w:val="0"/>
          <w:color w:val="000000"/>
          <w:kern w:val="0"/>
          <w:sz w:val="22"/>
          <w:szCs w:val="22"/>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wordWrap/>
        <w:overflowPunct/>
        <w:topLinePunct w:val="0"/>
        <w:bidi w:val="0"/>
        <w:spacing w:line="320" w:lineRule="exact"/>
        <w:rPr>
          <w:rFonts w:hint="eastAsia" w:ascii="仿宋" w:hAnsi="仿宋" w:eastAsia="仿宋" w:cs="仿宋"/>
          <w:lang w:val="en-US"/>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jc w:val="both"/>
        <w:textAlignment w:val="auto"/>
        <w:rPr>
          <w:rStyle w:val="22"/>
          <w:rFonts w:hint="eastAsia" w:ascii="仿宋" w:hAnsi="仿宋" w:eastAsia="仿宋" w:cs="仿宋"/>
          <w:sz w:val="22"/>
          <w:szCs w:val="22"/>
          <w:lang w:val="en-US" w:eastAsia="zh-CN"/>
        </w:rPr>
      </w:pPr>
      <w:r>
        <w:rPr>
          <w:rStyle w:val="22"/>
          <w:rFonts w:hint="eastAsia" w:ascii="仿宋" w:hAnsi="仿宋" w:eastAsia="仿宋" w:cs="仿宋"/>
          <w:sz w:val="22"/>
          <w:szCs w:val="22"/>
          <w:lang w:val="en-US" w:eastAsia="zh-CN"/>
        </w:rPr>
        <w:t>七、对本次采购提出询问，请按以下方式联系</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1.采购人信息</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名 称：玛纳斯县农业农村局</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地 址：玛纳斯县</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联系人：邵栓</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联系方式：15769000978</w:t>
      </w:r>
    </w:p>
    <w:p>
      <w:pPr>
        <w:pStyle w:val="10"/>
        <w:keepNext w:val="0"/>
        <w:keepLines w:val="0"/>
        <w:pageBreakBefore w:val="0"/>
        <w:widowControl/>
        <w:wordWrap/>
        <w:overflowPunct/>
        <w:topLinePunct w:val="0"/>
        <w:bidi w:val="0"/>
        <w:spacing w:line="320" w:lineRule="exact"/>
        <w:rPr>
          <w:rFonts w:hint="eastAsia" w:ascii="仿宋" w:hAnsi="仿宋" w:eastAsia="仿宋" w:cs="仿宋"/>
          <w:lang w:val="en-US"/>
        </w:rPr>
      </w:pP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2.招标代理机构</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名 称：新疆新诚达项目管理有限公司</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地 址：新疆昌吉市建国西路和谐国际广场 G 座 1210 室    </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联系人：</w:t>
      </w:r>
      <w:r>
        <w:rPr>
          <w:rFonts w:hint="eastAsia" w:ascii="仿宋" w:hAnsi="仿宋" w:eastAsia="仿宋" w:cs="仿宋"/>
          <w:sz w:val="22"/>
          <w:szCs w:val="22"/>
          <w:shd w:val="clear"/>
          <w:lang w:val="en-US" w:eastAsia="zh-CN"/>
        </w:rPr>
        <w:t>张梦云</w:t>
      </w:r>
      <w:r>
        <w:rPr>
          <w:rFonts w:hint="eastAsia" w:ascii="仿宋" w:hAnsi="仿宋" w:eastAsia="仿宋" w:cs="仿宋"/>
          <w:sz w:val="22"/>
          <w:szCs w:val="22"/>
          <w:lang w:val="en-US" w:eastAsia="zh-CN"/>
        </w:rPr>
        <w:t>  </w:t>
      </w:r>
    </w:p>
    <w:p>
      <w:pPr>
        <w:pStyle w:val="2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firstLine="0"/>
        <w:jc w:val="lef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联系方式：13109010885</w:t>
      </w:r>
    </w:p>
    <w:p>
      <w:pPr>
        <w:pStyle w:val="10"/>
        <w:rPr>
          <w:rFonts w:hint="eastAsia" w:ascii="仿宋" w:hAnsi="仿宋" w:eastAsia="仿宋" w:cs="仿宋"/>
          <w:u w:val="single"/>
        </w:rPr>
      </w:pPr>
    </w:p>
    <w:p>
      <w:pPr>
        <w:pStyle w:val="18"/>
        <w:rPr>
          <w:rFonts w:hint="eastAsia" w:ascii="仿宋" w:hAnsi="仿宋" w:eastAsia="仿宋" w:cs="仿宋"/>
          <w:u w:val="single"/>
        </w:rPr>
        <w:sectPr>
          <w:footerReference r:id="rId6" w:type="default"/>
          <w:pgSz w:w="11906" w:h="16839"/>
          <w:pgMar w:top="1440" w:right="1800" w:bottom="1440" w:left="1800" w:header="0" w:footer="1202" w:gutter="0"/>
          <w:pgNumType w:fmt="decimal"/>
          <w:cols w:space="720" w:num="1"/>
        </w:sect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bookmarkStart w:id="8" w:name="_Toc27334_WPSOffice_Level1"/>
      <w:r>
        <w:rPr>
          <w:rFonts w:hint="eastAsia" w:ascii="仿宋" w:hAnsi="仿宋" w:eastAsia="仿宋" w:cs="仿宋"/>
          <w:b/>
          <w:color w:val="auto"/>
          <w:sz w:val="44"/>
          <w:szCs w:val="44"/>
          <w:highlight w:val="none"/>
        </w:rPr>
        <w:t xml:space="preserve">第二章 </w:t>
      </w:r>
      <w:r>
        <w:rPr>
          <w:rFonts w:hint="eastAsia" w:ascii="仿宋" w:hAnsi="仿宋" w:eastAsia="仿宋" w:cs="仿宋"/>
          <w:b/>
          <w:color w:val="auto"/>
          <w:sz w:val="44"/>
          <w:szCs w:val="44"/>
          <w:highlight w:val="none"/>
          <w:lang w:eastAsia="zh-CN"/>
        </w:rPr>
        <w:t>供应商</w:t>
      </w:r>
      <w:r>
        <w:rPr>
          <w:rFonts w:hint="eastAsia" w:ascii="仿宋" w:hAnsi="仿宋" w:eastAsia="仿宋" w:cs="仿宋"/>
          <w:b/>
          <w:color w:val="auto"/>
          <w:sz w:val="44"/>
          <w:szCs w:val="44"/>
          <w:highlight w:val="none"/>
        </w:rPr>
        <w:t>须知</w:t>
      </w:r>
      <w:bookmarkEnd w:id="8"/>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须知前附表（一）</w:t>
      </w:r>
    </w:p>
    <w:p>
      <w:pPr>
        <w:pStyle w:val="18"/>
        <w:rPr>
          <w:rFonts w:hint="eastAsia" w:ascii="仿宋" w:hAnsi="仿宋" w:eastAsia="仿宋" w:cs="仿宋"/>
        </w:rPr>
      </w:pPr>
    </w:p>
    <w:tbl>
      <w:tblPr>
        <w:tblStyle w:val="24"/>
        <w:tblW w:w="8420" w:type="dxa"/>
        <w:tblInd w:w="-52" w:type="dxa"/>
        <w:tblLayout w:type="fixed"/>
        <w:tblCellMar>
          <w:top w:w="0" w:type="dxa"/>
          <w:left w:w="108" w:type="dxa"/>
          <w:bottom w:w="49" w:type="dxa"/>
          <w:right w:w="115" w:type="dxa"/>
        </w:tblCellMar>
      </w:tblPr>
      <w:tblGrid>
        <w:gridCol w:w="743"/>
        <w:gridCol w:w="2461"/>
        <w:gridCol w:w="5216"/>
      </w:tblGrid>
      <w:tr>
        <w:tblPrEx>
          <w:tblLayout w:type="fixed"/>
          <w:tblCellMar>
            <w:top w:w="0" w:type="dxa"/>
            <w:left w:w="108" w:type="dxa"/>
            <w:bottom w:w="49" w:type="dxa"/>
            <w:right w:w="115" w:type="dxa"/>
          </w:tblCellMar>
        </w:tblPrEx>
        <w:trPr>
          <w:trHeight w:val="478"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center"/>
              <w:textAlignment w:val="auto"/>
              <w:rPr>
                <w:rFonts w:hint="eastAsia" w:ascii="仿宋" w:hAnsi="仿宋" w:eastAsia="仿宋" w:cs="仿宋"/>
                <w:b/>
                <w:color w:val="auto"/>
                <w:sz w:val="20"/>
                <w:szCs w:val="20"/>
                <w:highlight w:val="none"/>
              </w:rPr>
            </w:pPr>
            <w:bookmarkStart w:id="9" w:name="_Hlk503262599"/>
            <w:r>
              <w:rPr>
                <w:rFonts w:hint="eastAsia" w:ascii="仿宋" w:hAnsi="仿宋" w:eastAsia="仿宋" w:cs="仿宋"/>
                <w:b/>
                <w:color w:val="auto"/>
                <w:sz w:val="20"/>
                <w:szCs w:val="20"/>
                <w:highlight w:val="none"/>
              </w:rPr>
              <w:t>条款号</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center"/>
              <w:textAlignment w:val="auto"/>
              <w:rPr>
                <w:rFonts w:hint="eastAsia" w:ascii="仿宋" w:hAnsi="仿宋" w:eastAsia="仿宋" w:cs="仿宋"/>
                <w:b/>
                <w:color w:val="auto"/>
                <w:sz w:val="20"/>
                <w:szCs w:val="20"/>
                <w:highlight w:val="none"/>
              </w:rPr>
            </w:pPr>
            <w:r>
              <w:rPr>
                <w:rFonts w:hint="eastAsia" w:ascii="仿宋" w:hAnsi="仿宋" w:eastAsia="仿宋" w:cs="仿宋"/>
                <w:b/>
                <w:color w:val="auto"/>
                <w:sz w:val="20"/>
                <w:szCs w:val="20"/>
                <w:highlight w:val="none"/>
              </w:rPr>
              <w:t>条款名称</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center"/>
              <w:textAlignment w:val="auto"/>
              <w:rPr>
                <w:rFonts w:hint="eastAsia" w:ascii="仿宋" w:hAnsi="仿宋" w:eastAsia="仿宋" w:cs="仿宋"/>
                <w:b/>
                <w:color w:val="auto"/>
                <w:sz w:val="20"/>
                <w:szCs w:val="20"/>
                <w:highlight w:val="none"/>
              </w:rPr>
            </w:pPr>
            <w:r>
              <w:rPr>
                <w:rFonts w:hint="eastAsia" w:ascii="仿宋" w:hAnsi="仿宋" w:eastAsia="仿宋" w:cs="仿宋"/>
                <w:b/>
                <w:color w:val="auto"/>
                <w:sz w:val="20"/>
                <w:szCs w:val="20"/>
                <w:highlight w:val="none"/>
              </w:rPr>
              <w:t>编列内容</w:t>
            </w:r>
          </w:p>
        </w:tc>
      </w:tr>
      <w:bookmarkEnd w:id="9"/>
      <w:tr>
        <w:tblPrEx>
          <w:tblLayout w:type="fixed"/>
          <w:tblCellMar>
            <w:top w:w="0" w:type="dxa"/>
            <w:left w:w="108" w:type="dxa"/>
            <w:bottom w:w="49" w:type="dxa"/>
            <w:right w:w="115" w:type="dxa"/>
          </w:tblCellMar>
        </w:tblPrEx>
        <w:trPr>
          <w:trHeight w:val="833"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1.1.</w:t>
            </w:r>
            <w:r>
              <w:rPr>
                <w:rFonts w:hint="eastAsia" w:ascii="仿宋" w:hAnsi="仿宋" w:eastAsia="仿宋" w:cs="仿宋"/>
                <w:color w:val="auto"/>
                <w:sz w:val="20"/>
                <w:szCs w:val="20"/>
                <w:highlight w:val="none"/>
                <w:lang w:val="en-US" w:eastAsia="zh-CN"/>
              </w:rPr>
              <w:t>1</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采购人</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color w:val="auto"/>
                <w:sz w:val="20"/>
                <w:szCs w:val="20"/>
                <w:highlight w:val="none"/>
              </w:rPr>
              <w:t>名称：</w:t>
            </w:r>
            <w:r>
              <w:rPr>
                <w:rFonts w:hint="eastAsia" w:ascii="仿宋" w:hAnsi="仿宋" w:eastAsia="仿宋" w:cs="仿宋"/>
                <w:b w:val="0"/>
                <w:bCs w:val="0"/>
                <w:color w:val="auto"/>
                <w:sz w:val="20"/>
                <w:szCs w:val="20"/>
                <w:highlight w:val="none"/>
                <w:lang w:val="en-US" w:eastAsia="zh-CN"/>
              </w:rPr>
              <w:t>玛纳斯县农业农村局</w:t>
            </w:r>
          </w:p>
          <w:p>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shd w:val="clear" w:color="auto" w:fill="FFFFFF"/>
                <w:lang w:val="en-US" w:eastAsia="zh-CN"/>
              </w:rPr>
            </w:pPr>
            <w:r>
              <w:rPr>
                <w:rFonts w:hint="eastAsia" w:ascii="仿宋" w:hAnsi="仿宋" w:eastAsia="仿宋" w:cs="仿宋"/>
                <w:color w:val="auto"/>
                <w:kern w:val="2"/>
                <w:sz w:val="20"/>
                <w:szCs w:val="20"/>
                <w:highlight w:val="none"/>
                <w:lang w:val="en-US" w:eastAsia="zh-CN" w:bidi="ar-SA"/>
              </w:rPr>
              <w:t xml:space="preserve">联系人：邵栓        电话：15769000978                </w:t>
            </w:r>
          </w:p>
        </w:tc>
      </w:tr>
      <w:tr>
        <w:tblPrEx>
          <w:tblLayout w:type="fixed"/>
          <w:tblCellMar>
            <w:top w:w="0" w:type="dxa"/>
            <w:left w:w="108" w:type="dxa"/>
            <w:bottom w:w="49" w:type="dxa"/>
            <w:right w:w="115" w:type="dxa"/>
          </w:tblCellMar>
        </w:tblPrEx>
        <w:trPr>
          <w:trHeight w:val="833"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1.1.</w:t>
            </w:r>
            <w:r>
              <w:rPr>
                <w:rFonts w:hint="eastAsia" w:ascii="仿宋" w:hAnsi="仿宋" w:eastAsia="仿宋" w:cs="仿宋"/>
                <w:color w:val="auto"/>
                <w:sz w:val="20"/>
                <w:szCs w:val="20"/>
                <w:highlight w:val="none"/>
                <w:lang w:val="en-US" w:eastAsia="zh-CN"/>
              </w:rPr>
              <w:t>2</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代理机构</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0"/>
                <w:szCs w:val="20"/>
                <w:highlight w:val="none"/>
              </w:rPr>
              <w:t>名称：</w:t>
            </w:r>
            <w:r>
              <w:rPr>
                <w:rFonts w:hint="eastAsia" w:ascii="仿宋" w:hAnsi="仿宋" w:eastAsia="仿宋" w:cs="仿宋"/>
                <w:b w:val="0"/>
                <w:bCs w:val="0"/>
                <w:color w:val="auto"/>
                <w:sz w:val="20"/>
                <w:szCs w:val="20"/>
                <w:highlight w:val="none"/>
                <w:lang w:val="en-US" w:eastAsia="zh-CN"/>
              </w:rPr>
              <w:t>新疆新诚达项目管理有限公司</w:t>
            </w:r>
          </w:p>
          <w:p>
            <w:pPr>
              <w:pStyle w:val="4"/>
              <w:pageBreakBefore w:val="0"/>
              <w:numPr>
                <w:ilvl w:val="0"/>
                <w:numId w:val="0"/>
              </w:numPr>
              <w:kinsoku/>
              <w:wordWrap/>
              <w:overflowPunct/>
              <w:topLinePunct w:val="0"/>
              <w:bidi w:val="0"/>
              <w:spacing w:beforeAutospacing="0" w:after="0" w:afterAutospacing="0" w:line="360" w:lineRule="auto"/>
              <w:ind w:left="0" w:leftChars="0" w:right="0" w:firstLine="0" w:firstLineChars="0"/>
              <w:jc w:val="left"/>
              <w:textAlignment w:val="auto"/>
              <w:rPr>
                <w:rFonts w:hint="default" w:ascii="仿宋" w:hAnsi="仿宋" w:eastAsia="仿宋" w:cs="仿宋"/>
                <w:color w:val="auto"/>
                <w:sz w:val="20"/>
                <w:szCs w:val="20"/>
                <w:highlight w:val="none"/>
                <w:lang w:val="en-US" w:eastAsia="zh-CN"/>
              </w:rPr>
            </w:pPr>
            <w:r>
              <w:rPr>
                <w:rFonts w:hint="eastAsia" w:ascii="仿宋" w:hAnsi="仿宋" w:eastAsia="仿宋" w:cs="仿宋"/>
                <w:b w:val="0"/>
                <w:bCs w:val="0"/>
                <w:color w:val="auto"/>
                <w:sz w:val="20"/>
                <w:szCs w:val="20"/>
                <w:highlight w:val="none"/>
                <w:lang w:eastAsia="zh-CN"/>
              </w:rPr>
              <w:t>联系人</w:t>
            </w:r>
            <w:r>
              <w:rPr>
                <w:rFonts w:hint="eastAsia" w:ascii="仿宋" w:hAnsi="仿宋" w:eastAsia="仿宋" w:cs="仿宋"/>
                <w:b w:val="0"/>
                <w:bCs w:val="0"/>
                <w:color w:val="auto"/>
                <w:kern w:val="2"/>
                <w:sz w:val="20"/>
                <w:szCs w:val="20"/>
                <w:highlight w:val="none"/>
                <w:lang w:val="en-US" w:eastAsia="zh-CN" w:bidi="ar-SA"/>
              </w:rPr>
              <w:t>：张梦云       电话</w:t>
            </w:r>
            <w:r>
              <w:rPr>
                <w:rFonts w:hint="eastAsia" w:ascii="仿宋" w:hAnsi="仿宋" w:eastAsia="仿宋" w:cs="仿宋"/>
                <w:b w:val="0"/>
                <w:bCs w:val="0"/>
                <w:color w:val="auto"/>
                <w:sz w:val="20"/>
                <w:szCs w:val="20"/>
                <w:highlight w:val="none"/>
                <w:lang w:eastAsia="zh-CN"/>
              </w:rPr>
              <w:t>：</w:t>
            </w:r>
            <w:r>
              <w:rPr>
                <w:rFonts w:hint="eastAsia" w:ascii="仿宋" w:hAnsi="仿宋" w:eastAsia="仿宋" w:cs="仿宋"/>
                <w:b w:val="0"/>
                <w:bCs w:val="0"/>
                <w:color w:val="auto"/>
                <w:sz w:val="20"/>
                <w:szCs w:val="20"/>
                <w:highlight w:val="none"/>
                <w:shd w:val="clear"/>
                <w:lang w:val="en-US" w:eastAsia="zh-CN"/>
              </w:rPr>
              <w:t>13109010885</w:t>
            </w:r>
          </w:p>
        </w:tc>
      </w:tr>
      <w:tr>
        <w:tblPrEx>
          <w:tblLayout w:type="fixed"/>
          <w:tblCellMar>
            <w:top w:w="0" w:type="dxa"/>
            <w:left w:w="108" w:type="dxa"/>
            <w:bottom w:w="49" w:type="dxa"/>
            <w:right w:w="115" w:type="dxa"/>
          </w:tblCellMar>
        </w:tblPrEx>
        <w:trPr>
          <w:trHeight w:val="466"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1.1.</w:t>
            </w:r>
            <w:r>
              <w:rPr>
                <w:rFonts w:hint="eastAsia" w:ascii="仿宋" w:hAnsi="仿宋" w:eastAsia="仿宋" w:cs="仿宋"/>
                <w:color w:val="auto"/>
                <w:sz w:val="20"/>
                <w:szCs w:val="20"/>
                <w:highlight w:val="none"/>
                <w:lang w:val="en-US" w:eastAsia="zh-CN"/>
              </w:rPr>
              <w:t>3</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项目名称</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玛纳斯县2023年1.84万亩高标准农田建设项目资料管理</w:t>
            </w:r>
          </w:p>
        </w:tc>
      </w:tr>
      <w:tr>
        <w:tblPrEx>
          <w:tblLayout w:type="fixed"/>
          <w:tblCellMar>
            <w:top w:w="0" w:type="dxa"/>
            <w:left w:w="108" w:type="dxa"/>
            <w:bottom w:w="49" w:type="dxa"/>
            <w:right w:w="115" w:type="dxa"/>
          </w:tblCellMar>
        </w:tblPrEx>
        <w:trPr>
          <w:trHeight w:val="515"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1.1.</w:t>
            </w:r>
            <w:r>
              <w:rPr>
                <w:rFonts w:hint="eastAsia" w:ascii="仿宋" w:hAnsi="仿宋" w:eastAsia="仿宋" w:cs="仿宋"/>
                <w:color w:val="auto"/>
                <w:sz w:val="20"/>
                <w:szCs w:val="20"/>
                <w:highlight w:val="none"/>
                <w:lang w:val="en-US" w:eastAsia="zh-CN"/>
              </w:rPr>
              <w:t>4</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项目建设地点</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玛纳斯县</w:t>
            </w:r>
          </w:p>
        </w:tc>
      </w:tr>
      <w:tr>
        <w:tblPrEx>
          <w:tblLayout w:type="fixed"/>
          <w:tblCellMar>
            <w:top w:w="0" w:type="dxa"/>
            <w:left w:w="108" w:type="dxa"/>
            <w:bottom w:w="49" w:type="dxa"/>
            <w:right w:w="115" w:type="dxa"/>
          </w:tblCellMar>
        </w:tblPrEx>
        <w:trPr>
          <w:trHeight w:val="446"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1.1.</w:t>
            </w:r>
            <w:r>
              <w:rPr>
                <w:rFonts w:hint="eastAsia" w:ascii="仿宋" w:hAnsi="仿宋" w:eastAsia="仿宋" w:cs="仿宋"/>
                <w:color w:val="auto"/>
                <w:sz w:val="20"/>
                <w:szCs w:val="20"/>
                <w:highlight w:val="none"/>
                <w:lang w:val="en-US" w:eastAsia="zh-CN"/>
              </w:rPr>
              <w:t>5</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项目建设规模</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color w:val="auto"/>
                <w:sz w:val="20"/>
                <w:szCs w:val="20"/>
                <w:highlight w:val="none"/>
                <w:lang w:val="en-US" w:eastAsia="zh-CN"/>
              </w:rPr>
              <w:t>玛纳斯县2023年1.84万亩高标准农田建设项目资料管理</w:t>
            </w:r>
          </w:p>
        </w:tc>
      </w:tr>
      <w:tr>
        <w:tblPrEx>
          <w:tblLayout w:type="fixed"/>
          <w:tblCellMar>
            <w:top w:w="0" w:type="dxa"/>
            <w:left w:w="108" w:type="dxa"/>
            <w:bottom w:w="49" w:type="dxa"/>
            <w:right w:w="115" w:type="dxa"/>
          </w:tblCellMar>
        </w:tblPrEx>
        <w:trPr>
          <w:trHeight w:val="466"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1.1.</w:t>
            </w:r>
            <w:r>
              <w:rPr>
                <w:rFonts w:hint="eastAsia" w:ascii="仿宋" w:hAnsi="仿宋" w:eastAsia="仿宋" w:cs="仿宋"/>
                <w:color w:val="auto"/>
                <w:sz w:val="20"/>
                <w:szCs w:val="20"/>
                <w:highlight w:val="none"/>
                <w:lang w:val="en-US" w:eastAsia="zh-CN"/>
              </w:rPr>
              <w:t>6</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项目投资估算</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50000.00元</w:t>
            </w:r>
          </w:p>
        </w:tc>
      </w:tr>
      <w:tr>
        <w:tblPrEx>
          <w:tblLayout w:type="fixed"/>
          <w:tblCellMar>
            <w:top w:w="0" w:type="dxa"/>
            <w:left w:w="108" w:type="dxa"/>
            <w:bottom w:w="49" w:type="dxa"/>
            <w:right w:w="115" w:type="dxa"/>
          </w:tblCellMar>
        </w:tblPrEx>
        <w:trPr>
          <w:trHeight w:val="466"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1.2.1</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资金来源及比例</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b w:val="0"/>
                <w:bCs w:val="0"/>
                <w:color w:val="auto"/>
                <w:sz w:val="20"/>
                <w:szCs w:val="20"/>
                <w:highlight w:val="none"/>
                <w:lang w:val="en-US" w:eastAsia="zh-CN"/>
              </w:rPr>
            </w:pPr>
            <w:r>
              <w:rPr>
                <w:rFonts w:hint="eastAsia" w:ascii="仿宋" w:hAnsi="仿宋" w:eastAsia="仿宋" w:cs="仿宋"/>
                <w:b w:val="0"/>
                <w:bCs w:val="0"/>
                <w:color w:val="auto"/>
                <w:sz w:val="20"/>
                <w:szCs w:val="20"/>
                <w:highlight w:val="none"/>
                <w:lang w:val="en-US" w:eastAsia="zh-CN"/>
              </w:rPr>
              <w:t>上级补助资金、100%</w:t>
            </w:r>
          </w:p>
        </w:tc>
      </w:tr>
      <w:tr>
        <w:tblPrEx>
          <w:tblLayout w:type="fixed"/>
          <w:tblCellMar>
            <w:top w:w="0" w:type="dxa"/>
            <w:left w:w="108" w:type="dxa"/>
            <w:bottom w:w="49" w:type="dxa"/>
            <w:right w:w="115" w:type="dxa"/>
          </w:tblCellMar>
        </w:tblPrEx>
        <w:trPr>
          <w:trHeight w:val="446"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1.2.2</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资金落实情况</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b w:val="0"/>
                <w:bCs w:val="0"/>
                <w:color w:val="auto"/>
                <w:sz w:val="20"/>
                <w:szCs w:val="20"/>
                <w:highlight w:val="none"/>
                <w:lang w:eastAsia="zh-CN"/>
              </w:rPr>
            </w:pPr>
            <w:r>
              <w:rPr>
                <w:rFonts w:hint="eastAsia" w:ascii="仿宋" w:hAnsi="仿宋" w:eastAsia="仿宋" w:cs="仿宋"/>
                <w:b w:val="0"/>
                <w:bCs w:val="0"/>
                <w:color w:val="auto"/>
                <w:sz w:val="20"/>
                <w:szCs w:val="20"/>
                <w:highlight w:val="none"/>
                <w:lang w:eastAsia="zh-CN"/>
              </w:rPr>
              <w:t>已落实</w:t>
            </w:r>
          </w:p>
        </w:tc>
      </w:tr>
      <w:tr>
        <w:tblPrEx>
          <w:tblLayout w:type="fixed"/>
          <w:tblCellMar>
            <w:top w:w="0" w:type="dxa"/>
            <w:left w:w="108" w:type="dxa"/>
            <w:bottom w:w="49" w:type="dxa"/>
            <w:right w:w="115" w:type="dxa"/>
          </w:tblCellMar>
        </w:tblPrEx>
        <w:trPr>
          <w:trHeight w:val="598"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1.3.1</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招标范围</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b w:val="0"/>
                <w:bCs w:val="0"/>
                <w:color w:val="auto"/>
                <w:sz w:val="20"/>
                <w:szCs w:val="20"/>
                <w:highlight w:val="none"/>
                <w:lang w:eastAsia="zh-CN"/>
              </w:rPr>
            </w:pPr>
            <w:r>
              <w:rPr>
                <w:rFonts w:hint="eastAsia" w:ascii="仿宋" w:hAnsi="仿宋" w:eastAsia="仿宋" w:cs="仿宋"/>
                <w:color w:val="auto"/>
                <w:sz w:val="20"/>
                <w:szCs w:val="20"/>
                <w:highlight w:val="none"/>
                <w:lang w:val="en-US" w:eastAsia="zh-CN"/>
              </w:rPr>
              <w:t>玛纳斯县2023年1.84万亩高标准农田建设项目资料管理</w:t>
            </w:r>
          </w:p>
        </w:tc>
      </w:tr>
      <w:tr>
        <w:tblPrEx>
          <w:tblLayout w:type="fixed"/>
          <w:tblCellMar>
            <w:top w:w="0" w:type="dxa"/>
            <w:left w:w="108" w:type="dxa"/>
            <w:bottom w:w="49" w:type="dxa"/>
            <w:right w:w="115" w:type="dxa"/>
          </w:tblCellMar>
        </w:tblPrEx>
        <w:trPr>
          <w:trHeight w:val="833"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1.3.2</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工期要求</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zh-CN"/>
              </w:rPr>
              <w:t>自合同签订之日起至玛纳斯县2023年1.84万亩高标准农田建设项目竣工验收合格完成并出具完整资料后移交全部资料至采购人为止</w:t>
            </w:r>
          </w:p>
        </w:tc>
      </w:tr>
      <w:tr>
        <w:tblPrEx>
          <w:tblLayout w:type="fixed"/>
          <w:tblCellMar>
            <w:top w:w="0" w:type="dxa"/>
            <w:left w:w="108" w:type="dxa"/>
            <w:bottom w:w="49" w:type="dxa"/>
            <w:right w:w="115" w:type="dxa"/>
          </w:tblCellMar>
        </w:tblPrEx>
        <w:trPr>
          <w:trHeight w:val="446"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1.3.3</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质量标准</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合格</w:t>
            </w:r>
          </w:p>
        </w:tc>
      </w:tr>
      <w:tr>
        <w:tblPrEx>
          <w:tblLayout w:type="fixed"/>
          <w:tblCellMar>
            <w:top w:w="0" w:type="dxa"/>
            <w:left w:w="108" w:type="dxa"/>
            <w:bottom w:w="49" w:type="dxa"/>
            <w:right w:w="115" w:type="dxa"/>
          </w:tblCellMar>
        </w:tblPrEx>
        <w:trPr>
          <w:trHeight w:val="446" w:hRule="atLeast"/>
        </w:trPr>
        <w:tc>
          <w:tcPr>
            <w:tcW w:w="7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1.4.1</w:t>
            </w:r>
          </w:p>
        </w:tc>
        <w:tc>
          <w:tcPr>
            <w:tcW w:w="2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供应商资质条件、能力、信誉</w:t>
            </w:r>
          </w:p>
        </w:tc>
        <w:tc>
          <w:tcPr>
            <w:tcW w:w="5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sz w:val="20"/>
                <w:szCs w:val="20"/>
                <w:highlight w:val="none"/>
                <w:lang w:val="zh-CN"/>
              </w:rPr>
            </w:pPr>
            <w:r>
              <w:rPr>
                <w:rFonts w:hint="eastAsia" w:ascii="仿宋" w:hAnsi="仿宋" w:eastAsia="仿宋" w:cs="仿宋"/>
                <w:color w:val="auto"/>
                <w:sz w:val="20"/>
                <w:szCs w:val="20"/>
                <w:highlight w:val="none"/>
                <w:lang w:val="en-US" w:eastAsia="zh-CN"/>
              </w:rPr>
              <w:t>1.满足《中华人民共和国政府采购法》第二十二条规定；</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落实政府采购政策需满足的资格要求：（1）执行财政部工业和信息化部关于印发《政府采购促进中小企业发展管理办法》财库〔2020〕46号的通知中的相关规定。（2）《财政部、司法部关于政府采购支持监狱企业发展有关问题的通知》（财库〔2014〕68号）；（3）《国务院办公厅关于建立政府强制采购节能产品制度的通知》（国办发〔2007〕51号）；（4）《财政部、民政部、中国残疾人联合会关于促进残疾人就业政府采购政策的通知》财库〔2017〕141号；</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sz w:val="20"/>
                <w:szCs w:val="20"/>
                <w:highlight w:val="none"/>
                <w:lang w:val="zh-CN"/>
              </w:rPr>
            </w:pPr>
            <w:r>
              <w:rPr>
                <w:rFonts w:hint="eastAsia" w:ascii="仿宋" w:hAnsi="仿宋" w:eastAsia="仿宋" w:cs="仿宋"/>
                <w:color w:val="auto"/>
                <w:sz w:val="20"/>
                <w:szCs w:val="20"/>
                <w:highlight w:val="none"/>
                <w:lang w:val="en-US" w:eastAsia="zh-CN"/>
              </w:rPr>
              <w:t>3.本项目的特定资格要求：</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（1）供应商必须是中华人民共和国境内注册的，具有独立法人资格的企业；</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有效的工商营业执照副本原件、税务登记证副本原件、组织机构代码证副本原件或“三证合一”的营业执照副本原件或当地公证处出具的此资质的公证书原件，且营业范围满足本项目需求具有相关经营范围（档案整理服务等方面并具有相应的服务能力），疆外企业提供新疆维吾尔自治区区外进疆企业信息报送手册；</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（3）供应商近三年自2020年1月1日至今同类项目业绩（同类项目指档案整理服务等方面）；</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供应商近三年在“信用中国”网站（www.creditchina.gov.cn）和中国政府采购网（www.ccgp.gov.cn）未被列入失信被执行人、重大税收违法失信主体、政府采购严重违法失信行为记录名单，并在“中国裁判文书网”（http://wenshu.court.gov.cn/）无行贿犯罪记录；</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（5）单位负责人为同一人或者存在直接控股、管理关系的不同供应商，不得参加同一合同项下的政府采购活动；</w:t>
            </w:r>
          </w:p>
          <w:p>
            <w:pPr>
              <w:keepNext w:val="0"/>
              <w:keepLines w:val="0"/>
              <w:pageBreakBefore w:val="0"/>
              <w:widowControl/>
              <w:suppressLineNumbers w:val="0"/>
              <w:kinsoku/>
              <w:wordWrap/>
              <w:overflowPunct/>
              <w:topLinePunct w:val="0"/>
              <w:autoSpaceDE/>
              <w:autoSpaceDN/>
              <w:bidi w:val="0"/>
              <w:adjustRightInd/>
              <w:snapToGrid/>
              <w:spacing w:after="0" w:line="360" w:lineRule="auto"/>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（6）具有良好的商业信誉和健全的财务会计制度。</w:t>
            </w:r>
          </w:p>
        </w:tc>
      </w:tr>
    </w:tbl>
    <w:tbl>
      <w:tblPr>
        <w:tblStyle w:val="24"/>
        <w:tblpPr w:leftFromText="180" w:rightFromText="180" w:vertAnchor="text" w:horzAnchor="margin" w:tblpX="-40" w:tblpY="14"/>
        <w:tblW w:w="8380" w:type="dxa"/>
        <w:tblInd w:w="0" w:type="dxa"/>
        <w:tblLayout w:type="fixed"/>
        <w:tblCellMar>
          <w:top w:w="0" w:type="dxa"/>
          <w:left w:w="108" w:type="dxa"/>
          <w:bottom w:w="49" w:type="dxa"/>
          <w:right w:w="115" w:type="dxa"/>
        </w:tblCellMar>
      </w:tblPr>
      <w:tblGrid>
        <w:gridCol w:w="730"/>
        <w:gridCol w:w="2447"/>
        <w:gridCol w:w="5203"/>
      </w:tblGrid>
      <w:tr>
        <w:tblPrEx>
          <w:tblLayout w:type="fixed"/>
        </w:tblPrEx>
        <w:trPr>
          <w:trHeight w:val="532"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1.4.2</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是否接受联合体投标</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不接受</w:t>
            </w:r>
          </w:p>
        </w:tc>
      </w:tr>
      <w:tr>
        <w:tblPrEx>
          <w:tblLayout w:type="fixed"/>
          <w:tblCellMar>
            <w:top w:w="0" w:type="dxa"/>
            <w:left w:w="108" w:type="dxa"/>
            <w:bottom w:w="49" w:type="dxa"/>
            <w:right w:w="115" w:type="dxa"/>
          </w:tblCellMar>
        </w:tblPrEx>
        <w:trPr>
          <w:trHeight w:val="83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1.4.3</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供应商不得存在的其他情形</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竞争性磋商“供应商须知总则第1.4.3条”的规定</w:t>
            </w:r>
          </w:p>
        </w:tc>
      </w:tr>
      <w:tr>
        <w:tblPrEx>
          <w:tblLayout w:type="fixed"/>
          <w:tblCellMar>
            <w:top w:w="0" w:type="dxa"/>
            <w:left w:w="108" w:type="dxa"/>
            <w:bottom w:w="49" w:type="dxa"/>
            <w:right w:w="115" w:type="dxa"/>
          </w:tblCellMar>
        </w:tblPrEx>
        <w:trPr>
          <w:trHeight w:val="526"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1.5.1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踏勘现场</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不组织</w:t>
            </w:r>
          </w:p>
        </w:tc>
      </w:tr>
      <w:tr>
        <w:tblPrEx>
          <w:tblLayout w:type="fixed"/>
          <w:tblCellMar>
            <w:top w:w="0" w:type="dxa"/>
            <w:left w:w="108" w:type="dxa"/>
            <w:bottom w:w="49" w:type="dxa"/>
            <w:right w:w="115" w:type="dxa"/>
          </w:tblCellMar>
        </w:tblPrEx>
        <w:trPr>
          <w:trHeight w:val="532"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1.6.1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投标预备会</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不召开</w:t>
            </w:r>
          </w:p>
        </w:tc>
      </w:tr>
      <w:tr>
        <w:tblPrEx>
          <w:tblLayout w:type="fixed"/>
          <w:tblCellMar>
            <w:top w:w="0" w:type="dxa"/>
            <w:left w:w="108" w:type="dxa"/>
            <w:bottom w:w="49" w:type="dxa"/>
            <w:right w:w="115" w:type="dxa"/>
          </w:tblCellMar>
        </w:tblPrEx>
        <w:trPr>
          <w:trHeight w:val="532"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1.7.1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分包</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不允许</w:t>
            </w:r>
          </w:p>
        </w:tc>
      </w:tr>
      <w:tr>
        <w:tblPrEx>
          <w:tblLayout w:type="fixed"/>
          <w:tblCellMar>
            <w:top w:w="0" w:type="dxa"/>
            <w:left w:w="108" w:type="dxa"/>
            <w:bottom w:w="49" w:type="dxa"/>
            <w:right w:w="115" w:type="dxa"/>
          </w:tblCellMar>
        </w:tblPrEx>
        <w:trPr>
          <w:trHeight w:val="532"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1.8.1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实质性要求和条件</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供应商不得偏差离竞争性磋商的实质性要求</w:t>
            </w:r>
          </w:p>
        </w:tc>
      </w:tr>
      <w:tr>
        <w:tblPrEx>
          <w:tblLayout w:type="fixed"/>
          <w:tblCellMar>
            <w:top w:w="0" w:type="dxa"/>
            <w:left w:w="108" w:type="dxa"/>
            <w:bottom w:w="49" w:type="dxa"/>
            <w:right w:w="115" w:type="dxa"/>
          </w:tblCellMar>
        </w:tblPrEx>
        <w:trPr>
          <w:trHeight w:val="532"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1.9.3</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偏差</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不允许</w:t>
            </w:r>
          </w:p>
        </w:tc>
      </w:tr>
      <w:tr>
        <w:tblPrEx>
          <w:tblLayout w:type="fixed"/>
          <w:tblCellMar>
            <w:top w:w="0" w:type="dxa"/>
            <w:left w:w="108" w:type="dxa"/>
            <w:bottom w:w="49" w:type="dxa"/>
            <w:right w:w="115" w:type="dxa"/>
          </w:tblCellMar>
        </w:tblPrEx>
        <w:trPr>
          <w:trHeight w:val="83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2.1.1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构成竞争性磋商的其他资料</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详见竞争性磋商</w:t>
            </w:r>
          </w:p>
        </w:tc>
      </w:tr>
      <w:tr>
        <w:tblPrEx>
          <w:tblLayout w:type="fixed"/>
          <w:tblCellMar>
            <w:top w:w="0" w:type="dxa"/>
            <w:left w:w="108" w:type="dxa"/>
            <w:bottom w:w="49" w:type="dxa"/>
            <w:right w:w="115" w:type="dxa"/>
          </w:tblCellMar>
        </w:tblPrEx>
        <w:trPr>
          <w:trHeight w:val="932" w:hRule="atLeast"/>
        </w:trPr>
        <w:tc>
          <w:tcPr>
            <w:tcW w:w="730" w:type="dxa"/>
            <w:vMerge w:val="restart"/>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.1</w:t>
            </w:r>
          </w:p>
        </w:tc>
        <w:tc>
          <w:tcPr>
            <w:tcW w:w="2447" w:type="dxa"/>
            <w:vMerge w:val="restart"/>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要求澄清竞争性磋商</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时间：</w:t>
            </w: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要求</w:t>
            </w:r>
            <w:r>
              <w:rPr>
                <w:rFonts w:hint="eastAsia" w:ascii="仿宋" w:hAnsi="仿宋" w:eastAsia="仿宋" w:cs="仿宋"/>
                <w:color w:val="auto"/>
                <w:sz w:val="20"/>
                <w:szCs w:val="20"/>
                <w:highlight w:val="none"/>
                <w:lang w:eastAsia="zh-CN"/>
              </w:rPr>
              <w:t>采购人</w:t>
            </w:r>
            <w:r>
              <w:rPr>
                <w:rFonts w:hint="eastAsia" w:ascii="仿宋" w:hAnsi="仿宋" w:eastAsia="仿宋" w:cs="仿宋"/>
                <w:color w:val="auto"/>
                <w:sz w:val="20"/>
                <w:szCs w:val="20"/>
                <w:highlight w:val="none"/>
              </w:rPr>
              <w:t>对已发出的竞争性磋商进行澄清的，应在投标截止时间的</w:t>
            </w:r>
            <w:r>
              <w:rPr>
                <w:rFonts w:hint="eastAsia" w:ascii="仿宋" w:hAnsi="仿宋" w:eastAsia="仿宋" w:cs="仿宋"/>
                <w:color w:val="auto"/>
                <w:sz w:val="20"/>
                <w:szCs w:val="20"/>
                <w:highlight w:val="none"/>
                <w:lang w:val="en-US" w:eastAsia="zh-CN"/>
              </w:rPr>
              <w:t>3</w:t>
            </w:r>
            <w:r>
              <w:rPr>
                <w:rFonts w:hint="eastAsia" w:ascii="仿宋" w:hAnsi="仿宋" w:eastAsia="仿宋" w:cs="仿宋"/>
                <w:color w:val="auto"/>
                <w:sz w:val="20"/>
                <w:szCs w:val="20"/>
                <w:highlight w:val="none"/>
              </w:rPr>
              <w:t>天前。</w:t>
            </w:r>
          </w:p>
        </w:tc>
      </w:tr>
      <w:tr>
        <w:tblPrEx>
          <w:tblLayout w:type="fixed"/>
          <w:tblCellMar>
            <w:top w:w="0" w:type="dxa"/>
            <w:left w:w="108" w:type="dxa"/>
            <w:bottom w:w="49" w:type="dxa"/>
            <w:right w:w="115" w:type="dxa"/>
          </w:tblCellMar>
        </w:tblPrEx>
        <w:trPr>
          <w:trHeight w:val="932" w:hRule="atLeast"/>
        </w:trPr>
        <w:tc>
          <w:tcPr>
            <w:tcW w:w="730" w:type="dxa"/>
            <w:vMerge w:val="continue"/>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p>
        </w:tc>
        <w:tc>
          <w:tcPr>
            <w:tcW w:w="2447" w:type="dxa"/>
            <w:vMerge w:val="continue"/>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形式：</w:t>
            </w: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将要求澄清的内容以书面形式送达</w:t>
            </w:r>
            <w:r>
              <w:rPr>
                <w:rFonts w:hint="eastAsia" w:ascii="仿宋" w:hAnsi="仿宋" w:eastAsia="仿宋" w:cs="仿宋"/>
                <w:color w:val="auto"/>
                <w:sz w:val="20"/>
                <w:szCs w:val="20"/>
                <w:highlight w:val="none"/>
                <w:lang w:eastAsia="zh-CN"/>
              </w:rPr>
              <w:t>采购人</w:t>
            </w:r>
            <w:r>
              <w:rPr>
                <w:rFonts w:hint="eastAsia" w:ascii="仿宋" w:hAnsi="仿宋" w:eastAsia="仿宋" w:cs="仿宋"/>
                <w:color w:val="auto"/>
                <w:sz w:val="20"/>
                <w:szCs w:val="20"/>
                <w:highlight w:val="none"/>
              </w:rPr>
              <w:t>（或招标代理机构）。</w:t>
            </w:r>
          </w:p>
        </w:tc>
      </w:tr>
      <w:tr>
        <w:tblPrEx>
          <w:tblLayout w:type="fixed"/>
          <w:tblCellMar>
            <w:top w:w="0" w:type="dxa"/>
            <w:left w:w="108" w:type="dxa"/>
            <w:bottom w:w="49" w:type="dxa"/>
            <w:right w:w="115" w:type="dxa"/>
          </w:tblCellMar>
        </w:tblPrEx>
        <w:trPr>
          <w:trHeight w:val="83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2.2.2</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竞争性磋商澄清发出的形式</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以书面形式发出</w:t>
            </w:r>
          </w:p>
        </w:tc>
      </w:tr>
      <w:tr>
        <w:tblPrEx>
          <w:tblLayout w:type="fixed"/>
          <w:tblCellMar>
            <w:top w:w="0" w:type="dxa"/>
            <w:left w:w="108" w:type="dxa"/>
            <w:bottom w:w="49" w:type="dxa"/>
            <w:right w:w="115" w:type="dxa"/>
          </w:tblCellMar>
        </w:tblPrEx>
        <w:trPr>
          <w:trHeight w:val="932"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2.2.3</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确认收到竞争性磋商澄清</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以书面形式回复确认函</w:t>
            </w:r>
          </w:p>
        </w:tc>
      </w:tr>
      <w:tr>
        <w:tblPrEx>
          <w:tblLayout w:type="fixed"/>
          <w:tblCellMar>
            <w:top w:w="0" w:type="dxa"/>
            <w:left w:w="108" w:type="dxa"/>
            <w:bottom w:w="49" w:type="dxa"/>
            <w:right w:w="115" w:type="dxa"/>
          </w:tblCellMar>
        </w:tblPrEx>
        <w:trPr>
          <w:trHeight w:val="83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竞争性磋商修改发出的形式</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以书面形式发出</w:t>
            </w:r>
          </w:p>
        </w:tc>
      </w:tr>
      <w:tr>
        <w:tblPrEx>
          <w:tblLayout w:type="fixed"/>
          <w:tblCellMar>
            <w:top w:w="0" w:type="dxa"/>
            <w:left w:w="108" w:type="dxa"/>
            <w:bottom w:w="49" w:type="dxa"/>
            <w:right w:w="115" w:type="dxa"/>
          </w:tblCellMar>
        </w:tblPrEx>
        <w:trPr>
          <w:trHeight w:val="932"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2.3.2</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确认收到竞争性磋商修改</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bidi="ar"/>
              </w:rPr>
              <w:t>以书面形式回复确认函</w:t>
            </w:r>
          </w:p>
        </w:tc>
      </w:tr>
      <w:tr>
        <w:tblPrEx>
          <w:tblLayout w:type="fixed"/>
          <w:tblCellMar>
            <w:top w:w="0" w:type="dxa"/>
            <w:left w:w="108" w:type="dxa"/>
            <w:bottom w:w="49" w:type="dxa"/>
            <w:right w:w="115" w:type="dxa"/>
          </w:tblCellMar>
        </w:tblPrEx>
        <w:trPr>
          <w:trHeight w:val="53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3.1.1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构成</w:t>
            </w:r>
            <w:r>
              <w:rPr>
                <w:rFonts w:hint="eastAsia" w:ascii="仿宋" w:hAnsi="仿宋" w:eastAsia="仿宋" w:cs="仿宋"/>
                <w:color w:val="auto"/>
                <w:sz w:val="20"/>
                <w:szCs w:val="20"/>
                <w:highlight w:val="none"/>
                <w:lang w:eastAsia="zh-CN"/>
              </w:rPr>
              <w:t>磋商文件</w:t>
            </w:r>
            <w:r>
              <w:rPr>
                <w:rFonts w:hint="eastAsia" w:ascii="仿宋" w:hAnsi="仿宋" w:eastAsia="仿宋" w:cs="仿宋"/>
                <w:color w:val="auto"/>
                <w:sz w:val="20"/>
                <w:szCs w:val="20"/>
                <w:highlight w:val="none"/>
              </w:rPr>
              <w:t>的其他资料</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详见竞争性磋商中的要求。</w:t>
            </w:r>
          </w:p>
        </w:tc>
      </w:tr>
      <w:tr>
        <w:tblPrEx>
          <w:tblLayout w:type="fixed"/>
          <w:tblCellMar>
            <w:top w:w="0" w:type="dxa"/>
            <w:left w:w="108" w:type="dxa"/>
            <w:bottom w:w="49" w:type="dxa"/>
            <w:right w:w="115" w:type="dxa"/>
          </w:tblCellMar>
        </w:tblPrEx>
        <w:trPr>
          <w:trHeight w:val="579"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3.2.1</w:t>
            </w:r>
          </w:p>
        </w:tc>
        <w:tc>
          <w:tcPr>
            <w:tcW w:w="24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增值税税金的计算方法</w:t>
            </w:r>
          </w:p>
        </w:tc>
        <w:tc>
          <w:tcPr>
            <w:tcW w:w="520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增值税税金按国家税务部门规定的一般计税方法计算。</w:t>
            </w:r>
          </w:p>
        </w:tc>
      </w:tr>
    </w:tbl>
    <w:tbl>
      <w:tblPr>
        <w:tblStyle w:val="24"/>
        <w:tblW w:w="8380" w:type="dxa"/>
        <w:tblInd w:w="-15" w:type="dxa"/>
        <w:tblLayout w:type="fixed"/>
        <w:tblCellMar>
          <w:top w:w="0" w:type="dxa"/>
          <w:left w:w="108" w:type="dxa"/>
          <w:bottom w:w="49" w:type="dxa"/>
          <w:right w:w="115" w:type="dxa"/>
        </w:tblCellMar>
      </w:tblPr>
      <w:tblGrid>
        <w:gridCol w:w="708"/>
        <w:gridCol w:w="2441"/>
        <w:gridCol w:w="5224"/>
        <w:gridCol w:w="7"/>
      </w:tblGrid>
      <w:tr>
        <w:tblPrEx>
          <w:tblLayout w:type="fixed"/>
          <w:tblCellMar>
            <w:top w:w="0" w:type="dxa"/>
            <w:left w:w="108" w:type="dxa"/>
            <w:bottom w:w="49" w:type="dxa"/>
            <w:right w:w="115" w:type="dxa"/>
          </w:tblCellMar>
        </w:tblPrEx>
        <w:trPr>
          <w:gridAfter w:val="1"/>
          <w:wAfter w:w="7" w:type="dxa"/>
          <w:trHeight w:val="543"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3.2.</w:t>
            </w:r>
            <w:r>
              <w:rPr>
                <w:rFonts w:hint="eastAsia" w:ascii="仿宋" w:hAnsi="仿宋" w:eastAsia="仿宋" w:cs="仿宋"/>
                <w:color w:val="auto"/>
                <w:sz w:val="20"/>
                <w:szCs w:val="20"/>
                <w:highlight w:val="none"/>
                <w:lang w:val="en-US" w:eastAsia="zh-CN"/>
              </w:rPr>
              <w:t>2</w:t>
            </w:r>
          </w:p>
        </w:tc>
        <w:tc>
          <w:tcPr>
            <w:tcW w:w="24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报价方式</w:t>
            </w:r>
          </w:p>
        </w:tc>
        <w:tc>
          <w:tcPr>
            <w:tcW w:w="52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固定价，以人民币作为计价。</w:t>
            </w:r>
          </w:p>
        </w:tc>
      </w:tr>
      <w:tr>
        <w:tblPrEx>
          <w:tblLayout w:type="fixed"/>
          <w:tblCellMar>
            <w:top w:w="0" w:type="dxa"/>
            <w:left w:w="108" w:type="dxa"/>
            <w:bottom w:w="49" w:type="dxa"/>
            <w:right w:w="115" w:type="dxa"/>
          </w:tblCellMar>
        </w:tblPrEx>
        <w:trPr>
          <w:gridAfter w:val="1"/>
          <w:wAfter w:w="7" w:type="dxa"/>
          <w:trHeight w:val="543"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3.2.</w:t>
            </w:r>
            <w:r>
              <w:rPr>
                <w:rFonts w:hint="eastAsia" w:ascii="仿宋" w:hAnsi="仿宋" w:eastAsia="仿宋" w:cs="仿宋"/>
                <w:color w:val="auto"/>
                <w:sz w:val="20"/>
                <w:szCs w:val="20"/>
                <w:highlight w:val="none"/>
                <w:lang w:val="en-US" w:eastAsia="zh-CN"/>
              </w:rPr>
              <w:t>3</w:t>
            </w:r>
          </w:p>
        </w:tc>
        <w:tc>
          <w:tcPr>
            <w:tcW w:w="24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最高限价</w:t>
            </w:r>
          </w:p>
        </w:tc>
        <w:tc>
          <w:tcPr>
            <w:tcW w:w="52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50000元</w:t>
            </w:r>
          </w:p>
        </w:tc>
      </w:tr>
      <w:tr>
        <w:tblPrEx>
          <w:tblLayout w:type="fixed"/>
          <w:tblCellMar>
            <w:top w:w="0" w:type="dxa"/>
            <w:left w:w="108" w:type="dxa"/>
            <w:bottom w:w="49" w:type="dxa"/>
            <w:right w:w="115" w:type="dxa"/>
          </w:tblCellMar>
        </w:tblPrEx>
        <w:trPr>
          <w:gridAfter w:val="1"/>
          <w:wAfter w:w="7" w:type="dxa"/>
          <w:trHeight w:val="543"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3.2.</w:t>
            </w:r>
            <w:r>
              <w:rPr>
                <w:rFonts w:hint="eastAsia" w:ascii="仿宋" w:hAnsi="仿宋" w:eastAsia="仿宋" w:cs="仿宋"/>
                <w:color w:val="auto"/>
                <w:sz w:val="20"/>
                <w:szCs w:val="20"/>
                <w:highlight w:val="none"/>
                <w:lang w:val="en-US" w:eastAsia="zh-CN"/>
              </w:rPr>
              <w:t>4</w:t>
            </w:r>
          </w:p>
        </w:tc>
        <w:tc>
          <w:tcPr>
            <w:tcW w:w="24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投标报价的其他要求</w:t>
            </w:r>
          </w:p>
        </w:tc>
        <w:tc>
          <w:tcPr>
            <w:tcW w:w="52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无</w:t>
            </w:r>
          </w:p>
        </w:tc>
      </w:tr>
      <w:tr>
        <w:tblPrEx>
          <w:tblLayout w:type="fixed"/>
          <w:tblCellMar>
            <w:top w:w="0" w:type="dxa"/>
            <w:left w:w="108" w:type="dxa"/>
            <w:bottom w:w="49" w:type="dxa"/>
            <w:right w:w="115" w:type="dxa"/>
          </w:tblCellMar>
        </w:tblPrEx>
        <w:trPr>
          <w:gridAfter w:val="1"/>
          <w:wAfter w:w="7" w:type="dxa"/>
          <w:trHeight w:val="543"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3.3.1</w:t>
            </w:r>
          </w:p>
        </w:tc>
        <w:tc>
          <w:tcPr>
            <w:tcW w:w="24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投标有效期</w:t>
            </w:r>
          </w:p>
        </w:tc>
        <w:tc>
          <w:tcPr>
            <w:tcW w:w="5224"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自投标截止时间止起：</w:t>
            </w:r>
            <w:r>
              <w:rPr>
                <w:rFonts w:hint="eastAsia" w:ascii="仿宋" w:hAnsi="仿宋" w:eastAsia="仿宋" w:cs="仿宋"/>
                <w:color w:val="auto"/>
                <w:sz w:val="20"/>
                <w:szCs w:val="20"/>
                <w:highlight w:val="none"/>
                <w:u w:val="single"/>
              </w:rPr>
              <w:t xml:space="preserve"> 90 </w:t>
            </w:r>
            <w:r>
              <w:rPr>
                <w:rFonts w:hint="eastAsia" w:ascii="仿宋" w:hAnsi="仿宋" w:eastAsia="仿宋" w:cs="仿宋"/>
                <w:color w:val="auto"/>
                <w:sz w:val="20"/>
                <w:szCs w:val="20"/>
                <w:highlight w:val="none"/>
              </w:rPr>
              <w:t>天</w:t>
            </w:r>
          </w:p>
        </w:tc>
      </w:tr>
      <w:tr>
        <w:tblPrEx>
          <w:tblLayout w:type="fixed"/>
          <w:tblCellMar>
            <w:top w:w="0" w:type="dxa"/>
            <w:left w:w="108" w:type="dxa"/>
            <w:bottom w:w="49" w:type="dxa"/>
            <w:right w:w="115" w:type="dxa"/>
          </w:tblCellMar>
        </w:tblPrEx>
        <w:trPr>
          <w:gridAfter w:val="1"/>
          <w:wAfter w:w="7" w:type="dxa"/>
          <w:trHeight w:val="889"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3.4.</w:t>
            </w:r>
            <w:r>
              <w:rPr>
                <w:rFonts w:hint="eastAsia" w:ascii="仿宋" w:hAnsi="仿宋" w:eastAsia="仿宋" w:cs="仿宋"/>
                <w:color w:val="auto"/>
                <w:sz w:val="20"/>
                <w:szCs w:val="20"/>
                <w:highlight w:val="none"/>
                <w:lang w:val="en-US" w:eastAsia="zh-CN"/>
              </w:rPr>
              <w:t>1</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其他可以不予退还投标保证金的情形</w:t>
            </w:r>
          </w:p>
        </w:tc>
        <w:tc>
          <w:tcPr>
            <w:tcW w:w="522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在其</w:t>
            </w:r>
            <w:r>
              <w:rPr>
                <w:rFonts w:hint="eastAsia" w:ascii="仿宋" w:hAnsi="仿宋" w:eastAsia="仿宋" w:cs="仿宋"/>
                <w:color w:val="auto"/>
                <w:sz w:val="20"/>
                <w:szCs w:val="20"/>
                <w:highlight w:val="none"/>
                <w:lang w:eastAsia="zh-CN"/>
              </w:rPr>
              <w:t>磋商文件</w:t>
            </w:r>
            <w:r>
              <w:rPr>
                <w:rFonts w:hint="eastAsia" w:ascii="仿宋" w:hAnsi="仿宋" w:eastAsia="仿宋" w:cs="仿宋"/>
                <w:color w:val="auto"/>
                <w:sz w:val="20"/>
                <w:szCs w:val="20"/>
                <w:highlight w:val="none"/>
              </w:rPr>
              <w:t>中提供虚假资料；</w:t>
            </w:r>
            <w:r>
              <w:rPr>
                <w:rFonts w:hint="eastAsia" w:ascii="仿宋" w:hAnsi="仿宋" w:eastAsia="仿宋" w:cs="仿宋"/>
                <w:color w:val="auto"/>
                <w:sz w:val="20"/>
                <w:szCs w:val="20"/>
                <w:highlight w:val="none"/>
                <w:lang w:eastAsia="zh-CN"/>
              </w:rPr>
              <w:t>采购人</w:t>
            </w:r>
            <w:r>
              <w:rPr>
                <w:rFonts w:hint="eastAsia" w:ascii="仿宋" w:hAnsi="仿宋" w:eastAsia="仿宋" w:cs="仿宋"/>
                <w:color w:val="auto"/>
                <w:sz w:val="20"/>
                <w:szCs w:val="20"/>
                <w:highlight w:val="none"/>
              </w:rPr>
              <w:t>未按国家规定的招标代理服务取费标准缴纳招标代理服务费用的。</w:t>
            </w:r>
          </w:p>
        </w:tc>
      </w:tr>
      <w:tr>
        <w:tblPrEx>
          <w:tblLayout w:type="fixed"/>
          <w:tblCellMar>
            <w:top w:w="0" w:type="dxa"/>
            <w:left w:w="108" w:type="dxa"/>
            <w:bottom w:w="49" w:type="dxa"/>
            <w:right w:w="115" w:type="dxa"/>
          </w:tblCellMar>
        </w:tblPrEx>
        <w:trPr>
          <w:gridAfter w:val="1"/>
          <w:wAfter w:w="7" w:type="dxa"/>
          <w:trHeight w:val="543"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3.5.2</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近年财务状况的年份要求</w:t>
            </w:r>
          </w:p>
        </w:tc>
        <w:tc>
          <w:tcPr>
            <w:tcW w:w="522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w:t>
            </w:r>
          </w:p>
        </w:tc>
      </w:tr>
      <w:tr>
        <w:tblPrEx>
          <w:tblLayout w:type="fixed"/>
          <w:tblCellMar>
            <w:top w:w="0" w:type="dxa"/>
            <w:left w:w="108" w:type="dxa"/>
            <w:bottom w:w="49" w:type="dxa"/>
            <w:right w:w="115" w:type="dxa"/>
          </w:tblCellMar>
        </w:tblPrEx>
        <w:trPr>
          <w:gridAfter w:val="1"/>
          <w:wAfter w:w="7" w:type="dxa"/>
          <w:trHeight w:val="849" w:hRule="atLeast"/>
        </w:trPr>
        <w:tc>
          <w:tcPr>
            <w:tcW w:w="708"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3.5.3</w:t>
            </w:r>
          </w:p>
        </w:tc>
        <w:tc>
          <w:tcPr>
            <w:tcW w:w="2441"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近年完成的类似项目时间要求</w:t>
            </w:r>
          </w:p>
        </w:tc>
        <w:tc>
          <w:tcPr>
            <w:tcW w:w="5224"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近</w:t>
            </w:r>
            <w:r>
              <w:rPr>
                <w:rFonts w:hint="eastAsia" w:ascii="仿宋" w:hAnsi="仿宋" w:eastAsia="仿宋" w:cs="仿宋"/>
                <w:color w:val="auto"/>
                <w:sz w:val="20"/>
                <w:szCs w:val="20"/>
                <w:highlight w:val="none"/>
                <w:lang w:val="en-US" w:eastAsia="zh-CN"/>
              </w:rPr>
              <w:t>三</w:t>
            </w:r>
            <w:r>
              <w:rPr>
                <w:rFonts w:hint="eastAsia" w:ascii="仿宋" w:hAnsi="仿宋" w:eastAsia="仿宋" w:cs="仿宋"/>
                <w:color w:val="auto"/>
                <w:sz w:val="20"/>
                <w:szCs w:val="20"/>
                <w:highlight w:val="none"/>
              </w:rPr>
              <w:t>年（从投标截止日往前推算）</w:t>
            </w:r>
          </w:p>
        </w:tc>
      </w:tr>
      <w:tr>
        <w:tblPrEx>
          <w:tblLayout w:type="fixed"/>
          <w:tblCellMar>
            <w:top w:w="0" w:type="dxa"/>
            <w:left w:w="108" w:type="dxa"/>
            <w:bottom w:w="49" w:type="dxa"/>
            <w:right w:w="115" w:type="dxa"/>
          </w:tblCellMar>
        </w:tblPrEx>
        <w:trPr>
          <w:gridAfter w:val="1"/>
          <w:wAfter w:w="7" w:type="dxa"/>
          <w:trHeight w:val="501" w:hRule="atLeast"/>
        </w:trPr>
        <w:tc>
          <w:tcPr>
            <w:tcW w:w="708"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3.5.5</w:t>
            </w:r>
          </w:p>
        </w:tc>
        <w:tc>
          <w:tcPr>
            <w:tcW w:w="2441"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近年发生的诉讼及仲裁</w:t>
            </w:r>
          </w:p>
        </w:tc>
        <w:tc>
          <w:tcPr>
            <w:tcW w:w="5224"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近三年（从投标截止日往前推算）</w:t>
            </w:r>
          </w:p>
        </w:tc>
      </w:tr>
      <w:tr>
        <w:tblPrEx>
          <w:tblLayout w:type="fixed"/>
          <w:tblCellMar>
            <w:top w:w="0" w:type="dxa"/>
            <w:left w:w="108" w:type="dxa"/>
            <w:bottom w:w="49" w:type="dxa"/>
            <w:right w:w="115" w:type="dxa"/>
          </w:tblCellMar>
        </w:tblPrEx>
        <w:trPr>
          <w:gridAfter w:val="1"/>
          <w:wAfter w:w="7" w:type="dxa"/>
          <w:trHeight w:val="849"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3.6.1</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是否允许递交备选投标方案</w:t>
            </w:r>
          </w:p>
        </w:tc>
        <w:tc>
          <w:tcPr>
            <w:tcW w:w="522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不允许</w:t>
            </w:r>
          </w:p>
        </w:tc>
      </w:tr>
      <w:tr>
        <w:tblPrEx>
          <w:tblLayout w:type="fixed"/>
          <w:tblCellMar>
            <w:top w:w="0" w:type="dxa"/>
            <w:left w:w="108" w:type="dxa"/>
            <w:bottom w:w="49" w:type="dxa"/>
            <w:right w:w="115" w:type="dxa"/>
          </w:tblCellMar>
        </w:tblPrEx>
        <w:trPr>
          <w:gridAfter w:val="1"/>
          <w:wAfter w:w="7" w:type="dxa"/>
          <w:trHeight w:val="2033" w:hRule="atLeast"/>
        </w:trPr>
        <w:tc>
          <w:tcPr>
            <w:tcW w:w="708"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3.7.</w:t>
            </w:r>
            <w:r>
              <w:rPr>
                <w:rFonts w:hint="eastAsia" w:ascii="仿宋" w:hAnsi="仿宋" w:eastAsia="仿宋" w:cs="仿宋"/>
                <w:color w:val="auto"/>
                <w:sz w:val="20"/>
                <w:szCs w:val="20"/>
                <w:highlight w:val="none"/>
                <w:lang w:val="en-US" w:eastAsia="zh-CN"/>
              </w:rPr>
              <w:t>1</w:t>
            </w:r>
          </w:p>
        </w:tc>
        <w:tc>
          <w:tcPr>
            <w:tcW w:w="2441"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rPr>
              <w:t>磋商文件</w:t>
            </w:r>
            <w:r>
              <w:rPr>
                <w:rFonts w:hint="eastAsia" w:ascii="仿宋" w:hAnsi="仿宋" w:eastAsia="仿宋" w:cs="仿宋"/>
                <w:color w:val="auto"/>
                <w:sz w:val="20"/>
                <w:szCs w:val="20"/>
                <w:highlight w:val="none"/>
              </w:rPr>
              <w:t>副本份数及其他要求</w:t>
            </w:r>
          </w:p>
        </w:tc>
        <w:tc>
          <w:tcPr>
            <w:tcW w:w="522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中标后须提交的投标文件：</w:t>
            </w:r>
          </w:p>
          <w:p>
            <w:pPr>
              <w:pageBreakBefore w:val="0"/>
              <w:numPr>
                <w:ilvl w:val="0"/>
                <w:numId w:val="3"/>
              </w:numPr>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在中标结果公示期结束后，中标单位必须提交3份纸质版投标文件，1份电子版(PDF格式的投标文件与EXCEL格式的工程量清单文件，U盘提交)给招标代理，费用由中标单位承担。</w:t>
            </w:r>
          </w:p>
          <w:p>
            <w:pPr>
              <w:pageBreakBefore w:val="0"/>
              <w:numPr>
                <w:ilvl w:val="0"/>
                <w:numId w:val="0"/>
              </w:numPr>
              <w:kinsoku/>
              <w:wordWrap/>
              <w:overflowPunct/>
              <w:topLinePunct w:val="0"/>
              <w:bidi w:val="0"/>
              <w:spacing w:beforeAutospacing="0" w:after="0" w:afterAutospacing="0" w:line="360" w:lineRule="auto"/>
              <w:ind w:leftChars="0" w:right="0" w:right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2)在合同签订后，提交的投标文件根据工程需要另行商榷，费用由中标单位承担。</w:t>
            </w:r>
          </w:p>
        </w:tc>
      </w:tr>
      <w:tr>
        <w:tblPrEx>
          <w:tblLayout w:type="fixed"/>
          <w:tblCellMar>
            <w:top w:w="0" w:type="dxa"/>
            <w:left w:w="108" w:type="dxa"/>
            <w:bottom w:w="49" w:type="dxa"/>
            <w:right w:w="115" w:type="dxa"/>
          </w:tblCellMar>
        </w:tblPrEx>
        <w:trPr>
          <w:trHeight w:val="666"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4.2.1</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磋商</w:t>
            </w:r>
            <w:r>
              <w:rPr>
                <w:rFonts w:hint="eastAsia" w:ascii="仿宋" w:hAnsi="仿宋" w:eastAsia="仿宋" w:cs="仿宋"/>
                <w:color w:val="auto"/>
                <w:sz w:val="20"/>
                <w:szCs w:val="20"/>
                <w:highlight w:val="none"/>
              </w:rPr>
              <w:t>截止时间</w:t>
            </w:r>
          </w:p>
        </w:tc>
        <w:tc>
          <w:tcPr>
            <w:tcW w:w="523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于</w:t>
            </w:r>
            <w:r>
              <w:rPr>
                <w:rFonts w:hint="eastAsia" w:ascii="仿宋" w:hAnsi="仿宋" w:eastAsia="仿宋" w:cs="仿宋"/>
                <w:color w:val="auto"/>
                <w:sz w:val="20"/>
                <w:szCs w:val="20"/>
                <w:highlight w:val="none"/>
                <w:lang w:val="zh-CN" w:eastAsia="zh-CN"/>
              </w:rPr>
              <w:t>202</w:t>
            </w:r>
            <w:r>
              <w:rPr>
                <w:rFonts w:hint="eastAsia" w:ascii="仿宋" w:hAnsi="仿宋" w:eastAsia="仿宋" w:cs="仿宋"/>
                <w:color w:val="auto"/>
                <w:sz w:val="20"/>
                <w:szCs w:val="20"/>
                <w:highlight w:val="none"/>
                <w:lang w:val="en-US" w:eastAsia="zh-CN"/>
              </w:rPr>
              <w:t>3</w:t>
            </w:r>
            <w:r>
              <w:rPr>
                <w:rFonts w:hint="eastAsia" w:ascii="仿宋" w:hAnsi="仿宋" w:eastAsia="仿宋" w:cs="仿宋"/>
                <w:color w:val="auto"/>
                <w:sz w:val="20"/>
                <w:szCs w:val="20"/>
                <w:highlight w:val="none"/>
                <w:lang w:val="zh-CN" w:eastAsia="zh-CN"/>
              </w:rPr>
              <w:t>年</w:t>
            </w:r>
            <w:r>
              <w:rPr>
                <w:rFonts w:hint="eastAsia" w:ascii="仿宋" w:hAnsi="仿宋" w:eastAsia="仿宋" w:cs="仿宋"/>
                <w:color w:val="auto"/>
                <w:sz w:val="20"/>
                <w:szCs w:val="20"/>
                <w:highlight w:val="none"/>
                <w:lang w:val="en-US" w:eastAsia="zh-CN"/>
              </w:rPr>
              <w:t>3</w:t>
            </w:r>
            <w:r>
              <w:rPr>
                <w:rFonts w:hint="eastAsia" w:ascii="仿宋" w:hAnsi="仿宋" w:eastAsia="仿宋" w:cs="仿宋"/>
                <w:color w:val="auto"/>
                <w:sz w:val="20"/>
                <w:szCs w:val="20"/>
                <w:highlight w:val="none"/>
                <w:lang w:val="zh-CN" w:eastAsia="zh-CN"/>
              </w:rPr>
              <w:t>月</w:t>
            </w:r>
            <w:r>
              <w:rPr>
                <w:rFonts w:hint="eastAsia" w:ascii="仿宋" w:hAnsi="仿宋" w:eastAsia="仿宋" w:cs="仿宋"/>
                <w:color w:val="auto"/>
                <w:sz w:val="20"/>
                <w:szCs w:val="20"/>
                <w:highlight w:val="none"/>
                <w:lang w:val="en-US" w:eastAsia="zh-CN"/>
              </w:rPr>
              <w:t>27</w:t>
            </w:r>
            <w:r>
              <w:rPr>
                <w:rFonts w:hint="eastAsia" w:ascii="仿宋" w:hAnsi="仿宋" w:eastAsia="仿宋" w:cs="仿宋"/>
                <w:color w:val="auto"/>
                <w:sz w:val="20"/>
                <w:szCs w:val="20"/>
                <w:highlight w:val="none"/>
                <w:lang w:val="zh-CN" w:eastAsia="zh-CN"/>
              </w:rPr>
              <w:t>日</w:t>
            </w:r>
            <w:r>
              <w:rPr>
                <w:rFonts w:hint="eastAsia" w:ascii="仿宋" w:hAnsi="仿宋" w:eastAsia="仿宋" w:cs="仿宋"/>
                <w:color w:val="auto"/>
                <w:sz w:val="20"/>
                <w:szCs w:val="20"/>
                <w:highlight w:val="none"/>
                <w:lang w:val="en-US" w:eastAsia="zh-CN"/>
              </w:rPr>
              <w:t>12：00分</w:t>
            </w:r>
            <w:r>
              <w:rPr>
                <w:rFonts w:hint="eastAsia" w:ascii="仿宋" w:hAnsi="仿宋" w:eastAsia="仿宋" w:cs="仿宋"/>
                <w:color w:val="auto"/>
                <w:sz w:val="20"/>
                <w:szCs w:val="20"/>
                <w:highlight w:val="none"/>
              </w:rPr>
              <w:t>（北京时间）止</w:t>
            </w:r>
          </w:p>
        </w:tc>
      </w:tr>
      <w:tr>
        <w:tblPrEx>
          <w:tblLayout w:type="fixed"/>
          <w:tblCellMar>
            <w:top w:w="0" w:type="dxa"/>
            <w:left w:w="108" w:type="dxa"/>
            <w:bottom w:w="49" w:type="dxa"/>
            <w:right w:w="115" w:type="dxa"/>
          </w:tblCellMar>
        </w:tblPrEx>
        <w:trPr>
          <w:trHeight w:val="822"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4.2.2</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递交</w:t>
            </w:r>
            <w:r>
              <w:rPr>
                <w:rFonts w:hint="eastAsia" w:ascii="仿宋" w:hAnsi="仿宋" w:eastAsia="仿宋" w:cs="仿宋"/>
                <w:color w:val="auto"/>
                <w:sz w:val="20"/>
                <w:szCs w:val="20"/>
                <w:highlight w:val="none"/>
                <w:lang w:val="en-US" w:eastAsia="zh-CN"/>
              </w:rPr>
              <w:t>磋商</w:t>
            </w:r>
            <w:r>
              <w:rPr>
                <w:rFonts w:hint="eastAsia" w:ascii="仿宋" w:hAnsi="仿宋" w:eastAsia="仿宋" w:cs="仿宋"/>
                <w:color w:val="auto"/>
                <w:sz w:val="20"/>
                <w:szCs w:val="20"/>
                <w:highlight w:val="none"/>
              </w:rPr>
              <w:t>文件地点</w:t>
            </w:r>
          </w:p>
        </w:tc>
        <w:tc>
          <w:tcPr>
            <w:tcW w:w="523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zh-CN"/>
              </w:rPr>
              <w:t>新疆政府采购网政采云平台 (</w:t>
            </w:r>
            <w:r>
              <w:rPr>
                <w:rFonts w:hint="eastAsia" w:ascii="仿宋" w:hAnsi="仿宋" w:eastAsia="仿宋" w:cs="仿宋"/>
                <w:color w:val="auto"/>
                <w:sz w:val="20"/>
                <w:szCs w:val="20"/>
                <w:highlight w:val="none"/>
                <w:lang w:val="zh-CN"/>
              </w:rPr>
              <w:fldChar w:fldCharType="begin"/>
            </w:r>
            <w:r>
              <w:rPr>
                <w:rFonts w:hint="eastAsia" w:ascii="仿宋" w:hAnsi="仿宋" w:eastAsia="仿宋" w:cs="仿宋"/>
                <w:color w:val="auto"/>
                <w:sz w:val="20"/>
                <w:szCs w:val="20"/>
                <w:highlight w:val="none"/>
                <w:lang w:val="zh-CN"/>
              </w:rPr>
              <w:instrText xml:space="preserve"> HYPERLINK "http://www.zcygov.cn" </w:instrText>
            </w:r>
            <w:r>
              <w:rPr>
                <w:rFonts w:hint="eastAsia" w:ascii="仿宋" w:hAnsi="仿宋" w:eastAsia="仿宋" w:cs="仿宋"/>
                <w:color w:val="auto"/>
                <w:sz w:val="20"/>
                <w:szCs w:val="20"/>
                <w:highlight w:val="none"/>
                <w:lang w:val="zh-CN"/>
              </w:rPr>
              <w:fldChar w:fldCharType="separate"/>
            </w:r>
            <w:r>
              <w:rPr>
                <w:rFonts w:hint="eastAsia" w:ascii="仿宋" w:hAnsi="仿宋" w:eastAsia="仿宋" w:cs="仿宋"/>
                <w:color w:val="auto"/>
                <w:sz w:val="20"/>
                <w:szCs w:val="20"/>
                <w:highlight w:val="none"/>
                <w:lang w:val="zh-CN"/>
              </w:rPr>
              <w:t>www.zcygov.cn</w:t>
            </w:r>
            <w:r>
              <w:rPr>
                <w:rFonts w:hint="eastAsia" w:ascii="仿宋" w:hAnsi="仿宋" w:eastAsia="仿宋" w:cs="仿宋"/>
                <w:color w:val="auto"/>
                <w:sz w:val="20"/>
                <w:szCs w:val="20"/>
                <w:highlight w:val="none"/>
                <w:lang w:val="zh-CN"/>
              </w:rPr>
              <w:fldChar w:fldCharType="end"/>
            </w:r>
            <w:r>
              <w:rPr>
                <w:rFonts w:hint="eastAsia" w:ascii="仿宋" w:hAnsi="仿宋" w:eastAsia="仿宋" w:cs="仿宋"/>
                <w:color w:val="auto"/>
                <w:sz w:val="20"/>
                <w:szCs w:val="20"/>
                <w:highlight w:val="none"/>
                <w:lang w:val="zh-CN"/>
              </w:rPr>
              <w:t>)</w:t>
            </w:r>
          </w:p>
        </w:tc>
      </w:tr>
      <w:tr>
        <w:tblPrEx>
          <w:tblLayout w:type="fixed"/>
          <w:tblCellMar>
            <w:top w:w="0" w:type="dxa"/>
            <w:left w:w="108" w:type="dxa"/>
            <w:bottom w:w="49" w:type="dxa"/>
            <w:right w:w="115" w:type="dxa"/>
          </w:tblCellMar>
        </w:tblPrEx>
        <w:trPr>
          <w:trHeight w:val="883"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5.1</w:t>
            </w:r>
            <w:r>
              <w:rPr>
                <w:rFonts w:hint="eastAsia" w:ascii="仿宋" w:hAnsi="仿宋" w:eastAsia="仿宋" w:cs="仿宋"/>
                <w:color w:val="auto"/>
                <w:sz w:val="20"/>
                <w:szCs w:val="20"/>
                <w:highlight w:val="none"/>
                <w:lang w:val="en-US" w:eastAsia="zh-CN"/>
              </w:rPr>
              <w:t>.1</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开标时间和地点</w:t>
            </w:r>
          </w:p>
        </w:tc>
        <w:tc>
          <w:tcPr>
            <w:tcW w:w="523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开标时间：于</w:t>
            </w:r>
            <w:r>
              <w:rPr>
                <w:rFonts w:hint="eastAsia" w:ascii="仿宋" w:hAnsi="仿宋" w:eastAsia="仿宋" w:cs="仿宋"/>
                <w:color w:val="auto"/>
                <w:sz w:val="20"/>
                <w:szCs w:val="20"/>
                <w:highlight w:val="none"/>
                <w:lang w:val="zh-CN" w:eastAsia="zh-CN"/>
              </w:rPr>
              <w:t>202</w:t>
            </w:r>
            <w:r>
              <w:rPr>
                <w:rFonts w:hint="eastAsia" w:ascii="仿宋" w:hAnsi="仿宋" w:eastAsia="仿宋" w:cs="仿宋"/>
                <w:color w:val="auto"/>
                <w:sz w:val="20"/>
                <w:szCs w:val="20"/>
                <w:highlight w:val="none"/>
                <w:lang w:val="en-US" w:eastAsia="zh-CN"/>
              </w:rPr>
              <w:t>3</w:t>
            </w:r>
            <w:r>
              <w:rPr>
                <w:rFonts w:hint="eastAsia" w:ascii="仿宋" w:hAnsi="仿宋" w:eastAsia="仿宋" w:cs="仿宋"/>
                <w:color w:val="auto"/>
                <w:sz w:val="20"/>
                <w:szCs w:val="20"/>
                <w:highlight w:val="none"/>
                <w:lang w:val="zh-CN" w:eastAsia="zh-CN"/>
              </w:rPr>
              <w:t>年</w:t>
            </w:r>
            <w:r>
              <w:rPr>
                <w:rFonts w:hint="eastAsia" w:ascii="仿宋" w:hAnsi="仿宋" w:eastAsia="仿宋" w:cs="仿宋"/>
                <w:color w:val="auto"/>
                <w:sz w:val="20"/>
                <w:szCs w:val="20"/>
                <w:highlight w:val="none"/>
                <w:lang w:val="en-US" w:eastAsia="zh-CN"/>
              </w:rPr>
              <w:t>3</w:t>
            </w:r>
            <w:r>
              <w:rPr>
                <w:rFonts w:hint="eastAsia" w:ascii="仿宋" w:hAnsi="仿宋" w:eastAsia="仿宋" w:cs="仿宋"/>
                <w:color w:val="auto"/>
                <w:sz w:val="20"/>
                <w:szCs w:val="20"/>
                <w:highlight w:val="none"/>
                <w:lang w:val="zh-CN" w:eastAsia="zh-CN"/>
              </w:rPr>
              <w:t>月</w:t>
            </w:r>
            <w:r>
              <w:rPr>
                <w:rFonts w:hint="eastAsia" w:ascii="仿宋" w:hAnsi="仿宋" w:eastAsia="仿宋" w:cs="仿宋"/>
                <w:color w:val="auto"/>
                <w:sz w:val="20"/>
                <w:szCs w:val="20"/>
                <w:highlight w:val="none"/>
                <w:lang w:val="en-US" w:eastAsia="zh-CN"/>
              </w:rPr>
              <w:t>27</w:t>
            </w:r>
            <w:r>
              <w:rPr>
                <w:rFonts w:hint="eastAsia" w:ascii="仿宋" w:hAnsi="仿宋" w:eastAsia="仿宋" w:cs="仿宋"/>
                <w:color w:val="auto"/>
                <w:sz w:val="20"/>
                <w:szCs w:val="20"/>
                <w:highlight w:val="none"/>
                <w:lang w:val="zh-CN" w:eastAsia="zh-CN"/>
              </w:rPr>
              <w:t>日</w:t>
            </w:r>
            <w:r>
              <w:rPr>
                <w:rFonts w:hint="eastAsia" w:ascii="仿宋" w:hAnsi="仿宋" w:eastAsia="仿宋" w:cs="仿宋"/>
                <w:color w:val="auto"/>
                <w:sz w:val="20"/>
                <w:szCs w:val="20"/>
                <w:highlight w:val="none"/>
                <w:lang w:val="en-US" w:eastAsia="zh-CN"/>
              </w:rPr>
              <w:t>12：00分</w:t>
            </w:r>
            <w:r>
              <w:rPr>
                <w:rFonts w:hint="eastAsia" w:ascii="仿宋" w:hAnsi="仿宋" w:eastAsia="仿宋" w:cs="仿宋"/>
                <w:color w:val="auto"/>
                <w:sz w:val="20"/>
                <w:szCs w:val="20"/>
                <w:highlight w:val="none"/>
              </w:rPr>
              <w:t>（北京时间）止；</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开标地点：</w:t>
            </w:r>
            <w:r>
              <w:rPr>
                <w:rFonts w:hint="eastAsia" w:ascii="仿宋" w:hAnsi="仿宋" w:eastAsia="仿宋" w:cs="仿宋"/>
                <w:color w:val="auto"/>
                <w:sz w:val="20"/>
                <w:szCs w:val="20"/>
                <w:highlight w:val="none"/>
                <w:lang w:val="zh-CN"/>
              </w:rPr>
              <w:t>新疆政府采购网政采云平台 (</w:t>
            </w:r>
            <w:r>
              <w:rPr>
                <w:rFonts w:hint="eastAsia" w:ascii="仿宋" w:hAnsi="仿宋" w:eastAsia="仿宋" w:cs="仿宋"/>
                <w:color w:val="auto"/>
                <w:sz w:val="20"/>
                <w:szCs w:val="20"/>
                <w:highlight w:val="none"/>
                <w:lang w:val="zh-CN"/>
              </w:rPr>
              <w:fldChar w:fldCharType="begin"/>
            </w:r>
            <w:r>
              <w:rPr>
                <w:rFonts w:hint="eastAsia" w:ascii="仿宋" w:hAnsi="仿宋" w:eastAsia="仿宋" w:cs="仿宋"/>
                <w:color w:val="auto"/>
                <w:sz w:val="20"/>
                <w:szCs w:val="20"/>
                <w:highlight w:val="none"/>
                <w:lang w:val="zh-CN"/>
              </w:rPr>
              <w:instrText xml:space="preserve"> HYPERLINK "http://www.zcygov.cn" </w:instrText>
            </w:r>
            <w:r>
              <w:rPr>
                <w:rFonts w:hint="eastAsia" w:ascii="仿宋" w:hAnsi="仿宋" w:eastAsia="仿宋" w:cs="仿宋"/>
                <w:color w:val="auto"/>
                <w:sz w:val="20"/>
                <w:szCs w:val="20"/>
                <w:highlight w:val="none"/>
                <w:lang w:val="zh-CN"/>
              </w:rPr>
              <w:fldChar w:fldCharType="separate"/>
            </w:r>
            <w:r>
              <w:rPr>
                <w:rFonts w:hint="eastAsia" w:ascii="仿宋" w:hAnsi="仿宋" w:eastAsia="仿宋" w:cs="仿宋"/>
                <w:color w:val="auto"/>
                <w:sz w:val="20"/>
                <w:szCs w:val="20"/>
                <w:highlight w:val="none"/>
                <w:lang w:val="zh-CN"/>
              </w:rPr>
              <w:t>www.zcygov.cn</w:t>
            </w:r>
            <w:r>
              <w:rPr>
                <w:rFonts w:hint="eastAsia" w:ascii="仿宋" w:hAnsi="仿宋" w:eastAsia="仿宋" w:cs="仿宋"/>
                <w:color w:val="auto"/>
                <w:sz w:val="20"/>
                <w:szCs w:val="20"/>
                <w:highlight w:val="none"/>
                <w:lang w:val="zh-CN"/>
              </w:rPr>
              <w:fldChar w:fldCharType="end"/>
            </w:r>
            <w:r>
              <w:rPr>
                <w:rFonts w:hint="eastAsia" w:ascii="仿宋" w:hAnsi="仿宋" w:eastAsia="仿宋" w:cs="仿宋"/>
                <w:color w:val="auto"/>
                <w:sz w:val="20"/>
                <w:szCs w:val="20"/>
                <w:highlight w:val="none"/>
                <w:lang w:val="zh-CN"/>
              </w:rPr>
              <w:t>)</w:t>
            </w:r>
          </w:p>
        </w:tc>
      </w:tr>
      <w:tr>
        <w:tblPrEx>
          <w:tblLayout w:type="fixed"/>
          <w:tblCellMar>
            <w:top w:w="0" w:type="dxa"/>
            <w:left w:w="108" w:type="dxa"/>
            <w:bottom w:w="49" w:type="dxa"/>
            <w:right w:w="115" w:type="dxa"/>
          </w:tblCellMar>
        </w:tblPrEx>
        <w:trPr>
          <w:trHeight w:val="7561"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center"/>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rPr>
              <w:t>5.2</w:t>
            </w:r>
            <w:r>
              <w:rPr>
                <w:rFonts w:hint="eastAsia" w:ascii="仿宋" w:hAnsi="仿宋" w:eastAsia="仿宋" w:cs="仿宋"/>
                <w:color w:val="auto"/>
                <w:sz w:val="20"/>
                <w:szCs w:val="20"/>
                <w:highlight w:val="none"/>
                <w:lang w:val="en-US" w:eastAsia="zh-CN"/>
              </w:rPr>
              <w:t>.1</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开标程序</w:t>
            </w:r>
          </w:p>
        </w:tc>
        <w:tc>
          <w:tcPr>
            <w:tcW w:w="523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采购代理机构按照招标文件规定的时间、地点主持开标。开标前，采购代理机构将会同监督人员或公证人员进行验标（检查网上招标系统正常与否，检查投标人报名及保证金交纳情况），确认无误后开标。开标时，各投标人应对本单位的加密的电子投标文件解密，采购代理机构工作人员在监督人员或公证人员监督下解密所有投标文件。</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2、因网上招标系统故障导致所有投标人均解密失败时，投标人使用备份电子版投标文件进行开评标。</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3、开标时，采购代理机构将通过网上开标系统公布投标人名称、投标价格，以及采购代理机构认为合适的其它详细内容。投标人若有报价和优惠未被唱错，应在开标时及时声明或提请注意，否则采购代理机构对此不承担任何责任。</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4、在评审结束前，未得到采购代理机构允许，投标人法定代表人或授权代理人不得离开开标现场。</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5、供应商代表对开标过程和开标记录有疑义，以及认为采购人、采购代理机构相关工作人员有需要回避的情形，应通过电子邮件、传真等形式向采购代理机构提出询问或回避申请；</w:t>
            </w:r>
          </w:p>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6、开标会议结束。</w:t>
            </w:r>
            <w:r>
              <w:rPr>
                <w:rFonts w:hint="eastAsia" w:ascii="仿宋" w:hAnsi="仿宋" w:eastAsia="仿宋" w:cs="仿宋"/>
                <w:sz w:val="20"/>
                <w:szCs w:val="20"/>
                <w:lang w:val="en-US" w:eastAsia="zh-CN"/>
              </w:rPr>
              <w:t xml:space="preserve"> </w:t>
            </w:r>
          </w:p>
        </w:tc>
      </w:tr>
      <w:tr>
        <w:tblPrEx>
          <w:tblLayout w:type="fixed"/>
          <w:tblCellMar>
            <w:top w:w="0" w:type="dxa"/>
            <w:left w:w="108" w:type="dxa"/>
            <w:bottom w:w="49" w:type="dxa"/>
            <w:right w:w="115" w:type="dxa"/>
          </w:tblCellMar>
        </w:tblPrEx>
        <w:trPr>
          <w:trHeight w:val="1267"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6.1.1</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评标委员会的组建</w:t>
            </w:r>
          </w:p>
        </w:tc>
        <w:tc>
          <w:tcPr>
            <w:tcW w:w="523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rPr>
              <w:t>采购人</w:t>
            </w:r>
            <w:r>
              <w:rPr>
                <w:rFonts w:hint="eastAsia" w:ascii="仿宋" w:hAnsi="仿宋" w:eastAsia="仿宋" w:cs="仿宋"/>
                <w:color w:val="auto"/>
                <w:sz w:val="20"/>
                <w:szCs w:val="20"/>
                <w:highlight w:val="none"/>
              </w:rPr>
              <w:t>依法组建评标委员会。评标委员会成员由</w:t>
            </w:r>
            <w:r>
              <w:rPr>
                <w:rFonts w:hint="eastAsia" w:ascii="仿宋" w:hAnsi="仿宋" w:eastAsia="仿宋" w:cs="仿宋"/>
                <w:color w:val="auto"/>
                <w:sz w:val="20"/>
                <w:szCs w:val="20"/>
                <w:highlight w:val="none"/>
                <w:u w:val="single"/>
              </w:rPr>
              <w:t xml:space="preserve">  </w:t>
            </w:r>
            <w:r>
              <w:rPr>
                <w:rFonts w:hint="eastAsia" w:ascii="仿宋" w:hAnsi="仿宋" w:eastAsia="仿宋" w:cs="仿宋"/>
                <w:color w:val="auto"/>
                <w:sz w:val="20"/>
                <w:szCs w:val="20"/>
                <w:highlight w:val="none"/>
                <w:u w:val="single"/>
                <w:shd w:val="clear"/>
                <w:lang w:val="en-US" w:eastAsia="zh-CN"/>
              </w:rPr>
              <w:t>3</w:t>
            </w:r>
            <w:r>
              <w:rPr>
                <w:rFonts w:hint="eastAsia" w:ascii="仿宋" w:hAnsi="仿宋" w:eastAsia="仿宋" w:cs="仿宋"/>
                <w:color w:val="auto"/>
                <w:sz w:val="20"/>
                <w:szCs w:val="20"/>
                <w:highlight w:val="none"/>
                <w:u w:val="single"/>
                <w:shd w:val="clear"/>
              </w:rPr>
              <w:t xml:space="preserve"> </w:t>
            </w:r>
            <w:r>
              <w:rPr>
                <w:rFonts w:hint="eastAsia" w:ascii="仿宋" w:hAnsi="仿宋" w:eastAsia="仿宋" w:cs="仿宋"/>
                <w:color w:val="auto"/>
                <w:sz w:val="20"/>
                <w:szCs w:val="20"/>
                <w:highlight w:val="none"/>
                <w:u w:val="single"/>
              </w:rPr>
              <w:t xml:space="preserve"> </w:t>
            </w:r>
            <w:r>
              <w:rPr>
                <w:rFonts w:hint="eastAsia" w:ascii="仿宋" w:hAnsi="仿宋" w:eastAsia="仿宋" w:cs="仿宋"/>
                <w:color w:val="auto"/>
                <w:sz w:val="20"/>
                <w:szCs w:val="20"/>
                <w:highlight w:val="none"/>
              </w:rPr>
              <w:t>人构成，其中：</w:t>
            </w:r>
            <w:r>
              <w:rPr>
                <w:rFonts w:hint="eastAsia" w:ascii="仿宋" w:hAnsi="仿宋" w:eastAsia="仿宋" w:cs="仿宋"/>
                <w:color w:val="auto"/>
                <w:sz w:val="20"/>
                <w:szCs w:val="20"/>
                <w:highlight w:val="none"/>
                <w:lang w:eastAsia="zh-CN"/>
              </w:rPr>
              <w:t>采购人</w:t>
            </w:r>
            <w:r>
              <w:rPr>
                <w:rFonts w:hint="eastAsia" w:ascii="仿宋" w:hAnsi="仿宋" w:eastAsia="仿宋" w:cs="仿宋"/>
                <w:color w:val="auto"/>
                <w:sz w:val="20"/>
                <w:szCs w:val="20"/>
                <w:highlight w:val="none"/>
              </w:rPr>
              <w:t>代表</w:t>
            </w:r>
            <w:r>
              <w:rPr>
                <w:rFonts w:hint="eastAsia" w:ascii="仿宋" w:hAnsi="仿宋" w:eastAsia="仿宋" w:cs="仿宋"/>
                <w:color w:val="auto"/>
                <w:sz w:val="20"/>
                <w:szCs w:val="20"/>
                <w:highlight w:val="none"/>
                <w:u w:val="single"/>
              </w:rPr>
              <w:t xml:space="preserve"> </w:t>
            </w:r>
            <w:r>
              <w:rPr>
                <w:rFonts w:hint="eastAsia" w:ascii="仿宋" w:hAnsi="仿宋" w:eastAsia="仿宋" w:cs="仿宋"/>
                <w:color w:val="auto"/>
                <w:sz w:val="20"/>
                <w:szCs w:val="20"/>
                <w:highlight w:val="none"/>
                <w:u w:val="single"/>
                <w:lang w:val="en-US" w:eastAsia="zh-CN"/>
              </w:rPr>
              <w:t>0</w:t>
            </w:r>
            <w:r>
              <w:rPr>
                <w:rFonts w:hint="eastAsia" w:ascii="仿宋" w:hAnsi="仿宋" w:eastAsia="仿宋" w:cs="仿宋"/>
                <w:color w:val="auto"/>
                <w:sz w:val="20"/>
                <w:szCs w:val="20"/>
                <w:highlight w:val="none"/>
              </w:rPr>
              <w:t>人，经济及技术方面的专家</w:t>
            </w:r>
            <w:r>
              <w:rPr>
                <w:rFonts w:hint="eastAsia" w:ascii="仿宋" w:hAnsi="仿宋" w:eastAsia="仿宋" w:cs="仿宋"/>
                <w:color w:val="auto"/>
                <w:sz w:val="20"/>
                <w:szCs w:val="20"/>
                <w:highlight w:val="none"/>
                <w:u w:val="single"/>
                <w:shd w:val="clear"/>
              </w:rPr>
              <w:t xml:space="preserve"> </w:t>
            </w:r>
            <w:r>
              <w:rPr>
                <w:rFonts w:hint="eastAsia" w:ascii="仿宋" w:hAnsi="仿宋" w:eastAsia="仿宋" w:cs="仿宋"/>
                <w:color w:val="auto"/>
                <w:sz w:val="20"/>
                <w:szCs w:val="20"/>
                <w:highlight w:val="none"/>
                <w:u w:val="single"/>
                <w:shd w:val="clear"/>
                <w:lang w:val="en-US" w:eastAsia="zh-CN"/>
              </w:rPr>
              <w:t xml:space="preserve">3 </w:t>
            </w:r>
            <w:r>
              <w:rPr>
                <w:rFonts w:hint="eastAsia" w:ascii="仿宋" w:hAnsi="仿宋" w:eastAsia="仿宋" w:cs="仿宋"/>
                <w:color w:val="auto"/>
                <w:sz w:val="20"/>
                <w:szCs w:val="20"/>
                <w:highlight w:val="none"/>
              </w:rPr>
              <w:t>人；经济及技术方面的专家由昌吉州专家库中随机抽取。</w:t>
            </w:r>
          </w:p>
        </w:tc>
      </w:tr>
      <w:tr>
        <w:tblPrEx>
          <w:tblLayout w:type="fixed"/>
          <w:tblCellMar>
            <w:top w:w="0" w:type="dxa"/>
            <w:left w:w="108" w:type="dxa"/>
            <w:bottom w:w="49" w:type="dxa"/>
            <w:right w:w="115" w:type="dxa"/>
          </w:tblCellMar>
        </w:tblPrEx>
        <w:trPr>
          <w:trHeight w:val="849"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6.</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rPr>
              <w:t>.2</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评委会推荐中标候选人的人数</w:t>
            </w:r>
          </w:p>
        </w:tc>
        <w:tc>
          <w:tcPr>
            <w:tcW w:w="523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推荐中标候选人的数量为：</w:t>
            </w:r>
            <w:r>
              <w:rPr>
                <w:rFonts w:hint="eastAsia" w:ascii="仿宋" w:hAnsi="仿宋" w:eastAsia="仿宋" w:cs="仿宋"/>
                <w:color w:val="auto"/>
                <w:sz w:val="20"/>
                <w:szCs w:val="20"/>
                <w:highlight w:val="none"/>
                <w:u w:val="single"/>
              </w:rPr>
              <w:t xml:space="preserve"> 3 </w:t>
            </w:r>
            <w:r>
              <w:rPr>
                <w:rFonts w:hint="eastAsia" w:ascii="仿宋" w:hAnsi="仿宋" w:eastAsia="仿宋" w:cs="仿宋"/>
                <w:color w:val="auto"/>
                <w:sz w:val="20"/>
                <w:szCs w:val="20"/>
                <w:highlight w:val="none"/>
              </w:rPr>
              <w:t xml:space="preserve"> 名</w:t>
            </w:r>
          </w:p>
        </w:tc>
      </w:tr>
      <w:tr>
        <w:tblPrEx>
          <w:tblLayout w:type="fixed"/>
          <w:tblCellMar>
            <w:top w:w="0" w:type="dxa"/>
            <w:left w:w="108" w:type="dxa"/>
            <w:bottom w:w="49" w:type="dxa"/>
            <w:right w:w="115" w:type="dxa"/>
          </w:tblCellMar>
        </w:tblPrEx>
        <w:trPr>
          <w:trHeight w:val="849"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7.</w:t>
            </w:r>
            <w:r>
              <w:rPr>
                <w:rFonts w:hint="eastAsia" w:ascii="仿宋" w:hAnsi="仿宋" w:eastAsia="仿宋" w:cs="仿宋"/>
                <w:color w:val="auto"/>
                <w:sz w:val="20"/>
                <w:szCs w:val="20"/>
                <w:highlight w:val="none"/>
                <w:lang w:val="en-US" w:eastAsia="zh-CN"/>
              </w:rPr>
              <w:t>1</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是否授权评委会确定中标人</w:t>
            </w:r>
          </w:p>
        </w:tc>
        <w:tc>
          <w:tcPr>
            <w:tcW w:w="523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否</w:t>
            </w:r>
          </w:p>
        </w:tc>
      </w:tr>
      <w:tr>
        <w:tblPrEx>
          <w:tblLayout w:type="fixed"/>
          <w:tblCellMar>
            <w:top w:w="0" w:type="dxa"/>
            <w:left w:w="108" w:type="dxa"/>
            <w:bottom w:w="49" w:type="dxa"/>
            <w:right w:w="115" w:type="dxa"/>
          </w:tblCellMar>
        </w:tblPrEx>
        <w:trPr>
          <w:trHeight w:val="558"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7.</w:t>
            </w:r>
            <w:r>
              <w:rPr>
                <w:rFonts w:hint="eastAsia" w:ascii="仿宋" w:hAnsi="仿宋" w:eastAsia="仿宋" w:cs="仿宋"/>
                <w:color w:val="auto"/>
                <w:sz w:val="20"/>
                <w:szCs w:val="20"/>
                <w:highlight w:val="none"/>
                <w:lang w:val="en-US" w:eastAsia="zh-CN"/>
              </w:rPr>
              <w:t>2</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技术成果经济补偿</w:t>
            </w:r>
          </w:p>
        </w:tc>
        <w:tc>
          <w:tcPr>
            <w:tcW w:w="523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不补偿</w:t>
            </w:r>
          </w:p>
        </w:tc>
      </w:tr>
      <w:tr>
        <w:tblPrEx>
          <w:tblLayout w:type="fixed"/>
          <w:tblCellMar>
            <w:top w:w="0" w:type="dxa"/>
            <w:left w:w="108" w:type="dxa"/>
            <w:bottom w:w="49" w:type="dxa"/>
            <w:right w:w="115" w:type="dxa"/>
          </w:tblCellMar>
        </w:tblPrEx>
        <w:trPr>
          <w:trHeight w:val="551" w:hRule="atLeast"/>
        </w:trPr>
        <w:tc>
          <w:tcPr>
            <w:tcW w:w="70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val="en-US" w:eastAsia="zh-CN"/>
              </w:rPr>
              <w:t>8</w:t>
            </w:r>
            <w:r>
              <w:rPr>
                <w:rFonts w:hint="eastAsia" w:ascii="仿宋" w:hAnsi="仿宋" w:eastAsia="仿宋" w:cs="仿宋"/>
                <w:color w:val="auto"/>
                <w:sz w:val="20"/>
                <w:szCs w:val="20"/>
                <w:highlight w:val="none"/>
              </w:rPr>
              <w:t>.1</w:t>
            </w:r>
          </w:p>
        </w:tc>
        <w:tc>
          <w:tcPr>
            <w:tcW w:w="2441"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是否采用电子招标投标</w:t>
            </w:r>
          </w:p>
        </w:tc>
        <w:tc>
          <w:tcPr>
            <w:tcW w:w="523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是</w:t>
            </w:r>
          </w:p>
        </w:tc>
      </w:tr>
      <w:tr>
        <w:tblPrEx>
          <w:tblLayout w:type="fixed"/>
          <w:tblCellMar>
            <w:top w:w="0" w:type="dxa"/>
            <w:left w:w="108" w:type="dxa"/>
            <w:bottom w:w="49" w:type="dxa"/>
            <w:right w:w="115" w:type="dxa"/>
          </w:tblCellMar>
        </w:tblPrEx>
        <w:trPr>
          <w:trHeight w:val="772" w:hRule="atLeast"/>
        </w:trPr>
        <w:tc>
          <w:tcPr>
            <w:tcW w:w="708"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9</w:t>
            </w:r>
          </w:p>
        </w:tc>
        <w:tc>
          <w:tcPr>
            <w:tcW w:w="2441" w:type="dxa"/>
            <w:tcBorders>
              <w:top w:val="single" w:color="000000" w:sz="4" w:space="0"/>
              <w:left w:val="single" w:color="000000" w:sz="4" w:space="0"/>
              <w:bottom w:val="single" w:color="auto" w:sz="4" w:space="0"/>
              <w:right w:val="single" w:color="000000"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需要补充的其他内容</w:t>
            </w:r>
          </w:p>
        </w:tc>
        <w:tc>
          <w:tcPr>
            <w:tcW w:w="5231" w:type="dxa"/>
            <w:gridSpan w:val="2"/>
            <w:tcBorders>
              <w:top w:val="single" w:color="000000" w:sz="4" w:space="0"/>
              <w:left w:val="single" w:color="000000" w:sz="4" w:space="0"/>
              <w:bottom w:val="single" w:color="auto" w:sz="4" w:space="0"/>
              <w:right w:val="single" w:color="000000" w:sz="4" w:space="0"/>
            </w:tcBorders>
            <w:noWrap w:val="0"/>
            <w:vAlign w:val="center"/>
          </w:tcPr>
          <w:p>
            <w:pPr>
              <w:pageBreakBefore w:val="0"/>
              <w:numPr>
                <w:ilvl w:val="0"/>
                <w:numId w:val="4"/>
              </w:numPr>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lang w:val="zh-CN" w:eastAsia="zh-CN"/>
              </w:rPr>
            </w:pPr>
            <w:r>
              <w:rPr>
                <w:rFonts w:hint="eastAsia" w:ascii="仿宋" w:hAnsi="仿宋" w:eastAsia="仿宋" w:cs="仿宋"/>
                <w:lang w:val="zh-CN" w:eastAsia="zh-CN"/>
              </w:rPr>
              <w:t>各供应商应在开标前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r>
              <w:rPr>
                <w:rFonts w:hint="eastAsia" w:ascii="仿宋" w:hAnsi="仿宋" w:eastAsia="仿宋" w:cs="仿宋"/>
                <w:lang w:val="zh-CN" w:eastAsia="zh-CN"/>
              </w:rPr>
              <w:br w:type="textWrapping"/>
            </w:r>
            <w:r>
              <w:rPr>
                <w:rFonts w:hint="eastAsia" w:ascii="仿宋" w:hAnsi="仿宋" w:eastAsia="仿宋" w:cs="仿宋"/>
                <w:lang w:val="en-US" w:eastAsia="zh-CN"/>
              </w:rPr>
              <w:t>2</w:t>
            </w:r>
            <w:r>
              <w:rPr>
                <w:rFonts w:hint="eastAsia" w:ascii="仿宋" w:hAnsi="仿宋" w:eastAsia="仿宋" w:cs="仿宋"/>
                <w:lang w:val="zh-CN" w:eastAsia="zh-CN"/>
              </w:rPr>
              <w:t>、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r>
              <w:rPr>
                <w:rFonts w:hint="eastAsia" w:ascii="仿宋" w:hAnsi="仿宋" w:eastAsia="仿宋" w:cs="仿宋"/>
                <w:lang w:val="zh-CN" w:eastAsia="zh-CN"/>
              </w:rPr>
              <w:br w:type="textWrapping"/>
            </w:r>
            <w:r>
              <w:rPr>
                <w:rFonts w:hint="eastAsia" w:ascii="仿宋" w:hAnsi="仿宋" w:eastAsia="仿宋" w:cs="仿宋"/>
                <w:lang w:val="en-US" w:eastAsia="zh-CN"/>
              </w:rPr>
              <w:t>3</w:t>
            </w:r>
            <w:r>
              <w:rPr>
                <w:rFonts w:hint="eastAsia" w:ascii="仿宋" w:hAnsi="仿宋" w:eastAsia="仿宋" w:cs="仿宋"/>
                <w:lang w:val="zh-CN" w:eastAsia="zh-CN"/>
              </w:rPr>
              <w:t>、供应商应当在磋商截止时间前,将生成的“电子加密响应文件”上传递交至“政府采购云平台”,磋商截止时间以后上传递交的响应文件将被“政府采购云平台”拒收。</w:t>
            </w:r>
            <w:r>
              <w:rPr>
                <w:rFonts w:hint="eastAsia" w:ascii="仿宋" w:hAnsi="仿宋" w:eastAsia="仿宋" w:cs="仿宋"/>
                <w:lang w:val="zh-CN" w:eastAsia="zh-CN"/>
              </w:rPr>
              <w:br w:type="textWrapping"/>
            </w:r>
            <w:r>
              <w:rPr>
                <w:rFonts w:hint="eastAsia" w:ascii="仿宋" w:hAnsi="仿宋" w:eastAsia="仿宋" w:cs="仿宋"/>
                <w:lang w:val="en-US" w:eastAsia="zh-CN"/>
              </w:rPr>
              <w:t>4</w:t>
            </w:r>
            <w:r>
              <w:rPr>
                <w:rFonts w:hint="eastAsia" w:ascii="仿宋" w:hAnsi="仿宋" w:eastAsia="仿宋" w:cs="仿宋"/>
                <w:lang w:val="zh-CN" w:eastAsia="zh-CN"/>
              </w:rPr>
              <w:t>、供应商在磋商前须提前配置好电脑浏览器（建议使用360 浏览器或谷歌浏览器）, 磋商时请使用制作加密电子响应文件的CA锁进行解密及报价确认。本项目响应文件解密时间定为30分钟内,如因自身原因导致无法正常解密,后果由供应商自行承担。</w:t>
            </w:r>
            <w:r>
              <w:rPr>
                <w:rFonts w:hint="eastAsia" w:ascii="仿宋" w:hAnsi="仿宋" w:eastAsia="仿宋" w:cs="仿宋"/>
                <w:lang w:val="zh-CN" w:eastAsia="zh-CN"/>
              </w:rPr>
              <w:br w:type="textWrapping"/>
            </w:r>
            <w:r>
              <w:rPr>
                <w:rFonts w:hint="eastAsia" w:ascii="仿宋" w:hAnsi="仿宋" w:eastAsia="仿宋" w:cs="仿宋"/>
                <w:lang w:val="en-US" w:eastAsia="zh-CN"/>
              </w:rPr>
              <w:t>5</w:t>
            </w:r>
            <w:r>
              <w:rPr>
                <w:rFonts w:hint="eastAsia" w:ascii="仿宋" w:hAnsi="仿宋" w:eastAsia="仿宋" w:cs="仿宋"/>
                <w:lang w:val="zh-CN" w:eastAsia="zh-CN"/>
              </w:rPr>
              <w:t>、供应商登录政采云平台，在磋商时间后30分钟内用“项目采购-开标评标”功能进行解密响应文件。若供应商在规定时间内未按时解密的，视为无效磋商。解密与加密响应文件须使用同一个 CA。</w:t>
            </w:r>
          </w:p>
          <w:p>
            <w:pPr>
              <w:pageBreakBefore w:val="0"/>
              <w:numPr>
                <w:ilvl w:val="0"/>
                <w:numId w:val="0"/>
              </w:numPr>
              <w:kinsoku/>
              <w:wordWrap/>
              <w:overflowPunct/>
              <w:topLinePunct w:val="0"/>
              <w:bidi w:val="0"/>
              <w:spacing w:beforeAutospacing="0" w:after="0" w:afterAutospacing="0" w:line="360" w:lineRule="auto"/>
              <w:ind w:leftChars="0" w:right="0" w:rightChars="0"/>
              <w:jc w:val="left"/>
              <w:textAlignment w:val="auto"/>
              <w:rPr>
                <w:rFonts w:hint="eastAsia" w:ascii="仿宋" w:hAnsi="仿宋" w:eastAsia="仿宋" w:cs="仿宋"/>
              </w:rPr>
            </w:pPr>
            <w:r>
              <w:rPr>
                <w:rFonts w:hint="eastAsia" w:ascii="仿宋" w:hAnsi="仿宋" w:eastAsia="仿宋" w:cs="仿宋"/>
                <w:lang w:val="en-US" w:eastAsia="zh-CN"/>
              </w:rPr>
              <w:t>6、电子投标文件要求逐页盖单位公章和法定代表人章（应尽量盖在每页空白地方或字少的地方，便于清楚阅读和打印），投标人均应使用 CA 数字证书加盖投标人的单位电子印章和法定代表人的个人电子印章或子签名章。</w:t>
            </w:r>
          </w:p>
        </w:tc>
      </w:tr>
      <w:tr>
        <w:tblPrEx>
          <w:tblLayout w:type="fixed"/>
          <w:tblCellMar>
            <w:top w:w="0" w:type="dxa"/>
            <w:left w:w="108" w:type="dxa"/>
            <w:bottom w:w="49" w:type="dxa"/>
            <w:right w:w="115" w:type="dxa"/>
          </w:tblCellMar>
        </w:tblPrEx>
        <w:trPr>
          <w:trHeight w:val="560"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bookmarkStart w:id="10" w:name="_Hlk507195901"/>
            <w:r>
              <w:rPr>
                <w:rFonts w:hint="eastAsia" w:ascii="仿宋" w:hAnsi="仿宋" w:eastAsia="仿宋" w:cs="仿宋"/>
                <w:color w:val="auto"/>
                <w:sz w:val="20"/>
                <w:szCs w:val="20"/>
                <w:highlight w:val="none"/>
                <w:lang w:val="en-US" w:eastAsia="zh-CN"/>
              </w:rPr>
              <w:t>9</w:t>
            </w:r>
            <w:r>
              <w:rPr>
                <w:rFonts w:hint="eastAsia" w:ascii="仿宋" w:hAnsi="仿宋" w:eastAsia="仿宋" w:cs="仿宋"/>
                <w:color w:val="auto"/>
                <w:sz w:val="20"/>
                <w:szCs w:val="20"/>
                <w:highlight w:val="none"/>
              </w:rPr>
              <w:t>.1</w:t>
            </w:r>
          </w:p>
        </w:tc>
        <w:tc>
          <w:tcPr>
            <w:tcW w:w="24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类似项目</w:t>
            </w:r>
          </w:p>
        </w:tc>
        <w:tc>
          <w:tcPr>
            <w:tcW w:w="523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指与本项目的性质、规模类似的工程项目。    </w:t>
            </w:r>
          </w:p>
        </w:tc>
      </w:tr>
      <w:tr>
        <w:tblPrEx>
          <w:tblLayout w:type="fixed"/>
          <w:tblCellMar>
            <w:top w:w="0" w:type="dxa"/>
            <w:left w:w="108" w:type="dxa"/>
            <w:bottom w:w="49" w:type="dxa"/>
            <w:right w:w="115" w:type="dxa"/>
          </w:tblCellMar>
        </w:tblPrEx>
        <w:trPr>
          <w:trHeight w:val="6810"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9.2</w:t>
            </w:r>
          </w:p>
        </w:tc>
        <w:tc>
          <w:tcPr>
            <w:tcW w:w="2441" w:type="dxa"/>
            <w:tcBorders>
              <w:top w:val="single" w:color="auto" w:sz="4" w:space="0"/>
              <w:left w:val="single" w:color="auto" w:sz="4" w:space="0"/>
              <w:bottom w:val="single" w:color="auto" w:sz="4" w:space="0"/>
              <w:right w:val="single" w:color="auto" w:sz="4" w:space="0"/>
            </w:tcBorders>
            <w:noWrap w:val="0"/>
            <w:vAlign w:val="center"/>
          </w:tcPr>
          <w:p>
            <w:pPr>
              <w:pageBreakBefore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磋商保证金</w:t>
            </w:r>
          </w:p>
        </w:tc>
        <w:tc>
          <w:tcPr>
            <w:tcW w:w="523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仿宋" w:hAnsi="仿宋" w:eastAsia="仿宋" w:cs="仿宋"/>
                <w:bCs/>
                <w:color w:val="auto"/>
                <w:sz w:val="20"/>
                <w:szCs w:val="20"/>
                <w:highlight w:val="none"/>
                <w:lang w:val="en-US" w:eastAsia="zh-CN"/>
              </w:rPr>
            </w:pPr>
            <w:r>
              <w:rPr>
                <w:rFonts w:hint="eastAsia" w:ascii="仿宋" w:hAnsi="仿宋" w:eastAsia="仿宋" w:cs="仿宋"/>
                <w:bCs/>
                <w:color w:val="auto"/>
                <w:sz w:val="20"/>
                <w:szCs w:val="20"/>
                <w:highlight w:val="none"/>
                <w:lang w:eastAsia="zh-CN"/>
              </w:rPr>
              <w:t>投标保证金的金额：人民币</w:t>
            </w:r>
            <w:r>
              <w:rPr>
                <w:rFonts w:hint="eastAsia" w:ascii="仿宋" w:hAnsi="仿宋" w:eastAsia="仿宋" w:cs="仿宋"/>
                <w:bCs/>
                <w:color w:val="auto"/>
                <w:sz w:val="20"/>
                <w:szCs w:val="20"/>
                <w:highlight w:val="none"/>
                <w:lang w:val="en-US" w:eastAsia="zh-CN"/>
              </w:rPr>
              <w:t>1000.00</w:t>
            </w:r>
            <w:r>
              <w:rPr>
                <w:rFonts w:hint="eastAsia" w:ascii="仿宋" w:hAnsi="仿宋" w:eastAsia="仿宋" w:cs="仿宋"/>
                <w:bCs/>
                <w:color w:val="auto"/>
                <w:sz w:val="20"/>
                <w:szCs w:val="20"/>
                <w:highlight w:val="none"/>
                <w:lang w:eastAsia="zh-CN"/>
              </w:rPr>
              <w:t>元（大写：</w:t>
            </w:r>
            <w:r>
              <w:rPr>
                <w:rFonts w:hint="eastAsia" w:ascii="仿宋" w:hAnsi="仿宋" w:eastAsia="仿宋" w:cs="仿宋"/>
                <w:bCs/>
                <w:color w:val="auto"/>
                <w:sz w:val="20"/>
                <w:szCs w:val="20"/>
                <w:highlight w:val="none"/>
                <w:lang w:val="en-US" w:eastAsia="zh-CN"/>
              </w:rPr>
              <w:t>壹仟</w:t>
            </w:r>
            <w:r>
              <w:rPr>
                <w:rFonts w:hint="eastAsia" w:ascii="仿宋" w:hAnsi="仿宋" w:eastAsia="仿宋" w:cs="仿宋"/>
                <w:bCs/>
                <w:color w:val="auto"/>
                <w:sz w:val="20"/>
                <w:szCs w:val="20"/>
                <w:highlight w:val="none"/>
                <w:lang w:eastAsia="zh-CN"/>
              </w:rPr>
              <w:t>元</w:t>
            </w:r>
            <w:r>
              <w:rPr>
                <w:rFonts w:hint="eastAsia" w:ascii="仿宋" w:hAnsi="仿宋" w:eastAsia="仿宋" w:cs="仿宋"/>
                <w:bCs/>
                <w:color w:val="auto"/>
                <w:sz w:val="20"/>
                <w:szCs w:val="20"/>
                <w:highlight w:val="none"/>
                <w:lang w:val="en-US" w:eastAsia="zh-CN"/>
              </w:rPr>
              <w:t>整</w:t>
            </w:r>
            <w:r>
              <w:rPr>
                <w:rFonts w:hint="eastAsia" w:ascii="仿宋" w:hAnsi="仿宋" w:eastAsia="仿宋" w:cs="仿宋"/>
                <w:sz w:val="22"/>
                <w:szCs w:val="22"/>
              </w:rPr>
              <w:t>）</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eastAsia="zh-CN"/>
              </w:rPr>
              <w:t>开户单位名称：</w:t>
            </w:r>
            <w:r>
              <w:rPr>
                <w:rFonts w:hint="eastAsia" w:ascii="仿宋" w:hAnsi="仿宋" w:eastAsia="仿宋" w:cs="仿宋"/>
                <w:bCs/>
                <w:color w:val="auto"/>
                <w:sz w:val="20"/>
                <w:szCs w:val="20"/>
                <w:highlight w:val="none"/>
                <w:lang w:val="en-US" w:eastAsia="zh-CN"/>
              </w:rPr>
              <w:t>新疆新诚达项目管理有限公司</w:t>
            </w:r>
          </w:p>
          <w:p>
            <w:pPr>
              <w:spacing w:line="360" w:lineRule="auto"/>
              <w:jc w:val="left"/>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eastAsia="zh-CN"/>
              </w:rPr>
              <w:t>开户银行：</w:t>
            </w:r>
            <w:r>
              <w:rPr>
                <w:rFonts w:hint="eastAsia" w:ascii="仿宋" w:hAnsi="仿宋" w:eastAsia="仿宋" w:cs="仿宋"/>
                <w:bCs/>
                <w:color w:val="auto"/>
                <w:sz w:val="20"/>
                <w:szCs w:val="20"/>
                <w:highlight w:val="none"/>
                <w:lang w:val="en-US" w:eastAsia="zh-CN"/>
              </w:rPr>
              <w:t>中国工商银行股份有限公司昌吉建国西路支行</w:t>
            </w:r>
            <w:r>
              <w:rPr>
                <w:rFonts w:hint="eastAsia" w:ascii="仿宋" w:hAnsi="仿宋" w:eastAsia="仿宋" w:cs="仿宋"/>
                <w:bCs/>
                <w:color w:val="auto"/>
                <w:sz w:val="20"/>
                <w:szCs w:val="20"/>
                <w:highlight w:val="none"/>
                <w:lang w:eastAsia="zh-CN"/>
              </w:rPr>
              <w:t>账户账号：3004802009200078989</w:t>
            </w:r>
          </w:p>
          <w:p>
            <w:pPr>
              <w:spacing w:line="360" w:lineRule="auto"/>
              <w:jc w:val="left"/>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eastAsia="zh-CN"/>
              </w:rPr>
              <w:t>投标保证金的形式：</w:t>
            </w:r>
            <w:r>
              <w:rPr>
                <w:rFonts w:hint="eastAsia" w:ascii="仿宋" w:hAnsi="仿宋" w:eastAsia="仿宋" w:cs="仿宋"/>
                <w:bCs/>
                <w:color w:val="auto"/>
                <w:sz w:val="20"/>
                <w:szCs w:val="20"/>
                <w:highlight w:val="none"/>
                <w:lang w:val="zh-CN" w:eastAsia="zh-CN"/>
              </w:rPr>
              <w:t>可通过电汇、转账、支票、汇票、本票、保函等非现金形式提交</w:t>
            </w:r>
            <w:r>
              <w:rPr>
                <w:rFonts w:hint="eastAsia" w:ascii="仿宋" w:hAnsi="仿宋" w:eastAsia="仿宋" w:cs="仿宋"/>
                <w:bCs/>
                <w:color w:val="auto"/>
                <w:sz w:val="20"/>
                <w:szCs w:val="20"/>
                <w:highlight w:val="none"/>
                <w:lang w:eastAsia="zh-CN"/>
              </w:rPr>
              <w:t xml:space="preserve">          </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eastAsia="zh-CN"/>
              </w:rPr>
              <w:t>注：到账截止时间</w:t>
            </w:r>
            <w:r>
              <w:rPr>
                <w:rFonts w:hint="eastAsia" w:ascii="仿宋" w:hAnsi="仿宋" w:eastAsia="仿宋" w:cs="仿宋"/>
                <w:b/>
                <w:bCs w:val="0"/>
                <w:color w:val="auto"/>
                <w:sz w:val="20"/>
                <w:szCs w:val="20"/>
                <w:highlight w:val="none"/>
                <w:lang w:eastAsia="zh-CN"/>
              </w:rPr>
              <w:t>：</w:t>
            </w:r>
            <w:r>
              <w:rPr>
                <w:rFonts w:hint="eastAsia" w:ascii="仿宋" w:hAnsi="仿宋" w:eastAsia="仿宋" w:cs="仿宋"/>
                <w:b/>
                <w:bCs w:val="0"/>
                <w:color w:val="auto"/>
                <w:sz w:val="20"/>
                <w:szCs w:val="20"/>
                <w:highlight w:val="none"/>
                <w:lang w:val="zh-CN" w:eastAsia="zh-CN"/>
              </w:rPr>
              <w:t>202</w:t>
            </w:r>
            <w:r>
              <w:rPr>
                <w:rFonts w:hint="eastAsia" w:ascii="仿宋" w:hAnsi="仿宋" w:eastAsia="仿宋" w:cs="仿宋"/>
                <w:b/>
                <w:bCs w:val="0"/>
                <w:color w:val="auto"/>
                <w:sz w:val="20"/>
                <w:szCs w:val="20"/>
                <w:highlight w:val="none"/>
                <w:lang w:val="en-US" w:eastAsia="zh-CN"/>
              </w:rPr>
              <w:t>3</w:t>
            </w:r>
            <w:r>
              <w:rPr>
                <w:rFonts w:hint="eastAsia" w:ascii="仿宋" w:hAnsi="仿宋" w:eastAsia="仿宋" w:cs="仿宋"/>
                <w:b/>
                <w:bCs w:val="0"/>
                <w:color w:val="auto"/>
                <w:sz w:val="20"/>
                <w:szCs w:val="20"/>
                <w:highlight w:val="none"/>
                <w:lang w:val="zh-CN" w:eastAsia="zh-CN"/>
              </w:rPr>
              <w:t>年</w:t>
            </w:r>
            <w:r>
              <w:rPr>
                <w:rFonts w:hint="eastAsia" w:ascii="仿宋" w:hAnsi="仿宋" w:eastAsia="仿宋" w:cs="仿宋"/>
                <w:b/>
                <w:bCs w:val="0"/>
                <w:color w:val="auto"/>
                <w:sz w:val="20"/>
                <w:szCs w:val="20"/>
                <w:highlight w:val="none"/>
                <w:lang w:val="en-US" w:eastAsia="zh-CN"/>
              </w:rPr>
              <w:t>3</w:t>
            </w:r>
            <w:r>
              <w:rPr>
                <w:rFonts w:hint="eastAsia" w:ascii="仿宋" w:hAnsi="仿宋" w:eastAsia="仿宋" w:cs="仿宋"/>
                <w:b/>
                <w:bCs w:val="0"/>
                <w:color w:val="auto"/>
                <w:sz w:val="20"/>
                <w:szCs w:val="20"/>
                <w:highlight w:val="none"/>
                <w:lang w:val="zh-CN" w:eastAsia="zh-CN"/>
              </w:rPr>
              <w:t>月</w:t>
            </w:r>
            <w:r>
              <w:rPr>
                <w:rFonts w:hint="eastAsia" w:ascii="仿宋" w:hAnsi="仿宋" w:eastAsia="仿宋" w:cs="仿宋"/>
                <w:b/>
                <w:bCs w:val="0"/>
                <w:color w:val="auto"/>
                <w:sz w:val="20"/>
                <w:szCs w:val="20"/>
                <w:highlight w:val="none"/>
                <w:lang w:val="en-US" w:eastAsia="zh-CN"/>
              </w:rPr>
              <w:t>27</w:t>
            </w:r>
            <w:r>
              <w:rPr>
                <w:rFonts w:hint="eastAsia" w:ascii="仿宋" w:hAnsi="仿宋" w:eastAsia="仿宋" w:cs="仿宋"/>
                <w:b/>
                <w:bCs w:val="0"/>
                <w:color w:val="auto"/>
                <w:sz w:val="20"/>
                <w:szCs w:val="20"/>
                <w:highlight w:val="none"/>
                <w:lang w:val="zh-CN" w:eastAsia="zh-CN"/>
              </w:rPr>
              <w:t>日</w:t>
            </w:r>
            <w:r>
              <w:rPr>
                <w:rFonts w:hint="eastAsia" w:ascii="仿宋" w:hAnsi="仿宋" w:eastAsia="仿宋" w:cs="仿宋"/>
                <w:b/>
                <w:bCs w:val="0"/>
                <w:color w:val="auto"/>
                <w:sz w:val="20"/>
                <w:szCs w:val="20"/>
                <w:highlight w:val="none"/>
                <w:lang w:val="en-US" w:eastAsia="zh-CN"/>
              </w:rPr>
              <w:t>12：00分</w:t>
            </w:r>
            <w:r>
              <w:rPr>
                <w:rFonts w:hint="eastAsia" w:ascii="仿宋" w:hAnsi="仿宋" w:eastAsia="仿宋" w:cs="仿宋"/>
                <w:bCs/>
                <w:color w:val="auto"/>
                <w:sz w:val="20"/>
                <w:szCs w:val="20"/>
                <w:highlight w:val="none"/>
                <w:lang w:eastAsia="zh-CN"/>
              </w:rPr>
              <w:t>（北京时间，以到账时间为准)</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bCs/>
                <w:color w:val="auto"/>
                <w:sz w:val="20"/>
                <w:szCs w:val="20"/>
                <w:highlight w:val="none"/>
                <w:lang w:eastAsia="zh-CN"/>
              </w:rPr>
              <w:t>注：（1）用转账或银行电汇提交保证金的，应当从其基本账户转入招标代理机构银行账户；未按招标要求缴纳投标保证金的，视为非实质性响应。（请各供应商在缴纳保证金时</w:t>
            </w:r>
            <w:r>
              <w:rPr>
                <w:rFonts w:hint="eastAsia" w:ascii="仿宋" w:hAnsi="仿宋" w:eastAsia="仿宋" w:cs="仿宋"/>
                <w:b/>
                <w:bCs w:val="0"/>
                <w:color w:val="auto"/>
                <w:sz w:val="20"/>
                <w:szCs w:val="20"/>
                <w:highlight w:val="none"/>
                <w:lang w:eastAsia="zh-CN"/>
              </w:rPr>
              <w:t>注明项目名称</w:t>
            </w:r>
            <w:r>
              <w:rPr>
                <w:rFonts w:hint="eastAsia" w:ascii="仿宋" w:hAnsi="仿宋" w:eastAsia="仿宋" w:cs="仿宋"/>
                <w:bCs/>
                <w:color w:val="auto"/>
                <w:sz w:val="20"/>
                <w:szCs w:val="20"/>
                <w:highlight w:val="none"/>
                <w:lang w:eastAsia="zh-CN"/>
              </w:rPr>
              <w:t>、</w:t>
            </w:r>
            <w:r>
              <w:rPr>
                <w:rFonts w:hint="eastAsia" w:ascii="仿宋" w:hAnsi="仿宋" w:eastAsia="仿宋" w:cs="仿宋"/>
                <w:b/>
                <w:bCs w:val="0"/>
                <w:color w:val="auto"/>
                <w:sz w:val="20"/>
                <w:szCs w:val="20"/>
                <w:highlight w:val="none"/>
                <w:lang w:val="en-US" w:eastAsia="zh-CN"/>
              </w:rPr>
              <w:t>标段</w:t>
            </w:r>
            <w:r>
              <w:rPr>
                <w:rFonts w:hint="eastAsia" w:ascii="仿宋" w:hAnsi="仿宋" w:eastAsia="仿宋" w:cs="仿宋"/>
                <w:bCs/>
                <w:color w:val="auto"/>
                <w:sz w:val="20"/>
                <w:szCs w:val="20"/>
                <w:highlight w:val="none"/>
                <w:lang w:eastAsia="zh-CN"/>
              </w:rPr>
              <w:t>（若字数超标，可自行简写项目名称、</w:t>
            </w:r>
            <w:r>
              <w:rPr>
                <w:rFonts w:hint="eastAsia" w:ascii="仿宋" w:hAnsi="仿宋" w:eastAsia="仿宋" w:cs="仿宋"/>
                <w:bCs/>
                <w:color w:val="auto"/>
                <w:sz w:val="20"/>
                <w:szCs w:val="20"/>
                <w:highlight w:val="none"/>
                <w:lang w:val="en-US" w:eastAsia="zh-CN"/>
              </w:rPr>
              <w:t>包号</w:t>
            </w:r>
            <w:r>
              <w:rPr>
                <w:rFonts w:hint="eastAsia" w:ascii="仿宋" w:hAnsi="仿宋" w:eastAsia="仿宋" w:cs="仿宋"/>
                <w:bCs/>
                <w:color w:val="auto"/>
                <w:sz w:val="20"/>
                <w:szCs w:val="20"/>
                <w:highlight w:val="none"/>
                <w:lang w:eastAsia="zh-CN"/>
              </w:rPr>
              <w:t>），如未注明，造成保证金无法查明的，责任由供应商承担）</w:t>
            </w:r>
          </w:p>
          <w:p>
            <w:pPr>
              <w:pageBreakBefore w:val="0"/>
              <w:widowControl w:val="0"/>
              <w:kinsoku/>
              <w:wordWrap/>
              <w:overflowPunct/>
              <w:topLinePunct w:val="0"/>
              <w:autoSpaceDE w:val="0"/>
              <w:autoSpaceDN w:val="0"/>
              <w:bidi w:val="0"/>
              <w:adjustRightInd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bCs/>
                <w:color w:val="auto"/>
                <w:sz w:val="20"/>
                <w:szCs w:val="20"/>
                <w:highlight w:val="none"/>
                <w:lang w:eastAsia="zh-CN"/>
              </w:rPr>
              <w:t>（2）供应商以转账或银行电汇形式提交保证金的应充分考虑资金在途时间，保证金应于投标保证金递交截止时间前到账</w:t>
            </w:r>
            <w:r>
              <w:rPr>
                <w:rFonts w:hint="eastAsia" w:ascii="仿宋" w:hAnsi="仿宋" w:eastAsia="仿宋" w:cs="仿宋"/>
                <w:color w:val="auto"/>
                <w:sz w:val="20"/>
                <w:szCs w:val="20"/>
                <w:highlight w:val="none"/>
              </w:rPr>
              <w:t xml:space="preserve">             </w:t>
            </w:r>
          </w:p>
        </w:tc>
      </w:tr>
      <w:tr>
        <w:tblPrEx>
          <w:tblLayout w:type="fixed"/>
          <w:tblCellMar>
            <w:top w:w="0" w:type="dxa"/>
            <w:left w:w="108" w:type="dxa"/>
            <w:bottom w:w="49" w:type="dxa"/>
            <w:right w:w="115" w:type="dxa"/>
          </w:tblCellMar>
        </w:tblPrEx>
        <w:trPr>
          <w:trHeight w:val="2033"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9</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3</w:t>
            </w:r>
          </w:p>
        </w:tc>
        <w:tc>
          <w:tcPr>
            <w:tcW w:w="24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通讯联系</w:t>
            </w:r>
          </w:p>
        </w:tc>
        <w:tc>
          <w:tcPr>
            <w:tcW w:w="523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自提交</w:t>
            </w:r>
            <w:r>
              <w:rPr>
                <w:rFonts w:hint="eastAsia" w:ascii="仿宋" w:hAnsi="仿宋" w:eastAsia="仿宋" w:cs="仿宋"/>
                <w:color w:val="auto"/>
                <w:sz w:val="20"/>
                <w:szCs w:val="20"/>
                <w:highlight w:val="none"/>
                <w:lang w:eastAsia="zh-CN"/>
              </w:rPr>
              <w:t>磋商文件</w:t>
            </w:r>
            <w:r>
              <w:rPr>
                <w:rFonts w:hint="eastAsia" w:ascii="仿宋" w:hAnsi="仿宋" w:eastAsia="仿宋" w:cs="仿宋"/>
                <w:color w:val="auto"/>
                <w:sz w:val="20"/>
                <w:szCs w:val="20"/>
                <w:highlight w:val="none"/>
              </w:rPr>
              <w:t>之时起至评标结束止，应确保其提供的联系方式一直保持有效和畅通，以保证在招投标期间需进行往来函件或与之有关的事宜能及时发送或通知</w:t>
            </w: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，并能及时反馈信息。否则，</w:t>
            </w:r>
            <w:r>
              <w:rPr>
                <w:rFonts w:hint="eastAsia" w:ascii="仿宋" w:hAnsi="仿宋" w:eastAsia="仿宋" w:cs="仿宋"/>
                <w:color w:val="auto"/>
                <w:sz w:val="20"/>
                <w:szCs w:val="20"/>
                <w:highlight w:val="none"/>
                <w:lang w:eastAsia="zh-CN"/>
              </w:rPr>
              <w:t>采购人</w:t>
            </w:r>
            <w:r>
              <w:rPr>
                <w:rFonts w:hint="eastAsia" w:ascii="仿宋" w:hAnsi="仿宋" w:eastAsia="仿宋" w:cs="仿宋"/>
                <w:color w:val="auto"/>
                <w:sz w:val="20"/>
                <w:szCs w:val="20"/>
                <w:highlight w:val="none"/>
              </w:rPr>
              <w:t>（或招标代理机构）不承担由此（提供的联系方式无效或通讯不畅）引起的一切后果。</w:t>
            </w:r>
          </w:p>
        </w:tc>
      </w:tr>
      <w:tr>
        <w:tblPrEx>
          <w:tblLayout w:type="fixed"/>
          <w:tblCellMar>
            <w:top w:w="0" w:type="dxa"/>
            <w:left w:w="108" w:type="dxa"/>
            <w:bottom w:w="49" w:type="dxa"/>
            <w:right w:w="115" w:type="dxa"/>
          </w:tblCellMar>
        </w:tblPrEx>
        <w:trPr>
          <w:trHeight w:val="518"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9</w:t>
            </w: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4</w:t>
            </w:r>
          </w:p>
        </w:tc>
        <w:tc>
          <w:tcPr>
            <w:tcW w:w="24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应承担的费用</w:t>
            </w:r>
          </w:p>
        </w:tc>
        <w:tc>
          <w:tcPr>
            <w:tcW w:w="523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费用承担详见</w:t>
            </w:r>
            <w:r>
              <w:rPr>
                <w:rFonts w:hint="eastAsia" w:ascii="仿宋" w:hAnsi="仿宋" w:eastAsia="仿宋" w:cs="仿宋"/>
                <w:color w:val="auto"/>
                <w:sz w:val="20"/>
                <w:szCs w:val="20"/>
                <w:highlight w:val="none"/>
                <w:lang w:eastAsia="zh-CN"/>
              </w:rPr>
              <w:t>供应商</w:t>
            </w:r>
            <w:r>
              <w:rPr>
                <w:rFonts w:hint="eastAsia" w:ascii="仿宋" w:hAnsi="仿宋" w:eastAsia="仿宋" w:cs="仿宋"/>
                <w:color w:val="auto"/>
                <w:sz w:val="20"/>
                <w:szCs w:val="20"/>
                <w:highlight w:val="none"/>
              </w:rPr>
              <w:t>须知</w:t>
            </w:r>
            <w:r>
              <w:rPr>
                <w:rFonts w:hint="eastAsia" w:ascii="仿宋" w:hAnsi="仿宋" w:eastAsia="仿宋" w:cs="仿宋"/>
                <w:color w:val="auto"/>
                <w:sz w:val="20"/>
                <w:szCs w:val="20"/>
                <w:highlight w:val="none"/>
                <w:lang w:val="en-US" w:eastAsia="zh-CN"/>
              </w:rPr>
              <w:t>总则</w:t>
            </w:r>
            <w:r>
              <w:rPr>
                <w:rFonts w:hint="eastAsia" w:ascii="仿宋" w:hAnsi="仿宋" w:eastAsia="仿宋" w:cs="仿宋"/>
                <w:color w:val="auto"/>
                <w:sz w:val="20"/>
                <w:szCs w:val="20"/>
                <w:highlight w:val="none"/>
              </w:rPr>
              <w:t>部分“第1.5.1款”</w:t>
            </w:r>
          </w:p>
        </w:tc>
      </w:tr>
      <w:tr>
        <w:tblPrEx>
          <w:tblLayout w:type="fixed"/>
          <w:tblCellMar>
            <w:top w:w="0" w:type="dxa"/>
            <w:left w:w="108" w:type="dxa"/>
            <w:bottom w:w="49" w:type="dxa"/>
            <w:right w:w="115" w:type="dxa"/>
          </w:tblCellMar>
        </w:tblPrEx>
        <w:trPr>
          <w:trHeight w:val="518"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9.5</w:t>
            </w:r>
          </w:p>
        </w:tc>
        <w:tc>
          <w:tcPr>
            <w:tcW w:w="24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评审办法</w:t>
            </w:r>
          </w:p>
        </w:tc>
        <w:tc>
          <w:tcPr>
            <w:tcW w:w="523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综合评分法</w:t>
            </w:r>
          </w:p>
        </w:tc>
      </w:tr>
      <w:tr>
        <w:tblPrEx>
          <w:tblLayout w:type="fixed"/>
          <w:tblCellMar>
            <w:top w:w="0" w:type="dxa"/>
            <w:left w:w="108" w:type="dxa"/>
            <w:bottom w:w="49" w:type="dxa"/>
            <w:right w:w="115" w:type="dxa"/>
          </w:tblCellMar>
        </w:tblPrEx>
        <w:trPr>
          <w:trHeight w:val="1649" w:hRule="atLeast"/>
        </w:trPr>
        <w:tc>
          <w:tcPr>
            <w:tcW w:w="708"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9.6</w:t>
            </w:r>
          </w:p>
        </w:tc>
        <w:tc>
          <w:tcPr>
            <w:tcW w:w="2441" w:type="dxa"/>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中标服务费</w:t>
            </w:r>
          </w:p>
        </w:tc>
        <w:tc>
          <w:tcPr>
            <w:tcW w:w="5231"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仿宋" w:hAnsi="仿宋" w:eastAsia="仿宋" w:cs="仿宋"/>
                <w:bCs/>
                <w:color w:val="auto"/>
                <w:kern w:val="2"/>
                <w:sz w:val="20"/>
                <w:szCs w:val="20"/>
                <w:highlight w:val="none"/>
                <w:lang w:val="en-US" w:eastAsia="zh-CN" w:bidi="ar-SA"/>
              </w:rPr>
            </w:pPr>
            <w:r>
              <w:rPr>
                <w:rFonts w:hint="eastAsia" w:ascii="仿宋" w:hAnsi="仿宋" w:eastAsia="仿宋" w:cs="仿宋"/>
                <w:bCs/>
                <w:color w:val="auto"/>
                <w:kern w:val="2"/>
                <w:sz w:val="20"/>
                <w:szCs w:val="20"/>
                <w:highlight w:val="none"/>
                <w:lang w:val="en-US" w:eastAsia="zh-CN" w:bidi="ar-SA"/>
              </w:rPr>
              <w:t>收费标准及收费金额：参照《招标代理服务收费管理暂行办法》（计价格【2002】1980号）规定执行，招标代理费由中标单位支付。</w:t>
            </w:r>
          </w:p>
          <w:p>
            <w:pPr>
              <w:pageBreakBefore w:val="0"/>
              <w:widowControl w:val="0"/>
              <w:kinsoku/>
              <w:wordWrap/>
              <w:overflowPunct/>
              <w:topLinePunct w:val="0"/>
              <w:bidi w:val="0"/>
              <w:adjustRightInd w:val="0"/>
              <w:snapToGrid w:val="0"/>
              <w:spacing w:beforeAutospacing="0" w:after="0" w:afterAutospacing="0" w:line="360" w:lineRule="auto"/>
              <w:ind w:left="0" w:leftChars="0" w:right="0" w:firstLine="0" w:firstLineChars="0"/>
              <w:jc w:val="left"/>
              <w:textAlignment w:val="auto"/>
              <w:rPr>
                <w:rFonts w:hint="eastAsia" w:ascii="仿宋" w:hAnsi="仿宋" w:eastAsia="仿宋" w:cs="仿宋"/>
                <w:sz w:val="20"/>
                <w:szCs w:val="20"/>
                <w:highlight w:val="none"/>
                <w:lang w:val="en-US" w:eastAsia="zh-CN"/>
              </w:rPr>
            </w:pPr>
            <w:r>
              <w:rPr>
                <w:rFonts w:hint="eastAsia" w:ascii="仿宋" w:hAnsi="仿宋" w:eastAsia="仿宋" w:cs="仿宋"/>
                <w:bCs/>
                <w:color w:val="auto"/>
                <w:kern w:val="2"/>
                <w:sz w:val="20"/>
                <w:szCs w:val="20"/>
                <w:highlight w:val="none"/>
                <w:lang w:val="en-US" w:eastAsia="zh-CN" w:bidi="ar-SA"/>
              </w:rPr>
              <w:t>收取方式：电汇、网银转账</w:t>
            </w:r>
          </w:p>
        </w:tc>
      </w:tr>
      <w:bookmarkEnd w:id="10"/>
    </w:tbl>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pStyle w:val="18"/>
        <w:rPr>
          <w:rFonts w:hint="eastAsia" w:ascii="仿宋" w:hAnsi="仿宋" w:eastAsia="仿宋" w:cs="仿宋"/>
        </w:rPr>
      </w:pPr>
    </w:p>
    <w:p>
      <w:pPr>
        <w:rPr>
          <w:rFonts w:hint="eastAsia" w:ascii="仿宋" w:hAnsi="仿宋" w:eastAsia="仿宋" w:cs="仿宋"/>
          <w:lang w:val="en-US" w:eastAsia="zh-CN"/>
        </w:rPr>
        <w:sectPr>
          <w:pgSz w:w="11906" w:h="16839"/>
          <w:pgMar w:top="1440" w:right="1800" w:bottom="1440" w:left="1800" w:header="0" w:footer="1202" w:gutter="0"/>
          <w:pgNumType w:fmt="decimal"/>
          <w:cols w:space="720" w:num="1"/>
        </w:sectPr>
      </w:pPr>
    </w:p>
    <w:p>
      <w:pPr>
        <w:spacing w:line="251" w:lineRule="auto"/>
        <w:rPr>
          <w:rFonts w:hint="eastAsia" w:ascii="仿宋" w:hAnsi="仿宋" w:eastAsia="仿宋" w:cs="仿宋"/>
          <w:sz w:val="21"/>
        </w:rPr>
      </w:pP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 总则</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招标项目概况</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根据《中华人民共和国招标投标法》、《中华人民共和国招标投标法实施条例》等有关法律、法规和规章的规定，本招标项目已具备招标条件，现对</w:t>
      </w:r>
      <w:r>
        <w:rPr>
          <w:rFonts w:hint="eastAsia" w:ascii="仿宋" w:hAnsi="仿宋" w:eastAsia="仿宋" w:cs="仿宋"/>
          <w:color w:val="auto"/>
          <w:sz w:val="24"/>
          <w:szCs w:val="24"/>
          <w:highlight w:val="none"/>
          <w:lang w:val="en-US" w:eastAsia="zh-CN"/>
        </w:rPr>
        <w:t>施工</w:t>
      </w:r>
      <w:r>
        <w:rPr>
          <w:rFonts w:hint="eastAsia" w:ascii="仿宋" w:hAnsi="仿宋" w:eastAsia="仿宋" w:cs="仿宋"/>
          <w:color w:val="auto"/>
          <w:sz w:val="24"/>
          <w:szCs w:val="24"/>
          <w:highlight w:val="none"/>
        </w:rPr>
        <w:t>进行招标。</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1.1.2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招标代理机构：见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招标项目名称：见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项目建设地点：见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1.1.6 项目建设规模：见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1.1.7 项目投资估算：见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1.2 招标项目的资金来源和落实情况</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资金来源及比例：见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资金落实情况：见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1.3 招标范围、</w:t>
      </w:r>
      <w:r>
        <w:rPr>
          <w:rFonts w:hint="eastAsia" w:ascii="仿宋" w:hAnsi="仿宋" w:eastAsia="仿宋" w:cs="仿宋"/>
          <w:b/>
          <w:color w:val="auto"/>
          <w:sz w:val="24"/>
          <w:szCs w:val="24"/>
          <w:highlight w:val="none"/>
          <w:lang w:val="en-US" w:eastAsia="zh-CN"/>
        </w:rPr>
        <w:t>工程</w:t>
      </w:r>
      <w:r>
        <w:rPr>
          <w:rFonts w:hint="eastAsia" w:ascii="仿宋" w:hAnsi="仿宋" w:eastAsia="仿宋" w:cs="仿宋"/>
          <w:b/>
          <w:color w:val="auto"/>
          <w:sz w:val="24"/>
          <w:szCs w:val="24"/>
          <w:highlight w:val="none"/>
        </w:rPr>
        <w:t>期限和质量标准</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招标范围：见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1.3.2 </w:t>
      </w:r>
      <w:r>
        <w:rPr>
          <w:rFonts w:hint="eastAsia" w:ascii="仿宋" w:hAnsi="仿宋" w:eastAsia="仿宋" w:cs="仿宋"/>
          <w:color w:val="auto"/>
          <w:sz w:val="24"/>
          <w:szCs w:val="24"/>
          <w:highlight w:val="none"/>
          <w:lang w:val="en-US" w:eastAsia="zh-CN"/>
        </w:rPr>
        <w:t>工程</w:t>
      </w:r>
      <w:r>
        <w:rPr>
          <w:rFonts w:hint="eastAsia" w:ascii="仿宋" w:hAnsi="仿宋" w:eastAsia="仿宋" w:cs="仿宋"/>
          <w:color w:val="auto"/>
          <w:sz w:val="24"/>
          <w:szCs w:val="24"/>
          <w:highlight w:val="none"/>
        </w:rPr>
        <w:t>期限：见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质量标准：见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1.4 </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资格要求</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应具备承担本招标项目资质条件、能力和信誉：见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需要提交的相关证明材料见本章第 3.5 款的规定。</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须知前附表规定接受联合体投标的，联合体除应符合本章1.4.1 项和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须知前附表的要求外，还应遵守以下规定：</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（1）联合体各方应按竞争性磋商提供的格式签订联合体协议书，明确联合体牵头人和各方权利义务，并承诺就中标项目向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承担连带责任；</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（2）由同一专业的单位组成的联合体，按照资质等级较低的单位确定资质等级；</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（3）联合体各方不得再以自己名义单独或参加其他联合体在本招标项目中投标，否则各相关投标均无效。</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（4）本项目不接受联合体投标。</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不得存在下列情形之一：</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不具有独立法人资格的附属机构（单位）；</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存在利害关系且可能影响招标公正性；</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（3）与本招标项目的其他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为同一个单位负责人；</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（4）与本招标项目的其他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存在控股、管理关系；</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（5）为本招标项目的代建人；</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（6）为本招标项目的招标代理机构；</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（7）与本招标项目的代建人或招标代理机构同为一个法定代表人；</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（8）与本招标项目的代建人或招标代理机构存在控股或参股关系；</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（9）被依法暂停或者取消投标资格；</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（10）被责令停产停业、暂扣或者吊销许可证、暂扣或者吊销执照；</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（11）进入清算程序，或被宣告破产，或其他丧失履约能力的情形；</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（12）在最近三年内发生重大质量问题（以相关行业主管部门的行政处罚决定或司法机关出具的有关法律文书为准）；</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（13）被工商行政管理机关在全国企业信用信息公示系统中列入严重违法失信企业名单；</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（14）被最高人民法院在“信用中国”网站（www.creditchina.gov.cn）或各级信用信息共享平台中列入失信被执行人名单；</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（15）在近三年内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或其法定代表人、拟委任的项目负责人有行贿犯罪行为的（以检察机关职务犯罪预防部门出具的查询结果为准）；</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（16）法律法规或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须知前附表规定的其他情形。</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 费用承担</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为准备和参加投标活动所发生的一切费用均由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自行承担，包括（但不限于）：按照自治区发改委新发改医价[2012]832 号文规定向提供场地、设施及服务的交易场经营机构交纳场地及设施服务费；一旦中标还应承担：招标代理费等，计取后分摊至各分项报价并计入投标总报价中，但不得单独列项。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在递交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的同时视为同意承担上述费用，否则，将被视为自动放弃中标结果，其投标保证金将不予退还。敬请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注意！。</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1.6 保密</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参与招标投标活动的各方应对竞争性磋商和</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中的商业和技术等秘密保密，否则应承担相应的法律责任。</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1.7 语言文字</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使用的语言文字为中文。专用术语使用外文的，应附有中文注释。</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1.8 计量单位</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1.9 踏勘现场</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须知前附表规定组织踏勘现场的，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须知前附表规定的时间、地点组织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踏勘项目现场。部分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未按时参加踏勘现场的，不影响踏勘现场的正常进行。</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踏勘现场发生的费用自理。</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除</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的原因外，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自行负责在踏勘现场中所发生的人员伤亡和财产损失。</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在踏勘现场中介绍的工程场地和相关的周边环境情况，供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在编制</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时参考，</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据此作出的判断和决策负责。</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1.10 投标预备会</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须知前附表规定召开投标预备会的，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须知前附表规定的时间和地点召开投标预备会，澄清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提出的问题。</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须知前附表规定的时间和形式将提出的问题送达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，以便</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在会议期间澄清。</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 投标预备会后，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所提问题的澄清，以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须知前附表规定的形式通知所有购买竞争性磋商的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。该澄清内容为竞争性磋商的组成部分。</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1.11 分包</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1.11.1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拟在中标后将中标项目的非主体、非关键性工作进行分包的，应符合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须知前附表规定的分包内容、分包金额和资质要求等限制性条件，除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须知前附表规定的非主体、非关键性工作外，其他工作不得分包。</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中标人不得向他人转让中标项目，接受分包的人不得再次分包。中标人应当就分包项目向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负责，接受分包的人就分包项目承担连带责任。</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1.12 响应和偏差</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应当对竞争性磋商的实质性要求和条件作出满足性或更有利于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的响应，否则，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的投标将被否决。实质性要求和条件见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1.12.2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应根据竞争性磋商的要求提供投标</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方案等内容以对竞争性磋商作出响应。</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1.12.3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须知前附表允许</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偏离竞争性磋商某些要求的，偏差应当符合竞争性磋商规定的偏差范围和幅度。</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 竞争性磋商文件</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竞争性磋商文件的组成</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本竞争性磋商文件包括：</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（1）招标公告；</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（3）评标办法；</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（4）合同条款及格式；</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项目采购需</w:t>
      </w:r>
      <w:r>
        <w:rPr>
          <w:rFonts w:hint="eastAsia" w:ascii="仿宋" w:hAnsi="仿宋" w:eastAsia="仿宋" w:cs="仿宋"/>
          <w:color w:val="auto"/>
          <w:sz w:val="24"/>
          <w:szCs w:val="24"/>
          <w:highlight w:val="none"/>
        </w:rPr>
        <w:t>求；</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格式；</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须知前附表规定的其他资料。</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根据本章第 1.10款、第2.2 款和第 2.3 款对竞争性磋商所作的澄清、修改，构成竞争性磋商的组成部分。</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竞争性磋商文件的澄清</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应仔细阅读和检查竞争性磋商文件的全部内容。如发现缺页或附件不全，应及时向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提出，以便补齐。如有疑问，应按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须知前附表规定的时间和形式将提出的问题送达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对竞争性磋商予以澄清。</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竞争性磋商文件的澄清以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须知前附表规定的形式发给所有购买竞争性磋商的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，但不指明澄清问题的来源。澄清发出的时间距本章4.2.1 项规定的投标截止时间不足15 日的，并且澄清内容可能影响</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编制的，将相应延长投标截止时间。</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2.2.3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在收到澄清后，应按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，确认已收到该澄清。</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 除非</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认为确有必要答复，否则，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有权拒绝回复</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在本章第2.2.1项规定的时间后的任何澄清要求。</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2.3 竞争性磋商文件的修改</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2.3.1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须知前附表规定的形式修改竞争性磋商文件，并通知所有已购买竞争性磋商文件的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。修改竞争性磋商文件的时间距本章第 4.2.1 项规定的投标截止时间不足15 日的，并且修改内容可能影响</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编制的，将相应延长投标截止时间。</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2.3.2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收到修改内容后，应按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，确认已收到该修改。</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2.4 竞争性磋商文件的异议</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或者其他利害关系人对竞争性磋商文件有异议的，应当在投标截止时间 10 日前以书面形式提出。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将在收到异议之日起 3 日内作出答复；作出答复前，将暂停招标投标活动。</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 xml:space="preserve">3. </w:t>
      </w:r>
      <w:r>
        <w:rPr>
          <w:rFonts w:hint="eastAsia" w:ascii="仿宋" w:hAnsi="仿宋" w:eastAsia="仿宋" w:cs="仿宋"/>
          <w:b/>
          <w:color w:val="auto"/>
          <w:sz w:val="24"/>
          <w:szCs w:val="24"/>
          <w:highlight w:val="none"/>
          <w:lang w:eastAsia="zh-CN"/>
        </w:rPr>
        <w:t>磋商文件</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3.1 </w:t>
      </w:r>
      <w:r>
        <w:rPr>
          <w:rFonts w:hint="eastAsia" w:ascii="仿宋" w:hAnsi="仿宋" w:eastAsia="仿宋" w:cs="仿宋"/>
          <w:b/>
          <w:color w:val="auto"/>
          <w:sz w:val="24"/>
          <w:szCs w:val="24"/>
          <w:highlight w:val="none"/>
          <w:lang w:eastAsia="zh-CN"/>
        </w:rPr>
        <w:t>磋商文件</w:t>
      </w:r>
      <w:r>
        <w:rPr>
          <w:rFonts w:hint="eastAsia" w:ascii="仿宋" w:hAnsi="仿宋" w:eastAsia="仿宋" w:cs="仿宋"/>
          <w:b/>
          <w:color w:val="auto"/>
          <w:sz w:val="24"/>
          <w:szCs w:val="24"/>
          <w:highlight w:val="none"/>
        </w:rPr>
        <w:t>的组成</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3.1.1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应包括下列内容：</w:t>
      </w:r>
    </w:p>
    <w:p>
      <w:pPr>
        <w:keepNext w:val="0"/>
        <w:keepLines w:val="0"/>
        <w:pageBreakBefore w:val="0"/>
        <w:widowControl w:val="0"/>
        <w:numPr>
          <w:ilvl w:val="0"/>
          <w:numId w:val="0"/>
        </w:numPr>
        <w:kinsoku/>
        <w:wordWrap/>
        <w:overflowPunct/>
        <w:topLinePunct w:val="0"/>
        <w:autoSpaceDE/>
        <w:autoSpaceDN/>
        <w:bidi w:val="0"/>
        <w:spacing w:beforeAutospacing="0" w:after="0" w:afterAutospacing="0" w:line="320" w:lineRule="exact"/>
        <w:ind w:leftChars="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（1）响应</w:t>
      </w:r>
      <w:r>
        <w:rPr>
          <w:rFonts w:hint="eastAsia" w:ascii="仿宋" w:hAnsi="仿宋" w:eastAsia="仿宋" w:cs="仿宋"/>
          <w:color w:val="auto"/>
          <w:sz w:val="24"/>
          <w:szCs w:val="24"/>
          <w:highlight w:val="none"/>
        </w:rPr>
        <w:t>函</w:t>
      </w:r>
    </w:p>
    <w:p>
      <w:pPr>
        <w:pStyle w:val="14"/>
        <w:keepNext w:val="0"/>
        <w:keepLines w:val="0"/>
        <w:pageBreakBefore w:val="0"/>
        <w:widowControl w:val="0"/>
        <w:numPr>
          <w:ilvl w:val="0"/>
          <w:numId w:val="0"/>
        </w:numPr>
        <w:kinsoku/>
        <w:wordWrap/>
        <w:overflowPunct/>
        <w:topLinePunct w:val="0"/>
        <w:autoSpaceDE/>
        <w:autoSpaceDN/>
        <w:bidi w:val="0"/>
        <w:adjustRightInd/>
        <w:snapToGrid/>
        <w:spacing w:after="0" w:line="32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附件1-报价一览表</w:t>
      </w:r>
    </w:p>
    <w:p>
      <w:pPr>
        <w:keepNext w:val="0"/>
        <w:keepLines w:val="0"/>
        <w:pageBreakBefore w:val="0"/>
        <w:widowControl w:val="0"/>
        <w:numPr>
          <w:ilvl w:val="0"/>
          <w:numId w:val="5"/>
        </w:numPr>
        <w:kinsoku/>
        <w:wordWrap/>
        <w:overflowPunct/>
        <w:topLinePunct w:val="0"/>
        <w:autoSpaceDE/>
        <w:autoSpaceDN/>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法定代表人身份证明（适用于无委托代理人的情况）</w:t>
      </w:r>
    </w:p>
    <w:p>
      <w:pPr>
        <w:keepNext w:val="0"/>
        <w:keepLines w:val="0"/>
        <w:pageBreakBefore w:val="0"/>
        <w:widowControl w:val="0"/>
        <w:numPr>
          <w:ilvl w:val="0"/>
          <w:numId w:val="5"/>
        </w:numPr>
        <w:kinsoku/>
        <w:wordWrap/>
        <w:overflowPunct/>
        <w:topLinePunct w:val="0"/>
        <w:autoSpaceDE/>
        <w:autoSpaceDN/>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授权委托书（适用于有委托代理人的情况）</w:t>
      </w:r>
    </w:p>
    <w:p>
      <w:pPr>
        <w:keepNext w:val="0"/>
        <w:keepLines w:val="0"/>
        <w:pageBreakBefore w:val="0"/>
        <w:widowControl w:val="0"/>
        <w:numPr>
          <w:ilvl w:val="0"/>
          <w:numId w:val="5"/>
        </w:numPr>
        <w:kinsoku/>
        <w:wordWrap/>
        <w:overflowPunct/>
        <w:topLinePunct w:val="0"/>
        <w:autoSpaceDE/>
        <w:autoSpaceDN/>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投标保证金</w:t>
      </w:r>
    </w:p>
    <w:p>
      <w:pPr>
        <w:pStyle w:val="14"/>
        <w:keepNext w:val="0"/>
        <w:keepLines w:val="0"/>
        <w:pageBreakBefore w:val="0"/>
        <w:widowControl w:val="0"/>
        <w:numPr>
          <w:ilvl w:val="0"/>
          <w:numId w:val="5"/>
        </w:numPr>
        <w:kinsoku/>
        <w:wordWrap/>
        <w:overflowPunct/>
        <w:topLinePunct w:val="0"/>
        <w:autoSpaceDE/>
        <w:autoSpaceDN/>
        <w:bidi w:val="0"/>
        <w:spacing w:after="0" w:line="32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资格审查资料</w:t>
      </w:r>
    </w:p>
    <w:p>
      <w:pPr>
        <w:pStyle w:val="14"/>
        <w:keepNext w:val="0"/>
        <w:keepLines w:val="0"/>
        <w:pageBreakBefore w:val="0"/>
        <w:widowControl w:val="0"/>
        <w:numPr>
          <w:ilvl w:val="0"/>
          <w:numId w:val="5"/>
        </w:numPr>
        <w:kinsoku/>
        <w:wordWrap/>
        <w:overflowPunct/>
        <w:topLinePunct w:val="0"/>
        <w:autoSpaceDE/>
        <w:autoSpaceDN/>
        <w:bidi w:val="0"/>
        <w:spacing w:after="0" w:line="32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中小企业声明函（服务）</w:t>
      </w:r>
    </w:p>
    <w:p>
      <w:pPr>
        <w:pStyle w:val="14"/>
        <w:keepNext w:val="0"/>
        <w:keepLines w:val="0"/>
        <w:pageBreakBefore w:val="0"/>
        <w:widowControl w:val="0"/>
        <w:numPr>
          <w:ilvl w:val="0"/>
          <w:numId w:val="5"/>
        </w:numPr>
        <w:kinsoku/>
        <w:wordWrap/>
        <w:overflowPunct/>
        <w:topLinePunct w:val="0"/>
        <w:autoSpaceDE/>
        <w:autoSpaceDN/>
        <w:bidi w:val="0"/>
        <w:spacing w:after="0" w:line="320" w:lineRule="exact"/>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其他资料</w:t>
      </w:r>
    </w:p>
    <w:p>
      <w:pPr>
        <w:keepNext w:val="0"/>
        <w:keepLines w:val="0"/>
        <w:pageBreakBefore w:val="0"/>
        <w:widowControl/>
        <w:kinsoku/>
        <w:wordWrap/>
        <w:overflowPunct/>
        <w:topLinePunct w:val="0"/>
        <w:autoSpaceDE/>
        <w:autoSpaceDN/>
        <w:bidi w:val="0"/>
        <w:adjustRightInd/>
        <w:snapToGrid/>
        <w:spacing w:after="0" w:line="32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附件3-不参与围标串标承诺书</w:t>
      </w:r>
    </w:p>
    <w:p>
      <w:pPr>
        <w:pStyle w:val="2"/>
        <w:keepNext w:val="0"/>
        <w:keepLines w:val="0"/>
        <w:pageBreakBefore w:val="0"/>
        <w:numPr>
          <w:ilvl w:val="0"/>
          <w:numId w:val="0"/>
        </w:numPr>
        <w:wordWrap/>
        <w:overflowPunct/>
        <w:topLinePunct w:val="0"/>
        <w:bidi w:val="0"/>
        <w:spacing w:line="32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（8）现场提供给供应商二次磋商报价函进行二次报价或三次报价函进行三次报价。</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在评标过程中作出的符合法律法规和竞争性磋商规定的澄清确认，构成</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3.1.2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须知前附表规定不接受联合体投标</w:t>
      </w:r>
      <w:r>
        <w:rPr>
          <w:rFonts w:hint="eastAsia" w:ascii="仿宋" w:hAnsi="仿宋" w:eastAsia="仿宋" w:cs="仿宋"/>
          <w:color w:val="auto"/>
          <w:sz w:val="24"/>
          <w:szCs w:val="24"/>
          <w:highlight w:val="none"/>
          <w:lang w:eastAsia="zh-CN"/>
        </w:rPr>
        <w:t>。</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须知前附表未要求提交投标保证金的，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不包括本章第 3.1.1（4）目所指的投标保证金。</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 投标报价</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投标报价应包括国家规定的增值税税金，除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须知前附表另有规定外，增值税税金按一般计税方法计算。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应按第六章“</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格式”的要求在投标函中进行报价并填写费用清单。</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应充分了解该项目的总体情况以及影响投标报价的其他要素进行报价。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的投标报价包括了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为完成本招标项目所需的全部费用。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本项目的报价方式见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在投标截止时间前修改投标函中的投标报价总额，应同时修改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“费用清单”中的相应报价。此修改须符合本章第 4.3 款的有关要求。</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3.2.4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设有最高投标限价的，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的投标报价不得超过最高投标限价，最高投标限价在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须知前附表中载明。</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3.2.5 投标报价的其他要求见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3.3 投标有效期</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须知前附表另有规定外，投标有效期为</w:t>
      </w:r>
      <w:r>
        <w:rPr>
          <w:rFonts w:hint="eastAsia" w:ascii="仿宋" w:hAnsi="仿宋" w:eastAsia="仿宋" w:cs="仿宋"/>
          <w:color w:val="auto"/>
          <w:sz w:val="24"/>
          <w:szCs w:val="24"/>
          <w:highlight w:val="none"/>
          <w:u w:val="single"/>
        </w:rPr>
        <w:t xml:space="preserve">  90  </w:t>
      </w:r>
      <w:r>
        <w:rPr>
          <w:rFonts w:hint="eastAsia" w:ascii="仿宋" w:hAnsi="仿宋" w:eastAsia="仿宋" w:cs="仿宋"/>
          <w:color w:val="auto"/>
          <w:sz w:val="24"/>
          <w:szCs w:val="24"/>
          <w:highlight w:val="none"/>
        </w:rPr>
        <w:t>天。</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在投标有效期内，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撤销</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的，应承担竞争性磋商和法律规定的责任。</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 出现特殊情况需要延长投标有效期的，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延长投标有效期。</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应予以书面答复，同意延长的，应相应延长其投标保证金的有效期，但不得要求或被允许修改其</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拒绝延长的，其投标失效，但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有权收回其投标保证金及以现金或者支票形式递交的投标保证金的银行同期存款利息。</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3.4 投标保证金</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在递交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的同时，应按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须知前附表规定的金额、形式和第六章“</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格式”规定的投标保证金格式递交投标保证金，并作为其</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的组成部分。境内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以现金或者支票形式提交的投标保证金，应当从其基本账户转出或现金并在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中附上基本账户开户证明。联合体投标的，其投标保证金可以由牵头人递交，并应符合</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须知前附表的规定。</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3.4.2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不按本章第 3.4.1 项要求提交投标保证金的，</w:t>
      </w:r>
      <w:r>
        <w:rPr>
          <w:rFonts w:hint="eastAsia" w:ascii="仿宋" w:hAnsi="仿宋" w:eastAsia="仿宋" w:cs="仿宋"/>
          <w:b w:val="0"/>
          <w:bCs/>
          <w:color w:val="auto"/>
          <w:sz w:val="24"/>
          <w:szCs w:val="24"/>
          <w:highlight w:val="none"/>
        </w:rPr>
        <w:t>评标委员会将否决其投标。</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3.4.3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最迟将在与中标人签订合同后 5 日内，向未中标的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和中标人退还投标保证金。投标保证金以现金或者支票形式递交的，还应退还银行同期存款利息。</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3.4.4 有下列情形之一的，投标保证金将不予退还：</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在投标有效期内撤销</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（2）中标人在收到中标通知书后，无正当理由不与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订立合同，在签订合同时向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提出附加条件，或者不按照竞争性磋商要求提交履约保证金；</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（3）发生</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须知前附表规定的其他可以不予退还投标保证金的情形。</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3.5 资格审查资料（适用于未进行资格预审的）</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应按下列规定提供资格审查资料，以证明其满足本章第 1.4 款规定的资质、业绩、信誉等要求。</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基本情况表”应附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营业执照和组织机构代码证的复印件（按照“三证合一”或“五证合一”登记制度进行登记的，可仅提供营业执照复印件）、</w:t>
      </w:r>
      <w:r>
        <w:rPr>
          <w:rFonts w:hint="eastAsia" w:ascii="仿宋" w:hAnsi="仿宋" w:eastAsia="仿宋" w:cs="仿宋"/>
          <w:color w:val="auto"/>
          <w:sz w:val="24"/>
          <w:szCs w:val="24"/>
          <w:highlight w:val="none"/>
          <w:lang w:val="en-US" w:eastAsia="zh-CN"/>
        </w:rPr>
        <w:t>资质证书、安全生产许可证、开户许可证</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  “近年完成的类似项目情况表”应附中标通知书和合同协议书、发包人出具的证明文件；具体时间要求见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“正在和新承接的项目情况表”应附中标通知书和合同协议书复印件。</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“近年发生的诉讼及仲裁情况”应说明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败诉的合同的相关情况，</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须知前附表规定接受联合体投标的，本章第 3.5.1 项至第 3.5.</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 项规定的表格和资料应包括联合体各方相关情况。</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3.6 备选投标方案</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3.6.1 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须知前附表规定允许外，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不得递交备选投标方案，否则其投标将被否决。</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3.6.2 允许</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递交备选投标方案的，只有中标人所递交的备选投标方案方可予以考虑。评标委员会认为中标人的备选投标方案优于其按照竞争性磋商要求编制的投标方案的，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可以接受该备选投标方案。</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3.6.3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提供两个或两个以上投标报价，或者在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中提供一个报价，但同时提供两个或两个以上方案的，视为提供备选方案。</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3.7 </w:t>
      </w:r>
      <w:r>
        <w:rPr>
          <w:rFonts w:hint="eastAsia" w:ascii="仿宋" w:hAnsi="仿宋" w:eastAsia="仿宋" w:cs="仿宋"/>
          <w:b/>
          <w:color w:val="auto"/>
          <w:sz w:val="24"/>
          <w:szCs w:val="24"/>
          <w:highlight w:val="none"/>
          <w:lang w:eastAsia="zh-CN"/>
        </w:rPr>
        <w:t>磋商文件</w:t>
      </w:r>
      <w:r>
        <w:rPr>
          <w:rFonts w:hint="eastAsia" w:ascii="仿宋" w:hAnsi="仿宋" w:eastAsia="仿宋" w:cs="仿宋"/>
          <w:b/>
          <w:color w:val="auto"/>
          <w:sz w:val="24"/>
          <w:szCs w:val="24"/>
          <w:highlight w:val="none"/>
        </w:rPr>
        <w:t>的编制</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3.7.1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应按第六章“</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格式”进行编写，如有必要，可以增加附页，作为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的组成部分。其中，投标函附录在满足竞争性磋商实质性要求的基础上，可以提出比竞争性磋商要求更有利于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的承诺。</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3.7.2 </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应当对竞争性磋商有关服务期限、投标有效期、发包人要求、招标范围等实质性内容作出响应。</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3.7.3</w:t>
      </w:r>
      <w:r>
        <w:rPr>
          <w:rFonts w:hint="eastAsia" w:ascii="仿宋" w:hAnsi="仿宋" w:eastAsia="仿宋" w:cs="仿宋"/>
          <w:color w:val="auto"/>
          <w:sz w:val="24"/>
          <w:szCs w:val="24"/>
          <w:highlight w:val="none"/>
          <w:lang w:val="en-US" w:eastAsia="zh-CN"/>
        </w:rPr>
        <w:t>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pStyle w:val="2"/>
        <w:keepNext w:val="0"/>
        <w:keepLines w:val="0"/>
        <w:pageBreakBefore w:val="0"/>
        <w:numPr>
          <w:ilvl w:val="0"/>
          <w:numId w:val="0"/>
        </w:numPr>
        <w:wordWrap/>
        <w:overflowPunct/>
        <w:topLinePunct w:val="0"/>
        <w:bidi w:val="0"/>
        <w:spacing w:line="320" w:lineRule="exact"/>
        <w:ind w:firstLine="480" w:firstLineChars="200"/>
        <w:jc w:val="both"/>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lang w:val="en-US" w:eastAsia="zh-CN"/>
        </w:rPr>
        <w:t>3.7.4</w:t>
      </w:r>
      <w:r>
        <w:rPr>
          <w:rFonts w:hint="eastAsia" w:ascii="仿宋" w:hAnsi="仿宋" w:eastAsia="仿宋" w:cs="仿宋"/>
          <w:snapToGrid w:val="0"/>
          <w:color w:val="auto"/>
          <w:kern w:val="0"/>
          <w:sz w:val="24"/>
          <w:szCs w:val="24"/>
          <w:highlight w:val="none"/>
        </w:rPr>
        <w:t>中标后须提交的投标文件：在中标结果公示期结束后，中标单位必须提交3份纸质版投标文件，1份电子版(PDF格式的投标文件与EXCEL格式的工程量清单文件，U盘提交)给招标代理，费用由中标单位承担。</w:t>
      </w:r>
    </w:p>
    <w:p>
      <w:pPr>
        <w:keepNext w:val="0"/>
        <w:keepLines w:val="0"/>
        <w:pageBreakBefore w:val="0"/>
        <w:widowControl/>
        <w:kinsoku w:val="0"/>
        <w:wordWrap/>
        <w:overflowPunct/>
        <w:topLinePunct w:val="0"/>
        <w:autoSpaceDE w:val="0"/>
        <w:autoSpaceDN w:val="0"/>
        <w:bidi w:val="0"/>
        <w:adjustRightInd w:val="0"/>
        <w:snapToGrid w:val="0"/>
        <w:spacing w:line="320" w:lineRule="exact"/>
        <w:ind w:left="0" w:right="44" w:firstLine="480" w:firstLineChars="200"/>
        <w:textAlignment w:val="baseline"/>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特别说明</w:t>
      </w:r>
      <w:r>
        <w:rPr>
          <w:rFonts w:hint="eastAsia" w:ascii="仿宋" w:hAnsi="仿宋" w:eastAsia="仿宋" w:cs="仿宋"/>
          <w:b/>
          <w:bCs/>
          <w:snapToGrid w:val="0"/>
          <w:color w:val="auto"/>
          <w:kern w:val="0"/>
          <w:sz w:val="24"/>
          <w:szCs w:val="24"/>
          <w:highlight w:val="none"/>
          <w:lang w:val="en-US" w:eastAsia="zh-CN"/>
        </w:rPr>
        <w:t>：①电子投标文件要求逐页盖单位公章和法定代表人章（应尽量盖在每页空白地方或字少的地方，便于清楚阅读和打印），投标人均应使用 CA 数字证书加盖投标人的单位电子印章和法定代表人的个人电子印章或电子签名章。</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 xml:space="preserve">4. </w:t>
      </w:r>
      <w:r>
        <w:rPr>
          <w:rFonts w:hint="eastAsia" w:ascii="仿宋" w:hAnsi="仿宋" w:eastAsia="仿宋" w:cs="仿宋"/>
          <w:b/>
          <w:color w:val="auto"/>
          <w:sz w:val="24"/>
          <w:szCs w:val="24"/>
          <w:highlight w:val="none"/>
          <w:lang w:val="en-US" w:eastAsia="zh-CN"/>
        </w:rPr>
        <w:t>磋商</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4.1 </w:t>
      </w:r>
      <w:r>
        <w:rPr>
          <w:rFonts w:hint="eastAsia" w:ascii="仿宋" w:hAnsi="仿宋" w:eastAsia="仿宋" w:cs="仿宋"/>
          <w:b/>
          <w:color w:val="auto"/>
          <w:sz w:val="24"/>
          <w:szCs w:val="24"/>
          <w:highlight w:val="none"/>
          <w:lang w:eastAsia="zh-CN"/>
        </w:rPr>
        <w:t>磋商文件</w:t>
      </w:r>
      <w:r>
        <w:rPr>
          <w:rFonts w:hint="eastAsia" w:ascii="仿宋" w:hAnsi="仿宋" w:eastAsia="仿宋" w:cs="仿宋"/>
          <w:b/>
          <w:color w:val="auto"/>
          <w:sz w:val="24"/>
          <w:szCs w:val="24"/>
          <w:highlight w:val="none"/>
        </w:rPr>
        <w:t>的密封和标记</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本招标项目采用电子招标投标方式。</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投标截止时间以政采云平台中心交易平台显示的时间为准，逾期系统将自动关闭，未完成上传的投标文件视为逾期送达，将被拒绝</w:t>
      </w:r>
      <w:r>
        <w:rPr>
          <w:rFonts w:hint="eastAsia" w:ascii="仿宋" w:hAnsi="仿宋" w:eastAsia="仿宋" w:cs="仿宋"/>
          <w:color w:val="auto"/>
          <w:kern w:val="2"/>
          <w:sz w:val="21"/>
          <w:szCs w:val="21"/>
          <w:highlight w:val="none"/>
          <w:lang w:val="en-US" w:eastAsia="zh-CN" w:bidi="ar-SA"/>
        </w:rPr>
        <w:t>。</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4.2 </w:t>
      </w:r>
      <w:r>
        <w:rPr>
          <w:rFonts w:hint="eastAsia" w:ascii="仿宋" w:hAnsi="仿宋" w:eastAsia="仿宋" w:cs="仿宋"/>
          <w:b/>
          <w:color w:val="auto"/>
          <w:sz w:val="24"/>
          <w:szCs w:val="24"/>
          <w:highlight w:val="none"/>
          <w:lang w:eastAsia="zh-CN"/>
        </w:rPr>
        <w:t>磋商文件</w:t>
      </w:r>
      <w:r>
        <w:rPr>
          <w:rFonts w:hint="eastAsia" w:ascii="仿宋" w:hAnsi="仿宋" w:eastAsia="仿宋" w:cs="仿宋"/>
          <w:b/>
          <w:color w:val="auto"/>
          <w:sz w:val="24"/>
          <w:szCs w:val="24"/>
          <w:highlight w:val="none"/>
        </w:rPr>
        <w:t>的递交</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须知前附表规定的投标截止时间前递交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递交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的地点：见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4.2.3 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所递交的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不予退还。</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4.2.4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收到</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后，向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出具签收凭证。</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4.2.5 逾期送达的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将予以拒收。</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4.3 </w:t>
      </w:r>
      <w:r>
        <w:rPr>
          <w:rFonts w:hint="eastAsia" w:ascii="仿宋" w:hAnsi="仿宋" w:eastAsia="仿宋" w:cs="仿宋"/>
          <w:b/>
          <w:color w:val="auto"/>
          <w:sz w:val="24"/>
          <w:szCs w:val="24"/>
          <w:highlight w:val="none"/>
          <w:lang w:eastAsia="zh-CN"/>
        </w:rPr>
        <w:t>磋商文件</w:t>
      </w:r>
      <w:r>
        <w:rPr>
          <w:rFonts w:hint="eastAsia" w:ascii="仿宋" w:hAnsi="仿宋" w:eastAsia="仿宋" w:cs="仿宋"/>
          <w:b/>
          <w:color w:val="auto"/>
          <w:sz w:val="24"/>
          <w:szCs w:val="24"/>
          <w:highlight w:val="none"/>
        </w:rPr>
        <w:t>的修改与撤回</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4.3.1 在本章第 4.2.1 项规定的投标截止时间前，</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可以修改或撤回已递交的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，但应以书面形式通知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4.3.2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修改或撤回已递交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的书面通知应按照本章第 3.7.3项的要求签字或盖章。</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收到书面通知后，向</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出具签收凭证。</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4.3.3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撤回</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自收到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书面撤回通知之日起5日内退还已收取的投标保证金。</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4.3.4 修改的内容为</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的组成部分。修改的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应按照本章第 3 条、第 4 条的规定进行编制、密封、标记和递交，并标明“修改”字样。</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 开标</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5.1 开标时间和地点</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在本章第 4.2.1 项规定的投标截止时间（开标时间）和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须知前附表规定的地点公开开标，并邀请所有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的法定代表人或其委托代理人准时参加。</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5.2 开标程序</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主持人按下列程序进行开标：</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购代理机构按照招标文件规定的时间、地点主持开标。开标前，采购代理机构将会同监督人员或公证人员进行验标（检查网上招标系统正常与否，检查投标人报名及保证金交纳情况），确认无误后开标。开标时，各投标人应对本单位的加密的电子投标文件解密，采购代理机构工作人员在监督人员或公证人员监督下解密所有投标文件。</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（2）、因网上招标系统故障导致所有投标人均解密失败时，投标人使用备份电子版投标文件进行开评标。</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开标时，采购代理机构将通过网上开标系统公布投标人名称、投标价格，以及采购代理机构认为合适的其它详细内容。投标人若有报价和优惠未被唱错，应在开标时及时声明或提请注意，否则采购代理机构对此不承担任何责任。</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（4）、在评审结束前，未得到采购代理机构允许，投标人法定代表人或授权代理人不得离开开标现场。</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（5）、供应商代表对开标过程和开标记录有疑义，以及认为采购人、采购代理机构相关工作人员有需要回避的情形，应通过电子邮件、传真等形式向采购代理机构提出询问或回避申请；</w:t>
      </w:r>
    </w:p>
    <w:p>
      <w:pPr>
        <w:pStyle w:val="3"/>
        <w:keepNext w:val="0"/>
        <w:keepLines w:val="0"/>
        <w:pageBreakBefore w:val="0"/>
        <w:widowControl/>
        <w:kinsoku/>
        <w:wordWrap/>
        <w:overflowPunct/>
        <w:topLinePunct w:val="0"/>
        <w:autoSpaceDE/>
        <w:autoSpaceDN/>
        <w:bidi w:val="0"/>
        <w:adjustRightInd/>
        <w:snapToGrid/>
        <w:spacing w:after="0" w:line="320" w:lineRule="exact"/>
        <w:ind w:firstLine="480" w:firstLineChars="200"/>
        <w:jc w:val="left"/>
        <w:textAlignment w:val="auto"/>
        <w:rPr>
          <w:rFonts w:hint="eastAsia" w:ascii="仿宋" w:hAnsi="仿宋" w:eastAsia="仿宋" w:cs="仿宋"/>
        </w:rPr>
      </w:pPr>
      <w:r>
        <w:rPr>
          <w:rFonts w:hint="eastAsia" w:ascii="仿宋" w:hAnsi="仿宋" w:eastAsia="仿宋" w:cs="仿宋"/>
          <w:color w:val="auto"/>
          <w:sz w:val="24"/>
          <w:szCs w:val="24"/>
          <w:highlight w:val="none"/>
          <w:lang w:val="en-US" w:eastAsia="zh-CN"/>
        </w:rPr>
        <w:t>（6）、开标会议结束。</w:t>
      </w:r>
    </w:p>
    <w:p>
      <w:pPr>
        <w:keepNext w:val="0"/>
        <w:keepLines w:val="0"/>
        <w:pageBreakBefore w:val="0"/>
        <w:widowControl/>
        <w:kinsoku/>
        <w:wordWrap/>
        <w:overflowPunct/>
        <w:topLinePunct w:val="0"/>
        <w:autoSpaceDE/>
        <w:autoSpaceDN/>
        <w:bidi w:val="0"/>
        <w:adjustRightInd/>
        <w:snapToGrid/>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5.3 开标异议</w:t>
      </w:r>
    </w:p>
    <w:p>
      <w:pPr>
        <w:keepNext w:val="0"/>
        <w:keepLines w:val="0"/>
        <w:pageBreakBefore w:val="0"/>
        <w:widowControl/>
        <w:kinsoku/>
        <w:wordWrap/>
        <w:overflowPunct/>
        <w:topLinePunct w:val="0"/>
        <w:autoSpaceDE/>
        <w:autoSpaceDN/>
        <w:bidi w:val="0"/>
        <w:adjustRightInd/>
        <w:snapToGrid/>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对开标有异议的，应当在开标现场提出，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当场作出答复，并制作记录。</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评标</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6.1 评标委员会</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评标由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依法组建的评标委员会负责。评标委员会由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代表（应当具有中级及以上专业技术职称，熟悉招标项目技术、经济或管理特点，具有评审招标项目的能力和合同管理经验）或其委托的招标代理机构熟悉相关业务的代表，以及有关技术、经济等方面的专家组成。评标委员会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，评标委员会成员人数以及技术、经济等方面专家的确定方式见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 评标委员会成员有下列情形之一的，应当回避：</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主要负责人的近亲属；</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（2）项目主管部门或者行政监督部门的人员；</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有经济利益关系，可能影响对投标公正评审的；</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（4）曾因在招标、评标以及其他与招标投标有关活动中从事违法行为而受过行政处罚或刑事处罚的；</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有其他利害关系。</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评标过程中，评标委员会成员有回避事由、擅离职守或者因健康等原因不能继续评标的，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有权更换。被更换的评标委员会成员作出的评审结论无效，由更换后的评标委员会成员重新进行评审。</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6.2 评标原则</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评标活动遵循公平、公正、科学和择优的原则。</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6.3 评标</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6.3.1 评标委员会按照第三章“评标办法”规定的方法、评审因素、标准和程序对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进行评审。第三章“评标办法”没有规定的方法、评审因素和标准，不作为评标依据。</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6.3.2 评标完成后，评标委员会应当向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提交书面评标报告和中标候选人名单。评标委员会推荐中标候选人的人数见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合同授予</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7.1 中标候选人公示</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本项目采用</w:t>
      </w:r>
      <w:r>
        <w:rPr>
          <w:rFonts w:hint="eastAsia" w:ascii="仿宋" w:hAnsi="仿宋" w:eastAsia="仿宋" w:cs="仿宋"/>
          <w:color w:val="auto"/>
          <w:sz w:val="24"/>
          <w:szCs w:val="24"/>
          <w:highlight w:val="none"/>
          <w:lang w:val="en-US" w:eastAsia="zh-CN"/>
        </w:rPr>
        <w:t>竞争性磋商</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7.2 评标结果异议</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或者其他利害关系人对评标结果有异议的，应当在评标结束后三个工作日内提出。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将在收到异议之日起 3 日内作出答复；作出答复前，将暂停招标投标活动。</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7.3 中标候选人履约能力审查</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中标候选人的经营、财务状况发生较大变化或存在违法行为，</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认为可能影响其履约能力的，将在发出中标通知书前提请原评标委员会按照竞争性磋商规定的标准和方法进行审查确认。</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7.4 定标</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须知前附表的规定，</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授权的评标委员会依法确定中标人。</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7.5 中标通知</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在本章第 3.3 款规定的投标有效期内，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以书面形式向中标人发出中标通知书，同时将中标结果通知未中标的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7.6 技术成果经济补偿</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对符合竞争性磋商规定的未中标人的技术成果进行补偿的，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须知前附表规定的标准给予经济补偿，未中标人在</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中声明放弃技术成果经济补偿费的除外。</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将于中标通知书发出后 30 日内向未中标人支付技术成果经济补偿费。</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7.7 履约保证金</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7.7.1 在签订合同前，中标人应按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须知前附表规定的形式、金额和竞争性磋商第四章“合同条款及格式”规定的或者事先经过</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书面认可的履约保证金格式向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提交履约保证金。除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须知前附表另有规定外，履约保证金为中标合同金额的</w:t>
      </w:r>
      <w:r>
        <w:rPr>
          <w:rFonts w:hint="eastAsia" w:ascii="仿宋" w:hAnsi="仿宋" w:eastAsia="仿宋" w:cs="仿宋"/>
          <w:color w:val="auto"/>
          <w:sz w:val="24"/>
          <w:szCs w:val="24"/>
          <w:highlight w:val="none"/>
          <w:u w:val="single"/>
        </w:rPr>
        <w:t xml:space="preserve"> 10 </w:t>
      </w:r>
      <w:r>
        <w:rPr>
          <w:rFonts w:hint="eastAsia" w:ascii="仿宋" w:hAnsi="仿宋" w:eastAsia="仿宋" w:cs="仿宋"/>
          <w:color w:val="auto"/>
          <w:sz w:val="24"/>
          <w:szCs w:val="24"/>
          <w:highlight w:val="none"/>
        </w:rPr>
        <w:t>%。联合体中标的，其履约保证金以联合体各方或者联合体中牵头人的名义提交。</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7.7.2 中标人不能按本章第 7.7.1 项要求提交履约保证金的，视为放弃中标，其投标保证金不予退还，给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造成的损失超过投标保证金数额的，中标人还应当对超过部分予以赔偿。</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7.8 签订合同</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7.8.1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和中标人应当在中标通知书发出之日起</w:t>
      </w:r>
      <w:r>
        <w:rPr>
          <w:rFonts w:hint="eastAsia" w:ascii="仿宋" w:hAnsi="仿宋" w:eastAsia="仿宋" w:cs="仿宋"/>
          <w:color w:val="auto"/>
          <w:sz w:val="24"/>
          <w:szCs w:val="24"/>
          <w:highlight w:val="none"/>
          <w:u w:val="single"/>
        </w:rPr>
        <w:t xml:space="preserve"> 30 </w:t>
      </w:r>
      <w:r>
        <w:rPr>
          <w:rFonts w:hint="eastAsia" w:ascii="仿宋" w:hAnsi="仿宋" w:eastAsia="仿宋" w:cs="仿宋"/>
          <w:color w:val="auto"/>
          <w:sz w:val="24"/>
          <w:szCs w:val="24"/>
          <w:highlight w:val="none"/>
        </w:rPr>
        <w:t>日内，根据竞争性磋商和中标人的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订立书面合同。中标人无正当理由拒签合同，在签订合同时向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提出附加条件，或者不按照竞争性磋商要求提交履约保证金的，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有权取消其中标资格，其投标保证金不予退还；给</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造成的损失超过投标保证金数额的，中标人还应当对超过部分予以赔偿。</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7.8.2 发出中标通知书后，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无正当理由拒签合同，或者在签订合同时向中标人提出附加条件的，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向中标人退还投标保证金；给中标人造成损失的，还应当赔偿损失。</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7.8.3 联合体中标的，联合体各方应当共同与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签订合同，就中标项目向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承担连带责任。</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8.纪律和监督</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8.1 对</w:t>
      </w:r>
      <w:r>
        <w:rPr>
          <w:rFonts w:hint="eastAsia" w:ascii="仿宋" w:hAnsi="仿宋" w:eastAsia="仿宋" w:cs="仿宋"/>
          <w:b/>
          <w:color w:val="auto"/>
          <w:sz w:val="24"/>
          <w:szCs w:val="24"/>
          <w:highlight w:val="none"/>
          <w:lang w:eastAsia="zh-CN"/>
        </w:rPr>
        <w:t>采购人</w:t>
      </w:r>
      <w:r>
        <w:rPr>
          <w:rFonts w:hint="eastAsia" w:ascii="仿宋" w:hAnsi="仿宋" w:eastAsia="仿宋" w:cs="仿宋"/>
          <w:b/>
          <w:color w:val="auto"/>
          <w:sz w:val="24"/>
          <w:szCs w:val="24"/>
          <w:highlight w:val="none"/>
        </w:rPr>
        <w:t>的纪律要求</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不得泄露招标投标活动中应当保密的情况和资料，不得与</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串通损害国家利益、社会公共利益或者他人合法权益。</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8.2 对</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的纪律要求</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不得相互串通投标或者与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串通投标，不得向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或者评标委员会成员行贿谋取中标，不得以他人名义投标或者以其他方式弄虚作假骗取中标；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不得以任何方式干扰、影响评标工作。</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8.3 对评标委员会成员的纪律要求</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评标委员会成员不得收受他人的财物或者其他好处，不得向他人透露对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8.4 对与评标活动有关的工作人员的纪律要求</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与评标活动有关的工作人员不得收受他人的财物或者其他好处，不得向他人透露对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的评审和比较、中标候选人的推荐情况以及评标有关的其他情况。在评标活动中，与评标活动有关的工作人员不得擅离职守，影响评标程序正常进行。</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8.5 投诉</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8.5.1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或者其他利害关系人认为招标投标活动不符合法律、行政法规规定的，可以自知道或者应当知道之日起10日内向有关行政监督部门投诉。投诉应当有明确的请求和必要的证明材料。</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8.5.2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或者其他利害关系人对竞争性磋商、开标和评标结果提出投诉的，应当按照</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须知第 2.4 款、第 5.3 款和第 7.2 款的规定先向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提出异议。异议答复期间不计算在第 8.5.1 项规定的期限内。</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9. 是否采用电子招标投标</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9.1本招标项目采用电子招标投标方式。</w:t>
      </w:r>
    </w:p>
    <w:p>
      <w:pPr>
        <w:keepNext w:val="0"/>
        <w:keepLines w:val="0"/>
        <w:pageBreakBefore w:val="0"/>
        <w:kinsoku/>
        <w:wordWrap/>
        <w:overflowPunct/>
        <w:topLinePunct w:val="0"/>
        <w:bidi w:val="0"/>
        <w:spacing w:beforeAutospacing="0" w:after="0" w:afterAutospacing="0" w:line="320" w:lineRule="exact"/>
        <w:ind w:left="0" w:leftChars="0" w:right="0" w:firstLine="482" w:firstLineChars="2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xml:space="preserve">10. </w:t>
      </w:r>
      <w:bookmarkStart w:id="11" w:name="_Hlk507195825"/>
      <w:r>
        <w:rPr>
          <w:rFonts w:hint="eastAsia" w:ascii="仿宋" w:hAnsi="仿宋" w:eastAsia="仿宋" w:cs="仿宋"/>
          <w:b/>
          <w:color w:val="auto"/>
          <w:sz w:val="24"/>
          <w:szCs w:val="24"/>
          <w:highlight w:val="none"/>
        </w:rPr>
        <w:t>需要补充的其他内容需要补充的其他内容</w:t>
      </w:r>
      <w:bookmarkEnd w:id="11"/>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w:t>
      </w:r>
      <w:bookmarkStart w:id="12" w:name="_Hlk507195973"/>
      <w:r>
        <w:rPr>
          <w:rFonts w:hint="eastAsia" w:ascii="仿宋" w:hAnsi="仿宋" w:eastAsia="仿宋" w:cs="仿宋"/>
          <w:color w:val="auto"/>
          <w:sz w:val="24"/>
          <w:szCs w:val="24"/>
          <w:highlight w:val="none"/>
        </w:rPr>
        <w:t>类似项目：见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bookmarkEnd w:id="12"/>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代表出席开标会：见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10.3通讯联系：</w:t>
      </w:r>
      <w:bookmarkStart w:id="13" w:name="_Hlk508127552"/>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bookmarkEnd w:id="13"/>
    </w:p>
    <w:p>
      <w:pPr>
        <w:keepNext w:val="0"/>
        <w:keepLines w:val="0"/>
        <w:pageBreakBefore w:val="0"/>
        <w:kinsoku/>
        <w:wordWrap/>
        <w:overflowPunct/>
        <w:topLinePunct w:val="0"/>
        <w:bidi w:val="0"/>
        <w:spacing w:beforeAutospacing="0" w:after="0" w:afterAutospacing="0" w:line="320" w:lineRule="exact"/>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应承担的费用：见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40" w:firstLineChars="100"/>
        <w:jc w:val="both"/>
        <w:textAlignment w:val="auto"/>
        <w:rPr>
          <w:rFonts w:hint="eastAsia" w:ascii="仿宋" w:hAnsi="仿宋" w:eastAsia="仿宋" w:cs="仿宋"/>
          <w:b/>
          <w:bCs/>
          <w:color w:val="auto"/>
          <w:sz w:val="24"/>
          <w:szCs w:val="24"/>
          <w:highlight w:val="none"/>
        </w:rPr>
      </w:pPr>
      <w:bookmarkStart w:id="14" w:name="_Toc118828"/>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附件二：问题澄清通知</w:t>
      </w:r>
      <w:bookmarkEnd w:id="14"/>
    </w:p>
    <w:p>
      <w:pPr>
        <w:pageBreakBefore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bCs/>
          <w:color w:val="auto"/>
          <w:sz w:val="24"/>
          <w:szCs w:val="24"/>
          <w:highlight w:val="none"/>
        </w:rPr>
      </w:pP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1" w:firstLineChars="10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问题澄清通知</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w:t>
      </w:r>
    </w:p>
    <w:p>
      <w:pPr>
        <w:pStyle w:val="2"/>
        <w:keepNext w:val="0"/>
        <w:keepLines w:val="0"/>
        <w:pageBreakBefore w:val="0"/>
        <w:widowControl/>
        <w:numPr>
          <w:ilvl w:val="0"/>
          <w:numId w:val="0"/>
        </w:numPr>
        <w:overflowPunct/>
        <w:topLinePunct w:val="0"/>
        <w:autoSpaceDE w:val="0"/>
        <w:autoSpaceDN w:val="0"/>
        <w:bidi w:val="0"/>
        <w:adjustRightInd w:val="0"/>
        <w:snapToGrid w:val="0"/>
        <w:spacing w:line="400" w:lineRule="exact"/>
        <w:ind w:left="900" w:leftChars="0"/>
        <w:jc w:val="both"/>
        <w:rPr>
          <w:rFonts w:hint="eastAsia"/>
        </w:rPr>
      </w:pP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名称）：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评标委员会对你方的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 xml:space="preserve">进行了仔细的审查，现需你方对下列问题以书面形式予以澄清、说明或补正：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请将上述问题的澄清、说明或补正于</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时前递交至 </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（详细地址）          </w:t>
      </w:r>
      <w:r>
        <w:rPr>
          <w:rFonts w:hint="eastAsia" w:ascii="仿宋" w:hAnsi="仿宋" w:eastAsia="仿宋" w:cs="仿宋"/>
          <w:color w:val="auto"/>
          <w:sz w:val="24"/>
          <w:szCs w:val="24"/>
          <w:highlight w:val="none"/>
        </w:rPr>
        <w:t>或传真至</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（传真号码）     </w:t>
      </w:r>
      <w:r>
        <w:rPr>
          <w:rFonts w:hint="eastAsia" w:ascii="仿宋" w:hAnsi="仿宋" w:eastAsia="仿宋" w:cs="仿宋"/>
          <w:color w:val="auto"/>
          <w:sz w:val="24"/>
          <w:szCs w:val="24"/>
          <w:highlight w:val="none"/>
        </w:rPr>
        <w:t>或通过下载竞争性磋商的电子招标交易平台上传。采用传真方式的，应在</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时前将原件递交至</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（详细地址）      </w:t>
      </w:r>
      <w:r>
        <w:rPr>
          <w:rFonts w:hint="eastAsia" w:ascii="仿宋" w:hAnsi="仿宋" w:eastAsia="仿宋" w:cs="仿宋"/>
          <w:color w:val="auto"/>
          <w:sz w:val="24"/>
          <w:szCs w:val="24"/>
          <w:highlight w:val="none"/>
        </w:rPr>
        <w:t xml:space="preserve">。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评标委员会授权的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或招标代理机构：</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（签字或盖章）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val="0"/>
        <w:overflowPunct/>
        <w:topLinePunct w:val="0"/>
        <w:autoSpaceDE w:val="0"/>
        <w:autoSpaceDN w:val="0"/>
        <w:bidi w:val="0"/>
        <w:adjustRightInd w:val="0"/>
        <w:snapToGrid w:val="0"/>
        <w:spacing w:beforeAutospacing="0" w:after="0" w:afterAutospacing="0" w:line="400" w:lineRule="exact"/>
        <w:ind w:left="0" w:leftChars="0" w:right="0" w:firstLine="240" w:firstLineChars="1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日 </w:t>
      </w:r>
    </w:p>
    <w:p>
      <w:pPr>
        <w:keepNext w:val="0"/>
        <w:keepLines w:val="0"/>
        <w:pageBreakBefore w:val="0"/>
        <w:widowControl/>
        <w:kinsoku/>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bookmarkStart w:id="15" w:name="_Toc118829"/>
    </w:p>
    <w:p>
      <w:pPr>
        <w:pageBreakBefore w:val="0"/>
        <w:kinsoku/>
        <w:overflowPunct/>
        <w:topLinePunct w:val="0"/>
        <w:bidi w:val="0"/>
        <w:spacing w:beforeAutospacing="0" w:after="0" w:afterAutospacing="0" w:line="240" w:lineRule="auto"/>
        <w:ind w:left="0" w:leftChars="0" w:right="0"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rPr>
        <w:t>附件三：问题的澄清</w:t>
      </w:r>
      <w:bookmarkEnd w:id="15"/>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1" w:firstLineChars="10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问题的澄清</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评标委员会：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问题澄清通知（编号：</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）已收悉，现澄清、说明或补正如下：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上述问题澄清、说明或补正，不改变我方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的实质性内容，构成我方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 xml:space="preserve">的组成部分。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color="000000"/>
          <w:lang w:val="en-US" w:eastAsia="zh-CN"/>
        </w:rPr>
        <w:t xml:space="preserve">           </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（盖单位章）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（签字）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000000"/>
          <w:lang w:val="en-US" w:eastAsia="zh-CN"/>
        </w:rPr>
        <w:t xml:space="preserve"> </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日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bookmarkStart w:id="16" w:name="_Toc118830"/>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bookmarkEnd w:id="16"/>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color w:val="auto"/>
          <w:sz w:val="24"/>
          <w:szCs w:val="24"/>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color w:val="auto"/>
          <w:sz w:val="24"/>
          <w:szCs w:val="24"/>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color w:val="auto"/>
          <w:sz w:val="24"/>
          <w:szCs w:val="24"/>
          <w:highlight w:val="none"/>
        </w:rPr>
      </w:pPr>
    </w:p>
    <w:p>
      <w:pPr>
        <w:pStyle w:val="2"/>
        <w:widowControl/>
        <w:numPr>
          <w:ilvl w:val="0"/>
          <w:numId w:val="0"/>
        </w:numPr>
        <w:kinsoku w:val="0"/>
        <w:autoSpaceDE w:val="0"/>
        <w:autoSpaceDN w:val="0"/>
        <w:adjustRightInd w:val="0"/>
        <w:snapToGrid w:val="0"/>
        <w:spacing w:line="240" w:lineRule="auto"/>
        <w:jc w:val="center"/>
        <w:textAlignment w:val="baseline"/>
        <w:rPr>
          <w:rFonts w:hint="eastAsia" w:ascii="仿宋" w:hAnsi="仿宋" w:eastAsia="仿宋" w:cs="仿宋"/>
          <w:color w:val="auto"/>
          <w:sz w:val="24"/>
          <w:szCs w:val="24"/>
          <w:highlight w:val="none"/>
        </w:rPr>
      </w:pPr>
    </w:p>
    <w:p>
      <w:pPr>
        <w:rPr>
          <w:rFonts w:hint="eastAsia"/>
        </w:rPr>
      </w:pPr>
      <w:r>
        <w:rPr>
          <w:rFonts w:hint="eastAsia" w:ascii="仿宋" w:hAnsi="仿宋" w:eastAsia="仿宋" w:cs="仿宋"/>
          <w:color w:val="auto"/>
          <w:sz w:val="24"/>
          <w:szCs w:val="24"/>
          <w:highlight w:val="none"/>
        </w:rPr>
        <w:br w:type="page"/>
      </w:r>
    </w:p>
    <w:p>
      <w:pPr>
        <w:pageBreakBefore w:val="0"/>
        <w:kinsoku/>
        <w:overflowPunct/>
        <w:topLinePunct w:val="0"/>
        <w:bidi w:val="0"/>
        <w:spacing w:beforeAutospacing="0" w:after="0" w:afterAutospacing="0" w:line="240" w:lineRule="auto"/>
        <w:ind w:right="0"/>
        <w:jc w:val="both"/>
        <w:textAlignment w:val="auto"/>
        <w:rPr>
          <w:rFonts w:hint="eastAsia" w:ascii="仿宋" w:hAnsi="仿宋" w:eastAsia="仿宋" w:cs="仿宋"/>
          <w:b/>
          <w:bCs/>
          <w:color w:val="auto"/>
          <w:sz w:val="24"/>
          <w:szCs w:val="24"/>
          <w:highlight w:val="none"/>
        </w:rPr>
      </w:pPr>
      <w:bookmarkStart w:id="17" w:name="_Toc118832"/>
      <w:r>
        <w:rPr>
          <w:rFonts w:hint="eastAsia" w:ascii="仿宋" w:hAnsi="仿宋" w:eastAsia="仿宋" w:cs="仿宋"/>
          <w:b/>
          <w:bCs/>
          <w:color w:val="auto"/>
          <w:sz w:val="24"/>
          <w:szCs w:val="24"/>
          <w:highlight w:val="none"/>
        </w:rPr>
        <w:t>附件六：确认通知</w:t>
      </w:r>
      <w:bookmarkEnd w:id="17"/>
    </w:p>
    <w:p>
      <w:pPr>
        <w:pageBreakBefore w:val="0"/>
        <w:kinsoku/>
        <w:overflowPunct/>
        <w:topLinePunct w:val="0"/>
        <w:bidi w:val="0"/>
        <w:spacing w:beforeAutospacing="0" w:after="0" w:afterAutospacing="0" w:line="240" w:lineRule="auto"/>
        <w:ind w:right="0"/>
        <w:jc w:val="center"/>
        <w:textAlignment w:val="auto"/>
        <w:rPr>
          <w:rFonts w:hint="eastAsia" w:ascii="仿宋" w:hAnsi="仿宋" w:eastAsia="仿宋" w:cs="仿宋"/>
          <w:b w:val="0"/>
          <w:bCs/>
          <w:color w:val="auto"/>
          <w:sz w:val="24"/>
          <w:szCs w:val="24"/>
          <w:highlight w:val="none"/>
        </w:rPr>
      </w:pPr>
    </w:p>
    <w:p>
      <w:pPr>
        <w:pageBreakBefore w:val="0"/>
        <w:kinsoku/>
        <w:overflowPunct/>
        <w:topLinePunct w:val="0"/>
        <w:bidi w:val="0"/>
        <w:spacing w:beforeAutospacing="0" w:after="0" w:afterAutospacing="0" w:line="240" w:lineRule="auto"/>
        <w:ind w:right="0"/>
        <w:jc w:val="center"/>
        <w:textAlignment w:val="auto"/>
        <w:rPr>
          <w:rFonts w:hint="eastAsia" w:ascii="仿宋" w:hAnsi="仿宋" w:eastAsia="仿宋" w:cs="仿宋"/>
          <w:b w:val="0"/>
          <w:bCs/>
          <w:color w:val="auto"/>
          <w:sz w:val="24"/>
          <w:szCs w:val="24"/>
          <w:highlight w:val="none"/>
        </w:rPr>
      </w:pPr>
      <w:r>
        <w:rPr>
          <w:rFonts w:hint="eastAsia" w:ascii="仿宋" w:hAnsi="仿宋" w:eastAsia="仿宋" w:cs="仿宋"/>
          <w:b/>
          <w:bCs w:val="0"/>
          <w:color w:val="auto"/>
          <w:sz w:val="24"/>
          <w:szCs w:val="24"/>
          <w:highlight w:val="none"/>
        </w:rPr>
        <w:t>确认通知</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u w:val="single" w:color="000000"/>
        </w:rPr>
      </w:pP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 xml:space="preserve">名称）：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你方于</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日发出的</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 （项目名称）      </w:t>
      </w:r>
      <w:r>
        <w:rPr>
          <w:rFonts w:hint="eastAsia" w:ascii="仿宋" w:hAnsi="仿宋" w:eastAsia="仿宋" w:cs="仿宋"/>
          <w:color w:val="auto"/>
          <w:sz w:val="24"/>
          <w:szCs w:val="24"/>
          <w:highlight w:val="none"/>
        </w:rPr>
        <w:t>招标关于</w:t>
      </w:r>
      <w:r>
        <w:rPr>
          <w:rFonts w:hint="eastAsia" w:ascii="仿宋" w:hAnsi="仿宋" w:eastAsia="仿宋" w:cs="仿宋"/>
          <w:color w:val="auto"/>
          <w:sz w:val="24"/>
          <w:szCs w:val="24"/>
          <w:highlight w:val="none"/>
          <w:u w:val="single" w:color="000000"/>
        </w:rPr>
        <w:t>竞争性磋商的澄清/修改</w:t>
      </w:r>
      <w:r>
        <w:rPr>
          <w:rFonts w:hint="eastAsia" w:ascii="仿宋" w:hAnsi="仿宋" w:eastAsia="仿宋" w:cs="仿宋"/>
          <w:color w:val="auto"/>
          <w:sz w:val="24"/>
          <w:szCs w:val="24"/>
          <w:highlight w:val="none"/>
        </w:rPr>
        <w:t>的通知，我方已于</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日收到。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特此确认。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right="0" w:firstLine="2880" w:firstLineChars="1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（盖单位章）</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right="0" w:firstLine="2880" w:firstLineChars="1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（签字）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righ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日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bookmarkStart w:id="18" w:name="_Toc6928_WPSOffice_Level1"/>
      <w:r>
        <w:rPr>
          <w:rFonts w:hint="eastAsia" w:ascii="仿宋" w:hAnsi="仿宋" w:eastAsia="仿宋" w:cs="仿宋"/>
          <w:b/>
          <w:color w:val="auto"/>
          <w:sz w:val="44"/>
          <w:szCs w:val="44"/>
          <w:highlight w:val="none"/>
        </w:rPr>
        <w:t>第三章 评标办法（综合评估法）</w:t>
      </w:r>
      <w:bookmarkEnd w:id="18"/>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sectPr>
          <w:footerReference r:id="rId7" w:type="default"/>
          <w:pgSz w:w="11906" w:h="16839"/>
          <w:pgMar w:top="1440" w:right="1800" w:bottom="1440" w:left="1800" w:header="0" w:footer="1202" w:gutter="0"/>
          <w:pgNumType w:fmt="decimal"/>
          <w:cols w:space="720" w:num="1"/>
        </w:sectPr>
      </w:pPr>
    </w:p>
    <w:p>
      <w:pPr>
        <w:pageBreakBefore w:val="0"/>
        <w:widowControl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评标办法前附表-资格审查要求</w:t>
      </w:r>
    </w:p>
    <w:p>
      <w:pPr>
        <w:pageBreakBefore w:val="0"/>
        <w:widowControl w:val="0"/>
        <w:kinsoku/>
        <w:overflowPunct/>
        <w:topLinePunct w:val="0"/>
        <w:bidi w:val="0"/>
        <w:spacing w:beforeAutospacing="0" w:after="0" w:afterAutospacing="0" w:line="240" w:lineRule="auto"/>
        <w:ind w:left="0" w:leftChars="0" w:right="0" w:firstLine="211" w:firstLineChars="100"/>
        <w:jc w:val="center"/>
        <w:textAlignment w:val="auto"/>
        <w:rPr>
          <w:rFonts w:hint="eastAsia" w:ascii="仿宋" w:hAnsi="仿宋" w:eastAsia="仿宋" w:cs="仿宋"/>
          <w:b/>
          <w:color w:val="auto"/>
          <w:sz w:val="21"/>
          <w:szCs w:val="21"/>
          <w:highlight w:val="none"/>
        </w:rPr>
      </w:pPr>
      <w:bookmarkStart w:id="19" w:name="_Hlk508131895"/>
      <w:r>
        <w:rPr>
          <w:rFonts w:hint="eastAsia" w:ascii="仿宋" w:hAnsi="仿宋" w:eastAsia="仿宋" w:cs="仿宋"/>
          <w:b/>
          <w:color w:val="auto"/>
          <w:sz w:val="21"/>
          <w:szCs w:val="21"/>
          <w:highlight w:val="none"/>
        </w:rPr>
        <w:t>评标表-4</w:t>
      </w:r>
      <w:bookmarkEnd w:id="19"/>
    </w:p>
    <w:tbl>
      <w:tblPr>
        <w:tblStyle w:val="25"/>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96"/>
        <w:gridCol w:w="3631"/>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6" w:hRule="atLeast"/>
        </w:trPr>
        <w:tc>
          <w:tcPr>
            <w:tcW w:w="45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79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类型</w:t>
            </w:r>
          </w:p>
        </w:tc>
        <w:tc>
          <w:tcPr>
            <w:tcW w:w="363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审查要求</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5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i w:val="0"/>
                <w:iCs w:val="0"/>
                <w:caps w:val="0"/>
                <w:color w:val="666666"/>
                <w:spacing w:val="0"/>
                <w:sz w:val="24"/>
                <w:szCs w:val="24"/>
                <w:shd w:val="clear" w:color="auto" w:fill="FFFFFF"/>
                <w:lang w:val="en-US" w:eastAsia="zh-CN"/>
              </w:rPr>
            </w:pPr>
            <w:r>
              <w:rPr>
                <w:rFonts w:hint="eastAsia" w:ascii="仿宋" w:hAnsi="仿宋" w:eastAsia="仿宋" w:cs="仿宋"/>
                <w:color w:val="auto"/>
                <w:kern w:val="2"/>
                <w:sz w:val="24"/>
                <w:szCs w:val="24"/>
                <w:highlight w:val="none"/>
                <w:lang w:val="en-US" w:eastAsia="zh-CN" w:bidi="ar-SA"/>
              </w:rPr>
              <w:t>1</w:t>
            </w:r>
          </w:p>
        </w:tc>
        <w:tc>
          <w:tcPr>
            <w:tcW w:w="79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基本资质</w:t>
            </w:r>
          </w:p>
        </w:tc>
        <w:tc>
          <w:tcPr>
            <w:tcW w:w="363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投标人名称必须与营业执照中的企业名称保持一致；</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投标人名称必须与营业执照中的企业名称保持一致；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45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79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基本资质</w:t>
            </w:r>
          </w:p>
        </w:tc>
        <w:tc>
          <w:tcPr>
            <w:tcW w:w="363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投标函按招标文件规定格式完整提供；</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投标函按招标文件规定格式完整提供；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45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79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基本资质</w:t>
            </w:r>
          </w:p>
        </w:tc>
        <w:tc>
          <w:tcPr>
            <w:tcW w:w="363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按规定缴纳投标保证金</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按规定缴纳投标保证金；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trPr>
        <w:tc>
          <w:tcPr>
            <w:tcW w:w="45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40" w:firstLineChars="100"/>
              <w:jc w:val="center"/>
              <w:textAlignment w:val="auto"/>
              <w:rPr>
                <w:rFonts w:hint="eastAsia" w:ascii="仿宋" w:hAnsi="仿宋" w:eastAsia="仿宋" w:cs="仿宋"/>
                <w:color w:val="auto"/>
                <w:kern w:val="2"/>
                <w:sz w:val="24"/>
                <w:szCs w:val="24"/>
                <w:highlight w:val="none"/>
                <w:lang w:val="en-US" w:eastAsia="zh-CN" w:bidi="ar-SA"/>
              </w:rPr>
            </w:pPr>
          </w:p>
        </w:tc>
        <w:tc>
          <w:tcPr>
            <w:tcW w:w="79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基本资质</w:t>
            </w:r>
          </w:p>
        </w:tc>
        <w:tc>
          <w:tcPr>
            <w:tcW w:w="363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投标人具备有效企业营业执照，且供应商营业执照需具有相关经营范围（档案整理服务等方面管理能力）其人员、设备、资金等方面具有相应的管理能力；</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投标人具备有效企业营业执照，且供应商营业执照需具有相关经营范围（档案整理服务等方面管理能力）其人员、设备、资金等方面具有相应的管理能力；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456" w:type="dxa"/>
            <w:noWrap w:val="0"/>
            <w:vAlign w:val="center"/>
          </w:tcPr>
          <w:p>
            <w:pPr>
              <w:pageBreakBefore w:val="0"/>
              <w:kinsoku/>
              <w:overflowPunct/>
              <w:topLinePunct w:val="0"/>
              <w:bidi w:val="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79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
                <w:bCs/>
                <w:i w:val="0"/>
                <w:iCs w:val="0"/>
                <w:caps w:val="0"/>
                <w:color w:val="666666"/>
                <w:spacing w:val="0"/>
                <w:sz w:val="22"/>
                <w:szCs w:val="22"/>
                <w:shd w:val="clear" w:color="auto" w:fill="FFFFFF"/>
              </w:rPr>
            </w:pPr>
            <w:r>
              <w:rPr>
                <w:rFonts w:hint="eastAsia" w:ascii="仿宋" w:hAnsi="仿宋" w:eastAsia="仿宋" w:cs="仿宋"/>
                <w:color w:val="auto"/>
                <w:kern w:val="2"/>
                <w:sz w:val="22"/>
                <w:szCs w:val="22"/>
                <w:highlight w:val="none"/>
                <w:lang w:val="en-US" w:eastAsia="zh-CN" w:bidi="ar-SA"/>
              </w:rPr>
              <w:t>特定资质</w:t>
            </w:r>
          </w:p>
        </w:tc>
        <w:tc>
          <w:tcPr>
            <w:tcW w:w="363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疆外企业必须是在新疆维吾尔自治区区外进疆企业信息报送的单位；</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b/>
                <w:bCs/>
                <w:i w:val="0"/>
                <w:iCs w:val="0"/>
                <w:caps w:val="0"/>
                <w:color w:val="666666"/>
                <w:spacing w:val="0"/>
                <w:sz w:val="22"/>
                <w:szCs w:val="22"/>
                <w:shd w:val="clear" w:color="auto" w:fill="FFFFFF"/>
              </w:rPr>
            </w:pPr>
            <w:r>
              <w:rPr>
                <w:rFonts w:hint="eastAsia" w:ascii="仿宋" w:hAnsi="仿宋" w:eastAsia="仿宋" w:cs="仿宋"/>
                <w:color w:val="auto"/>
                <w:kern w:val="2"/>
                <w:sz w:val="22"/>
                <w:szCs w:val="22"/>
                <w:highlight w:val="none"/>
                <w:lang w:val="en-US" w:eastAsia="zh-CN" w:bidi="ar-SA"/>
              </w:rPr>
              <w:t>疆外企业必须是在新疆维吾尔自治区区外进疆企业信息报送的单位；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1" w:hRule="atLeast"/>
        </w:trPr>
        <w:tc>
          <w:tcPr>
            <w:tcW w:w="45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c>
          <w:tcPr>
            <w:tcW w:w="79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
                <w:bCs/>
                <w:i w:val="0"/>
                <w:iCs w:val="0"/>
                <w:caps w:val="0"/>
                <w:color w:val="666666"/>
                <w:spacing w:val="0"/>
                <w:sz w:val="22"/>
                <w:szCs w:val="22"/>
                <w:shd w:val="clear" w:color="auto" w:fill="FFFFFF"/>
                <w:lang w:val="en-US" w:eastAsia="zh-CN"/>
              </w:rPr>
            </w:pPr>
            <w:r>
              <w:rPr>
                <w:rFonts w:hint="eastAsia" w:ascii="仿宋" w:hAnsi="仿宋" w:eastAsia="仿宋" w:cs="仿宋"/>
                <w:color w:val="auto"/>
                <w:kern w:val="2"/>
                <w:sz w:val="22"/>
                <w:szCs w:val="22"/>
                <w:highlight w:val="none"/>
                <w:lang w:val="en-US" w:eastAsia="zh-CN" w:bidi="ar-SA"/>
              </w:rPr>
              <w:t>特定资质</w:t>
            </w:r>
          </w:p>
        </w:tc>
        <w:tc>
          <w:tcPr>
            <w:tcW w:w="363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color w:val="auto"/>
                <w:kern w:val="2"/>
                <w:sz w:val="22"/>
                <w:szCs w:val="22"/>
                <w:highlight w:val="none"/>
                <w:lang w:val="en-US" w:eastAsia="zh-CN" w:bidi="ar-SA"/>
              </w:rPr>
              <w:br w:type="textWrapping"/>
            </w:r>
            <w:r>
              <w:rPr>
                <w:rFonts w:hint="eastAsia" w:ascii="仿宋" w:hAnsi="仿宋" w:eastAsia="仿宋" w:cs="仿宋"/>
                <w:color w:val="auto"/>
                <w:kern w:val="2"/>
                <w:sz w:val="22"/>
                <w:szCs w:val="22"/>
                <w:highlight w:val="none"/>
                <w:lang w:val="en-US" w:eastAsia="zh-CN" w:bidi="ar-SA"/>
              </w:rPr>
              <w:t>参加政府采购活动前三年内，在经营活动中没有重大违法记录；</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b/>
                <w:bCs/>
                <w:i w:val="0"/>
                <w:iCs w:val="0"/>
                <w:caps w:val="0"/>
                <w:color w:val="666666"/>
                <w:spacing w:val="0"/>
                <w:sz w:val="22"/>
                <w:szCs w:val="22"/>
                <w:shd w:val="clear" w:color="auto" w:fill="FFFFFF"/>
              </w:rPr>
            </w:pPr>
            <w:r>
              <w:rPr>
                <w:rFonts w:hint="eastAsia" w:ascii="仿宋" w:hAnsi="仿宋" w:eastAsia="仿宋" w:cs="仿宋"/>
                <w:color w:val="auto"/>
                <w:kern w:val="2"/>
                <w:sz w:val="22"/>
                <w:szCs w:val="22"/>
                <w:highlight w:val="none"/>
                <w:lang w:val="en-US" w:eastAsia="zh-CN" w:bidi="ar-SA"/>
              </w:rPr>
              <w:t>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color w:val="auto"/>
                <w:kern w:val="2"/>
                <w:sz w:val="22"/>
                <w:szCs w:val="22"/>
                <w:highlight w:val="none"/>
                <w:lang w:val="en-US" w:eastAsia="zh-CN" w:bidi="ar-SA"/>
              </w:rPr>
              <w:br w:type="textWrapping"/>
            </w:r>
            <w:r>
              <w:rPr>
                <w:rFonts w:hint="eastAsia" w:ascii="仿宋" w:hAnsi="仿宋" w:eastAsia="仿宋" w:cs="仿宋"/>
                <w:color w:val="auto"/>
                <w:kern w:val="2"/>
                <w:sz w:val="22"/>
                <w:szCs w:val="22"/>
                <w:highlight w:val="none"/>
                <w:lang w:val="en-US" w:eastAsia="zh-CN" w:bidi="ar-SA"/>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trPr>
        <w:tc>
          <w:tcPr>
            <w:tcW w:w="45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w:t>
            </w:r>
          </w:p>
        </w:tc>
        <w:tc>
          <w:tcPr>
            <w:tcW w:w="79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
                <w:bCs/>
                <w:i w:val="0"/>
                <w:iCs w:val="0"/>
                <w:caps w:val="0"/>
                <w:color w:val="666666"/>
                <w:spacing w:val="0"/>
                <w:sz w:val="22"/>
                <w:szCs w:val="22"/>
                <w:shd w:val="clear" w:color="auto" w:fill="FFFFFF"/>
              </w:rPr>
            </w:pPr>
            <w:r>
              <w:rPr>
                <w:rFonts w:hint="eastAsia" w:ascii="仿宋" w:hAnsi="仿宋" w:eastAsia="仿宋" w:cs="仿宋"/>
                <w:color w:val="auto"/>
                <w:kern w:val="2"/>
                <w:sz w:val="22"/>
                <w:szCs w:val="22"/>
                <w:highlight w:val="none"/>
                <w:lang w:val="en-US" w:eastAsia="zh-CN" w:bidi="ar-SA"/>
              </w:rPr>
              <w:t>特定资质</w:t>
            </w:r>
          </w:p>
        </w:tc>
        <w:tc>
          <w:tcPr>
            <w:tcW w:w="363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在“信用中国”（www.creditchina.gov.cn）和中国政府采购网（www.ccgp.gov.cn）网站上未被列入失信被执行人、税收违法黑名单以及政府采购严重违法失信行为记录名单；</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b/>
                <w:bCs/>
                <w:i w:val="0"/>
                <w:iCs w:val="0"/>
                <w:caps w:val="0"/>
                <w:color w:val="666666"/>
                <w:spacing w:val="0"/>
                <w:sz w:val="22"/>
                <w:szCs w:val="22"/>
                <w:shd w:val="clear" w:color="auto" w:fill="FFFFFF"/>
              </w:rPr>
            </w:pPr>
            <w:r>
              <w:rPr>
                <w:rFonts w:hint="eastAsia" w:ascii="仿宋" w:hAnsi="仿宋" w:eastAsia="仿宋" w:cs="仿宋"/>
                <w:color w:val="auto"/>
                <w:kern w:val="2"/>
                <w:sz w:val="22"/>
                <w:szCs w:val="22"/>
                <w:highlight w:val="none"/>
                <w:lang w:val="en-US" w:eastAsia="zh-CN" w:bidi="ar-SA"/>
              </w:rPr>
              <w:t>在“信用中国”（www.creditchina.gov.cn）和中国政府采购网（www.ccgp.gov.cn）网站上未被列入失信被执行人、税收违法黑名单以及政府采购严重违法失信行为记录名单；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0" w:hRule="atLeast"/>
        </w:trPr>
        <w:tc>
          <w:tcPr>
            <w:tcW w:w="45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w:t>
            </w:r>
          </w:p>
        </w:tc>
        <w:tc>
          <w:tcPr>
            <w:tcW w:w="796"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both"/>
              <w:textAlignment w:val="auto"/>
              <w:rPr>
                <w:rFonts w:hint="eastAsia" w:ascii="仿宋" w:hAnsi="仿宋" w:eastAsia="仿宋" w:cs="仿宋"/>
                <w:b/>
                <w:bCs/>
                <w:i w:val="0"/>
                <w:iCs w:val="0"/>
                <w:caps w:val="0"/>
                <w:color w:val="666666"/>
                <w:spacing w:val="0"/>
                <w:sz w:val="22"/>
                <w:szCs w:val="22"/>
                <w:shd w:val="clear" w:color="auto" w:fill="FFFFFF"/>
              </w:rPr>
            </w:pPr>
            <w:r>
              <w:rPr>
                <w:rFonts w:hint="eastAsia" w:ascii="仿宋" w:hAnsi="仿宋" w:eastAsia="仿宋" w:cs="仿宋"/>
                <w:color w:val="auto"/>
                <w:kern w:val="2"/>
                <w:sz w:val="22"/>
                <w:szCs w:val="22"/>
                <w:highlight w:val="none"/>
                <w:lang w:val="en-US" w:eastAsia="zh-CN" w:bidi="ar-SA"/>
              </w:rPr>
              <w:t>特定资质</w:t>
            </w:r>
          </w:p>
        </w:tc>
        <w:tc>
          <w:tcPr>
            <w:tcW w:w="363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行贿犯罪查询结果 提供无行贿犯罪，可自行登陆“中国裁判文书网http://wenshu.court.gov.cn”查询结果(单位、法人、项目负责人)；</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b/>
                <w:bCs/>
                <w:i w:val="0"/>
                <w:iCs w:val="0"/>
                <w:caps w:val="0"/>
                <w:color w:val="666666"/>
                <w:spacing w:val="0"/>
                <w:sz w:val="22"/>
                <w:szCs w:val="22"/>
                <w:shd w:val="clear" w:color="auto" w:fill="FFFFFF"/>
              </w:rPr>
            </w:pPr>
            <w:r>
              <w:rPr>
                <w:rFonts w:hint="eastAsia" w:ascii="仿宋" w:hAnsi="仿宋" w:eastAsia="仿宋" w:cs="仿宋"/>
                <w:color w:val="auto"/>
                <w:kern w:val="2"/>
                <w:sz w:val="22"/>
                <w:szCs w:val="22"/>
                <w:highlight w:val="none"/>
                <w:lang w:val="en-US" w:eastAsia="zh-CN" w:bidi="ar-SA"/>
              </w:rPr>
              <w:t>行贿犯罪查询结果 提供无行贿犯罪，可自行登陆“中国裁判文书网http://wenshu.court.gov.cn”查询结果(单位、法人、项目负责人)；</w:t>
            </w:r>
          </w:p>
        </w:tc>
      </w:tr>
    </w:tbl>
    <w:p>
      <w:pPr>
        <w:pageBreakBefore w:val="0"/>
        <w:kinsoku/>
        <w:overflowPunct/>
        <w:topLinePunct w:val="0"/>
        <w:bidi w:val="0"/>
        <w:ind w:firstLine="241" w:firstLineChars="100"/>
        <w:jc w:val="left"/>
        <w:textAlignment w:val="auto"/>
        <w:rPr>
          <w:rFonts w:hint="eastAsia" w:ascii="仿宋" w:hAnsi="仿宋" w:eastAsia="仿宋" w:cs="仿宋"/>
          <w:b/>
          <w:color w:val="auto"/>
          <w:sz w:val="24"/>
          <w:szCs w:val="24"/>
          <w:highlight w:val="none"/>
        </w:rPr>
      </w:pPr>
    </w:p>
    <w:p>
      <w:pPr>
        <w:pageBreakBefore w:val="0"/>
        <w:kinsoku/>
        <w:overflowPunct/>
        <w:topLinePunct w:val="0"/>
        <w:bidi w:val="0"/>
        <w:ind w:firstLine="241" w:firstLineChars="1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评标办法前附表-符合性要求</w:t>
      </w:r>
    </w:p>
    <w:tbl>
      <w:tblPr>
        <w:tblStyle w:val="25"/>
        <w:tblW w:w="8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940"/>
        <w:gridCol w:w="3542"/>
        <w:gridCol w:w="3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46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序号</w:t>
            </w:r>
          </w:p>
        </w:tc>
        <w:tc>
          <w:tcPr>
            <w:tcW w:w="940"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1" w:firstLineChars="100"/>
              <w:jc w:val="left"/>
              <w:textAlignment w:val="auto"/>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类型</w:t>
            </w:r>
          </w:p>
        </w:tc>
        <w:tc>
          <w:tcPr>
            <w:tcW w:w="3542"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1" w:firstLineChars="100"/>
              <w:jc w:val="left"/>
              <w:textAlignment w:val="auto"/>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审查要求</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1" w:firstLineChars="100"/>
              <w:jc w:val="left"/>
              <w:textAlignment w:val="auto"/>
              <w:rPr>
                <w:rFonts w:hint="eastAsia" w:ascii="仿宋" w:hAnsi="仿宋" w:eastAsia="仿宋" w:cs="仿宋"/>
                <w:b/>
                <w:bCs/>
                <w:sz w:val="22"/>
                <w:szCs w:val="22"/>
                <w:vertAlign w:val="baseline"/>
                <w:lang w:val="en-US" w:eastAsia="zh-CN"/>
              </w:rPr>
            </w:pPr>
            <w:r>
              <w:rPr>
                <w:rFonts w:hint="eastAsia" w:ascii="仿宋" w:hAnsi="仿宋" w:eastAsia="仿宋" w:cs="仿宋"/>
                <w:b/>
                <w:bCs/>
                <w:sz w:val="22"/>
                <w:szCs w:val="22"/>
                <w:vertAlign w:val="baseline"/>
                <w:lang w:val="en-US"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46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w:t>
            </w:r>
          </w:p>
        </w:tc>
        <w:tc>
          <w:tcPr>
            <w:tcW w:w="940"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报价</w:t>
            </w:r>
          </w:p>
        </w:tc>
        <w:tc>
          <w:tcPr>
            <w:tcW w:w="3542"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投标文件按照招标文件规定的内容投标报价具有唯一性，未超过采购项目最高限价</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投标文件按照招标文件规定的内容投标报价具有唯一性，未超过采购项目最高限价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46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w:t>
            </w:r>
          </w:p>
        </w:tc>
        <w:tc>
          <w:tcPr>
            <w:tcW w:w="940"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商务资信</w:t>
            </w:r>
          </w:p>
        </w:tc>
        <w:tc>
          <w:tcPr>
            <w:tcW w:w="3542"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投标文件提供法定代表人授权委托书或提供法定代表人身份证明签字齐全，且符合竞争性磋商文件规定的格式。</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投标文件提供法定代表人授权委托书或提供法定代表人身份证明签字齐全，且符合竞争性磋商文件规定的格式。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46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w:t>
            </w:r>
          </w:p>
        </w:tc>
        <w:tc>
          <w:tcPr>
            <w:tcW w:w="940"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商务资信</w:t>
            </w:r>
          </w:p>
        </w:tc>
        <w:tc>
          <w:tcPr>
            <w:tcW w:w="3542"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投标文件承诺投标有效期满足招标文件要求</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投标文件承诺投标有效期满足招标文件要求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46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4</w:t>
            </w:r>
          </w:p>
        </w:tc>
        <w:tc>
          <w:tcPr>
            <w:tcW w:w="940"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商务资信</w:t>
            </w:r>
          </w:p>
        </w:tc>
        <w:tc>
          <w:tcPr>
            <w:tcW w:w="3542"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投标文件中附有招标人不能接受的条件或不符合招标文件的其他要求</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投标文件中附有招标人不能接受的条件或不符合招标文件的其他要求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46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5</w:t>
            </w:r>
          </w:p>
        </w:tc>
        <w:tc>
          <w:tcPr>
            <w:tcW w:w="940"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商务资信</w:t>
            </w:r>
          </w:p>
        </w:tc>
        <w:tc>
          <w:tcPr>
            <w:tcW w:w="3542"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投标文件工期要求符合招标文件的要求</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投标文件工期要求符合招标文件的要求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trPr>
        <w:tc>
          <w:tcPr>
            <w:tcW w:w="461"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6</w:t>
            </w:r>
          </w:p>
        </w:tc>
        <w:tc>
          <w:tcPr>
            <w:tcW w:w="940"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商务资信</w:t>
            </w:r>
          </w:p>
        </w:tc>
        <w:tc>
          <w:tcPr>
            <w:tcW w:w="3542"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满足竞争性磋商文件提出的质量、技术要求。</w:t>
            </w:r>
          </w:p>
        </w:tc>
        <w:tc>
          <w:tcPr>
            <w:tcW w:w="3497" w:type="dxa"/>
            <w:noWrap w:val="0"/>
            <w:vAlign w:val="center"/>
          </w:tcPr>
          <w:p>
            <w:pPr>
              <w:pStyle w:val="3"/>
              <w:keepNext w:val="0"/>
              <w:keepLines w:val="0"/>
              <w:pageBreakBefore w:val="0"/>
              <w:widowControl/>
              <w:kinsoku/>
              <w:wordWrap/>
              <w:overflowPunct/>
              <w:topLinePunct w:val="0"/>
              <w:autoSpaceDE/>
              <w:autoSpaceDN/>
              <w:bidi w:val="0"/>
              <w:adjustRightInd/>
              <w:snapToGrid/>
              <w:spacing w:after="0" w:line="240" w:lineRule="auto"/>
              <w:ind w:left="0" w:leftChars="0" w:firstLine="220" w:firstLineChars="100"/>
              <w:jc w:val="both"/>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满足竞争性磋商文件提出的质量、技术要求。</w:t>
            </w:r>
          </w:p>
        </w:tc>
      </w:tr>
    </w:tbl>
    <w:p>
      <w:pPr>
        <w:pageBreakBefore w:val="0"/>
        <w:kinsoku/>
        <w:overflowPunct/>
        <w:topLinePunct w:val="0"/>
        <w:bidi w:val="0"/>
        <w:spacing w:before="75" w:line="232" w:lineRule="auto"/>
        <w:ind w:left="122" w:firstLine="181" w:firstLineChars="100"/>
        <w:jc w:val="left"/>
        <w:textAlignment w:val="auto"/>
        <w:rPr>
          <w:rFonts w:hint="eastAsia" w:ascii="仿宋" w:hAnsi="仿宋" w:eastAsia="仿宋" w:cs="仿宋"/>
          <w:sz w:val="23"/>
          <w:szCs w:val="23"/>
        </w:rPr>
      </w:pPr>
      <w:r>
        <w:rPr>
          <w:rFonts w:hint="eastAsia" w:ascii="仿宋" w:hAnsi="仿宋" w:eastAsia="仿宋" w:cs="仿宋"/>
          <w:b/>
          <w:bCs/>
          <w:spacing w:val="10"/>
          <w:sz w:val="16"/>
          <w:szCs w:val="16"/>
        </w:rPr>
        <w:t>注：未通过初审的其响应文件将按照无效响应处理</w:t>
      </w:r>
      <w:r>
        <w:rPr>
          <w:rFonts w:hint="eastAsia" w:ascii="仿宋" w:hAnsi="仿宋" w:eastAsia="仿宋" w:cs="仿宋"/>
          <w:b/>
          <w:bCs/>
          <w:spacing w:val="7"/>
          <w:sz w:val="16"/>
          <w:szCs w:val="16"/>
        </w:rPr>
        <w:t>。</w:t>
      </w:r>
    </w:p>
    <w:p>
      <w:pPr>
        <w:pStyle w:val="2"/>
        <w:rPr>
          <w:rFonts w:hint="eastAsia" w:ascii="仿宋" w:hAnsi="仿宋" w:eastAsia="仿宋" w:cs="仿宋"/>
        </w:rPr>
        <w:sectPr>
          <w:pgSz w:w="11906" w:h="16839"/>
          <w:pgMar w:top="1440" w:right="1800" w:bottom="1440" w:left="1800" w:header="0" w:footer="1202" w:gutter="0"/>
          <w:pgNumType w:fmt="decimal"/>
          <w:cols w:space="720" w:num="1"/>
        </w:sectPr>
      </w:pPr>
    </w:p>
    <w:p>
      <w:pPr>
        <w:pageBreakBefore w:val="0"/>
        <w:widowControl w:val="0"/>
        <w:kinsoku/>
        <w:overflowPunct/>
        <w:topLinePunct w:val="0"/>
        <w:bidi w:val="0"/>
        <w:spacing w:beforeAutospacing="0" w:after="0" w:afterAutospacing="0" w:line="240" w:lineRule="auto"/>
        <w:ind w:right="0"/>
        <w:jc w:val="left"/>
        <w:textAlignment w:val="auto"/>
        <w:rPr>
          <w:rFonts w:hint="eastAsia" w:ascii="仿宋" w:hAnsi="仿宋" w:eastAsia="仿宋" w:cs="仿宋"/>
          <w:b/>
          <w:color w:val="auto"/>
          <w:sz w:val="24"/>
          <w:szCs w:val="24"/>
          <w:highlight w:val="none"/>
        </w:rPr>
      </w:pPr>
      <w:bookmarkStart w:id="20" w:name="_Hlk508132005"/>
      <w:r>
        <w:rPr>
          <w:rFonts w:hint="eastAsia" w:ascii="仿宋" w:hAnsi="仿宋" w:eastAsia="仿宋" w:cs="仿宋"/>
          <w:b/>
          <w:color w:val="auto"/>
          <w:sz w:val="24"/>
          <w:szCs w:val="24"/>
          <w:highlight w:val="none"/>
        </w:rPr>
        <w:t>评标办法前附表-详细评审（一）</w:t>
      </w:r>
      <w:bookmarkEnd w:id="20"/>
      <w:bookmarkStart w:id="21" w:name="_Hlk508132016"/>
    </w:p>
    <w:p>
      <w:pPr>
        <w:pageBreakBefore w:val="0"/>
        <w:widowControl w:val="0"/>
        <w:kinsoku/>
        <w:overflowPunct/>
        <w:topLinePunct w:val="0"/>
        <w:bidi w:val="0"/>
        <w:spacing w:beforeAutospacing="0" w:after="0" w:afterAutospacing="0" w:line="240" w:lineRule="auto"/>
        <w:ind w:right="0"/>
        <w:jc w:val="center"/>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评标表-5</w:t>
      </w:r>
      <w:bookmarkEnd w:id="21"/>
    </w:p>
    <w:tbl>
      <w:tblPr>
        <w:tblStyle w:val="26"/>
        <w:tblW w:w="8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30"/>
        <w:gridCol w:w="42"/>
        <w:gridCol w:w="6507"/>
        <w:gridCol w:w="4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503" w:type="dxa"/>
            <w:noWrap w:val="0"/>
            <w:textDirection w:val="tbRlV"/>
            <w:vAlign w:val="bottom"/>
          </w:tcPr>
          <w:p>
            <w:pPr>
              <w:kinsoku/>
              <w:autoSpaceDE/>
              <w:autoSpaceDN/>
              <w:adjustRightInd/>
              <w:snapToGrid/>
              <w:spacing w:before="65" w:after="160" w:line="188" w:lineRule="auto"/>
              <w:ind w:left="110"/>
              <w:jc w:val="center"/>
              <w:textAlignment w:val="auto"/>
              <w:rPr>
                <w:rFonts w:hint="eastAsia" w:ascii="仿宋" w:hAnsi="仿宋" w:eastAsia="仿宋" w:cs="仿宋"/>
                <w:b/>
                <w:bCs/>
                <w:snapToGrid/>
                <w:color w:val="auto"/>
                <w:kern w:val="2"/>
                <w:sz w:val="22"/>
                <w:szCs w:val="22"/>
                <w:highlight w:val="none"/>
                <w:lang w:val="en-US" w:eastAsia="zh-CN" w:bidi="ar-SA"/>
              </w:rPr>
            </w:pPr>
            <w:r>
              <w:rPr>
                <w:rFonts w:hint="eastAsia" w:ascii="仿宋" w:hAnsi="仿宋" w:eastAsia="仿宋" w:cs="仿宋"/>
                <w:b/>
                <w:bCs/>
                <w:snapToGrid/>
                <w:color w:val="auto"/>
                <w:kern w:val="2"/>
                <w:sz w:val="22"/>
                <w:szCs w:val="22"/>
                <w:highlight w:val="none"/>
                <w:lang w:val="en-US" w:eastAsia="zh-CN" w:bidi="ar-SA"/>
              </w:rPr>
              <w:t>序号</w:t>
            </w:r>
          </w:p>
        </w:tc>
        <w:tc>
          <w:tcPr>
            <w:tcW w:w="1072" w:type="dxa"/>
            <w:gridSpan w:val="2"/>
            <w:noWrap w:val="0"/>
            <w:vAlign w:val="bottom"/>
          </w:tcPr>
          <w:p>
            <w:pPr>
              <w:kinsoku/>
              <w:autoSpaceDE/>
              <w:autoSpaceDN/>
              <w:adjustRightInd/>
              <w:snapToGrid/>
              <w:spacing w:before="65" w:after="160" w:line="188" w:lineRule="auto"/>
              <w:ind w:left="110"/>
              <w:jc w:val="center"/>
              <w:textAlignment w:val="auto"/>
              <w:rPr>
                <w:rFonts w:hint="eastAsia" w:ascii="仿宋" w:hAnsi="仿宋" w:eastAsia="仿宋" w:cs="仿宋"/>
                <w:b/>
                <w:bCs/>
                <w:snapToGrid/>
                <w:color w:val="auto"/>
                <w:kern w:val="2"/>
                <w:sz w:val="22"/>
                <w:szCs w:val="22"/>
                <w:highlight w:val="none"/>
                <w:lang w:val="en-US" w:eastAsia="zh-CN" w:bidi="ar-SA"/>
              </w:rPr>
            </w:pPr>
            <w:r>
              <w:rPr>
                <w:rFonts w:hint="eastAsia" w:ascii="仿宋" w:hAnsi="仿宋" w:eastAsia="仿宋" w:cs="仿宋"/>
                <w:b/>
                <w:bCs/>
                <w:snapToGrid/>
                <w:color w:val="auto"/>
                <w:kern w:val="2"/>
                <w:sz w:val="22"/>
                <w:szCs w:val="22"/>
                <w:highlight w:val="none"/>
                <w:lang w:val="en-US" w:eastAsia="zh-CN" w:bidi="ar-SA"/>
              </w:rPr>
              <w:t>评审指标</w:t>
            </w:r>
          </w:p>
          <w:p>
            <w:pPr>
              <w:kinsoku/>
              <w:autoSpaceDE/>
              <w:autoSpaceDN/>
              <w:adjustRightInd/>
              <w:snapToGrid/>
              <w:spacing w:before="65" w:after="160" w:line="188" w:lineRule="auto"/>
              <w:ind w:left="110"/>
              <w:jc w:val="center"/>
              <w:textAlignment w:val="auto"/>
              <w:rPr>
                <w:rFonts w:hint="eastAsia" w:ascii="仿宋" w:hAnsi="仿宋" w:eastAsia="仿宋" w:cs="仿宋"/>
                <w:b/>
                <w:bCs/>
                <w:snapToGrid/>
                <w:color w:val="auto"/>
                <w:kern w:val="2"/>
                <w:sz w:val="22"/>
                <w:szCs w:val="22"/>
                <w:highlight w:val="none"/>
                <w:lang w:val="en-US" w:eastAsia="zh-CN" w:bidi="ar-SA"/>
              </w:rPr>
            </w:pPr>
            <w:r>
              <w:rPr>
                <w:rFonts w:hint="eastAsia" w:ascii="仿宋" w:hAnsi="仿宋" w:eastAsia="仿宋" w:cs="仿宋"/>
                <w:b/>
                <w:bCs/>
                <w:snapToGrid/>
                <w:color w:val="auto"/>
                <w:kern w:val="2"/>
                <w:sz w:val="22"/>
                <w:szCs w:val="22"/>
                <w:highlight w:val="none"/>
                <w:lang w:val="en-US" w:eastAsia="zh-CN" w:bidi="ar-SA"/>
              </w:rPr>
              <w:t>(100 分)</w:t>
            </w:r>
          </w:p>
        </w:tc>
        <w:tc>
          <w:tcPr>
            <w:tcW w:w="6507" w:type="dxa"/>
            <w:noWrap w:val="0"/>
            <w:vAlign w:val="bottom"/>
          </w:tcPr>
          <w:p>
            <w:pPr>
              <w:kinsoku/>
              <w:autoSpaceDE/>
              <w:autoSpaceDN/>
              <w:adjustRightInd/>
              <w:snapToGrid/>
              <w:spacing w:before="65" w:after="160" w:line="188" w:lineRule="auto"/>
              <w:ind w:left="110"/>
              <w:jc w:val="center"/>
              <w:textAlignment w:val="auto"/>
              <w:rPr>
                <w:rFonts w:hint="eastAsia" w:ascii="仿宋" w:hAnsi="仿宋" w:eastAsia="仿宋" w:cs="仿宋"/>
                <w:b/>
                <w:bCs/>
                <w:snapToGrid/>
                <w:color w:val="auto"/>
                <w:kern w:val="2"/>
                <w:sz w:val="22"/>
                <w:szCs w:val="22"/>
                <w:highlight w:val="none"/>
                <w:lang w:val="en-US" w:eastAsia="zh-CN" w:bidi="ar-SA"/>
              </w:rPr>
            </w:pPr>
            <w:r>
              <w:rPr>
                <w:rFonts w:hint="eastAsia" w:ascii="仿宋" w:hAnsi="仿宋" w:eastAsia="仿宋" w:cs="仿宋"/>
                <w:b/>
                <w:bCs/>
                <w:snapToGrid/>
                <w:color w:val="auto"/>
                <w:kern w:val="2"/>
                <w:sz w:val="22"/>
                <w:szCs w:val="22"/>
                <w:highlight w:val="none"/>
                <w:lang w:val="en-US" w:eastAsia="zh-CN" w:bidi="ar-SA"/>
              </w:rPr>
              <w:t>评审标准</w:t>
            </w:r>
          </w:p>
        </w:tc>
        <w:tc>
          <w:tcPr>
            <w:tcW w:w="498" w:type="dxa"/>
            <w:noWrap w:val="0"/>
            <w:vAlign w:val="bottom"/>
          </w:tcPr>
          <w:p>
            <w:pPr>
              <w:kinsoku/>
              <w:autoSpaceDE/>
              <w:autoSpaceDN/>
              <w:adjustRightInd/>
              <w:snapToGrid/>
              <w:spacing w:before="65" w:after="160" w:line="188" w:lineRule="auto"/>
              <w:ind w:left="110"/>
              <w:jc w:val="center"/>
              <w:textAlignment w:val="auto"/>
              <w:rPr>
                <w:rFonts w:hint="eastAsia" w:ascii="仿宋" w:hAnsi="仿宋" w:eastAsia="仿宋" w:cs="仿宋"/>
                <w:b/>
                <w:bCs/>
                <w:snapToGrid/>
                <w:color w:val="auto"/>
                <w:kern w:val="2"/>
                <w:sz w:val="22"/>
                <w:szCs w:val="22"/>
                <w:highlight w:val="none"/>
                <w:lang w:val="en-US" w:eastAsia="zh-CN" w:bidi="ar-SA"/>
              </w:rPr>
            </w:pPr>
            <w:r>
              <w:rPr>
                <w:rFonts w:hint="eastAsia" w:ascii="仿宋" w:hAnsi="仿宋" w:eastAsia="仿宋" w:cs="仿宋"/>
                <w:b/>
                <w:bCs/>
                <w:snapToGrid/>
                <w:color w:val="auto"/>
                <w:kern w:val="2"/>
                <w:sz w:val="22"/>
                <w:szCs w:val="22"/>
                <w:highlight w:val="none"/>
                <w:lang w:val="en-US" w:eastAsia="zh-CN" w:bidi="ar-SA"/>
              </w:rPr>
              <w:t>分值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503" w:type="dxa"/>
            <w:noWrap w:val="0"/>
            <w:vAlign w:val="center"/>
          </w:tcPr>
          <w:p>
            <w:pPr>
              <w:keepNext w:val="0"/>
              <w:keepLines w:val="0"/>
              <w:pageBreakBefore w:val="0"/>
              <w:widowControl/>
              <w:wordWrap/>
              <w:overflowPunct/>
              <w:topLinePunct w:val="0"/>
              <w:bidi w:val="0"/>
              <w:spacing w:before="65" w:line="300" w:lineRule="exact"/>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w:t>
            </w:r>
          </w:p>
        </w:tc>
        <w:tc>
          <w:tcPr>
            <w:tcW w:w="1072" w:type="dxa"/>
            <w:gridSpan w:val="2"/>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最后报价</w:t>
            </w:r>
          </w:p>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(30分)</w:t>
            </w:r>
          </w:p>
        </w:tc>
        <w:tc>
          <w:tcPr>
            <w:tcW w:w="6507" w:type="dxa"/>
            <w:noWrap w:val="0"/>
            <w:vAlign w:val="top"/>
          </w:tcPr>
          <w:p>
            <w:pPr>
              <w:keepNext w:val="0"/>
              <w:keepLines w:val="0"/>
              <w:pageBreakBefore w:val="0"/>
              <w:widowControl/>
              <w:wordWrap/>
              <w:overflowPunct/>
              <w:topLinePunct w:val="0"/>
              <w:bidi w:val="0"/>
              <w:spacing w:before="60" w:line="300" w:lineRule="exact"/>
              <w:ind w:left="110" w:right="66" w:firstLine="1"/>
              <w:jc w:val="left"/>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满足磋商文件要求且最后报价最低的供应商的价格为磋商基准价，其价格分为满分。其他供应商的价格分统一按照下列公式计算：磋商报价得分=(磋商基准价/最后磋商报价)×30</w:t>
            </w:r>
          </w:p>
        </w:tc>
        <w:tc>
          <w:tcPr>
            <w:tcW w:w="498" w:type="dxa"/>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503" w:type="dxa"/>
            <w:vMerge w:val="restart"/>
            <w:noWrap w:val="0"/>
            <w:vAlign w:val="center"/>
          </w:tcPr>
          <w:p>
            <w:pPr>
              <w:keepNext w:val="0"/>
              <w:keepLines w:val="0"/>
              <w:pageBreakBefore w:val="0"/>
              <w:widowControl/>
              <w:wordWrap/>
              <w:overflowPunct/>
              <w:topLinePunct w:val="0"/>
              <w:bidi w:val="0"/>
              <w:spacing w:before="65" w:line="300" w:lineRule="exact"/>
              <w:ind w:left="119"/>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w:t>
            </w:r>
          </w:p>
        </w:tc>
        <w:tc>
          <w:tcPr>
            <w:tcW w:w="1072" w:type="dxa"/>
            <w:gridSpan w:val="2"/>
            <w:vMerge w:val="restart"/>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企业综合实力</w:t>
            </w:r>
          </w:p>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(30分)</w:t>
            </w:r>
          </w:p>
        </w:tc>
        <w:tc>
          <w:tcPr>
            <w:tcW w:w="6507" w:type="dxa"/>
            <w:noWrap w:val="0"/>
            <w:vAlign w:val="center"/>
          </w:tcPr>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1、项目负责人具有高级或以上技术职称、身份证，近六个月(2022年7月-12月份)的个人社保明细得4分；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2、项目管理人员:拟投入本项目的其他人员(项目负责人除外)具有中级或以上技术职称、身份证，近六个月(2022年7月-12月份)的个人社保明细，每人得2分，最多得6分</w:t>
            </w:r>
          </w:p>
        </w:tc>
        <w:tc>
          <w:tcPr>
            <w:tcW w:w="498" w:type="dxa"/>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503" w:type="dxa"/>
            <w:vMerge w:val="continue"/>
            <w:noWrap w:val="0"/>
            <w:vAlign w:val="center"/>
          </w:tcPr>
          <w:p>
            <w:pPr>
              <w:keepNext w:val="0"/>
              <w:keepLines w:val="0"/>
              <w:pageBreakBefore w:val="0"/>
              <w:widowControl/>
              <w:wordWrap/>
              <w:overflowPunct/>
              <w:topLinePunct w:val="0"/>
              <w:bidi w:val="0"/>
              <w:spacing w:line="300" w:lineRule="exact"/>
              <w:jc w:val="center"/>
              <w:rPr>
                <w:rFonts w:hint="eastAsia" w:ascii="仿宋" w:hAnsi="仿宋" w:eastAsia="仿宋" w:cs="仿宋"/>
                <w:color w:val="auto"/>
                <w:kern w:val="2"/>
                <w:sz w:val="22"/>
                <w:szCs w:val="22"/>
                <w:highlight w:val="none"/>
                <w:lang w:val="en-US" w:eastAsia="zh-CN" w:bidi="ar-SA"/>
              </w:rPr>
            </w:pPr>
          </w:p>
        </w:tc>
        <w:tc>
          <w:tcPr>
            <w:tcW w:w="1072" w:type="dxa"/>
            <w:gridSpan w:val="2"/>
            <w:vMerge w:val="continue"/>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p>
        </w:tc>
        <w:tc>
          <w:tcPr>
            <w:tcW w:w="6507" w:type="dxa"/>
            <w:tcBorders>
              <w:bottom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3、类似工程业绩</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供应商近三年自2020年1月1日至今同类项目业绩（同类项目指档案整理服务等方面），有过类似项目业绩的得4分,每增加一项得1分,最多得20分(应附有合同原件的复印件或中标通知书)｡</w:t>
            </w:r>
          </w:p>
        </w:tc>
        <w:tc>
          <w:tcPr>
            <w:tcW w:w="498" w:type="dxa"/>
            <w:tcBorders>
              <w:bottom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503" w:type="dxa"/>
            <w:vMerge w:val="restart"/>
            <w:noWrap w:val="0"/>
            <w:vAlign w:val="center"/>
          </w:tcPr>
          <w:p>
            <w:pPr>
              <w:keepNext w:val="0"/>
              <w:keepLines w:val="0"/>
              <w:pageBreakBefore w:val="0"/>
              <w:widowControl/>
              <w:wordWrap/>
              <w:overflowPunct/>
              <w:topLinePunct w:val="0"/>
              <w:bidi w:val="0"/>
              <w:spacing w:line="300" w:lineRule="exact"/>
              <w:jc w:val="center"/>
              <w:rPr>
                <w:rFonts w:hint="eastAsia" w:ascii="仿宋" w:hAnsi="仿宋" w:eastAsia="仿宋" w:cs="仿宋"/>
                <w:color w:val="auto"/>
                <w:kern w:val="2"/>
                <w:sz w:val="22"/>
                <w:szCs w:val="22"/>
                <w:highlight w:val="none"/>
                <w:lang w:val="en-US" w:eastAsia="zh-CN" w:bidi="ar-SA"/>
              </w:rPr>
            </w:pPr>
          </w:p>
          <w:p>
            <w:pPr>
              <w:keepNext w:val="0"/>
              <w:keepLines w:val="0"/>
              <w:pageBreakBefore w:val="0"/>
              <w:widowControl/>
              <w:wordWrap/>
              <w:overflowPunct/>
              <w:topLinePunct w:val="0"/>
              <w:bidi w:val="0"/>
              <w:spacing w:line="300" w:lineRule="exact"/>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3</w:t>
            </w:r>
          </w:p>
          <w:p>
            <w:pPr>
              <w:pStyle w:val="2"/>
              <w:keepNext w:val="0"/>
              <w:keepLines w:val="0"/>
              <w:pageBreakBefore w:val="0"/>
              <w:widowControl/>
              <w:wordWrap/>
              <w:overflowPunct/>
              <w:topLinePunct w:val="0"/>
              <w:bidi w:val="0"/>
              <w:spacing w:line="300" w:lineRule="exact"/>
              <w:rPr>
                <w:rFonts w:hint="eastAsia" w:ascii="仿宋" w:hAnsi="仿宋" w:eastAsia="仿宋" w:cs="仿宋"/>
                <w:color w:val="auto"/>
                <w:kern w:val="2"/>
                <w:sz w:val="22"/>
                <w:szCs w:val="22"/>
                <w:highlight w:val="none"/>
                <w:lang w:val="en-US" w:eastAsia="zh-CN" w:bidi="ar-SA"/>
              </w:rPr>
            </w:pPr>
          </w:p>
        </w:tc>
        <w:tc>
          <w:tcPr>
            <w:tcW w:w="1072" w:type="dxa"/>
            <w:gridSpan w:val="2"/>
            <w:vMerge w:val="restart"/>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组织方案</w:t>
            </w:r>
          </w:p>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spacing w:val="7"/>
                <w:sz w:val="22"/>
                <w:szCs w:val="22"/>
                <w:lang w:val="en-US" w:eastAsia="zh-CN"/>
              </w:rPr>
            </w:pPr>
            <w:r>
              <w:rPr>
                <w:rFonts w:hint="eastAsia" w:ascii="仿宋" w:hAnsi="仿宋" w:eastAsia="仿宋" w:cs="仿宋"/>
                <w:color w:val="auto"/>
                <w:kern w:val="2"/>
                <w:sz w:val="22"/>
                <w:szCs w:val="22"/>
                <w:highlight w:val="none"/>
                <w:lang w:val="en-US" w:eastAsia="zh-CN" w:bidi="ar-SA"/>
              </w:rPr>
              <w:t>（40分）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p>
          <w:p>
            <w:pPr>
              <w:pStyle w:val="2"/>
              <w:keepNext w:val="0"/>
              <w:keepLines w:val="0"/>
              <w:pageBreakBefore w:val="0"/>
              <w:widowControl/>
              <w:numPr>
                <w:ilvl w:val="0"/>
                <w:numId w:val="0"/>
              </w:numPr>
              <w:wordWrap/>
              <w:overflowPunct/>
              <w:topLinePunct w:val="0"/>
              <w:bidi w:val="0"/>
              <w:spacing w:line="300" w:lineRule="exact"/>
              <w:jc w:val="both"/>
              <w:rPr>
                <w:rFonts w:hint="eastAsia" w:ascii="仿宋" w:hAnsi="仿宋" w:eastAsia="仿宋" w:cs="仿宋"/>
                <w:snapToGrid w:val="0"/>
                <w:color w:val="auto"/>
                <w:kern w:val="2"/>
                <w:sz w:val="22"/>
                <w:szCs w:val="22"/>
                <w:highlight w:val="none"/>
                <w:lang w:val="en-US" w:eastAsia="zh-CN" w:bidi="ar-SA"/>
              </w:rPr>
            </w:pPr>
          </w:p>
        </w:tc>
        <w:tc>
          <w:tcPr>
            <w:tcW w:w="6507" w:type="dxa"/>
            <w:tcBorders>
              <w:bottom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项目重点及服务实施方案，满分6分；分值区间如下：</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良好得4-6分，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一般得 1-3分，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较差不得分。</w:t>
            </w:r>
          </w:p>
        </w:tc>
        <w:tc>
          <w:tcPr>
            <w:tcW w:w="498" w:type="dxa"/>
            <w:tcBorders>
              <w:bottom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503" w:type="dxa"/>
            <w:vMerge w:val="continue"/>
            <w:noWrap w:val="0"/>
            <w:vAlign w:val="center"/>
          </w:tcPr>
          <w:p>
            <w:pPr>
              <w:keepNext w:val="0"/>
              <w:keepLines w:val="0"/>
              <w:pageBreakBefore w:val="0"/>
              <w:widowControl/>
              <w:wordWrap/>
              <w:overflowPunct/>
              <w:topLinePunct w:val="0"/>
              <w:bidi w:val="0"/>
              <w:spacing w:before="65" w:line="300" w:lineRule="exact"/>
              <w:ind w:left="120"/>
              <w:jc w:val="center"/>
              <w:rPr>
                <w:rFonts w:hint="eastAsia" w:ascii="仿宋" w:hAnsi="仿宋" w:eastAsia="仿宋" w:cs="仿宋"/>
                <w:color w:val="auto"/>
                <w:kern w:val="2"/>
                <w:sz w:val="22"/>
                <w:szCs w:val="22"/>
                <w:highlight w:val="none"/>
                <w:lang w:val="en-US" w:eastAsia="zh-CN" w:bidi="ar-SA"/>
              </w:rPr>
            </w:pPr>
          </w:p>
        </w:tc>
        <w:tc>
          <w:tcPr>
            <w:tcW w:w="1072" w:type="dxa"/>
            <w:gridSpan w:val="2"/>
            <w:vMerge w:val="continue"/>
            <w:noWrap w:val="0"/>
            <w:vAlign w:val="center"/>
          </w:tcPr>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p>
        </w:tc>
        <w:tc>
          <w:tcPr>
            <w:tcW w:w="6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服务质量保障措施，满分6分；分值区间如下：</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良好得4-6分，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一般得 1-3分，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较差不得分。</w:t>
            </w:r>
          </w:p>
        </w:tc>
        <w:tc>
          <w:tcPr>
            <w:tcW w:w="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503" w:type="dxa"/>
            <w:vMerge w:val="continue"/>
            <w:noWrap w:val="0"/>
            <w:vAlign w:val="center"/>
          </w:tcPr>
          <w:p>
            <w:pPr>
              <w:keepNext w:val="0"/>
              <w:keepLines w:val="0"/>
              <w:pageBreakBefore w:val="0"/>
              <w:widowControl/>
              <w:wordWrap/>
              <w:overflowPunct/>
              <w:topLinePunct w:val="0"/>
              <w:bidi w:val="0"/>
              <w:spacing w:line="300" w:lineRule="exact"/>
              <w:jc w:val="center"/>
              <w:rPr>
                <w:rFonts w:hint="eastAsia" w:ascii="仿宋" w:hAnsi="仿宋" w:eastAsia="仿宋" w:cs="仿宋"/>
                <w:color w:val="auto"/>
                <w:kern w:val="2"/>
                <w:sz w:val="22"/>
                <w:szCs w:val="22"/>
                <w:highlight w:val="none"/>
                <w:lang w:val="en-US" w:eastAsia="zh-CN" w:bidi="ar-SA"/>
              </w:rPr>
            </w:pPr>
          </w:p>
        </w:tc>
        <w:tc>
          <w:tcPr>
            <w:tcW w:w="1072" w:type="dxa"/>
            <w:gridSpan w:val="2"/>
            <w:vMerge w:val="continue"/>
            <w:noWrap w:val="0"/>
            <w:vAlign w:val="center"/>
          </w:tcPr>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p>
        </w:tc>
        <w:tc>
          <w:tcPr>
            <w:tcW w:w="6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服务进度保障措施，满分6分；分值区间如下：</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良好得4-6分，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一般得 1-3分，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较差不得分。</w:t>
            </w:r>
          </w:p>
        </w:tc>
        <w:tc>
          <w:tcPr>
            <w:tcW w:w="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503" w:type="dxa"/>
            <w:vMerge w:val="continue"/>
            <w:noWrap w:val="0"/>
            <w:vAlign w:val="center"/>
          </w:tcPr>
          <w:p>
            <w:pPr>
              <w:keepNext w:val="0"/>
              <w:keepLines w:val="0"/>
              <w:pageBreakBefore w:val="0"/>
              <w:widowControl/>
              <w:wordWrap/>
              <w:overflowPunct/>
              <w:topLinePunct w:val="0"/>
              <w:bidi w:val="0"/>
              <w:spacing w:line="300" w:lineRule="exact"/>
              <w:jc w:val="center"/>
              <w:rPr>
                <w:rFonts w:hint="eastAsia" w:ascii="仿宋" w:hAnsi="仿宋" w:eastAsia="仿宋" w:cs="仿宋"/>
                <w:color w:val="auto"/>
                <w:kern w:val="2"/>
                <w:sz w:val="22"/>
                <w:szCs w:val="22"/>
                <w:highlight w:val="none"/>
                <w:lang w:val="en-US" w:eastAsia="zh-CN" w:bidi="ar-SA"/>
              </w:rPr>
            </w:pPr>
          </w:p>
        </w:tc>
        <w:tc>
          <w:tcPr>
            <w:tcW w:w="1072" w:type="dxa"/>
            <w:gridSpan w:val="2"/>
            <w:vMerge w:val="continue"/>
            <w:noWrap w:val="0"/>
            <w:vAlign w:val="center"/>
          </w:tcPr>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p>
        </w:tc>
        <w:tc>
          <w:tcPr>
            <w:tcW w:w="6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同委托方等相关部门的沟通协调保障，满分6分；分值区间如下：</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良好得4-6分，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一般得 1-3分，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较差不得分。</w:t>
            </w:r>
          </w:p>
        </w:tc>
        <w:tc>
          <w:tcPr>
            <w:tcW w:w="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503" w:type="dxa"/>
            <w:vMerge w:val="continue"/>
            <w:noWrap w:val="0"/>
            <w:vAlign w:val="center"/>
          </w:tcPr>
          <w:p>
            <w:pPr>
              <w:keepNext w:val="0"/>
              <w:keepLines w:val="0"/>
              <w:pageBreakBefore w:val="0"/>
              <w:widowControl/>
              <w:wordWrap/>
              <w:overflowPunct/>
              <w:topLinePunct w:val="0"/>
              <w:bidi w:val="0"/>
              <w:spacing w:line="300" w:lineRule="exact"/>
              <w:jc w:val="center"/>
              <w:rPr>
                <w:rFonts w:hint="eastAsia" w:ascii="仿宋" w:hAnsi="仿宋" w:eastAsia="仿宋" w:cs="仿宋"/>
                <w:color w:val="auto"/>
                <w:kern w:val="2"/>
                <w:sz w:val="22"/>
                <w:szCs w:val="22"/>
                <w:highlight w:val="none"/>
                <w:lang w:val="en-US" w:eastAsia="zh-CN" w:bidi="ar-SA"/>
              </w:rPr>
            </w:pPr>
          </w:p>
        </w:tc>
        <w:tc>
          <w:tcPr>
            <w:tcW w:w="1072" w:type="dxa"/>
            <w:gridSpan w:val="2"/>
            <w:vMerge w:val="continue"/>
            <w:noWrap w:val="0"/>
            <w:vAlign w:val="center"/>
          </w:tcPr>
          <w:p>
            <w:pPr>
              <w:pStyle w:val="2"/>
              <w:keepNext w:val="0"/>
              <w:keepLines w:val="0"/>
              <w:pageBreakBefore w:val="0"/>
              <w:widowControl/>
              <w:numPr>
                <w:ilvl w:val="0"/>
                <w:numId w:val="0"/>
              </w:numPr>
              <w:wordWrap/>
              <w:overflowPunct/>
              <w:topLinePunct w:val="0"/>
              <w:bidi w:val="0"/>
              <w:spacing w:line="300" w:lineRule="exact"/>
              <w:jc w:val="both"/>
              <w:rPr>
                <w:rFonts w:hint="eastAsia" w:ascii="仿宋" w:hAnsi="仿宋" w:eastAsia="仿宋" w:cs="仿宋"/>
                <w:snapToGrid w:val="0"/>
                <w:color w:val="auto"/>
                <w:kern w:val="2"/>
                <w:sz w:val="22"/>
                <w:szCs w:val="22"/>
                <w:highlight w:val="none"/>
                <w:lang w:val="en-US" w:eastAsia="zh-CN" w:bidi="ar-SA"/>
              </w:rPr>
            </w:pPr>
          </w:p>
        </w:tc>
        <w:tc>
          <w:tcPr>
            <w:tcW w:w="6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针对投标人服务承诺综合打分,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良好得6分,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一般得3分,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没有不得分｡</w:t>
            </w:r>
          </w:p>
        </w:tc>
        <w:tc>
          <w:tcPr>
            <w:tcW w:w="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503" w:type="dxa"/>
            <w:vMerge w:val="continue"/>
            <w:noWrap w:val="0"/>
            <w:vAlign w:val="center"/>
          </w:tcPr>
          <w:p>
            <w:pPr>
              <w:keepNext w:val="0"/>
              <w:keepLines w:val="0"/>
              <w:pageBreakBefore w:val="0"/>
              <w:widowControl/>
              <w:wordWrap/>
              <w:overflowPunct/>
              <w:topLinePunct w:val="0"/>
              <w:bidi w:val="0"/>
              <w:spacing w:line="300" w:lineRule="exact"/>
              <w:jc w:val="center"/>
              <w:rPr>
                <w:rFonts w:hint="eastAsia" w:ascii="仿宋" w:hAnsi="仿宋" w:eastAsia="仿宋" w:cs="仿宋"/>
                <w:color w:val="auto"/>
                <w:kern w:val="2"/>
                <w:sz w:val="22"/>
                <w:szCs w:val="22"/>
                <w:highlight w:val="none"/>
                <w:lang w:val="en-US" w:eastAsia="zh-CN" w:bidi="ar-SA"/>
              </w:rPr>
            </w:pPr>
          </w:p>
        </w:tc>
        <w:tc>
          <w:tcPr>
            <w:tcW w:w="1072" w:type="dxa"/>
            <w:gridSpan w:val="2"/>
            <w:vMerge w:val="continue"/>
            <w:noWrap w:val="0"/>
            <w:vAlign w:val="center"/>
          </w:tcPr>
          <w:p>
            <w:pPr>
              <w:pStyle w:val="2"/>
              <w:keepNext w:val="0"/>
              <w:keepLines w:val="0"/>
              <w:pageBreakBefore w:val="0"/>
              <w:widowControl/>
              <w:numPr>
                <w:ilvl w:val="0"/>
                <w:numId w:val="0"/>
              </w:numPr>
              <w:wordWrap/>
              <w:overflowPunct/>
              <w:topLinePunct w:val="0"/>
              <w:bidi w:val="0"/>
              <w:spacing w:line="300" w:lineRule="exact"/>
              <w:jc w:val="both"/>
              <w:rPr>
                <w:rFonts w:hint="eastAsia" w:ascii="仿宋" w:hAnsi="仿宋" w:eastAsia="仿宋" w:cs="仿宋"/>
                <w:snapToGrid w:val="0"/>
                <w:color w:val="auto"/>
                <w:kern w:val="2"/>
                <w:sz w:val="22"/>
                <w:szCs w:val="22"/>
                <w:highlight w:val="none"/>
                <w:lang w:val="en-US" w:eastAsia="zh-CN" w:bidi="ar-SA"/>
              </w:rPr>
            </w:pPr>
          </w:p>
        </w:tc>
        <w:tc>
          <w:tcPr>
            <w:tcW w:w="65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保密措施，满分10分。分值区间如下：</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良好得10分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一般得5-7分，</w:t>
            </w:r>
          </w:p>
          <w:p>
            <w:pPr>
              <w:keepNext w:val="0"/>
              <w:keepLines w:val="0"/>
              <w:pageBreakBefore w:val="0"/>
              <w:widowControl/>
              <w:wordWrap/>
              <w:overflowPunct/>
              <w:topLinePunct w:val="0"/>
              <w:bidi w:val="0"/>
              <w:spacing w:before="65" w:line="300" w:lineRule="exact"/>
              <w:ind w:right="107"/>
              <w:jc w:val="left"/>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较差不得分。</w:t>
            </w:r>
          </w:p>
        </w:tc>
        <w:tc>
          <w:tcPr>
            <w:tcW w:w="4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before="65" w:line="300" w:lineRule="exact"/>
              <w:ind w:right="107"/>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8082" w:type="dxa"/>
            <w:gridSpan w:val="4"/>
            <w:tcBorders>
              <w:top w:val="single" w:color="auto" w:sz="4" w:space="0"/>
            </w:tcBorders>
            <w:noWrap w:val="0"/>
            <w:vAlign w:val="top"/>
          </w:tcPr>
          <w:p>
            <w:pPr>
              <w:keepNext w:val="0"/>
              <w:keepLines w:val="0"/>
              <w:pageBreakBefore w:val="0"/>
              <w:widowControl/>
              <w:wordWrap/>
              <w:overflowPunct/>
              <w:topLinePunct w:val="0"/>
              <w:bidi w:val="0"/>
              <w:spacing w:before="108" w:line="300" w:lineRule="exact"/>
              <w:ind w:left="115"/>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评审得分合计</w:t>
            </w:r>
          </w:p>
        </w:tc>
        <w:tc>
          <w:tcPr>
            <w:tcW w:w="498" w:type="dxa"/>
            <w:tcBorders>
              <w:top w:val="single" w:color="auto" w:sz="4" w:space="0"/>
            </w:tcBorders>
            <w:noWrap w:val="0"/>
            <w:vAlign w:val="top"/>
          </w:tcPr>
          <w:p>
            <w:pPr>
              <w:keepNext w:val="0"/>
              <w:keepLines w:val="0"/>
              <w:pageBreakBefore w:val="0"/>
              <w:widowControl/>
              <w:wordWrap/>
              <w:overflowPunct/>
              <w:topLinePunct w:val="0"/>
              <w:bidi w:val="0"/>
              <w:spacing w:before="140" w:line="300" w:lineRule="exact"/>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8082" w:type="dxa"/>
            <w:gridSpan w:val="4"/>
            <w:noWrap w:val="0"/>
            <w:vAlign w:val="top"/>
          </w:tcPr>
          <w:p>
            <w:pPr>
              <w:keepNext w:val="0"/>
              <w:keepLines w:val="0"/>
              <w:pageBreakBefore w:val="0"/>
              <w:widowControl/>
              <w:wordWrap/>
              <w:overflowPunct/>
              <w:topLinePunct w:val="0"/>
              <w:bidi w:val="0"/>
              <w:spacing w:before="90" w:line="300" w:lineRule="exact"/>
              <w:ind w:left="116"/>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注：评分计算结果保留两位小数，第三位小数四舍五入。</w:t>
            </w:r>
          </w:p>
        </w:tc>
        <w:tc>
          <w:tcPr>
            <w:tcW w:w="498" w:type="dxa"/>
            <w:noWrap w:val="0"/>
            <w:vAlign w:val="top"/>
          </w:tcPr>
          <w:p>
            <w:pPr>
              <w:keepNext w:val="0"/>
              <w:keepLines w:val="0"/>
              <w:pageBreakBefore w:val="0"/>
              <w:widowControl/>
              <w:wordWrap/>
              <w:overflowPunct/>
              <w:topLinePunct w:val="0"/>
              <w:bidi w:val="0"/>
              <w:spacing w:line="300" w:lineRule="exact"/>
              <w:jc w:val="center"/>
              <w:rPr>
                <w:rFonts w:hint="eastAsia" w:ascii="仿宋" w:hAnsi="仿宋" w:eastAsia="仿宋" w:cs="仿宋"/>
                <w:color w:val="auto"/>
                <w:kern w:val="2"/>
                <w:sz w:val="22"/>
                <w:szCs w:val="22"/>
                <w:highlight w:val="none"/>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0" w:hRule="atLeast"/>
        </w:trPr>
        <w:tc>
          <w:tcPr>
            <w:tcW w:w="1533" w:type="dxa"/>
            <w:gridSpan w:val="2"/>
            <w:tcBorders>
              <w:right w:val="single" w:color="auto"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Autospacing="0" w:afterAutospacing="0" w:line="300" w:lineRule="exact"/>
              <w:ind w:left="0" w:leftChars="0" w:right="0" w:rightChars="0" w:firstLine="220" w:firstLineChars="100"/>
              <w:jc w:val="left"/>
              <w:textAlignment w:val="auto"/>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废标条款</w:t>
            </w:r>
          </w:p>
        </w:tc>
        <w:tc>
          <w:tcPr>
            <w:tcW w:w="7047" w:type="dxa"/>
            <w:gridSpan w:val="3"/>
            <w:tcBorders>
              <w:left w:val="single" w:color="auto" w:sz="4"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after="0" w:line="300" w:lineRule="exact"/>
              <w:ind w:left="0" w:leftChars="0" w:right="0" w:rightChars="0" w:firstLine="0" w:firstLineChars="0"/>
              <w:textAlignment w:val="baseline"/>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en-US" w:bidi="ar-SA"/>
              </w:rPr>
              <w:t>(1) 未按照招标文件的规定提交投标保证金的</w:t>
            </w:r>
            <w:r>
              <w:rPr>
                <w:rFonts w:hint="eastAsia" w:ascii="仿宋" w:hAnsi="仿宋" w:eastAsia="仿宋" w:cs="仿宋"/>
                <w:color w:val="auto"/>
                <w:kern w:val="2"/>
                <w:sz w:val="22"/>
                <w:szCs w:val="22"/>
                <w:highlight w:val="none"/>
                <w:lang w:val="en-US" w:eastAsia="en-US" w:bidi="ar-SA"/>
              </w:rPr>
              <w:br w:type="textWrapping"/>
            </w:r>
            <w:r>
              <w:rPr>
                <w:rFonts w:hint="eastAsia" w:ascii="仿宋" w:hAnsi="仿宋" w:eastAsia="仿宋" w:cs="仿宋"/>
                <w:color w:val="auto"/>
                <w:kern w:val="2"/>
                <w:sz w:val="22"/>
                <w:szCs w:val="22"/>
                <w:highlight w:val="none"/>
                <w:lang w:val="en-US" w:eastAsia="en-US" w:bidi="ar-SA"/>
              </w:rPr>
              <w:t xml:space="preserve">(2) </w:t>
            </w:r>
            <w:r>
              <w:rPr>
                <w:rFonts w:hint="eastAsia" w:ascii="仿宋" w:hAnsi="仿宋" w:eastAsia="仿宋" w:cs="仿宋"/>
                <w:color w:val="auto"/>
                <w:kern w:val="2"/>
                <w:sz w:val="22"/>
                <w:szCs w:val="22"/>
                <w:highlight w:val="none"/>
                <w:lang w:val="en-US" w:eastAsia="zh-CN" w:bidi="ar-SA"/>
              </w:rPr>
              <w:t>磋商文件</w:t>
            </w:r>
            <w:r>
              <w:rPr>
                <w:rFonts w:hint="eastAsia" w:ascii="仿宋" w:hAnsi="仿宋" w:eastAsia="仿宋" w:cs="仿宋"/>
                <w:color w:val="auto"/>
                <w:kern w:val="2"/>
                <w:sz w:val="22"/>
                <w:szCs w:val="22"/>
                <w:highlight w:val="none"/>
                <w:lang w:val="en-US" w:eastAsia="en-US" w:bidi="ar-SA"/>
              </w:rPr>
              <w:t>未按招标文件要求签署、盖章的</w:t>
            </w:r>
            <w:r>
              <w:rPr>
                <w:rFonts w:hint="eastAsia" w:ascii="仿宋" w:hAnsi="仿宋" w:eastAsia="仿宋" w:cs="仿宋"/>
                <w:color w:val="auto"/>
                <w:kern w:val="2"/>
                <w:sz w:val="22"/>
                <w:szCs w:val="22"/>
                <w:highlight w:val="none"/>
                <w:lang w:val="en-US" w:eastAsia="en-US" w:bidi="ar-SA"/>
              </w:rPr>
              <w:br w:type="textWrapping"/>
            </w:r>
            <w:r>
              <w:rPr>
                <w:rFonts w:hint="eastAsia" w:ascii="仿宋" w:hAnsi="仿宋" w:eastAsia="仿宋" w:cs="仿宋"/>
                <w:color w:val="auto"/>
                <w:kern w:val="2"/>
                <w:sz w:val="22"/>
                <w:szCs w:val="22"/>
                <w:highlight w:val="none"/>
                <w:lang w:val="en-US" w:eastAsia="en-US" w:bidi="ar-SA"/>
              </w:rPr>
              <w:t>(3) 不具备招标文件中规定的资格要求</w:t>
            </w:r>
            <w:r>
              <w:rPr>
                <w:rFonts w:hint="eastAsia" w:ascii="仿宋" w:hAnsi="仿宋" w:eastAsia="仿宋" w:cs="仿宋"/>
                <w:color w:val="auto"/>
                <w:kern w:val="2"/>
                <w:sz w:val="22"/>
                <w:szCs w:val="22"/>
                <w:highlight w:val="none"/>
                <w:lang w:val="en-US" w:eastAsia="en-US" w:bidi="ar-SA"/>
              </w:rPr>
              <w:br w:type="textWrapping"/>
            </w:r>
            <w:r>
              <w:rPr>
                <w:rFonts w:hint="eastAsia" w:ascii="仿宋" w:hAnsi="仿宋" w:eastAsia="仿宋" w:cs="仿宋"/>
                <w:color w:val="auto"/>
                <w:kern w:val="2"/>
                <w:sz w:val="22"/>
                <w:szCs w:val="22"/>
                <w:highlight w:val="none"/>
                <w:lang w:val="en-US" w:eastAsia="en-US" w:bidi="ar-SA"/>
              </w:rPr>
              <w:t>(4) 报价超过招标文件中规定的预算金额或者最高限价的</w:t>
            </w:r>
            <w:r>
              <w:rPr>
                <w:rFonts w:hint="eastAsia" w:ascii="仿宋" w:hAnsi="仿宋" w:eastAsia="仿宋" w:cs="仿宋"/>
                <w:color w:val="auto"/>
                <w:kern w:val="2"/>
                <w:sz w:val="22"/>
                <w:szCs w:val="22"/>
                <w:highlight w:val="none"/>
                <w:lang w:val="en-US" w:eastAsia="en-US" w:bidi="ar-SA"/>
              </w:rPr>
              <w:br w:type="textWrapping"/>
            </w:r>
            <w:r>
              <w:rPr>
                <w:rFonts w:hint="eastAsia" w:ascii="仿宋" w:hAnsi="仿宋" w:eastAsia="仿宋" w:cs="仿宋"/>
                <w:color w:val="auto"/>
                <w:kern w:val="2"/>
                <w:sz w:val="22"/>
                <w:szCs w:val="22"/>
                <w:highlight w:val="none"/>
                <w:lang w:val="en-US" w:eastAsia="en-US" w:bidi="ar-SA"/>
              </w:rPr>
              <w:t xml:space="preserve">(5) </w:t>
            </w:r>
            <w:r>
              <w:rPr>
                <w:rFonts w:hint="eastAsia" w:ascii="仿宋" w:hAnsi="仿宋" w:eastAsia="仿宋" w:cs="仿宋"/>
                <w:color w:val="auto"/>
                <w:kern w:val="2"/>
                <w:sz w:val="22"/>
                <w:szCs w:val="22"/>
                <w:highlight w:val="none"/>
                <w:lang w:val="en-US" w:eastAsia="zh-CN" w:bidi="ar-SA"/>
              </w:rPr>
              <w:t>磋商文件</w:t>
            </w:r>
            <w:r>
              <w:rPr>
                <w:rFonts w:hint="eastAsia" w:ascii="仿宋" w:hAnsi="仿宋" w:eastAsia="仿宋" w:cs="仿宋"/>
                <w:color w:val="auto"/>
                <w:kern w:val="2"/>
                <w:sz w:val="22"/>
                <w:szCs w:val="22"/>
                <w:highlight w:val="none"/>
                <w:lang w:val="en-US" w:eastAsia="en-US" w:bidi="ar-SA"/>
              </w:rPr>
              <w:t>含有采购人不能接受的附加条件的</w:t>
            </w:r>
            <w:r>
              <w:rPr>
                <w:rFonts w:hint="eastAsia" w:ascii="仿宋" w:hAnsi="仿宋" w:eastAsia="仿宋" w:cs="仿宋"/>
                <w:color w:val="auto"/>
                <w:kern w:val="2"/>
                <w:sz w:val="22"/>
                <w:szCs w:val="22"/>
                <w:highlight w:val="none"/>
                <w:lang w:val="en-US" w:eastAsia="en-US" w:bidi="ar-SA"/>
              </w:rPr>
              <w:br w:type="textWrapping"/>
            </w:r>
            <w:r>
              <w:rPr>
                <w:rFonts w:hint="eastAsia" w:ascii="仿宋" w:hAnsi="仿宋" w:eastAsia="仿宋" w:cs="仿宋"/>
                <w:color w:val="auto"/>
                <w:kern w:val="2"/>
                <w:sz w:val="22"/>
                <w:szCs w:val="22"/>
                <w:highlight w:val="none"/>
                <w:lang w:val="en-US" w:eastAsia="en-US" w:bidi="ar-SA"/>
              </w:rPr>
              <w:t>(6) 法律、法规和招标文件规定的其他无效情形</w:t>
            </w:r>
          </w:p>
        </w:tc>
      </w:tr>
    </w:tbl>
    <w:p>
      <w:pPr>
        <w:pageBreakBefore w:val="0"/>
        <w:widowControl w:val="0"/>
        <w:kinsoku/>
        <w:overflowPunct/>
        <w:topLinePunct w:val="0"/>
        <w:autoSpaceDE w:val="0"/>
        <w:autoSpaceDN w:val="0"/>
        <w:bidi w:val="0"/>
        <w:adjustRightInd w:val="0"/>
        <w:snapToGrid w:val="0"/>
        <w:spacing w:beforeAutospacing="0" w:after="0" w:afterAutospacing="0" w:line="240" w:lineRule="auto"/>
        <w:ind w:right="0"/>
        <w:jc w:val="left"/>
        <w:textAlignment w:val="auto"/>
        <w:rPr>
          <w:rFonts w:hint="eastAsia" w:ascii="仿宋" w:hAnsi="仿宋" w:eastAsia="仿宋" w:cs="仿宋"/>
          <w:b/>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1、评标方法</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本次评标采用</w:t>
      </w:r>
      <w:r>
        <w:rPr>
          <w:rFonts w:hint="eastAsia" w:ascii="仿宋" w:hAnsi="仿宋" w:eastAsia="仿宋" w:cs="仿宋"/>
          <w:b/>
          <w:color w:val="auto"/>
          <w:sz w:val="24"/>
          <w:szCs w:val="24"/>
          <w:highlight w:val="none"/>
        </w:rPr>
        <w:t>综合评</w:t>
      </w:r>
      <w:r>
        <w:rPr>
          <w:rFonts w:hint="eastAsia" w:ascii="仿宋" w:hAnsi="仿宋" w:eastAsia="仿宋" w:cs="仿宋"/>
          <w:b/>
          <w:color w:val="auto"/>
          <w:sz w:val="24"/>
          <w:szCs w:val="24"/>
          <w:highlight w:val="none"/>
          <w:lang w:eastAsia="zh-CN"/>
        </w:rPr>
        <w:t>分</w:t>
      </w:r>
      <w:r>
        <w:rPr>
          <w:rFonts w:hint="eastAsia" w:ascii="仿宋" w:hAnsi="仿宋" w:eastAsia="仿宋" w:cs="仿宋"/>
          <w:b/>
          <w:color w:val="auto"/>
          <w:sz w:val="24"/>
          <w:szCs w:val="24"/>
          <w:highlight w:val="none"/>
        </w:rPr>
        <w:t>法</w:t>
      </w:r>
      <w:r>
        <w:rPr>
          <w:rFonts w:hint="eastAsia" w:ascii="仿宋" w:hAnsi="仿宋" w:eastAsia="仿宋" w:cs="仿宋"/>
          <w:color w:val="auto"/>
          <w:sz w:val="24"/>
          <w:szCs w:val="24"/>
          <w:highlight w:val="none"/>
        </w:rPr>
        <w:t>。评标委员会对满足竞争性磋商实质性要求的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，按照本章第 2.2 款规定的评分标准进行打分，并按得分由高到低顺序推荐中标候选人，或根据</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授权直接确定中标人，但投标报价低于其成本的除外。综合评分相等时，以投标报价低的优先；投标报价也相等的，以</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方案得分高的优先；如果</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方案得分也相等，由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自行确定。</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bookmarkStart w:id="22" w:name="_Toc248985521"/>
      <w:bookmarkStart w:id="23" w:name="_Toc261618204"/>
      <w:bookmarkStart w:id="24" w:name="_Toc256145678"/>
      <w:r>
        <w:rPr>
          <w:rFonts w:hint="eastAsia" w:ascii="仿宋" w:hAnsi="仿宋" w:eastAsia="仿宋" w:cs="仿宋"/>
          <w:b/>
          <w:color w:val="auto"/>
          <w:sz w:val="24"/>
          <w:szCs w:val="24"/>
          <w:highlight w:val="none"/>
        </w:rPr>
        <w:t>2、评审标准</w:t>
      </w:r>
      <w:bookmarkEnd w:id="22"/>
      <w:bookmarkEnd w:id="23"/>
      <w:bookmarkEnd w:id="24"/>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2.1 初步评审标准</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形式评审标准</w:t>
      </w:r>
      <w:bookmarkStart w:id="25" w:name="_Hlk508141002"/>
      <w:r>
        <w:rPr>
          <w:rFonts w:hint="eastAsia" w:ascii="仿宋" w:hAnsi="仿宋" w:eastAsia="仿宋" w:cs="仿宋"/>
          <w:color w:val="auto"/>
          <w:sz w:val="24"/>
          <w:szCs w:val="24"/>
          <w:highlight w:val="none"/>
        </w:rPr>
        <w:t>：见评标办法前附表；</w:t>
      </w:r>
      <w:bookmarkEnd w:id="25"/>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）报价唯一：见评标办法前附表；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）备选投标方案：见评标办法前附表；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）其他实质性要求：见评标办法前附表；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2.1.2资格后审标准（适用于未进行资格预审的）：</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（1）营业执照：见评标办法前附表；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）信誉要求：见评标办法前附表；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）不存在禁止投标的情形：见评标办法前附表。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2.1.3响应性评审标准：见评标办法前附表。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（1）投标总报价：见评标办法前附表；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（2）投标内容：见评标办法前附表；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（3）服务期限：见评标办法前附表；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（4）质量标准：见评标办法前附表；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（5）投标有效期：见评标办法前附表；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（6）投标保证金：见评标办法前附表；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 分值构成与评分标准</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2.2.1 分值构成</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2.2.1.1商务部分：</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（1）投标报价：</w:t>
      </w:r>
      <w:bookmarkStart w:id="26" w:name="_Hlk508139905"/>
      <w:r>
        <w:rPr>
          <w:rFonts w:hint="eastAsia" w:ascii="仿宋" w:hAnsi="仿宋" w:eastAsia="仿宋" w:cs="仿宋"/>
          <w:color w:val="auto"/>
          <w:sz w:val="24"/>
          <w:szCs w:val="24"/>
          <w:highlight w:val="none"/>
        </w:rPr>
        <w:t>见评标办法前附表</w:t>
      </w:r>
      <w:bookmarkEnd w:id="26"/>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的资质及主要业绩：见评标办法前附表；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（3）项目负责人的经历、能力等：见评标办法前附表；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（4）主要（各专业）人员的配备：见评标办法前附表；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（5）现场服务计划：见评标办法前附表；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（6）履约能力：见评标办法前附表；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（7）社会信誉：见评标办法前附表。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2.2.1.2技术部分：</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分</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方案（技术构思）的合理性、缜密性：</w:t>
      </w:r>
      <w:bookmarkStart w:id="27" w:name="_Hlk508140282"/>
      <w:bookmarkStart w:id="28" w:name="_Hlk508140855"/>
      <w:r>
        <w:rPr>
          <w:rFonts w:hint="eastAsia" w:ascii="仿宋" w:hAnsi="仿宋" w:eastAsia="仿宋" w:cs="仿宋"/>
          <w:color w:val="auto"/>
          <w:sz w:val="24"/>
          <w:szCs w:val="24"/>
          <w:highlight w:val="none"/>
        </w:rPr>
        <w:t>见评标办法前附表</w:t>
      </w:r>
      <w:bookmarkEnd w:id="27"/>
      <w:r>
        <w:rPr>
          <w:rFonts w:hint="eastAsia" w:ascii="仿宋" w:hAnsi="仿宋" w:eastAsia="仿宋" w:cs="仿宋"/>
          <w:color w:val="auto"/>
          <w:sz w:val="24"/>
          <w:szCs w:val="24"/>
          <w:highlight w:val="none"/>
        </w:rPr>
        <w:t>；</w:t>
      </w:r>
      <w:bookmarkEnd w:id="28"/>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（2）质量内控体系：见评标办法前附表；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（3）服务周期：见评标办法前附表。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2.2.2 评标基准价计算</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评标基准价计算方法：见评标办法前附表。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2.2.3 投标报价的偏差率计算</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投标报价的偏差率计算公式：见评标办法前附表。</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2.2.4 评分标准</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2.2.4.1商务部分:（1）投标报价：见评标办法前附表；（2）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的资质及主要业绩：见评标办法前附表；（3）项目负责人的经历、能力和业绩等：见评标办法前附表；（4）编制报告的主要（各专业）人员的配备：见评标办法前附表</w:t>
      </w:r>
      <w:r>
        <w:rPr>
          <w:rFonts w:hint="eastAsia" w:ascii="仿宋" w:hAnsi="仿宋" w:eastAsia="仿宋" w:cs="仿宋"/>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2.2.4.2技术部分:（1）</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方案（技术构思）的合理性、缜密等：见评标办法前附表（2）质量内控体系：</w:t>
      </w:r>
      <w:bookmarkStart w:id="29" w:name="_Hlk508140625"/>
      <w:r>
        <w:rPr>
          <w:rFonts w:hint="eastAsia" w:ascii="仿宋" w:hAnsi="仿宋" w:eastAsia="仿宋" w:cs="仿宋"/>
          <w:color w:val="auto"/>
          <w:sz w:val="24"/>
          <w:szCs w:val="24"/>
          <w:highlight w:val="none"/>
        </w:rPr>
        <w:t>见评标办法前附表</w:t>
      </w:r>
      <w:bookmarkEnd w:id="29"/>
      <w:r>
        <w:rPr>
          <w:rFonts w:hint="eastAsia" w:ascii="仿宋" w:hAnsi="仿宋" w:eastAsia="仿宋" w:cs="仿宋"/>
          <w:color w:val="auto"/>
          <w:sz w:val="24"/>
          <w:szCs w:val="24"/>
          <w:highlight w:val="none"/>
        </w:rPr>
        <w:t>；（3）服务周期：见评标办法前附表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进度计划合理性；（5）</w:t>
      </w:r>
      <w:r>
        <w:rPr>
          <w:rFonts w:hint="eastAsia" w:ascii="仿宋" w:hAnsi="仿宋" w:eastAsia="仿宋" w:cs="仿宋"/>
          <w:color w:val="auto"/>
          <w:sz w:val="24"/>
          <w:szCs w:val="24"/>
          <w:highlight w:val="none"/>
        </w:rPr>
        <w:t>履约能力</w:t>
      </w:r>
      <w:r>
        <w:rPr>
          <w:rFonts w:hint="eastAsia" w:ascii="仿宋" w:hAnsi="仿宋" w:eastAsia="仿宋" w:cs="仿宋"/>
          <w:color w:val="auto"/>
          <w:sz w:val="24"/>
          <w:szCs w:val="24"/>
          <w:highlight w:val="none"/>
          <w:lang w:val="en-US" w:eastAsia="zh-CN"/>
        </w:rPr>
        <w:t>强；</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bookmarkStart w:id="30" w:name="_Toc256145679"/>
      <w:bookmarkStart w:id="31" w:name="_Toc261618205"/>
      <w:bookmarkStart w:id="32" w:name="_Toc248985522"/>
      <w:r>
        <w:rPr>
          <w:rFonts w:hint="eastAsia" w:ascii="仿宋" w:hAnsi="仿宋" w:eastAsia="仿宋" w:cs="仿宋"/>
          <w:b/>
          <w:color w:val="auto"/>
          <w:sz w:val="24"/>
          <w:szCs w:val="24"/>
          <w:highlight w:val="none"/>
        </w:rPr>
        <w:t>3、评标程序</w:t>
      </w:r>
      <w:bookmarkEnd w:id="30"/>
      <w:bookmarkEnd w:id="31"/>
      <w:bookmarkEnd w:id="32"/>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3.1 初步评审</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3.1.1 评标委员会可以要求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提交第二章“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须知”规定的有关证明和证件的原件，以便核验。评标委员会依据本章第 2.1 款规定的标准对</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进行初步评审。有一项不符合评审标准的，评标委员会应当否决其投标。</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3.1.2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有以下情形之一的，评标委员会应当否决其投标：</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没有对竞争性磋商的实质性要求和条件作出响应，或者对竞争性磋商的偏差超出竞争性磋商规定的偏差范围或最高项数；</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（2）第二章“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须知”第1.4.3 项规定的任何一种情形的；</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（3）有串通投标、弄虚作假、行贿等违法行为。</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3.1.3 投标报价有算术错误及其他错误的，评标委员会按以下原则要求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对投标报价进行修正，并要求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书面澄清确认。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拒不澄清确认的，评标委员会应当否决其投标：</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中的大写金额与小写金额不一致的，以大写金额为准；</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（2）总价金额与单价金额不一致的，以单价金额为准，但单价金额小数点有明显错误的除外。</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3.2 详细评审</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评标委员会按本章第 2.2 款规定的量化因素和分值进行打分，并计算出综合评估得分。</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计算各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评分时，按每个评委分项赋分值（所有评委评分的算术平均值为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每分项的得分）之和即为该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的最终得分，评分分值计算保留小数点后两位，小数点后第三位“四舍五入”。</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评标委员会发现</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的报价明显低于其他投标报价，使得其投标报价可能低于其个别成本的，应当要求该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作出书面说明并提供相应的证明材料。</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不能合理说明或者不能提供相应证明材料的，评标委员会应当认定该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以低于成本报价竞标，并否决其投标。</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3.3 </w:t>
      </w:r>
      <w:r>
        <w:rPr>
          <w:rFonts w:hint="eastAsia" w:ascii="仿宋" w:hAnsi="仿宋" w:eastAsia="仿宋" w:cs="仿宋"/>
          <w:b/>
          <w:color w:val="auto"/>
          <w:sz w:val="24"/>
          <w:szCs w:val="24"/>
          <w:highlight w:val="none"/>
          <w:lang w:eastAsia="zh-CN"/>
        </w:rPr>
        <w:t>磋商文件</w:t>
      </w:r>
      <w:r>
        <w:rPr>
          <w:rFonts w:hint="eastAsia" w:ascii="仿宋" w:hAnsi="仿宋" w:eastAsia="仿宋" w:cs="仿宋"/>
          <w:b/>
          <w:color w:val="auto"/>
          <w:sz w:val="24"/>
          <w:szCs w:val="24"/>
          <w:highlight w:val="none"/>
        </w:rPr>
        <w:t>的澄清和补正</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在评标过程中，评标委员会可以书面形式要求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对所提交</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中不明确的内容进行书面澄清或说明，或者对细微偏差进行补正。评标委员会不接受</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主动提出的澄清、说明或补正。</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澄清、说明和补正不得改变</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的实质性内容（算术性错误修正的除外）。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的书面澄清、说明和补正属于</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的组成部分。</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3.3.3 评标委员会对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提交的澄清、说明或补正有疑问的，可以要求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进一步澄清、说明或补正，直至满足评标委员会的要求。</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2" w:firstLineChars="200"/>
        <w:jc w:val="left"/>
        <w:textAlignment w:val="auto"/>
        <w:rPr>
          <w:rFonts w:hint="eastAsia" w:ascii="仿宋" w:hAnsi="仿宋" w:eastAsia="仿宋" w:cs="仿宋"/>
          <w:b/>
          <w:color w:val="auto"/>
          <w:sz w:val="24"/>
          <w:szCs w:val="24"/>
          <w:highlight w:val="none"/>
        </w:rPr>
      </w:pPr>
      <w:bookmarkStart w:id="33" w:name="_Toc261618206"/>
      <w:r>
        <w:rPr>
          <w:rFonts w:hint="eastAsia" w:ascii="仿宋" w:hAnsi="仿宋" w:eastAsia="仿宋" w:cs="仿宋"/>
          <w:b/>
          <w:color w:val="auto"/>
          <w:sz w:val="24"/>
          <w:szCs w:val="24"/>
          <w:highlight w:val="none"/>
        </w:rPr>
        <w:t>3.4 评标结果</w:t>
      </w:r>
      <w:bookmarkEnd w:id="33"/>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3.4.1 除第二章“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须知”前附表授权评标委员会直接确定中标人外，评标委员会根据得分由高到低的顺序推荐3名中标候选人，并标明推荐顺序。</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240" w:lineRule="auto"/>
        <w:ind w:left="0" w:leftChars="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3.4.2 评标委员会完成评标后，由应当向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提交书面评标报告。</w:t>
      </w:r>
    </w:p>
    <w:p>
      <w:pPr>
        <w:pageBreakBefore w:val="0"/>
        <w:widowControl w:val="0"/>
        <w:kinsoku/>
        <w:overflowPunct/>
        <w:topLinePunct w:val="0"/>
        <w:bidi w:val="0"/>
        <w:spacing w:beforeAutospacing="0" w:after="0" w:afterAutospacing="0" w:line="240" w:lineRule="auto"/>
        <w:ind w:left="0" w:leftChars="0" w:right="0" w:firstLine="210" w:firstLineChars="100"/>
        <w:jc w:val="both"/>
        <w:textAlignment w:val="auto"/>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rPr>
        <w:br w:type="page"/>
      </w:r>
      <w:bookmarkStart w:id="34" w:name="_Toc261618207"/>
      <w:r>
        <w:rPr>
          <w:rFonts w:hint="eastAsia" w:ascii="仿宋" w:hAnsi="仿宋" w:eastAsia="仿宋" w:cs="仿宋"/>
          <w:b/>
          <w:color w:val="auto"/>
          <w:kern w:val="0"/>
          <w:sz w:val="24"/>
          <w:szCs w:val="24"/>
          <w:highlight w:val="none"/>
          <w:lang w:eastAsia="zh-CN"/>
        </w:rPr>
        <w:t>附件一：磋商文件澄清通知</w:t>
      </w:r>
      <w:bookmarkEnd w:id="34"/>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kern w:val="0"/>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1" w:firstLineChars="10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磋商文件</w:t>
      </w:r>
      <w:r>
        <w:rPr>
          <w:rFonts w:hint="eastAsia" w:ascii="仿宋" w:hAnsi="仿宋" w:eastAsia="仿宋" w:cs="仿宋"/>
          <w:b/>
          <w:color w:val="auto"/>
          <w:kern w:val="0"/>
          <w:sz w:val="24"/>
          <w:szCs w:val="24"/>
          <w:highlight w:val="none"/>
        </w:rPr>
        <w:t>澄清通知</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编号：</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lang w:eastAsia="zh-CN"/>
        </w:rPr>
        <w:t>供应商</w:t>
      </w:r>
      <w:r>
        <w:rPr>
          <w:rFonts w:hint="eastAsia" w:ascii="仿宋" w:hAnsi="仿宋" w:eastAsia="仿宋" w:cs="仿宋"/>
          <w:color w:val="auto"/>
          <w:kern w:val="0"/>
          <w:sz w:val="24"/>
          <w:szCs w:val="24"/>
          <w:highlight w:val="none"/>
          <w:u w:val="single"/>
        </w:rPr>
        <w:t xml:space="preserve">名称）            </w:t>
      </w:r>
      <w:r>
        <w:rPr>
          <w:rFonts w:hint="eastAsia" w:ascii="仿宋" w:hAnsi="仿宋" w:eastAsia="仿宋" w:cs="仿宋"/>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u w:val="singl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（项目名称、标段名称）      </w:t>
      </w:r>
      <w:r>
        <w:rPr>
          <w:rFonts w:hint="eastAsia" w:ascii="仿宋" w:hAnsi="仿宋" w:eastAsia="仿宋" w:cs="仿宋"/>
          <w:color w:val="auto"/>
          <w:kern w:val="0"/>
          <w:sz w:val="24"/>
          <w:szCs w:val="24"/>
          <w:highlight w:val="none"/>
        </w:rPr>
        <w:t>评标委员会对你方的</w:t>
      </w:r>
      <w:r>
        <w:rPr>
          <w:rFonts w:hint="eastAsia" w:ascii="仿宋" w:hAnsi="仿宋" w:eastAsia="仿宋" w:cs="仿宋"/>
          <w:color w:val="auto"/>
          <w:kern w:val="0"/>
          <w:sz w:val="24"/>
          <w:szCs w:val="24"/>
          <w:highlight w:val="none"/>
          <w:lang w:eastAsia="zh-CN"/>
        </w:rPr>
        <w:t>磋商文件</w:t>
      </w:r>
      <w:r>
        <w:rPr>
          <w:rFonts w:hint="eastAsia" w:ascii="仿宋" w:hAnsi="仿宋" w:eastAsia="仿宋" w:cs="仿宋"/>
          <w:color w:val="auto"/>
          <w:kern w:val="0"/>
          <w:sz w:val="24"/>
          <w:szCs w:val="24"/>
          <w:highlight w:val="none"/>
        </w:rPr>
        <w:t>进行了仔细的审查，现需你方对下列问题以书面形式予以澄清：</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请将上述问题的澄清函于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日时前递交至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（详细地址）     </w:t>
      </w:r>
      <w:r>
        <w:rPr>
          <w:rFonts w:hint="eastAsia" w:ascii="仿宋" w:hAnsi="仿宋" w:eastAsia="仿宋" w:cs="仿宋"/>
          <w:color w:val="auto"/>
          <w:kern w:val="0"/>
          <w:sz w:val="24"/>
          <w:szCs w:val="24"/>
          <w:highlight w:val="none"/>
        </w:rPr>
        <w:t>或传真至</w:t>
      </w:r>
      <w:r>
        <w:rPr>
          <w:rFonts w:hint="eastAsia" w:ascii="仿宋" w:hAnsi="仿宋" w:eastAsia="仿宋" w:cs="仿宋"/>
          <w:color w:val="auto"/>
          <w:kern w:val="0"/>
          <w:sz w:val="24"/>
          <w:szCs w:val="24"/>
          <w:highlight w:val="none"/>
          <w:u w:val="single"/>
        </w:rPr>
        <w:t xml:space="preserve">     （传真号码）    </w:t>
      </w:r>
      <w:r>
        <w:rPr>
          <w:rFonts w:hint="eastAsia" w:ascii="仿宋" w:hAnsi="仿宋" w:eastAsia="仿宋" w:cs="仿宋"/>
          <w:color w:val="auto"/>
          <w:kern w:val="0"/>
          <w:sz w:val="24"/>
          <w:szCs w:val="24"/>
          <w:highlight w:val="none"/>
        </w:rPr>
        <w:t>。采用传真方式的，应在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日时前将原件递交至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（详细地址）  </w:t>
      </w:r>
      <w:r>
        <w:rPr>
          <w:rFonts w:hint="eastAsia" w:ascii="仿宋" w:hAnsi="仿宋" w:eastAsia="仿宋" w:cs="仿宋"/>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评标委员会负责人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（签字）      </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u w:val="singl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日</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Style w:val="2"/>
        <w:numPr>
          <w:ilvl w:val="0"/>
          <w:numId w:val="0"/>
        </w:numPr>
        <w:ind w:left="900" w:leftChars="0"/>
        <w:jc w:val="both"/>
        <w:rPr>
          <w:rFonts w:hint="eastAsia"/>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4"/>
          <w:highlight w:val="none"/>
        </w:rPr>
      </w:pPr>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kern w:val="0"/>
          <w:sz w:val="24"/>
          <w:szCs w:val="24"/>
          <w:highlight w:val="none"/>
          <w:lang w:eastAsia="zh-CN"/>
        </w:rPr>
      </w:pPr>
      <w:bookmarkStart w:id="35" w:name="_Toc256625998"/>
      <w:bookmarkStart w:id="36" w:name="_Toc256588090"/>
      <w:bookmarkStart w:id="37" w:name="_Toc256516120"/>
      <w:bookmarkStart w:id="38" w:name="_Toc261618208"/>
      <w:r>
        <w:rPr>
          <w:rFonts w:hint="eastAsia" w:ascii="仿宋" w:hAnsi="仿宋" w:eastAsia="仿宋" w:cs="仿宋"/>
          <w:b/>
          <w:color w:val="auto"/>
          <w:kern w:val="0"/>
          <w:sz w:val="24"/>
          <w:szCs w:val="24"/>
          <w:highlight w:val="none"/>
          <w:lang w:eastAsia="zh-CN"/>
        </w:rPr>
        <w:t>附件二：</w:t>
      </w:r>
      <w:bookmarkEnd w:id="35"/>
      <w:bookmarkEnd w:id="36"/>
      <w:bookmarkEnd w:id="37"/>
      <w:r>
        <w:rPr>
          <w:rFonts w:hint="eastAsia" w:ascii="仿宋" w:hAnsi="仿宋" w:eastAsia="仿宋" w:cs="仿宋"/>
          <w:b/>
          <w:color w:val="auto"/>
          <w:kern w:val="0"/>
          <w:sz w:val="24"/>
          <w:szCs w:val="24"/>
          <w:highlight w:val="none"/>
          <w:lang w:eastAsia="zh-CN"/>
        </w:rPr>
        <w:t>磋商文件澄清函</w:t>
      </w:r>
      <w:bookmarkEnd w:id="38"/>
    </w:p>
    <w:p>
      <w:pPr>
        <w:pageBreakBefore w:val="0"/>
        <w:widowControl w:val="0"/>
        <w:kinsoku/>
        <w:overflowPunct/>
        <w:topLinePunct w:val="0"/>
        <w:autoSpaceDE w:val="0"/>
        <w:autoSpaceDN w:val="0"/>
        <w:bidi w:val="0"/>
        <w:adjustRightInd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kern w:val="0"/>
          <w:sz w:val="24"/>
          <w:szCs w:val="24"/>
          <w:highlight w:val="none"/>
          <w:lang w:eastAsia="zh-CN"/>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1" w:firstLineChars="10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eastAsia="zh-CN"/>
        </w:rPr>
        <w:t>磋商文件</w:t>
      </w:r>
      <w:r>
        <w:rPr>
          <w:rFonts w:hint="eastAsia" w:ascii="仿宋" w:hAnsi="仿宋" w:eastAsia="仿宋" w:cs="仿宋"/>
          <w:b/>
          <w:color w:val="auto"/>
          <w:kern w:val="0"/>
          <w:sz w:val="24"/>
          <w:szCs w:val="24"/>
          <w:highlight w:val="none"/>
        </w:rPr>
        <w:t>澄清函</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编号：</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（项目名称、标段名称）        </w:t>
      </w:r>
      <w:r>
        <w:rPr>
          <w:rFonts w:hint="eastAsia" w:ascii="仿宋" w:hAnsi="仿宋" w:eastAsia="仿宋" w:cs="仿宋"/>
          <w:color w:val="auto"/>
          <w:kern w:val="0"/>
          <w:sz w:val="24"/>
          <w:szCs w:val="24"/>
          <w:highlight w:val="none"/>
        </w:rPr>
        <w:t>评标委员会：</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磋商文件</w:t>
      </w:r>
      <w:r>
        <w:rPr>
          <w:rFonts w:hint="eastAsia" w:ascii="仿宋" w:hAnsi="仿宋" w:eastAsia="仿宋" w:cs="仿宋"/>
          <w:color w:val="auto"/>
          <w:kern w:val="0"/>
          <w:sz w:val="24"/>
          <w:szCs w:val="24"/>
          <w:highlight w:val="none"/>
        </w:rPr>
        <w:t>澄清通知（编号：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 xml:space="preserve"> ）已收悉，现就有关问题澄清如下：</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（盖单位章）             </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 xml:space="preserve"> （签字）      </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u w:val="single"/>
        </w:rPr>
      </w:pP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日</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bookmarkStart w:id="39" w:name="_Toc29253_WPSOffice_Level1"/>
      <w:r>
        <w:rPr>
          <w:rFonts w:hint="eastAsia" w:ascii="仿宋" w:hAnsi="仿宋" w:eastAsia="仿宋" w:cs="仿宋"/>
          <w:b/>
          <w:color w:val="auto"/>
          <w:sz w:val="44"/>
          <w:szCs w:val="44"/>
          <w:highlight w:val="none"/>
        </w:rPr>
        <w:t>第四章 合同条款及格式</w:t>
      </w:r>
      <w:bookmarkEnd w:id="39"/>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以采购人提供的模板为准</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right="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highlight w:val="none"/>
        </w:rPr>
      </w:pPr>
      <w:r>
        <w:rPr>
          <w:rFonts w:hint="eastAsia" w:ascii="仿宋" w:hAnsi="仿宋" w:eastAsia="仿宋" w:cs="仿宋"/>
          <w:b/>
          <w:color w:val="auto"/>
          <w:sz w:val="44"/>
          <w:highlight w:val="none"/>
        </w:rPr>
        <w:t>第二卷</w:t>
      </w: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Style w:val="2"/>
        <w:numPr>
          <w:ilvl w:val="0"/>
          <w:numId w:val="0"/>
        </w:numPr>
        <w:ind w:left="900" w:leftChars="0"/>
        <w:jc w:val="both"/>
        <w:rPr>
          <w:rFonts w:hint="eastAsia" w:ascii="仿宋" w:hAnsi="仿宋" w:eastAsia="仿宋" w:cs="仿宋"/>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bookmarkStart w:id="40" w:name="_Toc261618216"/>
      <w:bookmarkStart w:id="41" w:name="_Toc1116_WPSOffice_Level1"/>
      <w:r>
        <w:rPr>
          <w:rFonts w:hint="eastAsia" w:ascii="仿宋" w:hAnsi="仿宋" w:eastAsia="仿宋" w:cs="仿宋"/>
          <w:b/>
          <w:color w:val="auto"/>
          <w:sz w:val="44"/>
          <w:szCs w:val="44"/>
          <w:highlight w:val="none"/>
        </w:rPr>
        <w:t xml:space="preserve">第五章 </w:t>
      </w:r>
      <w:bookmarkEnd w:id="40"/>
      <w:r>
        <w:rPr>
          <w:rFonts w:hint="eastAsia" w:ascii="仿宋" w:hAnsi="仿宋" w:eastAsia="仿宋" w:cs="仿宋"/>
          <w:b/>
          <w:color w:val="auto"/>
          <w:sz w:val="44"/>
          <w:szCs w:val="44"/>
          <w:highlight w:val="none"/>
          <w:lang w:val="en-US" w:eastAsia="zh-CN"/>
        </w:rPr>
        <w:t>项目采购需求</w:t>
      </w:r>
      <w:bookmarkEnd w:id="41"/>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80" w:firstLineChars="10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详见供应商须知前附表</w:t>
      </w: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left"/>
        <w:textAlignment w:val="auto"/>
        <w:rPr>
          <w:rFonts w:hint="eastAsia" w:ascii="仿宋" w:hAnsi="仿宋" w:eastAsia="仿宋" w:cs="仿宋"/>
          <w:b/>
          <w:color w:val="auto"/>
          <w:sz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highlight w:val="none"/>
        </w:rPr>
      </w:pPr>
      <w:r>
        <w:rPr>
          <w:rFonts w:hint="eastAsia" w:ascii="仿宋" w:hAnsi="仿宋" w:eastAsia="仿宋" w:cs="仿宋"/>
          <w:b/>
          <w:color w:val="auto"/>
          <w:sz w:val="44"/>
          <w:highlight w:val="none"/>
        </w:rPr>
        <w:t>第三卷</w:t>
      </w: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Style w:val="3"/>
        <w:pageBreakBefore w:val="0"/>
        <w:kinsoku/>
        <w:overflowPunct/>
        <w:topLinePunct w:val="0"/>
        <w:bidi w:val="0"/>
        <w:ind w:firstLine="200" w:firstLineChars="100"/>
        <w:jc w:val="center"/>
        <w:textAlignment w:val="auto"/>
        <w:rPr>
          <w:rFonts w:hint="eastAsia" w:ascii="仿宋" w:hAnsi="仿宋" w:eastAsia="仿宋" w:cs="仿宋"/>
          <w:color w:val="auto"/>
          <w:highlight w:val="none"/>
        </w:rPr>
      </w:pPr>
    </w:p>
    <w:p>
      <w:pPr>
        <w:pageBreakBefore w:val="0"/>
        <w:kinsoku/>
        <w:overflowPunct/>
        <w:topLinePunct w:val="0"/>
        <w:bidi w:val="0"/>
        <w:ind w:firstLine="210" w:firstLineChars="100"/>
        <w:jc w:val="center"/>
        <w:textAlignment w:val="auto"/>
        <w:rPr>
          <w:rFonts w:hint="eastAsia" w:ascii="仿宋" w:hAnsi="仿宋" w:eastAsia="仿宋" w:cs="仿宋"/>
          <w:color w:val="auto"/>
          <w:highlight w:val="none"/>
        </w:rPr>
      </w:pPr>
    </w:p>
    <w:p>
      <w:pPr>
        <w:pStyle w:val="3"/>
        <w:pageBreakBefore w:val="0"/>
        <w:kinsoku/>
        <w:overflowPunct/>
        <w:topLinePunct w:val="0"/>
        <w:bidi w:val="0"/>
        <w:ind w:firstLine="200" w:firstLineChars="100"/>
        <w:jc w:val="center"/>
        <w:textAlignment w:val="auto"/>
        <w:rPr>
          <w:rFonts w:hint="eastAsia" w:ascii="仿宋" w:hAnsi="仿宋" w:eastAsia="仿宋" w:cs="仿宋"/>
          <w:color w:val="auto"/>
          <w:highlight w:val="none"/>
        </w:rPr>
      </w:pPr>
    </w:p>
    <w:p>
      <w:pPr>
        <w:pageBreakBefore w:val="0"/>
        <w:kinsoku/>
        <w:overflowPunct/>
        <w:topLinePunct w:val="0"/>
        <w:bidi w:val="0"/>
        <w:ind w:firstLine="210" w:firstLineChars="100"/>
        <w:jc w:val="center"/>
        <w:textAlignment w:val="auto"/>
        <w:rPr>
          <w:rFonts w:hint="eastAsia" w:ascii="仿宋" w:hAnsi="仿宋" w:eastAsia="仿宋" w:cs="仿宋"/>
          <w:color w:val="auto"/>
          <w:highlight w:val="none"/>
        </w:rPr>
      </w:pPr>
    </w:p>
    <w:p>
      <w:pPr>
        <w:pStyle w:val="3"/>
        <w:pageBreakBefore w:val="0"/>
        <w:kinsoku/>
        <w:overflowPunct/>
        <w:topLinePunct w:val="0"/>
        <w:bidi w:val="0"/>
        <w:ind w:firstLine="20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right="0"/>
        <w:jc w:val="both"/>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bookmarkStart w:id="42" w:name="_Toc118925"/>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right="0"/>
        <w:jc w:val="both"/>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rPr>
      </w:pPr>
      <w:bookmarkStart w:id="43" w:name="_Toc22307_WPSOffice_Level1"/>
      <w:r>
        <w:rPr>
          <w:rFonts w:hint="eastAsia" w:ascii="仿宋" w:hAnsi="仿宋" w:eastAsia="仿宋" w:cs="仿宋"/>
          <w:b/>
          <w:color w:val="auto"/>
          <w:sz w:val="44"/>
          <w:szCs w:val="44"/>
          <w:highlight w:val="none"/>
        </w:rPr>
        <w:t xml:space="preserve">第六章  </w:t>
      </w:r>
      <w:r>
        <w:rPr>
          <w:rFonts w:hint="eastAsia" w:ascii="仿宋" w:hAnsi="仿宋" w:eastAsia="仿宋" w:cs="仿宋"/>
          <w:b/>
          <w:color w:val="auto"/>
          <w:sz w:val="44"/>
          <w:szCs w:val="44"/>
          <w:highlight w:val="none"/>
          <w:lang w:eastAsia="zh-CN"/>
        </w:rPr>
        <w:t>磋商文件</w:t>
      </w:r>
      <w:r>
        <w:rPr>
          <w:rFonts w:hint="eastAsia" w:ascii="仿宋" w:hAnsi="仿宋" w:eastAsia="仿宋" w:cs="仿宋"/>
          <w:b/>
          <w:color w:val="auto"/>
          <w:sz w:val="44"/>
          <w:szCs w:val="44"/>
          <w:highlight w:val="none"/>
        </w:rPr>
        <w:t>格式</w:t>
      </w:r>
      <w:bookmarkEnd w:id="42"/>
      <w:bookmarkEnd w:id="43"/>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lang w:eastAsia="zh-CN"/>
        </w:rPr>
      </w:pPr>
      <w:r>
        <w:rPr>
          <w:rFonts w:hint="eastAsia" w:ascii="仿宋" w:hAnsi="仿宋" w:eastAsia="仿宋" w:cs="仿宋"/>
          <w:b/>
          <w:color w:val="auto"/>
          <w:sz w:val="52"/>
          <w:szCs w:val="52"/>
          <w:highlight w:val="none"/>
          <w:lang w:eastAsia="zh-CN"/>
        </w:rPr>
        <w:br w:type="page"/>
      </w:r>
    </w:p>
    <w:p>
      <w:pPr>
        <w:pageBreakBefore w:val="0"/>
        <w:kinsoku/>
        <w:overflowPunct/>
        <w:topLinePunct w:val="0"/>
        <w:bidi w:val="0"/>
        <w:spacing w:beforeAutospacing="0" w:after="0" w:afterAutospacing="0" w:line="240" w:lineRule="auto"/>
        <w:ind w:left="0" w:leftChars="0" w:right="0" w:firstLine="522" w:firstLineChars="100"/>
        <w:jc w:val="center"/>
        <w:textAlignment w:val="auto"/>
        <w:rPr>
          <w:rFonts w:hint="eastAsia" w:ascii="仿宋" w:hAnsi="仿宋" w:eastAsia="仿宋" w:cs="仿宋"/>
          <w:b/>
          <w:color w:val="auto"/>
          <w:sz w:val="52"/>
          <w:szCs w:val="52"/>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before="178" w:line="312" w:lineRule="auto"/>
        <w:ind w:left="0" w:leftChars="0" w:firstLine="0" w:firstLineChars="0"/>
        <w:jc w:val="center"/>
        <w:textAlignment w:val="baseline"/>
        <w:rPr>
          <w:rFonts w:hint="eastAsia" w:ascii="仿宋" w:hAnsi="仿宋" w:eastAsia="仿宋" w:cs="仿宋"/>
          <w:sz w:val="55"/>
          <w:szCs w:val="55"/>
        </w:rPr>
      </w:pPr>
      <w:bookmarkStart w:id="44" w:name="_Toc4886_WPSOffice_Level1"/>
      <w:r>
        <w:rPr>
          <w:rFonts w:hint="eastAsia" w:ascii="仿宋" w:hAnsi="仿宋" w:eastAsia="仿宋" w:cs="仿宋"/>
          <w:spacing w:val="-16"/>
          <w:sz w:val="56"/>
          <w:szCs w:val="56"/>
          <w:lang w:eastAsia="zh-CN"/>
          <w14:textOutline w14:w="10151" w14:cap="sq" w14:cmpd="sng">
            <w14:solidFill>
              <w14:srgbClr w14:val="000000"/>
            </w14:solidFill>
            <w14:prstDash w14:val="solid"/>
            <w14:bevel/>
          </w14:textOutline>
        </w:rPr>
        <w:t>玛纳斯县2023年1.84万亩高标准农田建设项目资料管理</w:t>
      </w:r>
      <w:r>
        <w:rPr>
          <w:rFonts w:hint="eastAsia" w:ascii="仿宋" w:hAnsi="仿宋" w:eastAsia="仿宋" w:cs="仿宋"/>
          <w:spacing w:val="5"/>
          <w:sz w:val="56"/>
          <w:szCs w:val="56"/>
          <w14:textOutline w14:w="10151" w14:cap="sq" w14:cmpd="sng">
            <w14:solidFill>
              <w14:srgbClr w14:val="000000"/>
            </w14:solidFill>
            <w14:prstDash w14:val="solid"/>
            <w14:bevel/>
          </w14:textOutline>
        </w:rPr>
        <w:t>工</w:t>
      </w:r>
      <w:r>
        <w:rPr>
          <w:rFonts w:hint="eastAsia" w:ascii="仿宋" w:hAnsi="仿宋" w:eastAsia="仿宋" w:cs="仿宋"/>
          <w:spacing w:val="4"/>
          <w:sz w:val="56"/>
          <w:szCs w:val="56"/>
          <w14:textOutline w14:w="10151" w14:cap="sq" w14:cmpd="sng">
            <w14:solidFill>
              <w14:srgbClr w14:val="000000"/>
            </w14:solidFill>
            <w14:prstDash w14:val="solid"/>
            <w14:bevel/>
          </w14:textOutline>
        </w:rPr>
        <w:t>作</w:t>
      </w:r>
      <w:bookmarkEnd w:id="44"/>
    </w:p>
    <w:p>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line="312" w:lineRule="auto"/>
        <w:textAlignment w:val="baseline"/>
        <w:rPr>
          <w:rFonts w:hint="eastAsia" w:ascii="仿宋" w:hAnsi="仿宋" w:eastAsia="仿宋" w:cs="仿宋"/>
          <w:sz w:val="21"/>
        </w:rPr>
      </w:pPr>
    </w:p>
    <w:p>
      <w:pPr>
        <w:keepNext w:val="0"/>
        <w:keepLines w:val="0"/>
        <w:pageBreakBefore w:val="0"/>
        <w:widowControl/>
        <w:kinsoku w:val="0"/>
        <w:wordWrap/>
        <w:overflowPunct/>
        <w:topLinePunct w:val="0"/>
        <w:autoSpaceDE w:val="0"/>
        <w:autoSpaceDN w:val="0"/>
        <w:bidi w:val="0"/>
        <w:adjustRightInd w:val="0"/>
        <w:snapToGrid w:val="0"/>
        <w:spacing w:before="231" w:line="312" w:lineRule="auto"/>
        <w:ind w:left="13" w:leftChars="0" w:hanging="13" w:firstLineChars="0"/>
        <w:jc w:val="center"/>
        <w:textAlignment w:val="baseline"/>
        <w:rPr>
          <w:rFonts w:hint="eastAsia" w:ascii="仿宋" w:hAnsi="仿宋" w:eastAsia="仿宋" w:cs="仿宋"/>
          <w:sz w:val="56"/>
          <w:szCs w:val="56"/>
        </w:rPr>
      </w:pPr>
      <w:bookmarkStart w:id="45" w:name="_Toc5140_WPSOffice_Level1"/>
      <w:r>
        <w:rPr>
          <w:rFonts w:hint="eastAsia" w:ascii="仿宋" w:hAnsi="仿宋" w:eastAsia="仿宋" w:cs="仿宋"/>
          <w:spacing w:val="6"/>
          <w:sz w:val="56"/>
          <w:szCs w:val="56"/>
          <w14:textOutline w14:w="13075" w14:cap="sq" w14:cmpd="sng">
            <w14:solidFill>
              <w14:srgbClr w14:val="000000"/>
            </w14:solidFill>
            <w14:prstDash w14:val="solid"/>
            <w14:bevel/>
          </w14:textOutline>
        </w:rPr>
        <w:t>响</w:t>
      </w:r>
      <w:r>
        <w:rPr>
          <w:rFonts w:hint="eastAsia" w:ascii="仿宋" w:hAnsi="仿宋" w:eastAsia="仿宋" w:cs="仿宋"/>
          <w:spacing w:val="6"/>
          <w:sz w:val="56"/>
          <w:szCs w:val="56"/>
        </w:rPr>
        <w:t xml:space="preserve"> </w:t>
      </w:r>
      <w:r>
        <w:rPr>
          <w:rFonts w:hint="eastAsia" w:ascii="仿宋" w:hAnsi="仿宋" w:eastAsia="仿宋" w:cs="仿宋"/>
          <w:spacing w:val="4"/>
          <w:sz w:val="56"/>
          <w:szCs w:val="56"/>
        </w:rPr>
        <w:t xml:space="preserve"> </w:t>
      </w:r>
      <w:r>
        <w:rPr>
          <w:rFonts w:hint="eastAsia" w:ascii="仿宋" w:hAnsi="仿宋" w:eastAsia="仿宋" w:cs="仿宋"/>
          <w:spacing w:val="3"/>
          <w:sz w:val="56"/>
          <w:szCs w:val="56"/>
          <w14:textOutline w14:w="13075" w14:cap="sq" w14:cmpd="sng">
            <w14:solidFill>
              <w14:srgbClr w14:val="000000"/>
            </w14:solidFill>
            <w14:prstDash w14:val="solid"/>
            <w14:bevel/>
          </w14:textOutline>
        </w:rPr>
        <w:t>应</w:t>
      </w:r>
      <w:r>
        <w:rPr>
          <w:rFonts w:hint="eastAsia" w:ascii="仿宋" w:hAnsi="仿宋" w:eastAsia="仿宋" w:cs="仿宋"/>
          <w:spacing w:val="3"/>
          <w:sz w:val="56"/>
          <w:szCs w:val="56"/>
        </w:rPr>
        <w:t xml:space="preserve">  </w:t>
      </w:r>
      <w:r>
        <w:rPr>
          <w:rFonts w:hint="eastAsia" w:ascii="仿宋" w:hAnsi="仿宋" w:eastAsia="仿宋" w:cs="仿宋"/>
          <w:spacing w:val="3"/>
          <w:sz w:val="56"/>
          <w:szCs w:val="56"/>
          <w14:textOutline w14:w="13075" w14:cap="sq" w14:cmpd="sng">
            <w14:solidFill>
              <w14:srgbClr w14:val="000000"/>
            </w14:solidFill>
            <w14:prstDash w14:val="solid"/>
            <w14:bevel/>
          </w14:textOutline>
        </w:rPr>
        <w:t>文</w:t>
      </w:r>
      <w:r>
        <w:rPr>
          <w:rFonts w:hint="eastAsia" w:ascii="仿宋" w:hAnsi="仿宋" w:eastAsia="仿宋" w:cs="仿宋"/>
          <w:spacing w:val="3"/>
          <w:sz w:val="56"/>
          <w:szCs w:val="56"/>
        </w:rPr>
        <w:t xml:space="preserve">  </w:t>
      </w:r>
      <w:r>
        <w:rPr>
          <w:rFonts w:hint="eastAsia" w:ascii="仿宋" w:hAnsi="仿宋" w:eastAsia="仿宋" w:cs="仿宋"/>
          <w:spacing w:val="3"/>
          <w:sz w:val="56"/>
          <w:szCs w:val="56"/>
          <w14:textOutline w14:w="13075" w14:cap="sq" w14:cmpd="sng">
            <w14:solidFill>
              <w14:srgbClr w14:val="000000"/>
            </w14:solidFill>
            <w14:prstDash w14:val="solid"/>
            <w14:bevel/>
          </w14:textOutline>
        </w:rPr>
        <w:t>件</w:t>
      </w:r>
      <w:bookmarkEnd w:id="45"/>
    </w:p>
    <w:p>
      <w:pPr>
        <w:pageBreakBefore w:val="0"/>
        <w:kinsoku/>
        <w:overflowPunct/>
        <w:topLinePunct w:val="0"/>
        <w:bidi w:val="0"/>
        <w:spacing w:beforeAutospacing="0" w:after="0" w:afterAutospacing="0" w:line="240" w:lineRule="auto"/>
        <w:ind w:left="0" w:leftChars="0" w:right="0" w:firstLine="381" w:firstLineChars="100"/>
        <w:jc w:val="center"/>
        <w:textAlignment w:val="auto"/>
        <w:rPr>
          <w:rFonts w:hint="eastAsia" w:ascii="仿宋" w:hAnsi="仿宋" w:eastAsia="仿宋" w:cs="仿宋"/>
          <w:b/>
          <w:bCs/>
          <w:color w:val="auto"/>
          <w:sz w:val="38"/>
          <w:szCs w:val="38"/>
          <w:highlight w:val="none"/>
          <w:lang w:val="en-US" w:eastAsia="zh-CN"/>
        </w:rPr>
      </w:pPr>
    </w:p>
    <w:p>
      <w:pPr>
        <w:pageBreakBefore w:val="0"/>
        <w:kinsoku/>
        <w:overflowPunct/>
        <w:topLinePunct w:val="0"/>
        <w:bidi w:val="0"/>
        <w:spacing w:beforeAutospacing="0" w:after="0" w:afterAutospacing="0" w:line="240" w:lineRule="auto"/>
        <w:ind w:right="0"/>
        <w:jc w:val="both"/>
        <w:textAlignment w:val="auto"/>
        <w:rPr>
          <w:rFonts w:hint="eastAsia" w:ascii="仿宋" w:hAnsi="仿宋" w:eastAsia="仿宋" w:cs="仿宋"/>
          <w:color w:val="auto"/>
          <w:sz w:val="32"/>
          <w:szCs w:val="32"/>
          <w:highlight w:val="none"/>
        </w:rPr>
      </w:pPr>
    </w:p>
    <w:p>
      <w:pPr>
        <w:pageBreakBefore w:val="0"/>
        <w:kinsoku/>
        <w:overflowPunct/>
        <w:topLinePunct w:val="0"/>
        <w:bidi w:val="0"/>
        <w:spacing w:beforeAutospacing="0" w:after="0" w:afterAutospacing="0" w:line="240" w:lineRule="auto"/>
        <w:ind w:left="0" w:leftChars="0" w:right="0" w:firstLine="320" w:firstLineChars="100"/>
        <w:jc w:val="center"/>
        <w:textAlignment w:val="auto"/>
        <w:rPr>
          <w:rFonts w:hint="eastAsia" w:ascii="仿宋" w:hAnsi="仿宋" w:eastAsia="仿宋" w:cs="仿宋"/>
          <w:color w:val="auto"/>
          <w:sz w:val="32"/>
          <w:szCs w:val="32"/>
          <w:highlight w:val="none"/>
        </w:rPr>
      </w:pPr>
    </w:p>
    <w:p>
      <w:pPr>
        <w:pageBreakBefore w:val="0"/>
        <w:kinsoku/>
        <w:overflowPunct/>
        <w:topLinePunct w:val="0"/>
        <w:bidi w:val="0"/>
        <w:spacing w:beforeAutospacing="0" w:after="0" w:afterAutospacing="0" w:line="240" w:lineRule="auto"/>
        <w:ind w:left="0" w:leftChars="0" w:right="0" w:firstLine="320" w:firstLineChars="100"/>
        <w:jc w:val="center"/>
        <w:textAlignment w:val="auto"/>
        <w:rPr>
          <w:rFonts w:hint="eastAsia" w:ascii="仿宋" w:hAnsi="仿宋" w:eastAsia="仿宋" w:cs="仿宋"/>
          <w:color w:val="auto"/>
          <w:sz w:val="32"/>
          <w:szCs w:val="32"/>
          <w:highlight w:val="none"/>
        </w:rPr>
      </w:pPr>
    </w:p>
    <w:p>
      <w:pPr>
        <w:pageBreakBefore w:val="0"/>
        <w:kinsoku/>
        <w:overflowPunct/>
        <w:topLinePunct w:val="0"/>
        <w:bidi w:val="0"/>
        <w:spacing w:beforeAutospacing="0" w:after="0" w:afterAutospacing="0" w:line="240" w:lineRule="auto"/>
        <w:ind w:left="0" w:leftChars="0" w:right="0" w:firstLine="320" w:firstLineChars="100"/>
        <w:jc w:val="center"/>
        <w:textAlignment w:val="auto"/>
        <w:rPr>
          <w:rFonts w:hint="eastAsia" w:ascii="仿宋" w:hAnsi="仿宋" w:eastAsia="仿宋" w:cs="仿宋"/>
          <w:color w:val="auto"/>
          <w:sz w:val="32"/>
          <w:szCs w:val="32"/>
          <w:highlight w:val="none"/>
        </w:rPr>
      </w:pPr>
    </w:p>
    <w:p>
      <w:pPr>
        <w:pageBreakBefore w:val="0"/>
        <w:kinsoku/>
        <w:overflowPunct/>
        <w:topLinePunct w:val="0"/>
        <w:bidi w:val="0"/>
        <w:spacing w:beforeAutospacing="0" w:after="0" w:afterAutospacing="0" w:line="240" w:lineRule="auto"/>
        <w:ind w:left="0" w:leftChars="0" w:right="0" w:firstLine="442" w:firstLineChars="100"/>
        <w:jc w:val="center"/>
        <w:textAlignment w:val="auto"/>
        <w:rPr>
          <w:rFonts w:hint="eastAsia" w:ascii="仿宋" w:hAnsi="仿宋" w:eastAsia="仿宋" w:cs="仿宋"/>
          <w:b/>
          <w:color w:val="auto"/>
          <w:sz w:val="44"/>
          <w:szCs w:val="44"/>
          <w:highlight w:val="none"/>
          <w:lang w:eastAsia="zh-CN"/>
        </w:rPr>
      </w:pPr>
      <w:bookmarkStart w:id="46" w:name="_Toc15754_WPSOffice_Level1"/>
      <w:r>
        <w:rPr>
          <w:rFonts w:hint="eastAsia" w:ascii="仿宋" w:hAnsi="仿宋" w:eastAsia="仿宋" w:cs="仿宋"/>
          <w:b/>
          <w:color w:val="auto"/>
          <w:sz w:val="44"/>
          <w:szCs w:val="44"/>
          <w:highlight w:val="none"/>
          <w:lang w:eastAsia="zh-CN"/>
        </w:rPr>
        <w:t>磋商文件</w:t>
      </w:r>
      <w:bookmarkEnd w:id="46"/>
    </w:p>
    <w:p>
      <w:pPr>
        <w:pageBreakBefore w:val="0"/>
        <w:kinsoku/>
        <w:overflowPunct/>
        <w:topLinePunct w:val="0"/>
        <w:bidi w:val="0"/>
        <w:spacing w:beforeAutospacing="0" w:after="0" w:afterAutospacing="0" w:line="240" w:lineRule="auto"/>
        <w:ind w:left="0" w:leftChars="0" w:right="0" w:firstLine="321" w:firstLineChars="100"/>
        <w:jc w:val="center"/>
        <w:textAlignment w:val="auto"/>
        <w:rPr>
          <w:rFonts w:hint="eastAsia" w:ascii="仿宋" w:hAnsi="仿宋" w:eastAsia="仿宋" w:cs="仿宋"/>
          <w:b/>
          <w:color w:val="auto"/>
          <w:sz w:val="32"/>
          <w:szCs w:val="32"/>
          <w:highlight w:val="none"/>
          <w:lang w:val="en-US" w:eastAsia="zh-CN"/>
        </w:rPr>
      </w:pPr>
      <w:bookmarkStart w:id="47" w:name="_Toc6925_WPSOffice_Level1"/>
      <w:r>
        <w:rPr>
          <w:rFonts w:hint="eastAsia" w:ascii="仿宋" w:hAnsi="仿宋" w:eastAsia="仿宋" w:cs="仿宋"/>
          <w:b/>
          <w:color w:val="auto"/>
          <w:sz w:val="32"/>
          <w:szCs w:val="32"/>
          <w:highlight w:val="none"/>
          <w:lang w:val="en-US" w:eastAsia="zh-CN"/>
        </w:rPr>
        <w:t>（招标编号：XCDCG-2023-03-04 ）</w:t>
      </w:r>
      <w:bookmarkEnd w:id="47"/>
    </w:p>
    <w:p>
      <w:pPr>
        <w:pageBreakBefore w:val="0"/>
        <w:tabs>
          <w:tab w:val="left" w:pos="7021"/>
        </w:tabs>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lang w:eastAsia="zh-CN"/>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sz w:val="96"/>
          <w:szCs w:val="96"/>
          <w:highlight w:val="none"/>
        </w:rPr>
      </w:pPr>
      <w:r>
        <w:rPr>
          <w:rFonts w:hint="eastAsia" w:ascii="仿宋" w:hAnsi="仿宋" w:eastAsia="仿宋" w:cs="仿宋"/>
          <w:color w:val="auto"/>
          <w:sz w:val="28"/>
          <w:highlight w:val="none"/>
          <w:lang w:eastAsia="zh-CN"/>
        </w:rPr>
        <w:t>供应商</w:t>
      </w:r>
      <w:r>
        <w:rPr>
          <w:rFonts w:hint="eastAsia" w:ascii="仿宋" w:hAnsi="仿宋" w:eastAsia="仿宋" w:cs="仿宋"/>
          <w:color w:val="auto"/>
          <w:sz w:val="28"/>
          <w:highlight w:val="none"/>
        </w:rPr>
        <w:t>：</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8"/>
          <w:highlight w:val="none"/>
        </w:rPr>
        <w:t>（盖单位章）</w:t>
      </w:r>
    </w:p>
    <w:p>
      <w:pPr>
        <w:pageBreakBefore w:val="0"/>
        <w:kinsoku/>
        <w:overflowPunct/>
        <w:topLinePunct w:val="0"/>
        <w:bidi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8"/>
          <w:highlight w:val="none"/>
        </w:rPr>
        <w:t>法定代表人或其委托代理人：</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8"/>
          <w:highlight w:val="none"/>
        </w:rPr>
        <w:t>（签字</w:t>
      </w:r>
      <w:r>
        <w:rPr>
          <w:rFonts w:hint="eastAsia" w:ascii="仿宋" w:hAnsi="仿宋" w:eastAsia="仿宋" w:cs="仿宋"/>
          <w:color w:val="auto"/>
          <w:sz w:val="28"/>
          <w:highlight w:val="none"/>
          <w:lang w:val="en-US" w:eastAsia="zh-CN"/>
        </w:rPr>
        <w:t>或盖章</w:t>
      </w:r>
      <w:r>
        <w:rPr>
          <w:rFonts w:hint="eastAsia" w:ascii="仿宋" w:hAnsi="仿宋" w:eastAsia="仿宋" w:cs="仿宋"/>
          <w:color w:val="auto"/>
          <w:sz w:val="28"/>
          <w:highlight w:val="none"/>
        </w:rPr>
        <w:t>）</w:t>
      </w:r>
    </w:p>
    <w:p>
      <w:pPr>
        <w:pageBreakBefore w:val="0"/>
        <w:kinsoku/>
        <w:overflowPunct/>
        <w:topLinePunct w:val="0"/>
        <w:bidi w:val="0"/>
        <w:spacing w:beforeAutospacing="0" w:after="0" w:afterAutospacing="0" w:line="240" w:lineRule="auto"/>
        <w:ind w:left="0" w:leftChars="0" w:right="0" w:firstLine="28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8"/>
          <w:highlight w:val="none"/>
        </w:rPr>
        <w:t xml:space="preserve"> </w:t>
      </w:r>
    </w:p>
    <w:p>
      <w:pPr>
        <w:pageBreakBefore w:val="0"/>
        <w:tabs>
          <w:tab w:val="center" w:pos="4320"/>
          <w:tab w:val="center" w:pos="8723"/>
        </w:tabs>
        <w:kinsoku/>
        <w:overflowPunct/>
        <w:topLinePunct w:val="0"/>
        <w:bidi w:val="0"/>
        <w:spacing w:beforeAutospacing="0" w:after="0" w:afterAutospacing="0" w:line="240" w:lineRule="auto"/>
        <w:ind w:left="0" w:leftChars="0" w:right="0" w:firstLine="210" w:firstLineChars="100"/>
        <w:jc w:val="righ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8"/>
          <w:highlight w:val="none"/>
        </w:rPr>
        <w:t>年</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1"/>
          <w:highlight w:val="none"/>
          <w:u w:val="single" w:color="000000"/>
        </w:rPr>
        <w:t xml:space="preserve">    </w:t>
      </w:r>
      <w:r>
        <w:rPr>
          <w:rFonts w:hint="eastAsia" w:ascii="仿宋" w:hAnsi="仿宋" w:eastAsia="仿宋" w:cs="仿宋"/>
          <w:color w:val="auto"/>
          <w:sz w:val="28"/>
          <w:highlight w:val="none"/>
        </w:rPr>
        <w:t>日</w:t>
      </w: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81" w:firstLineChars="100"/>
        <w:jc w:val="right"/>
        <w:textAlignment w:val="auto"/>
        <w:rPr>
          <w:rFonts w:hint="eastAsia" w:ascii="仿宋" w:hAnsi="仿宋" w:eastAsia="仿宋" w:cs="仿宋"/>
          <w:b/>
          <w:color w:val="auto"/>
          <w:sz w:val="28"/>
          <w:szCs w:val="28"/>
          <w:highlight w:val="none"/>
        </w:rPr>
      </w:pPr>
      <w:bookmarkStart w:id="48" w:name="_Toc118926"/>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rPr>
          <w:rFonts w:hint="eastAsia"/>
        </w:rPr>
      </w:pPr>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color w:val="auto"/>
          <w:highlight w:val="none"/>
        </w:rPr>
      </w:pPr>
      <w:r>
        <w:rPr>
          <w:rFonts w:hint="eastAsia" w:ascii="仿宋" w:hAnsi="仿宋" w:eastAsia="仿宋" w:cs="仿宋"/>
          <w:b/>
          <w:color w:val="auto"/>
          <w:sz w:val="28"/>
          <w:szCs w:val="28"/>
          <w:highlight w:val="none"/>
        </w:rPr>
        <w:t>目  录</w:t>
      </w:r>
      <w:bookmarkEnd w:id="48"/>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bookmarkStart w:id="49" w:name="_Toc5953_WPSOffice_Level1"/>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函</w:t>
      </w:r>
      <w:bookmarkEnd w:id="49"/>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bookmarkStart w:id="50" w:name="_Toc15641_WPSOffice_Level1"/>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、法定代表人身份证明（适用于无委托代理人的情况）</w:t>
      </w:r>
      <w:bookmarkEnd w:id="50"/>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bookmarkStart w:id="51" w:name="_Toc12835_WPSOffice_Level1"/>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、授权委托书（适用于有委托代理人的情况）</w:t>
      </w:r>
      <w:bookmarkEnd w:id="51"/>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bookmarkStart w:id="52" w:name="_Toc15744_WPSOffice_Level1"/>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、投标保证金</w:t>
      </w:r>
      <w:bookmarkEnd w:id="52"/>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lang w:eastAsia="zh-CN"/>
        </w:rPr>
      </w:pPr>
      <w:bookmarkStart w:id="53" w:name="_Toc16745_WPSOffice_Level1"/>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lang w:eastAsia="zh-CN"/>
        </w:rPr>
        <w:t>、资格审查资料</w:t>
      </w:r>
      <w:bookmarkEnd w:id="53"/>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lang w:val="en-US" w:eastAsia="zh-CN"/>
        </w:rPr>
      </w:pPr>
      <w:bookmarkStart w:id="54" w:name="_Toc21343_WPSOffice_Level1"/>
      <w:r>
        <w:rPr>
          <w:rFonts w:hint="eastAsia" w:ascii="仿宋" w:hAnsi="仿宋" w:eastAsia="仿宋" w:cs="仿宋"/>
          <w:color w:val="auto"/>
          <w:sz w:val="24"/>
          <w:szCs w:val="24"/>
          <w:highlight w:val="none"/>
          <w:lang w:val="en-US" w:eastAsia="zh-CN"/>
        </w:rPr>
        <w:t>六、中小企业声明函 (服务)</w:t>
      </w:r>
      <w:bookmarkEnd w:id="54"/>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lang w:val="en-US" w:eastAsia="zh-CN"/>
        </w:rPr>
      </w:pPr>
      <w:bookmarkStart w:id="55" w:name="_Toc21853_WPSOffice_Level1"/>
      <w:r>
        <w:rPr>
          <w:rFonts w:hint="eastAsia" w:ascii="仿宋" w:hAnsi="仿宋" w:eastAsia="仿宋" w:cs="仿宋"/>
          <w:color w:val="auto"/>
          <w:sz w:val="24"/>
          <w:szCs w:val="24"/>
          <w:highlight w:val="none"/>
          <w:lang w:val="en-US" w:eastAsia="zh-CN"/>
        </w:rPr>
        <w:t>七、其他资料</w:t>
      </w:r>
      <w:bookmarkEnd w:id="55"/>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auto"/>
          <w:kern w:val="2"/>
          <w:sz w:val="24"/>
          <w:szCs w:val="24"/>
          <w:highlight w:val="none"/>
          <w:lang w:val="en-US" w:eastAsia="zh-CN" w:bidi="ar-SA"/>
        </w:rPr>
        <w:t>附件3不参与围标串标承诺书</w:t>
      </w: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right="0" w:firstLine="240" w:firstLineChars="100"/>
        <w:jc w:val="left"/>
        <w:textAlignment w:val="auto"/>
        <w:rPr>
          <w:rFonts w:hint="eastAsia" w:ascii="仿宋" w:hAnsi="仿宋" w:eastAsia="仿宋" w:cs="仿宋"/>
          <w:color w:val="auto"/>
          <w:sz w:val="24"/>
          <w:szCs w:val="24"/>
          <w:highlight w:val="none"/>
        </w:rPr>
      </w:pPr>
      <w:bookmarkStart w:id="56" w:name="_Toc13551_WPSOffice_Level1"/>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现场提供给供应商二次磋商报价函进行二次报价或三次报价函进行三次报价</w:t>
      </w:r>
      <w:bookmarkEnd w:id="56"/>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10"/>
        <w:rPr>
          <w:rFonts w:hint="eastAsia" w:ascii="仿宋" w:hAnsi="仿宋" w:eastAsia="仿宋" w:cs="仿宋"/>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0"/>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tab/>
      </w:r>
      <w:r>
        <w:rPr>
          <w:rFonts w:hint="eastAsia" w:ascii="仿宋" w:hAnsi="仿宋" w:eastAsia="仿宋" w:cs="仿宋"/>
          <w:color w:val="auto"/>
          <w:sz w:val="20"/>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outlineLvl w:val="0"/>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bookmarkStart w:id="57" w:name="_Toc118927"/>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br w:type="page"/>
      </w:r>
      <w:bookmarkStart w:id="58" w:name="_Toc32263_WPSOffice_Level1"/>
      <w:r>
        <w:rPr>
          <w:rFonts w:hint="eastAsia" w:ascii="仿宋" w:hAnsi="仿宋" w:eastAsia="仿宋" w:cs="仿宋"/>
          <w:b/>
          <w:color w:val="auto"/>
          <w:sz w:val="28"/>
          <w:szCs w:val="28"/>
          <w:highlight w:val="none"/>
        </w:rPr>
        <w:t>一、</w:t>
      </w:r>
      <w:r>
        <w:rPr>
          <w:rFonts w:hint="eastAsia" w:ascii="仿宋" w:hAnsi="仿宋" w:eastAsia="仿宋" w:cs="仿宋"/>
          <w:b/>
          <w:color w:val="auto"/>
          <w:sz w:val="28"/>
          <w:szCs w:val="28"/>
          <w:highlight w:val="none"/>
          <w:lang w:val="en-US" w:eastAsia="zh-CN"/>
        </w:rPr>
        <w:t>响应</w:t>
      </w:r>
      <w:r>
        <w:rPr>
          <w:rFonts w:hint="eastAsia" w:ascii="仿宋" w:hAnsi="仿宋" w:eastAsia="仿宋" w:cs="仿宋"/>
          <w:b/>
          <w:color w:val="auto"/>
          <w:sz w:val="28"/>
          <w:szCs w:val="28"/>
          <w:highlight w:val="none"/>
        </w:rPr>
        <w:t>函</w:t>
      </w:r>
      <w:bookmarkEnd w:id="57"/>
      <w:bookmarkEnd w:id="58"/>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采购人</w:t>
      </w:r>
      <w:r>
        <w:rPr>
          <w:rFonts w:hint="eastAsia" w:ascii="仿宋" w:hAnsi="仿宋" w:eastAsia="仿宋" w:cs="仿宋"/>
          <w:color w:val="auto"/>
          <w:sz w:val="24"/>
          <w:szCs w:val="24"/>
          <w:highlight w:val="none"/>
          <w:u w:val="single"/>
        </w:rPr>
        <w:t xml:space="preserve">名称）       </w:t>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w:t>
      </w:r>
      <w:r>
        <w:rPr>
          <w:rFonts w:hint="eastAsia" w:ascii="仿宋" w:hAnsi="仿宋" w:eastAsia="仿宋" w:cs="仿宋"/>
          <w:color w:val="auto"/>
          <w:sz w:val="24"/>
          <w:szCs w:val="24"/>
          <w:highlight w:val="none"/>
        </w:rPr>
        <w:t>我方已仔细研究了</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（项目名称）                  </w:t>
      </w:r>
      <w:r>
        <w:rPr>
          <w:rFonts w:hint="eastAsia" w:ascii="仿宋" w:hAnsi="仿宋" w:eastAsia="仿宋" w:cs="仿宋"/>
          <w:color w:val="auto"/>
          <w:sz w:val="24"/>
          <w:szCs w:val="24"/>
          <w:highlight w:val="none"/>
        </w:rPr>
        <w:t>招标项目竞争性磋商的全部内容，愿意以人民币：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的投标总报价，</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日历天，按合同约定完成工作。 </w:t>
      </w: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color w:val="auto"/>
          <w:sz w:val="24"/>
          <w:szCs w:val="24"/>
          <w:highlight w:val="none"/>
        </w:rPr>
        <w:t>我方的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 xml:space="preserve">包括下列内容：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函</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、法定代表人身份证明（适用于无委托代理人的情况）</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、授权委托书（适用于有委托代理人的情况）</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）、资格审查资料</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（6）、中小企业声明函 (服务)</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（7）、其他资料</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auto"/>
          <w:kern w:val="2"/>
          <w:sz w:val="24"/>
          <w:szCs w:val="24"/>
          <w:highlight w:val="none"/>
          <w:lang w:val="en-US" w:eastAsia="zh-CN" w:bidi="ar-SA"/>
        </w:rPr>
        <w:t>附件3不参与围标串标承诺书</w:t>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现场提供给供应商二次磋商报价函进行二次报价或三次报价函进行三次报价</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outlineLvl w:val="0"/>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 xml:space="preserve">的上述组成部分如存在内容不一致的，以投标函为准。 </w:t>
      </w: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color w:val="auto"/>
          <w:sz w:val="24"/>
          <w:szCs w:val="24"/>
          <w:highlight w:val="none"/>
        </w:rPr>
        <w:t>我方承诺在竞争性磋商规定的投标有效期内不撤销</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4、</w:t>
      </w:r>
      <w:r>
        <w:rPr>
          <w:rFonts w:hint="eastAsia" w:ascii="仿宋" w:hAnsi="仿宋" w:eastAsia="仿宋" w:cs="仿宋"/>
          <w:color w:val="auto"/>
          <w:sz w:val="24"/>
          <w:szCs w:val="24"/>
          <w:highlight w:val="none"/>
        </w:rPr>
        <w:t xml:space="preserve">如我方中标，我方承诺：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（1）在收到中标通知书后，在中标通知书规定的期限内与你方签订合同；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（2）在签订合同时不向你方提出附加条件；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（3）按照竞争性磋商要求提交履约保证金；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（4）在合同约定的期限内完成合同规定的全部义务。 </w:t>
      </w: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color w:val="auto"/>
          <w:sz w:val="24"/>
          <w:szCs w:val="24"/>
          <w:highlight w:val="none"/>
        </w:rPr>
        <w:t>我方在此声明，所递交的</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及有关资料内容完整、真实和准确，且不存在第二章“</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须知”第 1.4.3 项规定的任何一种情形。 </w:t>
      </w:r>
    </w:p>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6、</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（其他补充说明）。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供应商名称：                            （盖单位章）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w:t>
      </w:r>
      <w:r>
        <w:rPr>
          <w:rFonts w:hint="eastAsia" w:ascii="仿宋" w:hAnsi="仿宋" w:eastAsia="仿宋" w:cs="仿宋"/>
          <w:color w:val="auto"/>
          <w:sz w:val="24"/>
          <w:szCs w:val="24"/>
          <w:highlight w:val="none"/>
          <w:u w:val="single"/>
        </w:rPr>
        <w:t xml:space="preserve">                                              </w:t>
      </w:r>
    </w:p>
    <w:p>
      <w:pPr>
        <w:pageBreakBefore w:val="0"/>
        <w:tabs>
          <w:tab w:val="left" w:pos="3890"/>
        </w:tabs>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color="000000"/>
        </w:rPr>
        <w:tab/>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color="000000"/>
        </w:rPr>
        <w:tab/>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 </w:t>
      </w:r>
    </w:p>
    <w:p>
      <w:pPr>
        <w:pageBreakBefore w:val="0"/>
        <w:kinsoku/>
        <w:overflowPunct/>
        <w:topLinePunct w:val="0"/>
        <w:bidi w:val="0"/>
        <w:spacing w:beforeAutospacing="0" w:after="0" w:afterAutospacing="0" w:line="240" w:lineRule="auto"/>
        <w:ind w:left="5882"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日 </w:t>
      </w:r>
    </w:p>
    <w:p>
      <w:pPr>
        <w:pageBreakBefore w:val="0"/>
        <w:kinsoku/>
        <w:overflowPunct/>
        <w:topLinePunct w:val="0"/>
        <w:bidi w:val="0"/>
        <w:spacing w:beforeAutospacing="0" w:after="0" w:afterAutospacing="0" w:line="240" w:lineRule="auto"/>
        <w:ind w:left="0" w:leftChars="0" w:right="0" w:firstLine="281" w:firstLineChars="100"/>
        <w:jc w:val="left"/>
        <w:textAlignment w:val="auto"/>
        <w:rPr>
          <w:rFonts w:hint="eastAsia" w:ascii="仿宋" w:hAnsi="仿宋" w:eastAsia="仿宋" w:cs="仿宋"/>
          <w:b/>
          <w:color w:val="auto"/>
          <w:sz w:val="24"/>
          <w:szCs w:val="24"/>
          <w:highlight w:val="none"/>
          <w:lang w:val="en-US" w:eastAsia="zh-CN"/>
        </w:rPr>
      </w:pPr>
      <w:bookmarkStart w:id="59" w:name="_Toc118930"/>
      <w:r>
        <w:rPr>
          <w:rFonts w:hint="eastAsia" w:ascii="仿宋" w:hAnsi="仿宋" w:eastAsia="仿宋" w:cs="仿宋"/>
          <w:b/>
          <w:color w:val="auto"/>
          <w:sz w:val="28"/>
          <w:szCs w:val="28"/>
          <w:highlight w:val="none"/>
        </w:rPr>
        <w:br w:type="page"/>
      </w:r>
      <w:r>
        <w:rPr>
          <w:rFonts w:hint="eastAsia" w:ascii="仿宋" w:hAnsi="仿宋" w:eastAsia="仿宋" w:cs="仿宋"/>
          <w:b/>
          <w:color w:val="auto"/>
          <w:sz w:val="24"/>
          <w:szCs w:val="24"/>
          <w:highlight w:val="none"/>
          <w:lang w:val="en-US" w:eastAsia="zh-CN"/>
        </w:rPr>
        <w:t>附件1</w:t>
      </w:r>
    </w:p>
    <w:p>
      <w:pPr>
        <w:pageBreakBefore w:val="0"/>
        <w:kinsoku/>
        <w:overflowPunct/>
        <w:topLinePunct w:val="0"/>
        <w:autoSpaceDE w:val="0"/>
        <w:autoSpaceDN w:val="0"/>
        <w:bidi w:val="0"/>
        <w:adjustRightInd w:val="0"/>
        <w:ind w:firstLine="241" w:firstLineChars="100"/>
        <w:jc w:val="center"/>
        <w:textAlignment w:val="auto"/>
        <w:rPr>
          <w:rFonts w:hint="eastAsia" w:ascii="仿宋" w:hAnsi="仿宋" w:eastAsia="仿宋" w:cs="仿宋"/>
          <w:b/>
          <w:bCs/>
          <w:color w:val="auto"/>
          <w:kern w:val="0"/>
          <w:sz w:val="24"/>
          <w:szCs w:val="24"/>
          <w:highlight w:val="none"/>
          <w:lang w:val="zh-CN"/>
        </w:rPr>
      </w:pPr>
      <w:r>
        <w:rPr>
          <w:rFonts w:hint="eastAsia" w:ascii="仿宋" w:hAnsi="仿宋" w:eastAsia="仿宋" w:cs="仿宋"/>
          <w:b/>
          <w:bCs/>
          <w:color w:val="auto"/>
          <w:kern w:val="0"/>
          <w:sz w:val="24"/>
          <w:szCs w:val="24"/>
          <w:highlight w:val="none"/>
          <w:lang w:val="zh-CN"/>
        </w:rPr>
        <w:t>报价一览表</w:t>
      </w:r>
    </w:p>
    <w:p>
      <w:pPr>
        <w:pageBreakBefore w:val="0"/>
        <w:kinsoku/>
        <w:overflowPunct/>
        <w:topLinePunct w:val="0"/>
        <w:bidi w:val="0"/>
        <w:spacing w:line="360" w:lineRule="exact"/>
        <w:ind w:firstLine="240" w:firstLineChars="100"/>
        <w:jc w:val="left"/>
        <w:textAlignment w:val="auto"/>
        <w:rPr>
          <w:rFonts w:hint="eastAsia" w:ascii="仿宋" w:hAnsi="仿宋" w:eastAsia="仿宋" w:cs="仿宋"/>
          <w:color w:val="auto"/>
          <w:sz w:val="24"/>
          <w:szCs w:val="24"/>
          <w:highlight w:val="none"/>
        </w:rPr>
      </w:pPr>
    </w:p>
    <w:p>
      <w:pPr>
        <w:pageBreakBefore w:val="0"/>
        <w:kinsoku/>
        <w:overflowPunct/>
        <w:topLinePunct w:val="0"/>
        <w:bidi w:val="0"/>
        <w:spacing w:line="36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24"/>
        <w:tblW w:w="83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0"/>
        <w:gridCol w:w="2195"/>
        <w:gridCol w:w="5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序号</w:t>
            </w:r>
          </w:p>
        </w:tc>
        <w:tc>
          <w:tcPr>
            <w:tcW w:w="2195" w:type="dxa"/>
            <w:tcBorders>
              <w:top w:val="single" w:color="000000" w:sz="2" w:space="0"/>
              <w:left w:val="single" w:color="auto" w:sz="4"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项目名称</w:t>
            </w:r>
          </w:p>
        </w:tc>
        <w:tc>
          <w:tcPr>
            <w:tcW w:w="5499" w:type="dxa"/>
            <w:tcBorders>
              <w:top w:val="single" w:color="000000" w:sz="2" w:space="0"/>
              <w:left w:val="single" w:color="auto" w:sz="4"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80" w:hRule="atLeast"/>
          <w:jc w:val="center"/>
        </w:trPr>
        <w:tc>
          <w:tcPr>
            <w:tcW w:w="670" w:type="dxa"/>
            <w:tcBorders>
              <w:top w:val="single" w:color="000000" w:sz="2" w:space="0"/>
              <w:left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2195" w:type="dxa"/>
            <w:tcBorders>
              <w:top w:val="single" w:color="000000" w:sz="2" w:space="0"/>
              <w:left w:val="single" w:color="auto" w:sz="4"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投标总价</w:t>
            </w:r>
          </w:p>
        </w:tc>
        <w:tc>
          <w:tcPr>
            <w:tcW w:w="5499" w:type="dxa"/>
            <w:tcBorders>
              <w:top w:val="single" w:color="000000" w:sz="2" w:space="0"/>
              <w:left w:val="single" w:color="auto" w:sz="4" w:space="0"/>
            </w:tcBorders>
            <w:noWrap w:val="0"/>
            <w:vAlign w:val="center"/>
          </w:tcPr>
          <w:p>
            <w:pPr>
              <w:pageBreakBefore w:val="0"/>
              <w:tabs>
                <w:tab w:val="left" w:pos="1363"/>
              </w:tabs>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zh-CN"/>
              </w:rPr>
              <w:t>小写：</w:t>
            </w:r>
            <w:r>
              <w:rPr>
                <w:rFonts w:hint="eastAsia" w:ascii="仿宋" w:hAnsi="仿宋" w:eastAsia="仿宋" w:cs="仿宋"/>
                <w:color w:val="auto"/>
                <w:kern w:val="0"/>
                <w:sz w:val="24"/>
                <w:szCs w:val="24"/>
                <w:highlight w:val="none"/>
                <w:lang w:val="en-US" w:eastAsia="zh-CN"/>
              </w:rPr>
              <w:t xml:space="preserve">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15" w:hRule="atLeast"/>
          <w:jc w:val="center"/>
        </w:trPr>
        <w:tc>
          <w:tcPr>
            <w:tcW w:w="670" w:type="dxa"/>
            <w:tcBorders>
              <w:top w:val="single" w:color="auto" w:sz="4" w:space="0"/>
              <w:left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en-US" w:eastAsia="zh-CN"/>
              </w:rPr>
              <w:t>2</w:t>
            </w:r>
          </w:p>
        </w:tc>
        <w:tc>
          <w:tcPr>
            <w:tcW w:w="2195" w:type="dxa"/>
            <w:tcBorders>
              <w:top w:val="single" w:color="auto" w:sz="4" w:space="0"/>
              <w:left w:val="single" w:color="auto" w:sz="4" w:space="0"/>
              <w:right w:val="single" w:color="auto" w:sz="4"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磋商保证金</w:t>
            </w:r>
          </w:p>
        </w:tc>
        <w:tc>
          <w:tcPr>
            <w:tcW w:w="5499" w:type="dxa"/>
            <w:tcBorders>
              <w:top w:val="single" w:color="auto" w:sz="4" w:space="0"/>
              <w:left w:val="single" w:color="auto" w:sz="4"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19" w:hRule="atLeast"/>
          <w:jc w:val="center"/>
        </w:trPr>
        <w:tc>
          <w:tcPr>
            <w:tcW w:w="670" w:type="dxa"/>
            <w:tcBorders>
              <w:left w:val="single" w:color="000000" w:sz="2" w:space="0"/>
              <w:bottom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en-US" w:eastAsia="zh-CN"/>
              </w:rPr>
              <w:t>3</w:t>
            </w:r>
          </w:p>
        </w:tc>
        <w:tc>
          <w:tcPr>
            <w:tcW w:w="2195" w:type="dxa"/>
            <w:tcBorders>
              <w:top w:val="single" w:color="auto" w:sz="4" w:space="0"/>
              <w:left w:val="single" w:color="auto" w:sz="4" w:space="0"/>
              <w:bottom w:val="single" w:color="000000" w:sz="2" w:space="0"/>
              <w:right w:val="single" w:color="auto" w:sz="4"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合同履行期限</w:t>
            </w:r>
          </w:p>
        </w:tc>
        <w:tc>
          <w:tcPr>
            <w:tcW w:w="5499" w:type="dxa"/>
            <w:tcBorders>
              <w:top w:val="single" w:color="auto" w:sz="4" w:space="0"/>
              <w:left w:val="single" w:color="auto" w:sz="4" w:space="0"/>
              <w:bottom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98" w:hRule="atLeast"/>
          <w:jc w:val="center"/>
        </w:trPr>
        <w:tc>
          <w:tcPr>
            <w:tcW w:w="670" w:type="dxa"/>
            <w:tcBorders>
              <w:top w:val="single" w:color="auto" w:sz="4" w:space="0"/>
              <w:left w:val="single" w:color="000000" w:sz="2" w:space="0"/>
              <w:bottom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eastAsia="zh-CN"/>
              </w:rPr>
            </w:pPr>
            <w:r>
              <w:rPr>
                <w:rFonts w:hint="eastAsia" w:ascii="仿宋" w:hAnsi="仿宋" w:eastAsia="仿宋" w:cs="仿宋"/>
                <w:color w:val="auto"/>
                <w:kern w:val="0"/>
                <w:sz w:val="24"/>
                <w:szCs w:val="24"/>
                <w:highlight w:val="none"/>
                <w:lang w:val="en-US" w:eastAsia="zh-CN"/>
              </w:rPr>
              <w:t>4</w:t>
            </w:r>
          </w:p>
        </w:tc>
        <w:tc>
          <w:tcPr>
            <w:tcW w:w="2195" w:type="dxa"/>
            <w:tcBorders>
              <w:top w:val="single" w:color="auto" w:sz="4" w:space="0"/>
              <w:left w:val="single" w:color="auto" w:sz="4" w:space="0"/>
              <w:bottom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响应文件有效期</w:t>
            </w:r>
          </w:p>
        </w:tc>
        <w:tc>
          <w:tcPr>
            <w:tcW w:w="5499" w:type="dxa"/>
            <w:tcBorders>
              <w:top w:val="single" w:color="auto" w:sz="4" w:space="0"/>
              <w:left w:val="single" w:color="auto" w:sz="4" w:space="0"/>
              <w:bottom w:val="single" w:color="000000" w:sz="2" w:space="0"/>
              <w:right w:val="single" w:color="000000" w:sz="2" w:space="0"/>
            </w:tcBorders>
            <w:noWrap w:val="0"/>
            <w:vAlign w:val="center"/>
          </w:tcPr>
          <w:p>
            <w:pPr>
              <w:pageBreakBefore w:val="0"/>
              <w:kinsoku/>
              <w:overflowPunct/>
              <w:topLinePunct w:val="0"/>
              <w:bidi w:val="0"/>
              <w:ind w:firstLine="240" w:firstLineChars="100"/>
              <w:jc w:val="lef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19" w:hRule="exact"/>
          <w:jc w:val="center"/>
        </w:trPr>
        <w:tc>
          <w:tcPr>
            <w:tcW w:w="8364" w:type="dxa"/>
            <w:gridSpan w:val="3"/>
            <w:tcBorders>
              <w:top w:val="single" w:color="auto" w:sz="4" w:space="0"/>
              <w:left w:val="single" w:color="000000" w:sz="2" w:space="0"/>
              <w:bottom w:val="single" w:color="000000" w:sz="2" w:space="0"/>
              <w:right w:val="single" w:color="000000" w:sz="2" w:space="0"/>
            </w:tcBorders>
            <w:noWrap w:val="0"/>
            <w:vAlign w:val="center"/>
          </w:tcPr>
          <w:p>
            <w:pPr>
              <w:pStyle w:val="15"/>
              <w:pageBreakBefore w:val="0"/>
              <w:kinsoku/>
              <w:overflowPunct/>
              <w:topLinePunct w:val="0"/>
              <w:bidi w:val="0"/>
              <w:ind w:firstLine="240" w:firstLineChars="100"/>
              <w:jc w:val="left"/>
              <w:textAlignment w:val="auto"/>
              <w:outlineLvl w:val="1"/>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备注：</w:t>
            </w:r>
          </w:p>
        </w:tc>
      </w:tr>
    </w:tbl>
    <w:p>
      <w:pPr>
        <w:pageBreakBefore w:val="0"/>
        <w:kinsoku/>
        <w:overflowPunct/>
        <w:topLinePunct w:val="0"/>
        <w:bidi w:val="0"/>
        <w:spacing w:line="36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beforeAutospacing="0" w:after="0" w:afterAutospacing="0" w:line="240" w:lineRule="auto"/>
        <w:ind w:left="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供应商法人授权代表签字：</w:t>
      </w: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left"/>
        <w:textAlignment w:val="auto"/>
        <w:rPr>
          <w:rFonts w:hint="eastAsia" w:ascii="仿宋" w:hAnsi="仿宋" w:eastAsia="仿宋" w:cs="仿宋"/>
          <w:b w:val="0"/>
          <w:bCs/>
          <w:color w:val="auto"/>
          <w:sz w:val="24"/>
          <w:szCs w:val="24"/>
          <w:highlight w:val="none"/>
          <w:lang w:val="en-US" w:eastAsia="zh-CN"/>
        </w:rPr>
      </w:pP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注;</w:t>
      </w:r>
      <w:r>
        <w:rPr>
          <w:rFonts w:hint="eastAsia" w:ascii="仿宋" w:hAnsi="仿宋" w:eastAsia="仿宋" w:cs="仿宋"/>
          <w:b w:val="0"/>
          <w:bCs/>
          <w:color w:val="auto"/>
          <w:sz w:val="24"/>
          <w:szCs w:val="24"/>
          <w:highlight w:val="none"/>
        </w:rPr>
        <w:t>在表上供应商法人授权代表签字，否则无效；</w:t>
      </w:r>
    </w:p>
    <w:p>
      <w:pPr>
        <w:keepNext w:val="0"/>
        <w:keepLines w:val="0"/>
        <w:pageBreakBefore w:val="0"/>
        <w:kinsoku/>
        <w:wordWrap/>
        <w:overflowPunct/>
        <w:topLinePunct w:val="0"/>
        <w:bidi w:val="0"/>
        <w:snapToGrid/>
        <w:spacing w:beforeAutospacing="0" w:after="0" w:afterAutospacing="0" w:line="240" w:lineRule="auto"/>
        <w:ind w:left="0" w:right="0" w:firstLine="241" w:firstLineChars="100"/>
        <w:jc w:val="left"/>
        <w:textAlignment w:val="auto"/>
        <w:rPr>
          <w:rFonts w:hint="eastAsia" w:ascii="仿宋" w:hAnsi="仿宋" w:eastAsia="仿宋" w:cs="仿宋"/>
          <w:b/>
          <w:color w:val="auto"/>
          <w:sz w:val="24"/>
          <w:szCs w:val="24"/>
          <w:highlight w:val="none"/>
        </w:rPr>
      </w:pP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left"/>
        <w:textAlignment w:val="auto"/>
        <w:rPr>
          <w:rFonts w:hint="eastAsia" w:ascii="仿宋" w:hAnsi="仿宋" w:eastAsia="仿宋" w:cs="仿宋"/>
          <w:color w:val="auto"/>
          <w:sz w:val="24"/>
          <w:szCs w:val="24"/>
          <w:highlight w:val="none"/>
        </w:rPr>
      </w:pPr>
    </w:p>
    <w:p>
      <w:pPr>
        <w:keepNext w:val="0"/>
        <w:keepLines w:val="0"/>
        <w:pageBreakBefore w:val="0"/>
        <w:kinsoku/>
        <w:wordWrap/>
        <w:overflowPunct/>
        <w:topLinePunct w:val="0"/>
        <w:bidi w:val="0"/>
        <w:snapToGrid/>
        <w:spacing w:beforeAutospacing="0" w:after="0" w:afterAutospacing="0" w:line="240" w:lineRule="auto"/>
        <w:ind w:left="0" w:right="0" w:firstLine="3840" w:firstLineChars="1600"/>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color w:val="auto"/>
          <w:sz w:val="24"/>
          <w:szCs w:val="24"/>
          <w:highlight w:val="none"/>
        </w:rPr>
        <w:t>供应商名称（加盖公章）：</w:t>
      </w:r>
    </w:p>
    <w:p>
      <w:pPr>
        <w:keepNext w:val="0"/>
        <w:keepLines w:val="0"/>
        <w:pageBreakBefore w:val="0"/>
        <w:kinsoku/>
        <w:wordWrap/>
        <w:overflowPunct/>
        <w:topLinePunct w:val="0"/>
        <w:bidi w:val="0"/>
        <w:snapToGrid/>
        <w:spacing w:beforeAutospacing="0" w:after="0" w:afterAutospacing="0" w:line="240" w:lineRule="auto"/>
        <w:ind w:left="0" w:right="0" w:firstLine="3840" w:firstLineChars="1600"/>
        <w:jc w:val="left"/>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法定代表人或授权代表人（签字</w:t>
      </w:r>
      <w:r>
        <w:rPr>
          <w:rFonts w:hint="eastAsia" w:ascii="仿宋" w:hAnsi="仿宋" w:eastAsia="仿宋" w:cs="仿宋"/>
          <w:b w:val="0"/>
          <w:bCs/>
          <w:color w:val="auto"/>
          <w:sz w:val="24"/>
          <w:szCs w:val="24"/>
          <w:highlight w:val="none"/>
          <w:lang w:val="en-US" w:eastAsia="zh-CN"/>
        </w:rPr>
        <w:t>或</w:t>
      </w:r>
      <w:r>
        <w:rPr>
          <w:rFonts w:hint="eastAsia" w:ascii="仿宋" w:hAnsi="仿宋" w:eastAsia="仿宋" w:cs="仿宋"/>
          <w:b w:val="0"/>
          <w:bCs/>
          <w:color w:val="auto"/>
          <w:sz w:val="24"/>
          <w:szCs w:val="24"/>
          <w:highlight w:val="none"/>
        </w:rPr>
        <w:t>盖章）：</w:t>
      </w: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firstLine="240" w:firstLineChars="100"/>
        <w:jc w:val="left"/>
        <w:textAlignment w:val="auto"/>
        <w:rPr>
          <w:rFonts w:hint="eastAsia" w:ascii="仿宋" w:hAnsi="仿宋" w:eastAsia="仿宋" w:cs="仿宋"/>
          <w:b/>
          <w:bCs/>
          <w:color w:val="auto"/>
          <w:kern w:val="0"/>
          <w:sz w:val="24"/>
          <w:szCs w:val="24"/>
          <w:highlight w:val="none"/>
          <w:lang w:val="zh-CN"/>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val="0"/>
          <w:bCs/>
          <w:color w:val="auto"/>
          <w:sz w:val="24"/>
          <w:szCs w:val="24"/>
          <w:highlight w:val="none"/>
          <w:lang w:val="zh-CN" w:eastAsia="zh-CN" w:bidi="zh-CN"/>
        </w:rPr>
        <w:t>年</w:t>
      </w:r>
      <w:r>
        <w:rPr>
          <w:rFonts w:hint="eastAsia" w:ascii="仿宋" w:hAnsi="仿宋" w:eastAsia="仿宋" w:cs="仿宋"/>
          <w:b w:val="0"/>
          <w:bCs/>
          <w:color w:val="auto"/>
          <w:sz w:val="24"/>
          <w:szCs w:val="24"/>
          <w:highlight w:val="none"/>
          <w:lang w:val="zh-CN" w:eastAsia="zh-CN" w:bidi="zh-CN"/>
        </w:rPr>
        <w:tab/>
      </w:r>
      <w:r>
        <w:rPr>
          <w:rFonts w:hint="eastAsia" w:ascii="仿宋" w:hAnsi="仿宋" w:eastAsia="仿宋" w:cs="仿宋"/>
          <w:b w:val="0"/>
          <w:bCs/>
          <w:color w:val="auto"/>
          <w:sz w:val="24"/>
          <w:szCs w:val="24"/>
          <w:highlight w:val="none"/>
          <w:lang w:val="zh-CN" w:eastAsia="zh-CN" w:bidi="zh-CN"/>
        </w:rPr>
        <w:t>月</w:t>
      </w:r>
      <w:r>
        <w:rPr>
          <w:rFonts w:hint="eastAsia" w:ascii="仿宋" w:hAnsi="仿宋" w:eastAsia="仿宋" w:cs="仿宋"/>
          <w:b w:val="0"/>
          <w:bCs/>
          <w:color w:val="auto"/>
          <w:sz w:val="24"/>
          <w:szCs w:val="24"/>
          <w:highlight w:val="none"/>
          <w:lang w:val="zh-CN" w:eastAsia="zh-CN" w:bidi="zh-CN"/>
        </w:rPr>
        <w:tab/>
      </w:r>
      <w:r>
        <w:rPr>
          <w:rFonts w:hint="eastAsia" w:ascii="仿宋" w:hAnsi="仿宋" w:eastAsia="仿宋" w:cs="仿宋"/>
          <w:b w:val="0"/>
          <w:bCs/>
          <w:color w:val="auto"/>
          <w:sz w:val="24"/>
          <w:szCs w:val="24"/>
          <w:highlight w:val="none"/>
          <w:lang w:val="zh-CN" w:eastAsia="zh-CN" w:bidi="zh-CN"/>
        </w:rPr>
        <w:t xml:space="preserve">日 </w:t>
      </w:r>
    </w:p>
    <w:p>
      <w:pPr>
        <w:keepNext w:val="0"/>
        <w:keepLines w:val="0"/>
        <w:pageBreakBefore w:val="0"/>
        <w:kinsoku/>
        <w:wordWrap/>
        <w:overflowPunct/>
        <w:topLinePunct w:val="0"/>
        <w:bidi w:val="0"/>
        <w:snapToGrid/>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bookmarkStart w:id="60" w:name="_Toc25093_WPSOffice_Level1"/>
      <w:r>
        <w:rPr>
          <w:rFonts w:hint="eastAsia" w:ascii="仿宋" w:hAnsi="仿宋" w:eastAsia="仿宋" w:cs="仿宋"/>
          <w:b/>
          <w:color w:val="auto"/>
          <w:sz w:val="28"/>
          <w:szCs w:val="28"/>
          <w:highlight w:val="none"/>
        </w:rPr>
        <w:t>二、法定代表人身份证明</w:t>
      </w:r>
      <w:bookmarkEnd w:id="59"/>
      <w:bookmarkEnd w:id="60"/>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供应商名称：</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rPr>
        <w:tab/>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单位性质：</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 w:val="22"/>
          <w:szCs w:val="22"/>
          <w:highlight w:val="none"/>
          <w:lang w:val="en-US" w:eastAsia="zh-CN"/>
        </w:rPr>
        <w:t>地    址：</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成立时间：</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 xml:space="preserve">月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lang w:val="en-US" w:eastAsia="zh-CN"/>
        </w:rPr>
        <w:t>日</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 w:val="22"/>
          <w:szCs w:val="22"/>
          <w:highlight w:val="none"/>
          <w:lang w:val="en-US" w:eastAsia="zh-CN"/>
        </w:rPr>
        <w:t>经营期限：</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 w:val="22"/>
          <w:szCs w:val="22"/>
          <w:highlight w:val="none"/>
          <w:lang w:val="en-US" w:eastAsia="zh-CN"/>
        </w:rPr>
        <w:t>姓</w:t>
      </w:r>
      <w:r>
        <w:rPr>
          <w:rFonts w:hint="eastAsia" w:ascii="仿宋" w:hAnsi="仿宋" w:eastAsia="仿宋" w:cs="仿宋"/>
          <w:color w:val="auto"/>
          <w:sz w:val="22"/>
          <w:szCs w:val="22"/>
          <w:highlight w:val="none"/>
          <w:lang w:val="en-US" w:eastAsia="zh-CN"/>
        </w:rPr>
        <w:tab/>
      </w:r>
      <w:r>
        <w:rPr>
          <w:rFonts w:hint="eastAsia" w:ascii="仿宋" w:hAnsi="仿宋" w:eastAsia="仿宋" w:cs="仿宋"/>
          <w:color w:val="auto"/>
          <w:sz w:val="22"/>
          <w:szCs w:val="22"/>
          <w:highlight w:val="none"/>
          <w:lang w:val="en-US" w:eastAsia="zh-CN"/>
        </w:rPr>
        <w:t>名：</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 xml:space="preserve">    性别</w:t>
      </w: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u w:val="single"/>
          <w:lang w:val="en-US" w:eastAsia="zh-CN"/>
        </w:rPr>
      </w:pPr>
      <w:r>
        <w:rPr>
          <w:rFonts w:hint="eastAsia" w:ascii="仿宋" w:hAnsi="仿宋" w:eastAsia="仿宋" w:cs="仿宋"/>
          <w:color w:val="auto"/>
          <w:sz w:val="22"/>
          <w:szCs w:val="22"/>
          <w:highlight w:val="none"/>
          <w:lang w:val="en-US" w:eastAsia="zh-CN"/>
        </w:rPr>
        <w:t>年</w:t>
      </w:r>
      <w:r>
        <w:rPr>
          <w:rFonts w:hint="eastAsia" w:ascii="仿宋" w:hAnsi="仿宋" w:eastAsia="仿宋" w:cs="仿宋"/>
          <w:color w:val="auto"/>
          <w:sz w:val="22"/>
          <w:szCs w:val="22"/>
          <w:highlight w:val="none"/>
          <w:lang w:val="en-US" w:eastAsia="zh-CN"/>
        </w:rPr>
        <w:tab/>
      </w:r>
      <w:r>
        <w:rPr>
          <w:rFonts w:hint="eastAsia" w:ascii="仿宋" w:hAnsi="仿宋" w:eastAsia="仿宋" w:cs="仿宋"/>
          <w:color w:val="auto"/>
          <w:sz w:val="22"/>
          <w:szCs w:val="22"/>
          <w:highlight w:val="none"/>
          <w:lang w:val="en-US" w:eastAsia="zh-CN"/>
        </w:rPr>
        <w:t>龄：</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lang w:val="en-US" w:eastAsia="zh-CN"/>
        </w:rPr>
        <w:t>职务：</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u w:val="single"/>
          <w:lang w:val="en-US" w:eastAsia="zh-CN"/>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系</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ab/>
      </w:r>
      <w:r>
        <w:rPr>
          <w:rFonts w:hint="eastAsia" w:ascii="仿宋" w:hAnsi="仿宋" w:eastAsia="仿宋" w:cs="仿宋"/>
          <w:color w:val="auto"/>
          <w:sz w:val="22"/>
          <w:szCs w:val="22"/>
          <w:highlight w:val="none"/>
          <w:u w:val="single"/>
          <w:lang w:val="en-US" w:eastAsia="zh-CN"/>
        </w:rPr>
        <w:t>（供应商名称）</w:t>
      </w:r>
      <w:r>
        <w:rPr>
          <w:rFonts w:hint="eastAsia" w:ascii="仿宋" w:hAnsi="仿宋" w:eastAsia="仿宋" w:cs="仿宋"/>
          <w:color w:val="auto"/>
          <w:sz w:val="22"/>
          <w:szCs w:val="22"/>
          <w:highlight w:val="none"/>
          <w:lang w:val="en-US" w:eastAsia="zh-CN"/>
        </w:rPr>
        <w:t>的法定代表人。</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特此证明。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附：法定代表人身份证复印件。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rPr>
      </w:pP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ab/>
      </w:r>
      <w:r>
        <w:rPr>
          <w:rFonts w:hint="eastAsia" w:ascii="仿宋" w:hAnsi="仿宋" w:eastAsia="仿宋" w:cs="仿宋"/>
          <w:color w:val="auto"/>
          <w:sz w:val="22"/>
          <w:szCs w:val="22"/>
          <w:highlight w:val="none"/>
        </w:rPr>
        <w:t xml:space="preserve">                               </w:t>
      </w:r>
      <w:bookmarkStart w:id="61" w:name="_Hlk506970376"/>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 xml:space="preserve">（盖单位章）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right"/>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bookmarkEnd w:id="61"/>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rPr>
      </w:pP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rPr>
      </w:pP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2"/>
          <w:szCs w:val="22"/>
          <w:highlight w:val="none"/>
        </w:rPr>
      </w:pP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2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2"/>
          <w:szCs w:val="22"/>
          <w:highlight w:val="none"/>
        </w:rPr>
        <w:t>注：本身份证明需由</w:t>
      </w:r>
      <w:r>
        <w:rPr>
          <w:rFonts w:hint="eastAsia" w:ascii="仿宋" w:hAnsi="仿宋" w:eastAsia="仿宋" w:cs="仿宋"/>
          <w:color w:val="auto"/>
          <w:sz w:val="22"/>
          <w:szCs w:val="22"/>
          <w:highlight w:val="none"/>
          <w:lang w:eastAsia="zh-CN"/>
        </w:rPr>
        <w:t>供应商</w:t>
      </w:r>
      <w:r>
        <w:rPr>
          <w:rFonts w:hint="eastAsia" w:ascii="仿宋" w:hAnsi="仿宋" w:eastAsia="仿宋" w:cs="仿宋"/>
          <w:color w:val="auto"/>
          <w:sz w:val="22"/>
          <w:szCs w:val="22"/>
          <w:highlight w:val="none"/>
        </w:rPr>
        <w:t xml:space="preserve">加盖单位公章。 </w:t>
      </w:r>
      <w:bookmarkStart w:id="62" w:name="_Hlk506970591"/>
      <w:r>
        <w:rPr>
          <w:rFonts w:hint="eastAsia" w:ascii="仿宋" w:hAnsi="仿宋" w:eastAsia="仿宋" w:cs="仿宋"/>
          <w:color w:val="auto"/>
          <w:sz w:val="22"/>
          <w:szCs w:val="22"/>
          <w:highlight w:val="none"/>
        </w:rPr>
        <w:t>本格式适用于法定代表人参加开标会议。</w:t>
      </w:r>
      <w:bookmarkEnd w:id="62"/>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bookmarkStart w:id="63" w:name="_Toc118931"/>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bookmarkStart w:id="64" w:name="_Toc21546_WPSOffice_Level1"/>
      <w:r>
        <w:rPr>
          <w:rFonts w:hint="eastAsia" w:ascii="仿宋" w:hAnsi="仿宋" w:eastAsia="仿宋" w:cs="仿宋"/>
          <w:b/>
          <w:color w:val="auto"/>
          <w:sz w:val="28"/>
          <w:szCs w:val="28"/>
          <w:highlight w:val="none"/>
        </w:rPr>
        <w:t>三、授权委托书</w:t>
      </w:r>
      <w:bookmarkEnd w:id="63"/>
      <w:bookmarkEnd w:id="64"/>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1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1"/>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eastAsia="zh-CN"/>
        </w:rPr>
        <w:t>供应商</w:t>
      </w:r>
      <w:r>
        <w:rPr>
          <w:rFonts w:hint="eastAsia" w:ascii="仿宋" w:hAnsi="仿宋" w:eastAsia="仿宋" w:cs="仿宋"/>
          <w:color w:val="auto"/>
          <w:sz w:val="24"/>
          <w:szCs w:val="24"/>
          <w:highlight w:val="none"/>
          <w:u w:val="single"/>
        </w:rPr>
        <w:t xml:space="preserve">名称）        </w:t>
      </w:r>
      <w:r>
        <w:rPr>
          <w:rFonts w:hint="eastAsia" w:ascii="仿宋" w:hAnsi="仿宋" w:eastAsia="仿宋" w:cs="仿宋"/>
          <w:color w:val="auto"/>
          <w:sz w:val="24"/>
          <w:szCs w:val="24"/>
          <w:highlight w:val="none"/>
        </w:rPr>
        <w:t>的法定代表人，现委托</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为我方代理人。代理人根据授权，以我方名义签署、澄清确认、递交、撤回、修改招标项目</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 xml:space="preserve">、签订合同和处理有关事宜，其法律后果由我方承担。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w:t>
      </w:r>
      <w:r>
        <w:rPr>
          <w:rFonts w:hint="eastAsia" w:ascii="仿宋" w:hAnsi="仿宋" w:eastAsia="仿宋" w:cs="仿宋"/>
          <w:color w:val="auto"/>
          <w:sz w:val="24"/>
          <w:szCs w:val="24"/>
          <w:highlight w:val="none"/>
          <w:u w:val="single" w:color="000000"/>
        </w:rPr>
        <w:t xml:space="preserve">                       </w:t>
      </w: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代理人无转委托权。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附：法定代表人身份证复印件及委托代理人身份证复印件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（盖单位章）</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val="en-US" w:eastAsia="zh-CN"/>
        </w:rPr>
        <w:t>或盖章</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u w:val="single"/>
        </w:rPr>
      </w:pPr>
      <w:bookmarkStart w:id="65" w:name="_Hlk506970519"/>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bookmarkEnd w:id="65"/>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p>
    <w:p>
      <w:pPr>
        <w:keepNext w:val="0"/>
        <w:keepLines w:val="0"/>
        <w:pageBreakBefore w:val="0"/>
        <w:widowControl/>
        <w:kinsoku/>
        <w:wordWrap/>
        <w:overflowPunct/>
        <w:topLinePunct w:val="0"/>
        <w:autoSpaceDE w:val="0"/>
        <w:autoSpaceDN w:val="0"/>
        <w:bidi w:val="0"/>
        <w:adjustRightInd w:val="0"/>
        <w:snapToGrid w:val="0"/>
        <w:spacing w:beforeAutospacing="0" w:after="0" w:afterAutospacing="0" w:line="400" w:lineRule="exact"/>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注：本授权委托书需由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加盖单位公章并由其法定代表人和委托代理人签字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 本格式适用于委托代理人参加开标会议。</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81" w:firstLineChars="100"/>
        <w:jc w:val="left"/>
        <w:textAlignment w:val="auto"/>
        <w:rPr>
          <w:rFonts w:hint="eastAsia" w:ascii="仿宋" w:hAnsi="仿宋" w:eastAsia="仿宋" w:cs="仿宋"/>
          <w:b/>
          <w:color w:val="auto"/>
          <w:sz w:val="28"/>
          <w:szCs w:val="28"/>
          <w:highlight w:val="none"/>
        </w:rPr>
      </w:pPr>
      <w:bookmarkStart w:id="66" w:name="_Toc118933"/>
    </w:p>
    <w:p>
      <w:pPr>
        <w:pageBreakBefore w:val="0"/>
        <w:kinsoku/>
        <w:overflowPunct/>
        <w:topLinePunct w:val="0"/>
        <w:bidi w:val="0"/>
        <w:spacing w:beforeAutospacing="0" w:after="0" w:afterAutospacing="0" w:line="240" w:lineRule="auto"/>
        <w:ind w:left="0" w:leftChars="0" w:right="0" w:firstLine="281" w:firstLineChars="100"/>
        <w:jc w:val="left"/>
        <w:textAlignment w:val="auto"/>
        <w:rPr>
          <w:rFonts w:hint="eastAsia" w:ascii="仿宋" w:hAnsi="仿宋" w:eastAsia="仿宋" w:cs="仿宋"/>
          <w:b/>
          <w:color w:val="auto"/>
          <w:sz w:val="28"/>
          <w:szCs w:val="28"/>
          <w:highlight w:val="none"/>
        </w:rPr>
      </w:pPr>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bookmarkStart w:id="67" w:name="_Toc20371_WPSOffice_Level1"/>
      <w:r>
        <w:rPr>
          <w:rFonts w:hint="eastAsia" w:ascii="仿宋" w:hAnsi="仿宋" w:eastAsia="仿宋" w:cs="仿宋"/>
          <w:b/>
          <w:color w:val="auto"/>
          <w:sz w:val="28"/>
          <w:szCs w:val="28"/>
          <w:highlight w:val="none"/>
        </w:rPr>
        <w:t>四、投标保证金</w:t>
      </w:r>
      <w:bookmarkEnd w:id="66"/>
      <w:bookmarkEnd w:id="67"/>
    </w:p>
    <w:p>
      <w:pPr>
        <w:pageBreakBefore w:val="0"/>
        <w:kinsoku/>
        <w:overflowPunct/>
        <w:topLinePunct w:val="0"/>
        <w:bidi w:val="0"/>
        <w:spacing w:beforeAutospacing="0" w:after="0" w:afterAutospacing="0" w:line="240" w:lineRule="auto"/>
        <w:ind w:left="0" w:leftChars="0" w:right="0" w:firstLine="281" w:firstLineChars="100"/>
        <w:jc w:val="center"/>
        <w:textAlignment w:val="auto"/>
        <w:rPr>
          <w:rFonts w:hint="eastAsia" w:ascii="仿宋" w:hAnsi="仿宋" w:eastAsia="仿宋" w:cs="仿宋"/>
          <w:b/>
          <w:color w:val="auto"/>
          <w:sz w:val="28"/>
          <w:szCs w:val="28"/>
          <w:highlight w:val="none"/>
        </w:rPr>
      </w:pPr>
    </w:p>
    <w:p>
      <w:pPr>
        <w:pageBreakBefore w:val="0"/>
        <w:kinsoku/>
        <w:overflowPunct/>
        <w:topLinePunct w:val="0"/>
        <w:bidi w:val="0"/>
        <w:spacing w:beforeAutospacing="0" w:after="0" w:afterAutospacing="0" w:line="240" w:lineRule="auto"/>
        <w:ind w:left="0" w:leftChars="0" w:right="0" w:firstLine="240" w:firstLineChars="100"/>
        <w:jc w:val="center"/>
        <w:textAlignment w:val="auto"/>
        <w:rPr>
          <w:rFonts w:hint="eastAsia" w:ascii="仿宋" w:hAnsi="仿宋" w:eastAsia="仿宋" w:cs="仿宋"/>
          <w:color w:val="auto"/>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应在此提供汇款凭证的复印件。</w:t>
      </w: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color w:val="auto"/>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bookmarkStart w:id="68" w:name="_Toc118934"/>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bookmarkEnd w:id="68"/>
    <w:p>
      <w:pPr>
        <w:pStyle w:val="14"/>
        <w:pageBreakBefore w:val="0"/>
        <w:kinsoku/>
        <w:overflowPunct/>
        <w:topLinePunct w:val="0"/>
        <w:bidi w:val="0"/>
        <w:ind w:firstLine="281" w:firstLineChars="100"/>
        <w:jc w:val="center"/>
        <w:textAlignment w:val="auto"/>
        <w:rPr>
          <w:rFonts w:hint="eastAsia" w:ascii="仿宋" w:hAnsi="仿宋" w:eastAsia="仿宋" w:cs="仿宋"/>
          <w:b/>
          <w:color w:val="auto"/>
          <w:sz w:val="28"/>
          <w:szCs w:val="28"/>
          <w:highlight w:val="none"/>
        </w:rPr>
      </w:pPr>
      <w:bookmarkStart w:id="69" w:name="_Toc118935"/>
      <w:r>
        <w:rPr>
          <w:rFonts w:hint="eastAsia" w:ascii="仿宋" w:hAnsi="仿宋" w:eastAsia="仿宋" w:cs="仿宋"/>
          <w:b/>
          <w:color w:val="auto"/>
          <w:sz w:val="28"/>
          <w:szCs w:val="28"/>
          <w:highlight w:val="none"/>
          <w:lang w:val="en-US" w:eastAsia="zh-CN"/>
        </w:rPr>
        <w:br w:type="page"/>
      </w:r>
      <w:bookmarkStart w:id="70" w:name="_Toc9023_WPSOffice_Level1"/>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、资格审查资料</w:t>
      </w:r>
      <w:bookmarkEnd w:id="69"/>
      <w:bookmarkEnd w:id="70"/>
    </w:p>
    <w:p>
      <w:pPr>
        <w:pageBreakBefore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sz w:val="24"/>
          <w:szCs w:val="24"/>
          <w:highlight w:val="none"/>
        </w:rPr>
      </w:pPr>
      <w:bookmarkStart w:id="71" w:name="_Toc118936"/>
      <w:r>
        <w:rPr>
          <w:rFonts w:hint="eastAsia" w:ascii="仿宋" w:hAnsi="仿宋" w:eastAsia="仿宋" w:cs="仿宋"/>
          <w:b/>
          <w:color w:val="auto"/>
          <w:sz w:val="24"/>
          <w:szCs w:val="24"/>
          <w:highlight w:val="none"/>
        </w:rPr>
        <w:t>（一）基本情况表</w:t>
      </w:r>
      <w:bookmarkEnd w:id="71"/>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bl>
      <w:tblPr>
        <w:tblStyle w:val="24"/>
        <w:tblW w:w="9320" w:type="dxa"/>
        <w:jc w:val="center"/>
        <w:tblInd w:w="0" w:type="dxa"/>
        <w:tblLayout w:type="fixed"/>
        <w:tblCellMar>
          <w:top w:w="0" w:type="dxa"/>
          <w:left w:w="108" w:type="dxa"/>
          <w:bottom w:w="46" w:type="dxa"/>
          <w:right w:w="43" w:type="dxa"/>
        </w:tblCellMar>
      </w:tblPr>
      <w:tblGrid>
        <w:gridCol w:w="1866"/>
        <w:gridCol w:w="1005"/>
        <w:gridCol w:w="1052"/>
        <w:gridCol w:w="1247"/>
        <w:gridCol w:w="1314"/>
        <w:gridCol w:w="1123"/>
        <w:gridCol w:w="1713"/>
      </w:tblGrid>
      <w:tr>
        <w:tblPrEx>
          <w:tblLayout w:type="fixed"/>
          <w:tblCellMar>
            <w:top w:w="0" w:type="dxa"/>
            <w:left w:w="108" w:type="dxa"/>
            <w:bottom w:w="46" w:type="dxa"/>
            <w:right w:w="43" w:type="dxa"/>
          </w:tblCellMar>
        </w:tblPrEx>
        <w:trPr>
          <w:trHeight w:val="574" w:hRule="atLeast"/>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名称</w:t>
            </w:r>
          </w:p>
        </w:tc>
        <w:tc>
          <w:tcPr>
            <w:tcW w:w="7454"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0" w:type="dxa"/>
            <w:left w:w="108" w:type="dxa"/>
            <w:bottom w:w="46" w:type="dxa"/>
            <w:right w:w="43" w:type="dxa"/>
          </w:tblCellMar>
        </w:tblPrEx>
        <w:trPr>
          <w:trHeight w:val="573" w:hRule="atLeast"/>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注册地址</w:t>
            </w:r>
          </w:p>
        </w:tc>
        <w:tc>
          <w:tcPr>
            <w:tcW w:w="3304" w:type="dxa"/>
            <w:gridSpan w:val="3"/>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tc>
        <w:tc>
          <w:tcPr>
            <w:tcW w:w="283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0" w:type="dxa"/>
            <w:left w:w="108" w:type="dxa"/>
            <w:bottom w:w="46" w:type="dxa"/>
            <w:right w:w="43" w:type="dxa"/>
          </w:tblCellMar>
        </w:tblPrEx>
        <w:trPr>
          <w:trHeight w:val="574" w:hRule="atLeast"/>
          <w:jc w:val="center"/>
        </w:trPr>
        <w:tc>
          <w:tcPr>
            <w:tcW w:w="1866" w:type="dxa"/>
            <w:vMerge w:val="restart"/>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联系人</w:t>
            </w:r>
          </w:p>
        </w:tc>
        <w:tc>
          <w:tcPr>
            <w:tcW w:w="2299"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 话</w:t>
            </w:r>
          </w:p>
        </w:tc>
        <w:tc>
          <w:tcPr>
            <w:tcW w:w="283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0" w:type="dxa"/>
            <w:left w:w="108" w:type="dxa"/>
            <w:bottom w:w="46" w:type="dxa"/>
            <w:right w:w="43" w:type="dxa"/>
          </w:tblCellMar>
        </w:tblPrEx>
        <w:trPr>
          <w:trHeight w:val="573" w:hRule="atLeast"/>
          <w:jc w:val="center"/>
        </w:trPr>
        <w:tc>
          <w:tcPr>
            <w:tcW w:w="1866" w:type="dxa"/>
            <w:vMerge w:val="continue"/>
            <w:tcBorders>
              <w:top w:val="nil"/>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  真</w:t>
            </w:r>
          </w:p>
        </w:tc>
        <w:tc>
          <w:tcPr>
            <w:tcW w:w="2299"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网 址</w:t>
            </w:r>
          </w:p>
        </w:tc>
        <w:tc>
          <w:tcPr>
            <w:tcW w:w="2836"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0" w:type="dxa"/>
            <w:left w:w="108" w:type="dxa"/>
            <w:bottom w:w="46" w:type="dxa"/>
            <w:right w:w="43" w:type="dxa"/>
          </w:tblCellMar>
        </w:tblPrEx>
        <w:trPr>
          <w:trHeight w:val="574" w:hRule="atLeast"/>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0" w:type="dxa"/>
            <w:left w:w="108" w:type="dxa"/>
            <w:bottom w:w="46" w:type="dxa"/>
            <w:right w:w="43" w:type="dxa"/>
          </w:tblCellMar>
        </w:tblPrEx>
        <w:trPr>
          <w:trHeight w:val="573" w:hRule="atLeast"/>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技术负责人</w:t>
            </w:r>
          </w:p>
        </w:tc>
        <w:tc>
          <w:tcPr>
            <w:tcW w:w="10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05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技术职称</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c>
          <w:tcPr>
            <w:tcW w:w="112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0" w:type="dxa"/>
            <w:left w:w="108" w:type="dxa"/>
            <w:bottom w:w="46" w:type="dxa"/>
            <w:right w:w="43" w:type="dxa"/>
          </w:tblCellMar>
        </w:tblPrEx>
        <w:trPr>
          <w:trHeight w:val="1849" w:hRule="atLeast"/>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经营范围</w:t>
            </w:r>
          </w:p>
        </w:tc>
        <w:tc>
          <w:tcPr>
            <w:tcW w:w="7454"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0" w:type="dxa"/>
            <w:left w:w="108" w:type="dxa"/>
            <w:bottom w:w="46" w:type="dxa"/>
            <w:right w:w="43" w:type="dxa"/>
          </w:tblCellMar>
        </w:tblPrEx>
        <w:trPr>
          <w:trHeight w:val="1777" w:hRule="atLeast"/>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关联企业情况（包括但不限于与</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法定代表人为同一人或者存在控股、管理关系的不同单位）</w:t>
            </w:r>
          </w:p>
        </w:tc>
        <w:tc>
          <w:tcPr>
            <w:tcW w:w="7454"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0" w:type="dxa"/>
            <w:left w:w="108" w:type="dxa"/>
            <w:bottom w:w="46" w:type="dxa"/>
            <w:right w:w="43" w:type="dxa"/>
          </w:tblCellMar>
        </w:tblPrEx>
        <w:trPr>
          <w:trHeight w:val="602" w:hRule="atLeast"/>
          <w:jc w:val="center"/>
        </w:trPr>
        <w:tc>
          <w:tcPr>
            <w:tcW w:w="186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7454" w:type="dxa"/>
            <w:gridSpan w:val="6"/>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bl>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highlight w:val="none"/>
        </w:rPr>
      </w:pP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0"/>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应根据</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须知第 3.5.1 项的要求在本表后附相关证明材料。</w:t>
      </w: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tab/>
      </w:r>
      <w:r>
        <w:rPr>
          <w:rFonts w:hint="eastAsia" w:ascii="仿宋" w:hAnsi="仿宋" w:eastAsia="仿宋" w:cs="仿宋"/>
          <w:color w:val="auto"/>
          <w:sz w:val="20"/>
          <w:highlight w:val="none"/>
        </w:rPr>
        <w:t xml:space="preserve"> </w:t>
      </w:r>
      <w:bookmarkStart w:id="72" w:name="_Toc118938"/>
    </w:p>
    <w:p>
      <w:pPr>
        <w:pageBreakBefore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（二）近年完成的类似项目情况表</w:t>
      </w:r>
      <w:bookmarkEnd w:id="72"/>
    </w:p>
    <w:tbl>
      <w:tblPr>
        <w:tblStyle w:val="24"/>
        <w:tblW w:w="8860" w:type="dxa"/>
        <w:tblInd w:w="-147" w:type="dxa"/>
        <w:tblLayout w:type="fixed"/>
        <w:tblCellMar>
          <w:top w:w="169" w:type="dxa"/>
          <w:left w:w="108" w:type="dxa"/>
          <w:bottom w:w="48" w:type="dxa"/>
          <w:right w:w="115" w:type="dxa"/>
        </w:tblCellMar>
      </w:tblPr>
      <w:tblGrid>
        <w:gridCol w:w="1622"/>
        <w:gridCol w:w="7238"/>
      </w:tblGrid>
      <w:tr>
        <w:tblPrEx>
          <w:tblLayout w:type="fixed"/>
          <w:tblCellMar>
            <w:top w:w="169" w:type="dxa"/>
            <w:left w:w="108" w:type="dxa"/>
            <w:bottom w:w="48" w:type="dxa"/>
            <w:right w:w="115" w:type="dxa"/>
          </w:tblCellMar>
        </w:tblPrEx>
        <w:trPr>
          <w:trHeight w:val="563"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72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169" w:type="dxa"/>
            <w:left w:w="108" w:type="dxa"/>
            <w:bottom w:w="48" w:type="dxa"/>
            <w:right w:w="115" w:type="dxa"/>
          </w:tblCellMar>
        </w:tblPrEx>
        <w:trPr>
          <w:trHeight w:val="563"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项目所在地</w:t>
            </w:r>
          </w:p>
        </w:tc>
        <w:tc>
          <w:tcPr>
            <w:tcW w:w="72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169" w:type="dxa"/>
            <w:left w:w="108" w:type="dxa"/>
            <w:bottom w:w="48" w:type="dxa"/>
            <w:right w:w="115" w:type="dxa"/>
          </w:tblCellMar>
        </w:tblPrEx>
        <w:trPr>
          <w:trHeight w:val="563"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发包人名称</w:t>
            </w:r>
          </w:p>
        </w:tc>
        <w:tc>
          <w:tcPr>
            <w:tcW w:w="72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169" w:type="dxa"/>
            <w:left w:w="108" w:type="dxa"/>
            <w:bottom w:w="48" w:type="dxa"/>
            <w:right w:w="115" w:type="dxa"/>
          </w:tblCellMar>
        </w:tblPrEx>
        <w:trPr>
          <w:trHeight w:val="563"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发包人地址</w:t>
            </w:r>
          </w:p>
        </w:tc>
        <w:tc>
          <w:tcPr>
            <w:tcW w:w="72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169" w:type="dxa"/>
            <w:left w:w="108" w:type="dxa"/>
            <w:bottom w:w="48" w:type="dxa"/>
            <w:right w:w="115" w:type="dxa"/>
          </w:tblCellMar>
        </w:tblPrEx>
        <w:trPr>
          <w:trHeight w:val="563"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发包人电话</w:t>
            </w:r>
          </w:p>
        </w:tc>
        <w:tc>
          <w:tcPr>
            <w:tcW w:w="72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169" w:type="dxa"/>
            <w:left w:w="108" w:type="dxa"/>
            <w:bottom w:w="48" w:type="dxa"/>
            <w:right w:w="115" w:type="dxa"/>
          </w:tblCellMar>
        </w:tblPrEx>
        <w:trPr>
          <w:trHeight w:val="563"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合同价格</w:t>
            </w:r>
          </w:p>
        </w:tc>
        <w:tc>
          <w:tcPr>
            <w:tcW w:w="72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169" w:type="dxa"/>
            <w:left w:w="108" w:type="dxa"/>
            <w:bottom w:w="48" w:type="dxa"/>
            <w:right w:w="115" w:type="dxa"/>
          </w:tblCellMar>
        </w:tblPrEx>
        <w:trPr>
          <w:trHeight w:val="563"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服务期限</w:t>
            </w:r>
          </w:p>
        </w:tc>
        <w:tc>
          <w:tcPr>
            <w:tcW w:w="72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169" w:type="dxa"/>
            <w:left w:w="108" w:type="dxa"/>
            <w:bottom w:w="48" w:type="dxa"/>
            <w:right w:w="115" w:type="dxa"/>
          </w:tblCellMar>
        </w:tblPrEx>
        <w:trPr>
          <w:trHeight w:val="563"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c>
          <w:tcPr>
            <w:tcW w:w="72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169" w:type="dxa"/>
            <w:left w:w="108" w:type="dxa"/>
            <w:bottom w:w="48" w:type="dxa"/>
            <w:right w:w="115" w:type="dxa"/>
          </w:tblCellMar>
        </w:tblPrEx>
        <w:trPr>
          <w:trHeight w:val="563"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项目负责人</w:t>
            </w:r>
          </w:p>
        </w:tc>
        <w:tc>
          <w:tcPr>
            <w:tcW w:w="72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169" w:type="dxa"/>
            <w:left w:w="108" w:type="dxa"/>
            <w:bottom w:w="48" w:type="dxa"/>
            <w:right w:w="115" w:type="dxa"/>
          </w:tblCellMar>
        </w:tblPrEx>
        <w:trPr>
          <w:trHeight w:val="2063"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项目描述</w:t>
            </w:r>
          </w:p>
        </w:tc>
        <w:tc>
          <w:tcPr>
            <w:tcW w:w="72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r>
        <w:tblPrEx>
          <w:tblLayout w:type="fixed"/>
          <w:tblCellMar>
            <w:top w:w="169" w:type="dxa"/>
            <w:left w:w="108" w:type="dxa"/>
            <w:bottom w:w="48" w:type="dxa"/>
            <w:right w:w="115" w:type="dxa"/>
          </w:tblCellMar>
        </w:tblPrEx>
        <w:trPr>
          <w:trHeight w:val="893" w:hRule="atLeast"/>
        </w:trPr>
        <w:tc>
          <w:tcPr>
            <w:tcW w:w="1622"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72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p>
        </w:tc>
      </w:tr>
    </w:tbl>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应根据</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 xml:space="preserve">须知第 3.5.3 项的要求在本表后附相关证明材料。 </w:t>
      </w:r>
    </w:p>
    <w:p>
      <w:pPr>
        <w:pageBreakBefore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sz w:val="24"/>
          <w:szCs w:val="24"/>
          <w:highlight w:val="none"/>
        </w:rPr>
      </w:pPr>
      <w:bookmarkStart w:id="73" w:name="_Toc118939"/>
      <w:r>
        <w:rPr>
          <w:rFonts w:hint="eastAsia" w:ascii="仿宋" w:hAnsi="仿宋" w:eastAsia="仿宋" w:cs="仿宋"/>
          <w:b/>
          <w:color w:val="auto"/>
          <w:sz w:val="24"/>
          <w:szCs w:val="24"/>
          <w:highlight w:val="none"/>
        </w:rPr>
        <w:br w:type="page"/>
      </w:r>
      <w:r>
        <w:rPr>
          <w:rFonts w:hint="eastAsia" w:ascii="仿宋" w:hAnsi="仿宋" w:eastAsia="仿宋" w:cs="仿宋"/>
          <w:b/>
          <w:color w:val="auto"/>
          <w:sz w:val="24"/>
          <w:szCs w:val="24"/>
          <w:highlight w:val="none"/>
        </w:rPr>
        <w:t>（三）正在</w:t>
      </w:r>
      <w:r>
        <w:rPr>
          <w:rFonts w:hint="eastAsia" w:ascii="仿宋" w:hAnsi="仿宋" w:eastAsia="仿宋" w:cs="仿宋"/>
          <w:b/>
          <w:color w:val="auto"/>
          <w:sz w:val="24"/>
          <w:szCs w:val="24"/>
          <w:highlight w:val="none"/>
          <w:lang w:val="en-US" w:eastAsia="zh-CN"/>
        </w:rPr>
        <w:t>服务</w:t>
      </w:r>
      <w:r>
        <w:rPr>
          <w:rFonts w:hint="eastAsia" w:ascii="仿宋" w:hAnsi="仿宋" w:eastAsia="仿宋" w:cs="仿宋"/>
          <w:b/>
          <w:color w:val="auto"/>
          <w:sz w:val="24"/>
          <w:szCs w:val="24"/>
          <w:highlight w:val="none"/>
        </w:rPr>
        <w:t>和新承接的项目情况表</w:t>
      </w:r>
      <w:bookmarkEnd w:id="73"/>
    </w:p>
    <w:tbl>
      <w:tblPr>
        <w:tblStyle w:val="24"/>
        <w:tblW w:w="8920" w:type="dxa"/>
        <w:tblInd w:w="-147" w:type="dxa"/>
        <w:tblLayout w:type="fixed"/>
        <w:tblCellMar>
          <w:top w:w="169" w:type="dxa"/>
          <w:left w:w="108" w:type="dxa"/>
          <w:bottom w:w="48" w:type="dxa"/>
          <w:right w:w="115" w:type="dxa"/>
        </w:tblCellMar>
      </w:tblPr>
      <w:tblGrid>
        <w:gridCol w:w="2195"/>
        <w:gridCol w:w="6725"/>
      </w:tblGrid>
      <w:tr>
        <w:tblPrEx>
          <w:tblLayout w:type="fixed"/>
          <w:tblCellMar>
            <w:top w:w="169" w:type="dxa"/>
            <w:left w:w="108" w:type="dxa"/>
            <w:bottom w:w="48" w:type="dxa"/>
            <w:right w:w="115" w:type="dxa"/>
          </w:tblCellMar>
        </w:tblPrEx>
        <w:trPr>
          <w:trHeight w:val="551" w:hRule="atLeast"/>
        </w:trPr>
        <w:tc>
          <w:tcPr>
            <w:tcW w:w="219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6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Layout w:type="fixed"/>
          <w:tblCellMar>
            <w:top w:w="169" w:type="dxa"/>
            <w:left w:w="108" w:type="dxa"/>
            <w:bottom w:w="48" w:type="dxa"/>
            <w:right w:w="115" w:type="dxa"/>
          </w:tblCellMar>
        </w:tblPrEx>
        <w:trPr>
          <w:trHeight w:val="551" w:hRule="atLeast"/>
        </w:trPr>
        <w:tc>
          <w:tcPr>
            <w:tcW w:w="219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项目所在地</w:t>
            </w:r>
          </w:p>
        </w:tc>
        <w:tc>
          <w:tcPr>
            <w:tcW w:w="6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Layout w:type="fixed"/>
          <w:tblCellMar>
            <w:top w:w="169" w:type="dxa"/>
            <w:left w:w="108" w:type="dxa"/>
            <w:bottom w:w="48" w:type="dxa"/>
            <w:right w:w="115" w:type="dxa"/>
          </w:tblCellMar>
        </w:tblPrEx>
        <w:trPr>
          <w:trHeight w:val="551" w:hRule="atLeast"/>
        </w:trPr>
        <w:tc>
          <w:tcPr>
            <w:tcW w:w="219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发包人名称</w:t>
            </w:r>
          </w:p>
        </w:tc>
        <w:tc>
          <w:tcPr>
            <w:tcW w:w="6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Layout w:type="fixed"/>
          <w:tblCellMar>
            <w:top w:w="169" w:type="dxa"/>
            <w:left w:w="108" w:type="dxa"/>
            <w:bottom w:w="48" w:type="dxa"/>
            <w:right w:w="115" w:type="dxa"/>
          </w:tblCellMar>
        </w:tblPrEx>
        <w:trPr>
          <w:trHeight w:val="551" w:hRule="atLeast"/>
        </w:trPr>
        <w:tc>
          <w:tcPr>
            <w:tcW w:w="219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发包人地址</w:t>
            </w:r>
          </w:p>
        </w:tc>
        <w:tc>
          <w:tcPr>
            <w:tcW w:w="6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Layout w:type="fixed"/>
          <w:tblCellMar>
            <w:top w:w="169" w:type="dxa"/>
            <w:left w:w="108" w:type="dxa"/>
            <w:bottom w:w="48" w:type="dxa"/>
            <w:right w:w="115" w:type="dxa"/>
          </w:tblCellMar>
        </w:tblPrEx>
        <w:trPr>
          <w:trHeight w:val="551" w:hRule="atLeast"/>
        </w:trPr>
        <w:tc>
          <w:tcPr>
            <w:tcW w:w="219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发包人电话</w:t>
            </w:r>
          </w:p>
        </w:tc>
        <w:tc>
          <w:tcPr>
            <w:tcW w:w="6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Layout w:type="fixed"/>
          <w:tblCellMar>
            <w:top w:w="169" w:type="dxa"/>
            <w:left w:w="108" w:type="dxa"/>
            <w:bottom w:w="48" w:type="dxa"/>
            <w:right w:w="115" w:type="dxa"/>
          </w:tblCellMar>
        </w:tblPrEx>
        <w:trPr>
          <w:trHeight w:val="551" w:hRule="atLeast"/>
        </w:trPr>
        <w:tc>
          <w:tcPr>
            <w:tcW w:w="219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签约合同价</w:t>
            </w:r>
          </w:p>
        </w:tc>
        <w:tc>
          <w:tcPr>
            <w:tcW w:w="6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Layout w:type="fixed"/>
          <w:tblCellMar>
            <w:top w:w="169" w:type="dxa"/>
            <w:left w:w="108" w:type="dxa"/>
            <w:bottom w:w="48" w:type="dxa"/>
            <w:right w:w="115" w:type="dxa"/>
          </w:tblCellMar>
        </w:tblPrEx>
        <w:trPr>
          <w:trHeight w:val="551" w:hRule="atLeast"/>
        </w:trPr>
        <w:tc>
          <w:tcPr>
            <w:tcW w:w="219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服务期限</w:t>
            </w:r>
          </w:p>
        </w:tc>
        <w:tc>
          <w:tcPr>
            <w:tcW w:w="6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Layout w:type="fixed"/>
          <w:tblCellMar>
            <w:top w:w="169" w:type="dxa"/>
            <w:left w:w="108" w:type="dxa"/>
            <w:bottom w:w="48" w:type="dxa"/>
            <w:right w:w="115" w:type="dxa"/>
          </w:tblCellMar>
        </w:tblPrEx>
        <w:trPr>
          <w:trHeight w:val="551" w:hRule="atLeast"/>
        </w:trPr>
        <w:tc>
          <w:tcPr>
            <w:tcW w:w="219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内容</w:t>
            </w:r>
          </w:p>
        </w:tc>
        <w:tc>
          <w:tcPr>
            <w:tcW w:w="6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Layout w:type="fixed"/>
          <w:tblCellMar>
            <w:top w:w="169" w:type="dxa"/>
            <w:left w:w="108" w:type="dxa"/>
            <w:bottom w:w="48" w:type="dxa"/>
            <w:right w:w="115" w:type="dxa"/>
          </w:tblCellMar>
        </w:tblPrEx>
        <w:trPr>
          <w:trHeight w:val="551" w:hRule="atLeast"/>
        </w:trPr>
        <w:tc>
          <w:tcPr>
            <w:tcW w:w="219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项目负责人</w:t>
            </w:r>
          </w:p>
        </w:tc>
        <w:tc>
          <w:tcPr>
            <w:tcW w:w="6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Layout w:type="fixed"/>
          <w:tblCellMar>
            <w:top w:w="169" w:type="dxa"/>
            <w:left w:w="108" w:type="dxa"/>
            <w:bottom w:w="48" w:type="dxa"/>
            <w:right w:w="115" w:type="dxa"/>
          </w:tblCellMar>
        </w:tblPrEx>
        <w:trPr>
          <w:trHeight w:val="1528" w:hRule="atLeast"/>
        </w:trPr>
        <w:tc>
          <w:tcPr>
            <w:tcW w:w="219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项目描述</w:t>
            </w:r>
          </w:p>
        </w:tc>
        <w:tc>
          <w:tcPr>
            <w:tcW w:w="6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r>
        <w:tblPrEx>
          <w:tblLayout w:type="fixed"/>
          <w:tblCellMar>
            <w:top w:w="169" w:type="dxa"/>
            <w:left w:w="108" w:type="dxa"/>
            <w:bottom w:w="48" w:type="dxa"/>
            <w:right w:w="115" w:type="dxa"/>
          </w:tblCellMar>
        </w:tblPrEx>
        <w:trPr>
          <w:trHeight w:val="785" w:hRule="atLeast"/>
        </w:trPr>
        <w:tc>
          <w:tcPr>
            <w:tcW w:w="219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72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tc>
      </w:tr>
    </w:tbl>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应根据</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 xml:space="preserve">须知第 3.5.4 项的要求在本表后附相关证明材料。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tab/>
      </w:r>
      <w:r>
        <w:rPr>
          <w:rFonts w:hint="eastAsia" w:ascii="仿宋" w:hAnsi="仿宋" w:eastAsia="仿宋" w:cs="仿宋"/>
          <w:color w:val="auto"/>
          <w:sz w:val="21"/>
          <w:highlight w:val="none"/>
        </w:rPr>
        <w:t xml:space="preserve"> </w:t>
      </w:r>
    </w:p>
    <w:p>
      <w:pPr>
        <w:rPr>
          <w:rFonts w:hint="eastAsia"/>
        </w:rPr>
      </w:pPr>
      <w:bookmarkStart w:id="74" w:name="_Toc118940"/>
      <w:r>
        <w:rPr>
          <w:rFonts w:hint="eastAsia" w:ascii="仿宋" w:hAnsi="仿宋" w:eastAsia="仿宋" w:cs="仿宋"/>
          <w:b/>
          <w:color w:val="auto"/>
          <w:sz w:val="24"/>
          <w:szCs w:val="24"/>
          <w:highlight w:val="none"/>
        </w:rPr>
        <w:br w:type="page"/>
      </w:r>
    </w:p>
    <w:p>
      <w:pPr>
        <w:pageBreakBefore w:val="0"/>
        <w:kinsoku/>
        <w:overflowPunct/>
        <w:topLinePunct w:val="0"/>
        <w:bidi w:val="0"/>
        <w:spacing w:beforeAutospacing="0" w:after="0" w:afterAutospacing="0" w:line="240" w:lineRule="auto"/>
        <w:ind w:left="0" w:leftChars="0" w:right="0" w:firstLine="241" w:firstLineChars="10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（四）近年发生的诉讼及仲裁情况</w:t>
      </w:r>
      <w:bookmarkEnd w:id="74"/>
    </w:p>
    <w:p>
      <w:pPr>
        <w:pageBreakBefore w:val="0"/>
        <w:kinsoku/>
        <w:overflowPunct/>
        <w:topLinePunct w:val="0"/>
        <w:bidi w:val="0"/>
        <w:spacing w:beforeAutospacing="0" w:after="0" w:afterAutospacing="0" w:line="240" w:lineRule="auto"/>
        <w:ind w:left="0" w:leftChars="0" w:right="0" w:firstLine="240" w:firstLineChars="1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应根据</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须知第 3.5.5 项的要求附相关证明材料。</w:t>
      </w:r>
    </w:p>
    <w:p>
      <w:pPr>
        <w:pageBreakBefore w:val="0"/>
        <w:kinsoku/>
        <w:overflowPunct/>
        <w:topLinePunct w:val="0"/>
        <w:bidi w:val="0"/>
        <w:spacing w:beforeAutospacing="0" w:after="0" w:afterAutospacing="0" w:line="240" w:lineRule="auto"/>
        <w:ind w:left="0" w:leftChars="0" w:right="0" w:firstLine="210" w:firstLineChars="10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highlight w:val="none"/>
        </w:rPr>
        <w:br w:type="page"/>
      </w:r>
      <w:bookmarkStart w:id="75" w:name="_Toc118941"/>
      <w:bookmarkStart w:id="76" w:name="_Toc118944"/>
      <w:r>
        <w:rPr>
          <w:rFonts w:hint="eastAsia" w:ascii="仿宋" w:hAnsi="仿宋" w:eastAsia="仿宋" w:cs="仿宋"/>
          <w:b/>
          <w:color w:val="auto"/>
          <w:sz w:val="24"/>
          <w:szCs w:val="24"/>
          <w:highlight w:val="none"/>
        </w:rPr>
        <w:t>（五）主要人员汇总表</w:t>
      </w:r>
      <w:bookmarkEnd w:id="75"/>
    </w:p>
    <w:tbl>
      <w:tblPr>
        <w:tblStyle w:val="24"/>
        <w:tblW w:w="7958" w:type="dxa"/>
        <w:jc w:val="center"/>
        <w:tblInd w:w="0" w:type="dxa"/>
        <w:tblLayout w:type="fixed"/>
        <w:tblCellMar>
          <w:top w:w="0" w:type="dxa"/>
          <w:left w:w="110" w:type="dxa"/>
          <w:bottom w:w="46" w:type="dxa"/>
          <w:right w:w="60" w:type="dxa"/>
        </w:tblCellMar>
      </w:tblPr>
      <w:tblGrid>
        <w:gridCol w:w="1438"/>
        <w:gridCol w:w="2828"/>
        <w:gridCol w:w="1946"/>
        <w:gridCol w:w="1746"/>
      </w:tblGrid>
      <w:tr>
        <w:tblPrEx>
          <w:tblLayout w:type="fixed"/>
        </w:tblPrEx>
        <w:trPr>
          <w:trHeight w:val="934"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282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9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岗位名称</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tblPrEx>
          <w:tblLayout w:type="fixed"/>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2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r>
        <w:tblPrEx>
          <w:tblLayout w:type="fixed"/>
          <w:tblCellMar>
            <w:top w:w="0" w:type="dxa"/>
            <w:left w:w="110" w:type="dxa"/>
            <w:bottom w:w="46" w:type="dxa"/>
            <w:right w:w="60" w:type="dxa"/>
          </w:tblCellMar>
        </w:tblPrEx>
        <w:trPr>
          <w:trHeight w:val="447"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2828"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9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c>
          <w:tcPr>
            <w:tcW w:w="1746" w:type="dxa"/>
            <w:tcBorders>
              <w:top w:val="single" w:color="000000" w:sz="4" w:space="0"/>
              <w:left w:val="single" w:color="000000" w:sz="4" w:space="0"/>
              <w:bottom w:val="single" w:color="000000" w:sz="4" w:space="0"/>
              <w:right w:val="single" w:color="000000" w:sz="4" w:space="0"/>
            </w:tcBorders>
            <w:noWrap w:val="0"/>
            <w:vAlign w:val="bottom"/>
          </w:tcPr>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p>
        </w:tc>
      </w:tr>
    </w:tbl>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r>
        <w:rPr>
          <w:rFonts w:hint="eastAsia" w:ascii="仿宋" w:hAnsi="仿宋" w:eastAsia="仿宋" w:cs="仿宋"/>
          <w:color w:val="auto"/>
          <w:sz w:val="21"/>
          <w:highlight w:val="none"/>
        </w:rPr>
        <w:t xml:space="preserve"> </w:t>
      </w:r>
      <w:r>
        <w:rPr>
          <w:rFonts w:hint="eastAsia" w:ascii="仿宋" w:hAnsi="仿宋" w:eastAsia="仿宋" w:cs="仿宋"/>
          <w:color w:val="auto"/>
          <w:sz w:val="21"/>
          <w:highlight w:val="none"/>
        </w:rPr>
        <w:tab/>
      </w:r>
      <w:r>
        <w:rPr>
          <w:rFonts w:hint="eastAsia" w:ascii="仿宋" w:hAnsi="仿宋" w:eastAsia="仿宋" w:cs="仿宋"/>
          <w:color w:val="auto"/>
          <w:sz w:val="21"/>
          <w:highlight w:val="none"/>
        </w:rPr>
        <w:t xml:space="preserve"> </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bookmarkStart w:id="77" w:name="_Toc118942"/>
    </w:p>
    <w:bookmarkEnd w:id="77"/>
    <w:p>
      <w:pPr>
        <w:pageBreakBefore w:val="0"/>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color w:val="auto"/>
          <w:sz w:val="24"/>
          <w:szCs w:val="24"/>
          <w:highlight w:val="none"/>
        </w:rPr>
      </w:pPr>
      <w:bookmarkStart w:id="78" w:name="_Toc118943"/>
    </w:p>
    <w:bookmarkEnd w:id="78"/>
    <w:p>
      <w:pPr>
        <w:spacing w:before="48" w:line="228" w:lineRule="auto"/>
        <w:ind w:left="3211"/>
        <w:outlineLvl w:val="0"/>
        <w:rPr>
          <w:rFonts w:hint="eastAsia" w:ascii="仿宋" w:hAnsi="仿宋" w:eastAsia="仿宋" w:cs="仿宋"/>
        </w:rPr>
      </w:pPr>
      <w:r>
        <w:rPr>
          <w:rFonts w:hint="eastAsia" w:ascii="仿宋" w:hAnsi="仿宋" w:eastAsia="仿宋" w:cs="仿宋"/>
          <w:b/>
          <w:color w:val="auto"/>
          <w:sz w:val="28"/>
          <w:szCs w:val="28"/>
          <w:highlight w:val="none"/>
          <w:lang w:val="en-US" w:eastAsia="zh-CN"/>
        </w:rPr>
        <w:br w:type="page"/>
      </w:r>
      <w:bookmarkStart w:id="79" w:name="_Toc25651_WPSOffice_Level1"/>
      <w:r>
        <w:rPr>
          <w:rFonts w:hint="eastAsia" w:ascii="仿宋" w:hAnsi="仿宋" w:eastAsia="仿宋" w:cs="仿宋"/>
          <w:b/>
          <w:color w:val="auto"/>
          <w:sz w:val="28"/>
          <w:szCs w:val="28"/>
          <w:highlight w:val="none"/>
          <w:lang w:val="en-US" w:eastAsia="zh-CN"/>
        </w:rPr>
        <w:t>六、中小企业声明函 (服务)</w:t>
      </w:r>
      <w:bookmarkEnd w:id="79"/>
    </w:p>
    <w:p>
      <w:pPr>
        <w:spacing w:line="241" w:lineRule="auto"/>
        <w:rPr>
          <w:rFonts w:hint="eastAsia" w:ascii="仿宋" w:hAnsi="仿宋" w:eastAsia="仿宋" w:cs="仿宋"/>
        </w:rPr>
      </w:pPr>
    </w:p>
    <w:p>
      <w:pPr>
        <w:spacing w:before="75" w:line="374" w:lineRule="auto"/>
        <w:ind w:right="69" w:firstLine="480"/>
        <w:rPr>
          <w:rFonts w:hint="eastAsia" w:ascii="仿宋" w:hAnsi="仿宋" w:eastAsia="仿宋" w:cs="仿宋"/>
          <w:sz w:val="23"/>
          <w:szCs w:val="23"/>
        </w:rPr>
      </w:pPr>
      <w:r>
        <w:rPr>
          <w:rFonts w:hint="eastAsia" w:ascii="仿宋" w:hAnsi="仿宋" w:eastAsia="仿宋" w:cs="仿宋"/>
          <w:spacing w:val="-4"/>
          <w:sz w:val="23"/>
          <w:szCs w:val="23"/>
        </w:rPr>
        <w:t>本公司郑重声明，根据《政府采购促进中小企业发展管理办法》(财库﹝2020﹞46号</w:t>
      </w:r>
      <w:r>
        <w:rPr>
          <w:rFonts w:hint="eastAsia" w:ascii="仿宋" w:hAnsi="仿宋" w:eastAsia="仿宋" w:cs="仿宋"/>
          <w:spacing w:val="-3"/>
          <w:sz w:val="23"/>
          <w:szCs w:val="23"/>
        </w:rPr>
        <w:t>)</w:t>
      </w:r>
      <w:r>
        <w:rPr>
          <w:rFonts w:hint="eastAsia" w:ascii="仿宋" w:hAnsi="仿宋" w:eastAsia="仿宋" w:cs="仿宋"/>
          <w:sz w:val="23"/>
          <w:szCs w:val="23"/>
        </w:rPr>
        <w:t>的</w:t>
      </w:r>
      <w:r>
        <w:rPr>
          <w:rFonts w:hint="eastAsia" w:ascii="仿宋" w:hAnsi="仿宋" w:eastAsia="仿宋" w:cs="仿宋"/>
          <w:spacing w:val="12"/>
          <w:sz w:val="23"/>
          <w:szCs w:val="23"/>
        </w:rPr>
        <w:t>规定，本公</w:t>
      </w:r>
      <w:r>
        <w:rPr>
          <w:rFonts w:hint="eastAsia" w:ascii="仿宋" w:hAnsi="仿宋" w:eastAsia="仿宋" w:cs="仿宋"/>
          <w:spacing w:val="7"/>
          <w:sz w:val="23"/>
          <w:szCs w:val="23"/>
        </w:rPr>
        <w:t>司</w:t>
      </w:r>
      <w:r>
        <w:rPr>
          <w:rFonts w:hint="eastAsia" w:ascii="仿宋" w:hAnsi="仿宋" w:eastAsia="仿宋" w:cs="仿宋"/>
          <w:spacing w:val="6"/>
          <w:sz w:val="23"/>
          <w:szCs w:val="23"/>
        </w:rPr>
        <w:t>参加</w:t>
      </w:r>
      <w:r>
        <w:rPr>
          <w:rFonts w:hint="eastAsia" w:ascii="仿宋" w:hAnsi="仿宋" w:eastAsia="仿宋" w:cs="仿宋"/>
          <w:spacing w:val="6"/>
          <w:sz w:val="23"/>
          <w:szCs w:val="23"/>
          <w:u w:val="single"/>
        </w:rPr>
        <w:t xml:space="preserve"> (单位名称) </w:t>
      </w:r>
      <w:r>
        <w:rPr>
          <w:rFonts w:hint="eastAsia" w:ascii="仿宋" w:hAnsi="仿宋" w:eastAsia="仿宋" w:cs="仿宋"/>
          <w:spacing w:val="6"/>
          <w:sz w:val="23"/>
          <w:szCs w:val="23"/>
        </w:rPr>
        <w:t>的</w:t>
      </w:r>
      <w:r>
        <w:rPr>
          <w:rFonts w:hint="eastAsia" w:ascii="仿宋" w:hAnsi="仿宋" w:eastAsia="仿宋" w:cs="仿宋"/>
          <w:spacing w:val="6"/>
          <w:sz w:val="23"/>
          <w:szCs w:val="23"/>
          <w:u w:val="single"/>
        </w:rPr>
        <w:t xml:space="preserve"> (项目名称) </w:t>
      </w:r>
      <w:r>
        <w:rPr>
          <w:rFonts w:hint="eastAsia" w:ascii="仿宋" w:hAnsi="仿宋" w:eastAsia="仿宋" w:cs="仿宋"/>
          <w:spacing w:val="6"/>
          <w:sz w:val="23"/>
          <w:szCs w:val="23"/>
        </w:rPr>
        <w:t>采购活动，服务全部由符合政策要求的中小企业</w:t>
      </w:r>
      <w:r>
        <w:rPr>
          <w:rFonts w:hint="eastAsia" w:ascii="仿宋" w:hAnsi="仿宋" w:eastAsia="仿宋" w:cs="仿宋"/>
          <w:spacing w:val="12"/>
          <w:sz w:val="23"/>
          <w:szCs w:val="23"/>
        </w:rPr>
        <w:t>承</w:t>
      </w:r>
      <w:r>
        <w:rPr>
          <w:rFonts w:hint="eastAsia" w:ascii="仿宋" w:hAnsi="仿宋" w:eastAsia="仿宋" w:cs="仿宋"/>
          <w:spacing w:val="9"/>
          <w:sz w:val="23"/>
          <w:szCs w:val="23"/>
        </w:rPr>
        <w:t>接。相关企业(含联合体中的中小企业、签订分包意向协议的中小企业)的具体情况如下：</w:t>
      </w:r>
    </w:p>
    <w:p>
      <w:pPr>
        <w:spacing w:before="1" w:line="374" w:lineRule="auto"/>
        <w:ind w:left="8" w:right="67" w:firstLine="489"/>
        <w:rPr>
          <w:rFonts w:hint="eastAsia" w:ascii="仿宋" w:hAnsi="仿宋" w:eastAsia="仿宋" w:cs="仿宋"/>
          <w:sz w:val="23"/>
          <w:szCs w:val="23"/>
        </w:rPr>
      </w:pPr>
      <w:r>
        <w:rPr>
          <w:rFonts w:hint="eastAsia" w:ascii="仿宋" w:hAnsi="仿宋" w:eastAsia="仿宋" w:cs="仿宋"/>
          <w:spacing w:val="10"/>
          <w:sz w:val="23"/>
          <w:szCs w:val="23"/>
        </w:rPr>
        <w:t>1.</w:t>
      </w:r>
      <w:r>
        <w:rPr>
          <w:rFonts w:hint="eastAsia" w:ascii="仿宋" w:hAnsi="仿宋" w:eastAsia="仿宋" w:cs="仿宋"/>
          <w:spacing w:val="7"/>
          <w:sz w:val="23"/>
          <w:szCs w:val="23"/>
        </w:rPr>
        <w:t xml:space="preserve"> </w:t>
      </w:r>
      <w:r>
        <w:rPr>
          <w:rFonts w:hint="eastAsia" w:ascii="仿宋" w:hAnsi="仿宋" w:eastAsia="仿宋" w:cs="仿宋"/>
          <w:spacing w:val="5"/>
          <w:sz w:val="23"/>
          <w:szCs w:val="23"/>
          <w:u w:val="single"/>
        </w:rPr>
        <w:t xml:space="preserve"> (标的名称)  </w:t>
      </w:r>
      <w:r>
        <w:rPr>
          <w:rFonts w:hint="eastAsia" w:ascii="仿宋" w:hAnsi="仿宋" w:eastAsia="仿宋" w:cs="仿宋"/>
          <w:spacing w:val="5"/>
          <w:sz w:val="23"/>
          <w:szCs w:val="23"/>
        </w:rPr>
        <w:t xml:space="preserve"> ，属于</w:t>
      </w:r>
      <w:r>
        <w:rPr>
          <w:rFonts w:hint="eastAsia" w:ascii="仿宋" w:hAnsi="仿宋" w:eastAsia="仿宋" w:cs="仿宋"/>
          <w:spacing w:val="5"/>
          <w:sz w:val="23"/>
          <w:szCs w:val="23"/>
          <w:u w:val="single"/>
        </w:rPr>
        <w:t xml:space="preserve">      行业</w:t>
      </w:r>
      <w:r>
        <w:rPr>
          <w:rFonts w:hint="eastAsia" w:ascii="仿宋" w:hAnsi="仿宋" w:eastAsia="仿宋" w:cs="仿宋"/>
          <w:spacing w:val="5"/>
          <w:sz w:val="23"/>
          <w:szCs w:val="23"/>
        </w:rPr>
        <w:t>；承接企业为</w:t>
      </w:r>
      <w:r>
        <w:rPr>
          <w:rFonts w:hint="eastAsia" w:ascii="仿宋" w:hAnsi="仿宋" w:eastAsia="仿宋" w:cs="仿宋"/>
          <w:spacing w:val="5"/>
          <w:sz w:val="23"/>
          <w:szCs w:val="23"/>
          <w:u w:val="single"/>
        </w:rPr>
        <w:t xml:space="preserve"> (企业名称) </w:t>
      </w:r>
      <w:r>
        <w:rPr>
          <w:rFonts w:hint="eastAsia" w:ascii="仿宋" w:hAnsi="仿宋" w:eastAsia="仿宋" w:cs="仿宋"/>
          <w:spacing w:val="5"/>
          <w:sz w:val="23"/>
          <w:szCs w:val="23"/>
        </w:rPr>
        <w:t>，从业人员</w:t>
      </w:r>
      <w:r>
        <w:rPr>
          <w:rFonts w:hint="eastAsia" w:ascii="仿宋" w:hAnsi="仿宋" w:eastAsia="仿宋" w:cs="仿宋"/>
          <w:spacing w:val="5"/>
          <w:sz w:val="23"/>
          <w:szCs w:val="23"/>
          <w:u w:val="single"/>
        </w:rPr>
        <w:t xml:space="preserve">     </w:t>
      </w:r>
      <w:r>
        <w:rPr>
          <w:rFonts w:hint="eastAsia" w:ascii="仿宋" w:hAnsi="仿宋" w:eastAsia="仿宋" w:cs="仿宋"/>
          <w:spacing w:val="5"/>
          <w:sz w:val="23"/>
          <w:szCs w:val="23"/>
        </w:rPr>
        <w:t>人，营业</w:t>
      </w:r>
      <w:r>
        <w:rPr>
          <w:rFonts w:hint="eastAsia" w:ascii="仿宋" w:hAnsi="仿宋" w:eastAsia="仿宋" w:cs="仿宋"/>
          <w:sz w:val="23"/>
          <w:szCs w:val="23"/>
        </w:rPr>
        <w:t xml:space="preserve"> </w:t>
      </w:r>
      <w:r>
        <w:rPr>
          <w:rFonts w:hint="eastAsia" w:ascii="仿宋" w:hAnsi="仿宋" w:eastAsia="仿宋" w:cs="仿宋"/>
          <w:spacing w:val="2"/>
          <w:sz w:val="23"/>
          <w:szCs w:val="23"/>
        </w:rPr>
        <w:t>收入为</w:t>
      </w:r>
      <w:r>
        <w:rPr>
          <w:rFonts w:hint="eastAsia" w:ascii="仿宋" w:hAnsi="仿宋" w:eastAsia="仿宋" w:cs="仿宋"/>
          <w:spacing w:val="2"/>
          <w:sz w:val="23"/>
          <w:szCs w:val="23"/>
          <w:u w:val="single"/>
        </w:rPr>
        <w:t xml:space="preserve">    </w:t>
      </w:r>
      <w:r>
        <w:rPr>
          <w:rFonts w:hint="eastAsia" w:ascii="仿宋" w:hAnsi="仿宋" w:eastAsia="仿宋" w:cs="仿宋"/>
          <w:spacing w:val="2"/>
          <w:sz w:val="23"/>
          <w:szCs w:val="23"/>
        </w:rPr>
        <w:t xml:space="preserve"> 万元，资产总额为</w:t>
      </w:r>
      <w:r>
        <w:rPr>
          <w:rFonts w:hint="eastAsia" w:ascii="仿宋" w:hAnsi="仿宋" w:eastAsia="仿宋" w:cs="仿宋"/>
          <w:spacing w:val="2"/>
          <w:sz w:val="23"/>
          <w:szCs w:val="23"/>
          <w:u w:val="single"/>
        </w:rPr>
        <w:t xml:space="preserve">    </w:t>
      </w:r>
      <w:r>
        <w:rPr>
          <w:rFonts w:hint="eastAsia" w:ascii="仿宋" w:hAnsi="仿宋" w:eastAsia="仿宋" w:cs="仿宋"/>
          <w:spacing w:val="2"/>
          <w:sz w:val="23"/>
          <w:szCs w:val="23"/>
        </w:rPr>
        <w:t xml:space="preserve"> </w:t>
      </w:r>
      <w:r>
        <w:rPr>
          <w:rFonts w:hint="eastAsia" w:ascii="仿宋" w:hAnsi="仿宋" w:eastAsia="仿宋" w:cs="仿宋"/>
          <w:spacing w:val="1"/>
          <w:sz w:val="23"/>
          <w:szCs w:val="23"/>
        </w:rPr>
        <w:t xml:space="preserve">万元 </w:t>
      </w:r>
      <w:r>
        <w:rPr>
          <w:rFonts w:hint="eastAsia" w:ascii="仿宋" w:hAnsi="仿宋" w:eastAsia="仿宋" w:cs="仿宋"/>
          <w:spacing w:val="1"/>
          <w:position w:val="12"/>
          <w:sz w:val="11"/>
          <w:szCs w:val="11"/>
        </w:rPr>
        <w:t xml:space="preserve">1 </w:t>
      </w:r>
      <w:r>
        <w:rPr>
          <w:rFonts w:hint="eastAsia" w:ascii="仿宋" w:hAnsi="仿宋" w:eastAsia="仿宋" w:cs="仿宋"/>
          <w:spacing w:val="1"/>
          <w:sz w:val="23"/>
          <w:szCs w:val="23"/>
        </w:rPr>
        <w:t>，属于 (中型企业、小型企业、微型企业) ；</w:t>
      </w:r>
      <w:r>
        <w:rPr>
          <w:rFonts w:hint="eastAsia" w:ascii="仿宋" w:hAnsi="仿宋" w:eastAsia="仿宋" w:cs="仿宋"/>
          <w:spacing w:val="1"/>
          <w:sz w:val="23"/>
          <w:szCs w:val="23"/>
          <w:u w:val="single"/>
        </w:rPr>
        <w:t xml:space="preserve">     。</w:t>
      </w:r>
    </w:p>
    <w:p>
      <w:pPr>
        <w:spacing w:before="1" w:line="374" w:lineRule="auto"/>
        <w:ind w:left="8" w:right="67" w:firstLine="474"/>
        <w:rPr>
          <w:rFonts w:hint="eastAsia" w:ascii="仿宋" w:hAnsi="仿宋" w:eastAsia="仿宋" w:cs="仿宋"/>
          <w:sz w:val="23"/>
          <w:szCs w:val="23"/>
        </w:rPr>
      </w:pPr>
      <w:r>
        <w:rPr>
          <w:rFonts w:hint="eastAsia" w:ascii="仿宋" w:hAnsi="仿宋" w:eastAsia="仿宋" w:cs="仿宋"/>
          <w:spacing w:val="6"/>
          <w:sz w:val="23"/>
          <w:szCs w:val="23"/>
        </w:rPr>
        <w:t>2.</w:t>
      </w:r>
      <w:r>
        <w:rPr>
          <w:rFonts w:hint="eastAsia" w:ascii="仿宋" w:hAnsi="仿宋" w:eastAsia="仿宋" w:cs="仿宋"/>
          <w:spacing w:val="6"/>
          <w:sz w:val="23"/>
          <w:szCs w:val="23"/>
          <w:u w:val="single"/>
        </w:rPr>
        <w:t xml:space="preserve">  </w:t>
      </w:r>
      <w:r>
        <w:rPr>
          <w:rFonts w:hint="eastAsia" w:ascii="仿宋" w:hAnsi="仿宋" w:eastAsia="仿宋" w:cs="仿宋"/>
          <w:spacing w:val="3"/>
          <w:sz w:val="23"/>
          <w:szCs w:val="23"/>
          <w:u w:val="single"/>
        </w:rPr>
        <w:t xml:space="preserve">(标的名称) </w:t>
      </w:r>
      <w:r>
        <w:rPr>
          <w:rFonts w:hint="eastAsia" w:ascii="仿宋" w:hAnsi="仿宋" w:eastAsia="仿宋" w:cs="仿宋"/>
          <w:spacing w:val="3"/>
          <w:sz w:val="23"/>
          <w:szCs w:val="23"/>
        </w:rPr>
        <w:t xml:space="preserve"> ，属于</w:t>
      </w:r>
      <w:r>
        <w:rPr>
          <w:rFonts w:hint="eastAsia" w:ascii="仿宋" w:hAnsi="仿宋" w:eastAsia="仿宋" w:cs="仿宋"/>
          <w:spacing w:val="3"/>
          <w:sz w:val="23"/>
          <w:szCs w:val="23"/>
          <w:u w:val="single"/>
        </w:rPr>
        <w:t xml:space="preserve">       行业</w:t>
      </w:r>
      <w:r>
        <w:rPr>
          <w:rFonts w:hint="eastAsia" w:ascii="仿宋" w:hAnsi="仿宋" w:eastAsia="仿宋" w:cs="仿宋"/>
          <w:spacing w:val="3"/>
          <w:sz w:val="23"/>
          <w:szCs w:val="23"/>
        </w:rPr>
        <w:t>；承接企业为</w:t>
      </w:r>
      <w:r>
        <w:rPr>
          <w:rFonts w:hint="eastAsia" w:ascii="仿宋" w:hAnsi="仿宋" w:eastAsia="仿宋" w:cs="仿宋"/>
          <w:spacing w:val="3"/>
          <w:sz w:val="23"/>
          <w:szCs w:val="23"/>
          <w:u w:val="single"/>
        </w:rPr>
        <w:t xml:space="preserve"> (企业名称) </w:t>
      </w:r>
      <w:r>
        <w:rPr>
          <w:rFonts w:hint="eastAsia" w:ascii="仿宋" w:hAnsi="仿宋" w:eastAsia="仿宋" w:cs="仿宋"/>
          <w:spacing w:val="3"/>
          <w:sz w:val="23"/>
          <w:szCs w:val="23"/>
        </w:rPr>
        <w:t>，从业人员</w:t>
      </w:r>
      <w:r>
        <w:rPr>
          <w:rFonts w:hint="eastAsia" w:ascii="仿宋" w:hAnsi="仿宋" w:eastAsia="仿宋" w:cs="仿宋"/>
          <w:spacing w:val="3"/>
          <w:sz w:val="23"/>
          <w:szCs w:val="23"/>
          <w:u w:val="single"/>
        </w:rPr>
        <w:t xml:space="preserve">     </w:t>
      </w:r>
      <w:r>
        <w:rPr>
          <w:rFonts w:hint="eastAsia" w:ascii="仿宋" w:hAnsi="仿宋" w:eastAsia="仿宋" w:cs="仿宋"/>
          <w:spacing w:val="3"/>
          <w:sz w:val="23"/>
          <w:szCs w:val="23"/>
        </w:rPr>
        <w:t xml:space="preserve"> 人，营业</w:t>
      </w:r>
      <w:r>
        <w:rPr>
          <w:rFonts w:hint="eastAsia" w:ascii="仿宋" w:hAnsi="仿宋" w:eastAsia="仿宋" w:cs="仿宋"/>
          <w:sz w:val="23"/>
          <w:szCs w:val="23"/>
        </w:rPr>
        <w:t xml:space="preserve"> </w:t>
      </w:r>
      <w:r>
        <w:rPr>
          <w:rFonts w:hint="eastAsia" w:ascii="仿宋" w:hAnsi="仿宋" w:eastAsia="仿宋" w:cs="仿宋"/>
          <w:spacing w:val="2"/>
          <w:sz w:val="23"/>
          <w:szCs w:val="23"/>
        </w:rPr>
        <w:t>收入为</w:t>
      </w:r>
      <w:r>
        <w:rPr>
          <w:rFonts w:hint="eastAsia" w:ascii="仿宋" w:hAnsi="仿宋" w:eastAsia="仿宋" w:cs="仿宋"/>
          <w:spacing w:val="2"/>
          <w:sz w:val="23"/>
          <w:szCs w:val="23"/>
          <w:u w:val="single"/>
        </w:rPr>
        <w:t xml:space="preserve">    </w:t>
      </w:r>
      <w:r>
        <w:rPr>
          <w:rFonts w:hint="eastAsia" w:ascii="仿宋" w:hAnsi="仿宋" w:eastAsia="仿宋" w:cs="仿宋"/>
          <w:spacing w:val="2"/>
          <w:sz w:val="23"/>
          <w:szCs w:val="23"/>
        </w:rPr>
        <w:t xml:space="preserve"> 万元，资产总额为</w:t>
      </w:r>
      <w:r>
        <w:rPr>
          <w:rFonts w:hint="eastAsia" w:ascii="仿宋" w:hAnsi="仿宋" w:eastAsia="仿宋" w:cs="仿宋"/>
          <w:spacing w:val="2"/>
          <w:sz w:val="23"/>
          <w:szCs w:val="23"/>
          <w:u w:val="single"/>
        </w:rPr>
        <w:t xml:space="preserve">    </w:t>
      </w:r>
      <w:r>
        <w:rPr>
          <w:rFonts w:hint="eastAsia" w:ascii="仿宋" w:hAnsi="仿宋" w:eastAsia="仿宋" w:cs="仿宋"/>
          <w:spacing w:val="2"/>
          <w:sz w:val="23"/>
          <w:szCs w:val="23"/>
        </w:rPr>
        <w:t xml:space="preserve"> </w:t>
      </w:r>
      <w:r>
        <w:rPr>
          <w:rFonts w:hint="eastAsia" w:ascii="仿宋" w:hAnsi="仿宋" w:eastAsia="仿宋" w:cs="仿宋"/>
          <w:spacing w:val="1"/>
          <w:sz w:val="23"/>
          <w:szCs w:val="23"/>
        </w:rPr>
        <w:t xml:space="preserve">万元 </w:t>
      </w:r>
      <w:r>
        <w:rPr>
          <w:rFonts w:hint="eastAsia" w:ascii="仿宋" w:hAnsi="仿宋" w:eastAsia="仿宋" w:cs="仿宋"/>
          <w:spacing w:val="1"/>
          <w:position w:val="12"/>
          <w:sz w:val="11"/>
          <w:szCs w:val="11"/>
        </w:rPr>
        <w:t xml:space="preserve">1 </w:t>
      </w:r>
      <w:r>
        <w:rPr>
          <w:rFonts w:hint="eastAsia" w:ascii="仿宋" w:hAnsi="仿宋" w:eastAsia="仿宋" w:cs="仿宋"/>
          <w:spacing w:val="1"/>
          <w:sz w:val="23"/>
          <w:szCs w:val="23"/>
        </w:rPr>
        <w:t>，属于 (中型企业、小型企业、微型企业) ；</w:t>
      </w:r>
      <w:r>
        <w:rPr>
          <w:rFonts w:hint="eastAsia" w:ascii="仿宋" w:hAnsi="仿宋" w:eastAsia="仿宋" w:cs="仿宋"/>
          <w:spacing w:val="1"/>
          <w:sz w:val="23"/>
          <w:szCs w:val="23"/>
          <w:u w:val="single"/>
        </w:rPr>
        <w:t xml:space="preserve">     。</w:t>
      </w:r>
    </w:p>
    <w:p>
      <w:pPr>
        <w:spacing w:line="373" w:lineRule="exact"/>
        <w:ind w:left="495"/>
        <w:rPr>
          <w:rFonts w:hint="eastAsia" w:ascii="仿宋" w:hAnsi="仿宋" w:eastAsia="仿宋" w:cs="仿宋"/>
          <w:sz w:val="23"/>
          <w:szCs w:val="23"/>
        </w:rPr>
      </w:pPr>
      <w:r>
        <w:rPr>
          <w:rFonts w:hint="eastAsia" w:ascii="仿宋" w:hAnsi="仿宋" w:eastAsia="仿宋" w:cs="仿宋"/>
          <w:spacing w:val="5"/>
          <w:position w:val="3"/>
          <w:sz w:val="23"/>
          <w:szCs w:val="23"/>
        </w:rPr>
        <w:t>……</w:t>
      </w:r>
    </w:p>
    <w:p>
      <w:pPr>
        <w:spacing w:before="94" w:line="375" w:lineRule="auto"/>
        <w:ind w:left="19" w:right="69" w:firstLine="487"/>
        <w:rPr>
          <w:rFonts w:hint="eastAsia" w:ascii="仿宋" w:hAnsi="仿宋" w:eastAsia="仿宋" w:cs="仿宋"/>
          <w:sz w:val="23"/>
          <w:szCs w:val="23"/>
        </w:rPr>
      </w:pPr>
      <w:r>
        <w:rPr>
          <w:rFonts w:hint="eastAsia" w:ascii="仿宋" w:hAnsi="仿宋" w:eastAsia="仿宋" w:cs="仿宋"/>
          <w:spacing w:val="12"/>
          <w:sz w:val="23"/>
          <w:szCs w:val="23"/>
        </w:rPr>
        <w:t>以上企</w:t>
      </w:r>
      <w:r>
        <w:rPr>
          <w:rFonts w:hint="eastAsia" w:ascii="仿宋" w:hAnsi="仿宋" w:eastAsia="仿宋" w:cs="仿宋"/>
          <w:spacing w:val="8"/>
          <w:sz w:val="23"/>
          <w:szCs w:val="23"/>
        </w:rPr>
        <w:t>业</w:t>
      </w:r>
      <w:r>
        <w:rPr>
          <w:rFonts w:hint="eastAsia" w:ascii="仿宋" w:hAnsi="仿宋" w:eastAsia="仿宋" w:cs="仿宋"/>
          <w:spacing w:val="6"/>
          <w:sz w:val="23"/>
          <w:szCs w:val="23"/>
        </w:rPr>
        <w:t>，不属于大企业的分支机构，不存在控股股东为大企业的情形，也不存在与大企业</w:t>
      </w:r>
      <w:r>
        <w:rPr>
          <w:rFonts w:hint="eastAsia" w:ascii="仿宋" w:hAnsi="仿宋" w:eastAsia="仿宋" w:cs="仿宋"/>
          <w:spacing w:val="12"/>
          <w:sz w:val="23"/>
          <w:szCs w:val="23"/>
        </w:rPr>
        <w:t>的</w:t>
      </w:r>
      <w:r>
        <w:rPr>
          <w:rFonts w:hint="eastAsia" w:ascii="仿宋" w:hAnsi="仿宋" w:eastAsia="仿宋" w:cs="仿宋"/>
          <w:spacing w:val="8"/>
          <w:sz w:val="23"/>
          <w:szCs w:val="23"/>
        </w:rPr>
        <w:t>负</w:t>
      </w:r>
      <w:r>
        <w:rPr>
          <w:rFonts w:hint="eastAsia" w:ascii="仿宋" w:hAnsi="仿宋" w:eastAsia="仿宋" w:cs="仿宋"/>
          <w:spacing w:val="6"/>
          <w:sz w:val="23"/>
          <w:szCs w:val="23"/>
        </w:rPr>
        <w:t>责人为同一人的情形。</w:t>
      </w:r>
    </w:p>
    <w:p>
      <w:pPr>
        <w:spacing w:before="1" w:line="227" w:lineRule="auto"/>
        <w:ind w:left="480"/>
        <w:rPr>
          <w:rFonts w:hint="eastAsia" w:ascii="仿宋" w:hAnsi="仿宋" w:eastAsia="仿宋" w:cs="仿宋"/>
          <w:sz w:val="23"/>
          <w:szCs w:val="23"/>
        </w:rPr>
      </w:pPr>
      <w:r>
        <w:rPr>
          <w:rFonts w:hint="eastAsia" w:ascii="仿宋" w:hAnsi="仿宋" w:eastAsia="仿宋" w:cs="仿宋"/>
          <w:spacing w:val="18"/>
          <w:sz w:val="23"/>
          <w:szCs w:val="23"/>
        </w:rPr>
        <w:t>本</w:t>
      </w:r>
      <w:r>
        <w:rPr>
          <w:rFonts w:hint="eastAsia" w:ascii="仿宋" w:hAnsi="仿宋" w:eastAsia="仿宋" w:cs="仿宋"/>
          <w:spacing w:val="11"/>
          <w:sz w:val="23"/>
          <w:szCs w:val="23"/>
        </w:rPr>
        <w:t>企</w:t>
      </w:r>
      <w:r>
        <w:rPr>
          <w:rFonts w:hint="eastAsia" w:ascii="仿宋" w:hAnsi="仿宋" w:eastAsia="仿宋" w:cs="仿宋"/>
          <w:spacing w:val="9"/>
          <w:sz w:val="23"/>
          <w:szCs w:val="23"/>
        </w:rPr>
        <w:t>业对上述声明内容的真实性负责。如有虚假，将依法承担相应责任。</w:t>
      </w:r>
    </w:p>
    <w:p>
      <w:pPr>
        <w:spacing w:line="285" w:lineRule="auto"/>
        <w:rPr>
          <w:rFonts w:hint="eastAsia" w:ascii="仿宋" w:hAnsi="仿宋" w:eastAsia="仿宋" w:cs="仿宋"/>
        </w:rPr>
      </w:pPr>
    </w:p>
    <w:p>
      <w:pPr>
        <w:spacing w:line="286" w:lineRule="auto"/>
        <w:rPr>
          <w:rFonts w:hint="eastAsia" w:ascii="仿宋" w:hAnsi="仿宋" w:eastAsia="仿宋" w:cs="仿宋"/>
        </w:rPr>
      </w:pPr>
    </w:p>
    <w:p>
      <w:pPr>
        <w:spacing w:before="75" w:line="466" w:lineRule="exact"/>
        <w:ind w:left="4211"/>
        <w:rPr>
          <w:rFonts w:hint="eastAsia" w:ascii="仿宋" w:hAnsi="仿宋" w:eastAsia="仿宋" w:cs="仿宋"/>
          <w:sz w:val="23"/>
          <w:szCs w:val="23"/>
        </w:rPr>
      </w:pPr>
      <w:r>
        <w:rPr>
          <w:rFonts w:hint="eastAsia" w:ascii="仿宋" w:hAnsi="仿宋" w:eastAsia="仿宋" w:cs="仿宋"/>
          <w:spacing w:val="8"/>
          <w:position w:val="17"/>
          <w:sz w:val="23"/>
          <w:szCs w:val="23"/>
        </w:rPr>
        <w:t>企</w:t>
      </w:r>
      <w:r>
        <w:rPr>
          <w:rFonts w:hint="eastAsia" w:ascii="仿宋" w:hAnsi="仿宋" w:eastAsia="仿宋" w:cs="仿宋"/>
          <w:spacing w:val="6"/>
          <w:position w:val="17"/>
          <w:sz w:val="23"/>
          <w:szCs w:val="23"/>
        </w:rPr>
        <w:t>业名称 (盖章) ：</w:t>
      </w:r>
    </w:p>
    <w:p>
      <w:pPr>
        <w:spacing w:before="1" w:line="228" w:lineRule="auto"/>
        <w:ind w:firstLine="5564" w:firstLineChars="2600"/>
        <w:rPr>
          <w:rFonts w:hint="eastAsia" w:ascii="仿宋" w:hAnsi="仿宋" w:eastAsia="仿宋" w:cs="仿宋"/>
          <w:sz w:val="23"/>
          <w:szCs w:val="23"/>
        </w:rPr>
      </w:pPr>
      <w:r>
        <w:rPr>
          <w:rFonts w:hint="eastAsia" w:ascii="仿宋" w:hAnsi="仿宋" w:eastAsia="仿宋" w:cs="仿宋"/>
          <w:spacing w:val="-8"/>
          <w:sz w:val="23"/>
          <w:szCs w:val="23"/>
        </w:rPr>
        <w:t>日</w:t>
      </w:r>
      <w:r>
        <w:rPr>
          <w:rFonts w:hint="eastAsia" w:ascii="仿宋" w:hAnsi="仿宋" w:eastAsia="仿宋" w:cs="仿宋"/>
          <w:spacing w:val="-6"/>
          <w:sz w:val="23"/>
          <w:szCs w:val="23"/>
        </w:rPr>
        <w:t xml:space="preserve"> 期：</w:t>
      </w:r>
    </w:p>
    <w:p>
      <w:pPr>
        <w:spacing w:before="94" w:line="375" w:lineRule="auto"/>
        <w:ind w:left="19" w:right="69" w:firstLine="487"/>
        <w:rPr>
          <w:rFonts w:hint="eastAsia" w:ascii="仿宋" w:hAnsi="仿宋" w:eastAsia="仿宋" w:cs="仿宋"/>
          <w:b/>
          <w:bCs/>
          <w:spacing w:val="12"/>
          <w:sz w:val="23"/>
          <w:szCs w:val="23"/>
        </w:rPr>
      </w:pPr>
      <w:r>
        <w:rPr>
          <w:rFonts w:hint="eastAsia" w:ascii="仿宋" w:hAnsi="仿宋" w:eastAsia="仿宋" w:cs="仿宋"/>
          <w:b/>
          <w:bCs/>
          <w:spacing w:val="12"/>
          <w:sz w:val="23"/>
          <w:szCs w:val="23"/>
        </w:rPr>
        <w:t>注:</w:t>
      </w:r>
    </w:p>
    <w:p>
      <w:pPr>
        <w:spacing w:before="94" w:line="375" w:lineRule="auto"/>
        <w:ind w:left="19" w:right="69" w:firstLine="487"/>
        <w:rPr>
          <w:rFonts w:hint="eastAsia" w:ascii="仿宋" w:hAnsi="仿宋" w:eastAsia="仿宋" w:cs="仿宋"/>
          <w:spacing w:val="12"/>
          <w:sz w:val="23"/>
          <w:szCs w:val="23"/>
          <w:lang w:val="en-US" w:eastAsia="zh-CN"/>
        </w:rPr>
      </w:pPr>
      <w:r>
        <w:rPr>
          <w:rFonts w:hint="eastAsia" w:ascii="仿宋" w:hAnsi="仿宋" w:eastAsia="仿宋" w:cs="仿宋"/>
          <w:spacing w:val="12"/>
          <w:sz w:val="23"/>
          <w:szCs w:val="23"/>
        </w:rPr>
        <w:t>1、从业人员、营业收入、资产总额填报上一年度数据，无上一年度数据的新成立企业可不填报</w:t>
      </w:r>
      <w:r>
        <w:rPr>
          <w:rFonts w:hint="eastAsia" w:ascii="仿宋" w:hAnsi="仿宋" w:eastAsia="仿宋" w:cs="仿宋"/>
          <w:spacing w:val="12"/>
          <w:sz w:val="23"/>
          <w:szCs w:val="23"/>
          <w:lang w:eastAsia="zh-CN"/>
        </w:rPr>
        <w:t>。</w:t>
      </w:r>
    </w:p>
    <w:p>
      <w:pPr>
        <w:spacing w:before="94" w:line="375" w:lineRule="auto"/>
        <w:ind w:left="19" w:right="69" w:firstLine="487"/>
        <w:rPr>
          <w:rFonts w:hint="eastAsia" w:ascii="仿宋" w:hAnsi="仿宋" w:eastAsia="仿宋" w:cs="仿宋"/>
          <w:spacing w:val="12"/>
          <w:sz w:val="23"/>
          <w:szCs w:val="23"/>
          <w:lang w:val="en-US" w:eastAsia="zh-CN"/>
        </w:rPr>
        <w:sectPr>
          <w:pgSz w:w="12240" w:h="15840"/>
          <w:pgMar w:top="1440" w:right="1800" w:bottom="1440" w:left="1800" w:header="720" w:footer="720" w:gutter="0"/>
          <w:pgNumType w:fmt="decimal"/>
          <w:cols w:space="720" w:num="1"/>
        </w:sectPr>
      </w:pPr>
      <w:r>
        <w:rPr>
          <w:rFonts w:hint="eastAsia" w:ascii="仿宋" w:hAnsi="仿宋" w:eastAsia="仿宋" w:cs="仿宋"/>
          <w:spacing w:val="12"/>
          <w:sz w:val="23"/>
          <w:szCs w:val="23"/>
        </w:rPr>
        <w:t>2、各供应商参照《关于印发中小企业划型标准规定的通知 工信部联企业〔2011〕300号》中小企业划型标准规定中规定的行业以及划型标准对本企业进行划型。</w:t>
      </w:r>
    </w:p>
    <w:p>
      <w:pPr>
        <w:spacing w:before="48" w:line="228" w:lineRule="auto"/>
        <w:ind w:left="3211"/>
        <w:outlineLvl w:val="0"/>
        <w:rPr>
          <w:rFonts w:hint="eastAsia" w:ascii="仿宋" w:hAnsi="仿宋" w:eastAsia="仿宋" w:cs="仿宋"/>
          <w:b/>
          <w:color w:val="auto"/>
          <w:sz w:val="28"/>
          <w:szCs w:val="28"/>
          <w:highlight w:val="none"/>
          <w:lang w:val="en-US" w:eastAsia="zh-CN"/>
        </w:rPr>
      </w:pPr>
      <w:bookmarkStart w:id="80" w:name="_Toc30210_WPSOffice_Level1"/>
      <w:r>
        <w:rPr>
          <w:rFonts w:hint="eastAsia" w:ascii="仿宋" w:hAnsi="仿宋" w:eastAsia="仿宋" w:cs="仿宋"/>
          <w:b/>
          <w:color w:val="auto"/>
          <w:sz w:val="28"/>
          <w:szCs w:val="28"/>
          <w:highlight w:val="none"/>
          <w:lang w:val="en-US" w:eastAsia="zh-CN"/>
        </w:rPr>
        <w:t>七、</w:t>
      </w:r>
      <w:bookmarkEnd w:id="76"/>
      <w:r>
        <w:rPr>
          <w:rFonts w:hint="eastAsia" w:ascii="仿宋" w:hAnsi="仿宋" w:eastAsia="仿宋" w:cs="仿宋"/>
          <w:b/>
          <w:color w:val="auto"/>
          <w:sz w:val="28"/>
          <w:szCs w:val="28"/>
          <w:highlight w:val="none"/>
          <w:lang w:val="en-US" w:eastAsia="zh-CN"/>
        </w:rPr>
        <w:t>其他资料</w:t>
      </w:r>
      <w:bookmarkEnd w:id="80"/>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（竞争性磋商规定应提交的有关资料，或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认为应提交的其他资料，在此提交）</w:t>
      </w:r>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p>
    <w:p>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pPr>
        <w:pStyle w:val="4"/>
        <w:pageBreakBefore w:val="0"/>
        <w:numPr>
          <w:ilvl w:val="0"/>
          <w:numId w:val="0"/>
        </w:numPr>
        <w:kinsoku/>
        <w:overflowPunct/>
        <w:topLinePunct w:val="0"/>
        <w:bidi w:val="0"/>
        <w:spacing w:beforeAutospacing="0" w:after="0" w:afterAutospacing="0" w:line="240" w:lineRule="auto"/>
        <w:ind w:left="0" w:leftChars="0" w:right="0" w:firstLine="241" w:firstLineChars="100"/>
        <w:jc w:val="left"/>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附件3</w:t>
      </w:r>
    </w:p>
    <w:p>
      <w:pPr>
        <w:pageBreakBefore w:val="0"/>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p>
    <w:p>
      <w:pPr>
        <w:pageBreakBefore w:val="0"/>
        <w:kinsoku/>
        <w:overflowPunct/>
        <w:topLinePunct w:val="0"/>
        <w:bidi w:val="0"/>
        <w:adjustRightInd w:val="0"/>
        <w:snapToGrid w:val="0"/>
        <w:spacing w:line="360" w:lineRule="auto"/>
        <w:ind w:firstLine="321" w:firstLineChars="100"/>
        <w:jc w:val="center"/>
        <w:textAlignment w:val="auto"/>
        <w:rPr>
          <w:rFonts w:hint="eastAsia" w:ascii="仿宋" w:hAnsi="仿宋" w:eastAsia="仿宋" w:cs="仿宋"/>
          <w:b/>
          <w:bCs/>
          <w:color w:val="auto"/>
          <w:kern w:val="2"/>
          <w:sz w:val="32"/>
          <w:szCs w:val="32"/>
          <w:highlight w:val="none"/>
          <w:lang w:val="en-US" w:eastAsia="zh-CN" w:bidi="ar-SA"/>
        </w:rPr>
      </w:pPr>
      <w:bookmarkStart w:id="81" w:name="_Toc31006_WPSOffice_Level1"/>
      <w:r>
        <w:rPr>
          <w:rFonts w:hint="eastAsia" w:ascii="仿宋" w:hAnsi="仿宋" w:eastAsia="仿宋" w:cs="仿宋"/>
          <w:b/>
          <w:bCs/>
          <w:color w:val="auto"/>
          <w:kern w:val="2"/>
          <w:sz w:val="32"/>
          <w:szCs w:val="32"/>
          <w:highlight w:val="none"/>
          <w:lang w:val="en-US" w:eastAsia="zh-CN" w:bidi="ar-SA"/>
        </w:rPr>
        <w:t>不参与围标串标承诺书</w:t>
      </w:r>
      <w:bookmarkEnd w:id="81"/>
    </w:p>
    <w:p>
      <w:pPr>
        <w:pageBreakBefore w:val="0"/>
        <w:kinsoku/>
        <w:overflowPunct/>
        <w:topLinePunct w:val="0"/>
        <w:bidi w:val="0"/>
        <w:adjustRightInd w:val="0"/>
        <w:snapToGrid w:val="0"/>
        <w:spacing w:line="360" w:lineRule="auto"/>
        <w:ind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本人作为经授权供应商代表，清楚知晓我单位本项目投标活动，对以下事项作出承诺:</w:t>
      </w:r>
    </w:p>
    <w:p>
      <w:pPr>
        <w:pageBreakBefore w:val="0"/>
        <w:kinsoku/>
        <w:overflowPunct/>
        <w:topLinePunct w:val="0"/>
        <w:bidi w:val="0"/>
        <w:adjustRightInd w:val="0"/>
        <w:snapToGrid w:val="0"/>
        <w:spacing w:line="360" w:lineRule="auto"/>
        <w:ind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一、我单位和我本人遵循公开、公平、公正、诚实守信的原则，依法依规参与本项目竞标。</w:t>
      </w:r>
    </w:p>
    <w:p>
      <w:pPr>
        <w:pageBreakBefore w:val="0"/>
        <w:kinsoku/>
        <w:overflowPunct/>
        <w:topLinePunct w:val="0"/>
        <w:bidi w:val="0"/>
        <w:adjustRightInd w:val="0"/>
        <w:snapToGrid w:val="0"/>
        <w:spacing w:line="360" w:lineRule="auto"/>
        <w:ind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二、我单位和我本人在本项目采购活动中，未参与围标串标。</w:t>
      </w:r>
    </w:p>
    <w:p>
      <w:pPr>
        <w:pageBreakBefore w:val="0"/>
        <w:kinsoku/>
        <w:overflowPunct/>
        <w:topLinePunct w:val="0"/>
        <w:bidi w:val="0"/>
        <w:adjustRightInd w:val="0"/>
        <w:snapToGrid w:val="0"/>
        <w:spacing w:line="360" w:lineRule="auto"/>
        <w:ind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三、我单位如被查实在本项目采购活动中存在围标串标行为的，递交投标文件行为作为实施串通投标违法行为的关键环节，本人承担直接责任人员法律责任，接受相应行政处罚和失信惩戒。</w:t>
      </w:r>
    </w:p>
    <w:p>
      <w:pPr>
        <w:pStyle w:val="4"/>
        <w:pageBreakBefore w:val="0"/>
        <w:numPr>
          <w:ilvl w:val="0"/>
          <w:numId w:val="0"/>
        </w:numPr>
        <w:kinsoku/>
        <w:overflowPunct/>
        <w:topLinePunct w:val="0"/>
        <w:bidi w:val="0"/>
        <w:spacing w:beforeAutospacing="0" w:after="0" w:afterAutospacing="0" w:line="240" w:lineRule="auto"/>
        <w:ind w:left="0" w:leftChars="0" w:right="0"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p>
    <w:p>
      <w:pPr>
        <w:pageBreakBefore w:val="0"/>
        <w:kinsoku/>
        <w:overflowPunct/>
        <w:topLinePunct w:val="0"/>
        <w:bidi w:val="0"/>
        <w:ind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w:t>
      </w: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供应商名称（加盖公章）：</w:t>
      </w:r>
    </w:p>
    <w:p>
      <w:pPr>
        <w:pStyle w:val="5"/>
        <w:keepNext w:val="0"/>
        <w:keepLines w:val="0"/>
        <w:pageBreakBefore w:val="0"/>
        <w:kinsoku/>
        <w:wordWrap/>
        <w:overflowPunct/>
        <w:topLinePunct w:val="0"/>
        <w:bidi w:val="0"/>
        <w:snapToGrid/>
        <w:spacing w:before="0" w:beforeAutospacing="0" w:after="0" w:afterAutospacing="0" w:line="240" w:lineRule="auto"/>
        <w:ind w:left="0" w:firstLine="240" w:firstLineChars="100"/>
        <w:jc w:val="center"/>
        <w:textAlignment w:val="auto"/>
        <w:rPr>
          <w:rFonts w:hint="eastAsia" w:ascii="仿宋" w:hAnsi="仿宋" w:eastAsia="仿宋" w:cs="仿宋"/>
          <w:b w:val="0"/>
          <w:bCs w:val="0"/>
          <w:color w:val="auto"/>
          <w:kern w:val="2"/>
          <w:sz w:val="24"/>
          <w:szCs w:val="24"/>
          <w:highlight w:val="none"/>
          <w:lang w:val="en-US" w:eastAsia="zh-CN" w:bidi="ar-SA"/>
        </w:rPr>
      </w:pPr>
    </w:p>
    <w:p>
      <w:pPr>
        <w:keepNext w:val="0"/>
        <w:keepLines w:val="0"/>
        <w:pageBreakBefore w:val="0"/>
        <w:kinsoku/>
        <w:wordWrap/>
        <w:overflowPunct/>
        <w:topLinePunct w:val="0"/>
        <w:bidi w:val="0"/>
        <w:snapToGrid/>
        <w:spacing w:beforeAutospacing="0" w:after="0" w:afterAutospacing="0" w:line="240" w:lineRule="auto"/>
        <w:ind w:left="0" w:right="0" w:firstLine="240" w:firstLineChars="100"/>
        <w:jc w:val="center"/>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 xml:space="preserve">              法定代表人或授权代表人（签字或盖章）：</w:t>
      </w: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firstLine="240" w:firstLineChars="100"/>
        <w:jc w:val="center"/>
        <w:textAlignment w:val="auto"/>
        <w:rPr>
          <w:rFonts w:hint="eastAsia" w:ascii="仿宋" w:hAnsi="仿宋" w:eastAsia="仿宋" w:cs="仿宋"/>
          <w:b w:val="0"/>
          <w:bCs w:val="0"/>
          <w:color w:val="auto"/>
          <w:kern w:val="2"/>
          <w:sz w:val="24"/>
          <w:szCs w:val="24"/>
          <w:highlight w:val="none"/>
          <w:lang w:val="en-US" w:eastAsia="zh-CN" w:bidi="ar-SA"/>
        </w:rPr>
      </w:pPr>
    </w:p>
    <w:p>
      <w:pPr>
        <w:keepNext w:val="0"/>
        <w:keepLines w:val="0"/>
        <w:pageBreakBefore w:val="0"/>
        <w:kinsoku/>
        <w:wordWrap/>
        <w:overflowPunct/>
        <w:topLinePunct w:val="0"/>
        <w:autoSpaceDE w:val="0"/>
        <w:autoSpaceDN w:val="0"/>
        <w:bidi w:val="0"/>
        <w:adjustRightInd w:val="0"/>
        <w:snapToGrid/>
        <w:spacing w:beforeAutospacing="0" w:after="0" w:afterAutospacing="0" w:line="240" w:lineRule="auto"/>
        <w:ind w:left="0" w:firstLine="240" w:firstLineChars="100"/>
        <w:jc w:val="right"/>
        <w:textAlignment w:val="auto"/>
        <w:rPr>
          <w:rFonts w:hint="eastAsia" w:ascii="仿宋" w:hAnsi="仿宋" w:eastAsia="仿宋" w:cs="仿宋"/>
          <w:b w:val="0"/>
          <w:bCs w:val="0"/>
          <w:color w:val="auto"/>
          <w:kern w:val="2"/>
          <w:sz w:val="24"/>
          <w:szCs w:val="24"/>
          <w:highlight w:val="none"/>
          <w:lang w:val="zh-CN" w:eastAsia="zh-CN" w:bidi="ar-SA"/>
        </w:rPr>
      </w:pPr>
      <w:r>
        <w:rPr>
          <w:rFonts w:hint="eastAsia" w:ascii="仿宋" w:hAnsi="仿宋" w:eastAsia="仿宋" w:cs="仿宋"/>
          <w:b w:val="0"/>
          <w:bCs w:val="0"/>
          <w:color w:val="auto"/>
          <w:kern w:val="2"/>
          <w:sz w:val="24"/>
          <w:szCs w:val="24"/>
          <w:highlight w:val="none"/>
          <w:lang w:val="en-US" w:eastAsia="zh-CN" w:bidi="ar-SA"/>
        </w:rPr>
        <w:t xml:space="preserve">          </w:t>
      </w:r>
      <w:r>
        <w:rPr>
          <w:rFonts w:hint="eastAsia" w:ascii="仿宋" w:hAnsi="仿宋" w:eastAsia="仿宋" w:cs="仿宋"/>
          <w:b w:val="0"/>
          <w:bCs w:val="0"/>
          <w:color w:val="auto"/>
          <w:kern w:val="2"/>
          <w:sz w:val="24"/>
          <w:szCs w:val="24"/>
          <w:highlight w:val="none"/>
          <w:lang w:val="zh-CN" w:eastAsia="zh-CN" w:bidi="ar-SA"/>
        </w:rPr>
        <w:t>年</w:t>
      </w:r>
      <w:r>
        <w:rPr>
          <w:rFonts w:hint="eastAsia" w:ascii="仿宋" w:hAnsi="仿宋" w:eastAsia="仿宋" w:cs="仿宋"/>
          <w:b w:val="0"/>
          <w:bCs w:val="0"/>
          <w:color w:val="auto"/>
          <w:kern w:val="2"/>
          <w:sz w:val="24"/>
          <w:szCs w:val="24"/>
          <w:highlight w:val="none"/>
          <w:lang w:val="zh-CN" w:eastAsia="zh-CN" w:bidi="ar-SA"/>
        </w:rPr>
        <w:tab/>
      </w:r>
      <w:r>
        <w:rPr>
          <w:rFonts w:hint="eastAsia" w:ascii="仿宋" w:hAnsi="仿宋" w:eastAsia="仿宋" w:cs="仿宋"/>
          <w:b w:val="0"/>
          <w:bCs w:val="0"/>
          <w:color w:val="auto"/>
          <w:kern w:val="2"/>
          <w:sz w:val="24"/>
          <w:szCs w:val="24"/>
          <w:highlight w:val="none"/>
          <w:lang w:val="en-US" w:eastAsia="zh-CN" w:bidi="ar-SA"/>
        </w:rPr>
        <w:t xml:space="preserve"> </w:t>
      </w:r>
      <w:r>
        <w:rPr>
          <w:rFonts w:hint="eastAsia" w:ascii="仿宋" w:hAnsi="仿宋" w:eastAsia="仿宋" w:cs="仿宋"/>
          <w:b w:val="0"/>
          <w:bCs w:val="0"/>
          <w:color w:val="auto"/>
          <w:kern w:val="2"/>
          <w:sz w:val="24"/>
          <w:szCs w:val="24"/>
          <w:highlight w:val="none"/>
          <w:lang w:val="zh-CN" w:eastAsia="zh-CN" w:bidi="ar-SA"/>
        </w:rPr>
        <w:t>月</w:t>
      </w:r>
      <w:r>
        <w:rPr>
          <w:rFonts w:hint="eastAsia" w:ascii="仿宋" w:hAnsi="仿宋" w:eastAsia="仿宋" w:cs="仿宋"/>
          <w:b w:val="0"/>
          <w:bCs w:val="0"/>
          <w:color w:val="auto"/>
          <w:kern w:val="2"/>
          <w:sz w:val="24"/>
          <w:szCs w:val="24"/>
          <w:highlight w:val="none"/>
          <w:lang w:val="en-US" w:eastAsia="zh-CN" w:bidi="ar-SA"/>
        </w:rPr>
        <w:t xml:space="preserve">  </w:t>
      </w:r>
      <w:r>
        <w:rPr>
          <w:rFonts w:hint="eastAsia" w:ascii="仿宋" w:hAnsi="仿宋" w:eastAsia="仿宋" w:cs="仿宋"/>
          <w:b w:val="0"/>
          <w:bCs w:val="0"/>
          <w:color w:val="auto"/>
          <w:kern w:val="2"/>
          <w:sz w:val="24"/>
          <w:szCs w:val="24"/>
          <w:highlight w:val="none"/>
          <w:lang w:val="zh-CN" w:eastAsia="zh-CN" w:bidi="ar-SA"/>
        </w:rPr>
        <w:tab/>
      </w:r>
      <w:r>
        <w:rPr>
          <w:rFonts w:hint="eastAsia" w:ascii="仿宋" w:hAnsi="仿宋" w:eastAsia="仿宋" w:cs="仿宋"/>
          <w:b w:val="0"/>
          <w:bCs w:val="0"/>
          <w:color w:val="auto"/>
          <w:kern w:val="2"/>
          <w:sz w:val="24"/>
          <w:szCs w:val="24"/>
          <w:highlight w:val="none"/>
          <w:lang w:val="zh-CN" w:eastAsia="zh-CN" w:bidi="ar-SA"/>
        </w:rPr>
        <w:t>日</w:t>
      </w:r>
    </w:p>
    <w:p>
      <w:pPr>
        <w:pageBreakBefore w:val="0"/>
        <w:kinsoku/>
        <w:overflowPunct/>
        <w:topLinePunct w:val="0"/>
        <w:bidi w:val="0"/>
        <w:spacing w:after="80"/>
        <w:ind w:firstLine="240" w:firstLineChars="100"/>
        <w:jc w:val="left"/>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val="0"/>
          <w:bCs w:val="0"/>
          <w:color w:val="auto"/>
          <w:kern w:val="2"/>
          <w:sz w:val="24"/>
          <w:szCs w:val="24"/>
          <w:highlight w:val="none"/>
          <w:lang w:val="en-US" w:eastAsia="zh-CN" w:bidi="ar-SA"/>
        </w:rPr>
        <w:br w:type="page"/>
      </w:r>
      <w:bookmarkStart w:id="82" w:name="_Toc15442_WPSOffice_Level1"/>
      <w:r>
        <w:rPr>
          <w:rFonts w:hint="eastAsia" w:ascii="仿宋" w:hAnsi="仿宋" w:eastAsia="仿宋" w:cs="仿宋"/>
          <w:b/>
          <w:color w:val="auto"/>
          <w:sz w:val="28"/>
          <w:szCs w:val="28"/>
          <w:highlight w:val="none"/>
          <w:lang w:val="en-US" w:eastAsia="zh-CN"/>
        </w:rPr>
        <w:t>八、现场提供给供应商二次磋商报价函进行二次报价或三次报价函进行三次报价。</w:t>
      </w:r>
      <w:bookmarkEnd w:id="82"/>
    </w:p>
    <w:p>
      <w:pPr>
        <w:pageBreakBefore w:val="0"/>
        <w:kinsoku/>
        <w:overflowPunct/>
        <w:topLinePunct w:val="0"/>
        <w:bidi w:val="0"/>
        <w:spacing w:beforeAutospacing="0" w:after="0" w:afterAutospacing="0" w:line="240" w:lineRule="auto"/>
        <w:ind w:left="0" w:leftChars="0" w:right="0" w:firstLine="210" w:firstLineChars="100"/>
        <w:jc w:val="left"/>
        <w:textAlignment w:val="auto"/>
        <w:rPr>
          <w:rFonts w:hint="eastAsia" w:ascii="仿宋" w:hAnsi="仿宋" w:eastAsia="仿宋" w:cs="仿宋"/>
          <w:color w:val="auto"/>
          <w:highlight w:val="none"/>
        </w:rPr>
      </w:pPr>
    </w:p>
    <w:p>
      <w:pPr>
        <w:spacing w:before="1" w:line="228" w:lineRule="auto"/>
        <w:ind w:left="605"/>
        <w:rPr>
          <w:rFonts w:hint="eastAsia" w:ascii="仿宋" w:hAnsi="仿宋" w:eastAsia="仿宋" w:cs="仿宋"/>
          <w:sz w:val="23"/>
          <w:szCs w:val="23"/>
        </w:rPr>
      </w:pPr>
    </w:p>
    <w:sectPr>
      <w:pgSz w:w="11906" w:h="16839"/>
      <w:pgMar w:top="1440" w:right="1800" w:bottom="1440" w:left="1800" w:header="0" w:footer="120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5" w:lineRule="auto"/>
      <w:ind w:left="3758"/>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2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ascii="宋体" w:hAnsi="宋体" w:eastAsia="宋体" w:cs="宋体"/>
        <w:spacing w:val="7"/>
        <w:sz w:val="23"/>
        <w:szCs w:val="23"/>
        <w:u w:val="single" w:color="auto"/>
        <w:lang w:eastAsia="zh-CN"/>
      </w:rPr>
    </w:pPr>
  </w:p>
  <w:p>
    <w:pPr>
      <w:pStyle w:val="17"/>
      <w:rPr>
        <w:rFonts w:hint="eastAsia" w:ascii="宋体" w:hAnsi="宋体" w:eastAsia="宋体" w:cs="宋体"/>
        <w:spacing w:val="7"/>
        <w:sz w:val="23"/>
        <w:szCs w:val="23"/>
        <w:u w:val="none" w:color="auto"/>
        <w:lang w:eastAsia="zh-CN"/>
      </w:rPr>
    </w:pPr>
  </w:p>
  <w:p>
    <w:pPr>
      <w:pStyle w:val="17"/>
      <w:rPr>
        <w:u w:val="non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035DDB"/>
    <w:multiLevelType w:val="singleLevel"/>
    <w:tmpl w:val="A2035DDB"/>
    <w:lvl w:ilvl="0" w:tentative="0">
      <w:start w:val="1"/>
      <w:numFmt w:val="decimal"/>
      <w:suff w:val="nothing"/>
      <w:lvlText w:val="%1、"/>
      <w:lvlJc w:val="left"/>
    </w:lvl>
  </w:abstractNum>
  <w:abstractNum w:abstractNumId="1">
    <w:nsid w:val="CF092B84"/>
    <w:multiLevelType w:val="multilevel"/>
    <w:tmpl w:val="CF092B84"/>
    <w:lvl w:ilvl="0" w:tentative="0">
      <w:start w:val="1"/>
      <w:numFmt w:val="decimal"/>
      <w:pStyle w:val="2"/>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2">
    <w:nsid w:val="00000007"/>
    <w:multiLevelType w:val="multilevel"/>
    <w:tmpl w:val="00000007"/>
    <w:lvl w:ilvl="0" w:tentative="0">
      <w:start w:val="1"/>
      <w:numFmt w:val="chineseCountingThousand"/>
      <w:pStyle w:val="4"/>
      <w:suff w:val="nothing"/>
      <w:lvlText w:val="%1、"/>
      <w:lvlJc w:val="left"/>
      <w:pPr>
        <w:ind w:left="0" w:firstLine="0"/>
      </w:pPr>
      <w:rPr>
        <w:rFonts w:hint="eastAsia"/>
      </w:rPr>
    </w:lvl>
    <w:lvl w:ilvl="1" w:tentative="0">
      <w:start w:val="1"/>
      <w:numFmt w:val="decimal"/>
      <w:isLgl/>
      <w:suff w:val="nothing"/>
      <w:lvlText w:val="%1.%2 "/>
      <w:lvlJc w:val="left"/>
      <w:pPr>
        <w:ind w:left="3970" w:firstLine="0"/>
      </w:pPr>
    </w:lvl>
    <w:lvl w:ilvl="2" w:tentative="0">
      <w:start w:val="1"/>
      <w:numFmt w:val="decimal"/>
      <w:isLgl/>
      <w:suff w:val="nothing"/>
      <w:lvlText w:val="%1.%2.%3 "/>
      <w:lvlJc w:val="left"/>
      <w:pPr>
        <w:ind w:left="142"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05BB0CE"/>
    <w:multiLevelType w:val="singleLevel"/>
    <w:tmpl w:val="405BB0CE"/>
    <w:lvl w:ilvl="0" w:tentative="0">
      <w:start w:val="2"/>
      <w:numFmt w:val="decimal"/>
      <w:suff w:val="nothing"/>
      <w:lvlText w:val="（%1）"/>
      <w:lvlJc w:val="left"/>
    </w:lvl>
  </w:abstractNum>
  <w:abstractNum w:abstractNumId="4">
    <w:nsid w:val="7C58DF28"/>
    <w:multiLevelType w:val="singleLevel"/>
    <w:tmpl w:val="7C58DF28"/>
    <w:lvl w:ilvl="0" w:tentative="0">
      <w:start w:val="1"/>
      <w:numFmt w:val="decimal"/>
      <w:lvlText w:val="%1)"/>
      <w:lvlJc w:val="left"/>
      <w:pPr>
        <w:tabs>
          <w:tab w:val="left" w:pos="312"/>
        </w:tabs>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Y0YmRiMDQxZDQyODM1Nzk4YzMzNTU2YjI0YzQ0YzEifQ=="/>
  </w:docVars>
  <w:rsids>
    <w:rsidRoot w:val="00000000"/>
    <w:rsid w:val="01F15EE7"/>
    <w:rsid w:val="04150787"/>
    <w:rsid w:val="05735F13"/>
    <w:rsid w:val="0B8F6477"/>
    <w:rsid w:val="0D640D2D"/>
    <w:rsid w:val="0DFD060A"/>
    <w:rsid w:val="101452C0"/>
    <w:rsid w:val="12DF2054"/>
    <w:rsid w:val="12E9798B"/>
    <w:rsid w:val="144A32B8"/>
    <w:rsid w:val="173F2BDF"/>
    <w:rsid w:val="1D9C032F"/>
    <w:rsid w:val="1EC1144A"/>
    <w:rsid w:val="20846B98"/>
    <w:rsid w:val="21972E43"/>
    <w:rsid w:val="22AF5F17"/>
    <w:rsid w:val="25AA416C"/>
    <w:rsid w:val="28995A8E"/>
    <w:rsid w:val="29044D40"/>
    <w:rsid w:val="29A360E1"/>
    <w:rsid w:val="2A407D9F"/>
    <w:rsid w:val="2B9D125F"/>
    <w:rsid w:val="2C1A1277"/>
    <w:rsid w:val="2E411FC4"/>
    <w:rsid w:val="2EA50F6E"/>
    <w:rsid w:val="2FAA48BF"/>
    <w:rsid w:val="31603F91"/>
    <w:rsid w:val="339E264C"/>
    <w:rsid w:val="357E6C88"/>
    <w:rsid w:val="36597EEA"/>
    <w:rsid w:val="37C86C81"/>
    <w:rsid w:val="3AAF21A5"/>
    <w:rsid w:val="40DE5874"/>
    <w:rsid w:val="41591DD3"/>
    <w:rsid w:val="42B62069"/>
    <w:rsid w:val="478E4A48"/>
    <w:rsid w:val="491A296F"/>
    <w:rsid w:val="4A1C531B"/>
    <w:rsid w:val="4C2A500E"/>
    <w:rsid w:val="4C7D243D"/>
    <w:rsid w:val="4F133DD7"/>
    <w:rsid w:val="4F700AA2"/>
    <w:rsid w:val="504104A3"/>
    <w:rsid w:val="50530F43"/>
    <w:rsid w:val="55232702"/>
    <w:rsid w:val="55797708"/>
    <w:rsid w:val="5755621D"/>
    <w:rsid w:val="59593274"/>
    <w:rsid w:val="5AF810EE"/>
    <w:rsid w:val="5F7F527A"/>
    <w:rsid w:val="60ED40AE"/>
    <w:rsid w:val="676F5C1F"/>
    <w:rsid w:val="68F5135E"/>
    <w:rsid w:val="69BF0211"/>
    <w:rsid w:val="6A564C48"/>
    <w:rsid w:val="6D01297F"/>
    <w:rsid w:val="6E1D6B80"/>
    <w:rsid w:val="6E763C8F"/>
    <w:rsid w:val="77872694"/>
    <w:rsid w:val="77E14B19"/>
    <w:rsid w:val="7D0E6828"/>
    <w:rsid w:val="7E6A4665"/>
    <w:rsid w:val="7F2051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1"/>
    <w:basedOn w:val="1"/>
    <w:next w:val="1"/>
    <w:qFormat/>
    <w:uiPriority w:val="0"/>
    <w:pPr>
      <w:keepNext/>
      <w:keepLines/>
      <w:numPr>
        <w:ilvl w:val="0"/>
        <w:numId w:val="1"/>
      </w:numPr>
      <w:jc w:val="center"/>
      <w:outlineLvl w:val="0"/>
    </w:pPr>
    <w:rPr>
      <w:b/>
      <w:bCs/>
      <w:color w:val="0000FF"/>
      <w:kern w:val="44"/>
      <w:sz w:val="32"/>
      <w:szCs w:val="44"/>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6">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customStyle="1" w:styleId="2">
    <w:name w:val="表名称"/>
    <w:basedOn w:val="3"/>
    <w:qFormat/>
    <w:uiPriority w:val="0"/>
    <w:pPr>
      <w:numPr>
        <w:ilvl w:val="0"/>
        <w:numId w:val="2"/>
      </w:numPr>
      <w:ind w:left="900"/>
      <w:jc w:val="center"/>
    </w:pPr>
    <w:rPr>
      <w:rFonts w:ascii="Times New Roman" w:hAnsi="Times New Roman" w:eastAsia="仿宋_GB2312"/>
      <w:sz w:val="30"/>
    </w:rPr>
  </w:style>
  <w:style w:type="paragraph" w:styleId="3">
    <w:name w:val="Normal Indent"/>
    <w:basedOn w:val="1"/>
    <w:next w:val="1"/>
    <w:qFormat/>
    <w:uiPriority w:val="0"/>
    <w:pPr>
      <w:widowControl/>
      <w:ind w:firstLine="420"/>
      <w:jc w:val="left"/>
    </w:pPr>
    <w:rPr>
      <w:kern w:val="0"/>
      <w:sz w:val="20"/>
      <w:szCs w:val="20"/>
    </w:rPr>
  </w:style>
  <w:style w:type="paragraph" w:styleId="7">
    <w:name w:val="Body Text First Indent"/>
    <w:basedOn w:val="8"/>
    <w:next w:val="1"/>
    <w:qFormat/>
    <w:uiPriority w:val="0"/>
    <w:pPr>
      <w:tabs>
        <w:tab w:val="left" w:pos="208"/>
      </w:tabs>
      <w:spacing w:line="540" w:lineRule="exact"/>
      <w:ind w:firstLine="420" w:firstLineChars="100"/>
    </w:pPr>
    <w:rPr>
      <w:rFonts w:eastAsia="仿宋_GB2312"/>
      <w:sz w:val="28"/>
      <w:szCs w:val="24"/>
    </w:rPr>
  </w:style>
  <w:style w:type="paragraph" w:styleId="8">
    <w:name w:val="Body Text"/>
    <w:basedOn w:val="1"/>
    <w:next w:val="9"/>
    <w:qFormat/>
    <w:uiPriority w:val="0"/>
    <w:pPr>
      <w:tabs>
        <w:tab w:val="left" w:pos="208"/>
      </w:tabs>
      <w:spacing w:line="432" w:lineRule="auto"/>
    </w:pPr>
    <w:rPr>
      <w:rFonts w:ascii="仿宋_GB2312" w:eastAsia="仿宋_GB2312"/>
      <w:sz w:val="28"/>
    </w:rPr>
  </w:style>
  <w:style w:type="paragraph" w:styleId="9">
    <w:name w:val="Body Text 3"/>
    <w:basedOn w:val="1"/>
    <w:next w:val="1"/>
    <w:qFormat/>
    <w:uiPriority w:val="0"/>
    <w:pPr>
      <w:spacing w:line="440" w:lineRule="exact"/>
    </w:pPr>
    <w:rPr>
      <w:color w:val="000000"/>
      <w:kern w:val="2"/>
      <w:sz w:val="21"/>
      <w:szCs w:val="20"/>
    </w:rPr>
  </w:style>
  <w:style w:type="paragraph" w:styleId="10">
    <w:name w:val="toa heading"/>
    <w:basedOn w:val="1"/>
    <w:next w:val="1"/>
    <w:qFormat/>
    <w:uiPriority w:val="0"/>
    <w:pPr>
      <w:spacing w:before="120"/>
    </w:pPr>
    <w:rPr>
      <w:rFonts w:ascii="Arial" w:hAnsi="Arial"/>
      <w:sz w:val="24"/>
      <w:szCs w:val="21"/>
    </w:rPr>
  </w:style>
  <w:style w:type="paragraph" w:styleId="11">
    <w:name w:val="Body Text Indent"/>
    <w:basedOn w:val="1"/>
    <w:next w:val="12"/>
    <w:qFormat/>
    <w:uiPriority w:val="0"/>
    <w:pPr>
      <w:ind w:firstLine="560" w:firstLineChars="200"/>
    </w:pPr>
    <w:rPr>
      <w:rFonts w:eastAsia="仿宋_GB2312"/>
      <w:sz w:val="28"/>
      <w:szCs w:val="21"/>
    </w:rPr>
  </w:style>
  <w:style w:type="paragraph" w:customStyle="1" w:styleId="12">
    <w:name w:val="Default"/>
    <w:next w:val="13"/>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13">
    <w:name w:val="大标题"/>
    <w:basedOn w:val="1"/>
    <w:next w:val="14"/>
    <w:qFormat/>
    <w:uiPriority w:val="0"/>
    <w:pPr>
      <w:jc w:val="center"/>
    </w:pPr>
    <w:rPr>
      <w:rFonts w:ascii="Arial" w:hAnsi="Arial" w:eastAsia="宋体" w:cs="Times New Roman"/>
      <w:b/>
      <w:sz w:val="28"/>
      <w:szCs w:val="24"/>
    </w:rPr>
  </w:style>
  <w:style w:type="paragraph" w:styleId="14">
    <w:name w:val="Body Text First Indent 2"/>
    <w:basedOn w:val="11"/>
    <w:next w:val="1"/>
    <w:qFormat/>
    <w:uiPriority w:val="0"/>
    <w:pPr>
      <w:ind w:firstLine="420" w:firstLineChars="200"/>
    </w:pPr>
  </w:style>
  <w:style w:type="paragraph" w:styleId="15">
    <w:name w:val="Plain Text"/>
    <w:basedOn w:val="1"/>
    <w:qFormat/>
    <w:uiPriority w:val="0"/>
    <w:pPr>
      <w:spacing w:line="382" w:lineRule="exact"/>
      <w:ind w:firstLine="200" w:firstLineChars="200"/>
    </w:pPr>
    <w:rPr>
      <w:rFonts w:ascii="宋体" w:hAnsi="Courier New" w:cs="Courier New"/>
      <w:sz w:val="24"/>
      <w:szCs w:val="21"/>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footnote text"/>
    <w:basedOn w:val="1"/>
    <w:semiHidden/>
    <w:unhideWhenUsed/>
    <w:qFormat/>
    <w:uiPriority w:val="99"/>
    <w:pPr>
      <w:snapToGrid w:val="0"/>
      <w:jc w:val="left"/>
    </w:pPr>
    <w:rPr>
      <w:sz w:val="18"/>
    </w:rPr>
  </w:style>
  <w:style w:type="paragraph" w:styleId="19">
    <w:name w:val="Body Text 2"/>
    <w:basedOn w:val="1"/>
    <w:qFormat/>
    <w:uiPriority w:val="0"/>
    <w:rPr>
      <w:rFonts w:ascii="宋体" w:hAnsi="宋体"/>
      <w:sz w:val="18"/>
      <w:szCs w:val="20"/>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22">
    <w:name w:val="Strong"/>
    <w:basedOn w:val="21"/>
    <w:qFormat/>
    <w:uiPriority w:val="0"/>
    <w:rPr>
      <w:b/>
      <w:bCs/>
    </w:rPr>
  </w:style>
  <w:style w:type="character" w:styleId="23">
    <w:name w:val="Hyperlink"/>
    <w:basedOn w:val="21"/>
    <w:qFormat/>
    <w:uiPriority w:val="0"/>
    <w:rPr>
      <w:color w:val="0000FF"/>
      <w:u w:val="single"/>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6">
    <w:name w:val="Table Normal"/>
    <w:semiHidden/>
    <w:unhideWhenUsed/>
    <w:qFormat/>
    <w:uiPriority w:val="0"/>
    <w:tblPr>
      <w:tblLayout w:type="fixed"/>
      <w:tblCellMar>
        <w:top w:w="0" w:type="dxa"/>
        <w:left w:w="0" w:type="dxa"/>
        <w:bottom w:w="0" w:type="dxa"/>
        <w:right w:w="0" w:type="dxa"/>
      </w:tblCellMar>
    </w:tblPr>
  </w:style>
  <w:style w:type="paragraph" w:customStyle="1" w:styleId="27">
    <w:name w:val="1"/>
    <w:basedOn w:val="1"/>
    <w:next w:val="19"/>
    <w:qFormat/>
    <w:uiPriority w:val="0"/>
    <w:pPr>
      <w:adjustRightInd w:val="0"/>
      <w:snapToGrid w:val="0"/>
      <w:spacing w:line="336" w:lineRule="auto"/>
      <w:ind w:firstLine="480" w:firstLineChars="200"/>
    </w:pPr>
    <w:rPr>
      <w:snapToGrid w:val="0"/>
      <w:color w:val="993300"/>
      <w:sz w:val="24"/>
    </w:rPr>
  </w:style>
  <w:style w:type="paragraph" w:customStyle="1" w:styleId="28">
    <w:name w:val="Normal_0"/>
    <w:qFormat/>
    <w:uiPriority w:val="0"/>
    <w:rPr>
      <w:rFonts w:ascii="Times New Roman" w:hAnsi="Times New Roman" w:eastAsia="Times New Roman" w:cs="Times New Roman"/>
      <w:sz w:val="24"/>
      <w:szCs w:val="24"/>
      <w:lang w:val="en-US" w:eastAsia="zh-CN" w:bidi="ar-SA"/>
    </w:rPr>
  </w:style>
  <w:style w:type="paragraph" w:customStyle="1" w:styleId="29">
    <w:name w:val="WPSOffice手动目录 1"/>
    <w:qFormat/>
    <w:uiPriority w:val="0"/>
    <w:pPr>
      <w:ind w:leftChars="0"/>
    </w:pPr>
    <w:rPr>
      <w:rFonts w:ascii="Arial" w:hAnsi="Arial" w:eastAsia="宋体"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946450d-73f1-4e2d-84df-6458b7f5cc64}"/>
        <w:style w:val=""/>
        <w:category>
          <w:name w:val="常规"/>
          <w:gallery w:val="placeholder"/>
        </w:category>
        <w:types>
          <w:type w:val="bbPlcHdr"/>
        </w:types>
        <w:behaviors>
          <w:behavior w:val="content"/>
        </w:behaviors>
        <w:description w:val=""/>
        <w:guid w:val="{e946450d-73f1-4e2d-84df-6458b7f5cc64}"/>
      </w:docPartPr>
      <w:docPartBody>
        <w:p>
          <w:r>
            <w:rPr>
              <w:color w:val="808080"/>
            </w:rPr>
            <w:t>单击此处输入文字。</w:t>
          </w:r>
        </w:p>
      </w:docPartBody>
    </w:docPart>
    <w:docPart>
      <w:docPartPr>
        <w:name w:val="{8a233fd3-2d64-44e7-b2a7-be21bb9b8012}"/>
        <w:style w:val=""/>
        <w:category>
          <w:name w:val="常规"/>
          <w:gallery w:val="placeholder"/>
        </w:category>
        <w:types>
          <w:type w:val="bbPlcHdr"/>
        </w:types>
        <w:behaviors>
          <w:behavior w:val="content"/>
        </w:behaviors>
        <w:description w:val=""/>
        <w:guid w:val="{8a233fd3-2d64-44e7-b2a7-be21bb9b8012}"/>
      </w:docPartPr>
      <w:docPartBody>
        <w:p>
          <w:r>
            <w:rPr>
              <w:color w:val="808080"/>
            </w:rPr>
            <w:t>单击此处输入文字。</w:t>
          </w:r>
        </w:p>
      </w:docPartBody>
    </w:docPart>
    <w:docPart>
      <w:docPartPr>
        <w:name w:val="{07e4bfc6-6ac2-44a2-9382-fddb834dc0e7}"/>
        <w:style w:val=""/>
        <w:category>
          <w:name w:val="常规"/>
          <w:gallery w:val="placeholder"/>
        </w:category>
        <w:types>
          <w:type w:val="bbPlcHdr"/>
        </w:types>
        <w:behaviors>
          <w:behavior w:val="content"/>
        </w:behaviors>
        <w:description w:val=""/>
        <w:guid w:val="{07e4bfc6-6ac2-44a2-9382-fddb834dc0e7}"/>
      </w:docPartPr>
      <w:docPartBody>
        <w:p>
          <w:r>
            <w:rPr>
              <w:color w:val="808080"/>
            </w:rPr>
            <w:t>单击此处输入文字。</w:t>
          </w:r>
        </w:p>
      </w:docPartBody>
    </w:docPart>
    <w:docPart>
      <w:docPartPr>
        <w:name w:val="{0ec7735d-5afe-4f11-9c19-b64c8ffbe2a5}"/>
        <w:style w:val=""/>
        <w:category>
          <w:name w:val="常规"/>
          <w:gallery w:val="placeholder"/>
        </w:category>
        <w:types>
          <w:type w:val="bbPlcHdr"/>
        </w:types>
        <w:behaviors>
          <w:behavior w:val="content"/>
        </w:behaviors>
        <w:description w:val=""/>
        <w:guid w:val="{0ec7735d-5afe-4f11-9c19-b64c8ffbe2a5}"/>
      </w:docPartPr>
      <w:docPartBody>
        <w:p>
          <w:r>
            <w:rPr>
              <w:color w:val="808080"/>
            </w:rPr>
            <w:t>单击此处输入文字。</w:t>
          </w:r>
        </w:p>
      </w:docPartBody>
    </w:docPart>
    <w:docPart>
      <w:docPartPr>
        <w:name w:val="{7b68a32d-eac4-4462-9c58-54fdf30e21f7}"/>
        <w:style w:val=""/>
        <w:category>
          <w:name w:val="常规"/>
          <w:gallery w:val="placeholder"/>
        </w:category>
        <w:types>
          <w:type w:val="bbPlcHdr"/>
        </w:types>
        <w:behaviors>
          <w:behavior w:val="content"/>
        </w:behaviors>
        <w:description w:val=""/>
        <w:guid w:val="{7b68a32d-eac4-4462-9c58-54fdf30e21f7}"/>
      </w:docPartPr>
      <w:docPartBody>
        <w:p>
          <w:r>
            <w:rPr>
              <w:color w:val="808080"/>
            </w:rPr>
            <w:t>单击此处输入文字。</w:t>
          </w:r>
        </w:p>
      </w:docPartBody>
    </w:docPart>
    <w:docPart>
      <w:docPartPr>
        <w:name w:val="{0d151665-0f62-4bb6-912b-f5e21b4d7c1c}"/>
        <w:style w:val=""/>
        <w:category>
          <w:name w:val="常规"/>
          <w:gallery w:val="placeholder"/>
        </w:category>
        <w:types>
          <w:type w:val="bbPlcHdr"/>
        </w:types>
        <w:behaviors>
          <w:behavior w:val="content"/>
        </w:behaviors>
        <w:description w:val=""/>
        <w:guid w:val="{0d151665-0f62-4bb6-912b-f5e21b4d7c1c}"/>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21556</Words>
  <Characters>23364</Characters>
  <TotalTime>26</TotalTime>
  <ScaleCrop>false</ScaleCrop>
  <LinksUpToDate>false</LinksUpToDate>
  <CharactersWithSpaces>26325</CharactersWithSpaces>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2022-10-26T09:15:00Z</dcterms:created>
  <dc:creator>微软用户</dc:creator>
  <cp:lastModifiedBy>Admin</cp:lastModifiedBy>
  <cp:lastPrinted>2023-01-03T04:35:00Z</cp:lastPrinted>
  <dcterms:modified xsi:type="dcterms:W3CDTF">2023-03-13T11:15:24Z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2023-01-02T02:25:53Z</vt:filetime>
  </property>
  <property fmtid="{D5CDD505-2E9C-101B-9397-08002B2CF9AE}" pid="4" name="KSOProductBuildVer">
    <vt:lpwstr>2052-11.8.2.8053</vt:lpwstr>
  </property>
  <property fmtid="{D5CDD505-2E9C-101B-9397-08002B2CF9AE}" pid="5" name="ICV">
    <vt:lpwstr>BD332065694943F1B583DA8DD0130047</vt:lpwstr>
  </property>
</Properties>
</file>