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52"/>
          <w:szCs w:val="52"/>
          <w:highlight w:val="none"/>
        </w:rPr>
      </w:pPr>
    </w:p>
    <w:p>
      <w:pPr>
        <w:jc w:val="center"/>
        <w:rPr>
          <w:rFonts w:hint="eastAsia" w:asciiTheme="minorEastAsia" w:hAnsiTheme="minorEastAsia" w:eastAsiaTheme="minorEastAsia"/>
          <w:b/>
          <w:sz w:val="48"/>
          <w:szCs w:val="48"/>
          <w:highlight w:val="none"/>
          <w:lang w:eastAsia="zh-CN"/>
        </w:rPr>
      </w:pPr>
      <w:r>
        <w:rPr>
          <w:rFonts w:hint="eastAsia" w:asciiTheme="minorEastAsia" w:hAnsiTheme="minorEastAsia"/>
          <w:b/>
          <w:sz w:val="48"/>
          <w:szCs w:val="48"/>
          <w:highlight w:val="none"/>
          <w:lang w:eastAsia="zh-CN"/>
        </w:rPr>
        <w:t>巴里坤哈萨克自治县环卫所2023年环卫车辆采购项目</w:t>
      </w:r>
    </w:p>
    <w:p>
      <w:pPr>
        <w:jc w:val="center"/>
        <w:rPr>
          <w:rFonts w:asciiTheme="minorEastAsia" w:hAnsiTheme="minorEastAsia"/>
          <w:b/>
          <w:sz w:val="28"/>
          <w:szCs w:val="28"/>
          <w:highlight w:val="none"/>
        </w:rPr>
      </w:pPr>
      <w:r>
        <w:rPr>
          <w:rFonts w:hint="eastAsia" w:asciiTheme="minorEastAsia" w:hAnsiTheme="minorEastAsia"/>
          <w:b/>
          <w:sz w:val="28"/>
          <w:szCs w:val="28"/>
          <w:highlight w:val="none"/>
        </w:rPr>
        <w:t>项目编号：HMHY-202</w:t>
      </w:r>
      <w:r>
        <w:rPr>
          <w:rFonts w:hint="eastAsia" w:asciiTheme="minorEastAsia" w:hAnsiTheme="minorEastAsia"/>
          <w:b/>
          <w:sz w:val="28"/>
          <w:szCs w:val="28"/>
          <w:highlight w:val="none"/>
          <w:lang w:val="en-US" w:eastAsia="zh-CN"/>
        </w:rPr>
        <w:t>3</w:t>
      </w:r>
      <w:r>
        <w:rPr>
          <w:rFonts w:hint="eastAsia" w:asciiTheme="minorEastAsia" w:hAnsiTheme="minorEastAsia"/>
          <w:b/>
          <w:sz w:val="28"/>
          <w:szCs w:val="28"/>
          <w:highlight w:val="none"/>
        </w:rPr>
        <w:t>-0</w:t>
      </w:r>
      <w:r>
        <w:rPr>
          <w:rFonts w:hint="eastAsia" w:asciiTheme="minorEastAsia" w:hAnsiTheme="minorEastAsia"/>
          <w:b/>
          <w:sz w:val="28"/>
          <w:szCs w:val="28"/>
          <w:highlight w:val="none"/>
          <w:lang w:val="en-US" w:eastAsia="zh-CN"/>
        </w:rPr>
        <w:t>12</w:t>
      </w:r>
      <w:r>
        <w:rPr>
          <w:rFonts w:hint="eastAsia" w:asciiTheme="minorEastAsia" w:hAnsiTheme="minorEastAsia"/>
          <w:b/>
          <w:sz w:val="28"/>
          <w:szCs w:val="28"/>
          <w:highlight w:val="none"/>
        </w:rPr>
        <w:t xml:space="preserve"> </w:t>
      </w:r>
    </w:p>
    <w:p>
      <w:pPr>
        <w:rPr>
          <w:rFonts w:asciiTheme="minorEastAsia" w:hAnsiTheme="minorEastAsia"/>
          <w:b/>
          <w:sz w:val="52"/>
          <w:szCs w:val="52"/>
          <w:highlight w:val="none"/>
        </w:rPr>
      </w:pPr>
    </w:p>
    <w:p>
      <w:pPr>
        <w:jc w:val="center"/>
        <w:rPr>
          <w:rFonts w:hint="eastAsia" w:asciiTheme="minorEastAsia" w:hAnsiTheme="minorEastAsia"/>
          <w:b/>
          <w:sz w:val="72"/>
          <w:szCs w:val="52"/>
          <w:highlight w:val="none"/>
          <w:lang w:eastAsia="zh-CN"/>
        </w:rPr>
      </w:pPr>
      <w:r>
        <w:rPr>
          <w:rFonts w:hint="eastAsia" w:asciiTheme="minorEastAsia" w:hAnsiTheme="minorEastAsia"/>
          <w:b/>
          <w:sz w:val="72"/>
          <w:szCs w:val="52"/>
          <w:highlight w:val="none"/>
          <w:lang w:eastAsia="zh-CN"/>
        </w:rPr>
        <w:t>采</w:t>
      </w:r>
    </w:p>
    <w:p>
      <w:pPr>
        <w:jc w:val="center"/>
        <w:rPr>
          <w:rFonts w:hint="eastAsia" w:asciiTheme="minorEastAsia" w:hAnsiTheme="minorEastAsia"/>
          <w:b/>
          <w:sz w:val="72"/>
          <w:szCs w:val="52"/>
          <w:highlight w:val="none"/>
          <w:lang w:eastAsia="zh-CN"/>
        </w:rPr>
      </w:pPr>
      <w:r>
        <w:rPr>
          <w:rFonts w:hint="eastAsia" w:asciiTheme="minorEastAsia" w:hAnsiTheme="minorEastAsia"/>
          <w:b/>
          <w:sz w:val="72"/>
          <w:szCs w:val="52"/>
          <w:highlight w:val="none"/>
          <w:lang w:eastAsia="zh-CN"/>
        </w:rPr>
        <w:t>购</w:t>
      </w:r>
    </w:p>
    <w:p>
      <w:pPr>
        <w:jc w:val="center"/>
        <w:rPr>
          <w:rFonts w:asciiTheme="minorEastAsia" w:hAnsiTheme="minorEastAsia"/>
          <w:b/>
          <w:sz w:val="72"/>
          <w:szCs w:val="52"/>
          <w:highlight w:val="none"/>
        </w:rPr>
      </w:pPr>
      <w:r>
        <w:rPr>
          <w:rFonts w:hint="eastAsia" w:asciiTheme="minorEastAsia" w:hAnsiTheme="minorEastAsia"/>
          <w:b/>
          <w:sz w:val="72"/>
          <w:szCs w:val="52"/>
          <w:highlight w:val="none"/>
        </w:rPr>
        <w:t>文</w:t>
      </w:r>
    </w:p>
    <w:p>
      <w:pPr>
        <w:jc w:val="center"/>
        <w:rPr>
          <w:rFonts w:asciiTheme="minorEastAsia" w:hAnsiTheme="minorEastAsia"/>
          <w:b/>
          <w:sz w:val="72"/>
          <w:szCs w:val="52"/>
          <w:highlight w:val="none"/>
        </w:rPr>
      </w:pPr>
      <w:r>
        <w:rPr>
          <w:rFonts w:hint="eastAsia" w:asciiTheme="minorEastAsia" w:hAnsiTheme="minorEastAsia"/>
          <w:b/>
          <w:sz w:val="72"/>
          <w:szCs w:val="52"/>
          <w:highlight w:val="none"/>
        </w:rPr>
        <w:t>件</w:t>
      </w:r>
    </w:p>
    <w:p>
      <w:pPr>
        <w:jc w:val="center"/>
        <w:rPr>
          <w:rFonts w:asciiTheme="minorEastAsia" w:hAnsiTheme="minorEastAsia"/>
          <w:b/>
          <w:sz w:val="52"/>
          <w:szCs w:val="52"/>
          <w:highlight w:val="none"/>
        </w:rPr>
      </w:pPr>
    </w:p>
    <w:p>
      <w:pPr>
        <w:jc w:val="center"/>
        <w:rPr>
          <w:rFonts w:asciiTheme="minorEastAsia" w:hAnsiTheme="minorEastAsia"/>
          <w:b/>
          <w:sz w:val="28"/>
          <w:szCs w:val="28"/>
          <w:highlight w:val="none"/>
        </w:rPr>
      </w:pPr>
    </w:p>
    <w:p>
      <w:pPr>
        <w:autoSpaceDE w:val="0"/>
        <w:autoSpaceDN w:val="0"/>
        <w:adjustRightInd w:val="0"/>
        <w:spacing w:line="1000" w:lineRule="exact"/>
        <w:ind w:firstLine="967" w:firstLineChars="344"/>
        <w:rPr>
          <w:rFonts w:ascii="宋体" w:hAnsi="宋体" w:cs="宋体"/>
          <w:b/>
          <w:kern w:val="0"/>
          <w:sz w:val="28"/>
          <w:szCs w:val="28"/>
          <w:highlight w:val="none"/>
          <w:lang w:bidi="zh-CN"/>
        </w:rPr>
      </w:pPr>
      <w:r>
        <w:rPr>
          <w:rFonts w:hint="eastAsia" w:ascii="宋体" w:hAnsi="宋体" w:cs="宋体"/>
          <w:b/>
          <w:kern w:val="0"/>
          <w:sz w:val="28"/>
          <w:szCs w:val="28"/>
          <w:highlight w:val="none"/>
          <w:lang w:val="zh-CN" w:bidi="zh-CN"/>
        </w:rPr>
        <w:t>采   购   人：</w:t>
      </w:r>
      <w:bookmarkStart w:id="0" w:name="_Hlk4428333"/>
      <w:r>
        <w:rPr>
          <w:rFonts w:hint="eastAsia" w:ascii="宋体" w:hAnsi="宋体" w:cs="宋体"/>
          <w:b/>
          <w:kern w:val="0"/>
          <w:sz w:val="28"/>
          <w:szCs w:val="28"/>
          <w:highlight w:val="none"/>
          <w:lang w:bidi="zh-CN"/>
        </w:rPr>
        <w:t>巴里坤哈萨克自治县环卫所</w:t>
      </w:r>
    </w:p>
    <w:p>
      <w:pPr>
        <w:autoSpaceDE w:val="0"/>
        <w:autoSpaceDN w:val="0"/>
        <w:adjustRightInd w:val="0"/>
        <w:spacing w:line="1000" w:lineRule="exact"/>
        <w:ind w:firstLine="1105" w:firstLineChars="393"/>
        <w:rPr>
          <w:rFonts w:ascii="宋体" w:hAnsi="宋体" w:cs="宋体"/>
          <w:b/>
          <w:kern w:val="0"/>
          <w:sz w:val="28"/>
          <w:szCs w:val="28"/>
          <w:highlight w:val="none"/>
          <w:lang w:val="zh-CN" w:bidi="zh-CN"/>
        </w:rPr>
      </w:pPr>
    </w:p>
    <w:bookmarkEnd w:id="0"/>
    <w:p>
      <w:pPr>
        <w:ind w:firstLine="967" w:firstLineChars="344"/>
        <w:rPr>
          <w:rFonts w:asciiTheme="minorEastAsia" w:hAnsiTheme="minorEastAsia"/>
          <w:b/>
          <w:sz w:val="28"/>
          <w:szCs w:val="28"/>
          <w:highlight w:val="none"/>
        </w:rPr>
      </w:pPr>
      <w:r>
        <w:rPr>
          <w:rFonts w:hint="eastAsia" w:ascii="宋体" w:hAnsi="宋体" w:cs="宋体"/>
          <w:b/>
          <w:kern w:val="0"/>
          <w:sz w:val="28"/>
          <w:szCs w:val="28"/>
          <w:highlight w:val="none"/>
          <w:lang w:val="zh-CN" w:bidi="zh-CN"/>
        </w:rPr>
        <w:t>采购代理机构：</w:t>
      </w:r>
      <w:r>
        <w:rPr>
          <w:rFonts w:hint="eastAsia" w:asciiTheme="minorEastAsia" w:hAnsiTheme="minorEastAsia"/>
          <w:b/>
          <w:sz w:val="28"/>
          <w:szCs w:val="28"/>
          <w:highlight w:val="none"/>
        </w:rPr>
        <w:t>新疆华域建设工程项目管理咨询有限公司</w:t>
      </w:r>
    </w:p>
    <w:p>
      <w:pPr>
        <w:jc w:val="center"/>
        <w:rPr>
          <w:rFonts w:asciiTheme="minorEastAsia" w:hAnsiTheme="minorEastAsia"/>
          <w:b/>
          <w:sz w:val="28"/>
          <w:szCs w:val="28"/>
          <w:highlight w:val="none"/>
        </w:rPr>
      </w:pPr>
    </w:p>
    <w:p>
      <w:pPr>
        <w:jc w:val="center"/>
        <w:rPr>
          <w:rFonts w:asciiTheme="minorEastAsia" w:hAnsiTheme="minorEastAsia"/>
          <w:b/>
          <w:sz w:val="28"/>
          <w:szCs w:val="28"/>
          <w:highlight w:val="none"/>
        </w:rPr>
      </w:pPr>
    </w:p>
    <w:p>
      <w:pPr>
        <w:jc w:val="center"/>
        <w:rPr>
          <w:rFonts w:asciiTheme="minorEastAsia" w:hAnsiTheme="minorEastAsia"/>
          <w:b/>
          <w:sz w:val="28"/>
          <w:szCs w:val="28"/>
          <w:highlight w:val="none"/>
        </w:rPr>
      </w:pPr>
      <w:r>
        <w:rPr>
          <w:rFonts w:hint="eastAsia" w:asciiTheme="minorEastAsia" w:hAnsiTheme="minorEastAsia"/>
          <w:b/>
          <w:sz w:val="28"/>
          <w:szCs w:val="28"/>
          <w:highlight w:val="none"/>
        </w:rPr>
        <w:t>202</w:t>
      </w:r>
      <w:r>
        <w:rPr>
          <w:rFonts w:hint="eastAsia" w:asciiTheme="minorEastAsia" w:hAnsiTheme="minorEastAsia"/>
          <w:b/>
          <w:sz w:val="28"/>
          <w:szCs w:val="28"/>
          <w:highlight w:val="none"/>
          <w:lang w:val="en-US" w:eastAsia="zh-CN"/>
        </w:rPr>
        <w:t>3</w:t>
      </w:r>
      <w:r>
        <w:rPr>
          <w:rFonts w:hint="eastAsia" w:asciiTheme="minorEastAsia" w:hAnsiTheme="minorEastAsia"/>
          <w:b/>
          <w:sz w:val="28"/>
          <w:szCs w:val="28"/>
          <w:highlight w:val="none"/>
        </w:rPr>
        <w:t>年</w:t>
      </w:r>
      <w:r>
        <w:rPr>
          <w:rFonts w:hint="eastAsia" w:asciiTheme="minorEastAsia" w:hAnsiTheme="minorEastAsia"/>
          <w:b/>
          <w:sz w:val="28"/>
          <w:szCs w:val="28"/>
          <w:highlight w:val="none"/>
          <w:lang w:val="en-US" w:eastAsia="zh-CN"/>
        </w:rPr>
        <w:t>3</w:t>
      </w:r>
      <w:r>
        <w:rPr>
          <w:rFonts w:hint="eastAsia" w:asciiTheme="minorEastAsia" w:hAnsiTheme="minorEastAsia"/>
          <w:b/>
          <w:sz w:val="28"/>
          <w:szCs w:val="28"/>
          <w:highlight w:val="none"/>
        </w:rPr>
        <w:t>月</w:t>
      </w:r>
      <w:r>
        <w:rPr>
          <w:rFonts w:hint="eastAsia" w:asciiTheme="minorEastAsia" w:hAnsiTheme="minorEastAsia"/>
          <w:b/>
          <w:sz w:val="28"/>
          <w:szCs w:val="28"/>
          <w:highlight w:val="none"/>
          <w:lang w:val="en-US" w:eastAsia="zh-CN"/>
        </w:rPr>
        <w:t>3</w:t>
      </w:r>
      <w:r>
        <w:rPr>
          <w:rFonts w:hint="eastAsia" w:asciiTheme="minorEastAsia" w:hAnsiTheme="minorEastAsia"/>
          <w:b/>
          <w:sz w:val="28"/>
          <w:szCs w:val="28"/>
          <w:highlight w:val="none"/>
        </w:rPr>
        <w:t>日</w:t>
      </w:r>
    </w:p>
    <w:p>
      <w:pPr>
        <w:jc w:val="center"/>
        <w:rPr>
          <w:rFonts w:asciiTheme="minorEastAsia" w:hAnsiTheme="minorEastAsia"/>
          <w:sz w:val="28"/>
          <w:szCs w:val="28"/>
          <w:highlight w:val="none"/>
        </w:rPr>
      </w:pPr>
      <w:r>
        <w:rPr>
          <w:rFonts w:hint="eastAsia" w:asciiTheme="minorEastAsia" w:hAnsiTheme="minorEastAsia"/>
          <w:sz w:val="28"/>
          <w:szCs w:val="28"/>
          <w:highlight w:val="none"/>
        </w:rPr>
        <w:t>目录</w:t>
      </w:r>
    </w:p>
    <w:p>
      <w:pPr>
        <w:jc w:val="center"/>
        <w:rPr>
          <w:rFonts w:asciiTheme="minorEastAsia" w:hAnsiTheme="minorEastAsia"/>
          <w:sz w:val="28"/>
          <w:szCs w:val="28"/>
          <w:highlight w:val="none"/>
        </w:rPr>
      </w:pPr>
      <w:r>
        <w:rPr>
          <w:rFonts w:hint="eastAsia" w:asciiTheme="minorEastAsia" w:hAnsiTheme="minorEastAsia"/>
          <w:sz w:val="28"/>
          <w:szCs w:val="28"/>
          <w:highlight w:val="none"/>
        </w:rPr>
        <w:t>第一章  招标公告   ....................................</w:t>
      </w:r>
      <w:r>
        <w:rPr>
          <w:rFonts w:hint="eastAsia" w:asciiTheme="minorEastAsia" w:hAnsiTheme="minorEastAsia"/>
          <w:sz w:val="28"/>
          <w:szCs w:val="28"/>
          <w:highlight w:val="none"/>
          <w:lang w:val="en-US" w:eastAsia="zh-CN"/>
        </w:rPr>
        <w:t>.</w:t>
      </w:r>
      <w:r>
        <w:rPr>
          <w:rFonts w:hint="eastAsia" w:asciiTheme="minorEastAsia" w:hAnsiTheme="minorEastAsia"/>
          <w:sz w:val="28"/>
          <w:szCs w:val="28"/>
          <w:highlight w:val="none"/>
        </w:rPr>
        <w:t>3</w:t>
      </w:r>
    </w:p>
    <w:p>
      <w:pPr>
        <w:jc w:val="center"/>
        <w:rPr>
          <w:rFonts w:hint="eastAsia" w:asciiTheme="minorEastAsia" w:hAnsiTheme="minorEastAsia" w:eastAsiaTheme="minorEastAsia"/>
          <w:sz w:val="28"/>
          <w:szCs w:val="28"/>
          <w:highlight w:val="none"/>
          <w:lang w:eastAsia="zh-CN"/>
        </w:rPr>
      </w:pPr>
      <w:r>
        <w:rPr>
          <w:rFonts w:hint="eastAsia" w:asciiTheme="minorEastAsia" w:hAnsiTheme="minorEastAsia"/>
          <w:sz w:val="28"/>
          <w:szCs w:val="28"/>
          <w:highlight w:val="none"/>
        </w:rPr>
        <w:t>第二章  投标人须知   ..................................</w:t>
      </w:r>
      <w:r>
        <w:rPr>
          <w:rFonts w:hint="eastAsia" w:asciiTheme="minorEastAsia" w:hAnsiTheme="minorEastAsia"/>
          <w:sz w:val="28"/>
          <w:szCs w:val="28"/>
          <w:highlight w:val="none"/>
          <w:lang w:val="en-US" w:eastAsia="zh-CN"/>
        </w:rPr>
        <w:t>.7</w:t>
      </w:r>
    </w:p>
    <w:p>
      <w:pPr>
        <w:jc w:val="center"/>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rPr>
        <w:t>第三章  合同文本   ....................................</w:t>
      </w:r>
      <w:r>
        <w:rPr>
          <w:rFonts w:hint="eastAsia" w:asciiTheme="minorEastAsia" w:hAnsiTheme="minorEastAsia"/>
          <w:sz w:val="28"/>
          <w:szCs w:val="28"/>
          <w:highlight w:val="none"/>
          <w:lang w:val="en-US" w:eastAsia="zh-CN"/>
        </w:rPr>
        <w:t>31</w:t>
      </w:r>
    </w:p>
    <w:p>
      <w:pPr>
        <w:jc w:val="center"/>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rPr>
        <w:t>第四章  项目需求   ....................................</w:t>
      </w:r>
      <w:r>
        <w:rPr>
          <w:rFonts w:hint="eastAsia" w:asciiTheme="minorEastAsia" w:hAnsiTheme="minorEastAsia"/>
          <w:sz w:val="28"/>
          <w:szCs w:val="28"/>
          <w:highlight w:val="none"/>
          <w:lang w:val="en-US" w:eastAsia="zh-CN"/>
        </w:rPr>
        <w:t>37</w:t>
      </w:r>
    </w:p>
    <w:p>
      <w:pPr>
        <w:jc w:val="center"/>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rPr>
        <w:t>第五章  评标方法与评标标准 ............................</w:t>
      </w:r>
      <w:r>
        <w:rPr>
          <w:rFonts w:hint="eastAsia" w:asciiTheme="minorEastAsia" w:hAnsiTheme="minorEastAsia"/>
          <w:sz w:val="28"/>
          <w:szCs w:val="28"/>
          <w:highlight w:val="none"/>
          <w:lang w:val="en-US" w:eastAsia="zh-CN"/>
        </w:rPr>
        <w:t>51</w:t>
      </w:r>
    </w:p>
    <w:p>
      <w:pPr>
        <w:jc w:val="center"/>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rPr>
        <w:t>第六章  投标文件格式  .................................</w:t>
      </w:r>
      <w:r>
        <w:rPr>
          <w:rFonts w:hint="eastAsia" w:asciiTheme="minorEastAsia" w:hAnsiTheme="minorEastAsia"/>
          <w:sz w:val="28"/>
          <w:szCs w:val="28"/>
          <w:highlight w:val="none"/>
          <w:lang w:val="en-US" w:eastAsia="zh-CN"/>
        </w:rPr>
        <w:t>59</w:t>
      </w: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asciiTheme="minorEastAsia" w:hAnsiTheme="minorEastAsia"/>
          <w:b/>
          <w:sz w:val="32"/>
          <w:szCs w:val="28"/>
          <w:highlight w:val="none"/>
        </w:rPr>
      </w:pPr>
    </w:p>
    <w:p>
      <w:pPr>
        <w:widowControl/>
        <w:spacing w:before="100" w:beforeAutospacing="1" w:after="100" w:afterAutospacing="1" w:line="450" w:lineRule="atLeast"/>
        <w:jc w:val="center"/>
        <w:outlineLvl w:val="0"/>
        <w:rPr>
          <w:rFonts w:hint="eastAsia" w:asciiTheme="minorEastAsia" w:hAnsiTheme="minorEastAsia" w:eastAsiaTheme="minorEastAsia"/>
          <w:b/>
          <w:sz w:val="30"/>
          <w:szCs w:val="30"/>
          <w:highlight w:val="none"/>
          <w:lang w:eastAsia="zh-CN"/>
        </w:rPr>
      </w:pPr>
      <w:r>
        <w:rPr>
          <w:rFonts w:hint="eastAsia" w:asciiTheme="minorEastAsia" w:hAnsiTheme="minorEastAsia"/>
          <w:b/>
          <w:sz w:val="30"/>
          <w:szCs w:val="30"/>
          <w:highlight w:val="none"/>
        </w:rPr>
        <w:t xml:space="preserve">第一章 </w:t>
      </w:r>
      <w:r>
        <w:rPr>
          <w:rFonts w:hint="eastAsia" w:asciiTheme="minorEastAsia" w:hAnsiTheme="minorEastAsia"/>
          <w:b/>
          <w:sz w:val="30"/>
          <w:szCs w:val="30"/>
          <w:highlight w:val="none"/>
          <w:lang w:eastAsia="zh-CN"/>
        </w:rPr>
        <w:t>巴里坤哈萨克自治县环卫所2023年环卫车辆采购项目</w:t>
      </w:r>
    </w:p>
    <w:p>
      <w:pPr>
        <w:widowControl/>
        <w:spacing w:before="100" w:beforeAutospacing="1" w:after="100" w:afterAutospacing="1" w:line="450" w:lineRule="atLeast"/>
        <w:jc w:val="center"/>
        <w:outlineLvl w:val="0"/>
        <w:rPr>
          <w:rFonts w:ascii="宋体" w:hAnsi="宋体" w:cs="宋体"/>
          <w:b/>
          <w:kern w:val="36"/>
          <w:sz w:val="32"/>
          <w:szCs w:val="36"/>
          <w:highlight w:val="none"/>
        </w:rPr>
      </w:pPr>
      <w:r>
        <w:rPr>
          <w:rFonts w:ascii="宋体" w:hAnsi="宋体" w:cs="宋体"/>
          <w:b/>
          <w:kern w:val="36"/>
          <w:sz w:val="32"/>
          <w:szCs w:val="36"/>
          <w:highlight w:val="none"/>
        </w:rPr>
        <w:t>公开招标公告</w:t>
      </w:r>
    </w:p>
    <w:p>
      <w:pPr>
        <w:spacing w:line="560" w:lineRule="exact"/>
        <w:rPr>
          <w:rFonts w:hint="eastAsia" w:ascii="宋体" w:hAnsi="宋体" w:cs="宋体" w:eastAsiaTheme="minorEastAsia"/>
          <w:bCs/>
          <w:kern w:val="0"/>
          <w:sz w:val="28"/>
          <w:szCs w:val="28"/>
          <w:highlight w:val="none"/>
          <w:lang w:eastAsia="zh-CN"/>
        </w:rPr>
      </w:pPr>
      <w:r>
        <w:rPr>
          <w:rFonts w:hint="eastAsia" w:ascii="宋体" w:hAnsi="宋体" w:cs="宋体"/>
          <w:bCs/>
          <w:kern w:val="0"/>
          <w:sz w:val="28"/>
          <w:szCs w:val="28"/>
          <w:highlight w:val="none"/>
        </w:rPr>
        <w:t>一、项目名称：</w:t>
      </w:r>
      <w:r>
        <w:rPr>
          <w:rFonts w:hint="eastAsia" w:ascii="宋体" w:hAnsi="宋体" w:cs="宋体"/>
          <w:bCs/>
          <w:kern w:val="0"/>
          <w:sz w:val="28"/>
          <w:szCs w:val="28"/>
          <w:highlight w:val="none"/>
          <w:lang w:eastAsia="zh-CN"/>
        </w:rPr>
        <w:t>巴里坤哈萨克自治县环卫所2023年环卫车辆采购项目</w:t>
      </w:r>
    </w:p>
    <w:p>
      <w:pPr>
        <w:widowControl/>
        <w:spacing w:line="560" w:lineRule="exact"/>
        <w:jc w:val="left"/>
        <w:rPr>
          <w:rFonts w:hint="eastAsia" w:ascii="宋体" w:hAnsi="宋体" w:cs="宋体" w:eastAsiaTheme="minorEastAsia"/>
          <w:bCs/>
          <w:kern w:val="0"/>
          <w:sz w:val="28"/>
          <w:szCs w:val="28"/>
          <w:highlight w:val="none"/>
          <w:lang w:eastAsia="zh-CN"/>
        </w:rPr>
      </w:pPr>
      <w:r>
        <w:rPr>
          <w:rFonts w:hint="eastAsia" w:ascii="宋体" w:hAnsi="宋体" w:cs="宋体"/>
          <w:bCs/>
          <w:kern w:val="0"/>
          <w:sz w:val="28"/>
          <w:szCs w:val="28"/>
          <w:highlight w:val="none"/>
        </w:rPr>
        <w:t>二、采 购 人</w:t>
      </w:r>
      <w:r>
        <w:rPr>
          <w:rFonts w:hint="eastAsia" w:ascii="宋体" w:hAnsi="宋体"/>
          <w:kern w:val="0"/>
          <w:sz w:val="28"/>
          <w:szCs w:val="28"/>
          <w:highlight w:val="none"/>
        </w:rPr>
        <w:t>：</w:t>
      </w:r>
      <w:bookmarkStart w:id="1" w:name="OLE_LINK4"/>
      <w:r>
        <w:rPr>
          <w:rFonts w:hint="eastAsia" w:ascii="宋体" w:hAnsi="宋体"/>
          <w:kern w:val="0"/>
          <w:sz w:val="28"/>
          <w:szCs w:val="28"/>
          <w:highlight w:val="none"/>
          <w:lang w:eastAsia="zh-CN"/>
        </w:rPr>
        <w:t>巴里坤哈萨克自治县环卫所</w:t>
      </w:r>
    </w:p>
    <w:p>
      <w:pPr>
        <w:widowControl/>
        <w:spacing w:line="560" w:lineRule="exact"/>
        <w:jc w:val="left"/>
        <w:rPr>
          <w:rFonts w:hint="default" w:ascii="宋体" w:hAnsi="宋体" w:cs="宋体" w:eastAsiaTheme="minorEastAsia"/>
          <w:bCs/>
          <w:kern w:val="0"/>
          <w:sz w:val="28"/>
          <w:szCs w:val="28"/>
          <w:highlight w:val="none"/>
          <w:lang w:val="en-US" w:eastAsia="zh-CN"/>
        </w:rPr>
      </w:pPr>
      <w:r>
        <w:rPr>
          <w:rFonts w:hint="eastAsia" w:ascii="宋体" w:hAnsi="宋体" w:cs="宋体"/>
          <w:bCs/>
          <w:kern w:val="0"/>
          <w:sz w:val="28"/>
          <w:szCs w:val="28"/>
          <w:highlight w:val="none"/>
        </w:rPr>
        <w:t>三、招标项目编号：</w:t>
      </w:r>
      <w:bookmarkEnd w:id="1"/>
      <w:r>
        <w:rPr>
          <w:rFonts w:hint="eastAsia" w:ascii="宋体" w:hAnsi="宋体" w:cs="宋体"/>
          <w:bCs/>
          <w:kern w:val="0"/>
          <w:sz w:val="28"/>
          <w:szCs w:val="28"/>
          <w:highlight w:val="none"/>
        </w:rPr>
        <w:t>HMHY-202</w:t>
      </w:r>
      <w:r>
        <w:rPr>
          <w:rFonts w:hint="eastAsia" w:ascii="宋体" w:hAnsi="宋体" w:cs="宋体"/>
          <w:bCs/>
          <w:kern w:val="0"/>
          <w:sz w:val="28"/>
          <w:szCs w:val="28"/>
          <w:highlight w:val="none"/>
          <w:lang w:val="en-US" w:eastAsia="zh-CN"/>
        </w:rPr>
        <w:t>3</w:t>
      </w:r>
      <w:r>
        <w:rPr>
          <w:rFonts w:hint="eastAsia" w:ascii="宋体" w:hAnsi="宋体" w:cs="宋体"/>
          <w:bCs/>
          <w:kern w:val="0"/>
          <w:sz w:val="28"/>
          <w:szCs w:val="28"/>
          <w:highlight w:val="none"/>
        </w:rPr>
        <w:t>-0</w:t>
      </w:r>
      <w:r>
        <w:rPr>
          <w:rFonts w:hint="eastAsia" w:ascii="宋体" w:hAnsi="宋体" w:cs="宋体"/>
          <w:bCs/>
          <w:kern w:val="0"/>
          <w:sz w:val="28"/>
          <w:szCs w:val="28"/>
          <w:highlight w:val="none"/>
          <w:lang w:val="en-US" w:eastAsia="zh-CN"/>
        </w:rPr>
        <w:t>12</w:t>
      </w:r>
    </w:p>
    <w:p>
      <w:pPr>
        <w:widowControl/>
        <w:spacing w:line="560" w:lineRule="exact"/>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四、采购内容：</w:t>
      </w:r>
    </w:p>
    <w:p>
      <w:pPr>
        <w:widowControl/>
        <w:spacing w:line="560" w:lineRule="exact"/>
        <w:ind w:firstLine="560" w:firstLineChars="200"/>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压缩式垃圾车1辆、滑移装载机1辆、多功能除雪车1辆、干式扫路车1辆、农用自卸车1辆。（具体详见招标文件采购需求及技术指标参数）</w:t>
      </w:r>
    </w:p>
    <w:p>
      <w:pPr>
        <w:widowControl/>
        <w:numPr>
          <w:ilvl w:val="0"/>
          <w:numId w:val="2"/>
        </w:numPr>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项目预算：</w:t>
      </w:r>
      <w:r>
        <w:rPr>
          <w:rFonts w:hint="eastAsia" w:ascii="宋体" w:hAnsi="宋体" w:cs="宋体"/>
          <w:bCs/>
          <w:kern w:val="0"/>
          <w:sz w:val="28"/>
          <w:szCs w:val="28"/>
          <w:highlight w:val="none"/>
          <w:lang w:val="en-US" w:eastAsia="zh-CN"/>
        </w:rPr>
        <w:t>258.9</w:t>
      </w:r>
      <w:r>
        <w:rPr>
          <w:rFonts w:hint="eastAsia" w:ascii="宋体" w:hAnsi="宋体" w:cs="宋体"/>
          <w:bCs/>
          <w:kern w:val="0"/>
          <w:sz w:val="28"/>
          <w:szCs w:val="28"/>
          <w:highlight w:val="none"/>
        </w:rPr>
        <w:t>万元。</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注：投标人需充分考虑在中标后供货、运输、安装（包含车辆购置税、上牌照等费用）及售后维保等过程中所有的费用。超过最高限价为无效标书，做出废标处理。</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六、采购方式：公开招标</w:t>
      </w:r>
    </w:p>
    <w:p>
      <w:pPr>
        <w:pStyle w:val="2"/>
        <w:spacing w:line="560" w:lineRule="exact"/>
        <w:rPr>
          <w:color w:val="auto"/>
          <w:sz w:val="28"/>
          <w:szCs w:val="28"/>
          <w:highlight w:val="none"/>
        </w:rPr>
      </w:pPr>
      <w:r>
        <w:rPr>
          <w:bCs/>
          <w:color w:val="auto"/>
          <w:sz w:val="28"/>
          <w:szCs w:val="28"/>
          <w:highlight w:val="none"/>
        </w:rPr>
        <w:t>七、</w:t>
      </w:r>
      <w:r>
        <w:rPr>
          <w:rFonts w:hint="eastAsia"/>
          <w:bCs/>
          <w:color w:val="auto"/>
          <w:sz w:val="28"/>
          <w:szCs w:val="28"/>
          <w:highlight w:val="none"/>
          <w:lang w:eastAsia="zh-CN"/>
        </w:rPr>
        <w:t>交货期</w:t>
      </w:r>
      <w:r>
        <w:rPr>
          <w:bCs/>
          <w:color w:val="auto"/>
          <w:sz w:val="28"/>
          <w:szCs w:val="28"/>
          <w:highlight w:val="none"/>
        </w:rPr>
        <w:t>：</w:t>
      </w:r>
      <w:r>
        <w:rPr>
          <w:rFonts w:hint="eastAsia"/>
          <w:bCs/>
          <w:color w:val="auto"/>
          <w:sz w:val="28"/>
          <w:szCs w:val="28"/>
          <w:highlight w:val="none"/>
        </w:rPr>
        <w:t>合同签订后</w:t>
      </w:r>
      <w:r>
        <w:rPr>
          <w:rFonts w:hint="eastAsia"/>
          <w:bCs/>
          <w:color w:val="auto"/>
          <w:sz w:val="28"/>
          <w:szCs w:val="28"/>
          <w:highlight w:val="none"/>
          <w:lang w:val="en-US" w:eastAsia="zh-CN"/>
        </w:rPr>
        <w:t>3</w:t>
      </w:r>
      <w:r>
        <w:rPr>
          <w:rFonts w:hint="eastAsia"/>
          <w:bCs/>
          <w:color w:val="auto"/>
          <w:sz w:val="28"/>
          <w:szCs w:val="28"/>
          <w:highlight w:val="none"/>
        </w:rPr>
        <w:t>0日内完成送货安装。</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八、投标人各标段资格要求：</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(1)应具备《中华人民共和国政府采购法》第二十二条规定的条件，并提供以下资格证明文件:</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(1.1)具有独立承担民事责任的能力（提供合法有效的法人营业执照）；</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(1.2)具有良好的商业信誉和健全的财务会计制度（提供2022年度经第三方审计完整的财务审计报告）；</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(1.3)具有履行合同所必需的设备和专业技术能力（提供书面说明，格式见附件）；</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(1.4)有依法缴纳税收和社会保障资金的良好记录；（提供参加本次政府采购活动前近半年的依法缴纳税收和社会保障资金的相关材料）</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(1.5)参加采购活动前三年内，在经营活动中没有重大违法记录（提供书面说明，格式见附件）</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(1.6)法律、行政法规规定的其他条件；</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)与招标人存在利害关系可能影响招标公正性的法人、其他组织或者个人，不得参加投标，单位负责人为同一人或者存在控股、管理关系的不同单位，不得参加投标。</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3</w:t>
      </w:r>
      <w:bookmarkStart w:id="15" w:name="_GoBack"/>
      <w:bookmarkEnd w:id="15"/>
      <w:r>
        <w:rPr>
          <w:rFonts w:hint="eastAsia" w:ascii="宋体" w:hAnsi="宋体" w:cs="宋体"/>
          <w:kern w:val="0"/>
          <w:sz w:val="28"/>
          <w:szCs w:val="28"/>
          <w:highlight w:val="none"/>
        </w:rPr>
        <w:t>)投标企业必须提供在“信用中国”网站(www.creditchina.gov.cn)查询出现对列入失信被执行人名单、重大税收违法失信主体，“中国政府采购网”(www. ccgp. gov.cn)政府采购严重违法失信行为记录名单，行政处罚记录名单的投标企业，采购人、采购代理机构有权拒绝其参与本项目采购活动，(以上查询须提供网页截图，且查询时间必须在公告</w:t>
      </w:r>
      <w:r>
        <w:rPr>
          <w:rFonts w:hint="eastAsia" w:ascii="宋体" w:hAnsi="宋体" w:cs="宋体"/>
          <w:kern w:val="0"/>
          <w:sz w:val="28"/>
          <w:szCs w:val="28"/>
          <w:highlight w:val="none"/>
          <w:lang w:eastAsia="zh-CN"/>
        </w:rPr>
        <w:t>发布之日至开标截止</w:t>
      </w:r>
      <w:r>
        <w:rPr>
          <w:rFonts w:hint="eastAsia" w:ascii="宋体" w:hAnsi="宋体" w:cs="宋体"/>
          <w:kern w:val="0"/>
          <w:sz w:val="28"/>
          <w:szCs w:val="28"/>
          <w:highlight w:val="none"/>
        </w:rPr>
        <w:t>时间之内)。</w:t>
      </w:r>
    </w:p>
    <w:p>
      <w:pPr>
        <w:widowControl/>
        <w:spacing w:line="560" w:lineRule="exact"/>
        <w:jc w:val="left"/>
        <w:rPr>
          <w:rFonts w:hint="eastAsia" w:ascii="宋体" w:hAnsi="宋体" w:cs="宋体"/>
          <w:kern w:val="0"/>
          <w:sz w:val="28"/>
          <w:szCs w:val="28"/>
          <w:highlight w:val="none"/>
        </w:rPr>
      </w:pPr>
      <w:r>
        <w:rPr>
          <w:rFonts w:hint="eastAsia" w:ascii="宋体" w:hAnsi="宋体" w:cs="宋体"/>
          <w:kern w:val="0"/>
          <w:sz w:val="28"/>
          <w:szCs w:val="28"/>
          <w:highlight w:val="none"/>
        </w:rPr>
        <w:t>(5)本次招标不接受联合体投标。</w:t>
      </w:r>
    </w:p>
    <w:p>
      <w:pPr>
        <w:widowControl/>
        <w:spacing w:line="560" w:lineRule="exact"/>
        <w:jc w:val="left"/>
        <w:rPr>
          <w:rFonts w:ascii="宋体" w:hAnsi="宋体" w:cs="宋体"/>
          <w:kern w:val="0"/>
          <w:sz w:val="28"/>
          <w:szCs w:val="28"/>
          <w:highlight w:val="none"/>
        </w:rPr>
      </w:pPr>
      <w:r>
        <w:rPr>
          <w:rFonts w:hint="eastAsia" w:ascii="宋体" w:hAnsi="宋体" w:cs="宋体"/>
          <w:kern w:val="0"/>
          <w:sz w:val="28"/>
          <w:szCs w:val="28"/>
          <w:highlight w:val="none"/>
        </w:rPr>
        <w:t>九、报名时间</w:t>
      </w:r>
    </w:p>
    <w:p>
      <w:pPr>
        <w:widowControl/>
        <w:spacing w:line="560" w:lineRule="exact"/>
        <w:ind w:firstLine="280" w:firstLineChars="100"/>
        <w:jc w:val="left"/>
        <w:rPr>
          <w:rFonts w:ascii="宋体" w:hAnsi="宋体" w:cs="宋体"/>
          <w:bCs/>
          <w:kern w:val="0"/>
          <w:sz w:val="28"/>
          <w:szCs w:val="28"/>
          <w:highlight w:val="none"/>
        </w:rPr>
      </w:pPr>
      <w:r>
        <w:rPr>
          <w:rFonts w:hint="eastAsia" w:ascii="宋体" w:hAnsi="宋体" w:cs="宋体"/>
          <w:kern w:val="0"/>
          <w:sz w:val="28"/>
          <w:szCs w:val="28"/>
          <w:highlight w:val="none"/>
        </w:rPr>
        <w:t>凡有意参与的投标单位，报名时间及招标文件领取时间：202</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年0</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07</w:t>
      </w:r>
      <w:r>
        <w:rPr>
          <w:rFonts w:hint="eastAsia" w:ascii="宋体" w:hAnsi="宋体" w:cs="宋体"/>
          <w:kern w:val="0"/>
          <w:sz w:val="28"/>
          <w:szCs w:val="28"/>
          <w:highlight w:val="none"/>
        </w:rPr>
        <w:t>日至202</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03</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13</w:t>
      </w:r>
      <w:r>
        <w:rPr>
          <w:rFonts w:hint="eastAsia" w:ascii="宋体" w:hAnsi="宋体" w:cs="宋体"/>
          <w:kern w:val="0"/>
          <w:sz w:val="28"/>
          <w:szCs w:val="28"/>
          <w:highlight w:val="none"/>
        </w:rPr>
        <w:t>日(5个工作日内受理，逾期不予受理)。地点：</w:t>
      </w:r>
      <w:r>
        <w:rPr>
          <w:rFonts w:ascii="宋体" w:hAnsi="宋体" w:cs="宋体"/>
          <w:kern w:val="0"/>
          <w:sz w:val="28"/>
          <w:szCs w:val="28"/>
          <w:highlight w:val="none"/>
        </w:rPr>
        <w:t>新疆政府采购（http://www.ccgp-xinjiang.gov.cn）政采云线上平台</w:t>
      </w:r>
      <w:r>
        <w:rPr>
          <w:rFonts w:hint="eastAsia" w:ascii="宋体" w:hAnsi="宋体" w:cs="宋体"/>
          <w:kern w:val="0"/>
          <w:sz w:val="28"/>
          <w:szCs w:val="28"/>
          <w:highlight w:val="none"/>
        </w:rPr>
        <w:t>，招标文件0元/份。</w:t>
      </w:r>
    </w:p>
    <w:p>
      <w:pPr>
        <w:pStyle w:val="14"/>
        <w:widowControl/>
        <w:spacing w:before="75" w:beforeAutospacing="0" w:after="75" w:afterAutospacing="0" w:line="560" w:lineRule="exact"/>
        <w:rPr>
          <w:rFonts w:cs="宋体"/>
          <w:bCs/>
          <w:sz w:val="28"/>
          <w:szCs w:val="28"/>
          <w:highlight w:val="none"/>
        </w:rPr>
      </w:pPr>
      <w:r>
        <w:rPr>
          <w:rFonts w:hint="eastAsia" w:ascii="宋体" w:hAnsi="宋体" w:cs="宋体"/>
          <w:bCs/>
          <w:sz w:val="28"/>
          <w:szCs w:val="28"/>
          <w:highlight w:val="none"/>
        </w:rPr>
        <w:t>十、</w:t>
      </w:r>
      <w:r>
        <w:rPr>
          <w:rFonts w:ascii="宋体" w:hAnsi="宋体" w:cs="宋体"/>
          <w:bCs/>
          <w:sz w:val="28"/>
          <w:szCs w:val="28"/>
          <w:highlight w:val="none"/>
        </w:rPr>
        <w:t>获取文件的方式</w:t>
      </w:r>
      <w:r>
        <w:rPr>
          <w:rFonts w:hint="eastAsia" w:cs="宋体"/>
          <w:bCs/>
          <w:sz w:val="28"/>
          <w:szCs w:val="28"/>
          <w:highlight w:val="none"/>
        </w:rPr>
        <w:t>：</w:t>
      </w:r>
    </w:p>
    <w:p>
      <w:pPr>
        <w:pStyle w:val="14"/>
        <w:widowControl/>
        <w:spacing w:before="75" w:beforeAutospacing="0" w:after="75" w:afterAutospacing="0" w:line="560" w:lineRule="exact"/>
        <w:rPr>
          <w:rFonts w:cs="宋体"/>
          <w:bCs/>
          <w:sz w:val="28"/>
          <w:szCs w:val="28"/>
          <w:highlight w:val="none"/>
        </w:rPr>
      </w:pPr>
      <w:r>
        <w:rPr>
          <w:rFonts w:hint="eastAsia" w:cs="宋体"/>
          <w:bCs/>
          <w:sz w:val="28"/>
          <w:szCs w:val="28"/>
          <w:highlight w:val="none"/>
        </w:rPr>
        <w:t>供应商登录政采云平台https://www.zcygov.cn/在线申请获取采购文件（进入“项目采购”应用，在获取采购文件菜单中选择项目，申请获取采购文件）</w:t>
      </w:r>
    </w:p>
    <w:p>
      <w:pPr>
        <w:pStyle w:val="2"/>
        <w:numPr>
          <w:ilvl w:val="0"/>
          <w:numId w:val="3"/>
        </w:numPr>
        <w:spacing w:line="560" w:lineRule="exact"/>
        <w:rPr>
          <w:bCs/>
          <w:color w:val="auto"/>
          <w:sz w:val="28"/>
          <w:szCs w:val="28"/>
          <w:highlight w:val="none"/>
        </w:rPr>
      </w:pPr>
      <w:r>
        <w:rPr>
          <w:bCs/>
          <w:color w:val="auto"/>
          <w:sz w:val="28"/>
          <w:szCs w:val="28"/>
          <w:highlight w:val="none"/>
        </w:rPr>
        <w:t>发布媒介：新疆政府采购网</w:t>
      </w:r>
    </w:p>
    <w:p>
      <w:pPr>
        <w:pStyle w:val="2"/>
        <w:numPr>
          <w:ilvl w:val="0"/>
          <w:numId w:val="3"/>
        </w:numPr>
        <w:spacing w:line="560" w:lineRule="exact"/>
        <w:rPr>
          <w:bCs/>
          <w:color w:val="auto"/>
          <w:sz w:val="28"/>
          <w:szCs w:val="28"/>
          <w:highlight w:val="none"/>
        </w:rPr>
      </w:pPr>
      <w:r>
        <w:rPr>
          <w:bCs/>
          <w:color w:val="auto"/>
          <w:sz w:val="28"/>
          <w:szCs w:val="28"/>
          <w:highlight w:val="none"/>
        </w:rPr>
        <w:t>公告期限</w:t>
      </w:r>
      <w:r>
        <w:rPr>
          <w:rFonts w:hint="eastAsia"/>
          <w:bCs/>
          <w:color w:val="auto"/>
          <w:sz w:val="28"/>
          <w:szCs w:val="28"/>
          <w:highlight w:val="none"/>
        </w:rPr>
        <w:t>：自本公告发布之日起5个工作日。</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十三、开标时间：202</w:t>
      </w:r>
      <w:r>
        <w:rPr>
          <w:rFonts w:hint="eastAsia" w:ascii="宋体" w:hAnsi="宋体" w:cs="宋体"/>
          <w:bCs/>
          <w:kern w:val="0"/>
          <w:sz w:val="28"/>
          <w:szCs w:val="28"/>
          <w:highlight w:val="none"/>
          <w:lang w:val="en-US" w:eastAsia="zh-CN"/>
        </w:rPr>
        <w:t>3</w:t>
      </w:r>
      <w:r>
        <w:rPr>
          <w:rFonts w:hint="eastAsia" w:ascii="宋体" w:hAnsi="宋体" w:cs="宋体"/>
          <w:bCs/>
          <w:kern w:val="0"/>
          <w:sz w:val="28"/>
          <w:szCs w:val="28"/>
          <w:highlight w:val="none"/>
        </w:rPr>
        <w:t>年0</w:t>
      </w:r>
      <w:r>
        <w:rPr>
          <w:rFonts w:hint="eastAsia" w:ascii="宋体" w:hAnsi="宋体" w:cs="宋体"/>
          <w:bCs/>
          <w:kern w:val="0"/>
          <w:sz w:val="28"/>
          <w:szCs w:val="28"/>
          <w:highlight w:val="none"/>
          <w:lang w:val="en-US" w:eastAsia="zh-CN"/>
        </w:rPr>
        <w:t>3</w:t>
      </w:r>
      <w:r>
        <w:rPr>
          <w:rFonts w:hint="eastAsia" w:ascii="宋体" w:hAnsi="宋体" w:cs="宋体"/>
          <w:bCs/>
          <w:kern w:val="0"/>
          <w:sz w:val="28"/>
          <w:szCs w:val="28"/>
          <w:highlight w:val="none"/>
        </w:rPr>
        <w:t>月</w:t>
      </w:r>
      <w:r>
        <w:rPr>
          <w:rFonts w:hint="eastAsia" w:ascii="宋体" w:hAnsi="宋体" w:cs="宋体"/>
          <w:bCs/>
          <w:kern w:val="0"/>
          <w:sz w:val="28"/>
          <w:szCs w:val="28"/>
          <w:highlight w:val="none"/>
          <w:lang w:val="en-US" w:eastAsia="zh-CN"/>
        </w:rPr>
        <w:t>28</w:t>
      </w:r>
      <w:r>
        <w:rPr>
          <w:rFonts w:hint="eastAsia" w:ascii="宋体" w:hAnsi="宋体" w:cs="宋体"/>
          <w:bCs/>
          <w:kern w:val="0"/>
          <w:sz w:val="28"/>
          <w:szCs w:val="28"/>
          <w:highlight w:val="none"/>
        </w:rPr>
        <w:t>日</w:t>
      </w:r>
      <w:r>
        <w:rPr>
          <w:rFonts w:hint="eastAsia" w:ascii="宋体" w:hAnsi="宋体" w:cs="宋体"/>
          <w:bCs/>
          <w:kern w:val="0"/>
          <w:sz w:val="28"/>
          <w:szCs w:val="28"/>
          <w:highlight w:val="none"/>
          <w:lang w:eastAsia="zh-CN"/>
        </w:rPr>
        <w:t>上</w:t>
      </w:r>
      <w:r>
        <w:rPr>
          <w:rFonts w:hint="eastAsia" w:ascii="宋体" w:hAnsi="宋体" w:cs="宋体"/>
          <w:bCs/>
          <w:kern w:val="0"/>
          <w:sz w:val="28"/>
          <w:szCs w:val="28"/>
          <w:highlight w:val="none"/>
        </w:rPr>
        <w:t>午1</w:t>
      </w:r>
      <w:r>
        <w:rPr>
          <w:rFonts w:hint="eastAsia" w:ascii="宋体" w:hAnsi="宋体" w:cs="宋体"/>
          <w:bCs/>
          <w:kern w:val="0"/>
          <w:sz w:val="28"/>
          <w:szCs w:val="28"/>
          <w:highlight w:val="none"/>
          <w:lang w:val="en-US" w:eastAsia="zh-CN"/>
        </w:rPr>
        <w:t>0</w:t>
      </w:r>
      <w:r>
        <w:rPr>
          <w:rFonts w:hint="eastAsia" w:ascii="宋体" w:hAnsi="宋体" w:cs="宋体"/>
          <w:bCs/>
          <w:kern w:val="0"/>
          <w:sz w:val="28"/>
          <w:szCs w:val="28"/>
          <w:highlight w:val="none"/>
        </w:rPr>
        <w:t>:00时（北京时间），逾期送达的或不符合规定的投标文件将被拒绝接收。</w:t>
      </w:r>
    </w:p>
    <w:p>
      <w:pPr>
        <w:widowControl/>
        <w:spacing w:line="560" w:lineRule="exact"/>
        <w:ind w:left="1960" w:hanging="1960" w:hangingChars="700"/>
        <w:jc w:val="left"/>
        <w:rPr>
          <w:rFonts w:ascii="宋体" w:hAnsi="宋体" w:cs="宋体"/>
          <w:bCs/>
          <w:kern w:val="0"/>
          <w:sz w:val="28"/>
          <w:szCs w:val="28"/>
          <w:highlight w:val="none"/>
        </w:rPr>
      </w:pPr>
      <w:r>
        <w:rPr>
          <w:rFonts w:hint="eastAsia" w:ascii="宋体" w:hAnsi="宋体" w:cs="宋体"/>
          <w:bCs/>
          <w:kern w:val="0"/>
          <w:sz w:val="28"/>
          <w:szCs w:val="28"/>
          <w:highlight w:val="none"/>
        </w:rPr>
        <w:t>十四、开标地点：</w:t>
      </w:r>
      <w:r>
        <w:rPr>
          <w:rFonts w:ascii="宋体" w:hAnsi="宋体" w:cs="宋体"/>
          <w:bCs/>
          <w:kern w:val="0"/>
          <w:sz w:val="28"/>
          <w:szCs w:val="28"/>
          <w:highlight w:val="none"/>
        </w:rPr>
        <w:t>新疆政府采购（http://www.ccgp-xinjiang.gov.cn）政采云线上平台</w:t>
      </w:r>
    </w:p>
    <w:p>
      <w:pPr>
        <w:widowControl/>
        <w:spacing w:line="560" w:lineRule="exact"/>
        <w:jc w:val="left"/>
        <w:rPr>
          <w:rFonts w:hint="eastAsia" w:ascii="宋体" w:hAnsi="宋体" w:cs="宋体" w:eastAsiaTheme="minorEastAsia"/>
          <w:bCs/>
          <w:kern w:val="0"/>
          <w:sz w:val="28"/>
          <w:szCs w:val="28"/>
          <w:highlight w:val="none"/>
          <w:lang w:eastAsia="zh-CN"/>
        </w:rPr>
      </w:pPr>
      <w:r>
        <w:rPr>
          <w:rFonts w:hint="eastAsia" w:ascii="宋体" w:hAnsi="宋体" w:cs="宋体"/>
          <w:bCs/>
          <w:kern w:val="0"/>
          <w:sz w:val="28"/>
          <w:szCs w:val="28"/>
          <w:highlight w:val="none"/>
        </w:rPr>
        <w:t>十五、采购单位：</w:t>
      </w:r>
      <w:r>
        <w:rPr>
          <w:rFonts w:hint="eastAsia" w:ascii="宋体" w:hAnsi="宋体" w:cs="宋体"/>
          <w:bCs/>
          <w:kern w:val="0"/>
          <w:sz w:val="28"/>
          <w:szCs w:val="28"/>
          <w:highlight w:val="none"/>
          <w:lang w:eastAsia="zh-CN"/>
        </w:rPr>
        <w:t>巴里坤哈萨克自治县环卫所</w:t>
      </w:r>
    </w:p>
    <w:p>
      <w:pPr>
        <w:widowControl/>
        <w:spacing w:line="560" w:lineRule="exact"/>
        <w:ind w:firstLine="840" w:firstLineChars="300"/>
        <w:jc w:val="left"/>
        <w:rPr>
          <w:rFonts w:hint="default" w:ascii="宋体" w:hAnsi="宋体" w:cs="宋体" w:eastAsiaTheme="minorEastAsia"/>
          <w:bCs/>
          <w:kern w:val="0"/>
          <w:sz w:val="28"/>
          <w:szCs w:val="28"/>
          <w:highlight w:val="none"/>
          <w:lang w:val="en-US" w:eastAsia="zh-CN"/>
        </w:rPr>
      </w:pPr>
      <w:r>
        <w:rPr>
          <w:rFonts w:hint="eastAsia" w:ascii="宋体" w:hAnsi="宋体" w:cs="宋体"/>
          <w:bCs/>
          <w:kern w:val="0"/>
          <w:sz w:val="28"/>
          <w:szCs w:val="28"/>
          <w:highlight w:val="none"/>
        </w:rPr>
        <w:t>联系人：</w:t>
      </w:r>
      <w:r>
        <w:rPr>
          <w:rFonts w:hint="eastAsia" w:ascii="宋体" w:hAnsi="宋体" w:cs="宋体"/>
          <w:bCs/>
          <w:kern w:val="0"/>
          <w:sz w:val="28"/>
          <w:szCs w:val="28"/>
          <w:highlight w:val="none"/>
          <w:lang w:eastAsia="zh-CN"/>
        </w:rPr>
        <w:t>王工</w:t>
      </w:r>
      <w:r>
        <w:rPr>
          <w:rFonts w:hint="eastAsia" w:ascii="宋体" w:hAnsi="宋体" w:cs="宋体"/>
          <w:bCs/>
          <w:kern w:val="0"/>
          <w:sz w:val="28"/>
          <w:szCs w:val="28"/>
          <w:highlight w:val="none"/>
        </w:rPr>
        <w:t xml:space="preserve">    联系电话：</w:t>
      </w:r>
      <w:r>
        <w:rPr>
          <w:rFonts w:hint="eastAsia" w:ascii="宋体" w:hAnsi="宋体" w:cs="宋体"/>
          <w:bCs/>
          <w:kern w:val="0"/>
          <w:sz w:val="28"/>
          <w:szCs w:val="28"/>
          <w:highlight w:val="none"/>
          <w:lang w:val="en-US" w:eastAsia="zh-CN"/>
        </w:rPr>
        <w:t>19190498080</w:t>
      </w:r>
    </w:p>
    <w:p>
      <w:pPr>
        <w:widowControl/>
        <w:spacing w:line="560" w:lineRule="exact"/>
        <w:jc w:val="left"/>
        <w:rPr>
          <w:rFonts w:ascii="宋体" w:hAnsi="宋体" w:eastAsia="宋体" w:cs="宋体"/>
          <w:bCs/>
          <w:kern w:val="0"/>
          <w:sz w:val="28"/>
          <w:szCs w:val="28"/>
          <w:highlight w:val="none"/>
        </w:rPr>
      </w:pPr>
      <w:r>
        <w:rPr>
          <w:rFonts w:hint="eastAsia" w:ascii="宋体" w:hAnsi="宋体" w:cs="宋体"/>
          <w:bCs/>
          <w:kern w:val="0"/>
          <w:sz w:val="28"/>
          <w:szCs w:val="28"/>
          <w:highlight w:val="none"/>
        </w:rPr>
        <w:t>十六、招标代理机构：新疆华域建设工程项目管理咨询有限公司</w:t>
      </w:r>
    </w:p>
    <w:p>
      <w:pPr>
        <w:widowControl/>
        <w:spacing w:line="560" w:lineRule="exact"/>
        <w:ind w:firstLine="840" w:firstLineChars="300"/>
        <w:jc w:val="left"/>
        <w:rPr>
          <w:rFonts w:hint="default" w:eastAsiaTheme="minorEastAsia"/>
          <w:b/>
          <w:sz w:val="36"/>
          <w:szCs w:val="36"/>
          <w:highlight w:val="none"/>
          <w:lang w:val="en-US" w:eastAsia="zh-CN"/>
        </w:rPr>
      </w:pPr>
      <w:r>
        <w:rPr>
          <w:rFonts w:hint="eastAsia" w:ascii="宋体" w:hAnsi="宋体" w:cs="宋体"/>
          <w:bCs/>
          <w:kern w:val="0"/>
          <w:sz w:val="28"/>
          <w:szCs w:val="28"/>
          <w:highlight w:val="none"/>
        </w:rPr>
        <w:t>联系人：</w:t>
      </w:r>
      <w:r>
        <w:rPr>
          <w:rFonts w:hint="eastAsia" w:ascii="宋体" w:hAnsi="宋体" w:cs="宋体"/>
          <w:bCs/>
          <w:kern w:val="0"/>
          <w:sz w:val="28"/>
          <w:szCs w:val="28"/>
          <w:highlight w:val="none"/>
          <w:lang w:eastAsia="zh-CN"/>
        </w:rPr>
        <w:t>田宇</w:t>
      </w:r>
      <w:r>
        <w:rPr>
          <w:rFonts w:hint="eastAsia" w:ascii="宋体" w:hAnsi="宋体" w:cs="宋体"/>
          <w:bCs/>
          <w:kern w:val="0"/>
          <w:sz w:val="28"/>
          <w:szCs w:val="28"/>
          <w:highlight w:val="none"/>
        </w:rPr>
        <w:t xml:space="preserve">    联系电话</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15299787043</w:t>
      </w:r>
    </w:p>
    <w:p>
      <w:pPr>
        <w:widowControl/>
        <w:spacing w:line="560" w:lineRule="exact"/>
        <w:rPr>
          <w:rFonts w:ascii="宋体" w:hAnsi="宋体" w:cs="宋体"/>
          <w:bCs/>
          <w:kern w:val="0"/>
          <w:sz w:val="28"/>
          <w:szCs w:val="28"/>
          <w:highlight w:val="none"/>
        </w:rPr>
      </w:pPr>
      <w:r>
        <w:rPr>
          <w:rFonts w:hint="eastAsia" w:ascii="宋体" w:hAnsi="宋体" w:cs="宋体"/>
          <w:bCs/>
          <w:kern w:val="0"/>
          <w:sz w:val="28"/>
          <w:szCs w:val="28"/>
          <w:highlight w:val="none"/>
        </w:rPr>
        <w:t>十七、</w:t>
      </w:r>
      <w:r>
        <w:rPr>
          <w:rFonts w:ascii="宋体" w:hAnsi="宋体" w:cs="宋体"/>
          <w:bCs/>
          <w:kern w:val="0"/>
          <w:sz w:val="28"/>
          <w:szCs w:val="28"/>
          <w:highlight w:val="none"/>
        </w:rPr>
        <w:t>其他事宜：</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1、本公告在新疆政府采购网发布。</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2、请投标单位随时关注本项目的澄清、答疑、变更事项。</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3、本项目实行电子招投标，供应商须登录政采云平台申请获取招标文件，并通过政采云电子投标客户端制作投标文件，同时自行承担与投标有关的一切费用。</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5、有意向参与新疆区域电子开评标的投标人，可访问新疆数字证书认证中心官方网站（https://www.xjca.com.cn/）或下载“新疆政务通”APP自行进行申领。如需咨询，请联系新疆CA服务热线0991-2819290。</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widowControl/>
        <w:spacing w:line="560" w:lineRule="exact"/>
        <w:jc w:val="left"/>
        <w:rPr>
          <w:rFonts w:ascii="宋体" w:hAnsi="宋体" w:cs="宋体"/>
          <w:bCs/>
          <w:kern w:val="0"/>
          <w:sz w:val="28"/>
          <w:szCs w:val="28"/>
          <w:highlight w:val="none"/>
        </w:rPr>
      </w:pPr>
      <w:r>
        <w:rPr>
          <w:rFonts w:hint="eastAsia" w:ascii="宋体" w:hAnsi="宋体" w:cs="宋体"/>
          <w:bCs/>
          <w:kern w:val="0"/>
          <w:sz w:val="28"/>
          <w:szCs w:val="28"/>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widowControl/>
        <w:spacing w:line="560" w:lineRule="exact"/>
        <w:jc w:val="left"/>
        <w:rPr>
          <w:highlight w:val="none"/>
        </w:rPr>
      </w:pPr>
      <w:r>
        <w:rPr>
          <w:rFonts w:hint="eastAsia" w:ascii="宋体" w:hAnsi="宋体" w:cs="宋体"/>
          <w:bCs/>
          <w:kern w:val="0"/>
          <w:sz w:val="28"/>
          <w:szCs w:val="28"/>
          <w:highlight w:val="none"/>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r>
        <w:rPr>
          <w:rFonts w:hint="eastAsia"/>
          <w:b/>
          <w:sz w:val="36"/>
          <w:szCs w:val="36"/>
          <w:highlight w:val="none"/>
        </w:rPr>
        <w:br w:type="page"/>
      </w:r>
    </w:p>
    <w:p>
      <w:pPr>
        <w:spacing w:line="360" w:lineRule="auto"/>
        <w:jc w:val="center"/>
        <w:rPr>
          <w:b/>
          <w:sz w:val="36"/>
          <w:szCs w:val="36"/>
          <w:highlight w:val="none"/>
        </w:rPr>
      </w:pPr>
      <w:r>
        <w:rPr>
          <w:rFonts w:hint="eastAsia"/>
          <w:b/>
          <w:sz w:val="36"/>
          <w:szCs w:val="36"/>
          <w:highlight w:val="none"/>
        </w:rPr>
        <w:t>投标人须知前附表</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8" w:type="dxa"/>
            <w:vAlign w:val="center"/>
          </w:tcPr>
          <w:p>
            <w:pPr>
              <w:spacing w:line="360" w:lineRule="auto"/>
              <w:jc w:val="center"/>
              <w:rPr>
                <w:b/>
                <w:sz w:val="24"/>
                <w:highlight w:val="none"/>
              </w:rPr>
            </w:pPr>
            <w:r>
              <w:rPr>
                <w:rFonts w:hint="eastAsia"/>
                <w:b/>
                <w:sz w:val="24"/>
                <w:highlight w:val="none"/>
              </w:rPr>
              <w:t>序号</w:t>
            </w:r>
          </w:p>
        </w:tc>
        <w:tc>
          <w:tcPr>
            <w:tcW w:w="2160" w:type="dxa"/>
            <w:vAlign w:val="center"/>
          </w:tcPr>
          <w:p>
            <w:pPr>
              <w:spacing w:line="360" w:lineRule="auto"/>
              <w:jc w:val="center"/>
              <w:rPr>
                <w:b/>
                <w:sz w:val="24"/>
                <w:highlight w:val="none"/>
              </w:rPr>
            </w:pPr>
            <w:r>
              <w:rPr>
                <w:rFonts w:hint="eastAsia"/>
                <w:b/>
                <w:sz w:val="24"/>
                <w:highlight w:val="none"/>
              </w:rPr>
              <w:t>项目</w:t>
            </w:r>
          </w:p>
        </w:tc>
        <w:tc>
          <w:tcPr>
            <w:tcW w:w="6656" w:type="dxa"/>
            <w:vAlign w:val="center"/>
          </w:tcPr>
          <w:p>
            <w:pPr>
              <w:spacing w:line="360" w:lineRule="auto"/>
              <w:jc w:val="center"/>
              <w:rPr>
                <w:b/>
                <w:sz w:val="24"/>
                <w:highlight w:val="none"/>
              </w:rPr>
            </w:pPr>
            <w:r>
              <w:rPr>
                <w:rFonts w:hint="eastAsia"/>
                <w:b/>
                <w:sz w:val="24"/>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48" w:type="dxa"/>
            <w:vAlign w:val="center"/>
          </w:tcPr>
          <w:p>
            <w:pPr>
              <w:spacing w:line="360" w:lineRule="auto"/>
              <w:jc w:val="center"/>
              <w:rPr>
                <w:sz w:val="24"/>
                <w:highlight w:val="none"/>
              </w:rPr>
            </w:pPr>
            <w:r>
              <w:rPr>
                <w:rFonts w:hint="eastAsia"/>
                <w:sz w:val="24"/>
                <w:highlight w:val="none"/>
              </w:rPr>
              <w:t>1</w:t>
            </w:r>
          </w:p>
        </w:tc>
        <w:tc>
          <w:tcPr>
            <w:tcW w:w="2160" w:type="dxa"/>
            <w:vAlign w:val="center"/>
          </w:tcPr>
          <w:p>
            <w:pPr>
              <w:spacing w:line="360" w:lineRule="auto"/>
              <w:jc w:val="center"/>
              <w:rPr>
                <w:sz w:val="24"/>
                <w:highlight w:val="none"/>
              </w:rPr>
            </w:pPr>
            <w:r>
              <w:rPr>
                <w:rFonts w:hint="eastAsia"/>
                <w:sz w:val="24"/>
                <w:highlight w:val="none"/>
              </w:rPr>
              <w:t>项目名称</w:t>
            </w:r>
          </w:p>
        </w:tc>
        <w:tc>
          <w:tcPr>
            <w:tcW w:w="6656" w:type="dxa"/>
            <w:vAlign w:val="center"/>
          </w:tcPr>
          <w:p>
            <w:pPr>
              <w:spacing w:line="360" w:lineRule="auto"/>
              <w:rPr>
                <w:rFonts w:hint="eastAsia" w:eastAsiaTheme="minorEastAsia"/>
                <w:sz w:val="24"/>
                <w:highlight w:val="none"/>
                <w:lang w:eastAsia="zh-CN"/>
              </w:rPr>
            </w:pPr>
            <w:r>
              <w:rPr>
                <w:rFonts w:hint="eastAsia"/>
                <w:sz w:val="24"/>
                <w:highlight w:val="none"/>
                <w:lang w:eastAsia="zh-CN"/>
              </w:rPr>
              <w:t>巴里坤哈萨克自治县环卫所2023年环卫车辆采购项目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48" w:type="dxa"/>
            <w:vAlign w:val="center"/>
          </w:tcPr>
          <w:p>
            <w:pPr>
              <w:spacing w:line="360" w:lineRule="auto"/>
              <w:jc w:val="center"/>
              <w:rPr>
                <w:sz w:val="24"/>
                <w:highlight w:val="none"/>
              </w:rPr>
            </w:pPr>
            <w:r>
              <w:rPr>
                <w:rFonts w:hint="eastAsia"/>
                <w:sz w:val="24"/>
                <w:highlight w:val="none"/>
              </w:rPr>
              <w:t>2</w:t>
            </w:r>
          </w:p>
        </w:tc>
        <w:tc>
          <w:tcPr>
            <w:tcW w:w="2160" w:type="dxa"/>
            <w:vAlign w:val="center"/>
          </w:tcPr>
          <w:p>
            <w:pPr>
              <w:spacing w:line="360" w:lineRule="auto"/>
              <w:jc w:val="center"/>
              <w:rPr>
                <w:sz w:val="24"/>
                <w:highlight w:val="none"/>
              </w:rPr>
            </w:pPr>
            <w:r>
              <w:rPr>
                <w:rFonts w:hint="eastAsia"/>
                <w:sz w:val="24"/>
                <w:highlight w:val="none"/>
              </w:rPr>
              <w:t>招标文件编号</w:t>
            </w:r>
          </w:p>
        </w:tc>
        <w:tc>
          <w:tcPr>
            <w:tcW w:w="6656" w:type="dxa"/>
            <w:vAlign w:val="center"/>
          </w:tcPr>
          <w:p>
            <w:pPr>
              <w:spacing w:line="360" w:lineRule="auto"/>
              <w:rPr>
                <w:rFonts w:hint="default" w:eastAsiaTheme="minorEastAsia"/>
                <w:sz w:val="24"/>
                <w:highlight w:val="none"/>
                <w:lang w:val="en-US" w:eastAsia="zh-CN"/>
              </w:rPr>
            </w:pPr>
            <w:r>
              <w:rPr>
                <w:rFonts w:hint="eastAsia"/>
                <w:sz w:val="24"/>
                <w:highlight w:val="none"/>
              </w:rPr>
              <w:t>HMHY-202</w:t>
            </w:r>
            <w:r>
              <w:rPr>
                <w:rFonts w:hint="eastAsia"/>
                <w:sz w:val="24"/>
                <w:highlight w:val="none"/>
                <w:lang w:val="en-US" w:eastAsia="zh-CN"/>
              </w:rPr>
              <w:t>3-012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48" w:type="dxa"/>
            <w:vAlign w:val="center"/>
          </w:tcPr>
          <w:p>
            <w:pPr>
              <w:spacing w:line="360" w:lineRule="auto"/>
              <w:jc w:val="center"/>
              <w:rPr>
                <w:sz w:val="24"/>
                <w:highlight w:val="none"/>
              </w:rPr>
            </w:pPr>
            <w:r>
              <w:rPr>
                <w:rFonts w:hint="eastAsia"/>
                <w:sz w:val="24"/>
                <w:highlight w:val="none"/>
              </w:rPr>
              <w:t>3</w:t>
            </w:r>
          </w:p>
        </w:tc>
        <w:tc>
          <w:tcPr>
            <w:tcW w:w="2160" w:type="dxa"/>
            <w:vAlign w:val="center"/>
          </w:tcPr>
          <w:p>
            <w:pPr>
              <w:spacing w:line="360" w:lineRule="auto"/>
              <w:jc w:val="center"/>
              <w:rPr>
                <w:sz w:val="24"/>
                <w:highlight w:val="none"/>
              </w:rPr>
            </w:pPr>
            <w:r>
              <w:rPr>
                <w:rFonts w:hint="eastAsia"/>
                <w:sz w:val="24"/>
                <w:highlight w:val="none"/>
              </w:rPr>
              <w:t>招标内容</w:t>
            </w:r>
          </w:p>
        </w:tc>
        <w:tc>
          <w:tcPr>
            <w:tcW w:w="6656" w:type="dxa"/>
            <w:vAlign w:val="center"/>
          </w:tcPr>
          <w:p>
            <w:pPr>
              <w:pStyle w:val="22"/>
              <w:spacing w:line="360" w:lineRule="auto"/>
              <w:jc w:val="both"/>
              <w:rPr>
                <w:rFonts w:ascii="宋体" w:hAnsi="宋体" w:eastAsia="宋体" w:cs="宋体"/>
                <w:kern w:val="0"/>
                <w:sz w:val="22"/>
                <w:highlight w:val="none"/>
              </w:rPr>
            </w:pPr>
            <w:r>
              <w:rPr>
                <w:rFonts w:hint="eastAsia"/>
                <w:sz w:val="24"/>
                <w:highlight w:val="none"/>
              </w:rPr>
              <w:t>压缩式垃圾车1辆、滑移装载机1辆、多功能除雪车1辆、干式扫路车1辆、农用自卸车1辆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pPr>
              <w:spacing w:line="360" w:lineRule="auto"/>
              <w:jc w:val="center"/>
              <w:rPr>
                <w:sz w:val="24"/>
                <w:highlight w:val="none"/>
              </w:rPr>
            </w:pPr>
            <w:r>
              <w:rPr>
                <w:rFonts w:hint="eastAsia"/>
                <w:sz w:val="24"/>
                <w:highlight w:val="none"/>
              </w:rPr>
              <w:t>4</w:t>
            </w:r>
          </w:p>
        </w:tc>
        <w:tc>
          <w:tcPr>
            <w:tcW w:w="2160" w:type="dxa"/>
            <w:vAlign w:val="center"/>
          </w:tcPr>
          <w:p>
            <w:pPr>
              <w:spacing w:line="360" w:lineRule="auto"/>
              <w:jc w:val="center"/>
              <w:rPr>
                <w:sz w:val="24"/>
                <w:highlight w:val="none"/>
              </w:rPr>
            </w:pPr>
            <w:r>
              <w:rPr>
                <w:rFonts w:hint="eastAsia"/>
                <w:sz w:val="24"/>
                <w:highlight w:val="none"/>
              </w:rPr>
              <w:t>投标有效期</w:t>
            </w:r>
          </w:p>
        </w:tc>
        <w:tc>
          <w:tcPr>
            <w:tcW w:w="6656" w:type="dxa"/>
            <w:vAlign w:val="center"/>
          </w:tcPr>
          <w:p>
            <w:pPr>
              <w:spacing w:line="360" w:lineRule="auto"/>
              <w:rPr>
                <w:sz w:val="24"/>
                <w:highlight w:val="none"/>
              </w:rPr>
            </w:pPr>
            <w:r>
              <w:rPr>
                <w:rFonts w:hint="eastAsia"/>
                <w:sz w:val="24"/>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8" w:type="dxa"/>
            <w:vAlign w:val="center"/>
          </w:tcPr>
          <w:p>
            <w:pPr>
              <w:spacing w:line="360" w:lineRule="auto"/>
              <w:jc w:val="center"/>
              <w:rPr>
                <w:sz w:val="24"/>
                <w:highlight w:val="none"/>
              </w:rPr>
            </w:pPr>
            <w:r>
              <w:rPr>
                <w:rFonts w:hint="eastAsia"/>
                <w:sz w:val="24"/>
                <w:highlight w:val="none"/>
              </w:rPr>
              <w:t>5</w:t>
            </w:r>
          </w:p>
        </w:tc>
        <w:tc>
          <w:tcPr>
            <w:tcW w:w="2160" w:type="dxa"/>
            <w:vAlign w:val="center"/>
          </w:tcPr>
          <w:p>
            <w:pPr>
              <w:spacing w:line="360" w:lineRule="auto"/>
              <w:jc w:val="center"/>
              <w:rPr>
                <w:sz w:val="24"/>
                <w:highlight w:val="none"/>
              </w:rPr>
            </w:pPr>
            <w:r>
              <w:rPr>
                <w:rFonts w:hint="eastAsia"/>
                <w:sz w:val="24"/>
                <w:highlight w:val="none"/>
              </w:rPr>
              <w:t>交货期及质保期要求</w:t>
            </w:r>
          </w:p>
        </w:tc>
        <w:tc>
          <w:tcPr>
            <w:tcW w:w="6656" w:type="dxa"/>
            <w:vAlign w:val="center"/>
          </w:tcPr>
          <w:p>
            <w:pPr>
              <w:spacing w:line="360" w:lineRule="auto"/>
              <w:rPr>
                <w:sz w:val="24"/>
                <w:highlight w:val="none"/>
              </w:rPr>
            </w:pPr>
            <w:r>
              <w:rPr>
                <w:rFonts w:hint="eastAsia"/>
                <w:sz w:val="24"/>
                <w:highlight w:val="none"/>
              </w:rPr>
              <w:t>工程地点：哈密市甲方指定地点</w:t>
            </w:r>
          </w:p>
          <w:p>
            <w:pPr>
              <w:spacing w:line="360" w:lineRule="auto"/>
              <w:rPr>
                <w:sz w:val="24"/>
                <w:highlight w:val="none"/>
              </w:rPr>
            </w:pPr>
            <w:r>
              <w:rPr>
                <w:rFonts w:hint="eastAsia"/>
                <w:sz w:val="24"/>
                <w:highlight w:val="none"/>
              </w:rPr>
              <w:t>交货及完成期：合同签订后</w:t>
            </w:r>
            <w:r>
              <w:rPr>
                <w:rFonts w:hint="eastAsia"/>
                <w:sz w:val="24"/>
                <w:highlight w:val="none"/>
                <w:lang w:val="en-US" w:eastAsia="zh-CN"/>
              </w:rPr>
              <w:t>3</w:t>
            </w:r>
            <w:r>
              <w:rPr>
                <w:rFonts w:hint="eastAsia"/>
                <w:sz w:val="24"/>
                <w:highlight w:val="none"/>
              </w:rPr>
              <w:t>0日内完成送货安装.</w:t>
            </w:r>
          </w:p>
          <w:p>
            <w:pPr>
              <w:pStyle w:val="22"/>
              <w:spacing w:line="360" w:lineRule="auto"/>
              <w:jc w:val="both"/>
              <w:rPr>
                <w:sz w:val="24"/>
                <w:highlight w:val="none"/>
              </w:rPr>
            </w:pPr>
            <w:r>
              <w:rPr>
                <w:rFonts w:hint="eastAsia"/>
                <w:sz w:val="24"/>
                <w:highlight w:val="none"/>
              </w:rPr>
              <w:t>其他服务要求：中标单位负责办理上牌的一切手续；</w:t>
            </w:r>
          </w:p>
          <w:p>
            <w:pPr>
              <w:pStyle w:val="22"/>
              <w:spacing w:line="360" w:lineRule="auto"/>
              <w:jc w:val="both"/>
              <w:rPr>
                <w:highlight w:val="none"/>
              </w:rPr>
            </w:pPr>
            <w:r>
              <w:rPr>
                <w:rFonts w:hint="eastAsia"/>
                <w:sz w:val="24"/>
                <w:highlight w:val="none"/>
              </w:rPr>
              <w:t>售后服务响应时间：中标后售后需具备4小时内响应，48小时内实施维修的能力；要有售后维修人员。提供姓名、联系电话，24小时电话服务支持。</w:t>
            </w:r>
          </w:p>
          <w:p>
            <w:pPr>
              <w:spacing w:line="360" w:lineRule="auto"/>
              <w:rPr>
                <w:sz w:val="24"/>
                <w:highlight w:val="none"/>
              </w:rPr>
            </w:pPr>
            <w:r>
              <w:rPr>
                <w:rFonts w:hint="eastAsia"/>
                <w:sz w:val="24"/>
                <w:highlight w:val="none"/>
              </w:rPr>
              <w:t>质保期：</w:t>
            </w:r>
            <w:r>
              <w:rPr>
                <w:rFonts w:hint="eastAsia"/>
                <w:sz w:val="24"/>
                <w:highlight w:val="none"/>
                <w:lang w:val="en-US" w:eastAsia="zh-CN"/>
              </w:rPr>
              <w:t>2</w:t>
            </w:r>
            <w:r>
              <w:rPr>
                <w:rFonts w:hint="eastAsia"/>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8" w:type="dxa"/>
            <w:vAlign w:val="center"/>
          </w:tcPr>
          <w:p>
            <w:pPr>
              <w:spacing w:line="360" w:lineRule="auto"/>
              <w:jc w:val="center"/>
              <w:rPr>
                <w:sz w:val="24"/>
                <w:highlight w:val="none"/>
              </w:rPr>
            </w:pPr>
            <w:r>
              <w:rPr>
                <w:rFonts w:hint="eastAsia"/>
                <w:sz w:val="24"/>
                <w:highlight w:val="none"/>
              </w:rPr>
              <w:t>6</w:t>
            </w:r>
          </w:p>
        </w:tc>
        <w:tc>
          <w:tcPr>
            <w:tcW w:w="2160" w:type="dxa"/>
            <w:vAlign w:val="center"/>
          </w:tcPr>
          <w:p>
            <w:pPr>
              <w:spacing w:line="360" w:lineRule="auto"/>
              <w:jc w:val="center"/>
              <w:rPr>
                <w:sz w:val="24"/>
                <w:highlight w:val="none"/>
              </w:rPr>
            </w:pPr>
            <w:r>
              <w:rPr>
                <w:rFonts w:hint="eastAsia"/>
                <w:sz w:val="24"/>
                <w:highlight w:val="none"/>
              </w:rPr>
              <w:t>投标保证金</w:t>
            </w:r>
          </w:p>
        </w:tc>
        <w:tc>
          <w:tcPr>
            <w:tcW w:w="6656" w:type="dxa"/>
            <w:vAlign w:val="center"/>
          </w:tcPr>
          <w:p>
            <w:pPr>
              <w:pStyle w:val="22"/>
              <w:spacing w:line="360" w:lineRule="auto"/>
              <w:jc w:val="both"/>
              <w:rPr>
                <w:sz w:val="24"/>
                <w:highlight w:val="none"/>
              </w:rPr>
            </w:pPr>
            <w:r>
              <w:rPr>
                <w:rFonts w:hint="eastAsia"/>
                <w:sz w:val="24"/>
                <w:highlight w:val="none"/>
              </w:rPr>
              <w:t>投标保证金：</w:t>
            </w:r>
            <w:r>
              <w:rPr>
                <w:rFonts w:hint="eastAsia"/>
                <w:sz w:val="24"/>
                <w:highlight w:val="none"/>
                <w:lang w:eastAsia="zh-CN"/>
              </w:rPr>
              <w:t>肆</w:t>
            </w:r>
            <w:r>
              <w:rPr>
                <w:rFonts w:hint="eastAsia"/>
                <w:sz w:val="24"/>
                <w:highlight w:val="none"/>
              </w:rPr>
              <w:t>万元整，</w:t>
            </w:r>
            <w:r>
              <w:rPr>
                <w:rFonts w:ascii="微软雅黑" w:hAnsi="微软雅黑" w:eastAsia="微软雅黑" w:cs="微软雅黑"/>
                <w:sz w:val="24"/>
                <w:highlight w:val="none"/>
                <w:shd w:val="clear" w:color="auto" w:fill="FFFFFF"/>
              </w:rPr>
              <w:t>￥</w:t>
            </w:r>
            <w:r>
              <w:rPr>
                <w:rFonts w:hint="eastAsia" w:eastAsia="微软雅黑"/>
                <w:sz w:val="24"/>
                <w:highlight w:val="none"/>
                <w:lang w:val="en-US" w:eastAsia="zh-CN"/>
              </w:rPr>
              <w:t>4</w:t>
            </w:r>
            <w:r>
              <w:rPr>
                <w:rFonts w:hint="eastAsia"/>
                <w:sz w:val="24"/>
                <w:highlight w:val="none"/>
              </w:rPr>
              <w:t>0000元整</w:t>
            </w:r>
          </w:p>
          <w:p>
            <w:pPr>
              <w:pStyle w:val="22"/>
              <w:spacing w:line="360" w:lineRule="auto"/>
              <w:jc w:val="both"/>
              <w:rPr>
                <w:sz w:val="24"/>
                <w:highlight w:val="none"/>
              </w:rPr>
            </w:pPr>
            <w:r>
              <w:rPr>
                <w:rFonts w:hint="eastAsia"/>
                <w:sz w:val="24"/>
                <w:highlight w:val="none"/>
              </w:rPr>
              <w:t>投标保证金形式：投标人需提供有效的保证金缴纳凭证。保证金缴纳方式可根据自身情况以银行转账、电汇等非现金形式提交。银行保函或者保险公司、担保公司保函应当从其基本账户开具。</w:t>
            </w:r>
          </w:p>
          <w:p>
            <w:pPr>
              <w:pStyle w:val="22"/>
              <w:spacing w:line="360" w:lineRule="auto"/>
              <w:jc w:val="both"/>
              <w:rPr>
                <w:sz w:val="24"/>
                <w:highlight w:val="none"/>
              </w:rPr>
            </w:pPr>
            <w:r>
              <w:rPr>
                <w:rFonts w:hint="eastAsia"/>
                <w:sz w:val="24"/>
                <w:highlight w:val="none"/>
              </w:rPr>
              <w:t>开户单位名称：新疆华域建设工程项目管理咨询有限公司哈密分公司</w:t>
            </w:r>
          </w:p>
          <w:p>
            <w:pPr>
              <w:pStyle w:val="22"/>
              <w:spacing w:line="360" w:lineRule="auto"/>
              <w:jc w:val="both"/>
              <w:rPr>
                <w:sz w:val="24"/>
                <w:highlight w:val="none"/>
              </w:rPr>
            </w:pPr>
            <w:r>
              <w:rPr>
                <w:rFonts w:hint="eastAsia"/>
                <w:sz w:val="24"/>
                <w:highlight w:val="none"/>
              </w:rPr>
              <w:t>开户银行：巴里坤哈萨克自治县农村信用合作联社营业部</w:t>
            </w:r>
          </w:p>
          <w:p>
            <w:pPr>
              <w:pStyle w:val="22"/>
              <w:spacing w:line="360" w:lineRule="auto"/>
              <w:jc w:val="both"/>
              <w:rPr>
                <w:sz w:val="24"/>
                <w:highlight w:val="none"/>
              </w:rPr>
            </w:pPr>
            <w:r>
              <w:rPr>
                <w:rFonts w:hint="eastAsia"/>
                <w:sz w:val="24"/>
                <w:highlight w:val="none"/>
              </w:rPr>
              <w:t xml:space="preserve">账户账号：842010012010112784877 </w:t>
            </w:r>
          </w:p>
          <w:p>
            <w:pPr>
              <w:pStyle w:val="22"/>
              <w:spacing w:line="360" w:lineRule="auto"/>
              <w:jc w:val="both"/>
              <w:rPr>
                <w:sz w:val="24"/>
                <w:highlight w:val="none"/>
              </w:rPr>
            </w:pPr>
            <w:r>
              <w:rPr>
                <w:rFonts w:hint="eastAsia"/>
                <w:sz w:val="24"/>
                <w:highlight w:val="none"/>
              </w:rPr>
              <w:t>开户行行号： 402884200016</w:t>
            </w:r>
          </w:p>
          <w:p>
            <w:pPr>
              <w:pStyle w:val="22"/>
              <w:spacing w:line="360" w:lineRule="auto"/>
              <w:jc w:val="both"/>
              <w:rPr>
                <w:sz w:val="24"/>
                <w:highlight w:val="none"/>
              </w:rPr>
            </w:pPr>
            <w:r>
              <w:rPr>
                <w:rFonts w:hint="eastAsia"/>
                <w:sz w:val="24"/>
                <w:highlight w:val="none"/>
              </w:rPr>
              <w:t>投标人若不按照上述要求缴纳投标保证金的,投标文件将按无效标处理。</w:t>
            </w:r>
          </w:p>
          <w:p>
            <w:pPr>
              <w:pStyle w:val="22"/>
              <w:spacing w:line="360" w:lineRule="auto"/>
              <w:jc w:val="both"/>
              <w:rPr>
                <w:sz w:val="24"/>
                <w:highlight w:val="none"/>
              </w:rPr>
            </w:pPr>
            <w:r>
              <w:rPr>
                <w:rFonts w:hint="eastAsia"/>
                <w:sz w:val="24"/>
                <w:highlight w:val="none"/>
              </w:rPr>
              <w:t>投标保证金于开标前从投标人基本账户以银行电汇或网银形式汇至指定账户，投标人递交投标保证金应充分考虑资金在途时间。在汇款凭证上备注栏须注明所投项目名称 ，若字数超标，可自行简写项目名称。投标人若不按照上述要求缴纳投标保证金的,投标文件将按无效标处理。</w:t>
            </w:r>
          </w:p>
          <w:p>
            <w:pPr>
              <w:pStyle w:val="22"/>
              <w:spacing w:line="360" w:lineRule="auto"/>
              <w:jc w:val="both"/>
              <w:rPr>
                <w:b/>
                <w:bCs/>
                <w:sz w:val="24"/>
                <w:highlight w:val="none"/>
              </w:rPr>
            </w:pPr>
            <w:r>
              <w:rPr>
                <w:rFonts w:hint="eastAsia"/>
                <w:sz w:val="24"/>
                <w:highlight w:val="none"/>
              </w:rPr>
              <w:t>汇款后请把汇款凭证或网页截图随身复印件放在投标文件中，无需到公司换取收据。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8" w:type="dxa"/>
            <w:vAlign w:val="center"/>
          </w:tcPr>
          <w:p>
            <w:pPr>
              <w:spacing w:line="360" w:lineRule="auto"/>
              <w:jc w:val="center"/>
              <w:rPr>
                <w:sz w:val="24"/>
                <w:highlight w:val="none"/>
              </w:rPr>
            </w:pPr>
            <w:r>
              <w:rPr>
                <w:rFonts w:hint="eastAsia"/>
                <w:sz w:val="24"/>
                <w:highlight w:val="none"/>
              </w:rPr>
              <w:t>7</w:t>
            </w:r>
          </w:p>
        </w:tc>
        <w:tc>
          <w:tcPr>
            <w:tcW w:w="2160" w:type="dxa"/>
            <w:vAlign w:val="center"/>
          </w:tcPr>
          <w:p>
            <w:pPr>
              <w:spacing w:line="360" w:lineRule="auto"/>
              <w:jc w:val="center"/>
              <w:rPr>
                <w:sz w:val="24"/>
                <w:highlight w:val="none"/>
              </w:rPr>
            </w:pPr>
            <w:r>
              <w:rPr>
                <w:rFonts w:hint="eastAsia"/>
                <w:sz w:val="24"/>
                <w:highlight w:val="none"/>
              </w:rPr>
              <w:t>交货地点</w:t>
            </w:r>
          </w:p>
        </w:tc>
        <w:tc>
          <w:tcPr>
            <w:tcW w:w="6656" w:type="dxa"/>
            <w:vAlign w:val="center"/>
          </w:tcPr>
          <w:p>
            <w:pPr>
              <w:spacing w:line="360" w:lineRule="auto"/>
              <w:rPr>
                <w:sz w:val="24"/>
                <w:highlight w:val="none"/>
              </w:rPr>
            </w:pPr>
            <w:r>
              <w:rPr>
                <w:rFonts w:hint="eastAsia"/>
                <w:sz w:val="24"/>
                <w:highlight w:val="none"/>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8" w:type="dxa"/>
            <w:vAlign w:val="center"/>
          </w:tcPr>
          <w:p>
            <w:pPr>
              <w:spacing w:line="360" w:lineRule="auto"/>
              <w:jc w:val="center"/>
              <w:rPr>
                <w:sz w:val="24"/>
                <w:highlight w:val="none"/>
              </w:rPr>
            </w:pPr>
            <w:r>
              <w:rPr>
                <w:rFonts w:hint="eastAsia"/>
                <w:sz w:val="24"/>
                <w:highlight w:val="none"/>
              </w:rPr>
              <w:t>8</w:t>
            </w:r>
          </w:p>
        </w:tc>
        <w:tc>
          <w:tcPr>
            <w:tcW w:w="2160" w:type="dxa"/>
            <w:vAlign w:val="center"/>
          </w:tcPr>
          <w:p>
            <w:pPr>
              <w:spacing w:line="360" w:lineRule="auto"/>
              <w:jc w:val="center"/>
              <w:rPr>
                <w:sz w:val="24"/>
                <w:highlight w:val="none"/>
              </w:rPr>
            </w:pPr>
            <w:r>
              <w:rPr>
                <w:rFonts w:hint="eastAsia"/>
                <w:sz w:val="24"/>
                <w:highlight w:val="none"/>
              </w:rPr>
              <w:t>投标文件递交截止时间及开标时间、开标地点</w:t>
            </w:r>
          </w:p>
        </w:tc>
        <w:tc>
          <w:tcPr>
            <w:tcW w:w="6656" w:type="dxa"/>
            <w:vAlign w:val="center"/>
          </w:tcPr>
          <w:p>
            <w:pPr>
              <w:spacing w:line="360" w:lineRule="auto"/>
              <w:rPr>
                <w:sz w:val="24"/>
                <w:highlight w:val="none"/>
              </w:rPr>
            </w:pPr>
            <w:r>
              <w:rPr>
                <w:rFonts w:hint="eastAsia"/>
                <w:sz w:val="24"/>
                <w:highlight w:val="none"/>
              </w:rPr>
              <w:t>投标文件递交截止时间及开标时间:</w:t>
            </w:r>
            <w:r>
              <w:rPr>
                <w:rFonts w:hint="eastAsia"/>
                <w:sz w:val="24"/>
                <w:highlight w:val="none"/>
                <w:u w:val="single"/>
              </w:rPr>
              <w:t>202</w:t>
            </w:r>
            <w:r>
              <w:rPr>
                <w:rFonts w:hint="eastAsia"/>
                <w:sz w:val="24"/>
                <w:highlight w:val="none"/>
                <w:u w:val="single"/>
                <w:lang w:val="en-US" w:eastAsia="zh-CN"/>
              </w:rPr>
              <w:t>3</w:t>
            </w:r>
            <w:r>
              <w:rPr>
                <w:rFonts w:hint="eastAsia"/>
                <w:sz w:val="24"/>
                <w:highlight w:val="none"/>
              </w:rPr>
              <w:t>年</w:t>
            </w:r>
            <w:r>
              <w:rPr>
                <w:rFonts w:hint="eastAsia"/>
                <w:sz w:val="24"/>
                <w:highlight w:val="none"/>
                <w:u w:val="single"/>
                <w:lang w:val="en-US" w:eastAsia="zh-CN"/>
              </w:rPr>
              <w:t>3</w:t>
            </w:r>
            <w:r>
              <w:rPr>
                <w:rFonts w:hint="eastAsia"/>
                <w:sz w:val="24"/>
                <w:highlight w:val="none"/>
              </w:rPr>
              <w:t>月</w:t>
            </w:r>
            <w:r>
              <w:rPr>
                <w:rFonts w:hint="eastAsia"/>
                <w:sz w:val="24"/>
                <w:highlight w:val="none"/>
                <w:u w:val="single"/>
                <w:lang w:val="en-US" w:eastAsia="zh-CN"/>
              </w:rPr>
              <w:t>28</w:t>
            </w:r>
            <w:r>
              <w:rPr>
                <w:rFonts w:hint="eastAsia"/>
                <w:sz w:val="24"/>
                <w:highlight w:val="none"/>
              </w:rPr>
              <w:t>日</w:t>
            </w:r>
            <w:r>
              <w:rPr>
                <w:rFonts w:hint="eastAsia"/>
                <w:sz w:val="24"/>
                <w:highlight w:val="none"/>
                <w:u w:val="single"/>
              </w:rPr>
              <w:t>1</w:t>
            </w:r>
            <w:r>
              <w:rPr>
                <w:rFonts w:hint="eastAsia"/>
                <w:sz w:val="24"/>
                <w:highlight w:val="none"/>
                <w:u w:val="single"/>
                <w:lang w:val="en-US" w:eastAsia="zh-CN"/>
              </w:rPr>
              <w:t>0</w:t>
            </w:r>
            <w:r>
              <w:rPr>
                <w:rFonts w:hint="eastAsia"/>
                <w:sz w:val="24"/>
                <w:highlight w:val="none"/>
              </w:rPr>
              <w:t>时</w:t>
            </w:r>
            <w:r>
              <w:rPr>
                <w:rFonts w:hint="eastAsia"/>
                <w:sz w:val="24"/>
                <w:highlight w:val="none"/>
                <w:u w:val="single"/>
              </w:rPr>
              <w:t>00</w:t>
            </w:r>
            <w:r>
              <w:rPr>
                <w:rFonts w:hint="eastAsia"/>
                <w:sz w:val="24"/>
                <w:highlight w:val="none"/>
              </w:rPr>
              <w:t>分(北京时间)</w:t>
            </w:r>
          </w:p>
          <w:p>
            <w:pPr>
              <w:spacing w:line="360" w:lineRule="auto"/>
              <w:rPr>
                <w:sz w:val="24"/>
                <w:highlight w:val="none"/>
              </w:rPr>
            </w:pPr>
            <w:r>
              <w:rPr>
                <w:rFonts w:hint="eastAsia"/>
                <w:sz w:val="24"/>
                <w:highlight w:val="none"/>
              </w:rPr>
              <w:t>开标地点：</w:t>
            </w:r>
            <w:r>
              <w:rPr>
                <w:sz w:val="24"/>
                <w:highlight w:val="none"/>
              </w:rPr>
              <w:t>新疆政府采购（http://www.ccgp-xinjiang.gov.cn）政采云线上平台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8" w:type="dxa"/>
            <w:vAlign w:val="center"/>
          </w:tcPr>
          <w:p>
            <w:pPr>
              <w:spacing w:line="360" w:lineRule="auto"/>
              <w:jc w:val="center"/>
              <w:rPr>
                <w:sz w:val="24"/>
                <w:highlight w:val="none"/>
              </w:rPr>
            </w:pPr>
            <w:r>
              <w:rPr>
                <w:rFonts w:hint="eastAsia"/>
                <w:sz w:val="24"/>
                <w:highlight w:val="none"/>
              </w:rPr>
              <w:t>9</w:t>
            </w:r>
          </w:p>
        </w:tc>
        <w:tc>
          <w:tcPr>
            <w:tcW w:w="2160" w:type="dxa"/>
            <w:vAlign w:val="center"/>
          </w:tcPr>
          <w:p>
            <w:pPr>
              <w:spacing w:line="360" w:lineRule="auto"/>
              <w:jc w:val="center"/>
              <w:rPr>
                <w:sz w:val="24"/>
                <w:highlight w:val="none"/>
              </w:rPr>
            </w:pPr>
            <w:r>
              <w:rPr>
                <w:rFonts w:hint="eastAsia"/>
                <w:sz w:val="24"/>
                <w:highlight w:val="none"/>
              </w:rPr>
              <w:t>评标办法</w:t>
            </w:r>
          </w:p>
        </w:tc>
        <w:tc>
          <w:tcPr>
            <w:tcW w:w="6656" w:type="dxa"/>
            <w:vAlign w:val="center"/>
          </w:tcPr>
          <w:p>
            <w:pPr>
              <w:spacing w:line="240" w:lineRule="atLeast"/>
              <w:rPr>
                <w:sz w:val="24"/>
                <w:highlight w:val="none"/>
              </w:rPr>
            </w:pPr>
            <w:r>
              <w:rPr>
                <w:rFonts w:hint="eastAsia"/>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8" w:type="dxa"/>
            <w:vAlign w:val="center"/>
          </w:tcPr>
          <w:p>
            <w:pPr>
              <w:spacing w:line="360" w:lineRule="auto"/>
              <w:jc w:val="center"/>
              <w:rPr>
                <w:sz w:val="24"/>
                <w:highlight w:val="none"/>
              </w:rPr>
            </w:pPr>
            <w:r>
              <w:rPr>
                <w:rFonts w:hint="eastAsia"/>
                <w:sz w:val="24"/>
                <w:highlight w:val="none"/>
              </w:rPr>
              <w:t>10</w:t>
            </w:r>
          </w:p>
        </w:tc>
        <w:tc>
          <w:tcPr>
            <w:tcW w:w="2160" w:type="dxa"/>
            <w:vAlign w:val="center"/>
          </w:tcPr>
          <w:p>
            <w:pPr>
              <w:spacing w:line="360" w:lineRule="auto"/>
              <w:jc w:val="center"/>
              <w:rPr>
                <w:sz w:val="24"/>
                <w:highlight w:val="none"/>
              </w:rPr>
            </w:pPr>
            <w:r>
              <w:rPr>
                <w:rFonts w:hint="eastAsia" w:ascii="宋体" w:hAnsi="宋体" w:eastAsia="宋体" w:cs="宋体"/>
                <w:sz w:val="24"/>
                <w:szCs w:val="24"/>
                <w:highlight w:val="none"/>
              </w:rPr>
              <w:t>注意事项</w:t>
            </w:r>
          </w:p>
        </w:tc>
        <w:tc>
          <w:tcPr>
            <w:tcW w:w="6656" w:type="dxa"/>
            <w:vAlign w:val="center"/>
          </w:tcPr>
          <w:p>
            <w:pPr>
              <w:spacing w:line="360" w:lineRule="auto"/>
              <w:rPr>
                <w:sz w:val="24"/>
                <w:highlight w:val="none"/>
              </w:rPr>
            </w:pPr>
            <w:r>
              <w:rPr>
                <w:rFonts w:hint="eastAsia"/>
                <w:sz w:val="24"/>
                <w:highlight w:val="none"/>
              </w:rPr>
              <w:t>1、请务必确保投标文件制作客户端为最新版本，旧版本可能导致投标文件解密失败。</w:t>
            </w:r>
          </w:p>
          <w:p>
            <w:pPr>
              <w:spacing w:line="360" w:lineRule="auto"/>
              <w:rPr>
                <w:sz w:val="24"/>
                <w:highlight w:val="none"/>
              </w:rPr>
            </w:pPr>
            <w:r>
              <w:rPr>
                <w:rFonts w:hint="eastAsia"/>
                <w:sz w:val="24"/>
                <w:highlight w:val="none"/>
              </w:rPr>
              <w:t>2、请务必确保投标文件制作时所用的CA锁与投标文件解密时的CA锁为同一把，否则可能导致投标文件解密失败。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jc w:val="center"/>
        </w:trPr>
        <w:tc>
          <w:tcPr>
            <w:tcW w:w="648" w:type="dxa"/>
            <w:vAlign w:val="center"/>
          </w:tcPr>
          <w:p>
            <w:pPr>
              <w:spacing w:line="360" w:lineRule="auto"/>
              <w:jc w:val="center"/>
              <w:rPr>
                <w:sz w:val="24"/>
                <w:highlight w:val="none"/>
              </w:rPr>
            </w:pPr>
            <w:r>
              <w:rPr>
                <w:rFonts w:hint="eastAsia"/>
                <w:sz w:val="24"/>
                <w:highlight w:val="none"/>
              </w:rPr>
              <w:t>14</w:t>
            </w:r>
          </w:p>
        </w:tc>
        <w:tc>
          <w:tcPr>
            <w:tcW w:w="2160" w:type="dxa"/>
            <w:vAlign w:val="center"/>
          </w:tcPr>
          <w:p>
            <w:pPr>
              <w:spacing w:line="360" w:lineRule="auto"/>
              <w:jc w:val="center"/>
              <w:rPr>
                <w:sz w:val="24"/>
                <w:highlight w:val="none"/>
              </w:rPr>
            </w:pPr>
            <w:r>
              <w:rPr>
                <w:rFonts w:hint="eastAsia"/>
                <w:sz w:val="24"/>
                <w:highlight w:val="none"/>
              </w:rPr>
              <w:t>资格条件</w:t>
            </w:r>
          </w:p>
        </w:tc>
        <w:tc>
          <w:tcPr>
            <w:tcW w:w="6656" w:type="dxa"/>
            <w:vAlign w:val="center"/>
          </w:tcPr>
          <w:p>
            <w:pPr>
              <w:spacing w:line="240" w:lineRule="atLeast"/>
              <w:rPr>
                <w:sz w:val="24"/>
                <w:highlight w:val="none"/>
              </w:rPr>
            </w:pPr>
            <w:r>
              <w:rPr>
                <w:rFonts w:hint="eastAsia"/>
                <w:sz w:val="24"/>
                <w:highlight w:val="none"/>
              </w:rPr>
              <w:t>(1)应具备《中华人民共和国政府采购法》第二十二条规定的条件，并提供以下资格证明文件:</w:t>
            </w:r>
          </w:p>
          <w:p>
            <w:pPr>
              <w:spacing w:line="360" w:lineRule="auto"/>
              <w:rPr>
                <w:rFonts w:hint="eastAsia"/>
                <w:sz w:val="24"/>
                <w:highlight w:val="none"/>
              </w:rPr>
            </w:pPr>
            <w:r>
              <w:rPr>
                <w:rFonts w:hint="eastAsia"/>
                <w:sz w:val="24"/>
                <w:highlight w:val="none"/>
              </w:rPr>
              <w:t>(1.1)具有独立承担民事责任的能力（提供合法有效的法人营业执照）；</w:t>
            </w:r>
          </w:p>
          <w:p>
            <w:pPr>
              <w:spacing w:line="360" w:lineRule="auto"/>
              <w:rPr>
                <w:rFonts w:hint="eastAsia"/>
                <w:sz w:val="24"/>
                <w:highlight w:val="none"/>
              </w:rPr>
            </w:pPr>
            <w:r>
              <w:rPr>
                <w:rFonts w:hint="eastAsia"/>
                <w:sz w:val="24"/>
                <w:highlight w:val="none"/>
              </w:rPr>
              <w:t>(1.2)具有良好的商业信誉和健全的财务会计制度（提供2022年度经第三方审计完整的财务审计报告）；</w:t>
            </w:r>
          </w:p>
          <w:p>
            <w:pPr>
              <w:spacing w:line="360" w:lineRule="auto"/>
              <w:rPr>
                <w:rFonts w:hint="eastAsia"/>
                <w:sz w:val="24"/>
                <w:highlight w:val="none"/>
              </w:rPr>
            </w:pPr>
            <w:r>
              <w:rPr>
                <w:rFonts w:hint="eastAsia"/>
                <w:sz w:val="24"/>
                <w:highlight w:val="none"/>
              </w:rPr>
              <w:t>(1.3)具有履行合同所必需的设备和专业技术能力（提供书面说明，格式见附件）；</w:t>
            </w:r>
          </w:p>
          <w:p>
            <w:pPr>
              <w:spacing w:line="360" w:lineRule="auto"/>
              <w:rPr>
                <w:rFonts w:hint="eastAsia"/>
                <w:sz w:val="24"/>
                <w:highlight w:val="none"/>
              </w:rPr>
            </w:pPr>
            <w:r>
              <w:rPr>
                <w:rFonts w:hint="eastAsia"/>
                <w:sz w:val="24"/>
                <w:highlight w:val="none"/>
              </w:rPr>
              <w:t>(1.4)有依法缴纳税收和社会保障资金的良好记录；（提供参加本次政府采购活动前近半年的依法缴纳税收和社会保障资金的相关材料）</w:t>
            </w:r>
          </w:p>
          <w:p>
            <w:pPr>
              <w:spacing w:line="360" w:lineRule="auto"/>
              <w:rPr>
                <w:rFonts w:hint="eastAsia"/>
                <w:sz w:val="24"/>
                <w:highlight w:val="none"/>
              </w:rPr>
            </w:pPr>
            <w:r>
              <w:rPr>
                <w:rFonts w:hint="eastAsia"/>
                <w:sz w:val="24"/>
                <w:highlight w:val="none"/>
              </w:rPr>
              <w:t>(1.5)参加采购活动前三年内，在经营活动中没有重大违法记录（提供书面说明，格式见附件）</w:t>
            </w:r>
          </w:p>
          <w:p>
            <w:pPr>
              <w:spacing w:line="360" w:lineRule="auto"/>
              <w:rPr>
                <w:sz w:val="24"/>
                <w:highlight w:val="none"/>
              </w:rPr>
            </w:pPr>
            <w:r>
              <w:rPr>
                <w:rFonts w:hint="eastAsia"/>
                <w:sz w:val="24"/>
                <w:highlight w:val="none"/>
              </w:rPr>
              <w:t>(1.6)法律、行政法规规定的其他条件；</w:t>
            </w:r>
          </w:p>
          <w:p>
            <w:pPr>
              <w:spacing w:line="360" w:lineRule="auto"/>
              <w:rPr>
                <w:sz w:val="24"/>
                <w:highlight w:val="none"/>
              </w:rPr>
            </w:pPr>
            <w:r>
              <w:rPr>
                <w:rFonts w:hint="eastAsia"/>
                <w:sz w:val="24"/>
                <w:highlight w:val="none"/>
              </w:rPr>
              <w:t>(</w:t>
            </w:r>
            <w:r>
              <w:rPr>
                <w:rFonts w:hint="eastAsia"/>
                <w:sz w:val="24"/>
                <w:highlight w:val="none"/>
                <w:lang w:val="en-US" w:eastAsia="zh-CN"/>
              </w:rPr>
              <w:t>2</w:t>
            </w:r>
            <w:r>
              <w:rPr>
                <w:rFonts w:hint="eastAsia"/>
                <w:sz w:val="24"/>
                <w:highlight w:val="none"/>
              </w:rPr>
              <w:t>)与招标人存在利害关系可能影响招标公正性的法人、其他组织或者个人，不得参加投标，单位负责人为同一人或者存在控股、管理关系的不同单位，不得参加投标。</w:t>
            </w:r>
          </w:p>
          <w:p>
            <w:pPr>
              <w:spacing w:line="360" w:lineRule="auto"/>
              <w:rPr>
                <w:sz w:val="24"/>
                <w:highlight w:val="none"/>
              </w:rPr>
            </w:pPr>
            <w:r>
              <w:rPr>
                <w:rFonts w:hint="eastAsia"/>
                <w:sz w:val="24"/>
                <w:highlight w:val="none"/>
              </w:rPr>
              <w:t>(</w:t>
            </w:r>
            <w:r>
              <w:rPr>
                <w:rFonts w:hint="eastAsia"/>
                <w:sz w:val="24"/>
                <w:highlight w:val="none"/>
                <w:lang w:val="en-US" w:eastAsia="zh-CN"/>
              </w:rPr>
              <w:t>3</w:t>
            </w:r>
            <w:r>
              <w:rPr>
                <w:rFonts w:hint="eastAsia"/>
                <w:sz w:val="24"/>
                <w:highlight w:val="none"/>
              </w:rPr>
              <w:t>)投标企业必须提供在“信用中国”网站(www.creditchina.gov.cn)查询出现对列入失信被执行人名单、</w:t>
            </w:r>
            <w:r>
              <w:rPr>
                <w:rFonts w:hint="eastAsia"/>
                <w:sz w:val="24"/>
                <w:highlight w:val="none"/>
                <w:lang w:eastAsia="zh-CN"/>
              </w:rPr>
              <w:t>重大税收违法失信主体</w:t>
            </w:r>
            <w:r>
              <w:rPr>
                <w:rFonts w:hint="eastAsia"/>
                <w:sz w:val="24"/>
                <w:highlight w:val="none"/>
              </w:rPr>
              <w:t>，“中国政府采购网”(www. ccgp. gov.cn)政府采购严重违法失信行为记录名单，行政处罚记录名单的投标企业，采购人、采购代理机构有权拒绝其参与本项目采购活动，(以上查询须提供网页截图，且查询时间必须在公告发布之日至开标截止时间之内)。</w:t>
            </w:r>
          </w:p>
          <w:p>
            <w:pPr>
              <w:spacing w:line="360" w:lineRule="auto"/>
              <w:rPr>
                <w:sz w:val="24"/>
                <w:highlight w:val="none"/>
              </w:rPr>
            </w:pPr>
            <w:r>
              <w:rPr>
                <w:rFonts w:hint="eastAsia"/>
                <w:sz w:val="24"/>
                <w:highlight w:val="none"/>
              </w:rPr>
              <w:t>(5)本次招标不接受联合体投标。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48" w:type="dxa"/>
            <w:vAlign w:val="center"/>
          </w:tcPr>
          <w:p>
            <w:pPr>
              <w:spacing w:line="360" w:lineRule="auto"/>
              <w:jc w:val="center"/>
              <w:rPr>
                <w:sz w:val="24"/>
                <w:highlight w:val="none"/>
              </w:rPr>
            </w:pPr>
            <w:r>
              <w:rPr>
                <w:rFonts w:hint="eastAsia"/>
                <w:sz w:val="24"/>
                <w:highlight w:val="none"/>
              </w:rPr>
              <w:t>15</w:t>
            </w:r>
          </w:p>
        </w:tc>
        <w:tc>
          <w:tcPr>
            <w:tcW w:w="2160" w:type="dxa"/>
            <w:vAlign w:val="center"/>
          </w:tcPr>
          <w:p>
            <w:pPr>
              <w:spacing w:line="360" w:lineRule="auto"/>
              <w:jc w:val="center"/>
              <w:rPr>
                <w:sz w:val="24"/>
                <w:highlight w:val="none"/>
              </w:rPr>
            </w:pPr>
            <w:r>
              <w:rPr>
                <w:rFonts w:hint="eastAsia"/>
                <w:sz w:val="24"/>
                <w:highlight w:val="none"/>
              </w:rPr>
              <w:t>投标文件</w:t>
            </w:r>
          </w:p>
        </w:tc>
        <w:tc>
          <w:tcPr>
            <w:tcW w:w="6656" w:type="dxa"/>
            <w:vAlign w:val="center"/>
          </w:tcPr>
          <w:p>
            <w:pPr>
              <w:spacing w:line="360" w:lineRule="auto"/>
              <w:rPr>
                <w:sz w:val="24"/>
                <w:highlight w:val="none"/>
              </w:rPr>
            </w:pPr>
            <w:r>
              <w:rPr>
                <w:b/>
                <w:sz w:val="24"/>
                <w:highlight w:val="none"/>
              </w:rPr>
              <w:t>本项目实行网上投标，采用电子投标文件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8" w:type="dxa"/>
            <w:vAlign w:val="center"/>
          </w:tcPr>
          <w:p>
            <w:pPr>
              <w:spacing w:line="360" w:lineRule="auto"/>
              <w:jc w:val="center"/>
              <w:rPr>
                <w:sz w:val="24"/>
                <w:highlight w:val="none"/>
              </w:rPr>
            </w:pPr>
            <w:r>
              <w:rPr>
                <w:rFonts w:hint="eastAsia"/>
                <w:sz w:val="24"/>
                <w:highlight w:val="none"/>
              </w:rPr>
              <w:t>16</w:t>
            </w:r>
          </w:p>
        </w:tc>
        <w:tc>
          <w:tcPr>
            <w:tcW w:w="2160" w:type="dxa"/>
            <w:vAlign w:val="center"/>
          </w:tcPr>
          <w:p>
            <w:pPr>
              <w:spacing w:line="360" w:lineRule="auto"/>
              <w:jc w:val="center"/>
              <w:rPr>
                <w:sz w:val="24"/>
                <w:highlight w:val="none"/>
              </w:rPr>
            </w:pPr>
          </w:p>
        </w:tc>
        <w:tc>
          <w:tcPr>
            <w:tcW w:w="6656" w:type="dxa"/>
            <w:vAlign w:val="center"/>
          </w:tcPr>
          <w:p>
            <w:pPr>
              <w:spacing w:line="360" w:lineRule="auto"/>
              <w:rPr>
                <w:sz w:val="24"/>
                <w:highlight w:val="none"/>
              </w:rPr>
            </w:pPr>
            <w:r>
              <w:rPr>
                <w:rFonts w:hint="eastAsia"/>
                <w:sz w:val="24"/>
                <w:highlight w:val="none"/>
              </w:rPr>
              <w:t>其他需要特别说明的内容：无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48" w:type="dxa"/>
            <w:vAlign w:val="center"/>
          </w:tcPr>
          <w:p>
            <w:pPr>
              <w:spacing w:line="360" w:lineRule="auto"/>
              <w:jc w:val="center"/>
              <w:rPr>
                <w:sz w:val="24"/>
                <w:highlight w:val="none"/>
              </w:rPr>
            </w:pPr>
            <w:r>
              <w:rPr>
                <w:rFonts w:hint="eastAsia"/>
                <w:sz w:val="24"/>
                <w:highlight w:val="none"/>
              </w:rPr>
              <w:t>17</w:t>
            </w:r>
          </w:p>
        </w:tc>
        <w:tc>
          <w:tcPr>
            <w:tcW w:w="2160" w:type="dxa"/>
            <w:vAlign w:val="center"/>
          </w:tcPr>
          <w:p>
            <w:pPr>
              <w:spacing w:line="360" w:lineRule="auto"/>
              <w:rPr>
                <w:sz w:val="24"/>
                <w:highlight w:val="none"/>
              </w:rPr>
            </w:pPr>
            <w:r>
              <w:rPr>
                <w:rFonts w:hint="eastAsia"/>
                <w:sz w:val="24"/>
                <w:highlight w:val="none"/>
              </w:rPr>
              <w:t>质量要求</w:t>
            </w:r>
          </w:p>
        </w:tc>
        <w:tc>
          <w:tcPr>
            <w:tcW w:w="6656" w:type="dxa"/>
            <w:vAlign w:val="center"/>
          </w:tcPr>
          <w:p>
            <w:pPr>
              <w:spacing w:line="360" w:lineRule="auto"/>
              <w:rPr>
                <w:sz w:val="24"/>
                <w:highlight w:val="none"/>
              </w:rPr>
            </w:pPr>
            <w:r>
              <w:rPr>
                <w:rFonts w:hint="eastAsia"/>
                <w:sz w:val="24"/>
                <w:highlight w:val="none"/>
              </w:rPr>
              <w:t>满足招标文件相关技术参数，并达到国家相关规定质量验收合格标准。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48" w:type="dxa"/>
            <w:vAlign w:val="center"/>
          </w:tcPr>
          <w:p>
            <w:pPr>
              <w:spacing w:line="360" w:lineRule="auto"/>
              <w:jc w:val="center"/>
              <w:rPr>
                <w:sz w:val="24"/>
                <w:highlight w:val="none"/>
              </w:rPr>
            </w:pPr>
            <w:r>
              <w:rPr>
                <w:rFonts w:hint="eastAsia"/>
                <w:sz w:val="24"/>
                <w:highlight w:val="none"/>
              </w:rPr>
              <w:t>18</w:t>
            </w:r>
          </w:p>
        </w:tc>
        <w:tc>
          <w:tcPr>
            <w:tcW w:w="2160" w:type="dxa"/>
            <w:vAlign w:val="center"/>
          </w:tcPr>
          <w:p>
            <w:pPr>
              <w:spacing w:line="360" w:lineRule="auto"/>
              <w:rPr>
                <w:sz w:val="24"/>
                <w:highlight w:val="none"/>
              </w:rPr>
            </w:pPr>
            <w:r>
              <w:rPr>
                <w:rFonts w:hint="eastAsia"/>
                <w:sz w:val="24"/>
                <w:highlight w:val="none"/>
              </w:rPr>
              <w:t>不正当竞争预防措施</w:t>
            </w:r>
          </w:p>
        </w:tc>
        <w:tc>
          <w:tcPr>
            <w:tcW w:w="6656" w:type="dxa"/>
            <w:vAlign w:val="center"/>
          </w:tcPr>
          <w:p>
            <w:pPr>
              <w:spacing w:line="360" w:lineRule="auto"/>
              <w:rPr>
                <w:sz w:val="24"/>
                <w:highlight w:val="none"/>
              </w:rPr>
            </w:pPr>
            <w:r>
              <w:rPr>
                <w:rFonts w:hint="eastAsia"/>
                <w:sz w:val="24"/>
                <w:highlight w:val="none"/>
              </w:rPr>
              <w:t xml:space="preserve">在评标过程中，评标委员会认为投标人的报价明显低于其成本价的，应当要求该投标人作出书面说明并提供相关证明材料。投标人不能合理说明或者不能提供相关证明材料的，由评标委员会认定该投标人以低于成本报价竞标，评标委员会应当将其投标文件作为无效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48" w:type="dxa"/>
            <w:vAlign w:val="center"/>
          </w:tcPr>
          <w:p>
            <w:pPr>
              <w:spacing w:line="360" w:lineRule="auto"/>
              <w:jc w:val="center"/>
              <w:rPr>
                <w:sz w:val="24"/>
                <w:highlight w:val="none"/>
              </w:rPr>
            </w:pPr>
            <w:r>
              <w:rPr>
                <w:rFonts w:hint="eastAsia"/>
                <w:sz w:val="24"/>
                <w:highlight w:val="none"/>
              </w:rPr>
              <w:t>19</w:t>
            </w:r>
          </w:p>
        </w:tc>
        <w:tc>
          <w:tcPr>
            <w:tcW w:w="2160" w:type="dxa"/>
            <w:vAlign w:val="center"/>
          </w:tcPr>
          <w:p>
            <w:pPr>
              <w:spacing w:line="360" w:lineRule="auto"/>
              <w:jc w:val="center"/>
              <w:rPr>
                <w:sz w:val="24"/>
                <w:highlight w:val="none"/>
              </w:rPr>
            </w:pPr>
            <w:r>
              <w:rPr>
                <w:rFonts w:hint="eastAsia"/>
                <w:sz w:val="24"/>
                <w:highlight w:val="none"/>
              </w:rPr>
              <w:t>样品</w:t>
            </w:r>
          </w:p>
        </w:tc>
        <w:tc>
          <w:tcPr>
            <w:tcW w:w="6656" w:type="dxa"/>
            <w:vAlign w:val="center"/>
          </w:tcPr>
          <w:p>
            <w:pPr>
              <w:spacing w:line="360" w:lineRule="auto"/>
              <w:rPr>
                <w:sz w:val="24"/>
                <w:highlight w:val="none"/>
              </w:rPr>
            </w:pP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48" w:type="dxa"/>
            <w:vAlign w:val="center"/>
          </w:tcPr>
          <w:p>
            <w:pPr>
              <w:spacing w:line="360" w:lineRule="auto"/>
              <w:jc w:val="center"/>
              <w:rPr>
                <w:sz w:val="24"/>
                <w:highlight w:val="none"/>
              </w:rPr>
            </w:pPr>
            <w:r>
              <w:rPr>
                <w:rFonts w:hint="eastAsia"/>
                <w:sz w:val="24"/>
                <w:highlight w:val="none"/>
              </w:rPr>
              <w:t>20</w:t>
            </w:r>
          </w:p>
        </w:tc>
        <w:tc>
          <w:tcPr>
            <w:tcW w:w="2160" w:type="dxa"/>
            <w:vAlign w:val="center"/>
          </w:tcPr>
          <w:p>
            <w:pPr>
              <w:spacing w:line="360" w:lineRule="auto"/>
              <w:jc w:val="center"/>
              <w:rPr>
                <w:sz w:val="24"/>
                <w:highlight w:val="none"/>
              </w:rPr>
            </w:pPr>
            <w:r>
              <w:rPr>
                <w:rFonts w:hint="eastAsia"/>
                <w:sz w:val="24"/>
                <w:highlight w:val="none"/>
              </w:rPr>
              <w:t>履约保证金</w:t>
            </w:r>
          </w:p>
        </w:tc>
        <w:tc>
          <w:tcPr>
            <w:tcW w:w="6656" w:type="dxa"/>
            <w:vAlign w:val="center"/>
          </w:tcPr>
          <w:p>
            <w:pPr>
              <w:spacing w:line="360" w:lineRule="auto"/>
              <w:rPr>
                <w:sz w:val="24"/>
                <w:highlight w:val="none"/>
              </w:rPr>
            </w:pPr>
            <w:r>
              <w:rPr>
                <w:sz w:val="24"/>
                <w:highlight w:val="none"/>
              </w:rPr>
              <w:t>中标供应商向采购人提交</w:t>
            </w:r>
            <w:r>
              <w:rPr>
                <w:rFonts w:hint="eastAsia"/>
                <w:sz w:val="24"/>
                <w:highlight w:val="none"/>
              </w:rPr>
              <w:t>支票或</w:t>
            </w:r>
            <w:r>
              <w:rPr>
                <w:sz w:val="24"/>
                <w:highlight w:val="none"/>
              </w:rPr>
              <w:t>银行或保险公司出具</w:t>
            </w:r>
            <w:r>
              <w:rPr>
                <w:rFonts w:hint="eastAsia"/>
                <w:sz w:val="24"/>
                <w:highlight w:val="none"/>
              </w:rPr>
              <w:t>非现金形式</w:t>
            </w:r>
            <w:r>
              <w:rPr>
                <w:sz w:val="24"/>
                <w:highlight w:val="none"/>
              </w:rPr>
              <w:t>中标合同金额的10%履约担保函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48" w:type="dxa"/>
            <w:vAlign w:val="center"/>
          </w:tcPr>
          <w:p>
            <w:pPr>
              <w:spacing w:line="360" w:lineRule="auto"/>
              <w:jc w:val="center"/>
              <w:rPr>
                <w:sz w:val="24"/>
                <w:highlight w:val="none"/>
              </w:rPr>
            </w:pPr>
            <w:r>
              <w:rPr>
                <w:rFonts w:hint="eastAsia"/>
                <w:sz w:val="24"/>
                <w:highlight w:val="none"/>
              </w:rPr>
              <w:t>21</w:t>
            </w:r>
          </w:p>
        </w:tc>
        <w:tc>
          <w:tcPr>
            <w:tcW w:w="2160" w:type="dxa"/>
            <w:vAlign w:val="center"/>
          </w:tcPr>
          <w:p>
            <w:pPr>
              <w:spacing w:line="360" w:lineRule="auto"/>
              <w:jc w:val="center"/>
              <w:rPr>
                <w:sz w:val="24"/>
                <w:highlight w:val="none"/>
              </w:rPr>
            </w:pPr>
            <w:r>
              <w:rPr>
                <w:rFonts w:hint="eastAsia"/>
                <w:sz w:val="24"/>
                <w:highlight w:val="none"/>
              </w:rPr>
              <w:t>付款方式</w:t>
            </w:r>
          </w:p>
        </w:tc>
        <w:tc>
          <w:tcPr>
            <w:tcW w:w="6656" w:type="dxa"/>
            <w:vAlign w:val="center"/>
          </w:tcPr>
          <w:p>
            <w:pPr>
              <w:spacing w:line="360" w:lineRule="auto"/>
              <w:rPr>
                <w:sz w:val="24"/>
                <w:highlight w:val="none"/>
              </w:rPr>
            </w:pPr>
            <w:r>
              <w:rPr>
                <w:rFonts w:hint="eastAsia"/>
                <w:sz w:val="24"/>
                <w:highlight w:val="none"/>
              </w:rPr>
              <w:t>合同签订后支付合同总金额的30%，车辆到达哈密指定地点后支付合同总金额的50%，上牌照后支付合同总金额的10%，验收合格后支付剩余货款。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48" w:type="dxa"/>
            <w:vAlign w:val="center"/>
          </w:tcPr>
          <w:p>
            <w:pPr>
              <w:spacing w:line="360" w:lineRule="auto"/>
              <w:jc w:val="center"/>
              <w:rPr>
                <w:sz w:val="24"/>
                <w:highlight w:val="none"/>
              </w:rPr>
            </w:pPr>
            <w:r>
              <w:rPr>
                <w:rFonts w:hint="eastAsia"/>
                <w:sz w:val="24"/>
                <w:highlight w:val="none"/>
              </w:rPr>
              <w:t>22</w:t>
            </w:r>
          </w:p>
        </w:tc>
        <w:tc>
          <w:tcPr>
            <w:tcW w:w="2160" w:type="dxa"/>
            <w:vAlign w:val="center"/>
          </w:tcPr>
          <w:p>
            <w:pPr>
              <w:spacing w:line="360" w:lineRule="auto"/>
              <w:jc w:val="center"/>
              <w:rPr>
                <w:sz w:val="24"/>
                <w:highlight w:val="none"/>
              </w:rPr>
            </w:pPr>
            <w:r>
              <w:rPr>
                <w:rFonts w:hint="eastAsia"/>
                <w:sz w:val="24"/>
                <w:highlight w:val="none"/>
              </w:rPr>
              <w:t>备注</w:t>
            </w:r>
          </w:p>
        </w:tc>
        <w:tc>
          <w:tcPr>
            <w:tcW w:w="6656" w:type="dxa"/>
            <w:vAlign w:val="center"/>
          </w:tcPr>
          <w:p>
            <w:pPr>
              <w:spacing w:line="360" w:lineRule="auto"/>
              <w:rPr>
                <w:b/>
                <w:bCs/>
                <w:sz w:val="24"/>
                <w:highlight w:val="none"/>
              </w:rPr>
            </w:pPr>
            <w:r>
              <w:rPr>
                <w:rFonts w:hint="eastAsia"/>
                <w:sz w:val="24"/>
                <w:highlight w:val="none"/>
              </w:rPr>
              <w:t>对于未预留份额专门面向中小企业的采购项目，以及预留份额项目中的非预留部分采购包，采购人、采购代理机构应当对符合规定的小微企业报价给予10%~20%的扣除，用扣除后的价格参加评审。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48" w:type="dxa"/>
            <w:vAlign w:val="center"/>
          </w:tcPr>
          <w:p>
            <w:pPr>
              <w:spacing w:line="360" w:lineRule="auto"/>
              <w:jc w:val="center"/>
              <w:rPr>
                <w:sz w:val="24"/>
                <w:highlight w:val="none"/>
              </w:rPr>
            </w:pPr>
          </w:p>
        </w:tc>
        <w:tc>
          <w:tcPr>
            <w:tcW w:w="2160" w:type="dxa"/>
            <w:vAlign w:val="center"/>
          </w:tcPr>
          <w:p>
            <w:pPr>
              <w:spacing w:line="360" w:lineRule="auto"/>
              <w:jc w:val="center"/>
              <w:rPr>
                <w:sz w:val="24"/>
                <w:highlight w:val="none"/>
              </w:rPr>
            </w:pPr>
            <w:r>
              <w:rPr>
                <w:rFonts w:hint="eastAsia" w:ascii="宋体" w:hAnsi="宋体" w:cs="宋体"/>
                <w:sz w:val="24"/>
                <w:highlight w:val="none"/>
              </w:rPr>
              <w:t>其他说明</w:t>
            </w:r>
          </w:p>
        </w:tc>
        <w:tc>
          <w:tcPr>
            <w:tcW w:w="6656" w:type="dxa"/>
            <w:vAlign w:val="center"/>
          </w:tcPr>
          <w:p>
            <w:pPr>
              <w:adjustRightInd w:val="0"/>
              <w:spacing w:line="276" w:lineRule="auto"/>
              <w:jc w:val="left"/>
              <w:textAlignment w:val="baseline"/>
              <w:rPr>
                <w:rFonts w:ascii="宋体" w:hAnsi="宋体"/>
                <w:b/>
                <w:sz w:val="24"/>
                <w:highlight w:val="none"/>
              </w:rPr>
            </w:pPr>
            <w:r>
              <w:rPr>
                <w:rFonts w:ascii="宋体" w:hAnsi="宋体"/>
                <w:b/>
                <w:sz w:val="24"/>
                <w:highlight w:val="none"/>
              </w:rPr>
              <w:t>本项目</w:t>
            </w:r>
            <w:r>
              <w:rPr>
                <w:rFonts w:hint="eastAsia" w:ascii="宋体" w:hAnsi="宋体"/>
                <w:b/>
                <w:sz w:val="24"/>
                <w:highlight w:val="none"/>
              </w:rPr>
              <w:t>采用政府采购云平台线上招标、投标</w:t>
            </w:r>
            <w:r>
              <w:rPr>
                <w:rFonts w:ascii="宋体" w:hAnsi="宋体"/>
                <w:b/>
                <w:sz w:val="24"/>
                <w:highlight w:val="none"/>
              </w:rPr>
              <w:t>，采用电子投标文件。</w:t>
            </w:r>
          </w:p>
          <w:p>
            <w:pPr>
              <w:numPr>
                <w:ilvl w:val="0"/>
                <w:numId w:val="0"/>
              </w:numPr>
              <w:adjustRightInd w:val="0"/>
              <w:spacing w:line="276" w:lineRule="auto"/>
              <w:jc w:val="left"/>
              <w:textAlignment w:val="baseline"/>
              <w:rPr>
                <w:rFonts w:ascii="宋体" w:hAnsi="宋体"/>
                <w:sz w:val="24"/>
                <w:highlight w:val="none"/>
              </w:rPr>
            </w:pPr>
            <w:r>
              <w:rPr>
                <w:rFonts w:hint="eastAsia" w:ascii="宋体" w:hAnsi="宋体"/>
                <w:sz w:val="24"/>
                <w:highlight w:val="none"/>
                <w:lang w:val="en-US" w:eastAsia="zh-CN"/>
              </w:rPr>
              <w:t>1.</w:t>
            </w:r>
            <w:r>
              <w:rPr>
                <w:rFonts w:ascii="宋体" w:hAnsi="宋体"/>
                <w:sz w:val="24"/>
                <w:highlight w:val="none"/>
              </w:rPr>
              <w:t>各投标人应在开标前应确保成为新疆政府采购网正式注册入库投标人，并完成CA数字证书（符合国密标准）申领。因未注册入库、未办理CA数字证书等原因造成无法投标或投标失败等后果由投标人自行承担。</w:t>
            </w:r>
          </w:p>
          <w:p>
            <w:pPr>
              <w:numPr>
                <w:ilvl w:val="0"/>
                <w:numId w:val="0"/>
              </w:numPr>
              <w:adjustRightInd w:val="0"/>
              <w:spacing w:line="276" w:lineRule="auto"/>
              <w:jc w:val="left"/>
              <w:textAlignment w:val="baseline"/>
              <w:rPr>
                <w:rFonts w:ascii="宋体" w:hAnsi="宋体"/>
                <w:sz w:val="24"/>
                <w:highlight w:val="none"/>
              </w:rPr>
            </w:pPr>
            <w:r>
              <w:rPr>
                <w:rFonts w:ascii="宋体" w:hAnsi="宋体"/>
                <w:sz w:val="24"/>
                <w:highlight w:val="none"/>
              </w:rPr>
              <w:t>2.有意向参与新疆区域电子开评标的投标人，可访问新疆数字证书认证中心官方网站（https://www.xjca.com.cn/）或下载“新疆政务通”APP自行进行申领。如需咨询，请联系新疆CA服务热线0991-2819290。</w:t>
            </w:r>
          </w:p>
          <w:p>
            <w:pPr>
              <w:numPr>
                <w:ilvl w:val="0"/>
                <w:numId w:val="0"/>
              </w:numPr>
              <w:adjustRightInd w:val="0"/>
              <w:spacing w:line="276" w:lineRule="auto"/>
              <w:jc w:val="left"/>
              <w:textAlignment w:val="baseline"/>
              <w:rPr>
                <w:rFonts w:ascii="宋体" w:hAnsi="宋体"/>
                <w:sz w:val="24"/>
                <w:highlight w:val="none"/>
              </w:rPr>
            </w:pPr>
            <w:r>
              <w:rPr>
                <w:rFonts w:ascii="宋体" w:hAnsi="宋体"/>
                <w:sz w:val="24"/>
                <w:highlight w:val="none"/>
              </w:rPr>
              <w:t>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投标人自身原因导致在规定时间内无法正常解密的（如：浏览器故障、未安装相关驱动、网络故障、加密CA与解密CA不一致等），采购中心/代理机构不予异常处理，视为投标人自动弃标。</w:t>
            </w:r>
          </w:p>
          <w:p>
            <w:pPr>
              <w:numPr>
                <w:ilvl w:val="0"/>
                <w:numId w:val="0"/>
              </w:numPr>
              <w:adjustRightInd w:val="0"/>
              <w:spacing w:line="276" w:lineRule="auto"/>
              <w:jc w:val="left"/>
              <w:textAlignment w:val="baseline"/>
              <w:rPr>
                <w:rFonts w:ascii="宋体" w:hAnsi="宋体"/>
                <w:sz w:val="24"/>
                <w:highlight w:val="none"/>
              </w:rPr>
            </w:pPr>
            <w:r>
              <w:rPr>
                <w:rFonts w:ascii="宋体" w:hAnsi="宋体"/>
                <w:sz w:val="24"/>
                <w:highlight w:val="none"/>
              </w:rPr>
              <w:t>4.投标人操作指南详见新疆政府采购网（http://www.ccgp-xinjiang.gov.cn/）—办事指南—操作指南。</w:t>
            </w:r>
          </w:p>
          <w:p>
            <w:pPr>
              <w:spacing w:line="360" w:lineRule="auto"/>
              <w:rPr>
                <w:sz w:val="24"/>
                <w:highlight w:val="none"/>
              </w:rPr>
            </w:pPr>
            <w:r>
              <w:rPr>
                <w:rFonts w:hint="eastAsia" w:ascii="宋体" w:hAnsi="宋体"/>
                <w:sz w:val="24"/>
                <w:highlight w:val="none"/>
              </w:rPr>
              <w:t>5.</w:t>
            </w:r>
            <w:r>
              <w:rPr>
                <w:rFonts w:hint="eastAsia" w:ascii="宋体" w:hAnsi="宋体" w:cs="宋体"/>
                <w:sz w:val="24"/>
                <w:highlight w:val="none"/>
              </w:rPr>
              <w:t>请各潜在供应商及时办理CA锁和学习政府采购云平台线上投标相关知识。请在政府采购云平台登录后，进行下载</w:t>
            </w:r>
            <w:r>
              <w:rPr>
                <w:rFonts w:hint="eastAsia" w:ascii="宋体" w:hAnsi="宋体" w:cs="宋体"/>
                <w:sz w:val="24"/>
                <w:highlight w:val="none"/>
                <w:lang w:eastAsia="zh-CN"/>
              </w:rPr>
              <w:t>招标</w:t>
            </w:r>
            <w:r>
              <w:rPr>
                <w:rFonts w:hint="eastAsia" w:ascii="宋体" w:hAnsi="宋体" w:cs="宋体"/>
                <w:sz w:val="24"/>
                <w:highlight w:val="none"/>
              </w:rPr>
              <w:t>文件。请各供应商获取</w:t>
            </w:r>
            <w:r>
              <w:rPr>
                <w:rFonts w:hint="eastAsia" w:ascii="宋体" w:hAnsi="宋体" w:cs="宋体"/>
                <w:sz w:val="24"/>
                <w:highlight w:val="none"/>
                <w:lang w:eastAsia="zh-CN"/>
              </w:rPr>
              <w:t>招标</w:t>
            </w:r>
            <w:r>
              <w:rPr>
                <w:rFonts w:hint="eastAsia" w:ascii="宋体" w:hAnsi="宋体" w:cs="宋体"/>
                <w:sz w:val="24"/>
                <w:highlight w:val="none"/>
              </w:rPr>
              <w:t>文件后及时关注云平台答疑文件获取栏目。具体相关事宜见政府采购云平台。本项目采用资格后审，请供应商仔细阅读</w:t>
            </w:r>
            <w:r>
              <w:rPr>
                <w:rFonts w:hint="eastAsia" w:ascii="宋体" w:hAnsi="宋体" w:cs="宋体"/>
                <w:sz w:val="24"/>
                <w:highlight w:val="none"/>
                <w:lang w:eastAsia="zh-CN"/>
              </w:rPr>
              <w:t>招标</w:t>
            </w:r>
            <w:r>
              <w:rPr>
                <w:rFonts w:hint="eastAsia" w:ascii="宋体" w:hAnsi="宋体" w:cs="宋体"/>
                <w:sz w:val="24"/>
                <w:highlight w:val="none"/>
              </w:rPr>
              <w:t>文件和各项要求，制作文件及相关资料过程中，若因供应商资格条件不符、提供资料不全等原因导致响应文件予以退还，责任自负。</w:t>
            </w:r>
          </w:p>
        </w:tc>
      </w:tr>
    </w:tbl>
    <w:p>
      <w:pPr>
        <w:ind w:firstLine="643" w:firstLineChars="200"/>
        <w:jc w:val="center"/>
        <w:rPr>
          <w:rFonts w:asciiTheme="minorEastAsia" w:hAnsiTheme="minorEastAsia"/>
          <w:b/>
          <w:sz w:val="32"/>
          <w:szCs w:val="28"/>
          <w:highlight w:val="none"/>
        </w:rPr>
      </w:pPr>
    </w:p>
    <w:p>
      <w:pPr>
        <w:ind w:firstLine="643" w:firstLineChars="200"/>
        <w:jc w:val="center"/>
        <w:rPr>
          <w:rFonts w:asciiTheme="minorEastAsia" w:hAnsiTheme="minorEastAsia"/>
          <w:b/>
          <w:sz w:val="32"/>
          <w:szCs w:val="28"/>
          <w:highlight w:val="none"/>
        </w:rPr>
      </w:pPr>
    </w:p>
    <w:p>
      <w:pPr>
        <w:ind w:firstLine="643" w:firstLineChars="200"/>
        <w:jc w:val="center"/>
        <w:rPr>
          <w:rFonts w:asciiTheme="minorEastAsia" w:hAnsiTheme="minorEastAsia"/>
          <w:b/>
          <w:sz w:val="32"/>
          <w:szCs w:val="28"/>
          <w:highlight w:val="none"/>
        </w:rPr>
      </w:pPr>
    </w:p>
    <w:p>
      <w:pPr>
        <w:ind w:firstLine="643" w:firstLineChars="200"/>
        <w:jc w:val="center"/>
        <w:rPr>
          <w:rFonts w:asciiTheme="minorEastAsia" w:hAnsiTheme="minorEastAsia"/>
          <w:b/>
          <w:sz w:val="32"/>
          <w:szCs w:val="28"/>
          <w:highlight w:val="none"/>
        </w:rPr>
      </w:pPr>
    </w:p>
    <w:p>
      <w:pPr>
        <w:widowControl/>
        <w:jc w:val="left"/>
        <w:rPr>
          <w:rFonts w:asciiTheme="minorEastAsia" w:hAnsiTheme="minorEastAsia"/>
          <w:b/>
          <w:sz w:val="32"/>
          <w:szCs w:val="28"/>
          <w:highlight w:val="none"/>
        </w:rPr>
      </w:pPr>
      <w:r>
        <w:rPr>
          <w:rFonts w:asciiTheme="minorEastAsia" w:hAnsiTheme="minorEastAsia"/>
          <w:b/>
          <w:sz w:val="32"/>
          <w:szCs w:val="28"/>
          <w:highlight w:val="none"/>
        </w:rPr>
        <w:br w:type="page"/>
      </w:r>
    </w:p>
    <w:p>
      <w:pPr>
        <w:ind w:firstLine="643" w:firstLineChars="200"/>
        <w:jc w:val="center"/>
        <w:rPr>
          <w:rFonts w:asciiTheme="minorEastAsia" w:hAnsiTheme="minorEastAsia"/>
          <w:b/>
          <w:sz w:val="28"/>
          <w:szCs w:val="28"/>
          <w:highlight w:val="none"/>
        </w:rPr>
      </w:pPr>
      <w:r>
        <w:rPr>
          <w:rFonts w:hint="eastAsia" w:asciiTheme="minorEastAsia" w:hAnsiTheme="minorEastAsia"/>
          <w:b/>
          <w:sz w:val="32"/>
          <w:szCs w:val="28"/>
          <w:highlight w:val="none"/>
        </w:rPr>
        <w:t>第二章  投标人须知</w:t>
      </w:r>
    </w:p>
    <w:p>
      <w:pPr>
        <w:spacing w:line="360" w:lineRule="auto"/>
        <w:ind w:firstLine="602" w:firstLineChars="200"/>
        <w:rPr>
          <w:rFonts w:asciiTheme="minorEastAsia" w:hAnsiTheme="minorEastAsia"/>
          <w:b/>
          <w:sz w:val="30"/>
          <w:szCs w:val="30"/>
          <w:highlight w:val="none"/>
        </w:rPr>
      </w:pPr>
      <w:r>
        <w:rPr>
          <w:rFonts w:hint="eastAsia" w:asciiTheme="minorEastAsia" w:hAnsiTheme="minorEastAsia"/>
          <w:b/>
          <w:sz w:val="30"/>
          <w:szCs w:val="30"/>
          <w:highlight w:val="none"/>
        </w:rPr>
        <w:t>一、总则</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1、招标方式</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1.1本次招标采取公开招标方式，本招标文件仅适用于招标公告中所述的</w:t>
      </w:r>
      <w:r>
        <w:rPr>
          <w:rFonts w:hint="eastAsia" w:asciiTheme="minorEastAsia" w:hAnsiTheme="minorEastAsia"/>
          <w:b/>
          <w:bCs/>
          <w:sz w:val="28"/>
          <w:szCs w:val="28"/>
          <w:highlight w:val="none"/>
          <w:u w:val="single"/>
          <w:lang w:eastAsia="zh-CN"/>
        </w:rPr>
        <w:t>巴里坤哈萨克自治县环卫所2023年环卫车辆采购项目</w:t>
      </w:r>
      <w:r>
        <w:rPr>
          <w:rFonts w:hint="eastAsia" w:asciiTheme="minorEastAsia" w:hAnsiTheme="minorEastAsia"/>
          <w:sz w:val="28"/>
          <w:szCs w:val="28"/>
          <w:highlight w:val="none"/>
        </w:rPr>
        <w:t>。</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2、合格的投标人</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2.1满足招标公告中供应商的资格要求的规定。</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2.2满足本文件实质性条款的规定。</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2.3供应商不得存在下列情形之一：</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（l）与采购人、代理机构存在</w:t>
      </w:r>
      <w:r>
        <w:rPr>
          <w:rFonts w:hint="eastAsia" w:asciiTheme="minorEastAsia" w:hAnsiTheme="minorEastAsia"/>
          <w:bCs/>
          <w:sz w:val="28"/>
          <w:szCs w:val="28"/>
          <w:highlight w:val="none"/>
        </w:rPr>
        <w:t>利害关系</w:t>
      </w:r>
      <w:r>
        <w:rPr>
          <w:rFonts w:hint="eastAsia" w:asciiTheme="minorEastAsia" w:hAnsiTheme="minorEastAsia"/>
          <w:sz w:val="28"/>
          <w:szCs w:val="28"/>
          <w:highlight w:val="none"/>
        </w:rPr>
        <w:t>。</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（2）单位负责人为同一人或者存在直接控股、管理关系的不同供应商，不得参加同一合同项下的政府采购活动。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（3）除单一来源采购项目外，为采购项目提供整体设计、规范编制或者项目管理、监理、检测等服务的供应商，不得再参加该采购项目的其他采购活动。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（4）供应商被列入失信被执行人、</w:t>
      </w:r>
      <w:r>
        <w:rPr>
          <w:rFonts w:hint="eastAsia" w:asciiTheme="minorEastAsia" w:hAnsiTheme="minorEastAsia"/>
          <w:sz w:val="28"/>
          <w:szCs w:val="28"/>
          <w:highlight w:val="none"/>
          <w:lang w:eastAsia="zh-CN"/>
        </w:rPr>
        <w:t>重大税收违法失信主体</w:t>
      </w:r>
      <w:r>
        <w:rPr>
          <w:rFonts w:hint="eastAsia" w:asciiTheme="minorEastAsia" w:hAnsiTheme="minorEastAsia"/>
          <w:sz w:val="28"/>
          <w:szCs w:val="28"/>
          <w:highlight w:val="none"/>
        </w:rPr>
        <w:t>、政府采购严重违法失信行为记录名单（处罚决定规定的时间和地域范围内）。</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3、适用法律</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3.1本次招标及由此产生的合同受中华人民共和国有关的法律法规制约和保护。</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4、投标费用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4.1投标人应自行承担所有与参加投标有关的费用，无论投标过程中的做法和结果如何，新疆华域建设工程项目管理咨询有限公司（以下简称“招标代理”）在任何情况下均无义务和责任承担这些费用。</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5、招标文件的约束力</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5.1投标人一旦参加本项目采购活动，即被认为接受了本招标文件的规定和约束。</w:t>
      </w:r>
    </w:p>
    <w:p>
      <w:pPr>
        <w:spacing w:line="360" w:lineRule="auto"/>
        <w:ind w:firstLine="602" w:firstLineChars="200"/>
        <w:rPr>
          <w:rFonts w:asciiTheme="minorEastAsia" w:hAnsiTheme="minorEastAsia"/>
          <w:b/>
          <w:sz w:val="30"/>
          <w:szCs w:val="30"/>
          <w:highlight w:val="none"/>
        </w:rPr>
      </w:pPr>
      <w:r>
        <w:rPr>
          <w:rFonts w:hint="eastAsia" w:asciiTheme="minorEastAsia" w:hAnsiTheme="minorEastAsia"/>
          <w:b/>
          <w:sz w:val="30"/>
          <w:szCs w:val="30"/>
          <w:highlight w:val="none"/>
        </w:rPr>
        <w:t>二、招标文件</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6、招标文件构成</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6.1招标文件由以下部分组成：</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（1）招标公告</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（2）投标人须知</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（3）合同条款及格式</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（4）项目采购需求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（5）评标方法与评标标准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（6）投标文件格式</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请仔细检查招标文件是否齐全，如有缺漏请立即与招标代理联系解决。</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7、招标文件的澄清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7.1任何要求对招标文件进行澄清的投标人，应在投标截止期十五日前按招标公告中的通讯地址，以书面形式通知招标代理。</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8、招标文件的修改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8.1在投标截止时间十五日前，招标代理可以对招标文件进行修改。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8.2招标代理有权按照法定的要求推迟投标截止日期和开标日期。</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8.3招标文件的修改将在新疆政府采购网公布，补充文件将作为招标文件的组成部分，并对投标人具有约束力。</w:t>
      </w:r>
    </w:p>
    <w:p>
      <w:pPr>
        <w:spacing w:line="360" w:lineRule="auto"/>
        <w:ind w:firstLine="602" w:firstLineChars="200"/>
        <w:rPr>
          <w:rFonts w:asciiTheme="minorEastAsia" w:hAnsiTheme="minorEastAsia"/>
          <w:b/>
          <w:sz w:val="30"/>
          <w:szCs w:val="30"/>
          <w:highlight w:val="none"/>
        </w:rPr>
      </w:pPr>
      <w:r>
        <w:rPr>
          <w:rFonts w:hint="eastAsia" w:asciiTheme="minorEastAsia" w:hAnsiTheme="minorEastAsia"/>
          <w:b/>
          <w:sz w:val="30"/>
          <w:szCs w:val="30"/>
          <w:highlight w:val="none"/>
        </w:rPr>
        <w:t>三、投标文件的编制</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9、投标文件的语言及度量衡单位</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9.1投标人提交的投标文件以及投标人与招标代理就有关投标的所有来往通知、函件和文件均应使用简体中文。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9.2除技术性能另有规定外，投标文件所使用的度量衡单位，均须采用国家法定计量单位。</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10、投标文件构成</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10.1投标人编写的投标文件应包括投标配置与分项报价表、技术参数响应及偏离表、商务条款响应及偏离表、技术及售后服务承诺书、投标函、开标一览表等部分。</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11、证明投标人资格及符合招标文件规定的文件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11.1投标人应按要求提交招标文件规定的文件。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11.2投标人应提交证明其有资格参加投标和中标后有能力独立履行合同的文件。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11.3投标人除必须具有履行合同所需提供的货物以及服务的能力外，还必须具备相应的财务、技术方面的能力。</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11.4投标人应提交根据合同要求提供的证明产品质量合格以及符合招标文件规定的证明文件。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11.5证明投标人所提供货物与招标文件的要求相一致</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12、供货一览表和投标配置与分项报价表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12.1 投标人应按照招标文件规定格式填报供货一览表、投标配置与分项报价表，在表中标明所提供的设备品牌、规格、型号、原产地、主要部件型号及其功能的中文说明和</w:t>
      </w:r>
      <w:r>
        <w:rPr>
          <w:rFonts w:hint="eastAsia" w:asciiTheme="minorEastAsia" w:hAnsiTheme="minorEastAsia"/>
          <w:sz w:val="28"/>
          <w:szCs w:val="28"/>
          <w:highlight w:val="none"/>
          <w:lang w:eastAsia="zh-CN"/>
        </w:rPr>
        <w:t>交货期</w:t>
      </w:r>
      <w:r>
        <w:rPr>
          <w:rFonts w:hint="eastAsia" w:asciiTheme="minorEastAsia" w:hAnsiTheme="minorEastAsia"/>
          <w:sz w:val="28"/>
          <w:szCs w:val="28"/>
          <w:highlight w:val="none"/>
        </w:rPr>
        <w:t>。每项货物和服务等只允许有一个报价，任何有选择的报价将不予接受(如有备选配件，备选配件的报价不属于选择的报价)。</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12.2标的物</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采购人需求的货物供应、安装，调试及有关技术服务等。</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12.3有关费用处理</w:t>
      </w:r>
    </w:p>
    <w:p>
      <w:pPr>
        <w:spacing w:line="360" w:lineRule="auto"/>
        <w:ind w:firstLine="560" w:firstLineChars="200"/>
        <w:rPr>
          <w:rFonts w:asciiTheme="minorEastAsia" w:hAnsiTheme="minorEastAsia"/>
          <w:b/>
          <w:sz w:val="28"/>
          <w:szCs w:val="28"/>
          <w:highlight w:val="none"/>
        </w:rPr>
      </w:pPr>
      <w:r>
        <w:rPr>
          <w:rFonts w:hint="eastAsia" w:asciiTheme="minorEastAsia" w:hAnsiTheme="minorEastAsia"/>
          <w:sz w:val="28"/>
          <w:szCs w:val="28"/>
          <w:highlight w:val="none"/>
        </w:rPr>
        <w:t>投标人的报价应包括</w:t>
      </w:r>
      <w:r>
        <w:rPr>
          <w:rFonts w:hint="eastAsia" w:asciiTheme="minorEastAsia" w:hAnsiTheme="minorEastAsia"/>
          <w:b/>
          <w:sz w:val="28"/>
          <w:szCs w:val="28"/>
          <w:highlight w:val="none"/>
        </w:rPr>
        <w:t>为完成本项目包括买方需求的货物价格及售后服务费用，项目在指定地点、交付、安装就位、调试、验收所需费用和所有相关税金费用及为完成整个项目所产生的其它所有费用。</w:t>
      </w:r>
      <w:r>
        <w:rPr>
          <w:rFonts w:hint="eastAsia" w:asciiTheme="minorEastAsia" w:hAnsiTheme="minorEastAsia"/>
          <w:b/>
          <w:bCs/>
          <w:sz w:val="28"/>
          <w:szCs w:val="28"/>
          <w:highlight w:val="none"/>
        </w:rPr>
        <w:t>供应商漏报的单价或每项单价报价中漏报、少报的费用，视为此项费用已包含在其他报价中，成交后不予调整。</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12.4其它费用处理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招标文件未列明，而投标人认为必需的费用也需列入报价。</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12.5投标货币</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投标文件中的货物单价和总价无特殊规定的采用人民币报价，以元为单位标注。招标文件中另有规定的按规定执行。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12.6投标配置与分项报价表上的价格应按下列方式分开填写：</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1、项目总价：</w:t>
      </w:r>
      <w:r>
        <w:rPr>
          <w:rFonts w:hint="eastAsia" w:asciiTheme="minorEastAsia" w:hAnsiTheme="minorEastAsia"/>
          <w:b/>
          <w:sz w:val="28"/>
          <w:szCs w:val="28"/>
          <w:highlight w:val="none"/>
        </w:rPr>
        <w:t>包括买方需求的货物价格项目在指定地点费用、安装费用、调试费用及验收所需费用和所有相关税金费用及为完成整个项目所产生的其它所有费用。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2、项目单价按投标配置及分项报价表中要求填报。</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13、技术参数响应及偏离表、商务条款响应及偏离表及投标货物说明</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13.1对招标文件中的技术与商务条款要求逐项作出响应或偏离，并说明原因；</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13.2提供参加本项目类似案例简介；</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13.3培训计划；</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13.4详细阐述所投货物的主要组成部分、功能设计、实现思路及关键技术；</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13.5投标人认为需要的其他技术文件或说明。</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14、服务承诺及售后服务机构承诺、人员配置的情况介绍</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14.1投标人的服务承诺应按不低于招标文件中商务要求的标准。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14.2提供投标人有关售后服务的管理制度、售后服务机构的承诺、售后服务人员的数量、素质、技术水平及售后服务的反应能力。</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15、投标函和开标一览表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15.1投标人应按照招标文件中提供的格式完整、正确填写投标函、开标一览表。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15.2开标一览表中的价格应与投标文件中投标配置与分项报价表中的价格一致，如不一致，不作为无效投标处理，但评标时按开标一览表中价格为准。</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16、投标保证金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16.1在开标时，未按要求提交投标保证金的投标无效。</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16.2未中标的投标人的投标保证金，将在中标通知书发出之后退还。</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16.3中标人的投标保证金，在合同签订后五日之内退还。</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16.4下列任何情况发生时，投标保证金将不予退还：</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（1）投标人在投标有效期内撤回其投标；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（2）提供虚假材料谋取中标、成交的；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（3）采取不正当手段诋毁、排挤其他供应商的；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（4）与采购人、其他供应商恶意串通的。 </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17、投标有效期</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17.1投标有效期为开标之日后90天。投标有效期比规定短的将被视为非响应性投标而予以拒绝。</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17.2在特殊情况下，采购人于原投标有效期满之前，可向投标人提出延长投标有效期的要求。这种要求与答复均应采用书面形式。投标人可以拒绝采购人的这一要求而放弃投标，采购人在接到投标人书面答复后，将在原投标有效期满后无息退还其投标保证金。同意延长投标有效期的投标人既不能要求也不允许修改其投标文件。第16条有关投标保证金的规定在延长期内继续有效，同时受投标有效期约束的所有权利与义务均长至延长的有效期。</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18、投标文件份数和签署</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bCs/>
          <w:sz w:val="28"/>
          <w:szCs w:val="28"/>
          <w:highlight w:val="none"/>
        </w:rPr>
        <w:t>本项目实行网上投标，采用电子投标文件。</w:t>
      </w:r>
    </w:p>
    <w:p>
      <w:pPr>
        <w:spacing w:line="360" w:lineRule="auto"/>
        <w:ind w:firstLine="602" w:firstLineChars="200"/>
        <w:rPr>
          <w:rFonts w:asciiTheme="minorEastAsia" w:hAnsiTheme="minorEastAsia"/>
          <w:b/>
          <w:sz w:val="30"/>
          <w:szCs w:val="30"/>
          <w:highlight w:val="none"/>
        </w:rPr>
      </w:pPr>
      <w:r>
        <w:rPr>
          <w:rFonts w:hint="eastAsia" w:asciiTheme="minorEastAsia" w:hAnsiTheme="minorEastAsia"/>
          <w:b/>
          <w:sz w:val="30"/>
          <w:szCs w:val="30"/>
          <w:highlight w:val="none"/>
        </w:rPr>
        <w:t>四、投标文件的递交</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19、投标文件递交</w:t>
      </w:r>
    </w:p>
    <w:p>
      <w:pPr>
        <w:spacing w:line="360" w:lineRule="auto"/>
        <w:ind w:firstLine="560" w:firstLineChars="200"/>
        <w:rPr>
          <w:rFonts w:asciiTheme="minorEastAsia" w:hAnsiTheme="minorEastAsia"/>
          <w:bCs/>
          <w:sz w:val="28"/>
          <w:szCs w:val="28"/>
          <w:highlight w:val="none"/>
        </w:rPr>
      </w:pPr>
      <w:r>
        <w:rPr>
          <w:rFonts w:hint="eastAsia" w:asciiTheme="minorEastAsia" w:hAnsiTheme="minorEastAsia"/>
          <w:bCs/>
          <w:sz w:val="28"/>
          <w:szCs w:val="28"/>
          <w:highlight w:val="none"/>
        </w:rPr>
        <w:t>文件的递交详见供应商须知前附表。</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20、投标截止日期</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20.1招标代理收到投标文件的时间不得迟于招标公告中规定的截止时间。</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20.2招标代理可以按照规定，通过修改招标文件酌情延长投标截止日期，在此情况下，投标人的所有权利和义务以及投标人受制的截止日期均应以延长后新的截止日期为准。</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21、投标文件的递交</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21.1招标代理拒绝接收在其规定的投标截止时间后递交的任何投标文件。</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22、投标文件的修改和撤回</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22.1投标人在递交投标文件后，可以修改或撤回其投标文件，但这种修改和撤回，必须在规定的投标截止时间前，以书面形式通知招标代理，修改或撤回其投标文件。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22.2投标人的修改或撤回文件应按规定进行，修改文件必须在投标截止时间前送达招标代理。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22.3在投标截止时间之后，投标人不得对其投标文件作任何修改。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22.4在投标截止时间至招标文件中规定的投标有效期满之间的这段时间内，投标人不得撤回其投标，否则其投标保证金将不予退还。</w:t>
      </w:r>
    </w:p>
    <w:p>
      <w:pPr>
        <w:spacing w:line="360" w:lineRule="auto"/>
        <w:ind w:firstLine="602" w:firstLineChars="200"/>
        <w:rPr>
          <w:rFonts w:asciiTheme="minorEastAsia" w:hAnsiTheme="minorEastAsia"/>
          <w:b/>
          <w:sz w:val="30"/>
          <w:szCs w:val="30"/>
          <w:highlight w:val="none"/>
        </w:rPr>
      </w:pPr>
      <w:r>
        <w:rPr>
          <w:rFonts w:hint="eastAsia" w:asciiTheme="minorEastAsia" w:hAnsiTheme="minorEastAsia"/>
          <w:b/>
          <w:sz w:val="30"/>
          <w:szCs w:val="30"/>
          <w:highlight w:val="none"/>
        </w:rPr>
        <w:t>五、开标与评标</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23、开标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23.1采购代理机构在招标文件规定的时间和地点组织公开开标，采购代理机构主持、采购人、供应商和有关方面代表参加。投标供应商不足3家的，不得开标。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23.2开标方式：电子开评标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23.3开标时间到达后，主持人开启解密标书后，供应商点击【CA解密】进行解密，超过解密时限，默认供应商自动放弃。解密成功的响应文件的可继续进行开标。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23.4若提交响应文件家数少于三家或者开标后成功解密的家数少于三家的，将终止该项目（标项）的开标。</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23.5 投标人在报价时不允许采用选择性报价，否则将被视为无效投标。</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24、评标委员会</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24.1开标后，采购人将立即组织评标委员会（以下简称评委会）进行评标。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24.2评委会由采购人代表和有关技术、经济等方面的专家组成，且人员构成符合政府采购有关规定。</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24.3评委会独立工作，负责评审所有投标文件并确定中标</w:t>
      </w:r>
      <w:r>
        <w:rPr>
          <w:rFonts w:hint="eastAsia" w:asciiTheme="minorEastAsia" w:hAnsiTheme="minorEastAsia"/>
          <w:sz w:val="28"/>
          <w:szCs w:val="28"/>
          <w:highlight w:val="none"/>
          <w:lang w:eastAsia="zh-CN"/>
        </w:rPr>
        <w:t>候</w:t>
      </w:r>
      <w:r>
        <w:rPr>
          <w:rFonts w:hint="eastAsia" w:asciiTheme="minorEastAsia" w:hAnsiTheme="minorEastAsia"/>
          <w:sz w:val="28"/>
          <w:szCs w:val="28"/>
          <w:highlight w:val="none"/>
        </w:rPr>
        <w:t>选人。</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25．评标过程的保密与公正</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25.1公开开标后，直至向中标的投标人授予合同时止，凡是与审查、澄清、评价和比较投标的有关资料以及授标建议等，采购人、评委、招标代理均不得向投标人或与评标无关的其他人员透露。</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25.2在评标过程中，投标人不得以任何行为影响评标过程，否则其投标文件将被作为无效投标文件。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25.3在评标期间，招标代理将设专门人员与投标人联系。</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26．投标的澄清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26.1评标期间，为有助于对投标文件的审查、评价和比较，评委会有权以书面形式要求投标人对其投标文件进行澄清，但并非对每个投标人都作澄清要求。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26.2接到评委会澄清要求的投标人应派人按评委会通知的时间和地点做出书面澄清，书面澄清的内容须由投标人法人或授权代表签署，并作为投标文件的补充部分，但投标的价格和实质性的内容不得做任何更改。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26.3接到评委会澄清要求的投标人如未按规定做出澄清，其风险由投标人自行承担。</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27、对投标文件的初审</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27.1投标文件初审分为资格审查和符合性审查。</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27.1.1资格审查：依据法律法规和招标文件的规定，由采购人对投标文件中的资格证明文件进行审查。</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27.1.2符合性审查：依据招标文件的规定，由评委会从投标文件的有效性、完整性和对招标文件的响应程度进行审查，以确定是否对招标文件的实质性要求作出响应。</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重大偏离的认定需经过评委会三分</w:t>
      </w:r>
      <w:r>
        <w:rPr>
          <w:rFonts w:hint="eastAsia" w:asciiTheme="minorEastAsia" w:hAnsiTheme="minorEastAsia"/>
          <w:sz w:val="28"/>
          <w:szCs w:val="28"/>
          <w:highlight w:val="none"/>
          <w:lang w:eastAsia="zh-CN"/>
        </w:rPr>
        <w:t>之</w:t>
      </w:r>
      <w:r>
        <w:rPr>
          <w:rFonts w:hint="eastAsia" w:asciiTheme="minorEastAsia" w:hAnsiTheme="minorEastAsia"/>
          <w:sz w:val="28"/>
          <w:szCs w:val="28"/>
          <w:highlight w:val="none"/>
        </w:rPr>
        <w:t>二及以上成员的认定。评委决定投标文件的响应性只根据投标文件本身的内容，而不寻求外部的证据。</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27.3如果投标文件实质上没有响应招标文件的要求，评委会将予以拒绝，投标人不得通过修改或撤销不合要求的偏离或保留而使其投标成为实质性响应的投标。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27.4评委会将对确定为实质性响应的投标进行进一步审核，看其是否有计算上或累加上的算术错误，修正错误的原则如下：</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（1）投标文件中开标一览表内容与投标文件中相应内容不一致的， 以开标一览表为准。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（2）大写金额和小写金额不一致的，以大写金额为准。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（3）单价金额小数点或者百分比有明显错位的，以开标一览表的总价为准，并修改单价。</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（4）总价金额与按单价汇总金额不一致的，以单价金额计算结果为准。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同时出现两种以上错误的，按照前款规定的顺序修正。</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27.5评委会将按上述修正错误的方法调整投标文件中的投标报价，调整后的价格应对投标人具有约束力。如果投标人不接受修正后的价格，则其投标将被拒绝，其投标保证金不予退还。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27.6评委会将允许修正投标文件中不构成重大偏离的、微小的、非正规的、不一致的或不规则的地方，但这些修改不能影响任何投标人相应的名次排列。</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27.7采用最低评标价法的采购项目，提供相同品牌产品的不同投标人参加同一合同项下投标的，以其中通过资格审查、符合性审查且报价最低的参加评标；报价相同的，由评标委员会根据履约能力、售后服务确定一个参加评标的投标人，其他投标无效。</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履约能力、售后服务确定一个中标候选人，其他同品牌投标人不作为中标候选人。</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28、无效投标条款和废标条款</w:t>
      </w:r>
    </w:p>
    <w:p>
      <w:pPr>
        <w:spacing w:line="360" w:lineRule="auto"/>
        <w:ind w:firstLine="560" w:firstLineChars="200"/>
        <w:rPr>
          <w:rFonts w:hint="eastAsia" w:asciiTheme="minorEastAsia" w:hAnsiTheme="minorEastAsia"/>
          <w:sz w:val="28"/>
          <w:szCs w:val="28"/>
          <w:highlight w:val="none"/>
        </w:rPr>
      </w:pPr>
      <w:r>
        <w:rPr>
          <w:rFonts w:hint="eastAsia" w:asciiTheme="minorEastAsia" w:hAnsiTheme="minorEastAsia"/>
          <w:sz w:val="28"/>
          <w:szCs w:val="28"/>
          <w:highlight w:val="none"/>
        </w:rPr>
        <w:t>28.1无效投标条款</w:t>
      </w:r>
    </w:p>
    <w:p>
      <w:pPr>
        <w:pStyle w:val="2"/>
        <w:rPr>
          <w:rFonts w:hint="default" w:eastAsia="宋体"/>
          <w:lang w:val="en-US" w:eastAsia="zh-CN"/>
        </w:rPr>
      </w:pPr>
      <w:r>
        <w:rPr>
          <w:rFonts w:hint="eastAsia" w:asciiTheme="minorEastAsia" w:hAnsiTheme="minorEastAsia"/>
          <w:sz w:val="28"/>
          <w:szCs w:val="28"/>
          <w:highlight w:val="none"/>
          <w:lang w:val="en-US" w:eastAsia="zh-CN"/>
        </w:rPr>
        <w:t xml:space="preserve">    有下列行为质疑者，即为无效投标：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28.1.1未按要求交纳投标保证金的。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28.1.2未按照招标文件规定要求签署、盖章的。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28.1.3投标人在报价时采用选择性报价的。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28.1.4投标人不具备招标文件中规定资格要求的。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28.1.5投标人的报价超过了采购预算或最高限价的。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28.1.6未通过符合性检查的。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28.1.7不符合招标文件中规定的其他实质性要求和条件的。</w:t>
      </w:r>
    </w:p>
    <w:p>
      <w:pPr>
        <w:widowControl/>
        <w:spacing w:line="360" w:lineRule="auto"/>
        <w:ind w:firstLine="560" w:firstLineChars="200"/>
        <w:jc w:val="left"/>
        <w:rPr>
          <w:rFonts w:ascii="宋体" w:hAnsi="宋体" w:cs="宋体"/>
          <w:kern w:val="0"/>
          <w:sz w:val="28"/>
          <w:szCs w:val="28"/>
          <w:highlight w:val="none"/>
        </w:rPr>
      </w:pPr>
      <w:r>
        <w:rPr>
          <w:rFonts w:hint="eastAsia" w:asciiTheme="minorEastAsia" w:hAnsiTheme="minorEastAsia"/>
          <w:sz w:val="28"/>
          <w:szCs w:val="28"/>
          <w:highlight w:val="none"/>
        </w:rPr>
        <w:t>28.1.8投标人被“信用中国”网站（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19"/>
          <w:rFonts w:hint="eastAsia" w:asciiTheme="minorEastAsia" w:hAnsiTheme="minorEastAsia"/>
          <w:color w:val="auto"/>
          <w:sz w:val="28"/>
          <w:szCs w:val="28"/>
          <w:highlight w:val="none"/>
        </w:rPr>
        <w:t>www.creditchina.gov.cn</w:t>
      </w:r>
      <w:r>
        <w:rPr>
          <w:rStyle w:val="19"/>
          <w:rFonts w:hint="eastAsia" w:asciiTheme="minorEastAsia" w:hAnsiTheme="minorEastAsia"/>
          <w:color w:val="auto"/>
          <w:sz w:val="28"/>
          <w:szCs w:val="28"/>
          <w:highlight w:val="none"/>
        </w:rPr>
        <w:fldChar w:fldCharType="end"/>
      </w:r>
      <w:r>
        <w:rPr>
          <w:rFonts w:hint="eastAsia" w:asciiTheme="minorEastAsia" w:hAnsiTheme="minorEastAsia"/>
          <w:sz w:val="28"/>
          <w:szCs w:val="28"/>
          <w:highlight w:val="none"/>
        </w:rPr>
        <w:t>）、“中国政府采购网”(www. ccgp. gov.cn)列失信被执行人或</w:t>
      </w:r>
      <w:r>
        <w:rPr>
          <w:rFonts w:hint="eastAsia" w:asciiTheme="minorEastAsia" w:hAnsiTheme="minorEastAsia"/>
          <w:sz w:val="28"/>
          <w:szCs w:val="28"/>
          <w:highlight w:val="none"/>
          <w:lang w:eastAsia="zh-CN"/>
        </w:rPr>
        <w:t>重大税收违法失信主体</w:t>
      </w:r>
      <w:r>
        <w:rPr>
          <w:rFonts w:hint="eastAsia" w:asciiTheme="minorEastAsia" w:hAnsiTheme="minorEastAsia"/>
          <w:sz w:val="28"/>
          <w:szCs w:val="28"/>
          <w:highlight w:val="none"/>
        </w:rPr>
        <w:t>或政府采购严重失信行为记录名单。</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28.1.9投标文件含有采购人不能接受的附加条件的。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28.1.11其他法律、法规及本招标文件规定的属无效投标的情形。</w:t>
      </w:r>
    </w:p>
    <w:p>
      <w:pPr>
        <w:spacing w:line="360" w:lineRule="auto"/>
        <w:ind w:firstLine="560" w:firstLineChars="200"/>
        <w:rPr>
          <w:rFonts w:hint="eastAsia" w:asciiTheme="minorEastAsia" w:hAnsiTheme="minorEastAsia"/>
          <w:sz w:val="28"/>
          <w:szCs w:val="28"/>
          <w:highlight w:val="none"/>
        </w:rPr>
      </w:pPr>
      <w:r>
        <w:rPr>
          <w:rFonts w:hint="eastAsia" w:asciiTheme="minorEastAsia" w:hAnsiTheme="minorEastAsia"/>
          <w:sz w:val="28"/>
          <w:szCs w:val="28"/>
          <w:highlight w:val="none"/>
        </w:rPr>
        <w:t>28.2废标条款：</w:t>
      </w:r>
    </w:p>
    <w:p>
      <w:pPr>
        <w:pStyle w:val="2"/>
        <w:rPr>
          <w:rFonts w:hint="default" w:eastAsia="宋体"/>
          <w:lang w:val="en-US" w:eastAsia="zh-CN"/>
        </w:rPr>
      </w:pPr>
      <w:r>
        <w:rPr>
          <w:rFonts w:hint="eastAsia" w:asciiTheme="minorEastAsia" w:hAnsiTheme="minorEastAsia"/>
          <w:sz w:val="28"/>
          <w:szCs w:val="28"/>
          <w:highlight w:val="none"/>
          <w:lang w:val="en-US" w:eastAsia="zh-CN"/>
        </w:rPr>
        <w:t xml:space="preserve">    有下列行为之一者，即为废标：</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28.2.1符合专业条件的供应商或者对招标文件作实质响应的供应商不足三家的。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28.2.2出现影响采购公正的违法、违规行为的。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28.2.3因重大变故，采购任务取消的。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28.2.4评标委员会认定招标文件存在歧义、重大缺陷导致评审工作无法进行。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28.3投标截止时间结束后参加投标的供应商不足三家的处理：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28.3.1如出现投标截止时间结束后参加投标的供应商或者在评标期间对招标文件做出实质响应的供应商不足三家情况，按政府采购相关规定执行。</w:t>
      </w:r>
    </w:p>
    <w:p>
      <w:pPr>
        <w:spacing w:line="360" w:lineRule="auto"/>
        <w:ind w:firstLine="602" w:firstLineChars="200"/>
        <w:rPr>
          <w:rFonts w:asciiTheme="minorEastAsia" w:hAnsiTheme="minorEastAsia"/>
          <w:b/>
          <w:sz w:val="30"/>
          <w:szCs w:val="30"/>
          <w:highlight w:val="none"/>
        </w:rPr>
      </w:pPr>
      <w:r>
        <w:rPr>
          <w:rFonts w:hint="eastAsia" w:asciiTheme="minorEastAsia" w:hAnsiTheme="minorEastAsia"/>
          <w:b/>
          <w:sz w:val="30"/>
          <w:szCs w:val="30"/>
          <w:highlight w:val="none"/>
        </w:rPr>
        <w:t>六、定标</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29、确定中标单位</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29.1评委会根据本招标文件规定评分办法与评分标准向采购人推荐3家中标候选人。（采购人按评审报告中推荐的中标候选人排序确定中标人）</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29.2采购人应根据评委会推荐的中标候选人确定中标人。</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29.3招标代理将在“新疆政府采购网”发布中标公告，公告期限为1个工作日。</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29.4若有充分证据证明，中标人出现下列情况之一的，一经查实，将被取消中标资格：</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29.4.1提供虚假材料谋取中标的。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29.4.2向采购人、招标代理行贿或者提供其他不正当利益的。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29.4.3恶意竞争，投标总报价明显低于其自身合理成本且又无法提供证明的。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29.4.4属于本文件规定的无效条件，但在评标过程中又未被评委会发现的。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29.4.5与采购人或者其他供应商恶意串通的。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29.4.6采取不正当手段诋毁、排挤其他供应商的。</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29.5.有下列情形之一的，视为投标人串通投标，投标无效：</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29.5.1不同投标人的投标文件由同一单位或者个人编制。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29.5.2不同投标人委托同一单位或者个人办理投标事宜。</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29.5.3不同投标人的投标文件载明的项目管理成员或者联系人员为同一人。</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29.5.4不同投标人的投标文件异常一致或者投标报价呈规律性差异。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29.5.5不同投标人的投标文件相互混装。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29.5.6不同投标人的投标保证金从同一单位或者个人的账户转出。</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30、质疑处理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30.1提出质疑的供应商应当是参与所质疑项目采购活动的供应商。潜在供应商依法获取其可质疑的采购文件的，可以对采购文件提出质疑。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30.2供应商认为采购文件、采购过程和采购结果使自己的权益受到损害的，可以在知道或应知其权益受到损害之日起七个工作日内，以书面形式向招标代理或采购人提出质疑。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30.2.1对可以质疑的采购文件提出质疑的，为收到采购文件之日或者采购文件公告期限届满之日；</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30.2.2对采购过程提出质疑的，为各采购程序环节结束之日；</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30.2.3对中标或者成交结果提出质疑的，为中标或者成交结果公告期限届满之日。</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供应商应当在法定质疑期内一次性提出针对同一采购程序环节的质疑。供应商如在法定期限内对同一采购程序环节提出多次质疑的，招标代理将只对供应商第一次质疑作出答复。</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30.3质疑函必须按照本招标文件中《质疑函范本》要求的格式和内容进行填写。</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30.4招标代理只接收以纸质原件形式送达的质疑。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30.5以下情形的质疑不予受理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30.5.1内容不符合《政府采购质疑和投诉办法》第十二条规定的质疑。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30.5.2超出政府采购法定期限的质疑。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30.5.3以传真、电子邮件等方式递交的非原件形式的质疑。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30.5.4未参加投标活动的供应商或在投标活动中自身权益未受到损害的供应商所提出的质疑。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30.5.5供应商组成联合体参加投标，联合体中任何一方或多方未按要求签字、盖章、加盖公章的质疑。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30.6供应商提出书面质疑必须有理、有据，不得捏造事实、提供虚假材料进行恶意质疑。否则，一经查实，招标代理有权依据政府采购的有关规定，报请政府采购监管部门对该供应商进行相应行政处罚和记录该供应商失信信息。</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31、中标通知书</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31.l中标结果确定后，招标代理将向中标供应商发出中标通知书。</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31.2中标供应商收到中标通知书后，须立即以书面形式回复招标代理，确认中标通知书已收到。若无书面回复，则公告后视同中标人已经知悉并同意接受。</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31.3中标通知书将是合同的一个组成部分。 对采购人和中标供应商均具有法律效力。中标通知书发出后，采购人改变中标结果的，或者中标供应商放弃中标项目的，应当依法承担法律责任。</w:t>
      </w:r>
    </w:p>
    <w:p>
      <w:pPr>
        <w:spacing w:line="360" w:lineRule="auto"/>
        <w:ind w:left="-283" w:leftChars="-135" w:firstLine="885" w:firstLineChars="294"/>
        <w:rPr>
          <w:rFonts w:asciiTheme="minorEastAsia" w:hAnsiTheme="minorEastAsia"/>
          <w:b/>
          <w:sz w:val="30"/>
          <w:szCs w:val="30"/>
          <w:highlight w:val="none"/>
        </w:rPr>
      </w:pPr>
      <w:r>
        <w:rPr>
          <w:rFonts w:hint="eastAsia" w:asciiTheme="minorEastAsia" w:hAnsiTheme="minorEastAsia"/>
          <w:b/>
          <w:sz w:val="30"/>
          <w:szCs w:val="30"/>
          <w:highlight w:val="none"/>
        </w:rPr>
        <w:t>七、授予合同</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32.签订合同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32.l中标人应按中标通知书规定的时间、地点,按照招标文件确定的事项与采购人签订政府采购合同，且不得迟于中标通知书发出之日起三十日内，否则履约保证金将不予退还，由此给采购人造成损失的，中标人还应承担赔偿责任。</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32.2招标文件、中标人的投标文件及招标过程中有关澄清、承诺文件均应作为合同附件。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32.3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33、履约保证金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33.1中标人在收到中标通知书后，履约保证金用以约束供应商在合同履行中的行为，弥补合同执行中由于自身行为可能给采购人带来的各种损失。如果中标人不同意按照规定去做，采购人有权取消本次采购中标决定，其投标保证金不予退还。</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33.2履约保证金的退还：合同履行结束后退还履约保证金。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33.3如果需要履约保证金，中标供应商应按照投标须知前附表规定向采购人履约保证金保函（如格式见本章附件1）。经采购人同意，中标供应商也可以自愿采用其他履约保证金的提供方式。</w:t>
      </w:r>
    </w:p>
    <w:p>
      <w:pPr>
        <w:spacing w:line="360" w:lineRule="auto"/>
        <w:ind w:firstLine="602" w:firstLineChars="200"/>
        <w:rPr>
          <w:rFonts w:asciiTheme="minorEastAsia" w:hAnsiTheme="minorEastAsia"/>
          <w:b/>
          <w:sz w:val="30"/>
          <w:szCs w:val="30"/>
          <w:highlight w:val="none"/>
        </w:rPr>
      </w:pPr>
      <w:r>
        <w:rPr>
          <w:rFonts w:hint="eastAsia" w:asciiTheme="minorEastAsia" w:hAnsiTheme="minorEastAsia"/>
          <w:b/>
          <w:sz w:val="30"/>
          <w:szCs w:val="30"/>
          <w:highlight w:val="none"/>
        </w:rPr>
        <w:t>八、其他</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3</w:t>
      </w:r>
      <w:r>
        <w:rPr>
          <w:rFonts w:hint="eastAsia" w:asciiTheme="minorEastAsia" w:hAnsiTheme="minorEastAsia"/>
          <w:b/>
          <w:sz w:val="28"/>
          <w:szCs w:val="28"/>
          <w:highlight w:val="none"/>
          <w:lang w:val="en-US" w:eastAsia="zh-CN"/>
        </w:rPr>
        <w:t>4</w:t>
      </w:r>
      <w:r>
        <w:rPr>
          <w:rFonts w:hint="eastAsia" w:asciiTheme="minorEastAsia" w:hAnsiTheme="minorEastAsia"/>
          <w:b/>
          <w:sz w:val="28"/>
          <w:szCs w:val="28"/>
          <w:highlight w:val="none"/>
        </w:rPr>
        <w:t>、一切未尽事宜，均按照政府采购相关法律法规执行。</w:t>
      </w:r>
    </w:p>
    <w:p>
      <w:pPr>
        <w:ind w:firstLine="560" w:firstLineChars="200"/>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rPr>
          <w:rFonts w:asciiTheme="minorEastAsia" w:hAnsiTheme="minorEastAsia"/>
          <w:sz w:val="28"/>
          <w:szCs w:val="28"/>
          <w:highlight w:val="none"/>
        </w:rPr>
      </w:pPr>
      <w:r>
        <w:rPr>
          <w:rFonts w:asciiTheme="minorEastAsia" w:hAnsiTheme="minorEastAsia"/>
          <w:sz w:val="28"/>
          <w:szCs w:val="28"/>
          <w:highlight w:val="none"/>
        </w:rPr>
        <w:br w:type="page"/>
      </w:r>
    </w:p>
    <w:p>
      <w:pPr>
        <w:pStyle w:val="12"/>
        <w:rPr>
          <w:rFonts w:asciiTheme="minorEastAsia" w:hAnsiTheme="minorEastAsia"/>
          <w:sz w:val="28"/>
          <w:szCs w:val="28"/>
          <w:highlight w:val="none"/>
        </w:rPr>
      </w:pPr>
    </w:p>
    <w:p>
      <w:pPr>
        <w:pStyle w:val="6"/>
        <w:jc w:val="center"/>
        <w:rPr>
          <w:rFonts w:hAnsi="宋体" w:eastAsia="宋体" w:cs="宋体"/>
          <w:sz w:val="28"/>
          <w:szCs w:val="28"/>
          <w:highlight w:val="none"/>
        </w:rPr>
      </w:pPr>
      <w:bookmarkStart w:id="2" w:name="_Toc515647799"/>
      <w:bookmarkStart w:id="3" w:name="_Toc79772331"/>
      <w:bookmarkStart w:id="4" w:name="_Toc16186"/>
      <w:bookmarkStart w:id="5" w:name="_Toc532473491"/>
      <w:bookmarkStart w:id="6" w:name="_Toc21748"/>
      <w:r>
        <w:rPr>
          <w:rFonts w:hint="eastAsia" w:hAnsi="宋体" w:eastAsia="宋体" w:cs="宋体"/>
          <w:sz w:val="28"/>
          <w:szCs w:val="28"/>
          <w:highlight w:val="none"/>
        </w:rPr>
        <w:t>附件1：履约保证金担保函（格式）</w:t>
      </w:r>
      <w:bookmarkEnd w:id="2"/>
      <w:bookmarkEnd w:id="3"/>
      <w:bookmarkEnd w:id="4"/>
      <w:bookmarkEnd w:id="5"/>
      <w:bookmarkEnd w:id="6"/>
    </w:p>
    <w:p>
      <w:pPr>
        <w:pStyle w:val="10"/>
        <w:spacing w:line="360" w:lineRule="auto"/>
        <w:jc w:val="center"/>
        <w:rPr>
          <w:rFonts w:hAnsi="宋体" w:cs="宋体"/>
          <w:b/>
          <w:sz w:val="28"/>
          <w:szCs w:val="28"/>
          <w:highlight w:val="none"/>
        </w:rPr>
      </w:pPr>
      <w:r>
        <w:rPr>
          <w:rFonts w:hint="eastAsia" w:hAnsi="宋体" w:cs="宋体"/>
          <w:b/>
          <w:sz w:val="28"/>
          <w:szCs w:val="28"/>
          <w:highlight w:val="none"/>
        </w:rPr>
        <w:t>（中标后开具）</w:t>
      </w:r>
    </w:p>
    <w:p>
      <w:pPr>
        <w:pStyle w:val="10"/>
        <w:spacing w:line="360" w:lineRule="auto"/>
        <w:rPr>
          <w:rFonts w:hAnsi="宋体" w:cs="宋体"/>
          <w:sz w:val="28"/>
          <w:szCs w:val="28"/>
          <w:highlight w:val="none"/>
        </w:rPr>
      </w:pPr>
      <w:r>
        <w:rPr>
          <w:rFonts w:hint="eastAsia" w:hAnsi="宋体" w:cs="宋体"/>
          <w:sz w:val="28"/>
          <w:szCs w:val="28"/>
          <w:highlight w:val="none"/>
        </w:rPr>
        <w:t>致:(</w:t>
      </w:r>
      <w:r>
        <w:rPr>
          <w:rFonts w:hint="eastAsia" w:hAnsi="宋体" w:cs="宋体"/>
          <w:i/>
          <w:sz w:val="28"/>
          <w:szCs w:val="28"/>
          <w:highlight w:val="none"/>
          <w:u w:val="single"/>
        </w:rPr>
        <w:t>买方名称</w:t>
      </w:r>
      <w:r>
        <w:rPr>
          <w:rFonts w:hint="eastAsia" w:hAnsi="宋体" w:cs="宋体"/>
          <w:sz w:val="28"/>
          <w:szCs w:val="28"/>
          <w:highlight w:val="none"/>
        </w:rPr>
        <w:t>)</w:t>
      </w:r>
    </w:p>
    <w:p>
      <w:pPr>
        <w:pStyle w:val="10"/>
        <w:spacing w:line="360" w:lineRule="auto"/>
        <w:ind w:left="1080" w:leftChars="257" w:hanging="540"/>
        <w:jc w:val="center"/>
        <w:rPr>
          <w:rFonts w:hAnsi="宋体" w:cs="宋体"/>
          <w:sz w:val="28"/>
          <w:szCs w:val="28"/>
          <w:highlight w:val="none"/>
        </w:rPr>
      </w:pPr>
      <w:r>
        <w:rPr>
          <w:rFonts w:hint="eastAsia" w:hAnsi="宋体" w:cs="宋体"/>
          <w:sz w:val="28"/>
          <w:szCs w:val="28"/>
          <w:highlight w:val="none"/>
        </w:rPr>
        <w:t>号合同履约保函</w:t>
      </w:r>
    </w:p>
    <w:p>
      <w:pPr>
        <w:pStyle w:val="10"/>
        <w:spacing w:line="360" w:lineRule="auto"/>
        <w:ind w:firstLine="700" w:firstLineChars="250"/>
        <w:rPr>
          <w:rFonts w:hAnsi="宋体" w:cs="宋体"/>
          <w:sz w:val="28"/>
          <w:szCs w:val="28"/>
          <w:highlight w:val="none"/>
        </w:rPr>
      </w:pPr>
      <w:r>
        <w:rPr>
          <w:rFonts w:hint="eastAsia" w:hAnsi="宋体" w:cs="宋体"/>
          <w:sz w:val="28"/>
          <w:szCs w:val="28"/>
          <w:highlight w:val="none"/>
        </w:rPr>
        <w:t>本保函作为贵方与(</w:t>
      </w:r>
      <w:r>
        <w:rPr>
          <w:rFonts w:hint="eastAsia" w:hAnsi="宋体" w:cs="宋体"/>
          <w:i/>
          <w:sz w:val="28"/>
          <w:szCs w:val="28"/>
          <w:highlight w:val="none"/>
          <w:u w:val="single"/>
        </w:rPr>
        <w:t>卖方名称</w:t>
      </w:r>
      <w:r>
        <w:rPr>
          <w:rFonts w:hint="eastAsia" w:hAnsi="宋体" w:cs="宋体"/>
          <w:sz w:val="28"/>
          <w:szCs w:val="28"/>
          <w:highlight w:val="none"/>
        </w:rPr>
        <w:t>)(以下简称卖方)于年月日就项目(以下简称项目)项下提供(</w:t>
      </w:r>
      <w:r>
        <w:rPr>
          <w:rFonts w:hint="eastAsia" w:hAnsi="宋体" w:cs="宋体"/>
          <w:i/>
          <w:sz w:val="28"/>
          <w:szCs w:val="28"/>
          <w:highlight w:val="none"/>
          <w:u w:val="single"/>
        </w:rPr>
        <w:t>货物名称</w:t>
      </w:r>
      <w:r>
        <w:rPr>
          <w:rFonts w:hint="eastAsia" w:hAnsi="宋体" w:cs="宋体"/>
          <w:sz w:val="28"/>
          <w:szCs w:val="28"/>
          <w:highlight w:val="none"/>
        </w:rPr>
        <w:t>)(以下简称货物)签订的(</w:t>
      </w:r>
      <w:r>
        <w:rPr>
          <w:rFonts w:hint="eastAsia" w:hAnsi="宋体" w:cs="宋体"/>
          <w:i/>
          <w:sz w:val="28"/>
          <w:szCs w:val="28"/>
          <w:highlight w:val="none"/>
          <w:u w:val="single"/>
        </w:rPr>
        <w:t>合同号</w:t>
      </w:r>
      <w:r>
        <w:rPr>
          <w:rFonts w:hint="eastAsia" w:hAnsi="宋体" w:cs="宋体"/>
          <w:sz w:val="28"/>
          <w:szCs w:val="28"/>
          <w:highlight w:val="none"/>
        </w:rPr>
        <w:t>)号合同的履约保函。</w:t>
      </w:r>
    </w:p>
    <w:p>
      <w:pPr>
        <w:pStyle w:val="10"/>
        <w:spacing w:line="360" w:lineRule="auto"/>
        <w:ind w:firstLine="630" w:firstLineChars="225"/>
        <w:rPr>
          <w:rFonts w:hAnsi="宋体" w:cs="宋体"/>
          <w:sz w:val="28"/>
          <w:szCs w:val="28"/>
          <w:highlight w:val="none"/>
        </w:rPr>
      </w:pPr>
      <w:r>
        <w:rPr>
          <w:rFonts w:hint="eastAsia" w:hAnsi="宋体" w:cs="宋体"/>
          <w:sz w:val="28"/>
          <w:szCs w:val="28"/>
          <w:highlight w:val="none"/>
        </w:rPr>
        <w:t>(</w:t>
      </w:r>
      <w:r>
        <w:rPr>
          <w:rFonts w:hint="eastAsia" w:hAnsi="宋体" w:cs="宋体"/>
          <w:i/>
          <w:sz w:val="28"/>
          <w:szCs w:val="28"/>
          <w:highlight w:val="none"/>
          <w:u w:val="single"/>
        </w:rPr>
        <w:t>出具保函的银行名称</w:t>
      </w:r>
      <w:r>
        <w:rPr>
          <w:rFonts w:hint="eastAsia" w:hAnsi="宋体" w:cs="宋体"/>
          <w:sz w:val="28"/>
          <w:szCs w:val="28"/>
          <w:highlight w:val="none"/>
        </w:rPr>
        <w:t>)(以下简称银行)无条件地、不可撤销地具结保证本行、其继承人和受让人无追索地向贵方以(</w:t>
      </w:r>
      <w:r>
        <w:rPr>
          <w:rFonts w:hint="eastAsia" w:hAnsi="宋体" w:cs="宋体"/>
          <w:i/>
          <w:sz w:val="28"/>
          <w:szCs w:val="28"/>
          <w:highlight w:val="none"/>
          <w:u w:val="single"/>
        </w:rPr>
        <w:t>货币名称</w:t>
      </w:r>
      <w:r>
        <w:rPr>
          <w:rFonts w:hint="eastAsia" w:hAnsi="宋体" w:cs="宋体"/>
          <w:sz w:val="28"/>
          <w:szCs w:val="28"/>
          <w:highlight w:val="none"/>
        </w:rPr>
        <w:t>)支付总额不超过(</w:t>
      </w:r>
      <w:r>
        <w:rPr>
          <w:rFonts w:hint="eastAsia" w:hAnsi="宋体" w:cs="宋体"/>
          <w:i/>
          <w:sz w:val="28"/>
          <w:szCs w:val="28"/>
          <w:highlight w:val="none"/>
          <w:u w:val="single"/>
        </w:rPr>
        <w:t>货币数量</w:t>
      </w:r>
      <w:r>
        <w:rPr>
          <w:rFonts w:hint="eastAsia" w:hAnsi="宋体" w:cs="宋体"/>
          <w:sz w:val="28"/>
          <w:szCs w:val="28"/>
          <w:highlight w:val="none"/>
        </w:rPr>
        <w:t>),即相当于合同价格的%,并以此约定如下:</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2.本保函项下的任何支付应为免税和净值。对于现有或将来的税收、关税、收费、费用扣减或预提税款，不论这些款项是何种性质和由谁征收，都不应从本保函项下的支付中扣除。</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4.本保函在本合同规定的保证期期满前完全有效。</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谨启</w:t>
      </w:r>
    </w:p>
    <w:p>
      <w:pPr>
        <w:pStyle w:val="10"/>
        <w:keepNext w:val="0"/>
        <w:keepLines w:val="0"/>
        <w:pageBreakBefore w:val="0"/>
        <w:widowControl w:val="0"/>
        <w:kinsoku/>
        <w:wordWrap/>
        <w:overflowPunct/>
        <w:topLinePunct w:val="0"/>
        <w:autoSpaceDE/>
        <w:autoSpaceDN/>
        <w:bidi w:val="0"/>
        <w:adjustRightInd/>
        <w:snapToGrid/>
        <w:spacing w:line="360" w:lineRule="auto"/>
        <w:ind w:left="703" w:leftChars="335" w:right="1375" w:rightChars="655" w:firstLine="3200" w:firstLineChars="1143"/>
        <w:jc w:val="both"/>
        <w:textAlignment w:val="auto"/>
        <w:rPr>
          <w:rFonts w:hAnsi="宋体" w:cs="宋体"/>
          <w:sz w:val="28"/>
          <w:szCs w:val="28"/>
          <w:highlight w:val="none"/>
        </w:rPr>
      </w:pPr>
      <w:r>
        <w:rPr>
          <w:rFonts w:hint="eastAsia" w:hAnsi="宋体" w:cs="宋体"/>
          <w:sz w:val="28"/>
          <w:szCs w:val="28"/>
          <w:highlight w:val="none"/>
        </w:rPr>
        <w:t>出具保函银行名称：</w:t>
      </w:r>
    </w:p>
    <w:p>
      <w:pPr>
        <w:pStyle w:val="10"/>
        <w:keepNext w:val="0"/>
        <w:keepLines w:val="0"/>
        <w:pageBreakBefore w:val="0"/>
        <w:widowControl w:val="0"/>
        <w:kinsoku/>
        <w:wordWrap/>
        <w:overflowPunct/>
        <w:topLinePunct w:val="0"/>
        <w:autoSpaceDE/>
        <w:autoSpaceDN/>
        <w:bidi w:val="0"/>
        <w:adjustRightInd/>
        <w:snapToGrid/>
        <w:spacing w:line="360" w:lineRule="auto"/>
        <w:ind w:left="703" w:leftChars="335" w:right="1375" w:rightChars="655" w:firstLine="3200" w:firstLineChars="1143"/>
        <w:jc w:val="both"/>
        <w:textAlignment w:val="auto"/>
        <w:rPr>
          <w:rFonts w:hAnsi="宋体" w:cs="宋体"/>
          <w:sz w:val="28"/>
          <w:szCs w:val="28"/>
          <w:highlight w:val="none"/>
          <w:u w:val="single"/>
        </w:rPr>
      </w:pPr>
      <w:r>
        <w:rPr>
          <w:rFonts w:hint="eastAsia" w:hAnsi="宋体" w:cs="宋体"/>
          <w:sz w:val="28"/>
          <w:szCs w:val="28"/>
          <w:highlight w:val="none"/>
        </w:rPr>
        <w:t>签字人姓名和职务：</w:t>
      </w:r>
    </w:p>
    <w:p>
      <w:pPr>
        <w:pStyle w:val="10"/>
        <w:keepNext w:val="0"/>
        <w:keepLines w:val="0"/>
        <w:pageBreakBefore w:val="0"/>
        <w:widowControl w:val="0"/>
        <w:kinsoku/>
        <w:wordWrap/>
        <w:overflowPunct/>
        <w:topLinePunct w:val="0"/>
        <w:autoSpaceDE/>
        <w:autoSpaceDN/>
        <w:bidi w:val="0"/>
        <w:adjustRightInd/>
        <w:snapToGrid/>
        <w:spacing w:line="360" w:lineRule="auto"/>
        <w:ind w:left="703" w:leftChars="335" w:right="1375" w:rightChars="655" w:firstLine="3200" w:firstLineChars="1143"/>
        <w:jc w:val="both"/>
        <w:textAlignment w:val="auto"/>
        <w:rPr>
          <w:rFonts w:hAnsi="宋体" w:cs="宋体"/>
          <w:sz w:val="28"/>
          <w:szCs w:val="28"/>
          <w:highlight w:val="none"/>
        </w:rPr>
      </w:pPr>
      <w:r>
        <w:rPr>
          <w:rFonts w:hint="eastAsia" w:hAnsi="宋体" w:cs="宋体"/>
          <w:sz w:val="28"/>
          <w:szCs w:val="28"/>
          <w:highlight w:val="none"/>
        </w:rPr>
        <w:t>签字人签名：</w:t>
      </w:r>
    </w:p>
    <w:p>
      <w:pPr>
        <w:pStyle w:val="10"/>
        <w:keepNext w:val="0"/>
        <w:keepLines w:val="0"/>
        <w:pageBreakBefore w:val="0"/>
        <w:widowControl w:val="0"/>
        <w:kinsoku/>
        <w:wordWrap/>
        <w:overflowPunct/>
        <w:topLinePunct w:val="0"/>
        <w:autoSpaceDE/>
        <w:autoSpaceDN/>
        <w:bidi w:val="0"/>
        <w:adjustRightInd/>
        <w:snapToGrid/>
        <w:spacing w:line="360" w:lineRule="auto"/>
        <w:ind w:left="703" w:leftChars="335" w:right="1375" w:rightChars="655" w:firstLine="3200" w:firstLineChars="1143"/>
        <w:jc w:val="both"/>
        <w:textAlignment w:val="auto"/>
        <w:rPr>
          <w:rFonts w:hAnsi="宋体" w:cs="宋体"/>
          <w:sz w:val="28"/>
          <w:szCs w:val="28"/>
          <w:highlight w:val="none"/>
          <w:u w:val="single"/>
        </w:rPr>
      </w:pPr>
      <w:r>
        <w:rPr>
          <w:rFonts w:hint="eastAsia" w:hAnsi="宋体" w:cs="宋体"/>
          <w:sz w:val="28"/>
          <w:szCs w:val="28"/>
          <w:highlight w:val="none"/>
        </w:rPr>
        <w:t>公章：</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12"/>
        <w:rPr>
          <w:rFonts w:asciiTheme="minorEastAsia" w:hAnsiTheme="minorEastAsia"/>
          <w:sz w:val="28"/>
          <w:szCs w:val="28"/>
          <w:highlight w:val="none"/>
        </w:rPr>
      </w:pPr>
    </w:p>
    <w:p>
      <w:pPr>
        <w:rPr>
          <w:rFonts w:asciiTheme="minorEastAsia" w:hAnsiTheme="minorEastAsia"/>
          <w:sz w:val="28"/>
          <w:szCs w:val="28"/>
          <w:highlight w:val="none"/>
        </w:rPr>
      </w:pPr>
      <w:r>
        <w:rPr>
          <w:rFonts w:asciiTheme="minorEastAsia" w:hAnsiTheme="minorEastAsia"/>
          <w:sz w:val="28"/>
          <w:szCs w:val="28"/>
          <w:highlight w:val="none"/>
        </w:rPr>
        <w:br w:type="page"/>
      </w:r>
    </w:p>
    <w:p>
      <w:pPr>
        <w:spacing w:line="360" w:lineRule="auto"/>
        <w:ind w:firstLine="643" w:firstLineChars="200"/>
        <w:jc w:val="center"/>
        <w:rPr>
          <w:rFonts w:asciiTheme="minorEastAsia" w:hAnsiTheme="minorEastAsia"/>
          <w:b/>
          <w:sz w:val="32"/>
          <w:szCs w:val="28"/>
          <w:highlight w:val="none"/>
        </w:rPr>
      </w:pPr>
      <w:r>
        <w:rPr>
          <w:rFonts w:hint="eastAsia" w:asciiTheme="minorEastAsia" w:hAnsiTheme="minorEastAsia"/>
          <w:b/>
          <w:sz w:val="32"/>
          <w:szCs w:val="28"/>
          <w:highlight w:val="none"/>
        </w:rPr>
        <w:t>第三章  合同文本（参考文本）</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以下为中标后</w:t>
      </w:r>
      <w:r>
        <w:rPr>
          <w:rFonts w:hint="eastAsia" w:asciiTheme="minorEastAsia" w:hAnsiTheme="minorEastAsia"/>
          <w:sz w:val="28"/>
          <w:szCs w:val="28"/>
          <w:highlight w:val="none"/>
          <w:lang w:eastAsia="zh-CN"/>
        </w:rPr>
        <w:t>签订</w:t>
      </w:r>
      <w:r>
        <w:rPr>
          <w:rFonts w:hint="eastAsia" w:asciiTheme="minorEastAsia" w:hAnsiTheme="minorEastAsia"/>
          <w:sz w:val="28"/>
          <w:szCs w:val="28"/>
          <w:highlight w:val="none"/>
        </w:rPr>
        <w:t>本项目合同的通用条款，中标人不得提出实质性的修改，关于专用条款将由采购人与中标人结合本项目具体情况协商后签订。</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（合同编号）</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项目名称：  项目编号：</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甲方：（买方）_________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乙方：（卖方）_________ </w:t>
      </w:r>
    </w:p>
    <w:p>
      <w:pPr>
        <w:pStyle w:val="27"/>
        <w:numPr>
          <w:ilvl w:val="0"/>
          <w:numId w:val="4"/>
        </w:numPr>
        <w:spacing w:line="360" w:lineRule="auto"/>
        <w:ind w:firstLineChars="0"/>
        <w:rPr>
          <w:rFonts w:asciiTheme="minorEastAsia" w:hAnsiTheme="minorEastAsia"/>
          <w:sz w:val="28"/>
          <w:szCs w:val="28"/>
          <w:highlight w:val="none"/>
        </w:rPr>
      </w:pPr>
      <w:r>
        <w:rPr>
          <w:rFonts w:hint="eastAsia" w:asciiTheme="minorEastAsia" w:hAnsiTheme="minorEastAsia"/>
          <w:sz w:val="28"/>
          <w:szCs w:val="28"/>
          <w:highlight w:val="none"/>
        </w:rPr>
        <w:t>乙双方根据项目</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公开招标的结果，签署本合同。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一、产品内容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1.1产品名称：</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1.2型号规格：</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1.3数量（单位）：</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二、合同金额</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2.1本合同金额为（大写）：________圆（_______元）人民币或其他币种。</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三、技术资料</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3.1乙方应按招标文件规定的时间向甲方提供使用产品的有关技术资料。</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3.2没有甲方事先书面同意，乙方不得将由甲方提供的有关合同或任何合同条文、规格、计划、 图纸、 样品或资料提供给与履行本合同无关的任何其他人。 即使向履行本合同有关的人员提供，也应注意保密并限于履行合同的必需范围。</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四、知识产权</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4.1乙方应保证甲方在使用、 接受本合同产品和服务或其任何一部分时不受第三方提出侵犯其专利权、版权、商标权和工业设计权等知识产权的起诉。一旦出现侵权，由乙方负全部责任。</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五、产权担保</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5.1乙方保证所交付的产品的所有权完全属于乙方且无任何抵押、查封等产权瑕疵。</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六、履约保证金</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6.1乙方交纳人民币_________元作为本合同的履约保证金。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七、转包或分包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7.1本合同范围的产品，应由乙方直接供应，不得转让他人供应；</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7.2除非得到甲方的书面同意，乙方不得部分分包给他人供应。</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7.3如有转让和未经甲方同意的分包行为，甲方有权给予终止合同。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八、维保期</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8.1投标人自报维保期。（自通过甲方验收合格之日起计）（见投标文件承诺）。</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九、交货期、交货方式及交货地点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9.1交货期：</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供应商必须响应招标文件要求时间</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（不低于采购需求，见投标文件承诺）</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 xml:space="preserve">9.2交货方式：  </w:t>
      </w:r>
      <w:r>
        <w:rPr>
          <w:rFonts w:hint="eastAsia" w:asciiTheme="minorEastAsia" w:hAnsiTheme="minorEastAsia"/>
          <w:b/>
          <w:sz w:val="28"/>
          <w:szCs w:val="28"/>
          <w:highlight w:val="none"/>
          <w:u w:val="single"/>
        </w:rPr>
        <w:t>现场交货</w:t>
      </w:r>
      <w:r>
        <w:rPr>
          <w:rFonts w:hint="eastAsia" w:asciiTheme="minorEastAsia" w:hAnsiTheme="minorEastAsia"/>
          <w:b/>
          <w:sz w:val="28"/>
          <w:szCs w:val="28"/>
          <w:highlight w:val="none"/>
        </w:rPr>
        <w:t xml:space="preserve">________ </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9.3交货地点：__</w:t>
      </w:r>
      <w:r>
        <w:rPr>
          <w:rFonts w:hint="eastAsia" w:asciiTheme="minorEastAsia" w:hAnsiTheme="minorEastAsia"/>
          <w:b/>
          <w:sz w:val="28"/>
          <w:szCs w:val="28"/>
          <w:highlight w:val="none"/>
          <w:u w:val="single"/>
        </w:rPr>
        <w:t>甲方指定地点</w:t>
      </w:r>
      <w:r>
        <w:rPr>
          <w:rFonts w:hint="eastAsia" w:asciiTheme="minorEastAsia" w:hAnsiTheme="minorEastAsia"/>
          <w:b/>
          <w:sz w:val="28"/>
          <w:szCs w:val="28"/>
          <w:highlight w:val="none"/>
        </w:rPr>
        <w:t>___</w:t>
      </w:r>
    </w:p>
    <w:p>
      <w:pPr>
        <w:spacing w:line="360" w:lineRule="auto"/>
        <w:ind w:firstLine="560" w:firstLineChars="200"/>
        <w:rPr>
          <w:highlight w:val="none"/>
        </w:rPr>
      </w:pPr>
      <w:r>
        <w:rPr>
          <w:rFonts w:hint="eastAsia" w:asciiTheme="minorEastAsia" w:hAnsiTheme="minorEastAsia"/>
          <w:sz w:val="28"/>
          <w:szCs w:val="28"/>
          <w:highlight w:val="none"/>
        </w:rPr>
        <w:t>十、货款支付：合同签订后支付合同总金额的30%，车辆到达哈密指定地点后支付合同总金额的50%，上牌照后支付合同总金额的10%，验收合格后支付剩余货款。</w:t>
      </w:r>
    </w:p>
    <w:p>
      <w:pPr>
        <w:spacing w:line="360" w:lineRule="auto"/>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甲乙双方另行约定。</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十一.税</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11.1本合同执行中相关的一切税费均由乙方负担。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十二、质量保证及售后服务</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12.1乙方应按招标文件规定的产品性能、 技术要求、 质量标准向甲方提供未经使用的全新产品。</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12.2乙方提供的产品在质量期内因产品本身的质量问题发生故障， 乙方应负责免费更换。对达不到技术要求者，根据实际情况，经双方协商，可按以下办法处理：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⑴更换：由乙方承担所发生的全部费用。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⑵贬值处理：由甲乙双方合议定价。</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⑶退货处理：乙方应退还甲方支付的合同款， 同时应承担该产品的直接费用（运输、保险、检验、货款利息及银行手续费等）。</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12.3如在使用过程中发生质量问题， 乙方在接到甲方通知后在__小时内（不低于采购需求，见投标文件承诺）到达甲方现场。</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12.4在维保期内，乙方应对产品出现的质量及安全问题负责处理解决并承担一切费用。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12.5上述的产品的免费维保期为 年（不低于采购需求， 见投标文件承诺），因人为因素出现的故障不在免费保修范围内。超过保修期后，终</w:t>
      </w:r>
      <w:r>
        <w:rPr>
          <w:rFonts w:hint="eastAsia" w:asciiTheme="minorEastAsia" w:hAnsiTheme="minorEastAsia"/>
          <w:sz w:val="28"/>
          <w:szCs w:val="28"/>
          <w:highlight w:val="none"/>
          <w:lang w:eastAsia="zh-CN"/>
        </w:rPr>
        <w:t>身</w:t>
      </w:r>
      <w:r>
        <w:rPr>
          <w:rFonts w:hint="eastAsia" w:asciiTheme="minorEastAsia" w:hAnsiTheme="minorEastAsia"/>
          <w:sz w:val="28"/>
          <w:szCs w:val="28"/>
          <w:highlight w:val="none"/>
        </w:rPr>
        <w:t>维修，维修时只收部件成本费。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十三、调试和验收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13.1验收条件：所投产品全部供货到位并完成采购需求的适应性改装，产品外观、数量、功能、性能、技术参数以及集成服务等符合招标文件要求。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13.2对技术复杂的产品，甲方可请国家认可的专业检测机构参与初步验收及最终验收，并由其出具质量检测报告，验收费用由乙方承担。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十四、产品包装、发运及运输</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14.1乙方应在产品发运前对其进行满足运输距离、防潮、防震、防锈和防破损装卸等要求包装，以保证产品安全运达甲方指定地点。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14.2使用说明书、质量检验证明书、随配附件和工具以及清单一并附于产品内。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14.3乙方在产品发运手续办理完毕后 24 小时内或货到甲方 48 小时前通知甲方，以准备接货。</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14.4产品在交付甲方前发生的风险均由乙方负责。</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14.5产品在规定的交付期限内由乙方送达甲方指定的地点视为交付， 乙方同时需通知甲方产品已送达。</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十五、违约责任</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15.1乙方逾期交付产品的，乙方应按逾期交货总额每日千分之六向甲方支付违约金，由甲方从待付货款中扣除。逾期超过约定日期 10 个工作日不能交货的，甲方可解除本合同。乙方因逾期交货或因其他违约行为导致甲方解除合同的，乙方应向甲方支付合同总值5%的违约金，如造成甲方损失超过违约金的，超出部分由乙方继续承担赔偿责任。</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15.2乙方所交的产品品种、型号、规格、技术参数、质量不符合合同规定及招标文件规定标准的，甲方有权拒收该产品， 乙方愿意更换产品但逾期交货的，按乙方逾期交货处理。乙方拒绝更换产品的，甲方可单方面解除合同。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十六、不可抗力事件处理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16.1在合同有效期内，任何一方因不可抗力事件导致不能履行合同， 则合同履行期可长，其长期与不可抗力影响期相同。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16.2不可抗力事件发生后，应立即通知对方，并寄送有关权威机构出具的证明。</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16.3不可抗力事件延续 120 天以上，双方应通过友好协商，确定是否继续履行合同。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十七、诉讼</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17.1双方在执行合同中所发生的一切争议，应通过协商解决。如协商不成，可向合同签订地法院起诉，合同签订地在此约定为哈密市。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十八、组成本合同的文件包括：</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18.1合同通用条款和专用条款；</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18.2采购文件和乙方的投标文件；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18.3中标通知书；</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18.4甲乙双方商定的其他必要文件。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上述合同文件内容互为补充，如有不明确，由甲方负责解释。</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十九、合同生效及其它</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19.1合同经双方法定代表人或授权委托代表人签字并加盖单位公章， 并经采购人见证盖章后生效。</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19.2本合同未尽事宜，遵照《中华人民共和国民法典》有关条文执行。</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19.3本合同正本一式三份， 具有同等法律效力， 甲方、 乙方及财政监管部门各执一份。</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甲方：  乙方：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地址：  地址：</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法定代表人或授权代表：  法定代表人或授权代表：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联系电话：  联系电话：   </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签订日期：  年  月  日</w:t>
      </w:r>
    </w:p>
    <w:p>
      <w:pPr>
        <w:spacing w:line="360" w:lineRule="auto"/>
        <w:ind w:firstLine="560" w:firstLineChars="200"/>
        <w:rPr>
          <w:rFonts w:asciiTheme="minorEastAsia" w:hAnsiTheme="minorEastAsia"/>
          <w:sz w:val="28"/>
          <w:szCs w:val="28"/>
          <w:highlight w:val="none"/>
        </w:rPr>
      </w:pPr>
    </w:p>
    <w:p>
      <w:pPr>
        <w:spacing w:line="360" w:lineRule="auto"/>
        <w:ind w:firstLine="560" w:firstLineChars="200"/>
        <w:rPr>
          <w:rFonts w:asciiTheme="minorEastAsia" w:hAnsiTheme="minorEastAsia"/>
          <w:sz w:val="28"/>
          <w:szCs w:val="28"/>
          <w:highlight w:val="none"/>
        </w:rPr>
      </w:pPr>
    </w:p>
    <w:p>
      <w:pPr>
        <w:spacing w:line="360" w:lineRule="auto"/>
        <w:ind w:firstLine="560" w:firstLineChars="200"/>
        <w:rPr>
          <w:rFonts w:asciiTheme="minorEastAsia" w:hAnsiTheme="minorEastAsia"/>
          <w:sz w:val="28"/>
          <w:szCs w:val="28"/>
          <w:highlight w:val="none"/>
        </w:rPr>
      </w:pPr>
    </w:p>
    <w:p>
      <w:pPr>
        <w:spacing w:line="360" w:lineRule="auto"/>
        <w:ind w:firstLine="560" w:firstLineChars="200"/>
        <w:rPr>
          <w:rFonts w:asciiTheme="minorEastAsia" w:hAnsiTheme="minorEastAsia"/>
          <w:sz w:val="28"/>
          <w:szCs w:val="28"/>
          <w:highlight w:val="none"/>
        </w:rPr>
      </w:pPr>
    </w:p>
    <w:p>
      <w:pPr>
        <w:spacing w:line="360" w:lineRule="auto"/>
        <w:ind w:firstLine="643" w:firstLineChars="200"/>
        <w:jc w:val="center"/>
        <w:rPr>
          <w:rFonts w:asciiTheme="minorEastAsia" w:hAnsiTheme="minorEastAsia"/>
          <w:b/>
          <w:sz w:val="32"/>
          <w:szCs w:val="28"/>
          <w:highlight w:val="none"/>
        </w:rPr>
      </w:pPr>
    </w:p>
    <w:p>
      <w:pPr>
        <w:pStyle w:val="9"/>
        <w:rPr>
          <w:rFonts w:asciiTheme="minorEastAsia" w:hAnsiTheme="minorEastAsia"/>
          <w:sz w:val="32"/>
          <w:szCs w:val="28"/>
          <w:highlight w:val="none"/>
        </w:rPr>
      </w:pPr>
    </w:p>
    <w:p>
      <w:pPr>
        <w:spacing w:line="360" w:lineRule="auto"/>
        <w:ind w:firstLine="643" w:firstLineChars="200"/>
        <w:jc w:val="center"/>
        <w:rPr>
          <w:rFonts w:asciiTheme="minorEastAsia" w:hAnsiTheme="minorEastAsia"/>
          <w:b/>
          <w:sz w:val="32"/>
          <w:szCs w:val="28"/>
          <w:highlight w:val="none"/>
        </w:rPr>
      </w:pPr>
      <w:r>
        <w:rPr>
          <w:rFonts w:hint="eastAsia" w:asciiTheme="minorEastAsia" w:hAnsiTheme="minorEastAsia"/>
          <w:b/>
          <w:sz w:val="32"/>
          <w:szCs w:val="28"/>
          <w:highlight w:val="none"/>
        </w:rPr>
        <w:t>第四章  项目需求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一、说明</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1.1、投标人所报货物及服务等同或不得低于招标文件要求的技术性能及要求并在投标文件中做实质性响应；</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1.2、投标人应保证所供货物是全新的、未使用过的原装正品，是经过合法渠道进货的原装合格正品，并完全符合合同规定的质量、规格和性能的要求能在哈密及采购人使用地正常落户。 任何对招标文件的忽略或误解不能作为投标文件存在缺陷或瑕疵的理由，其风险由投标人承担。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1.3、本目（包段）设有最高限价，所有投标单位报价均不得高于最高限价，否则做无效标处理。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1.4、中标人应提供售后服务承诺书并按采购人要求配合完成配套验收工作。</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1.5、其他</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（1）卖方应保证其货物在正确安装、正常使用和保养条件下，在其使用寿命期内应具有满意的性能。</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（2）卖方应保证货物整体能正常运行，达到买方要求。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（3）项目最终验收后，在质量保证期内，卖方应对由于设计、工艺或材料的缺陷而发生的任何不足或故障负责，费用由卖方负担。</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（4）卖方所提供货物的技术规格应与采购文件规定的技术规范相一致； 若技术规格无相应说明，则以国家有关部门最新颁布的标准及规范为准。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（5）中标人按招标文件要求完成供货、适应性改装、调试工作，完成项目验收工作。</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（6）中标后售后服务响应时间：4小时内响应，48小时内实施维修；要有售后维修人员，提供姓名、联系电话，24小时电话服务支持。</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（7）产品质量保证（自行填写）</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（8）售后服务内容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供应商或投标产品制造厂家在质量保证期内应当为采购人提供以下技术支持服务：</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A质量保证期内服务要求</w:t>
      </w:r>
    </w:p>
    <w:p>
      <w:pPr>
        <w:pStyle w:val="27"/>
        <w:spacing w:line="360" w:lineRule="auto"/>
        <w:ind w:left="630" w:firstLine="0" w:firstLineChars="0"/>
        <w:rPr>
          <w:rFonts w:asciiTheme="minorEastAsia" w:hAnsiTheme="minorEastAsia"/>
          <w:sz w:val="28"/>
          <w:szCs w:val="28"/>
          <w:highlight w:val="none"/>
        </w:rPr>
      </w:pPr>
      <w:r>
        <w:rPr>
          <w:rFonts w:hint="eastAsia" w:asciiTheme="minorEastAsia" w:hAnsiTheme="minorEastAsia"/>
          <w:sz w:val="28"/>
          <w:szCs w:val="28"/>
          <w:highlight w:val="none"/>
        </w:rPr>
        <w:t>1）电话咨询</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供应商当为用户提供技术援助电话，解答用户在使用中遇到的问题，及时为用户提出解决问题的建议。</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2）现场响应</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用户遇到使用及技术问题，电话咨询不能解决的，供应商在8小时内采取相应措施，提供上门服务，确保产品正常工作；无法在48小时内解决的，应在48小时内提供备品，使用户能够正常使用。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B维保期外务要求</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1）质量保证期过后，供应商同样提供免费电话咨询服务，并应承诺提供产品上门维护服务。</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2）质量保证期过后，采购人需要继续由原供应商提供售后服务的，该供应商和厂家应以优惠价格提供售后服务。</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（9）维修配件：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供应商售后服务中，使用的维修零配件应为原厂配件，未经用户同意不得使用非原厂配件。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（10）中标后在哈密区域有固定售后服务网点，并提供售后服务网点相关资料。</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（11）免费培训：</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供应商对其提供的产品应尽培训义务。供应商应提供对采购人免费培训，使采购人使用人员能够正常使用及基本维护。</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二、商务条款</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1.维保期</w:t>
      </w:r>
    </w:p>
    <w:p>
      <w:pPr>
        <w:spacing w:line="360" w:lineRule="auto"/>
        <w:ind w:firstLine="560" w:firstLineChars="200"/>
        <w:rPr>
          <w:rFonts w:asciiTheme="minorEastAsia" w:hAnsiTheme="minorEastAsia"/>
          <w:kern w:val="0"/>
          <w:sz w:val="28"/>
          <w:szCs w:val="28"/>
          <w:highlight w:val="none"/>
        </w:rPr>
      </w:pPr>
      <w:r>
        <w:rPr>
          <w:rFonts w:hint="eastAsia" w:asciiTheme="minorEastAsia" w:hAnsiTheme="minorEastAsia"/>
          <w:kern w:val="0"/>
          <w:sz w:val="28"/>
          <w:szCs w:val="28"/>
          <w:highlight w:val="none"/>
        </w:rPr>
        <w:t>投标人自报维保期。（自通过甲方验收合格之日起计）（见投标文件承诺）。</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2．交付期、交付方式及交付地点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2.1交付期：详见前附表。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2.2交付方式：现场交付</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2.3交付地点：甲方指定地点</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3．付款条件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4.备品及耗材要求：按照甲方要求在规定时间内解决问题。</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5.验收</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5.1货物到达现场后，供应商应在使用单位人员在场情况下当面共同清点、检查外观，双方签字确认。</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5.2供应商应保证货物到达用户所在地完好无损，如有缺漏、损坏，由供应商负责调换、补齐或赔偿。</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5.3供应商应提供完备的技术资料、合格证等，并派遣专业技术人员进行现场安装调试。验收合格条件如下：</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（1）货物技术参数与采购合同一致，性能指标达到规定的标准。</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（2）货物技术资料、装箱单、合格证、说明书等资料齐全。</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（3）在维保期内所出现的问题得到解决，并保证运行正常。</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（4）在规定时间内完成交货并验收，并经采购人确认。</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5.4供应商提供的货物未达到招标文件规定要求，且对采购人造成损失的， 由供应商承担一切责任，并赔偿所造成的损失。</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5.5采购人需要投标产品制造厂家对中标供应商交付的产品（包括质量、技术参数等）进行确认的，投标人及投标产品制造厂家应予以配合，并出具书面意见。</w:t>
      </w:r>
    </w:p>
    <w:p>
      <w:pPr>
        <w:spacing w:line="360" w:lineRule="auto"/>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5.6产品包装材料归采购人所有。</w:t>
      </w:r>
    </w:p>
    <w:p>
      <w:pPr>
        <w:pStyle w:val="7"/>
        <w:spacing w:line="360" w:lineRule="auto"/>
        <w:rPr>
          <w:rFonts w:asciiTheme="minorEastAsia" w:hAnsiTheme="minorEastAsia"/>
          <w:sz w:val="28"/>
          <w:szCs w:val="28"/>
          <w:highlight w:val="none"/>
        </w:rPr>
      </w:pPr>
    </w:p>
    <w:p>
      <w:pPr>
        <w:rPr>
          <w:highlight w:val="none"/>
        </w:rPr>
      </w:pPr>
      <w:r>
        <w:rPr>
          <w:highlight w:val="none"/>
        </w:rPr>
        <w:br w:type="page"/>
      </w:r>
    </w:p>
    <w:p>
      <w:pPr>
        <w:spacing w:line="360" w:lineRule="auto"/>
        <w:ind w:firstLine="560" w:firstLineChars="200"/>
        <w:jc w:val="center"/>
        <w:rPr>
          <w:rFonts w:asciiTheme="minorEastAsia" w:hAnsiTheme="minorEastAsia"/>
          <w:sz w:val="28"/>
          <w:szCs w:val="28"/>
          <w:highlight w:val="none"/>
        </w:rPr>
      </w:pPr>
      <w:r>
        <w:rPr>
          <w:rFonts w:hint="eastAsia" w:asciiTheme="minorEastAsia" w:hAnsiTheme="minorEastAsia"/>
          <w:sz w:val="28"/>
          <w:szCs w:val="28"/>
          <w:highlight w:val="none"/>
        </w:rPr>
        <w:t>三、采购需求及技术指标参数</w:t>
      </w:r>
    </w:p>
    <w:p>
      <w:pPr>
        <w:spacing w:line="360" w:lineRule="auto"/>
        <w:rPr>
          <w:sz w:val="28"/>
          <w:szCs w:val="24"/>
          <w:highlight w:val="none"/>
        </w:rPr>
      </w:pPr>
    </w:p>
    <w:p>
      <w:pPr>
        <w:spacing w:line="240" w:lineRule="auto"/>
        <w:ind w:left="0" w:right="0" w:firstLine="0"/>
        <w:jc w:val="center"/>
        <w:outlineLvl w:val="0"/>
        <w:rPr>
          <w:rFonts w:hint="eastAsia" w:ascii="仿宋" w:hAnsi="仿宋" w:eastAsia="仿宋" w:cs="仿宋"/>
          <w:b/>
          <w:color w:val="auto"/>
          <w:spacing w:val="0"/>
          <w:position w:val="0"/>
          <w:sz w:val="30"/>
          <w:szCs w:val="30"/>
          <w:highlight w:val="none"/>
          <w:shd w:val="clear" w:fill="auto"/>
          <w:lang w:val="en-US" w:eastAsia="zh-CN"/>
        </w:rPr>
      </w:pPr>
      <w:bookmarkStart w:id="7" w:name="_Toc16302"/>
      <w:bookmarkStart w:id="8" w:name="_Toc24435"/>
      <w:r>
        <w:rPr>
          <w:rFonts w:hint="eastAsia" w:ascii="仿宋" w:hAnsi="仿宋" w:eastAsia="仿宋" w:cs="仿宋"/>
          <w:b/>
          <w:color w:val="auto"/>
          <w:spacing w:val="0"/>
          <w:position w:val="0"/>
          <w:sz w:val="30"/>
          <w:szCs w:val="30"/>
          <w:highlight w:val="none"/>
          <w:shd w:val="clear" w:fill="auto"/>
        </w:rPr>
        <w:t>多功能除雪车</w:t>
      </w:r>
      <w:r>
        <w:rPr>
          <w:rFonts w:hint="eastAsia" w:ascii="仿宋" w:hAnsi="仿宋" w:eastAsia="仿宋" w:cs="仿宋"/>
          <w:b/>
          <w:color w:val="auto"/>
          <w:spacing w:val="0"/>
          <w:position w:val="0"/>
          <w:sz w:val="30"/>
          <w:szCs w:val="30"/>
          <w:highlight w:val="none"/>
          <w:shd w:val="clear" w:fill="auto"/>
          <w:lang w:val="en-US" w:eastAsia="zh-CN"/>
        </w:rPr>
        <w:t>技术</w:t>
      </w:r>
      <w:r>
        <w:rPr>
          <w:rFonts w:hint="eastAsia" w:ascii="仿宋" w:hAnsi="仿宋" w:eastAsia="仿宋" w:cs="仿宋"/>
          <w:b/>
          <w:color w:val="auto"/>
          <w:spacing w:val="0"/>
          <w:position w:val="0"/>
          <w:sz w:val="30"/>
          <w:szCs w:val="30"/>
          <w:highlight w:val="none"/>
          <w:shd w:val="clear" w:fill="auto"/>
        </w:rPr>
        <w:t>参数</w:t>
      </w:r>
      <w:r>
        <w:rPr>
          <w:rFonts w:hint="eastAsia" w:ascii="仿宋" w:hAnsi="仿宋" w:eastAsia="仿宋" w:cs="仿宋"/>
          <w:b/>
          <w:color w:val="auto"/>
          <w:spacing w:val="0"/>
          <w:position w:val="0"/>
          <w:sz w:val="30"/>
          <w:szCs w:val="30"/>
          <w:highlight w:val="none"/>
          <w:shd w:val="clear" w:fill="auto"/>
          <w:lang w:val="en-US" w:eastAsia="zh-CN"/>
        </w:rPr>
        <w:t>要求</w:t>
      </w:r>
    </w:p>
    <w:p>
      <w:pPr>
        <w:spacing w:before="0" w:after="0" w:line="360" w:lineRule="auto"/>
        <w:ind w:left="0" w:right="0" w:firstLine="0"/>
        <w:jc w:val="both"/>
        <w:rPr>
          <w:rFonts w:hint="eastAsia" w:ascii="仿宋" w:hAnsi="仿宋" w:eastAsia="仿宋" w:cs="仿宋"/>
          <w:b/>
          <w:color w:val="auto"/>
          <w:spacing w:val="0"/>
          <w:position w:val="0"/>
          <w:sz w:val="24"/>
          <w:szCs w:val="24"/>
          <w:highlight w:val="none"/>
          <w:shd w:val="clear" w:fill="auto"/>
        </w:rPr>
      </w:pPr>
      <w:r>
        <w:rPr>
          <w:rFonts w:hint="eastAsia" w:ascii="仿宋" w:hAnsi="仿宋" w:eastAsia="仿宋" w:cs="仿宋"/>
          <w:b/>
          <w:color w:val="auto"/>
          <w:spacing w:val="0"/>
          <w:position w:val="0"/>
          <w:sz w:val="24"/>
          <w:szCs w:val="24"/>
          <w:highlight w:val="none"/>
          <w:shd w:val="clear" w:fill="auto"/>
        </w:rPr>
        <w:t>1、主要功能及要求</w:t>
      </w:r>
    </w:p>
    <w:p>
      <w:pPr>
        <w:spacing w:before="0" w:after="0" w:line="360" w:lineRule="auto"/>
        <w:ind w:left="0" w:right="0" w:firstLine="0"/>
        <w:jc w:val="left"/>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1.1该车自卸式多功能除雪车,配置国内外知名品牌撒布机，能同时进行铲雪、融雪剂撒布。操作者在驾驶室内完成撒布机、除雪滚刷的操作,工作装置与主机的连接和装配方便快捷。车辆具有滚刷安装接口，可加装滚刷。所投产品须为国家工业和信息化部《车辆生产企业及产品公告》中的产品。</w:t>
      </w:r>
    </w:p>
    <w:p>
      <w:pPr>
        <w:spacing w:before="0" w:after="0" w:line="360" w:lineRule="auto"/>
        <w:ind w:left="0" w:right="0" w:firstLine="0"/>
        <w:jc w:val="both"/>
        <w:rPr>
          <w:rFonts w:hint="eastAsia" w:ascii="仿宋" w:hAnsi="仿宋" w:eastAsia="仿宋" w:cs="仿宋"/>
          <w:b/>
          <w:color w:val="auto"/>
          <w:spacing w:val="0"/>
          <w:position w:val="0"/>
          <w:sz w:val="24"/>
          <w:szCs w:val="24"/>
          <w:highlight w:val="none"/>
          <w:shd w:val="clear" w:fill="auto"/>
        </w:rPr>
      </w:pPr>
      <w:r>
        <w:rPr>
          <w:rFonts w:hint="eastAsia" w:ascii="仿宋" w:hAnsi="仿宋" w:eastAsia="仿宋" w:cs="仿宋"/>
          <w:b/>
          <w:color w:val="auto"/>
          <w:spacing w:val="0"/>
          <w:position w:val="0"/>
          <w:sz w:val="24"/>
          <w:szCs w:val="24"/>
          <w:highlight w:val="none"/>
          <w:shd w:val="clear" w:fill="auto"/>
        </w:rPr>
        <w:t>2、整车及底盘技术要求</w:t>
      </w:r>
    </w:p>
    <w:p>
      <w:pPr>
        <w:spacing w:before="0" w:after="0" w:line="360" w:lineRule="auto"/>
        <w:ind w:left="0" w:right="0" w:firstLine="0"/>
        <w:jc w:val="both"/>
        <w:rPr>
          <w:rFonts w:hint="eastAsia" w:ascii="仿宋" w:hAnsi="仿宋" w:eastAsia="仿宋" w:cs="仿宋"/>
          <w:color w:val="000000"/>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 xml:space="preserve">2.1 </w:t>
      </w:r>
      <w:r>
        <w:rPr>
          <w:rFonts w:hint="eastAsia" w:ascii="仿宋" w:hAnsi="仿宋" w:eastAsia="仿宋" w:cs="仿宋"/>
          <w:color w:val="000000"/>
          <w:spacing w:val="0"/>
          <w:position w:val="0"/>
          <w:sz w:val="24"/>
          <w:szCs w:val="24"/>
          <w:highlight w:val="none"/>
          <w:shd w:val="clear" w:fill="auto"/>
        </w:rPr>
        <w:t>总质量:≥25000kg；整备质量：≥18500kg。（以整车公告页面信息为准）</w:t>
      </w:r>
    </w:p>
    <w:p>
      <w:pPr>
        <w:spacing w:before="0" w:after="0" w:line="360" w:lineRule="auto"/>
        <w:ind w:left="0" w:right="0" w:firstLine="0"/>
        <w:jc w:val="both"/>
        <w:rPr>
          <w:rFonts w:hint="eastAsia" w:ascii="仿宋" w:hAnsi="仿宋" w:eastAsia="仿宋" w:cs="仿宋"/>
          <w:color w:val="000000"/>
          <w:spacing w:val="0"/>
          <w:position w:val="0"/>
          <w:sz w:val="24"/>
          <w:szCs w:val="24"/>
          <w:highlight w:val="none"/>
          <w:shd w:val="clear" w:fill="auto"/>
        </w:rPr>
      </w:pPr>
      <w:r>
        <w:rPr>
          <w:rFonts w:hint="eastAsia" w:ascii="仿宋" w:hAnsi="仿宋" w:eastAsia="仿宋" w:cs="仿宋"/>
          <w:color w:val="000000"/>
          <w:spacing w:val="0"/>
          <w:position w:val="0"/>
          <w:sz w:val="24"/>
          <w:szCs w:val="24"/>
          <w:highlight w:val="none"/>
          <w:shd w:val="clear" w:fill="auto"/>
        </w:rPr>
        <w:t>2.2 驱动型式：6×4</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2.3 整车外形尺寸（含连接件）：≥10100×2500×3750mm（</w:t>
      </w:r>
      <w:r>
        <w:rPr>
          <w:rFonts w:hint="eastAsia" w:ascii="仿宋" w:hAnsi="仿宋" w:eastAsia="仿宋" w:cs="仿宋"/>
          <w:color w:val="000000"/>
          <w:spacing w:val="0"/>
          <w:position w:val="0"/>
          <w:sz w:val="24"/>
          <w:szCs w:val="24"/>
          <w:highlight w:val="none"/>
          <w:shd w:val="clear" w:fill="auto"/>
        </w:rPr>
        <w:t>以整车公告页面信息为准</w:t>
      </w:r>
      <w:r>
        <w:rPr>
          <w:rFonts w:hint="eastAsia" w:ascii="仿宋" w:hAnsi="仿宋" w:eastAsia="仿宋" w:cs="仿宋"/>
          <w:color w:val="auto"/>
          <w:spacing w:val="0"/>
          <w:position w:val="0"/>
          <w:sz w:val="24"/>
          <w:szCs w:val="24"/>
          <w:highlight w:val="none"/>
          <w:shd w:val="clear" w:fill="auto"/>
        </w:rPr>
        <w:t>）</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2.4 货箱内部尺寸（长×宽×高）：≥5800×2300×1500（mm）</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2.5 轴距：≤4300+1350mm（</w:t>
      </w:r>
      <w:r>
        <w:rPr>
          <w:rFonts w:hint="eastAsia" w:ascii="仿宋" w:hAnsi="仿宋" w:eastAsia="仿宋" w:cs="仿宋"/>
          <w:color w:val="000000"/>
          <w:spacing w:val="0"/>
          <w:position w:val="0"/>
          <w:sz w:val="24"/>
          <w:szCs w:val="24"/>
          <w:highlight w:val="none"/>
          <w:shd w:val="clear" w:fill="auto"/>
        </w:rPr>
        <w:t>以整车公告页面信息为准</w:t>
      </w:r>
      <w:r>
        <w:rPr>
          <w:rFonts w:hint="eastAsia" w:ascii="仿宋" w:hAnsi="仿宋" w:eastAsia="仿宋" w:cs="仿宋"/>
          <w:color w:val="auto"/>
          <w:spacing w:val="0"/>
          <w:position w:val="0"/>
          <w:sz w:val="24"/>
          <w:szCs w:val="24"/>
          <w:highlight w:val="none"/>
          <w:shd w:val="clear" w:fill="auto"/>
        </w:rPr>
        <w:t>）</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2.6 发动机功率：≥290kw</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2.7 排放标准国Ⅵ</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2.8 底盘带低温冷启动功能</w:t>
      </w:r>
    </w:p>
    <w:p>
      <w:pPr>
        <w:spacing w:before="0" w:after="0" w:line="360" w:lineRule="auto"/>
        <w:ind w:left="0" w:right="0" w:firstLine="0"/>
        <w:jc w:val="both"/>
        <w:rPr>
          <w:rFonts w:hint="eastAsia" w:ascii="仿宋" w:hAnsi="仿宋" w:eastAsia="仿宋" w:cs="仿宋"/>
          <w:b/>
          <w:color w:val="auto"/>
          <w:spacing w:val="0"/>
          <w:position w:val="0"/>
          <w:sz w:val="24"/>
          <w:szCs w:val="24"/>
          <w:highlight w:val="none"/>
          <w:shd w:val="clear" w:fill="auto"/>
        </w:rPr>
      </w:pPr>
      <w:r>
        <w:rPr>
          <w:rFonts w:hint="eastAsia" w:ascii="仿宋" w:hAnsi="仿宋" w:eastAsia="仿宋" w:cs="仿宋"/>
          <w:b/>
          <w:color w:val="auto"/>
          <w:spacing w:val="0"/>
          <w:position w:val="0"/>
          <w:sz w:val="24"/>
          <w:szCs w:val="24"/>
          <w:highlight w:val="none"/>
          <w:shd w:val="clear" w:fill="auto"/>
        </w:rPr>
        <w:t>3、除雪滚刷性能指标</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滚刷具备举升、左右偏摆30°及刷毛接地压痕调节功能。</w:t>
      </w:r>
    </w:p>
    <w:p>
      <w:pPr>
        <w:spacing w:before="0" w:after="0" w:line="360" w:lineRule="auto"/>
        <w:ind w:left="0" w:right="0" w:firstLine="0"/>
        <w:jc w:val="both"/>
        <w:rPr>
          <w:rFonts w:hint="eastAsia" w:ascii="仿宋" w:hAnsi="仿宋" w:eastAsia="仿宋" w:cs="仿宋"/>
          <w:b/>
          <w:color w:val="auto"/>
          <w:spacing w:val="0"/>
          <w:position w:val="0"/>
          <w:sz w:val="24"/>
          <w:szCs w:val="24"/>
          <w:highlight w:val="none"/>
          <w:shd w:val="clear" w:fill="auto"/>
        </w:rPr>
      </w:pPr>
      <w:r>
        <w:rPr>
          <w:rFonts w:hint="eastAsia" w:ascii="仿宋" w:hAnsi="仿宋" w:eastAsia="仿宋" w:cs="仿宋"/>
          <w:b/>
          <w:color w:val="auto"/>
          <w:spacing w:val="0"/>
          <w:position w:val="0"/>
          <w:sz w:val="24"/>
          <w:szCs w:val="24"/>
          <w:highlight w:val="none"/>
          <w:shd w:val="clear" w:fill="auto"/>
        </w:rPr>
        <w:t>4、撒布机性能指标</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4.1 撒布宽度：2～12m；撒布密度：5～80g/㎡；</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4.2 撒布机具有单侧撒布和对称撒布功能，撒布宽度、撒布密度、撒布方向可在驾驶室内调节，撒布宽度、撒布密度10档可调；</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4.3 仓门开度可在驾驶室内自动调节；</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4.4 撒布装置离地高度4档可调；</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4.5 撒布机具有助力翻转装置，单人可进行翻转；</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4.6 撒布机的输送方式为钢制履带式，其传送履带总宽度：550mm，有效宽度：450mm。</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4.7 撒布宽度可在2m-12m之间任意可调；</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4.8 撒布机具有倒V装置、上网罩及防雨罩以防止物料后溢及大块物料进入料仓；</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4.9 撒布机具有清仓功能；</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4.10 料仓表面具有防腐涂层；</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4.11 撒布机尾部装有交通信号警示灯。</w:t>
      </w:r>
    </w:p>
    <w:p>
      <w:pPr>
        <w:spacing w:before="0" w:after="0" w:line="360" w:lineRule="auto"/>
        <w:ind w:left="0" w:right="0" w:firstLine="0"/>
        <w:jc w:val="both"/>
        <w:rPr>
          <w:rFonts w:hint="eastAsia" w:ascii="仿宋" w:hAnsi="仿宋" w:eastAsia="仿宋" w:cs="仿宋"/>
          <w:b/>
          <w:color w:val="auto"/>
          <w:spacing w:val="0"/>
          <w:position w:val="0"/>
          <w:sz w:val="24"/>
          <w:szCs w:val="24"/>
          <w:highlight w:val="none"/>
          <w:shd w:val="clear" w:fill="auto"/>
        </w:rPr>
      </w:pPr>
      <w:r>
        <w:rPr>
          <w:rFonts w:hint="eastAsia" w:ascii="仿宋" w:hAnsi="仿宋" w:eastAsia="仿宋" w:cs="仿宋"/>
          <w:b/>
          <w:color w:val="auto"/>
          <w:spacing w:val="0"/>
          <w:position w:val="0"/>
          <w:sz w:val="24"/>
          <w:szCs w:val="24"/>
          <w:highlight w:val="none"/>
          <w:shd w:val="clear" w:fill="auto"/>
        </w:rPr>
        <w:t>5、其它要求</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5.1 液压系统工作压力：≥16MPa；</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5.2 液压系统流量≥120L/min；</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5.3 液压系统安装有散热装置，保证油路正常、运行可靠，散热器由温控元件自动调节，可保证连续长时间作业。</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5.4 具有油温高、油位底报警功能；</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5.5 具有强制散热功能；</w:t>
      </w: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5.6 具有压力高报警功能。</w:t>
      </w:r>
    </w:p>
    <w:p>
      <w:pPr>
        <w:spacing w:before="0" w:after="0" w:line="360" w:lineRule="auto"/>
        <w:ind w:left="0" w:right="0" w:firstLine="0"/>
        <w:jc w:val="center"/>
        <w:rPr>
          <w:rFonts w:hint="eastAsia" w:ascii="仿宋" w:hAnsi="仿宋" w:eastAsia="仿宋" w:cs="仿宋"/>
          <w:b/>
          <w:color w:val="auto"/>
          <w:spacing w:val="0"/>
          <w:position w:val="0"/>
          <w:sz w:val="24"/>
          <w:szCs w:val="24"/>
          <w:highlight w:val="none"/>
          <w:shd w:val="clear" w:fill="auto"/>
        </w:rPr>
        <w:sectPr>
          <w:footerReference r:id="rId3" w:type="default"/>
          <w:pgSz w:w="11906" w:h="16838"/>
          <w:pgNumType w:fmt="decimal"/>
          <w:cols w:space="720" w:num="1"/>
          <w:docGrid w:type="lines" w:linePitch="312" w:charSpace="0"/>
        </w:sectPr>
      </w:pPr>
    </w:p>
    <w:p>
      <w:pPr>
        <w:spacing w:line="240" w:lineRule="auto"/>
        <w:ind w:left="0" w:right="0" w:firstLine="0"/>
        <w:jc w:val="center"/>
        <w:outlineLvl w:val="0"/>
        <w:rPr>
          <w:rFonts w:hint="eastAsia" w:ascii="仿宋" w:hAnsi="仿宋" w:eastAsia="仿宋" w:cs="仿宋"/>
          <w:b/>
          <w:color w:val="auto"/>
          <w:spacing w:val="0"/>
          <w:position w:val="0"/>
          <w:sz w:val="30"/>
          <w:szCs w:val="30"/>
          <w:highlight w:val="none"/>
          <w:shd w:val="clear" w:fill="auto"/>
          <w:lang w:val="en-US" w:eastAsia="zh-CN"/>
        </w:rPr>
      </w:pPr>
      <w:r>
        <w:rPr>
          <w:rFonts w:hint="eastAsia" w:ascii="仿宋" w:hAnsi="仿宋" w:eastAsia="仿宋" w:cs="仿宋"/>
          <w:b/>
          <w:color w:val="auto"/>
          <w:spacing w:val="0"/>
          <w:position w:val="0"/>
          <w:sz w:val="30"/>
          <w:szCs w:val="30"/>
          <w:highlight w:val="none"/>
          <w:shd w:val="clear" w:fill="auto"/>
          <w:lang w:val="en-US" w:eastAsia="zh-CN"/>
        </w:rPr>
        <w:t>8吨扫路车技术参数要求</w:t>
      </w:r>
    </w:p>
    <w:p>
      <w:pPr>
        <w:spacing w:before="0" w:after="0" w:line="240" w:lineRule="auto"/>
        <w:ind w:left="0" w:right="0" w:firstLine="0"/>
        <w:jc w:val="both"/>
        <w:rPr>
          <w:rFonts w:hint="eastAsia" w:ascii="仿宋" w:hAnsi="仿宋" w:eastAsia="仿宋" w:cs="仿宋"/>
          <w:color w:val="auto"/>
          <w:spacing w:val="0"/>
          <w:position w:val="0"/>
          <w:sz w:val="24"/>
          <w:szCs w:val="24"/>
          <w:highlight w:val="none"/>
          <w:shd w:val="clear" w:fill="auto"/>
          <w:lang w:val="en-US" w:eastAsia="zh-CN"/>
        </w:rPr>
      </w:pPr>
      <w:r>
        <w:rPr>
          <w:rFonts w:hint="eastAsia" w:ascii="仿宋" w:hAnsi="仿宋" w:eastAsia="仿宋" w:cs="仿宋"/>
          <w:color w:val="auto"/>
          <w:spacing w:val="0"/>
          <w:position w:val="0"/>
          <w:sz w:val="24"/>
          <w:szCs w:val="24"/>
          <w:highlight w:val="none"/>
          <w:shd w:val="clear" w:fill="auto"/>
          <w:lang w:val="en-US" w:eastAsia="zh-CN"/>
        </w:rPr>
        <w:t>一、技术要求</w:t>
      </w:r>
    </w:p>
    <w:p>
      <w:pPr>
        <w:numPr>
          <w:ilvl w:val="0"/>
          <w:numId w:val="0"/>
        </w:numPr>
        <w:bidi w:val="0"/>
        <w:rPr>
          <w:rFonts w:hint="eastAsia" w:ascii="仿宋" w:hAnsi="仿宋" w:eastAsia="仿宋" w:cs="仿宋"/>
          <w:sz w:val="24"/>
          <w:szCs w:val="24"/>
          <w:highlight w:val="none"/>
          <w:lang w:val="en-US" w:eastAsia="zh-CN"/>
        </w:rPr>
      </w:pPr>
    </w:p>
    <w:tbl>
      <w:tblPr>
        <w:tblStyle w:val="15"/>
        <w:tblW w:w="8522" w:type="dxa"/>
        <w:jc w:val="center"/>
        <w:tblLayout w:type="fixed"/>
        <w:tblCellMar>
          <w:top w:w="0" w:type="dxa"/>
          <w:left w:w="10" w:type="dxa"/>
          <w:bottom w:w="0" w:type="dxa"/>
          <w:right w:w="10" w:type="dxa"/>
        </w:tblCellMar>
      </w:tblPr>
      <w:tblGrid>
        <w:gridCol w:w="1132"/>
        <w:gridCol w:w="3921"/>
        <w:gridCol w:w="3469"/>
      </w:tblGrid>
      <w:tr>
        <w:tblPrEx>
          <w:tblCellMar>
            <w:top w:w="0" w:type="dxa"/>
            <w:left w:w="10" w:type="dxa"/>
            <w:bottom w:w="0" w:type="dxa"/>
            <w:right w:w="10" w:type="dxa"/>
          </w:tblCellMar>
        </w:tblPrEx>
        <w:trPr>
          <w:trHeight w:val="0" w:hRule="atLeast"/>
          <w:jc w:val="center"/>
        </w:trPr>
        <w:tc>
          <w:tcPr>
            <w:tcW w:w="113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序号</w:t>
            </w:r>
          </w:p>
        </w:tc>
        <w:tc>
          <w:tcPr>
            <w:tcW w:w="3921"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项目</w:t>
            </w:r>
          </w:p>
        </w:tc>
        <w:tc>
          <w:tcPr>
            <w:tcW w:w="3469" w:type="dxa"/>
            <w:tcBorders>
              <w:top w:val="single" w:color="000000" w:sz="8"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参数规格</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车辆类型</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扫路车</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2</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驾驶室配置</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配备冷暖空调</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3</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发动机排放标准</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国六排放</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4</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外形尺寸（长）（mm）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≤8450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5</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外形尺寸（宽）（mm）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≤2500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6</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外形尺寸（高）（mm）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≤3150</w:t>
            </w:r>
          </w:p>
        </w:tc>
      </w:tr>
      <w:tr>
        <w:tblPrEx>
          <w:tblCellMar>
            <w:top w:w="0" w:type="dxa"/>
            <w:left w:w="10" w:type="dxa"/>
            <w:bottom w:w="0" w:type="dxa"/>
            <w:right w:w="10" w:type="dxa"/>
          </w:tblCellMar>
        </w:tblPrEx>
        <w:trPr>
          <w:trHeight w:val="0" w:hRule="atLeast"/>
          <w:jc w:val="center"/>
        </w:trPr>
        <w:tc>
          <w:tcPr>
            <w:tcW w:w="113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7</w:t>
            </w:r>
          </w:p>
        </w:tc>
        <w:tc>
          <w:tcPr>
            <w:tcW w:w="3921"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整备质量（kg）</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≤11600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8</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最大总质量（kg）</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≥18000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9</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载定质量（kg）</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≤6550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10</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轴距（mm）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≥3800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11</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发动机功率（kW）</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≥166</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12</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垃圾箱容积（m3）</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≥11</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13</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最大清扫能力（m2/h）</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≥68000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14</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卸料角（°）</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≥45</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15</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清扫宽度（m）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≥3.4</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16</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副发</w:t>
            </w:r>
            <w:r>
              <w:rPr>
                <w:rFonts w:hint="eastAsia" w:ascii="仿宋" w:hAnsi="仿宋" w:eastAsia="仿宋" w:cs="仿宋"/>
                <w:color w:val="auto"/>
                <w:spacing w:val="0"/>
                <w:position w:val="0"/>
                <w:sz w:val="24"/>
                <w:szCs w:val="24"/>
                <w:highlight w:val="none"/>
                <w:shd w:val="clear" w:fill="auto"/>
              </w:rPr>
              <w:t>发动机功率（kW）（mm）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≥119</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17</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使用工况</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环城道路、城市主干道</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000000"/>
                <w:spacing w:val="0"/>
                <w:position w:val="0"/>
                <w:sz w:val="24"/>
                <w:szCs w:val="24"/>
                <w:highlight w:val="none"/>
                <w:shd w:val="clear" w:fill="auto"/>
                <w:lang w:val="en-US" w:eastAsia="zh-CN"/>
              </w:rPr>
            </w:pPr>
            <w:r>
              <w:rPr>
                <w:rFonts w:hint="eastAsia" w:ascii="仿宋" w:hAnsi="仿宋" w:eastAsia="仿宋" w:cs="仿宋"/>
                <w:color w:val="000000"/>
                <w:spacing w:val="0"/>
                <w:position w:val="0"/>
                <w:sz w:val="24"/>
                <w:szCs w:val="24"/>
                <w:highlight w:val="none"/>
                <w:shd w:val="clear" w:fill="auto"/>
                <w:lang w:val="en-US" w:eastAsia="zh-CN"/>
              </w:rPr>
              <w:t>18</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sz w:val="24"/>
                <w:szCs w:val="24"/>
                <w:highlight w:val="none"/>
              </w:rPr>
              <w:t>工作装置布置方式</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sz w:val="24"/>
                <w:szCs w:val="24"/>
                <w:highlight w:val="none"/>
              </w:rPr>
              <w:t>“中置扫刷真空罩与螺旋滑板调节组合机构+中置纯吸式整体吸嘴”的工作装置布置方式</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lang w:val="en-US" w:eastAsia="zh-CN"/>
              </w:rPr>
            </w:pPr>
            <w:r>
              <w:rPr>
                <w:rFonts w:hint="eastAsia" w:ascii="仿宋" w:hAnsi="仿宋" w:eastAsia="仿宋" w:cs="仿宋"/>
                <w:color w:val="000000"/>
                <w:spacing w:val="0"/>
                <w:position w:val="0"/>
                <w:sz w:val="24"/>
                <w:szCs w:val="24"/>
                <w:highlight w:val="none"/>
                <w:shd w:val="clear" w:fill="auto"/>
              </w:rPr>
              <w:t>1</w:t>
            </w:r>
            <w:r>
              <w:rPr>
                <w:rFonts w:hint="eastAsia" w:ascii="仿宋" w:hAnsi="仿宋" w:eastAsia="仿宋" w:cs="仿宋"/>
                <w:color w:val="000000"/>
                <w:spacing w:val="0"/>
                <w:position w:val="0"/>
                <w:sz w:val="24"/>
                <w:szCs w:val="24"/>
                <w:highlight w:val="none"/>
                <w:shd w:val="clear" w:fill="auto"/>
                <w:lang w:val="en-US" w:eastAsia="zh-CN"/>
              </w:rPr>
              <w:t>9</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产品试验报告</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提供产品【检测报告】</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lang w:val="en-US" w:eastAsia="zh-CN"/>
              </w:rPr>
            </w:pPr>
            <w:r>
              <w:rPr>
                <w:rFonts w:hint="eastAsia" w:ascii="仿宋" w:hAnsi="仿宋" w:eastAsia="仿宋" w:cs="仿宋"/>
                <w:spacing w:val="0"/>
                <w:position w:val="0"/>
                <w:sz w:val="24"/>
                <w:szCs w:val="24"/>
                <w:highlight w:val="none"/>
                <w:lang w:val="en-US" w:eastAsia="zh-CN"/>
              </w:rPr>
              <w:t>20</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公告</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提供产品公告页</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lang w:val="en-US" w:eastAsia="zh-CN"/>
              </w:rPr>
            </w:pPr>
            <w:r>
              <w:rPr>
                <w:rFonts w:hint="eastAsia" w:ascii="仿宋" w:hAnsi="仿宋" w:eastAsia="仿宋" w:cs="仿宋"/>
                <w:color w:val="000000"/>
                <w:spacing w:val="0"/>
                <w:position w:val="0"/>
                <w:sz w:val="24"/>
                <w:szCs w:val="24"/>
                <w:highlight w:val="none"/>
                <w:shd w:val="clear" w:fill="auto"/>
              </w:rPr>
              <w:t>2</w:t>
            </w:r>
            <w:r>
              <w:rPr>
                <w:rFonts w:hint="eastAsia" w:ascii="仿宋" w:hAnsi="仿宋" w:eastAsia="仿宋" w:cs="仿宋"/>
                <w:color w:val="000000"/>
                <w:spacing w:val="0"/>
                <w:position w:val="0"/>
                <w:sz w:val="24"/>
                <w:szCs w:val="24"/>
                <w:highlight w:val="none"/>
                <w:shd w:val="clear" w:fill="auto"/>
                <w:lang w:val="en-US" w:eastAsia="zh-CN"/>
              </w:rPr>
              <w:t>1</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3C</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投标产品具备国家3C认证证书</w:t>
            </w:r>
          </w:p>
        </w:tc>
      </w:tr>
    </w:tbl>
    <w:p>
      <w:pPr>
        <w:numPr>
          <w:ilvl w:val="0"/>
          <w:numId w:val="5"/>
        </w:num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lang w:val="en-US" w:eastAsia="zh-CN"/>
        </w:rPr>
      </w:pPr>
      <w:r>
        <w:rPr>
          <w:rFonts w:hint="eastAsia" w:ascii="仿宋" w:hAnsi="仿宋" w:eastAsia="仿宋" w:cs="仿宋"/>
          <w:color w:val="auto"/>
          <w:spacing w:val="0"/>
          <w:position w:val="0"/>
          <w:sz w:val="24"/>
          <w:szCs w:val="24"/>
          <w:highlight w:val="none"/>
          <w:shd w:val="clear" w:fill="auto"/>
          <w:lang w:val="en-US" w:eastAsia="zh-CN"/>
        </w:rPr>
        <w:t>性能要求</w:t>
      </w:r>
    </w:p>
    <w:p>
      <w:pPr>
        <w:numPr>
          <w:ilvl w:val="0"/>
          <w:numId w:val="6"/>
        </w:numPr>
        <w:spacing w:before="0" w:after="0" w:line="360" w:lineRule="auto"/>
        <w:ind w:leftChars="0" w:right="0" w:righ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设置晴天、雨天清扫作业转换风门，实现扫路车晴天干式除尘作业和雨天清扫作业两种作业工况的相互转换，不论晴天、雨天、寒冷冬季均能作业，实现全天候作业。</w:t>
      </w:r>
    </w:p>
    <w:p>
      <w:pPr>
        <w:numPr>
          <w:ilvl w:val="0"/>
          <w:numId w:val="6"/>
        </w:numPr>
        <w:spacing w:before="0" w:after="0" w:line="360" w:lineRule="auto"/>
        <w:ind w:leftChars="0" w:right="0" w:right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车辆使用“显示屏+控制器+CAN总线操作面板”的控制模式。</w:t>
      </w:r>
    </w:p>
    <w:p>
      <w:pPr>
        <w:numPr>
          <w:ilvl w:val="0"/>
          <w:numId w:val="6"/>
        </w:numPr>
        <w:tabs>
          <w:tab w:val="left" w:pos="1260"/>
          <w:tab w:val="left" w:pos="1440"/>
          <w:tab w:val="left" w:pos="1980"/>
          <w:tab w:val="left" w:pos="2160"/>
        </w:tabs>
        <w:adjustRightInd w:val="0"/>
        <w:snapToGrid w:val="0"/>
        <w:spacing w:line="360" w:lineRule="auto"/>
        <w:ind w:left="0" w:leftChars="0" w:firstLine="0" w:firstLineChars="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lang w:val="en-US" w:eastAsia="zh-CN"/>
        </w:rPr>
        <w:t>使用</w:t>
      </w:r>
      <w:r>
        <w:rPr>
          <w:rFonts w:hint="eastAsia" w:ascii="仿宋" w:hAnsi="仿宋" w:eastAsia="仿宋" w:cs="仿宋"/>
          <w:sz w:val="24"/>
          <w:szCs w:val="24"/>
          <w:highlight w:val="none"/>
        </w:rPr>
        <w:t>重力降尘、惯性碰撞，滤筒组过滤的三级除尘系统</w:t>
      </w:r>
      <w:r>
        <w:rPr>
          <w:rFonts w:hint="eastAsia" w:ascii="仿宋" w:hAnsi="仿宋" w:eastAsia="仿宋" w:cs="仿宋"/>
          <w:bCs/>
          <w:sz w:val="24"/>
          <w:szCs w:val="24"/>
          <w:highlight w:val="none"/>
        </w:rPr>
        <w:t>，具有分类收集功能。</w:t>
      </w:r>
    </w:p>
    <w:p>
      <w:pPr>
        <w:numPr>
          <w:ilvl w:val="0"/>
          <w:numId w:val="6"/>
        </w:numPr>
        <w:tabs>
          <w:tab w:val="left" w:pos="1260"/>
          <w:tab w:val="left" w:pos="1440"/>
          <w:tab w:val="left" w:pos="1980"/>
          <w:tab w:val="left" w:pos="2160"/>
        </w:tabs>
        <w:adjustRightInd w:val="0"/>
        <w:snapToGrid w:val="0"/>
        <w:spacing w:line="360" w:lineRule="auto"/>
        <w:ind w:left="0" w:leftChars="0" w:firstLine="0" w:firstLineChars="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使用</w:t>
      </w:r>
      <w:r>
        <w:rPr>
          <w:rFonts w:hint="eastAsia" w:ascii="仿宋" w:hAnsi="仿宋" w:eastAsia="仿宋" w:cs="仿宋"/>
          <w:bCs/>
          <w:sz w:val="24"/>
          <w:szCs w:val="24"/>
          <w:highlight w:val="none"/>
        </w:rPr>
        <w:t>扫刷真空罩与螺旋滑板调节机构组合的扫盘</w:t>
      </w:r>
      <w:r>
        <w:rPr>
          <w:rFonts w:hint="eastAsia" w:ascii="仿宋" w:hAnsi="仿宋" w:eastAsia="仿宋" w:cs="仿宋"/>
          <w:bCs/>
          <w:sz w:val="24"/>
          <w:szCs w:val="24"/>
          <w:highlight w:val="none"/>
          <w:lang w:eastAsia="zh-CN"/>
        </w:rPr>
        <w:t>，</w:t>
      </w:r>
      <w:r>
        <w:rPr>
          <w:rFonts w:hint="eastAsia" w:ascii="仿宋" w:hAnsi="仿宋" w:eastAsia="仿宋" w:cs="仿宋"/>
          <w:sz w:val="24"/>
          <w:szCs w:val="24"/>
          <w:highlight w:val="none"/>
        </w:rPr>
        <w:t>单边扫盘采用单根油缸升降、收放，防撞性能好、简捷可靠，维护使用成本低。</w:t>
      </w:r>
    </w:p>
    <w:p>
      <w:pPr>
        <w:tabs>
          <w:tab w:val="left" w:pos="1260"/>
          <w:tab w:val="left" w:pos="1440"/>
          <w:tab w:val="left" w:pos="1980"/>
          <w:tab w:val="left" w:pos="2160"/>
        </w:tabs>
        <w:adjustRightInd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具有倒车自动提吸嘴、垃圾箱撑杆与垃圾箱升降联锁保护功能、有开垃圾箱后门、倾倒垃圾、作业音乐多种语音安全提示。</w:t>
      </w:r>
    </w:p>
    <w:p>
      <w:pPr>
        <w:tabs>
          <w:tab w:val="left" w:pos="1260"/>
          <w:tab w:val="left" w:pos="1440"/>
          <w:tab w:val="left" w:pos="1980"/>
          <w:tab w:val="left" w:pos="2160"/>
        </w:tabs>
        <w:adjustRightInd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垃圾箱举升油缸设置平衡阀组，举升垃圾箱时具有防坠落功能。同时设有手动安全撑杆，方便维护。并设有传感器，在误操作手动撑杆时，有防止垃圾箱突然下落的保护功能。</w:t>
      </w:r>
    </w:p>
    <w:p>
      <w:pPr>
        <w:tabs>
          <w:tab w:val="left" w:pos="1260"/>
          <w:tab w:val="left" w:pos="1440"/>
          <w:tab w:val="left" w:pos="1980"/>
          <w:tab w:val="left" w:pos="2160"/>
        </w:tabs>
        <w:adjustRightInd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垃圾箱结构先进</w:t>
      </w:r>
      <w:r>
        <w:rPr>
          <w:rFonts w:hint="eastAsia" w:ascii="仿宋" w:hAnsi="仿宋" w:eastAsia="仿宋" w:cs="仿宋"/>
          <w:sz w:val="24"/>
          <w:szCs w:val="24"/>
          <w:highlight w:val="none"/>
          <w:lang w:val="en-US" w:eastAsia="zh-CN"/>
        </w:rPr>
        <w:t>使用</w:t>
      </w:r>
      <w:r>
        <w:rPr>
          <w:rFonts w:hint="eastAsia" w:ascii="仿宋" w:hAnsi="仿宋" w:eastAsia="仿宋" w:cs="仿宋"/>
          <w:sz w:val="24"/>
          <w:szCs w:val="24"/>
          <w:highlight w:val="none"/>
        </w:rPr>
        <w:t>单层瓦楞型结构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具有防腐功能。</w:t>
      </w: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tabs>
          <w:tab w:val="left" w:pos="924"/>
        </w:tabs>
        <w:rPr>
          <w:rFonts w:hint="eastAsia" w:ascii="仿宋" w:hAnsi="仿宋" w:eastAsia="仿宋" w:cs="仿宋"/>
          <w:highlight w:val="none"/>
          <w:lang w:val="en-US" w:eastAsia="zh-CN"/>
        </w:rPr>
      </w:pPr>
    </w:p>
    <w:p>
      <w:pPr>
        <w:rPr>
          <w:rFonts w:hint="eastAsia" w:ascii="仿宋" w:hAnsi="仿宋" w:eastAsia="仿宋" w:cs="仿宋"/>
          <w:b/>
          <w:color w:val="auto"/>
          <w:spacing w:val="0"/>
          <w:position w:val="0"/>
          <w:sz w:val="28"/>
          <w:highlight w:val="none"/>
          <w:shd w:val="clear" w:fill="auto"/>
        </w:rPr>
      </w:pPr>
      <w:r>
        <w:rPr>
          <w:rFonts w:hint="eastAsia" w:ascii="仿宋" w:hAnsi="仿宋" w:eastAsia="仿宋" w:cs="仿宋"/>
          <w:b/>
          <w:color w:val="auto"/>
          <w:spacing w:val="0"/>
          <w:position w:val="0"/>
          <w:sz w:val="28"/>
          <w:highlight w:val="none"/>
          <w:shd w:val="clear" w:fill="auto"/>
        </w:rPr>
        <w:br w:type="page"/>
      </w:r>
    </w:p>
    <w:p>
      <w:pPr>
        <w:spacing w:before="0" w:after="0" w:line="240" w:lineRule="auto"/>
        <w:ind w:left="0" w:right="0" w:firstLine="0"/>
        <w:jc w:val="center"/>
        <w:rPr>
          <w:rFonts w:hint="eastAsia" w:ascii="仿宋" w:hAnsi="仿宋" w:eastAsia="仿宋" w:cs="仿宋"/>
          <w:b/>
          <w:color w:val="auto"/>
          <w:spacing w:val="0"/>
          <w:position w:val="0"/>
          <w:sz w:val="28"/>
          <w:highlight w:val="none"/>
          <w:shd w:val="clear" w:fill="auto"/>
        </w:rPr>
      </w:pPr>
      <w:r>
        <w:rPr>
          <w:rFonts w:hint="eastAsia" w:ascii="仿宋" w:hAnsi="仿宋" w:eastAsia="仿宋" w:cs="仿宋"/>
          <w:b/>
          <w:color w:val="auto"/>
          <w:spacing w:val="0"/>
          <w:position w:val="0"/>
          <w:sz w:val="28"/>
          <w:highlight w:val="none"/>
          <w:shd w:val="clear" w:fill="auto"/>
        </w:rPr>
        <w:t>8吨压缩式垃圾车技术参数要求</w:t>
      </w:r>
    </w:p>
    <w:p>
      <w:pPr>
        <w:bidi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w:t>
      </w:r>
      <w:r>
        <w:rPr>
          <w:rFonts w:hint="eastAsia" w:ascii="仿宋" w:hAnsi="仿宋" w:eastAsia="仿宋" w:cs="仿宋"/>
          <w:color w:val="auto"/>
          <w:spacing w:val="0"/>
          <w:position w:val="0"/>
          <w:sz w:val="28"/>
          <w:highlight w:val="none"/>
          <w:shd w:val="clear" w:fill="auto"/>
          <w:lang w:val="en-US" w:eastAsia="zh-CN"/>
        </w:rPr>
        <w:t>技术要求</w:t>
      </w:r>
    </w:p>
    <w:tbl>
      <w:tblPr>
        <w:tblStyle w:val="15"/>
        <w:tblW w:w="8522" w:type="dxa"/>
        <w:jc w:val="center"/>
        <w:tblLayout w:type="fixed"/>
        <w:tblCellMar>
          <w:top w:w="0" w:type="dxa"/>
          <w:left w:w="10" w:type="dxa"/>
          <w:bottom w:w="0" w:type="dxa"/>
          <w:right w:w="10" w:type="dxa"/>
        </w:tblCellMar>
      </w:tblPr>
      <w:tblGrid>
        <w:gridCol w:w="1132"/>
        <w:gridCol w:w="3921"/>
        <w:gridCol w:w="3469"/>
      </w:tblGrid>
      <w:tr>
        <w:tblPrEx>
          <w:tblCellMar>
            <w:top w:w="0" w:type="dxa"/>
            <w:left w:w="10" w:type="dxa"/>
            <w:bottom w:w="0" w:type="dxa"/>
            <w:right w:w="10" w:type="dxa"/>
          </w:tblCellMar>
        </w:tblPrEx>
        <w:trPr>
          <w:trHeight w:val="0" w:hRule="atLeast"/>
          <w:jc w:val="center"/>
        </w:trPr>
        <w:tc>
          <w:tcPr>
            <w:tcW w:w="113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序号</w:t>
            </w:r>
          </w:p>
        </w:tc>
        <w:tc>
          <w:tcPr>
            <w:tcW w:w="3921"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项目</w:t>
            </w:r>
          </w:p>
        </w:tc>
        <w:tc>
          <w:tcPr>
            <w:tcW w:w="3469" w:type="dxa"/>
            <w:tcBorders>
              <w:top w:val="single" w:color="000000" w:sz="8"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参数规格</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车辆类型</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压缩式垃圾车</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2</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驾驶室配置</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配备冷暖空调</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3</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发动机排放标准</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国六排放</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4</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外形尺寸（长）（mm）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shd w:val="clear" w:fill="auto"/>
              </w:rPr>
            </w:pPr>
            <w:r>
              <w:rPr>
                <w:rFonts w:hint="eastAsia" w:ascii="仿宋" w:hAnsi="仿宋" w:eastAsia="仿宋" w:cs="仿宋"/>
                <w:color w:val="auto"/>
                <w:spacing w:val="0"/>
                <w:position w:val="0"/>
                <w:sz w:val="24"/>
                <w:highlight w:val="none"/>
                <w:shd w:val="clear" w:fill="auto"/>
              </w:rPr>
              <w:t>≤9000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5</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外形尺寸（宽）（mm）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shd w:val="clear" w:fill="auto"/>
              </w:rPr>
            </w:pPr>
            <w:r>
              <w:rPr>
                <w:rFonts w:hint="eastAsia" w:ascii="仿宋" w:hAnsi="仿宋" w:eastAsia="仿宋" w:cs="仿宋"/>
                <w:color w:val="auto"/>
                <w:spacing w:val="0"/>
                <w:position w:val="0"/>
                <w:sz w:val="24"/>
                <w:highlight w:val="none"/>
                <w:shd w:val="clear" w:fill="auto"/>
              </w:rPr>
              <w:t>≥2510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6</w:t>
            </w:r>
          </w:p>
        </w:tc>
        <w:tc>
          <w:tcPr>
            <w:tcW w:w="3921"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外形尺寸（高）（mm）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≤3118</w:t>
            </w:r>
          </w:p>
        </w:tc>
      </w:tr>
      <w:tr>
        <w:tblPrEx>
          <w:tblCellMar>
            <w:top w:w="0" w:type="dxa"/>
            <w:left w:w="10" w:type="dxa"/>
            <w:bottom w:w="0" w:type="dxa"/>
            <w:right w:w="10" w:type="dxa"/>
          </w:tblCellMar>
        </w:tblPrEx>
        <w:trPr>
          <w:trHeight w:val="0" w:hRule="atLeast"/>
          <w:jc w:val="center"/>
        </w:trPr>
        <w:tc>
          <w:tcPr>
            <w:tcW w:w="113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7</w:t>
            </w:r>
          </w:p>
        </w:tc>
        <w:tc>
          <w:tcPr>
            <w:tcW w:w="3921"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整备质量（kg）</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≥10500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8</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最大总质量（kg）</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≥18000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9</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载定质量（kg）</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shd w:val="clear" w:fill="auto"/>
              </w:rPr>
            </w:pPr>
            <w:r>
              <w:rPr>
                <w:rFonts w:hint="eastAsia" w:ascii="仿宋" w:hAnsi="仿宋" w:eastAsia="仿宋" w:cs="仿宋"/>
                <w:color w:val="auto"/>
                <w:spacing w:val="0"/>
                <w:position w:val="0"/>
                <w:sz w:val="24"/>
                <w:highlight w:val="none"/>
                <w:shd w:val="clear" w:fill="auto"/>
              </w:rPr>
              <w:t>≤7350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10</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轴距（mm）</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shd w:val="clear" w:fill="auto"/>
              </w:rPr>
            </w:pPr>
            <w:r>
              <w:rPr>
                <w:rFonts w:hint="eastAsia" w:ascii="仿宋" w:hAnsi="仿宋" w:eastAsia="仿宋" w:cs="仿宋"/>
                <w:color w:val="auto"/>
                <w:spacing w:val="0"/>
                <w:position w:val="0"/>
                <w:sz w:val="24"/>
                <w:highlight w:val="none"/>
                <w:shd w:val="clear" w:fill="auto"/>
              </w:rPr>
              <w:t>≤3800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11</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发动机功率（kW）</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≥166</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12</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垃圾箱有效容积 （m3）</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≥13</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13</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压填作业一次循环时间（s）</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shd w:val="clear" w:fill="auto"/>
              </w:rPr>
            </w:pPr>
            <w:r>
              <w:rPr>
                <w:rFonts w:hint="eastAsia" w:ascii="仿宋" w:hAnsi="仿宋" w:eastAsia="仿宋" w:cs="仿宋"/>
                <w:color w:val="auto"/>
                <w:spacing w:val="0"/>
                <w:position w:val="0"/>
                <w:sz w:val="24"/>
                <w:highlight w:val="none"/>
                <w:shd w:val="clear" w:fill="auto"/>
              </w:rPr>
              <w:t>≤20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14</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上料作业一次循环时间（s）</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shd w:val="clear" w:fill="auto"/>
              </w:rPr>
            </w:pPr>
            <w:r>
              <w:rPr>
                <w:rFonts w:hint="eastAsia" w:ascii="仿宋" w:hAnsi="仿宋" w:eastAsia="仿宋" w:cs="仿宋"/>
                <w:color w:val="auto"/>
                <w:spacing w:val="0"/>
                <w:position w:val="0"/>
                <w:sz w:val="24"/>
                <w:highlight w:val="none"/>
                <w:shd w:val="clear" w:fill="auto"/>
              </w:rPr>
              <w:t>≤10</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15</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卸料作业一次循环时间（s）</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shd w:val="clear" w:fill="auto"/>
              </w:rPr>
            </w:pPr>
            <w:r>
              <w:rPr>
                <w:rFonts w:hint="eastAsia" w:ascii="仿宋" w:hAnsi="仿宋" w:eastAsia="仿宋" w:cs="仿宋"/>
                <w:color w:val="auto"/>
                <w:spacing w:val="0"/>
                <w:position w:val="0"/>
                <w:sz w:val="24"/>
                <w:highlight w:val="none"/>
                <w:shd w:val="clear" w:fill="auto"/>
              </w:rPr>
              <w:t>≤45</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rPr>
            </w:pPr>
            <w:r>
              <w:rPr>
                <w:rFonts w:hint="eastAsia" w:ascii="仿宋" w:hAnsi="仿宋" w:eastAsia="仿宋" w:cs="仿宋"/>
                <w:color w:val="000000"/>
                <w:spacing w:val="0"/>
                <w:position w:val="0"/>
                <w:sz w:val="24"/>
                <w:highlight w:val="none"/>
                <w:shd w:val="clear" w:fill="auto"/>
              </w:rPr>
              <w:t>16</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rPr>
            </w:pPr>
            <w:r>
              <w:rPr>
                <w:rFonts w:hint="eastAsia" w:ascii="仿宋" w:hAnsi="仿宋" w:eastAsia="仿宋" w:cs="仿宋"/>
                <w:color w:val="000000"/>
                <w:spacing w:val="0"/>
                <w:position w:val="0"/>
                <w:sz w:val="24"/>
                <w:highlight w:val="none"/>
                <w:shd w:val="clear" w:fill="auto"/>
              </w:rPr>
              <w:t>变速器形式</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自动</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lang w:eastAsia="zh-CN"/>
              </w:rPr>
            </w:pPr>
            <w:r>
              <w:rPr>
                <w:rFonts w:hint="eastAsia" w:ascii="仿宋" w:hAnsi="仿宋" w:eastAsia="仿宋" w:cs="仿宋"/>
                <w:color w:val="000000"/>
                <w:spacing w:val="0"/>
                <w:position w:val="0"/>
                <w:sz w:val="24"/>
                <w:highlight w:val="none"/>
                <w:shd w:val="clear" w:fill="auto"/>
              </w:rPr>
              <w:t>1</w:t>
            </w:r>
            <w:r>
              <w:rPr>
                <w:rFonts w:hint="eastAsia" w:ascii="仿宋" w:hAnsi="仿宋" w:eastAsia="仿宋" w:cs="仿宋"/>
                <w:color w:val="000000"/>
                <w:spacing w:val="0"/>
                <w:position w:val="0"/>
                <w:sz w:val="24"/>
                <w:highlight w:val="none"/>
                <w:shd w:val="clear" w:fill="auto"/>
                <w:lang w:val="en-US" w:eastAsia="zh-CN"/>
              </w:rPr>
              <w:t>7</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rPr>
            </w:pPr>
            <w:r>
              <w:rPr>
                <w:rFonts w:hint="eastAsia" w:ascii="仿宋" w:hAnsi="仿宋" w:eastAsia="仿宋" w:cs="仿宋"/>
                <w:color w:val="000000"/>
                <w:spacing w:val="0"/>
                <w:position w:val="0"/>
                <w:sz w:val="24"/>
                <w:highlight w:val="none"/>
                <w:shd w:val="clear" w:fill="auto"/>
              </w:rPr>
              <w:t>产品试验报告</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4"/>
                <w:highlight w:val="none"/>
                <w:shd w:val="clear" w:fill="auto"/>
              </w:rPr>
              <w:t>提供产品【检测报告】</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lang w:val="en-US" w:eastAsia="zh-CN"/>
              </w:rPr>
            </w:pPr>
            <w:r>
              <w:rPr>
                <w:rFonts w:hint="eastAsia" w:ascii="仿宋" w:hAnsi="仿宋" w:eastAsia="仿宋" w:cs="仿宋"/>
                <w:color w:val="000000"/>
                <w:spacing w:val="0"/>
                <w:position w:val="0"/>
                <w:sz w:val="24"/>
                <w:highlight w:val="none"/>
                <w:shd w:val="clear" w:fill="auto"/>
              </w:rPr>
              <w:t>1</w:t>
            </w:r>
            <w:r>
              <w:rPr>
                <w:rFonts w:hint="eastAsia" w:ascii="仿宋" w:hAnsi="仿宋" w:eastAsia="仿宋" w:cs="仿宋"/>
                <w:color w:val="000000"/>
                <w:spacing w:val="0"/>
                <w:position w:val="0"/>
                <w:sz w:val="24"/>
                <w:highlight w:val="none"/>
                <w:shd w:val="clear" w:fill="auto"/>
                <w:lang w:val="en-US" w:eastAsia="zh-CN"/>
              </w:rPr>
              <w:t>8</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rPr>
            </w:pPr>
            <w:r>
              <w:rPr>
                <w:rFonts w:hint="eastAsia" w:ascii="仿宋" w:hAnsi="仿宋" w:eastAsia="仿宋" w:cs="仿宋"/>
                <w:color w:val="000000"/>
                <w:spacing w:val="0"/>
                <w:position w:val="0"/>
                <w:sz w:val="24"/>
                <w:highlight w:val="none"/>
                <w:shd w:val="clear" w:fill="auto"/>
              </w:rPr>
              <w:t>公告</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rPr>
            </w:pPr>
            <w:r>
              <w:rPr>
                <w:rFonts w:hint="eastAsia" w:ascii="仿宋" w:hAnsi="仿宋" w:eastAsia="仿宋" w:cs="仿宋"/>
                <w:color w:val="000000"/>
                <w:spacing w:val="0"/>
                <w:position w:val="0"/>
                <w:sz w:val="24"/>
                <w:highlight w:val="none"/>
                <w:shd w:val="clear" w:fill="auto"/>
              </w:rPr>
              <w:t>提供产品公告页</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default" w:ascii="仿宋" w:hAnsi="仿宋" w:eastAsia="仿宋" w:cs="仿宋"/>
                <w:spacing w:val="0"/>
                <w:position w:val="0"/>
                <w:highlight w:val="none"/>
                <w:lang w:val="en-US" w:eastAsia="zh-CN"/>
              </w:rPr>
            </w:pPr>
            <w:r>
              <w:rPr>
                <w:rFonts w:hint="eastAsia" w:ascii="仿宋" w:hAnsi="仿宋" w:eastAsia="仿宋" w:cs="仿宋"/>
                <w:spacing w:val="0"/>
                <w:position w:val="0"/>
                <w:highlight w:val="none"/>
                <w:lang w:val="en-US" w:eastAsia="zh-CN"/>
              </w:rPr>
              <w:t>19</w:t>
            </w:r>
          </w:p>
        </w:tc>
        <w:tc>
          <w:tcPr>
            <w:tcW w:w="3921"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rPr>
            </w:pPr>
            <w:r>
              <w:rPr>
                <w:rFonts w:hint="eastAsia" w:ascii="仿宋" w:hAnsi="仿宋" w:eastAsia="仿宋" w:cs="仿宋"/>
                <w:color w:val="000000"/>
                <w:spacing w:val="0"/>
                <w:position w:val="0"/>
                <w:sz w:val="24"/>
                <w:highlight w:val="none"/>
                <w:shd w:val="clear" w:fill="auto"/>
              </w:rPr>
              <w:t>3C</w:t>
            </w:r>
          </w:p>
        </w:tc>
        <w:tc>
          <w:tcPr>
            <w:tcW w:w="34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spacing w:val="0"/>
                <w:position w:val="0"/>
                <w:highlight w:val="none"/>
              </w:rPr>
            </w:pPr>
            <w:r>
              <w:rPr>
                <w:rFonts w:hint="eastAsia" w:ascii="仿宋" w:hAnsi="仿宋" w:eastAsia="仿宋" w:cs="仿宋"/>
                <w:color w:val="000000"/>
                <w:spacing w:val="0"/>
                <w:position w:val="0"/>
                <w:sz w:val="24"/>
                <w:highlight w:val="none"/>
                <w:shd w:val="clear" w:fill="auto"/>
              </w:rPr>
              <w:t>投标产品具备国家3C认证证书</w:t>
            </w:r>
          </w:p>
        </w:tc>
      </w:tr>
    </w:tbl>
    <w:p>
      <w:pPr>
        <w:numPr>
          <w:ilvl w:val="0"/>
          <w:numId w:val="0"/>
        </w:numPr>
        <w:spacing w:before="0" w:after="0" w:line="360" w:lineRule="auto"/>
        <w:ind w:leftChars="0" w:right="0" w:rightChars="0"/>
        <w:jc w:val="both"/>
        <w:rPr>
          <w:rFonts w:hint="eastAsia" w:ascii="仿宋" w:hAnsi="仿宋" w:eastAsia="仿宋" w:cs="仿宋"/>
          <w:color w:val="auto"/>
          <w:spacing w:val="0"/>
          <w:position w:val="0"/>
          <w:sz w:val="28"/>
          <w:highlight w:val="none"/>
          <w:shd w:val="clear" w:fill="auto"/>
          <w:lang w:val="en-US" w:eastAsia="zh-CN"/>
        </w:rPr>
      </w:pPr>
      <w:r>
        <w:rPr>
          <w:rFonts w:hint="eastAsia" w:ascii="仿宋" w:hAnsi="仿宋" w:eastAsia="仿宋" w:cs="仿宋"/>
          <w:color w:val="auto"/>
          <w:spacing w:val="0"/>
          <w:position w:val="0"/>
          <w:sz w:val="28"/>
          <w:highlight w:val="none"/>
          <w:shd w:val="clear" w:fill="auto"/>
          <w:lang w:val="en-US" w:eastAsia="zh-CN"/>
        </w:rPr>
        <w:t>二、性能要求</w:t>
      </w:r>
    </w:p>
    <w:p>
      <w:pPr>
        <w:bidi w:val="0"/>
        <w:spacing w:line="360" w:lineRule="auto"/>
        <w:rPr>
          <w:rFonts w:hint="eastAsia" w:ascii="仿宋" w:hAnsi="仿宋" w:eastAsia="仿宋" w:cs="仿宋"/>
          <w:sz w:val="24"/>
          <w:szCs w:val="24"/>
          <w:highlight w:val="none"/>
          <w:lang w:eastAsia="zh-CN"/>
        </w:rPr>
      </w:pPr>
      <w:r>
        <w:rPr>
          <w:rFonts w:hint="eastAsia" w:ascii="仿宋" w:hAnsi="仿宋" w:eastAsia="仿宋" w:cs="仿宋"/>
          <w:highlight w:val="none"/>
          <w:lang w:val="en-US" w:eastAsia="zh-CN"/>
        </w:rPr>
        <w:t>1、</w:t>
      </w:r>
      <w:r>
        <w:rPr>
          <w:rFonts w:hint="eastAsia" w:ascii="仿宋" w:hAnsi="仿宋" w:eastAsia="仿宋" w:cs="仿宋"/>
          <w:sz w:val="24"/>
          <w:szCs w:val="24"/>
          <w:highlight w:val="none"/>
        </w:rPr>
        <w:t>具有垃圾收集、垃圾自动装入压实、松散垃圾压缩、垃圾转运和倾卸等多种功能</w:t>
      </w:r>
      <w:r>
        <w:rPr>
          <w:rFonts w:hint="eastAsia" w:ascii="仿宋" w:hAnsi="仿宋" w:eastAsia="仿宋" w:cs="仿宋"/>
          <w:sz w:val="24"/>
          <w:szCs w:val="24"/>
          <w:highlight w:val="none"/>
          <w:lang w:eastAsia="zh-CN"/>
        </w:rPr>
        <w:t>。</w:t>
      </w:r>
    </w:p>
    <w:p>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垃圾倒入填料斗中的过程是通过液压油缸驱动四连杆机构实现的。</w:t>
      </w:r>
    </w:p>
    <w:p>
      <w:pPr>
        <w:tabs>
          <w:tab w:val="left" w:pos="2127"/>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3、需有</w:t>
      </w:r>
      <w:r>
        <w:rPr>
          <w:rFonts w:hint="eastAsia" w:ascii="仿宋" w:hAnsi="仿宋" w:eastAsia="仿宋" w:cs="仿宋"/>
          <w:sz w:val="24"/>
          <w:szCs w:val="24"/>
          <w:highlight w:val="none"/>
        </w:rPr>
        <w:t>填装器盖用于遮挡填装器料斗防止垃圾散落及臭气外泄的部件。通过连杆机构及气缸驱动实现填装器盖打开和关闭锁止。</w:t>
      </w:r>
    </w:p>
    <w:p>
      <w:pPr>
        <w:tabs>
          <w:tab w:val="left" w:pos="2127"/>
        </w:tabs>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4、车辆采用“运动控制器+CAN总线操作面板”的控制模式。车辆作业由3处操作装置实现。</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为确保垃圾箱后端面的密封性，防止污水流出，</w:t>
      </w:r>
      <w:r>
        <w:rPr>
          <w:rFonts w:hint="eastAsia" w:ascii="仿宋" w:hAnsi="仿宋" w:eastAsia="仿宋" w:cs="仿宋"/>
          <w:sz w:val="24"/>
          <w:szCs w:val="24"/>
          <w:highlight w:val="none"/>
          <w:lang w:val="en-US" w:eastAsia="zh-CN"/>
        </w:rPr>
        <w:t>需</w:t>
      </w:r>
      <w:r>
        <w:rPr>
          <w:rFonts w:hint="eastAsia" w:ascii="仿宋" w:hAnsi="仿宋" w:eastAsia="仿宋" w:cs="仿宋"/>
          <w:sz w:val="24"/>
          <w:szCs w:val="24"/>
          <w:highlight w:val="none"/>
        </w:rPr>
        <w:t>设计独立锁钩，对填装器进行锁紧，垃圾箱后端面与填装器结合面处的密封条始终保持压缩状态，确保填装器与垃圾箱的结合面良好密封性能。在垃圾箱与填装器之间</w:t>
      </w:r>
      <w:r>
        <w:rPr>
          <w:rFonts w:hint="eastAsia" w:ascii="仿宋" w:hAnsi="仿宋" w:eastAsia="仿宋" w:cs="仿宋"/>
          <w:sz w:val="24"/>
          <w:szCs w:val="24"/>
          <w:highlight w:val="none"/>
          <w:lang w:val="en-US" w:eastAsia="zh-CN"/>
        </w:rPr>
        <w:t>使用</w:t>
      </w:r>
      <w:r>
        <w:rPr>
          <w:rFonts w:hint="eastAsia" w:ascii="仿宋" w:hAnsi="仿宋" w:eastAsia="仿宋" w:cs="仿宋"/>
          <w:sz w:val="24"/>
          <w:szCs w:val="24"/>
          <w:highlight w:val="none"/>
        </w:rPr>
        <w:t>双重密封技术，采用特殊橡胶密封，杜绝了二次污染。</w:t>
      </w:r>
    </w:p>
    <w:p>
      <w:pPr>
        <w:spacing w:line="360" w:lineRule="auto"/>
        <w:outlineLvl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垃圾箱侧面设防下降开关，防止填装器举升后误操作导致填装器下降威胁到人的安全；产品上装报警装置，进行涉及到安全的操作时可报警提示操作人员谨慎操作；液压举升安全回路，在填装器举升过程中，即使油管爆裂，</w:t>
      </w:r>
      <w:r>
        <w:rPr>
          <w:rFonts w:hint="eastAsia" w:ascii="仿宋" w:hAnsi="仿宋" w:eastAsia="仿宋" w:cs="仿宋"/>
          <w:sz w:val="24"/>
          <w:szCs w:val="24"/>
          <w:highlight w:val="none"/>
          <w:lang w:val="en-US" w:eastAsia="zh-CN"/>
        </w:rPr>
        <w:t>保证</w:t>
      </w:r>
      <w:r>
        <w:rPr>
          <w:rFonts w:hint="eastAsia" w:ascii="仿宋" w:hAnsi="仿宋" w:eastAsia="仿宋" w:cs="仿宋"/>
          <w:sz w:val="24"/>
          <w:szCs w:val="24"/>
          <w:highlight w:val="none"/>
        </w:rPr>
        <w:t>填装器也不会突然下降造成恶性事故；垃圾箱上设安全撑杆，避免填装器下降伤人；产品上贴安全标识，引导操作人员安全操作。</w:t>
      </w:r>
    </w:p>
    <w:p>
      <w:pPr>
        <w:pStyle w:val="2"/>
        <w:tabs>
          <w:tab w:val="left" w:pos="924"/>
        </w:tabs>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p>
    <w:p>
      <w:pPr>
        <w:pStyle w:val="2"/>
        <w:tabs>
          <w:tab w:val="left" w:pos="924"/>
        </w:tabs>
        <w:spacing w:line="360" w:lineRule="auto"/>
        <w:rPr>
          <w:rFonts w:hint="eastAsia" w:ascii="仿宋" w:hAnsi="仿宋" w:eastAsia="仿宋" w:cs="仿宋"/>
          <w:sz w:val="24"/>
          <w:szCs w:val="24"/>
          <w:highlight w:val="none"/>
          <w:vertAlign w:val="baseline"/>
          <w:lang w:val="en-US" w:eastAsia="zh-CN"/>
        </w:rPr>
      </w:pPr>
    </w:p>
    <w:p>
      <w:pPr>
        <w:pStyle w:val="2"/>
        <w:tabs>
          <w:tab w:val="left" w:pos="924"/>
        </w:tabs>
        <w:spacing w:line="360" w:lineRule="auto"/>
        <w:rPr>
          <w:rFonts w:hint="eastAsia" w:ascii="仿宋" w:hAnsi="仿宋" w:eastAsia="仿宋" w:cs="仿宋"/>
          <w:sz w:val="24"/>
          <w:szCs w:val="24"/>
          <w:highlight w:val="none"/>
          <w:vertAlign w:val="baseline"/>
          <w:lang w:val="en-US" w:eastAsia="zh-CN"/>
        </w:rPr>
      </w:pPr>
    </w:p>
    <w:p>
      <w:pPr>
        <w:pStyle w:val="2"/>
        <w:tabs>
          <w:tab w:val="left" w:pos="924"/>
        </w:tabs>
        <w:jc w:val="center"/>
        <w:rPr>
          <w:rFonts w:hint="eastAsia" w:ascii="仿宋" w:hAnsi="仿宋" w:eastAsia="仿宋" w:cs="仿宋"/>
          <w:b/>
          <w:bCs/>
          <w:sz w:val="24"/>
          <w:szCs w:val="24"/>
          <w:highlight w:val="none"/>
          <w:vertAlign w:val="baseline"/>
          <w:lang w:val="en-US" w:eastAsia="zh-CN"/>
        </w:rPr>
        <w:sectPr>
          <w:pgSz w:w="11906" w:h="16838"/>
          <w:pgNumType w:fmt="decimal"/>
          <w:cols w:space="720" w:num="1"/>
          <w:docGrid w:type="lines" w:linePitch="312" w:charSpace="0"/>
        </w:sectPr>
      </w:pPr>
    </w:p>
    <w:p>
      <w:pPr>
        <w:spacing w:line="240" w:lineRule="auto"/>
        <w:ind w:left="0" w:right="0" w:firstLine="0"/>
        <w:jc w:val="center"/>
        <w:outlineLvl w:val="0"/>
        <w:rPr>
          <w:rFonts w:hint="eastAsia" w:ascii="仿宋" w:hAnsi="仿宋" w:eastAsia="仿宋" w:cs="仿宋"/>
          <w:b/>
          <w:color w:val="auto"/>
          <w:spacing w:val="0"/>
          <w:position w:val="0"/>
          <w:sz w:val="30"/>
          <w:szCs w:val="30"/>
          <w:highlight w:val="none"/>
          <w:shd w:val="clear" w:fill="auto"/>
          <w:lang w:val="en-US" w:eastAsia="zh-CN"/>
        </w:rPr>
      </w:pPr>
      <w:r>
        <w:rPr>
          <w:rFonts w:hint="eastAsia" w:ascii="仿宋" w:hAnsi="仿宋" w:eastAsia="仿宋" w:cs="仿宋"/>
          <w:b/>
          <w:color w:val="auto"/>
          <w:spacing w:val="0"/>
          <w:position w:val="0"/>
          <w:sz w:val="30"/>
          <w:szCs w:val="30"/>
          <w:highlight w:val="none"/>
          <w:shd w:val="clear" w:fill="auto"/>
          <w:lang w:val="en-US" w:eastAsia="zh-CN"/>
        </w:rPr>
        <w:t>滑移装载机技术参数要求</w:t>
      </w:r>
    </w:p>
    <w:p>
      <w:pPr>
        <w:rPr>
          <w:rFonts w:hint="eastAsia" w:ascii="仿宋" w:hAnsi="仿宋" w:eastAsia="仿宋" w:cs="仿宋"/>
          <w:sz w:val="24"/>
          <w:szCs w:val="24"/>
          <w:highlight w:val="none"/>
          <w:lang w:val="en-US" w:eastAsia="zh-CN"/>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4" w:hRule="atLeast"/>
        </w:trPr>
        <w:tc>
          <w:tcPr>
            <w:tcW w:w="8522" w:type="dxa"/>
            <w:noWrap w:val="0"/>
            <w:vAlign w:val="top"/>
          </w:tcPr>
          <w:p>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 设备基本要求：</w:t>
            </w:r>
          </w:p>
          <w:p>
            <w:pPr>
              <w:spacing w:line="360" w:lineRule="auto"/>
              <w:ind w:left="719" w:hanging="480"/>
              <w:rPr>
                <w:rFonts w:hint="eastAsia" w:ascii="仿宋" w:hAnsi="仿宋" w:eastAsia="仿宋" w:cs="仿宋"/>
                <w:sz w:val="24"/>
                <w:szCs w:val="24"/>
                <w:highlight w:val="none"/>
              </w:rPr>
            </w:pPr>
            <w:r>
              <w:rPr>
                <w:rFonts w:hint="eastAsia" w:ascii="仿宋" w:hAnsi="仿宋" w:eastAsia="仿宋" w:cs="仿宋"/>
                <w:sz w:val="24"/>
                <w:szCs w:val="24"/>
                <w:highlight w:val="none"/>
              </w:rPr>
              <w:t>用于道路除雪的滑移装载机。（详细说明制造厂商及规格型号）</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2.技术指标：</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 总体要求：设备全新、未使用过，各部件无腐蚀、生锈、碰撞、变形、缺损。</w:t>
            </w:r>
          </w:p>
          <w:p>
            <w:pPr>
              <w:spacing w:before="12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2.1.1　型式：四轮驱动，双速行驶</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2.1.2  整机长度（含铲斗）≥38</w:t>
            </w:r>
            <w:r>
              <w:rPr>
                <w:rFonts w:hint="eastAsia" w:ascii="仿宋" w:hAnsi="仿宋" w:eastAsia="仿宋" w:cs="仿宋"/>
                <w:sz w:val="24"/>
                <w:szCs w:val="24"/>
                <w:highlight w:val="none"/>
                <w:lang w:val="en-US" w:eastAsia="zh-CN"/>
              </w:rPr>
              <w:t>51</w:t>
            </w:r>
            <w:r>
              <w:rPr>
                <w:rFonts w:hint="eastAsia" w:ascii="仿宋" w:hAnsi="仿宋" w:eastAsia="仿宋" w:cs="仿宋"/>
                <w:sz w:val="24"/>
                <w:szCs w:val="24"/>
                <w:highlight w:val="none"/>
              </w:rPr>
              <w:t>mm</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2.1.3  液压泵容量≥1</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L/min</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2.1.4  </w:t>
            </w:r>
            <w:r>
              <w:rPr>
                <w:rFonts w:hint="eastAsia" w:ascii="仿宋" w:hAnsi="仿宋" w:eastAsia="仿宋" w:cs="仿宋"/>
                <w:sz w:val="24"/>
                <w:szCs w:val="24"/>
                <w:highlight w:val="none"/>
                <w:lang w:val="en-US" w:eastAsia="zh-CN"/>
              </w:rPr>
              <w:t>此车辆配备先导液压操作系统，</w:t>
            </w:r>
            <w:r>
              <w:rPr>
                <w:rFonts w:hint="eastAsia" w:ascii="仿宋" w:hAnsi="仿宋" w:eastAsia="仿宋" w:cs="仿宋"/>
                <w:sz w:val="24"/>
                <w:szCs w:val="24"/>
                <w:highlight w:val="none"/>
              </w:rPr>
              <w:t>只需</w:t>
            </w:r>
            <w:r>
              <w:rPr>
                <w:rFonts w:hint="eastAsia" w:ascii="仿宋" w:hAnsi="仿宋" w:eastAsia="仿宋" w:cs="仿宋"/>
                <w:sz w:val="24"/>
                <w:szCs w:val="24"/>
                <w:highlight w:val="none"/>
                <w:lang w:val="en-US" w:eastAsia="zh-CN"/>
              </w:rPr>
              <w:t>单</w:t>
            </w:r>
            <w:r>
              <w:rPr>
                <w:rFonts w:hint="eastAsia" w:ascii="仿宋" w:hAnsi="仿宋" w:eastAsia="仿宋" w:cs="仿宋"/>
                <w:sz w:val="24"/>
                <w:szCs w:val="24"/>
                <w:highlight w:val="none"/>
              </w:rPr>
              <w:t>手即可</w:t>
            </w:r>
            <w:r>
              <w:rPr>
                <w:rFonts w:hint="eastAsia" w:ascii="仿宋" w:hAnsi="仿宋" w:eastAsia="仿宋" w:cs="仿宋"/>
                <w:sz w:val="24"/>
                <w:szCs w:val="24"/>
                <w:highlight w:val="none"/>
                <w:lang w:val="en-US" w:eastAsia="zh-CN"/>
              </w:rPr>
              <w:t>操作</w:t>
            </w:r>
            <w:r>
              <w:rPr>
                <w:rFonts w:hint="eastAsia" w:ascii="仿宋" w:hAnsi="仿宋" w:eastAsia="仿宋" w:cs="仿宋"/>
                <w:sz w:val="24"/>
                <w:szCs w:val="24"/>
                <w:highlight w:val="none"/>
              </w:rPr>
              <w:t>控制</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整体式主机架设计，附件连接油管须在举升臂</w:t>
            </w:r>
            <w:r>
              <w:rPr>
                <w:rFonts w:hint="eastAsia" w:ascii="仿宋" w:hAnsi="仿宋" w:eastAsia="仿宋" w:cs="仿宋"/>
                <w:sz w:val="24"/>
                <w:szCs w:val="24"/>
                <w:highlight w:val="none"/>
                <w:lang w:val="en-US" w:eastAsia="zh-CN"/>
              </w:rPr>
              <w:t>上方。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为满足安全性需求，须标配驾驶室内部的全景后视镜</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标配电源负极切断开关</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2.2 发动机系统</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2.2.1  发动机型式：水冷四冲程涡轮增压柴油发动机</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2.2.2  发动机额定功率:</w:t>
            </w:r>
            <w:bookmarkStart w:id="9" w:name="_Hlk56419766"/>
            <w:r>
              <w:rPr>
                <w:rFonts w:hint="eastAsia" w:ascii="仿宋" w:hAnsi="仿宋" w:eastAsia="仿宋" w:cs="仿宋"/>
                <w:sz w:val="24"/>
                <w:szCs w:val="24"/>
                <w:highlight w:val="none"/>
              </w:rPr>
              <w:t>≥</w:t>
            </w:r>
            <w:bookmarkEnd w:id="9"/>
            <w:r>
              <w:rPr>
                <w:rFonts w:hint="eastAsia" w:ascii="仿宋" w:hAnsi="仿宋" w:eastAsia="仿宋" w:cs="仿宋"/>
                <w:sz w:val="24"/>
                <w:szCs w:val="24"/>
                <w:highlight w:val="none"/>
                <w:lang w:val="en-US" w:eastAsia="zh-CN"/>
              </w:rPr>
              <w:t>61.3/2400</w:t>
            </w:r>
            <w:r>
              <w:rPr>
                <w:rFonts w:hint="eastAsia" w:ascii="仿宋" w:hAnsi="仿宋" w:eastAsia="仿宋" w:cs="仿宋"/>
                <w:sz w:val="24"/>
                <w:szCs w:val="24"/>
                <w:highlight w:val="none"/>
              </w:rPr>
              <w:t>kw/rpm</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2.2.3  最大扭矩≥</w:t>
            </w:r>
            <w:r>
              <w:rPr>
                <w:rFonts w:hint="eastAsia" w:ascii="仿宋" w:hAnsi="仿宋" w:eastAsia="仿宋" w:cs="仿宋"/>
                <w:sz w:val="24"/>
                <w:szCs w:val="24"/>
                <w:highlight w:val="none"/>
                <w:lang w:val="en-US" w:eastAsia="zh-CN"/>
              </w:rPr>
              <w:t>292.6/1550N.M</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2.2.4  发动机与液压系统连接为直连式传动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2.3 传动系统：</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2.3.1  四轮驱动，360°原地转向</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2.3.2  </w:t>
            </w:r>
            <w:r>
              <w:rPr>
                <w:rFonts w:hint="eastAsia" w:ascii="仿宋" w:hAnsi="仿宋" w:eastAsia="仿宋" w:cs="仿宋"/>
                <w:sz w:val="24"/>
                <w:szCs w:val="24"/>
                <w:highlight w:val="none"/>
                <w:lang w:val="en-US" w:eastAsia="zh-CN"/>
              </w:rPr>
              <w:t>先导</w:t>
            </w:r>
            <w:r>
              <w:rPr>
                <w:rFonts w:hint="eastAsia" w:ascii="仿宋" w:hAnsi="仿宋" w:eastAsia="仿宋" w:cs="仿宋"/>
                <w:sz w:val="24"/>
                <w:szCs w:val="24"/>
                <w:highlight w:val="none"/>
              </w:rPr>
              <w:t>式操作系统</w:t>
            </w: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2.3.3  手油门为标准配置</w:t>
            </w:r>
          </w:p>
          <w:p>
            <w:pPr>
              <w:spacing w:line="360" w:lineRule="auto"/>
              <w:ind w:left="72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2.4 装载装置：</w:t>
            </w: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2.4.1最高举升时的最大翻转角度：≥9</w:t>
            </w:r>
            <w:r>
              <w:rPr>
                <w:rFonts w:hint="eastAsia" w:ascii="仿宋" w:hAnsi="仿宋" w:eastAsia="仿宋" w:cs="仿宋"/>
                <w:b w:val="0"/>
                <w:bCs w:val="0"/>
                <w:color w:val="auto"/>
                <w:sz w:val="24"/>
                <w:szCs w:val="24"/>
                <w:highlight w:val="none"/>
                <w:lang w:val="en-US" w:eastAsia="zh-CN"/>
              </w:rPr>
              <w:t>8.9</w:t>
            </w:r>
            <w:r>
              <w:rPr>
                <w:rFonts w:hint="eastAsia" w:ascii="仿宋" w:hAnsi="仿宋" w:eastAsia="仿宋" w:cs="仿宋"/>
                <w:b w:val="0"/>
                <w:bCs w:val="0"/>
                <w:color w:val="auto"/>
                <w:sz w:val="24"/>
                <w:szCs w:val="24"/>
                <w:highlight w:val="none"/>
              </w:rPr>
              <w:t>︒</w:t>
            </w:r>
          </w:p>
          <w:p>
            <w:pPr>
              <w:tabs>
                <w:tab w:val="left" w:pos="960"/>
              </w:tabs>
              <w:suppressAutoHyphen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2.4.2大臂举升路径为径向举升</w:t>
            </w:r>
          </w:p>
          <w:p>
            <w:pPr>
              <w:tabs>
                <w:tab w:val="left" w:pos="960"/>
              </w:tabs>
              <w:suppressAutoHyphen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2.4.3标配</w:t>
            </w:r>
            <w:r>
              <w:rPr>
                <w:rFonts w:hint="eastAsia" w:ascii="仿宋" w:hAnsi="仿宋" w:eastAsia="仿宋" w:cs="仿宋"/>
                <w:b w:val="0"/>
                <w:bCs w:val="0"/>
                <w:color w:val="auto"/>
                <w:sz w:val="24"/>
                <w:szCs w:val="24"/>
                <w:highlight w:val="none"/>
                <w:lang w:val="en-US" w:eastAsia="zh-CN"/>
              </w:rPr>
              <w:t>84</w:t>
            </w:r>
            <w:r>
              <w:rPr>
                <w:rFonts w:hint="eastAsia" w:ascii="仿宋" w:hAnsi="仿宋" w:eastAsia="仿宋" w:cs="仿宋"/>
                <w:b w:val="0"/>
                <w:bCs w:val="0"/>
                <w:color w:val="auto"/>
                <w:sz w:val="24"/>
                <w:szCs w:val="24"/>
                <w:highlight w:val="none"/>
              </w:rPr>
              <w:t>英寸铲斗斗容≥0.5m³</w:t>
            </w:r>
          </w:p>
          <w:p>
            <w:pPr>
              <w:tabs>
                <w:tab w:val="left" w:pos="960"/>
              </w:tabs>
              <w:suppressAutoHyphen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2.4.4铲斗油缸掘起力≥</w:t>
            </w:r>
            <w:r>
              <w:rPr>
                <w:rFonts w:hint="eastAsia" w:ascii="仿宋" w:hAnsi="仿宋" w:eastAsia="仿宋" w:cs="仿宋"/>
                <w:b w:val="0"/>
                <w:bCs w:val="0"/>
                <w:color w:val="auto"/>
                <w:sz w:val="24"/>
                <w:szCs w:val="24"/>
                <w:highlight w:val="none"/>
                <w:lang w:val="en-US" w:eastAsia="zh-CN"/>
              </w:rPr>
              <w:t>29.8</w:t>
            </w:r>
            <w:r>
              <w:rPr>
                <w:rFonts w:hint="eastAsia" w:ascii="仿宋" w:hAnsi="仿宋" w:eastAsia="仿宋" w:cs="仿宋"/>
                <w:b w:val="0"/>
                <w:bCs w:val="0"/>
                <w:color w:val="auto"/>
                <w:sz w:val="24"/>
                <w:szCs w:val="24"/>
                <w:highlight w:val="none"/>
              </w:rPr>
              <w:t>kN</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 滑移装载机-快换属具技术规格及要求</w:t>
            </w:r>
          </w:p>
          <w:p>
            <w:pPr>
              <w:tabs>
                <w:tab w:val="left" w:pos="960"/>
              </w:tabs>
              <w:suppressAutoHyphen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3.1吹雪机附件</w:t>
            </w:r>
          </w:p>
          <w:p>
            <w:pPr>
              <w:tabs>
                <w:tab w:val="left" w:pos="960"/>
              </w:tabs>
              <w:suppressAutoHyphen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3.1.1除雪宽度：≥2100mm</w:t>
            </w:r>
          </w:p>
          <w:p>
            <w:pPr>
              <w:tabs>
                <w:tab w:val="left" w:pos="960"/>
              </w:tabs>
              <w:suppressAutoHyphen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3.1.2电控或电液调节吹雪方向</w:t>
            </w:r>
          </w:p>
          <w:p>
            <w:pPr>
              <w:tabs>
                <w:tab w:val="left" w:pos="960"/>
              </w:tabs>
              <w:suppressAutoHyphen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3.1.3吹雪距离≥15m</w:t>
            </w:r>
          </w:p>
          <w:p>
            <w:pPr>
              <w:tabs>
                <w:tab w:val="left" w:pos="960"/>
              </w:tabs>
              <w:suppressAutoHyphen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3.1.4 螺旋钻直径≥470mm</w:t>
            </w:r>
          </w:p>
          <w:p>
            <w:pPr>
              <w:pStyle w:val="2"/>
              <w:tabs>
                <w:tab w:val="left" w:pos="924"/>
              </w:tabs>
              <w:jc w:val="both"/>
              <w:rPr>
                <w:rFonts w:hint="eastAsia" w:ascii="仿宋" w:hAnsi="仿宋" w:eastAsia="仿宋" w:cs="仿宋"/>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斜角清扫器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 可左右调整30度斜角；</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 滚刷直径≥810mm，保证长使用寿命；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.3 刷片为聚酯纤维和钢丝混合而成，清扫效果好；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.4 滚刷总宽度为≥2400mm,清扫宽度为≥2100mm，保证清扫面积大。</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.5 液压马达与滚刷为直连式结构</w:t>
            </w:r>
          </w:p>
        </w:tc>
      </w:tr>
    </w:tbl>
    <w:p>
      <w:pPr>
        <w:tabs>
          <w:tab w:val="left" w:pos="1260"/>
          <w:tab w:val="left" w:pos="1440"/>
          <w:tab w:val="left" w:pos="1980"/>
          <w:tab w:val="left" w:pos="2160"/>
        </w:tabs>
        <w:adjustRightInd w:val="0"/>
        <w:snapToGrid w:val="0"/>
        <w:spacing w:line="360" w:lineRule="auto"/>
        <w:jc w:val="left"/>
        <w:rPr>
          <w:rFonts w:hint="eastAsia" w:ascii="仿宋" w:hAnsi="仿宋" w:eastAsia="仿宋" w:cs="仿宋"/>
          <w:sz w:val="24"/>
          <w:szCs w:val="24"/>
          <w:highlight w:val="none"/>
          <w:lang w:val="en-US" w:eastAsia="zh-CN"/>
        </w:rPr>
      </w:pPr>
    </w:p>
    <w:p>
      <w:pPr>
        <w:spacing w:before="0" w:after="0" w:line="360" w:lineRule="auto"/>
        <w:ind w:left="0" w:right="0" w:firstLine="0"/>
        <w:jc w:val="both"/>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pStyle w:val="2"/>
        <w:tabs>
          <w:tab w:val="left" w:pos="924"/>
        </w:tabs>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color w:val="auto"/>
          <w:spacing w:val="0"/>
          <w:position w:val="0"/>
          <w:sz w:val="24"/>
          <w:szCs w:val="24"/>
          <w:highlight w:val="none"/>
          <w:shd w:val="clear" w:fill="auto"/>
        </w:rPr>
      </w:pPr>
    </w:p>
    <w:p>
      <w:pPr>
        <w:rPr>
          <w:rFonts w:hint="eastAsia" w:ascii="仿宋" w:hAnsi="仿宋" w:eastAsia="仿宋" w:cs="仿宋"/>
          <w:b/>
          <w:color w:val="auto"/>
          <w:spacing w:val="0"/>
          <w:position w:val="0"/>
          <w:sz w:val="30"/>
          <w:szCs w:val="30"/>
          <w:highlight w:val="none"/>
          <w:shd w:val="clear" w:fill="auto"/>
          <w:lang w:val="en-US" w:eastAsia="zh-CN"/>
        </w:rPr>
      </w:pPr>
      <w:r>
        <w:rPr>
          <w:rFonts w:hint="eastAsia" w:ascii="仿宋" w:hAnsi="仿宋" w:eastAsia="仿宋" w:cs="仿宋"/>
          <w:b/>
          <w:color w:val="auto"/>
          <w:spacing w:val="0"/>
          <w:position w:val="0"/>
          <w:sz w:val="30"/>
          <w:szCs w:val="30"/>
          <w:highlight w:val="none"/>
          <w:shd w:val="clear" w:fill="auto"/>
          <w:lang w:val="en-US" w:eastAsia="zh-CN"/>
        </w:rPr>
        <w:br w:type="page"/>
      </w:r>
    </w:p>
    <w:p>
      <w:pPr>
        <w:pStyle w:val="2"/>
        <w:tabs>
          <w:tab w:val="left" w:pos="924"/>
        </w:tabs>
        <w:jc w:val="center"/>
        <w:rPr>
          <w:rFonts w:hint="eastAsia" w:ascii="仿宋" w:hAnsi="仿宋" w:eastAsia="仿宋" w:cs="仿宋"/>
          <w:b/>
          <w:color w:val="auto"/>
          <w:spacing w:val="0"/>
          <w:position w:val="0"/>
          <w:sz w:val="30"/>
          <w:szCs w:val="30"/>
          <w:highlight w:val="none"/>
          <w:shd w:val="clear" w:fill="auto"/>
          <w:lang w:val="en-US" w:eastAsia="zh-CN"/>
        </w:rPr>
      </w:pPr>
      <w:r>
        <w:rPr>
          <w:rFonts w:hint="eastAsia" w:ascii="仿宋" w:hAnsi="仿宋" w:eastAsia="仿宋" w:cs="仿宋"/>
          <w:b/>
          <w:color w:val="auto"/>
          <w:spacing w:val="0"/>
          <w:position w:val="0"/>
          <w:sz w:val="30"/>
          <w:szCs w:val="30"/>
          <w:highlight w:val="none"/>
          <w:shd w:val="clear" w:fill="auto"/>
          <w:lang w:val="en-US" w:eastAsia="zh-CN"/>
        </w:rPr>
        <w:t>自卸渣土汽车技术参数要求</w:t>
      </w:r>
    </w:p>
    <w:tbl>
      <w:tblPr>
        <w:tblStyle w:val="15"/>
        <w:tblW w:w="8522" w:type="dxa"/>
        <w:jc w:val="center"/>
        <w:tblLayout w:type="fixed"/>
        <w:tblCellMar>
          <w:top w:w="0" w:type="dxa"/>
          <w:left w:w="10" w:type="dxa"/>
          <w:bottom w:w="0" w:type="dxa"/>
          <w:right w:w="10" w:type="dxa"/>
        </w:tblCellMar>
      </w:tblPr>
      <w:tblGrid>
        <w:gridCol w:w="1132"/>
        <w:gridCol w:w="2672"/>
        <w:gridCol w:w="4718"/>
      </w:tblGrid>
      <w:tr>
        <w:tblPrEx>
          <w:tblCellMar>
            <w:top w:w="0" w:type="dxa"/>
            <w:left w:w="10" w:type="dxa"/>
            <w:bottom w:w="0" w:type="dxa"/>
            <w:right w:w="10" w:type="dxa"/>
          </w:tblCellMar>
        </w:tblPrEx>
        <w:trPr>
          <w:trHeight w:val="0" w:hRule="atLeast"/>
          <w:jc w:val="center"/>
        </w:trPr>
        <w:tc>
          <w:tcPr>
            <w:tcW w:w="113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序号</w:t>
            </w:r>
          </w:p>
        </w:tc>
        <w:tc>
          <w:tcPr>
            <w:tcW w:w="267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项目</w:t>
            </w:r>
          </w:p>
        </w:tc>
        <w:tc>
          <w:tcPr>
            <w:tcW w:w="4718" w:type="dxa"/>
            <w:tcBorders>
              <w:top w:val="single" w:color="000000" w:sz="8"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参数规格</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车辆名称：</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fldChar w:fldCharType="begin"/>
            </w:r>
            <w:r>
              <w:rPr>
                <w:rFonts w:hint="eastAsia" w:ascii="仿宋" w:hAnsi="仿宋" w:eastAsia="仿宋" w:cs="仿宋"/>
                <w:color w:val="auto"/>
                <w:spacing w:val="0"/>
                <w:position w:val="0"/>
                <w:sz w:val="24"/>
                <w:szCs w:val="24"/>
                <w:highlight w:val="none"/>
                <w:shd w:val="clear" w:fill="auto"/>
              </w:rPr>
              <w:instrText xml:space="preserve"> HYPERLINK "http://www.chinacar.com.cn/ccartype/1257_8.html" \o "自卸汽车" \t "_blank" </w:instrText>
            </w:r>
            <w:r>
              <w:rPr>
                <w:rFonts w:hint="eastAsia" w:ascii="仿宋" w:hAnsi="仿宋" w:eastAsia="仿宋" w:cs="仿宋"/>
                <w:color w:val="auto"/>
                <w:spacing w:val="0"/>
                <w:position w:val="0"/>
                <w:sz w:val="24"/>
                <w:szCs w:val="24"/>
                <w:highlight w:val="none"/>
                <w:shd w:val="clear" w:fill="auto"/>
              </w:rPr>
              <w:fldChar w:fldCharType="separate"/>
            </w:r>
            <w:r>
              <w:rPr>
                <w:rFonts w:hint="eastAsia" w:ascii="仿宋" w:hAnsi="仿宋" w:eastAsia="仿宋" w:cs="仿宋"/>
                <w:color w:val="auto"/>
                <w:spacing w:val="0"/>
                <w:position w:val="0"/>
                <w:sz w:val="24"/>
                <w:szCs w:val="24"/>
                <w:highlight w:val="none"/>
                <w:shd w:val="clear" w:fill="auto"/>
              </w:rPr>
              <w:t>自卸汽车</w:t>
            </w:r>
            <w:r>
              <w:rPr>
                <w:rFonts w:hint="eastAsia" w:ascii="仿宋" w:hAnsi="仿宋" w:eastAsia="仿宋" w:cs="仿宋"/>
                <w:color w:val="auto"/>
                <w:spacing w:val="0"/>
                <w:position w:val="0"/>
                <w:sz w:val="24"/>
                <w:szCs w:val="24"/>
                <w:highlight w:val="none"/>
                <w:shd w:val="clear" w:fill="auto"/>
              </w:rPr>
              <w:fldChar w:fldCharType="end"/>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2</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外形尺寸：</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w:t>
            </w:r>
            <w:r>
              <w:rPr>
                <w:rFonts w:hint="eastAsia" w:ascii="仿宋" w:hAnsi="仿宋" w:eastAsia="仿宋" w:cs="仿宋"/>
                <w:color w:val="auto"/>
                <w:spacing w:val="0"/>
                <w:position w:val="0"/>
                <w:sz w:val="24"/>
                <w:szCs w:val="24"/>
                <w:highlight w:val="none"/>
                <w:shd w:val="clear" w:fill="auto"/>
              </w:rPr>
              <w:t>5</w:t>
            </w:r>
            <w:r>
              <w:rPr>
                <w:rFonts w:hint="eastAsia" w:ascii="仿宋" w:hAnsi="仿宋" w:eastAsia="仿宋" w:cs="仿宋"/>
                <w:color w:val="auto"/>
                <w:spacing w:val="0"/>
                <w:position w:val="0"/>
                <w:sz w:val="24"/>
                <w:szCs w:val="24"/>
                <w:highlight w:val="none"/>
                <w:shd w:val="clear" w:fill="auto"/>
                <w:lang w:val="en-US" w:eastAsia="zh-CN"/>
              </w:rPr>
              <w:t>7</w:t>
            </w:r>
            <w:r>
              <w:rPr>
                <w:rFonts w:hint="eastAsia" w:ascii="仿宋" w:hAnsi="仿宋" w:eastAsia="仿宋" w:cs="仿宋"/>
                <w:color w:val="auto"/>
                <w:spacing w:val="0"/>
                <w:position w:val="0"/>
                <w:sz w:val="24"/>
                <w:szCs w:val="24"/>
                <w:highlight w:val="none"/>
                <w:shd w:val="clear" w:fill="auto"/>
              </w:rPr>
              <w:t>80×2210×2</w:t>
            </w:r>
            <w:r>
              <w:rPr>
                <w:rFonts w:hint="eastAsia" w:ascii="仿宋" w:hAnsi="仿宋" w:eastAsia="仿宋" w:cs="仿宋"/>
                <w:color w:val="auto"/>
                <w:spacing w:val="0"/>
                <w:position w:val="0"/>
                <w:sz w:val="24"/>
                <w:szCs w:val="24"/>
                <w:highlight w:val="none"/>
                <w:shd w:val="clear" w:fill="auto"/>
                <w:lang w:val="en-US" w:eastAsia="zh-CN"/>
              </w:rPr>
              <w:t>400</w:t>
            </w:r>
            <w:r>
              <w:rPr>
                <w:rFonts w:hint="eastAsia" w:ascii="仿宋" w:hAnsi="仿宋" w:eastAsia="仿宋" w:cs="仿宋"/>
                <w:color w:val="auto"/>
                <w:spacing w:val="0"/>
                <w:position w:val="0"/>
                <w:sz w:val="24"/>
                <w:szCs w:val="24"/>
                <w:highlight w:val="none"/>
                <w:shd w:val="clear" w:fill="auto"/>
              </w:rPr>
              <w:t>(mm)</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3</w:t>
            </w:r>
          </w:p>
        </w:tc>
        <w:tc>
          <w:tcPr>
            <w:tcW w:w="267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总质量：</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w:t>
            </w:r>
            <w:r>
              <w:rPr>
                <w:rFonts w:hint="eastAsia" w:ascii="仿宋" w:hAnsi="仿宋" w:eastAsia="仿宋" w:cs="仿宋"/>
                <w:color w:val="auto"/>
                <w:spacing w:val="0"/>
                <w:position w:val="0"/>
                <w:sz w:val="24"/>
                <w:szCs w:val="24"/>
                <w:highlight w:val="none"/>
                <w:shd w:val="clear" w:fill="auto"/>
              </w:rPr>
              <w:t>11200(Kg)</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4</w:t>
            </w:r>
          </w:p>
        </w:tc>
        <w:tc>
          <w:tcPr>
            <w:tcW w:w="267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整备质量：</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w:t>
            </w:r>
            <w:r>
              <w:rPr>
                <w:rFonts w:hint="eastAsia" w:ascii="仿宋" w:hAnsi="仿宋" w:eastAsia="仿宋" w:cs="仿宋"/>
                <w:color w:val="auto"/>
                <w:spacing w:val="0"/>
                <w:position w:val="0"/>
                <w:sz w:val="24"/>
                <w:szCs w:val="24"/>
                <w:highlight w:val="none"/>
                <w:shd w:val="clear" w:fill="auto"/>
              </w:rPr>
              <w:t>4650(Kg)</w:t>
            </w:r>
            <w:r>
              <w:rPr>
                <w:rFonts w:hint="eastAsia" w:ascii="仿宋" w:hAnsi="仿宋" w:eastAsia="仿宋" w:cs="仿宋"/>
                <w:color w:val="auto"/>
                <w:spacing w:val="0"/>
                <w:position w:val="0"/>
                <w:sz w:val="24"/>
                <w:szCs w:val="24"/>
                <w:highlight w:val="none"/>
                <w:shd w:val="clear" w:fill="auto"/>
              </w:rPr>
              <w:fldChar w:fldCharType="begin"/>
            </w:r>
            <w:r>
              <w:rPr>
                <w:rFonts w:hint="eastAsia" w:ascii="仿宋" w:hAnsi="仿宋" w:eastAsia="仿宋" w:cs="仿宋"/>
                <w:color w:val="auto"/>
                <w:spacing w:val="0"/>
                <w:position w:val="0"/>
                <w:sz w:val="24"/>
                <w:szCs w:val="24"/>
                <w:highlight w:val="none"/>
                <w:shd w:val="clear" w:fill="auto"/>
              </w:rPr>
              <w:instrText xml:space="preserve"> HYPERLINK "http://www.chinacar.com.cn/newsview88290.html" \l "sm3" \t "_blank" </w:instrText>
            </w:r>
            <w:r>
              <w:rPr>
                <w:rFonts w:hint="eastAsia" w:ascii="仿宋" w:hAnsi="仿宋" w:eastAsia="仿宋" w:cs="仿宋"/>
                <w:color w:val="auto"/>
                <w:spacing w:val="0"/>
                <w:position w:val="0"/>
                <w:sz w:val="24"/>
                <w:szCs w:val="24"/>
                <w:highlight w:val="none"/>
                <w:shd w:val="clear" w:fill="auto"/>
              </w:rPr>
              <w:fldChar w:fldCharType="separate"/>
            </w:r>
            <w:r>
              <w:rPr>
                <w:rFonts w:hint="eastAsia" w:ascii="仿宋" w:hAnsi="仿宋" w:eastAsia="仿宋" w:cs="仿宋"/>
                <w:color w:val="auto"/>
                <w:spacing w:val="0"/>
                <w:position w:val="0"/>
                <w:sz w:val="24"/>
                <w:szCs w:val="24"/>
                <w:highlight w:val="none"/>
                <w:shd w:val="clear" w:fill="auto"/>
              </w:rPr>
              <w:t> </w:t>
            </w:r>
            <w:r>
              <w:rPr>
                <w:rFonts w:hint="eastAsia" w:ascii="仿宋" w:hAnsi="仿宋" w:eastAsia="仿宋" w:cs="仿宋"/>
                <w:color w:val="auto"/>
                <w:spacing w:val="0"/>
                <w:position w:val="0"/>
                <w:sz w:val="24"/>
                <w:szCs w:val="24"/>
                <w:highlight w:val="none"/>
                <w:shd w:val="clear" w:fill="auto"/>
              </w:rPr>
              <w:fldChar w:fldCharType="end"/>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5</w:t>
            </w:r>
          </w:p>
        </w:tc>
        <w:tc>
          <w:tcPr>
            <w:tcW w:w="267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额定载质量：</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w:t>
            </w:r>
            <w:r>
              <w:rPr>
                <w:rFonts w:hint="eastAsia" w:ascii="仿宋" w:hAnsi="仿宋" w:eastAsia="仿宋" w:cs="仿宋"/>
                <w:color w:val="auto"/>
                <w:spacing w:val="0"/>
                <w:position w:val="0"/>
                <w:sz w:val="24"/>
                <w:szCs w:val="24"/>
                <w:highlight w:val="none"/>
                <w:shd w:val="clear" w:fill="auto"/>
              </w:rPr>
              <w:t>6355(Kg)</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6</w:t>
            </w:r>
          </w:p>
        </w:tc>
        <w:tc>
          <w:tcPr>
            <w:tcW w:w="2672" w:type="dxa"/>
            <w:tcBorders>
              <w:top w:val="single" w:color="000000" w:sz="6" w:space="0"/>
              <w:left w:val="single" w:color="000000" w:sz="8" w:space="0"/>
              <w:bottom w:val="single" w:color="000000" w:sz="8"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最高车速：</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w:t>
            </w:r>
            <w:r>
              <w:rPr>
                <w:rFonts w:hint="eastAsia" w:ascii="仿宋" w:hAnsi="仿宋" w:eastAsia="仿宋" w:cs="仿宋"/>
                <w:color w:val="auto"/>
                <w:spacing w:val="0"/>
                <w:position w:val="0"/>
                <w:sz w:val="24"/>
                <w:szCs w:val="24"/>
                <w:highlight w:val="none"/>
                <w:shd w:val="clear" w:fill="auto"/>
              </w:rPr>
              <w:t>105(km/h)</w:t>
            </w:r>
          </w:p>
        </w:tc>
      </w:tr>
      <w:tr>
        <w:tblPrEx>
          <w:tblCellMar>
            <w:top w:w="0" w:type="dxa"/>
            <w:left w:w="10" w:type="dxa"/>
            <w:bottom w:w="0" w:type="dxa"/>
            <w:right w:w="10" w:type="dxa"/>
          </w:tblCellMar>
        </w:tblPrEx>
        <w:trPr>
          <w:trHeight w:val="0" w:hRule="atLeast"/>
          <w:jc w:val="center"/>
        </w:trPr>
        <w:tc>
          <w:tcPr>
            <w:tcW w:w="113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7</w:t>
            </w:r>
          </w:p>
        </w:tc>
        <w:tc>
          <w:tcPr>
            <w:tcW w:w="2672" w:type="dxa"/>
            <w:tcBorders>
              <w:top w:val="single" w:color="000000" w:sz="8"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发动机排放标准</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国六排放</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8</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功率</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w:t>
            </w:r>
            <w:r>
              <w:rPr>
                <w:rFonts w:hint="eastAsia" w:ascii="仿宋" w:hAnsi="仿宋" w:eastAsia="仿宋" w:cs="仿宋"/>
                <w:color w:val="auto"/>
                <w:spacing w:val="0"/>
                <w:position w:val="0"/>
                <w:sz w:val="24"/>
                <w:szCs w:val="24"/>
                <w:highlight w:val="none"/>
                <w:shd w:val="clear" w:fill="auto"/>
              </w:rPr>
              <w:t>110(kw)</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9</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轴距：</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lang w:val="en-US" w:eastAsia="zh-CN"/>
              </w:rPr>
              <w:t>≥3300(mm)</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10</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lang w:val="en-US" w:eastAsia="zh-CN"/>
              </w:rPr>
            </w:pPr>
            <w:r>
              <w:rPr>
                <w:rFonts w:hint="eastAsia" w:ascii="仿宋" w:hAnsi="仿宋" w:eastAsia="仿宋" w:cs="仿宋"/>
                <w:color w:val="auto"/>
                <w:spacing w:val="0"/>
                <w:position w:val="0"/>
                <w:sz w:val="24"/>
                <w:szCs w:val="24"/>
                <w:highlight w:val="none"/>
                <w:shd w:val="clear" w:fill="auto"/>
                <w:lang w:val="en-US" w:eastAsia="zh-CN"/>
              </w:rPr>
              <w:t>燃料种类:</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lang w:val="en-US" w:eastAsia="zh-CN"/>
              </w:rPr>
            </w:pPr>
            <w:r>
              <w:rPr>
                <w:rFonts w:hint="eastAsia" w:ascii="仿宋" w:hAnsi="仿宋" w:eastAsia="仿宋" w:cs="仿宋"/>
                <w:color w:val="auto"/>
                <w:spacing w:val="0"/>
                <w:position w:val="0"/>
                <w:sz w:val="24"/>
                <w:szCs w:val="24"/>
                <w:highlight w:val="none"/>
                <w:shd w:val="clear" w:fill="auto"/>
                <w:lang w:val="en-US" w:eastAsia="zh-CN"/>
              </w:rPr>
              <w:t>柴油</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11</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lang w:val="en-US" w:eastAsia="zh-CN"/>
              </w:rPr>
            </w:pPr>
            <w:r>
              <w:rPr>
                <w:rFonts w:hint="eastAsia" w:ascii="仿宋" w:hAnsi="仿宋" w:eastAsia="仿宋" w:cs="仿宋"/>
                <w:color w:val="auto"/>
                <w:spacing w:val="0"/>
                <w:position w:val="0"/>
                <w:sz w:val="24"/>
                <w:szCs w:val="24"/>
                <w:highlight w:val="none"/>
                <w:shd w:val="clear" w:fill="auto"/>
                <w:lang w:val="en-US" w:eastAsia="zh-CN"/>
              </w:rPr>
              <w:t>接近角/离去角：</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lang w:val="en-US" w:eastAsia="zh-CN"/>
              </w:rPr>
            </w:pPr>
            <w:r>
              <w:rPr>
                <w:rFonts w:hint="eastAsia" w:ascii="仿宋" w:hAnsi="仿宋" w:eastAsia="仿宋" w:cs="仿宋"/>
                <w:color w:val="auto"/>
                <w:spacing w:val="0"/>
                <w:position w:val="0"/>
                <w:sz w:val="24"/>
                <w:szCs w:val="24"/>
                <w:highlight w:val="none"/>
                <w:shd w:val="clear" w:fill="auto"/>
                <w:lang w:val="en-US" w:eastAsia="zh-CN"/>
              </w:rPr>
              <w:t>20/15(°)</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12</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000000"/>
                <w:spacing w:val="0"/>
                <w:position w:val="0"/>
                <w:sz w:val="24"/>
                <w:szCs w:val="24"/>
                <w:highlight w:val="none"/>
                <w:shd w:val="clear" w:fill="auto"/>
              </w:rPr>
              <w:t>产品试验报告</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auto"/>
                <w:spacing w:val="0"/>
                <w:position w:val="0"/>
                <w:sz w:val="24"/>
                <w:szCs w:val="24"/>
                <w:highlight w:val="none"/>
                <w:shd w:val="clear" w:fill="auto"/>
              </w:rPr>
              <w:t>提供产品【检测报告】</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13</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000000"/>
                <w:spacing w:val="0"/>
                <w:position w:val="0"/>
                <w:sz w:val="24"/>
                <w:szCs w:val="24"/>
                <w:highlight w:val="none"/>
                <w:shd w:val="clear" w:fill="auto"/>
              </w:rPr>
              <w:t>公告</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shd w:val="clear" w:fill="auto"/>
              </w:rPr>
            </w:pPr>
            <w:r>
              <w:rPr>
                <w:rFonts w:hint="eastAsia" w:ascii="仿宋" w:hAnsi="仿宋" w:eastAsia="仿宋" w:cs="仿宋"/>
                <w:color w:val="000000"/>
                <w:spacing w:val="0"/>
                <w:position w:val="0"/>
                <w:sz w:val="24"/>
                <w:szCs w:val="24"/>
                <w:highlight w:val="none"/>
                <w:shd w:val="clear" w:fill="auto"/>
              </w:rPr>
              <w:t>提供产品公告页</w:t>
            </w:r>
          </w:p>
        </w:tc>
      </w:tr>
      <w:tr>
        <w:tblPrEx>
          <w:tblCellMar>
            <w:top w:w="0" w:type="dxa"/>
            <w:left w:w="10" w:type="dxa"/>
            <w:bottom w:w="0" w:type="dxa"/>
            <w:right w:w="10" w:type="dxa"/>
          </w:tblCellMar>
        </w:tblPrEx>
        <w:trPr>
          <w:trHeight w:val="0" w:hRule="atLeast"/>
          <w:jc w:val="center"/>
        </w:trPr>
        <w:tc>
          <w:tcPr>
            <w:tcW w:w="113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shd w:val="clear" w:fill="auto"/>
              </w:rPr>
              <w:t>14</w:t>
            </w:r>
          </w:p>
        </w:tc>
        <w:tc>
          <w:tcPr>
            <w:tcW w:w="2672" w:type="dxa"/>
            <w:tcBorders>
              <w:top w:val="single" w:color="000000" w:sz="6" w:space="0"/>
              <w:left w:val="single" w:color="000000" w:sz="8"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3C</w:t>
            </w:r>
          </w:p>
        </w:tc>
        <w:tc>
          <w:tcPr>
            <w:tcW w:w="47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leftChars="0" w:right="0" w:rightChars="0" w:firstLine="0" w:firstLineChars="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000000"/>
                <w:spacing w:val="0"/>
                <w:position w:val="0"/>
                <w:sz w:val="24"/>
                <w:szCs w:val="24"/>
                <w:highlight w:val="none"/>
                <w:shd w:val="clear" w:fill="auto"/>
              </w:rPr>
              <w:t>投标产品具备国家3C认证证书</w:t>
            </w:r>
          </w:p>
        </w:tc>
      </w:tr>
    </w:tbl>
    <w:p>
      <w:pPr>
        <w:rPr>
          <w:rFonts w:hint="eastAsia" w:ascii="仿宋" w:hAnsi="仿宋" w:eastAsia="仿宋" w:cs="仿宋"/>
          <w:highlight w:val="none"/>
          <w:lang w:val="en-US" w:eastAsia="zh-CN"/>
        </w:rPr>
      </w:pPr>
    </w:p>
    <w:p>
      <w:pPr>
        <w:rPr>
          <w:rFonts w:hint="eastAsia" w:ascii="仿宋" w:hAnsi="仿宋" w:eastAsia="仿宋" w:cs="仿宋"/>
          <w:color w:val="auto"/>
          <w:spacing w:val="0"/>
          <w:position w:val="0"/>
          <w:sz w:val="24"/>
          <w:szCs w:val="24"/>
          <w:highlight w:val="none"/>
          <w:shd w:val="clear" w:fill="auto"/>
        </w:rPr>
      </w:pPr>
    </w:p>
    <w:p>
      <w:pPr>
        <w:spacing w:line="240" w:lineRule="auto"/>
        <w:ind w:left="0" w:right="0" w:firstLine="0"/>
        <w:jc w:val="center"/>
        <w:outlineLvl w:val="0"/>
        <w:rPr>
          <w:rFonts w:hint="eastAsia" w:ascii="仿宋" w:hAnsi="仿宋" w:eastAsia="仿宋" w:cs="仿宋"/>
          <w:highlight w:val="none"/>
        </w:rPr>
      </w:pPr>
    </w:p>
    <w:p>
      <w:pPr>
        <w:spacing w:line="360" w:lineRule="auto"/>
        <w:jc w:val="center"/>
        <w:outlineLvl w:val="0"/>
        <w:rPr>
          <w:rFonts w:ascii="Times New Roman" w:hAnsi="Times New Roman" w:eastAsia="宋体" w:cs="Times New Roman"/>
          <w:b/>
          <w:sz w:val="32"/>
          <w:szCs w:val="24"/>
          <w:highlight w:val="none"/>
        </w:rPr>
      </w:pPr>
    </w:p>
    <w:p>
      <w:pPr>
        <w:rPr>
          <w:rFonts w:ascii="Times New Roman" w:hAnsi="Times New Roman" w:eastAsia="宋体" w:cs="Times New Roman"/>
          <w:b/>
          <w:sz w:val="32"/>
          <w:szCs w:val="24"/>
          <w:highlight w:val="none"/>
        </w:rPr>
      </w:pPr>
      <w:r>
        <w:rPr>
          <w:rFonts w:hint="eastAsia" w:ascii="Times New Roman" w:hAnsi="Times New Roman" w:eastAsia="宋体" w:cs="Times New Roman"/>
          <w:b/>
          <w:sz w:val="32"/>
          <w:szCs w:val="24"/>
          <w:highlight w:val="none"/>
        </w:rPr>
        <w:br w:type="page"/>
      </w:r>
    </w:p>
    <w:p>
      <w:pPr>
        <w:spacing w:line="360" w:lineRule="auto"/>
        <w:jc w:val="center"/>
        <w:outlineLvl w:val="0"/>
        <w:rPr>
          <w:rFonts w:ascii="Times New Roman" w:hAnsi="Times New Roman" w:eastAsia="宋体" w:cs="Times New Roman"/>
          <w:b/>
          <w:sz w:val="32"/>
          <w:szCs w:val="24"/>
          <w:highlight w:val="none"/>
        </w:rPr>
      </w:pPr>
      <w:r>
        <w:rPr>
          <w:rFonts w:hint="eastAsia" w:ascii="Times New Roman" w:hAnsi="Times New Roman" w:eastAsia="宋体" w:cs="Times New Roman"/>
          <w:b/>
          <w:sz w:val="32"/>
          <w:szCs w:val="24"/>
          <w:highlight w:val="none"/>
        </w:rPr>
        <w:t>车辆采购特别说明</w:t>
      </w:r>
      <w:bookmarkEnd w:id="7"/>
      <w:bookmarkEnd w:id="8"/>
    </w:p>
    <w:p>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1、所供货垃圾车均要求必须是全新原厂原装产品，符合国家相关质量标准和技术要求，具有合法的可上牌手续。</w:t>
      </w:r>
    </w:p>
    <w:p>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2、所供货车辆均应随车同时提供车辆的全套使用说明书、出厂合格证书、随车附件及随车相关资料，所投车辆必须为国家工信部公告中查询到的型号。</w:t>
      </w:r>
    </w:p>
    <w:p>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3、所供货车辆原则上均要求车辆零公里销售;若供应商做不到，需解释并在合理的范围内自限定公里数。注:送货到用户单位的除外。</w:t>
      </w:r>
    </w:p>
    <w:p>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4、所供货车辆未特别注明的，均默认为按照该项目型号及配置参数的车辆生产厂家原始出厂时的标准配置采购。</w:t>
      </w:r>
    </w:p>
    <w:p>
      <w:pPr>
        <w:spacing w:line="360" w:lineRule="auto"/>
        <w:ind w:firstLine="560" w:firstLineChars="200"/>
        <w:rPr>
          <w:rFonts w:hint="eastAsia"/>
          <w:sz w:val="24"/>
          <w:szCs w:val="24"/>
          <w:highlight w:val="none"/>
        </w:rPr>
      </w:pPr>
      <w:r>
        <w:rPr>
          <w:rFonts w:hint="eastAsia" w:ascii="Times New Roman" w:hAnsi="Times New Roman" w:eastAsia="宋体" w:cs="Times New Roman"/>
          <w:sz w:val="28"/>
          <w:szCs w:val="28"/>
          <w:highlight w:val="none"/>
        </w:rPr>
        <w:t>5、凡售后服务需求未特别注明的,均默认为按照该款车辆生产厂家规定的售后服务相关条款执行</w:t>
      </w:r>
      <w:r>
        <w:rPr>
          <w:rFonts w:hint="eastAsia"/>
          <w:sz w:val="24"/>
          <w:szCs w:val="24"/>
          <w:highlight w:val="none"/>
        </w:rPr>
        <w:t>。</w:t>
      </w:r>
    </w:p>
    <w:p>
      <w:pPr>
        <w:pStyle w:val="2"/>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 xml:space="preserve">    6、投标车辆需提供国家质检部门出具的车辆检测报告。验收时严格按照供应商投标时技术参数验收，如不相符，使用单位追究供应商法律责任。</w:t>
      </w:r>
    </w:p>
    <w:p>
      <w:pPr>
        <w:pStyle w:val="22"/>
        <w:rPr>
          <w:sz w:val="24"/>
          <w:highlight w:val="none"/>
        </w:rPr>
      </w:pPr>
    </w:p>
    <w:p>
      <w:pPr>
        <w:pStyle w:val="22"/>
        <w:rPr>
          <w:sz w:val="24"/>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pPr>
        <w:rPr>
          <w:highlight w:val="none"/>
        </w:rPr>
      </w:pPr>
    </w:p>
    <w:p>
      <w:pPr>
        <w:jc w:val="center"/>
        <w:rPr>
          <w:rFonts w:asciiTheme="minorEastAsia" w:hAnsiTheme="minorEastAsia"/>
          <w:b/>
          <w:sz w:val="32"/>
          <w:szCs w:val="28"/>
          <w:highlight w:val="none"/>
        </w:rPr>
      </w:pPr>
      <w:r>
        <w:rPr>
          <w:rFonts w:hint="eastAsia" w:asciiTheme="minorEastAsia" w:hAnsiTheme="minorEastAsia"/>
          <w:b/>
          <w:sz w:val="32"/>
          <w:szCs w:val="28"/>
          <w:highlight w:val="none"/>
        </w:rPr>
        <w:t>第五章  评标方法与评标标准</w:t>
      </w:r>
    </w:p>
    <w:p>
      <w:pPr>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一、初步审查</w:t>
      </w:r>
    </w:p>
    <w:p>
      <w:pPr>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评标委员会对投标文件进行初步审查。</w:t>
      </w:r>
      <w:r>
        <w:rPr>
          <w:rFonts w:hint="eastAsia" w:asciiTheme="minorEastAsia" w:hAnsiTheme="minorEastAsia"/>
          <w:bCs/>
          <w:sz w:val="28"/>
          <w:szCs w:val="28"/>
          <w:highlight w:val="none"/>
        </w:rPr>
        <w:t>投标文件不符合资格性审查及符合性审查条件的，</w:t>
      </w:r>
      <w:r>
        <w:rPr>
          <w:rFonts w:hint="eastAsia" w:asciiTheme="minorEastAsia" w:hAnsiTheme="minorEastAsia"/>
          <w:sz w:val="28"/>
          <w:szCs w:val="28"/>
          <w:highlight w:val="none"/>
        </w:rPr>
        <w:t>其投标文件无效，不得进入下一阶段评审</w:t>
      </w:r>
    </w:p>
    <w:tbl>
      <w:tblPr>
        <w:tblStyle w:val="15"/>
        <w:tblpPr w:leftFromText="180" w:rightFromText="180" w:vertAnchor="text" w:horzAnchor="page" w:tblpX="1518"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31"/>
        <w:gridCol w:w="528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Align w:val="center"/>
          </w:tcPr>
          <w:p>
            <w:pPr>
              <w:spacing w:line="440" w:lineRule="exact"/>
              <w:jc w:val="center"/>
              <w:rPr>
                <w:rFonts w:ascii="宋体" w:hAnsi="宋体"/>
                <w:b/>
                <w:szCs w:val="21"/>
                <w:highlight w:val="none"/>
              </w:rPr>
            </w:pPr>
            <w:r>
              <w:rPr>
                <w:rFonts w:hint="eastAsia" w:ascii="宋体" w:hAnsi="宋体"/>
                <w:b/>
                <w:szCs w:val="21"/>
                <w:highlight w:val="none"/>
              </w:rPr>
              <w:t>项目</w:t>
            </w:r>
          </w:p>
        </w:tc>
        <w:tc>
          <w:tcPr>
            <w:tcW w:w="2631" w:type="dxa"/>
            <w:vAlign w:val="center"/>
          </w:tcPr>
          <w:p>
            <w:pPr>
              <w:spacing w:line="440" w:lineRule="exact"/>
              <w:jc w:val="center"/>
              <w:rPr>
                <w:rFonts w:ascii="宋体" w:hAnsi="宋体"/>
                <w:b/>
                <w:szCs w:val="21"/>
                <w:highlight w:val="none"/>
              </w:rPr>
            </w:pPr>
            <w:r>
              <w:rPr>
                <w:rFonts w:ascii="宋体" w:hAnsi="宋体"/>
                <w:b/>
                <w:szCs w:val="21"/>
                <w:highlight w:val="none"/>
              </w:rPr>
              <w:t>评审因素</w:t>
            </w:r>
          </w:p>
        </w:tc>
        <w:tc>
          <w:tcPr>
            <w:tcW w:w="5285" w:type="dxa"/>
            <w:vAlign w:val="center"/>
          </w:tcPr>
          <w:p>
            <w:pPr>
              <w:spacing w:line="440" w:lineRule="exact"/>
              <w:jc w:val="center"/>
              <w:rPr>
                <w:rFonts w:ascii="宋体" w:hAnsi="宋体"/>
                <w:b/>
                <w:szCs w:val="21"/>
                <w:highlight w:val="none"/>
              </w:rPr>
            </w:pPr>
            <w:r>
              <w:rPr>
                <w:rFonts w:ascii="宋体" w:hAnsi="宋体"/>
                <w:b/>
                <w:szCs w:val="21"/>
                <w:highlight w:val="none"/>
              </w:rPr>
              <w:t>评审标准</w:t>
            </w:r>
          </w:p>
        </w:tc>
        <w:tc>
          <w:tcPr>
            <w:tcW w:w="703" w:type="dxa"/>
            <w:vAlign w:val="center"/>
          </w:tcPr>
          <w:p>
            <w:pPr>
              <w:jc w:val="center"/>
              <w:rPr>
                <w:rFonts w:ascii="宋体" w:hAnsi="宋体"/>
                <w:highlight w:val="none"/>
              </w:rPr>
            </w:pPr>
            <w:r>
              <w:rPr>
                <w:rFonts w:hint="eastAsia" w:ascii="宋体" w:hAnsi="宋体"/>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restart"/>
            <w:vAlign w:val="center"/>
          </w:tcPr>
          <w:p>
            <w:pPr>
              <w:spacing w:line="440" w:lineRule="exact"/>
              <w:jc w:val="center"/>
              <w:rPr>
                <w:rFonts w:ascii="宋体" w:hAnsi="宋体"/>
                <w:b/>
                <w:bCs/>
                <w:szCs w:val="21"/>
                <w:highlight w:val="none"/>
              </w:rPr>
            </w:pPr>
            <w:r>
              <w:rPr>
                <w:rFonts w:hint="eastAsia" w:ascii="宋体" w:hAnsi="宋体"/>
                <w:b/>
                <w:bCs/>
                <w:szCs w:val="21"/>
                <w:highlight w:val="none"/>
              </w:rPr>
              <w:t>资格性审查</w:t>
            </w:r>
          </w:p>
        </w:tc>
        <w:tc>
          <w:tcPr>
            <w:tcW w:w="2631" w:type="dxa"/>
            <w:vAlign w:val="center"/>
          </w:tcPr>
          <w:p>
            <w:pPr>
              <w:jc w:val="center"/>
              <w:rPr>
                <w:rFonts w:ascii="宋体" w:hAnsi="宋体"/>
                <w:highlight w:val="none"/>
              </w:rPr>
            </w:pPr>
            <w:r>
              <w:rPr>
                <w:rFonts w:hint="eastAsia" w:ascii="宋体" w:hAnsi="宋体"/>
                <w:highlight w:val="none"/>
              </w:rPr>
              <w:t>具有独立承担民事责任的能力</w:t>
            </w:r>
          </w:p>
        </w:tc>
        <w:tc>
          <w:tcPr>
            <w:tcW w:w="5285" w:type="dxa"/>
            <w:vAlign w:val="center"/>
          </w:tcPr>
          <w:p>
            <w:pPr>
              <w:rPr>
                <w:rFonts w:ascii="宋体" w:hAnsi="宋体"/>
                <w:highlight w:val="none"/>
              </w:rPr>
            </w:pPr>
            <w:r>
              <w:rPr>
                <w:rFonts w:hint="eastAsia" w:ascii="宋体" w:hAnsi="宋体"/>
                <w:highlight w:val="none"/>
              </w:rPr>
              <w:t>提供有效的营业执照复印件</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01" w:type="dxa"/>
            <w:vMerge w:val="continue"/>
            <w:tcBorders/>
            <w:vAlign w:val="center"/>
          </w:tcPr>
          <w:p>
            <w:pPr>
              <w:spacing w:line="440" w:lineRule="exact"/>
              <w:jc w:val="center"/>
              <w:rPr>
                <w:rFonts w:ascii="宋体" w:hAnsi="宋体"/>
                <w:b/>
                <w:bCs/>
                <w:szCs w:val="21"/>
                <w:highlight w:val="none"/>
              </w:rPr>
            </w:pPr>
          </w:p>
        </w:tc>
        <w:tc>
          <w:tcPr>
            <w:tcW w:w="2631" w:type="dxa"/>
            <w:vAlign w:val="center"/>
          </w:tcPr>
          <w:p>
            <w:pPr>
              <w:jc w:val="center"/>
              <w:rPr>
                <w:rFonts w:ascii="宋体" w:hAnsi="宋体"/>
                <w:highlight w:val="none"/>
              </w:rPr>
            </w:pPr>
            <w:r>
              <w:rPr>
                <w:rFonts w:hint="eastAsia" w:ascii="宋体" w:hAnsi="宋体"/>
                <w:highlight w:val="none"/>
              </w:rPr>
              <w:t>具有健全的财务会计制度</w:t>
            </w:r>
          </w:p>
        </w:tc>
        <w:tc>
          <w:tcPr>
            <w:tcW w:w="5285" w:type="dxa"/>
            <w:vAlign w:val="center"/>
          </w:tcPr>
          <w:p>
            <w:pPr>
              <w:rPr>
                <w:rFonts w:ascii="宋体" w:hAnsi="宋体"/>
                <w:highlight w:val="none"/>
              </w:rPr>
            </w:pPr>
            <w:r>
              <w:rPr>
                <w:rFonts w:hint="eastAsia" w:ascii="宋体" w:hAnsi="宋体"/>
                <w:bCs/>
                <w:kern w:val="0"/>
                <w:szCs w:val="21"/>
                <w:highlight w:val="none"/>
              </w:rPr>
              <w:t>提供近</w:t>
            </w:r>
            <w:r>
              <w:rPr>
                <w:rFonts w:hint="eastAsia" w:ascii="宋体" w:hAnsi="宋体"/>
                <w:bCs/>
                <w:kern w:val="0"/>
                <w:szCs w:val="21"/>
                <w:highlight w:val="none"/>
                <w:lang w:eastAsia="zh-CN"/>
              </w:rPr>
              <w:t>一</w:t>
            </w:r>
            <w:r>
              <w:rPr>
                <w:rFonts w:hint="eastAsia" w:ascii="宋体" w:hAnsi="宋体"/>
                <w:bCs/>
                <w:kern w:val="0"/>
                <w:szCs w:val="21"/>
                <w:highlight w:val="none"/>
              </w:rPr>
              <w:t>年的年度的财务状况报告复印件；</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01" w:type="dxa"/>
            <w:vMerge w:val="continue"/>
            <w:tcBorders/>
            <w:vAlign w:val="center"/>
          </w:tcPr>
          <w:p>
            <w:pPr>
              <w:spacing w:line="440" w:lineRule="exact"/>
              <w:jc w:val="center"/>
              <w:rPr>
                <w:rFonts w:ascii="宋体" w:hAnsi="宋体"/>
                <w:b/>
                <w:bCs/>
                <w:szCs w:val="21"/>
                <w:highlight w:val="none"/>
              </w:rPr>
            </w:pPr>
          </w:p>
        </w:tc>
        <w:tc>
          <w:tcPr>
            <w:tcW w:w="2631" w:type="dxa"/>
            <w:vAlign w:val="center"/>
          </w:tcPr>
          <w:p>
            <w:pPr>
              <w:jc w:val="center"/>
              <w:rPr>
                <w:rFonts w:ascii="宋体" w:hAnsi="宋体"/>
                <w:highlight w:val="none"/>
              </w:rPr>
            </w:pPr>
            <w:r>
              <w:rPr>
                <w:rFonts w:hint="eastAsia" w:ascii="宋体" w:hAnsi="宋体"/>
                <w:highlight w:val="none"/>
              </w:rPr>
              <w:t>具有履行合同所必需的设备和专业技术能力</w:t>
            </w:r>
          </w:p>
        </w:tc>
        <w:tc>
          <w:tcPr>
            <w:tcW w:w="5285" w:type="dxa"/>
            <w:vAlign w:val="center"/>
          </w:tcPr>
          <w:p>
            <w:pPr>
              <w:rPr>
                <w:rFonts w:ascii="宋体" w:hAnsi="宋体"/>
                <w:highlight w:val="none"/>
              </w:rPr>
            </w:pPr>
            <w:r>
              <w:rPr>
                <w:rFonts w:hint="eastAsia" w:ascii="宋体" w:hAnsi="宋体"/>
                <w:highlight w:val="none"/>
              </w:rPr>
              <w:t>投标人提供书面声明或相关证明材料</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01" w:type="dxa"/>
            <w:vMerge w:val="continue"/>
            <w:tcBorders/>
            <w:vAlign w:val="center"/>
          </w:tcPr>
          <w:p>
            <w:pPr>
              <w:spacing w:line="440" w:lineRule="exact"/>
              <w:jc w:val="center"/>
              <w:rPr>
                <w:rFonts w:ascii="宋体" w:hAnsi="宋体"/>
                <w:b/>
                <w:bCs/>
                <w:szCs w:val="21"/>
                <w:highlight w:val="none"/>
              </w:rPr>
            </w:pPr>
          </w:p>
        </w:tc>
        <w:tc>
          <w:tcPr>
            <w:tcW w:w="2631" w:type="dxa"/>
            <w:vAlign w:val="center"/>
          </w:tcPr>
          <w:p>
            <w:pPr>
              <w:jc w:val="center"/>
              <w:rPr>
                <w:rFonts w:ascii="宋体" w:hAnsi="宋体"/>
                <w:highlight w:val="none"/>
              </w:rPr>
            </w:pPr>
            <w:r>
              <w:rPr>
                <w:rFonts w:hint="eastAsia" w:ascii="宋体" w:hAnsi="宋体"/>
                <w:highlight w:val="none"/>
              </w:rPr>
              <w:t>有依法缴纳税收和社会保障资金的良好记录</w:t>
            </w:r>
          </w:p>
        </w:tc>
        <w:tc>
          <w:tcPr>
            <w:tcW w:w="5285" w:type="dxa"/>
            <w:vAlign w:val="center"/>
          </w:tcPr>
          <w:p>
            <w:pPr>
              <w:rPr>
                <w:rFonts w:ascii="宋体" w:hAnsi="宋体"/>
                <w:szCs w:val="21"/>
                <w:highlight w:val="none"/>
              </w:rPr>
            </w:pPr>
            <w:r>
              <w:rPr>
                <w:rFonts w:ascii="Arial" w:hAnsi="Arial" w:cs="Arial"/>
                <w:szCs w:val="21"/>
                <w:highlight w:val="none"/>
              </w:rPr>
              <w:t>提供参加本次政府采购活动前近半年内的依法缴纳税收和社会保障资金的相关材料</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01" w:type="dxa"/>
            <w:vMerge w:val="continue"/>
            <w:tcBorders/>
            <w:vAlign w:val="center"/>
          </w:tcPr>
          <w:p>
            <w:pPr>
              <w:spacing w:line="440" w:lineRule="exact"/>
              <w:jc w:val="center"/>
              <w:rPr>
                <w:rFonts w:ascii="宋体" w:hAnsi="宋体"/>
                <w:b/>
                <w:bCs/>
                <w:szCs w:val="21"/>
                <w:highlight w:val="none"/>
              </w:rPr>
            </w:pPr>
          </w:p>
        </w:tc>
        <w:tc>
          <w:tcPr>
            <w:tcW w:w="2631" w:type="dxa"/>
            <w:vAlign w:val="center"/>
          </w:tcPr>
          <w:p>
            <w:pPr>
              <w:jc w:val="center"/>
              <w:rPr>
                <w:rFonts w:ascii="宋体" w:hAnsi="宋体"/>
                <w:highlight w:val="none"/>
              </w:rPr>
            </w:pPr>
            <w:r>
              <w:rPr>
                <w:rFonts w:hint="eastAsia" w:ascii="宋体" w:hAnsi="宋体"/>
                <w:highlight w:val="none"/>
              </w:rPr>
              <w:t>参加政府采购活动前三年内，在经营活动中没有重大违法记录</w:t>
            </w:r>
          </w:p>
        </w:tc>
        <w:tc>
          <w:tcPr>
            <w:tcW w:w="5285" w:type="dxa"/>
            <w:vAlign w:val="center"/>
          </w:tcPr>
          <w:p>
            <w:pPr>
              <w:rPr>
                <w:rFonts w:ascii="宋体" w:hAnsi="宋体"/>
                <w:highlight w:val="none"/>
              </w:rPr>
            </w:pPr>
            <w:r>
              <w:rPr>
                <w:rFonts w:hint="eastAsia" w:ascii="宋体" w:hAnsi="宋体"/>
                <w:highlight w:val="none"/>
              </w:rPr>
              <w:t>投标声明按招标文件规定格式完整提供</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01" w:type="dxa"/>
            <w:vMerge w:val="continue"/>
            <w:tcBorders/>
            <w:vAlign w:val="center"/>
          </w:tcPr>
          <w:p>
            <w:pPr>
              <w:spacing w:line="440" w:lineRule="exact"/>
              <w:jc w:val="center"/>
              <w:rPr>
                <w:rFonts w:ascii="宋体" w:hAnsi="宋体"/>
                <w:b/>
                <w:bCs/>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企业信用信息</w:t>
            </w:r>
          </w:p>
        </w:tc>
        <w:tc>
          <w:tcPr>
            <w:tcW w:w="5285" w:type="dxa"/>
            <w:vAlign w:val="center"/>
          </w:tcPr>
          <w:p>
            <w:pPr>
              <w:rPr>
                <w:rFonts w:ascii="宋体" w:hAnsi="宋体"/>
                <w:highlight w:val="none"/>
              </w:rPr>
            </w:pPr>
            <w:r>
              <w:rPr>
                <w:rFonts w:hint="eastAsia" w:ascii="宋体" w:hAnsi="宋体"/>
                <w:highlight w:val="none"/>
              </w:rPr>
              <w:t>未被“信用中国”网站列入失信被执行人、</w:t>
            </w:r>
            <w:r>
              <w:rPr>
                <w:rFonts w:hint="eastAsia" w:ascii="宋体" w:hAnsi="宋体"/>
                <w:highlight w:val="none"/>
                <w:lang w:eastAsia="zh-CN"/>
              </w:rPr>
              <w:t>重大税收违法失信主体</w:t>
            </w:r>
            <w:r>
              <w:rPr>
                <w:rFonts w:hint="eastAsia" w:ascii="宋体" w:hAnsi="宋体"/>
                <w:highlight w:val="none"/>
              </w:rPr>
              <w:t>，未被中国政府采购网列入严重违法失信行为记录名单。</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01" w:type="dxa"/>
            <w:vMerge w:val="continue"/>
            <w:tcBorders/>
            <w:vAlign w:val="center"/>
          </w:tcPr>
          <w:p>
            <w:pPr>
              <w:spacing w:line="440" w:lineRule="exact"/>
              <w:jc w:val="center"/>
              <w:rPr>
                <w:rFonts w:ascii="宋体" w:hAnsi="宋体"/>
                <w:b/>
                <w:bCs/>
                <w:szCs w:val="21"/>
                <w:highlight w:val="none"/>
              </w:rPr>
            </w:pPr>
          </w:p>
        </w:tc>
        <w:tc>
          <w:tcPr>
            <w:tcW w:w="2631" w:type="dxa"/>
            <w:vAlign w:val="center"/>
          </w:tcPr>
          <w:p>
            <w:pPr>
              <w:spacing w:line="440" w:lineRule="exact"/>
              <w:jc w:val="center"/>
              <w:rPr>
                <w:rFonts w:hint="eastAsia" w:ascii="宋体" w:hAnsi="宋体"/>
                <w:szCs w:val="21"/>
                <w:highlight w:val="none"/>
                <w:lang w:eastAsia="zh-CN"/>
              </w:rPr>
            </w:pPr>
            <w:r>
              <w:rPr>
                <w:rFonts w:hint="eastAsia" w:ascii="宋体" w:hAnsi="宋体"/>
                <w:szCs w:val="21"/>
                <w:highlight w:val="none"/>
                <w:lang w:eastAsia="zh-CN"/>
              </w:rPr>
              <w:t>其他</w:t>
            </w:r>
          </w:p>
        </w:tc>
        <w:tc>
          <w:tcPr>
            <w:tcW w:w="5285" w:type="dxa"/>
            <w:vAlign w:val="center"/>
          </w:tcPr>
          <w:p>
            <w:pPr>
              <w:rPr>
                <w:rFonts w:hint="eastAsia" w:ascii="宋体" w:hAnsi="宋体"/>
                <w:highlight w:val="none"/>
              </w:rPr>
            </w:pPr>
            <w:r>
              <w:rPr>
                <w:rFonts w:hint="eastAsia" w:ascii="宋体" w:hAnsi="宋体"/>
                <w:highlight w:val="none"/>
              </w:rPr>
              <w:t>与招标人存在利害关系可能影响招标公正性的法人、其他组织或者个人，不得参加投标，单位负责人为同一人或者存在控股、管理关系的不同单位，不得参加投标</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01" w:type="dxa"/>
            <w:vMerge w:val="continue"/>
            <w:tcBorders/>
            <w:vAlign w:val="center"/>
          </w:tcPr>
          <w:p>
            <w:pPr>
              <w:spacing w:line="440" w:lineRule="exact"/>
              <w:jc w:val="center"/>
              <w:rPr>
                <w:rFonts w:ascii="宋体" w:hAnsi="宋体"/>
                <w:b/>
                <w:bCs/>
                <w:szCs w:val="21"/>
                <w:highlight w:val="none"/>
              </w:rPr>
            </w:pPr>
          </w:p>
        </w:tc>
        <w:tc>
          <w:tcPr>
            <w:tcW w:w="2631" w:type="dxa"/>
            <w:vAlign w:val="center"/>
          </w:tcPr>
          <w:p>
            <w:pPr>
              <w:spacing w:line="440" w:lineRule="exact"/>
              <w:jc w:val="center"/>
              <w:rPr>
                <w:rFonts w:hint="eastAsia" w:ascii="宋体" w:hAnsi="宋体" w:eastAsiaTheme="minorEastAsia"/>
                <w:szCs w:val="21"/>
                <w:highlight w:val="none"/>
                <w:lang w:eastAsia="zh-CN"/>
              </w:rPr>
            </w:pPr>
            <w:r>
              <w:rPr>
                <w:rFonts w:hint="eastAsia" w:ascii="宋体" w:hAnsi="宋体"/>
                <w:szCs w:val="21"/>
                <w:highlight w:val="none"/>
                <w:lang w:eastAsia="zh-CN"/>
              </w:rPr>
              <w:t>其他</w:t>
            </w:r>
          </w:p>
        </w:tc>
        <w:tc>
          <w:tcPr>
            <w:tcW w:w="5285" w:type="dxa"/>
            <w:vAlign w:val="center"/>
          </w:tcPr>
          <w:p>
            <w:pPr>
              <w:rPr>
                <w:rFonts w:hint="eastAsia" w:ascii="宋体" w:hAnsi="宋体"/>
                <w:highlight w:val="none"/>
              </w:rPr>
            </w:pPr>
            <w:r>
              <w:rPr>
                <w:rFonts w:hint="eastAsia" w:ascii="宋体" w:hAnsi="宋体"/>
                <w:highlight w:val="none"/>
              </w:rPr>
              <w:t>法律、行政法规规定的其他条件</w:t>
            </w:r>
          </w:p>
        </w:tc>
        <w:tc>
          <w:tcPr>
            <w:tcW w:w="703" w:type="dxa"/>
            <w:vAlign w:val="center"/>
          </w:tcPr>
          <w:p>
            <w:pPr>
              <w:jc w:val="center"/>
              <w:rPr>
                <w:rFonts w:ascii="宋体" w:hAnsi="宋体"/>
                <w:highlight w:val="none"/>
              </w:rPr>
            </w:pPr>
          </w:p>
        </w:tc>
      </w:tr>
    </w:tbl>
    <w:p>
      <w:pPr>
        <w:ind w:firstLine="482" w:firstLineChars="200"/>
        <w:rPr>
          <w:rFonts w:ascii="宋体" w:hAnsi="宋体" w:cs="宋体"/>
          <w:b/>
          <w:sz w:val="24"/>
          <w:highlight w:val="none"/>
        </w:rPr>
      </w:pPr>
      <w:r>
        <w:rPr>
          <w:rFonts w:hint="eastAsia" w:ascii="宋体" w:hAnsi="宋体" w:cs="宋体"/>
          <w:b/>
          <w:sz w:val="24"/>
          <w:highlight w:val="none"/>
        </w:rPr>
        <w:t>备注：如有一项未通过，采购人将认定整个投标文件未响应</w:t>
      </w:r>
      <w:r>
        <w:rPr>
          <w:rFonts w:hint="eastAsia" w:ascii="宋体" w:hAnsi="宋体" w:cs="宋体"/>
          <w:b/>
          <w:sz w:val="24"/>
          <w:highlight w:val="none"/>
          <w:lang w:eastAsia="zh-CN"/>
        </w:rPr>
        <w:t>招标</w:t>
      </w:r>
      <w:r>
        <w:rPr>
          <w:rFonts w:hint="eastAsia" w:ascii="宋体" w:hAnsi="宋体" w:cs="宋体"/>
          <w:b/>
          <w:sz w:val="24"/>
          <w:highlight w:val="none"/>
        </w:rPr>
        <w:t>文件而予以废标处理。</w:t>
      </w:r>
    </w:p>
    <w:p>
      <w:pPr>
        <w:widowControl/>
        <w:jc w:val="left"/>
        <w:rPr>
          <w:rFonts w:ascii="宋体" w:hAnsi="宋体" w:cs="宋体"/>
          <w:b/>
          <w:sz w:val="24"/>
          <w:highlight w:val="none"/>
        </w:rPr>
      </w:pPr>
      <w:r>
        <w:rPr>
          <w:rFonts w:ascii="宋体" w:hAnsi="宋体" w:cs="宋体"/>
          <w:b/>
          <w:sz w:val="24"/>
          <w:highlight w:val="none"/>
        </w:rPr>
        <w:br w:type="page"/>
      </w:r>
    </w:p>
    <w:p>
      <w:pPr>
        <w:ind w:firstLine="560" w:firstLineChars="200"/>
        <w:rPr>
          <w:rFonts w:asciiTheme="minorEastAsia" w:hAnsiTheme="minorEastAsia"/>
          <w:sz w:val="28"/>
          <w:szCs w:val="28"/>
          <w:highlight w:val="none"/>
        </w:rPr>
      </w:pPr>
    </w:p>
    <w:tbl>
      <w:tblPr>
        <w:tblStyle w:val="15"/>
        <w:tblpPr w:leftFromText="180" w:rightFromText="180" w:vertAnchor="text" w:horzAnchor="page" w:tblpX="1518"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31"/>
        <w:gridCol w:w="528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Align w:val="center"/>
          </w:tcPr>
          <w:p>
            <w:pPr>
              <w:spacing w:line="440" w:lineRule="exact"/>
              <w:jc w:val="center"/>
              <w:rPr>
                <w:rFonts w:ascii="宋体" w:hAnsi="宋体"/>
                <w:b/>
                <w:szCs w:val="21"/>
                <w:highlight w:val="none"/>
              </w:rPr>
            </w:pPr>
            <w:r>
              <w:rPr>
                <w:rFonts w:hint="eastAsia" w:ascii="宋体" w:hAnsi="宋体"/>
                <w:b/>
                <w:szCs w:val="21"/>
                <w:highlight w:val="none"/>
              </w:rPr>
              <w:t>项目</w:t>
            </w:r>
          </w:p>
        </w:tc>
        <w:tc>
          <w:tcPr>
            <w:tcW w:w="2631" w:type="dxa"/>
            <w:vAlign w:val="center"/>
          </w:tcPr>
          <w:p>
            <w:pPr>
              <w:spacing w:line="440" w:lineRule="exact"/>
              <w:jc w:val="center"/>
              <w:rPr>
                <w:rFonts w:ascii="宋体" w:hAnsi="宋体"/>
                <w:b/>
                <w:szCs w:val="21"/>
                <w:highlight w:val="none"/>
              </w:rPr>
            </w:pPr>
            <w:r>
              <w:rPr>
                <w:rFonts w:ascii="宋体" w:hAnsi="宋体"/>
                <w:b/>
                <w:szCs w:val="21"/>
                <w:highlight w:val="none"/>
              </w:rPr>
              <w:t>评审因素</w:t>
            </w:r>
          </w:p>
        </w:tc>
        <w:tc>
          <w:tcPr>
            <w:tcW w:w="5285" w:type="dxa"/>
            <w:vAlign w:val="center"/>
          </w:tcPr>
          <w:p>
            <w:pPr>
              <w:spacing w:line="440" w:lineRule="exact"/>
              <w:jc w:val="center"/>
              <w:rPr>
                <w:rFonts w:ascii="宋体" w:hAnsi="宋体"/>
                <w:b/>
                <w:szCs w:val="21"/>
                <w:highlight w:val="none"/>
              </w:rPr>
            </w:pPr>
            <w:r>
              <w:rPr>
                <w:rFonts w:ascii="宋体" w:hAnsi="宋体"/>
                <w:b/>
                <w:szCs w:val="21"/>
                <w:highlight w:val="none"/>
              </w:rPr>
              <w:t>评审标准</w:t>
            </w:r>
          </w:p>
        </w:tc>
        <w:tc>
          <w:tcPr>
            <w:tcW w:w="703" w:type="dxa"/>
            <w:vAlign w:val="center"/>
          </w:tcPr>
          <w:p>
            <w:pPr>
              <w:jc w:val="center"/>
              <w:rPr>
                <w:rFonts w:ascii="宋体" w:hAnsi="宋体"/>
                <w:highlight w:val="none"/>
              </w:rPr>
            </w:pPr>
            <w:r>
              <w:rPr>
                <w:rFonts w:hint="eastAsia" w:ascii="宋体" w:hAnsi="宋体"/>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restart"/>
            <w:vAlign w:val="center"/>
          </w:tcPr>
          <w:p>
            <w:pPr>
              <w:spacing w:line="440" w:lineRule="exact"/>
              <w:jc w:val="center"/>
              <w:rPr>
                <w:rFonts w:ascii="宋体" w:hAnsi="宋体"/>
                <w:b/>
                <w:bCs/>
                <w:szCs w:val="21"/>
                <w:highlight w:val="none"/>
              </w:rPr>
            </w:pPr>
            <w:r>
              <w:rPr>
                <w:rFonts w:hint="eastAsia" w:ascii="宋体" w:hAnsi="宋体"/>
                <w:b/>
                <w:bCs/>
                <w:szCs w:val="21"/>
                <w:highlight w:val="none"/>
              </w:rPr>
              <w:t>符合性审查</w:t>
            </w:r>
          </w:p>
        </w:tc>
        <w:tc>
          <w:tcPr>
            <w:tcW w:w="2631" w:type="dxa"/>
            <w:vAlign w:val="center"/>
          </w:tcPr>
          <w:p>
            <w:pPr>
              <w:spacing w:line="440" w:lineRule="exact"/>
              <w:jc w:val="center"/>
              <w:rPr>
                <w:rFonts w:hint="eastAsia" w:ascii="宋体" w:hAnsi="宋体" w:eastAsiaTheme="minorEastAsia"/>
                <w:szCs w:val="21"/>
                <w:highlight w:val="none"/>
                <w:lang w:eastAsia="zh-CN"/>
              </w:rPr>
            </w:pPr>
            <w:r>
              <w:rPr>
                <w:rFonts w:hint="eastAsia" w:ascii="宋体" w:hAnsi="宋体"/>
                <w:szCs w:val="21"/>
                <w:highlight w:val="none"/>
                <w:lang w:eastAsia="zh-CN"/>
              </w:rPr>
              <w:t>投标报价</w:t>
            </w:r>
          </w:p>
        </w:tc>
        <w:tc>
          <w:tcPr>
            <w:tcW w:w="5285" w:type="dxa"/>
            <w:vAlign w:val="center"/>
          </w:tcPr>
          <w:p>
            <w:pPr>
              <w:rPr>
                <w:rFonts w:hint="eastAsia" w:ascii="宋体" w:hAnsi="宋体"/>
                <w:highlight w:val="none"/>
              </w:rPr>
            </w:pPr>
            <w:r>
              <w:rPr>
                <w:rFonts w:hint="eastAsia" w:ascii="宋体" w:hAnsi="宋体"/>
                <w:highlight w:val="none"/>
              </w:rPr>
              <w:t>不得高于最高限价，每项货物和服务等只允许有一个报价，任何有选择的报价将不予接受</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spacing w:line="440" w:lineRule="exact"/>
              <w:jc w:val="center"/>
              <w:rPr>
                <w:rFonts w:ascii="宋体" w:hAnsi="宋体"/>
                <w:b/>
                <w:bCs/>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投标文件格式</w:t>
            </w:r>
          </w:p>
        </w:tc>
        <w:tc>
          <w:tcPr>
            <w:tcW w:w="5285" w:type="dxa"/>
            <w:vAlign w:val="center"/>
          </w:tcPr>
          <w:p>
            <w:pPr>
              <w:rPr>
                <w:rFonts w:ascii="宋体" w:hAnsi="宋体"/>
                <w:highlight w:val="none"/>
              </w:rPr>
            </w:pPr>
            <w:r>
              <w:rPr>
                <w:rFonts w:hint="eastAsia" w:ascii="宋体" w:hAnsi="宋体"/>
                <w:highlight w:val="none"/>
              </w:rPr>
              <w:t>投标文件按照招标文件规定的内容、格式填写，关键内容字迹清晰可辨</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spacing w:line="440" w:lineRule="exact"/>
              <w:jc w:val="center"/>
              <w:rPr>
                <w:rFonts w:ascii="宋体" w:hAnsi="宋体"/>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投标授权委托</w:t>
            </w:r>
          </w:p>
        </w:tc>
        <w:tc>
          <w:tcPr>
            <w:tcW w:w="5285" w:type="dxa"/>
            <w:vAlign w:val="center"/>
          </w:tcPr>
          <w:p>
            <w:pPr>
              <w:rPr>
                <w:rFonts w:ascii="宋体" w:hAnsi="宋体"/>
                <w:highlight w:val="none"/>
              </w:rPr>
            </w:pPr>
            <w:r>
              <w:rPr>
                <w:rFonts w:hint="eastAsia" w:ascii="宋体" w:hAnsi="宋体"/>
                <w:highlight w:val="none"/>
              </w:rPr>
              <w:t>投标文件提供法定代表人授权委托书或提供法定代表人身份证明</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spacing w:line="440" w:lineRule="exact"/>
              <w:jc w:val="center"/>
              <w:rPr>
                <w:rFonts w:ascii="宋体" w:hAnsi="宋体"/>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签字盖章</w:t>
            </w:r>
          </w:p>
        </w:tc>
        <w:tc>
          <w:tcPr>
            <w:tcW w:w="5285" w:type="dxa"/>
            <w:vAlign w:val="center"/>
          </w:tcPr>
          <w:p>
            <w:pPr>
              <w:rPr>
                <w:rFonts w:ascii="宋体" w:hAnsi="宋体"/>
                <w:highlight w:val="none"/>
              </w:rPr>
            </w:pPr>
            <w:r>
              <w:rPr>
                <w:rFonts w:hint="eastAsia" w:ascii="宋体" w:hAnsi="宋体"/>
                <w:highlight w:val="none"/>
              </w:rPr>
              <w:t>投标文件上法定代表人或其授权代理人的签字、投标人的单位章齐全符合招标文件规定</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spacing w:line="440" w:lineRule="exact"/>
              <w:jc w:val="center"/>
              <w:rPr>
                <w:rFonts w:ascii="宋体" w:hAnsi="宋体"/>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权利与义务</w:t>
            </w:r>
          </w:p>
        </w:tc>
        <w:tc>
          <w:tcPr>
            <w:tcW w:w="5285" w:type="dxa"/>
            <w:vAlign w:val="center"/>
          </w:tcPr>
          <w:p>
            <w:pPr>
              <w:rPr>
                <w:rFonts w:ascii="宋体" w:hAnsi="宋体"/>
                <w:highlight w:val="none"/>
              </w:rPr>
            </w:pPr>
            <w:r>
              <w:rPr>
                <w:rFonts w:hint="eastAsia" w:ascii="宋体" w:hAnsi="宋体"/>
                <w:highlight w:val="none"/>
              </w:rPr>
              <w:t>投标文件未附有招标人不能接受的条件或不符合招标文件的其他要求</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01" w:type="dxa"/>
            <w:vMerge w:val="continue"/>
            <w:vAlign w:val="center"/>
          </w:tcPr>
          <w:p>
            <w:pPr>
              <w:spacing w:line="440" w:lineRule="exact"/>
              <w:jc w:val="center"/>
              <w:rPr>
                <w:rFonts w:ascii="宋体" w:hAnsi="宋体"/>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投标有效期</w:t>
            </w:r>
          </w:p>
        </w:tc>
        <w:tc>
          <w:tcPr>
            <w:tcW w:w="5285" w:type="dxa"/>
            <w:vAlign w:val="center"/>
          </w:tcPr>
          <w:p>
            <w:pPr>
              <w:rPr>
                <w:rFonts w:ascii="宋体" w:hAnsi="宋体"/>
                <w:highlight w:val="none"/>
              </w:rPr>
            </w:pPr>
            <w:r>
              <w:rPr>
                <w:rFonts w:hint="eastAsia" w:ascii="宋体" w:hAnsi="宋体"/>
                <w:highlight w:val="none"/>
              </w:rPr>
              <w:t>投标文件投标有效期满足招标文件要求</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01" w:type="dxa"/>
            <w:vMerge w:val="continue"/>
            <w:vAlign w:val="center"/>
          </w:tcPr>
          <w:p>
            <w:pPr>
              <w:spacing w:line="440" w:lineRule="exact"/>
              <w:jc w:val="center"/>
              <w:rPr>
                <w:rFonts w:ascii="宋体" w:hAnsi="宋体"/>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投标</w:t>
            </w:r>
            <w:r>
              <w:rPr>
                <w:rFonts w:ascii="宋体" w:hAnsi="宋体"/>
                <w:szCs w:val="21"/>
                <w:highlight w:val="none"/>
              </w:rPr>
              <w:t>保证金</w:t>
            </w:r>
          </w:p>
        </w:tc>
        <w:tc>
          <w:tcPr>
            <w:tcW w:w="5285" w:type="dxa"/>
            <w:vAlign w:val="center"/>
          </w:tcPr>
          <w:p>
            <w:pPr>
              <w:rPr>
                <w:rFonts w:ascii="宋体" w:hAnsi="宋体"/>
                <w:highlight w:val="none"/>
              </w:rPr>
            </w:pPr>
            <w:r>
              <w:rPr>
                <w:rFonts w:hint="eastAsia" w:ascii="宋体" w:hAnsi="宋体"/>
                <w:highlight w:val="none"/>
              </w:rPr>
              <w:t>按要求递交并在投标文件中附保证金递交证明材料</w:t>
            </w:r>
          </w:p>
        </w:tc>
        <w:tc>
          <w:tcPr>
            <w:tcW w:w="703"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01" w:type="dxa"/>
            <w:vMerge w:val="continue"/>
            <w:vAlign w:val="center"/>
          </w:tcPr>
          <w:p>
            <w:pPr>
              <w:spacing w:line="440" w:lineRule="exact"/>
              <w:jc w:val="center"/>
              <w:rPr>
                <w:rFonts w:ascii="宋体" w:hAnsi="宋体"/>
                <w:szCs w:val="21"/>
                <w:highlight w:val="none"/>
              </w:rPr>
            </w:pPr>
          </w:p>
        </w:tc>
        <w:tc>
          <w:tcPr>
            <w:tcW w:w="2631" w:type="dxa"/>
            <w:vAlign w:val="center"/>
          </w:tcPr>
          <w:p>
            <w:pPr>
              <w:spacing w:line="440" w:lineRule="exact"/>
              <w:jc w:val="center"/>
              <w:rPr>
                <w:rFonts w:ascii="宋体" w:hAnsi="宋体"/>
                <w:szCs w:val="21"/>
                <w:highlight w:val="none"/>
              </w:rPr>
            </w:pPr>
            <w:r>
              <w:rPr>
                <w:rFonts w:hint="eastAsia" w:ascii="宋体" w:hAnsi="宋体"/>
                <w:szCs w:val="21"/>
                <w:highlight w:val="none"/>
              </w:rPr>
              <w:t>其他</w:t>
            </w:r>
          </w:p>
        </w:tc>
        <w:tc>
          <w:tcPr>
            <w:tcW w:w="5285" w:type="dxa"/>
            <w:vAlign w:val="center"/>
          </w:tcPr>
          <w:p>
            <w:pPr>
              <w:rPr>
                <w:rFonts w:ascii="宋体" w:hAnsi="宋体"/>
                <w:highlight w:val="none"/>
              </w:rPr>
            </w:pPr>
            <w:r>
              <w:rPr>
                <w:rFonts w:hint="eastAsia" w:ascii="宋体" w:hAnsi="宋体"/>
                <w:highlight w:val="none"/>
              </w:rPr>
              <w:t>符合法律、法规的规定</w:t>
            </w:r>
          </w:p>
        </w:tc>
        <w:tc>
          <w:tcPr>
            <w:tcW w:w="703" w:type="dxa"/>
            <w:vAlign w:val="center"/>
          </w:tcPr>
          <w:p>
            <w:pPr>
              <w:jc w:val="center"/>
              <w:rPr>
                <w:rFonts w:ascii="宋体" w:hAnsi="宋体"/>
                <w:highlight w:val="none"/>
              </w:rPr>
            </w:pPr>
          </w:p>
        </w:tc>
      </w:tr>
    </w:tbl>
    <w:p>
      <w:pPr>
        <w:ind w:firstLine="482" w:firstLineChars="200"/>
        <w:rPr>
          <w:rFonts w:asciiTheme="minorEastAsia" w:hAnsiTheme="minorEastAsia"/>
          <w:sz w:val="28"/>
          <w:szCs w:val="28"/>
          <w:highlight w:val="none"/>
        </w:rPr>
      </w:pPr>
      <w:r>
        <w:rPr>
          <w:rFonts w:hint="eastAsia" w:ascii="宋体" w:hAnsi="宋体" w:cs="宋体"/>
          <w:b/>
          <w:sz w:val="24"/>
          <w:highlight w:val="none"/>
        </w:rPr>
        <w:t>备注：如有一项未通过，评审小组将认定整个投标文件未响应</w:t>
      </w:r>
      <w:r>
        <w:rPr>
          <w:rFonts w:hint="eastAsia" w:ascii="宋体" w:hAnsi="宋体" w:cs="宋体"/>
          <w:b/>
          <w:sz w:val="24"/>
          <w:highlight w:val="none"/>
          <w:lang w:eastAsia="zh-CN"/>
        </w:rPr>
        <w:t>招标</w:t>
      </w:r>
      <w:r>
        <w:rPr>
          <w:rFonts w:hint="eastAsia" w:ascii="宋体" w:hAnsi="宋体" w:cs="宋体"/>
          <w:b/>
          <w:sz w:val="24"/>
          <w:highlight w:val="none"/>
        </w:rPr>
        <w:t>文件而予以废标处理。</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二、评标方法与定标原则</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三、评标标准</w:t>
      </w:r>
    </w:p>
    <w:p>
      <w:pPr>
        <w:jc w:val="center"/>
        <w:rPr>
          <w:rFonts w:cs="宋体" w:asciiTheme="minorEastAsia" w:hAnsiTheme="minorEastAsia"/>
          <w:b/>
          <w:bCs/>
          <w:kern w:val="0"/>
          <w:sz w:val="24"/>
          <w:szCs w:val="24"/>
          <w:highlight w:val="none"/>
        </w:rPr>
      </w:pPr>
      <w:r>
        <w:rPr>
          <w:rFonts w:hint="eastAsia" w:cs="宋体" w:asciiTheme="minorEastAsia" w:hAnsiTheme="minorEastAsia"/>
          <w:kern w:val="0"/>
          <w:sz w:val="24"/>
          <w:szCs w:val="24"/>
          <w:highlight w:val="none"/>
        </w:rPr>
        <w:br w:type="page"/>
      </w:r>
      <w:r>
        <w:rPr>
          <w:rFonts w:hint="eastAsia" w:cs="宋体" w:asciiTheme="minorEastAsia" w:hAnsiTheme="minorEastAsia"/>
          <w:b/>
          <w:bCs/>
          <w:kern w:val="0"/>
          <w:sz w:val="24"/>
          <w:szCs w:val="24"/>
          <w:highlight w:val="none"/>
        </w:rPr>
        <w:t>环卫车辆采购招标评分标准</w:t>
      </w:r>
    </w:p>
    <w:p>
      <w:pPr>
        <w:pStyle w:val="2"/>
        <w:rPr>
          <w:rFonts w:asciiTheme="minorEastAsia" w:hAnsiTheme="minorEastAsia"/>
          <w:b/>
          <w:bCs/>
          <w:color w:val="auto"/>
          <w:highlight w:val="none"/>
        </w:rPr>
      </w:pPr>
    </w:p>
    <w:p>
      <w:pPr>
        <w:pStyle w:val="21"/>
        <w:jc w:val="center"/>
        <w:rPr>
          <w:rFonts w:cs="宋体"/>
          <w:b/>
          <w:bCs/>
          <w:sz w:val="24"/>
          <w:highlight w:val="none"/>
          <w:lang w:val="zh-CN"/>
        </w:rPr>
      </w:pPr>
      <w:r>
        <w:rPr>
          <w:rFonts w:hint="eastAsia" w:cs="宋体"/>
          <w:b/>
          <w:bCs/>
          <w:sz w:val="24"/>
          <w:highlight w:val="none"/>
          <w:lang w:val="zh-CN"/>
        </w:rPr>
        <w:t>经济</w:t>
      </w:r>
      <w:r>
        <w:rPr>
          <w:rFonts w:hint="eastAsia" w:cs="宋体"/>
          <w:b/>
          <w:bCs/>
          <w:sz w:val="24"/>
          <w:highlight w:val="none"/>
        </w:rPr>
        <w:t>部分</w:t>
      </w:r>
      <w:r>
        <w:rPr>
          <w:rFonts w:hint="eastAsia" w:cs="宋体"/>
          <w:b/>
          <w:bCs/>
          <w:sz w:val="24"/>
          <w:highlight w:val="none"/>
          <w:lang w:val="zh-CN"/>
        </w:rPr>
        <w:t>评审标准</w:t>
      </w:r>
    </w:p>
    <w:p>
      <w:pPr>
        <w:pStyle w:val="21"/>
        <w:jc w:val="center"/>
        <w:rPr>
          <w:rFonts w:cs="宋体"/>
          <w:b/>
          <w:bCs/>
          <w:sz w:val="24"/>
          <w:highlight w:val="none"/>
          <w:lang w:val="zh-CN"/>
        </w:rPr>
      </w:pPr>
    </w:p>
    <w:tbl>
      <w:tblPr>
        <w:tblStyle w:val="16"/>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03"/>
        <w:gridCol w:w="1701"/>
        <w:gridCol w:w="850"/>
        <w:gridCol w:w="4111"/>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序</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号</w:t>
            </w:r>
          </w:p>
        </w:tc>
        <w:tc>
          <w:tcPr>
            <w:tcW w:w="503"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项</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目</w:t>
            </w: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评审内容</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标准</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分</w:t>
            </w:r>
          </w:p>
        </w:tc>
        <w:tc>
          <w:tcPr>
            <w:tcW w:w="411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评分标准</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56"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1</w:t>
            </w:r>
          </w:p>
        </w:tc>
        <w:tc>
          <w:tcPr>
            <w:tcW w:w="503"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报</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价</w:t>
            </w: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投标报价得分</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30</w:t>
            </w:r>
          </w:p>
        </w:tc>
        <w:tc>
          <w:tcPr>
            <w:tcW w:w="4111" w:type="dxa"/>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价格分采用低价优先法计算， 即满足采购文件要求且报价最低的供应商报价为评标基准价，其价格分为满分30 分，其它投标人的价格分统一按照以下公式计算： 投标报价得分= （评标基准价／投标报价）×30 分， 计算结果保留2 位小数。</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588" w:type="dxa"/>
            <w:gridSpan w:val="6"/>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tc>
      </w:tr>
    </w:tbl>
    <w:p>
      <w:pPr>
        <w:rPr>
          <w:highlight w:val="none"/>
        </w:rPr>
      </w:pPr>
    </w:p>
    <w:p>
      <w:pPr>
        <w:rPr>
          <w:rFonts w:cs="宋体"/>
          <w:b/>
          <w:bCs/>
          <w:sz w:val="24"/>
          <w:highlight w:val="none"/>
          <w:lang w:val="zh-CN"/>
        </w:rPr>
      </w:pPr>
      <w:r>
        <w:rPr>
          <w:rFonts w:hint="eastAsia" w:cs="宋体"/>
          <w:b/>
          <w:bCs/>
          <w:sz w:val="24"/>
          <w:highlight w:val="none"/>
          <w:lang w:val="zh-CN"/>
        </w:rPr>
        <w:br w:type="page"/>
      </w:r>
    </w:p>
    <w:p>
      <w:pPr>
        <w:pStyle w:val="2"/>
        <w:jc w:val="center"/>
        <w:rPr>
          <w:b/>
          <w:bCs/>
          <w:color w:val="auto"/>
          <w:highlight w:val="none"/>
          <w:lang w:val="zh-CN"/>
        </w:rPr>
      </w:pPr>
      <w:r>
        <w:rPr>
          <w:rFonts w:hint="eastAsia"/>
          <w:b/>
          <w:bCs/>
          <w:color w:val="auto"/>
          <w:highlight w:val="none"/>
          <w:lang w:val="zh-CN"/>
        </w:rPr>
        <w:t>技术部分评审标准</w:t>
      </w:r>
    </w:p>
    <w:p>
      <w:pPr>
        <w:pStyle w:val="21"/>
        <w:rPr>
          <w:highlight w:val="none"/>
        </w:rPr>
      </w:pPr>
    </w:p>
    <w:tbl>
      <w:tblPr>
        <w:tblStyle w:val="16"/>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03"/>
        <w:gridCol w:w="1701"/>
        <w:gridCol w:w="850"/>
        <w:gridCol w:w="4111"/>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56"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序</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号</w:t>
            </w:r>
          </w:p>
        </w:tc>
        <w:tc>
          <w:tcPr>
            <w:tcW w:w="503"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项</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目</w:t>
            </w: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评审内容</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标准</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分</w:t>
            </w:r>
          </w:p>
        </w:tc>
        <w:tc>
          <w:tcPr>
            <w:tcW w:w="411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评分标准</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56" w:type="dxa"/>
            <w:vMerge w:val="restart"/>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2</w:t>
            </w:r>
          </w:p>
        </w:tc>
        <w:tc>
          <w:tcPr>
            <w:tcW w:w="503" w:type="dxa"/>
            <w:vMerge w:val="restart"/>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技</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术</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响</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应</w:t>
            </w: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参数响应</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20</w:t>
            </w:r>
          </w:p>
        </w:tc>
        <w:tc>
          <w:tcPr>
            <w:tcW w:w="4111" w:type="dxa"/>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投标人的货物技术规格、参数每有一项正偏离加2分，此项最高20分。注：技术参数中大于等于或小于等于中等于为基本参数，凡优于其基本参数的均为正偏离。</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56" w:type="dxa"/>
            <w:vMerge w:val="continue"/>
            <w:vAlign w:val="center"/>
          </w:tcPr>
          <w:p>
            <w:pPr>
              <w:jc w:val="center"/>
              <w:rPr>
                <w:rFonts w:cs="宋体" w:asciiTheme="minorEastAsia" w:hAnsiTheme="minorEastAsia"/>
                <w:kern w:val="0"/>
                <w:szCs w:val="21"/>
                <w:highlight w:val="none"/>
              </w:rPr>
            </w:pPr>
          </w:p>
        </w:tc>
        <w:tc>
          <w:tcPr>
            <w:tcW w:w="503" w:type="dxa"/>
            <w:vMerge w:val="continue"/>
            <w:vAlign w:val="center"/>
          </w:tcPr>
          <w:p>
            <w:pPr>
              <w:jc w:val="center"/>
              <w:rPr>
                <w:rFonts w:cs="宋体" w:asciiTheme="minorEastAsia" w:hAnsiTheme="minorEastAsia"/>
                <w:kern w:val="0"/>
                <w:szCs w:val="21"/>
                <w:highlight w:val="none"/>
              </w:rPr>
            </w:pP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方案计划</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8</w:t>
            </w:r>
          </w:p>
        </w:tc>
        <w:tc>
          <w:tcPr>
            <w:tcW w:w="4111" w:type="dxa"/>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项目实施方案（包含但不限于项目整体方案、供货方案、运输方案、实施进度安排、验收计划和风险控制、项目合同和信息管理控制等）</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1.对项目总体有深刻认识，表述清晰、完整、严谨、合理，措施先进、具体、有效、成熟；阶段划分呼应总体表述，划分清晰、合理，符合规范要求；投入计划与进度计划呼应，总体布置有针对性、合理，综合优于招标需求，</w:t>
            </w:r>
            <w:r>
              <w:rPr>
                <w:rFonts w:hint="eastAsia" w:cs="宋体" w:asciiTheme="minorEastAsia" w:hAnsiTheme="minorEastAsia"/>
                <w:kern w:val="0"/>
                <w:szCs w:val="21"/>
                <w:highlight w:val="none"/>
                <w:lang w:eastAsia="zh-CN"/>
              </w:rPr>
              <w:t>得</w:t>
            </w:r>
            <w:r>
              <w:rPr>
                <w:rFonts w:hint="eastAsia" w:cs="宋体" w:asciiTheme="minorEastAsia" w:hAnsiTheme="minorEastAsia"/>
                <w:kern w:val="0"/>
                <w:szCs w:val="21"/>
                <w:highlight w:val="none"/>
                <w:lang w:val="en-US" w:eastAsia="zh-CN"/>
              </w:rPr>
              <w:t>5-</w:t>
            </w:r>
            <w:r>
              <w:rPr>
                <w:rFonts w:hint="eastAsia" w:cs="宋体" w:asciiTheme="minorEastAsia" w:hAnsiTheme="minorEastAsia"/>
                <w:kern w:val="0"/>
                <w:szCs w:val="21"/>
                <w:highlight w:val="none"/>
              </w:rPr>
              <w:t>8分；</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2.对项目总体有一定认识，表述较清晰、完整，措施具体有效；安装段划分呼应总体表述，划分清晰，符合规范要求；投入计划与进度计划呼应，总体布置合理，满足招标需求，</w:t>
            </w:r>
            <w:r>
              <w:rPr>
                <w:rFonts w:hint="eastAsia" w:cs="宋体" w:asciiTheme="minorEastAsia" w:hAnsiTheme="minorEastAsia"/>
                <w:kern w:val="0"/>
                <w:szCs w:val="21"/>
                <w:highlight w:val="none"/>
                <w:lang w:eastAsia="zh-CN"/>
              </w:rPr>
              <w:t>得</w:t>
            </w:r>
            <w:r>
              <w:rPr>
                <w:rFonts w:hint="eastAsia" w:cs="宋体" w:asciiTheme="minorEastAsia" w:hAnsiTheme="minorEastAsia"/>
                <w:kern w:val="0"/>
                <w:szCs w:val="21"/>
                <w:highlight w:val="none"/>
                <w:lang w:val="en-US" w:eastAsia="zh-CN"/>
              </w:rPr>
              <w:t>2-</w:t>
            </w:r>
            <w:r>
              <w:rPr>
                <w:rFonts w:hint="eastAsia" w:cs="宋体" w:asciiTheme="minorEastAsia" w:hAnsiTheme="minorEastAsia"/>
                <w:kern w:val="0"/>
                <w:szCs w:val="21"/>
                <w:highlight w:val="none"/>
              </w:rPr>
              <w:t>5分；</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3. 对项目总体有认识，有一定的措施但部分不具体；安装批次不够合理，符合规范要求；投入计划与进度计划呼应，总体布置基本合理，基本满足招标需求，</w:t>
            </w:r>
            <w:r>
              <w:rPr>
                <w:rFonts w:hint="eastAsia" w:cs="宋体" w:asciiTheme="minorEastAsia" w:hAnsiTheme="minorEastAsia"/>
                <w:kern w:val="0"/>
                <w:szCs w:val="21"/>
                <w:highlight w:val="none"/>
                <w:lang w:eastAsia="zh-CN"/>
              </w:rPr>
              <w:t>得</w:t>
            </w:r>
            <w:r>
              <w:rPr>
                <w:rFonts w:hint="eastAsia" w:cs="宋体" w:asciiTheme="minorEastAsia" w:hAnsiTheme="minorEastAsia"/>
                <w:kern w:val="0"/>
                <w:szCs w:val="21"/>
                <w:highlight w:val="none"/>
                <w:lang w:val="en-US" w:eastAsia="zh-CN"/>
              </w:rPr>
              <w:t>0-</w:t>
            </w:r>
            <w:r>
              <w:rPr>
                <w:rFonts w:hint="eastAsia" w:cs="宋体" w:asciiTheme="minorEastAsia" w:hAnsiTheme="minorEastAsia"/>
                <w:kern w:val="0"/>
                <w:szCs w:val="21"/>
                <w:highlight w:val="none"/>
              </w:rPr>
              <w:t>2分。</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4</w:t>
            </w:r>
            <w:r>
              <w:rPr>
                <w:rFonts w:cs="宋体" w:asciiTheme="minorEastAsia" w:hAnsiTheme="minorEastAsia"/>
                <w:kern w:val="0"/>
                <w:szCs w:val="21"/>
                <w:highlight w:val="none"/>
              </w:rPr>
              <w:t>.</w:t>
            </w:r>
            <w:r>
              <w:rPr>
                <w:rFonts w:hint="eastAsia" w:cs="宋体" w:asciiTheme="minorEastAsia" w:hAnsiTheme="minorEastAsia"/>
                <w:kern w:val="0"/>
                <w:szCs w:val="21"/>
                <w:highlight w:val="none"/>
              </w:rPr>
              <w:t>未提供此项项目实施方案的</w:t>
            </w:r>
            <w:r>
              <w:rPr>
                <w:rFonts w:hint="eastAsia" w:cs="宋体" w:asciiTheme="minorEastAsia" w:hAnsiTheme="minorEastAsia"/>
                <w:kern w:val="0"/>
                <w:szCs w:val="21"/>
                <w:highlight w:val="none"/>
                <w:lang w:eastAsia="zh-CN"/>
              </w:rPr>
              <w:t>得</w:t>
            </w:r>
            <w:r>
              <w:rPr>
                <w:rFonts w:hint="eastAsia" w:cs="宋体" w:asciiTheme="minorEastAsia" w:hAnsiTheme="minorEastAsia"/>
                <w:kern w:val="0"/>
                <w:szCs w:val="21"/>
                <w:highlight w:val="none"/>
              </w:rPr>
              <w:t>0分。</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456" w:type="dxa"/>
            <w:vMerge w:val="continue"/>
            <w:vAlign w:val="center"/>
          </w:tcPr>
          <w:p>
            <w:pPr>
              <w:jc w:val="center"/>
              <w:rPr>
                <w:szCs w:val="21"/>
                <w:highlight w:val="none"/>
              </w:rPr>
            </w:pPr>
          </w:p>
        </w:tc>
        <w:tc>
          <w:tcPr>
            <w:tcW w:w="503" w:type="dxa"/>
            <w:vMerge w:val="continue"/>
            <w:vAlign w:val="center"/>
          </w:tcPr>
          <w:p>
            <w:pPr>
              <w:jc w:val="center"/>
              <w:rPr>
                <w:szCs w:val="21"/>
                <w:highlight w:val="none"/>
              </w:rPr>
            </w:pPr>
          </w:p>
        </w:tc>
        <w:tc>
          <w:tcPr>
            <w:tcW w:w="1701" w:type="dxa"/>
            <w:vMerge w:val="restart"/>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售后服务、 总体设备选型与配置方案</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9</w:t>
            </w:r>
          </w:p>
        </w:tc>
        <w:tc>
          <w:tcPr>
            <w:tcW w:w="4111" w:type="dxa"/>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售后服务方案（包含</w:t>
            </w:r>
            <w:r>
              <w:rPr>
                <w:rFonts w:hint="eastAsia" w:cs="宋体" w:asciiTheme="minorEastAsia" w:hAnsiTheme="minorEastAsia"/>
                <w:kern w:val="0"/>
                <w:szCs w:val="21"/>
                <w:highlight w:val="none"/>
                <w:lang w:eastAsia="zh-CN"/>
              </w:rPr>
              <w:t>质保期承诺、</w:t>
            </w:r>
            <w:r>
              <w:rPr>
                <w:rFonts w:hint="eastAsia" w:cs="宋体" w:asciiTheme="minorEastAsia" w:hAnsiTheme="minorEastAsia"/>
                <w:kern w:val="0"/>
                <w:szCs w:val="21"/>
                <w:highlight w:val="none"/>
              </w:rPr>
              <w:t>质保期内售后措施、售后服务网点承诺、服务响应时间、升级维护、售后服务车辆人员安排、售后服务承诺、故障处理措施、应急服务措施等）。</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①方案齐全、有针对性、可行性，有经济处罚指标得</w:t>
            </w:r>
            <w:r>
              <w:rPr>
                <w:rFonts w:hint="eastAsia" w:cs="宋体" w:asciiTheme="minorEastAsia" w:hAnsiTheme="minorEastAsia"/>
                <w:kern w:val="0"/>
                <w:szCs w:val="21"/>
                <w:highlight w:val="none"/>
                <w:lang w:val="en-US" w:eastAsia="zh-CN"/>
              </w:rPr>
              <w:t>6-</w:t>
            </w:r>
            <w:r>
              <w:rPr>
                <w:rFonts w:hint="eastAsia" w:cs="宋体" w:asciiTheme="minorEastAsia" w:hAnsiTheme="minorEastAsia"/>
                <w:kern w:val="0"/>
                <w:szCs w:val="21"/>
                <w:highlight w:val="none"/>
              </w:rPr>
              <w:t>9分；</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②方案简单，但提供了经济处罚指标，得</w:t>
            </w:r>
            <w:r>
              <w:rPr>
                <w:rFonts w:hint="eastAsia" w:cs="宋体" w:asciiTheme="minorEastAsia" w:hAnsiTheme="minorEastAsia"/>
                <w:kern w:val="0"/>
                <w:szCs w:val="21"/>
                <w:highlight w:val="none"/>
                <w:lang w:val="en-US" w:eastAsia="zh-CN"/>
              </w:rPr>
              <w:t>3-</w:t>
            </w:r>
            <w:r>
              <w:rPr>
                <w:rFonts w:hint="eastAsia" w:cs="宋体" w:asciiTheme="minorEastAsia" w:hAnsiTheme="minorEastAsia"/>
                <w:kern w:val="0"/>
                <w:szCs w:val="21"/>
                <w:highlight w:val="none"/>
              </w:rPr>
              <w:t>6分；</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③方案简单，且未提供经济处罚指标，得</w:t>
            </w:r>
            <w:r>
              <w:rPr>
                <w:rFonts w:hint="eastAsia" w:cs="宋体" w:asciiTheme="minorEastAsia" w:hAnsiTheme="minorEastAsia"/>
                <w:kern w:val="0"/>
                <w:szCs w:val="21"/>
                <w:highlight w:val="none"/>
                <w:lang w:val="en-US" w:eastAsia="zh-CN"/>
              </w:rPr>
              <w:t>0-</w:t>
            </w:r>
            <w:r>
              <w:rPr>
                <w:rFonts w:hint="eastAsia" w:cs="宋体" w:asciiTheme="minorEastAsia" w:hAnsiTheme="minorEastAsia"/>
                <w:kern w:val="0"/>
                <w:szCs w:val="21"/>
                <w:highlight w:val="none"/>
              </w:rPr>
              <w:t>3；</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④不提供不得分。</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56" w:type="dxa"/>
            <w:vMerge w:val="continue"/>
            <w:vAlign w:val="center"/>
          </w:tcPr>
          <w:p>
            <w:pPr>
              <w:jc w:val="center"/>
              <w:rPr>
                <w:szCs w:val="21"/>
                <w:highlight w:val="none"/>
              </w:rPr>
            </w:pPr>
          </w:p>
        </w:tc>
        <w:tc>
          <w:tcPr>
            <w:tcW w:w="503" w:type="dxa"/>
            <w:vMerge w:val="continue"/>
            <w:vAlign w:val="center"/>
          </w:tcPr>
          <w:p>
            <w:pPr>
              <w:jc w:val="center"/>
              <w:rPr>
                <w:szCs w:val="21"/>
                <w:highlight w:val="none"/>
              </w:rPr>
            </w:pPr>
          </w:p>
        </w:tc>
        <w:tc>
          <w:tcPr>
            <w:tcW w:w="1701" w:type="dxa"/>
            <w:vMerge w:val="continue"/>
            <w:vAlign w:val="center"/>
          </w:tcPr>
          <w:p>
            <w:pPr>
              <w:jc w:val="center"/>
              <w:rPr>
                <w:rFonts w:cs="宋体" w:asciiTheme="minorEastAsia" w:hAnsiTheme="minorEastAsia"/>
                <w:kern w:val="0"/>
                <w:szCs w:val="21"/>
                <w:highlight w:val="none"/>
              </w:rPr>
            </w:pP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8</w:t>
            </w:r>
          </w:p>
        </w:tc>
        <w:tc>
          <w:tcPr>
            <w:tcW w:w="4111" w:type="dxa"/>
            <w:vAlign w:val="center"/>
          </w:tcPr>
          <w:p>
            <w:pPr>
              <w:jc w:val="left"/>
              <w:rPr>
                <w:rFonts w:cs="宋体" w:asciiTheme="minorEastAsia" w:hAnsiTheme="minorEastAsia"/>
                <w:kern w:val="0"/>
                <w:szCs w:val="21"/>
                <w:highlight w:val="none"/>
              </w:rPr>
            </w:pPr>
            <w:r>
              <w:rPr>
                <w:rFonts w:cs="宋体" w:asciiTheme="minorEastAsia" w:hAnsiTheme="minorEastAsia"/>
                <w:kern w:val="0"/>
                <w:szCs w:val="21"/>
                <w:highlight w:val="none"/>
              </w:rPr>
              <w:t>投标人对所投设备介绍全面，设备选型及配置方案满足国家及行业相关标准，满足项目实际需要，具备与其他同类系统对接、扩展的功能：</w:t>
            </w:r>
          </w:p>
          <w:p>
            <w:pPr>
              <w:jc w:val="left"/>
              <w:rPr>
                <w:rFonts w:cs="宋体" w:asciiTheme="minorEastAsia" w:hAnsiTheme="minorEastAsia"/>
                <w:kern w:val="0"/>
                <w:szCs w:val="21"/>
                <w:highlight w:val="none"/>
              </w:rPr>
            </w:pPr>
            <w:r>
              <w:rPr>
                <w:rFonts w:cs="宋体" w:asciiTheme="minorEastAsia" w:hAnsiTheme="minorEastAsia"/>
                <w:kern w:val="0"/>
                <w:szCs w:val="21"/>
                <w:highlight w:val="none"/>
              </w:rPr>
              <w:t>①所投设备先进性、可靠性、安全性、稳定性强得</w:t>
            </w:r>
            <w:r>
              <w:rPr>
                <w:rFonts w:hint="eastAsia" w:cs="宋体" w:asciiTheme="minorEastAsia" w:hAnsiTheme="minorEastAsia"/>
                <w:kern w:val="0"/>
                <w:szCs w:val="21"/>
                <w:highlight w:val="none"/>
                <w:lang w:val="en-US" w:eastAsia="zh-CN"/>
              </w:rPr>
              <w:t>5-</w:t>
            </w:r>
            <w:r>
              <w:rPr>
                <w:rFonts w:hint="eastAsia" w:cs="宋体" w:asciiTheme="minorEastAsia" w:hAnsiTheme="minorEastAsia"/>
                <w:kern w:val="0"/>
                <w:szCs w:val="21"/>
                <w:highlight w:val="none"/>
              </w:rPr>
              <w:t>8</w:t>
            </w:r>
            <w:r>
              <w:rPr>
                <w:rFonts w:cs="宋体" w:asciiTheme="minorEastAsia" w:hAnsiTheme="minorEastAsia"/>
                <w:kern w:val="0"/>
                <w:szCs w:val="21"/>
                <w:highlight w:val="none"/>
              </w:rPr>
              <w:t>分；</w:t>
            </w:r>
          </w:p>
          <w:p>
            <w:pPr>
              <w:jc w:val="left"/>
              <w:rPr>
                <w:rFonts w:cs="宋体" w:asciiTheme="minorEastAsia" w:hAnsiTheme="minorEastAsia"/>
                <w:kern w:val="0"/>
                <w:szCs w:val="21"/>
                <w:highlight w:val="none"/>
              </w:rPr>
            </w:pPr>
            <w:r>
              <w:rPr>
                <w:rFonts w:cs="宋体" w:asciiTheme="minorEastAsia" w:hAnsiTheme="minorEastAsia"/>
                <w:kern w:val="0"/>
                <w:szCs w:val="21"/>
                <w:highlight w:val="none"/>
              </w:rPr>
              <w:t>②所投设备先进性、可靠性、安全性、稳定性基本满足要求得</w:t>
            </w:r>
            <w:r>
              <w:rPr>
                <w:rFonts w:hint="eastAsia" w:cs="宋体" w:asciiTheme="minorEastAsia" w:hAnsiTheme="minorEastAsia"/>
                <w:kern w:val="0"/>
                <w:szCs w:val="21"/>
                <w:highlight w:val="none"/>
                <w:lang w:val="en-US" w:eastAsia="zh-CN"/>
              </w:rPr>
              <w:t>2-</w:t>
            </w:r>
            <w:r>
              <w:rPr>
                <w:rFonts w:hint="eastAsia" w:cs="宋体" w:asciiTheme="minorEastAsia" w:hAnsiTheme="minorEastAsia"/>
                <w:kern w:val="0"/>
                <w:szCs w:val="21"/>
                <w:highlight w:val="none"/>
              </w:rPr>
              <w:t>5</w:t>
            </w:r>
            <w:r>
              <w:rPr>
                <w:rFonts w:cs="宋体" w:asciiTheme="minorEastAsia" w:hAnsiTheme="minorEastAsia"/>
                <w:kern w:val="0"/>
                <w:szCs w:val="21"/>
                <w:highlight w:val="none"/>
              </w:rPr>
              <w:t>分；</w:t>
            </w:r>
          </w:p>
          <w:p>
            <w:pPr>
              <w:jc w:val="left"/>
              <w:rPr>
                <w:rFonts w:cs="宋体" w:asciiTheme="minorEastAsia" w:hAnsiTheme="minorEastAsia"/>
                <w:kern w:val="0"/>
                <w:szCs w:val="21"/>
                <w:highlight w:val="none"/>
              </w:rPr>
            </w:pPr>
            <w:r>
              <w:rPr>
                <w:rFonts w:cs="宋体" w:asciiTheme="minorEastAsia" w:hAnsiTheme="minorEastAsia"/>
                <w:kern w:val="0"/>
                <w:szCs w:val="21"/>
                <w:highlight w:val="none"/>
              </w:rPr>
              <w:t>③所投设备先进性、可靠性、安全性、稳定性不足得</w:t>
            </w:r>
            <w:r>
              <w:rPr>
                <w:rFonts w:hint="eastAsia" w:cs="宋体" w:asciiTheme="minorEastAsia" w:hAnsiTheme="minorEastAsia"/>
                <w:kern w:val="0"/>
                <w:szCs w:val="21"/>
                <w:highlight w:val="none"/>
                <w:lang w:val="en-US" w:eastAsia="zh-CN"/>
              </w:rPr>
              <w:t>0-</w:t>
            </w:r>
            <w:r>
              <w:rPr>
                <w:rFonts w:hint="eastAsia" w:cs="宋体" w:asciiTheme="minorEastAsia" w:hAnsiTheme="minorEastAsia"/>
                <w:kern w:val="0"/>
                <w:szCs w:val="21"/>
                <w:highlight w:val="none"/>
              </w:rPr>
              <w:t>2</w:t>
            </w:r>
            <w:r>
              <w:rPr>
                <w:rFonts w:cs="宋体" w:asciiTheme="minorEastAsia" w:hAnsiTheme="minorEastAsia"/>
                <w:kern w:val="0"/>
                <w:szCs w:val="21"/>
                <w:highlight w:val="none"/>
              </w:rPr>
              <w:t>分。</w:t>
            </w:r>
          </w:p>
          <w:p>
            <w:pPr>
              <w:jc w:val="left"/>
              <w:rPr>
                <w:rFonts w:cs="宋体" w:asciiTheme="minorEastAsia" w:hAnsiTheme="minorEastAsia"/>
                <w:kern w:val="0"/>
                <w:szCs w:val="21"/>
                <w:highlight w:val="none"/>
              </w:rPr>
            </w:pPr>
            <w:r>
              <w:rPr>
                <w:rFonts w:cs="宋体" w:asciiTheme="minorEastAsia" w:hAnsiTheme="minorEastAsia"/>
                <w:kern w:val="0"/>
                <w:szCs w:val="21"/>
                <w:highlight w:val="none"/>
              </w:rPr>
              <w:t>④不提供不得分。</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Merge w:val="continue"/>
            <w:vAlign w:val="center"/>
          </w:tcPr>
          <w:p>
            <w:pPr>
              <w:jc w:val="center"/>
              <w:rPr>
                <w:szCs w:val="21"/>
                <w:highlight w:val="none"/>
              </w:rPr>
            </w:pPr>
          </w:p>
        </w:tc>
        <w:tc>
          <w:tcPr>
            <w:tcW w:w="503" w:type="dxa"/>
            <w:vMerge w:val="continue"/>
            <w:vAlign w:val="center"/>
          </w:tcPr>
          <w:p>
            <w:pPr>
              <w:jc w:val="center"/>
              <w:rPr>
                <w:szCs w:val="21"/>
                <w:highlight w:val="none"/>
              </w:rPr>
            </w:pP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交付调试及验收方案</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5</w:t>
            </w:r>
          </w:p>
        </w:tc>
        <w:tc>
          <w:tcPr>
            <w:tcW w:w="4111" w:type="dxa"/>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提供</w:t>
            </w:r>
            <w:r>
              <w:rPr>
                <w:rFonts w:cs="宋体" w:asciiTheme="minorEastAsia" w:hAnsiTheme="minorEastAsia"/>
                <w:kern w:val="0"/>
                <w:szCs w:val="21"/>
                <w:highlight w:val="none"/>
              </w:rPr>
              <w:t>产品供货安装计划与调试的供应保障方案</w:t>
            </w:r>
            <w:r>
              <w:rPr>
                <w:rFonts w:hint="eastAsia" w:cs="宋体" w:asciiTheme="minorEastAsia" w:hAnsiTheme="minorEastAsia"/>
                <w:kern w:val="0"/>
                <w:szCs w:val="21"/>
                <w:highlight w:val="none"/>
              </w:rPr>
              <w:t>其中包括（操作</w:t>
            </w:r>
            <w:r>
              <w:rPr>
                <w:rFonts w:cs="宋体" w:asciiTheme="minorEastAsia" w:hAnsiTheme="minorEastAsia"/>
                <w:kern w:val="0"/>
                <w:szCs w:val="21"/>
                <w:highlight w:val="none"/>
              </w:rPr>
              <w:t>培训方案</w:t>
            </w:r>
            <w:r>
              <w:rPr>
                <w:rFonts w:hint="eastAsia" w:cs="宋体" w:asciiTheme="minorEastAsia" w:hAnsiTheme="minorEastAsia"/>
                <w:kern w:val="0"/>
                <w:szCs w:val="21"/>
                <w:highlight w:val="none"/>
              </w:rPr>
              <w:t>、维护培训方案、培训人员配置、供货安装时间计划分析、供货保障措施。</w:t>
            </w:r>
            <w:r>
              <w:rPr>
                <w:rFonts w:cs="宋体" w:asciiTheme="minorEastAsia" w:hAnsiTheme="minorEastAsia"/>
                <w:kern w:val="0"/>
                <w:szCs w:val="21"/>
                <w:highlight w:val="none"/>
              </w:rPr>
              <w:t xml:space="preserve">每提供1项得1分，全部提供的得 </w:t>
            </w:r>
            <w:r>
              <w:rPr>
                <w:rFonts w:hint="eastAsia" w:cs="宋体" w:asciiTheme="minorEastAsia" w:hAnsiTheme="minorEastAsia"/>
                <w:kern w:val="0"/>
                <w:szCs w:val="21"/>
                <w:highlight w:val="none"/>
              </w:rPr>
              <w:t>5</w:t>
            </w:r>
            <w:r>
              <w:rPr>
                <w:rFonts w:cs="宋体" w:asciiTheme="minorEastAsia" w:hAnsiTheme="minorEastAsia"/>
                <w:kern w:val="0"/>
                <w:szCs w:val="21"/>
                <w:highlight w:val="none"/>
              </w:rPr>
              <w:t xml:space="preserve"> 分；未提供不得分</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8588" w:type="dxa"/>
            <w:gridSpan w:val="6"/>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注：1、各评委应认真理解本招标文件和项目有关情况后，做出须自己负责的评审。</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此评审得分的算术平均值，计算结果值在小数点后保留两位小数，后余位四舍五入。</w:t>
            </w:r>
          </w:p>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每一评审项目评标委员会成员横向对比扣分比例相差25%，需说明扣分原因。</w:t>
            </w:r>
          </w:p>
          <w:p>
            <w:pPr>
              <w:jc w:val="center"/>
              <w:rPr>
                <w:rFonts w:cs="宋体" w:asciiTheme="minorEastAsia" w:hAnsiTheme="minorEastAsia"/>
                <w:kern w:val="0"/>
                <w:szCs w:val="21"/>
                <w:highlight w:val="none"/>
              </w:rPr>
            </w:pPr>
          </w:p>
        </w:tc>
      </w:tr>
    </w:tbl>
    <w:p>
      <w:pPr>
        <w:rPr>
          <w:highlight w:val="none"/>
        </w:rPr>
      </w:pPr>
    </w:p>
    <w:p>
      <w:pPr>
        <w:pStyle w:val="2"/>
        <w:rPr>
          <w:color w:val="auto"/>
          <w:highlight w:val="none"/>
        </w:rPr>
      </w:pPr>
    </w:p>
    <w:p>
      <w:pPr>
        <w:pStyle w:val="21"/>
        <w:jc w:val="center"/>
        <w:rPr>
          <w:rFonts w:cs="宋体"/>
          <w:b/>
          <w:bCs/>
          <w:sz w:val="24"/>
          <w:highlight w:val="none"/>
          <w:lang w:val="zh-CN"/>
        </w:rPr>
      </w:pPr>
      <w:r>
        <w:rPr>
          <w:rFonts w:hint="eastAsia" w:cs="宋体"/>
          <w:b/>
          <w:bCs/>
          <w:sz w:val="24"/>
          <w:highlight w:val="none"/>
          <w:lang w:val="zh-CN"/>
        </w:rPr>
        <w:t>商务部分评审标准</w:t>
      </w:r>
    </w:p>
    <w:p>
      <w:pPr>
        <w:pStyle w:val="21"/>
        <w:rPr>
          <w:rFonts w:cs="宋体"/>
          <w:b/>
          <w:bCs/>
          <w:sz w:val="24"/>
          <w:highlight w:val="none"/>
          <w:lang w:val="zh-CN"/>
        </w:rPr>
      </w:pPr>
    </w:p>
    <w:tbl>
      <w:tblPr>
        <w:tblStyle w:val="16"/>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03"/>
        <w:gridCol w:w="1701"/>
        <w:gridCol w:w="850"/>
        <w:gridCol w:w="4111"/>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56"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序</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号</w:t>
            </w:r>
          </w:p>
        </w:tc>
        <w:tc>
          <w:tcPr>
            <w:tcW w:w="503"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项</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目</w:t>
            </w: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评审内容</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标准</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分</w:t>
            </w:r>
          </w:p>
        </w:tc>
        <w:tc>
          <w:tcPr>
            <w:tcW w:w="411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评分标准</w:t>
            </w: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56" w:type="dxa"/>
            <w:vMerge w:val="restart"/>
            <w:vAlign w:val="center"/>
          </w:tcPr>
          <w:p>
            <w:pPr>
              <w:jc w:val="center"/>
              <w:rPr>
                <w:rFonts w:cs="宋体" w:asciiTheme="minorEastAsia" w:hAnsiTheme="minorEastAsia"/>
                <w:kern w:val="0"/>
                <w:szCs w:val="21"/>
                <w:highlight w:val="none"/>
              </w:rPr>
            </w:pP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3</w:t>
            </w:r>
          </w:p>
        </w:tc>
        <w:tc>
          <w:tcPr>
            <w:tcW w:w="503" w:type="dxa"/>
            <w:vMerge w:val="restart"/>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商</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务</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响</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应</w:t>
            </w: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投标人业绩</w:t>
            </w:r>
          </w:p>
        </w:tc>
        <w:tc>
          <w:tcPr>
            <w:tcW w:w="850" w:type="dxa"/>
            <w:vAlign w:val="center"/>
          </w:tcPr>
          <w:p>
            <w:pPr>
              <w:jc w:val="center"/>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kern w:val="0"/>
                <w:szCs w:val="21"/>
                <w:highlight w:val="none"/>
              </w:rPr>
              <w:t>1</w:t>
            </w:r>
            <w:r>
              <w:rPr>
                <w:rFonts w:hint="eastAsia" w:cs="宋体" w:asciiTheme="minorEastAsia" w:hAnsiTheme="minorEastAsia"/>
                <w:kern w:val="0"/>
                <w:szCs w:val="21"/>
                <w:highlight w:val="none"/>
                <w:lang w:val="en-US" w:eastAsia="zh-CN"/>
              </w:rPr>
              <w:t>2</w:t>
            </w:r>
          </w:p>
        </w:tc>
        <w:tc>
          <w:tcPr>
            <w:tcW w:w="4111" w:type="dxa"/>
            <w:vAlign w:val="center"/>
          </w:tcPr>
          <w:p>
            <w:pPr>
              <w:jc w:val="left"/>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kern w:val="0"/>
                <w:szCs w:val="21"/>
                <w:highlight w:val="none"/>
              </w:rPr>
              <w:t>投标人近三年 （20</w:t>
            </w:r>
            <w:r>
              <w:rPr>
                <w:rFonts w:hint="eastAsia" w:cs="宋体" w:asciiTheme="minorEastAsia" w:hAnsiTheme="minorEastAsia"/>
                <w:kern w:val="0"/>
                <w:szCs w:val="21"/>
                <w:highlight w:val="none"/>
                <w:lang w:val="en-US" w:eastAsia="zh-CN"/>
              </w:rPr>
              <w:t>20</w:t>
            </w:r>
            <w:r>
              <w:rPr>
                <w:rFonts w:hint="eastAsia" w:cs="宋体" w:asciiTheme="minorEastAsia" w:hAnsiTheme="minorEastAsia"/>
                <w:kern w:val="0"/>
                <w:szCs w:val="21"/>
                <w:highlight w:val="none"/>
              </w:rPr>
              <w:t xml:space="preserve"> 年1月至今）环卫车辆 全国范围内中标通知书及合同的供货业绩证明，要求提供加盖公章业绩复印件，1 个项目业绩得 1 分，本项满分 1</w:t>
            </w:r>
            <w:r>
              <w:rPr>
                <w:rFonts w:hint="eastAsia" w:cs="宋体" w:asciiTheme="minorEastAsia" w:hAnsiTheme="minorEastAsia"/>
                <w:kern w:val="0"/>
                <w:szCs w:val="21"/>
                <w:highlight w:val="none"/>
                <w:lang w:val="en-US" w:eastAsia="zh-CN"/>
              </w:rPr>
              <w:t>2</w:t>
            </w:r>
            <w:r>
              <w:rPr>
                <w:rFonts w:hint="eastAsia" w:cs="宋体" w:asciiTheme="minorEastAsia" w:hAnsiTheme="minorEastAsia"/>
                <w:kern w:val="0"/>
                <w:szCs w:val="21"/>
                <w:highlight w:val="none"/>
              </w:rPr>
              <w:t>分。未提供不计分</w:t>
            </w:r>
            <w:r>
              <w:rPr>
                <w:rFonts w:hint="eastAsia" w:cs="宋体" w:asciiTheme="minorEastAsia" w:hAnsiTheme="minorEastAsia"/>
                <w:kern w:val="0"/>
                <w:szCs w:val="21"/>
                <w:highlight w:val="none"/>
                <w:lang w:eastAsia="zh-CN"/>
              </w:rPr>
              <w:t>。</w:t>
            </w:r>
          </w:p>
        </w:tc>
        <w:tc>
          <w:tcPr>
            <w:tcW w:w="967" w:type="dxa"/>
            <w:vAlign w:val="center"/>
          </w:tcPr>
          <w:p>
            <w:pPr>
              <w:jc w:val="center"/>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kern w:val="0"/>
                <w:szCs w:val="21"/>
                <w:highlight w:val="none"/>
              </w:rPr>
              <w:t>0-1</w:t>
            </w:r>
            <w:r>
              <w:rPr>
                <w:rFonts w:hint="eastAsia" w:cs="宋体" w:asciiTheme="minorEastAsia" w:hAnsiTheme="minorEastAsia"/>
                <w:kern w:val="0"/>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56" w:type="dxa"/>
            <w:vMerge w:val="continue"/>
            <w:vAlign w:val="center"/>
          </w:tcPr>
          <w:p>
            <w:pPr>
              <w:jc w:val="center"/>
              <w:rPr>
                <w:rFonts w:cs="宋体" w:asciiTheme="minorEastAsia" w:hAnsiTheme="minorEastAsia"/>
                <w:kern w:val="0"/>
                <w:szCs w:val="21"/>
                <w:highlight w:val="none"/>
              </w:rPr>
            </w:pPr>
          </w:p>
        </w:tc>
        <w:tc>
          <w:tcPr>
            <w:tcW w:w="503" w:type="dxa"/>
            <w:vMerge w:val="continue"/>
            <w:vAlign w:val="center"/>
          </w:tcPr>
          <w:p>
            <w:pPr>
              <w:jc w:val="center"/>
              <w:rPr>
                <w:rFonts w:cs="宋体" w:asciiTheme="minorEastAsia" w:hAnsiTheme="minorEastAsia"/>
                <w:kern w:val="0"/>
                <w:szCs w:val="21"/>
                <w:highlight w:val="none"/>
              </w:rPr>
            </w:pPr>
          </w:p>
        </w:tc>
        <w:tc>
          <w:tcPr>
            <w:tcW w:w="1701"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产品性能</w:t>
            </w:r>
          </w:p>
        </w:tc>
        <w:tc>
          <w:tcPr>
            <w:tcW w:w="850" w:type="dxa"/>
            <w:vAlign w:val="center"/>
          </w:tcPr>
          <w:p>
            <w:pPr>
              <w:jc w:val="center"/>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kern w:val="0"/>
                <w:szCs w:val="21"/>
                <w:highlight w:val="none"/>
                <w:lang w:val="en-US" w:eastAsia="zh-CN"/>
              </w:rPr>
              <w:t>5</w:t>
            </w:r>
          </w:p>
        </w:tc>
        <w:tc>
          <w:tcPr>
            <w:tcW w:w="4111" w:type="dxa"/>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提供所投产品性能介绍、产品保养维护</w:t>
            </w:r>
            <w:r>
              <w:rPr>
                <w:rFonts w:hint="eastAsia" w:cs="宋体" w:asciiTheme="minorEastAsia" w:hAnsiTheme="minorEastAsia"/>
                <w:kern w:val="0"/>
                <w:szCs w:val="21"/>
                <w:highlight w:val="none"/>
                <w:lang w:eastAsia="zh-CN"/>
              </w:rPr>
              <w:t>方案</w:t>
            </w:r>
            <w:r>
              <w:rPr>
                <w:rFonts w:hint="eastAsia" w:cs="宋体" w:asciiTheme="minorEastAsia" w:hAnsiTheme="minorEastAsia"/>
                <w:kern w:val="0"/>
                <w:szCs w:val="21"/>
                <w:highlight w:val="none"/>
              </w:rPr>
              <w:t xml:space="preserve">进行评分，每提供 1 项得 </w:t>
            </w:r>
            <w:r>
              <w:rPr>
                <w:rFonts w:hint="eastAsia" w:cs="宋体" w:asciiTheme="minorEastAsia" w:hAnsiTheme="minorEastAsia"/>
                <w:kern w:val="0"/>
                <w:szCs w:val="21"/>
                <w:highlight w:val="none"/>
                <w:lang w:val="en-US" w:eastAsia="zh-CN"/>
              </w:rPr>
              <w:t>1</w:t>
            </w:r>
            <w:r>
              <w:rPr>
                <w:rFonts w:hint="eastAsia" w:cs="宋体" w:asciiTheme="minorEastAsia" w:hAnsiTheme="minorEastAsia"/>
                <w:kern w:val="0"/>
                <w:szCs w:val="21"/>
                <w:highlight w:val="none"/>
              </w:rPr>
              <w:t xml:space="preserve"> 分，全部提供的得 </w:t>
            </w:r>
            <w:r>
              <w:rPr>
                <w:rFonts w:hint="eastAsia" w:cs="宋体" w:asciiTheme="minorEastAsia" w:hAnsiTheme="minorEastAsia"/>
                <w:kern w:val="0"/>
                <w:szCs w:val="21"/>
                <w:highlight w:val="none"/>
                <w:lang w:val="en-US" w:eastAsia="zh-CN"/>
              </w:rPr>
              <w:t>5</w:t>
            </w:r>
            <w:r>
              <w:rPr>
                <w:rFonts w:hint="eastAsia" w:cs="宋体" w:asciiTheme="minorEastAsia" w:hAnsiTheme="minorEastAsia"/>
                <w:kern w:val="0"/>
                <w:szCs w:val="21"/>
                <w:highlight w:val="none"/>
              </w:rPr>
              <w:t>分；未提供不得分。</w:t>
            </w:r>
          </w:p>
        </w:tc>
        <w:tc>
          <w:tcPr>
            <w:tcW w:w="967" w:type="dxa"/>
            <w:vAlign w:val="center"/>
          </w:tcPr>
          <w:p>
            <w:pPr>
              <w:jc w:val="center"/>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kern w:val="0"/>
                <w:szCs w:val="21"/>
                <w:highlight w:val="none"/>
              </w:rPr>
              <w:t>0-</w:t>
            </w:r>
            <w:r>
              <w:rPr>
                <w:rFonts w:hint="eastAsia" w:cs="宋体" w:asciiTheme="minorEastAsia" w:hAnsiTheme="minorEastAsia"/>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456" w:type="dxa"/>
            <w:vMerge w:val="continue"/>
            <w:vAlign w:val="center"/>
          </w:tcPr>
          <w:p>
            <w:pPr>
              <w:jc w:val="center"/>
              <w:rPr>
                <w:rFonts w:cs="宋体" w:asciiTheme="minorEastAsia" w:hAnsiTheme="minorEastAsia"/>
                <w:kern w:val="0"/>
                <w:szCs w:val="21"/>
                <w:highlight w:val="none"/>
              </w:rPr>
            </w:pPr>
          </w:p>
        </w:tc>
        <w:tc>
          <w:tcPr>
            <w:tcW w:w="503" w:type="dxa"/>
            <w:vMerge w:val="continue"/>
            <w:vAlign w:val="center"/>
          </w:tcPr>
          <w:p>
            <w:pPr>
              <w:jc w:val="center"/>
              <w:rPr>
                <w:rFonts w:cs="宋体" w:asciiTheme="minorEastAsia" w:hAnsiTheme="minorEastAsia"/>
                <w:kern w:val="0"/>
                <w:szCs w:val="21"/>
                <w:highlight w:val="none"/>
              </w:rPr>
            </w:pPr>
          </w:p>
        </w:tc>
        <w:tc>
          <w:tcPr>
            <w:tcW w:w="1701" w:type="dxa"/>
            <w:vAlign w:val="center"/>
          </w:tcPr>
          <w:p>
            <w:pPr>
              <w:jc w:val="center"/>
              <w:rPr>
                <w:rFonts w:ascii="宋体" w:hAnsi="宋体"/>
                <w:highlight w:val="none"/>
              </w:rPr>
            </w:pPr>
            <w:r>
              <w:rPr>
                <w:rFonts w:hint="eastAsia" w:ascii="宋体" w:hAnsi="宋体"/>
                <w:highlight w:val="none"/>
              </w:rPr>
              <w:t>备品备件</w:t>
            </w:r>
          </w:p>
        </w:tc>
        <w:tc>
          <w:tcPr>
            <w:tcW w:w="850"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3</w:t>
            </w:r>
          </w:p>
        </w:tc>
        <w:tc>
          <w:tcPr>
            <w:tcW w:w="4111" w:type="dxa"/>
            <w:vAlign w:val="center"/>
          </w:tcPr>
          <w:p>
            <w:pPr>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提供了备品备件清单及质保期外的服务方式，及质保期外优惠承诺的，提供 1 项得 1 分，全部提供的，得 3 分。 </w:t>
            </w:r>
          </w:p>
          <w:p>
            <w:pPr>
              <w:jc w:val="left"/>
              <w:rPr>
                <w:rFonts w:cs="宋体" w:asciiTheme="minorEastAsia" w:hAnsiTheme="minorEastAsia"/>
                <w:kern w:val="0"/>
                <w:szCs w:val="21"/>
                <w:highlight w:val="none"/>
              </w:rPr>
            </w:pPr>
          </w:p>
        </w:tc>
        <w:tc>
          <w:tcPr>
            <w:tcW w:w="96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3</w:t>
            </w:r>
          </w:p>
        </w:tc>
      </w:tr>
    </w:tbl>
    <w:p>
      <w:pPr>
        <w:pStyle w:val="12"/>
        <w:rPr>
          <w:rFonts w:cs="宋体" w:asciiTheme="minorEastAsia" w:hAnsiTheme="minorEastAsia"/>
          <w:kern w:val="0"/>
          <w:sz w:val="24"/>
          <w:szCs w:val="24"/>
          <w:highlight w:val="none"/>
        </w:rPr>
      </w:pPr>
    </w:p>
    <w:p>
      <w:pPr>
        <w:pStyle w:val="12"/>
        <w:rPr>
          <w:rFonts w:cs="宋体" w:asciiTheme="minorEastAsia" w:hAnsiTheme="minorEastAsia"/>
          <w:kern w:val="0"/>
          <w:sz w:val="24"/>
          <w:szCs w:val="24"/>
          <w:highlight w:val="none"/>
        </w:rPr>
      </w:pPr>
    </w:p>
    <w:p>
      <w:pPr>
        <w:pStyle w:val="12"/>
        <w:rPr>
          <w:rFonts w:cs="宋体" w:asciiTheme="minorEastAsia" w:hAnsiTheme="minorEastAsia"/>
          <w:kern w:val="0"/>
          <w:sz w:val="24"/>
          <w:szCs w:val="24"/>
          <w:highlight w:val="none"/>
        </w:rPr>
      </w:pPr>
    </w:p>
    <w:p>
      <w:pPr>
        <w:pStyle w:val="12"/>
        <w:rPr>
          <w:rFonts w:cs="宋体" w:asciiTheme="minorEastAsia" w:hAnsiTheme="minorEastAsia"/>
          <w:kern w:val="0"/>
          <w:sz w:val="24"/>
          <w:szCs w:val="24"/>
          <w:highlight w:val="none"/>
        </w:rPr>
      </w:pPr>
    </w:p>
    <w:p>
      <w:pP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br w:type="page"/>
      </w:r>
    </w:p>
    <w:p>
      <w:pPr>
        <w:pStyle w:val="21"/>
        <w:rPr>
          <w:highlight w:val="none"/>
        </w:rPr>
      </w:pP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另：政府采购政策功能落实</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1、小微型企业价格10%扣除</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 本项目对小型和微型企业产品给予扣除，用扣除后的价格参与评审。</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（2）供应商需按照采购文件的要求提供相应的《企业声明函》。</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（3）企业标准请参照《关于印发中小企业划型标准规定的通知》（工信部联企业[2011]300 号）文件规定自行填写。</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2、残疾人福利单位价格10%扣除</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 本项目对残疾人福利性单位视同小型、 微型企业， 给予价格扣除，用扣除后的价格参与评审。</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（2）残疾人福利单位需按照采购文件的要求提供《残疾人福利性单位声明函》。</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 残疾人福利单位标准请参照 《关于促进残疾人就业政府采购政策的通知》（财库〔2017〕141 号）。</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3、监狱和戒毒企业价格10%扣除</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（1）本项目对监狱和戒毒企业（简称监狱企业）视同小型、微型企业，给予价格扣除，用扣除后的价格参与评审。</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（2）监狱企业参加政府采购活动时，需提供由省级以上监狱管理局、戒毒管理局(含疆生产建设兵团)出具的属于监狱企业的证明文件。供应商如不提供上述证明文件，价格将不做相应扣除。</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 监狱企业标准请参照 《关于政府采购支持监狱企业发展有关问题的通知》 （财库[2014]68 号）。</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4、残疾人福利单位、监狱企业属于小型、微型企业的，不重复享受政策。</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5、大中型企业和其他自然人、法人或者其他组织并与小型、微型企业（残疾人福利单位、监狱企业）组成联合体共同参加政府采购活动。联合协议中约定，小型、微型企业 （残疾人福利单位、 监狱企业）的协议合同金额占到联合体协议合同总金额40%以上的，给予联合体 4%的价格扣除，用扣除后的价格参与评审。</w:t>
      </w:r>
    </w:p>
    <w:p>
      <w:pPr>
        <w:ind w:firstLine="643" w:firstLineChars="200"/>
        <w:jc w:val="center"/>
        <w:rPr>
          <w:rFonts w:asciiTheme="minorEastAsia" w:hAnsiTheme="minorEastAsia"/>
          <w:b/>
          <w:sz w:val="32"/>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p>
    <w:p>
      <w:pPr>
        <w:widowControl/>
        <w:jc w:val="left"/>
        <w:rPr>
          <w:rFonts w:asciiTheme="minorEastAsia" w:hAnsiTheme="minorEastAsia"/>
          <w:b/>
          <w:sz w:val="36"/>
          <w:szCs w:val="28"/>
          <w:highlight w:val="none"/>
        </w:rPr>
      </w:pPr>
      <w:r>
        <w:rPr>
          <w:rFonts w:asciiTheme="minorEastAsia" w:hAnsiTheme="minorEastAsia"/>
          <w:b/>
          <w:sz w:val="36"/>
          <w:szCs w:val="28"/>
          <w:highlight w:val="none"/>
        </w:rPr>
        <w:br w:type="page"/>
      </w:r>
    </w:p>
    <w:p>
      <w:pPr>
        <w:jc w:val="center"/>
        <w:rPr>
          <w:rFonts w:asciiTheme="minorEastAsia" w:hAnsiTheme="minorEastAsia"/>
          <w:b/>
          <w:sz w:val="36"/>
          <w:szCs w:val="28"/>
          <w:highlight w:val="none"/>
        </w:rPr>
      </w:pPr>
    </w:p>
    <w:p>
      <w:pPr>
        <w:jc w:val="center"/>
        <w:rPr>
          <w:rFonts w:asciiTheme="minorEastAsia" w:hAnsiTheme="minorEastAsia"/>
          <w:b/>
          <w:sz w:val="36"/>
          <w:szCs w:val="28"/>
          <w:highlight w:val="none"/>
        </w:rPr>
      </w:pPr>
      <w:r>
        <w:rPr>
          <w:rFonts w:hint="eastAsia" w:asciiTheme="minorEastAsia" w:hAnsiTheme="minorEastAsia"/>
          <w:b/>
          <w:sz w:val="36"/>
          <w:szCs w:val="28"/>
          <w:highlight w:val="none"/>
        </w:rPr>
        <w:t>第六章  投标文件格式</w:t>
      </w:r>
    </w:p>
    <w:p>
      <w:pPr>
        <w:ind w:firstLine="643" w:firstLineChars="200"/>
        <w:jc w:val="center"/>
        <w:rPr>
          <w:rFonts w:asciiTheme="minorEastAsia" w:hAnsiTheme="minorEastAsia"/>
          <w:b/>
          <w:sz w:val="32"/>
          <w:szCs w:val="28"/>
          <w:highlight w:val="none"/>
        </w:rPr>
      </w:pPr>
    </w:p>
    <w:p>
      <w:pPr>
        <w:ind w:firstLine="643" w:firstLineChars="200"/>
        <w:jc w:val="center"/>
        <w:rPr>
          <w:rFonts w:asciiTheme="minorEastAsia" w:hAnsiTheme="minorEastAsia"/>
          <w:b/>
          <w:sz w:val="32"/>
          <w:szCs w:val="28"/>
          <w:highlight w:val="none"/>
        </w:rPr>
      </w:pPr>
    </w:p>
    <w:p>
      <w:pPr>
        <w:ind w:firstLine="643" w:firstLineChars="200"/>
        <w:jc w:val="center"/>
        <w:rPr>
          <w:rFonts w:asciiTheme="minorEastAsia" w:hAnsiTheme="minorEastAsia"/>
          <w:b/>
          <w:sz w:val="32"/>
          <w:szCs w:val="28"/>
          <w:highlight w:val="none"/>
        </w:rPr>
      </w:pPr>
    </w:p>
    <w:p>
      <w:pPr>
        <w:jc w:val="center"/>
        <w:rPr>
          <w:rFonts w:asciiTheme="minorEastAsia" w:hAnsiTheme="minorEastAsia"/>
          <w:b/>
          <w:sz w:val="72"/>
          <w:szCs w:val="28"/>
          <w:highlight w:val="none"/>
        </w:rPr>
      </w:pPr>
      <w:r>
        <w:rPr>
          <w:rFonts w:hint="eastAsia" w:asciiTheme="minorEastAsia" w:hAnsiTheme="minorEastAsia"/>
          <w:b/>
          <w:sz w:val="72"/>
          <w:szCs w:val="28"/>
          <w:highlight w:val="none"/>
        </w:rPr>
        <w:t>投  标  文  件</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2" w:firstLineChars="200"/>
        <w:rPr>
          <w:rFonts w:asciiTheme="minorEastAsia" w:hAnsiTheme="minorEastAsia"/>
          <w:b/>
          <w:sz w:val="28"/>
          <w:szCs w:val="28"/>
          <w:highlight w:val="none"/>
        </w:rPr>
      </w:pPr>
    </w:p>
    <w:p>
      <w:pPr>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 xml:space="preserve">项 目 名 称：             </w:t>
      </w:r>
    </w:p>
    <w:p>
      <w:pPr>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 xml:space="preserve">招 标 编 号：        </w:t>
      </w:r>
    </w:p>
    <w:p>
      <w:pPr>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 xml:space="preserve">投标人名称 ：        </w:t>
      </w:r>
    </w:p>
    <w:p>
      <w:pPr>
        <w:ind w:firstLine="562" w:firstLineChars="200"/>
        <w:rPr>
          <w:rFonts w:asciiTheme="minorEastAsia" w:hAnsiTheme="minorEastAsia"/>
          <w:b/>
          <w:sz w:val="28"/>
          <w:szCs w:val="28"/>
          <w:highlight w:val="none"/>
        </w:rPr>
      </w:pPr>
      <w:r>
        <w:rPr>
          <w:rFonts w:hint="eastAsia" w:asciiTheme="minorEastAsia" w:hAnsiTheme="minorEastAsia"/>
          <w:b/>
          <w:sz w:val="28"/>
          <w:szCs w:val="28"/>
          <w:highlight w:val="none"/>
        </w:rPr>
        <w:t xml:space="preserve">日     期 ：     </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jc w:val="center"/>
        <w:rPr>
          <w:rFonts w:asciiTheme="minorEastAsia" w:hAnsiTheme="minorEastAsia"/>
          <w:b/>
          <w:sz w:val="28"/>
          <w:szCs w:val="28"/>
          <w:highlight w:val="none"/>
        </w:rPr>
      </w:pPr>
      <w:r>
        <w:rPr>
          <w:rFonts w:hint="eastAsia" w:asciiTheme="minorEastAsia" w:hAnsiTheme="minorEastAsia"/>
          <w:b/>
          <w:sz w:val="28"/>
          <w:szCs w:val="28"/>
          <w:highlight w:val="none"/>
        </w:rPr>
        <w:t>具备履行合同所必需的设备和专业技术能力的书面声明</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我单位郑重声明：我单位具备履行本项采购合同所必需的设备和专业技术能力，</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为履行本项采购合同我公司具备如下主要设备和主要专业技术能力：</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主要设备有：。</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主要专业技术能力有：。</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460" w:firstLineChars="1950"/>
        <w:rPr>
          <w:rFonts w:asciiTheme="minorEastAsia" w:hAnsiTheme="minorEastAsia"/>
          <w:sz w:val="28"/>
          <w:szCs w:val="28"/>
          <w:highlight w:val="none"/>
        </w:rPr>
      </w:pPr>
      <w:r>
        <w:rPr>
          <w:rFonts w:hint="eastAsia" w:asciiTheme="minorEastAsia" w:hAnsiTheme="minorEastAsia"/>
          <w:sz w:val="28"/>
          <w:szCs w:val="28"/>
          <w:highlight w:val="none"/>
        </w:rPr>
        <w:t>投标人名称（公章）：</w:t>
      </w:r>
    </w:p>
    <w:p>
      <w:pPr>
        <w:ind w:firstLine="5180" w:firstLineChars="1850"/>
        <w:rPr>
          <w:rFonts w:asciiTheme="minorEastAsia" w:hAnsiTheme="minorEastAsia"/>
          <w:sz w:val="28"/>
          <w:szCs w:val="28"/>
          <w:highlight w:val="none"/>
        </w:rPr>
      </w:pPr>
      <w:r>
        <w:rPr>
          <w:rFonts w:hint="eastAsia" w:asciiTheme="minorEastAsia" w:hAnsiTheme="minorEastAsia"/>
          <w:sz w:val="28"/>
          <w:szCs w:val="28"/>
          <w:highlight w:val="none"/>
        </w:rPr>
        <w:t>______年____月____日</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rPr>
          <w:rFonts w:asciiTheme="minorEastAsia" w:hAnsiTheme="minorEastAsia"/>
          <w:sz w:val="28"/>
          <w:szCs w:val="28"/>
          <w:highlight w:val="none"/>
        </w:rPr>
      </w:pPr>
      <w:r>
        <w:rPr>
          <w:rFonts w:asciiTheme="minorEastAsia" w:hAnsiTheme="minorEastAsia"/>
          <w:sz w:val="28"/>
          <w:szCs w:val="28"/>
          <w:highlight w:val="none"/>
        </w:rPr>
        <w:br w:type="page"/>
      </w:r>
    </w:p>
    <w:p>
      <w:pPr>
        <w:ind w:firstLine="560" w:firstLineChars="200"/>
        <w:rPr>
          <w:rFonts w:asciiTheme="minorEastAsia" w:hAnsiTheme="minorEastAsia"/>
          <w:sz w:val="28"/>
          <w:szCs w:val="28"/>
          <w:highlight w:val="none"/>
        </w:rPr>
      </w:pPr>
    </w:p>
    <w:p>
      <w:pPr>
        <w:jc w:val="center"/>
        <w:rPr>
          <w:rFonts w:asciiTheme="minorEastAsia" w:hAnsiTheme="minorEastAsia"/>
          <w:sz w:val="28"/>
          <w:szCs w:val="28"/>
          <w:highlight w:val="none"/>
        </w:rPr>
      </w:pPr>
      <w:r>
        <w:rPr>
          <w:rFonts w:hint="eastAsia" w:asciiTheme="minorEastAsia" w:hAnsiTheme="minorEastAsia"/>
          <w:b/>
          <w:sz w:val="28"/>
          <w:szCs w:val="28"/>
          <w:highlight w:val="none"/>
        </w:rPr>
        <w:t>参加政府采购活动前 3 年内在经营活动中没有重大违法记录的书面声明</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我单位郑重声明：参加本次政府采购活动前3 年内， 我单位在经营活动中没有因违法经营受到刑事处罚或者责令停产停业、吊销许可证或者执照、较大数额罚款等行政处罚。</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4900" w:firstLineChars="1750"/>
        <w:rPr>
          <w:rFonts w:asciiTheme="minorEastAsia" w:hAnsiTheme="minorEastAsia"/>
          <w:sz w:val="28"/>
          <w:szCs w:val="28"/>
          <w:highlight w:val="none"/>
        </w:rPr>
      </w:pPr>
      <w:r>
        <w:rPr>
          <w:rFonts w:hint="eastAsia" w:asciiTheme="minorEastAsia" w:hAnsiTheme="minorEastAsia"/>
          <w:sz w:val="28"/>
          <w:szCs w:val="28"/>
          <w:highlight w:val="none"/>
        </w:rPr>
        <w:t>投标人名称（公章）：</w:t>
      </w:r>
    </w:p>
    <w:p>
      <w:pPr>
        <w:ind w:firstLine="5320" w:firstLineChars="1900"/>
        <w:rPr>
          <w:rFonts w:asciiTheme="minorEastAsia" w:hAnsiTheme="minorEastAsia"/>
          <w:sz w:val="28"/>
          <w:szCs w:val="28"/>
          <w:highlight w:val="none"/>
        </w:rPr>
      </w:pPr>
      <w:r>
        <w:rPr>
          <w:rFonts w:hint="eastAsia" w:asciiTheme="minorEastAsia" w:hAnsiTheme="minorEastAsia"/>
          <w:sz w:val="28"/>
          <w:szCs w:val="28"/>
          <w:highlight w:val="none"/>
        </w:rPr>
        <w:t>______年____月____日</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2"/>
        <w:rPr>
          <w:rFonts w:asciiTheme="minorEastAsia" w:hAnsiTheme="minorEastAsia"/>
          <w:color w:val="auto"/>
          <w:sz w:val="28"/>
          <w:szCs w:val="28"/>
          <w:highlight w:val="none"/>
        </w:rPr>
      </w:pPr>
    </w:p>
    <w:p>
      <w:pPr>
        <w:pStyle w:val="21"/>
        <w:rPr>
          <w:highlight w:val="none"/>
        </w:rPr>
      </w:pPr>
    </w:p>
    <w:p>
      <w:pPr>
        <w:jc w:val="center"/>
        <w:rPr>
          <w:rFonts w:asciiTheme="minorEastAsia" w:hAnsiTheme="minorEastAsia"/>
          <w:b/>
          <w:sz w:val="32"/>
          <w:szCs w:val="28"/>
          <w:highlight w:val="none"/>
        </w:rPr>
      </w:pPr>
      <w:r>
        <w:rPr>
          <w:rFonts w:hint="eastAsia" w:asciiTheme="minorEastAsia" w:hAnsiTheme="minorEastAsia"/>
          <w:b/>
          <w:sz w:val="32"/>
          <w:szCs w:val="28"/>
          <w:highlight w:val="none"/>
        </w:rPr>
        <w:t>法人授权书</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本授权书声明：____________（投标人名称）授权________________（被授权人的姓名）为我方就  （项目编号）  号项目采购活动的合法代理人，以本单位名义全权处理一切与该项目采购有关的事务。</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本授权书于______年____月____日起生效，特此声明。</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代理人（被授权人）签字：_______________________ </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身份证号码：</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联系电话：（手机）</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单位名称：_____________________________________ </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授权单位（公章）：_________________________________ </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法定代表人（签字或盖章）：_______________________________</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单位地址：</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日期：</w:t>
      </w:r>
    </w:p>
    <w:tbl>
      <w:tblPr>
        <w:tblStyle w:val="16"/>
        <w:tblW w:w="6662"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5" w:hRule="atLeast"/>
        </w:trPr>
        <w:tc>
          <w:tcPr>
            <w:tcW w:w="6662" w:type="dxa"/>
          </w:tcPr>
          <w:p>
            <w:pPr>
              <w:rPr>
                <w:rFonts w:asciiTheme="minorEastAsia" w:hAnsiTheme="minorEastAsia"/>
                <w:sz w:val="28"/>
                <w:szCs w:val="28"/>
                <w:highlight w:val="none"/>
              </w:rPr>
            </w:pPr>
            <w:r>
              <w:rPr>
                <w:rFonts w:hint="eastAsia" w:asciiTheme="minorEastAsia" w:hAnsiTheme="minorEastAsia"/>
                <w:sz w:val="28"/>
                <w:szCs w:val="28"/>
                <w:highlight w:val="none"/>
              </w:rPr>
              <w:t>被授权人身份证复印件(双面)</w:t>
            </w:r>
          </w:p>
        </w:tc>
      </w:tr>
    </w:tbl>
    <w:p>
      <w:pPr>
        <w:ind w:firstLine="560" w:firstLineChars="200"/>
        <w:rPr>
          <w:rFonts w:asciiTheme="minorEastAsia" w:hAnsiTheme="minorEastAsia"/>
          <w:sz w:val="28"/>
          <w:szCs w:val="28"/>
          <w:highlight w:val="none"/>
        </w:rPr>
      </w:pPr>
    </w:p>
    <w:p>
      <w:pPr>
        <w:rPr>
          <w:rFonts w:asciiTheme="minorEastAsia" w:hAnsiTheme="minorEastAsia"/>
          <w:b/>
          <w:sz w:val="28"/>
          <w:szCs w:val="28"/>
          <w:highlight w:val="none"/>
        </w:rPr>
      </w:pPr>
      <w:r>
        <w:rPr>
          <w:rFonts w:hint="eastAsia" w:asciiTheme="minorEastAsia" w:hAnsiTheme="minorEastAsia"/>
          <w:b/>
          <w:sz w:val="28"/>
          <w:szCs w:val="28"/>
          <w:highlight w:val="none"/>
        </w:rPr>
        <w:br w:type="page"/>
      </w:r>
    </w:p>
    <w:p>
      <w:pPr>
        <w:pStyle w:val="9"/>
        <w:rPr>
          <w:highlight w:val="none"/>
        </w:rPr>
      </w:pPr>
    </w:p>
    <w:p>
      <w:pPr>
        <w:ind w:firstLine="562" w:firstLineChars="200"/>
        <w:jc w:val="center"/>
        <w:rPr>
          <w:rFonts w:asciiTheme="minorEastAsia" w:hAnsiTheme="minorEastAsia"/>
          <w:b/>
          <w:sz w:val="28"/>
          <w:szCs w:val="28"/>
          <w:highlight w:val="none"/>
        </w:rPr>
      </w:pPr>
      <w:r>
        <w:rPr>
          <w:rFonts w:hint="eastAsia" w:asciiTheme="minorEastAsia" w:hAnsiTheme="minorEastAsia"/>
          <w:b/>
          <w:sz w:val="28"/>
          <w:szCs w:val="28"/>
          <w:highlight w:val="none"/>
        </w:rPr>
        <w:t>投标函格式</w:t>
      </w: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rPr>
        <w:t>致：</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根据贵方的号招标文件，正式授权下述签字人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_________________(姓名)代表我方______________ （投标人的名称），全权处理本次项目投标的有关事宜。</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据此函，__________签字人兹宣布同意如下：</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1.按招标文件规定的各项要求，向买方提供所需服务或产品与服务。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2.我们完全理解贵方不一定将合同授予最低报价的投标人。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3.我们已详细审核全部招标文件及其有效补充文件，我们知道必须放弃提出含糊不清或误解问题的权利。</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4.我们同意从规定的开标日期起遵循本投标文件，并在规定的投标有效期期满之前均具有约束力。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5.如果在开标后规定的投标有效期内撤回投标或中标后拒绝签订合同，我们的投标保证金可不予退还。</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6.同意向贵方提供贵方可能另外要求的与投标有关的任何证据或资料，并保证我方已提供和将要提供的文件是真实的、准确的。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7.一旦我方中标,我方将根据招标文件的规定，严格履行合同的责任和义务,并保证在招标文件规定的时间完成项目，交付买方验收、使用。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8.与本投标有关的正式通讯地址为：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地  址：</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邮  编：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电  话：</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传  真：</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投标人开户行：</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账  户：</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投标人名称（公章）：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日  期：________年____月____日</w:t>
      </w:r>
    </w:p>
    <w:p>
      <w:pPr>
        <w:ind w:firstLine="562" w:firstLineChars="200"/>
        <w:jc w:val="center"/>
        <w:rPr>
          <w:rFonts w:asciiTheme="minorEastAsia" w:hAnsiTheme="minorEastAsia"/>
          <w:b/>
          <w:sz w:val="28"/>
          <w:szCs w:val="28"/>
          <w:highlight w:val="none"/>
        </w:rPr>
      </w:pPr>
      <w:r>
        <w:rPr>
          <w:rFonts w:hint="eastAsia" w:asciiTheme="minorEastAsia" w:hAnsiTheme="minorEastAsia"/>
          <w:b/>
          <w:sz w:val="28"/>
          <w:szCs w:val="28"/>
          <w:highlight w:val="none"/>
        </w:rPr>
        <w:t>格式一 中小企业声明函</w:t>
      </w:r>
    </w:p>
    <w:p>
      <w:pPr>
        <w:ind w:firstLine="560" w:firstLineChars="200"/>
        <w:rPr>
          <w:rFonts w:asciiTheme="minorEastAsia" w:hAnsiTheme="minorEastAsia"/>
          <w:sz w:val="28"/>
          <w:szCs w:val="28"/>
          <w:highlight w:val="none"/>
        </w:rPr>
      </w:pPr>
      <w:bookmarkStart w:id="10" w:name="_Toc7693"/>
      <w:bookmarkStart w:id="11" w:name="_Toc11314"/>
      <w:bookmarkStart w:id="12" w:name="_Toc8967"/>
      <w:bookmarkStart w:id="13" w:name="_Toc20647"/>
      <w:bookmarkStart w:id="14" w:name="_Toc21869"/>
      <w:r>
        <w:rPr>
          <w:rFonts w:hint="eastAsia" w:asciiTheme="minorEastAsia" w:hAnsiTheme="minorEastAsia"/>
          <w:sz w:val="28"/>
          <w:szCs w:val="28"/>
          <w:highlight w:val="none"/>
        </w:rPr>
        <w:t>中小企业声明函（货物）</w:t>
      </w:r>
      <w:bookmarkEnd w:id="10"/>
      <w:bookmarkEnd w:id="11"/>
      <w:bookmarkEnd w:id="12"/>
      <w:bookmarkEnd w:id="13"/>
      <w:bookmarkEnd w:id="14"/>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（标的名称） ，属于（</w:t>
      </w:r>
      <w:r>
        <w:rPr>
          <w:rFonts w:hint="eastAsia" w:asciiTheme="minorEastAsia" w:hAnsiTheme="minorEastAsia"/>
          <w:sz w:val="28"/>
          <w:szCs w:val="28"/>
          <w:highlight w:val="none"/>
          <w:lang w:eastAsia="zh-CN"/>
        </w:rPr>
        <w:t>制造</w:t>
      </w:r>
      <w:r>
        <w:rPr>
          <w:rFonts w:hint="eastAsia" w:asciiTheme="minorEastAsia" w:hAnsiTheme="minorEastAsia"/>
          <w:sz w:val="28"/>
          <w:szCs w:val="28"/>
          <w:highlight w:val="none"/>
        </w:rPr>
        <w:t>）行业；制造商为（企业名称），从业人员人，营业收入为万元，资产总额为万元，属于（中型企业、小型企业、微型企业）；</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（标的名称） ，属于（</w:t>
      </w:r>
      <w:r>
        <w:rPr>
          <w:rFonts w:hint="eastAsia" w:asciiTheme="minorEastAsia" w:hAnsiTheme="minorEastAsia"/>
          <w:sz w:val="28"/>
          <w:szCs w:val="28"/>
          <w:highlight w:val="none"/>
          <w:lang w:eastAsia="zh-CN"/>
        </w:rPr>
        <w:t>制造</w:t>
      </w:r>
      <w:r>
        <w:rPr>
          <w:rFonts w:hint="eastAsia" w:asciiTheme="minorEastAsia" w:hAnsiTheme="minorEastAsia"/>
          <w:sz w:val="28"/>
          <w:szCs w:val="28"/>
          <w:highlight w:val="none"/>
        </w:rPr>
        <w:t>）行业；制造商为（企业名称），从业人员人，营业收入为万元，资产总额为万元，属于（中型企业、小型企业、微型企业）；</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以上企业，不属于大企业的分支机构，不存在控股股东为大企业的情形，也不存在与大企业的负责人为同一人的情形。</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本企业对上述声明内容的真实性负责。如有虚假，将依法承担相应责任。</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                                企业名称（盖章）：</w:t>
      </w:r>
    </w:p>
    <w:p>
      <w:pPr>
        <w:tabs>
          <w:tab w:val="left" w:pos="7173"/>
        </w:tabs>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                                日期：</w:t>
      </w:r>
    </w:p>
    <w:p>
      <w:pPr>
        <w:tabs>
          <w:tab w:val="left" w:pos="7173"/>
        </w:tabs>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（备注：供应商如不提供此声明函，价格将不做相应扣除）</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rPr>
          <w:rFonts w:asciiTheme="minorEastAsia" w:hAnsiTheme="minorEastAsia"/>
          <w:sz w:val="28"/>
          <w:szCs w:val="28"/>
          <w:highlight w:val="none"/>
        </w:rPr>
      </w:pPr>
    </w:p>
    <w:p>
      <w:pPr>
        <w:ind w:firstLine="562" w:firstLineChars="200"/>
        <w:jc w:val="center"/>
        <w:rPr>
          <w:rFonts w:asciiTheme="minorEastAsia" w:hAnsiTheme="minorEastAsia"/>
          <w:b/>
          <w:sz w:val="28"/>
          <w:szCs w:val="28"/>
          <w:highlight w:val="none"/>
        </w:rPr>
      </w:pPr>
      <w:r>
        <w:rPr>
          <w:rFonts w:hint="eastAsia" w:asciiTheme="minorEastAsia" w:hAnsiTheme="minorEastAsia"/>
          <w:b/>
          <w:sz w:val="28"/>
          <w:szCs w:val="28"/>
          <w:highlight w:val="none"/>
        </w:rPr>
        <w:t>格式二 残疾人福利性单位声明函</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本单位郑重声明，根据《财政部 民政部 中国残疾人联合会关于促进残疾人就业政府采购政策的通知》（财库〔2017〕141 号）的规定，本单位为符合条件的残疾人福利性单位， 且本单位参加______单位的采购文件编号为______的  项目采购活动提供本单位制造的服务或产品（由本单位承担工程/提供服务），或者提供其他残疾人福利性单位制造的服务或产品（不包括使用非残疾人福利性单位注册商标的服务或产品）。</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本单位在本次政府采购活动中提供的残疾人福利单位产品报价合计为人民币（大写）  元整（￥：  ）。</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本单位对上述声明的真实性负责。如有虚假，将依法承担相应责任。</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（备注：1、供应商如不提供此声明函，价格将不做相应扣除。2、中标供应商为残疾人福利单位的，此声明函将随中标结果同时公告，接受社会监督）</w:t>
      </w:r>
    </w:p>
    <w:p>
      <w:pPr>
        <w:ind w:firstLine="5740" w:firstLineChars="2050"/>
        <w:rPr>
          <w:rFonts w:asciiTheme="minorEastAsia" w:hAnsiTheme="minorEastAsia"/>
          <w:sz w:val="28"/>
          <w:szCs w:val="28"/>
          <w:highlight w:val="none"/>
        </w:rPr>
      </w:pPr>
      <w:r>
        <w:rPr>
          <w:rFonts w:hint="eastAsia" w:asciiTheme="minorEastAsia" w:hAnsiTheme="minorEastAsia"/>
          <w:sz w:val="28"/>
          <w:szCs w:val="28"/>
          <w:highlight w:val="none"/>
        </w:rPr>
        <w:t>供应商全称（盖章）：</w:t>
      </w:r>
    </w:p>
    <w:p>
      <w:pPr>
        <w:ind w:firstLine="6300" w:firstLineChars="2250"/>
        <w:rPr>
          <w:rFonts w:asciiTheme="minorEastAsia" w:hAnsiTheme="minorEastAsia"/>
          <w:sz w:val="28"/>
          <w:szCs w:val="28"/>
          <w:highlight w:val="none"/>
        </w:rPr>
      </w:pPr>
      <w:r>
        <w:rPr>
          <w:rFonts w:hint="eastAsia" w:asciiTheme="minorEastAsia" w:hAnsiTheme="minorEastAsia"/>
          <w:sz w:val="28"/>
          <w:szCs w:val="28"/>
          <w:highlight w:val="none"/>
        </w:rPr>
        <w:t>日  期：</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rPr>
          <w:rFonts w:asciiTheme="minorEastAsia" w:hAnsiTheme="minorEastAsia"/>
          <w:sz w:val="28"/>
          <w:szCs w:val="28"/>
          <w:highlight w:val="none"/>
        </w:rPr>
      </w:pPr>
    </w:p>
    <w:p>
      <w:pPr>
        <w:jc w:val="center"/>
        <w:rPr>
          <w:rFonts w:asciiTheme="minorEastAsia" w:hAnsiTheme="minorEastAsia"/>
          <w:b/>
          <w:sz w:val="28"/>
          <w:szCs w:val="28"/>
          <w:highlight w:val="none"/>
        </w:rPr>
      </w:pPr>
      <w:r>
        <w:rPr>
          <w:rFonts w:hint="eastAsia" w:asciiTheme="minorEastAsia" w:hAnsiTheme="minorEastAsia"/>
          <w:b/>
          <w:sz w:val="28"/>
          <w:szCs w:val="28"/>
          <w:highlight w:val="none"/>
        </w:rPr>
        <w:t>三、投标产品配置及分项报价表</w:t>
      </w:r>
    </w:p>
    <w:tbl>
      <w:tblPr>
        <w:tblStyle w:val="16"/>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027"/>
        <w:gridCol w:w="2028"/>
        <w:gridCol w:w="202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27" w:type="dxa"/>
            <w:vAlign w:val="center"/>
          </w:tcPr>
          <w:p>
            <w:pPr>
              <w:jc w:val="center"/>
              <w:rPr>
                <w:rFonts w:asciiTheme="minorEastAsia" w:hAnsiTheme="minorEastAsia"/>
                <w:sz w:val="24"/>
                <w:szCs w:val="28"/>
                <w:highlight w:val="none"/>
              </w:rPr>
            </w:pPr>
            <w:r>
              <w:rPr>
                <w:rFonts w:hint="eastAsia" w:asciiTheme="minorEastAsia" w:hAnsiTheme="minorEastAsia"/>
                <w:sz w:val="24"/>
                <w:szCs w:val="28"/>
                <w:highlight w:val="none"/>
              </w:rPr>
              <w:t>公告批次</w:t>
            </w:r>
          </w:p>
        </w:tc>
        <w:tc>
          <w:tcPr>
            <w:tcW w:w="2027" w:type="dxa"/>
            <w:vAlign w:val="center"/>
          </w:tcPr>
          <w:p>
            <w:pPr>
              <w:jc w:val="center"/>
              <w:rPr>
                <w:rFonts w:asciiTheme="minorEastAsia" w:hAnsiTheme="minorEastAsia"/>
                <w:sz w:val="24"/>
                <w:szCs w:val="28"/>
                <w:highlight w:val="none"/>
              </w:rPr>
            </w:pPr>
            <w:r>
              <w:rPr>
                <w:rFonts w:hint="eastAsia" w:asciiTheme="minorEastAsia" w:hAnsiTheme="minorEastAsia"/>
                <w:sz w:val="24"/>
                <w:szCs w:val="28"/>
                <w:highlight w:val="none"/>
              </w:rPr>
              <w:t>产品名称及规格、型号</w:t>
            </w:r>
          </w:p>
        </w:tc>
        <w:tc>
          <w:tcPr>
            <w:tcW w:w="2028" w:type="dxa"/>
            <w:vAlign w:val="center"/>
          </w:tcPr>
          <w:p>
            <w:pPr>
              <w:jc w:val="center"/>
              <w:rPr>
                <w:rFonts w:asciiTheme="minorEastAsia" w:hAnsiTheme="minorEastAsia"/>
                <w:sz w:val="24"/>
                <w:szCs w:val="28"/>
                <w:highlight w:val="none"/>
              </w:rPr>
            </w:pPr>
            <w:r>
              <w:rPr>
                <w:rFonts w:hint="eastAsia" w:asciiTheme="minorEastAsia" w:hAnsiTheme="minorEastAsia"/>
                <w:sz w:val="24"/>
                <w:szCs w:val="28"/>
                <w:highlight w:val="none"/>
              </w:rPr>
              <w:t>数量</w:t>
            </w:r>
          </w:p>
        </w:tc>
        <w:tc>
          <w:tcPr>
            <w:tcW w:w="2028" w:type="dxa"/>
            <w:vAlign w:val="center"/>
          </w:tcPr>
          <w:p>
            <w:pPr>
              <w:jc w:val="center"/>
              <w:rPr>
                <w:rFonts w:asciiTheme="minorEastAsia" w:hAnsiTheme="minorEastAsia"/>
                <w:sz w:val="24"/>
                <w:szCs w:val="28"/>
                <w:highlight w:val="none"/>
              </w:rPr>
            </w:pPr>
            <w:r>
              <w:rPr>
                <w:rFonts w:hint="eastAsia" w:asciiTheme="minorEastAsia" w:hAnsiTheme="minorEastAsia"/>
                <w:sz w:val="24"/>
                <w:szCs w:val="28"/>
                <w:highlight w:val="none"/>
              </w:rPr>
              <w:t>单价</w:t>
            </w:r>
          </w:p>
        </w:tc>
        <w:tc>
          <w:tcPr>
            <w:tcW w:w="2028" w:type="dxa"/>
            <w:vAlign w:val="center"/>
          </w:tcPr>
          <w:p>
            <w:pPr>
              <w:jc w:val="center"/>
              <w:rPr>
                <w:rFonts w:asciiTheme="minorEastAsia" w:hAnsiTheme="minorEastAsia"/>
                <w:sz w:val="24"/>
                <w:szCs w:val="28"/>
                <w:highlight w:val="none"/>
              </w:rPr>
            </w:pPr>
            <w:r>
              <w:rPr>
                <w:rFonts w:hint="eastAsia" w:asciiTheme="minorEastAsia" w:hAnsiTheme="minorEastAsia"/>
                <w:sz w:val="24"/>
                <w:szCs w:val="2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27" w:type="dxa"/>
            <w:vAlign w:val="center"/>
          </w:tcPr>
          <w:p>
            <w:pPr>
              <w:jc w:val="center"/>
              <w:rPr>
                <w:rFonts w:asciiTheme="minorEastAsia" w:hAnsiTheme="minorEastAsia"/>
                <w:sz w:val="28"/>
                <w:szCs w:val="28"/>
                <w:highlight w:val="none"/>
              </w:rPr>
            </w:pPr>
          </w:p>
        </w:tc>
        <w:tc>
          <w:tcPr>
            <w:tcW w:w="2027"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27" w:type="dxa"/>
            <w:vAlign w:val="center"/>
          </w:tcPr>
          <w:p>
            <w:pPr>
              <w:jc w:val="center"/>
              <w:rPr>
                <w:rFonts w:asciiTheme="minorEastAsia" w:hAnsiTheme="minorEastAsia"/>
                <w:sz w:val="28"/>
                <w:szCs w:val="28"/>
                <w:highlight w:val="none"/>
              </w:rPr>
            </w:pPr>
          </w:p>
        </w:tc>
        <w:tc>
          <w:tcPr>
            <w:tcW w:w="2027"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27" w:type="dxa"/>
            <w:vAlign w:val="center"/>
          </w:tcPr>
          <w:p>
            <w:pPr>
              <w:jc w:val="center"/>
              <w:rPr>
                <w:rFonts w:asciiTheme="minorEastAsia" w:hAnsiTheme="minorEastAsia"/>
                <w:sz w:val="28"/>
                <w:szCs w:val="28"/>
                <w:highlight w:val="none"/>
              </w:rPr>
            </w:pPr>
          </w:p>
        </w:tc>
        <w:tc>
          <w:tcPr>
            <w:tcW w:w="2027"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27" w:type="dxa"/>
            <w:vAlign w:val="center"/>
          </w:tcPr>
          <w:p>
            <w:pPr>
              <w:jc w:val="center"/>
              <w:rPr>
                <w:rFonts w:asciiTheme="minorEastAsia" w:hAnsiTheme="minorEastAsia"/>
                <w:sz w:val="28"/>
                <w:szCs w:val="28"/>
                <w:highlight w:val="none"/>
              </w:rPr>
            </w:pPr>
          </w:p>
        </w:tc>
        <w:tc>
          <w:tcPr>
            <w:tcW w:w="2027"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27" w:type="dxa"/>
            <w:vAlign w:val="center"/>
          </w:tcPr>
          <w:p>
            <w:pPr>
              <w:jc w:val="center"/>
              <w:rPr>
                <w:rFonts w:asciiTheme="minorEastAsia" w:hAnsiTheme="minorEastAsia"/>
                <w:sz w:val="28"/>
                <w:szCs w:val="28"/>
                <w:highlight w:val="none"/>
              </w:rPr>
            </w:pPr>
          </w:p>
        </w:tc>
        <w:tc>
          <w:tcPr>
            <w:tcW w:w="2027"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027" w:type="dxa"/>
            <w:vAlign w:val="center"/>
          </w:tcPr>
          <w:p>
            <w:pPr>
              <w:jc w:val="center"/>
              <w:rPr>
                <w:rFonts w:asciiTheme="minorEastAsia" w:hAnsiTheme="minorEastAsia"/>
                <w:sz w:val="28"/>
                <w:szCs w:val="28"/>
                <w:highlight w:val="none"/>
              </w:rPr>
            </w:pPr>
            <w:r>
              <w:rPr>
                <w:rFonts w:hint="eastAsia" w:asciiTheme="minorEastAsia" w:hAnsiTheme="minorEastAsia"/>
                <w:sz w:val="24"/>
                <w:szCs w:val="28"/>
                <w:highlight w:val="none"/>
              </w:rPr>
              <w:t>合计</w:t>
            </w:r>
          </w:p>
        </w:tc>
        <w:tc>
          <w:tcPr>
            <w:tcW w:w="6083" w:type="dxa"/>
            <w:gridSpan w:val="3"/>
            <w:vAlign w:val="center"/>
          </w:tcPr>
          <w:p>
            <w:pPr>
              <w:jc w:val="center"/>
              <w:rPr>
                <w:rFonts w:asciiTheme="minorEastAsia" w:hAnsiTheme="minorEastAsia"/>
                <w:sz w:val="28"/>
                <w:szCs w:val="28"/>
                <w:highlight w:val="none"/>
              </w:rPr>
            </w:pPr>
          </w:p>
        </w:tc>
        <w:tc>
          <w:tcPr>
            <w:tcW w:w="2028" w:type="dxa"/>
            <w:vAlign w:val="center"/>
          </w:tcPr>
          <w:p>
            <w:pPr>
              <w:jc w:val="center"/>
              <w:rPr>
                <w:rFonts w:asciiTheme="minorEastAsia" w:hAnsiTheme="minorEastAsia"/>
                <w:sz w:val="28"/>
                <w:szCs w:val="28"/>
                <w:highlight w:val="none"/>
              </w:rPr>
            </w:pPr>
          </w:p>
        </w:tc>
      </w:tr>
    </w:tbl>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备注：供应商提供的产品无工信部公告批次的无需提供</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2"/>
        <w:rPr>
          <w:rFonts w:asciiTheme="minorEastAsia" w:hAnsiTheme="minorEastAsia"/>
          <w:color w:val="auto"/>
          <w:sz w:val="28"/>
          <w:szCs w:val="28"/>
          <w:highlight w:val="none"/>
        </w:rPr>
      </w:pPr>
    </w:p>
    <w:p>
      <w:pPr>
        <w:pStyle w:val="21"/>
        <w:rPr>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jc w:val="center"/>
        <w:rPr>
          <w:rFonts w:asciiTheme="minorEastAsia" w:hAnsiTheme="minorEastAsia"/>
          <w:b/>
          <w:sz w:val="28"/>
          <w:szCs w:val="28"/>
          <w:highlight w:val="none"/>
        </w:rPr>
      </w:pPr>
      <w:r>
        <w:rPr>
          <w:rFonts w:hint="eastAsia" w:asciiTheme="minorEastAsia" w:hAnsiTheme="minorEastAsia"/>
          <w:b/>
          <w:sz w:val="28"/>
          <w:szCs w:val="28"/>
          <w:highlight w:val="none"/>
        </w:rPr>
        <w:t>四、技术参数响应及偏离表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EastAsia" w:hAnsiTheme="minorEastAsia"/>
                <w:sz w:val="28"/>
                <w:szCs w:val="28"/>
                <w:highlight w:val="none"/>
              </w:rPr>
            </w:pPr>
            <w:r>
              <w:rPr>
                <w:rFonts w:hint="eastAsia" w:asciiTheme="minorEastAsia" w:hAnsiTheme="minorEastAsia"/>
                <w:sz w:val="28"/>
                <w:szCs w:val="28"/>
                <w:highlight w:val="none"/>
              </w:rPr>
              <w:t>序号</w:t>
            </w:r>
          </w:p>
        </w:tc>
        <w:tc>
          <w:tcPr>
            <w:tcW w:w="1704" w:type="dxa"/>
          </w:tcPr>
          <w:p>
            <w:pPr>
              <w:rPr>
                <w:rFonts w:asciiTheme="minorEastAsia" w:hAnsiTheme="minorEastAsia"/>
                <w:sz w:val="28"/>
                <w:szCs w:val="28"/>
                <w:highlight w:val="none"/>
              </w:rPr>
            </w:pPr>
            <w:r>
              <w:rPr>
                <w:rFonts w:hint="eastAsia" w:asciiTheme="minorEastAsia" w:hAnsiTheme="minorEastAsia"/>
                <w:sz w:val="28"/>
                <w:szCs w:val="28"/>
                <w:highlight w:val="none"/>
              </w:rPr>
              <w:t>招标要求</w:t>
            </w:r>
          </w:p>
        </w:tc>
        <w:tc>
          <w:tcPr>
            <w:tcW w:w="1704" w:type="dxa"/>
          </w:tcPr>
          <w:p>
            <w:pPr>
              <w:rPr>
                <w:rFonts w:asciiTheme="minorEastAsia" w:hAnsiTheme="minorEastAsia"/>
                <w:sz w:val="28"/>
                <w:szCs w:val="28"/>
                <w:highlight w:val="none"/>
              </w:rPr>
            </w:pPr>
            <w:r>
              <w:rPr>
                <w:rFonts w:hint="eastAsia" w:asciiTheme="minorEastAsia" w:hAnsiTheme="minorEastAsia"/>
                <w:sz w:val="28"/>
                <w:szCs w:val="28"/>
                <w:highlight w:val="none"/>
              </w:rPr>
              <w:t>投标响应</w:t>
            </w:r>
          </w:p>
        </w:tc>
        <w:tc>
          <w:tcPr>
            <w:tcW w:w="1705" w:type="dxa"/>
          </w:tcPr>
          <w:p>
            <w:pPr>
              <w:rPr>
                <w:rFonts w:asciiTheme="minorEastAsia" w:hAnsiTheme="minorEastAsia"/>
                <w:sz w:val="28"/>
                <w:szCs w:val="28"/>
                <w:highlight w:val="none"/>
              </w:rPr>
            </w:pPr>
            <w:r>
              <w:rPr>
                <w:rFonts w:hint="eastAsia" w:asciiTheme="minorEastAsia" w:hAnsiTheme="minorEastAsia"/>
                <w:sz w:val="28"/>
                <w:szCs w:val="28"/>
                <w:highlight w:val="none"/>
              </w:rPr>
              <w:t>超出、 符合</w:t>
            </w:r>
          </w:p>
          <w:p>
            <w:pPr>
              <w:rPr>
                <w:rFonts w:asciiTheme="minorEastAsia" w:hAnsiTheme="minorEastAsia"/>
                <w:sz w:val="28"/>
                <w:szCs w:val="28"/>
                <w:highlight w:val="none"/>
              </w:rPr>
            </w:pPr>
            <w:r>
              <w:rPr>
                <w:rFonts w:hint="eastAsia" w:asciiTheme="minorEastAsia" w:hAnsiTheme="minorEastAsia"/>
                <w:sz w:val="28"/>
                <w:szCs w:val="28"/>
                <w:highlight w:val="none"/>
              </w:rPr>
              <w:t>或偏离</w:t>
            </w:r>
          </w:p>
        </w:tc>
        <w:tc>
          <w:tcPr>
            <w:tcW w:w="1705" w:type="dxa"/>
          </w:tcPr>
          <w:p>
            <w:pPr>
              <w:rPr>
                <w:rFonts w:asciiTheme="minorEastAsia" w:hAnsiTheme="minorEastAsia"/>
                <w:sz w:val="28"/>
                <w:szCs w:val="28"/>
                <w:highlight w:val="none"/>
              </w:rPr>
            </w:pPr>
            <w:r>
              <w:rPr>
                <w:rFonts w:hint="eastAsia" w:asciiTheme="minorEastAsia" w:hAnsiTheme="minorEastAsia"/>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4"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c>
          <w:tcPr>
            <w:tcW w:w="1705" w:type="dxa"/>
          </w:tcPr>
          <w:p>
            <w:pPr>
              <w:rPr>
                <w:rFonts w:asciiTheme="minorEastAsia" w:hAnsiTheme="minorEastAsia"/>
                <w:sz w:val="28"/>
                <w:szCs w:val="28"/>
                <w:highlight w:val="none"/>
              </w:rPr>
            </w:pPr>
          </w:p>
        </w:tc>
      </w:tr>
    </w:tbl>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注：1、按照基本技术要求详细填列。</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2、行数不够，可自行添加。</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ind w:firstLine="562" w:firstLineChars="200"/>
        <w:jc w:val="center"/>
        <w:rPr>
          <w:rFonts w:asciiTheme="minorEastAsia" w:hAnsiTheme="minorEastAsia"/>
          <w:b/>
          <w:sz w:val="28"/>
          <w:szCs w:val="28"/>
          <w:highlight w:val="none"/>
        </w:rPr>
      </w:pPr>
      <w:r>
        <w:rPr>
          <w:rFonts w:hint="eastAsia" w:asciiTheme="minorEastAsia" w:hAnsiTheme="minorEastAsia"/>
          <w:b/>
          <w:sz w:val="28"/>
          <w:szCs w:val="28"/>
          <w:highlight w:val="none"/>
        </w:rPr>
        <w:t>五、商务条款响应及偏离表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478"/>
        <w:gridCol w:w="178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项目</w:t>
            </w:r>
          </w:p>
        </w:tc>
        <w:tc>
          <w:tcPr>
            <w:tcW w:w="2478" w:type="dxa"/>
          </w:tcPr>
          <w:p>
            <w:pPr>
              <w:rPr>
                <w:rFonts w:asciiTheme="minorEastAsia" w:hAnsiTheme="minorEastAsia"/>
                <w:sz w:val="28"/>
                <w:szCs w:val="28"/>
                <w:highlight w:val="none"/>
              </w:rPr>
            </w:pPr>
            <w:r>
              <w:rPr>
                <w:rFonts w:hint="eastAsia" w:asciiTheme="minorEastAsia" w:hAnsiTheme="minorEastAsia"/>
                <w:sz w:val="28"/>
                <w:szCs w:val="28"/>
                <w:highlight w:val="none"/>
              </w:rPr>
              <w:t>招标文件要求</w:t>
            </w:r>
          </w:p>
        </w:tc>
        <w:tc>
          <w:tcPr>
            <w:tcW w:w="1783" w:type="dxa"/>
          </w:tcPr>
          <w:p>
            <w:pPr>
              <w:rPr>
                <w:rFonts w:asciiTheme="minorEastAsia" w:hAnsiTheme="minorEastAsia"/>
                <w:sz w:val="28"/>
                <w:szCs w:val="28"/>
                <w:highlight w:val="none"/>
              </w:rPr>
            </w:pPr>
            <w:r>
              <w:rPr>
                <w:rFonts w:hint="eastAsia" w:asciiTheme="minorEastAsia" w:hAnsiTheme="minorEastAsia"/>
                <w:sz w:val="28"/>
                <w:szCs w:val="28"/>
                <w:highlight w:val="none"/>
              </w:rPr>
              <w:t>是否响应</w:t>
            </w:r>
          </w:p>
        </w:tc>
        <w:tc>
          <w:tcPr>
            <w:tcW w:w="2131" w:type="dxa"/>
          </w:tcPr>
          <w:p>
            <w:pPr>
              <w:rPr>
                <w:rFonts w:asciiTheme="minorEastAsia" w:hAnsiTheme="minorEastAsia"/>
                <w:sz w:val="28"/>
                <w:szCs w:val="28"/>
                <w:highlight w:val="none"/>
              </w:rPr>
            </w:pPr>
            <w:r>
              <w:rPr>
                <w:rFonts w:hint="eastAsia" w:asciiTheme="minorEastAsia" w:hAnsiTheme="minorEastAsia"/>
                <w:sz w:val="28"/>
                <w:szCs w:val="28"/>
                <w:highlight w:val="none"/>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质保期</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售后 技术服务要求</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交付时间</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交付方式</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交付地点</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付款方式</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投标货币</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heme="minorEastAsia" w:hAnsiTheme="minorEastAsia"/>
                <w:sz w:val="28"/>
                <w:szCs w:val="28"/>
                <w:highlight w:val="none"/>
              </w:rPr>
            </w:pPr>
            <w:r>
              <w:rPr>
                <w:rFonts w:hint="eastAsia" w:asciiTheme="minorEastAsia" w:hAnsiTheme="minorEastAsia"/>
                <w:sz w:val="28"/>
                <w:szCs w:val="28"/>
                <w:highlight w:val="none"/>
              </w:rPr>
              <w:t>其他</w:t>
            </w:r>
          </w:p>
        </w:tc>
        <w:tc>
          <w:tcPr>
            <w:tcW w:w="2478" w:type="dxa"/>
          </w:tcPr>
          <w:p>
            <w:pPr>
              <w:rPr>
                <w:rFonts w:asciiTheme="minorEastAsia" w:hAnsiTheme="minorEastAsia"/>
                <w:sz w:val="28"/>
                <w:szCs w:val="28"/>
                <w:highlight w:val="none"/>
              </w:rPr>
            </w:pPr>
          </w:p>
        </w:tc>
        <w:tc>
          <w:tcPr>
            <w:tcW w:w="1783" w:type="dxa"/>
          </w:tcPr>
          <w:p>
            <w:pPr>
              <w:rPr>
                <w:rFonts w:asciiTheme="minorEastAsia" w:hAnsiTheme="minorEastAsia"/>
                <w:sz w:val="28"/>
                <w:szCs w:val="28"/>
                <w:highlight w:val="none"/>
              </w:rPr>
            </w:pPr>
          </w:p>
        </w:tc>
        <w:tc>
          <w:tcPr>
            <w:tcW w:w="2131" w:type="dxa"/>
          </w:tcPr>
          <w:p>
            <w:pPr>
              <w:rPr>
                <w:rFonts w:asciiTheme="minorEastAsia" w:hAnsiTheme="minorEastAsia"/>
                <w:sz w:val="28"/>
                <w:szCs w:val="28"/>
                <w:highlight w:val="none"/>
              </w:rPr>
            </w:pPr>
          </w:p>
        </w:tc>
      </w:tr>
    </w:tbl>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12"/>
        <w:rPr>
          <w:highlight w:val="none"/>
        </w:rPr>
      </w:pPr>
    </w:p>
    <w:p>
      <w:pPr>
        <w:ind w:firstLine="562" w:firstLineChars="200"/>
        <w:jc w:val="center"/>
        <w:rPr>
          <w:rFonts w:asciiTheme="minorEastAsia" w:hAnsiTheme="minorEastAsia"/>
          <w:b/>
          <w:sz w:val="28"/>
          <w:szCs w:val="28"/>
          <w:highlight w:val="none"/>
        </w:rPr>
      </w:pPr>
    </w:p>
    <w:p>
      <w:pPr>
        <w:ind w:firstLine="562" w:firstLineChars="200"/>
        <w:jc w:val="center"/>
        <w:rPr>
          <w:rFonts w:asciiTheme="minorEastAsia" w:hAnsiTheme="minorEastAsia"/>
          <w:b/>
          <w:sz w:val="28"/>
          <w:szCs w:val="28"/>
          <w:highlight w:val="none"/>
        </w:rPr>
      </w:pPr>
    </w:p>
    <w:p>
      <w:pPr>
        <w:pStyle w:val="7"/>
        <w:rPr>
          <w:rFonts w:asciiTheme="minorEastAsia" w:hAnsiTheme="minorEastAsia"/>
          <w:b/>
          <w:sz w:val="28"/>
          <w:szCs w:val="28"/>
          <w:highlight w:val="none"/>
        </w:rPr>
      </w:pPr>
    </w:p>
    <w:p>
      <w:pPr>
        <w:rPr>
          <w:highlight w:val="none"/>
        </w:rPr>
      </w:pPr>
    </w:p>
    <w:p>
      <w:pPr>
        <w:ind w:firstLine="562" w:firstLineChars="200"/>
        <w:jc w:val="center"/>
        <w:rPr>
          <w:rFonts w:asciiTheme="minorEastAsia" w:hAnsiTheme="minorEastAsia"/>
          <w:b/>
          <w:sz w:val="28"/>
          <w:szCs w:val="28"/>
          <w:highlight w:val="none"/>
        </w:rPr>
      </w:pPr>
      <w:r>
        <w:rPr>
          <w:rFonts w:hint="eastAsia" w:asciiTheme="minorEastAsia" w:hAnsiTheme="minorEastAsia"/>
          <w:b/>
          <w:sz w:val="28"/>
          <w:szCs w:val="28"/>
          <w:highlight w:val="none"/>
        </w:rPr>
        <w:t>六、开标一览表</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投标人全称（加盖公章）：</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项目编号：</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项目名称：</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所投包号：</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310"/>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产品名称</w:t>
            </w:r>
          </w:p>
        </w:tc>
        <w:tc>
          <w:tcPr>
            <w:tcW w:w="2310"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单价（万元）</w:t>
            </w:r>
          </w:p>
        </w:tc>
        <w:tc>
          <w:tcPr>
            <w:tcW w:w="3127"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合价（万元）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多功能除雪车</w:t>
            </w:r>
          </w:p>
        </w:tc>
        <w:tc>
          <w:tcPr>
            <w:tcW w:w="2310" w:type="dxa"/>
          </w:tcPr>
          <w:p>
            <w:pPr>
              <w:rPr>
                <w:rFonts w:asciiTheme="minorEastAsia" w:hAnsiTheme="minorEastAsia"/>
                <w:sz w:val="28"/>
                <w:szCs w:val="28"/>
                <w:highlight w:val="none"/>
              </w:rPr>
            </w:pPr>
          </w:p>
        </w:tc>
        <w:tc>
          <w:tcPr>
            <w:tcW w:w="3127"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压缩式垃圾车</w:t>
            </w:r>
          </w:p>
        </w:tc>
        <w:tc>
          <w:tcPr>
            <w:tcW w:w="2310" w:type="dxa"/>
          </w:tcPr>
          <w:p>
            <w:pPr>
              <w:rPr>
                <w:rFonts w:asciiTheme="minorEastAsia" w:hAnsiTheme="minorEastAsia"/>
                <w:sz w:val="28"/>
                <w:szCs w:val="28"/>
                <w:highlight w:val="none"/>
              </w:rPr>
            </w:pPr>
          </w:p>
        </w:tc>
        <w:tc>
          <w:tcPr>
            <w:tcW w:w="3127"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滑移装载机</w:t>
            </w:r>
          </w:p>
        </w:tc>
        <w:tc>
          <w:tcPr>
            <w:tcW w:w="2310" w:type="dxa"/>
          </w:tcPr>
          <w:p>
            <w:pPr>
              <w:rPr>
                <w:rFonts w:asciiTheme="minorEastAsia" w:hAnsiTheme="minorEastAsia"/>
                <w:sz w:val="28"/>
                <w:szCs w:val="28"/>
                <w:highlight w:val="none"/>
              </w:rPr>
            </w:pPr>
          </w:p>
        </w:tc>
        <w:tc>
          <w:tcPr>
            <w:tcW w:w="3127"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干式扫路车</w:t>
            </w:r>
          </w:p>
        </w:tc>
        <w:tc>
          <w:tcPr>
            <w:tcW w:w="2310" w:type="dxa"/>
          </w:tcPr>
          <w:p>
            <w:pPr>
              <w:rPr>
                <w:rFonts w:asciiTheme="minorEastAsia" w:hAnsiTheme="minorEastAsia"/>
                <w:sz w:val="28"/>
                <w:szCs w:val="28"/>
                <w:highlight w:val="none"/>
              </w:rPr>
            </w:pPr>
          </w:p>
        </w:tc>
        <w:tc>
          <w:tcPr>
            <w:tcW w:w="3127"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pPr>
              <w:jc w:val="center"/>
              <w:rPr>
                <w:rFonts w:asciiTheme="minorEastAsia" w:hAnsiTheme="minorEastAsia"/>
                <w:sz w:val="28"/>
                <w:szCs w:val="28"/>
                <w:highlight w:val="none"/>
              </w:rPr>
            </w:pPr>
            <w:r>
              <w:rPr>
                <w:rFonts w:hint="eastAsia" w:asciiTheme="minorEastAsia" w:hAnsiTheme="minorEastAsia"/>
                <w:sz w:val="28"/>
                <w:szCs w:val="28"/>
                <w:highlight w:val="none"/>
              </w:rPr>
              <w:t>农用自卸车</w:t>
            </w:r>
          </w:p>
        </w:tc>
        <w:tc>
          <w:tcPr>
            <w:tcW w:w="2310" w:type="dxa"/>
          </w:tcPr>
          <w:p>
            <w:pPr>
              <w:rPr>
                <w:rFonts w:asciiTheme="minorEastAsia" w:hAnsiTheme="minorEastAsia"/>
                <w:sz w:val="28"/>
                <w:szCs w:val="28"/>
                <w:highlight w:val="none"/>
              </w:rPr>
            </w:pPr>
          </w:p>
        </w:tc>
        <w:tc>
          <w:tcPr>
            <w:tcW w:w="3127" w:type="dxa"/>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tcPr>
          <w:p>
            <w:pPr>
              <w:rPr>
                <w:rFonts w:asciiTheme="minorEastAsia" w:hAnsiTheme="minorEastAsia"/>
                <w:sz w:val="28"/>
                <w:szCs w:val="28"/>
                <w:highlight w:val="none"/>
              </w:rPr>
            </w:pPr>
            <w:r>
              <w:rPr>
                <w:rFonts w:hint="eastAsia" w:asciiTheme="minorEastAsia" w:hAnsiTheme="minorEastAsia"/>
                <w:sz w:val="28"/>
                <w:szCs w:val="28"/>
                <w:highlight w:val="none"/>
              </w:rPr>
              <w:t>投标总报价(万元)</w:t>
            </w:r>
          </w:p>
        </w:tc>
        <w:tc>
          <w:tcPr>
            <w:tcW w:w="5437" w:type="dxa"/>
            <w:gridSpan w:val="2"/>
          </w:tcPr>
          <w:p>
            <w:pPr>
              <w:rPr>
                <w:rFonts w:asciiTheme="minorEastAsia" w:hAnsiTheme="minorEastAsia"/>
                <w:sz w:val="28"/>
                <w:szCs w:val="28"/>
                <w:highlight w:val="none"/>
              </w:rPr>
            </w:pPr>
            <w:r>
              <w:rPr>
                <w:rFonts w:hint="eastAsia" w:asciiTheme="minorEastAsia" w:hAnsiTheme="minorEastAsia"/>
                <w:sz w:val="28"/>
                <w:szCs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vMerge w:val="continue"/>
          </w:tcPr>
          <w:p>
            <w:pPr>
              <w:rPr>
                <w:rFonts w:asciiTheme="minorEastAsia" w:hAnsiTheme="minorEastAsia"/>
                <w:sz w:val="28"/>
                <w:szCs w:val="28"/>
                <w:highlight w:val="none"/>
              </w:rPr>
            </w:pPr>
          </w:p>
        </w:tc>
        <w:tc>
          <w:tcPr>
            <w:tcW w:w="5437" w:type="dxa"/>
            <w:gridSpan w:val="2"/>
          </w:tcPr>
          <w:p>
            <w:pPr>
              <w:rPr>
                <w:rFonts w:asciiTheme="minorEastAsia" w:hAnsiTheme="minorEastAsia"/>
                <w:sz w:val="28"/>
                <w:szCs w:val="28"/>
                <w:highlight w:val="none"/>
              </w:rPr>
            </w:pPr>
            <w:r>
              <w:rPr>
                <w:rFonts w:hint="eastAsia" w:asciiTheme="minorEastAsia" w:hAnsiTheme="minorEastAsia"/>
                <w:sz w:val="28"/>
                <w:szCs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Theme="minorEastAsia" w:hAnsiTheme="minorEastAsia"/>
                <w:sz w:val="28"/>
                <w:szCs w:val="28"/>
                <w:highlight w:val="none"/>
              </w:rPr>
            </w:pPr>
            <w:r>
              <w:rPr>
                <w:rFonts w:hint="eastAsia" w:asciiTheme="minorEastAsia" w:hAnsiTheme="minorEastAsia"/>
                <w:sz w:val="28"/>
                <w:szCs w:val="28"/>
                <w:highlight w:val="none"/>
              </w:rPr>
              <w:t>交货期</w:t>
            </w:r>
          </w:p>
        </w:tc>
        <w:tc>
          <w:tcPr>
            <w:tcW w:w="5437" w:type="dxa"/>
            <w:gridSpan w:val="2"/>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pPr>
              <w:rPr>
                <w:rFonts w:asciiTheme="minorEastAsia" w:hAnsiTheme="minorEastAsia"/>
                <w:sz w:val="28"/>
                <w:szCs w:val="28"/>
                <w:highlight w:val="none"/>
              </w:rPr>
            </w:pPr>
            <w:r>
              <w:rPr>
                <w:rFonts w:hint="eastAsia" w:asciiTheme="minorEastAsia" w:hAnsiTheme="minorEastAsia"/>
                <w:sz w:val="28"/>
                <w:szCs w:val="28"/>
                <w:highlight w:val="none"/>
              </w:rPr>
              <w:t>质保期</w:t>
            </w:r>
          </w:p>
        </w:tc>
        <w:tc>
          <w:tcPr>
            <w:tcW w:w="5437" w:type="dxa"/>
            <w:gridSpan w:val="2"/>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Theme="minorEastAsia" w:hAnsiTheme="minorEastAsia"/>
                <w:sz w:val="28"/>
                <w:szCs w:val="28"/>
                <w:highlight w:val="none"/>
              </w:rPr>
            </w:pPr>
            <w:r>
              <w:rPr>
                <w:rFonts w:hint="eastAsia" w:asciiTheme="minorEastAsia" w:hAnsiTheme="minorEastAsia"/>
                <w:sz w:val="28"/>
                <w:szCs w:val="28"/>
                <w:highlight w:val="none"/>
              </w:rPr>
              <w:t>售后服务响应时间承诺</w:t>
            </w:r>
          </w:p>
        </w:tc>
        <w:tc>
          <w:tcPr>
            <w:tcW w:w="5437" w:type="dxa"/>
            <w:gridSpan w:val="2"/>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pPr>
              <w:rPr>
                <w:rFonts w:asciiTheme="minorEastAsia" w:hAnsiTheme="minorEastAsia"/>
                <w:sz w:val="28"/>
                <w:szCs w:val="28"/>
                <w:highlight w:val="none"/>
              </w:rPr>
            </w:pPr>
            <w:r>
              <w:rPr>
                <w:rFonts w:hint="eastAsia" w:asciiTheme="minorEastAsia" w:hAnsiTheme="minorEastAsia"/>
                <w:sz w:val="28"/>
                <w:szCs w:val="28"/>
                <w:highlight w:val="none"/>
              </w:rPr>
              <w:t>投标有效期</w:t>
            </w:r>
          </w:p>
        </w:tc>
        <w:tc>
          <w:tcPr>
            <w:tcW w:w="5437" w:type="dxa"/>
            <w:gridSpan w:val="2"/>
          </w:tcPr>
          <w:p>
            <w:pPr>
              <w:rPr>
                <w:rFonts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hint="eastAsia" w:asciiTheme="minorEastAsia" w:hAnsiTheme="minorEastAsia"/>
                <w:sz w:val="28"/>
                <w:szCs w:val="28"/>
                <w:highlight w:val="none"/>
              </w:rPr>
            </w:pPr>
            <w:r>
              <w:rPr>
                <w:rFonts w:hint="eastAsia" w:asciiTheme="minorEastAsia" w:hAnsiTheme="minorEastAsia"/>
                <w:sz w:val="28"/>
                <w:szCs w:val="28"/>
                <w:highlight w:val="none"/>
              </w:rPr>
              <w:t>其他服务要求</w:t>
            </w:r>
          </w:p>
        </w:tc>
        <w:tc>
          <w:tcPr>
            <w:tcW w:w="5437" w:type="dxa"/>
            <w:gridSpan w:val="2"/>
          </w:tcPr>
          <w:p>
            <w:pPr>
              <w:rPr>
                <w:rFonts w:asciiTheme="minorEastAsia" w:hAnsiTheme="minorEastAsia"/>
                <w:sz w:val="28"/>
                <w:szCs w:val="28"/>
                <w:highlight w:val="none"/>
              </w:rPr>
            </w:pPr>
          </w:p>
        </w:tc>
      </w:tr>
    </w:tbl>
    <w:p>
      <w:pPr>
        <w:ind w:firstLine="560" w:firstLineChars="200"/>
        <w:jc w:val="right"/>
        <w:rPr>
          <w:rFonts w:asciiTheme="minorEastAsia" w:hAnsiTheme="minorEastAsia"/>
          <w:sz w:val="28"/>
          <w:szCs w:val="28"/>
          <w:highlight w:val="none"/>
        </w:rPr>
      </w:pPr>
    </w:p>
    <w:p>
      <w:pPr>
        <w:ind w:firstLine="560" w:firstLineChars="200"/>
        <w:jc w:val="right"/>
        <w:rPr>
          <w:rFonts w:asciiTheme="minorEastAsia" w:hAnsiTheme="minorEastAsia"/>
          <w:sz w:val="28"/>
          <w:szCs w:val="28"/>
          <w:highlight w:val="none"/>
        </w:rPr>
      </w:pPr>
    </w:p>
    <w:p>
      <w:pPr>
        <w:ind w:firstLine="560" w:firstLineChars="200"/>
        <w:jc w:val="right"/>
        <w:rPr>
          <w:rFonts w:asciiTheme="minorEastAsia" w:hAnsiTheme="minorEastAsia"/>
          <w:sz w:val="28"/>
          <w:szCs w:val="28"/>
          <w:highlight w:val="none"/>
        </w:rPr>
      </w:pPr>
      <w:r>
        <w:rPr>
          <w:rFonts w:hint="eastAsia" w:asciiTheme="minorEastAsia" w:hAnsiTheme="minorEastAsia"/>
          <w:sz w:val="28"/>
          <w:szCs w:val="28"/>
          <w:highlight w:val="none"/>
        </w:rPr>
        <w:t>日期：   年  月  日</w:t>
      </w:r>
    </w:p>
    <w:p>
      <w:pPr>
        <w:ind w:firstLine="560" w:firstLineChars="200"/>
        <w:rPr>
          <w:rFonts w:asciiTheme="minorEastAsia" w:hAnsiTheme="minorEastAsia"/>
          <w:sz w:val="28"/>
          <w:szCs w:val="28"/>
          <w:highlight w:val="none"/>
        </w:rPr>
      </w:pPr>
    </w:p>
    <w:p>
      <w:pPr>
        <w:pStyle w:val="12"/>
        <w:rPr>
          <w:rFonts w:asciiTheme="minorEastAsia" w:hAnsiTheme="minorEastAsia"/>
          <w:sz w:val="28"/>
          <w:szCs w:val="28"/>
          <w:highlight w:val="none"/>
        </w:rPr>
      </w:pPr>
    </w:p>
    <w:p>
      <w:pPr>
        <w:spacing w:line="360" w:lineRule="auto"/>
        <w:jc w:val="center"/>
        <w:rPr>
          <w:b/>
          <w:sz w:val="36"/>
          <w:szCs w:val="24"/>
          <w:highlight w:val="none"/>
        </w:rPr>
      </w:pPr>
    </w:p>
    <w:p>
      <w:pPr>
        <w:spacing w:line="360" w:lineRule="auto"/>
        <w:jc w:val="center"/>
        <w:rPr>
          <w:b/>
          <w:sz w:val="36"/>
          <w:szCs w:val="24"/>
          <w:highlight w:val="none"/>
        </w:rPr>
      </w:pPr>
      <w:r>
        <w:rPr>
          <w:rFonts w:hint="eastAsia"/>
          <w:b/>
          <w:sz w:val="36"/>
          <w:szCs w:val="24"/>
          <w:highlight w:val="none"/>
        </w:rPr>
        <w:t>投标保证金</w:t>
      </w:r>
    </w:p>
    <w:p>
      <w:pPr>
        <w:spacing w:line="360" w:lineRule="auto"/>
        <w:jc w:val="center"/>
        <w:rPr>
          <w:b/>
          <w:sz w:val="36"/>
          <w:szCs w:val="24"/>
          <w:highlight w:val="none"/>
        </w:rPr>
      </w:pPr>
    </w:p>
    <w:p>
      <w:pPr>
        <w:spacing w:line="360" w:lineRule="auto"/>
        <w:jc w:val="center"/>
        <w:rPr>
          <w:b/>
          <w:sz w:val="28"/>
          <w:szCs w:val="24"/>
          <w:highlight w:val="none"/>
        </w:rPr>
      </w:pPr>
      <w:r>
        <w:rPr>
          <w:rFonts w:hint="eastAsia"/>
          <w:b/>
          <w:sz w:val="28"/>
          <w:szCs w:val="24"/>
          <w:highlight w:val="none"/>
        </w:rPr>
        <w:t>附缴纳投标保证金凭证复印件</w:t>
      </w:r>
    </w:p>
    <w:p>
      <w:pPr>
        <w:pStyle w:val="22"/>
        <w:rPr>
          <w:rFonts w:asciiTheme="minorEastAsia" w:hAnsiTheme="minorEastAsia"/>
          <w:sz w:val="28"/>
          <w:szCs w:val="28"/>
          <w:highlight w:val="none"/>
        </w:rPr>
      </w:pPr>
    </w:p>
    <w:p>
      <w:pPr>
        <w:pStyle w:val="22"/>
        <w:rPr>
          <w:rFonts w:asciiTheme="minorEastAsia" w:hAnsiTheme="minorEastAsia"/>
          <w:sz w:val="28"/>
          <w:szCs w:val="28"/>
          <w:highlight w:val="none"/>
        </w:rPr>
      </w:pPr>
    </w:p>
    <w:p>
      <w:pPr>
        <w:pStyle w:val="22"/>
        <w:jc w:val="both"/>
        <w:rPr>
          <w:rFonts w:asciiTheme="minorEastAsia" w:hAnsiTheme="minorEastAsia"/>
          <w:sz w:val="28"/>
          <w:szCs w:val="28"/>
          <w:highlight w:val="none"/>
        </w:rPr>
      </w:pPr>
    </w:p>
    <w:p>
      <w:pPr>
        <w:ind w:firstLine="562" w:firstLineChars="200"/>
        <w:jc w:val="center"/>
        <w:rPr>
          <w:rFonts w:asciiTheme="minorEastAsia" w:hAnsiTheme="minorEastAsia"/>
          <w:b/>
          <w:sz w:val="28"/>
          <w:szCs w:val="28"/>
          <w:highlight w:val="none"/>
        </w:rPr>
      </w:pPr>
      <w:r>
        <w:rPr>
          <w:rFonts w:hint="eastAsia" w:asciiTheme="minorEastAsia" w:hAnsiTheme="minorEastAsia"/>
          <w:b/>
          <w:sz w:val="28"/>
          <w:szCs w:val="28"/>
          <w:highlight w:val="none"/>
        </w:rPr>
        <w:t>七、技术方案</w:t>
      </w:r>
    </w:p>
    <w:p>
      <w:pPr>
        <w:ind w:firstLine="560" w:firstLineChars="200"/>
        <w:jc w:val="center"/>
        <w:rPr>
          <w:rFonts w:asciiTheme="minorEastAsia" w:hAnsiTheme="minorEastAsia"/>
          <w:sz w:val="28"/>
          <w:szCs w:val="28"/>
          <w:highlight w:val="none"/>
        </w:rPr>
      </w:pPr>
      <w:r>
        <w:rPr>
          <w:rFonts w:hint="eastAsia" w:asciiTheme="minorEastAsia" w:hAnsiTheme="minorEastAsia"/>
          <w:sz w:val="28"/>
          <w:szCs w:val="28"/>
          <w:highlight w:val="none"/>
        </w:rPr>
        <w:t>（内容格式自拟）</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rPr>
          <w:highlight w:val="none"/>
        </w:rPr>
      </w:pPr>
      <w:r>
        <w:rPr>
          <w:highlight w:val="none"/>
        </w:rPr>
        <w:br w:type="page"/>
      </w:r>
    </w:p>
    <w:p>
      <w:pPr>
        <w:pStyle w:val="22"/>
        <w:jc w:val="both"/>
        <w:rPr>
          <w:highlight w:val="none"/>
        </w:rPr>
      </w:pP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附件：</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质疑函范本</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一、质疑供应商基本信息</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质疑供应商：</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地址：  邮编：</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联系人：  联系电话：</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授权代表：</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联系电话：</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地址：  邮编：</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二、质疑项目基本情况</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质疑项目的名称：</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质疑项目的编号：  包号：</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采购人名称：</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采购文件获取日期：</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三、质疑事项具体内容</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质疑事项 1：</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事实依据：</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法律依据：</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质疑事项 2 </w:t>
      </w: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pStyle w:val="12"/>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四、与质疑事项相关的质疑请求</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请求：</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签字并盖章)：  公章：</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日期：</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质疑函制作说明：</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 xml:space="preserve">1.供应商提出质疑时，应提交质疑函和必要的证明材料。 </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2.质疑供应商若委托代理人进行质疑的，质疑函应按要求列明“授权代表”的有关内容， 并在附件中提交由质疑供应商签署的授权委托书。 授权委托书应载明代理人的姓名或者名称、代理事项、具体权限、期限和相关事项。</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3.质疑供应商若对项目的某一分包进行质疑，质疑函中应列明具体分包号。</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4.质疑函的质疑事项应具体、明确，并有必要的事实依据和法律依据。</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5.质疑函的质疑请求应与质疑事项相关。</w:t>
      </w:r>
    </w:p>
    <w:p>
      <w:pPr>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6.质疑供应商为自然人的， 质疑函应由本人签字； 质疑供应商为法人或者其他组织的， 质疑函应由法定代表人、 主要负责人， 或者其授权代表签字或者盖章，并加盖公章。</w:t>
      </w:r>
    </w:p>
    <w:p>
      <w:pPr>
        <w:ind w:firstLine="560" w:firstLineChars="200"/>
        <w:rPr>
          <w:rFonts w:asciiTheme="minorEastAsia" w:hAnsiTheme="minorEastAsia"/>
          <w:sz w:val="28"/>
          <w:szCs w:val="28"/>
          <w:highlight w:val="none"/>
        </w:rPr>
      </w:pPr>
    </w:p>
    <w:p>
      <w:pPr>
        <w:ind w:firstLine="560" w:firstLineChars="200"/>
        <w:rPr>
          <w:rFonts w:asciiTheme="minorEastAsia" w:hAnsiTheme="minorEastAsia"/>
          <w:sz w:val="28"/>
          <w:szCs w:val="28"/>
          <w:highlight w:val="none"/>
        </w:rPr>
      </w:pPr>
    </w:p>
    <w:sectPr>
      <w:footerReference r:id="rId5" w:type="default"/>
      <w:pgSz w:w="11906" w:h="16838"/>
      <w:pgMar w:top="1440" w:right="141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eastAsia="宋体"/>
                            </w:rP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fill on="f" focussize="0,0"/>
              <v:stroke on="f" weight="1.25pt"/>
              <v:imagedata o:title=""/>
              <o:lock v:ext="edit" aspectratio="f"/>
              <v:textbox inset="0mm,0mm,0mm,0mm" style="mso-fit-shape-to-text:t;">
                <w:txbxContent>
                  <w:p>
                    <w:pPr>
                      <w:pStyle w:val="12"/>
                      <w:rPr>
                        <w:rFonts w:eastAsia="宋体"/>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6B397"/>
    <w:multiLevelType w:val="singleLevel"/>
    <w:tmpl w:val="90E6B397"/>
    <w:lvl w:ilvl="0" w:tentative="0">
      <w:start w:val="1"/>
      <w:numFmt w:val="decimal"/>
      <w:suff w:val="nothing"/>
      <w:lvlText w:val="%1、"/>
      <w:lvlJc w:val="left"/>
    </w:lvl>
  </w:abstractNum>
  <w:abstractNum w:abstractNumId="1">
    <w:nsid w:val="06D24EA7"/>
    <w:multiLevelType w:val="multilevel"/>
    <w:tmpl w:val="06D24EA7"/>
    <w:lvl w:ilvl="0" w:tentative="0">
      <w:start w:val="1"/>
      <w:numFmt w:val="decimal"/>
      <w:pStyle w:val="33"/>
      <w:lvlText w:val="%1"/>
      <w:lvlJc w:val="left"/>
      <w:pPr>
        <w:tabs>
          <w:tab w:val="left" w:pos="142"/>
        </w:tabs>
        <w:ind w:left="142" w:firstLine="0"/>
      </w:pPr>
    </w:lvl>
    <w:lvl w:ilvl="1" w:tentative="0">
      <w:start w:val="1"/>
      <w:numFmt w:val="decimal"/>
      <w:lvlText w:val="%2．"/>
      <w:lvlJc w:val="left"/>
      <w:pPr>
        <w:tabs>
          <w:tab w:val="left" w:pos="1140"/>
        </w:tabs>
        <w:ind w:left="1140" w:hanging="720"/>
      </w:pPr>
      <w:rPr>
        <w:rFonts w:hint="default"/>
      </w:rPr>
    </w:lvl>
    <w:lvl w:ilvl="2" w:tentative="0">
      <w:start w:val="1"/>
      <w:numFmt w:val="japaneseCounting"/>
      <w:lvlText w:val="第%3、"/>
      <w:lvlJc w:val="left"/>
      <w:pPr>
        <w:tabs>
          <w:tab w:val="left" w:pos="2250"/>
        </w:tabs>
        <w:ind w:left="2250" w:hanging="1410"/>
      </w:pPr>
      <w:rPr>
        <w:rFonts w:hint="default"/>
      </w:rPr>
    </w:lvl>
    <w:lvl w:ilvl="3" w:tentative="0">
      <w:start w:val="1"/>
      <w:numFmt w:val="decimal"/>
      <w:lvlText w:val="%4."/>
      <w:lvlJc w:val="left"/>
      <w:pPr>
        <w:tabs>
          <w:tab w:val="left" w:pos="1680"/>
        </w:tabs>
        <w:ind w:left="1680" w:hanging="420"/>
      </w:pPr>
      <w:rPr>
        <w:rFonts w:hint="eastAsia"/>
        <w:b/>
        <w:i w:val="0"/>
        <w:color w:val="auto"/>
        <w:sz w:val="28"/>
        <w:szCs w:val="28"/>
        <w:u w:val="none"/>
      </w:rPr>
    </w:lvl>
    <w:lvl w:ilvl="4" w:tentative="0">
      <w:start w:val="1"/>
      <w:numFmt w:val="decimalEnclosedParen"/>
      <w:lvlText w:val="%5"/>
      <w:lvlJc w:val="left"/>
      <w:pPr>
        <w:tabs>
          <w:tab w:val="left" w:pos="2040"/>
        </w:tabs>
        <w:ind w:left="2040" w:hanging="360"/>
      </w:pPr>
      <w:rPr>
        <w:rFonts w:hint="eastAsia" w:ascii="仿宋_GB2312" w:eastAsia="仿宋_GB2312"/>
      </w:rPr>
    </w:lvl>
    <w:lvl w:ilvl="5" w:tentative="0">
      <w:start w:val="1"/>
      <w:numFmt w:val="bullet"/>
      <w:lvlText w:val=""/>
      <w:lvlJc w:val="left"/>
      <w:pPr>
        <w:ind w:left="720" w:hanging="720"/>
      </w:pPr>
      <w:rPr>
        <w:rFonts w:hint="default" w:ascii="Wingdings" w:hAnsi="Wingdings"/>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A48FC7"/>
    <w:multiLevelType w:val="singleLevel"/>
    <w:tmpl w:val="0EA48FC7"/>
    <w:lvl w:ilvl="0" w:tentative="0">
      <w:start w:val="2"/>
      <w:numFmt w:val="chineseCounting"/>
      <w:suff w:val="nothing"/>
      <w:lvlText w:val="%1、"/>
      <w:lvlJc w:val="left"/>
      <w:rPr>
        <w:rFonts w:hint="eastAsia"/>
      </w:rPr>
    </w:lvl>
  </w:abstractNum>
  <w:abstractNum w:abstractNumId="3">
    <w:nsid w:val="2C0FE210"/>
    <w:multiLevelType w:val="singleLevel"/>
    <w:tmpl w:val="2C0FE210"/>
    <w:lvl w:ilvl="0" w:tentative="0">
      <w:start w:val="11"/>
      <w:numFmt w:val="chineseCounting"/>
      <w:suff w:val="nothing"/>
      <w:lvlText w:val="%1、"/>
      <w:lvlJc w:val="left"/>
      <w:rPr>
        <w:rFonts w:hint="eastAsia"/>
      </w:rPr>
    </w:lvl>
  </w:abstractNum>
  <w:abstractNum w:abstractNumId="4">
    <w:nsid w:val="638415A5"/>
    <w:multiLevelType w:val="multilevel"/>
    <w:tmpl w:val="638415A5"/>
    <w:lvl w:ilvl="0" w:tentative="0">
      <w:start w:val="6"/>
      <w:numFmt w:val="japaneseCounting"/>
      <w:lvlText w:val="%1、"/>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6DFA53EC"/>
    <w:multiLevelType w:val="singleLevel"/>
    <w:tmpl w:val="6DFA53EC"/>
    <w:lvl w:ilvl="0" w:tentative="0">
      <w:start w:val="5"/>
      <w:numFmt w:val="chineseCounting"/>
      <w:suff w:val="nothing"/>
      <w:lvlText w:val="%1、"/>
      <w:lvlJc w:val="left"/>
      <w:rPr>
        <w:rFonts w:hint="eastAsia"/>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ZDI1YzRkZDlkYmI5ZDc4NzE1NGI4OGYwN2I5ZTMifQ=="/>
  </w:docVars>
  <w:rsids>
    <w:rsidRoot w:val="00FD1A8E"/>
    <w:rsid w:val="00002FE1"/>
    <w:rsid w:val="0000488F"/>
    <w:rsid w:val="00007EA9"/>
    <w:rsid w:val="00015230"/>
    <w:rsid w:val="0002137F"/>
    <w:rsid w:val="000318F3"/>
    <w:rsid w:val="00032EC4"/>
    <w:rsid w:val="0003684A"/>
    <w:rsid w:val="000513C2"/>
    <w:rsid w:val="000518B1"/>
    <w:rsid w:val="0005192B"/>
    <w:rsid w:val="00067524"/>
    <w:rsid w:val="000A3066"/>
    <w:rsid w:val="000B1E4D"/>
    <w:rsid w:val="000B26CD"/>
    <w:rsid w:val="000B2DC2"/>
    <w:rsid w:val="000B6B10"/>
    <w:rsid w:val="000D3516"/>
    <w:rsid w:val="00100632"/>
    <w:rsid w:val="0011482B"/>
    <w:rsid w:val="00114C65"/>
    <w:rsid w:val="001161DF"/>
    <w:rsid w:val="00116A7E"/>
    <w:rsid w:val="00145932"/>
    <w:rsid w:val="0019312A"/>
    <w:rsid w:val="001D3EF7"/>
    <w:rsid w:val="001E6561"/>
    <w:rsid w:val="001F74BC"/>
    <w:rsid w:val="00202132"/>
    <w:rsid w:val="00204295"/>
    <w:rsid w:val="002046AC"/>
    <w:rsid w:val="002129A3"/>
    <w:rsid w:val="0022160B"/>
    <w:rsid w:val="00222C49"/>
    <w:rsid w:val="0023228D"/>
    <w:rsid w:val="002707E4"/>
    <w:rsid w:val="00275226"/>
    <w:rsid w:val="00281B97"/>
    <w:rsid w:val="002A07CB"/>
    <w:rsid w:val="002B4F68"/>
    <w:rsid w:val="002F0DB0"/>
    <w:rsid w:val="00310F84"/>
    <w:rsid w:val="00311352"/>
    <w:rsid w:val="00317AB7"/>
    <w:rsid w:val="00330D2C"/>
    <w:rsid w:val="003318D4"/>
    <w:rsid w:val="003441B9"/>
    <w:rsid w:val="00353AC2"/>
    <w:rsid w:val="0035486E"/>
    <w:rsid w:val="003626DF"/>
    <w:rsid w:val="00372842"/>
    <w:rsid w:val="003728BD"/>
    <w:rsid w:val="003805B1"/>
    <w:rsid w:val="00385A54"/>
    <w:rsid w:val="003A2BEF"/>
    <w:rsid w:val="003D7E68"/>
    <w:rsid w:val="003E35BB"/>
    <w:rsid w:val="0040009D"/>
    <w:rsid w:val="00402CDD"/>
    <w:rsid w:val="0041775B"/>
    <w:rsid w:val="00432E17"/>
    <w:rsid w:val="004351C8"/>
    <w:rsid w:val="00462285"/>
    <w:rsid w:val="004814BB"/>
    <w:rsid w:val="00482463"/>
    <w:rsid w:val="00494508"/>
    <w:rsid w:val="004A29CB"/>
    <w:rsid w:val="004B56DA"/>
    <w:rsid w:val="004B6873"/>
    <w:rsid w:val="004D091E"/>
    <w:rsid w:val="004D242C"/>
    <w:rsid w:val="004D2B3C"/>
    <w:rsid w:val="004D4E8E"/>
    <w:rsid w:val="004D596D"/>
    <w:rsid w:val="004D6780"/>
    <w:rsid w:val="004E325B"/>
    <w:rsid w:val="004E6CA8"/>
    <w:rsid w:val="004F61D2"/>
    <w:rsid w:val="0051444A"/>
    <w:rsid w:val="00522481"/>
    <w:rsid w:val="00553AEC"/>
    <w:rsid w:val="00583819"/>
    <w:rsid w:val="00584D4A"/>
    <w:rsid w:val="00591507"/>
    <w:rsid w:val="005A2693"/>
    <w:rsid w:val="005A3F45"/>
    <w:rsid w:val="005A3F52"/>
    <w:rsid w:val="005B1D06"/>
    <w:rsid w:val="005B3D86"/>
    <w:rsid w:val="005C1CB7"/>
    <w:rsid w:val="005D4A8D"/>
    <w:rsid w:val="005D5D4B"/>
    <w:rsid w:val="005F5DF6"/>
    <w:rsid w:val="00602071"/>
    <w:rsid w:val="0062284B"/>
    <w:rsid w:val="00622F34"/>
    <w:rsid w:val="006251B1"/>
    <w:rsid w:val="00641F46"/>
    <w:rsid w:val="00650779"/>
    <w:rsid w:val="00650E75"/>
    <w:rsid w:val="006856AB"/>
    <w:rsid w:val="00697857"/>
    <w:rsid w:val="006B56EA"/>
    <w:rsid w:val="006D0A58"/>
    <w:rsid w:val="00703B63"/>
    <w:rsid w:val="00705C4E"/>
    <w:rsid w:val="00712040"/>
    <w:rsid w:val="007313F3"/>
    <w:rsid w:val="00745FBF"/>
    <w:rsid w:val="0075735C"/>
    <w:rsid w:val="0076405F"/>
    <w:rsid w:val="0077352A"/>
    <w:rsid w:val="007C7CD1"/>
    <w:rsid w:val="007D6BC3"/>
    <w:rsid w:val="007D6F8A"/>
    <w:rsid w:val="007E16B8"/>
    <w:rsid w:val="00812376"/>
    <w:rsid w:val="00826099"/>
    <w:rsid w:val="00875A68"/>
    <w:rsid w:val="008A4E68"/>
    <w:rsid w:val="008B5F76"/>
    <w:rsid w:val="008D637E"/>
    <w:rsid w:val="008E011F"/>
    <w:rsid w:val="008F4865"/>
    <w:rsid w:val="009361DC"/>
    <w:rsid w:val="0095636F"/>
    <w:rsid w:val="00956FBF"/>
    <w:rsid w:val="00971546"/>
    <w:rsid w:val="00980436"/>
    <w:rsid w:val="00980CB1"/>
    <w:rsid w:val="009B017B"/>
    <w:rsid w:val="009D530D"/>
    <w:rsid w:val="009E5A21"/>
    <w:rsid w:val="00A25772"/>
    <w:rsid w:val="00A37337"/>
    <w:rsid w:val="00A751E5"/>
    <w:rsid w:val="00A94847"/>
    <w:rsid w:val="00A96B4E"/>
    <w:rsid w:val="00AB084C"/>
    <w:rsid w:val="00AF5827"/>
    <w:rsid w:val="00B11427"/>
    <w:rsid w:val="00B11E1A"/>
    <w:rsid w:val="00B161E5"/>
    <w:rsid w:val="00B33600"/>
    <w:rsid w:val="00B336C0"/>
    <w:rsid w:val="00B3597A"/>
    <w:rsid w:val="00B37DF6"/>
    <w:rsid w:val="00B40FA7"/>
    <w:rsid w:val="00B412D1"/>
    <w:rsid w:val="00B44459"/>
    <w:rsid w:val="00B50CBA"/>
    <w:rsid w:val="00B55450"/>
    <w:rsid w:val="00B63F8E"/>
    <w:rsid w:val="00B7153E"/>
    <w:rsid w:val="00B73DAF"/>
    <w:rsid w:val="00B75945"/>
    <w:rsid w:val="00B80F3A"/>
    <w:rsid w:val="00B95F04"/>
    <w:rsid w:val="00BA65ED"/>
    <w:rsid w:val="00BB58B8"/>
    <w:rsid w:val="00BB6E3F"/>
    <w:rsid w:val="00BC4F5D"/>
    <w:rsid w:val="00BC581B"/>
    <w:rsid w:val="00BC58D7"/>
    <w:rsid w:val="00BC70AD"/>
    <w:rsid w:val="00BD1A95"/>
    <w:rsid w:val="00BE582C"/>
    <w:rsid w:val="00BF3094"/>
    <w:rsid w:val="00C00C61"/>
    <w:rsid w:val="00C34F5A"/>
    <w:rsid w:val="00C37E69"/>
    <w:rsid w:val="00C41B52"/>
    <w:rsid w:val="00C41B9D"/>
    <w:rsid w:val="00CA4D3F"/>
    <w:rsid w:val="00CA5C8B"/>
    <w:rsid w:val="00CB6347"/>
    <w:rsid w:val="00CD4A40"/>
    <w:rsid w:val="00CE58EF"/>
    <w:rsid w:val="00CF116B"/>
    <w:rsid w:val="00D22703"/>
    <w:rsid w:val="00D4209D"/>
    <w:rsid w:val="00D53818"/>
    <w:rsid w:val="00D94DE9"/>
    <w:rsid w:val="00DA0EBA"/>
    <w:rsid w:val="00DA4E81"/>
    <w:rsid w:val="00DB385D"/>
    <w:rsid w:val="00DC183A"/>
    <w:rsid w:val="00DC7C60"/>
    <w:rsid w:val="00DD01F9"/>
    <w:rsid w:val="00DD4A3F"/>
    <w:rsid w:val="00DE581F"/>
    <w:rsid w:val="00DF51C2"/>
    <w:rsid w:val="00E03F39"/>
    <w:rsid w:val="00E07DA7"/>
    <w:rsid w:val="00E17AF9"/>
    <w:rsid w:val="00E23485"/>
    <w:rsid w:val="00E41DB2"/>
    <w:rsid w:val="00E60332"/>
    <w:rsid w:val="00E72BD9"/>
    <w:rsid w:val="00E75B0F"/>
    <w:rsid w:val="00E76AC0"/>
    <w:rsid w:val="00E83AEB"/>
    <w:rsid w:val="00E96BAB"/>
    <w:rsid w:val="00ED1639"/>
    <w:rsid w:val="00EE0408"/>
    <w:rsid w:val="00EE561F"/>
    <w:rsid w:val="00F36694"/>
    <w:rsid w:val="00F519DE"/>
    <w:rsid w:val="00F613CE"/>
    <w:rsid w:val="00F631BE"/>
    <w:rsid w:val="00F64EF0"/>
    <w:rsid w:val="00F65D2F"/>
    <w:rsid w:val="00F7488E"/>
    <w:rsid w:val="00F86F6D"/>
    <w:rsid w:val="00FB077E"/>
    <w:rsid w:val="00FB1344"/>
    <w:rsid w:val="00FB4628"/>
    <w:rsid w:val="00FD1A8E"/>
    <w:rsid w:val="00FD535A"/>
    <w:rsid w:val="00FE2461"/>
    <w:rsid w:val="012F06CE"/>
    <w:rsid w:val="0176597C"/>
    <w:rsid w:val="01966A3B"/>
    <w:rsid w:val="01F66BE9"/>
    <w:rsid w:val="020E22F9"/>
    <w:rsid w:val="022A11F4"/>
    <w:rsid w:val="02305F34"/>
    <w:rsid w:val="02511F45"/>
    <w:rsid w:val="032E2564"/>
    <w:rsid w:val="03652092"/>
    <w:rsid w:val="036745E1"/>
    <w:rsid w:val="04740276"/>
    <w:rsid w:val="04D70E27"/>
    <w:rsid w:val="055C0FAB"/>
    <w:rsid w:val="06A42F8B"/>
    <w:rsid w:val="07B65F87"/>
    <w:rsid w:val="08144141"/>
    <w:rsid w:val="08552189"/>
    <w:rsid w:val="08836BD0"/>
    <w:rsid w:val="08AD2007"/>
    <w:rsid w:val="08BE3DCE"/>
    <w:rsid w:val="095A0316"/>
    <w:rsid w:val="09B16A35"/>
    <w:rsid w:val="0A6F38B0"/>
    <w:rsid w:val="0A7B63A2"/>
    <w:rsid w:val="0AB15B8A"/>
    <w:rsid w:val="0AE4378E"/>
    <w:rsid w:val="0AF83246"/>
    <w:rsid w:val="0B6B314D"/>
    <w:rsid w:val="0B811AED"/>
    <w:rsid w:val="0C177D5B"/>
    <w:rsid w:val="0CA05802"/>
    <w:rsid w:val="0CEE6D0E"/>
    <w:rsid w:val="0CF34325"/>
    <w:rsid w:val="0E2624D8"/>
    <w:rsid w:val="0E4A08BC"/>
    <w:rsid w:val="0E5A43E0"/>
    <w:rsid w:val="0E5B4877"/>
    <w:rsid w:val="0FA06055"/>
    <w:rsid w:val="0FBF1862"/>
    <w:rsid w:val="10142E81"/>
    <w:rsid w:val="107210CA"/>
    <w:rsid w:val="10B14C22"/>
    <w:rsid w:val="13260903"/>
    <w:rsid w:val="14875A4C"/>
    <w:rsid w:val="153F3FCC"/>
    <w:rsid w:val="15460EB3"/>
    <w:rsid w:val="158267E1"/>
    <w:rsid w:val="15E157DF"/>
    <w:rsid w:val="16365941"/>
    <w:rsid w:val="164209B6"/>
    <w:rsid w:val="16A953E4"/>
    <w:rsid w:val="17685B9D"/>
    <w:rsid w:val="185D1DB7"/>
    <w:rsid w:val="186B6C62"/>
    <w:rsid w:val="18ED510D"/>
    <w:rsid w:val="19047267"/>
    <w:rsid w:val="198627D9"/>
    <w:rsid w:val="19BD63E6"/>
    <w:rsid w:val="1A187211"/>
    <w:rsid w:val="1A8E7C12"/>
    <w:rsid w:val="1ACB4B33"/>
    <w:rsid w:val="1BDE1E23"/>
    <w:rsid w:val="1C1B6138"/>
    <w:rsid w:val="1CA340CC"/>
    <w:rsid w:val="1CA613B3"/>
    <w:rsid w:val="1CD04C8C"/>
    <w:rsid w:val="1D7E02FD"/>
    <w:rsid w:val="1D821A72"/>
    <w:rsid w:val="1E540D9F"/>
    <w:rsid w:val="1F5A733A"/>
    <w:rsid w:val="1FFB4042"/>
    <w:rsid w:val="201D4010"/>
    <w:rsid w:val="2096173F"/>
    <w:rsid w:val="20E95D13"/>
    <w:rsid w:val="21525377"/>
    <w:rsid w:val="21B20EE1"/>
    <w:rsid w:val="22003C06"/>
    <w:rsid w:val="228E397E"/>
    <w:rsid w:val="22966B80"/>
    <w:rsid w:val="22EA251E"/>
    <w:rsid w:val="235A1DA8"/>
    <w:rsid w:val="241E5CD3"/>
    <w:rsid w:val="24B23151"/>
    <w:rsid w:val="25303D9F"/>
    <w:rsid w:val="253060CB"/>
    <w:rsid w:val="25B95005"/>
    <w:rsid w:val="25E01463"/>
    <w:rsid w:val="26B00574"/>
    <w:rsid w:val="27341A6B"/>
    <w:rsid w:val="274C4B09"/>
    <w:rsid w:val="27734588"/>
    <w:rsid w:val="28551B5B"/>
    <w:rsid w:val="290A491D"/>
    <w:rsid w:val="293D168C"/>
    <w:rsid w:val="29666EC5"/>
    <w:rsid w:val="29A520B7"/>
    <w:rsid w:val="2A297180"/>
    <w:rsid w:val="2A54366C"/>
    <w:rsid w:val="2AF9546E"/>
    <w:rsid w:val="2BF83F72"/>
    <w:rsid w:val="2C7545F3"/>
    <w:rsid w:val="2C914865"/>
    <w:rsid w:val="2D09233E"/>
    <w:rsid w:val="2D185999"/>
    <w:rsid w:val="2D722E96"/>
    <w:rsid w:val="2D7E66F1"/>
    <w:rsid w:val="2D9D35EE"/>
    <w:rsid w:val="2DA23704"/>
    <w:rsid w:val="2DC34C49"/>
    <w:rsid w:val="2E2317E3"/>
    <w:rsid w:val="2E395CAB"/>
    <w:rsid w:val="2EB94796"/>
    <w:rsid w:val="2F260132"/>
    <w:rsid w:val="2F890167"/>
    <w:rsid w:val="2FD933F6"/>
    <w:rsid w:val="30C9346B"/>
    <w:rsid w:val="31033EFB"/>
    <w:rsid w:val="317F3195"/>
    <w:rsid w:val="319F5B15"/>
    <w:rsid w:val="31FA485B"/>
    <w:rsid w:val="32800351"/>
    <w:rsid w:val="32C73BC1"/>
    <w:rsid w:val="331D1891"/>
    <w:rsid w:val="336757B4"/>
    <w:rsid w:val="33F2305E"/>
    <w:rsid w:val="34967B08"/>
    <w:rsid w:val="34B469D2"/>
    <w:rsid w:val="357F1D8C"/>
    <w:rsid w:val="36194246"/>
    <w:rsid w:val="36D02DAA"/>
    <w:rsid w:val="36E16658"/>
    <w:rsid w:val="38042354"/>
    <w:rsid w:val="38B656A3"/>
    <w:rsid w:val="38D26C34"/>
    <w:rsid w:val="394606B5"/>
    <w:rsid w:val="39DA61E8"/>
    <w:rsid w:val="39EA554C"/>
    <w:rsid w:val="3AE175B3"/>
    <w:rsid w:val="3B467297"/>
    <w:rsid w:val="3BE05E37"/>
    <w:rsid w:val="3BFD5F5D"/>
    <w:rsid w:val="3C3E411F"/>
    <w:rsid w:val="3C6B3628"/>
    <w:rsid w:val="3D494063"/>
    <w:rsid w:val="3D712EC0"/>
    <w:rsid w:val="3D942D5F"/>
    <w:rsid w:val="3DA43295"/>
    <w:rsid w:val="3E831D0E"/>
    <w:rsid w:val="3E9264A5"/>
    <w:rsid w:val="3ED46542"/>
    <w:rsid w:val="3EF81DED"/>
    <w:rsid w:val="3F6822A4"/>
    <w:rsid w:val="40420B44"/>
    <w:rsid w:val="40A76849"/>
    <w:rsid w:val="41904D48"/>
    <w:rsid w:val="41CD3DFB"/>
    <w:rsid w:val="41D67B3F"/>
    <w:rsid w:val="426C1F0C"/>
    <w:rsid w:val="43A24745"/>
    <w:rsid w:val="44840A30"/>
    <w:rsid w:val="44B539C7"/>
    <w:rsid w:val="46B43335"/>
    <w:rsid w:val="46C36B78"/>
    <w:rsid w:val="46FB5084"/>
    <w:rsid w:val="478D4D9A"/>
    <w:rsid w:val="47AF7EF8"/>
    <w:rsid w:val="47FB7F56"/>
    <w:rsid w:val="48395406"/>
    <w:rsid w:val="494D06D0"/>
    <w:rsid w:val="49802F75"/>
    <w:rsid w:val="498126DD"/>
    <w:rsid w:val="49AB2E62"/>
    <w:rsid w:val="49E37D16"/>
    <w:rsid w:val="4A2438FF"/>
    <w:rsid w:val="4A46223D"/>
    <w:rsid w:val="4A6C3055"/>
    <w:rsid w:val="4AD122BB"/>
    <w:rsid w:val="4AD7191F"/>
    <w:rsid w:val="4B4F3C32"/>
    <w:rsid w:val="4BC6087B"/>
    <w:rsid w:val="4C6B4F7E"/>
    <w:rsid w:val="4D553439"/>
    <w:rsid w:val="4DAD733A"/>
    <w:rsid w:val="4DB841F3"/>
    <w:rsid w:val="4E113AF2"/>
    <w:rsid w:val="4E86609F"/>
    <w:rsid w:val="4F55684C"/>
    <w:rsid w:val="4F6F1A3E"/>
    <w:rsid w:val="4F8C3B89"/>
    <w:rsid w:val="502F2E92"/>
    <w:rsid w:val="50574928"/>
    <w:rsid w:val="50597EAF"/>
    <w:rsid w:val="5091302C"/>
    <w:rsid w:val="50917CF3"/>
    <w:rsid w:val="50C47892"/>
    <w:rsid w:val="50CA4969"/>
    <w:rsid w:val="50F37473"/>
    <w:rsid w:val="510D6206"/>
    <w:rsid w:val="521303D6"/>
    <w:rsid w:val="5237602E"/>
    <w:rsid w:val="524C70CD"/>
    <w:rsid w:val="526C2341"/>
    <w:rsid w:val="528F7C18"/>
    <w:rsid w:val="52DA115F"/>
    <w:rsid w:val="536C1D08"/>
    <w:rsid w:val="536E7914"/>
    <w:rsid w:val="53A56DA5"/>
    <w:rsid w:val="53B26289"/>
    <w:rsid w:val="54201F77"/>
    <w:rsid w:val="544F3BE0"/>
    <w:rsid w:val="5472762C"/>
    <w:rsid w:val="551413BF"/>
    <w:rsid w:val="5622555D"/>
    <w:rsid w:val="574B5232"/>
    <w:rsid w:val="57C54AB2"/>
    <w:rsid w:val="57E83927"/>
    <w:rsid w:val="581B37B5"/>
    <w:rsid w:val="587E39FC"/>
    <w:rsid w:val="588211ED"/>
    <w:rsid w:val="5900361E"/>
    <w:rsid w:val="59251423"/>
    <w:rsid w:val="59B30690"/>
    <w:rsid w:val="5A074538"/>
    <w:rsid w:val="5B6E42E3"/>
    <w:rsid w:val="5BAF6C35"/>
    <w:rsid w:val="5C463B3E"/>
    <w:rsid w:val="5C8536D2"/>
    <w:rsid w:val="5C9103CC"/>
    <w:rsid w:val="5CF27722"/>
    <w:rsid w:val="5D0607CD"/>
    <w:rsid w:val="5D5338BA"/>
    <w:rsid w:val="5D6677C8"/>
    <w:rsid w:val="5D6C4751"/>
    <w:rsid w:val="5E00477D"/>
    <w:rsid w:val="5E9860A7"/>
    <w:rsid w:val="5E99597B"/>
    <w:rsid w:val="5F0A22A7"/>
    <w:rsid w:val="5F1874A8"/>
    <w:rsid w:val="5F5617F2"/>
    <w:rsid w:val="5FF527BE"/>
    <w:rsid w:val="60235E44"/>
    <w:rsid w:val="60857949"/>
    <w:rsid w:val="60D11869"/>
    <w:rsid w:val="614B38A4"/>
    <w:rsid w:val="61B45E5C"/>
    <w:rsid w:val="61D62535"/>
    <w:rsid w:val="61E37639"/>
    <w:rsid w:val="621A5025"/>
    <w:rsid w:val="6286034E"/>
    <w:rsid w:val="63186930"/>
    <w:rsid w:val="63A11FD9"/>
    <w:rsid w:val="649D114F"/>
    <w:rsid w:val="653A117D"/>
    <w:rsid w:val="655B32C2"/>
    <w:rsid w:val="660B29D3"/>
    <w:rsid w:val="66171405"/>
    <w:rsid w:val="662F4784"/>
    <w:rsid w:val="66442EFB"/>
    <w:rsid w:val="6787271D"/>
    <w:rsid w:val="679466A0"/>
    <w:rsid w:val="67C80CDB"/>
    <w:rsid w:val="67DF6634"/>
    <w:rsid w:val="684626D0"/>
    <w:rsid w:val="693B7D5A"/>
    <w:rsid w:val="69F66B47"/>
    <w:rsid w:val="6A2F32BB"/>
    <w:rsid w:val="6A372C18"/>
    <w:rsid w:val="6B316C7D"/>
    <w:rsid w:val="6B383E2F"/>
    <w:rsid w:val="6BAA1429"/>
    <w:rsid w:val="6BB64CF3"/>
    <w:rsid w:val="6BF012D0"/>
    <w:rsid w:val="6BF40694"/>
    <w:rsid w:val="6C1C0B24"/>
    <w:rsid w:val="6C2226D6"/>
    <w:rsid w:val="6CB57E24"/>
    <w:rsid w:val="6CEB7CE9"/>
    <w:rsid w:val="6D9143ED"/>
    <w:rsid w:val="6ED96865"/>
    <w:rsid w:val="6F1225EA"/>
    <w:rsid w:val="7083313F"/>
    <w:rsid w:val="70EB09ED"/>
    <w:rsid w:val="714F5642"/>
    <w:rsid w:val="71F4319C"/>
    <w:rsid w:val="722F0678"/>
    <w:rsid w:val="72822D8B"/>
    <w:rsid w:val="72917447"/>
    <w:rsid w:val="72DB472D"/>
    <w:rsid w:val="735C020A"/>
    <w:rsid w:val="7407365B"/>
    <w:rsid w:val="743E50DD"/>
    <w:rsid w:val="748F7D25"/>
    <w:rsid w:val="74BB4445"/>
    <w:rsid w:val="7521215C"/>
    <w:rsid w:val="7536332A"/>
    <w:rsid w:val="75932CCC"/>
    <w:rsid w:val="75D7705D"/>
    <w:rsid w:val="767A33A4"/>
    <w:rsid w:val="767F5F9B"/>
    <w:rsid w:val="771D14FD"/>
    <w:rsid w:val="77B835FC"/>
    <w:rsid w:val="77ED569D"/>
    <w:rsid w:val="782604CD"/>
    <w:rsid w:val="78510FD9"/>
    <w:rsid w:val="78BE27E8"/>
    <w:rsid w:val="78FC348F"/>
    <w:rsid w:val="79273E57"/>
    <w:rsid w:val="79A16176"/>
    <w:rsid w:val="7A5918DF"/>
    <w:rsid w:val="7A7B26AD"/>
    <w:rsid w:val="7BF50738"/>
    <w:rsid w:val="7BF81ADB"/>
    <w:rsid w:val="7C7B66A1"/>
    <w:rsid w:val="7C9B4169"/>
    <w:rsid w:val="7D0212EC"/>
    <w:rsid w:val="7D715CB9"/>
    <w:rsid w:val="7DB163E5"/>
    <w:rsid w:val="7E0C402F"/>
    <w:rsid w:val="7E5759ED"/>
    <w:rsid w:val="7E772BC3"/>
    <w:rsid w:val="7EB85FAF"/>
    <w:rsid w:val="7EF95104"/>
    <w:rsid w:val="7EFC18E2"/>
    <w:rsid w:val="7F294550"/>
    <w:rsid w:val="7F465C7B"/>
    <w:rsid w:val="7FCE1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Calibri" w:hAnsi="Calibri"/>
      <w:kern w:val="44"/>
      <w:sz w:val="32"/>
    </w:rPr>
  </w:style>
  <w:style w:type="paragraph" w:styleId="4">
    <w:name w:val="heading 2"/>
    <w:basedOn w:val="1"/>
    <w:next w:val="5"/>
    <w:unhideWhenUsed/>
    <w:qFormat/>
    <w:uiPriority w:val="0"/>
    <w:pPr>
      <w:keepNext/>
      <w:keepLines/>
      <w:spacing w:line="413" w:lineRule="auto"/>
      <w:jc w:val="center"/>
      <w:outlineLvl w:val="1"/>
    </w:pPr>
    <w:rPr>
      <w:rFonts w:ascii="Arial" w:hAnsi="Arial" w:eastAsia="宋体"/>
      <w:b/>
      <w:sz w:val="28"/>
    </w:rPr>
  </w:style>
  <w:style w:type="paragraph" w:styleId="6">
    <w:name w:val="heading 3"/>
    <w:basedOn w:val="1"/>
    <w:next w:val="5"/>
    <w:qFormat/>
    <w:uiPriority w:val="9"/>
    <w:pPr>
      <w:keepNext/>
      <w:keepLines/>
      <w:autoSpaceDE w:val="0"/>
      <w:autoSpaceDN w:val="0"/>
      <w:adjustRightInd w:val="0"/>
      <w:spacing w:line="360" w:lineRule="auto"/>
      <w:jc w:val="left"/>
      <w:outlineLvl w:val="2"/>
    </w:pPr>
    <w:rPr>
      <w:rFonts w:ascii="宋体" w:eastAsia="仿宋"/>
      <w:b/>
      <w:kern w:val="0"/>
      <w:sz w:val="2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0"/>
    <w:pPr>
      <w:ind w:firstLine="420"/>
    </w:pPr>
    <w:rPr>
      <w:szCs w:val="20"/>
    </w:rPr>
  </w:style>
  <w:style w:type="paragraph" w:styleId="7">
    <w:name w:val="table of authorities"/>
    <w:basedOn w:val="1"/>
    <w:next w:val="1"/>
    <w:qFormat/>
    <w:uiPriority w:val="0"/>
    <w:pPr>
      <w:ind w:left="210" w:hanging="210"/>
    </w:pPr>
    <w:rPr>
      <w:rFonts w:ascii="Calibri" w:hAnsi="Calibri"/>
      <w:sz w:val="20"/>
      <w:szCs w:val="20"/>
    </w:rPr>
  </w:style>
  <w:style w:type="paragraph" w:styleId="8">
    <w:name w:val="toa heading"/>
    <w:basedOn w:val="1"/>
    <w:next w:val="1"/>
    <w:qFormat/>
    <w:uiPriority w:val="0"/>
    <w:rPr>
      <w:rFonts w:ascii="Arial" w:hAnsi="Arial"/>
      <w:sz w:val="24"/>
    </w:rPr>
  </w:style>
  <w:style w:type="paragraph" w:styleId="9">
    <w:name w:val="Body Text"/>
    <w:basedOn w:val="1"/>
    <w:next w:val="10"/>
    <w:qFormat/>
    <w:uiPriority w:val="0"/>
    <w:rPr>
      <w:rFonts w:eastAsia="黑体"/>
      <w:b/>
      <w:bCs/>
      <w:spacing w:val="20"/>
      <w:kern w:val="52"/>
      <w:sz w:val="56"/>
    </w:rPr>
  </w:style>
  <w:style w:type="paragraph" w:styleId="10">
    <w:name w:val="Plain Text"/>
    <w:basedOn w:val="1"/>
    <w:next w:val="1"/>
    <w:link w:val="26"/>
    <w:semiHidden/>
    <w:unhideWhenUsed/>
    <w:qFormat/>
    <w:uiPriority w:val="99"/>
    <w:rPr>
      <w:rFonts w:ascii="宋体" w:hAnsi="Courier New" w:eastAsia="宋体" w:cs="Courier New"/>
      <w:szCs w:val="21"/>
    </w:rPr>
  </w:style>
  <w:style w:type="paragraph" w:styleId="11">
    <w:name w:val="Date"/>
    <w:basedOn w:val="1"/>
    <w:next w:val="1"/>
    <w:link w:val="23"/>
    <w:semiHidden/>
    <w:unhideWhenUsed/>
    <w:qFormat/>
    <w:uiPriority w:val="99"/>
    <w:pPr>
      <w:ind w:left="100" w:leftChars="25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Autospacing="1" w:afterAutospacing="1"/>
      <w:jc w:val="left"/>
    </w:pPr>
    <w:rPr>
      <w:rFonts w:cs="Times New Roman"/>
      <w:kern w:val="0"/>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_Style 2"/>
    <w:basedOn w:val="3"/>
    <w:next w:val="1"/>
    <w:qFormat/>
    <w:uiPriority w:val="39"/>
    <w:pPr>
      <w:spacing w:before="480" w:line="276" w:lineRule="auto"/>
      <w:outlineLvl w:val="9"/>
    </w:pPr>
    <w:rPr>
      <w:rFonts w:ascii="仿宋" w:hAnsi="仿宋"/>
      <w:color w:val="000000"/>
      <w:kern w:val="0"/>
      <w:szCs w:val="32"/>
    </w:rPr>
  </w:style>
  <w:style w:type="paragraph" w:customStyle="1" w:styleId="21">
    <w:name w:val="表格文字"/>
    <w:basedOn w:val="1"/>
    <w:qFormat/>
    <w:uiPriority w:val="0"/>
    <w:pPr>
      <w:adjustRightInd w:val="0"/>
      <w:spacing w:line="420" w:lineRule="atLeast"/>
      <w:jc w:val="left"/>
      <w:textAlignment w:val="baseline"/>
    </w:pPr>
    <w:rPr>
      <w:kern w:val="0"/>
      <w:szCs w:val="20"/>
    </w:rPr>
  </w:style>
  <w:style w:type="paragraph" w:customStyle="1" w:styleId="22">
    <w:name w:val="样式1"/>
    <w:basedOn w:val="3"/>
    <w:qFormat/>
    <w:uiPriority w:val="0"/>
    <w:rPr>
      <w:sz w:val="36"/>
      <w:szCs w:val="24"/>
    </w:rPr>
  </w:style>
  <w:style w:type="character" w:customStyle="1" w:styleId="23">
    <w:name w:val="日期 Char"/>
    <w:basedOn w:val="17"/>
    <w:link w:val="11"/>
    <w:semiHidden/>
    <w:qFormat/>
    <w:uiPriority w:val="99"/>
  </w:style>
  <w:style w:type="character" w:customStyle="1" w:styleId="24">
    <w:name w:val="页眉 Char"/>
    <w:basedOn w:val="17"/>
    <w:link w:val="13"/>
    <w:qFormat/>
    <w:uiPriority w:val="99"/>
    <w:rPr>
      <w:sz w:val="18"/>
      <w:szCs w:val="18"/>
    </w:rPr>
  </w:style>
  <w:style w:type="character" w:customStyle="1" w:styleId="25">
    <w:name w:val="页脚 Char"/>
    <w:basedOn w:val="17"/>
    <w:link w:val="12"/>
    <w:qFormat/>
    <w:uiPriority w:val="99"/>
    <w:rPr>
      <w:sz w:val="18"/>
      <w:szCs w:val="18"/>
    </w:rPr>
  </w:style>
  <w:style w:type="character" w:customStyle="1" w:styleId="26">
    <w:name w:val="纯文本 Char"/>
    <w:basedOn w:val="17"/>
    <w:link w:val="10"/>
    <w:semiHidden/>
    <w:qFormat/>
    <w:uiPriority w:val="99"/>
    <w:rPr>
      <w:rFonts w:ascii="宋体" w:hAnsi="Courier New" w:eastAsia="宋体" w:cs="Courier New"/>
      <w:szCs w:val="21"/>
    </w:rPr>
  </w:style>
  <w:style w:type="paragraph" w:styleId="27">
    <w:name w:val="List Paragraph"/>
    <w:basedOn w:val="1"/>
    <w:unhideWhenUsed/>
    <w:qFormat/>
    <w:uiPriority w:val="99"/>
    <w:pPr>
      <w:ind w:firstLine="420" w:firstLineChars="200"/>
    </w:pPr>
  </w:style>
  <w:style w:type="paragraph" w:customStyle="1" w:styleId="28">
    <w:name w:val="detail-info"/>
    <w:basedOn w:val="1"/>
    <w:qFormat/>
    <w:uiPriority w:val="0"/>
    <w:pPr>
      <w:widowControl/>
      <w:pBdr>
        <w:bottom w:val="dotted" w:color="999999" w:sz="6" w:space="8"/>
      </w:pBdr>
      <w:spacing w:before="75" w:after="300"/>
      <w:jc w:val="left"/>
    </w:pPr>
    <w:rPr>
      <w:rFonts w:ascii="宋体" w:hAnsi="宋体" w:eastAsia="宋体" w:cs="宋体"/>
      <w:color w:val="666666"/>
      <w:kern w:val="0"/>
      <w:szCs w:val="21"/>
    </w:rPr>
  </w:style>
  <w:style w:type="character" w:customStyle="1" w:styleId="29">
    <w:name w:val="bookmark-item"/>
    <w:basedOn w:val="17"/>
    <w:qFormat/>
    <w:uiPriority w:val="0"/>
  </w:style>
  <w:style w:type="character" w:customStyle="1" w:styleId="30">
    <w:name w:val="sub"/>
    <w:basedOn w:val="17"/>
    <w:qFormat/>
    <w:uiPriority w:val="0"/>
  </w:style>
  <w:style w:type="paragraph" w:customStyle="1" w:styleId="31">
    <w:name w:val="Table Paragraph"/>
    <w:basedOn w:val="1"/>
    <w:qFormat/>
    <w:uiPriority w:val="1"/>
    <w:rPr>
      <w:rFonts w:ascii="仿宋" w:hAnsi="仿宋" w:eastAsia="仿宋" w:cs="仿宋"/>
      <w:lang w:val="zh-CN" w:bidi="zh-CN"/>
    </w:rPr>
  </w:style>
  <w:style w:type="paragraph" w:customStyle="1" w:styleId="32">
    <w:name w:val="表文字"/>
    <w:qFormat/>
    <w:uiPriority w:val="0"/>
    <w:pPr>
      <w:jc w:val="center"/>
    </w:pPr>
    <w:rPr>
      <w:rFonts w:ascii="Times New Roman" w:hAnsi="Times New Roman" w:eastAsia="宋体" w:cs="Times New Roman"/>
      <w:bCs/>
      <w:kern w:val="2"/>
      <w:sz w:val="21"/>
      <w:szCs w:val="24"/>
      <w:lang w:val="en-US" w:eastAsia="zh-CN" w:bidi="ar-SA"/>
    </w:rPr>
  </w:style>
  <w:style w:type="paragraph" w:customStyle="1" w:styleId="33">
    <w:name w:val="X"/>
    <w:basedOn w:val="1"/>
    <w:qFormat/>
    <w:uiPriority w:val="0"/>
    <w:pPr>
      <w:numPr>
        <w:ilvl w:val="0"/>
        <w:numId w:val="1"/>
      </w:numPr>
      <w:adjustRightInd w:val="0"/>
      <w:snapToGrid w:val="0"/>
      <w:spacing w:line="360" w:lineRule="auto"/>
      <w:outlineLvl w:val="0"/>
    </w:pPr>
    <w:rPr>
      <w:rFonts w:ascii="宋体" w:hAnsi="宋体"/>
      <w:b/>
      <w:sz w:val="32"/>
      <w:szCs w:val="28"/>
    </w:rPr>
  </w:style>
  <w:style w:type="paragraph" w:customStyle="1" w:styleId="34">
    <w:name w:val="XXXX"/>
    <w:basedOn w:val="1"/>
    <w:qFormat/>
    <w:uiPriority w:val="0"/>
    <w:pPr>
      <w:tabs>
        <w:tab w:val="left" w:pos="0"/>
      </w:tabs>
      <w:adjustRightInd w:val="0"/>
      <w:snapToGrid w:val="0"/>
      <w:spacing w:line="360" w:lineRule="auto"/>
      <w:ind w:firstLine="560" w:firstLineChars="200"/>
    </w:pPr>
    <w:rPr>
      <w:rFonts w:ascii="宋体" w:hAnsi="宋体"/>
      <w:sz w:val="28"/>
      <w:szCs w:val="28"/>
    </w:rPr>
  </w:style>
  <w:style w:type="paragraph" w:customStyle="1" w:styleId="3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3F08F-CF3D-4633-960D-8850596E8A3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24438</Words>
  <Characters>26973</Characters>
  <Lines>34</Lines>
  <Paragraphs>54</Paragraphs>
  <TotalTime>31</TotalTime>
  <ScaleCrop>false</ScaleCrop>
  <LinksUpToDate>false</LinksUpToDate>
  <CharactersWithSpaces>27421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2022-06-30T09:10:00Z</dcterms:created>
  <dc:creator>微软用户</dc:creator>
  <cp:lastModifiedBy>褚。❁҉҉҉҉҉҉҉҉</cp:lastModifiedBy>
  <cp:lastPrinted>2022-06-11T02:01:00Z</cp:lastPrinted>
  <dcterms:modified xsi:type="dcterms:W3CDTF">2023-03-06T06:06:43Z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62D1C5AA1F524DA0B2C086FFAC50246F</vt:lpwstr>
  </property>
</Properties>
</file>