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color w:val="auto"/>
          <w:kern w:val="44"/>
          <w:sz w:val="48"/>
          <w:szCs w:val="48"/>
          <w:highlight w:val="none"/>
          <w:lang w:eastAsia="zh-CN"/>
        </w:rPr>
      </w:pPr>
      <w:bookmarkStart w:id="0" w:name="_Toc13297"/>
      <w:bookmarkStart w:id="1" w:name="_Toc12442"/>
      <w:bookmarkStart w:id="2" w:name="_Toc22083"/>
      <w:bookmarkStart w:id="3" w:name="_Toc31636"/>
      <w:bookmarkStart w:id="4" w:name="_Toc3501"/>
      <w:bookmarkStart w:id="5" w:name="_Toc11880"/>
      <w:bookmarkStart w:id="6" w:name="_Toc31645"/>
      <w:bookmarkStart w:id="7" w:name="_Toc29241"/>
      <w:bookmarkStart w:id="8" w:name="_Toc16093"/>
      <w:bookmarkStart w:id="9" w:name="_Toc17321"/>
      <w:bookmarkStart w:id="10" w:name="_Toc13057"/>
      <w:bookmarkStart w:id="11" w:name="_Toc4177"/>
      <w:bookmarkStart w:id="12" w:name="_Toc27286"/>
      <w:bookmarkStart w:id="13" w:name="_Toc1934"/>
      <w:bookmarkStart w:id="14" w:name="_Toc32647"/>
      <w:bookmarkStart w:id="15" w:name="_Toc218935355"/>
      <w:bookmarkStart w:id="16" w:name="_Toc216582826"/>
      <w:bookmarkStart w:id="17" w:name="_Toc219175639"/>
      <w:bookmarkStart w:id="18" w:name="_Toc515647832"/>
      <w:bookmarkStart w:id="19" w:name="_Toc507399907"/>
      <w:bookmarkStart w:id="20" w:name="_Toc7971"/>
    </w:p>
    <w:p>
      <w:pPr>
        <w:pStyle w:val="4"/>
        <w:jc w:val="center"/>
        <w:rPr>
          <w:rFonts w:hint="eastAsia" w:ascii="微软雅黑" w:hAnsi="微软雅黑" w:eastAsia="微软雅黑" w:cs="微软雅黑"/>
          <w:b/>
          <w:color w:val="auto"/>
          <w:spacing w:val="-20"/>
          <w:kern w:val="44"/>
          <w:sz w:val="56"/>
          <w:szCs w:val="56"/>
          <w:highlight w:val="none"/>
          <w:lang w:eastAsia="zh-CN"/>
        </w:rPr>
      </w:pPr>
      <w:r>
        <w:rPr>
          <w:rFonts w:hint="eastAsia" w:ascii="微软雅黑" w:hAnsi="微软雅黑" w:eastAsia="微软雅黑" w:cs="微软雅黑"/>
          <w:b/>
          <w:color w:val="auto"/>
          <w:spacing w:val="-20"/>
          <w:kern w:val="44"/>
          <w:sz w:val="56"/>
          <w:szCs w:val="56"/>
          <w:highlight w:val="none"/>
          <w:lang w:eastAsia="zh-CN"/>
        </w:rPr>
        <w:t>喀什地区2023年常规动物疫苗采购项目（标段2）二次</w:t>
      </w:r>
    </w:p>
    <w:p>
      <w:pPr>
        <w:pStyle w:val="5"/>
        <w:rPr>
          <w:rFonts w:hint="eastAsia"/>
          <w:highlight w:val="none"/>
          <w:lang w:eastAsia="zh-CN"/>
        </w:rPr>
      </w:pPr>
    </w:p>
    <w:p>
      <w:pPr>
        <w:rPr>
          <w:rFonts w:hint="eastAsia"/>
          <w:highlight w:val="none"/>
          <w:lang w:eastAsia="zh-CN"/>
        </w:rPr>
      </w:pPr>
    </w:p>
    <w:p>
      <w:pPr>
        <w:pStyle w:val="2"/>
        <w:rPr>
          <w:rFonts w:hint="eastAsia"/>
          <w:lang w:eastAsia="zh-CN"/>
        </w:rPr>
      </w:pPr>
    </w:p>
    <w:p>
      <w:pPr>
        <w:rPr>
          <w:rFonts w:hint="eastAsia"/>
          <w:highlight w:val="none"/>
          <w:lang w:eastAsia="zh-CN"/>
        </w:rPr>
      </w:pPr>
    </w:p>
    <w:p>
      <w:pPr>
        <w:pStyle w:val="2"/>
        <w:rPr>
          <w:rFonts w:hint="eastAsia"/>
          <w:lang w:eastAsia="zh-CN"/>
        </w:rPr>
      </w:pPr>
    </w:p>
    <w:p>
      <w:pPr>
        <w:spacing w:line="240" w:lineRule="atLeast"/>
        <w:jc w:val="center"/>
        <w:rPr>
          <w:rFonts w:hint="eastAsia" w:ascii="微软雅黑" w:hAnsi="微软雅黑" w:eastAsia="微软雅黑" w:cs="微软雅黑"/>
          <w:color w:val="auto"/>
          <w:sz w:val="48"/>
          <w:szCs w:val="48"/>
          <w:highlight w:val="none"/>
        </w:rPr>
      </w:pPr>
      <w:r>
        <w:rPr>
          <w:rFonts w:hint="eastAsia" w:ascii="微软雅黑" w:hAnsi="微软雅黑" w:eastAsia="微软雅黑" w:cs="微软雅黑"/>
          <w:b/>
          <w:bCs w:val="0"/>
          <w:color w:val="auto"/>
          <w:sz w:val="48"/>
          <w:szCs w:val="48"/>
          <w:highlight w:val="none"/>
        </w:rPr>
        <w:t>招 标 文 件</w:t>
      </w:r>
    </w:p>
    <w:p>
      <w:pPr>
        <w:spacing w:line="360" w:lineRule="auto"/>
        <w:jc w:val="center"/>
        <w:rPr>
          <w:rFonts w:hint="default" w:ascii="微软雅黑" w:hAnsi="微软雅黑" w:eastAsia="微软雅黑" w:cs="微软雅黑"/>
          <w:b/>
          <w:color w:val="auto"/>
          <w:sz w:val="32"/>
          <w:szCs w:val="32"/>
          <w:highlight w:val="none"/>
          <w:lang w:val="en-US" w:eastAsia="zh-CN"/>
        </w:rPr>
      </w:pPr>
      <w:r>
        <w:rPr>
          <w:rFonts w:hint="eastAsia" w:ascii="微软雅黑" w:hAnsi="微软雅黑" w:eastAsia="微软雅黑" w:cs="微软雅黑"/>
          <w:b/>
          <w:color w:val="auto"/>
          <w:sz w:val="32"/>
          <w:szCs w:val="32"/>
          <w:highlight w:val="none"/>
        </w:rPr>
        <w:t>项目编号：</w:t>
      </w:r>
      <w:r>
        <w:rPr>
          <w:rFonts w:hint="eastAsia" w:ascii="微软雅黑" w:hAnsi="微软雅黑" w:eastAsia="微软雅黑" w:cs="微软雅黑"/>
          <w:b/>
          <w:color w:val="auto"/>
          <w:sz w:val="32"/>
          <w:szCs w:val="32"/>
          <w:highlight w:val="none"/>
          <w:lang w:eastAsia="zh-CN"/>
        </w:rPr>
        <w:t>23GJ-(GK)00</w:t>
      </w:r>
      <w:r>
        <w:rPr>
          <w:rFonts w:hint="eastAsia" w:ascii="微软雅黑" w:hAnsi="微软雅黑" w:eastAsia="微软雅黑" w:cs="微软雅黑"/>
          <w:b/>
          <w:color w:val="auto"/>
          <w:sz w:val="32"/>
          <w:szCs w:val="32"/>
          <w:highlight w:val="none"/>
          <w:lang w:val="en-US" w:eastAsia="zh-CN"/>
        </w:rPr>
        <w:t>7-2</w:t>
      </w:r>
    </w:p>
    <w:p>
      <w:pPr>
        <w:spacing w:line="240" w:lineRule="atLeast"/>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 xml:space="preserve">  </w:t>
      </w:r>
    </w:p>
    <w:p>
      <w:pPr>
        <w:pStyle w:val="2"/>
        <w:rPr>
          <w:rFonts w:hint="eastAsia"/>
        </w:rPr>
      </w:pPr>
    </w:p>
    <w:p>
      <w:pPr>
        <w:pStyle w:val="2"/>
        <w:rPr>
          <w:rFonts w:hint="eastAsia"/>
        </w:rPr>
      </w:pPr>
    </w:p>
    <w:p>
      <w:pPr>
        <w:spacing w:line="240" w:lineRule="atLeast"/>
        <w:ind w:left="2879" w:leftChars="304" w:hanging="2241" w:hangingChars="700"/>
        <w:jc w:val="left"/>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采购单位名称：</w:t>
      </w:r>
      <w:r>
        <w:rPr>
          <w:rFonts w:hint="eastAsia" w:ascii="微软雅黑" w:hAnsi="微软雅黑" w:eastAsia="微软雅黑" w:cs="微软雅黑"/>
          <w:b/>
          <w:color w:val="auto"/>
          <w:sz w:val="32"/>
          <w:szCs w:val="32"/>
          <w:highlight w:val="none"/>
          <w:u w:val="single"/>
          <w:lang w:val="en-US" w:eastAsia="zh-CN"/>
        </w:rPr>
        <w:t>新疆维吾尔自治区喀什地区动物疾病控制与诊断中心</w:t>
      </w:r>
    </w:p>
    <w:p>
      <w:pPr>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 xml:space="preserve">联   系   人：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姜锋韬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rPr>
        <w:t xml:space="preserve">      </w:t>
      </w:r>
    </w:p>
    <w:p>
      <w:pPr>
        <w:spacing w:line="360" w:lineRule="auto"/>
        <w:ind w:firstLine="640" w:firstLineChars="200"/>
        <w:rPr>
          <w:rFonts w:hint="eastAsia" w:ascii="微软雅黑" w:hAnsi="微软雅黑" w:eastAsia="微软雅黑" w:cs="微软雅黑"/>
          <w:b/>
          <w:color w:val="auto"/>
          <w:sz w:val="32"/>
          <w:szCs w:val="32"/>
          <w:highlight w:val="none"/>
          <w:u w:val="single"/>
          <w:lang w:val="en-US" w:eastAsia="zh-CN"/>
        </w:rPr>
      </w:pPr>
      <w:r>
        <w:rPr>
          <w:rFonts w:hint="eastAsia" w:ascii="微软雅黑" w:hAnsi="微软雅黑" w:eastAsia="微软雅黑" w:cs="微软雅黑"/>
          <w:b/>
          <w:color w:val="auto"/>
          <w:sz w:val="32"/>
          <w:szCs w:val="32"/>
          <w:highlight w:val="none"/>
        </w:rPr>
        <w:t xml:space="preserve">联 系  电 话：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13909987262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p>
    <w:p>
      <w:pPr>
        <w:pStyle w:val="4"/>
        <w:ind w:left="0" w:leftChars="0" w:firstLine="0" w:firstLineChars="0"/>
        <w:rPr>
          <w:rFonts w:hint="eastAsia" w:ascii="微软雅黑" w:hAnsi="微软雅黑" w:eastAsia="微软雅黑" w:cs="微软雅黑"/>
          <w:color w:val="auto"/>
          <w:sz w:val="32"/>
          <w:szCs w:val="32"/>
          <w:highlight w:val="none"/>
        </w:rPr>
      </w:pPr>
    </w:p>
    <w:p>
      <w:pPr>
        <w:rPr>
          <w:rFonts w:hint="eastAsia" w:ascii="微软雅黑" w:hAnsi="微软雅黑" w:eastAsia="微软雅黑" w:cs="微软雅黑"/>
          <w:color w:val="auto"/>
          <w:sz w:val="32"/>
          <w:szCs w:val="32"/>
          <w:highlight w:val="none"/>
        </w:rPr>
      </w:pPr>
    </w:p>
    <w:p>
      <w:pPr>
        <w:spacing w:line="240" w:lineRule="atLeast"/>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 xml:space="preserve">代理机构名称： </w:t>
      </w:r>
      <w:r>
        <w:rPr>
          <w:rFonts w:hint="eastAsia" w:ascii="微软雅黑" w:hAnsi="微软雅黑" w:eastAsia="微软雅黑" w:cs="微软雅黑"/>
          <w:b/>
          <w:color w:val="auto"/>
          <w:sz w:val="32"/>
          <w:szCs w:val="32"/>
          <w:highlight w:val="none"/>
          <w:u w:val="single"/>
        </w:rPr>
        <w:t>新疆共建恒业信息咨询有限责任公司</w:t>
      </w:r>
    </w:p>
    <w:p>
      <w:pPr>
        <w:spacing w:line="240" w:lineRule="atLeast"/>
        <w:ind w:firstLine="640" w:firstLineChars="20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 xml:space="preserve">联   系   人：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朱萍</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rPr>
        <w:t xml:space="preserve">       </w:t>
      </w:r>
    </w:p>
    <w:p>
      <w:pPr>
        <w:ind w:firstLine="640" w:firstLineChars="200"/>
        <w:jc w:val="both"/>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 xml:space="preserve">联 系 电 话 ： </w:t>
      </w:r>
      <w:r>
        <w:rPr>
          <w:rFonts w:hint="eastAsia" w:ascii="微软雅黑" w:hAnsi="微软雅黑" w:eastAsia="微软雅黑" w:cs="微软雅黑"/>
          <w:b/>
          <w:color w:val="auto"/>
          <w:sz w:val="32"/>
          <w:szCs w:val="32"/>
          <w:highlight w:val="none"/>
          <w:u w:val="single"/>
        </w:rPr>
        <w:t xml:space="preserve">        18209987338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rPr>
        <w:t xml:space="preserve"> </w:t>
      </w:r>
    </w:p>
    <w:p>
      <w:pPr>
        <w:jc w:val="both"/>
        <w:rPr>
          <w:rFonts w:hint="eastAsia" w:ascii="微软雅黑" w:hAnsi="微软雅黑" w:eastAsia="微软雅黑" w:cs="微软雅黑"/>
          <w:b/>
          <w:bCs/>
          <w:color w:val="auto"/>
          <w:sz w:val="32"/>
          <w:szCs w:val="40"/>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ind w:firstLine="3522" w:firstLineChars="1100"/>
        <w:jc w:val="both"/>
        <w:rPr>
          <w:rFonts w:hint="eastAsia" w:ascii="微软雅黑" w:hAnsi="微软雅黑" w:eastAsia="微软雅黑" w:cs="微软雅黑"/>
          <w:b/>
          <w:bCs/>
          <w:color w:val="auto"/>
          <w:sz w:val="32"/>
          <w:szCs w:val="40"/>
          <w:highlight w:val="none"/>
        </w:rPr>
      </w:pPr>
      <w:r>
        <w:rPr>
          <w:rFonts w:hint="eastAsia" w:ascii="微软雅黑" w:hAnsi="微软雅黑" w:eastAsia="微软雅黑" w:cs="微软雅黑"/>
          <w:b/>
          <w:bCs/>
          <w:color w:val="auto"/>
          <w:sz w:val="32"/>
          <w:szCs w:val="40"/>
          <w:highlight w:val="none"/>
        </w:rPr>
        <w:t>目   录</w:t>
      </w:r>
    </w:p>
    <w:p>
      <w:pPr>
        <w:pStyle w:val="18"/>
        <w:tabs>
          <w:tab w:val="right" w:leader="dot" w:pos="8312"/>
        </w:tabs>
        <w:rPr>
          <w:highlight w:val="none"/>
        </w:rPr>
      </w:pP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TOC \o "1-3" \h \u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highlight w:val="none"/>
        </w:rPr>
        <w:instrText xml:space="preserve"> HYPERLINK \l _Toc9895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bCs/>
          <w:szCs w:val="32"/>
          <w:highlight w:val="none"/>
        </w:rPr>
        <w:t xml:space="preserve">第1章  </w:t>
      </w:r>
      <w:r>
        <w:rPr>
          <w:rFonts w:hint="eastAsia" w:ascii="微软雅黑" w:hAnsi="微软雅黑" w:eastAsia="微软雅黑" w:cs="微软雅黑"/>
          <w:bCs/>
          <w:szCs w:val="32"/>
          <w:highlight w:val="none"/>
          <w:lang w:eastAsia="zh-CN"/>
        </w:rPr>
        <w:t>供应商</w:t>
      </w:r>
      <w:r>
        <w:rPr>
          <w:rFonts w:hint="eastAsia" w:ascii="微软雅黑" w:hAnsi="微软雅黑" w:eastAsia="微软雅黑" w:cs="微软雅黑"/>
          <w:bCs/>
          <w:szCs w:val="32"/>
          <w:highlight w:val="none"/>
        </w:rPr>
        <w:t>须知</w:t>
      </w:r>
      <w:r>
        <w:rPr>
          <w:highlight w:val="none"/>
        </w:rPr>
        <w:tab/>
      </w:r>
      <w:r>
        <w:rPr>
          <w:highlight w:val="none"/>
        </w:rPr>
        <w:fldChar w:fldCharType="begin"/>
      </w:r>
      <w:r>
        <w:rPr>
          <w:highlight w:val="none"/>
        </w:rPr>
        <w:instrText xml:space="preserve"> PAGEREF _Toc9895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color w:val="auto"/>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_Toc9768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一   总 则</w:t>
      </w:r>
      <w:r>
        <w:rPr>
          <w:highlight w:val="none"/>
        </w:rPr>
        <w:tab/>
      </w:r>
      <w:r>
        <w:rPr>
          <w:highlight w:val="none"/>
        </w:rPr>
        <w:fldChar w:fldCharType="begin"/>
      </w:r>
      <w:r>
        <w:rPr>
          <w:highlight w:val="none"/>
        </w:rPr>
        <w:instrText xml:space="preserve"> PAGEREF _Toc9768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_Toc4321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二   招标文件</w:t>
      </w:r>
      <w:r>
        <w:rPr>
          <w:highlight w:val="none"/>
        </w:rPr>
        <w:tab/>
      </w:r>
      <w:r>
        <w:rPr>
          <w:highlight w:val="none"/>
        </w:rPr>
        <w:fldChar w:fldCharType="begin"/>
      </w:r>
      <w:r>
        <w:rPr>
          <w:highlight w:val="none"/>
        </w:rPr>
        <w:instrText xml:space="preserve"> PAGEREF _Toc4321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_Toc25637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三   投标文件的编制</w:t>
      </w:r>
      <w:r>
        <w:rPr>
          <w:highlight w:val="none"/>
        </w:rPr>
        <w:tab/>
      </w:r>
      <w:r>
        <w:rPr>
          <w:highlight w:val="none"/>
        </w:rPr>
        <w:fldChar w:fldCharType="begin"/>
      </w:r>
      <w:r>
        <w:rPr>
          <w:highlight w:val="none"/>
        </w:rPr>
        <w:instrText xml:space="preserve"> PAGEREF _Toc25637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_Toc17691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四   投标文件的递交</w:t>
      </w:r>
      <w:r>
        <w:rPr>
          <w:highlight w:val="none"/>
        </w:rPr>
        <w:tab/>
      </w:r>
      <w:r>
        <w:rPr>
          <w:highlight w:val="none"/>
        </w:rPr>
        <w:fldChar w:fldCharType="begin"/>
      </w:r>
      <w:r>
        <w:rPr>
          <w:highlight w:val="none"/>
        </w:rPr>
        <w:instrText xml:space="preserve"> PAGEREF _Toc17691 \h </w:instrText>
      </w:r>
      <w:r>
        <w:rPr>
          <w:highlight w:val="none"/>
        </w:rPr>
        <w:fldChar w:fldCharType="separate"/>
      </w:r>
      <w:r>
        <w:rPr>
          <w:highlight w:val="none"/>
        </w:rPr>
        <w:t>7</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_Toc31294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五   开标及评标</w:t>
      </w:r>
      <w:r>
        <w:rPr>
          <w:highlight w:val="none"/>
        </w:rPr>
        <w:tab/>
      </w:r>
      <w:r>
        <w:rPr>
          <w:highlight w:val="none"/>
        </w:rPr>
        <w:fldChar w:fldCharType="begin"/>
      </w:r>
      <w:r>
        <w:rPr>
          <w:highlight w:val="none"/>
        </w:rPr>
        <w:instrText xml:space="preserve"> PAGEREF _Toc31294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_Toc11894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六   确定中标</w:t>
      </w:r>
      <w:r>
        <w:rPr>
          <w:highlight w:val="none"/>
        </w:rPr>
        <w:tab/>
      </w:r>
      <w:r>
        <w:rPr>
          <w:highlight w:val="none"/>
        </w:rPr>
        <w:fldChar w:fldCharType="begin"/>
      </w:r>
      <w:r>
        <w:rPr>
          <w:highlight w:val="none"/>
        </w:rPr>
        <w:instrText xml:space="preserve"> PAGEREF _Toc11894 \h </w:instrText>
      </w:r>
      <w:r>
        <w:rPr>
          <w:highlight w:val="none"/>
        </w:rPr>
        <w:fldChar w:fldCharType="separate"/>
      </w:r>
      <w:r>
        <w:rPr>
          <w:highlight w:val="none"/>
        </w:rPr>
        <w:t>13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18"/>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_Toc173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32"/>
          <w:highlight w:val="none"/>
        </w:rPr>
        <w:t>第2章   投标文件格式</w:t>
      </w:r>
      <w:r>
        <w:rPr>
          <w:highlight w:val="none"/>
        </w:rPr>
        <w:tab/>
      </w:r>
      <w:r>
        <w:rPr>
          <w:highlight w:val="none"/>
        </w:rPr>
        <w:fldChar w:fldCharType="begin"/>
      </w:r>
      <w:r>
        <w:rPr>
          <w:highlight w:val="none"/>
        </w:rPr>
        <w:instrText xml:space="preserve"> PAGEREF _Toc173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_Toc30383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8"/>
          <w:highlight w:val="none"/>
        </w:rPr>
        <w:t>第一部分 开标一览表及资格证明文件</w:t>
      </w:r>
      <w:r>
        <w:rPr>
          <w:highlight w:val="none"/>
        </w:rPr>
        <w:tab/>
      </w:r>
      <w:r>
        <w:rPr>
          <w:highlight w:val="none"/>
        </w:rPr>
        <w:fldChar w:fldCharType="begin"/>
      </w:r>
      <w:r>
        <w:rPr>
          <w:highlight w:val="none"/>
        </w:rPr>
        <w:instrText xml:space="preserve"> PAGEREF _Toc30383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_Toc27081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1、开标一览表</w:t>
      </w:r>
      <w:r>
        <w:rPr>
          <w:highlight w:val="none"/>
        </w:rPr>
        <w:tab/>
      </w:r>
      <w:r>
        <w:rPr>
          <w:highlight w:val="none"/>
        </w:rPr>
        <w:fldChar w:fldCharType="begin"/>
      </w:r>
      <w:r>
        <w:rPr>
          <w:highlight w:val="none"/>
        </w:rPr>
        <w:instrText xml:space="preserve"> PAGEREF _Toc27081 \h </w:instrText>
      </w:r>
      <w:r>
        <w:rPr>
          <w:highlight w:val="none"/>
        </w:rPr>
        <w:fldChar w:fldCharType="separate"/>
      </w:r>
      <w:r>
        <w:rPr>
          <w:highlight w:val="none"/>
        </w:rPr>
        <w:t>20</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_Toc22414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2、</w:t>
      </w:r>
      <w:r>
        <w:rPr>
          <w:rFonts w:hint="eastAsia" w:ascii="微软雅黑" w:hAnsi="微软雅黑" w:eastAsia="微软雅黑" w:cs="微软雅黑"/>
          <w:szCs w:val="24"/>
          <w:highlight w:val="none"/>
          <w:lang w:eastAsia="zh-CN"/>
        </w:rPr>
        <w:t>具有有效的营业执照</w:t>
      </w:r>
      <w:r>
        <w:rPr>
          <w:rFonts w:hint="eastAsia" w:ascii="微软雅黑" w:hAnsi="微软雅黑" w:eastAsia="微软雅黑" w:cs="微软雅黑"/>
          <w:szCs w:val="24"/>
          <w:highlight w:val="none"/>
        </w:rPr>
        <w:t>；</w:t>
      </w:r>
      <w:r>
        <w:rPr>
          <w:highlight w:val="none"/>
        </w:rPr>
        <w:tab/>
      </w:r>
      <w:r>
        <w:rPr>
          <w:highlight w:val="none"/>
        </w:rPr>
        <w:fldChar w:fldCharType="begin"/>
      </w:r>
      <w:r>
        <w:rPr>
          <w:highlight w:val="none"/>
        </w:rPr>
        <w:instrText xml:space="preserve"> PAGEREF _Toc22414 \h </w:instrText>
      </w:r>
      <w:r>
        <w:rPr>
          <w:highlight w:val="none"/>
        </w:rPr>
        <w:fldChar w:fldCharType="separate"/>
      </w:r>
      <w:r>
        <w:rPr>
          <w:highlight w:val="none"/>
        </w:rPr>
        <w:t>20</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_Toc9651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3</w:t>
      </w:r>
      <w:r>
        <w:rPr>
          <w:rFonts w:hint="eastAsia" w:ascii="微软雅黑" w:hAnsi="微软雅黑" w:eastAsia="微软雅黑" w:cs="微软雅黑"/>
          <w:szCs w:val="24"/>
          <w:highlight w:val="none"/>
          <w:lang w:eastAsia="zh-CN"/>
        </w:rPr>
        <w:t>、</w:t>
      </w:r>
      <w:r>
        <w:rPr>
          <w:rFonts w:hint="eastAsia" w:ascii="微软雅黑" w:hAnsi="微软雅黑" w:eastAsia="微软雅黑" w:cs="微软雅黑"/>
          <w:bCs/>
          <w:szCs w:val="24"/>
          <w:highlight w:val="none"/>
          <w:lang w:val="en-US" w:eastAsia="zh-CN"/>
        </w:rPr>
        <w:t>提供法定代表人资格证明及授权书、被授权人身份证；(法定代表人投标需提供法定代表人身份证)；</w:t>
      </w:r>
      <w:r>
        <w:rPr>
          <w:highlight w:val="none"/>
        </w:rPr>
        <w:tab/>
      </w:r>
      <w:r>
        <w:rPr>
          <w:highlight w:val="none"/>
        </w:rPr>
        <w:fldChar w:fldCharType="begin"/>
      </w:r>
      <w:r>
        <w:rPr>
          <w:highlight w:val="none"/>
        </w:rPr>
        <w:instrText xml:space="preserve"> PAGEREF _Toc9651 \h </w:instrText>
      </w:r>
      <w:r>
        <w:rPr>
          <w:highlight w:val="none"/>
        </w:rPr>
        <w:fldChar w:fldCharType="separate"/>
      </w:r>
      <w:r>
        <w:rPr>
          <w:highlight w:val="none"/>
        </w:rPr>
        <w:t>21</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_Toc28371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bidi="ar-SA"/>
        </w:rPr>
        <w:t>4、具有有效的《兽药经营许可证》或《兽药生产</w:t>
      </w:r>
      <w:bookmarkStart w:id="2313" w:name="_GoBack"/>
      <w:bookmarkEnd w:id="2313"/>
      <w:r>
        <w:rPr>
          <w:rFonts w:hint="eastAsia" w:ascii="微软雅黑" w:hAnsi="微软雅黑" w:eastAsia="微软雅黑" w:cs="微软雅黑"/>
          <w:kern w:val="0"/>
          <w:szCs w:val="24"/>
          <w:highlight w:val="none"/>
          <w:lang w:val="en-US" w:eastAsia="zh-CN" w:bidi="ar-SA"/>
        </w:rPr>
        <w:t>许可证》；</w:t>
      </w:r>
      <w:r>
        <w:rPr>
          <w:highlight w:val="none"/>
        </w:rPr>
        <w:tab/>
      </w:r>
      <w:r>
        <w:rPr>
          <w:highlight w:val="none"/>
        </w:rPr>
        <w:fldChar w:fldCharType="begin"/>
      </w:r>
      <w:r>
        <w:rPr>
          <w:highlight w:val="none"/>
        </w:rPr>
        <w:instrText xml:space="preserve"> PAGEREF _Toc28371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_Toc19192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5、</w:t>
      </w:r>
      <w:r>
        <w:rPr>
          <w:rFonts w:hint="eastAsia" w:ascii="微软雅黑" w:hAnsi="微软雅黑" w:eastAsia="微软雅黑" w:cs="微软雅黑"/>
          <w:kern w:val="0"/>
          <w:szCs w:val="24"/>
          <w:highlight w:val="none"/>
          <w:lang w:eastAsia="zh-CN"/>
        </w:rPr>
        <w:t>提近两年任意一年的财务审计报告，新成立的公司提供近三个月内任意一个月的银行资信证明</w:t>
      </w:r>
      <w:r>
        <w:rPr>
          <w:rFonts w:hint="eastAsia" w:ascii="微软雅黑" w:hAnsi="微软雅黑" w:eastAsia="微软雅黑" w:cs="微软雅黑"/>
          <w:kern w:val="0"/>
          <w:szCs w:val="24"/>
          <w:highlight w:val="none"/>
        </w:rPr>
        <w:t>；</w:t>
      </w:r>
      <w:r>
        <w:rPr>
          <w:highlight w:val="none"/>
        </w:rPr>
        <w:tab/>
      </w:r>
      <w:r>
        <w:rPr>
          <w:highlight w:val="none"/>
        </w:rPr>
        <w:fldChar w:fldCharType="begin"/>
      </w:r>
      <w:r>
        <w:rPr>
          <w:highlight w:val="none"/>
        </w:rPr>
        <w:instrText xml:space="preserve"> PAGEREF _Toc19192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_Toc22893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6、</w:t>
      </w:r>
      <w:r>
        <w:rPr>
          <w:rFonts w:hint="eastAsia" w:ascii="微软雅黑" w:hAnsi="微软雅黑" w:eastAsia="微软雅黑" w:cs="微软雅黑"/>
          <w:kern w:val="0"/>
          <w:szCs w:val="24"/>
          <w:highlight w:val="none"/>
          <w:lang w:eastAsia="zh-CN"/>
        </w:rPr>
        <w:t>提供依法缴纳近6个月内任意1个月社会保险的证明</w:t>
      </w:r>
      <w:r>
        <w:rPr>
          <w:rFonts w:hint="eastAsia" w:ascii="微软雅黑" w:hAnsi="微软雅黑" w:eastAsia="微软雅黑" w:cs="微软雅黑"/>
          <w:kern w:val="0"/>
          <w:szCs w:val="24"/>
          <w:highlight w:val="none"/>
        </w:rPr>
        <w:t>；</w:t>
      </w:r>
      <w:r>
        <w:rPr>
          <w:highlight w:val="none"/>
        </w:rPr>
        <w:tab/>
      </w:r>
      <w:r>
        <w:rPr>
          <w:highlight w:val="none"/>
        </w:rPr>
        <w:fldChar w:fldCharType="begin"/>
      </w:r>
      <w:r>
        <w:rPr>
          <w:highlight w:val="none"/>
        </w:rPr>
        <w:instrText xml:space="preserve"> PAGEREF _Toc22893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_Toc10510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7</w:t>
      </w:r>
      <w:r>
        <w:rPr>
          <w:rFonts w:hint="eastAsia" w:ascii="微软雅黑" w:hAnsi="微软雅黑" w:eastAsia="微软雅黑" w:cs="微软雅黑"/>
          <w:kern w:val="0"/>
          <w:szCs w:val="24"/>
          <w:highlight w:val="none"/>
        </w:rPr>
        <w:t>、</w:t>
      </w:r>
      <w:r>
        <w:rPr>
          <w:rFonts w:hint="eastAsia" w:ascii="微软雅黑" w:hAnsi="微软雅黑" w:eastAsia="微软雅黑" w:cs="微软雅黑"/>
          <w:kern w:val="0"/>
          <w:szCs w:val="24"/>
          <w:highlight w:val="none"/>
          <w:lang w:eastAsia="zh-CN"/>
        </w:rPr>
        <w:t>提供依法缴纳近6个月内任意1个月的税收证明</w:t>
      </w:r>
      <w:r>
        <w:rPr>
          <w:rFonts w:hint="eastAsia" w:ascii="微软雅黑" w:hAnsi="微软雅黑" w:eastAsia="微软雅黑" w:cs="微软雅黑"/>
          <w:bCs/>
          <w:szCs w:val="24"/>
          <w:highlight w:val="none"/>
          <w:lang w:val="en-US" w:eastAsia="zh-CN"/>
        </w:rPr>
        <w:t>；</w:t>
      </w:r>
      <w:r>
        <w:rPr>
          <w:highlight w:val="none"/>
        </w:rPr>
        <w:tab/>
      </w:r>
      <w:r>
        <w:rPr>
          <w:highlight w:val="none"/>
        </w:rPr>
        <w:fldChar w:fldCharType="begin"/>
      </w:r>
      <w:r>
        <w:rPr>
          <w:highlight w:val="none"/>
        </w:rPr>
        <w:instrText xml:space="preserve"> PAGEREF _Toc10510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_Toc24092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8</w:t>
      </w:r>
      <w:r>
        <w:rPr>
          <w:rFonts w:hint="eastAsia" w:ascii="微软雅黑" w:hAnsi="微软雅黑" w:eastAsia="微软雅黑" w:cs="微软雅黑"/>
          <w:kern w:val="0"/>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国家企业信用信息公示系统（http://www.gsxt.gov.cn）”列入严重违法失信企业名单（黑名单）信息截图；将拒绝其参加本次招标活动；</w:t>
      </w:r>
      <w:r>
        <w:rPr>
          <w:highlight w:val="none"/>
        </w:rPr>
        <w:tab/>
      </w:r>
      <w:r>
        <w:rPr>
          <w:highlight w:val="none"/>
        </w:rPr>
        <w:fldChar w:fldCharType="begin"/>
      </w:r>
      <w:r>
        <w:rPr>
          <w:highlight w:val="none"/>
        </w:rPr>
        <w:instrText xml:space="preserve"> PAGEREF _Toc24092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_Toc21590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9</w:t>
      </w:r>
      <w:r>
        <w:rPr>
          <w:rFonts w:hint="eastAsia" w:ascii="微软雅黑" w:hAnsi="微软雅黑" w:eastAsia="微软雅黑" w:cs="微软雅黑"/>
          <w:kern w:val="0"/>
          <w:szCs w:val="24"/>
          <w:highlight w:val="none"/>
        </w:rPr>
        <w:t>、提供参与政府采购活动前3年内未被列入失信、重大税收违法案件、财政部门禁止参加政府采购活动的承诺书</w:t>
      </w:r>
      <w:r>
        <w:rPr>
          <w:rFonts w:hint="eastAsia" w:ascii="微软雅黑" w:hAnsi="微软雅黑" w:eastAsia="微软雅黑" w:cs="微软雅黑"/>
          <w:bCs/>
          <w:szCs w:val="24"/>
          <w:highlight w:val="none"/>
          <w:lang w:val="en-US" w:eastAsia="zh-CN"/>
        </w:rPr>
        <w:t>；</w:t>
      </w:r>
      <w:r>
        <w:rPr>
          <w:highlight w:val="none"/>
        </w:rPr>
        <w:tab/>
      </w:r>
      <w:r>
        <w:rPr>
          <w:highlight w:val="none"/>
        </w:rPr>
        <w:fldChar w:fldCharType="begin"/>
      </w:r>
      <w:r>
        <w:rPr>
          <w:highlight w:val="none"/>
        </w:rPr>
        <w:instrText xml:space="preserve"> PAGEREF _Toc21590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_Toc28138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10</w:t>
      </w:r>
      <w:r>
        <w:rPr>
          <w:rFonts w:hint="eastAsia" w:ascii="微软雅黑" w:hAnsi="微软雅黑" w:eastAsia="微软雅黑" w:cs="微软雅黑"/>
          <w:kern w:val="0"/>
          <w:szCs w:val="24"/>
          <w:highlight w:val="none"/>
        </w:rPr>
        <w:t>、</w:t>
      </w:r>
      <w:r>
        <w:rPr>
          <w:rFonts w:hint="eastAsia" w:ascii="微软雅黑" w:hAnsi="微软雅黑" w:eastAsia="微软雅黑" w:cs="微软雅黑"/>
          <w:kern w:val="0"/>
          <w:szCs w:val="24"/>
          <w:highlight w:val="none"/>
          <w:lang w:val="en-US" w:eastAsia="zh-CN"/>
        </w:rPr>
        <w:t>提供针对本次项目《反商业贿赂承诺书》</w:t>
      </w:r>
      <w:r>
        <w:rPr>
          <w:rFonts w:hint="eastAsia" w:ascii="微软雅黑" w:hAnsi="微软雅黑" w:eastAsia="微软雅黑" w:cs="微软雅黑"/>
          <w:kern w:val="0"/>
          <w:szCs w:val="24"/>
          <w:highlight w:val="none"/>
        </w:rPr>
        <w:t>；</w:t>
      </w:r>
      <w:r>
        <w:rPr>
          <w:highlight w:val="none"/>
        </w:rPr>
        <w:tab/>
      </w:r>
      <w:r>
        <w:rPr>
          <w:highlight w:val="none"/>
        </w:rPr>
        <w:fldChar w:fldCharType="begin"/>
      </w:r>
      <w:r>
        <w:rPr>
          <w:highlight w:val="none"/>
        </w:rPr>
        <w:instrText xml:space="preserve"> PAGEREF _Toc28138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_Toc14102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11</w:t>
      </w:r>
      <w:r>
        <w:rPr>
          <w:rFonts w:hint="eastAsia" w:ascii="微软雅黑" w:hAnsi="微软雅黑" w:eastAsia="微软雅黑" w:cs="微软雅黑"/>
          <w:kern w:val="0"/>
          <w:szCs w:val="24"/>
          <w:highlight w:val="none"/>
        </w:rPr>
        <w:t>、</w:t>
      </w:r>
      <w:r>
        <w:rPr>
          <w:rFonts w:hint="eastAsia" w:ascii="微软雅黑" w:hAnsi="微软雅黑" w:eastAsia="微软雅黑" w:cs="微软雅黑"/>
          <w:bCs/>
          <w:szCs w:val="24"/>
          <w:highlight w:val="none"/>
          <w:lang w:val="en-US" w:eastAsia="zh-CN"/>
        </w:rPr>
        <w:t>缴纳投标保证金有效凭证；</w:t>
      </w:r>
      <w:r>
        <w:rPr>
          <w:highlight w:val="none"/>
        </w:rPr>
        <w:tab/>
      </w:r>
      <w:r>
        <w:rPr>
          <w:highlight w:val="none"/>
        </w:rPr>
        <w:fldChar w:fldCharType="begin"/>
      </w:r>
      <w:r>
        <w:rPr>
          <w:highlight w:val="none"/>
        </w:rPr>
        <w:instrText xml:space="preserve"> PAGEREF _Toc14102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_Toc14794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lang w:val="en-US" w:eastAsia="zh-CN"/>
        </w:rPr>
        <w:t>12、</w:t>
      </w:r>
      <w:r>
        <w:rPr>
          <w:rFonts w:hint="eastAsia" w:ascii="微软雅黑" w:hAnsi="微软雅黑" w:eastAsia="微软雅黑" w:cs="微软雅黑"/>
          <w:kern w:val="0"/>
          <w:szCs w:val="24"/>
          <w:highlight w:val="none"/>
        </w:rPr>
        <w:t>银行开户许可证复印件或银行基本账户信息(包含：银行账号及开户行名称）</w:t>
      </w:r>
      <w:r>
        <w:rPr>
          <w:rFonts w:hint="eastAsia" w:ascii="微软雅黑" w:hAnsi="微软雅黑" w:eastAsia="微软雅黑" w:cs="微软雅黑"/>
          <w:kern w:val="0"/>
          <w:szCs w:val="24"/>
          <w:highlight w:val="none"/>
          <w:lang w:eastAsia="zh-CN"/>
        </w:rPr>
        <w:t>；</w:t>
      </w:r>
      <w:r>
        <w:rPr>
          <w:highlight w:val="none"/>
        </w:rPr>
        <w:tab/>
      </w:r>
      <w:r>
        <w:rPr>
          <w:highlight w:val="none"/>
        </w:rPr>
        <w:fldChar w:fldCharType="begin"/>
      </w:r>
      <w:r>
        <w:rPr>
          <w:highlight w:val="none"/>
        </w:rPr>
        <w:instrText xml:space="preserve"> PAGEREF _Toc14794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_Toc3564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lang w:val="en-US" w:eastAsia="zh-CN"/>
        </w:rPr>
        <w:t>13</w:t>
      </w:r>
      <w:r>
        <w:rPr>
          <w:rFonts w:hint="eastAsia" w:ascii="微软雅黑" w:hAnsi="微软雅黑" w:eastAsia="微软雅黑" w:cs="微软雅黑"/>
          <w:bCs/>
          <w:szCs w:val="24"/>
          <w:highlight w:val="none"/>
        </w:rPr>
        <w:t>、</w:t>
      </w:r>
      <w:r>
        <w:rPr>
          <w:rFonts w:hint="eastAsia" w:ascii="微软雅黑" w:hAnsi="微软雅黑" w:eastAsia="微软雅黑" w:cs="微软雅黑"/>
          <w:kern w:val="0"/>
          <w:szCs w:val="24"/>
          <w:highlight w:val="none"/>
          <w:lang w:val="en-US" w:eastAsia="zh-CN" w:bidi="ar-SA"/>
        </w:rPr>
        <w:t>供应商可提供有利于投标的其他资格证明材料。</w:t>
      </w:r>
      <w:r>
        <w:rPr>
          <w:highlight w:val="none"/>
        </w:rPr>
        <w:tab/>
      </w:r>
      <w:r>
        <w:rPr>
          <w:highlight w:val="none"/>
        </w:rPr>
        <w:fldChar w:fldCharType="begin"/>
      </w:r>
      <w:r>
        <w:rPr>
          <w:highlight w:val="none"/>
        </w:rPr>
        <w:instrText xml:space="preserve"> PAGEREF _Toc3564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_Toc16034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8"/>
          <w:highlight w:val="none"/>
        </w:rPr>
        <w:t>第二部分  商务及技术文件</w:t>
      </w:r>
      <w:r>
        <w:rPr>
          <w:highlight w:val="none"/>
        </w:rPr>
        <w:tab/>
      </w:r>
      <w:r>
        <w:rPr>
          <w:highlight w:val="none"/>
        </w:rPr>
        <w:fldChar w:fldCharType="begin"/>
      </w:r>
      <w:r>
        <w:rPr>
          <w:highlight w:val="none"/>
        </w:rPr>
        <w:instrText xml:space="preserve"> PAGEREF _Toc16034 \h </w:instrText>
      </w:r>
      <w:r>
        <w:rPr>
          <w:highlight w:val="none"/>
        </w:rPr>
        <w:fldChar w:fldCharType="separate"/>
      </w:r>
      <w:r>
        <w:rPr>
          <w:highlight w:val="none"/>
        </w:rPr>
        <w:t>25</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_Toc26801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1</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rPr>
        <w:t>投标书</w:t>
      </w:r>
      <w:r>
        <w:rPr>
          <w:highlight w:val="none"/>
        </w:rPr>
        <w:tab/>
      </w:r>
      <w:r>
        <w:rPr>
          <w:highlight w:val="none"/>
        </w:rPr>
        <w:fldChar w:fldCharType="begin"/>
      </w:r>
      <w:r>
        <w:rPr>
          <w:highlight w:val="none"/>
        </w:rPr>
        <w:instrText xml:space="preserve"> PAGEREF _Toc26801 \h </w:instrText>
      </w:r>
      <w:r>
        <w:rPr>
          <w:highlight w:val="none"/>
        </w:rPr>
        <w:fldChar w:fldCharType="separate"/>
      </w:r>
      <w:r>
        <w:rPr>
          <w:highlight w:val="none"/>
        </w:rPr>
        <w:t>26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_Toc9502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2</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rPr>
        <w:t>投标分项报价表</w:t>
      </w:r>
      <w:r>
        <w:rPr>
          <w:highlight w:val="none"/>
        </w:rPr>
        <w:tab/>
      </w:r>
      <w:r>
        <w:rPr>
          <w:highlight w:val="none"/>
        </w:rPr>
        <w:fldChar w:fldCharType="begin"/>
      </w:r>
      <w:r>
        <w:rPr>
          <w:highlight w:val="none"/>
        </w:rPr>
        <w:instrText xml:space="preserve"> PAGEREF _Toc9502 \h </w:instrText>
      </w:r>
      <w:r>
        <w:rPr>
          <w:highlight w:val="none"/>
        </w:rPr>
        <w:fldChar w:fldCharType="separate"/>
      </w:r>
      <w:r>
        <w:rPr>
          <w:highlight w:val="none"/>
        </w:rPr>
        <w:t>27</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_Toc25751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3</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lang w:val="en-US" w:eastAsia="zh-CN"/>
        </w:rPr>
        <w:t>货物</w:t>
      </w:r>
      <w:r>
        <w:rPr>
          <w:rFonts w:hint="eastAsia" w:ascii="微软雅黑" w:hAnsi="微软雅黑" w:eastAsia="微软雅黑" w:cs="微软雅黑"/>
          <w:bCs/>
          <w:szCs w:val="24"/>
          <w:highlight w:val="none"/>
        </w:rPr>
        <w:t>说明一览表</w:t>
      </w:r>
      <w:r>
        <w:rPr>
          <w:highlight w:val="none"/>
        </w:rPr>
        <w:tab/>
      </w:r>
      <w:r>
        <w:rPr>
          <w:highlight w:val="none"/>
        </w:rPr>
        <w:fldChar w:fldCharType="begin"/>
      </w:r>
      <w:r>
        <w:rPr>
          <w:highlight w:val="none"/>
        </w:rPr>
        <w:instrText xml:space="preserve"> PAGEREF _Toc25751 \h </w:instrText>
      </w:r>
      <w:r>
        <w:rPr>
          <w:highlight w:val="none"/>
        </w:rPr>
        <w:fldChar w:fldCharType="separate"/>
      </w:r>
      <w:r>
        <w:rPr>
          <w:highlight w:val="none"/>
        </w:rPr>
        <w:t>28</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_Toc31707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4</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lang w:val="en-US" w:eastAsia="zh-CN"/>
        </w:rPr>
        <w:t>技术</w:t>
      </w:r>
      <w:r>
        <w:rPr>
          <w:rFonts w:hint="eastAsia" w:ascii="微软雅黑" w:hAnsi="微软雅黑" w:eastAsia="微软雅黑" w:cs="微软雅黑"/>
          <w:bCs/>
          <w:szCs w:val="24"/>
          <w:highlight w:val="none"/>
        </w:rPr>
        <w:t>规格偏离表</w:t>
      </w:r>
      <w:r>
        <w:rPr>
          <w:highlight w:val="none"/>
        </w:rPr>
        <w:tab/>
      </w:r>
      <w:r>
        <w:rPr>
          <w:highlight w:val="none"/>
        </w:rPr>
        <w:fldChar w:fldCharType="begin"/>
      </w:r>
      <w:r>
        <w:rPr>
          <w:highlight w:val="none"/>
        </w:rPr>
        <w:instrText xml:space="preserve"> PAGEREF _Toc31707 \h </w:instrText>
      </w:r>
      <w:r>
        <w:rPr>
          <w:highlight w:val="none"/>
        </w:rPr>
        <w:fldChar w:fldCharType="separate"/>
      </w:r>
      <w:r>
        <w:rPr>
          <w:highlight w:val="none"/>
        </w:rPr>
        <w:t>29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_Toc8499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5</w:t>
      </w:r>
      <w:r>
        <w:rPr>
          <w:rFonts w:hint="eastAsia" w:ascii="微软雅黑" w:hAnsi="微软雅黑" w:eastAsia="微软雅黑" w:cs="微软雅黑"/>
          <w:szCs w:val="24"/>
          <w:highlight w:val="none"/>
          <w:lang w:eastAsia="zh-CN"/>
        </w:rPr>
        <w:t>、</w:t>
      </w:r>
      <w:r>
        <w:rPr>
          <w:rFonts w:hint="eastAsia" w:ascii="微软雅黑" w:hAnsi="微软雅黑" w:eastAsia="微软雅黑" w:cs="微软雅黑"/>
          <w:szCs w:val="24"/>
          <w:highlight w:val="none"/>
        </w:rPr>
        <w:t>商务条款偏离表</w:t>
      </w:r>
      <w:r>
        <w:rPr>
          <w:highlight w:val="none"/>
        </w:rPr>
        <w:tab/>
      </w:r>
      <w:r>
        <w:rPr>
          <w:highlight w:val="none"/>
        </w:rPr>
        <w:fldChar w:fldCharType="begin"/>
      </w:r>
      <w:r>
        <w:rPr>
          <w:highlight w:val="none"/>
        </w:rPr>
        <w:instrText xml:space="preserve"> PAGEREF _Toc8499 \h </w:instrText>
      </w:r>
      <w:r>
        <w:rPr>
          <w:highlight w:val="none"/>
        </w:rPr>
        <w:fldChar w:fldCharType="separate"/>
      </w:r>
      <w:r>
        <w:rPr>
          <w:highlight w:val="none"/>
        </w:rPr>
        <w:t>30</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_Toc3952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6-1  中小企业声明函</w:t>
      </w:r>
      <w:r>
        <w:rPr>
          <w:highlight w:val="none"/>
        </w:rPr>
        <w:tab/>
      </w:r>
      <w:r>
        <w:rPr>
          <w:highlight w:val="none"/>
        </w:rPr>
        <w:fldChar w:fldCharType="begin"/>
      </w:r>
      <w:r>
        <w:rPr>
          <w:highlight w:val="none"/>
        </w:rPr>
        <w:instrText xml:space="preserve"> PAGEREF _Toc3952 \h </w:instrText>
      </w:r>
      <w:r>
        <w:rPr>
          <w:highlight w:val="none"/>
        </w:rPr>
        <w:fldChar w:fldCharType="separate"/>
      </w:r>
      <w:r>
        <w:rPr>
          <w:highlight w:val="none"/>
        </w:rPr>
        <w:t>31</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_Toc2782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6-2  残疾人福利性单位声明函</w:t>
      </w:r>
      <w:r>
        <w:rPr>
          <w:highlight w:val="none"/>
        </w:rPr>
        <w:tab/>
      </w:r>
      <w:r>
        <w:rPr>
          <w:highlight w:val="none"/>
        </w:rPr>
        <w:fldChar w:fldCharType="begin"/>
      </w:r>
      <w:r>
        <w:rPr>
          <w:highlight w:val="none"/>
        </w:rPr>
        <w:instrText xml:space="preserve"> PAGEREF _Toc2782 \h </w:instrText>
      </w:r>
      <w:r>
        <w:rPr>
          <w:highlight w:val="none"/>
        </w:rPr>
        <w:fldChar w:fldCharType="separate"/>
      </w:r>
      <w:r>
        <w:rPr>
          <w:highlight w:val="none"/>
        </w:rPr>
        <w:t>32</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_Toc25428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7</w:t>
      </w:r>
      <w:r>
        <w:rPr>
          <w:rFonts w:hint="eastAsia" w:ascii="微软雅黑" w:hAnsi="微软雅黑" w:eastAsia="微软雅黑" w:cs="微软雅黑"/>
          <w:szCs w:val="24"/>
          <w:highlight w:val="none"/>
          <w:lang w:eastAsia="zh-CN"/>
        </w:rPr>
        <w:t>、</w:t>
      </w:r>
      <w:r>
        <w:rPr>
          <w:rFonts w:hint="eastAsia" w:ascii="微软雅黑" w:hAnsi="微软雅黑" w:eastAsia="微软雅黑" w:cs="微软雅黑"/>
          <w:szCs w:val="24"/>
          <w:highlight w:val="none"/>
        </w:rPr>
        <w:t>供应商关联单位的说明</w:t>
      </w:r>
      <w:r>
        <w:rPr>
          <w:highlight w:val="none"/>
        </w:rPr>
        <w:tab/>
      </w:r>
      <w:r>
        <w:rPr>
          <w:highlight w:val="none"/>
        </w:rPr>
        <w:fldChar w:fldCharType="begin"/>
      </w:r>
      <w:r>
        <w:rPr>
          <w:highlight w:val="none"/>
        </w:rPr>
        <w:instrText xml:space="preserve"> PAGEREF _Toc25428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_Toc25122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8</w:t>
      </w:r>
      <w:r>
        <w:rPr>
          <w:rFonts w:hint="eastAsia" w:ascii="微软雅黑" w:hAnsi="微软雅黑" w:eastAsia="微软雅黑" w:cs="微软雅黑"/>
          <w:bCs/>
          <w:szCs w:val="24"/>
          <w:highlight w:val="none"/>
          <w:lang w:val="en-US" w:eastAsia="zh-CN"/>
        </w:rPr>
        <w:t>、</w:t>
      </w:r>
      <w:r>
        <w:rPr>
          <w:rFonts w:hint="eastAsia" w:ascii="微软雅黑" w:hAnsi="微软雅黑" w:eastAsia="微软雅黑" w:cs="微软雅黑"/>
          <w:bCs/>
          <w:szCs w:val="24"/>
          <w:highlight w:val="none"/>
        </w:rPr>
        <w:t>供应商可提供有利于投标的其他资格证明材料</w:t>
      </w:r>
      <w:r>
        <w:rPr>
          <w:highlight w:val="none"/>
        </w:rPr>
        <w:tab/>
      </w:r>
      <w:r>
        <w:rPr>
          <w:highlight w:val="none"/>
        </w:rPr>
        <w:fldChar w:fldCharType="begin"/>
      </w:r>
      <w:r>
        <w:rPr>
          <w:highlight w:val="none"/>
        </w:rPr>
        <w:instrText xml:space="preserve"> PAGEREF _Toc25122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_Toc21459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rPr>
        <w:t>9</w:t>
      </w:r>
      <w:r>
        <w:rPr>
          <w:rFonts w:hint="eastAsia" w:ascii="微软雅黑" w:hAnsi="微软雅黑" w:eastAsia="微软雅黑" w:cs="微软雅黑"/>
          <w:kern w:val="0"/>
          <w:szCs w:val="24"/>
          <w:highlight w:val="none"/>
          <w:lang w:eastAsia="zh-CN"/>
        </w:rPr>
        <w:t>、</w:t>
      </w:r>
      <w:r>
        <w:rPr>
          <w:rFonts w:hint="eastAsia" w:ascii="微软雅黑" w:hAnsi="微软雅黑" w:eastAsia="微软雅黑" w:cs="微软雅黑"/>
          <w:kern w:val="0"/>
          <w:szCs w:val="24"/>
          <w:highlight w:val="none"/>
        </w:rPr>
        <w:t>投标文件格式范本</w:t>
      </w:r>
      <w:r>
        <w:rPr>
          <w:highlight w:val="none"/>
        </w:rPr>
        <w:tab/>
      </w:r>
      <w:r>
        <w:rPr>
          <w:highlight w:val="none"/>
        </w:rPr>
        <w:fldChar w:fldCharType="begin"/>
      </w:r>
      <w:r>
        <w:rPr>
          <w:highlight w:val="none"/>
        </w:rPr>
        <w:instrText xml:space="preserve"> PAGEREF _Toc21459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18"/>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_Toc24675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第3章  投标邀请</w:t>
      </w:r>
      <w:r>
        <w:rPr>
          <w:highlight w:val="none"/>
        </w:rPr>
        <w:tab/>
      </w:r>
      <w:r>
        <w:rPr>
          <w:highlight w:val="none"/>
        </w:rPr>
        <w:fldChar w:fldCharType="begin"/>
      </w:r>
      <w:r>
        <w:rPr>
          <w:highlight w:val="none"/>
        </w:rPr>
        <w:instrText xml:space="preserve"> PAGEREF _Toc24675 \h </w:instrText>
      </w:r>
      <w:r>
        <w:rPr>
          <w:highlight w:val="none"/>
        </w:rPr>
        <w:fldChar w:fldCharType="separate"/>
      </w:r>
      <w:r>
        <w:rPr>
          <w:highlight w:val="none"/>
        </w:rPr>
        <w:t>38</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18"/>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_Toc20991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highlight w:val="none"/>
        </w:rPr>
        <w:t>第4章  供应商须知资料表</w:t>
      </w:r>
      <w:r>
        <w:rPr>
          <w:highlight w:val="none"/>
        </w:rPr>
        <w:tab/>
      </w:r>
      <w:r>
        <w:rPr>
          <w:highlight w:val="none"/>
        </w:rPr>
        <w:fldChar w:fldCharType="begin"/>
      </w:r>
      <w:r>
        <w:rPr>
          <w:highlight w:val="none"/>
        </w:rPr>
        <w:instrText xml:space="preserve"> PAGEREF _Toc20991 \h </w:instrText>
      </w:r>
      <w:r>
        <w:rPr>
          <w:highlight w:val="none"/>
        </w:rPr>
        <w:fldChar w:fldCharType="separate"/>
      </w:r>
      <w:r>
        <w:rPr>
          <w:highlight w:val="none"/>
        </w:rPr>
        <w:t>42</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18"/>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_Toc17077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32"/>
          <w:highlight w:val="none"/>
        </w:rPr>
        <w:t xml:space="preserve">第5章 </w:t>
      </w:r>
      <w:r>
        <w:rPr>
          <w:rFonts w:hint="eastAsia" w:ascii="微软雅黑" w:hAnsi="微软雅黑" w:eastAsia="微软雅黑" w:cs="微软雅黑"/>
          <w:szCs w:val="32"/>
          <w:highlight w:val="none"/>
          <w:lang w:val="en-US" w:eastAsia="zh-CN"/>
        </w:rPr>
        <w:t>货物</w:t>
      </w:r>
      <w:r>
        <w:rPr>
          <w:rFonts w:hint="eastAsia" w:ascii="微软雅黑" w:hAnsi="微软雅黑" w:eastAsia="微软雅黑" w:cs="微软雅黑"/>
          <w:szCs w:val="32"/>
          <w:highlight w:val="none"/>
        </w:rPr>
        <w:t>内容及项目要求</w:t>
      </w:r>
      <w:r>
        <w:rPr>
          <w:highlight w:val="none"/>
        </w:rPr>
        <w:tab/>
      </w:r>
      <w:r>
        <w:rPr>
          <w:highlight w:val="none"/>
        </w:rPr>
        <w:fldChar w:fldCharType="begin"/>
      </w:r>
      <w:r>
        <w:rPr>
          <w:highlight w:val="none"/>
        </w:rPr>
        <w:instrText xml:space="preserve"> PAGEREF _Toc17077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rFonts w:hint="eastAsia" w:eastAsia="微软雅黑"/>
          <w:highlight w:val="none"/>
          <w:lang w:val="en-US" w:eastAsia="zh-CN"/>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_Toc4138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highlight w:val="none"/>
          <w:lang w:val="en-US" w:eastAsia="zh-CN"/>
        </w:rPr>
        <w:t>一、</w:t>
      </w:r>
      <w:r>
        <w:rPr>
          <w:rFonts w:hint="eastAsia" w:ascii="微软雅黑" w:hAnsi="微软雅黑" w:eastAsia="微软雅黑" w:cs="微软雅黑"/>
          <w:bCs/>
          <w:highlight w:val="none"/>
        </w:rPr>
        <w:t>货物需求：</w:t>
      </w:r>
      <w:r>
        <w:rPr>
          <w:highlight w:val="none"/>
        </w:rPr>
        <w:tab/>
      </w:r>
      <w:r>
        <w:rPr>
          <w:rFonts w:hint="eastAsia"/>
          <w:highlight w:val="none"/>
          <w:lang w:val="en-US" w:eastAsia="zh-CN"/>
        </w:rPr>
        <w:t>4</w:t>
      </w:r>
      <w:r>
        <w:rPr>
          <w:rFonts w:hint="eastAsia" w:ascii="微软雅黑" w:hAnsi="微软雅黑" w:eastAsia="微软雅黑" w:cs="微软雅黑"/>
          <w:color w:val="auto"/>
          <w:kern w:val="2"/>
          <w:szCs w:val="24"/>
          <w:highlight w:val="none"/>
        </w:rPr>
        <w:fldChar w:fldCharType="end"/>
      </w:r>
      <w:r>
        <w:rPr>
          <w:rFonts w:hint="eastAsia" w:ascii="微软雅黑" w:hAnsi="微软雅黑" w:eastAsia="微软雅黑" w:cs="微软雅黑"/>
          <w:color w:val="auto"/>
          <w:kern w:val="2"/>
          <w:szCs w:val="24"/>
          <w:highlight w:val="none"/>
          <w:lang w:val="en-US" w:eastAsia="zh-CN"/>
        </w:rPr>
        <w:t>3</w:t>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_Toc27940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lang w:val="en-US" w:eastAsia="zh-CN"/>
        </w:rPr>
        <w:t>二、项目要求：</w:t>
      </w:r>
      <w:r>
        <w:rPr>
          <w:highlight w:val="none"/>
        </w:rPr>
        <w:tab/>
      </w:r>
      <w:r>
        <w:rPr>
          <w:highlight w:val="none"/>
        </w:rPr>
        <w:fldChar w:fldCharType="begin"/>
      </w:r>
      <w:r>
        <w:rPr>
          <w:highlight w:val="none"/>
        </w:rPr>
        <w:instrText xml:space="preserve"> PAGEREF _Toc27940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18"/>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_Toc16984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32"/>
          <w:highlight w:val="none"/>
        </w:rPr>
        <w:t>第6章  评标方法和标准</w:t>
      </w:r>
      <w:r>
        <w:rPr>
          <w:highlight w:val="none"/>
        </w:rPr>
        <w:tab/>
      </w:r>
      <w:r>
        <w:rPr>
          <w:highlight w:val="none"/>
        </w:rPr>
        <w:fldChar w:fldCharType="begin"/>
      </w:r>
      <w:r>
        <w:rPr>
          <w:highlight w:val="none"/>
        </w:rPr>
        <w:instrText xml:space="preserve"> PAGEREF _Toc16984 \h </w:instrText>
      </w:r>
      <w:r>
        <w:rPr>
          <w:highlight w:val="none"/>
        </w:rPr>
        <w:fldChar w:fldCharType="separate"/>
      </w:r>
      <w:r>
        <w:rPr>
          <w:highlight w:val="none"/>
        </w:rPr>
        <w:t>51</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_Toc23043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初步评审—资格性审查表</w:t>
      </w:r>
      <w:r>
        <w:rPr>
          <w:highlight w:val="none"/>
        </w:rPr>
        <w:tab/>
      </w:r>
      <w:r>
        <w:rPr>
          <w:highlight w:val="none"/>
        </w:rPr>
        <w:fldChar w:fldCharType="begin"/>
      </w:r>
      <w:r>
        <w:rPr>
          <w:highlight w:val="none"/>
        </w:rPr>
        <w:instrText xml:space="preserve"> PAGEREF _Toc23043 \h </w:instrText>
      </w:r>
      <w:r>
        <w:rPr>
          <w:highlight w:val="none"/>
        </w:rPr>
        <w:fldChar w:fldCharType="separate"/>
      </w:r>
      <w:r>
        <w:rPr>
          <w:highlight w:val="none"/>
        </w:rPr>
        <w:t>56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_Toc31262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初步评审—符合性审查表</w:t>
      </w:r>
      <w:r>
        <w:rPr>
          <w:highlight w:val="none"/>
        </w:rPr>
        <w:tab/>
      </w:r>
      <w:r>
        <w:rPr>
          <w:highlight w:val="none"/>
        </w:rPr>
        <w:fldChar w:fldCharType="begin"/>
      </w:r>
      <w:r>
        <w:rPr>
          <w:highlight w:val="none"/>
        </w:rPr>
        <w:instrText xml:space="preserve"> PAGEREF _Toc31262 \h </w:instrText>
      </w:r>
      <w:r>
        <w:rPr>
          <w:highlight w:val="none"/>
        </w:rPr>
        <w:fldChar w:fldCharType="separate"/>
      </w:r>
      <w:r>
        <w:rPr>
          <w:highlight w:val="none"/>
        </w:rPr>
        <w:t>57</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0"/>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_Toc7591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1"/>
          <w:highlight w:val="none"/>
        </w:rPr>
        <w:t>标段</w:t>
      </w:r>
      <w:r>
        <w:rPr>
          <w:rFonts w:hint="eastAsia" w:ascii="微软雅黑" w:hAnsi="微软雅黑" w:eastAsia="微软雅黑" w:cs="微软雅黑"/>
          <w:bCs/>
          <w:szCs w:val="21"/>
          <w:highlight w:val="none"/>
          <w:lang w:val="en-US" w:eastAsia="zh-CN"/>
        </w:rPr>
        <w:t>2</w:t>
      </w:r>
      <w:r>
        <w:rPr>
          <w:rFonts w:hint="eastAsia" w:ascii="微软雅黑" w:hAnsi="微软雅黑" w:eastAsia="微软雅黑" w:cs="微软雅黑"/>
          <w:bCs/>
          <w:szCs w:val="21"/>
          <w:highlight w:val="none"/>
        </w:rPr>
        <w:t>综合评分表</w:t>
      </w:r>
      <w:r>
        <w:rPr>
          <w:highlight w:val="none"/>
        </w:rPr>
        <w:tab/>
      </w:r>
      <w:r>
        <w:rPr>
          <w:highlight w:val="none"/>
        </w:rPr>
        <w:fldChar w:fldCharType="begin"/>
      </w:r>
      <w:r>
        <w:rPr>
          <w:highlight w:val="none"/>
        </w:rPr>
        <w:instrText xml:space="preserve"> PAGEREF _Toc7591 \h </w:instrText>
      </w:r>
      <w:r>
        <w:rPr>
          <w:highlight w:val="none"/>
        </w:rPr>
        <w:fldChar w:fldCharType="separate"/>
      </w:r>
      <w:r>
        <w:rPr>
          <w:highlight w:val="none"/>
        </w:rPr>
        <w:t>60</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18"/>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_Toc15341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32"/>
          <w:highlight w:val="none"/>
        </w:rPr>
        <w:t>第7章 政府采购合同</w:t>
      </w:r>
      <w:r>
        <w:rPr>
          <w:highlight w:val="none"/>
        </w:rPr>
        <w:tab/>
      </w:r>
      <w:r>
        <w:rPr>
          <w:highlight w:val="none"/>
        </w:rPr>
        <w:fldChar w:fldCharType="begin"/>
      </w:r>
      <w:r>
        <w:rPr>
          <w:highlight w:val="none"/>
        </w:rPr>
        <w:instrText xml:space="preserve"> PAGEREF _Toc15341 \h </w:instrText>
      </w:r>
      <w:r>
        <w:rPr>
          <w:highlight w:val="none"/>
        </w:rPr>
        <w:fldChar w:fldCharType="separate"/>
      </w:r>
      <w:r>
        <w:rPr>
          <w:highlight w:val="none"/>
        </w:rPr>
        <w:t>63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4"/>
        <w:ind w:firstLine="0"/>
        <w:jc w:val="center"/>
        <w:outlineLvl w:val="0"/>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2"/>
          <w:szCs w:val="24"/>
          <w:highlight w:val="none"/>
        </w:rPr>
        <w:fldChar w:fldCharType="end"/>
      </w:r>
      <w:bookmarkStart w:id="21" w:name="_Toc22782"/>
      <w:bookmarkStart w:id="22" w:name="_Toc8627"/>
      <w:bookmarkStart w:id="23" w:name="_Toc216582804"/>
      <w:bookmarkStart w:id="24" w:name="_Toc17230"/>
      <w:bookmarkStart w:id="25" w:name="_Toc515647798"/>
      <w:bookmarkStart w:id="26" w:name="_Toc11115"/>
      <w:bookmarkStart w:id="27" w:name="_Toc1148"/>
      <w:bookmarkStart w:id="28" w:name="_Toc25253"/>
      <w:bookmarkStart w:id="29" w:name="_Toc16548"/>
      <w:r>
        <w:rPr>
          <w:rFonts w:hint="eastAsia" w:ascii="微软雅黑" w:hAnsi="微软雅黑" w:eastAsia="微软雅黑" w:cs="微软雅黑"/>
          <w:color w:val="auto"/>
          <w:highlight w:val="none"/>
        </w:rPr>
        <w:t xml:space="preserve">      </w:t>
      </w: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21"/>
    <w:bookmarkEnd w:id="22"/>
    <w:bookmarkEnd w:id="23"/>
    <w:bookmarkEnd w:id="24"/>
    <w:p>
      <w:pPr>
        <w:pStyle w:val="4"/>
        <w:ind w:firstLine="0"/>
        <w:jc w:val="center"/>
        <w:outlineLvl w:val="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 xml:space="preserve"> </w:t>
      </w:r>
      <w:bookmarkStart w:id="30" w:name="_Toc18196"/>
      <w:bookmarkStart w:id="31" w:name="_Toc9895"/>
      <w:r>
        <w:rPr>
          <w:rFonts w:hint="eastAsia" w:ascii="微软雅黑" w:hAnsi="微软雅黑" w:eastAsia="微软雅黑" w:cs="微软雅黑"/>
          <w:b/>
          <w:bCs/>
          <w:color w:val="auto"/>
          <w:sz w:val="32"/>
          <w:szCs w:val="32"/>
          <w:highlight w:val="none"/>
        </w:rPr>
        <w:t xml:space="preserve">第1章  </w:t>
      </w:r>
      <w:bookmarkStart w:id="32" w:name="_Toc515647756"/>
      <w:r>
        <w:rPr>
          <w:rFonts w:hint="eastAsia" w:ascii="微软雅黑" w:hAnsi="微软雅黑" w:eastAsia="微软雅黑" w:cs="微软雅黑"/>
          <w:b/>
          <w:bCs/>
          <w:color w:val="auto"/>
          <w:sz w:val="32"/>
          <w:szCs w:val="32"/>
          <w:highlight w:val="none"/>
          <w:lang w:eastAsia="zh-CN"/>
        </w:rPr>
        <w:t>供应商</w:t>
      </w:r>
      <w:r>
        <w:rPr>
          <w:rFonts w:hint="eastAsia" w:ascii="微软雅黑" w:hAnsi="微软雅黑" w:eastAsia="微软雅黑" w:cs="微软雅黑"/>
          <w:b/>
          <w:bCs/>
          <w:color w:val="auto"/>
          <w:sz w:val="32"/>
          <w:szCs w:val="32"/>
          <w:highlight w:val="none"/>
        </w:rPr>
        <w:t>须知</w:t>
      </w:r>
      <w:bookmarkEnd w:id="30"/>
      <w:bookmarkEnd w:id="31"/>
      <w:bookmarkEnd w:id="32"/>
    </w:p>
    <w:p>
      <w:pPr>
        <w:pStyle w:val="7"/>
        <w:spacing w:before="0" w:line="240" w:lineRule="atLeast"/>
        <w:ind w:left="1080" w:leftChars="257" w:hanging="540"/>
        <w:rPr>
          <w:rFonts w:hint="eastAsia" w:ascii="微软雅黑" w:hAnsi="微软雅黑" w:eastAsia="微软雅黑" w:cs="微软雅黑"/>
          <w:color w:val="auto"/>
          <w:highlight w:val="none"/>
        </w:rPr>
      </w:pPr>
      <w:bookmarkStart w:id="33" w:name="_Toc216582805"/>
      <w:bookmarkStart w:id="34" w:name="_Toc520356143"/>
      <w:bookmarkStart w:id="35" w:name="_Toc515647757"/>
      <w:bookmarkStart w:id="36" w:name="_Toc24746"/>
      <w:bookmarkStart w:id="37" w:name="_Toc21215"/>
      <w:bookmarkStart w:id="38" w:name="_Toc11227"/>
      <w:bookmarkStart w:id="39" w:name="_Toc9768"/>
      <w:bookmarkStart w:id="40" w:name="_Toc21015"/>
      <w:r>
        <w:rPr>
          <w:rFonts w:hint="eastAsia" w:ascii="微软雅黑" w:hAnsi="微软雅黑" w:eastAsia="微软雅黑" w:cs="微软雅黑"/>
          <w:color w:val="auto"/>
          <w:sz w:val="28"/>
          <w:highlight w:val="none"/>
        </w:rPr>
        <w:t xml:space="preserve">一   </w:t>
      </w:r>
      <w:bookmarkEnd w:id="33"/>
      <w:bookmarkEnd w:id="34"/>
      <w:bookmarkEnd w:id="35"/>
      <w:r>
        <w:rPr>
          <w:rFonts w:hint="eastAsia" w:ascii="微软雅黑" w:hAnsi="微软雅黑" w:eastAsia="微软雅黑" w:cs="微软雅黑"/>
          <w:color w:val="auto"/>
          <w:sz w:val="28"/>
          <w:highlight w:val="none"/>
        </w:rPr>
        <w:t>总 则</w:t>
      </w:r>
      <w:bookmarkEnd w:id="36"/>
      <w:bookmarkEnd w:id="37"/>
      <w:bookmarkEnd w:id="38"/>
      <w:bookmarkEnd w:id="39"/>
      <w:bookmarkEnd w:id="40"/>
    </w:p>
    <w:p>
      <w:pPr>
        <w:pStyle w:val="8"/>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41" w:name="_Toc23985"/>
      <w:bookmarkStart w:id="42" w:name="_Toc4880"/>
      <w:bookmarkStart w:id="43" w:name="_Toc11808"/>
      <w:bookmarkStart w:id="44" w:name="_Toc520356144"/>
      <w:bookmarkStart w:id="45" w:name="_Toc12861"/>
      <w:bookmarkStart w:id="46" w:name="_Toc28967"/>
      <w:bookmarkStart w:id="47" w:name="_Toc32189"/>
      <w:bookmarkStart w:id="48" w:name="_Toc515647758"/>
      <w:bookmarkStart w:id="49" w:name="_Toc29554"/>
      <w:bookmarkStart w:id="50" w:name="_Toc333"/>
      <w:bookmarkStart w:id="51" w:name="_Toc32623"/>
      <w:bookmarkStart w:id="52" w:name="_Toc31685"/>
      <w:bookmarkStart w:id="53" w:name="_Toc32450"/>
      <w:bookmarkStart w:id="54" w:name="_Toc32742"/>
      <w:bookmarkStart w:id="55" w:name="_Toc15966"/>
      <w:bookmarkStart w:id="56" w:name="_Toc32697"/>
      <w:bookmarkStart w:id="57" w:name="_Toc18135"/>
      <w:bookmarkStart w:id="58" w:name="_Toc23980"/>
      <w:bookmarkStart w:id="59" w:name="_Toc16017"/>
      <w:bookmarkStart w:id="60" w:name="_Toc14344"/>
      <w:bookmarkStart w:id="61" w:name="_Toc15895"/>
      <w:bookmarkStart w:id="62" w:name="_Toc12038"/>
      <w:bookmarkStart w:id="63" w:name="_Toc14586"/>
      <w:bookmarkStart w:id="64" w:name="_Toc15043"/>
      <w:r>
        <w:rPr>
          <w:rFonts w:hint="eastAsia" w:ascii="微软雅黑" w:hAnsi="微软雅黑" w:eastAsia="微软雅黑" w:cs="微软雅黑"/>
          <w:color w:val="auto"/>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r>
        <w:rPr>
          <w:rFonts w:hint="eastAsia" w:ascii="微软雅黑" w:hAnsi="微软雅黑" w:eastAsia="微软雅黑" w:cs="微软雅黑"/>
          <w:color w:val="auto"/>
          <w:highlight w:val="none"/>
          <w:u w:val="none"/>
          <w:lang w:eastAsia="zh-CN"/>
        </w:rPr>
        <w:t>供应商</w:t>
      </w:r>
      <w:bookmarkEnd w:id="53"/>
      <w:bookmarkEnd w:id="54"/>
      <w:bookmarkEnd w:id="55"/>
      <w:bookmarkEnd w:id="56"/>
      <w:bookmarkEnd w:id="57"/>
      <w:bookmarkEnd w:id="58"/>
      <w:bookmarkEnd w:id="59"/>
      <w:bookmarkEnd w:id="60"/>
      <w:bookmarkEnd w:id="61"/>
      <w:bookmarkEnd w:id="62"/>
      <w:bookmarkEnd w:id="63"/>
      <w:bookmarkEnd w:id="64"/>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1.1  </w:t>
      </w:r>
      <w:r>
        <w:rPr>
          <w:rFonts w:hint="eastAsia" w:ascii="微软雅黑" w:hAnsi="微软雅黑" w:eastAsia="微软雅黑" w:cs="微软雅黑"/>
          <w:color w:val="auto"/>
          <w:sz w:val="24"/>
          <w:highlight w:val="none"/>
        </w:rPr>
        <w:t>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1.2   </w:t>
      </w:r>
      <w:r>
        <w:rPr>
          <w:rFonts w:hint="eastAsia" w:ascii="微软雅黑" w:hAnsi="微软雅黑" w:eastAsia="微软雅黑" w:cs="微软雅黑"/>
          <w:color w:val="auto"/>
          <w:sz w:val="24"/>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：是指向采购人提供货物、工程或者服务的</w:t>
      </w:r>
      <w:r>
        <w:rPr>
          <w:rFonts w:hint="eastAsia" w:ascii="微软雅黑" w:hAnsi="微软雅黑" w:eastAsia="微软雅黑" w:cs="微软雅黑"/>
          <w:color w:val="auto"/>
          <w:sz w:val="24"/>
          <w:highlight w:val="none"/>
          <w:lang w:eastAsia="zh-CN"/>
        </w:rPr>
        <w:t>法定代表人</w:t>
      </w:r>
      <w:r>
        <w:rPr>
          <w:rFonts w:hint="eastAsia" w:ascii="微软雅黑" w:hAnsi="微软雅黑" w:eastAsia="微软雅黑" w:cs="微软雅黑"/>
          <w:color w:val="auto"/>
          <w:sz w:val="24"/>
          <w:highlight w:val="none"/>
        </w:rPr>
        <w:t>、非</w:t>
      </w:r>
      <w:r>
        <w:rPr>
          <w:rFonts w:hint="eastAsia" w:ascii="微软雅黑" w:hAnsi="微软雅黑" w:eastAsia="微软雅黑" w:cs="微软雅黑"/>
          <w:color w:val="auto"/>
          <w:sz w:val="24"/>
          <w:highlight w:val="none"/>
          <w:lang w:eastAsia="zh-CN"/>
        </w:rPr>
        <w:t>法定代表人</w:t>
      </w:r>
      <w:r>
        <w:rPr>
          <w:rFonts w:hint="eastAsia" w:ascii="微软雅黑" w:hAnsi="微软雅黑" w:eastAsia="微软雅黑" w:cs="微软雅黑"/>
          <w:color w:val="auto"/>
          <w:sz w:val="24"/>
          <w:highlight w:val="none"/>
        </w:rPr>
        <w:t>组织或者自然人。本项目的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中写明专门面向中小企业采购的，如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为非中小企业且所投产品为非中小企业产品，其投标将被认定为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两个以上供应商可以组成一个投标联合体，以一个</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w:t>
      </w:r>
      <w:r>
        <w:rPr>
          <w:rFonts w:hint="eastAsia" w:ascii="微软雅黑" w:hAnsi="微软雅黑" w:eastAsia="微软雅黑" w:cs="微软雅黑"/>
          <w:color w:val="auto"/>
          <w:sz w:val="24"/>
          <w:highlight w:val="none"/>
          <w:lang w:eastAsia="zh-CN"/>
        </w:rPr>
        <w:t>法定代表人</w:t>
      </w:r>
      <w:r>
        <w:rPr>
          <w:rFonts w:hint="eastAsia" w:ascii="微软雅黑" w:hAnsi="微软雅黑" w:eastAsia="微软雅黑" w:cs="微软雅黑"/>
          <w:color w:val="auto"/>
          <w:sz w:val="24"/>
          <w:highlight w:val="none"/>
        </w:rPr>
        <w:t>或者非</w:t>
      </w:r>
      <w:r>
        <w:rPr>
          <w:rFonts w:hint="eastAsia" w:ascii="微软雅黑" w:hAnsi="微软雅黑" w:eastAsia="微软雅黑" w:cs="微软雅黑"/>
          <w:color w:val="auto"/>
          <w:sz w:val="24"/>
          <w:highlight w:val="none"/>
          <w:lang w:eastAsia="zh-CN"/>
        </w:rPr>
        <w:t>法定代表人</w:t>
      </w:r>
      <w:r>
        <w:rPr>
          <w:rFonts w:hint="eastAsia" w:ascii="微软雅黑" w:hAnsi="微软雅黑" w:eastAsia="微软雅黑" w:cs="微软雅黑"/>
          <w:color w:val="auto"/>
          <w:sz w:val="24"/>
          <w:highlight w:val="none"/>
        </w:rPr>
        <w:t>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对联合体投标的其他资格要求见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1.6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在投标过程中不得向采购人提供、给予任何有价值的物品，影响其正常决策行为。一经发现，其将被认定为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65" w:name="_Toc8897"/>
      <w:bookmarkStart w:id="66" w:name="_Toc11068"/>
      <w:bookmarkStart w:id="67" w:name="_Toc19378"/>
      <w:bookmarkStart w:id="68" w:name="_Toc12139"/>
      <w:bookmarkStart w:id="69" w:name="_Toc27814"/>
      <w:bookmarkStart w:id="70" w:name="_Toc1760"/>
      <w:bookmarkStart w:id="71" w:name="_Toc2406"/>
      <w:bookmarkStart w:id="72" w:name="_Toc28511"/>
      <w:bookmarkStart w:id="73" w:name="_Toc1403"/>
      <w:bookmarkStart w:id="74" w:name="_Toc10699"/>
      <w:bookmarkStart w:id="75" w:name="_Toc10189"/>
      <w:bookmarkStart w:id="76" w:name="_Toc4816"/>
      <w:bookmarkStart w:id="77" w:name="_Toc515647759"/>
      <w:bookmarkStart w:id="78" w:name="_Toc21286"/>
      <w:bookmarkStart w:id="79" w:name="_Toc19970"/>
      <w:bookmarkStart w:id="80" w:name="_Toc13272"/>
      <w:bookmarkStart w:id="81" w:name="_Toc7800"/>
      <w:bookmarkStart w:id="82" w:name="_Toc5286"/>
      <w:bookmarkStart w:id="83" w:name="_Toc26154"/>
      <w:bookmarkStart w:id="84" w:name="_Toc1572"/>
      <w:bookmarkStart w:id="85" w:name="_Toc30940"/>
      <w:bookmarkStart w:id="86" w:name="_Toc29854"/>
      <w:bookmarkStart w:id="87" w:name="_Toc4311"/>
      <w:r>
        <w:rPr>
          <w:rFonts w:hint="eastAsia" w:ascii="微软雅黑" w:hAnsi="微软雅黑" w:eastAsia="微软雅黑" w:cs="微软雅黑"/>
          <w:color w:val="auto"/>
          <w:highlight w:val="none"/>
          <w:u w:val="none"/>
        </w:rPr>
        <w:t>2.资金来源</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报价超过招标文件规定的预算金额或者分项、分包最高限价的，其投标将被认定为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8" w:name="_Toc15936"/>
      <w:bookmarkStart w:id="89" w:name="_Toc14612"/>
      <w:bookmarkStart w:id="90" w:name="_Toc6415"/>
      <w:bookmarkStart w:id="91" w:name="_Toc20044"/>
      <w:bookmarkStart w:id="92" w:name="_Toc2156"/>
      <w:bookmarkStart w:id="93" w:name="_Toc20799"/>
      <w:bookmarkStart w:id="94" w:name="_Toc25239"/>
      <w:bookmarkStart w:id="95" w:name="_Toc29481"/>
      <w:bookmarkStart w:id="96" w:name="_Toc29504"/>
      <w:bookmarkStart w:id="97" w:name="_Toc30708"/>
      <w:bookmarkStart w:id="98" w:name="_Toc24375"/>
      <w:bookmarkStart w:id="99" w:name="_Toc10963"/>
      <w:bookmarkStart w:id="100" w:name="_Toc520356145"/>
      <w:bookmarkStart w:id="101" w:name="_Toc22731"/>
      <w:bookmarkStart w:id="102" w:name="_Toc16588"/>
      <w:bookmarkStart w:id="103" w:name="_Toc144"/>
      <w:bookmarkStart w:id="104" w:name="_Toc515647760"/>
      <w:bookmarkStart w:id="105" w:name="_Toc15518"/>
      <w:bookmarkStart w:id="106" w:name="_Toc29808"/>
      <w:bookmarkStart w:id="107" w:name="_Toc6389"/>
      <w:bookmarkStart w:id="108" w:name="_Toc5207"/>
      <w:bookmarkStart w:id="109" w:name="_Toc235"/>
      <w:bookmarkStart w:id="110" w:name="_Toc20526"/>
      <w:bookmarkStart w:id="111" w:name="_Toc30650"/>
      <w:r>
        <w:rPr>
          <w:rFonts w:hint="eastAsia" w:ascii="微软雅黑" w:hAnsi="微软雅黑" w:eastAsia="微软雅黑" w:cs="微软雅黑"/>
          <w:color w:val="auto"/>
          <w:highlight w:val="none"/>
          <w:u w:val="none"/>
        </w:rPr>
        <w:t>3.投标费用</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不论投标的结果如何，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应承担所有与准备和参加投标有关的费用。</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112" w:name="_Toc11355"/>
      <w:bookmarkStart w:id="113" w:name="_Toc16751"/>
      <w:bookmarkStart w:id="114" w:name="_Toc5853"/>
      <w:bookmarkStart w:id="115" w:name="_Toc17308"/>
      <w:bookmarkStart w:id="116" w:name="_Toc1198"/>
      <w:bookmarkStart w:id="117" w:name="_Toc14210"/>
      <w:bookmarkStart w:id="118" w:name="_Toc16052"/>
      <w:bookmarkStart w:id="119" w:name="_Toc29011"/>
      <w:bookmarkStart w:id="120" w:name="_Toc20532"/>
      <w:bookmarkStart w:id="121" w:name="_Toc24881"/>
      <w:bookmarkStart w:id="122" w:name="_Toc6759"/>
      <w:bookmarkStart w:id="123" w:name="_Toc7511"/>
      <w:bookmarkStart w:id="124" w:name="_Toc21641"/>
      <w:bookmarkStart w:id="125" w:name="_Toc515647761"/>
      <w:bookmarkStart w:id="126" w:name="_Toc18172"/>
      <w:bookmarkStart w:id="127" w:name="_Toc15600"/>
      <w:bookmarkStart w:id="128" w:name="_Toc25508"/>
      <w:bookmarkStart w:id="129" w:name="_Toc4463"/>
      <w:bookmarkStart w:id="130" w:name="_Toc16328"/>
      <w:bookmarkStart w:id="131" w:name="_Toc6116"/>
      <w:bookmarkStart w:id="132" w:name="_Toc12920"/>
      <w:bookmarkStart w:id="133" w:name="_Toc20080"/>
      <w:bookmarkStart w:id="134" w:name="_Toc27687"/>
      <w:r>
        <w:rPr>
          <w:rFonts w:hint="eastAsia" w:ascii="微软雅黑" w:hAnsi="微软雅黑" w:eastAsia="微软雅黑" w:cs="微软雅黑"/>
          <w:color w:val="auto"/>
          <w:highlight w:val="none"/>
          <w:u w:val="none"/>
        </w:rPr>
        <w:t>4.适用法律</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、评标委员会的相关行为均受《中华人民共和国政府采购法》、《中华人民共和国政府采购法实施条例》</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中华人民共和国财政部令第87号--政府采购货物和货物招标投标管理办法</w:t>
      </w:r>
      <w:r>
        <w:rPr>
          <w:rFonts w:hint="eastAsia" w:ascii="微软雅黑" w:hAnsi="微软雅黑" w:eastAsia="微软雅黑" w:cs="微软雅黑"/>
          <w:color w:val="auto"/>
          <w:sz w:val="24"/>
          <w:highlight w:val="none"/>
        </w:rPr>
        <w:t>》及本项目本级和上级财政部门政府采购有关规定的约束，其权利受到上述法律法规的保护。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p>
    <w:p>
      <w:pPr>
        <w:pStyle w:val="7"/>
        <w:pageBreakBefore w:val="0"/>
        <w:widowControl w:val="0"/>
        <w:kinsoku/>
        <w:wordWrap/>
        <w:overflowPunct/>
        <w:topLinePunct w:val="0"/>
        <w:bidi w:val="0"/>
        <w:spacing w:before="0" w:line="360" w:lineRule="exact"/>
        <w:ind w:left="0" w:leftChars="0"/>
        <w:textAlignment w:val="auto"/>
        <w:rPr>
          <w:rFonts w:hint="eastAsia" w:ascii="微软雅黑" w:hAnsi="微软雅黑" w:eastAsia="微软雅黑" w:cs="微软雅黑"/>
          <w:color w:val="auto"/>
          <w:highlight w:val="none"/>
        </w:rPr>
      </w:pPr>
      <w:bookmarkStart w:id="135" w:name="_Toc520356146"/>
      <w:bookmarkStart w:id="136" w:name="_Toc4365"/>
      <w:bookmarkStart w:id="137" w:name="_Toc515647762"/>
      <w:bookmarkStart w:id="138" w:name="_Toc6385"/>
      <w:bookmarkStart w:id="139" w:name="_Toc216582806"/>
      <w:bookmarkStart w:id="140" w:name="_Toc4321"/>
      <w:bookmarkStart w:id="141" w:name="_Toc21566"/>
      <w:bookmarkStart w:id="142" w:name="_Toc8437"/>
      <w:bookmarkStart w:id="143" w:name="_Toc516367020"/>
      <w:bookmarkStart w:id="144" w:name="_Toc515647766"/>
      <w:bookmarkStart w:id="145" w:name="_Toc520356150"/>
      <w:bookmarkStart w:id="146" w:name="_Toc30808"/>
      <w:bookmarkStart w:id="147" w:name="_Toc216582807"/>
      <w:bookmarkStart w:id="148" w:name="_Toc7636"/>
      <w:bookmarkStart w:id="149" w:name="_Toc25637"/>
      <w:bookmarkStart w:id="150" w:name="_Toc21912"/>
      <w:bookmarkStart w:id="151" w:name="_Toc29522"/>
      <w:r>
        <w:rPr>
          <w:rFonts w:hint="eastAsia" w:ascii="微软雅黑" w:hAnsi="微软雅黑" w:eastAsia="微软雅黑" w:cs="微软雅黑"/>
          <w:color w:val="auto"/>
          <w:sz w:val="28"/>
          <w:highlight w:val="none"/>
        </w:rPr>
        <w:t>二   招标文件</w:t>
      </w:r>
      <w:bookmarkEnd w:id="135"/>
      <w:bookmarkEnd w:id="136"/>
      <w:bookmarkEnd w:id="137"/>
      <w:bookmarkEnd w:id="138"/>
      <w:bookmarkEnd w:id="139"/>
      <w:bookmarkEnd w:id="140"/>
      <w:bookmarkEnd w:id="141"/>
      <w:bookmarkEnd w:id="142"/>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152" w:name="_Toc18213"/>
      <w:bookmarkStart w:id="153" w:name="_Toc21734"/>
      <w:bookmarkStart w:id="154" w:name="_Toc18714"/>
      <w:bookmarkStart w:id="155" w:name="_Toc12831"/>
      <w:bookmarkStart w:id="156" w:name="_Toc4380"/>
      <w:bookmarkStart w:id="157" w:name="_Toc25743"/>
      <w:bookmarkStart w:id="158" w:name="_Toc515647763"/>
      <w:bookmarkStart w:id="159" w:name="_Toc27186"/>
      <w:bookmarkStart w:id="160" w:name="_Toc29550"/>
      <w:bookmarkStart w:id="161" w:name="_Toc1044"/>
      <w:bookmarkStart w:id="162" w:name="_Toc31428"/>
      <w:bookmarkStart w:id="163" w:name="_Toc14656"/>
      <w:bookmarkStart w:id="164" w:name="_Toc21275"/>
      <w:bookmarkStart w:id="165" w:name="_Toc26987"/>
      <w:bookmarkStart w:id="166" w:name="_Toc15203"/>
      <w:bookmarkStart w:id="167" w:name="_Toc520356147"/>
      <w:bookmarkStart w:id="168" w:name="_Toc31526"/>
      <w:bookmarkStart w:id="169" w:name="_Toc14084"/>
      <w:bookmarkStart w:id="170" w:name="_Toc29395"/>
      <w:bookmarkStart w:id="171" w:name="_Toc30280"/>
      <w:bookmarkStart w:id="172" w:name="_Toc10939"/>
      <w:bookmarkStart w:id="173" w:name="_Toc31365"/>
      <w:bookmarkStart w:id="174" w:name="_Toc5875"/>
      <w:bookmarkStart w:id="175" w:name="_Toc24971"/>
      <w:r>
        <w:rPr>
          <w:rFonts w:hint="eastAsia" w:ascii="微软雅黑" w:hAnsi="微软雅黑" w:eastAsia="微软雅黑" w:cs="微软雅黑"/>
          <w:color w:val="auto"/>
          <w:highlight w:val="none"/>
          <w:u w:val="none"/>
        </w:rPr>
        <w:t>5.招标文件构成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4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5 </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5.3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应认真阅读招标文件所有的事项、格式、条款和技术规范等。如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176" w:name="_Toc515904805"/>
      <w:bookmarkStart w:id="177" w:name="_Toc520356148"/>
      <w:bookmarkStart w:id="178" w:name="_Toc20604"/>
      <w:bookmarkStart w:id="179" w:name="_Toc10034"/>
      <w:bookmarkStart w:id="180" w:name="_Toc21165"/>
      <w:bookmarkStart w:id="181" w:name="_Toc8643"/>
      <w:bookmarkStart w:id="182" w:name="_Toc5991"/>
      <w:bookmarkStart w:id="183" w:name="_Toc20556"/>
      <w:bookmarkStart w:id="184" w:name="_Toc21098"/>
      <w:bookmarkStart w:id="185" w:name="_Toc7432"/>
      <w:bookmarkStart w:id="186" w:name="_Toc1117"/>
      <w:bookmarkStart w:id="187" w:name="_Toc20243"/>
      <w:bookmarkStart w:id="188" w:name="_Toc26044"/>
      <w:bookmarkStart w:id="189" w:name="_Toc24450"/>
      <w:bookmarkStart w:id="190" w:name="_Toc20908"/>
      <w:bookmarkStart w:id="191" w:name="_Toc9232"/>
      <w:bookmarkStart w:id="192" w:name="_Toc28731"/>
      <w:bookmarkStart w:id="193" w:name="_Toc19275"/>
      <w:bookmarkStart w:id="194" w:name="_Toc20202"/>
      <w:bookmarkStart w:id="195" w:name="_Toc12536"/>
      <w:bookmarkStart w:id="196" w:name="_Toc32213"/>
      <w:bookmarkStart w:id="197" w:name="_Toc12813"/>
      <w:bookmarkStart w:id="198" w:name="_Toc25866"/>
      <w:bookmarkStart w:id="199" w:name="_Toc10213"/>
      <w:r>
        <w:rPr>
          <w:rFonts w:hint="eastAsia" w:ascii="微软雅黑" w:hAnsi="微软雅黑" w:eastAsia="微软雅黑" w:cs="微软雅黑"/>
          <w:color w:val="auto"/>
          <w:highlight w:val="none"/>
          <w:u w:val="none"/>
        </w:rPr>
        <w:t>6.招标文件的澄清</w:t>
      </w:r>
      <w:bookmarkEnd w:id="176"/>
      <w:bookmarkEnd w:id="177"/>
      <w:r>
        <w:rPr>
          <w:rFonts w:hint="eastAsia" w:ascii="微软雅黑" w:hAnsi="微软雅黑" w:eastAsia="微软雅黑" w:cs="微软雅黑"/>
          <w:color w:val="auto"/>
          <w:highlight w:val="none"/>
          <w:u w:val="none"/>
        </w:rPr>
        <w:t>与修改</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    为了保证对招标文件的澄清和修改满足法律的时限要求，任何要求对招标文件进行澄清的</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，均应在投标截止期十五日前，以书面形式将澄清要求通知采购人或采购代理机构。</w:t>
      </w:r>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Cs w:val="24"/>
          <w:highlight w:val="none"/>
        </w:rPr>
      </w:pPr>
      <w:bookmarkStart w:id="200" w:name="_Ref467378678"/>
      <w:bookmarkStart w:id="201" w:name="_Toc515904806"/>
      <w:bookmarkStart w:id="202" w:name="_Toc520356149"/>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澄清或者修改的内容可能影响投标文件编制的，采购代理机构将以书面形式通知所有购买招标文件的潜在</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，并对其具有约束力。</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在收到上述通知后，应及时向采购代理机构回函确认。</w:t>
      </w: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203" w:name="_Toc13079"/>
      <w:bookmarkStart w:id="204" w:name="_Toc27811"/>
      <w:bookmarkStart w:id="205" w:name="_Toc978"/>
      <w:bookmarkStart w:id="206" w:name="_Toc24028"/>
      <w:bookmarkStart w:id="207" w:name="_Toc9080"/>
      <w:bookmarkStart w:id="208" w:name="_Toc5103"/>
      <w:bookmarkStart w:id="209" w:name="_Toc517"/>
      <w:bookmarkStart w:id="210" w:name="_Toc22107"/>
      <w:bookmarkStart w:id="211" w:name="_Toc1073"/>
      <w:bookmarkStart w:id="212" w:name="_Toc10609"/>
      <w:bookmarkStart w:id="213" w:name="_Toc14901"/>
      <w:bookmarkStart w:id="214" w:name="_Toc25066"/>
      <w:bookmarkStart w:id="215" w:name="_Toc11082"/>
      <w:bookmarkStart w:id="216" w:name="_Toc25635"/>
      <w:bookmarkStart w:id="217" w:name="_Toc7919"/>
      <w:bookmarkStart w:id="218" w:name="_Toc14569"/>
      <w:bookmarkStart w:id="219" w:name="_Toc32714"/>
      <w:bookmarkStart w:id="220" w:name="_Toc23315"/>
      <w:bookmarkStart w:id="221" w:name="_Toc14856"/>
      <w:bookmarkStart w:id="222" w:name="_Toc21187"/>
      <w:bookmarkStart w:id="223" w:name="_Toc2280"/>
      <w:bookmarkStart w:id="224" w:name="_Toc10823"/>
      <w:r>
        <w:rPr>
          <w:rFonts w:hint="eastAsia" w:ascii="微软雅黑" w:hAnsi="微软雅黑" w:eastAsia="微软雅黑" w:cs="微软雅黑"/>
          <w:color w:val="auto"/>
          <w:highlight w:val="none"/>
          <w:u w:val="none"/>
        </w:rPr>
        <w:t>7</w:t>
      </w:r>
      <w:bookmarkEnd w:id="200"/>
      <w:bookmarkEnd w:id="201"/>
      <w:bookmarkEnd w:id="202"/>
      <w:r>
        <w:rPr>
          <w:rFonts w:hint="eastAsia" w:ascii="微软雅黑" w:hAnsi="微软雅黑" w:eastAsia="微软雅黑" w:cs="微软雅黑"/>
          <w:color w:val="auto"/>
          <w:highlight w:val="none"/>
          <w:u w:val="none"/>
        </w:rPr>
        <w:t>.投标截止时间的顺延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准备投标时有足够的时间对招标文件的澄清或者修改部分进行研究，采购人将依法决定是否顺延投标截止时间。</w:t>
      </w:r>
    </w:p>
    <w:p>
      <w:pPr>
        <w:pageBreakBefore w:val="0"/>
        <w:widowControl w:val="0"/>
        <w:tabs>
          <w:tab w:val="left" w:pos="900"/>
        </w:tabs>
        <w:kinsoku/>
        <w:wordWrap/>
        <w:overflowPunct/>
        <w:topLinePunct w:val="0"/>
        <w:bidi w:val="0"/>
        <w:spacing w:line="360" w:lineRule="exact"/>
        <w:ind w:left="0" w:leftChars="0" w:hanging="540"/>
        <w:textAlignment w:val="auto"/>
        <w:rPr>
          <w:rFonts w:hint="eastAsia" w:ascii="微软雅黑" w:hAnsi="微软雅黑" w:eastAsia="微软雅黑" w:cs="微软雅黑"/>
          <w:color w:val="auto"/>
          <w:sz w:val="28"/>
          <w:highlight w:val="none"/>
        </w:rPr>
      </w:pPr>
    </w:p>
    <w:p>
      <w:pPr>
        <w:pStyle w:val="7"/>
        <w:pageBreakBefore w:val="0"/>
        <w:widowControl w:val="0"/>
        <w:tabs>
          <w:tab w:val="left" w:pos="900"/>
        </w:tabs>
        <w:kinsoku/>
        <w:wordWrap/>
        <w:overflowPunct/>
        <w:topLinePunct w:val="0"/>
        <w:bidi w:val="0"/>
        <w:spacing w:before="0" w:line="360" w:lineRule="exact"/>
        <w:ind w:left="0" w:leftChars="0" w:hanging="540"/>
        <w:textAlignment w:val="auto"/>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8"/>
          <w:highlight w:val="none"/>
        </w:rPr>
        <w:t>三   投标文件</w:t>
      </w:r>
      <w:bookmarkEnd w:id="143"/>
      <w:r>
        <w:rPr>
          <w:rFonts w:hint="eastAsia" w:ascii="微软雅黑" w:hAnsi="微软雅黑" w:eastAsia="微软雅黑" w:cs="微软雅黑"/>
          <w:color w:val="auto"/>
          <w:sz w:val="28"/>
          <w:highlight w:val="none"/>
        </w:rPr>
        <w:t>的编制</w:t>
      </w:r>
      <w:bookmarkEnd w:id="144"/>
      <w:bookmarkEnd w:id="145"/>
      <w:bookmarkEnd w:id="146"/>
      <w:bookmarkEnd w:id="147"/>
      <w:bookmarkEnd w:id="148"/>
      <w:bookmarkEnd w:id="149"/>
      <w:bookmarkEnd w:id="150"/>
      <w:bookmarkEnd w:id="151"/>
    </w:p>
    <w:p>
      <w:pPr>
        <w:pStyle w:val="4"/>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225" w:name="_Toc520356151"/>
      <w:bookmarkStart w:id="226" w:name="_Toc14086"/>
      <w:bookmarkStart w:id="227" w:name="_Toc24558"/>
      <w:bookmarkStart w:id="228" w:name="_Toc7786"/>
      <w:bookmarkStart w:id="229" w:name="_Toc5025"/>
      <w:bookmarkStart w:id="230" w:name="_Toc10810"/>
      <w:bookmarkStart w:id="231" w:name="_Toc515647767"/>
      <w:bookmarkStart w:id="232" w:name="_Toc10748"/>
      <w:bookmarkStart w:id="233" w:name="_Toc13375"/>
      <w:bookmarkStart w:id="234" w:name="_Toc30945"/>
      <w:bookmarkStart w:id="235" w:name="_Toc20486"/>
      <w:bookmarkStart w:id="236" w:name="_Toc1632"/>
      <w:bookmarkStart w:id="237" w:name="_Toc32487"/>
      <w:bookmarkStart w:id="238" w:name="_Toc15642"/>
      <w:bookmarkStart w:id="239" w:name="_Toc28980"/>
      <w:bookmarkStart w:id="240" w:name="_Toc2129"/>
      <w:bookmarkStart w:id="241" w:name="_Toc3553"/>
      <w:bookmarkStart w:id="242" w:name="_Toc2539"/>
      <w:bookmarkStart w:id="243" w:name="_Toc12887"/>
      <w:bookmarkStart w:id="244" w:name="_Toc14739"/>
      <w:bookmarkStart w:id="245" w:name="_Toc7120"/>
      <w:bookmarkStart w:id="246" w:name="_Toc11687"/>
      <w:bookmarkStart w:id="247" w:name="_Toc516367021"/>
      <w:bookmarkStart w:id="248" w:name="_Toc14602"/>
      <w:bookmarkStart w:id="249" w:name="_Toc66"/>
      <w:r>
        <w:rPr>
          <w:rFonts w:hint="eastAsia" w:ascii="微软雅黑" w:hAnsi="微软雅黑" w:eastAsia="微软雅黑" w:cs="微软雅黑"/>
          <w:color w:val="auto"/>
          <w:highlight w:val="none"/>
          <w:u w:val="none"/>
        </w:rPr>
        <w:t>8.</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rPr>
        <w:t>投标范围及投标文件中标准和计量单位的使用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可对招标文件其中某一个或几个分包服务进行投标，除非在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中另有规定。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8.2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应当对所投分包招标文件中“</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内容及项目要求”所列的所有内容进行投标，如仅响应某一包中的部分内容，其该包投标将被认定为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除招标文件中有特殊要求外，投标文件中所使用的计量单位，应采用中华人民共和国法定计量单位。</w:t>
      </w: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250" w:name="_Ref467306676"/>
      <w:bookmarkStart w:id="251" w:name="_Ref467306195"/>
      <w:bookmarkStart w:id="252" w:name="_Toc516367022"/>
      <w:bookmarkStart w:id="253" w:name="_Toc12220"/>
      <w:bookmarkStart w:id="254" w:name="_Toc9146"/>
      <w:bookmarkStart w:id="255" w:name="_Toc22417"/>
      <w:bookmarkStart w:id="256" w:name="_Toc18673"/>
      <w:bookmarkStart w:id="257" w:name="_Toc25596"/>
      <w:bookmarkStart w:id="258" w:name="_Toc23291"/>
      <w:bookmarkStart w:id="259" w:name="_Toc7658"/>
      <w:bookmarkStart w:id="260" w:name="_Toc7278"/>
      <w:bookmarkStart w:id="261" w:name="_Toc28307"/>
      <w:bookmarkStart w:id="262" w:name="_Toc520356152"/>
      <w:bookmarkStart w:id="263" w:name="_Toc22897"/>
      <w:bookmarkStart w:id="264" w:name="_Toc11888"/>
      <w:bookmarkStart w:id="265" w:name="_Toc515647768"/>
      <w:bookmarkStart w:id="266" w:name="_Toc22958"/>
      <w:bookmarkStart w:id="267" w:name="_Toc6152"/>
      <w:bookmarkStart w:id="268" w:name="_Toc15740"/>
      <w:bookmarkStart w:id="269" w:name="_Toc16016"/>
      <w:bookmarkStart w:id="270" w:name="_Toc9418"/>
      <w:bookmarkStart w:id="271" w:name="_Toc258"/>
      <w:bookmarkStart w:id="272" w:name="_Toc10364"/>
      <w:bookmarkStart w:id="273" w:name="_Toc11144"/>
      <w:bookmarkStart w:id="274" w:name="_Toc20101"/>
      <w:bookmarkStart w:id="275" w:name="_Toc4852"/>
      <w:bookmarkStart w:id="276" w:name="_Toc10573"/>
      <w:r>
        <w:rPr>
          <w:rFonts w:hint="eastAsia" w:ascii="微软雅黑" w:hAnsi="微软雅黑" w:eastAsia="微软雅黑" w:cs="微软雅黑"/>
          <w:color w:val="auto"/>
          <w:highlight w:val="none"/>
          <w:u w:val="none"/>
        </w:rPr>
        <w:t>9.投标文件</w:t>
      </w:r>
      <w:bookmarkEnd w:id="250"/>
      <w:bookmarkEnd w:id="251"/>
      <w:bookmarkEnd w:id="252"/>
      <w:r>
        <w:rPr>
          <w:rFonts w:hint="eastAsia" w:ascii="微软雅黑" w:hAnsi="微软雅黑" w:eastAsia="微软雅黑" w:cs="微软雅黑"/>
          <w:color w:val="auto"/>
          <w:highlight w:val="none"/>
          <w:u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u w:val="single"/>
        </w:rPr>
      </w:pPr>
      <w:bookmarkStart w:id="277"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应完整地按招标文件提供的投标文件格式及要求</w:t>
      </w:r>
      <w:r>
        <w:rPr>
          <w:rFonts w:hint="eastAsia" w:ascii="微软雅黑" w:hAnsi="微软雅黑" w:eastAsia="微软雅黑" w:cs="微软雅黑"/>
          <w:b/>
          <w:bCs/>
          <w:color w:val="auto"/>
          <w:sz w:val="24"/>
          <w:highlight w:val="none"/>
          <w:u w:val="single"/>
          <w:lang w:val="en-US" w:eastAsia="zh-CN"/>
        </w:rPr>
        <w:t>编</w:t>
      </w:r>
      <w:r>
        <w:rPr>
          <w:rFonts w:hint="eastAsia" w:ascii="微软雅黑" w:hAnsi="微软雅黑" w:eastAsia="微软雅黑" w:cs="微软雅黑"/>
          <w:b/>
          <w:bCs/>
          <w:color w:val="auto"/>
          <w:sz w:val="24"/>
          <w:highlight w:val="none"/>
          <w:u w:val="single"/>
        </w:rPr>
        <w:t>写投标文件，</w:t>
      </w:r>
      <w:r>
        <w:rPr>
          <w:rFonts w:hint="eastAsia" w:ascii="微软雅黑" w:hAnsi="微软雅黑" w:eastAsia="微软雅黑" w:cs="微软雅黑"/>
          <w:b/>
          <w:bCs/>
          <w:color w:val="auto"/>
          <w:sz w:val="24"/>
          <w:highlight w:val="none"/>
          <w:u w:val="single"/>
          <w:lang w:val="en-US" w:eastAsia="zh-CN"/>
        </w:rPr>
        <w:t>根据平台关联点上传对应佐证资料，</w:t>
      </w:r>
      <w:r>
        <w:rPr>
          <w:rFonts w:hint="eastAsia" w:ascii="微软雅黑" w:hAnsi="微软雅黑" w:eastAsia="微软雅黑" w:cs="微软雅黑"/>
          <w:b/>
          <w:bCs/>
          <w:color w:val="auto"/>
          <w:sz w:val="24"/>
          <w:highlight w:val="none"/>
          <w:u w:val="single"/>
        </w:rPr>
        <w:t>投标文件应包括“开标一览表及资格证明文件”和“商务及技术文件”两部分，两部分</w:t>
      </w:r>
      <w:r>
        <w:rPr>
          <w:rFonts w:hint="eastAsia" w:ascii="微软雅黑" w:hAnsi="微软雅黑" w:eastAsia="微软雅黑" w:cs="微软雅黑"/>
          <w:b/>
          <w:bCs/>
          <w:color w:val="auto"/>
          <w:sz w:val="24"/>
          <w:highlight w:val="none"/>
          <w:u w:val="single"/>
          <w:lang w:val="en-US" w:eastAsia="zh-CN"/>
        </w:rPr>
        <w:t>合并成完整一册</w:t>
      </w:r>
      <w:r>
        <w:rPr>
          <w:rFonts w:hint="eastAsia" w:ascii="微软雅黑" w:hAnsi="微软雅黑" w:eastAsia="微软雅黑" w:cs="微软雅黑"/>
          <w:b/>
          <w:bCs/>
          <w:color w:val="auto"/>
          <w:sz w:val="24"/>
          <w:highlight w:val="none"/>
          <w:u w:val="single"/>
          <w:lang w:eastAsia="zh-CN"/>
        </w:rPr>
        <w:t>上传至政采云平台</w:t>
      </w:r>
      <w:r>
        <w:rPr>
          <w:rFonts w:hint="eastAsia" w:ascii="微软雅黑" w:hAnsi="微软雅黑" w:eastAsia="微软雅黑" w:cs="微软雅黑"/>
          <w:b/>
          <w:bCs/>
          <w:color w:val="auto"/>
          <w:sz w:val="24"/>
          <w:highlight w:val="none"/>
          <w:u w:val="single"/>
        </w:rPr>
        <w:t>。</w:t>
      </w:r>
      <w:r>
        <w:rPr>
          <w:rFonts w:hint="eastAsia" w:ascii="微软雅黑" w:hAnsi="微软雅黑" w:eastAsia="微软雅黑" w:cs="微软雅黑"/>
          <w:b/>
          <w:bCs/>
          <w:color w:val="auto"/>
          <w:sz w:val="24"/>
          <w:highlight w:val="none"/>
          <w:u w:val="single"/>
          <w:lang w:eastAsia="zh-CN"/>
        </w:rPr>
        <w:t>供应商</w:t>
      </w:r>
      <w:r>
        <w:rPr>
          <w:rFonts w:hint="eastAsia" w:ascii="微软雅黑" w:hAnsi="微软雅黑" w:eastAsia="微软雅黑" w:cs="微软雅黑"/>
          <w:b/>
          <w:bCs/>
          <w:color w:val="auto"/>
          <w:sz w:val="24"/>
          <w:highlight w:val="none"/>
          <w:u w:val="single"/>
        </w:rPr>
        <w:t>应承担封装失误产生的任何后果。</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上述文件应按照招标文件规定的格式填写、签署和盖章。</w:t>
      </w:r>
      <w:bookmarkEnd w:id="277"/>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lang w:eastAsia="zh-CN"/>
        </w:rPr>
      </w:pPr>
      <w:bookmarkStart w:id="278" w:name="_Toc10379"/>
      <w:bookmarkStart w:id="279" w:name="_Toc2056"/>
      <w:bookmarkStart w:id="280" w:name="_Toc6978"/>
      <w:bookmarkStart w:id="281" w:name="_Toc520356153"/>
      <w:bookmarkStart w:id="282" w:name="_Toc515647769"/>
      <w:bookmarkStart w:id="283" w:name="_Toc12338"/>
      <w:bookmarkStart w:id="284" w:name="_Toc17715"/>
      <w:bookmarkStart w:id="285" w:name="_Toc516367023"/>
      <w:bookmarkStart w:id="286" w:name="_Toc4601"/>
      <w:bookmarkStart w:id="287" w:name="_Toc10584"/>
      <w:bookmarkStart w:id="288" w:name="_Toc15151"/>
      <w:bookmarkStart w:id="289" w:name="_Toc30354"/>
      <w:bookmarkStart w:id="290" w:name="_Toc22195"/>
      <w:bookmarkStart w:id="291" w:name="_Toc17150"/>
      <w:bookmarkStart w:id="292" w:name="_Toc14035"/>
      <w:bookmarkStart w:id="293" w:name="_Toc12121"/>
      <w:bookmarkStart w:id="294" w:name="_Toc23028"/>
      <w:bookmarkStart w:id="295" w:name="_Toc1879"/>
      <w:bookmarkStart w:id="296" w:name="_Toc18045"/>
      <w:bookmarkStart w:id="297" w:name="_Toc17541"/>
      <w:bookmarkStart w:id="298" w:name="_Toc32499"/>
      <w:bookmarkStart w:id="299" w:name="_Toc31216"/>
      <w:bookmarkStart w:id="300" w:name="_Toc19928"/>
      <w:bookmarkStart w:id="301" w:name="_Toc9764"/>
      <w:bookmarkStart w:id="302" w:name="_Toc6734"/>
      <w:r>
        <w:rPr>
          <w:rFonts w:hint="eastAsia" w:ascii="微软雅黑" w:hAnsi="微软雅黑" w:eastAsia="微软雅黑" w:cs="微软雅黑"/>
          <w:color w:val="auto"/>
          <w:highlight w:val="none"/>
          <w:u w:val="none"/>
        </w:rPr>
        <w:t>10.</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rPr>
        <w:t>证明投标的的合格性和符合招标文件规定的技术文件</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rFonts w:hint="eastAsia" w:ascii="微软雅黑" w:hAnsi="微软雅黑" w:eastAsia="微软雅黑" w:cs="微软雅黑"/>
          <w:color w:val="auto"/>
          <w:highlight w:val="none"/>
          <w:u w:val="none"/>
          <w:lang w:eastAsia="zh-CN"/>
        </w:rPr>
        <w:t>。</w:t>
      </w:r>
      <w:bookmarkEnd w:id="294"/>
      <w:bookmarkEnd w:id="295"/>
      <w:bookmarkEnd w:id="296"/>
      <w:bookmarkEnd w:id="297"/>
      <w:bookmarkEnd w:id="298"/>
      <w:bookmarkEnd w:id="299"/>
      <w:bookmarkEnd w:id="300"/>
      <w:bookmarkEnd w:id="301"/>
      <w:bookmarkEnd w:id="302"/>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应提交证明文件，证明其投标内容符合招标文件规定。该证明文件是投标文件的一部分。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bookmarkStart w:id="303"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303"/>
      <w:r>
        <w:rPr>
          <w:rFonts w:hint="eastAsia" w:ascii="微软雅黑" w:hAnsi="微软雅黑" w:eastAsia="微软雅黑" w:cs="微软雅黑"/>
          <w:color w:val="auto"/>
          <w:sz w:val="24"/>
          <w:highlight w:val="none"/>
        </w:rPr>
        <w:t>它包括：</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设备主要技术指标的详细说明；</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货物从买方开始使用至谈判文件规定的保质期内正常、连续地使用所必须的备件和专用工具清单，包括备件和专用工具的货源及现行价格；</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对照招标文件技术规格，逐条说明所提供</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及伴随的工程和</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已对招标文件的技术规格做出了实质性的响应，或申明与技术规格条文的偏差和例外。</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304" w:name="_Toc30467"/>
      <w:bookmarkStart w:id="305" w:name="_Toc301"/>
      <w:bookmarkStart w:id="306" w:name="_Toc24095"/>
      <w:bookmarkStart w:id="307" w:name="_Toc29220"/>
      <w:bookmarkStart w:id="308" w:name="_Toc21396"/>
      <w:bookmarkStart w:id="309" w:name="_Toc14799"/>
      <w:bookmarkStart w:id="310" w:name="_Toc6338"/>
      <w:bookmarkStart w:id="311" w:name="_Toc16481"/>
      <w:bookmarkStart w:id="312" w:name="_Toc23231"/>
      <w:bookmarkStart w:id="313" w:name="_Toc520356155"/>
      <w:bookmarkStart w:id="314" w:name="_Toc9374"/>
      <w:bookmarkStart w:id="315" w:name="_Toc24468"/>
      <w:bookmarkStart w:id="316" w:name="_Toc26145"/>
      <w:bookmarkStart w:id="317" w:name="_Toc16452"/>
      <w:bookmarkStart w:id="318" w:name="_Toc28480"/>
      <w:bookmarkStart w:id="319" w:name="_Toc515647770"/>
      <w:bookmarkStart w:id="320" w:name="_Toc2248"/>
      <w:bookmarkStart w:id="321" w:name="_Toc29204"/>
      <w:bookmarkStart w:id="322" w:name="_Toc3868"/>
      <w:bookmarkStart w:id="323" w:name="_Toc30792"/>
      <w:bookmarkStart w:id="324" w:name="_Toc5144"/>
      <w:bookmarkStart w:id="325" w:name="_Toc25118"/>
      <w:bookmarkStart w:id="326" w:name="_Toc25641"/>
      <w:bookmarkStart w:id="327" w:name="_Toc11160"/>
      <w:r>
        <w:rPr>
          <w:rFonts w:hint="eastAsia" w:ascii="微软雅黑" w:hAnsi="微软雅黑" w:eastAsia="微软雅黑" w:cs="微软雅黑"/>
          <w:color w:val="auto"/>
          <w:highlight w:val="none"/>
          <w:u w:val="none"/>
        </w:rPr>
        <w:t>11.投标报价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所有投标均以人民币报价。</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应在投标分项报价表上标明投标相关</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的单价（如适用）和总价，并由法定代表人或其授权代表签署。</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只能有一个投标报价。采购人不接受具有附加条件的报价。</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328" w:name="_Toc25003"/>
      <w:bookmarkStart w:id="329" w:name="_Toc23768"/>
      <w:bookmarkStart w:id="330" w:name="_Ref467306513"/>
      <w:bookmarkStart w:id="331" w:name="_Toc21719"/>
      <w:bookmarkStart w:id="332" w:name="_Toc17788"/>
      <w:bookmarkStart w:id="333" w:name="_Toc30245"/>
      <w:bookmarkStart w:id="334" w:name="_Toc18556"/>
      <w:bookmarkStart w:id="335" w:name="_Toc11514"/>
      <w:bookmarkStart w:id="336" w:name="_Toc24283"/>
      <w:bookmarkStart w:id="337" w:name="_Toc401"/>
      <w:bookmarkStart w:id="338" w:name="_Toc520356156"/>
      <w:bookmarkStart w:id="339" w:name="_Toc9261"/>
      <w:bookmarkStart w:id="340" w:name="_Toc3670"/>
      <w:bookmarkStart w:id="341" w:name="_Toc23666"/>
      <w:bookmarkStart w:id="342" w:name="_Toc22722"/>
      <w:bookmarkStart w:id="343" w:name="_Toc24205"/>
      <w:bookmarkStart w:id="344" w:name="_Toc515647771"/>
      <w:bookmarkStart w:id="345" w:name="_Toc10329"/>
      <w:bookmarkStart w:id="346" w:name="_Toc28730"/>
      <w:bookmarkStart w:id="347" w:name="_Toc19603"/>
      <w:bookmarkStart w:id="348" w:name="_Toc23784"/>
      <w:bookmarkStart w:id="349" w:name="_Toc28149"/>
      <w:bookmarkStart w:id="350" w:name="_Toc5648"/>
      <w:bookmarkStart w:id="351" w:name="_Toc1683"/>
      <w:bookmarkStart w:id="352" w:name="_Toc15349"/>
      <w:r>
        <w:rPr>
          <w:rFonts w:hint="eastAsia" w:ascii="微软雅黑" w:hAnsi="微软雅黑" w:eastAsia="微软雅黑" w:cs="微软雅黑"/>
          <w:color w:val="auto"/>
          <w:highlight w:val="none"/>
          <w:u w:val="none"/>
        </w:rPr>
        <w:t>12.投标保证金</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bookmarkStart w:id="353"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中规定的投标保证金</w:t>
      </w:r>
      <w:bookmarkEnd w:id="353"/>
      <w:r>
        <w:rPr>
          <w:rFonts w:hint="eastAsia" w:ascii="微软雅黑" w:hAnsi="微软雅黑" w:eastAsia="微软雅黑" w:cs="微软雅黑"/>
          <w:color w:val="auto"/>
          <w:sz w:val="24"/>
          <w:highlight w:val="none"/>
        </w:rPr>
        <w:t>，并作为其投标的一部分。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存在下列情形的，投标保证金不予退还：</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（1）在投标有效期内，撤销投标的；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（2）中标后不按本须知第30条的规定与采购人签订合同的；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（3）中标后不按本须知第31条的规定提交履约保证金的；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（4）中标后不按本须知第32条的规定缴纳中标服务费的；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bookmarkStart w:id="354"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354"/>
      <w:r>
        <w:rPr>
          <w:rFonts w:hint="eastAsia" w:ascii="微软雅黑" w:hAnsi="微软雅黑" w:eastAsia="微软雅黑" w:cs="微软雅黑"/>
          <w:color w:val="auto"/>
          <w:sz w:val="24"/>
          <w:highlight w:val="none"/>
        </w:rPr>
        <w:t>政府采购信用担保试点范围内的项目，接受符合财政部门规定的政府采购投标担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原件。</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未按本须知第12.1和12.3条规定提交投标保证金的，其投标将被认定为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投标保证金的退还</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  中标人应在与采购人签订合同之日起5个工作日内，及时联系保证金收受机构办理投标保证金无息退还手续。</w:t>
      </w:r>
    </w:p>
    <w:p>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未中标</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的投标保证金将在中标通知书发出之日暨中标结果公告公布之日起5个工作日内无息退还。</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应及时联系保证金收受机构办理退还投标保证金手续。</w:t>
      </w:r>
    </w:p>
    <w:p>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  政府采购投标担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不予退回。</w:t>
      </w:r>
    </w:p>
    <w:p>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自身原因导致无法及时退还的，采购人或采购代理机构将不承担相应责任。</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355" w:name="_Toc17927"/>
      <w:bookmarkStart w:id="356" w:name="_Toc18019"/>
      <w:bookmarkStart w:id="357" w:name="_Toc3714"/>
      <w:bookmarkStart w:id="358" w:name="_Toc23590"/>
      <w:bookmarkStart w:id="359" w:name="_Toc23657"/>
      <w:bookmarkStart w:id="360" w:name="_Toc30519"/>
      <w:bookmarkStart w:id="361" w:name="_Toc27999"/>
      <w:bookmarkStart w:id="362" w:name="_Toc12947"/>
      <w:bookmarkStart w:id="363" w:name="_Toc19152"/>
      <w:bookmarkStart w:id="364" w:name="_Toc32569"/>
      <w:bookmarkStart w:id="365" w:name="_Toc31306"/>
      <w:bookmarkStart w:id="366" w:name="_Toc3015"/>
      <w:bookmarkStart w:id="367" w:name="_Toc515647772"/>
      <w:bookmarkStart w:id="368" w:name="_Toc13507"/>
      <w:bookmarkStart w:id="369" w:name="_Toc520356157"/>
      <w:bookmarkStart w:id="370" w:name="_Toc32685"/>
      <w:bookmarkStart w:id="371" w:name="_Toc11132"/>
      <w:bookmarkStart w:id="372" w:name="_Toc1255"/>
      <w:bookmarkStart w:id="373" w:name="_Toc13589"/>
      <w:bookmarkStart w:id="374" w:name="_Toc3538"/>
      <w:bookmarkStart w:id="375" w:name="_Toc28650"/>
      <w:bookmarkStart w:id="376" w:name="_Toc1719"/>
      <w:bookmarkStart w:id="377" w:name="_Toc1977"/>
      <w:bookmarkStart w:id="378" w:name="_Toc7349"/>
      <w:bookmarkStart w:id="379" w:name="_Toc520356158"/>
      <w:bookmarkStart w:id="380" w:name="_Toc24787"/>
      <w:bookmarkStart w:id="381" w:name="_Toc29619"/>
      <w:bookmarkStart w:id="382" w:name="_Toc30127"/>
      <w:bookmarkStart w:id="383" w:name="_Toc16503"/>
      <w:bookmarkStart w:id="384" w:name="_Toc515647773"/>
      <w:bookmarkStart w:id="385" w:name="_Toc3558"/>
      <w:bookmarkStart w:id="386" w:name="_Toc6286"/>
      <w:bookmarkStart w:id="387" w:name="_Toc493"/>
      <w:bookmarkStart w:id="388" w:name="_Toc17074"/>
      <w:bookmarkStart w:id="389" w:name="_Toc9672"/>
      <w:bookmarkStart w:id="390" w:name="_Toc10391"/>
      <w:bookmarkStart w:id="391" w:name="_Toc4425"/>
      <w:bookmarkStart w:id="392" w:name="_Toc6302"/>
      <w:bookmarkStart w:id="393" w:name="_Toc27307"/>
      <w:bookmarkStart w:id="394" w:name="_Toc11669"/>
      <w:bookmarkStart w:id="395" w:name="_Toc27840"/>
      <w:bookmarkStart w:id="396" w:name="_Toc87"/>
      <w:bookmarkStart w:id="397" w:name="_Toc11337"/>
      <w:bookmarkStart w:id="398" w:name="_Toc28956"/>
      <w:r>
        <w:rPr>
          <w:rFonts w:hint="eastAsia" w:ascii="微软雅黑" w:hAnsi="微软雅黑" w:eastAsia="微软雅黑" w:cs="微软雅黑"/>
          <w:color w:val="auto"/>
          <w:highlight w:val="none"/>
          <w:u w:val="none"/>
        </w:rPr>
        <w:t>13.投标有效期</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投标应在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中规定时间内保持有效。投标有效期不满足要求的投标，其投标将被认定为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为保证有充分时间签订合同，采购人或采购代理机构可根据实际情况，在原投标有效期截止之前，要求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延长投标文件的有效期。接受该要求的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将不会被要求和允许修正其投标，且本须知中有关投标保证金的要求须在延长的有效期内继续有效。</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可以拒绝延长投标有效期的要求，其投标保证金将及时无息退还。上述要求和答复都应以书面形式提交。</w:t>
      </w:r>
    </w:p>
    <w:p>
      <w:pPr>
        <w:pStyle w:val="8"/>
        <w:shd w:val="clear"/>
        <w:spacing w:before="0" w:after="0" w:line="360" w:lineRule="exact"/>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14.投标文件的签署</w:t>
      </w:r>
      <w:bookmarkEnd w:id="379"/>
      <w:r>
        <w:rPr>
          <w:rFonts w:hint="eastAsia" w:ascii="微软雅黑" w:hAnsi="微软雅黑" w:eastAsia="微软雅黑" w:cs="微软雅黑"/>
          <w:color w:val="auto"/>
          <w:highlight w:val="none"/>
          <w:u w:val="none"/>
        </w:rPr>
        <w:t>及规定</w:t>
      </w:r>
      <w:bookmarkEnd w:id="380"/>
      <w:bookmarkEnd w:id="381"/>
      <w:bookmarkEnd w:id="382"/>
      <w:bookmarkEnd w:id="383"/>
      <w:bookmarkEnd w:id="384"/>
      <w:bookmarkEnd w:id="385"/>
      <w:bookmarkEnd w:id="386"/>
      <w:bookmarkEnd w:id="387"/>
      <w:bookmarkEnd w:id="388"/>
      <w:bookmarkEnd w:id="389"/>
      <w:bookmarkEnd w:id="390"/>
      <w:bookmarkEnd w:id="391"/>
      <w:r>
        <w:rPr>
          <w:rFonts w:hint="eastAsia" w:ascii="微软雅黑" w:hAnsi="微软雅黑" w:eastAsia="微软雅黑" w:cs="微软雅黑"/>
          <w:b/>
          <w:i w:val="0"/>
          <w:caps w:val="0"/>
          <w:color w:val="auto"/>
          <w:spacing w:val="0"/>
          <w:w w:val="100"/>
          <w:sz w:val="24"/>
          <w:highlight w:val="none"/>
          <w:u w:val="single" w:color="000000"/>
          <w:lang w:eastAsia="zh-CN"/>
        </w:rPr>
        <w:t>（</w:t>
      </w:r>
      <w:r>
        <w:rPr>
          <w:rFonts w:hint="eastAsia" w:ascii="微软雅黑" w:hAnsi="微软雅黑" w:eastAsia="微软雅黑" w:cs="微软雅黑"/>
          <w:b/>
          <w:i w:val="0"/>
          <w:caps w:val="0"/>
          <w:color w:val="auto"/>
          <w:spacing w:val="0"/>
          <w:w w:val="100"/>
          <w:sz w:val="24"/>
          <w:highlight w:val="none"/>
          <w:u w:val="single" w:color="000000"/>
          <w:lang w:val="en-US" w:eastAsia="zh-CN"/>
        </w:rPr>
        <w:t>后期邮寄的投标文件</w:t>
      </w:r>
      <w:r>
        <w:rPr>
          <w:rFonts w:hint="eastAsia" w:ascii="微软雅黑" w:hAnsi="微软雅黑" w:eastAsia="微软雅黑" w:cs="微软雅黑"/>
          <w:b/>
          <w:i w:val="0"/>
          <w:caps w:val="0"/>
          <w:color w:val="auto"/>
          <w:spacing w:val="0"/>
          <w:w w:val="100"/>
          <w:sz w:val="24"/>
          <w:highlight w:val="none"/>
          <w:u w:val="single" w:color="000000"/>
          <w:lang w:eastAsia="zh-CN"/>
        </w:rPr>
        <w:t>）</w:t>
      </w:r>
      <w:bookmarkEnd w:id="392"/>
      <w:bookmarkEnd w:id="393"/>
      <w:bookmarkEnd w:id="394"/>
      <w:bookmarkEnd w:id="395"/>
      <w:bookmarkEnd w:id="396"/>
      <w:bookmarkEnd w:id="397"/>
      <w:bookmarkEnd w:id="398"/>
    </w:p>
    <w:p>
      <w:pPr>
        <w:shd w:val="clea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供应商应按供应商须知资料表中的规定，准备和递交</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、磋商报价一览表”。</w:t>
      </w:r>
    </w:p>
    <w:p>
      <w:pPr>
        <w:shd w:val="clea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的正本需打印或用不褪色墨水书写，并由供应商的法定代表人或经其正式委托代理人按</w:t>
      </w:r>
      <w:r>
        <w:rPr>
          <w:rFonts w:hint="eastAsia" w:ascii="微软雅黑" w:hAnsi="微软雅黑" w:eastAsia="微软雅黑" w:cs="微软雅黑"/>
          <w:color w:val="auto"/>
          <w:sz w:val="24"/>
          <w:highlight w:val="none"/>
          <w:lang w:eastAsia="zh-CN"/>
        </w:rPr>
        <w:t>招标文件</w:t>
      </w:r>
      <w:r>
        <w:rPr>
          <w:rFonts w:hint="eastAsia" w:ascii="微软雅黑" w:hAnsi="微软雅黑" w:eastAsia="微软雅黑" w:cs="微软雅黑"/>
          <w:color w:val="auto"/>
          <w:sz w:val="24"/>
          <w:highlight w:val="none"/>
        </w:rPr>
        <w:t>规定在</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上签字或盖章并加盖单位印章。委托代理人须持有书面的“法定代表人授权委托书”，并将其附在</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中。如对</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进行了修改，则应由供应商的法定代表人或其委托代理人在每一修改处签字。</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14.3   </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因字迹潦草、表达不清或装订不当所引起的后果由供应商负责。</w:t>
      </w:r>
      <w:bookmarkStart w:id="399" w:name="_Toc520356159"/>
      <w:bookmarkStart w:id="400" w:name="_Toc515647774"/>
      <w:bookmarkStart w:id="401" w:name="_Toc11179"/>
      <w:bookmarkStart w:id="402" w:name="_Toc216582808"/>
      <w:bookmarkStart w:id="403" w:name="_Toc16865"/>
    </w:p>
    <w:p>
      <w:pPr>
        <w:pStyle w:val="19"/>
        <w:rPr>
          <w:rFonts w:hint="eastAsia" w:ascii="微软雅黑" w:hAnsi="微软雅黑" w:eastAsia="微软雅黑" w:cs="微软雅黑"/>
          <w:color w:val="auto"/>
          <w:sz w:val="24"/>
          <w:highlight w:val="none"/>
        </w:rPr>
      </w:pPr>
    </w:p>
    <w:p>
      <w:pPr>
        <w:pStyle w:val="7"/>
        <w:shd w:val="clear"/>
        <w:spacing w:before="0" w:line="360" w:lineRule="exact"/>
        <w:ind w:hanging="540"/>
        <w:rPr>
          <w:rFonts w:hint="eastAsia" w:ascii="微软雅黑" w:hAnsi="微软雅黑" w:eastAsia="微软雅黑" w:cs="微软雅黑"/>
          <w:color w:val="auto"/>
          <w:sz w:val="24"/>
          <w:highlight w:val="none"/>
        </w:rPr>
      </w:pPr>
      <w:bookmarkStart w:id="404" w:name="_Toc30935"/>
      <w:bookmarkStart w:id="405" w:name="_Toc25125"/>
      <w:bookmarkStart w:id="406" w:name="_Toc17691"/>
      <w:r>
        <w:rPr>
          <w:rFonts w:hint="eastAsia" w:ascii="微软雅黑" w:hAnsi="微软雅黑" w:eastAsia="微软雅黑" w:cs="微软雅黑"/>
          <w:color w:val="auto"/>
          <w:sz w:val="24"/>
          <w:highlight w:val="none"/>
        </w:rPr>
        <w:t>四   投标文件的递交</w:t>
      </w:r>
      <w:bookmarkEnd w:id="399"/>
      <w:bookmarkEnd w:id="400"/>
      <w:bookmarkEnd w:id="401"/>
      <w:bookmarkEnd w:id="402"/>
      <w:bookmarkEnd w:id="403"/>
      <w:bookmarkEnd w:id="404"/>
      <w:bookmarkEnd w:id="405"/>
      <w:bookmarkEnd w:id="406"/>
    </w:p>
    <w:p>
      <w:pPr>
        <w:rPr>
          <w:rFonts w:hint="eastAsia" w:ascii="微软雅黑" w:hAnsi="微软雅黑" w:eastAsia="微软雅黑" w:cs="微软雅黑"/>
          <w:color w:val="auto"/>
          <w:highlight w:val="none"/>
        </w:rPr>
      </w:pPr>
    </w:p>
    <w:p>
      <w:pPr>
        <w:numPr>
          <w:ilvl w:val="0"/>
          <w:numId w:val="5"/>
        </w:numPr>
        <w:shd w:val="clear"/>
        <w:spacing w:line="360" w:lineRule="exact"/>
        <w:outlineLvl w:val="2"/>
        <w:rPr>
          <w:rFonts w:hint="eastAsia" w:ascii="微软雅黑" w:hAnsi="微软雅黑" w:eastAsia="微软雅黑" w:cs="微软雅黑"/>
          <w:color w:val="auto"/>
          <w:sz w:val="24"/>
          <w:highlight w:val="none"/>
        </w:rPr>
      </w:pPr>
      <w:bookmarkStart w:id="407" w:name="_Toc23034"/>
      <w:bookmarkStart w:id="408" w:name="_Toc7697"/>
      <w:bookmarkStart w:id="409" w:name="_Toc9893"/>
      <w:bookmarkStart w:id="410" w:name="_Toc7925"/>
      <w:bookmarkStart w:id="411" w:name="_Toc17998"/>
      <w:bookmarkStart w:id="412" w:name="_Toc24708"/>
      <w:r>
        <w:rPr>
          <w:rFonts w:hint="eastAsia" w:ascii="微软雅黑" w:hAnsi="微软雅黑" w:eastAsia="微软雅黑" w:cs="微软雅黑"/>
          <w:color w:val="auto"/>
          <w:sz w:val="24"/>
          <w:highlight w:val="none"/>
          <w:lang w:val="en-US" w:eastAsia="zh-CN"/>
        </w:rPr>
        <w:t xml:space="preserve">  </w:t>
      </w:r>
      <w:bookmarkStart w:id="413" w:name="_Toc8129"/>
      <w:bookmarkStart w:id="414" w:name="_Toc26050"/>
      <w:bookmarkStart w:id="415" w:name="_Toc5761"/>
      <w:bookmarkStart w:id="416" w:name="_Toc2920"/>
      <w:bookmarkStart w:id="417" w:name="_Toc8561"/>
      <w:bookmarkStart w:id="418" w:name="_Toc14401"/>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的密封和标记</w:t>
      </w:r>
      <w:r>
        <w:rPr>
          <w:rFonts w:hint="eastAsia" w:ascii="微软雅黑" w:hAnsi="微软雅黑" w:eastAsia="微软雅黑" w:cs="微软雅黑"/>
          <w:b/>
          <w:i w:val="0"/>
          <w:caps w:val="0"/>
          <w:color w:val="auto"/>
          <w:spacing w:val="0"/>
          <w:w w:val="100"/>
          <w:sz w:val="24"/>
          <w:highlight w:val="none"/>
          <w:u w:val="single" w:color="000000"/>
          <w:lang w:eastAsia="zh-CN"/>
        </w:rPr>
        <w:t>（</w:t>
      </w:r>
      <w:r>
        <w:rPr>
          <w:rFonts w:hint="eastAsia" w:ascii="微软雅黑" w:hAnsi="微软雅黑" w:eastAsia="微软雅黑" w:cs="微软雅黑"/>
          <w:b/>
          <w:i w:val="0"/>
          <w:caps w:val="0"/>
          <w:color w:val="auto"/>
          <w:spacing w:val="0"/>
          <w:w w:val="100"/>
          <w:sz w:val="24"/>
          <w:highlight w:val="none"/>
          <w:u w:val="single" w:color="000000"/>
          <w:lang w:val="en-US" w:eastAsia="zh-CN"/>
        </w:rPr>
        <w:t>后期邮寄的投标文件</w:t>
      </w:r>
      <w:r>
        <w:rPr>
          <w:rFonts w:hint="eastAsia" w:ascii="微软雅黑" w:hAnsi="微软雅黑" w:eastAsia="微软雅黑" w:cs="微软雅黑"/>
          <w:b/>
          <w:i w:val="0"/>
          <w:caps w:val="0"/>
          <w:color w:val="auto"/>
          <w:spacing w:val="0"/>
          <w:w w:val="100"/>
          <w:sz w:val="24"/>
          <w:highlight w:val="none"/>
          <w:u w:val="single" w:color="000000"/>
          <w:lang w:eastAsia="zh-CN"/>
        </w:rPr>
        <w:t>）</w:t>
      </w:r>
      <w:bookmarkEnd w:id="413"/>
      <w:bookmarkEnd w:id="414"/>
      <w:bookmarkEnd w:id="415"/>
      <w:bookmarkEnd w:id="416"/>
      <w:bookmarkEnd w:id="417"/>
      <w:bookmarkEnd w:id="418"/>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15.1  为方便开启，供应商应将</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第一部分和第二部分的内容合并装订成一册，密封提交，并在封皮正面标明“</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”字样。</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如果供应商未按上述要求标记的，将承担相应的后果。</w:t>
      </w:r>
    </w:p>
    <w:p>
      <w:pPr>
        <w:shd w:val="clear"/>
        <w:spacing w:line="360" w:lineRule="exact"/>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w:t>
      </w:r>
      <w:bookmarkEnd w:id="407"/>
      <w:bookmarkEnd w:id="408"/>
      <w:bookmarkEnd w:id="409"/>
      <w:bookmarkEnd w:id="410"/>
      <w:bookmarkEnd w:id="411"/>
      <w:bookmarkEnd w:id="412"/>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供应商应在供应商须知资料表中规定的</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截止时间前，将</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上传到</w:t>
      </w:r>
      <w:r>
        <w:rPr>
          <w:rFonts w:hint="eastAsia" w:ascii="微软雅黑" w:hAnsi="微软雅黑" w:eastAsia="微软雅黑" w:cs="微软雅黑"/>
          <w:color w:val="auto"/>
          <w:sz w:val="24"/>
          <w:highlight w:val="none"/>
          <w:lang w:val="en-US" w:eastAsia="zh-CN"/>
        </w:rPr>
        <w:t>公开招标</w:t>
      </w:r>
      <w:r>
        <w:rPr>
          <w:rFonts w:hint="eastAsia" w:ascii="微软雅黑" w:hAnsi="微软雅黑" w:eastAsia="微软雅黑" w:cs="微软雅黑"/>
          <w:color w:val="auto"/>
          <w:sz w:val="24"/>
          <w:highlight w:val="none"/>
        </w:rPr>
        <w:t>公告中规定的地点。</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截止时间。在此情况下，采购人、采购代理机构和供应商受</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截止时间制约的所有权利和义务均应延长至新的截止时间。</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截止时间后上传的</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w:t>
      </w:r>
    </w:p>
    <w:p>
      <w:pPr>
        <w:shd w:val="clear"/>
        <w:spacing w:line="360" w:lineRule="exact"/>
        <w:outlineLvl w:val="2"/>
        <w:rPr>
          <w:rFonts w:hint="eastAsia" w:ascii="微软雅黑" w:hAnsi="微软雅黑" w:eastAsia="微软雅黑" w:cs="微软雅黑"/>
          <w:color w:val="auto"/>
          <w:sz w:val="24"/>
          <w:highlight w:val="none"/>
        </w:rPr>
      </w:pPr>
      <w:bookmarkStart w:id="419" w:name="_Toc29765"/>
      <w:bookmarkStart w:id="420" w:name="_Toc11854"/>
      <w:bookmarkStart w:id="421" w:name="_Toc23097"/>
      <w:bookmarkStart w:id="422" w:name="_Toc22638"/>
      <w:bookmarkStart w:id="423" w:name="_Toc79"/>
      <w:bookmarkStart w:id="424" w:name="_Toc27778"/>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的接收、修改与撤回</w:t>
      </w:r>
      <w:bookmarkEnd w:id="419"/>
      <w:bookmarkEnd w:id="420"/>
      <w:bookmarkEnd w:id="421"/>
      <w:bookmarkEnd w:id="422"/>
      <w:bookmarkEnd w:id="423"/>
      <w:bookmarkEnd w:id="424"/>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截止时间后上传的</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的，采购人和采购代理机构将拒绝接收。</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上传</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以后，如果供应商要进行修改或撤回磋商，供应商对</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的修改或撤回通知应按本须知规定编制、标记。采购人和采购代理机构将予以接收，并视为</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的组成部分。</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截止期之后，采购人和采购代理机构不接受供应商主动对其</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做任何修改。</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微软雅黑" w:hAnsi="微软雅黑" w:eastAsia="微软雅黑" w:cs="微软雅黑"/>
          <w:color w:val="auto"/>
          <w:sz w:val="24"/>
          <w:highlight w:val="none"/>
        </w:rPr>
      </w:pPr>
      <w:bookmarkStart w:id="425" w:name="_Toc15915"/>
      <w:bookmarkStart w:id="426" w:name="_Toc7470"/>
      <w:bookmarkStart w:id="427" w:name="_Toc12436"/>
      <w:bookmarkStart w:id="428" w:name="_Toc515647778"/>
      <w:bookmarkStart w:id="429" w:name="_Toc216582809"/>
      <w:bookmarkStart w:id="430" w:name="_Toc28398"/>
      <w:bookmarkStart w:id="431" w:name="_Toc520356163"/>
    </w:p>
    <w:p>
      <w:pPr>
        <w:pStyle w:val="7"/>
        <w:pageBreakBefore w:val="0"/>
        <w:widowControl w:val="0"/>
        <w:kinsoku/>
        <w:wordWrap/>
        <w:overflowPunct/>
        <w:topLinePunct w:val="0"/>
        <w:bidi w:val="0"/>
        <w:spacing w:before="0" w:line="360" w:lineRule="exact"/>
        <w:ind w:left="0" w:leftChars="0" w:hanging="540"/>
        <w:textAlignment w:val="auto"/>
        <w:rPr>
          <w:rFonts w:hint="eastAsia" w:ascii="微软雅黑" w:hAnsi="微软雅黑" w:eastAsia="微软雅黑" w:cs="微软雅黑"/>
          <w:color w:val="auto"/>
          <w:sz w:val="24"/>
          <w:highlight w:val="none"/>
        </w:rPr>
      </w:pPr>
      <w:bookmarkStart w:id="432" w:name="_Toc31294"/>
      <w:r>
        <w:rPr>
          <w:rFonts w:hint="eastAsia" w:ascii="微软雅黑" w:hAnsi="微软雅黑" w:eastAsia="微软雅黑" w:cs="微软雅黑"/>
          <w:color w:val="auto"/>
          <w:sz w:val="24"/>
          <w:highlight w:val="none"/>
        </w:rPr>
        <w:t>五   开标及评标</w:t>
      </w:r>
      <w:bookmarkEnd w:id="425"/>
      <w:bookmarkEnd w:id="426"/>
      <w:bookmarkEnd w:id="427"/>
      <w:bookmarkEnd w:id="428"/>
      <w:bookmarkEnd w:id="429"/>
      <w:bookmarkEnd w:id="430"/>
      <w:bookmarkEnd w:id="431"/>
      <w:bookmarkEnd w:id="432"/>
    </w:p>
    <w:p>
      <w:pPr>
        <w:rPr>
          <w:rFonts w:hint="eastAsia" w:ascii="微软雅黑" w:hAnsi="微软雅黑" w:eastAsia="微软雅黑" w:cs="微软雅黑"/>
          <w:color w:val="auto"/>
          <w:highlight w:val="none"/>
        </w:rPr>
      </w:pPr>
    </w:p>
    <w:p>
      <w:pPr>
        <w:pStyle w:val="8"/>
        <w:numPr>
          <w:ilvl w:val="0"/>
          <w:numId w:val="0"/>
        </w:numPr>
        <w:shd w:val="clear" w:color="auto" w:fill="auto"/>
        <w:spacing w:before="0" w:line="360" w:lineRule="exact"/>
        <w:rPr>
          <w:rFonts w:hint="eastAsia" w:ascii="微软雅黑" w:hAnsi="微软雅黑" w:eastAsia="微软雅黑" w:cs="微软雅黑"/>
          <w:color w:val="auto"/>
          <w:highlight w:val="none"/>
        </w:rPr>
      </w:pPr>
      <w:bookmarkStart w:id="433" w:name="_Toc10415"/>
      <w:bookmarkStart w:id="434" w:name="_Toc17121"/>
      <w:bookmarkStart w:id="435" w:name="_Toc515647779"/>
      <w:bookmarkStart w:id="436" w:name="_Toc30037"/>
      <w:bookmarkStart w:id="437" w:name="_Toc23772"/>
      <w:bookmarkStart w:id="438" w:name="_Toc2886"/>
      <w:bookmarkStart w:id="439" w:name="_Toc21418"/>
      <w:bookmarkStart w:id="440" w:name="_Toc4771"/>
      <w:bookmarkStart w:id="441" w:name="_Toc25345"/>
      <w:bookmarkStart w:id="442" w:name="_Toc9432"/>
      <w:bookmarkStart w:id="443" w:name="_Toc5825"/>
      <w:bookmarkStart w:id="444" w:name="_Toc28057"/>
      <w:bookmarkStart w:id="445" w:name="_Toc32409"/>
      <w:bookmarkStart w:id="446" w:name="_Toc7186"/>
      <w:bookmarkStart w:id="447" w:name="_Toc3110"/>
      <w:bookmarkStart w:id="448" w:name="_Toc11726"/>
      <w:bookmarkStart w:id="449" w:name="_Toc24922"/>
      <w:bookmarkStart w:id="450" w:name="_Toc29791"/>
      <w:bookmarkStart w:id="451" w:name="_Toc1738"/>
      <w:bookmarkStart w:id="452" w:name="_Toc17233"/>
      <w:bookmarkStart w:id="453" w:name="_Toc23987"/>
      <w:bookmarkStart w:id="454" w:name="_Toc520356164"/>
      <w:bookmarkStart w:id="455" w:name="_Toc63"/>
      <w:bookmarkStart w:id="456" w:name="_Toc520356165"/>
      <w:bookmarkStart w:id="457" w:name="_Toc18228"/>
      <w:bookmarkStart w:id="458" w:name="_Toc5052"/>
      <w:bookmarkStart w:id="459" w:name="_Toc22770"/>
      <w:bookmarkStart w:id="460" w:name="_Toc2316"/>
      <w:bookmarkStart w:id="461" w:name="_Toc10746"/>
      <w:bookmarkStart w:id="462" w:name="_Toc10550"/>
      <w:bookmarkStart w:id="463" w:name="_Toc21667"/>
      <w:bookmarkStart w:id="464" w:name="_Toc26266"/>
      <w:bookmarkStart w:id="465" w:name="_Toc28586"/>
      <w:bookmarkStart w:id="466" w:name="_Toc22792"/>
      <w:bookmarkStart w:id="467" w:name="_Toc3080"/>
      <w:bookmarkStart w:id="468" w:name="_Toc4063"/>
      <w:bookmarkStart w:id="469" w:name="_Toc515647780"/>
      <w:bookmarkStart w:id="470" w:name="_Toc18233"/>
      <w:bookmarkStart w:id="471" w:name="_Toc19296"/>
      <w:bookmarkStart w:id="472" w:name="_Toc21372"/>
      <w:bookmarkStart w:id="473" w:name="_Toc16864"/>
      <w:r>
        <w:rPr>
          <w:rFonts w:hint="eastAsia" w:ascii="微软雅黑" w:hAnsi="微软雅黑" w:eastAsia="微软雅黑" w:cs="微软雅黑"/>
          <w:color w:val="auto"/>
          <w:highlight w:val="none"/>
          <w:u w:val="none"/>
          <w:lang w:val="en-US" w:eastAsia="zh-CN"/>
        </w:rPr>
        <w:t>18.</w:t>
      </w:r>
      <w:r>
        <w:rPr>
          <w:rFonts w:hint="eastAsia" w:ascii="微软雅黑" w:hAnsi="微软雅黑" w:eastAsia="微软雅黑" w:cs="微软雅黑"/>
          <w:color w:val="auto"/>
          <w:highlight w:val="none"/>
          <w:u w:val="none"/>
        </w:rPr>
        <w:t>开标</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18.1</w:t>
      </w: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须知资料表中规定的开标时间和地点组织公开开标并邀请所有</w:t>
      </w: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代表参加。</w:t>
      </w:r>
    </w:p>
    <w:p>
      <w:pPr>
        <w:keepNext w:val="0"/>
        <w:keepLines w:val="0"/>
        <w:pageBreakBefore w:val="0"/>
        <w:widowControl w:val="0"/>
        <w:shd w:val="clear" w:color="auto" w:fill="auto"/>
        <w:kinsoku/>
        <w:wordWrap/>
        <w:overflowPunct/>
        <w:topLinePunct w:val="0"/>
        <w:bidi w:val="0"/>
        <w:snapToGrid/>
        <w:spacing w:line="387" w:lineRule="exact"/>
        <w:ind w:left="958" w:leftChars="456" w:firstLine="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18.2   </w:t>
      </w:r>
      <w:r>
        <w:rPr>
          <w:rFonts w:hint="eastAsia" w:ascii="微软雅黑" w:hAnsi="微软雅黑" w:eastAsia="微软雅黑" w:cs="微软雅黑"/>
          <w:color w:val="auto"/>
          <w:sz w:val="24"/>
          <w:highlight w:val="none"/>
          <w:lang w:val="en-US" w:eastAsia="zh-CN"/>
        </w:rPr>
        <w:t>供应商按照</w:t>
      </w:r>
      <w:r>
        <w:rPr>
          <w:rFonts w:hint="eastAsia" w:ascii="微软雅黑" w:hAnsi="微软雅黑" w:eastAsia="微软雅黑" w:cs="微软雅黑"/>
          <w:color w:val="auto"/>
          <w:sz w:val="24"/>
          <w:highlight w:val="none"/>
        </w:rPr>
        <w:t>须知资料表中规定的开标时间和地点</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在规定时间内上传投标文件</w:t>
      </w:r>
      <w:r>
        <w:rPr>
          <w:rFonts w:hint="eastAsia" w:ascii="微软雅黑" w:hAnsi="微软雅黑" w:eastAsia="微软雅黑" w:cs="微软雅黑"/>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18.3   </w:t>
      </w: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lang w:val="en-US" w:eastAsia="zh-CN"/>
        </w:rPr>
        <w:t>在规定时间内度投标文件进行</w:t>
      </w:r>
      <w:r>
        <w:rPr>
          <w:rFonts w:hint="eastAsia" w:ascii="微软雅黑" w:hAnsi="微软雅黑" w:eastAsia="微软雅黑" w:cs="微软雅黑"/>
          <w:b/>
          <w:bCs/>
          <w:color w:val="auto"/>
          <w:sz w:val="24"/>
          <w:highlight w:val="none"/>
          <w:lang w:val="en-US" w:eastAsia="zh-CN"/>
        </w:rPr>
        <w:t>解密，时长为30分钟</w:t>
      </w:r>
      <w:r>
        <w:rPr>
          <w:rFonts w:hint="eastAsia" w:ascii="微软雅黑" w:hAnsi="微软雅黑" w:eastAsia="微软雅黑" w:cs="微软雅黑"/>
          <w:color w:val="auto"/>
          <w:sz w:val="24"/>
          <w:highlight w:val="none"/>
          <w:lang w:val="en-US" w:eastAsia="zh-CN"/>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18.4   由</w:t>
      </w: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lang w:val="en-US" w:eastAsia="zh-CN"/>
        </w:rPr>
        <w:t>开启开标记录</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须</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在政采云平台对报价进行签字确认</w:t>
      </w:r>
      <w:r>
        <w:rPr>
          <w:rFonts w:hint="eastAsia" w:ascii="微软雅黑" w:hAnsi="微软雅黑" w:eastAsia="微软雅黑" w:cs="微软雅黑"/>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2"/>
        <w:rPr>
          <w:rFonts w:hint="eastAsia" w:ascii="微软雅黑" w:hAnsi="微软雅黑" w:eastAsia="微软雅黑" w:cs="微软雅黑"/>
          <w:color w:val="auto"/>
          <w:sz w:val="24"/>
          <w:highlight w:val="none"/>
          <w:lang w:eastAsia="zh-CN"/>
        </w:rPr>
      </w:pPr>
      <w:bookmarkStart w:id="474" w:name="_Toc11958"/>
      <w:bookmarkStart w:id="475" w:name="_Toc25205"/>
      <w:bookmarkStart w:id="476" w:name="_Toc29231"/>
      <w:bookmarkStart w:id="477" w:name="_Toc29637"/>
      <w:bookmarkStart w:id="478" w:name="_Toc6774"/>
      <w:bookmarkStart w:id="479" w:name="_Toc27046"/>
      <w:r>
        <w:rPr>
          <w:rFonts w:hint="eastAsia" w:ascii="微软雅黑" w:hAnsi="微软雅黑" w:eastAsia="微软雅黑" w:cs="微软雅黑"/>
          <w:color w:val="auto"/>
          <w:sz w:val="24"/>
          <w:highlight w:val="none"/>
          <w:lang w:eastAsia="zh-CN"/>
        </w:rPr>
        <w:t>19.</w:t>
      </w:r>
      <w:bookmarkEnd w:id="456"/>
      <w:r>
        <w:rPr>
          <w:rFonts w:hint="eastAsia" w:ascii="微软雅黑" w:hAnsi="微软雅黑" w:eastAsia="微软雅黑" w:cs="微软雅黑"/>
          <w:color w:val="auto"/>
          <w:sz w:val="24"/>
          <w:highlight w:val="none"/>
          <w:lang w:eastAsia="zh-CN"/>
        </w:rPr>
        <w:t>资格审查及组建评标委员会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19.1</w:t>
      </w:r>
      <w:r>
        <w:rPr>
          <w:rFonts w:hint="eastAsia" w:ascii="微软雅黑" w:hAnsi="微软雅黑" w:eastAsia="微软雅黑" w:cs="微软雅黑"/>
          <w:color w:val="auto"/>
          <w:sz w:val="24"/>
          <w:highlight w:val="none"/>
          <w:lang w:eastAsia="zh-CN"/>
        </w:rPr>
        <w:t xml:space="preserve"> 采购人或采购代理机构依据法律法规和招标文件中规定的内容，对供应商及其服务的资格进行审查，本项目审查内容如下：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18" w:leftChars="342" w:firstLine="0" w:firstLineChars="0"/>
        <w:jc w:val="both"/>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i w:val="0"/>
          <w:caps w:val="0"/>
          <w:color w:val="auto"/>
          <w:spacing w:val="0"/>
          <w:w w:val="100"/>
          <w:sz w:val="24"/>
          <w:highlight w:val="none"/>
        </w:rPr>
        <w:t>本项目</w:t>
      </w:r>
      <w:r>
        <w:rPr>
          <w:rFonts w:hint="eastAsia" w:ascii="微软雅黑" w:hAnsi="微软雅黑" w:eastAsia="微软雅黑" w:cs="微软雅黑"/>
          <w:b/>
          <w:bCs/>
          <w:i w:val="0"/>
          <w:caps w:val="0"/>
          <w:color w:val="auto"/>
          <w:spacing w:val="0"/>
          <w:w w:val="100"/>
          <w:sz w:val="24"/>
          <w:highlight w:val="none"/>
          <w:lang w:val="en-US" w:eastAsia="zh-CN"/>
        </w:rPr>
        <w:t>资格审查资料须附在投标文件中</w:t>
      </w:r>
      <w:r>
        <w:rPr>
          <w:rFonts w:hint="eastAsia" w:ascii="微软雅黑" w:hAnsi="微软雅黑" w:eastAsia="微软雅黑" w:cs="微软雅黑"/>
          <w:b/>
          <w:bCs/>
          <w:i w:val="0"/>
          <w:caps w:val="0"/>
          <w:color w:val="auto"/>
          <w:spacing w:val="0"/>
          <w:w w:val="100"/>
          <w:sz w:val="24"/>
          <w:highlight w:val="none"/>
        </w:rPr>
        <w:t>：</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1、具有有效的营业执照；</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2、提供法定代表人资格证明及授权书、被授权人身份证；(法定代表人投标需提供法定代表人身份证)；</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3、具有有效的《兽药经营许可证》或《兽药生产许可证》；</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4、提近两年任意一年的财务审计报告，新成立的公司提供近三个月内任意一个月的银行资信证明；</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5、提供依法缴纳近6个月内任意1个月社会保险的证明；</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6、提供依法缴纳近6个月内任意1个月的税收证明；</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国家企业信用信息公示系统（http://www.gsxt.gov.cn）”列入严重违法失信企业名单（黑名单）信息截图；将拒绝其参加本次招标活动；</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8、提供参与政府采购活动前3年内未被列入失信、重大税收违法案件、财政部门禁止参加政府采购活动的承诺书；</w:t>
      </w:r>
    </w:p>
    <w:p>
      <w:pPr>
        <w:pStyle w:val="19"/>
        <w:ind w:firstLine="720" w:firstLineChars="3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9、提供针对本次项目《反商业贿赂承诺书》。</w:t>
      </w:r>
    </w:p>
    <w:p>
      <w:pPr>
        <w:pStyle w:val="19"/>
        <w:ind w:firstLine="720" w:firstLineChars="300"/>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10、提供缴纳投标保证金有效凭证。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注：1、“</w:t>
      </w:r>
      <w:r>
        <w:rPr>
          <w:rFonts w:hint="eastAsia" w:ascii="微软雅黑" w:hAnsi="微软雅黑" w:eastAsia="微软雅黑" w:cs="微软雅黑"/>
          <w:b/>
          <w:bCs/>
          <w:i w:val="0"/>
          <w:caps w:val="0"/>
          <w:color w:val="auto"/>
          <w:spacing w:val="0"/>
          <w:w w:val="100"/>
          <w:sz w:val="24"/>
          <w:szCs w:val="24"/>
          <w:highlight w:val="none"/>
          <w:lang w:val="en-US" w:eastAsia="zh-CN"/>
        </w:rPr>
        <w:t>提供依法缴纳近6个月内任意1个月的税收证明</w:t>
      </w:r>
      <w:r>
        <w:rPr>
          <w:rFonts w:hint="eastAsia" w:ascii="微软雅黑" w:hAnsi="微软雅黑" w:eastAsia="微软雅黑" w:cs="微软雅黑"/>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未通过资格审查的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不进入评标；通过资格审查的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   采购人或采购代理机构将在开标前1个工作日至投标截止后1小时的期间内查询</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的信用记录。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存在不良信用记录的，其投标将被认定为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 不良信用记录指：</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58" w:leftChars="456"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4"/>
        <w:pageBreakBefore w:val="0"/>
        <w:widowControl w:val="0"/>
        <w:kinsoku/>
        <w:wordWrap/>
        <w:overflowPunct/>
        <w:topLinePunct w:val="0"/>
        <w:bidi w:val="0"/>
        <w:spacing w:line="360" w:lineRule="exact"/>
        <w:ind w:left="849" w:leftChars="0" w:hanging="849" w:hangingChars="354"/>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19.2.2 查询及记录方式：采购人或采购代理机构经办人将查询网页打印、签字并存档备查。</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不良信用记录以采购人或采购代理机构查询结果为准。</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在本招标文件规定的查询时间之后，网站信息发生的任何变更均不再作为评标依据。</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eastAsia="zh-CN"/>
        </w:rPr>
        <w:t>供应商</w:t>
      </w:r>
      <w:r>
        <w:rPr>
          <w:rFonts w:hint="eastAsia" w:ascii="微软雅黑" w:hAnsi="微软雅黑" w:eastAsia="微软雅黑" w:cs="微软雅黑"/>
          <w:b/>
          <w:bCs/>
          <w:color w:val="auto"/>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19.3   按照《中华人民共和国政府采购法》、《中华人民共和国政府采购法实施条例》</w:t>
      </w:r>
      <w:r>
        <w:rPr>
          <w:rFonts w:hint="eastAsia" w:ascii="微软雅黑" w:hAnsi="微软雅黑" w:eastAsia="微软雅黑" w:cs="微软雅黑"/>
          <w:color w:val="auto"/>
          <w:sz w:val="24"/>
          <w:highlight w:val="none"/>
          <w:lang w:eastAsia="zh-CN"/>
        </w:rPr>
        <w:t>、《政府采购货物和服务招标投标管理办法》财政部令第87号</w:t>
      </w:r>
      <w:r>
        <w:rPr>
          <w:rFonts w:hint="eastAsia" w:ascii="微软雅黑" w:hAnsi="微软雅黑" w:eastAsia="微软雅黑" w:cs="微软雅黑"/>
          <w:color w:val="auto"/>
          <w:sz w:val="24"/>
          <w:highlight w:val="none"/>
        </w:rPr>
        <w:t>及本项目本级和上级财政部门的有关规定依法</w:t>
      </w:r>
      <w:bookmarkStart w:id="480" w:name="_Toc520356166"/>
      <w:r>
        <w:rPr>
          <w:rFonts w:hint="eastAsia" w:ascii="微软雅黑" w:hAnsi="微软雅黑" w:eastAsia="微软雅黑" w:cs="微软雅黑"/>
          <w:color w:val="auto"/>
          <w:sz w:val="24"/>
          <w:highlight w:val="none"/>
          <w:lang w:eastAsia="zh-CN"/>
        </w:rPr>
        <w:t>在</w:t>
      </w:r>
      <w:r>
        <w:rPr>
          <w:rFonts w:hint="eastAsia" w:ascii="微软雅黑" w:hAnsi="微软雅黑" w:eastAsia="微软雅黑" w:cs="微软雅黑"/>
          <w:b/>
          <w:bCs/>
          <w:color w:val="auto"/>
          <w:sz w:val="24"/>
          <w:highlight w:val="none"/>
          <w:lang w:eastAsia="zh-CN"/>
        </w:rPr>
        <w:t>政采云平台上随机抽取</w:t>
      </w:r>
      <w:r>
        <w:rPr>
          <w:rFonts w:hint="eastAsia" w:ascii="微软雅黑" w:hAnsi="微软雅黑" w:eastAsia="微软雅黑" w:cs="微软雅黑"/>
          <w:b/>
          <w:bCs/>
          <w:color w:val="auto"/>
          <w:sz w:val="24"/>
          <w:highlight w:val="none"/>
          <w:lang w:val="en-US" w:eastAsia="zh-CN"/>
        </w:rPr>
        <w:t>3</w:t>
      </w:r>
      <w:r>
        <w:rPr>
          <w:rFonts w:hint="eastAsia" w:ascii="微软雅黑" w:hAnsi="微软雅黑" w:eastAsia="微软雅黑" w:cs="微软雅黑"/>
          <w:b/>
          <w:bCs/>
          <w:color w:val="auto"/>
          <w:sz w:val="24"/>
          <w:highlight w:val="none"/>
        </w:rPr>
        <w:t>名评标委员会成员</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color w:val="auto"/>
          <w:sz w:val="24"/>
          <w:highlight w:val="none"/>
        </w:rPr>
        <w:t>负责评标工作。</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Cs/>
          <w:color w:val="auto"/>
          <w:highlight w:val="none"/>
          <w:bdr w:val="single" w:color="auto" w:sz="4" w:space="0"/>
        </w:rPr>
      </w:pPr>
      <w:bookmarkStart w:id="481" w:name="_Toc29187"/>
      <w:bookmarkStart w:id="482" w:name="_Toc19949"/>
      <w:bookmarkStart w:id="483" w:name="_Toc13828"/>
      <w:bookmarkStart w:id="484" w:name="_Toc8432"/>
      <w:bookmarkStart w:id="485" w:name="_Toc13892"/>
      <w:bookmarkStart w:id="486" w:name="_Toc3936"/>
      <w:bookmarkStart w:id="487" w:name="_Toc7309"/>
      <w:bookmarkStart w:id="488" w:name="_Toc22736"/>
      <w:bookmarkStart w:id="489" w:name="_Toc19094"/>
      <w:bookmarkStart w:id="490" w:name="_Toc14028"/>
      <w:bookmarkStart w:id="491" w:name="_Toc22021"/>
      <w:bookmarkStart w:id="492" w:name="_Toc28479"/>
      <w:bookmarkStart w:id="493" w:name="_Toc827"/>
      <w:bookmarkStart w:id="494" w:name="_Toc13448"/>
      <w:bookmarkStart w:id="495" w:name="_Toc21920"/>
      <w:bookmarkStart w:id="496" w:name="_Toc32378"/>
      <w:bookmarkStart w:id="497" w:name="_Toc31534"/>
      <w:bookmarkStart w:id="498" w:name="_Toc14377"/>
      <w:bookmarkStart w:id="499" w:name="_Toc21876"/>
      <w:bookmarkStart w:id="500" w:name="_Toc5870"/>
      <w:bookmarkStart w:id="501" w:name="_Toc15121"/>
      <w:bookmarkStart w:id="502" w:name="_Toc4062"/>
      <w:bookmarkStart w:id="503" w:name="_Toc4413"/>
      <w:bookmarkStart w:id="504" w:name="_Toc515647781"/>
      <w:r>
        <w:rPr>
          <w:rFonts w:hint="eastAsia" w:ascii="微软雅黑" w:hAnsi="微软雅黑" w:eastAsia="微软雅黑" w:cs="微软雅黑"/>
          <w:color w:val="auto"/>
          <w:highlight w:val="none"/>
          <w:u w:val="none"/>
        </w:rPr>
        <w:t>20.投标文件</w:t>
      </w:r>
      <w:bookmarkEnd w:id="480"/>
      <w:r>
        <w:rPr>
          <w:rFonts w:hint="eastAsia" w:ascii="微软雅黑" w:hAnsi="微软雅黑" w:eastAsia="微软雅黑" w:cs="微软雅黑"/>
          <w:color w:val="auto"/>
          <w:highlight w:val="none"/>
          <w:u w:val="none"/>
        </w:rPr>
        <w:t>符合性审查与澄清</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符合性审查是指依据招标文件的规定，从投标文件的有效性和完整性对招标文件的响应程度进行审查，以确定是否对招标文件的实质性要求做出响应。</w:t>
      </w:r>
      <w:bookmarkStart w:id="505" w:name="_Hlt522424701"/>
      <w:bookmarkEnd w:id="505"/>
      <w:bookmarkStart w:id="506"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在评标期间，评标委员会将以书面方式要求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对其投标文件中含义不明确、对同类问题表述不一致或者有明显文字和计算错误的内容，以及评标委员会认为</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的报价明显低于其他通过符合性检查</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的报价，有可能影响履约的情况作必要的澄清、说明或补正。</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20.2.2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（二）大写金额和小写金额不一致的，</w:t>
      </w:r>
      <w:r>
        <w:rPr>
          <w:rFonts w:hint="eastAsia" w:ascii="微软雅黑" w:hAnsi="微软雅黑" w:eastAsia="微软雅黑" w:cs="微软雅黑"/>
          <w:b/>
          <w:bCs/>
          <w:color w:val="auto"/>
          <w:sz w:val="24"/>
          <w:highlight w:val="none"/>
        </w:rPr>
        <w:t>以大写金额为准</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1020" w:leftChars="0" w:hanging="1020" w:hangingChars="4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同时出现两种以上不一致的，按照前款规定的顺序修正。修正后的报价按照第20.2条的规定经</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确认后产生约束力，</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不确认的，其投标将被认定为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   如一个分包内只有一种产品，不同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20.4.1  如本项目使用最低评标价法，提供相同品牌产品的不同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；未规定的采取随机抽取方式确定，其他投标将被认定为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20.4.2  如本项目使用综合评分法，提供相同品牌产品且通过资格审查、符合性审查的不同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，按一家</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计算，评审后得分最高的同品牌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获得中标人推荐资格；评审得分相同的，由采购人或者采购人委托评标委员会按照招标文件中评标办法规定的方式确定一个</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获得中标人推荐资格；未规定的采取随机抽取方式确定，其他同品牌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20.5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如采购人所采购产品为政府强制采购的节能产品，</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所投产品的品牌及型号必须为清单中有效期内产品并提供证明文件，否则其投标将被认定为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507" w:name="_Toc6538"/>
      <w:bookmarkStart w:id="508" w:name="_Toc27947"/>
      <w:bookmarkStart w:id="509" w:name="_Toc11608"/>
      <w:bookmarkStart w:id="510" w:name="_Toc16070"/>
      <w:bookmarkStart w:id="511" w:name="_Toc1633"/>
      <w:bookmarkStart w:id="512" w:name="_Toc4417"/>
      <w:bookmarkStart w:id="513" w:name="_Toc31408"/>
      <w:bookmarkStart w:id="514" w:name="_Toc18062"/>
      <w:bookmarkStart w:id="515" w:name="_Toc22"/>
      <w:bookmarkStart w:id="516" w:name="_Toc29292"/>
      <w:bookmarkStart w:id="517" w:name="_Toc7973"/>
      <w:bookmarkStart w:id="518" w:name="_Toc21482"/>
      <w:bookmarkStart w:id="519" w:name="_Toc9469"/>
      <w:bookmarkStart w:id="520" w:name="_Toc6364"/>
      <w:bookmarkStart w:id="521" w:name="_Toc21138"/>
      <w:bookmarkStart w:id="522" w:name="_Toc8380"/>
      <w:bookmarkStart w:id="523" w:name="_Toc10143"/>
      <w:bookmarkStart w:id="524" w:name="_Toc6784"/>
      <w:bookmarkStart w:id="525" w:name="_Toc22089"/>
      <w:bookmarkStart w:id="526" w:name="_Toc630"/>
      <w:bookmarkStart w:id="527" w:name="_Toc515647782"/>
      <w:bookmarkStart w:id="528" w:name="_Toc12161"/>
      <w:bookmarkStart w:id="529" w:name="_Toc10306"/>
      <w:bookmarkStart w:id="530" w:name="_Toc19042"/>
      <w:r>
        <w:rPr>
          <w:rFonts w:hint="eastAsia" w:ascii="微软雅黑" w:hAnsi="微软雅黑" w:eastAsia="微软雅黑" w:cs="微软雅黑"/>
          <w:color w:val="auto"/>
          <w:highlight w:val="none"/>
          <w:u w:val="none"/>
        </w:rPr>
        <w:t>21.投标偏离</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pageBreakBefore w:val="0"/>
        <w:widowControl w:val="0"/>
        <w:kinsoku/>
        <w:wordWrap/>
        <w:overflowPunct/>
        <w:topLinePunct w:val="0"/>
        <w:bidi w:val="0"/>
        <w:spacing w:line="360" w:lineRule="exact"/>
        <w:ind w:left="640" w:leftChars="0" w:hanging="640" w:hangingChars="267"/>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rPr>
        <w:t xml:space="preserve">     评标委员会可以接受投标文件中不构成实质性偏离的不正规或不一致。</w:t>
      </w:r>
      <w:bookmarkStart w:id="531" w:name="_Toc515647783"/>
      <w:bookmarkStart w:id="532" w:name="_Toc6092"/>
      <w:bookmarkStart w:id="533" w:name="_Toc4950"/>
      <w:r>
        <w:rPr>
          <w:rFonts w:hint="eastAsia" w:ascii="微软雅黑" w:hAnsi="微软雅黑" w:eastAsia="微软雅黑" w:cs="微软雅黑"/>
          <w:color w:val="auto"/>
          <w:sz w:val="24"/>
          <w:highlight w:val="none"/>
        </w:rPr>
        <w:t>本项目技术参数接受偏离，投标供应商提供的技术参数中出现正偏离，正偏离加分，负偏离扣分。</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534" w:name="_Toc31280"/>
      <w:bookmarkStart w:id="535" w:name="_Toc11798"/>
      <w:bookmarkStart w:id="536" w:name="_Toc4727"/>
      <w:bookmarkStart w:id="537" w:name="_Toc1257"/>
      <w:bookmarkStart w:id="538" w:name="_Toc18096"/>
      <w:bookmarkStart w:id="539" w:name="_Toc27324"/>
      <w:bookmarkStart w:id="540" w:name="_Toc23335"/>
      <w:bookmarkStart w:id="541" w:name="_Toc1222"/>
      <w:bookmarkStart w:id="542" w:name="_Toc26299"/>
      <w:bookmarkStart w:id="543" w:name="_Toc28742"/>
      <w:bookmarkStart w:id="544" w:name="_Toc665"/>
      <w:bookmarkStart w:id="545" w:name="_Toc12294"/>
      <w:bookmarkStart w:id="546" w:name="_Toc31472"/>
      <w:bookmarkStart w:id="547" w:name="_Toc8973"/>
      <w:bookmarkStart w:id="548" w:name="_Toc550"/>
      <w:bookmarkStart w:id="549" w:name="_Toc21111"/>
      <w:bookmarkStart w:id="550" w:name="_Toc20572"/>
      <w:bookmarkStart w:id="551" w:name="_Toc17316"/>
      <w:bookmarkStart w:id="552" w:name="_Toc17009"/>
      <w:bookmarkStart w:id="553" w:name="_Toc12995"/>
      <w:bookmarkStart w:id="554" w:name="_Toc8254"/>
      <w:r>
        <w:rPr>
          <w:rFonts w:hint="eastAsia" w:ascii="微软雅黑" w:hAnsi="微软雅黑" w:eastAsia="微软雅黑" w:cs="微软雅黑"/>
          <w:color w:val="auto"/>
          <w:highlight w:val="none"/>
          <w:u w:val="none"/>
        </w:rPr>
        <w:t>22.投标</w:t>
      </w:r>
      <w:bookmarkEnd w:id="531"/>
      <w:r>
        <w:rPr>
          <w:rFonts w:hint="eastAsia" w:ascii="微软雅黑" w:hAnsi="微软雅黑" w:eastAsia="微软雅黑" w:cs="微软雅黑"/>
          <w:color w:val="auto"/>
          <w:highlight w:val="none"/>
          <w:u w:val="none"/>
        </w:rPr>
        <w:t>无效</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如发现下列情况之一的，其投标将被认定为投标无效</w:t>
      </w:r>
      <w:r>
        <w:rPr>
          <w:rFonts w:hint="eastAsia" w:ascii="微软雅黑" w:hAnsi="微软雅黑" w:eastAsia="微软雅黑" w:cs="微软雅黑"/>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3</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与其他</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串通投标，或者与</w:t>
      </w:r>
      <w:r>
        <w:rPr>
          <w:rFonts w:hint="eastAsia" w:ascii="微软雅黑" w:hAnsi="微软雅黑" w:eastAsia="微软雅黑" w:cs="微软雅黑"/>
          <w:b/>
          <w:bCs/>
          <w:color w:val="auto"/>
          <w:sz w:val="24"/>
          <w:highlight w:val="none"/>
          <w:lang w:eastAsia="zh-CN"/>
        </w:rPr>
        <w:t>采购人</w:t>
      </w:r>
      <w:r>
        <w:rPr>
          <w:rFonts w:hint="eastAsia" w:ascii="微软雅黑" w:hAnsi="微软雅黑" w:eastAsia="微软雅黑" w:cs="微软雅黑"/>
          <w:b/>
          <w:bCs/>
          <w:color w:val="auto"/>
          <w:sz w:val="24"/>
          <w:highlight w:val="none"/>
        </w:rPr>
        <w:t>串通投标；</w:t>
      </w:r>
      <w:r>
        <w:rPr>
          <w:rFonts w:hint="eastAsia" w:ascii="微软雅黑" w:hAnsi="微软雅黑" w:eastAsia="微软雅黑" w:cs="微软雅黑"/>
          <w:b/>
          <w:bCs/>
          <w:color w:val="auto"/>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6</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评标委员会认为</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的报价明显低于其他通过符合性检查</w:t>
      </w:r>
      <w:r>
        <w:rPr>
          <w:rFonts w:hint="eastAsia" w:ascii="微软雅黑" w:hAnsi="微软雅黑" w:eastAsia="微软雅黑" w:cs="微软雅黑"/>
          <w:b/>
          <w:bCs/>
          <w:color w:val="auto"/>
          <w:sz w:val="24"/>
          <w:highlight w:val="none"/>
          <w:lang w:eastAsia="zh-CN"/>
        </w:rPr>
        <w:t>供应</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lang w:eastAsia="zh-CN"/>
        </w:rPr>
        <w:t>商</w:t>
      </w:r>
      <w:r>
        <w:rPr>
          <w:rFonts w:hint="eastAsia" w:ascii="微软雅黑" w:hAnsi="微软雅黑" w:eastAsia="微软雅黑" w:cs="微软雅黑"/>
          <w:b/>
          <w:bCs/>
          <w:color w:val="auto"/>
          <w:sz w:val="24"/>
          <w:highlight w:val="none"/>
        </w:rPr>
        <w:t>的报价，有可能影响履约的，且</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7</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8</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（7）供应商与采购人或者采购代理机构之间、供应商相互之间，为谋求特定供应商中标、成交或者排斥其他供应商的其他串通行为。</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555" w:name="_Toc24694"/>
      <w:bookmarkStart w:id="556" w:name="_Toc17418"/>
      <w:bookmarkStart w:id="557" w:name="_Toc2833"/>
      <w:bookmarkStart w:id="558" w:name="_Toc3877"/>
      <w:bookmarkStart w:id="559" w:name="_Toc1180"/>
      <w:bookmarkStart w:id="560" w:name="_Toc13922"/>
      <w:bookmarkStart w:id="561" w:name="_Toc20498"/>
      <w:bookmarkStart w:id="562" w:name="_Toc22160"/>
      <w:bookmarkStart w:id="563" w:name="_Toc2622"/>
      <w:bookmarkStart w:id="564" w:name="_Toc13566"/>
      <w:bookmarkStart w:id="565" w:name="_Toc22981"/>
      <w:bookmarkStart w:id="566" w:name="_Toc4328"/>
      <w:bookmarkStart w:id="567" w:name="_Toc6292"/>
      <w:bookmarkStart w:id="568" w:name="_Toc2915"/>
      <w:bookmarkStart w:id="569" w:name="_Toc22941"/>
      <w:bookmarkStart w:id="570" w:name="_Toc20639"/>
      <w:bookmarkStart w:id="571" w:name="_Toc25837"/>
      <w:bookmarkStart w:id="572" w:name="_Toc9523"/>
      <w:bookmarkStart w:id="573" w:name="_Toc13652"/>
      <w:bookmarkStart w:id="574" w:name="_Toc16915"/>
      <w:bookmarkStart w:id="575" w:name="_Toc515647784"/>
      <w:r>
        <w:rPr>
          <w:rFonts w:hint="eastAsia" w:ascii="微软雅黑" w:hAnsi="微软雅黑" w:eastAsia="微软雅黑" w:cs="微软雅黑"/>
          <w:color w:val="auto"/>
          <w:highlight w:val="none"/>
          <w:u w:val="none"/>
        </w:rPr>
        <w:t>23.</w:t>
      </w:r>
      <w:bookmarkEnd w:id="506"/>
      <w:r>
        <w:rPr>
          <w:rFonts w:hint="eastAsia" w:ascii="微软雅黑" w:hAnsi="微软雅黑" w:eastAsia="微软雅黑" w:cs="微软雅黑"/>
          <w:color w:val="auto"/>
          <w:highlight w:val="none"/>
          <w:u w:val="none"/>
        </w:rPr>
        <w:t>比较与评价</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评标严格按照招标文件的要求和条件进行。根据实际情况，在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中规定采用下列一种评标方法，详细评标标准见招标文件第六章：</w:t>
      </w:r>
    </w:p>
    <w:p>
      <w:pPr>
        <w:pStyle w:val="13"/>
        <w:pageBreakBefore w:val="0"/>
        <w:widowControl w:val="0"/>
        <w:kinsoku/>
        <w:wordWrap/>
        <w:overflowPunct/>
        <w:topLinePunct w:val="0"/>
        <w:bidi w:val="0"/>
        <w:spacing w:line="360" w:lineRule="exact"/>
        <w:ind w:left="239" w:leftChars="114" w:firstLine="31" w:firstLineChars="13"/>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pPr>
        <w:pStyle w:val="13"/>
        <w:pageBreakBefore w:val="0"/>
        <w:widowControl w:val="0"/>
        <w:kinsoku/>
        <w:wordWrap/>
        <w:overflowPunct/>
        <w:topLinePunct w:val="0"/>
        <w:bidi w:val="0"/>
        <w:spacing w:line="360" w:lineRule="exact"/>
        <w:ind w:left="239" w:leftChars="114" w:firstLine="33" w:firstLineChars="1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pPr>
        <w:pStyle w:val="13"/>
        <w:pageBreakBefore w:val="0"/>
        <w:widowControl w:val="0"/>
        <w:kinsoku/>
        <w:wordWrap/>
        <w:overflowPunct/>
        <w:topLinePunct w:val="0"/>
        <w:bidi w:val="0"/>
        <w:spacing w:line="360" w:lineRule="exact"/>
        <w:ind w:left="239" w:leftChars="114" w:firstLine="34" w:firstLineChars="14"/>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本项目</w:t>
      </w:r>
      <w:r>
        <w:rPr>
          <w:rFonts w:hint="eastAsia" w:ascii="微软雅黑" w:hAnsi="微软雅黑" w:eastAsia="微软雅黑" w:cs="微软雅黑"/>
          <w:b/>
          <w:bCs/>
          <w:color w:val="auto"/>
          <w:sz w:val="24"/>
          <w:szCs w:val="24"/>
          <w:highlight w:val="none"/>
        </w:rPr>
        <w:t>采用综合评分法，价格占30%，商务占</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%，技术占6</w:t>
      </w: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w:t>
      </w:r>
    </w:p>
    <w:p>
      <w:pPr>
        <w:pStyle w:val="13"/>
        <w:pageBreakBefore w:val="0"/>
        <w:widowControl w:val="0"/>
        <w:kinsoku/>
        <w:wordWrap/>
        <w:overflowPunct/>
        <w:topLinePunct w:val="0"/>
        <w:bidi w:val="0"/>
        <w:spacing w:line="340" w:lineRule="exact"/>
        <w:ind w:left="480" w:hanging="480" w:hanging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23.3   本项目不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kern w:val="2"/>
          <w:sz w:val="24"/>
          <w:szCs w:val="24"/>
          <w:highlight w:val="none"/>
          <w:u w:val="single"/>
          <w:lang w:val="en-US" w:eastAsia="zh-CN" w:bidi="ar-SA"/>
        </w:rPr>
        <w:t xml:space="preserve">  10  %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后参与评审。对于同时属于小型、微型及小微企业、监狱企业或残疾人福利性单位的，不重复进行报价扣除。具体办法详见招标文件第6章。</w:t>
      </w:r>
    </w:p>
    <w:p>
      <w:pPr>
        <w:pStyle w:val="8"/>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color w:val="auto"/>
          <w:highlight w:val="none"/>
          <w:u w:val="none"/>
        </w:rPr>
      </w:pPr>
      <w:bookmarkStart w:id="576" w:name="_Toc520356168"/>
      <w:bookmarkStart w:id="577" w:name="_Toc29970"/>
      <w:bookmarkStart w:id="578" w:name="_Toc5540"/>
      <w:bookmarkStart w:id="579" w:name="_Toc6053"/>
      <w:bookmarkStart w:id="580" w:name="_Toc13678"/>
      <w:bookmarkStart w:id="581" w:name="_Toc10678"/>
      <w:bookmarkStart w:id="582" w:name="_Toc26540"/>
      <w:bookmarkStart w:id="583" w:name="_Toc9378"/>
      <w:bookmarkStart w:id="584" w:name="_Toc20064"/>
      <w:bookmarkStart w:id="585" w:name="_Toc30532"/>
      <w:bookmarkStart w:id="586" w:name="_Toc27067"/>
      <w:bookmarkStart w:id="587" w:name="_Toc7858"/>
      <w:bookmarkStart w:id="588" w:name="_Toc7770"/>
      <w:bookmarkStart w:id="589" w:name="_Toc9820"/>
      <w:bookmarkStart w:id="590" w:name="_Toc31084"/>
      <w:bookmarkStart w:id="591" w:name="_Toc27263"/>
      <w:bookmarkStart w:id="592" w:name="_Toc515647785"/>
      <w:bookmarkStart w:id="593" w:name="_Toc14038"/>
      <w:bookmarkStart w:id="594" w:name="_Toc30004"/>
      <w:bookmarkStart w:id="595" w:name="_Toc14346"/>
      <w:bookmarkStart w:id="596" w:name="_Toc6751"/>
      <w:bookmarkStart w:id="597" w:name="_Toc30611"/>
      <w:bookmarkStart w:id="598" w:name="_Toc20227"/>
      <w:bookmarkStart w:id="599" w:name="_Toc19218"/>
      <w:bookmarkStart w:id="600" w:name="_Toc23302"/>
      <w:bookmarkStart w:id="601" w:name="_Toc21380"/>
      <w:bookmarkStart w:id="602" w:name="_Toc27604"/>
      <w:bookmarkStart w:id="603" w:name="_Toc6457"/>
      <w:bookmarkStart w:id="604" w:name="_Toc5328"/>
      <w:bookmarkStart w:id="605" w:name="_Toc25775"/>
      <w:bookmarkStart w:id="606" w:name="_Toc21697"/>
      <w:bookmarkStart w:id="607" w:name="_Toc30848"/>
      <w:bookmarkStart w:id="608" w:name="_Toc29790"/>
      <w:bookmarkStart w:id="609" w:name="_Toc29646"/>
      <w:bookmarkStart w:id="610" w:name="_Toc9864"/>
      <w:bookmarkStart w:id="611" w:name="_Toc31289"/>
      <w:bookmarkStart w:id="612" w:name="_Toc24972"/>
      <w:bookmarkStart w:id="613" w:name="_Toc5674"/>
      <w:bookmarkStart w:id="614" w:name="_Toc31733"/>
      <w:bookmarkStart w:id="615" w:name="_Toc7287"/>
      <w:bookmarkStart w:id="616" w:name="_Toc10657"/>
      <w:bookmarkStart w:id="617" w:name="_Toc11422"/>
      <w:bookmarkStart w:id="618" w:name="_Toc23725"/>
      <w:bookmarkStart w:id="619" w:name="_Toc3793"/>
      <w:bookmarkStart w:id="620" w:name="_Toc515647786"/>
      <w:bookmarkStart w:id="621" w:name="_Toc13605"/>
      <w:bookmarkStart w:id="622" w:name="_Toc5599"/>
      <w:bookmarkStart w:id="623" w:name="_Toc19139"/>
      <w:bookmarkStart w:id="624" w:name="_Toc24099"/>
      <w:bookmarkStart w:id="625" w:name="_Toc520356169"/>
      <w:r>
        <w:rPr>
          <w:rFonts w:hint="eastAsia" w:ascii="微软雅黑" w:hAnsi="微软雅黑" w:eastAsia="微软雅黑" w:cs="微软雅黑"/>
          <w:color w:val="auto"/>
          <w:highlight w:val="none"/>
          <w:u w:val="none"/>
        </w:rPr>
        <w:t>24</w:t>
      </w:r>
      <w:bookmarkEnd w:id="576"/>
      <w:r>
        <w:rPr>
          <w:rFonts w:hint="eastAsia" w:ascii="微软雅黑" w:hAnsi="微软雅黑" w:eastAsia="微软雅黑" w:cs="微软雅黑"/>
          <w:color w:val="auto"/>
          <w:highlight w:val="none"/>
          <w:u w:val="none"/>
        </w:rPr>
        <w:t>.废标</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val="0"/>
        <w:kinsoku/>
        <w:wordWrap/>
        <w:overflowPunct/>
        <w:topLinePunct w:val="0"/>
        <w:bidi w:val="0"/>
        <w:spacing w:line="340" w:lineRule="exact"/>
        <w:ind w:left="60" w:leftChars="0" w:hanging="60" w:hanging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lang w:val="en-US" w:eastAsia="zh-CN"/>
        </w:rPr>
        <w:t>24.1</w:t>
      </w:r>
      <w:r>
        <w:rPr>
          <w:rFonts w:hint="eastAsia" w:ascii="微软雅黑" w:hAnsi="微软雅黑" w:eastAsia="微软雅黑" w:cs="微软雅黑"/>
          <w:b/>
          <w:bCs/>
          <w:color w:val="auto"/>
          <w:sz w:val="24"/>
          <w:highlight w:val="none"/>
        </w:rPr>
        <w:t>出现下列情形之一，将导致项目废标：</w:t>
      </w:r>
      <w:r>
        <w:rPr>
          <w:rFonts w:hint="eastAsia" w:ascii="微软雅黑" w:hAnsi="微软雅黑" w:eastAsia="微软雅黑" w:cs="微软雅黑"/>
          <w:color w:val="auto"/>
          <w:sz w:val="24"/>
          <w:highlight w:val="none"/>
        </w:rPr>
        <w:t xml:space="preserve"> </w:t>
      </w:r>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（1）符合专业条件的供应商或者对招标文件做实质性响应的供应商不足三家；</w:t>
      </w:r>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b/>
      </w:r>
      <w:r>
        <w:rPr>
          <w:rFonts w:hint="eastAsia" w:ascii="微软雅黑" w:hAnsi="微软雅黑" w:eastAsia="微软雅黑" w:cs="微软雅黑"/>
          <w:b/>
          <w:bCs/>
          <w:color w:val="auto"/>
          <w:sz w:val="24"/>
          <w:highlight w:val="none"/>
        </w:rPr>
        <w:t>（2）出现影响采购公正的违法、违规行为的；</w:t>
      </w:r>
    </w:p>
    <w:p>
      <w:pPr>
        <w:pageBreakBefore w:val="0"/>
        <w:widowControl w:val="0"/>
        <w:kinsoku/>
        <w:wordWrap/>
        <w:overflowPunct/>
        <w:topLinePunct w:val="0"/>
        <w:bidi w:val="0"/>
        <w:spacing w:line="340" w:lineRule="exact"/>
        <w:ind w:left="0" w:leftChars="0" w:firstLine="840" w:firstLineChars="35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的报价均超过了采购预算，采购人不能支付的；</w:t>
      </w:r>
    </w:p>
    <w:p>
      <w:pPr>
        <w:pageBreakBefore w:val="0"/>
        <w:widowControl w:val="0"/>
        <w:kinsoku/>
        <w:wordWrap/>
        <w:overflowPunct/>
        <w:topLinePunct w:val="0"/>
        <w:bidi w:val="0"/>
        <w:spacing w:line="340" w:lineRule="exact"/>
        <w:ind w:left="0" w:leftChars="0" w:firstLine="840" w:firstLineChars="35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 xml:space="preserve">（4）因重大变故，采购任务取消的。  </w:t>
      </w:r>
      <w:r>
        <w:rPr>
          <w:rFonts w:hint="eastAsia" w:ascii="微软雅黑" w:hAnsi="微软雅黑" w:eastAsia="微软雅黑" w:cs="微软雅黑"/>
          <w:color w:val="auto"/>
          <w:sz w:val="24"/>
          <w:highlight w:val="none"/>
        </w:rPr>
        <w:t xml:space="preserve"> </w:t>
      </w:r>
    </w:p>
    <w:p>
      <w:pPr>
        <w:pStyle w:val="8"/>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25.保密原则</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评标将在严格保密的情况下进行。</w:t>
      </w:r>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p>
    <w:p>
      <w:pPr>
        <w:pageBreakBefore w:val="0"/>
        <w:widowControl w:val="0"/>
        <w:kinsoku/>
        <w:wordWrap/>
        <w:overflowPunct/>
        <w:topLinePunct w:val="0"/>
        <w:bidi w:val="0"/>
        <w:spacing w:line="340" w:lineRule="exact"/>
        <w:ind w:left="0" w:leftChars="0" w:hanging="540"/>
        <w:textAlignment w:val="auto"/>
        <w:rPr>
          <w:rFonts w:hint="eastAsia" w:ascii="微软雅黑" w:hAnsi="微软雅黑" w:eastAsia="微软雅黑" w:cs="微软雅黑"/>
          <w:color w:val="auto"/>
          <w:sz w:val="24"/>
          <w:highlight w:val="none"/>
        </w:rPr>
      </w:pPr>
    </w:p>
    <w:p>
      <w:pPr>
        <w:pStyle w:val="7"/>
        <w:pageBreakBefore w:val="0"/>
        <w:widowControl w:val="0"/>
        <w:kinsoku/>
        <w:wordWrap/>
        <w:overflowPunct/>
        <w:topLinePunct w:val="0"/>
        <w:bidi w:val="0"/>
        <w:spacing w:before="0" w:line="340" w:lineRule="exact"/>
        <w:ind w:left="0" w:leftChars="0" w:hanging="540"/>
        <w:textAlignment w:val="auto"/>
        <w:rPr>
          <w:rFonts w:hint="eastAsia" w:ascii="微软雅黑" w:hAnsi="微软雅黑" w:eastAsia="微软雅黑" w:cs="微软雅黑"/>
          <w:color w:val="auto"/>
          <w:highlight w:val="none"/>
        </w:rPr>
      </w:pPr>
      <w:bookmarkStart w:id="626" w:name="_Toc12143"/>
      <w:bookmarkStart w:id="627" w:name="_Toc216582810"/>
      <w:bookmarkStart w:id="628" w:name="_Toc31410"/>
      <w:bookmarkStart w:id="629" w:name="_Toc11894"/>
      <w:bookmarkStart w:id="630" w:name="_Toc515647787"/>
      <w:bookmarkStart w:id="631" w:name="_Toc23904"/>
      <w:r>
        <w:rPr>
          <w:rFonts w:hint="eastAsia" w:ascii="微软雅黑" w:hAnsi="微软雅黑" w:eastAsia="微软雅黑" w:cs="微软雅黑"/>
          <w:color w:val="auto"/>
          <w:sz w:val="24"/>
          <w:highlight w:val="none"/>
        </w:rPr>
        <w:t xml:space="preserve">六   </w:t>
      </w:r>
      <w:bookmarkEnd w:id="625"/>
      <w:r>
        <w:rPr>
          <w:rFonts w:hint="eastAsia" w:ascii="微软雅黑" w:hAnsi="微软雅黑" w:eastAsia="微软雅黑" w:cs="微软雅黑"/>
          <w:color w:val="auto"/>
          <w:sz w:val="24"/>
          <w:highlight w:val="none"/>
        </w:rPr>
        <w:t>确定中标</w:t>
      </w:r>
      <w:bookmarkEnd w:id="626"/>
      <w:bookmarkEnd w:id="627"/>
      <w:bookmarkEnd w:id="628"/>
      <w:bookmarkEnd w:id="629"/>
      <w:bookmarkEnd w:id="630"/>
      <w:bookmarkEnd w:id="631"/>
    </w:p>
    <w:p>
      <w:pPr>
        <w:pStyle w:val="8"/>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color w:val="auto"/>
          <w:kern w:val="2"/>
          <w:sz w:val="24"/>
          <w:szCs w:val="24"/>
          <w:highlight w:val="none"/>
          <w:u w:val="none"/>
          <w:lang w:val="en-US" w:eastAsia="zh-CN" w:bidi="ar-SA"/>
        </w:rPr>
      </w:pPr>
      <w:bookmarkStart w:id="632" w:name="_Toc5464"/>
      <w:bookmarkStart w:id="633" w:name="_Toc30510"/>
      <w:bookmarkStart w:id="634" w:name="_Toc12168"/>
      <w:bookmarkStart w:id="635" w:name="_Toc15249"/>
      <w:bookmarkStart w:id="636" w:name="_Toc20061"/>
      <w:bookmarkStart w:id="637" w:name="_Toc515647788"/>
      <w:bookmarkStart w:id="638" w:name="_Toc23762"/>
      <w:bookmarkStart w:id="639" w:name="_Toc13936"/>
      <w:bookmarkStart w:id="640" w:name="_Toc31710"/>
      <w:bookmarkStart w:id="641" w:name="_Toc29156"/>
      <w:bookmarkStart w:id="642" w:name="_Toc28179"/>
      <w:bookmarkStart w:id="643" w:name="_Toc27501"/>
      <w:bookmarkStart w:id="644" w:name="_Toc23617"/>
      <w:bookmarkStart w:id="645" w:name="_Toc24602"/>
      <w:bookmarkStart w:id="646" w:name="_Toc30698"/>
      <w:bookmarkStart w:id="647" w:name="_Toc14800"/>
      <w:bookmarkStart w:id="648" w:name="_Toc154"/>
      <w:bookmarkStart w:id="649" w:name="_Toc24864"/>
      <w:bookmarkStart w:id="650" w:name="_Toc520356170"/>
      <w:bookmarkStart w:id="651" w:name="_Toc23645"/>
      <w:bookmarkStart w:id="652" w:name="_Toc28136"/>
      <w:bookmarkStart w:id="653" w:name="_Toc24563"/>
      <w:bookmarkStart w:id="654" w:name="_Ref467307010"/>
      <w:bookmarkStart w:id="655" w:name="_Toc6381"/>
      <w:bookmarkStart w:id="656" w:name="_Toc24914"/>
      <w:r>
        <w:rPr>
          <w:rFonts w:hint="eastAsia" w:ascii="微软雅黑" w:hAnsi="微软雅黑" w:eastAsia="微软雅黑" w:cs="微软雅黑"/>
          <w:color w:val="auto"/>
          <w:kern w:val="2"/>
          <w:sz w:val="24"/>
          <w:szCs w:val="24"/>
          <w:highlight w:val="none"/>
          <w:u w:val="none"/>
          <w:lang w:val="en-US" w:eastAsia="zh-CN" w:bidi="ar-SA"/>
        </w:rPr>
        <w:t>26.中标候选人的确定原则及标准</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pageBreakBefore w:val="0"/>
        <w:widowControl w:val="0"/>
        <w:kinsoku/>
        <w:wordWrap/>
        <w:overflowPunct/>
        <w:topLinePunct w:val="0"/>
        <w:bidi w:val="0"/>
        <w:spacing w:line="34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对实质上响应招标文件的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按下列方法进行排序，确定投标候选人：</w:t>
      </w:r>
    </w:p>
    <w:p>
      <w:pPr>
        <w:pageBreakBefore w:val="0"/>
        <w:widowControl w:val="0"/>
        <w:kinsoku/>
        <w:wordWrap/>
        <w:overflowPunct/>
        <w:topLinePunct w:val="0"/>
        <w:bidi w:val="0"/>
        <w:spacing w:line="340" w:lineRule="exact"/>
        <w:ind w:left="0" w:leftChars="0" w:firstLine="480" w:firstLineChars="200"/>
        <w:textAlignment w:val="auto"/>
        <w:rPr>
          <w:rFonts w:hint="eastAsia" w:ascii="微软雅黑" w:hAnsi="微软雅黑" w:eastAsia="微软雅黑" w:cs="微软雅黑"/>
          <w:color w:val="auto"/>
          <w:sz w:val="24"/>
          <w:highlight w:val="none"/>
        </w:rPr>
      </w:pPr>
      <w:bookmarkStart w:id="657" w:name="_Toc515647789"/>
      <w:bookmarkStart w:id="658" w:name="_Toc520356171"/>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4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13"/>
        <w:pageBreakBefore w:val="0"/>
        <w:widowControl w:val="0"/>
        <w:kinsoku/>
        <w:wordWrap/>
        <w:overflowPunct/>
        <w:topLinePunct w:val="0"/>
        <w:bidi w:val="0"/>
        <w:spacing w:line="360" w:lineRule="exact"/>
        <w:ind w:left="239" w:leftChars="114" w:firstLine="34" w:firstLineChars="14"/>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i w:val="0"/>
          <w:caps w:val="0"/>
          <w:color w:val="auto"/>
          <w:spacing w:val="0"/>
          <w:w w:val="100"/>
          <w:sz w:val="24"/>
          <w:highlight w:val="none"/>
        </w:rPr>
        <w:t>本项目采用综合评分法，</w:t>
      </w:r>
      <w:bookmarkStart w:id="659" w:name="_Toc17933"/>
      <w:bookmarkStart w:id="660" w:name="_Toc11247"/>
      <w:bookmarkStart w:id="661" w:name="_Toc28294"/>
      <w:bookmarkStart w:id="662" w:name="_Toc25274"/>
      <w:bookmarkStart w:id="663" w:name="_Toc17164"/>
      <w:bookmarkStart w:id="664" w:name="_Toc30756"/>
      <w:bookmarkStart w:id="665" w:name="_Toc29803"/>
      <w:bookmarkStart w:id="666" w:name="_Toc24948"/>
      <w:bookmarkStart w:id="667" w:name="_Toc27172"/>
      <w:bookmarkStart w:id="668" w:name="_Toc14558"/>
      <w:bookmarkStart w:id="669" w:name="_Toc21913"/>
      <w:bookmarkStart w:id="670" w:name="_Toc3720"/>
      <w:bookmarkStart w:id="671" w:name="_Toc26752"/>
      <w:bookmarkStart w:id="672" w:name="_Toc976"/>
      <w:bookmarkStart w:id="673" w:name="_Toc721"/>
      <w:bookmarkStart w:id="674" w:name="_Toc21306"/>
      <w:bookmarkStart w:id="675" w:name="_Toc16846"/>
      <w:bookmarkStart w:id="676" w:name="_Toc1644"/>
      <w:r>
        <w:rPr>
          <w:rFonts w:hint="eastAsia" w:ascii="微软雅黑" w:hAnsi="微软雅黑" w:eastAsia="微软雅黑" w:cs="微软雅黑"/>
          <w:b/>
          <w:bCs/>
          <w:color w:val="auto"/>
          <w:sz w:val="24"/>
          <w:szCs w:val="24"/>
          <w:highlight w:val="none"/>
        </w:rPr>
        <w:t>价格占30%，商务占</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%，技术占6</w:t>
      </w: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w:t>
      </w:r>
    </w:p>
    <w:p>
      <w:pPr>
        <w:pStyle w:val="8"/>
        <w:pageBreakBefore w:val="0"/>
        <w:widowControl w:val="0"/>
        <w:tabs>
          <w:tab w:val="left" w:pos="900"/>
        </w:tabs>
        <w:kinsoku/>
        <w:wordWrap/>
        <w:overflowPunct/>
        <w:topLinePunct w:val="0"/>
        <w:bidi w:val="0"/>
        <w:snapToGrid w:val="0"/>
        <w:spacing w:before="0" w:beforeAutospacing="0" w:after="0" w:afterAutospacing="0" w:line="340" w:lineRule="exact"/>
        <w:ind w:left="0" w:leftChars="0"/>
        <w:jc w:val="left"/>
        <w:textAlignment w:val="baseline"/>
        <w:rPr>
          <w:rFonts w:hint="eastAsia" w:ascii="微软雅黑" w:hAnsi="微软雅黑" w:eastAsia="微软雅黑" w:cs="微软雅黑"/>
          <w:color w:val="auto"/>
          <w:sz w:val="24"/>
          <w:highlight w:val="none"/>
        </w:rPr>
      </w:pPr>
      <w:bookmarkStart w:id="677" w:name="_Toc18364"/>
      <w:bookmarkStart w:id="678" w:name="_Toc7999"/>
      <w:bookmarkStart w:id="679" w:name="_Toc15609"/>
      <w:bookmarkStart w:id="680" w:name="_Toc15060"/>
      <w:bookmarkStart w:id="681" w:name="_Toc14191"/>
      <w:bookmarkStart w:id="682" w:name="_Toc18389"/>
      <w:r>
        <w:rPr>
          <w:rFonts w:hint="eastAsia" w:ascii="微软雅黑" w:hAnsi="微软雅黑" w:eastAsia="微软雅黑" w:cs="微软雅黑"/>
          <w:b/>
          <w:i w:val="0"/>
          <w:caps w:val="0"/>
          <w:color w:val="auto"/>
          <w:spacing w:val="0"/>
          <w:w w:val="100"/>
          <w:sz w:val="24"/>
          <w:highlight w:val="none"/>
          <w:u w:val="single" w:color="000000"/>
        </w:rPr>
        <w:t>27.确定成交候选人和</w:t>
      </w:r>
      <w:bookmarkEnd w:id="659"/>
      <w:r>
        <w:rPr>
          <w:rFonts w:hint="eastAsia" w:ascii="微软雅黑" w:hAnsi="微软雅黑" w:eastAsia="微软雅黑" w:cs="微软雅黑"/>
          <w:b/>
          <w:i w:val="0"/>
          <w:caps w:val="0"/>
          <w:color w:val="auto"/>
          <w:spacing w:val="0"/>
          <w:w w:val="100"/>
          <w:sz w:val="24"/>
          <w:highlight w:val="none"/>
          <w:u w:val="single" w:color="000000"/>
        </w:rPr>
        <w:t>成交人</w:t>
      </w:r>
      <w:bookmarkEnd w:id="657"/>
      <w:bookmarkEnd w:id="658"/>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评标委员会将根据评标标准，按</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须知资料表中</w:t>
      </w:r>
      <w:r>
        <w:rPr>
          <w:rFonts w:hint="eastAsia" w:ascii="微软雅黑" w:hAnsi="微软雅黑" w:eastAsia="微软雅黑" w:cs="微软雅黑"/>
          <w:color w:val="auto"/>
          <w:sz w:val="24"/>
          <w:highlight w:val="none"/>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选人；或根据采购人的委托，直接确定中标人。</w:t>
      </w: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683" w:name="_Toc520356173"/>
      <w:bookmarkStart w:id="684" w:name="_Ref467306874"/>
      <w:bookmarkStart w:id="685" w:name="_Toc19022"/>
      <w:bookmarkStart w:id="686" w:name="_Toc25073"/>
      <w:bookmarkStart w:id="687" w:name="_Toc32455"/>
      <w:bookmarkStart w:id="688" w:name="_Toc19007"/>
      <w:bookmarkStart w:id="689" w:name="_Toc27140"/>
      <w:bookmarkStart w:id="690" w:name="_Toc31043"/>
      <w:bookmarkStart w:id="691" w:name="_Toc21208"/>
      <w:bookmarkStart w:id="692" w:name="_Toc3328"/>
      <w:bookmarkStart w:id="693" w:name="_Toc21618"/>
      <w:bookmarkStart w:id="694" w:name="_Toc20001"/>
      <w:bookmarkStart w:id="695" w:name="_Toc27570"/>
      <w:bookmarkStart w:id="696" w:name="_Toc515647790"/>
      <w:bookmarkStart w:id="697" w:name="_Toc20705"/>
      <w:bookmarkStart w:id="698" w:name="_Toc28562"/>
      <w:bookmarkStart w:id="699" w:name="_Toc5507"/>
      <w:bookmarkStart w:id="700" w:name="_Toc27248"/>
      <w:bookmarkStart w:id="701" w:name="_Toc28987"/>
      <w:bookmarkStart w:id="702" w:name="_Toc6340"/>
      <w:bookmarkStart w:id="703" w:name="_Toc17591"/>
      <w:bookmarkStart w:id="704" w:name="_Toc9640"/>
      <w:bookmarkStart w:id="705" w:name="_Toc9701"/>
      <w:bookmarkStart w:id="706" w:name="_Toc8389"/>
      <w:bookmarkStart w:id="707" w:name="_Toc7156"/>
      <w:bookmarkStart w:id="708" w:name="_Toc7095"/>
      <w:r>
        <w:rPr>
          <w:rFonts w:hint="eastAsia" w:ascii="微软雅黑" w:hAnsi="微软雅黑" w:eastAsia="微软雅黑" w:cs="微软雅黑"/>
          <w:color w:val="auto"/>
          <w:highlight w:val="none"/>
          <w:u w:val="none"/>
        </w:rPr>
        <w:t>28.</w:t>
      </w:r>
      <w:bookmarkEnd w:id="683"/>
      <w:bookmarkEnd w:id="684"/>
      <w:r>
        <w:rPr>
          <w:rFonts w:hint="eastAsia" w:ascii="微软雅黑" w:hAnsi="微软雅黑" w:eastAsia="微软雅黑" w:cs="微软雅黑"/>
          <w:color w:val="auto"/>
          <w:highlight w:val="none"/>
          <w:u w:val="none"/>
        </w:rPr>
        <w:t>采购任务取消</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中标，且对受影响的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不承担任何责任。</w:t>
      </w:r>
      <w:bookmarkStart w:id="709" w:name="_Toc520356174"/>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710" w:name="_Toc8140"/>
      <w:bookmarkStart w:id="711" w:name="_Toc30931"/>
      <w:bookmarkStart w:id="712" w:name="_Toc4099"/>
      <w:bookmarkStart w:id="713" w:name="_Toc9573"/>
      <w:bookmarkStart w:id="714" w:name="_Toc21583"/>
      <w:bookmarkStart w:id="715" w:name="_Toc30170"/>
      <w:bookmarkStart w:id="716" w:name="_Toc1676"/>
      <w:bookmarkStart w:id="717" w:name="_Toc5820"/>
      <w:bookmarkStart w:id="718" w:name="_Toc8834"/>
      <w:bookmarkStart w:id="719" w:name="_Toc1818"/>
      <w:bookmarkStart w:id="720" w:name="_Toc27996"/>
      <w:bookmarkStart w:id="721" w:name="_Toc12348"/>
      <w:bookmarkStart w:id="722" w:name="_Toc137"/>
      <w:bookmarkStart w:id="723" w:name="_Toc30149"/>
      <w:bookmarkStart w:id="724" w:name="_Toc24981"/>
      <w:bookmarkStart w:id="725" w:name="_Toc965"/>
      <w:bookmarkStart w:id="726" w:name="_Toc7324"/>
      <w:bookmarkStart w:id="727" w:name="_Toc17202"/>
      <w:bookmarkStart w:id="728" w:name="_Toc3980"/>
      <w:bookmarkStart w:id="729" w:name="_Toc1178"/>
      <w:bookmarkStart w:id="730" w:name="_Toc14076"/>
      <w:bookmarkStart w:id="731" w:name="_Toc31099"/>
      <w:bookmarkStart w:id="732" w:name="_Toc28733"/>
      <w:bookmarkStart w:id="733" w:name="_Toc515647791"/>
      <w:r>
        <w:rPr>
          <w:rFonts w:hint="eastAsia" w:ascii="微软雅黑" w:hAnsi="微软雅黑" w:eastAsia="微软雅黑" w:cs="微软雅黑"/>
          <w:color w:val="auto"/>
          <w:highlight w:val="none"/>
          <w:u w:val="none"/>
        </w:rPr>
        <w:t>29.中标通知书</w:t>
      </w:r>
      <w:bookmarkEnd w:id="709"/>
      <w:r>
        <w:rPr>
          <w:rFonts w:hint="eastAsia" w:ascii="微软雅黑" w:hAnsi="微软雅黑" w:eastAsia="微软雅黑" w:cs="微软雅黑"/>
          <w:color w:val="auto"/>
          <w:highlight w:val="none"/>
          <w:u w:val="none"/>
        </w:rPr>
        <w:t>和招标结果通知书</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招标结果通知书和中标通知书同时发出。招标结果通知书中将告知未通过资格审查的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未通过的原因；采用综合评分法评审的，还将告知未中标人本人的评审得分和排序。</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734" w:name="_Toc1386"/>
      <w:bookmarkStart w:id="735" w:name="_Toc14106"/>
      <w:bookmarkStart w:id="736" w:name="_Toc30068"/>
      <w:bookmarkStart w:id="737" w:name="_Toc7584"/>
      <w:bookmarkStart w:id="738" w:name="_Toc515647792"/>
      <w:bookmarkStart w:id="739" w:name="_Toc8909"/>
      <w:bookmarkStart w:id="740" w:name="_Toc12782"/>
      <w:bookmarkStart w:id="741" w:name="_Toc14896"/>
      <w:bookmarkStart w:id="742" w:name="_Toc13873"/>
      <w:bookmarkStart w:id="743" w:name="_Toc15018"/>
      <w:bookmarkStart w:id="744" w:name="_Ref467307204"/>
      <w:bookmarkStart w:id="745" w:name="_Toc17305"/>
      <w:bookmarkStart w:id="746" w:name="_Toc15752"/>
      <w:bookmarkStart w:id="747" w:name="_Toc29299"/>
      <w:bookmarkStart w:id="748" w:name="_Toc13210"/>
      <w:bookmarkStart w:id="749" w:name="_Toc5006"/>
      <w:bookmarkStart w:id="750" w:name="_Toc10408"/>
      <w:bookmarkStart w:id="751" w:name="_Toc14551"/>
      <w:bookmarkStart w:id="752" w:name="_Toc7779"/>
      <w:bookmarkStart w:id="753" w:name="_Ref467306978"/>
      <w:bookmarkStart w:id="754" w:name="_Toc790"/>
      <w:bookmarkStart w:id="755" w:name="_Toc26465"/>
      <w:bookmarkStart w:id="756" w:name="_Ref467307062"/>
      <w:bookmarkStart w:id="757" w:name="_Toc24666"/>
      <w:bookmarkStart w:id="758" w:name="_Toc29255"/>
      <w:bookmarkStart w:id="759" w:name="_Toc30279"/>
      <w:bookmarkStart w:id="760" w:name="_Toc830"/>
      <w:bookmarkStart w:id="761" w:name="_Toc520356175"/>
      <w:bookmarkStart w:id="762" w:name="_Ref467306377"/>
      <w:r>
        <w:rPr>
          <w:rFonts w:hint="eastAsia" w:ascii="微软雅黑" w:hAnsi="微软雅黑" w:eastAsia="微软雅黑" w:cs="微软雅黑"/>
          <w:color w:val="auto"/>
          <w:highlight w:val="none"/>
          <w:u w:val="none"/>
        </w:rPr>
        <w:t>30.签订合同</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中标人应当自发出中标通知书之日起</w:t>
      </w:r>
      <w:r>
        <w:rPr>
          <w:rFonts w:hint="eastAsia" w:ascii="微软雅黑" w:hAnsi="微软雅黑" w:eastAsia="微软雅黑" w:cs="微软雅黑"/>
          <w:color w:val="auto"/>
          <w:sz w:val="24"/>
          <w:highlight w:val="none"/>
          <w:lang w:val="en-US" w:eastAsia="zh-CN"/>
        </w:rPr>
        <w:t>30</w:t>
      </w:r>
      <w:r>
        <w:rPr>
          <w:rFonts w:hint="eastAsia" w:ascii="微软雅黑" w:hAnsi="微软雅黑" w:eastAsia="微软雅黑" w:cs="微软雅黑"/>
          <w:color w:val="auto"/>
          <w:sz w:val="24"/>
          <w:highlight w:val="none"/>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763" w:name="_Ref467307090"/>
      <w:bookmarkStart w:id="764" w:name="_Toc520356176"/>
      <w:bookmarkStart w:id="765" w:name="_Ref467306425"/>
      <w:r>
        <w:rPr>
          <w:rFonts w:hint="eastAsia" w:ascii="微软雅黑" w:hAnsi="微软雅黑" w:eastAsia="微软雅黑" w:cs="微软雅黑"/>
          <w:color w:val="auto"/>
          <w:sz w:val="24"/>
          <w:highlight w:val="none"/>
        </w:rPr>
        <w:t>招标文件、中标人的投标文件及其澄清文件等，均为签订合同的依据。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rPr>
        <w:t>中标无效或中标结果无效</w:t>
      </w:r>
      <w:r>
        <w:rPr>
          <w:rFonts w:hint="eastAsia" w:ascii="微软雅黑" w:hAnsi="微软雅黑" w:eastAsia="微软雅黑" w:cs="微软雅黑"/>
          <w:color w:val="auto"/>
          <w:sz w:val="24"/>
          <w:highlight w:val="none"/>
        </w:rPr>
        <w:t>情形时，采购人可与排名下一位的中标候选人另行签订合同，或依法重新开展采购活动。</w:t>
      </w:r>
    </w:p>
    <w:bookmarkEnd w:id="763"/>
    <w:bookmarkEnd w:id="764"/>
    <w:bookmarkEnd w:id="765"/>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766" w:name="_Toc10831"/>
      <w:bookmarkStart w:id="767" w:name="_Toc15450"/>
      <w:bookmarkStart w:id="768" w:name="_Toc7815"/>
      <w:bookmarkStart w:id="769" w:name="_Toc16671"/>
      <w:bookmarkStart w:id="770" w:name="_Toc4460"/>
      <w:bookmarkStart w:id="771" w:name="_Toc23943"/>
      <w:bookmarkStart w:id="772" w:name="_Toc8189"/>
      <w:bookmarkStart w:id="773" w:name="_Toc26902"/>
      <w:bookmarkStart w:id="774" w:name="_Toc32530"/>
      <w:bookmarkStart w:id="775" w:name="_Toc11471"/>
      <w:bookmarkStart w:id="776" w:name="_Toc29601"/>
      <w:bookmarkStart w:id="777" w:name="_Toc4849"/>
      <w:bookmarkStart w:id="778" w:name="_Toc8051"/>
      <w:bookmarkStart w:id="779" w:name="_Toc9468"/>
      <w:bookmarkStart w:id="780" w:name="_Toc10991"/>
      <w:bookmarkStart w:id="781" w:name="_Toc32131"/>
      <w:bookmarkStart w:id="782" w:name="_Toc28788"/>
      <w:bookmarkStart w:id="783" w:name="_Toc14195"/>
      <w:bookmarkStart w:id="784" w:name="_Toc22555"/>
      <w:bookmarkStart w:id="785" w:name="_Toc515647793"/>
      <w:bookmarkStart w:id="786" w:name="_Toc14080"/>
      <w:bookmarkStart w:id="787" w:name="_Toc11467"/>
      <w:bookmarkStart w:id="788" w:name="_Toc17960"/>
      <w:bookmarkStart w:id="789" w:name="_Toc8801"/>
      <w:bookmarkStart w:id="790" w:name="_Toc24421"/>
      <w:bookmarkStart w:id="791" w:name="_Toc15314"/>
      <w:bookmarkStart w:id="792" w:name="_Toc29408"/>
      <w:bookmarkStart w:id="793" w:name="_Toc21835"/>
      <w:bookmarkStart w:id="794" w:name="_Toc836"/>
      <w:bookmarkStart w:id="795" w:name="_Toc20540"/>
      <w:bookmarkStart w:id="796" w:name="_Toc13043"/>
      <w:bookmarkStart w:id="797" w:name="_Toc515647794"/>
      <w:bookmarkStart w:id="798" w:name="_Toc22441"/>
      <w:bookmarkStart w:id="799" w:name="_Toc3090"/>
      <w:bookmarkStart w:id="800" w:name="_Toc17827"/>
      <w:bookmarkStart w:id="801" w:name="_Toc26497"/>
      <w:bookmarkStart w:id="802" w:name="_Toc9993"/>
      <w:bookmarkStart w:id="803" w:name="_Toc8906"/>
      <w:bookmarkStart w:id="804" w:name="_Toc5384"/>
      <w:bookmarkStart w:id="805" w:name="_Toc21246"/>
      <w:bookmarkStart w:id="806" w:name="_Toc17462"/>
      <w:bookmarkStart w:id="807" w:name="_Toc24979"/>
      <w:bookmarkStart w:id="808" w:name="_Toc9967"/>
      <w:bookmarkStart w:id="809" w:name="_Toc12103"/>
      <w:bookmarkStart w:id="810" w:name="_Toc9831"/>
      <w:bookmarkStart w:id="811" w:name="_Toc14539"/>
      <w:bookmarkStart w:id="812" w:name="_Toc737"/>
      <w:bookmarkStart w:id="813" w:name="_Toc16406"/>
      <w:r>
        <w:rPr>
          <w:rFonts w:hint="eastAsia" w:ascii="微软雅黑" w:hAnsi="微软雅黑" w:eastAsia="微软雅黑" w:cs="微软雅黑"/>
          <w:color w:val="auto"/>
          <w:highlight w:val="none"/>
          <w:u w:val="none"/>
        </w:rPr>
        <w:t>31.履约保证金</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中标人应按照</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政府采购利用担保试点范围内的项目，除31.1规定的情形外，中标人也可以按照财政部门的规定，向采购人提供合格的履约担</w:t>
      </w:r>
      <w:r>
        <w:rPr>
          <w:rFonts w:hint="eastAsia" w:ascii="微软雅黑" w:hAnsi="微软雅黑" w:eastAsia="微软雅黑" w:cs="微软雅黑"/>
          <w:color w:val="auto"/>
          <w:sz w:val="24"/>
          <w:highlight w:val="none"/>
          <w:lang w:eastAsia="zh-CN"/>
        </w:rPr>
        <w:t>开户行银行保函。</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32.中标服务费</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pPr>
        <w:pageBreakBefore w:val="0"/>
        <w:widowControl w:val="0"/>
        <w:kinsoku/>
        <w:wordWrap/>
        <w:overflowPunct/>
        <w:topLinePunct w:val="0"/>
        <w:bidi w:val="0"/>
        <w:spacing w:line="360" w:lineRule="exact"/>
        <w:ind w:left="420" w:leftChars="0" w:hanging="420" w:hangingChars="1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中标人须按照</w:t>
      </w:r>
      <w:r>
        <w:rPr>
          <w:rFonts w:hint="eastAsia" w:ascii="微软雅黑" w:hAnsi="微软雅黑" w:eastAsia="微软雅黑" w:cs="微软雅黑"/>
          <w:color w:val="auto"/>
          <w:sz w:val="24"/>
          <w:highlight w:val="none"/>
          <w:u w:val="single"/>
        </w:rPr>
        <w:t>投标须知资料表</w:t>
      </w:r>
      <w:r>
        <w:rPr>
          <w:rFonts w:hint="eastAsia" w:ascii="微软雅黑" w:hAnsi="微软雅黑" w:eastAsia="微软雅黑" w:cs="微软雅黑"/>
          <w:color w:val="auto"/>
          <w:sz w:val="24"/>
          <w:highlight w:val="none"/>
        </w:rPr>
        <w:t>规定，向采购代理机构支付中标服务费。</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14" w:name="_Toc23330"/>
      <w:bookmarkStart w:id="815" w:name="_Toc16900"/>
      <w:bookmarkStart w:id="816" w:name="_Toc10747"/>
      <w:bookmarkStart w:id="817" w:name="_Toc14969"/>
      <w:bookmarkStart w:id="818" w:name="_Toc7049"/>
      <w:bookmarkStart w:id="819" w:name="_Toc31464"/>
      <w:bookmarkStart w:id="820" w:name="_Toc29061"/>
      <w:bookmarkStart w:id="821" w:name="_Toc7158"/>
      <w:bookmarkStart w:id="822" w:name="_Toc20497"/>
      <w:bookmarkStart w:id="823" w:name="_Toc8477"/>
      <w:bookmarkStart w:id="824" w:name="_Toc3053"/>
      <w:bookmarkStart w:id="825" w:name="_Toc10808"/>
      <w:bookmarkStart w:id="826" w:name="_Toc20843"/>
      <w:bookmarkStart w:id="827" w:name="_Toc24525"/>
      <w:bookmarkStart w:id="828" w:name="_Toc515647795"/>
      <w:bookmarkStart w:id="829" w:name="_Toc4947"/>
      <w:bookmarkStart w:id="830" w:name="_Toc17458"/>
      <w:bookmarkStart w:id="831" w:name="_Toc31379"/>
      <w:bookmarkStart w:id="832" w:name="_Toc22905"/>
      <w:bookmarkStart w:id="833" w:name="_Toc29584"/>
      <w:bookmarkStart w:id="834" w:name="_Toc3584"/>
      <w:bookmarkStart w:id="835" w:name="_Toc7730"/>
      <w:bookmarkStart w:id="836" w:name="_Toc6923"/>
      <w:bookmarkStart w:id="837" w:name="_Toc10756"/>
      <w:r>
        <w:rPr>
          <w:rFonts w:hint="eastAsia" w:ascii="微软雅黑" w:hAnsi="微软雅黑" w:eastAsia="微软雅黑" w:cs="微软雅黑"/>
          <w:color w:val="auto"/>
          <w:highlight w:val="none"/>
          <w:u w:val="none"/>
        </w:rPr>
        <w:t>33.政府采购信用担保</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33.2.1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递交的投标担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和履约担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 合格的政府采购专业信用担保机构名单见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38" w:name="_Toc3890"/>
      <w:bookmarkStart w:id="839" w:name="_Toc31178"/>
      <w:bookmarkStart w:id="840" w:name="_Toc5262"/>
      <w:bookmarkStart w:id="841" w:name="_Toc27009"/>
      <w:bookmarkStart w:id="842" w:name="_Toc11707"/>
      <w:bookmarkStart w:id="843" w:name="_Toc5750"/>
      <w:bookmarkStart w:id="844" w:name="_Toc23161"/>
      <w:bookmarkStart w:id="845" w:name="_Toc23999"/>
      <w:bookmarkStart w:id="846" w:name="_Toc3588"/>
      <w:bookmarkStart w:id="847" w:name="_Toc24627"/>
      <w:bookmarkStart w:id="848" w:name="_Toc30439"/>
      <w:bookmarkStart w:id="849" w:name="_Toc9656"/>
      <w:bookmarkStart w:id="850" w:name="_Toc11552"/>
      <w:bookmarkStart w:id="851" w:name="_Toc12839"/>
      <w:bookmarkStart w:id="852" w:name="_Toc3656"/>
      <w:bookmarkStart w:id="853" w:name="_Toc3616"/>
      <w:bookmarkStart w:id="854" w:name="_Toc22695"/>
      <w:bookmarkStart w:id="855" w:name="_Toc29108"/>
      <w:bookmarkStart w:id="856" w:name="_Toc22315"/>
      <w:bookmarkStart w:id="857" w:name="_Toc25791"/>
      <w:bookmarkStart w:id="858" w:name="_Toc515647796"/>
      <w:bookmarkStart w:id="859" w:name="_Toc31425"/>
      <w:bookmarkStart w:id="860" w:name="_Toc2133"/>
      <w:bookmarkStart w:id="861" w:name="_Toc20411"/>
      <w:r>
        <w:rPr>
          <w:rFonts w:hint="eastAsia" w:ascii="微软雅黑" w:hAnsi="微软雅黑" w:eastAsia="微软雅黑" w:cs="微软雅黑"/>
          <w:color w:val="auto"/>
          <w:highlight w:val="none"/>
          <w:u w:val="none"/>
        </w:rPr>
        <w:t>34.廉洁自律规定</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   为强化采购代理机构内部监督机制，供应商可按</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须知资料表中的</w:t>
      </w:r>
      <w:r>
        <w:rPr>
          <w:rFonts w:hint="eastAsia" w:ascii="微软雅黑" w:hAnsi="微软雅黑" w:eastAsia="微软雅黑" w:cs="微软雅黑"/>
          <w:color w:val="auto"/>
          <w:sz w:val="24"/>
          <w:highlight w:val="none"/>
        </w:rPr>
        <w:t>监督电话和邮箱，反映采购代理机构的廉洁自律等问题。</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62" w:name="_Toc31708"/>
      <w:bookmarkStart w:id="863" w:name="_Toc5069"/>
      <w:bookmarkStart w:id="864" w:name="_Toc12862"/>
      <w:bookmarkStart w:id="865" w:name="_Toc25480"/>
      <w:bookmarkStart w:id="866" w:name="_Toc8153"/>
      <w:bookmarkStart w:id="867" w:name="_Toc17079"/>
      <w:bookmarkStart w:id="868" w:name="_Toc5448"/>
      <w:bookmarkStart w:id="869" w:name="_Toc23126"/>
      <w:bookmarkStart w:id="870" w:name="_Toc27794"/>
      <w:bookmarkStart w:id="871" w:name="_Toc13673"/>
      <w:bookmarkStart w:id="872" w:name="_Toc12422"/>
      <w:bookmarkStart w:id="873" w:name="_Toc21508"/>
      <w:bookmarkStart w:id="874" w:name="_Toc11586"/>
      <w:bookmarkStart w:id="875" w:name="_Toc17682"/>
      <w:bookmarkStart w:id="876" w:name="_Toc30009"/>
      <w:bookmarkStart w:id="877" w:name="_Toc515647797"/>
      <w:bookmarkStart w:id="878" w:name="_Toc4826"/>
      <w:bookmarkStart w:id="879" w:name="_Toc20945"/>
      <w:bookmarkStart w:id="880" w:name="_Toc23695"/>
      <w:bookmarkStart w:id="881" w:name="_Toc3319"/>
      <w:bookmarkStart w:id="882" w:name="_Toc29018"/>
      <w:bookmarkStart w:id="883" w:name="_Toc17686"/>
      <w:bookmarkStart w:id="884" w:name="_Toc22848"/>
      <w:bookmarkStart w:id="885" w:name="_Toc27260"/>
      <w:r>
        <w:rPr>
          <w:rFonts w:hint="eastAsia" w:ascii="微软雅黑" w:hAnsi="微软雅黑" w:eastAsia="微软雅黑" w:cs="微软雅黑"/>
          <w:color w:val="auto"/>
          <w:highlight w:val="none"/>
          <w:u w:val="none"/>
        </w:rPr>
        <w:t>35.人员回避</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认为采购人员及其相关人员有法律法规所列与其他供应商有利害关系的，可以向采购人或采购代理机构书面提出回避申请，并说明理由。</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szCs w:val="24"/>
          <w:highlight w:val="none"/>
          <w:u w:val="none"/>
        </w:rPr>
      </w:pPr>
      <w:bookmarkStart w:id="886" w:name="_Toc31362"/>
      <w:bookmarkStart w:id="887" w:name="_Toc22349"/>
      <w:bookmarkStart w:id="888" w:name="_Toc6387"/>
      <w:bookmarkStart w:id="889" w:name="_Toc27328"/>
      <w:bookmarkStart w:id="890" w:name="_Toc9865"/>
      <w:bookmarkStart w:id="891" w:name="_Toc5814"/>
      <w:bookmarkStart w:id="892" w:name="_Toc24245"/>
      <w:bookmarkStart w:id="893" w:name="_Toc7870"/>
      <w:bookmarkStart w:id="894" w:name="_Toc14457"/>
      <w:bookmarkStart w:id="895" w:name="_Toc4659"/>
      <w:bookmarkStart w:id="896" w:name="_Toc15630"/>
      <w:bookmarkStart w:id="897" w:name="_Toc25450"/>
      <w:bookmarkStart w:id="898" w:name="_Toc1162"/>
      <w:bookmarkStart w:id="899" w:name="_Toc30943"/>
      <w:bookmarkStart w:id="900" w:name="_Toc8352"/>
      <w:bookmarkStart w:id="901" w:name="_Toc12727"/>
      <w:bookmarkStart w:id="902" w:name="_Toc12470"/>
      <w:bookmarkStart w:id="903" w:name="_Toc26250"/>
      <w:bookmarkStart w:id="904" w:name="_Toc12880"/>
      <w:bookmarkStart w:id="905" w:name="_Toc22831"/>
      <w:bookmarkStart w:id="906" w:name="_Toc6634"/>
      <w:r>
        <w:rPr>
          <w:rFonts w:hint="eastAsia" w:ascii="微软雅黑" w:hAnsi="微软雅黑" w:eastAsia="微软雅黑" w:cs="微软雅黑"/>
          <w:color w:val="auto"/>
          <w:highlight w:val="none"/>
          <w:u w:val="none"/>
        </w:rPr>
        <w:t>36.</w:t>
      </w:r>
      <w:bookmarkEnd w:id="886"/>
      <w:r>
        <w:rPr>
          <w:rFonts w:hint="eastAsia" w:ascii="微软雅黑" w:hAnsi="微软雅黑" w:eastAsia="微软雅黑" w:cs="微软雅黑"/>
          <w:color w:val="auto"/>
          <w:szCs w:val="24"/>
          <w:highlight w:val="none"/>
          <w:u w:val="none"/>
        </w:rPr>
        <w:t>质疑与接收</w:t>
      </w:r>
      <w:bookmarkEnd w:id="25"/>
      <w:bookmarkEnd w:id="26"/>
      <w:bookmarkEnd w:id="27"/>
      <w:bookmarkEnd w:id="28"/>
      <w:bookmarkEnd w:id="29"/>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7"/>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37"/>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采购代理机构质疑函接收部门、联系电话和通讯地址, 见</w:t>
      </w:r>
      <w:r>
        <w:rPr>
          <w:rFonts w:hint="eastAsia" w:ascii="微软雅黑" w:hAnsi="微软雅黑" w:eastAsia="微软雅黑" w:cs="微软雅黑"/>
          <w:color w:val="auto"/>
          <w:sz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rPr>
        <w:t xml:space="preserve">36.7   </w:t>
      </w:r>
      <w:r>
        <w:rPr>
          <w:rFonts w:hint="eastAsia" w:ascii="微软雅黑" w:hAnsi="微软雅黑" w:eastAsia="微软雅黑" w:cs="微软雅黑"/>
          <w:b w:val="0"/>
          <w:bCs w:val="0"/>
          <w:color w:val="auto"/>
          <w:sz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highlight w:val="none"/>
          <w:lang w:val="en-US" w:eastAsia="zh-CN"/>
        </w:rPr>
        <w:t xml:space="preserve">36.8   </w:t>
      </w:r>
      <w:r>
        <w:rPr>
          <w:rFonts w:hint="eastAsia" w:ascii="微软雅黑" w:hAnsi="微软雅黑" w:eastAsia="微软雅黑" w:cs="微软雅黑"/>
          <w:b w:val="0"/>
          <w:bCs w:val="0"/>
          <w:color w:val="auto"/>
          <w:sz w:val="24"/>
          <w:highlight w:val="none"/>
        </w:rPr>
        <w:t>对可以质</w:t>
      </w:r>
      <w:r>
        <w:rPr>
          <w:rFonts w:hint="eastAsia" w:ascii="微软雅黑" w:hAnsi="微软雅黑" w:eastAsia="微软雅黑" w:cs="微软雅黑"/>
          <w:color w:val="auto"/>
          <w:sz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13</w:t>
      </w:r>
      <w:r>
        <w:rPr>
          <w:rFonts w:hint="eastAsia" w:ascii="微软雅黑" w:hAnsi="微软雅黑" w:eastAsia="微软雅黑" w:cs="微软雅黑"/>
          <w:color w:val="auto"/>
          <w:sz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w:t>
      </w:r>
      <w:r>
        <w:rPr>
          <w:rFonts w:hint="eastAsia" w:ascii="微软雅黑" w:hAnsi="微软雅黑" w:eastAsia="微软雅黑" w:cs="微软雅黑"/>
          <w:color w:val="auto"/>
          <w:sz w:val="24"/>
          <w:highlight w:val="none"/>
          <w:lang w:eastAsia="zh-CN"/>
        </w:rPr>
        <w:t>法定代表人</w:t>
      </w:r>
      <w:r>
        <w:rPr>
          <w:rFonts w:hint="eastAsia" w:ascii="微软雅黑" w:hAnsi="微软雅黑" w:eastAsia="微软雅黑" w:cs="微软雅黑"/>
          <w:color w:val="auto"/>
          <w:sz w:val="24"/>
          <w:highlight w:val="none"/>
        </w:rPr>
        <w:t>或者非</w:t>
      </w:r>
      <w:r>
        <w:rPr>
          <w:rFonts w:hint="eastAsia" w:ascii="微软雅黑" w:hAnsi="微软雅黑" w:eastAsia="微软雅黑" w:cs="微软雅黑"/>
          <w:color w:val="auto"/>
          <w:sz w:val="24"/>
          <w:highlight w:val="none"/>
          <w:lang w:eastAsia="zh-CN"/>
        </w:rPr>
        <w:t>法定代表人</w:t>
      </w:r>
      <w:r>
        <w:rPr>
          <w:rFonts w:hint="eastAsia" w:ascii="微软雅黑" w:hAnsi="微软雅黑" w:eastAsia="微软雅黑" w:cs="微软雅黑"/>
          <w:color w:val="auto"/>
          <w:sz w:val="24"/>
          <w:highlight w:val="none"/>
        </w:rPr>
        <w:t>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14</w:t>
      </w:r>
      <w:r>
        <w:rPr>
          <w:rFonts w:hint="eastAsia" w:ascii="微软雅黑" w:hAnsi="微软雅黑" w:eastAsia="微软雅黑" w:cs="微软雅黑"/>
          <w:color w:val="auto"/>
          <w:sz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19</w:t>
      </w:r>
      <w:r>
        <w:rPr>
          <w:rFonts w:hint="eastAsia" w:ascii="微软雅黑" w:hAnsi="微软雅黑" w:eastAsia="微软雅黑" w:cs="微软雅黑"/>
          <w:color w:val="auto"/>
          <w:sz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 xml:space="preserve">3 </w:t>
      </w:r>
      <w:r>
        <w:rPr>
          <w:rFonts w:hint="eastAsia" w:ascii="微软雅黑" w:hAnsi="微软雅黑" w:eastAsia="微软雅黑" w:cs="微软雅黑"/>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 xml:space="preserve">  采购方将在正式受理质疑后7个工作日内作出答复。</w:t>
      </w:r>
      <w:r>
        <w:rPr>
          <w:rFonts w:hint="eastAsia" w:ascii="微软雅黑" w:hAnsi="微软雅黑" w:eastAsia="微软雅黑" w:cs="微软雅黑"/>
          <w:color w:val="auto"/>
          <w:sz w:val="24"/>
          <w:highlight w:val="none"/>
          <w:lang w:val="en-US" w:eastAsia="zh-CN"/>
        </w:rPr>
        <w:t xml:space="preserve"> </w:t>
      </w:r>
    </w:p>
    <w:p>
      <w:pPr>
        <w:pStyle w:val="37"/>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 xml:space="preserve"> 质疑答复应当包括下列内容：</w:t>
      </w:r>
    </w:p>
    <w:p>
      <w:pPr>
        <w:pStyle w:val="37"/>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pPr>
        <w:pStyle w:val="37"/>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pPr>
        <w:pStyle w:val="37"/>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pPr>
        <w:pStyle w:val="37"/>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pPr>
        <w:pStyle w:val="37"/>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pPr>
        <w:pStyle w:val="37"/>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（六）答复质疑的日期。</w:t>
      </w:r>
    </w:p>
    <w:p>
      <w:pPr>
        <w:pageBreakBefore w:val="0"/>
        <w:kinsoku/>
        <w:wordWrap/>
        <w:overflowPunct/>
        <w:topLinePunct w:val="0"/>
        <w:bidi w:val="0"/>
        <w:spacing w:line="360" w:lineRule="exact"/>
        <w:ind w:left="0" w:leftChars="0"/>
        <w:jc w:val="center"/>
        <w:textAlignment w:val="auto"/>
        <w:outlineLvl w:val="2"/>
        <w:rPr>
          <w:rFonts w:hint="eastAsia" w:ascii="微软雅黑" w:hAnsi="微软雅黑" w:eastAsia="微软雅黑" w:cs="微软雅黑"/>
          <w:b/>
          <w:bCs/>
          <w:color w:val="auto"/>
          <w:sz w:val="24"/>
          <w:highlight w:val="none"/>
        </w:rPr>
      </w:pPr>
      <w:bookmarkStart w:id="907" w:name="_Toc2072"/>
      <w:bookmarkStart w:id="908" w:name="_Toc15112"/>
      <w:bookmarkStart w:id="909" w:name="_Toc10298"/>
      <w:bookmarkStart w:id="910" w:name="_Toc14560"/>
      <w:bookmarkStart w:id="911" w:name="_Toc12088"/>
      <w:bookmarkStart w:id="912" w:name="_Toc1819"/>
      <w:bookmarkStart w:id="913" w:name="_Toc8353"/>
      <w:bookmarkStart w:id="914" w:name="_Toc27601"/>
      <w:bookmarkStart w:id="915" w:name="_Toc1369"/>
      <w:bookmarkStart w:id="916" w:name="_Toc17298"/>
      <w:bookmarkStart w:id="917" w:name="_Toc23411"/>
      <w:bookmarkStart w:id="918" w:name="_Toc25636"/>
      <w:bookmarkStart w:id="919" w:name="_Toc2799"/>
      <w:bookmarkStart w:id="920" w:name="_Toc22908"/>
      <w:bookmarkStart w:id="921" w:name="_Toc2500"/>
      <w:bookmarkStart w:id="922" w:name="_Toc21687"/>
      <w:bookmarkStart w:id="923" w:name="_Toc14357"/>
      <w:bookmarkStart w:id="924" w:name="_Toc16553"/>
      <w:bookmarkStart w:id="925" w:name="_Toc6589"/>
      <w:bookmarkStart w:id="926" w:name="_Toc9437"/>
      <w:bookmarkStart w:id="927" w:name="_Toc3696"/>
      <w:bookmarkStart w:id="928" w:name="_Toc30093"/>
      <w:bookmarkStart w:id="929" w:name="_Toc30512"/>
      <w:bookmarkStart w:id="930" w:name="_Toc11297"/>
      <w:bookmarkStart w:id="931" w:name="_Toc18518"/>
      <w:r>
        <w:rPr>
          <w:rFonts w:hint="eastAsia" w:ascii="微软雅黑" w:hAnsi="微软雅黑" w:eastAsia="微软雅黑" w:cs="微软雅黑"/>
          <w:b/>
          <w:bCs/>
          <w:color w:val="auto"/>
          <w:sz w:val="24"/>
          <w:highlight w:val="none"/>
        </w:rPr>
        <w:t>质疑函范本</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采购文件获取日期：</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b/>
          <w:color w:val="auto"/>
          <w:sz w:val="24"/>
          <w:highlight w:val="none"/>
        </w:rPr>
      </w:pP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6.质疑供应商为自然人的，质疑函应由本人签字；质疑供应商为</w:t>
      </w:r>
      <w:r>
        <w:rPr>
          <w:rFonts w:hint="eastAsia" w:ascii="微软雅黑" w:hAnsi="微软雅黑" w:eastAsia="微软雅黑" w:cs="微软雅黑"/>
          <w:color w:val="auto"/>
          <w:sz w:val="24"/>
          <w:highlight w:val="none"/>
          <w:lang w:eastAsia="zh-CN"/>
        </w:rPr>
        <w:t>法定代表人</w:t>
      </w:r>
      <w:r>
        <w:rPr>
          <w:rFonts w:hint="eastAsia" w:ascii="微软雅黑" w:hAnsi="微软雅黑" w:eastAsia="微软雅黑" w:cs="微软雅黑"/>
          <w:color w:val="auto"/>
          <w:sz w:val="24"/>
          <w:highlight w:val="none"/>
        </w:rPr>
        <w:t>或者其他组织的，质疑函应由法定代表人、主要负责人，或者其授权代表签字或者盖章，并加盖公章。</w:t>
      </w:r>
    </w:p>
    <w:p>
      <w:pPr>
        <w:pStyle w:val="4"/>
        <w:spacing w:line="400" w:lineRule="exact"/>
        <w:ind w:firstLine="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b/>
          <w:color w:val="auto"/>
          <w:szCs w:val="24"/>
          <w:highlight w:val="none"/>
        </w:rPr>
        <w:br w:type="page"/>
      </w:r>
    </w:p>
    <w:p>
      <w:pPr>
        <w:pStyle w:val="6"/>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微软雅黑" w:hAnsi="微软雅黑" w:eastAsia="微软雅黑" w:cs="微软雅黑"/>
          <w:b/>
          <w:bCs/>
          <w:color w:val="auto"/>
          <w:sz w:val="32"/>
          <w:szCs w:val="32"/>
          <w:highlight w:val="none"/>
        </w:rPr>
      </w:pPr>
      <w:bookmarkStart w:id="932" w:name="_Toc728"/>
      <w:bookmarkStart w:id="933" w:name="_Toc3574"/>
      <w:bookmarkStart w:id="934" w:name="_Toc216582812"/>
      <w:bookmarkStart w:id="935" w:name="_Toc702"/>
      <w:bookmarkStart w:id="936" w:name="_Toc173"/>
      <w:bookmarkStart w:id="937" w:name="_Toc29770"/>
      <w:bookmarkStart w:id="938" w:name="_Toc515647802"/>
      <w:r>
        <w:rPr>
          <w:rFonts w:hint="eastAsia" w:ascii="微软雅黑" w:hAnsi="微软雅黑" w:eastAsia="微软雅黑" w:cs="微软雅黑"/>
          <w:b/>
          <w:bCs/>
          <w:color w:val="auto"/>
          <w:sz w:val="32"/>
          <w:szCs w:val="32"/>
          <w:highlight w:val="none"/>
        </w:rPr>
        <w:t>第2章   投标文件格式</w:t>
      </w:r>
      <w:bookmarkEnd w:id="932"/>
      <w:bookmarkEnd w:id="933"/>
      <w:bookmarkEnd w:id="934"/>
      <w:bookmarkEnd w:id="935"/>
      <w:bookmarkEnd w:id="936"/>
      <w:bookmarkEnd w:id="937"/>
      <w:bookmarkEnd w:id="938"/>
    </w:p>
    <w:p>
      <w:pPr>
        <w:pStyle w:val="7"/>
        <w:spacing w:before="0" w:line="240" w:lineRule="atLeast"/>
        <w:ind w:left="1080" w:leftChars="257" w:hanging="540"/>
        <w:rPr>
          <w:rFonts w:hint="eastAsia" w:ascii="微软雅黑" w:hAnsi="微软雅黑" w:eastAsia="微软雅黑" w:cs="微软雅黑"/>
          <w:color w:val="auto"/>
          <w:szCs w:val="21"/>
          <w:highlight w:val="none"/>
        </w:rPr>
      </w:pPr>
      <w:bookmarkStart w:id="939" w:name="_Toc32079"/>
      <w:bookmarkStart w:id="940" w:name="_Toc22572"/>
      <w:bookmarkStart w:id="941" w:name="_Toc515647803"/>
      <w:bookmarkStart w:id="942" w:name="_Toc18694"/>
      <w:bookmarkStart w:id="943" w:name="_Toc18974"/>
      <w:bookmarkStart w:id="944" w:name="_Toc30383"/>
      <w:bookmarkStart w:id="945" w:name="_Toc32123"/>
      <w:bookmarkStart w:id="946" w:name="_Toc30630"/>
      <w:bookmarkStart w:id="947" w:name="_Toc13595"/>
      <w:bookmarkStart w:id="948" w:name="_Toc16750"/>
      <w:bookmarkStart w:id="949" w:name="_Toc3620"/>
      <w:bookmarkStart w:id="950" w:name="_Toc14118"/>
      <w:bookmarkStart w:id="951" w:name="_Toc16568"/>
      <w:bookmarkStart w:id="952" w:name="_Toc522"/>
      <w:bookmarkStart w:id="953" w:name="_Toc11138"/>
      <w:bookmarkStart w:id="954" w:name="_Toc30524"/>
      <w:bookmarkStart w:id="955" w:name="_Toc29091"/>
      <w:bookmarkStart w:id="956" w:name="_Toc515647804"/>
      <w:bookmarkStart w:id="957" w:name="_Toc21614"/>
      <w:bookmarkStart w:id="958" w:name="_Ref467988698"/>
      <w:bookmarkStart w:id="959" w:name="_Toc216582813"/>
      <w:bookmarkStart w:id="960" w:name="_Toc480942349"/>
      <w:bookmarkStart w:id="961" w:name="_Toc520356217"/>
      <w:r>
        <w:rPr>
          <w:rFonts w:hint="eastAsia" w:ascii="微软雅黑" w:hAnsi="微软雅黑" w:eastAsia="微软雅黑" w:cs="微软雅黑"/>
          <w:color w:val="auto"/>
          <w:sz w:val="28"/>
          <w:szCs w:val="28"/>
          <w:highlight w:val="none"/>
        </w:rPr>
        <w:t>第一部分 开标一览表及资格证明文件</w:t>
      </w:r>
      <w:bookmarkEnd w:id="939"/>
      <w:bookmarkEnd w:id="940"/>
      <w:bookmarkEnd w:id="941"/>
      <w:bookmarkEnd w:id="942"/>
      <w:bookmarkEnd w:id="943"/>
      <w:bookmarkEnd w:id="944"/>
      <w:bookmarkEnd w:id="945"/>
    </w:p>
    <w:bookmarkEnd w:id="946"/>
    <w:bookmarkEnd w:id="947"/>
    <w:bookmarkEnd w:id="948"/>
    <w:bookmarkEnd w:id="949"/>
    <w:bookmarkEnd w:id="950"/>
    <w:bookmarkEnd w:id="951"/>
    <w:bookmarkEnd w:id="952"/>
    <w:bookmarkEnd w:id="953"/>
    <w:bookmarkEnd w:id="954"/>
    <w:bookmarkEnd w:id="955"/>
    <w:bookmarkEnd w:id="956"/>
    <w:bookmarkEnd w:id="957"/>
    <w:p>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bookmarkStart w:id="962" w:name="_Toc15346"/>
      <w:bookmarkStart w:id="963" w:name="_Toc18263"/>
      <w:bookmarkStart w:id="964" w:name="_Toc22967"/>
      <w:bookmarkStart w:id="965" w:name="_Toc11180"/>
      <w:bookmarkStart w:id="966" w:name="_Toc30653"/>
      <w:bookmarkStart w:id="967" w:name="_Toc515647816"/>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开标一览表</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具有有效的营业执照；</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、提供法定代表人资格证明及授权书、被授权人身份证；(法定代表人投标需提供法定代表人身份证)；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、具有有效的《兽药经营许可证》或《兽药生产许可证》；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、提近两年任意一年的财务审计报告，新成立的公司提供近三个月内任意一个月的银行资信证明；</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提供依法缴纳近6个月内任意1个月社会保险的证明</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提供依法缴纳近6个月内任意1个月的税收证明</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国家企业信用信息公示系统（http://www.gsxt.gov.cn）”列入严重违法失信企业名单（黑名单）信息截图；将拒绝其参加本次招标活动；</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、提供参与政府采购活动前3年内未被列入失信、重大税收违法案件、财政部门禁止参加政府采购活动的承诺书；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、提供针对本次项目《反商业贿赂承诺书》。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、提供缴纳投标保证金有效凭证。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kern w:val="0"/>
          <w:sz w:val="24"/>
          <w:szCs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13、供应商可提供有利于投标的其他资格证明材料。</w:t>
      </w:r>
    </w:p>
    <w:p>
      <w:pPr>
        <w:pStyle w:val="2"/>
        <w:rPr>
          <w:rFonts w:hint="eastAsia" w:ascii="微软雅黑" w:hAnsi="微软雅黑" w:eastAsia="微软雅黑" w:cs="微软雅黑"/>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exact"/>
        <w:ind w:left="0" w:leftChars="0"/>
        <w:jc w:val="left"/>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注：1、“</w:t>
      </w:r>
      <w:r>
        <w:rPr>
          <w:rFonts w:hint="eastAsia" w:ascii="微软雅黑" w:hAnsi="微软雅黑" w:eastAsia="微软雅黑" w:cs="微软雅黑"/>
          <w:b/>
          <w:bCs/>
          <w:color w:val="auto"/>
          <w:sz w:val="24"/>
          <w:szCs w:val="24"/>
          <w:highlight w:val="none"/>
          <w:lang w:eastAsia="zh-CN"/>
        </w:rPr>
        <w:t>提供依法缴纳近6个月内任意1个月的税收证明</w:t>
      </w:r>
      <w:r>
        <w:rPr>
          <w:rFonts w:hint="eastAsia" w:ascii="微软雅黑" w:hAnsi="微软雅黑" w:eastAsia="微软雅黑" w:cs="微软雅黑"/>
          <w:b/>
          <w:bCs/>
          <w:color w:val="auto"/>
          <w:sz w:val="24"/>
          <w:szCs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pPr>
        <w:pStyle w:val="7"/>
        <w:spacing w:before="0" w:line="400" w:lineRule="exact"/>
        <w:ind w:left="1080" w:leftChars="257" w:hanging="540"/>
        <w:rPr>
          <w:rFonts w:hint="eastAsia" w:ascii="微软雅黑" w:hAnsi="微软雅黑" w:eastAsia="微软雅黑" w:cs="微软雅黑"/>
          <w:color w:val="auto"/>
          <w:sz w:val="24"/>
          <w:szCs w:val="24"/>
          <w:highlight w:val="none"/>
        </w:rPr>
      </w:pPr>
      <w:bookmarkStart w:id="968" w:name="_Toc27081"/>
      <w:bookmarkStart w:id="969" w:name="_Toc1244"/>
      <w:r>
        <w:rPr>
          <w:rFonts w:hint="eastAsia" w:ascii="微软雅黑" w:hAnsi="微软雅黑" w:eastAsia="微软雅黑" w:cs="微软雅黑"/>
          <w:color w:val="auto"/>
          <w:sz w:val="24"/>
          <w:szCs w:val="24"/>
          <w:highlight w:val="none"/>
        </w:rPr>
        <w:t>1、开标一览表</w:t>
      </w:r>
      <w:bookmarkEnd w:id="968"/>
      <w:bookmarkEnd w:id="969"/>
    </w:p>
    <w:p>
      <w:pPr>
        <w:pStyle w:val="4"/>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bookmarkStart w:id="970" w:name="_Hlt520356241"/>
      <w:bookmarkEnd w:id="970"/>
      <w:bookmarkStart w:id="971" w:name="_Toc494296984"/>
      <w:r>
        <w:rPr>
          <w:rFonts w:hint="eastAsia" w:ascii="微软雅黑" w:hAnsi="微软雅黑" w:eastAsia="微软雅黑" w:cs="微软雅黑"/>
          <w:b/>
          <w:color w:val="auto"/>
          <w:sz w:val="24"/>
          <w:szCs w:val="24"/>
          <w:highlight w:val="none"/>
        </w:rPr>
        <w:t>开标一览表</w:t>
      </w:r>
      <w:bookmarkEnd w:id="971"/>
    </w:p>
    <w:p>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报价单位：人民币</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元</w:t>
      </w:r>
    </w:p>
    <w:tbl>
      <w:tblPr>
        <w:tblStyle w:val="25"/>
        <w:tblW w:w="9155" w:type="dxa"/>
        <w:tblInd w:w="-61" w:type="dxa"/>
        <w:tblLayout w:type="fixed"/>
        <w:tblCellMar>
          <w:top w:w="0" w:type="dxa"/>
          <w:left w:w="0" w:type="dxa"/>
          <w:bottom w:w="0" w:type="dxa"/>
          <w:right w:w="0" w:type="dxa"/>
        </w:tblCellMar>
      </w:tblPr>
      <w:tblGrid>
        <w:gridCol w:w="1420"/>
        <w:gridCol w:w="2468"/>
        <w:gridCol w:w="1585"/>
        <w:gridCol w:w="1488"/>
        <w:gridCol w:w="1234"/>
        <w:gridCol w:w="960"/>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2468"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投标总价</w:t>
            </w:r>
          </w:p>
        </w:tc>
        <w:tc>
          <w:tcPr>
            <w:tcW w:w="158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1488" w:type="dxa"/>
            <w:tcBorders>
              <w:top w:val="single" w:color="auto" w:sz="8" w:space="0"/>
              <w:left w:val="nil"/>
              <w:bottom w:val="single" w:color="auto" w:sz="8" w:space="0"/>
              <w:right w:val="single" w:color="auto" w:sz="4" w:space="0"/>
            </w:tcBorders>
            <w:vAlign w:val="center"/>
          </w:tcPr>
          <w:p>
            <w:pPr>
              <w:shd w:val="clear"/>
              <w:tabs>
                <w:tab w:val="left" w:pos="5580"/>
              </w:tabs>
              <w:spacing w:line="400" w:lineRule="exact"/>
              <w:jc w:val="center"/>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highlight w:val="none"/>
                <w:lang w:val="en-US" w:eastAsia="zh-CN"/>
              </w:rPr>
              <w:t>供货期</w:t>
            </w:r>
          </w:p>
        </w:tc>
        <w:tc>
          <w:tcPr>
            <w:tcW w:w="1234" w:type="dxa"/>
            <w:tcBorders>
              <w:top w:val="single" w:color="auto" w:sz="8" w:space="0"/>
              <w:left w:val="nil"/>
              <w:bottom w:val="single" w:color="auto" w:sz="8" w:space="0"/>
              <w:right w:val="single" w:color="auto" w:sz="4" w:space="0"/>
            </w:tcBorders>
            <w:vAlign w:val="center"/>
          </w:tcPr>
          <w:p>
            <w:pPr>
              <w:shd w:val="clear"/>
              <w:tabs>
                <w:tab w:val="left" w:pos="5580"/>
              </w:tabs>
              <w:spacing w:line="400" w:lineRule="exact"/>
              <w:jc w:val="center"/>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highlight w:val="none"/>
                <w:lang w:val="en-US" w:eastAsia="zh-CN"/>
              </w:rPr>
              <w:t>供货</w:t>
            </w:r>
            <w:r>
              <w:rPr>
                <w:rFonts w:hint="eastAsia" w:ascii="微软雅黑" w:hAnsi="微软雅黑" w:eastAsia="微软雅黑" w:cs="微软雅黑"/>
                <w:color w:val="auto"/>
                <w:sz w:val="24"/>
                <w:highlight w:val="none"/>
              </w:rPr>
              <w:t>地点</w:t>
            </w:r>
          </w:p>
        </w:tc>
        <w:tc>
          <w:tcPr>
            <w:tcW w:w="96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468"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pPr>
              <w:tabs>
                <w:tab w:val="left" w:pos="558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58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88"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234"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96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400" w:lineRule="exact"/>
              <w:ind w:left="539" w:leftChars="0" w:hanging="539"/>
              <w:jc w:val="center"/>
              <w:textAlignment w:val="auto"/>
              <w:rPr>
                <w:rFonts w:hint="eastAsia" w:ascii="微软雅黑" w:hAnsi="微软雅黑" w:eastAsia="微软雅黑" w:cs="微软雅黑"/>
                <w:color w:val="auto"/>
                <w:sz w:val="24"/>
                <w:szCs w:val="24"/>
                <w:highlight w:val="none"/>
              </w:rPr>
            </w:pPr>
          </w:p>
        </w:tc>
      </w:tr>
    </w:tbl>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z w:val="24"/>
          <w:szCs w:val="24"/>
          <w:highlight w:val="none"/>
          <w:lang w:val="en-US" w:eastAsia="zh-CN"/>
        </w:rPr>
        <w:t>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ab/>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注:1、此表应按供应商须知的规定</w:t>
      </w:r>
      <w:r>
        <w:rPr>
          <w:rFonts w:hint="eastAsia" w:ascii="微软雅黑" w:hAnsi="微软雅黑" w:eastAsia="微软雅黑" w:cs="微软雅黑"/>
          <w:color w:val="auto"/>
          <w:sz w:val="24"/>
          <w:szCs w:val="24"/>
          <w:highlight w:val="none"/>
          <w:lang w:eastAsia="zh-CN"/>
        </w:rPr>
        <w:t>上传</w:t>
      </w:r>
      <w:r>
        <w:rPr>
          <w:rFonts w:hint="eastAsia" w:ascii="微软雅黑" w:hAnsi="微软雅黑" w:eastAsia="微软雅黑" w:cs="微软雅黑"/>
          <w:color w:val="auto"/>
          <w:sz w:val="24"/>
          <w:szCs w:val="24"/>
          <w:highlight w:val="none"/>
        </w:rPr>
        <w:t>。</w:t>
      </w:r>
    </w:p>
    <w:p>
      <w:pPr>
        <w:pStyle w:val="13"/>
        <w:tabs>
          <w:tab w:val="left" w:pos="5580"/>
        </w:tabs>
        <w:spacing w:line="400" w:lineRule="exact"/>
        <w:ind w:left="741" w:leftChars="353"/>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2、此表中，投标总价应和投标分项报价表的总价相一致。</w:t>
      </w:r>
    </w:p>
    <w:p>
      <w:pPr>
        <w:pStyle w:val="13"/>
        <w:tabs>
          <w:tab w:val="left" w:pos="5580"/>
        </w:tabs>
        <w:spacing w:line="400" w:lineRule="exact"/>
        <w:ind w:left="741" w:leftChars="35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3、投标商报价时包含税费等一切与本次项目相关的费用。</w:t>
      </w: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numPr>
          <w:ilvl w:val="0"/>
          <w:numId w:val="6"/>
        </w:numPr>
        <w:tabs>
          <w:tab w:val="left" w:pos="5580"/>
        </w:tabs>
        <w:spacing w:line="400" w:lineRule="exact"/>
        <w:jc w:val="left"/>
        <w:outlineLvl w:val="1"/>
        <w:rPr>
          <w:rFonts w:hint="eastAsia" w:ascii="微软雅黑" w:hAnsi="微软雅黑" w:eastAsia="微软雅黑" w:cs="微软雅黑"/>
          <w:b/>
          <w:color w:val="auto"/>
          <w:sz w:val="24"/>
          <w:szCs w:val="24"/>
          <w:highlight w:val="none"/>
        </w:rPr>
      </w:pPr>
      <w:bookmarkStart w:id="972" w:name="_Toc22414"/>
      <w:bookmarkStart w:id="973" w:name="_Toc26385"/>
      <w:r>
        <w:rPr>
          <w:rFonts w:hint="eastAsia" w:ascii="微软雅黑" w:hAnsi="微软雅黑" w:eastAsia="微软雅黑" w:cs="微软雅黑"/>
          <w:b/>
          <w:color w:val="auto"/>
          <w:sz w:val="24"/>
          <w:szCs w:val="24"/>
          <w:highlight w:val="none"/>
          <w:lang w:eastAsia="zh-CN"/>
        </w:rPr>
        <w:t>具有有效的营业执照</w:t>
      </w:r>
      <w:r>
        <w:rPr>
          <w:rFonts w:hint="eastAsia" w:ascii="微软雅黑" w:hAnsi="微软雅黑" w:eastAsia="微软雅黑" w:cs="微软雅黑"/>
          <w:b/>
          <w:color w:val="auto"/>
          <w:sz w:val="24"/>
          <w:szCs w:val="24"/>
          <w:highlight w:val="none"/>
        </w:rPr>
        <w:t>；</w:t>
      </w:r>
      <w:bookmarkEnd w:id="972"/>
      <w:bookmarkEnd w:id="973"/>
    </w:p>
    <w:p>
      <w:pPr>
        <w:pStyle w:val="13"/>
        <w:tabs>
          <w:tab w:val="left" w:pos="5580"/>
        </w:tabs>
        <w:spacing w:line="240" w:lineRule="atLeast"/>
        <w:jc w:val="center"/>
        <w:rPr>
          <w:rFonts w:hint="eastAsia" w:ascii="微软雅黑" w:hAnsi="微软雅黑" w:eastAsia="微软雅黑" w:cs="微软雅黑"/>
          <w:b/>
          <w:color w:val="auto"/>
          <w:sz w:val="24"/>
          <w:szCs w:val="24"/>
          <w:highlight w:val="none"/>
        </w:rPr>
      </w:pPr>
    </w:p>
    <w:p>
      <w:pPr>
        <w:pStyle w:val="13"/>
        <w:tabs>
          <w:tab w:val="left" w:pos="5580"/>
        </w:tabs>
        <w:spacing w:line="240" w:lineRule="atLeast"/>
        <w:jc w:val="center"/>
        <w:rPr>
          <w:rFonts w:hint="eastAsia" w:ascii="微软雅黑" w:hAnsi="微软雅黑" w:eastAsia="微软雅黑" w:cs="微软雅黑"/>
          <w:b/>
          <w:color w:val="auto"/>
          <w:sz w:val="24"/>
          <w:szCs w:val="24"/>
          <w:highlight w:val="none"/>
        </w:rPr>
      </w:pPr>
    </w:p>
    <w:p>
      <w:pPr>
        <w:pStyle w:val="13"/>
        <w:tabs>
          <w:tab w:val="left" w:pos="5580"/>
        </w:tabs>
        <w:spacing w:line="240" w:lineRule="atLeast"/>
        <w:jc w:val="center"/>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pStyle w:val="13"/>
        <w:tabs>
          <w:tab w:val="left" w:pos="5580"/>
        </w:tabs>
        <w:spacing w:line="240" w:lineRule="atLeast"/>
        <w:rPr>
          <w:rFonts w:hint="eastAsia" w:ascii="微软雅黑" w:hAnsi="微软雅黑" w:eastAsia="微软雅黑" w:cs="微软雅黑"/>
          <w:b/>
          <w:color w:val="auto"/>
          <w:sz w:val="24"/>
          <w:szCs w:val="24"/>
          <w:highlight w:val="none"/>
        </w:rPr>
      </w:pPr>
    </w:p>
    <w:p>
      <w:pPr>
        <w:tabs>
          <w:tab w:val="left" w:pos="5580"/>
        </w:tabs>
        <w:spacing w:line="400" w:lineRule="exact"/>
        <w:outlineLvl w:val="1"/>
        <w:rPr>
          <w:rFonts w:hint="eastAsia" w:ascii="微软雅黑" w:hAnsi="微软雅黑" w:eastAsia="微软雅黑" w:cs="微软雅黑"/>
          <w:b/>
          <w:bCs/>
          <w:color w:val="auto"/>
          <w:sz w:val="24"/>
          <w:szCs w:val="24"/>
          <w:highlight w:val="none"/>
          <w:lang w:val="en-US" w:eastAsia="zh-CN"/>
        </w:rPr>
      </w:pPr>
      <w:bookmarkStart w:id="974" w:name="_Toc11840"/>
      <w:bookmarkStart w:id="975" w:name="_Toc32302"/>
      <w:bookmarkStart w:id="976" w:name="_Toc28979"/>
      <w:bookmarkStart w:id="977" w:name="_Toc3087"/>
      <w:bookmarkStart w:id="978" w:name="_Toc16184"/>
      <w:bookmarkStart w:id="979" w:name="_Toc6475"/>
      <w:bookmarkStart w:id="980" w:name="_Toc1957"/>
      <w:bookmarkStart w:id="981" w:name="_Toc6321"/>
      <w:bookmarkStart w:id="982" w:name="_Toc9651"/>
      <w:r>
        <w:rPr>
          <w:rFonts w:hint="eastAsia" w:ascii="微软雅黑" w:hAnsi="微软雅黑" w:eastAsia="微软雅黑" w:cs="微软雅黑"/>
          <w:b/>
          <w:color w:val="auto"/>
          <w:sz w:val="24"/>
          <w:szCs w:val="24"/>
          <w:highlight w:val="none"/>
        </w:rPr>
        <w:t>3</w:t>
      </w:r>
      <w:bookmarkEnd w:id="974"/>
      <w:bookmarkEnd w:id="975"/>
      <w:bookmarkEnd w:id="976"/>
      <w:bookmarkEnd w:id="977"/>
      <w:bookmarkEnd w:id="978"/>
      <w:bookmarkEnd w:id="979"/>
      <w:bookmarkEnd w:id="980"/>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提供法定代表人资格证明及授权书、被授权人身份证；(法定代表人投标需提供法定代表人身份证)；</w:t>
      </w:r>
      <w:bookmarkEnd w:id="981"/>
      <w:bookmarkEnd w:id="982"/>
    </w:p>
    <w:p>
      <w:pPr>
        <w:adjustRightInd w:val="0"/>
        <w:snapToGrid w:val="0"/>
        <w:spacing w:before="240" w:beforeLines="100" w:after="240" w:afterLines="100"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法定代表人身份证明</w:t>
      </w:r>
    </w:p>
    <w:p>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同志，现任我单位          职务，为法定代表人，特此证明。</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身份证</w:t>
      </w:r>
      <w:r>
        <w:rPr>
          <w:rFonts w:hint="eastAsia" w:ascii="微软雅黑" w:hAnsi="微软雅黑" w:eastAsia="微软雅黑" w:cs="微软雅黑"/>
          <w:color w:val="auto"/>
          <w:sz w:val="24"/>
          <w:szCs w:val="24"/>
          <w:highlight w:val="none"/>
        </w:rPr>
        <w:t xml:space="preserve">签发日期：                              </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附：性别：            年龄：           </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p>
      <w:pPr>
        <w:outlineLvl w:val="9"/>
        <w:rPr>
          <w:rFonts w:hint="eastAsia"/>
          <w:highlight w:val="none"/>
        </w:rPr>
      </w:pP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889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4"/>
                            </w:pPr>
                          </w:p>
                          <w:p>
                            <w:pPr>
                              <w:pStyle w:val="4"/>
                            </w:pPr>
                          </w:p>
                          <w:p>
                            <w:pPr>
                              <w:pStyle w:val="4"/>
                            </w:pPr>
                          </w:p>
                          <w:p>
                            <w:pPr>
                              <w:pStyle w:val="4"/>
                            </w:pPr>
                          </w:p>
                        </w:txbxContent>
                      </wps:txbx>
                      <wps:bodyPr upright="1"/>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Zn6QvaAAAACQEAAA8AAAAAAAAAAQAgAAAAIgAAAGRycy9kb3ducmV2LnhtbFBL&#10;AQIUABQAAAAIAIdO4kAet4fU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4"/>
                      </w:pPr>
                    </w:p>
                    <w:p>
                      <w:pPr>
                        <w:pStyle w:val="4"/>
                      </w:pPr>
                    </w:p>
                    <w:p>
                      <w:pPr>
                        <w:pStyle w:val="4"/>
                      </w:pPr>
                    </w:p>
                    <w:p>
                      <w:pPr>
                        <w:pStyle w:val="4"/>
                      </w:pPr>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52705</wp:posOffset>
                </wp:positionH>
                <wp:positionV relativeFrom="paragraph">
                  <wp:posOffset>10795</wp:posOffset>
                </wp:positionV>
                <wp:extent cx="2216150" cy="1375410"/>
                <wp:effectExtent l="4445" t="4445" r="19685" b="698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wps:txbx>
                      <wps:bodyPr upright="1"/>
                    </wps:wsp>
                  </a:graphicData>
                </a:graphic>
              </wp:anchor>
            </w:drawing>
          </mc:Choice>
          <mc:Fallback>
            <w:pict>
              <v:shape id="流程图: 可选过程 14" o:spid="_x0000_s1026" o:spt="176" type="#_x0000_t176" style="position:absolute;left:0pt;margin-left:4.15pt;margin-top:0.85pt;height:108.3pt;width:174.5pt;z-index:251659264;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ZS5zTAAAABwEAAA8AAAAAAAAAAQAgAAAAIgAAAGRycy9kb3ducmV2LnhtbFBLAQIUABQA&#10;AAAIAIdO4kD/w1QLLgIAAFQEAAAOAAAAAAAAAAEAIAAAACI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v:textbox>
              </v:shape>
            </w:pict>
          </mc:Fallback>
        </mc:AlternateContent>
      </w: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autoSpaceDE w:val="0"/>
        <w:autoSpaceDN w:val="0"/>
        <w:adjustRightInd w:val="0"/>
        <w:ind w:right="246"/>
        <w:rPr>
          <w:rFonts w:hint="eastAsia" w:ascii="微软雅黑" w:hAnsi="微软雅黑" w:eastAsia="微软雅黑" w:cs="微软雅黑"/>
          <w:color w:val="auto"/>
          <w:sz w:val="24"/>
          <w:szCs w:val="24"/>
          <w:highlight w:val="none"/>
        </w:rPr>
      </w:pPr>
    </w:p>
    <w:p>
      <w:pPr>
        <w:autoSpaceDE w:val="0"/>
        <w:autoSpaceDN w:val="0"/>
        <w:adjustRightInd w:val="0"/>
        <w:ind w:right="246"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供应商（盖章）：                              </w:t>
      </w:r>
    </w:p>
    <w:p>
      <w:pPr>
        <w:adjustRightInd w:val="0"/>
        <w:snapToGrid w:val="0"/>
        <w:ind w:firstLine="784" w:firstLineChars="327"/>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eastAsia="zh-CN"/>
        </w:rPr>
        <w:t>注：须提供身份证正反面。</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pPr>
        <w:adjustRightInd w:val="0"/>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pPr>
        <w:adjustRightInd w:val="0"/>
        <w:snapToGrid w:val="0"/>
        <w:spacing w:line="400" w:lineRule="exact"/>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pPr>
        <w:adjustRightInd w:val="0"/>
        <w:snapToGrid w:val="0"/>
        <w:spacing w:line="400" w:lineRule="exact"/>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pStyle w:val="13"/>
        <w:tabs>
          <w:tab w:val="left" w:pos="5580"/>
        </w:tabs>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说明：1.提供有效的</w:t>
      </w:r>
      <w:r>
        <w:rPr>
          <w:rFonts w:hint="eastAsia" w:ascii="微软雅黑" w:hAnsi="微软雅黑" w:eastAsia="微软雅黑" w:cs="微软雅黑"/>
          <w:color w:val="auto"/>
          <w:sz w:val="24"/>
          <w:szCs w:val="24"/>
          <w:highlight w:val="none"/>
          <w:lang w:eastAsia="zh-CN"/>
        </w:rPr>
        <w:t>具有有效的营业执照</w:t>
      </w:r>
      <w:r>
        <w:rPr>
          <w:rFonts w:hint="eastAsia" w:ascii="微软雅黑" w:hAnsi="微软雅黑" w:eastAsia="微软雅黑" w:cs="微软雅黑"/>
          <w:color w:val="auto"/>
          <w:sz w:val="24"/>
          <w:szCs w:val="24"/>
          <w:highlight w:val="none"/>
        </w:rPr>
        <w:t>等证明文件复印件，复印件上应加盖本单位</w:t>
      </w:r>
      <w:r>
        <w:rPr>
          <w:rFonts w:hint="eastAsia" w:ascii="微软雅黑" w:hAnsi="微软雅黑" w:eastAsia="微软雅黑" w:cs="微软雅黑"/>
          <w:color w:val="auto"/>
          <w:sz w:val="24"/>
          <w:szCs w:val="24"/>
          <w:highlight w:val="none"/>
          <w:lang w:eastAsia="zh-CN"/>
        </w:rPr>
        <w:t>鲜</w:t>
      </w:r>
      <w:r>
        <w:rPr>
          <w:rFonts w:hint="eastAsia" w:ascii="微软雅黑" w:hAnsi="微软雅黑" w:eastAsia="微软雅黑" w:cs="微软雅黑"/>
          <w:color w:val="auto"/>
          <w:sz w:val="24"/>
          <w:szCs w:val="24"/>
          <w:highlight w:val="none"/>
        </w:rPr>
        <w:t>章。</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 供应商为自然人的，应提供身份证明的复印件。</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3.联合体投标应提供联合体各方满足以上要求的证明文件。</w:t>
      </w:r>
      <w:bookmarkStart w:id="983" w:name="_Toc22472"/>
      <w:bookmarkStart w:id="984" w:name="_Toc515647807"/>
      <w:bookmarkStart w:id="985" w:name="_Toc21867"/>
      <w:bookmarkStart w:id="986" w:name="_Toc6829"/>
      <w:bookmarkStart w:id="987" w:name="_Toc13107"/>
      <w:bookmarkStart w:id="988" w:name="_Toc5436"/>
      <w:bookmarkStart w:id="989" w:name="_Toc16640"/>
      <w:bookmarkStart w:id="990" w:name="_Toc1083"/>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bCs/>
          <w:color w:val="auto"/>
          <w:sz w:val="24"/>
          <w:szCs w:val="24"/>
          <w:highlight w:val="none"/>
        </w:rPr>
      </w:pPr>
      <w:bookmarkStart w:id="991" w:name="_Toc24769"/>
      <w:bookmarkStart w:id="992" w:name="_Toc6179"/>
      <w:bookmarkStart w:id="993" w:name="_Toc32380"/>
    </w:p>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法定代表人授权委托书</w:t>
      </w:r>
      <w:bookmarkEnd w:id="983"/>
      <w:bookmarkEnd w:id="984"/>
      <w:bookmarkEnd w:id="985"/>
      <w:bookmarkEnd w:id="986"/>
      <w:bookmarkEnd w:id="987"/>
      <w:bookmarkEnd w:id="988"/>
      <w:bookmarkEnd w:id="989"/>
      <w:bookmarkEnd w:id="990"/>
      <w:bookmarkEnd w:id="991"/>
      <w:bookmarkEnd w:id="992"/>
      <w:bookmarkEnd w:id="993"/>
      <w:bookmarkStart w:id="994" w:name="_Toc515647808"/>
      <w:bookmarkStart w:id="995" w:name="_Toc7039"/>
      <w:bookmarkStart w:id="996" w:name="_Toc32520"/>
    </w:p>
    <w:p>
      <w:pPr>
        <w:keepNext w:val="0"/>
        <w:keepLines w:val="0"/>
        <w:pageBreakBefore w:val="0"/>
        <w:widowControl w:val="0"/>
        <w:kinsoku/>
        <w:wordWrap/>
        <w:overflowPunct/>
        <w:topLinePunct w:val="0"/>
        <w:autoSpaceDE/>
        <w:autoSpaceDN/>
        <w:bidi w:val="0"/>
        <w:adjustRightInd/>
        <w:snapToGrid/>
        <w:spacing w:line="400" w:lineRule="exact"/>
        <w:ind w:left="0" w:leftChars="0" w:firstLine="720" w:firstLineChars="3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本授权书声明：注册于（国家或地区的名称）的（供应商）的在下面签字的（</w:t>
      </w: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rPr>
        <w:t>姓名、职务）代表我单位授权（单位名称）的在下面签字的（被授权人的姓名、职务）为我单位的合法代理人，就（项目名称）的投标，以我单位名义处理一切与之有关的事务。</w:t>
      </w:r>
    </w:p>
    <w:p>
      <w:pPr>
        <w:pStyle w:val="13"/>
        <w:keepNext w:val="0"/>
        <w:keepLines w:val="0"/>
        <w:pageBreakBefore w:val="0"/>
        <w:widowControl w:val="0"/>
        <w:tabs>
          <w:tab w:val="left" w:pos="5580"/>
        </w:tabs>
        <w:kinsoku/>
        <w:wordWrap/>
        <w:overflowPunct/>
        <w:topLinePunct w:val="0"/>
        <w:autoSpaceDE/>
        <w:autoSpaceDN/>
        <w:bidi w:val="0"/>
        <w:adjustRightInd/>
        <w:snapToGrid/>
        <w:spacing w:line="400" w:lineRule="exact"/>
        <w:ind w:left="615" w:leftChars="228" w:hanging="136" w:hangingChars="5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           年     月     日签字生效,特此声明。</w:t>
      </w: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13335" b="2222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17780" b="698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12700" b="1587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v:textbox>
              </v:roundrect>
            </w:pict>
          </mc:Fallback>
        </mc:AlternateContent>
      </w:r>
    </w:p>
    <w:p>
      <w:pPr>
        <w:pStyle w:val="13"/>
        <w:tabs>
          <w:tab w:val="left" w:pos="5580"/>
        </w:tabs>
        <w:spacing w:line="240" w:lineRule="atLeas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3028315</wp:posOffset>
                </wp:positionH>
                <wp:positionV relativeFrom="paragraph">
                  <wp:posOffset>140335</wp:posOffset>
                </wp:positionV>
                <wp:extent cx="2535555" cy="1252220"/>
                <wp:effectExtent l="7620" t="7620" r="17145" b="2032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wps:txbx>
                      <wps:bodyPr upright="1"/>
                    </wps:wsp>
                  </a:graphicData>
                </a:graphic>
              </wp:anchor>
            </w:drawing>
          </mc:Choice>
          <mc:Fallback>
            <w:pict>
              <v:roundrect id="圆角矩形 13" o:spid="_x0000_s1026" o:spt="2" style="position:absolute;left:0pt;margin-left:238.45pt;margin-top:11.05pt;height:98.6pt;width:199.65pt;z-index:25165926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v:textbox>
              </v:roundrect>
            </w:pict>
          </mc:Fallback>
        </mc:AlternateContent>
      </w: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供应商（公章）;                           </w:t>
      </w: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ind w:firstLine="480" w:firstLineChars="200"/>
        <w:outlineLvl w:val="9"/>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eastAsia="zh-CN"/>
        </w:rPr>
        <w:t>注：须提供身份证正反面。</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法定代表人（签/章）：</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身份证号码：</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委托代理人（签/章）：                                </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                                 </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详细通讯地址：                               </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邮 政 编 码 ：                               </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传　　　　真：                              </w:t>
      </w: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电　　　　话：     </w:t>
      </w:r>
      <w:bookmarkEnd w:id="994"/>
      <w:bookmarkEnd w:id="995"/>
      <w:bookmarkEnd w:id="996"/>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p>
    <w:p>
      <w:pPr>
        <w:pStyle w:val="13"/>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color w:val="auto"/>
          <w:kern w:val="0"/>
          <w:sz w:val="24"/>
          <w:szCs w:val="24"/>
          <w:highlight w:val="none"/>
          <w:lang w:val="en-US" w:eastAsia="zh-CN"/>
        </w:rPr>
      </w:pPr>
      <w:r>
        <w:rPr>
          <w:rFonts w:hint="eastAsia" w:ascii="微软雅黑" w:hAnsi="微软雅黑" w:eastAsia="微软雅黑" w:cs="微软雅黑"/>
          <w:b/>
          <w:color w:val="auto"/>
          <w:kern w:val="0"/>
          <w:sz w:val="24"/>
          <w:szCs w:val="24"/>
          <w:highlight w:val="none"/>
        </w:rPr>
        <w:br w:type="page"/>
      </w:r>
    </w:p>
    <w:p>
      <w:pPr>
        <w:pStyle w:val="13"/>
        <w:tabs>
          <w:tab w:val="left" w:pos="5580"/>
        </w:tabs>
        <w:spacing w:line="400" w:lineRule="exact"/>
        <w:outlineLvl w:val="1"/>
        <w:rPr>
          <w:rFonts w:hint="eastAsia" w:ascii="微软雅黑" w:hAnsi="微软雅黑" w:eastAsia="微软雅黑" w:cs="微软雅黑"/>
          <w:b/>
          <w:color w:val="auto"/>
          <w:kern w:val="0"/>
          <w:sz w:val="24"/>
          <w:szCs w:val="24"/>
          <w:highlight w:val="none"/>
          <w:lang w:val="en-US" w:eastAsia="zh-CN" w:bidi="ar-SA"/>
        </w:rPr>
      </w:pPr>
      <w:bookmarkStart w:id="997" w:name="_Toc26119"/>
      <w:bookmarkStart w:id="998" w:name="_Toc28371"/>
      <w:r>
        <w:rPr>
          <w:rFonts w:hint="eastAsia" w:ascii="微软雅黑" w:hAnsi="微软雅黑" w:eastAsia="微软雅黑" w:cs="微软雅黑"/>
          <w:b/>
          <w:color w:val="auto"/>
          <w:kern w:val="0"/>
          <w:sz w:val="24"/>
          <w:szCs w:val="24"/>
          <w:highlight w:val="none"/>
          <w:lang w:val="en-US" w:eastAsia="zh-CN" w:bidi="ar-SA"/>
        </w:rPr>
        <w:t>4、具有有效的《兽药经营许可证》或《兽药生产许可证》；</w:t>
      </w:r>
      <w:bookmarkEnd w:id="997"/>
      <w:bookmarkEnd w:id="998"/>
    </w:p>
    <w:p>
      <w:pPr>
        <w:pStyle w:val="13"/>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2"/>
        <w:spacing w:line="400" w:lineRule="exact"/>
        <w:ind w:firstLine="0" w:firstLineChars="0"/>
        <w:outlineLvl w:val="1"/>
        <w:rPr>
          <w:rFonts w:hint="eastAsia" w:ascii="微软雅黑" w:hAnsi="微软雅黑" w:eastAsia="微软雅黑" w:cs="微软雅黑"/>
          <w:b/>
          <w:color w:val="auto"/>
          <w:kern w:val="0"/>
          <w:sz w:val="24"/>
          <w:szCs w:val="24"/>
          <w:highlight w:val="none"/>
        </w:rPr>
      </w:pPr>
      <w:bookmarkStart w:id="999" w:name="_Toc19192"/>
      <w:r>
        <w:rPr>
          <w:rFonts w:hint="eastAsia" w:ascii="微软雅黑" w:hAnsi="微软雅黑" w:eastAsia="微软雅黑" w:cs="微软雅黑"/>
          <w:b/>
          <w:color w:val="auto"/>
          <w:kern w:val="0"/>
          <w:sz w:val="24"/>
          <w:szCs w:val="24"/>
          <w:highlight w:val="none"/>
          <w:lang w:val="en-US" w:eastAsia="zh-CN"/>
        </w:rPr>
        <w:t>5、</w:t>
      </w:r>
      <w:bookmarkStart w:id="1000" w:name="_Toc15796"/>
      <w:r>
        <w:rPr>
          <w:rFonts w:hint="eastAsia" w:ascii="微软雅黑" w:hAnsi="微软雅黑" w:eastAsia="微软雅黑" w:cs="微软雅黑"/>
          <w:b/>
          <w:color w:val="auto"/>
          <w:kern w:val="0"/>
          <w:sz w:val="24"/>
          <w:szCs w:val="24"/>
          <w:highlight w:val="none"/>
          <w:lang w:eastAsia="zh-CN"/>
        </w:rPr>
        <w:t>提近两年任意一年的财务审计报告，新成立的公司提供近三个月内任意一个月的银行资信证明</w:t>
      </w:r>
      <w:r>
        <w:rPr>
          <w:rFonts w:hint="eastAsia" w:ascii="微软雅黑" w:hAnsi="微软雅黑" w:eastAsia="微软雅黑" w:cs="微软雅黑"/>
          <w:b/>
          <w:color w:val="auto"/>
          <w:kern w:val="0"/>
          <w:sz w:val="24"/>
          <w:szCs w:val="24"/>
          <w:highlight w:val="none"/>
        </w:rPr>
        <w:t>；</w:t>
      </w:r>
      <w:bookmarkEnd w:id="999"/>
      <w:bookmarkEnd w:id="1000"/>
    </w:p>
    <w:p>
      <w:pPr>
        <w:pStyle w:val="2"/>
        <w:spacing w:line="400" w:lineRule="exact"/>
        <w:ind w:firstLine="0" w:firstLineChars="0"/>
        <w:rPr>
          <w:rFonts w:hint="eastAsia" w:ascii="微软雅黑" w:hAnsi="微软雅黑" w:eastAsia="微软雅黑" w:cs="微软雅黑"/>
          <w:b/>
          <w:color w:val="auto"/>
          <w:kern w:val="0"/>
          <w:sz w:val="24"/>
          <w:szCs w:val="24"/>
          <w:highlight w:val="none"/>
        </w:rPr>
      </w:pPr>
    </w:p>
    <w:p>
      <w:pPr>
        <w:pStyle w:val="2"/>
        <w:spacing w:line="400" w:lineRule="exact"/>
        <w:ind w:firstLine="0" w:firstLineChars="0"/>
        <w:rPr>
          <w:rFonts w:hint="eastAsia" w:ascii="微软雅黑" w:hAnsi="微软雅黑" w:eastAsia="微软雅黑" w:cs="微软雅黑"/>
          <w:b/>
          <w:color w:val="auto"/>
          <w:kern w:val="0"/>
          <w:sz w:val="24"/>
          <w:szCs w:val="24"/>
          <w:highlight w:val="none"/>
        </w:rPr>
      </w:pPr>
    </w:p>
    <w:p>
      <w:pPr>
        <w:pStyle w:val="2"/>
        <w:spacing w:line="400" w:lineRule="exact"/>
        <w:ind w:firstLine="0" w:firstLineChars="0"/>
        <w:rPr>
          <w:rFonts w:hint="eastAsia" w:ascii="微软雅黑" w:hAnsi="微软雅黑" w:eastAsia="微软雅黑" w:cs="微软雅黑"/>
          <w:b/>
          <w:color w:val="auto"/>
          <w:kern w:val="0"/>
          <w:sz w:val="24"/>
          <w:szCs w:val="24"/>
          <w:highlight w:val="none"/>
        </w:rPr>
      </w:pPr>
    </w:p>
    <w:p>
      <w:pPr>
        <w:pStyle w:val="2"/>
        <w:numPr>
          <w:ilvl w:val="0"/>
          <w:numId w:val="0"/>
        </w:numPr>
        <w:spacing w:line="400" w:lineRule="exact"/>
        <w:outlineLvl w:val="1"/>
        <w:rPr>
          <w:rFonts w:hint="eastAsia" w:ascii="微软雅黑" w:hAnsi="微软雅黑" w:eastAsia="微软雅黑" w:cs="微软雅黑"/>
          <w:b/>
          <w:color w:val="auto"/>
          <w:kern w:val="0"/>
          <w:sz w:val="24"/>
          <w:szCs w:val="24"/>
          <w:highlight w:val="none"/>
        </w:rPr>
      </w:pPr>
      <w:bookmarkStart w:id="1001" w:name="_Toc22893"/>
      <w:bookmarkStart w:id="1002" w:name="_Toc22192"/>
      <w:r>
        <w:rPr>
          <w:rFonts w:hint="eastAsia" w:ascii="微软雅黑" w:hAnsi="微软雅黑" w:eastAsia="微软雅黑" w:cs="微软雅黑"/>
          <w:b/>
          <w:color w:val="auto"/>
          <w:kern w:val="0"/>
          <w:sz w:val="24"/>
          <w:szCs w:val="24"/>
          <w:highlight w:val="none"/>
          <w:lang w:val="en-US" w:eastAsia="zh-CN"/>
        </w:rPr>
        <w:t>6、</w:t>
      </w:r>
      <w:r>
        <w:rPr>
          <w:rFonts w:hint="eastAsia" w:ascii="微软雅黑" w:hAnsi="微软雅黑" w:eastAsia="微软雅黑" w:cs="微软雅黑"/>
          <w:b/>
          <w:color w:val="auto"/>
          <w:kern w:val="0"/>
          <w:sz w:val="24"/>
          <w:szCs w:val="24"/>
          <w:highlight w:val="none"/>
          <w:lang w:eastAsia="zh-CN"/>
        </w:rPr>
        <w:t>提供依法缴纳近6个月内任意1个月社会保险的证明</w:t>
      </w:r>
      <w:r>
        <w:rPr>
          <w:rFonts w:hint="eastAsia" w:ascii="微软雅黑" w:hAnsi="微软雅黑" w:eastAsia="微软雅黑" w:cs="微软雅黑"/>
          <w:b/>
          <w:color w:val="auto"/>
          <w:kern w:val="0"/>
          <w:sz w:val="24"/>
          <w:szCs w:val="24"/>
          <w:highlight w:val="none"/>
        </w:rPr>
        <w:t>；</w:t>
      </w:r>
      <w:bookmarkEnd w:id="1001"/>
      <w:bookmarkEnd w:id="1002"/>
    </w:p>
    <w:p>
      <w:pPr>
        <w:pStyle w:val="2"/>
        <w:widowControl w:val="0"/>
        <w:numPr>
          <w:ilvl w:val="0"/>
          <w:numId w:val="0"/>
        </w:numPr>
        <w:spacing w:line="400" w:lineRule="exact"/>
        <w:jc w:val="both"/>
        <w:rPr>
          <w:rFonts w:hint="eastAsia" w:ascii="微软雅黑" w:hAnsi="微软雅黑" w:eastAsia="微软雅黑" w:cs="微软雅黑"/>
          <w:b/>
          <w:color w:val="auto"/>
          <w:kern w:val="0"/>
          <w:sz w:val="24"/>
          <w:szCs w:val="24"/>
          <w:highlight w:val="none"/>
        </w:rPr>
      </w:pPr>
    </w:p>
    <w:p>
      <w:pPr>
        <w:pStyle w:val="2"/>
        <w:widowControl w:val="0"/>
        <w:numPr>
          <w:ilvl w:val="0"/>
          <w:numId w:val="0"/>
        </w:numPr>
        <w:spacing w:line="400" w:lineRule="exact"/>
        <w:jc w:val="both"/>
        <w:rPr>
          <w:rFonts w:hint="eastAsia" w:ascii="微软雅黑" w:hAnsi="微软雅黑" w:eastAsia="微软雅黑" w:cs="微软雅黑"/>
          <w:b/>
          <w:color w:val="auto"/>
          <w:kern w:val="0"/>
          <w:sz w:val="24"/>
          <w:szCs w:val="24"/>
          <w:highlight w:val="none"/>
        </w:rPr>
      </w:pPr>
    </w:p>
    <w:p>
      <w:pPr>
        <w:pStyle w:val="2"/>
        <w:widowControl w:val="0"/>
        <w:numPr>
          <w:ilvl w:val="0"/>
          <w:numId w:val="0"/>
        </w:numPr>
        <w:spacing w:line="400" w:lineRule="exact"/>
        <w:jc w:val="both"/>
        <w:rPr>
          <w:rFonts w:hint="eastAsia" w:ascii="微软雅黑" w:hAnsi="微软雅黑" w:eastAsia="微软雅黑" w:cs="微软雅黑"/>
          <w:b/>
          <w:color w:val="auto"/>
          <w:kern w:val="0"/>
          <w:sz w:val="24"/>
          <w:szCs w:val="24"/>
          <w:highlight w:val="none"/>
        </w:rPr>
      </w:pPr>
    </w:p>
    <w:p>
      <w:pPr>
        <w:pStyle w:val="2"/>
        <w:spacing w:line="400" w:lineRule="exact"/>
        <w:ind w:firstLine="0" w:firstLineChars="0"/>
        <w:outlineLvl w:val="1"/>
        <w:rPr>
          <w:rFonts w:hint="eastAsia" w:ascii="微软雅黑" w:hAnsi="微软雅黑" w:eastAsia="微软雅黑" w:cs="微软雅黑"/>
          <w:color w:val="auto"/>
          <w:sz w:val="24"/>
          <w:szCs w:val="24"/>
          <w:highlight w:val="none"/>
        </w:rPr>
      </w:pPr>
      <w:bookmarkStart w:id="1003" w:name="_Toc10510"/>
      <w:bookmarkStart w:id="1004" w:name="_Toc30357"/>
      <w:r>
        <w:rPr>
          <w:rFonts w:hint="eastAsia" w:ascii="微软雅黑" w:hAnsi="微软雅黑" w:eastAsia="微软雅黑" w:cs="微软雅黑"/>
          <w:b/>
          <w:color w:val="auto"/>
          <w:kern w:val="0"/>
          <w:sz w:val="24"/>
          <w:szCs w:val="24"/>
          <w:highlight w:val="none"/>
          <w:lang w:val="en-US" w:eastAsia="zh-CN"/>
        </w:rPr>
        <w:t>7</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b/>
          <w:color w:val="auto"/>
          <w:kern w:val="0"/>
          <w:sz w:val="24"/>
          <w:szCs w:val="24"/>
          <w:highlight w:val="none"/>
          <w:lang w:eastAsia="zh-CN"/>
        </w:rPr>
        <w:t>提供依法缴纳近6个月内任意1个月的税收证明</w:t>
      </w:r>
      <w:r>
        <w:rPr>
          <w:rFonts w:hint="eastAsia" w:ascii="微软雅黑" w:hAnsi="微软雅黑" w:eastAsia="微软雅黑" w:cs="微软雅黑"/>
          <w:b/>
          <w:bCs/>
          <w:color w:val="auto"/>
          <w:sz w:val="24"/>
          <w:szCs w:val="24"/>
          <w:highlight w:val="none"/>
          <w:lang w:val="en-US" w:eastAsia="zh-CN"/>
        </w:rPr>
        <w:t>；</w:t>
      </w:r>
      <w:bookmarkEnd w:id="1003"/>
      <w:bookmarkEnd w:id="1004"/>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pPr>
        <w:spacing w:line="400" w:lineRule="exact"/>
        <w:outlineLvl w:val="1"/>
        <w:rPr>
          <w:rFonts w:hint="eastAsia" w:ascii="微软雅黑" w:hAnsi="微软雅黑" w:eastAsia="微软雅黑" w:cs="微软雅黑"/>
          <w:b/>
          <w:color w:val="auto"/>
          <w:kern w:val="0"/>
          <w:sz w:val="24"/>
          <w:szCs w:val="24"/>
          <w:highlight w:val="none"/>
          <w:lang w:val="en-US" w:eastAsia="zh-CN"/>
        </w:rPr>
      </w:pPr>
      <w:bookmarkStart w:id="1005" w:name="_Toc5258"/>
      <w:bookmarkStart w:id="1006" w:name="_Toc24092"/>
      <w:r>
        <w:rPr>
          <w:rFonts w:hint="eastAsia" w:ascii="微软雅黑" w:hAnsi="微软雅黑" w:eastAsia="微软雅黑" w:cs="微软雅黑"/>
          <w:b/>
          <w:color w:val="auto"/>
          <w:kern w:val="0"/>
          <w:sz w:val="24"/>
          <w:szCs w:val="24"/>
          <w:highlight w:val="none"/>
          <w:lang w:val="en-US" w:eastAsia="zh-CN"/>
        </w:rPr>
        <w:t>8</w:t>
      </w:r>
      <w:r>
        <w:rPr>
          <w:rFonts w:hint="eastAsia" w:ascii="微软雅黑" w:hAnsi="微软雅黑" w:eastAsia="微软雅黑" w:cs="微软雅黑"/>
          <w:b/>
          <w:color w:val="auto"/>
          <w:kern w:val="0"/>
          <w:sz w:val="24"/>
          <w:szCs w:val="24"/>
          <w:highlight w:val="none"/>
        </w:rPr>
        <w:t>、</w:t>
      </w:r>
      <w:bookmarkEnd w:id="1005"/>
      <w:r>
        <w:rPr>
          <w:rFonts w:hint="eastAsia" w:ascii="微软雅黑" w:hAnsi="微软雅黑" w:eastAsia="微软雅黑" w:cs="微软雅黑"/>
          <w:b/>
          <w:color w:val="auto"/>
          <w:kern w:val="0"/>
          <w:sz w:val="24"/>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国家企业信用信息公示系统（http://www.gsxt.gov.cn）”列入严重违法失信企业名单（黑名单）信息截图；将拒绝其参加本次招标活动；</w:t>
      </w:r>
      <w:bookmarkEnd w:id="1006"/>
    </w:p>
    <w:p>
      <w:pPr>
        <w:pStyle w:val="13"/>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ageBreakBefore w:val="0"/>
        <w:widowControl w:val="0"/>
        <w:kinsoku/>
        <w:wordWrap/>
        <w:overflowPunct/>
        <w:topLinePunct w:val="0"/>
        <w:bidi w:val="0"/>
        <w:spacing w:line="360" w:lineRule="exact"/>
        <w:textAlignment w:val="auto"/>
        <w:outlineLvl w:val="1"/>
        <w:rPr>
          <w:rFonts w:hint="eastAsia" w:ascii="微软雅黑" w:hAnsi="微软雅黑" w:eastAsia="微软雅黑" w:cs="微软雅黑"/>
          <w:b/>
          <w:bCs/>
          <w:color w:val="auto"/>
          <w:sz w:val="24"/>
          <w:szCs w:val="24"/>
          <w:highlight w:val="none"/>
          <w:lang w:val="en-US" w:eastAsia="zh-CN"/>
        </w:rPr>
      </w:pPr>
      <w:bookmarkStart w:id="1007" w:name="_Toc18226"/>
      <w:bookmarkStart w:id="1008" w:name="_Toc21590"/>
      <w:r>
        <w:rPr>
          <w:rFonts w:hint="eastAsia" w:ascii="微软雅黑" w:hAnsi="微软雅黑" w:eastAsia="微软雅黑" w:cs="微软雅黑"/>
          <w:b/>
          <w:color w:val="auto"/>
          <w:kern w:val="0"/>
          <w:sz w:val="24"/>
          <w:szCs w:val="24"/>
          <w:highlight w:val="none"/>
          <w:lang w:val="en-US" w:eastAsia="zh-CN"/>
        </w:rPr>
        <w:t>9</w:t>
      </w:r>
      <w:r>
        <w:rPr>
          <w:rFonts w:hint="eastAsia" w:ascii="微软雅黑" w:hAnsi="微软雅黑" w:eastAsia="微软雅黑" w:cs="微软雅黑"/>
          <w:b/>
          <w:color w:val="auto"/>
          <w:kern w:val="0"/>
          <w:sz w:val="24"/>
          <w:szCs w:val="24"/>
          <w:highlight w:val="none"/>
        </w:rPr>
        <w:t>、提供参与政府采购活动前3年内未被列入失信、重大税收违法案件、财政部门禁止参加政府采购活动的承诺书</w:t>
      </w:r>
      <w:r>
        <w:rPr>
          <w:rFonts w:hint="eastAsia" w:ascii="微软雅黑" w:hAnsi="微软雅黑" w:eastAsia="微软雅黑" w:cs="微软雅黑"/>
          <w:b/>
          <w:bCs/>
          <w:color w:val="auto"/>
          <w:sz w:val="24"/>
          <w:szCs w:val="24"/>
          <w:highlight w:val="none"/>
          <w:lang w:val="en-US" w:eastAsia="zh-CN"/>
        </w:rPr>
        <w:t>；</w:t>
      </w:r>
      <w:bookmarkEnd w:id="1007"/>
      <w:bookmarkEnd w:id="1008"/>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outlineLvl w:val="1"/>
        <w:rPr>
          <w:rFonts w:hint="eastAsia" w:ascii="微软雅黑" w:hAnsi="微软雅黑" w:eastAsia="微软雅黑" w:cs="微软雅黑"/>
          <w:b/>
          <w:color w:val="auto"/>
          <w:kern w:val="0"/>
          <w:sz w:val="24"/>
          <w:szCs w:val="24"/>
          <w:highlight w:val="none"/>
        </w:rPr>
      </w:pPr>
      <w:bookmarkStart w:id="1009" w:name="_Toc28138"/>
      <w:bookmarkStart w:id="1010" w:name="_Toc14673"/>
      <w:r>
        <w:rPr>
          <w:rFonts w:hint="eastAsia" w:ascii="微软雅黑" w:hAnsi="微软雅黑" w:eastAsia="微软雅黑" w:cs="微软雅黑"/>
          <w:b/>
          <w:color w:val="auto"/>
          <w:kern w:val="0"/>
          <w:sz w:val="24"/>
          <w:szCs w:val="24"/>
          <w:highlight w:val="none"/>
          <w:lang w:val="en-US" w:eastAsia="zh-CN"/>
        </w:rPr>
        <w:t>10</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b/>
          <w:color w:val="auto"/>
          <w:kern w:val="0"/>
          <w:sz w:val="24"/>
          <w:szCs w:val="24"/>
          <w:highlight w:val="none"/>
          <w:lang w:val="en-US" w:eastAsia="zh-CN"/>
        </w:rPr>
        <w:t>提供针对本次项目《反商业贿赂承诺书》</w:t>
      </w:r>
      <w:r>
        <w:rPr>
          <w:rFonts w:hint="eastAsia" w:ascii="微软雅黑" w:hAnsi="微软雅黑" w:eastAsia="微软雅黑" w:cs="微软雅黑"/>
          <w:b/>
          <w:color w:val="auto"/>
          <w:kern w:val="0"/>
          <w:sz w:val="24"/>
          <w:szCs w:val="24"/>
          <w:highlight w:val="none"/>
        </w:rPr>
        <w:t>；</w:t>
      </w:r>
      <w:bookmarkEnd w:id="1009"/>
      <w:bookmarkEnd w:id="1010"/>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numPr>
          <w:ilvl w:val="0"/>
          <w:numId w:val="0"/>
        </w:numPr>
        <w:outlineLvl w:val="1"/>
        <w:rPr>
          <w:rFonts w:hint="eastAsia" w:ascii="微软雅黑" w:hAnsi="微软雅黑" w:eastAsia="微软雅黑" w:cs="微软雅黑"/>
          <w:color w:val="auto"/>
          <w:sz w:val="24"/>
          <w:szCs w:val="24"/>
          <w:highlight w:val="none"/>
        </w:rPr>
      </w:pPr>
      <w:bookmarkStart w:id="1011" w:name="_Toc30110"/>
      <w:bookmarkStart w:id="1012" w:name="_Toc14102"/>
      <w:r>
        <w:rPr>
          <w:rFonts w:hint="eastAsia" w:ascii="微软雅黑" w:hAnsi="微软雅黑" w:eastAsia="微软雅黑" w:cs="微软雅黑"/>
          <w:b/>
          <w:color w:val="auto"/>
          <w:kern w:val="0"/>
          <w:sz w:val="24"/>
          <w:szCs w:val="24"/>
          <w:highlight w:val="none"/>
          <w:lang w:val="en-US" w:eastAsia="zh-CN"/>
        </w:rPr>
        <w:t>11</w:t>
      </w:r>
      <w:r>
        <w:rPr>
          <w:rFonts w:hint="eastAsia" w:ascii="微软雅黑" w:hAnsi="微软雅黑" w:eastAsia="微软雅黑" w:cs="微软雅黑"/>
          <w:b/>
          <w:color w:val="auto"/>
          <w:kern w:val="0"/>
          <w:sz w:val="24"/>
          <w:szCs w:val="24"/>
          <w:highlight w:val="none"/>
        </w:rPr>
        <w:t>、</w:t>
      </w:r>
      <w:bookmarkEnd w:id="1011"/>
      <w:r>
        <w:rPr>
          <w:rFonts w:hint="eastAsia" w:ascii="微软雅黑" w:hAnsi="微软雅黑" w:eastAsia="微软雅黑" w:cs="微软雅黑"/>
          <w:b/>
          <w:bCs/>
          <w:color w:val="auto"/>
          <w:sz w:val="24"/>
          <w:szCs w:val="24"/>
          <w:highlight w:val="none"/>
          <w:lang w:val="en-US" w:eastAsia="zh-CN"/>
        </w:rPr>
        <w:t>缴纳投标保证金有效凭证；</w:t>
      </w:r>
      <w:bookmarkEnd w:id="1012"/>
    </w:p>
    <w:tbl>
      <w:tblPr>
        <w:tblStyle w:val="2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shd w:val="clear" w:color="auto" w:fill="auto"/>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szCs w:val="24"/>
                <w:highlight w:val="none"/>
                <w:lang w:eastAsia="zh-CN"/>
              </w:rPr>
            </w:pPr>
            <w:r>
              <w:rPr>
                <w:rFonts w:hint="eastAsia" w:ascii="微软雅黑" w:hAnsi="微软雅黑" w:eastAsia="微软雅黑" w:cs="微软雅黑"/>
                <w:b w:val="0"/>
                <w:i w:val="0"/>
                <w:caps w:val="0"/>
                <w:color w:val="auto"/>
                <w:spacing w:val="0"/>
                <w:w w:val="100"/>
                <w:sz w:val="24"/>
                <w:szCs w:val="24"/>
                <w:highlight w:val="none"/>
                <w:lang w:eastAsia="zh-CN"/>
              </w:rPr>
              <w:t>缴纳投标保证金的有效凭证</w:t>
            </w:r>
            <w:r>
              <w:rPr>
                <w:rFonts w:hint="eastAsia" w:ascii="微软雅黑" w:hAnsi="微软雅黑" w:eastAsia="微软雅黑" w:cs="微软雅黑"/>
                <w:b w:val="0"/>
                <w:i w:val="0"/>
                <w:caps w:val="0"/>
                <w:color w:val="auto"/>
                <w:spacing w:val="0"/>
                <w:w w:val="100"/>
                <w:sz w:val="24"/>
                <w:szCs w:val="24"/>
                <w:highlight w:val="none"/>
              </w:rPr>
              <w:t>复印件</w:t>
            </w:r>
            <w:r>
              <w:rPr>
                <w:rFonts w:hint="eastAsia" w:ascii="微软雅黑" w:hAnsi="微软雅黑" w:eastAsia="微软雅黑" w:cs="微软雅黑"/>
                <w:b w:val="0"/>
                <w:i w:val="0"/>
                <w:caps w:val="0"/>
                <w:color w:val="auto"/>
                <w:spacing w:val="0"/>
                <w:w w:val="100"/>
                <w:sz w:val="24"/>
                <w:szCs w:val="24"/>
                <w:highlight w:val="none"/>
                <w:lang w:eastAsia="zh-CN"/>
              </w:rPr>
              <w:t>（银行回执单或开户行银行保函）</w:t>
            </w:r>
          </w:p>
        </w:tc>
      </w:tr>
    </w:tbl>
    <w:p>
      <w:pPr>
        <w:pStyle w:val="19"/>
        <w:rPr>
          <w:rFonts w:hint="eastAsia" w:ascii="微软雅黑" w:hAnsi="微软雅黑" w:eastAsia="微软雅黑" w:cs="微软雅黑"/>
          <w:color w:val="auto"/>
          <w:sz w:val="24"/>
          <w:szCs w:val="24"/>
          <w:highlight w:val="none"/>
        </w:rPr>
      </w:pPr>
    </w:p>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注：本项目以</w:t>
      </w:r>
      <w:r>
        <w:rPr>
          <w:rFonts w:hint="eastAsia" w:ascii="微软雅黑" w:hAnsi="微软雅黑" w:eastAsia="微软雅黑" w:cs="微软雅黑"/>
          <w:b/>
          <w:bCs/>
          <w:i w:val="0"/>
          <w:caps w:val="0"/>
          <w:color w:val="auto"/>
          <w:spacing w:val="0"/>
          <w:w w:val="100"/>
          <w:sz w:val="24"/>
          <w:szCs w:val="24"/>
          <w:highlight w:val="none"/>
          <w:lang w:eastAsia="zh-CN"/>
        </w:rPr>
        <w:t>缴纳投标保证金的有效凭证</w:t>
      </w:r>
      <w:r>
        <w:rPr>
          <w:rFonts w:hint="eastAsia" w:ascii="微软雅黑" w:hAnsi="微软雅黑" w:eastAsia="微软雅黑" w:cs="微软雅黑"/>
          <w:b/>
          <w:bCs/>
          <w:i w:val="0"/>
          <w:caps w:val="0"/>
          <w:color w:val="auto"/>
          <w:spacing w:val="0"/>
          <w:w w:val="100"/>
          <w:sz w:val="24"/>
          <w:szCs w:val="24"/>
          <w:highlight w:val="none"/>
        </w:rPr>
        <w:t>复印件盖公章为准；</w:t>
      </w:r>
    </w:p>
    <w:p>
      <w:pPr>
        <w:pStyle w:val="13"/>
        <w:tabs>
          <w:tab w:val="left" w:pos="5580"/>
        </w:tabs>
        <w:spacing w:line="400" w:lineRule="exact"/>
        <w:outlineLvl w:val="1"/>
        <w:rPr>
          <w:rFonts w:hint="eastAsia" w:ascii="微软雅黑" w:hAnsi="微软雅黑" w:eastAsia="微软雅黑" w:cs="微软雅黑"/>
          <w:b/>
          <w:color w:val="auto"/>
          <w:kern w:val="0"/>
          <w:sz w:val="24"/>
          <w:szCs w:val="24"/>
          <w:highlight w:val="none"/>
          <w:lang w:eastAsia="zh-CN"/>
        </w:rPr>
      </w:pPr>
    </w:p>
    <w:p>
      <w:pPr>
        <w:pStyle w:val="13"/>
        <w:tabs>
          <w:tab w:val="left" w:pos="5580"/>
        </w:tabs>
        <w:spacing w:line="400" w:lineRule="exact"/>
        <w:ind w:left="540" w:leftChars="257"/>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3"/>
        <w:tabs>
          <w:tab w:val="left" w:pos="5580"/>
        </w:tabs>
        <w:spacing w:line="400" w:lineRule="exact"/>
        <w:outlineLvl w:val="1"/>
        <w:rPr>
          <w:rFonts w:hint="eastAsia" w:ascii="微软雅黑" w:hAnsi="微软雅黑" w:eastAsia="微软雅黑" w:cs="微软雅黑"/>
          <w:b/>
          <w:color w:val="auto"/>
          <w:kern w:val="0"/>
          <w:sz w:val="24"/>
          <w:szCs w:val="24"/>
          <w:highlight w:val="none"/>
          <w:lang w:eastAsia="zh-CN"/>
        </w:rPr>
      </w:pPr>
      <w:bookmarkStart w:id="1013" w:name="_Toc14794"/>
      <w:bookmarkStart w:id="1014" w:name="_Toc13801"/>
      <w:r>
        <w:rPr>
          <w:rFonts w:hint="eastAsia" w:ascii="微软雅黑" w:hAnsi="微软雅黑" w:eastAsia="微软雅黑" w:cs="微软雅黑"/>
          <w:b/>
          <w:bCs/>
          <w:color w:val="auto"/>
          <w:sz w:val="24"/>
          <w:szCs w:val="24"/>
          <w:highlight w:val="none"/>
          <w:lang w:val="en-US" w:eastAsia="zh-CN"/>
        </w:rPr>
        <w:t>12、</w:t>
      </w:r>
      <w:r>
        <w:rPr>
          <w:rFonts w:hint="eastAsia" w:ascii="微软雅黑" w:hAnsi="微软雅黑" w:eastAsia="微软雅黑" w:cs="微软雅黑"/>
          <w:b/>
          <w:color w:val="auto"/>
          <w:kern w:val="0"/>
          <w:sz w:val="24"/>
          <w:szCs w:val="24"/>
          <w:highlight w:val="none"/>
        </w:rPr>
        <w:t>银行开户许可证复印件或银行基本账户信息(包含：银行账号及开户行名称）</w:t>
      </w:r>
      <w:r>
        <w:rPr>
          <w:rFonts w:hint="eastAsia" w:ascii="微软雅黑" w:hAnsi="微软雅黑" w:eastAsia="微软雅黑" w:cs="微软雅黑"/>
          <w:b/>
          <w:color w:val="auto"/>
          <w:kern w:val="0"/>
          <w:sz w:val="24"/>
          <w:szCs w:val="24"/>
          <w:highlight w:val="none"/>
          <w:lang w:eastAsia="zh-CN"/>
        </w:rPr>
        <w:t>；</w:t>
      </w:r>
      <w:bookmarkEnd w:id="1013"/>
    </w:p>
    <w:bookmarkEnd w:id="1014"/>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numPr>
          <w:ilvl w:val="0"/>
          <w:numId w:val="0"/>
        </w:numPr>
        <w:outlineLvl w:val="1"/>
        <w:rPr>
          <w:rFonts w:hint="eastAsia" w:ascii="微软雅黑" w:hAnsi="微软雅黑" w:eastAsia="微软雅黑" w:cs="微软雅黑"/>
          <w:b/>
          <w:color w:val="auto"/>
          <w:kern w:val="0"/>
          <w:sz w:val="24"/>
          <w:szCs w:val="24"/>
          <w:highlight w:val="none"/>
          <w:lang w:val="en-US" w:eastAsia="zh-CN" w:bidi="ar-SA"/>
        </w:rPr>
      </w:pPr>
      <w:bookmarkStart w:id="1015" w:name="_Toc19935"/>
      <w:bookmarkStart w:id="1016" w:name="_Toc3564"/>
      <w:r>
        <w:rPr>
          <w:rFonts w:hint="eastAsia" w:ascii="微软雅黑" w:hAnsi="微软雅黑" w:eastAsia="微软雅黑" w:cs="微软雅黑"/>
          <w:b/>
          <w:bCs/>
          <w:color w:val="auto"/>
          <w:sz w:val="24"/>
          <w:szCs w:val="24"/>
          <w:highlight w:val="none"/>
          <w:lang w:val="en-US" w:eastAsia="zh-CN"/>
        </w:rPr>
        <w:t>13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color w:val="auto"/>
          <w:kern w:val="0"/>
          <w:sz w:val="24"/>
          <w:szCs w:val="24"/>
          <w:highlight w:val="none"/>
          <w:lang w:val="en-US" w:eastAsia="zh-CN" w:bidi="ar-SA"/>
        </w:rPr>
        <w:t>供应商可提供有利于投标的其他资格证明材料。</w:t>
      </w:r>
      <w:bookmarkEnd w:id="1015"/>
      <w:bookmarkEnd w:id="1016"/>
    </w:p>
    <w:p>
      <w:pPr>
        <w:rPr>
          <w:rFonts w:hint="eastAsia" w:ascii="微软雅黑" w:hAnsi="微软雅黑" w:eastAsia="微软雅黑" w:cs="微软雅黑"/>
          <w:b/>
          <w:color w:val="auto"/>
          <w:kern w:val="0"/>
          <w:sz w:val="24"/>
          <w:szCs w:val="24"/>
          <w:highlight w:val="none"/>
        </w:rPr>
      </w:pPr>
    </w:p>
    <w:p>
      <w:pPr>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pPr>
        <w:pStyle w:val="7"/>
        <w:spacing w:before="0" w:line="400" w:lineRule="exact"/>
        <w:ind w:left="540" w:leftChars="257"/>
        <w:jc w:val="center"/>
        <w:rPr>
          <w:rFonts w:hint="eastAsia" w:ascii="微软雅黑" w:hAnsi="微软雅黑" w:eastAsia="微软雅黑" w:cs="微软雅黑"/>
          <w:color w:val="auto"/>
          <w:sz w:val="28"/>
          <w:szCs w:val="28"/>
          <w:highlight w:val="none"/>
        </w:rPr>
      </w:pPr>
      <w:bookmarkStart w:id="1017" w:name="_Toc16034"/>
      <w:bookmarkStart w:id="1018" w:name="_Toc4650"/>
      <w:r>
        <w:rPr>
          <w:rFonts w:hint="eastAsia" w:ascii="微软雅黑" w:hAnsi="微软雅黑" w:eastAsia="微软雅黑" w:cs="微软雅黑"/>
          <w:color w:val="auto"/>
          <w:sz w:val="28"/>
          <w:szCs w:val="28"/>
          <w:highlight w:val="none"/>
        </w:rPr>
        <w:t>第二部分  商务及技术文件</w:t>
      </w:r>
      <w:bookmarkEnd w:id="1017"/>
      <w:bookmarkEnd w:id="1018"/>
    </w:p>
    <w:p>
      <w:pPr>
        <w:pStyle w:val="13"/>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1、投标书</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2、投标分项报价表</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说明一览表</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val="en-US" w:eastAsia="zh-CN"/>
        </w:rPr>
        <w:t>技术</w:t>
      </w:r>
      <w:r>
        <w:rPr>
          <w:rFonts w:hint="eastAsia" w:ascii="微软雅黑" w:hAnsi="微软雅黑" w:eastAsia="微软雅黑" w:cs="微软雅黑"/>
          <w:color w:val="auto"/>
          <w:sz w:val="24"/>
          <w:szCs w:val="24"/>
          <w:highlight w:val="none"/>
        </w:rPr>
        <w:t>规格偏离表</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5、商务条款偏离表</w:t>
      </w:r>
    </w:p>
    <w:p>
      <w:pPr>
        <w:pStyle w:val="13"/>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6-1中小企业声明函</w:t>
      </w:r>
    </w:p>
    <w:p>
      <w:pPr>
        <w:pStyle w:val="13"/>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6-2《残疾人福利性单位声明函》</w:t>
      </w:r>
    </w:p>
    <w:p>
      <w:pPr>
        <w:pStyle w:val="13"/>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7、供应商关联单位的说明</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1019" w:name="_Toc2041"/>
      <w:bookmarkStart w:id="1020" w:name="_Toc515647817"/>
      <w:bookmarkStart w:id="1021" w:name="_Toc14915"/>
      <w:r>
        <w:rPr>
          <w:rFonts w:hint="eastAsia" w:ascii="微软雅黑" w:hAnsi="微软雅黑" w:eastAsia="微软雅黑" w:cs="微软雅黑"/>
          <w:color w:val="auto"/>
          <w:sz w:val="24"/>
          <w:szCs w:val="24"/>
          <w:highlight w:val="none"/>
        </w:rPr>
        <w:t>供应商可提供有利于投标的其他资格证明材料</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投标文件格式范本</w:t>
      </w:r>
    </w:p>
    <w:p>
      <w:pPr>
        <w:spacing w:line="360" w:lineRule="auto"/>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spacing w:line="360" w:lineRule="auto"/>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pStyle w:val="13"/>
        <w:tabs>
          <w:tab w:val="left" w:pos="5580"/>
        </w:tabs>
        <w:spacing w:line="240" w:lineRule="atLeast"/>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bCs/>
          <w:color w:val="auto"/>
          <w:sz w:val="24"/>
          <w:szCs w:val="24"/>
          <w:highlight w:val="none"/>
        </w:rPr>
      </w:pPr>
      <w:bookmarkStart w:id="1022" w:name="_Toc25918"/>
      <w:bookmarkStart w:id="1023" w:name="_Toc21772"/>
      <w:bookmarkStart w:id="1024" w:name="_Toc29625"/>
      <w:bookmarkStart w:id="1025" w:name="_Toc30408"/>
      <w:r>
        <w:rPr>
          <w:rFonts w:hint="eastAsia" w:ascii="微软雅黑" w:hAnsi="微软雅黑" w:eastAsia="微软雅黑" w:cs="微软雅黑"/>
          <w:b/>
          <w:bCs/>
          <w:color w:val="auto"/>
          <w:sz w:val="24"/>
          <w:szCs w:val="24"/>
          <w:highlight w:val="none"/>
        </w:rPr>
        <w:br w:type="page"/>
      </w:r>
    </w:p>
    <w:p>
      <w:pPr>
        <w:pStyle w:val="13"/>
        <w:tabs>
          <w:tab w:val="left" w:pos="5580"/>
        </w:tabs>
        <w:spacing w:line="400" w:lineRule="exact"/>
        <w:jc w:val="center"/>
        <w:outlineLvl w:val="1"/>
        <w:rPr>
          <w:rFonts w:hint="eastAsia" w:ascii="微软雅黑" w:hAnsi="微软雅黑" w:eastAsia="微软雅黑" w:cs="微软雅黑"/>
          <w:color w:val="auto"/>
          <w:sz w:val="24"/>
          <w:szCs w:val="24"/>
          <w:highlight w:val="none"/>
        </w:rPr>
      </w:pPr>
      <w:bookmarkStart w:id="1026" w:name="_Toc26801"/>
      <w:bookmarkStart w:id="1027" w:name="_Toc7342"/>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投标书</w:t>
      </w:r>
      <w:bookmarkEnd w:id="1019"/>
      <w:bookmarkEnd w:id="1020"/>
      <w:bookmarkEnd w:id="1021"/>
      <w:bookmarkEnd w:id="1022"/>
      <w:bookmarkEnd w:id="1023"/>
      <w:bookmarkEnd w:id="1024"/>
      <w:bookmarkEnd w:id="1025"/>
      <w:bookmarkEnd w:id="1026"/>
      <w:bookmarkEnd w:id="1027"/>
    </w:p>
    <w:p>
      <w:pPr>
        <w:tabs>
          <w:tab w:val="left" w:pos="5580"/>
        </w:tabs>
        <w:spacing w:line="400" w:lineRule="exact"/>
        <w:ind w:left="1080" w:hanging="10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3"/>
        <w:tabs>
          <w:tab w:val="left" w:pos="5580"/>
        </w:tabs>
        <w:spacing w:line="400" w:lineRule="exac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color w:val="auto"/>
          <w:sz w:val="24"/>
          <w:szCs w:val="24"/>
          <w:highlight w:val="none"/>
          <w:u w:val="single"/>
        </w:rPr>
        <w:t>项目名称</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i/>
          <w:color w:val="auto"/>
          <w:sz w:val="24"/>
          <w:szCs w:val="24"/>
          <w:highlight w:val="none"/>
          <w:u w:val="single"/>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color w:val="auto"/>
          <w:sz w:val="24"/>
          <w:szCs w:val="24"/>
          <w:highlight w:val="none"/>
          <w:u w:val="single"/>
        </w:rPr>
        <w:t>名称、地址</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上传投标</w:t>
      </w:r>
      <w:r>
        <w:rPr>
          <w:rFonts w:hint="eastAsia" w:ascii="微软雅黑" w:hAnsi="微软雅黑" w:eastAsia="微软雅黑" w:cs="微软雅黑"/>
          <w:color w:val="auto"/>
          <w:sz w:val="24"/>
          <w:szCs w:val="24"/>
          <w:highlight w:val="none"/>
        </w:rPr>
        <w:t>文件，并以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pPr>
        <w:pStyle w:val="13"/>
        <w:tabs>
          <w:tab w:val="left" w:pos="720"/>
          <w:tab w:val="left" w:pos="900"/>
        </w:tabs>
        <w:spacing w:line="400" w:lineRule="exac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的投标总价详见开标一览表，</w:t>
      </w:r>
      <w:r>
        <w:rPr>
          <w:rFonts w:hint="eastAsia" w:ascii="微软雅黑" w:hAnsi="微软雅黑" w:eastAsia="微软雅黑" w:cs="微软雅黑"/>
          <w:color w:val="auto"/>
          <w:sz w:val="24"/>
          <w:szCs w:val="24"/>
          <w:highlight w:val="none"/>
          <w:u w:val="single"/>
        </w:rPr>
        <w:t>其中由小型和</w:t>
      </w:r>
      <w:r>
        <w:rPr>
          <w:rFonts w:hint="eastAsia" w:ascii="微软雅黑" w:hAnsi="微软雅黑" w:eastAsia="微软雅黑" w:cs="微软雅黑"/>
          <w:color w:val="auto"/>
          <w:sz w:val="24"/>
          <w:szCs w:val="24"/>
          <w:highlight w:val="none"/>
        </w:rPr>
        <w:t>微型企业制造产品的价格为</w:t>
      </w:r>
      <w:r>
        <w:rPr>
          <w:rFonts w:hint="eastAsia" w:ascii="微软雅黑" w:hAnsi="微软雅黑" w:eastAsia="微软雅黑" w:cs="微软雅黑"/>
          <w:color w:val="auto"/>
          <w:sz w:val="24"/>
          <w:szCs w:val="24"/>
          <w:highlight w:val="none"/>
          <w:u w:val="single"/>
        </w:rPr>
        <w:t>　　  （用文字和数字表示），占投标总价   %</w:t>
      </w:r>
      <w:r>
        <w:rPr>
          <w:rFonts w:hint="eastAsia" w:ascii="微软雅黑" w:hAnsi="微软雅黑" w:eastAsia="微软雅黑" w:cs="微软雅黑"/>
          <w:color w:val="auto"/>
          <w:sz w:val="24"/>
          <w:szCs w:val="24"/>
          <w:highlight w:val="none"/>
        </w:rPr>
        <w:t>。</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w:t>
      </w: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rPr>
        <w:t>或者非</w:t>
      </w: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rPr>
        <w:t>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的供应商，我方不是采购代理机构的附属机构。</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pPr>
        <w:pStyle w:val="13"/>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 xml:space="preserve">               </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pPr>
        <w:pStyle w:val="13"/>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期</w:t>
      </w:r>
      <w:r>
        <w:rPr>
          <w:rFonts w:hint="eastAsia" w:ascii="微软雅黑" w:hAnsi="微软雅黑" w:eastAsia="微软雅黑" w:cs="微软雅黑"/>
          <w:color w:val="auto"/>
          <w:sz w:val="24"/>
          <w:szCs w:val="24"/>
          <w:highlight w:val="none"/>
          <w:u w:val="single"/>
        </w:rPr>
        <w:t xml:space="preserve">                </w:t>
      </w:r>
      <w:bookmarkStart w:id="1028" w:name="_Toc23473"/>
      <w:bookmarkStart w:id="1029" w:name="_Toc6738"/>
      <w:bookmarkStart w:id="1030" w:name="_Toc19819"/>
      <w:bookmarkStart w:id="1031" w:name="_Toc1266"/>
      <w:bookmarkStart w:id="1032" w:name="_Toc30947"/>
      <w:bookmarkStart w:id="1033" w:name="_Toc14219"/>
    </w:p>
    <w:p>
      <w:pPr>
        <w:pStyle w:val="13"/>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1034" w:name="_Toc17187"/>
    </w:p>
    <w:p>
      <w:pPr>
        <w:pStyle w:val="13"/>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p>
    <w:p>
      <w:pPr>
        <w:pStyle w:val="13"/>
        <w:spacing w:line="240" w:lineRule="atLeast"/>
        <w:ind w:left="1080" w:leftChars="257" w:hanging="540"/>
        <w:jc w:val="center"/>
        <w:outlineLvl w:val="1"/>
        <w:rPr>
          <w:rFonts w:hint="eastAsia" w:ascii="微软雅黑" w:hAnsi="微软雅黑" w:eastAsia="微软雅黑" w:cs="微软雅黑"/>
          <w:color w:val="auto"/>
          <w:sz w:val="24"/>
          <w:szCs w:val="24"/>
          <w:highlight w:val="none"/>
          <w:lang w:eastAsia="zh-CN"/>
        </w:rPr>
      </w:pPr>
      <w:bookmarkStart w:id="1035" w:name="_Toc9502"/>
      <w:r>
        <w:rPr>
          <w:rFonts w:hint="eastAsia" w:ascii="微软雅黑" w:hAnsi="微软雅黑" w:eastAsia="微软雅黑" w:cs="微软雅黑"/>
          <w:b/>
          <w:bCs/>
          <w:color w:val="auto"/>
          <w:sz w:val="24"/>
          <w:szCs w:val="24"/>
          <w:highlight w:val="none"/>
        </w:rPr>
        <w:t>2</w:t>
      </w:r>
      <w:bookmarkEnd w:id="1028"/>
      <w:bookmarkEnd w:id="1029"/>
      <w:bookmarkEnd w:id="1030"/>
      <w:bookmarkEnd w:id="1031"/>
      <w:bookmarkEnd w:id="1032"/>
      <w:bookmarkEnd w:id="1033"/>
      <w:bookmarkStart w:id="1036" w:name="_Toc515647820"/>
      <w:bookmarkStart w:id="1037" w:name="_Toc28959"/>
      <w:bookmarkStart w:id="1038" w:name="_Toc216582817"/>
      <w:bookmarkStart w:id="1039" w:name="_Toc22563"/>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投标分项报价表</w:t>
      </w:r>
      <w:bookmarkEnd w:id="1034"/>
      <w:bookmarkEnd w:id="1035"/>
    </w:p>
    <w:p>
      <w:pPr>
        <w:pStyle w:val="13"/>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项目名称:                      项目编号:                       　 　          报价单位：人民币</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元</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val="0"/>
          <w:bCs w:val="0"/>
          <w:color w:val="auto"/>
          <w:sz w:val="24"/>
          <w:szCs w:val="24"/>
          <w:highlight w:val="none"/>
          <w:lang w:val="en-US" w:eastAsia="zh-CN"/>
        </w:rPr>
        <w:t xml:space="preserve"> 包号：</w:t>
      </w:r>
    </w:p>
    <w:tbl>
      <w:tblPr>
        <w:tblStyle w:val="25"/>
        <w:tblW w:w="97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30"/>
        <w:gridCol w:w="1005"/>
        <w:gridCol w:w="990"/>
        <w:gridCol w:w="1155"/>
        <w:gridCol w:w="825"/>
        <w:gridCol w:w="735"/>
        <w:gridCol w:w="915"/>
        <w:gridCol w:w="810"/>
        <w:gridCol w:w="85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编号</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w:t>
            </w:r>
          </w:p>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型号</w:t>
            </w: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生产厂家</w:t>
            </w:r>
            <w:r>
              <w:rPr>
                <w:rFonts w:hint="eastAsia" w:ascii="微软雅黑" w:hAnsi="微软雅黑" w:eastAsia="微软雅黑" w:cs="微软雅黑"/>
                <w:color w:val="auto"/>
                <w:sz w:val="24"/>
                <w:szCs w:val="24"/>
                <w:highlight w:val="none"/>
              </w:rPr>
              <w:t>名称</w:t>
            </w: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产地</w:t>
            </w: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合价</w:t>
            </w: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8</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5" w:type="dxa"/>
            <w:gridSpan w:val="10"/>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总价（元）</w:t>
            </w:r>
          </w:p>
        </w:tc>
        <w:tc>
          <w:tcPr>
            <w:tcW w:w="873" w:type="dxa"/>
            <w:vAlign w:val="center"/>
          </w:tcPr>
          <w:p>
            <w:pPr>
              <w:spacing w:line="360" w:lineRule="auto"/>
              <w:rPr>
                <w:rFonts w:hint="eastAsia" w:ascii="微软雅黑" w:hAnsi="微软雅黑" w:eastAsia="微软雅黑" w:cs="微软雅黑"/>
                <w:color w:val="auto"/>
                <w:sz w:val="24"/>
                <w:szCs w:val="24"/>
                <w:highlight w:val="none"/>
              </w:rPr>
            </w:pPr>
          </w:p>
        </w:tc>
      </w:tr>
    </w:tbl>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填写一份该表。</w:t>
      </w:r>
    </w:p>
    <w:p>
      <w:pPr>
        <w:pStyle w:val="13"/>
        <w:spacing w:line="400" w:lineRule="exac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3.如果不提供详细分项报价将视为没有实质性响应招标文件。</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bCs/>
          <w:color w:val="auto"/>
          <w:sz w:val="24"/>
          <w:szCs w:val="24"/>
          <w:highlight w:val="none"/>
        </w:rPr>
      </w:pPr>
      <w:bookmarkStart w:id="1040" w:name="_Toc3096"/>
      <w:bookmarkStart w:id="1041" w:name="_Toc32439"/>
      <w:bookmarkStart w:id="1042" w:name="_Toc26185"/>
      <w:r>
        <w:rPr>
          <w:rFonts w:hint="eastAsia" w:ascii="微软雅黑" w:hAnsi="微软雅黑" w:eastAsia="微软雅黑" w:cs="微软雅黑"/>
          <w:b/>
          <w:bCs/>
          <w:color w:val="auto"/>
          <w:sz w:val="24"/>
          <w:szCs w:val="24"/>
          <w:highlight w:val="none"/>
        </w:rPr>
        <w:br w:type="page"/>
      </w:r>
    </w:p>
    <w:p>
      <w:pPr>
        <w:pStyle w:val="13"/>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1043" w:name="_Toc25751"/>
      <w:bookmarkStart w:id="1044" w:name="_Toc22837"/>
      <w:r>
        <w:rPr>
          <w:rFonts w:hint="eastAsia" w:ascii="微软雅黑" w:hAnsi="微软雅黑" w:eastAsia="微软雅黑" w:cs="微软雅黑"/>
          <w:b/>
          <w:bCs/>
          <w:color w:val="auto"/>
          <w:sz w:val="24"/>
          <w:szCs w:val="24"/>
          <w:highlight w:val="none"/>
        </w:rPr>
        <w:t>3</w:t>
      </w:r>
      <w:bookmarkEnd w:id="1040"/>
      <w:bookmarkEnd w:id="1041"/>
      <w:bookmarkEnd w:id="1042"/>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货物</w:t>
      </w:r>
      <w:r>
        <w:rPr>
          <w:rFonts w:hint="eastAsia" w:ascii="微软雅黑" w:hAnsi="微软雅黑" w:eastAsia="微软雅黑" w:cs="微软雅黑"/>
          <w:b/>
          <w:bCs/>
          <w:color w:val="auto"/>
          <w:sz w:val="24"/>
          <w:szCs w:val="24"/>
          <w:highlight w:val="none"/>
        </w:rPr>
        <w:t>说明一览表</w:t>
      </w:r>
      <w:bookmarkEnd w:id="1043"/>
      <w:bookmarkEnd w:id="1044"/>
    </w:p>
    <w:p>
      <w:pPr>
        <w:pStyle w:val="13"/>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包号：</w:t>
      </w:r>
      <w:r>
        <w:rPr>
          <w:rFonts w:hint="eastAsia" w:ascii="微软雅黑" w:hAnsi="微软雅黑" w:eastAsia="微软雅黑" w:cs="微软雅黑"/>
          <w:color w:val="auto"/>
          <w:sz w:val="24"/>
          <w:szCs w:val="24"/>
          <w:highlight w:val="none"/>
        </w:rPr>
        <w:t xml:space="preserve">                            </w:t>
      </w:r>
    </w:p>
    <w:tbl>
      <w:tblPr>
        <w:tblStyle w:val="25"/>
        <w:tblW w:w="8823"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51"/>
        <w:gridCol w:w="1463"/>
        <w:gridCol w:w="1547"/>
        <w:gridCol w:w="1153"/>
        <w:gridCol w:w="119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42" w:type="dxa"/>
            <w:vAlign w:val="center"/>
          </w:tcPr>
          <w:p>
            <w:pPr>
              <w:pStyle w:val="13"/>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751" w:type="dxa"/>
            <w:vAlign w:val="center"/>
          </w:tcPr>
          <w:p>
            <w:pPr>
              <w:pStyle w:val="13"/>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1463" w:type="dxa"/>
            <w:vAlign w:val="center"/>
          </w:tcPr>
          <w:p>
            <w:pPr>
              <w:pStyle w:val="13"/>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1547" w:type="dxa"/>
            <w:vAlign w:val="center"/>
          </w:tcPr>
          <w:p>
            <w:pPr>
              <w:pStyle w:val="13"/>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153" w:type="dxa"/>
            <w:vAlign w:val="center"/>
          </w:tcPr>
          <w:p>
            <w:pPr>
              <w:pStyle w:val="13"/>
              <w:spacing w:line="36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供货期</w:t>
            </w:r>
          </w:p>
        </w:tc>
        <w:tc>
          <w:tcPr>
            <w:tcW w:w="1195" w:type="dxa"/>
            <w:vAlign w:val="center"/>
          </w:tcPr>
          <w:p>
            <w:pPr>
              <w:pStyle w:val="13"/>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供货</w:t>
            </w:r>
            <w:r>
              <w:rPr>
                <w:rFonts w:hint="eastAsia" w:ascii="微软雅黑" w:hAnsi="微软雅黑" w:eastAsia="微软雅黑" w:cs="微软雅黑"/>
                <w:color w:val="auto"/>
                <w:sz w:val="24"/>
                <w:szCs w:val="24"/>
                <w:highlight w:val="none"/>
              </w:rPr>
              <w:t>地点</w:t>
            </w:r>
          </w:p>
        </w:tc>
        <w:tc>
          <w:tcPr>
            <w:tcW w:w="972" w:type="dxa"/>
            <w:vAlign w:val="center"/>
          </w:tcPr>
          <w:p>
            <w:pPr>
              <w:pStyle w:val="13"/>
              <w:spacing w:line="36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4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751"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46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547"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53"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1195"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c>
          <w:tcPr>
            <w:tcW w:w="972" w:type="dxa"/>
            <w:vAlign w:val="center"/>
          </w:tcPr>
          <w:p>
            <w:pPr>
              <w:pStyle w:val="13"/>
              <w:spacing w:line="360" w:lineRule="exact"/>
              <w:ind w:left="1080" w:leftChars="257" w:hanging="540"/>
              <w:jc w:val="center"/>
              <w:rPr>
                <w:rFonts w:hint="eastAsia" w:ascii="微软雅黑" w:hAnsi="微软雅黑" w:eastAsia="微软雅黑" w:cs="微软雅黑"/>
                <w:color w:val="auto"/>
                <w:sz w:val="24"/>
                <w:szCs w:val="24"/>
                <w:highlight w:val="none"/>
              </w:rPr>
            </w:pPr>
          </w:p>
        </w:tc>
      </w:tr>
    </w:tbl>
    <w:p>
      <w:pPr>
        <w:pStyle w:val="13"/>
        <w:spacing w:line="36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p>
    <w:p>
      <w:pPr>
        <w:pStyle w:val="13"/>
        <w:spacing w:line="400" w:lineRule="exact"/>
        <w:ind w:left="1080" w:leftChars="257" w:hanging="540"/>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注: 各项</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详细技术性能应另页描述</w:t>
      </w:r>
      <w:r>
        <w:rPr>
          <w:rFonts w:hint="eastAsia" w:ascii="微软雅黑" w:hAnsi="微软雅黑" w:eastAsia="微软雅黑" w:cs="微软雅黑"/>
          <w:color w:val="auto"/>
          <w:sz w:val="24"/>
          <w:szCs w:val="24"/>
          <w:highlight w:val="none"/>
          <w:lang w:eastAsia="zh-CN"/>
        </w:rPr>
        <w:t>。</w:t>
      </w: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pStyle w:val="13"/>
        <w:spacing w:line="240" w:lineRule="atLeast"/>
        <w:rPr>
          <w:rFonts w:hint="eastAsia" w:ascii="微软雅黑" w:hAnsi="微软雅黑" w:eastAsia="微软雅黑" w:cs="微软雅黑"/>
          <w:b/>
          <w:bCs/>
          <w:color w:val="auto"/>
          <w:sz w:val="24"/>
          <w:szCs w:val="24"/>
          <w:highlight w:val="none"/>
        </w:rPr>
      </w:pPr>
    </w:p>
    <w:p>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br w:type="page"/>
      </w:r>
    </w:p>
    <w:p>
      <w:pPr>
        <w:pStyle w:val="13"/>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1045" w:name="_Toc31707"/>
      <w:bookmarkStart w:id="1046" w:name="_Toc10335"/>
      <w:r>
        <w:rPr>
          <w:rFonts w:hint="eastAsia" w:ascii="微软雅黑" w:hAnsi="微软雅黑" w:eastAsia="微软雅黑" w:cs="微软雅黑"/>
          <w:b/>
          <w:bCs/>
          <w:color w:val="auto"/>
          <w:sz w:val="24"/>
          <w:szCs w:val="24"/>
          <w:highlight w:val="none"/>
        </w:rPr>
        <w:t>4</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技术</w:t>
      </w:r>
      <w:r>
        <w:rPr>
          <w:rFonts w:hint="eastAsia" w:ascii="微软雅黑" w:hAnsi="微软雅黑" w:eastAsia="微软雅黑" w:cs="微软雅黑"/>
          <w:b/>
          <w:bCs/>
          <w:color w:val="auto"/>
          <w:sz w:val="24"/>
          <w:szCs w:val="24"/>
          <w:highlight w:val="none"/>
        </w:rPr>
        <w:t>规格偏离表</w:t>
      </w:r>
      <w:bookmarkEnd w:id="1045"/>
      <w:bookmarkEnd w:id="1046"/>
    </w:p>
    <w:p>
      <w:pPr>
        <w:pStyle w:val="13"/>
        <w:spacing w:line="40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p>
    <w:tbl>
      <w:tblPr>
        <w:tblStyle w:val="2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vAlign w:val="center"/>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2472" w:type="dxa"/>
            <w:vAlign w:val="center"/>
          </w:tcPr>
          <w:p>
            <w:pPr>
              <w:pStyle w:val="13"/>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331" w:type="dxa"/>
            <w:vAlign w:val="center"/>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vAlign w:val="center"/>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950" w:type="dxa"/>
            <w:vAlign w:val="center"/>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1" w:type="dxa"/>
            <w:vAlign w:val="center"/>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bookmarkEnd w:id="1036"/>
      <w:bookmarkEnd w:id="1037"/>
      <w:bookmarkEnd w:id="1038"/>
      <w:bookmarkEnd w:id="1039"/>
      <w:bookmarkStart w:id="1047" w:name="_Toc23"/>
      <w:bookmarkStart w:id="1048" w:name="_Toc515647821"/>
      <w:bookmarkStart w:id="1049" w:name="_Toc1980"/>
      <w:bookmarkStart w:id="1050" w:name="_Toc216582818"/>
      <w:bookmarkStart w:id="1051" w:name="_Toc31439"/>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rPr>
          <w:rFonts w:hint="eastAsia" w:ascii="微软雅黑" w:hAnsi="微软雅黑" w:eastAsia="微软雅黑" w:cs="微软雅黑"/>
          <w:color w:val="auto"/>
          <w:sz w:val="24"/>
          <w:szCs w:val="24"/>
          <w:highlight w:val="none"/>
        </w:rPr>
      </w:pPr>
      <w:bookmarkStart w:id="1052" w:name="_Toc22109"/>
      <w:bookmarkStart w:id="1053" w:name="_Toc12914"/>
      <w:bookmarkStart w:id="1054" w:name="_Toc14887"/>
      <w:r>
        <w:rPr>
          <w:rFonts w:hint="eastAsia" w:ascii="微软雅黑" w:hAnsi="微软雅黑" w:eastAsia="微软雅黑" w:cs="微软雅黑"/>
          <w:color w:val="auto"/>
          <w:sz w:val="24"/>
          <w:szCs w:val="24"/>
          <w:highlight w:val="none"/>
        </w:rPr>
        <w:br w:type="page"/>
      </w:r>
    </w:p>
    <w:p>
      <w:pPr>
        <w:pStyle w:val="7"/>
        <w:spacing w:before="0" w:line="240" w:lineRule="atLeast"/>
        <w:ind w:firstLine="2641" w:firstLineChars="1100"/>
        <w:jc w:val="both"/>
        <w:rPr>
          <w:rFonts w:hint="eastAsia" w:ascii="微软雅黑" w:hAnsi="微软雅黑" w:eastAsia="微软雅黑" w:cs="微软雅黑"/>
          <w:color w:val="auto"/>
          <w:sz w:val="24"/>
          <w:szCs w:val="24"/>
          <w:highlight w:val="none"/>
        </w:rPr>
      </w:pPr>
      <w:bookmarkStart w:id="1055" w:name="_Toc8499"/>
      <w:bookmarkStart w:id="1056" w:name="_Toc15792"/>
      <w:r>
        <w:rPr>
          <w:rFonts w:hint="eastAsia" w:ascii="微软雅黑" w:hAnsi="微软雅黑" w:eastAsia="微软雅黑" w:cs="微软雅黑"/>
          <w:color w:val="auto"/>
          <w:sz w:val="24"/>
          <w:szCs w:val="24"/>
          <w:highlight w:val="none"/>
        </w:rPr>
        <w:t>5</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商务条款偏离表</w:t>
      </w:r>
      <w:bookmarkEnd w:id="1047"/>
      <w:bookmarkEnd w:id="1048"/>
      <w:bookmarkEnd w:id="1049"/>
      <w:bookmarkEnd w:id="1050"/>
      <w:bookmarkEnd w:id="1051"/>
      <w:bookmarkEnd w:id="1052"/>
      <w:bookmarkEnd w:id="1053"/>
      <w:bookmarkEnd w:id="1054"/>
      <w:bookmarkEnd w:id="1055"/>
      <w:bookmarkEnd w:id="1056"/>
    </w:p>
    <w:p>
      <w:pPr>
        <w:pStyle w:val="13"/>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p>
    <w:tbl>
      <w:tblPr>
        <w:tblStyle w:val="2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520" w:type="dxa"/>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520" w:type="dxa"/>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1014" w:type="dxa"/>
          </w:tcPr>
          <w:p>
            <w:pPr>
              <w:pStyle w:val="13"/>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3"/>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p>
    <w:p>
      <w:pPr>
        <w:pStyle w:val="13"/>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3"/>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rPr>
          <w:rFonts w:hint="eastAsia" w:ascii="微软雅黑" w:hAnsi="微软雅黑" w:eastAsia="微软雅黑" w:cs="微软雅黑"/>
          <w:color w:val="auto"/>
          <w:sz w:val="24"/>
          <w:szCs w:val="24"/>
          <w:highlight w:val="none"/>
        </w:rPr>
      </w:pPr>
      <w:bookmarkStart w:id="1057" w:name="_Toc515647823"/>
      <w:bookmarkStart w:id="1058" w:name="_Toc21312"/>
      <w:bookmarkStart w:id="1059" w:name="_Toc25797"/>
      <w:bookmarkStart w:id="1060" w:name="_Toc27043"/>
      <w:bookmarkStart w:id="1061" w:name="_Toc10725"/>
      <w:bookmarkStart w:id="1062" w:name="_Toc31694"/>
      <w:bookmarkStart w:id="1063" w:name="_Toc17820"/>
      <w:r>
        <w:rPr>
          <w:rFonts w:hint="eastAsia" w:ascii="微软雅黑" w:hAnsi="微软雅黑" w:eastAsia="微软雅黑" w:cs="微软雅黑"/>
          <w:color w:val="auto"/>
          <w:sz w:val="24"/>
          <w:szCs w:val="24"/>
          <w:highlight w:val="none"/>
        </w:rPr>
        <w:br w:type="page"/>
      </w:r>
    </w:p>
    <w:p>
      <w:pPr>
        <w:pStyle w:val="7"/>
        <w:spacing w:before="0" w:line="400" w:lineRule="exact"/>
        <w:jc w:val="center"/>
        <w:rPr>
          <w:rFonts w:hint="eastAsia" w:ascii="微软雅黑" w:hAnsi="微软雅黑" w:eastAsia="微软雅黑" w:cs="微软雅黑"/>
          <w:b/>
          <w:i w:val="0"/>
          <w:caps w:val="0"/>
          <w:color w:val="auto"/>
          <w:spacing w:val="0"/>
          <w:w w:val="100"/>
          <w:kern w:val="0"/>
          <w:sz w:val="24"/>
          <w:szCs w:val="24"/>
          <w:highlight w:val="none"/>
        </w:rPr>
      </w:pPr>
      <w:bookmarkStart w:id="1064" w:name="_Toc3952"/>
      <w:bookmarkStart w:id="1065" w:name="_Toc4229"/>
      <w:r>
        <w:rPr>
          <w:rFonts w:hint="eastAsia" w:ascii="微软雅黑" w:hAnsi="微软雅黑" w:eastAsia="微软雅黑" w:cs="微软雅黑"/>
          <w:color w:val="auto"/>
          <w:sz w:val="24"/>
          <w:szCs w:val="24"/>
          <w:highlight w:val="none"/>
        </w:rPr>
        <w:t xml:space="preserve">6-1  </w:t>
      </w:r>
      <w:bookmarkEnd w:id="1057"/>
      <w:bookmarkEnd w:id="1058"/>
      <w:bookmarkEnd w:id="1059"/>
      <w:bookmarkEnd w:id="1060"/>
      <w:bookmarkEnd w:id="1061"/>
      <w:bookmarkEnd w:id="1062"/>
      <w:bookmarkEnd w:id="1063"/>
      <w:r>
        <w:rPr>
          <w:rFonts w:hint="eastAsia" w:ascii="微软雅黑" w:hAnsi="微软雅黑" w:eastAsia="微软雅黑" w:cs="微软雅黑"/>
          <w:color w:val="auto"/>
          <w:sz w:val="24"/>
          <w:szCs w:val="24"/>
          <w:highlight w:val="none"/>
        </w:rPr>
        <w:t>中小企业声明函</w:t>
      </w:r>
      <w:bookmarkEnd w:id="1064"/>
      <w:bookmarkEnd w:id="1065"/>
      <w:bookmarkStart w:id="1066" w:name="_Toc11343"/>
      <w:bookmarkStart w:id="1067" w:name="_Toc515647824"/>
      <w:bookmarkStart w:id="1068" w:name="_Toc2709"/>
      <w:bookmarkStart w:id="1069" w:name="_Toc9687"/>
      <w:bookmarkStart w:id="1070" w:name="_Toc21610"/>
      <w:bookmarkStart w:id="1071" w:name="_Toc10977"/>
      <w:bookmarkStart w:id="1072" w:name="_Toc11803"/>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（单位名称）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的</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（项目名称）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1.</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w:t>
      </w:r>
      <w:r>
        <w:rPr>
          <w:rFonts w:hint="eastAsia" w:ascii="微软雅黑" w:hAnsi="微软雅黑" w:eastAsia="微软雅黑" w:cs="微软雅黑"/>
          <w:i w:val="0"/>
          <w:iCs w:val="0"/>
          <w:caps w:val="0"/>
          <w:color w:val="auto"/>
          <w:spacing w:val="0"/>
          <w:kern w:val="0"/>
          <w:sz w:val="24"/>
          <w:szCs w:val="24"/>
          <w:highlight w:val="none"/>
          <w:shd w:val="clear" w:color="auto" w:fill="FFFFFF"/>
          <w:vertAlign w:val="superscript"/>
          <w:lang w:val="en-US" w:eastAsia="zh-CN"/>
        </w:rPr>
        <w:t>1</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2.</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w:t>
      </w:r>
      <w:r>
        <w:rPr>
          <w:rFonts w:hint="eastAsia" w:ascii="微软雅黑" w:hAnsi="微软雅黑" w:eastAsia="微软雅黑" w:cs="微软雅黑"/>
          <w:i w:val="0"/>
          <w:iCs w:val="0"/>
          <w:caps w:val="0"/>
          <w:color w:val="auto"/>
          <w:spacing w:val="0"/>
          <w:kern w:val="0"/>
          <w:sz w:val="24"/>
          <w:szCs w:val="24"/>
          <w:highlight w:val="none"/>
          <w:shd w:val="clear" w:color="auto" w:fill="FFFFFF"/>
          <w:vertAlign w:val="superscript"/>
          <w:lang w:val="en-US" w:eastAsia="zh-CN"/>
        </w:rPr>
        <w:t>1</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日 期：</w:t>
      </w:r>
    </w:p>
    <w:p>
      <w:pPr>
        <w:pStyle w:val="1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注：1.“所属行业”请各投标供应商根据本项目特点，依据《中小企业划型标准规定》进行选择。</w:t>
      </w:r>
    </w:p>
    <w:p>
      <w:pPr>
        <w:pStyle w:val="19"/>
        <w:numPr>
          <w:ilvl w:val="0"/>
          <w:numId w:val="4"/>
        </w:numPr>
        <w:ind w:left="0" w:leftChars="0" w:firstLine="0" w:firstLineChars="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从业人员、营业收入、资产总额填报上一年度数据，无上一年度数据的新成立企业可不填报。</w:t>
      </w:r>
    </w:p>
    <w:p>
      <w:pPr>
        <w:pStyle w:val="19"/>
        <w:numPr>
          <w:ilvl w:val="0"/>
          <w:numId w:val="0"/>
        </w:numPr>
        <w:ind w:leftChars="0"/>
        <w:rPr>
          <w:rFonts w:hint="default" w:ascii="微软雅黑" w:hAnsi="微软雅黑" w:eastAsia="微软雅黑" w:cs="微软雅黑"/>
          <w:b/>
          <w:bCs/>
          <w:color w:val="auto"/>
          <w:sz w:val="24"/>
          <w:szCs w:val="24"/>
          <w:highlight w:val="none"/>
          <w:lang w:val="en-US" w:eastAsia="zh-CN"/>
        </w:rPr>
      </w:pPr>
    </w:p>
    <w:p>
      <w:pPr>
        <w:pStyle w:val="19"/>
        <w:numPr>
          <w:ilvl w:val="0"/>
          <w:numId w:val="0"/>
        </w:numPr>
        <w:ind w:leftChars="0"/>
        <w:rPr>
          <w:rFonts w:hint="default" w:ascii="微软雅黑" w:hAnsi="微软雅黑" w:eastAsia="微软雅黑" w:cs="微软雅黑"/>
          <w:b/>
          <w:bCs/>
          <w:color w:val="auto"/>
          <w:sz w:val="24"/>
          <w:szCs w:val="24"/>
          <w:highlight w:val="none"/>
          <w:lang w:val="en-US" w:eastAsia="zh-CN"/>
        </w:rPr>
      </w:pPr>
    </w:p>
    <w:p>
      <w:pPr>
        <w:pStyle w:val="19"/>
        <w:numPr>
          <w:ilvl w:val="0"/>
          <w:numId w:val="0"/>
        </w:numPr>
        <w:ind w:leftChars="0"/>
        <w:rPr>
          <w:rFonts w:hint="default" w:ascii="微软雅黑" w:hAnsi="微软雅黑" w:eastAsia="微软雅黑" w:cs="微软雅黑"/>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000000"/>
          <w:kern w:val="0"/>
          <w:sz w:val="24"/>
          <w:szCs w:val="24"/>
          <w:highlight w:val="none"/>
        </w:rPr>
      </w:pPr>
      <w:bookmarkStart w:id="1073" w:name="_Toc2782"/>
      <w:bookmarkStart w:id="1074" w:name="_Toc19993"/>
      <w:r>
        <w:rPr>
          <w:rFonts w:hint="eastAsia" w:ascii="微软雅黑" w:hAnsi="微软雅黑" w:eastAsia="微软雅黑" w:cs="微软雅黑"/>
          <w:b/>
          <w:bCs/>
          <w:color w:val="000000"/>
          <w:kern w:val="0"/>
          <w:sz w:val="24"/>
          <w:szCs w:val="24"/>
          <w:highlight w:val="none"/>
        </w:rPr>
        <w:t>附：</w:t>
      </w:r>
    </w:p>
    <w:p>
      <w:pPr>
        <w:keepNext w:val="0"/>
        <w:keepLines w:val="0"/>
        <w:pageBreakBefore w:val="0"/>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kern w:val="0"/>
          <w:sz w:val="24"/>
          <w:szCs w:val="24"/>
          <w:highlight w:val="none"/>
        </w:rPr>
      </w:pPr>
      <w:r>
        <w:rPr>
          <w:rFonts w:hint="eastAsia" w:ascii="微软雅黑" w:hAnsi="微软雅黑" w:eastAsia="微软雅黑" w:cs="微软雅黑"/>
          <w:b/>
          <w:bCs/>
          <w:color w:val="000000"/>
          <w:kern w:val="0"/>
          <w:sz w:val="24"/>
          <w:szCs w:val="24"/>
          <w:highlight w:val="none"/>
        </w:rPr>
        <w:t>中小微企业划型标准</w:t>
      </w:r>
    </w:p>
    <w:tbl>
      <w:tblPr>
        <w:tblStyle w:val="2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X＜10</w:t>
            </w:r>
          </w:p>
        </w:tc>
      </w:tr>
    </w:tbl>
    <w:p>
      <w:pPr>
        <w:keepNext w:val="0"/>
        <w:keepLines w:val="0"/>
        <w:pageBreakBefore w:val="0"/>
        <w:kinsoku/>
        <w:wordWrap/>
        <w:overflowPunct/>
        <w:topLinePunct w:val="0"/>
        <w:autoSpaceDE/>
        <w:autoSpaceDN/>
        <w:bidi w:val="0"/>
        <w:adjustRightInd/>
        <w:snapToGrid w:val="0"/>
        <w:spacing w:line="400" w:lineRule="exact"/>
        <w:contextualSpacing/>
        <w:jc w:val="left"/>
        <w:rPr>
          <w:rFonts w:hint="eastAsia" w:ascii="微软雅黑" w:hAnsi="微软雅黑" w:eastAsia="微软雅黑" w:cs="微软雅黑"/>
          <w:sz w:val="24"/>
          <w:szCs w:val="24"/>
          <w:highlight w:val="none"/>
        </w:rPr>
      </w:pPr>
      <w:r>
        <w:rPr>
          <w:rFonts w:hint="eastAsia" w:ascii="微软雅黑" w:hAnsi="微软雅黑" w:eastAsia="微软雅黑" w:cs="微软雅黑"/>
          <w:b/>
          <w:sz w:val="24"/>
          <w:szCs w:val="24"/>
          <w:highlight w:val="none"/>
        </w:rPr>
        <w:t>说明：</w:t>
      </w:r>
      <w:r>
        <w:rPr>
          <w:rFonts w:hint="eastAsia" w:ascii="微软雅黑" w:hAnsi="微软雅黑" w:eastAsia="微软雅黑" w:cs="微软雅黑"/>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w:t>
      </w:r>
      <w:r>
        <w:rPr>
          <w:rFonts w:hint="eastAsia" w:ascii="微软雅黑" w:hAnsi="微软雅黑" w:eastAsia="微软雅黑" w:cs="微软雅黑"/>
          <w:sz w:val="24"/>
          <w:szCs w:val="24"/>
          <w:highlight w:val="none"/>
          <w:lang w:eastAsia="zh-CN"/>
        </w:rPr>
        <w:t>磋商文件</w:t>
      </w:r>
      <w:r>
        <w:rPr>
          <w:rFonts w:hint="eastAsia" w:ascii="微软雅黑" w:hAnsi="微软雅黑" w:eastAsia="微软雅黑" w:cs="微软雅黑"/>
          <w:sz w:val="24"/>
          <w:szCs w:val="24"/>
          <w:highlight w:val="none"/>
        </w:rPr>
        <w:t>所称中小企业，是指在中华人民共和国境内依法设立，依据国务院批准的</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sz w:val="24"/>
          <w:szCs w:val="24"/>
          <w:highlight w:val="none"/>
          <w:lang w:eastAsia="zh-CN"/>
        </w:rPr>
        <w:t>磋商文件</w:t>
      </w:r>
      <w:r>
        <w:rPr>
          <w:rFonts w:hint="eastAsia" w:ascii="微软雅黑" w:hAnsi="微软雅黑" w:eastAsia="微软雅黑" w:cs="微软雅黑"/>
          <w:sz w:val="24"/>
          <w:szCs w:val="24"/>
          <w:highlight w:val="none"/>
        </w:rPr>
        <w:t>规定的中小企业扶持政策：</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（2）在工程采购项目中，工程由中小企业承建，即工程施工单位为中小企业，不对其中涉及的货物的制造商和服务的承接商作出要求；</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sz w:val="24"/>
          <w:szCs w:val="24"/>
          <w:highlight w:val="none"/>
          <w:lang w:eastAsia="zh-CN"/>
        </w:rPr>
        <w:t>磋商文件</w:t>
      </w:r>
      <w:r>
        <w:rPr>
          <w:rFonts w:hint="eastAsia" w:ascii="微软雅黑" w:hAnsi="微软雅黑" w:eastAsia="微软雅黑" w:cs="微软雅黑"/>
          <w:sz w:val="24"/>
          <w:szCs w:val="24"/>
          <w:highlight w:val="none"/>
        </w:rPr>
        <w:t>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依据本</w:t>
      </w:r>
      <w:r>
        <w:rPr>
          <w:rFonts w:hint="eastAsia" w:ascii="微软雅黑" w:hAnsi="微软雅黑" w:eastAsia="微软雅黑" w:cs="微软雅黑"/>
          <w:sz w:val="24"/>
          <w:szCs w:val="24"/>
          <w:highlight w:val="none"/>
          <w:lang w:eastAsia="zh-CN"/>
        </w:rPr>
        <w:t>磋商文件</w:t>
      </w:r>
      <w:r>
        <w:rPr>
          <w:rFonts w:hint="eastAsia" w:ascii="微软雅黑" w:hAnsi="微软雅黑" w:eastAsia="微软雅黑" w:cs="微软雅黑"/>
          <w:sz w:val="24"/>
          <w:szCs w:val="24"/>
          <w:highlight w:val="none"/>
        </w:rPr>
        <w:t>规定享受扶持政策获得政府采购合同的，小微企业不得将合同分包给大中型企业，中型企业不得将合同分包给大型企业。</w:t>
      </w:r>
    </w:p>
    <w:p/>
    <w:p>
      <w:pPr>
        <w:pStyle w:val="7"/>
        <w:spacing w:before="0"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6-2  </w:t>
      </w:r>
      <w:bookmarkEnd w:id="1066"/>
      <w:bookmarkEnd w:id="1067"/>
      <w:bookmarkEnd w:id="1068"/>
      <w:bookmarkEnd w:id="1069"/>
      <w:bookmarkEnd w:id="1070"/>
      <w:bookmarkEnd w:id="1071"/>
      <w:bookmarkEnd w:id="1072"/>
      <w:bookmarkStart w:id="1075" w:name="OLE_LINK13"/>
      <w:bookmarkStart w:id="1076" w:name="_Toc15294"/>
      <w:bookmarkStart w:id="1077" w:name="_Toc23068"/>
      <w:bookmarkStart w:id="1078" w:name="_Toc31700"/>
      <w:bookmarkStart w:id="1079" w:name="_Toc19284"/>
      <w:bookmarkStart w:id="1080" w:name="_Toc11516"/>
      <w:bookmarkStart w:id="1081" w:name="_Toc515647825"/>
      <w:bookmarkStart w:id="1082" w:name="OLE_LINK14"/>
      <w:bookmarkStart w:id="1083" w:name="_Toc19312"/>
      <w:r>
        <w:rPr>
          <w:rFonts w:hint="eastAsia" w:ascii="微软雅黑" w:hAnsi="微软雅黑" w:eastAsia="微软雅黑" w:cs="微软雅黑"/>
          <w:color w:val="auto"/>
          <w:sz w:val="24"/>
          <w:szCs w:val="24"/>
          <w:highlight w:val="none"/>
        </w:rPr>
        <w:t>残疾人福利性单位声明函</w:t>
      </w:r>
      <w:bookmarkEnd w:id="1073"/>
      <w:bookmarkEnd w:id="1074"/>
      <w:bookmarkEnd w:id="1075"/>
      <w:bookmarkEnd w:id="1076"/>
      <w:bookmarkEnd w:id="1077"/>
      <w:bookmarkEnd w:id="1078"/>
      <w:bookmarkEnd w:id="1079"/>
      <w:bookmarkEnd w:id="1080"/>
      <w:bookmarkEnd w:id="1081"/>
      <w:bookmarkEnd w:id="1082"/>
      <w:bookmarkEnd w:id="1083"/>
    </w:p>
    <w:p>
      <w:pPr>
        <w:spacing w:line="400" w:lineRule="exact"/>
        <w:ind w:left="1080" w:leftChars="257" w:hanging="540"/>
        <w:jc w:val="center"/>
        <w:rPr>
          <w:rFonts w:hint="eastAsia" w:ascii="微软雅黑" w:hAnsi="微软雅黑" w:eastAsia="微软雅黑" w:cs="微软雅黑"/>
          <w:color w:val="auto"/>
          <w:kern w:val="0"/>
          <w:sz w:val="24"/>
          <w:szCs w:val="24"/>
          <w:highlight w:val="none"/>
        </w:rPr>
      </w:pPr>
    </w:p>
    <w:p>
      <w:pPr>
        <w:spacing w:line="400" w:lineRule="exact"/>
        <w:ind w:firstLine="567"/>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微软雅黑" w:hAnsi="微软雅黑" w:eastAsia="微软雅黑" w:cs="微软雅黑"/>
          <w:color w:val="auto"/>
          <w:kern w:val="0"/>
          <w:sz w:val="24"/>
          <w:szCs w:val="24"/>
          <w:highlight w:val="none"/>
          <w:lang w:val="en-US" w:eastAsia="zh-CN"/>
        </w:rPr>
        <w:t>货物</w:t>
      </w:r>
      <w:r>
        <w:rPr>
          <w:rFonts w:hint="eastAsia" w:ascii="微软雅黑" w:hAnsi="微软雅黑" w:eastAsia="微软雅黑" w:cs="微软雅黑"/>
          <w:color w:val="auto"/>
          <w:kern w:val="0"/>
          <w:sz w:val="24"/>
          <w:szCs w:val="24"/>
          <w:highlight w:val="none"/>
        </w:rPr>
        <w:t>，或者提供其他残疾人福利性单位制造的</w:t>
      </w:r>
      <w:r>
        <w:rPr>
          <w:rFonts w:hint="eastAsia" w:ascii="微软雅黑" w:hAnsi="微软雅黑" w:eastAsia="微软雅黑" w:cs="微软雅黑"/>
          <w:color w:val="auto"/>
          <w:kern w:val="0"/>
          <w:sz w:val="24"/>
          <w:szCs w:val="24"/>
          <w:highlight w:val="none"/>
          <w:lang w:val="en-US" w:eastAsia="zh-CN"/>
        </w:rPr>
        <w:t>货物</w:t>
      </w:r>
      <w:r>
        <w:rPr>
          <w:rFonts w:hint="eastAsia" w:ascii="微软雅黑" w:hAnsi="微软雅黑" w:eastAsia="微软雅黑" w:cs="微软雅黑"/>
          <w:color w:val="auto"/>
          <w:kern w:val="0"/>
          <w:sz w:val="24"/>
          <w:szCs w:val="24"/>
          <w:highlight w:val="none"/>
        </w:rPr>
        <w:t>（不包括使用非残疾人福利性单位注册商标的</w:t>
      </w:r>
      <w:r>
        <w:rPr>
          <w:rFonts w:hint="eastAsia" w:ascii="微软雅黑" w:hAnsi="微软雅黑" w:eastAsia="微软雅黑" w:cs="微软雅黑"/>
          <w:color w:val="auto"/>
          <w:kern w:val="0"/>
          <w:sz w:val="24"/>
          <w:szCs w:val="24"/>
          <w:highlight w:val="none"/>
          <w:lang w:val="en-US" w:eastAsia="zh-CN"/>
        </w:rPr>
        <w:t>货物</w:t>
      </w:r>
      <w:r>
        <w:rPr>
          <w:rFonts w:hint="eastAsia" w:ascii="微软雅黑" w:hAnsi="微软雅黑" w:eastAsia="微软雅黑" w:cs="微软雅黑"/>
          <w:color w:val="auto"/>
          <w:kern w:val="0"/>
          <w:sz w:val="24"/>
          <w:szCs w:val="24"/>
          <w:highlight w:val="none"/>
        </w:rPr>
        <w:t>）。</w:t>
      </w:r>
    </w:p>
    <w:p>
      <w:pPr>
        <w:spacing w:line="400" w:lineRule="exact"/>
        <w:ind w:left="1080" w:leftChars="257" w:hanging="54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pPr>
        <w:spacing w:line="400" w:lineRule="exact"/>
        <w:ind w:left="1080" w:leftChars="257" w:hanging="54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残疾人福利性单位名称（公章）：______________</w:t>
      </w:r>
    </w:p>
    <w:p>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u w:val="single" w:color="FFFFFF"/>
        </w:rPr>
        <w:t xml:space="preserve">       </w:t>
      </w:r>
      <w:r>
        <w:rPr>
          <w:rFonts w:hint="eastAsia" w:ascii="微软雅黑" w:hAnsi="微软雅黑" w:eastAsia="微软雅黑" w:cs="微软雅黑"/>
          <w:color w:val="auto"/>
          <w:kern w:val="0"/>
          <w:sz w:val="24"/>
          <w:szCs w:val="24"/>
          <w:highlight w:val="none"/>
        </w:rPr>
        <w:t>日  期：_____________________________________________</w:t>
      </w:r>
    </w:p>
    <w:p>
      <w:pPr>
        <w:pStyle w:val="2"/>
        <w:spacing w:line="400" w:lineRule="exact"/>
        <w:ind w:firstLine="480"/>
        <w:rPr>
          <w:rFonts w:hint="eastAsia" w:ascii="微软雅黑" w:hAnsi="微软雅黑" w:eastAsia="微软雅黑" w:cs="微软雅黑"/>
          <w:color w:val="auto"/>
          <w:sz w:val="24"/>
          <w:szCs w:val="24"/>
          <w:highlight w:val="none"/>
        </w:rPr>
      </w:pPr>
    </w:p>
    <w:p>
      <w:pPr>
        <w:pStyle w:val="2"/>
        <w:spacing w:line="400" w:lineRule="exact"/>
        <w:ind w:firstLine="480"/>
        <w:rPr>
          <w:rFonts w:hint="eastAsia" w:ascii="微软雅黑" w:hAnsi="微软雅黑" w:eastAsia="微软雅黑" w:cs="微软雅黑"/>
          <w:color w:val="auto"/>
          <w:sz w:val="24"/>
          <w:szCs w:val="24"/>
          <w:highlight w:val="none"/>
        </w:rPr>
      </w:pPr>
    </w:p>
    <w:p>
      <w:pPr>
        <w:pStyle w:val="7"/>
        <w:spacing w:before="0" w:line="400" w:lineRule="exact"/>
        <w:jc w:val="both"/>
        <w:rPr>
          <w:rFonts w:hint="eastAsia" w:ascii="微软雅黑" w:hAnsi="微软雅黑" w:eastAsia="微软雅黑" w:cs="微软雅黑"/>
          <w:color w:val="auto"/>
          <w:sz w:val="24"/>
          <w:szCs w:val="24"/>
          <w:highlight w:val="none"/>
        </w:rPr>
      </w:pPr>
      <w:bookmarkStart w:id="1084" w:name="_Toc17401"/>
      <w:bookmarkStart w:id="1085" w:name="_Toc30795"/>
      <w:bookmarkStart w:id="1086" w:name="_Toc23926"/>
      <w:bookmarkStart w:id="1087" w:name="_Toc26573"/>
      <w:bookmarkStart w:id="1088" w:name="_Toc28099"/>
      <w:bookmarkStart w:id="1089" w:name="_Toc6004"/>
      <w:bookmarkStart w:id="1090" w:name="_Toc25428"/>
      <w:bookmarkStart w:id="1091" w:name="_Toc22102"/>
      <w:bookmarkStart w:id="1092" w:name="_Toc515647827"/>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供应商关联单位的说明</w:t>
      </w:r>
      <w:bookmarkEnd w:id="1084"/>
      <w:bookmarkEnd w:id="1085"/>
      <w:bookmarkEnd w:id="1086"/>
      <w:bookmarkEnd w:id="1087"/>
      <w:bookmarkEnd w:id="1088"/>
      <w:bookmarkEnd w:id="1089"/>
      <w:bookmarkEnd w:id="1090"/>
      <w:bookmarkEnd w:id="1091"/>
      <w:bookmarkEnd w:id="1092"/>
    </w:p>
    <w:p>
      <w:pPr>
        <w:pStyle w:val="4"/>
        <w:spacing w:line="400" w:lineRule="exact"/>
        <w:jc w:val="center"/>
        <w:rPr>
          <w:rFonts w:hint="eastAsia" w:ascii="微软雅黑" w:hAnsi="微软雅黑" w:eastAsia="微软雅黑" w:cs="微软雅黑"/>
          <w:color w:val="auto"/>
          <w:sz w:val="24"/>
          <w:szCs w:val="24"/>
          <w:highlight w:val="none"/>
        </w:rPr>
      </w:pPr>
    </w:p>
    <w:p>
      <w:pPr>
        <w:pStyle w:val="4"/>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说明：供应商应当如实披露与本单位存在下列关联关系的单位名称：</w:t>
      </w:r>
    </w:p>
    <w:p>
      <w:pPr>
        <w:pStyle w:val="4"/>
        <w:spacing w:line="400" w:lineRule="exact"/>
        <w:ind w:firstLine="960" w:firstLineChars="4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（1）与供应商单位负责人为同一人的其他单位；</w:t>
      </w:r>
    </w:p>
    <w:p>
      <w:pPr>
        <w:pStyle w:val="4"/>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（2）与供应商存在直接控股、管理关系的其他单位。</w:t>
      </w:r>
    </w:p>
    <w:p>
      <w:pPr>
        <w:pStyle w:val="5"/>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b/>
          <w:color w:val="auto"/>
          <w:kern w:val="0"/>
          <w:sz w:val="24"/>
          <w:szCs w:val="24"/>
          <w:highlight w:val="none"/>
        </w:rPr>
      </w:pPr>
    </w:p>
    <w:p>
      <w:pPr>
        <w:pStyle w:val="4"/>
        <w:ind w:left="0" w:leftChars="0" w:firstLine="0" w:firstLineChars="0"/>
        <w:outlineLvl w:val="1"/>
        <w:rPr>
          <w:rFonts w:hint="eastAsia" w:ascii="微软雅黑" w:hAnsi="微软雅黑" w:eastAsia="微软雅黑" w:cs="微软雅黑"/>
          <w:color w:val="auto"/>
          <w:sz w:val="24"/>
          <w:szCs w:val="24"/>
          <w:highlight w:val="none"/>
        </w:rPr>
      </w:pPr>
      <w:bookmarkStart w:id="1093" w:name="_Toc29270"/>
      <w:bookmarkStart w:id="1094" w:name="_Toc10352"/>
      <w:bookmarkStart w:id="1095" w:name="_Toc17333"/>
      <w:bookmarkStart w:id="1096" w:name="_Toc3088"/>
      <w:bookmarkStart w:id="1097" w:name="_Toc515647828"/>
      <w:bookmarkStart w:id="1098" w:name="_Toc10917"/>
      <w:bookmarkStart w:id="1099" w:name="_Toc7414"/>
      <w:bookmarkStart w:id="1100" w:name="_Toc25122"/>
      <w:bookmarkStart w:id="1101" w:name="_Toc1363"/>
      <w:r>
        <w:rPr>
          <w:rFonts w:hint="eastAsia" w:ascii="微软雅黑" w:hAnsi="微软雅黑" w:eastAsia="微软雅黑" w:cs="微软雅黑"/>
          <w:b/>
          <w:bCs/>
          <w:color w:val="auto"/>
          <w:sz w:val="24"/>
          <w:szCs w:val="24"/>
          <w:highlight w:val="none"/>
        </w:rPr>
        <w:t>8</w:t>
      </w:r>
      <w:bookmarkEnd w:id="1093"/>
      <w:bookmarkEnd w:id="1094"/>
      <w:bookmarkEnd w:id="1095"/>
      <w:bookmarkEnd w:id="1096"/>
      <w:bookmarkEnd w:id="1097"/>
      <w:bookmarkEnd w:id="1098"/>
      <w:bookmarkEnd w:id="1099"/>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供应商可提供有利于投标的其他资格证明材料</w:t>
      </w:r>
      <w:bookmarkEnd w:id="1100"/>
      <w:bookmarkEnd w:id="1101"/>
    </w:p>
    <w:p>
      <w:pPr>
        <w:pStyle w:val="4"/>
        <w:ind w:left="0" w:leftChars="0" w:firstLine="0" w:firstLineChars="0"/>
        <w:rPr>
          <w:rFonts w:hint="eastAsia" w:ascii="微软雅黑" w:hAnsi="微软雅黑" w:eastAsia="微软雅黑" w:cs="微软雅黑"/>
          <w:color w:val="auto"/>
          <w:sz w:val="24"/>
          <w:szCs w:val="24"/>
          <w:highlight w:val="none"/>
        </w:rPr>
      </w:pPr>
    </w:p>
    <w:p>
      <w:pPr>
        <w:pStyle w:val="5"/>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pStyle w:val="19"/>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br w:type="page"/>
      </w:r>
    </w:p>
    <w:p>
      <w:pPr>
        <w:spacing w:line="240" w:lineRule="atLeast"/>
        <w:ind w:left="1080" w:leftChars="257" w:hanging="540"/>
        <w:outlineLvl w:val="1"/>
        <w:rPr>
          <w:rFonts w:hint="eastAsia" w:ascii="微软雅黑" w:hAnsi="微软雅黑" w:eastAsia="微软雅黑" w:cs="微软雅黑"/>
          <w:b/>
          <w:color w:val="auto"/>
          <w:kern w:val="0"/>
          <w:sz w:val="24"/>
          <w:szCs w:val="24"/>
          <w:highlight w:val="none"/>
        </w:rPr>
      </w:pPr>
      <w:bookmarkStart w:id="1102" w:name="_Toc21459"/>
      <w:bookmarkStart w:id="1103" w:name="_Toc1808"/>
      <w:r>
        <w:rPr>
          <w:rFonts w:hint="eastAsia" w:ascii="微软雅黑" w:hAnsi="微软雅黑" w:eastAsia="微软雅黑" w:cs="微软雅黑"/>
          <w:b/>
          <w:color w:val="auto"/>
          <w:kern w:val="0"/>
          <w:sz w:val="24"/>
          <w:szCs w:val="24"/>
          <w:highlight w:val="none"/>
        </w:rPr>
        <w:t>9</w:t>
      </w:r>
      <w:r>
        <w:rPr>
          <w:rFonts w:hint="eastAsia" w:ascii="微软雅黑" w:hAnsi="微软雅黑" w:eastAsia="微软雅黑" w:cs="微软雅黑"/>
          <w:b/>
          <w:color w:val="auto"/>
          <w:kern w:val="0"/>
          <w:sz w:val="24"/>
          <w:szCs w:val="24"/>
          <w:highlight w:val="none"/>
          <w:lang w:eastAsia="zh-CN"/>
        </w:rPr>
        <w:t>、</w:t>
      </w:r>
      <w:r>
        <w:rPr>
          <w:rFonts w:hint="eastAsia" w:ascii="微软雅黑" w:hAnsi="微软雅黑" w:eastAsia="微软雅黑" w:cs="微软雅黑"/>
          <w:b/>
          <w:color w:val="auto"/>
          <w:kern w:val="0"/>
          <w:sz w:val="24"/>
          <w:szCs w:val="24"/>
          <w:highlight w:val="none"/>
        </w:rPr>
        <w:t>投标文件格式范本</w:t>
      </w:r>
      <w:bookmarkEnd w:id="1102"/>
      <w:bookmarkEnd w:id="1103"/>
    </w:p>
    <w:tbl>
      <w:tblPr>
        <w:tblStyle w:val="2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 xml:space="preserve">                                                （正本</w:t>
            </w:r>
            <w:r>
              <w:rPr>
                <w:rFonts w:hint="eastAsia" w:ascii="微软雅黑" w:hAnsi="微软雅黑" w:eastAsia="微软雅黑" w:cs="微软雅黑"/>
                <w:b/>
                <w:bCs/>
                <w:color w:val="auto"/>
                <w:sz w:val="24"/>
                <w:szCs w:val="24"/>
                <w:highlight w:val="none"/>
                <w:lang w:val="en-US" w:eastAsia="zh-CN"/>
              </w:rPr>
              <w:t>和</w:t>
            </w:r>
            <w:r>
              <w:rPr>
                <w:rFonts w:hint="eastAsia" w:ascii="微软雅黑" w:hAnsi="微软雅黑" w:eastAsia="微软雅黑" w:cs="微软雅黑"/>
                <w:b/>
                <w:bCs/>
                <w:color w:val="auto"/>
                <w:sz w:val="24"/>
                <w:szCs w:val="24"/>
                <w:highlight w:val="none"/>
              </w:rPr>
              <w:t>副本）</w:t>
            </w:r>
          </w:p>
          <w:p>
            <w:pPr>
              <w:pStyle w:val="11"/>
              <w:ind w:firstLine="3602" w:firstLineChars="1500"/>
              <w:rPr>
                <w:rFonts w:hint="eastAsia" w:ascii="微软雅黑" w:hAnsi="微软雅黑" w:eastAsia="微软雅黑" w:cs="微软雅黑"/>
                <w:b/>
                <w:bCs/>
                <w:color w:val="auto"/>
                <w:sz w:val="24"/>
                <w:szCs w:val="24"/>
                <w:highlight w:val="none"/>
              </w:rPr>
            </w:pPr>
          </w:p>
          <w:p>
            <w:pPr>
              <w:pStyle w:val="11"/>
              <w:ind w:firstLine="3602" w:firstLineChars="1500"/>
              <w:rPr>
                <w:rFonts w:hint="eastAsia" w:ascii="微软雅黑" w:hAnsi="微软雅黑" w:eastAsia="微软雅黑" w:cs="微软雅黑"/>
                <w:b/>
                <w:bCs/>
                <w:color w:val="auto"/>
                <w:sz w:val="24"/>
                <w:szCs w:val="24"/>
                <w:highlight w:val="none"/>
              </w:rPr>
            </w:pPr>
          </w:p>
          <w:p>
            <w:pPr>
              <w:pStyle w:val="11"/>
              <w:rPr>
                <w:rFonts w:hint="eastAsia" w:ascii="微软雅黑" w:hAnsi="微软雅黑" w:eastAsia="微软雅黑" w:cs="微软雅黑"/>
                <w:b/>
                <w:bCs/>
                <w:color w:val="auto"/>
                <w:sz w:val="24"/>
                <w:szCs w:val="24"/>
                <w:highlight w:val="none"/>
              </w:rPr>
            </w:pPr>
          </w:p>
          <w:p>
            <w:pPr>
              <w:pStyle w:val="11"/>
              <w:ind w:firstLine="2161" w:firstLineChars="9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w:t>
            </w:r>
          </w:p>
          <w:p>
            <w:pPr>
              <w:pStyle w:val="11"/>
              <w:jc w:val="center"/>
              <w:rPr>
                <w:rFonts w:hint="eastAsia" w:ascii="微软雅黑" w:hAnsi="微软雅黑" w:eastAsia="微软雅黑" w:cs="微软雅黑"/>
                <w:b/>
                <w:bCs/>
                <w:color w:val="auto"/>
                <w:sz w:val="24"/>
                <w:szCs w:val="24"/>
                <w:highlight w:val="none"/>
              </w:rPr>
            </w:pPr>
          </w:p>
          <w:p>
            <w:pPr>
              <w:pStyle w:val="11"/>
              <w:ind w:firstLine="3602" w:firstLineChars="15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编号 ＊＊＊      包号：＊＊＊</w:t>
            </w:r>
          </w:p>
          <w:p>
            <w:pPr>
              <w:pStyle w:val="11"/>
              <w:jc w:val="center"/>
              <w:rPr>
                <w:rFonts w:hint="eastAsia" w:ascii="微软雅黑" w:hAnsi="微软雅黑" w:eastAsia="微软雅黑" w:cs="微软雅黑"/>
                <w:b/>
                <w:bCs/>
                <w:color w:val="auto"/>
                <w:sz w:val="24"/>
                <w:szCs w:val="24"/>
                <w:highlight w:val="none"/>
              </w:rPr>
            </w:pPr>
          </w:p>
          <w:p>
            <w:pPr>
              <w:pStyle w:val="11"/>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 标 文 件</w:t>
            </w:r>
          </w:p>
          <w:p>
            <w:pPr>
              <w:pStyle w:val="4"/>
              <w:ind w:firstLine="0"/>
              <w:rPr>
                <w:rFonts w:hint="eastAsia" w:ascii="微软雅黑" w:hAnsi="微软雅黑" w:eastAsia="微软雅黑" w:cs="微软雅黑"/>
                <w:b/>
                <w:color w:val="auto"/>
                <w:sz w:val="24"/>
                <w:szCs w:val="24"/>
                <w:highlight w:val="none"/>
              </w:rPr>
            </w:pPr>
          </w:p>
          <w:p>
            <w:pPr>
              <w:pStyle w:val="4"/>
              <w:rPr>
                <w:rFonts w:hint="eastAsia" w:ascii="微软雅黑" w:hAnsi="微软雅黑" w:eastAsia="微软雅黑" w:cs="微软雅黑"/>
                <w:b/>
                <w:color w:val="auto"/>
                <w:sz w:val="24"/>
                <w:szCs w:val="24"/>
                <w:highlight w:val="none"/>
              </w:rPr>
            </w:pPr>
          </w:p>
          <w:p>
            <w:pPr>
              <w:spacing w:line="360" w:lineRule="auto"/>
              <w:ind w:left="176" w:leftChars="84"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（公章）</w:t>
            </w:r>
          </w:p>
          <w:p>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p>
          <w:p>
            <w:pPr>
              <w:spacing w:line="360" w:lineRule="auto"/>
              <w:ind w:left="176" w:leftChars="84" w:firstLine="960" w:firstLineChars="4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 xml:space="preserve">地    址  ：  </w:t>
            </w:r>
            <w:r>
              <w:rPr>
                <w:rFonts w:hint="eastAsia" w:ascii="微软雅黑" w:hAnsi="微软雅黑" w:eastAsia="微软雅黑" w:cs="微软雅黑"/>
                <w:color w:val="auto"/>
                <w:sz w:val="24"/>
                <w:szCs w:val="24"/>
                <w:highlight w:val="none"/>
                <w:u w:val="single"/>
              </w:rPr>
              <w:t xml:space="preserve">                                    </w:t>
            </w:r>
          </w:p>
          <w:p>
            <w:pPr>
              <w:jc w:val="center"/>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color w:val="auto"/>
                <w:sz w:val="24"/>
                <w:szCs w:val="24"/>
                <w:highlight w:val="none"/>
              </w:rPr>
            </w:pPr>
          </w:p>
          <w:p>
            <w:pPr>
              <w:jc w:val="center"/>
              <w:rPr>
                <w:rFonts w:hint="eastAsia" w:ascii="微软雅黑" w:hAnsi="微软雅黑" w:eastAsia="微软雅黑" w:cs="微软雅黑"/>
                <w:b/>
                <w:bCs/>
                <w:color w:val="auto"/>
                <w:sz w:val="24"/>
                <w:szCs w:val="24"/>
                <w:highlight w:val="none"/>
              </w:rPr>
            </w:pPr>
          </w:p>
          <w:p>
            <w:pPr>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   在202</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年＊月＊日＊午</w:t>
            </w:r>
            <w:r>
              <w:rPr>
                <w:rFonts w:hint="eastAsia" w:ascii="微软雅黑" w:hAnsi="微软雅黑" w:eastAsia="微软雅黑" w:cs="微软雅黑"/>
                <w:color w:val="auto"/>
                <w:kern w:val="0"/>
                <w:sz w:val="24"/>
                <w:szCs w:val="24"/>
                <w:highlight w:val="none"/>
              </w:rPr>
              <w:t>XX</w:t>
            </w:r>
            <w:r>
              <w:rPr>
                <w:rFonts w:hint="eastAsia" w:ascii="微软雅黑" w:hAnsi="微软雅黑" w:eastAsia="微软雅黑" w:cs="微软雅黑"/>
                <w:b/>
                <w:bCs/>
                <w:color w:val="auto"/>
                <w:sz w:val="24"/>
                <w:szCs w:val="24"/>
                <w:highlight w:val="none"/>
              </w:rPr>
              <w:t>之前不得启封</w:t>
            </w:r>
          </w:p>
          <w:p>
            <w:pPr>
              <w:jc w:val="center"/>
              <w:rPr>
                <w:rFonts w:hint="eastAsia" w:ascii="微软雅黑" w:hAnsi="微软雅黑" w:eastAsia="微软雅黑" w:cs="微软雅黑"/>
                <w:b/>
                <w:bCs/>
                <w:color w:val="auto"/>
                <w:sz w:val="24"/>
                <w:szCs w:val="24"/>
                <w:highlight w:val="none"/>
              </w:rPr>
            </w:pPr>
          </w:p>
        </w:tc>
      </w:tr>
    </w:tbl>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outlineLvl w:val="9"/>
        <w:rPr>
          <w:rFonts w:hint="eastAsia" w:ascii="微软雅黑" w:hAnsi="微软雅黑" w:eastAsia="微软雅黑" w:cs="微软雅黑"/>
          <w:b/>
          <w:color w:val="auto"/>
          <w:sz w:val="24"/>
          <w:szCs w:val="24"/>
          <w:highlight w:val="none"/>
        </w:rPr>
      </w:pPr>
    </w:p>
    <w:p>
      <w:pPr>
        <w:pStyle w:val="4"/>
        <w:outlineLvl w:val="9"/>
        <w:rPr>
          <w:rFonts w:hint="eastAsia" w:ascii="微软雅黑" w:hAnsi="微软雅黑" w:eastAsia="微软雅黑" w:cs="微软雅黑"/>
          <w:b/>
          <w:color w:val="auto"/>
          <w:sz w:val="24"/>
          <w:szCs w:val="24"/>
          <w:highlight w:val="none"/>
        </w:rPr>
      </w:pPr>
    </w:p>
    <w:p>
      <w:pPr>
        <w:pStyle w:val="5"/>
        <w:outlineLvl w:val="9"/>
        <w:rPr>
          <w:rFonts w:hint="eastAsia" w:ascii="微软雅黑" w:hAnsi="微软雅黑" w:eastAsia="微软雅黑" w:cs="微软雅黑"/>
          <w:b/>
          <w:color w:val="auto"/>
          <w:sz w:val="24"/>
          <w:szCs w:val="24"/>
          <w:highlight w:val="none"/>
        </w:rPr>
      </w:pPr>
    </w:p>
    <w:p>
      <w:pPr>
        <w:outlineLvl w:val="9"/>
        <w:rPr>
          <w:rFonts w:hint="eastAsia" w:ascii="微软雅黑" w:hAnsi="微软雅黑" w:eastAsia="微软雅黑" w:cs="微软雅黑"/>
          <w:b/>
          <w:color w:val="auto"/>
          <w:sz w:val="24"/>
          <w:szCs w:val="24"/>
          <w:highlight w:val="none"/>
        </w:rPr>
      </w:pPr>
    </w:p>
    <w:p>
      <w:pPr>
        <w:outlineLvl w:val="9"/>
        <w:rPr>
          <w:rFonts w:hint="eastAsia" w:ascii="微软雅黑" w:hAnsi="微软雅黑" w:eastAsia="微软雅黑" w:cs="微软雅黑"/>
          <w:highlight w:val="none"/>
        </w:rPr>
      </w:pPr>
    </w:p>
    <w:p>
      <w:pPr>
        <w:pStyle w:val="19"/>
        <w:rPr>
          <w:rFonts w:hint="eastAsia" w:ascii="微软雅黑" w:hAnsi="微软雅黑" w:eastAsia="微软雅黑" w:cs="微软雅黑"/>
          <w:color w:val="auto"/>
          <w:sz w:val="40"/>
          <w:szCs w:val="40"/>
          <w:highlight w:val="none"/>
        </w:rPr>
      </w:pPr>
    </w:p>
    <w:p>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招 标 文 件</w:t>
      </w:r>
    </w:p>
    <w:p>
      <w:pPr>
        <w:spacing w:line="360" w:lineRule="auto"/>
        <w:rPr>
          <w:rFonts w:hint="eastAsia" w:ascii="微软雅黑" w:hAnsi="微软雅黑" w:eastAsia="微软雅黑" w:cs="微软雅黑"/>
          <w:b/>
          <w:color w:val="auto"/>
          <w:sz w:val="40"/>
          <w:szCs w:val="40"/>
          <w:highlight w:val="none"/>
        </w:rPr>
      </w:pPr>
      <w:bookmarkStart w:id="1104" w:name="_Toc24900_WPSOffice_Level2"/>
    </w:p>
    <w:p>
      <w:pPr>
        <w:spacing w:line="360" w:lineRule="auto"/>
        <w:jc w:val="center"/>
        <w:rPr>
          <w:rFonts w:hint="default"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rPr>
        <w:t>项目编号：</w:t>
      </w:r>
      <w:bookmarkEnd w:id="1104"/>
      <w:r>
        <w:rPr>
          <w:rFonts w:hint="eastAsia" w:ascii="微软雅黑" w:hAnsi="微软雅黑" w:eastAsia="微软雅黑" w:cs="微软雅黑"/>
          <w:b/>
          <w:color w:val="auto"/>
          <w:sz w:val="40"/>
          <w:szCs w:val="40"/>
          <w:highlight w:val="none"/>
          <w:lang w:eastAsia="zh-CN"/>
        </w:rPr>
        <w:t>23GJ-(GK)007</w:t>
      </w:r>
      <w:r>
        <w:rPr>
          <w:rFonts w:hint="eastAsia" w:ascii="微软雅黑" w:hAnsi="微软雅黑" w:eastAsia="微软雅黑" w:cs="微软雅黑"/>
          <w:b/>
          <w:color w:val="auto"/>
          <w:sz w:val="40"/>
          <w:szCs w:val="40"/>
          <w:highlight w:val="none"/>
          <w:lang w:val="en-US" w:eastAsia="zh-CN"/>
        </w:rPr>
        <w:t>-2</w:t>
      </w:r>
    </w:p>
    <w:p>
      <w:pPr>
        <w:spacing w:line="240" w:lineRule="atLeast"/>
        <w:jc w:val="center"/>
        <w:rPr>
          <w:rFonts w:hint="eastAsia" w:ascii="微软雅黑" w:hAnsi="微软雅黑" w:eastAsia="微软雅黑" w:cs="微软雅黑"/>
          <w:b/>
          <w:color w:val="auto"/>
          <w:sz w:val="40"/>
          <w:szCs w:val="40"/>
          <w:highlight w:val="none"/>
        </w:rPr>
      </w:pPr>
    </w:p>
    <w:p>
      <w:pPr>
        <w:spacing w:line="240" w:lineRule="atLeast"/>
        <w:jc w:val="center"/>
        <w:rPr>
          <w:rFonts w:hint="eastAsia" w:ascii="微软雅黑" w:hAnsi="微软雅黑" w:eastAsia="微软雅黑" w:cs="微软雅黑"/>
          <w:b/>
          <w:color w:val="auto"/>
          <w:sz w:val="40"/>
          <w:szCs w:val="40"/>
          <w:highlight w:val="none"/>
        </w:rPr>
      </w:pPr>
    </w:p>
    <w:p>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 二 册</w:t>
      </w: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44"/>
          <w:szCs w:val="36"/>
          <w:highlight w:val="none"/>
        </w:rPr>
      </w:pPr>
    </w:p>
    <w:p>
      <w:pPr>
        <w:pStyle w:val="4"/>
        <w:rPr>
          <w:rFonts w:hint="eastAsia" w:ascii="微软雅黑" w:hAnsi="微软雅黑" w:eastAsia="微软雅黑" w:cs="微软雅黑"/>
          <w:b/>
          <w:color w:val="auto"/>
          <w:sz w:val="44"/>
          <w:szCs w:val="36"/>
          <w:highlight w:val="none"/>
        </w:rPr>
      </w:pPr>
    </w:p>
    <w:p>
      <w:pPr>
        <w:pStyle w:val="5"/>
        <w:rPr>
          <w:rFonts w:hint="eastAsia" w:ascii="微软雅黑" w:hAnsi="微软雅黑" w:eastAsia="微软雅黑" w:cs="微软雅黑"/>
          <w:b/>
          <w:color w:val="auto"/>
          <w:sz w:val="44"/>
          <w:szCs w:val="36"/>
          <w:highlight w:val="none"/>
        </w:rPr>
      </w:pP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spacing w:line="240" w:lineRule="atLeast"/>
        <w:jc w:val="center"/>
        <w:rPr>
          <w:rFonts w:hint="eastAsia" w:ascii="微软雅黑" w:hAnsi="微软雅黑" w:eastAsia="微软雅黑" w:cs="微软雅黑"/>
          <w:b/>
          <w:color w:val="auto"/>
          <w:sz w:val="32"/>
          <w:highlight w:val="none"/>
        </w:rPr>
      </w:pPr>
    </w:p>
    <w:bookmarkEnd w:id="958"/>
    <w:bookmarkEnd w:id="959"/>
    <w:bookmarkEnd w:id="960"/>
    <w:bookmarkEnd w:id="961"/>
    <w:bookmarkEnd w:id="962"/>
    <w:bookmarkEnd w:id="963"/>
    <w:bookmarkEnd w:id="964"/>
    <w:bookmarkEnd w:id="965"/>
    <w:bookmarkEnd w:id="966"/>
    <w:bookmarkEnd w:id="967"/>
    <w:p>
      <w:pPr>
        <w:widowControl/>
        <w:spacing w:line="440" w:lineRule="exact"/>
        <w:jc w:val="center"/>
        <w:outlineLvl w:val="0"/>
        <w:rPr>
          <w:rStyle w:val="38"/>
          <w:rFonts w:hint="eastAsia" w:ascii="微软雅黑" w:hAnsi="微软雅黑" w:eastAsia="微软雅黑" w:cs="微软雅黑"/>
          <w:color w:val="auto"/>
          <w:highlight w:val="none"/>
        </w:rPr>
      </w:pPr>
      <w:bookmarkStart w:id="1105" w:name="_Toc515647829"/>
      <w:bookmarkStart w:id="1106" w:name="_Toc22081"/>
      <w:bookmarkStart w:id="1107" w:name="_Toc218935350"/>
      <w:bookmarkStart w:id="1108" w:name="_Toc29715"/>
      <w:bookmarkStart w:id="1109" w:name="_Toc219175634"/>
      <w:bookmarkStart w:id="1110" w:name="_Toc16370"/>
      <w:bookmarkStart w:id="1111" w:name="_Toc507399902"/>
      <w:bookmarkStart w:id="1112" w:name="_Toc216582822"/>
      <w:bookmarkStart w:id="1113" w:name="_Toc28765"/>
    </w:p>
    <w:p>
      <w:pPr>
        <w:widowControl/>
        <w:spacing w:line="440" w:lineRule="exact"/>
        <w:jc w:val="center"/>
        <w:outlineLvl w:val="0"/>
        <w:rPr>
          <w:rStyle w:val="38"/>
          <w:rFonts w:hint="eastAsia" w:ascii="微软雅黑" w:hAnsi="微软雅黑" w:eastAsia="微软雅黑" w:cs="微软雅黑"/>
          <w:color w:val="auto"/>
          <w:highlight w:val="none"/>
        </w:rPr>
      </w:pPr>
    </w:p>
    <w:p>
      <w:pPr>
        <w:widowControl/>
        <w:spacing w:line="440" w:lineRule="exact"/>
        <w:jc w:val="center"/>
        <w:outlineLvl w:val="0"/>
        <w:rPr>
          <w:rStyle w:val="38"/>
          <w:rFonts w:hint="eastAsia" w:ascii="微软雅黑" w:hAnsi="微软雅黑" w:eastAsia="微软雅黑" w:cs="微软雅黑"/>
          <w:color w:val="auto"/>
          <w:highlight w:val="none"/>
        </w:rPr>
      </w:pPr>
      <w:bookmarkStart w:id="1114" w:name="_Toc24675"/>
      <w:r>
        <w:rPr>
          <w:rStyle w:val="38"/>
          <w:rFonts w:hint="eastAsia" w:ascii="微软雅黑" w:hAnsi="微软雅黑" w:eastAsia="微软雅黑" w:cs="微软雅黑"/>
          <w:color w:val="auto"/>
          <w:highlight w:val="none"/>
        </w:rPr>
        <w:t>第3章  投标邀请</w:t>
      </w:r>
      <w:bookmarkEnd w:id="1105"/>
      <w:bookmarkEnd w:id="1106"/>
      <w:bookmarkEnd w:id="1107"/>
      <w:bookmarkEnd w:id="1108"/>
      <w:bookmarkEnd w:id="1109"/>
      <w:bookmarkEnd w:id="1110"/>
      <w:bookmarkEnd w:id="1111"/>
      <w:bookmarkEnd w:id="1112"/>
      <w:bookmarkEnd w:id="1113"/>
      <w:bookmarkEnd w:id="1114"/>
      <w:bookmarkStart w:id="1115" w:name="_Toc216582823"/>
      <w:bookmarkStart w:id="1116" w:name="_Toc512937850"/>
      <w:bookmarkStart w:id="1117" w:name="_Toc507399903"/>
      <w:bookmarkStart w:id="1118" w:name="_Toc515647830"/>
      <w:bookmarkStart w:id="1119" w:name="_Toc5272"/>
      <w:bookmarkStart w:id="1120" w:name="_Toc10488"/>
      <w:bookmarkStart w:id="1121" w:name="_Toc31583"/>
    </w:p>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6"/>
          <w:szCs w:val="36"/>
          <w:highlight w:val="none"/>
          <w:lang w:eastAsia="zh-CN"/>
        </w:rPr>
      </w:pPr>
      <w:bookmarkStart w:id="1122" w:name="_Toc29132"/>
      <w:r>
        <w:rPr>
          <w:rFonts w:hint="eastAsia" w:ascii="微软雅黑" w:hAnsi="微软雅黑" w:eastAsia="微软雅黑" w:cs="微软雅黑"/>
          <w:b/>
          <w:bCs/>
          <w:color w:val="auto"/>
          <w:sz w:val="36"/>
          <w:szCs w:val="36"/>
          <w:highlight w:val="none"/>
          <w:lang w:val="en-US" w:eastAsia="zh-CN"/>
        </w:rPr>
        <w:t>喀什地区2023年常规动物疫苗采购项目（标段2）二次</w:t>
      </w:r>
      <w:r>
        <w:rPr>
          <w:rFonts w:hint="eastAsia" w:ascii="微软雅黑" w:hAnsi="微软雅黑" w:eastAsia="微软雅黑" w:cs="微软雅黑"/>
          <w:b/>
          <w:bCs/>
          <w:color w:val="auto"/>
          <w:sz w:val="36"/>
          <w:szCs w:val="36"/>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喀什地区2023年常规动物疫苗采购项目（标段2）二次</w:t>
      </w:r>
      <w:r>
        <w:rPr>
          <w:rFonts w:hint="eastAsia" w:ascii="微软雅黑" w:hAnsi="微软雅黑" w:eastAsia="微软雅黑" w:cs="微软雅黑"/>
          <w:color w:val="auto"/>
          <w:sz w:val="24"/>
          <w:szCs w:val="24"/>
          <w:highlight w:val="none"/>
        </w:rPr>
        <w:t>的潜在供应商应在</w:t>
      </w:r>
      <w:r>
        <w:rPr>
          <w:rFonts w:hint="eastAsia" w:ascii="微软雅黑" w:hAnsi="微软雅黑" w:eastAsia="微软雅黑" w:cs="微软雅黑"/>
          <w:color w:val="auto"/>
          <w:sz w:val="24"/>
          <w:szCs w:val="24"/>
          <w:highlight w:val="none"/>
          <w:u w:val="single"/>
          <w:lang w:val="en-US" w:eastAsia="zh-CN"/>
        </w:rPr>
        <w:t xml:space="preserve">政采云平台（https://login.zcygov.cn/user-login/#/login） </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rPr>
        <w:t>202</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rPr>
        <w:t>年</w:t>
      </w:r>
      <w:r>
        <w:rPr>
          <w:rFonts w:hint="eastAsia" w:ascii="微软雅黑" w:hAnsi="微软雅黑" w:eastAsia="微软雅黑" w:cs="微软雅黑"/>
          <w:color w:val="auto"/>
          <w:sz w:val="24"/>
          <w:szCs w:val="24"/>
          <w:highlight w:val="none"/>
          <w:u w:val="single"/>
          <w:lang w:val="en-US" w:eastAsia="zh-CN"/>
        </w:rPr>
        <w:t>3月29日10点30分</w:t>
      </w:r>
      <w:r>
        <w:rPr>
          <w:rFonts w:hint="eastAsia" w:ascii="微软雅黑" w:hAnsi="微软雅黑" w:eastAsia="微软雅黑" w:cs="微软雅黑"/>
          <w:color w:val="auto"/>
          <w:sz w:val="24"/>
          <w:szCs w:val="24"/>
          <w:highlight w:val="none"/>
          <w:u w:val="single"/>
        </w:rPr>
        <w:t>（北京时间）</w:t>
      </w:r>
      <w:r>
        <w:rPr>
          <w:rFonts w:hint="eastAsia" w:ascii="微软雅黑" w:hAnsi="微软雅黑" w:eastAsia="微软雅黑" w:cs="微软雅黑"/>
          <w:bCs/>
          <w:color w:val="auto"/>
          <w:sz w:val="24"/>
          <w:szCs w:val="24"/>
          <w:highlight w:val="none"/>
        </w:rPr>
        <w:t>前</w:t>
      </w:r>
      <w:r>
        <w:rPr>
          <w:rFonts w:hint="eastAsia" w:ascii="微软雅黑" w:hAnsi="微软雅黑" w:eastAsia="微软雅黑" w:cs="微软雅黑"/>
          <w:bCs/>
          <w:color w:val="auto"/>
          <w:sz w:val="24"/>
          <w:szCs w:val="24"/>
          <w:highlight w:val="none"/>
          <w:lang w:eastAsia="zh-CN"/>
        </w:rPr>
        <w:t>上传</w:t>
      </w:r>
      <w:r>
        <w:rPr>
          <w:rFonts w:hint="eastAsia" w:ascii="微软雅黑" w:hAnsi="微软雅黑" w:eastAsia="微软雅黑" w:cs="微软雅黑"/>
          <w:bCs/>
          <w:color w:val="auto"/>
          <w:sz w:val="24"/>
          <w:szCs w:val="24"/>
          <w:highlight w:val="none"/>
        </w:rPr>
        <w:t>投标文件</w:t>
      </w:r>
      <w:r>
        <w:rPr>
          <w:rFonts w:hint="eastAsia" w:ascii="微软雅黑" w:hAnsi="微软雅黑" w:eastAsia="微软雅黑" w:cs="微软雅黑"/>
          <w:color w:val="auto"/>
          <w:sz w:val="24"/>
          <w:szCs w:val="24"/>
          <w:highlight w:val="none"/>
        </w:rPr>
        <w:t>。</w:t>
      </w:r>
      <w:bookmarkStart w:id="1123" w:name="_Toc28359079"/>
      <w:bookmarkStart w:id="1124" w:name="_Toc35393621"/>
      <w:bookmarkStart w:id="1125" w:name="_Toc28217"/>
      <w:bookmarkStart w:id="1126" w:name="_Toc28359002"/>
      <w:bookmarkStart w:id="1127" w:name="_Toc35393790"/>
      <w:bookmarkStart w:id="1128" w:name="_Hlk24379207"/>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微软雅黑" w:hAnsi="微软雅黑" w:eastAsia="微软雅黑" w:cs="微软雅黑"/>
          <w:b/>
          <w:bCs w:val="0"/>
          <w:color w:val="auto"/>
          <w:sz w:val="24"/>
          <w:szCs w:val="24"/>
          <w:highlight w:val="none"/>
        </w:rPr>
      </w:pPr>
      <w:bookmarkStart w:id="1129" w:name="_Toc20970"/>
      <w:bookmarkStart w:id="1130" w:name="_Toc28253"/>
      <w:r>
        <w:rPr>
          <w:rFonts w:hint="eastAsia" w:ascii="微软雅黑" w:hAnsi="微软雅黑" w:eastAsia="微软雅黑" w:cs="微软雅黑"/>
          <w:b/>
          <w:bCs w:val="0"/>
          <w:color w:val="auto"/>
          <w:sz w:val="24"/>
          <w:szCs w:val="24"/>
          <w:highlight w:val="none"/>
        </w:rPr>
        <w:t>一、</w:t>
      </w:r>
      <w:bookmarkEnd w:id="1123"/>
      <w:bookmarkEnd w:id="1124"/>
      <w:bookmarkEnd w:id="1125"/>
      <w:bookmarkEnd w:id="1126"/>
      <w:bookmarkEnd w:id="1127"/>
      <w:r>
        <w:rPr>
          <w:rFonts w:hint="eastAsia" w:ascii="微软雅黑" w:hAnsi="微软雅黑" w:eastAsia="微软雅黑" w:cs="微软雅黑"/>
          <w:b/>
          <w:bCs w:val="0"/>
          <w:color w:val="auto"/>
          <w:sz w:val="24"/>
          <w:szCs w:val="24"/>
          <w:highlight w:val="none"/>
        </w:rPr>
        <w:t>项目基本情况</w:t>
      </w:r>
      <w:bookmarkEnd w:id="1129"/>
      <w:bookmarkEnd w:id="1130"/>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项目编号：2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GJ-(GK)0</w:t>
      </w:r>
      <w:r>
        <w:rPr>
          <w:rFonts w:hint="eastAsia" w:ascii="微软雅黑" w:hAnsi="微软雅黑" w:eastAsia="微软雅黑" w:cs="微软雅黑"/>
          <w:color w:val="auto"/>
          <w:sz w:val="24"/>
          <w:szCs w:val="24"/>
          <w:highlight w:val="none"/>
          <w:lang w:val="en-US" w:eastAsia="zh-CN"/>
        </w:rPr>
        <w:t>07-2</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项目名称：</w:t>
      </w:r>
      <w:bookmarkEnd w:id="1128"/>
      <w:r>
        <w:rPr>
          <w:rFonts w:hint="eastAsia" w:ascii="微软雅黑" w:hAnsi="微软雅黑" w:eastAsia="微软雅黑" w:cs="微软雅黑"/>
          <w:color w:val="auto"/>
          <w:sz w:val="24"/>
          <w:szCs w:val="24"/>
          <w:highlight w:val="none"/>
          <w:lang w:val="en-US" w:eastAsia="zh-CN"/>
        </w:rPr>
        <w:t>喀什地区2023年常规动物疫苗采购项目（标段2）二次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4、总预算金额（元）：69.5万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5、最高限价（元）：69.5万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highlight w:val="none"/>
          <w:lang w:val="en-US" w:eastAsia="zh-CN"/>
        </w:rPr>
      </w:pPr>
      <w:r>
        <w:rPr>
          <w:rFonts w:hint="eastAsia" w:ascii="微软雅黑" w:hAnsi="微软雅黑" w:eastAsia="微软雅黑" w:cs="微软雅黑"/>
          <w:color w:val="auto"/>
          <w:sz w:val="24"/>
          <w:szCs w:val="24"/>
          <w:highlight w:val="none"/>
          <w:lang w:val="en-US" w:eastAsia="zh-CN"/>
        </w:rPr>
        <w:t>标段2：炭疽疫苗，计划招标采购无荚膜炭疽芽孢疫苗419.4万头份，预计使用资金67.1万元；采购Ⅱ号炭疽芽孢疫苗15万头份，预计使用资金2.4万元，共计预算资金69.5万元。（具体详细参数详见招标文件）</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本项目不接受联合体投标。</w:t>
      </w:r>
    </w:p>
    <w:p>
      <w:pPr>
        <w:keepNext w:val="0"/>
        <w:keepLines w:val="0"/>
        <w:pageBreakBefore w:val="0"/>
        <w:widowControl w:val="0"/>
        <w:kinsoku/>
        <w:wordWrap/>
        <w:overflowPunct/>
        <w:topLinePunct w:val="0"/>
        <w:bidi w:val="0"/>
        <w:snapToGrid/>
        <w:spacing w:line="420" w:lineRule="exact"/>
        <w:jc w:val="both"/>
        <w:textAlignment w:val="auto"/>
        <w:outlineLvl w:val="9"/>
        <w:rPr>
          <w:rFonts w:hint="eastAsia" w:ascii="微软雅黑" w:hAnsi="微软雅黑" w:eastAsia="微软雅黑" w:cs="微软雅黑"/>
          <w:b/>
          <w:color w:val="auto"/>
          <w:sz w:val="24"/>
          <w:szCs w:val="24"/>
          <w:highlight w:val="none"/>
        </w:rPr>
      </w:pPr>
      <w:bookmarkStart w:id="1131" w:name="_Toc1145"/>
      <w:bookmarkStart w:id="1132" w:name="_Toc35393622"/>
      <w:bookmarkStart w:id="1133" w:name="_Toc28359003"/>
      <w:bookmarkStart w:id="1134" w:name="_Toc29506"/>
      <w:bookmarkStart w:id="1135" w:name="_Toc35393791"/>
      <w:bookmarkStart w:id="1136" w:name="_Toc13688"/>
      <w:bookmarkStart w:id="1137" w:name="_Toc19260"/>
      <w:bookmarkStart w:id="1138" w:name="_Toc28359080"/>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eastAsia="zh-CN"/>
        </w:rPr>
        <w:t>投标供应商</w:t>
      </w:r>
      <w:r>
        <w:rPr>
          <w:rFonts w:hint="eastAsia" w:ascii="微软雅黑" w:hAnsi="微软雅黑" w:eastAsia="微软雅黑" w:cs="微软雅黑"/>
          <w:b/>
          <w:color w:val="auto"/>
          <w:sz w:val="24"/>
          <w:szCs w:val="24"/>
          <w:highlight w:val="none"/>
        </w:rPr>
        <w:t>资格要求：</w:t>
      </w:r>
      <w:bookmarkEnd w:id="1131"/>
      <w:bookmarkEnd w:id="1132"/>
      <w:bookmarkEnd w:id="1133"/>
      <w:bookmarkEnd w:id="1134"/>
      <w:bookmarkEnd w:id="1135"/>
      <w:bookmarkEnd w:id="1136"/>
      <w:bookmarkEnd w:id="1137"/>
      <w:bookmarkEnd w:id="1138"/>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b w:val="0"/>
          <w:bCs w:val="0"/>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（1）具有有效的营业执照；</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（2）提供法定代表人资格证明及授权书、被授权人身份证；(法定代表人投标需提供法定代表人身份证)；</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（3）具有有效的《兽药经营许可证》或《兽药生产许可证》；</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（4）提近两年任意一年的财务审计报告，新成立的公司提供近三个月内任意一个月的银行资信证明；</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（5）提供依法缴纳近6个月内任意1个月社会保险的证明；</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（6）提供依法缴纳近6个月内任意1个月的税收证明；</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国家企业信用信息公示系统（http://www.gsxt.gov.cn）”列入严重违法失信企业名单（黑名单）信息截图；将拒绝其参加本次招标活动；</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（8）提供参与政府采购活动前3年内未被列入失信、重大税收违法案件、财政部门禁止参加政府采购活动的承诺书；</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b w:val="0"/>
          <w:bCs w:val="0"/>
          <w:color w:val="00000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（9）提供针对本次项目《反商业贿赂承诺书》。</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b w:val="0"/>
          <w:bCs w:val="0"/>
          <w:color w:val="000000"/>
          <w:sz w:val="24"/>
          <w:szCs w:val="24"/>
          <w:highlight w:val="none"/>
          <w:lang w:val="en-US" w:eastAsia="zh-CN"/>
        </w:rPr>
        <w:t>2.</w:t>
      </w:r>
      <w:r>
        <w:rPr>
          <w:rFonts w:hint="eastAsia" w:ascii="微软雅黑" w:hAnsi="微软雅黑" w:eastAsia="微软雅黑" w:cs="微软雅黑"/>
          <w:kern w:val="2"/>
          <w:sz w:val="24"/>
          <w:szCs w:val="24"/>
          <w:highlight w:val="none"/>
          <w:lang w:val="en-US" w:eastAsia="zh-CN" w:bidi="ar-SA"/>
        </w:rPr>
        <w:t>落实政府采购政策需满足的资格要求：</w:t>
      </w:r>
      <w:r>
        <w:rPr>
          <w:rFonts w:hint="eastAsia" w:ascii="微软雅黑" w:hAnsi="微软雅黑" w:eastAsia="微软雅黑" w:cs="微软雅黑"/>
          <w:b w:val="0"/>
          <w:bCs w:val="0"/>
          <w:color w:val="000000"/>
          <w:sz w:val="24"/>
          <w:szCs w:val="24"/>
          <w:highlight w:val="none"/>
          <w:lang w:val="en-US" w:eastAsia="zh-CN"/>
        </w:rPr>
        <w:t>标项2：</w:t>
      </w:r>
      <w:r>
        <w:rPr>
          <w:rFonts w:hint="eastAsia" w:ascii="微软雅黑" w:hAnsi="微软雅黑" w:eastAsia="微软雅黑" w:cs="微软雅黑"/>
          <w:kern w:val="2"/>
          <w:sz w:val="24"/>
          <w:szCs w:val="24"/>
          <w:highlight w:val="none"/>
          <w:lang w:val="en-US" w:eastAsia="zh-CN" w:bidi="ar-SA"/>
        </w:rPr>
        <w:t>无；</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kern w:val="2"/>
          <w:sz w:val="24"/>
          <w:szCs w:val="24"/>
          <w:highlight w:val="none"/>
          <w:lang w:val="en-US" w:eastAsia="zh-CN" w:bidi="ar-SA"/>
        </w:rPr>
        <w:t>3.</w:t>
      </w:r>
      <w:r>
        <w:rPr>
          <w:rFonts w:hint="eastAsia" w:ascii="微软雅黑" w:hAnsi="微软雅黑" w:eastAsia="微软雅黑" w:cs="微软雅黑"/>
          <w:b w:val="0"/>
          <w:bCs w:val="0"/>
          <w:color w:val="000000"/>
          <w:sz w:val="24"/>
          <w:szCs w:val="24"/>
          <w:highlight w:val="none"/>
          <w:lang w:val="en-US" w:eastAsia="zh-CN"/>
        </w:rPr>
        <w:t>本项目的特定资格要求：标段2：</w:t>
      </w:r>
      <w:r>
        <w:rPr>
          <w:rFonts w:hint="eastAsia" w:ascii="微软雅黑" w:hAnsi="微软雅黑" w:eastAsia="微软雅黑" w:cs="微软雅黑"/>
          <w:color w:val="auto"/>
          <w:sz w:val="24"/>
          <w:szCs w:val="24"/>
          <w:highlight w:val="none"/>
          <w:lang w:val="en-US" w:eastAsia="zh-CN"/>
        </w:rPr>
        <w:t>（1）具有有效的《兽药经营许可证》或《兽药生产许可证》。</w:t>
      </w:r>
    </w:p>
    <w:p>
      <w:pPr>
        <w:keepNext w:val="0"/>
        <w:keepLines w:val="0"/>
        <w:pageBreakBefore w:val="0"/>
        <w:widowControl w:val="0"/>
        <w:kinsoku/>
        <w:wordWrap/>
        <w:overflowPunct/>
        <w:topLinePunct w:val="0"/>
        <w:bidi w:val="0"/>
        <w:snapToGrid/>
        <w:spacing w:line="420" w:lineRule="exact"/>
        <w:textAlignment w:val="auto"/>
        <w:rPr>
          <w:rFonts w:hint="eastAsia" w:ascii="微软雅黑" w:hAnsi="微软雅黑" w:eastAsia="微软雅黑" w:cs="微软雅黑"/>
          <w:b/>
          <w:bCs/>
          <w:color w:val="auto"/>
          <w:kern w:val="0"/>
          <w:sz w:val="24"/>
          <w:szCs w:val="24"/>
          <w:highlight w:val="none"/>
        </w:rPr>
      </w:pPr>
      <w:bookmarkStart w:id="1139" w:name="_Toc32226"/>
      <w:bookmarkStart w:id="1140" w:name="_Toc28359081"/>
      <w:bookmarkStart w:id="1141" w:name="_Toc35393792"/>
      <w:bookmarkStart w:id="1142" w:name="_Toc28359004"/>
      <w:bookmarkStart w:id="1143" w:name="_Toc35393623"/>
      <w:bookmarkStart w:id="1144" w:name="_Toc27678"/>
      <w:r>
        <w:rPr>
          <w:rFonts w:hint="eastAsia" w:ascii="微软雅黑" w:hAnsi="微软雅黑" w:eastAsia="微软雅黑" w:cs="微软雅黑"/>
          <w:b/>
          <w:bCs/>
          <w:color w:val="auto"/>
          <w:kern w:val="0"/>
          <w:sz w:val="24"/>
          <w:szCs w:val="24"/>
          <w:highlight w:val="none"/>
        </w:rPr>
        <w:t>三、获取招标文件</w:t>
      </w:r>
      <w:bookmarkEnd w:id="1139"/>
      <w:bookmarkEnd w:id="1140"/>
      <w:bookmarkEnd w:id="1141"/>
      <w:bookmarkEnd w:id="1142"/>
      <w:bookmarkEnd w:id="1143"/>
      <w:bookmarkEnd w:id="1144"/>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获取时间：2023年</w:t>
      </w:r>
      <w:r>
        <w:rPr>
          <w:rFonts w:hint="eastAsia" w:ascii="微软雅黑" w:hAnsi="微软雅黑" w:eastAsia="微软雅黑" w:cs="微软雅黑"/>
          <w:color w:val="auto"/>
          <w:sz w:val="24"/>
          <w:szCs w:val="24"/>
          <w:highlight w:val="none"/>
          <w:lang w:val="en-US" w:eastAsia="zh-CN"/>
        </w:rPr>
        <w:t>3月9日</w:t>
      </w:r>
      <w:r>
        <w:rPr>
          <w:rFonts w:hint="eastAsia" w:ascii="微软雅黑" w:hAnsi="微软雅黑" w:eastAsia="微软雅黑" w:cs="微软雅黑"/>
          <w:color w:val="auto"/>
          <w:sz w:val="24"/>
          <w:szCs w:val="24"/>
          <w:highlight w:val="none"/>
        </w:rPr>
        <w:t>至2023年</w:t>
      </w:r>
      <w:r>
        <w:rPr>
          <w:rFonts w:hint="eastAsia" w:ascii="微软雅黑" w:hAnsi="微软雅黑" w:eastAsia="微软雅黑" w:cs="微软雅黑"/>
          <w:color w:val="auto"/>
          <w:sz w:val="24"/>
          <w:szCs w:val="24"/>
          <w:highlight w:val="none"/>
          <w:lang w:val="en-US" w:eastAsia="zh-CN"/>
        </w:rPr>
        <w:t>3月15日</w:t>
      </w:r>
      <w:r>
        <w:rPr>
          <w:rFonts w:hint="eastAsia" w:ascii="微软雅黑" w:hAnsi="微软雅黑" w:eastAsia="微软雅黑" w:cs="微软雅黑"/>
          <w:color w:val="auto"/>
          <w:sz w:val="24"/>
          <w:szCs w:val="24"/>
          <w:highlight w:val="none"/>
        </w:rPr>
        <w:t>，每天上午10:00至14:00，下午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（北京时间，法定节假日除外）</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获取方式：</w:t>
      </w:r>
      <w:r>
        <w:rPr>
          <w:rFonts w:hint="eastAsia" w:ascii="微软雅黑" w:hAnsi="微软雅黑" w:eastAsia="微软雅黑" w:cs="微软雅黑"/>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获取地点：政采云平台（https://login.zcygov.cn/user-login/#/login）</w:t>
      </w:r>
    </w:p>
    <w:p>
      <w:pPr>
        <w:keepNext w:val="0"/>
        <w:keepLines w:val="0"/>
        <w:pageBreakBefore w:val="0"/>
        <w:widowControl w:val="0"/>
        <w:kinsoku/>
        <w:wordWrap/>
        <w:overflowPunct/>
        <w:topLinePunct w:val="0"/>
        <w:bidi w:val="0"/>
        <w:snapToGrid/>
        <w:spacing w:line="4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售价（元）：</w:t>
      </w:r>
      <w:r>
        <w:rPr>
          <w:rFonts w:hint="eastAsia" w:ascii="微软雅黑" w:hAnsi="微软雅黑" w:eastAsia="微软雅黑" w:cs="微软雅黑"/>
          <w:color w:val="auto"/>
          <w:sz w:val="24"/>
          <w:szCs w:val="24"/>
          <w:highlight w:val="none"/>
          <w:lang w:val="en-US" w:eastAsia="zh-CN"/>
        </w:rPr>
        <w:t>0元</w:t>
      </w:r>
    </w:p>
    <w:p>
      <w:pPr>
        <w:keepNext w:val="0"/>
        <w:keepLines w:val="0"/>
        <w:pageBreakBefore w:val="0"/>
        <w:widowControl w:val="0"/>
        <w:kinsoku/>
        <w:wordWrap/>
        <w:overflowPunct/>
        <w:topLinePunct w:val="0"/>
        <w:bidi w:val="0"/>
        <w:snapToGrid/>
        <w:spacing w:line="420" w:lineRule="exact"/>
        <w:jc w:val="both"/>
        <w:textAlignment w:val="auto"/>
        <w:outlineLvl w:val="9"/>
        <w:rPr>
          <w:rFonts w:hint="eastAsia" w:ascii="微软雅黑" w:hAnsi="微软雅黑" w:eastAsia="微软雅黑" w:cs="微软雅黑"/>
          <w:b/>
          <w:bCs w:val="0"/>
          <w:color w:val="auto"/>
          <w:sz w:val="24"/>
          <w:szCs w:val="24"/>
          <w:highlight w:val="none"/>
        </w:rPr>
      </w:pPr>
      <w:bookmarkStart w:id="1145" w:name="_Toc28359005"/>
      <w:bookmarkStart w:id="1146" w:name="_Toc28359082"/>
      <w:bookmarkStart w:id="1147" w:name="_Toc2532"/>
      <w:bookmarkStart w:id="1148" w:name="_Toc952"/>
      <w:bookmarkStart w:id="1149" w:name="_Toc35393624"/>
      <w:bookmarkStart w:id="1150" w:name="_Toc9047"/>
      <w:bookmarkStart w:id="1151" w:name="_Toc35393793"/>
      <w:bookmarkStart w:id="1152" w:name="_Toc2422"/>
      <w:r>
        <w:rPr>
          <w:rFonts w:hint="eastAsia" w:ascii="微软雅黑" w:hAnsi="微软雅黑" w:eastAsia="微软雅黑" w:cs="微软雅黑"/>
          <w:b/>
          <w:bCs w:val="0"/>
          <w:color w:val="auto"/>
          <w:sz w:val="24"/>
          <w:szCs w:val="24"/>
          <w:highlight w:val="none"/>
        </w:rPr>
        <w:t>四、提交投标文件</w:t>
      </w:r>
      <w:bookmarkEnd w:id="1145"/>
      <w:bookmarkEnd w:id="1146"/>
      <w:r>
        <w:rPr>
          <w:rFonts w:hint="eastAsia" w:ascii="微软雅黑" w:hAnsi="微软雅黑" w:eastAsia="微软雅黑" w:cs="微软雅黑"/>
          <w:b/>
          <w:bCs w:val="0"/>
          <w:color w:val="auto"/>
          <w:sz w:val="24"/>
          <w:szCs w:val="24"/>
          <w:highlight w:val="none"/>
        </w:rPr>
        <w:t>截止时间、开标时间和地点</w:t>
      </w:r>
      <w:bookmarkEnd w:id="1147"/>
      <w:bookmarkEnd w:id="1148"/>
      <w:bookmarkEnd w:id="1149"/>
      <w:bookmarkEnd w:id="1150"/>
      <w:bookmarkEnd w:id="1151"/>
      <w:bookmarkEnd w:id="1152"/>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lang w:eastAsia="zh-CN"/>
        </w:rPr>
        <w:t>提交投标文件截止</w:t>
      </w:r>
      <w:r>
        <w:rPr>
          <w:rFonts w:hint="eastAsia" w:ascii="微软雅黑" w:hAnsi="微软雅黑" w:eastAsia="微软雅黑" w:cs="微软雅黑"/>
          <w:color w:val="auto"/>
          <w:sz w:val="24"/>
          <w:szCs w:val="24"/>
          <w:highlight w:val="none"/>
        </w:rPr>
        <w:t>时间：</w:t>
      </w:r>
      <w:bookmarkStart w:id="1153" w:name="_Toc35393794"/>
      <w:bookmarkStart w:id="1154" w:name="_Toc35393625"/>
      <w:bookmarkStart w:id="1155" w:name="_Toc28359084"/>
      <w:bookmarkStart w:id="1156" w:name="_Toc28359007"/>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3月29日10</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bCs/>
          <w:color w:val="auto"/>
          <w:sz w:val="24"/>
          <w:szCs w:val="24"/>
          <w:highlight w:val="none"/>
        </w:rPr>
        <w:t>（北京时间）</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开标时间：</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29</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（北京时间）</w:t>
      </w:r>
    </w:p>
    <w:p>
      <w:pPr>
        <w:keepNext w:val="0"/>
        <w:keepLines w:val="0"/>
        <w:pageBreakBefore w:val="0"/>
        <w:widowControl w:val="0"/>
        <w:kinsoku/>
        <w:wordWrap/>
        <w:overflowPunct/>
        <w:topLinePunct w:val="0"/>
        <w:bidi w:val="0"/>
        <w:snapToGrid/>
        <w:spacing w:line="42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开标地点：</w:t>
      </w:r>
      <w:bookmarkStart w:id="1157" w:name="_Toc20863"/>
      <w:bookmarkStart w:id="1158" w:name="_Toc32108"/>
      <w:bookmarkStart w:id="1159" w:name="_Toc23672"/>
      <w:bookmarkStart w:id="1160" w:name="_Toc30400"/>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bidi w:val="0"/>
        <w:snapToGrid/>
        <w:spacing w:line="420" w:lineRule="exact"/>
        <w:jc w:val="both"/>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五、公告期限</w:t>
      </w:r>
      <w:bookmarkEnd w:id="1153"/>
      <w:bookmarkEnd w:id="1154"/>
      <w:bookmarkEnd w:id="1155"/>
      <w:bookmarkEnd w:id="1156"/>
      <w:bookmarkEnd w:id="1157"/>
      <w:bookmarkEnd w:id="1158"/>
      <w:bookmarkEnd w:id="1159"/>
      <w:bookmarkEnd w:id="1160"/>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keepNext w:val="0"/>
        <w:keepLines w:val="0"/>
        <w:pageBreakBefore w:val="0"/>
        <w:widowControl w:val="0"/>
        <w:kinsoku/>
        <w:wordWrap/>
        <w:overflowPunct/>
        <w:topLinePunct w:val="0"/>
        <w:bidi w:val="0"/>
        <w:snapToGrid/>
        <w:spacing w:line="420" w:lineRule="exact"/>
        <w:jc w:val="both"/>
        <w:textAlignment w:val="auto"/>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bidi w:val="0"/>
        <w:snapToGrid/>
        <w:spacing w:line="420" w:lineRule="exact"/>
        <w:ind w:left="0" w:leftChars="0" w:firstLine="540"/>
        <w:textAlignment w:val="auto"/>
        <w:rPr>
          <w:rFonts w:hint="eastAsia" w:ascii="微软雅黑" w:hAnsi="微软雅黑" w:eastAsia="微软雅黑" w:cs="微软雅黑"/>
          <w:color w:val="auto"/>
          <w:sz w:val="24"/>
          <w:highlight w:val="none"/>
          <w:lang w:val="en-US" w:eastAsia="zh-CN"/>
        </w:rPr>
      </w:pPr>
      <w:bookmarkStart w:id="1161" w:name="_Toc35393626"/>
      <w:bookmarkStart w:id="1162" w:name="_Toc35393795"/>
      <w:bookmarkStart w:id="1163" w:name="_Toc999"/>
      <w:bookmarkStart w:id="1164" w:name="_Toc13675"/>
      <w:bookmarkStart w:id="1165" w:name="_Toc647"/>
      <w:bookmarkStart w:id="1166" w:name="_Toc18258"/>
      <w:r>
        <w:rPr>
          <w:rFonts w:hint="eastAsia" w:ascii="微软雅黑" w:hAnsi="微软雅黑" w:eastAsia="微软雅黑" w:cs="微软雅黑"/>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bidi w:val="0"/>
        <w:snapToGrid/>
        <w:spacing w:line="42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bidi w:val="0"/>
        <w:snapToGrid/>
        <w:spacing w:line="42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bidi w:val="0"/>
        <w:snapToGrid/>
        <w:spacing w:line="42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bidi w:val="0"/>
        <w:snapToGrid/>
        <w:spacing w:line="42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bidi w:val="0"/>
        <w:snapToGrid/>
        <w:spacing w:line="42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bidi w:val="0"/>
        <w:snapToGrid/>
        <w:spacing w:line="420" w:lineRule="exact"/>
        <w:ind w:left="0" w:leftChars="0" w:firstLine="540"/>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bidi w:val="0"/>
        <w:snapToGrid/>
        <w:spacing w:line="420" w:lineRule="exact"/>
        <w:jc w:val="left"/>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七</w:t>
      </w:r>
      <w:r>
        <w:rPr>
          <w:rFonts w:hint="eastAsia" w:ascii="微软雅黑" w:hAnsi="微软雅黑" w:eastAsia="微软雅黑" w:cs="微软雅黑"/>
          <w:b/>
          <w:bCs w:val="0"/>
          <w:color w:val="auto"/>
          <w:sz w:val="24"/>
          <w:szCs w:val="24"/>
          <w:highlight w:val="none"/>
        </w:rPr>
        <w:t>、</w:t>
      </w:r>
      <w:bookmarkEnd w:id="1161"/>
      <w:bookmarkEnd w:id="1162"/>
      <w:bookmarkStart w:id="1167" w:name="_Toc28359008"/>
      <w:bookmarkStart w:id="1168" w:name="_Toc28359085"/>
      <w:bookmarkStart w:id="1169" w:name="_Toc35393627"/>
      <w:bookmarkStart w:id="1170" w:name="_Toc35393796"/>
      <w:r>
        <w:rPr>
          <w:rFonts w:hint="eastAsia" w:ascii="微软雅黑" w:hAnsi="微软雅黑" w:eastAsia="微软雅黑" w:cs="微软雅黑"/>
          <w:b/>
          <w:bCs w:val="0"/>
          <w:color w:val="auto"/>
          <w:sz w:val="24"/>
          <w:szCs w:val="24"/>
          <w:highlight w:val="none"/>
        </w:rPr>
        <w:t>对本次招标提出询问，请按以下方式联系。</w:t>
      </w:r>
      <w:bookmarkEnd w:id="1163"/>
      <w:bookmarkEnd w:id="1164"/>
      <w:bookmarkEnd w:id="1165"/>
      <w:bookmarkEnd w:id="1166"/>
      <w:bookmarkEnd w:id="1167"/>
      <w:bookmarkEnd w:id="1168"/>
      <w:bookmarkEnd w:id="1169"/>
      <w:bookmarkEnd w:id="1170"/>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bookmarkStart w:id="1171" w:name="_Toc28359087"/>
      <w:bookmarkStart w:id="1172" w:name="_Toc28359010"/>
      <w:r>
        <w:rPr>
          <w:rFonts w:hint="eastAsia" w:ascii="微软雅黑" w:hAnsi="微软雅黑" w:eastAsia="微软雅黑" w:cs="微软雅黑"/>
          <w:color w:val="auto"/>
          <w:kern w:val="0"/>
          <w:sz w:val="24"/>
          <w:szCs w:val="24"/>
          <w:highlight w:val="none"/>
        </w:rPr>
        <w:t>1.采购人信息</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称：新疆维吾尔自治区喀什地区动物疾病控制与诊断中心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址：喀什市克孜都维路350号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 系 人：姜锋韬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联系方式：13909987262</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2.采购代理机构信息</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称：新疆共建恒业信息咨询有限责任公司</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址：喀什经济开发区深喀大道陕西大厦12楼1208室</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eastAsia="zh-CN"/>
        </w:rPr>
        <w:t>朱萍</w:t>
      </w:r>
      <w:r>
        <w:rPr>
          <w:rFonts w:hint="eastAsia" w:ascii="微软雅黑" w:hAnsi="微软雅黑" w:eastAsia="微软雅黑" w:cs="微软雅黑"/>
          <w:color w:val="auto"/>
          <w:kern w:val="0"/>
          <w:sz w:val="24"/>
          <w:szCs w:val="24"/>
          <w:highlight w:val="none"/>
        </w:rPr>
        <w:t xml:space="preserve">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联系方式：18209987338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3.同级政府采购监督管理部门</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名    称：喀什地区财政局政府采购管理办公室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地    址：喀什地区财政局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监督投诉电话：0998-2597200  　　　　　　　　　　　　　　</w:t>
      </w:r>
      <w:bookmarkEnd w:id="1171"/>
      <w:bookmarkEnd w:id="1172"/>
    </w:p>
    <w:p>
      <w:pPr>
        <w:pStyle w:val="4"/>
        <w:keepNext w:val="0"/>
        <w:keepLines w:val="0"/>
        <w:pageBreakBefore w:val="0"/>
        <w:widowControl w:val="0"/>
        <w:kinsoku/>
        <w:wordWrap/>
        <w:overflowPunct/>
        <w:topLinePunct w:val="0"/>
        <w:bidi w:val="0"/>
        <w:snapToGrid/>
        <w:spacing w:line="420" w:lineRule="exact"/>
        <w:textAlignment w:val="auto"/>
        <w:rPr>
          <w:rFonts w:hint="eastAsia" w:ascii="微软雅黑" w:hAnsi="微软雅黑" w:eastAsia="微软雅黑" w:cs="微软雅黑"/>
          <w:sz w:val="24"/>
          <w:szCs w:val="24"/>
          <w:highlight w:val="none"/>
        </w:rPr>
      </w:pPr>
    </w:p>
    <w:p>
      <w:pPr>
        <w:keepNext w:val="0"/>
        <w:keepLines w:val="0"/>
        <w:pageBreakBefore w:val="0"/>
        <w:widowControl w:val="0"/>
        <w:kinsoku/>
        <w:wordWrap/>
        <w:overflowPunct/>
        <w:topLinePunct w:val="0"/>
        <w:bidi w:val="0"/>
        <w:snapToGrid/>
        <w:spacing w:line="420" w:lineRule="exact"/>
        <w:ind w:firstLine="3840" w:firstLineChars="16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新疆共建恒业信息咨询有限责任公司</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highlight w:val="yellow"/>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highlight w:val="none"/>
        </w:rPr>
      </w:pPr>
    </w:p>
    <w:p>
      <w:pPr>
        <w:rPr>
          <w:rFonts w:hint="eastAsia" w:ascii="微软雅黑" w:hAnsi="微软雅黑" w:eastAsia="微软雅黑" w:cs="微软雅黑"/>
          <w:highlight w:val="none"/>
        </w:rPr>
      </w:pPr>
    </w:p>
    <w:p>
      <w:pPr>
        <w:pStyle w:val="21"/>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000000"/>
          <w:spacing w:val="0"/>
          <w:sz w:val="24"/>
          <w:szCs w:val="24"/>
          <w:highlight w:val="none"/>
        </w:rPr>
      </w:pPr>
    </w:p>
    <w:p>
      <w:pPr>
        <w:pStyle w:val="21"/>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000000"/>
          <w:spacing w:val="0"/>
          <w:sz w:val="24"/>
          <w:szCs w:val="24"/>
          <w:highlight w:val="none"/>
        </w:rPr>
      </w:pPr>
    </w:p>
    <w:p>
      <w:pPr>
        <w:pStyle w:val="21"/>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000000"/>
          <w:spacing w:val="0"/>
          <w:sz w:val="24"/>
          <w:szCs w:val="24"/>
          <w:highlight w:val="none"/>
        </w:rPr>
      </w:pPr>
    </w:p>
    <w:p>
      <w:pP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br w:type="page"/>
      </w:r>
    </w:p>
    <w:p>
      <w:pPr>
        <w:pStyle w:val="6"/>
        <w:tabs>
          <w:tab w:val="left" w:pos="0"/>
        </w:tabs>
        <w:spacing w:before="0" w:after="0" w:line="240" w:lineRule="atLeast"/>
        <w:rPr>
          <w:rFonts w:hint="eastAsia" w:ascii="微软雅黑" w:hAnsi="微软雅黑" w:eastAsia="微软雅黑" w:cs="微软雅黑"/>
          <w:b/>
          <w:bCs/>
          <w:color w:val="auto"/>
          <w:szCs w:val="32"/>
          <w:highlight w:val="none"/>
        </w:rPr>
      </w:pPr>
      <w:bookmarkStart w:id="1173" w:name="_Toc20991"/>
      <w:r>
        <w:rPr>
          <w:rFonts w:hint="eastAsia" w:ascii="微软雅黑" w:hAnsi="微软雅黑" w:eastAsia="微软雅黑" w:cs="微软雅黑"/>
          <w:b/>
          <w:bCs/>
          <w:color w:val="auto"/>
          <w:highlight w:val="none"/>
        </w:rPr>
        <w:t>第4章  供应商须知资料表</w:t>
      </w:r>
      <w:bookmarkEnd w:id="1115"/>
      <w:bookmarkEnd w:id="1116"/>
      <w:bookmarkEnd w:id="1117"/>
      <w:bookmarkEnd w:id="1118"/>
      <w:bookmarkEnd w:id="1119"/>
      <w:bookmarkEnd w:id="1120"/>
      <w:bookmarkEnd w:id="1121"/>
      <w:bookmarkEnd w:id="1122"/>
      <w:bookmarkEnd w:id="1173"/>
    </w:p>
    <w:p>
      <w:pPr>
        <w:spacing w:line="400" w:lineRule="exac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本表是本招标项目的具体资料，是对供应商须知的具体补充和修改，如有矛盾，应以本资料表为准。</w:t>
      </w:r>
    </w:p>
    <w:tbl>
      <w:tblPr>
        <w:tblStyle w:val="25"/>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r>
              <w:rPr>
                <w:rFonts w:hint="eastAsia" w:ascii="微软雅黑" w:hAnsi="微软雅黑" w:eastAsia="微软雅黑" w:cs="微软雅黑"/>
                <w:color w:val="auto"/>
                <w:sz w:val="24"/>
                <w:highlight w:val="none"/>
                <w:u w:val="single"/>
                <w:lang w:eastAsia="zh-CN"/>
              </w:rPr>
              <w:t>新疆维吾尔自治区喀什地区动物疾病控制与诊断中心　　</w:t>
            </w:r>
            <w:r>
              <w:rPr>
                <w:rFonts w:hint="eastAsia" w:ascii="微软雅黑" w:hAnsi="微软雅黑" w:eastAsia="微软雅黑" w:cs="微软雅黑"/>
                <w:color w:val="auto"/>
                <w:sz w:val="24"/>
                <w:highlight w:val="none"/>
                <w:u w:val="single"/>
              </w:rPr>
              <w:t>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lang w:eastAsia="zh-CN"/>
              </w:rPr>
              <w:t>姜锋韬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u w:val="single"/>
              </w:rPr>
              <w:t>13909987262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u w:val="single"/>
              </w:rPr>
              <w:t xml:space="preserve">新疆共建恒业信息咨询有限责任公司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喀什经济开发区深喀大道陕西大厦12楼1208室</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业务联系人：</w:t>
            </w:r>
            <w:r>
              <w:rPr>
                <w:rFonts w:hint="eastAsia" w:ascii="微软雅黑" w:hAnsi="微软雅黑" w:eastAsia="微软雅黑" w:cs="微软雅黑"/>
                <w:color w:val="auto"/>
                <w:sz w:val="24"/>
                <w:highlight w:val="none"/>
                <w:u w:val="single"/>
                <w:lang w:eastAsia="zh-CN"/>
              </w:rPr>
              <w:t>朱萍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联系电话： </w:t>
            </w:r>
            <w:r>
              <w:rPr>
                <w:rFonts w:hint="eastAsia" w:ascii="微软雅黑" w:hAnsi="微软雅黑" w:eastAsia="微软雅黑" w:cs="微软雅黑"/>
                <w:color w:val="auto"/>
                <w:sz w:val="24"/>
                <w:highlight w:val="none"/>
                <w:u w:val="single"/>
              </w:rPr>
              <w:t>18209987338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w:t>
            </w:r>
          </w:p>
        </w:tc>
        <w:tc>
          <w:tcPr>
            <w:tcW w:w="7882" w:type="dxa"/>
            <w:vAlign w:val="center"/>
          </w:tcPr>
          <w:p>
            <w:pPr>
              <w:widowControl/>
              <w:shd w:val="clear"/>
              <w:snapToGrid w:val="0"/>
              <w:spacing w:line="470" w:lineRule="exact"/>
              <w:jc w:val="left"/>
              <w:textAlignment w:val="baseline"/>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color w:val="auto"/>
                <w:sz w:val="24"/>
                <w:highlight w:val="none"/>
              </w:rPr>
              <w:t>合格供应商的其他资格要求：</w:t>
            </w:r>
            <w:r>
              <w:rPr>
                <w:rFonts w:hint="eastAsia" w:ascii="微软雅黑" w:hAnsi="微软雅黑" w:eastAsia="微软雅黑" w:cs="微软雅黑"/>
                <w:b/>
                <w:bCs/>
                <w:color w:val="auto"/>
                <w:sz w:val="24"/>
                <w:highlight w:val="none"/>
                <w:lang w:val="en-US" w:eastAsia="zh-CN"/>
              </w:rPr>
              <w:t>（须将以下资格证明材料附在投标文件中）</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1、具有有效的营业执照；</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2、提供法定代表人资格证明及授权书、被授权人身份证；(法定代表人投标需提供法定代表人身份证)；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3、具有有效的《兽药经营许可证》或《兽药生产许可证》；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4、提近两年任意一年的财务审计报告，新成立的公司提供近三个月内任意一个月的银行资信证明；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5、提供依法缴纳近6个月内任意1个月社会保险的证明；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6、提供依法缴纳近6个月内任意1个月的税收证明；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国家企业信用信息公示系统（http://www.gsxt.gov.cn）”列入严重违法失信企业名单（黑名单）信息截图；将拒绝其参加本次招标活动；</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8、提供参与政府采购活动前3年内未被列入失信、重大税收违法案件、财政部门禁止参加政府采购活动的承诺书；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9、提供针对本次项目《反商业贿赂承诺书》。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10、提供缴纳投标保证金有效凭证。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i w:val="0"/>
                <w:caps w:val="0"/>
                <w:color w:val="auto"/>
                <w:spacing w:val="0"/>
                <w:w w:val="100"/>
                <w:sz w:val="24"/>
                <w:highlight w:val="none"/>
              </w:rPr>
              <w:t>注：1、“</w:t>
            </w:r>
            <w:r>
              <w:rPr>
                <w:rFonts w:hint="eastAsia" w:ascii="微软雅黑" w:hAnsi="微软雅黑" w:eastAsia="微软雅黑" w:cs="微软雅黑"/>
                <w:b/>
                <w:bCs/>
                <w:i w:val="0"/>
                <w:caps w:val="0"/>
                <w:color w:val="auto"/>
                <w:spacing w:val="0"/>
                <w:w w:val="100"/>
                <w:sz w:val="24"/>
                <w:highlight w:val="none"/>
                <w:lang w:eastAsia="zh-CN"/>
              </w:rPr>
              <w:t>提供依法缴纳近6个月内任意1个月的税收证明</w:t>
            </w:r>
            <w:r>
              <w:rPr>
                <w:rFonts w:hint="eastAsia" w:ascii="微软雅黑" w:hAnsi="微软雅黑" w:eastAsia="微软雅黑" w:cs="微软雅黑"/>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rPr>
              <w:t>是否允许采购进口产品</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val="en-US" w:eastAsia="zh-CN"/>
              </w:rPr>
              <w:t>否</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是否为专门面向中小企业采购：</w:t>
            </w:r>
            <w:r>
              <w:rPr>
                <w:rFonts w:hint="eastAsia" w:ascii="微软雅黑" w:hAnsi="微软雅黑" w:eastAsia="微软雅黑" w:cs="微软雅黑"/>
                <w:color w:val="auto"/>
                <w:sz w:val="24"/>
                <w:highlight w:val="none"/>
                <w:u w:val="single"/>
                <w:lang w:val="en-US" w:eastAsia="zh-CN"/>
              </w:rPr>
              <w:t xml:space="preserve">  否  </w:t>
            </w:r>
            <w:r>
              <w:rPr>
                <w:rFonts w:hint="eastAsia" w:ascii="微软雅黑" w:hAnsi="微软雅黑" w:eastAsia="微软雅黑" w:cs="微软雅黑"/>
                <w:color w:val="auto"/>
                <w:sz w:val="24"/>
                <w:highlight w:val="none"/>
                <w:lang w:eastAsia="zh-C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是否允许联合体投标：</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项目预算金额：69.5万元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color w:val="auto"/>
                <w:sz w:val="24"/>
                <w:highlight w:val="none"/>
              </w:rPr>
              <w:t>投标保证金</w:t>
            </w:r>
            <w:r>
              <w:rPr>
                <w:rFonts w:hint="eastAsia" w:ascii="微软雅黑" w:hAnsi="微软雅黑" w:eastAsia="微软雅黑" w:cs="微软雅黑"/>
                <w:b w:val="0"/>
                <w:bCs w:val="0"/>
                <w:color w:val="auto"/>
                <w:sz w:val="24"/>
                <w:highlight w:val="none"/>
                <w:lang w:val="en-US" w:eastAsia="zh-CN"/>
              </w:rPr>
              <w:t>形式</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☑保函</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电汇  □支票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对公转账  </w:t>
            </w:r>
            <w:r>
              <w:rPr>
                <w:rFonts w:hint="eastAsia" w:ascii="微软雅黑" w:hAnsi="微软雅黑" w:eastAsia="微软雅黑" w:cs="微软雅黑"/>
                <w:b w:val="0"/>
                <w:bCs w:val="0"/>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color w:val="auto"/>
                <w:sz w:val="24"/>
                <w:highlight w:val="none"/>
              </w:rPr>
              <w:t>投标保证金数额：</w:t>
            </w:r>
            <w:r>
              <w:rPr>
                <w:rFonts w:hint="eastAsia" w:ascii="微软雅黑" w:hAnsi="微软雅黑" w:eastAsia="微软雅黑" w:cs="微软雅黑"/>
                <w:b/>
                <w:bCs/>
                <w:color w:val="auto"/>
                <w:sz w:val="24"/>
                <w:highlight w:val="none"/>
                <w:u w:val="single"/>
                <w:lang w:val="en-US" w:eastAsia="zh-CN"/>
              </w:rPr>
              <w:t>标段2</w:t>
            </w:r>
            <w:r>
              <w:rPr>
                <w:rFonts w:hint="eastAsia" w:ascii="微软雅黑" w:hAnsi="微软雅黑" w:eastAsia="微软雅黑" w:cs="微软雅黑"/>
                <w:b/>
                <w:bCs/>
                <w:color w:val="auto"/>
                <w:sz w:val="24"/>
                <w:szCs w:val="24"/>
                <w:highlight w:val="none"/>
                <w:u w:val="single"/>
                <w:lang w:val="en-US" w:eastAsia="zh-CN"/>
              </w:rPr>
              <w:t>¥13000元</w:t>
            </w:r>
            <w:r>
              <w:rPr>
                <w:rFonts w:hint="eastAsia" w:ascii="微软雅黑" w:hAnsi="微软雅黑" w:eastAsia="微软雅黑" w:cs="微软雅黑"/>
                <w:b/>
                <w:bCs/>
                <w:color w:val="auto"/>
                <w:sz w:val="24"/>
                <w:szCs w:val="24"/>
                <w:highlight w:val="none"/>
                <w:u w:val="single"/>
              </w:rPr>
              <w:t>（人民币</w:t>
            </w:r>
            <w:r>
              <w:rPr>
                <w:rFonts w:hint="eastAsia" w:ascii="微软雅黑" w:hAnsi="微软雅黑" w:eastAsia="微软雅黑" w:cs="微软雅黑"/>
                <w:b/>
                <w:bCs/>
                <w:color w:val="auto"/>
                <w:sz w:val="24"/>
                <w:szCs w:val="24"/>
                <w:highlight w:val="none"/>
                <w:u w:val="single"/>
                <w:lang w:val="en-US" w:eastAsia="zh-CN"/>
              </w:rPr>
              <w:t>壹万叁仟元整</w:t>
            </w:r>
            <w:r>
              <w:rPr>
                <w:rFonts w:hint="eastAsia" w:ascii="微软雅黑" w:hAnsi="微软雅黑" w:eastAsia="微软雅黑" w:cs="微软雅黑"/>
                <w:b/>
                <w:bCs/>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（按照</w:t>
            </w:r>
            <w:r>
              <w:rPr>
                <w:rFonts w:hint="eastAsia" w:ascii="微软雅黑" w:hAnsi="微软雅黑" w:eastAsia="微软雅黑" w:cs="微软雅黑"/>
                <w:color w:val="auto"/>
                <w:sz w:val="24"/>
                <w:highlight w:val="none"/>
                <w:lang w:val="en-US" w:eastAsia="zh-CN"/>
              </w:rPr>
              <w:t>预算</w:t>
            </w:r>
            <w:r>
              <w:rPr>
                <w:rFonts w:hint="eastAsia" w:ascii="微软雅黑" w:hAnsi="微软雅黑" w:eastAsia="微软雅黑" w:cs="微软雅黑"/>
                <w:color w:val="auto"/>
                <w:sz w:val="24"/>
                <w:highlight w:val="none"/>
              </w:rPr>
              <w:t>金额2%以内的整数计算）</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投标保证金收款单位名称：新疆共建恒业信息咨询有限责任公司</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 户 行：乌鲁木齐银行喀什分行（营业部）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账    号：0000020080110025191371（电汇时请在汇款备注栏注明项目名称及包号（如有），并注明是投标保证金</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否则视为无效投标保证金。</w:t>
            </w:r>
            <w:r>
              <w:rPr>
                <w:rFonts w:hint="eastAsia" w:ascii="微软雅黑" w:hAnsi="微软雅黑" w:eastAsia="微软雅黑" w:cs="微软雅黑"/>
                <w:color w:val="auto"/>
                <w:sz w:val="24"/>
                <w:highlight w:val="none"/>
              </w:rPr>
              <w:t>）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行    号：313894000405</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财务室联系方式：18209987338</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投标保证金必须在</w:t>
            </w:r>
            <w:r>
              <w:rPr>
                <w:rFonts w:hint="eastAsia" w:ascii="微软雅黑" w:hAnsi="微软雅黑" w:eastAsia="微软雅黑" w:cs="微软雅黑"/>
                <w:b/>
                <w:bCs/>
                <w:color w:val="auto"/>
                <w:sz w:val="24"/>
                <w:highlight w:val="none"/>
                <w:u w:val="single"/>
              </w:rPr>
              <w:t>开标前</w:t>
            </w:r>
            <w:r>
              <w:rPr>
                <w:rFonts w:hint="eastAsia" w:ascii="微软雅黑" w:hAnsi="微软雅黑" w:eastAsia="微软雅黑" w:cs="微软雅黑"/>
                <w:b/>
                <w:bCs/>
                <w:color w:val="auto"/>
                <w:sz w:val="24"/>
                <w:highlight w:val="none"/>
              </w:rPr>
              <w:t>交到新疆共建恒业信息咨询有限责任公司账户中。不接受现金、支票及任何个人、分公司汇款。</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rPr>
              <w:t>退投标保证金：</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eastAsia="zh-CN"/>
              </w:rPr>
              <w:fldChar w:fldCharType="begin"/>
            </w:r>
            <w:r>
              <w:rPr>
                <w:rFonts w:hint="eastAsia" w:ascii="微软雅黑" w:hAnsi="微软雅黑" w:eastAsia="微软雅黑" w:cs="微软雅黑"/>
                <w:b/>
                <w:bCs/>
                <w:color w:val="auto"/>
                <w:sz w:val="24"/>
                <w:highlight w:val="none"/>
                <w:lang w:eastAsia="zh-CN"/>
              </w:rPr>
              <w:instrText xml:space="preserve"> HYPERLINK "mailto:中标供应商的投标保证金在与采购单位签订合同后，把合同扫描件发送至邮箱3465165565@qq.com后，当日或次日即原账户退回。" </w:instrText>
            </w:r>
            <w:r>
              <w:rPr>
                <w:rFonts w:hint="eastAsia" w:ascii="微软雅黑" w:hAnsi="微软雅黑" w:eastAsia="微软雅黑" w:cs="微软雅黑"/>
                <w:b/>
                <w:bCs/>
                <w:color w:val="auto"/>
                <w:sz w:val="24"/>
                <w:highlight w:val="none"/>
                <w:lang w:eastAsia="zh-CN"/>
              </w:rPr>
              <w:fldChar w:fldCharType="separate"/>
            </w:r>
            <w:r>
              <w:rPr>
                <w:rStyle w:val="30"/>
                <w:rFonts w:hint="eastAsia" w:ascii="微软雅黑" w:hAnsi="微软雅黑" w:eastAsia="微软雅黑" w:cs="微软雅黑"/>
                <w:b/>
                <w:bCs/>
                <w:color w:val="auto"/>
                <w:sz w:val="24"/>
                <w:highlight w:val="none"/>
                <w:u w:val="none"/>
                <w:lang w:eastAsia="zh-CN"/>
              </w:rPr>
              <w:t>中标</w:t>
            </w:r>
            <w:r>
              <w:rPr>
                <w:rStyle w:val="30"/>
                <w:rFonts w:hint="eastAsia" w:ascii="微软雅黑" w:hAnsi="微软雅黑" w:eastAsia="微软雅黑" w:cs="微软雅黑"/>
                <w:b/>
                <w:bCs/>
                <w:color w:val="auto"/>
                <w:sz w:val="24"/>
                <w:highlight w:val="none"/>
                <w:u w:val="none"/>
                <w:lang w:val="en-US" w:eastAsia="zh-CN"/>
              </w:rPr>
              <w:t>供应商的</w:t>
            </w:r>
            <w:r>
              <w:rPr>
                <w:rStyle w:val="30"/>
                <w:rFonts w:hint="eastAsia" w:ascii="微软雅黑" w:hAnsi="微软雅黑" w:eastAsia="微软雅黑" w:cs="微软雅黑"/>
                <w:b/>
                <w:bCs/>
                <w:color w:val="auto"/>
                <w:sz w:val="24"/>
                <w:highlight w:val="none"/>
                <w:u w:val="none"/>
                <w:lang w:eastAsia="zh-CN"/>
              </w:rPr>
              <w:t>投标保证金在与采购单位签订合同后，把合同扫描件发</w:t>
            </w:r>
            <w:r>
              <w:rPr>
                <w:rStyle w:val="30"/>
                <w:rFonts w:hint="eastAsia" w:ascii="微软雅黑" w:hAnsi="微软雅黑" w:eastAsia="微软雅黑" w:cs="微软雅黑"/>
                <w:b/>
                <w:bCs/>
                <w:color w:val="auto"/>
                <w:sz w:val="24"/>
                <w:highlight w:val="none"/>
                <w:lang w:val="en-US" w:eastAsia="zh-CN"/>
              </w:rPr>
              <w:t>送至邮箱3465165565@qq.com</w:t>
            </w:r>
            <w:r>
              <w:rPr>
                <w:rStyle w:val="30"/>
                <w:rFonts w:hint="eastAsia" w:ascii="微软雅黑" w:hAnsi="微软雅黑" w:eastAsia="微软雅黑" w:cs="微软雅黑"/>
                <w:b/>
                <w:bCs/>
                <w:color w:val="auto"/>
                <w:sz w:val="24"/>
                <w:highlight w:val="none"/>
                <w:lang w:eastAsia="zh-CN"/>
              </w:rPr>
              <w:t>后，当日或次日即原账户退回。</w:t>
            </w:r>
            <w:r>
              <w:rPr>
                <w:rFonts w:hint="eastAsia" w:ascii="微软雅黑" w:hAnsi="微软雅黑" w:eastAsia="微软雅黑" w:cs="微软雅黑"/>
                <w:b/>
                <w:bCs/>
                <w:color w:val="auto"/>
                <w:sz w:val="24"/>
                <w:highlight w:val="none"/>
                <w:lang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投标有效期：</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u w:val="single"/>
                <w:lang w:val="en-US" w:eastAsia="zh-CN"/>
              </w:rPr>
              <w:t>60</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p>
        </w:tc>
        <w:tc>
          <w:tcPr>
            <w:tcW w:w="7882" w:type="dxa"/>
            <w:vAlign w:val="center"/>
          </w:tcPr>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（2）本项目实行网上投标，采用电子投标文件(供应商须使用CA加密设备通过政采云电子投标客户端制作投标文件)。若供应商参与投标，自行承担投标一切费用。</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spacing w:line="400" w:lineRule="exact"/>
              <w:jc w:val="left"/>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sz w:val="24"/>
                <w:highlight w:val="none"/>
                <w:lang w:val="en-US" w:eastAsia="zh-CN"/>
              </w:rPr>
              <w:t>（5）供应商在开标时须使用制作加密电子投标文件所使用的CA锁及电脑，电脑须提前配置好浏览器（建议使用谷歌浏览器），以便开标时解锁。</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hd w:val="clear"/>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（8）各供应商</w:t>
            </w:r>
            <w:r>
              <w:rPr>
                <w:rFonts w:hint="eastAsia" w:ascii="微软雅黑" w:hAnsi="微软雅黑" w:eastAsia="微软雅黑" w:cs="微软雅黑"/>
                <w:b/>
                <w:bCs/>
                <w:color w:val="auto"/>
                <w:sz w:val="24"/>
                <w:highlight w:val="none"/>
              </w:rPr>
              <w:t>须在投标截止时间前完成在系统上递交电子</w:t>
            </w:r>
            <w:r>
              <w:rPr>
                <w:rFonts w:hint="eastAsia" w:ascii="微软雅黑" w:hAnsi="微软雅黑" w:eastAsia="微软雅黑" w:cs="微软雅黑"/>
                <w:b/>
                <w:bCs/>
                <w:color w:val="auto"/>
                <w:sz w:val="24"/>
                <w:highlight w:val="none"/>
                <w:lang w:val="en-US" w:eastAsia="zh-CN"/>
              </w:rPr>
              <w:t>投标文件</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eastAsia="zh-CN"/>
              </w:rPr>
              <w:t>投标供应商</w:t>
            </w:r>
            <w:r>
              <w:rPr>
                <w:rFonts w:hint="eastAsia" w:ascii="微软雅黑" w:hAnsi="微软雅黑" w:eastAsia="微软雅黑" w:cs="微软雅黑"/>
                <w:b/>
                <w:bCs/>
                <w:color w:val="auto"/>
                <w:sz w:val="24"/>
                <w:highlight w:val="none"/>
              </w:rPr>
              <w:t>的电子</w:t>
            </w:r>
            <w:r>
              <w:rPr>
                <w:rFonts w:hint="eastAsia" w:ascii="微软雅黑" w:hAnsi="微软雅黑" w:eastAsia="微软雅黑" w:cs="微软雅黑"/>
                <w:b/>
                <w:bCs/>
                <w:color w:val="auto"/>
                <w:sz w:val="24"/>
                <w:highlight w:val="none"/>
                <w:lang w:eastAsia="zh-CN"/>
              </w:rPr>
              <w:t>投标文件</w:t>
            </w:r>
            <w:r>
              <w:rPr>
                <w:rFonts w:hint="eastAsia" w:ascii="微软雅黑" w:hAnsi="微软雅黑" w:eastAsia="微软雅黑" w:cs="微软雅黑"/>
                <w:b/>
                <w:bCs/>
                <w:color w:val="auto"/>
                <w:sz w:val="24"/>
                <w:highlight w:val="none"/>
              </w:rPr>
              <w:t>是经过CA证书加密后上传提交的，任何单位或个人均无法在投标截止时间(即开标时间)之前查看或篡改，不存在泄密风险。（严格按照政采云电子投标流程制作并上传</w:t>
            </w:r>
            <w:r>
              <w:rPr>
                <w:rFonts w:hint="eastAsia" w:ascii="微软雅黑" w:hAnsi="微软雅黑" w:eastAsia="微软雅黑" w:cs="微软雅黑"/>
                <w:b/>
                <w:bCs/>
                <w:color w:val="auto"/>
                <w:sz w:val="24"/>
                <w:highlight w:val="none"/>
                <w:lang w:val="en-US" w:eastAsia="zh-CN"/>
              </w:rPr>
              <w:t>完整版的</w:t>
            </w:r>
            <w:r>
              <w:rPr>
                <w:rFonts w:hint="eastAsia" w:ascii="微软雅黑" w:hAnsi="微软雅黑" w:eastAsia="微软雅黑" w:cs="微软雅黑"/>
                <w:b/>
                <w:bCs/>
                <w:color w:val="auto"/>
                <w:sz w:val="24"/>
                <w:highlight w:val="none"/>
              </w:rPr>
              <w:t>电子</w:t>
            </w:r>
            <w:r>
              <w:rPr>
                <w:rFonts w:hint="eastAsia" w:ascii="微软雅黑" w:hAnsi="微软雅黑" w:eastAsia="微软雅黑" w:cs="微软雅黑"/>
                <w:b/>
                <w:bCs/>
                <w:color w:val="auto"/>
                <w:sz w:val="24"/>
                <w:highlight w:val="none"/>
                <w:lang w:eastAsia="zh-CN"/>
              </w:rPr>
              <w:t>投标文件，</w:t>
            </w:r>
            <w:r>
              <w:rPr>
                <w:rFonts w:hint="eastAsia" w:ascii="微软雅黑" w:hAnsi="微软雅黑" w:eastAsia="微软雅黑" w:cs="微软雅黑"/>
                <w:b/>
                <w:bCs/>
                <w:color w:val="auto"/>
                <w:sz w:val="24"/>
                <w:highlight w:val="none"/>
                <w:lang w:val="en-US" w:eastAsia="zh-CN"/>
              </w:rPr>
              <w:t>包含第一部分开标一览表及资格证明文件、第二部分商务及技术文件</w:t>
            </w:r>
            <w:r>
              <w:rPr>
                <w:rFonts w:hint="eastAsia" w:ascii="微软雅黑" w:hAnsi="微软雅黑" w:eastAsia="微软雅黑" w:cs="微软雅黑"/>
                <w:b/>
                <w:bCs/>
                <w:color w:val="auto"/>
                <w:sz w:val="24"/>
                <w:highlight w:val="none"/>
              </w:rPr>
              <w:t>）</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9</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（10）须供应商提供备份的投标文件。</w:t>
            </w:r>
          </w:p>
          <w:p>
            <w:pPr>
              <w:shd w:val="clear"/>
              <w:spacing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（11）解密时长为30分钟。</w:t>
            </w:r>
          </w:p>
          <w:p>
            <w:pPr>
              <w:shd w:val="clear"/>
              <w:spacing w:line="400" w:lineRule="exact"/>
              <w:jc w:val="left"/>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highlight w:val="none"/>
                <w:lang w:val="en-US" w:eastAsia="zh-CN"/>
              </w:rPr>
              <w:t>（12）所有投标供应商应在中标公告公示期结束后5个工作日内将纸质版投标文件邮寄至代理机构备案，纸质版投标文件</w:t>
            </w:r>
            <w:r>
              <w:rPr>
                <w:rFonts w:hint="eastAsia" w:ascii="微软雅黑" w:hAnsi="微软雅黑" w:eastAsia="微软雅黑" w:cs="微软雅黑"/>
                <w:b/>
                <w:bCs/>
                <w:color w:val="auto"/>
                <w:sz w:val="24"/>
                <w:highlight w:val="none"/>
              </w:rPr>
              <w:t>包括“</w:t>
            </w:r>
            <w:r>
              <w:rPr>
                <w:rFonts w:hint="eastAsia" w:ascii="微软雅黑" w:hAnsi="微软雅黑" w:eastAsia="微软雅黑" w:cs="微软雅黑"/>
                <w:b/>
                <w:bCs/>
                <w:color w:val="auto"/>
                <w:sz w:val="24"/>
                <w:highlight w:val="none"/>
                <w:lang w:val="en-US" w:eastAsia="zh-CN"/>
              </w:rPr>
              <w:t>开标一览表</w:t>
            </w:r>
            <w:r>
              <w:rPr>
                <w:rFonts w:hint="eastAsia" w:ascii="微软雅黑" w:hAnsi="微软雅黑" w:eastAsia="微软雅黑" w:cs="微软雅黑"/>
                <w:b/>
                <w:bCs/>
                <w:color w:val="auto"/>
                <w:sz w:val="24"/>
                <w:highlight w:val="none"/>
                <w:lang w:eastAsia="zh-CN"/>
              </w:rPr>
              <w:t>表</w:t>
            </w:r>
            <w:r>
              <w:rPr>
                <w:rFonts w:hint="eastAsia" w:ascii="微软雅黑" w:hAnsi="微软雅黑" w:eastAsia="微软雅黑" w:cs="微软雅黑"/>
                <w:b/>
                <w:bCs/>
                <w:color w:val="auto"/>
                <w:sz w:val="24"/>
                <w:highlight w:val="none"/>
              </w:rPr>
              <w:t>及资格证明文件”和“商务及技术文件”两部分，两部分合订成一册递交。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b/>
                <w:bCs/>
                <w:color w:val="auto"/>
                <w:sz w:val="24"/>
                <w:highlight w:val="none"/>
                <w:u w:val="single"/>
              </w:rPr>
              <w:t>2023年3月2</w:t>
            </w:r>
            <w:r>
              <w:rPr>
                <w:rFonts w:hint="eastAsia" w:ascii="微软雅黑" w:hAnsi="微软雅黑" w:eastAsia="微软雅黑" w:cs="微软雅黑"/>
                <w:b/>
                <w:bCs/>
                <w:color w:val="auto"/>
                <w:sz w:val="24"/>
                <w:highlight w:val="none"/>
                <w:u w:val="single"/>
                <w:lang w:val="en-US" w:eastAsia="zh-CN"/>
              </w:rPr>
              <w:t>9</w:t>
            </w:r>
            <w:r>
              <w:rPr>
                <w:rFonts w:hint="eastAsia" w:ascii="微软雅黑" w:hAnsi="微软雅黑" w:eastAsia="微软雅黑" w:cs="微软雅黑"/>
                <w:b/>
                <w:bCs/>
                <w:color w:val="auto"/>
                <w:sz w:val="24"/>
                <w:highlight w:val="none"/>
                <w:u w:val="single"/>
              </w:rPr>
              <w:t>日10点30分</w:t>
            </w:r>
            <w:r>
              <w:rPr>
                <w:rFonts w:hint="eastAsia" w:ascii="微软雅黑" w:hAnsi="微软雅黑" w:eastAsia="微软雅黑" w:cs="微软雅黑"/>
                <w:b/>
                <w:bCs/>
                <w:color w:val="auto"/>
                <w:sz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开标时间：</w:t>
            </w:r>
            <w:r>
              <w:rPr>
                <w:rFonts w:hint="eastAsia" w:ascii="微软雅黑" w:hAnsi="微软雅黑" w:eastAsia="微软雅黑" w:cs="微软雅黑"/>
                <w:b/>
                <w:bCs/>
                <w:color w:val="auto"/>
                <w:sz w:val="24"/>
                <w:highlight w:val="none"/>
                <w:u w:val="single"/>
              </w:rPr>
              <w:t>2023年3月2</w:t>
            </w:r>
            <w:r>
              <w:rPr>
                <w:rFonts w:hint="eastAsia" w:ascii="微软雅黑" w:hAnsi="微软雅黑" w:eastAsia="微软雅黑" w:cs="微软雅黑"/>
                <w:b/>
                <w:bCs/>
                <w:color w:val="auto"/>
                <w:sz w:val="24"/>
                <w:highlight w:val="none"/>
                <w:u w:val="single"/>
                <w:lang w:val="en-US" w:eastAsia="zh-CN"/>
              </w:rPr>
              <w:t>9</w:t>
            </w:r>
            <w:r>
              <w:rPr>
                <w:rFonts w:hint="eastAsia" w:ascii="微软雅黑" w:hAnsi="微软雅黑" w:eastAsia="微软雅黑" w:cs="微软雅黑"/>
                <w:b/>
                <w:bCs/>
                <w:color w:val="auto"/>
                <w:sz w:val="24"/>
                <w:highlight w:val="none"/>
                <w:u w:val="single"/>
              </w:rPr>
              <w:t>日10点30分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开标地点：</w:t>
            </w:r>
            <w:r>
              <w:rPr>
                <w:rFonts w:hint="eastAsia" w:ascii="微软雅黑" w:hAnsi="微软雅黑" w:eastAsia="微软雅黑" w:cs="微软雅黑"/>
                <w:b/>
                <w:bCs/>
                <w:color w:val="auto"/>
                <w:sz w:val="24"/>
                <w:highlight w:val="none"/>
                <w:u w:val="single"/>
                <w:lang w:eastAsia="zh-CN"/>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rPr>
              <w:t>评标方法：适用</w:t>
            </w:r>
            <w:r>
              <w:rPr>
                <w:rFonts w:hint="eastAsia" w:ascii="微软雅黑" w:hAnsi="微软雅黑" w:eastAsia="微软雅黑" w:cs="微软雅黑"/>
                <w:color w:val="auto"/>
                <w:sz w:val="24"/>
                <w:highlight w:val="none"/>
                <w:u w:val="single"/>
              </w:rPr>
              <w:t>　综合评分法　</w:t>
            </w:r>
            <w:r>
              <w:rPr>
                <w:rFonts w:hint="eastAsia" w:ascii="微软雅黑" w:hAnsi="微软雅黑" w:eastAsia="微软雅黑" w:cs="微软雅黑"/>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推荐中标候选供应商的数量：</w:t>
            </w:r>
            <w:r>
              <w:rPr>
                <w:rFonts w:hint="eastAsia" w:ascii="微软雅黑" w:hAnsi="微软雅黑" w:eastAsia="微软雅黑" w:cs="微软雅黑"/>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是否委托评标委员会直接确定中标人：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否</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履约保证金金额：合同总价的</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履约保证金形式：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☑保函</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u w:val="single"/>
              </w:rPr>
              <w:t xml:space="preserve">电汇  □支票   </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提交履约保证金的时间：签订合同前打入甲方指定账户</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注：</w:t>
            </w:r>
            <w:r>
              <w:rPr>
                <w:rFonts w:hint="eastAsia" w:ascii="微软雅黑" w:hAnsi="微软雅黑" w:eastAsia="微软雅黑" w:cs="微软雅黑"/>
                <w:color w:val="auto"/>
                <w:sz w:val="24"/>
                <w:highlight w:val="none"/>
                <w:lang w:val="zh-CN"/>
              </w:rPr>
              <w:t>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代理</w:t>
            </w:r>
            <w:r>
              <w:rPr>
                <w:rFonts w:hint="eastAsia" w:ascii="微软雅黑" w:hAnsi="微软雅黑" w:eastAsia="微软雅黑" w:cs="微软雅黑"/>
                <w:color w:val="auto"/>
                <w:sz w:val="24"/>
                <w:highlight w:val="none"/>
              </w:rPr>
              <w:t>服务费：根据发改价格[2015]299文件：确定代理服务费按照中标价的1.</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%收取</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（由中标供应商支付）</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bl>
    <w:p>
      <w:pPr>
        <w:spacing w:line="240" w:lineRule="atLeast"/>
        <w:ind w:left="1080" w:leftChars="257" w:hanging="540"/>
        <w:rPr>
          <w:rFonts w:hint="eastAsia" w:ascii="微软雅黑" w:hAnsi="微软雅黑" w:eastAsia="微软雅黑" w:cs="微软雅黑"/>
          <w:color w:val="auto"/>
          <w:sz w:val="24"/>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numPr>
          <w:ilvl w:val="0"/>
          <w:numId w:val="7"/>
        </w:numPr>
        <w:spacing w:line="440" w:lineRule="exact"/>
        <w:jc w:val="center"/>
        <w:outlineLvl w:val="0"/>
        <w:rPr>
          <w:rFonts w:hint="eastAsia" w:ascii="微软雅黑" w:hAnsi="微软雅黑" w:eastAsia="微软雅黑" w:cs="微软雅黑"/>
          <w:b/>
          <w:color w:val="auto"/>
          <w:sz w:val="32"/>
          <w:szCs w:val="32"/>
          <w:highlight w:val="none"/>
        </w:rPr>
      </w:pPr>
      <w:bookmarkStart w:id="1174" w:name="_Toc27053"/>
      <w:bookmarkStart w:id="1175" w:name="_Toc15092"/>
      <w:bookmarkStart w:id="1176" w:name="_Toc512937852"/>
      <w:r>
        <w:rPr>
          <w:rFonts w:hint="eastAsia" w:ascii="微软雅黑" w:hAnsi="微软雅黑" w:eastAsia="微软雅黑" w:cs="微软雅黑"/>
          <w:b/>
          <w:color w:val="auto"/>
          <w:sz w:val="32"/>
          <w:szCs w:val="32"/>
          <w:highlight w:val="none"/>
        </w:rPr>
        <w:t xml:space="preserve"> </w:t>
      </w:r>
      <w:bookmarkStart w:id="1177" w:name="_Toc17077"/>
      <w:r>
        <w:rPr>
          <w:rFonts w:hint="eastAsia" w:ascii="微软雅黑" w:hAnsi="微软雅黑" w:eastAsia="微软雅黑" w:cs="微软雅黑"/>
          <w:b/>
          <w:color w:val="auto"/>
          <w:sz w:val="32"/>
          <w:szCs w:val="32"/>
          <w:highlight w:val="none"/>
          <w:lang w:val="en-US" w:eastAsia="zh-CN"/>
        </w:rPr>
        <w:t>货物</w:t>
      </w:r>
      <w:r>
        <w:rPr>
          <w:rFonts w:hint="eastAsia" w:ascii="微软雅黑" w:hAnsi="微软雅黑" w:eastAsia="微软雅黑" w:cs="微软雅黑"/>
          <w:b/>
          <w:color w:val="auto"/>
          <w:sz w:val="32"/>
          <w:szCs w:val="32"/>
          <w:highlight w:val="none"/>
        </w:rPr>
        <w:t>内容及项目要求</w:t>
      </w:r>
      <w:bookmarkEnd w:id="1174"/>
      <w:bookmarkEnd w:id="1175"/>
      <w:bookmarkEnd w:id="1177"/>
    </w:p>
    <w:bookmarkEnd w:id="1176"/>
    <w:p>
      <w:pPr>
        <w:keepNext w:val="0"/>
        <w:keepLines w:val="0"/>
        <w:pageBreakBefore w:val="0"/>
        <w:widowControl w:val="0"/>
        <w:numPr>
          <w:ilvl w:val="0"/>
          <w:numId w:val="0"/>
        </w:numPr>
        <w:shd w:val="clear"/>
        <w:kinsoku/>
        <w:wordWrap/>
        <w:overflowPunct/>
        <w:topLinePunct w:val="0"/>
        <w:autoSpaceDE/>
        <w:autoSpaceDN/>
        <w:bidi w:val="0"/>
        <w:adjustRightInd/>
        <w:snapToGrid/>
        <w:spacing w:line="462" w:lineRule="exact"/>
        <w:textAlignment w:val="baseline"/>
        <w:outlineLvl w:val="1"/>
        <w:rPr>
          <w:rFonts w:hint="eastAsia" w:ascii="微软雅黑" w:hAnsi="微软雅黑" w:eastAsia="微软雅黑" w:cs="微软雅黑"/>
          <w:b/>
          <w:bCs/>
          <w:color w:val="auto"/>
          <w:sz w:val="24"/>
          <w:highlight w:val="none"/>
          <w:lang w:eastAsia="zh-CN"/>
        </w:rPr>
      </w:pPr>
      <w:bookmarkStart w:id="1178" w:name="_Toc11118"/>
      <w:bookmarkStart w:id="1179" w:name="_Toc26096"/>
      <w:bookmarkStart w:id="1180" w:name="_Toc10893"/>
      <w:r>
        <w:rPr>
          <w:rFonts w:hint="eastAsia" w:ascii="微软雅黑" w:hAnsi="微软雅黑" w:eastAsia="微软雅黑" w:cs="微软雅黑"/>
          <w:b/>
          <w:bCs/>
          <w:color w:val="auto"/>
          <w:sz w:val="24"/>
          <w:highlight w:val="none"/>
        </w:rPr>
        <w:t>标段</w:t>
      </w:r>
      <w:r>
        <w:rPr>
          <w:rFonts w:hint="eastAsia" w:ascii="微软雅黑" w:hAnsi="微软雅黑" w:eastAsia="微软雅黑" w:cs="微软雅黑"/>
          <w:b/>
          <w:bCs/>
          <w:color w:val="auto"/>
          <w:sz w:val="24"/>
          <w:highlight w:val="none"/>
          <w:lang w:val="en-US" w:eastAsia="zh-CN"/>
        </w:rPr>
        <w:t>2</w:t>
      </w:r>
      <w:bookmarkEnd w:id="1178"/>
      <w:bookmarkEnd w:id="1179"/>
    </w:p>
    <w:p>
      <w:pPr>
        <w:keepNext w:val="0"/>
        <w:keepLines w:val="0"/>
        <w:pageBreakBefore w:val="0"/>
        <w:widowControl w:val="0"/>
        <w:numPr>
          <w:ilvl w:val="0"/>
          <w:numId w:val="0"/>
        </w:numPr>
        <w:shd w:val="clear"/>
        <w:kinsoku/>
        <w:wordWrap/>
        <w:overflowPunct/>
        <w:topLinePunct w:val="0"/>
        <w:autoSpaceDE/>
        <w:autoSpaceDN/>
        <w:bidi w:val="0"/>
        <w:adjustRightInd/>
        <w:snapToGrid/>
        <w:spacing w:line="462" w:lineRule="exact"/>
        <w:textAlignment w:val="baseline"/>
        <w:outlineLvl w:val="1"/>
        <w:rPr>
          <w:rFonts w:hint="eastAsia" w:ascii="微软雅黑" w:hAnsi="微软雅黑" w:eastAsia="微软雅黑" w:cs="微软雅黑"/>
          <w:b/>
          <w:bCs/>
          <w:color w:val="auto"/>
          <w:sz w:val="24"/>
          <w:highlight w:val="none"/>
        </w:rPr>
      </w:pPr>
      <w:bookmarkStart w:id="1181" w:name="_Toc2564"/>
      <w:bookmarkStart w:id="1182" w:name="_Toc4547"/>
      <w:r>
        <w:rPr>
          <w:rFonts w:hint="eastAsia" w:ascii="微软雅黑" w:hAnsi="微软雅黑" w:eastAsia="微软雅黑" w:cs="微软雅黑"/>
          <w:b/>
          <w:bCs/>
          <w:color w:val="auto"/>
          <w:sz w:val="24"/>
          <w:highlight w:val="none"/>
          <w:lang w:val="en-US" w:eastAsia="zh-CN"/>
        </w:rPr>
        <w:t>一、</w:t>
      </w:r>
      <w:r>
        <w:rPr>
          <w:rFonts w:hint="eastAsia" w:ascii="微软雅黑" w:hAnsi="微软雅黑" w:eastAsia="微软雅黑" w:cs="微软雅黑"/>
          <w:b/>
          <w:bCs/>
          <w:color w:val="auto"/>
          <w:sz w:val="24"/>
          <w:highlight w:val="none"/>
        </w:rPr>
        <w:t>货物需求：</w:t>
      </w:r>
      <w:bookmarkEnd w:id="1180"/>
      <w:bookmarkEnd w:id="1181"/>
      <w:bookmarkEnd w:id="1182"/>
    </w:p>
    <w:tbl>
      <w:tblPr>
        <w:tblStyle w:val="25"/>
        <w:tblW w:w="10437" w:type="dxa"/>
        <w:tblInd w:w="-9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01"/>
        <w:gridCol w:w="1284"/>
        <w:gridCol w:w="4550"/>
        <w:gridCol w:w="912"/>
        <w:gridCol w:w="916"/>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疫苗品名</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作用与用途</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主要技术参数及要求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单位</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1</w:t>
            </w:r>
          </w:p>
        </w:tc>
        <w:tc>
          <w:tcPr>
            <w:tcW w:w="13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炭疽疫苗</w:t>
            </w:r>
          </w:p>
        </w:tc>
        <w:tc>
          <w:tcPr>
            <w:tcW w:w="12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用于预防马、牛、绵羊和猪的炭疽。</w:t>
            </w:r>
          </w:p>
        </w:tc>
        <w:tc>
          <w:tcPr>
            <w:tcW w:w="45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1、 包装为100毫升/瓶；</w:t>
            </w:r>
          </w:p>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2、 产品的安全检验指标应符合中国兽医药品监察所审核认可的“兽用生物制品生产与检验报告”要求；免疫期12个月；</w:t>
            </w:r>
          </w:p>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 贮藏与有效期：2-8℃避光保存，有效期为24个月；</w:t>
            </w:r>
          </w:p>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4、 供货时有效期：2-8℃保存，有效期为14个月以上；</w:t>
            </w:r>
          </w:p>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5、 产品为灭活疫苗。用于预防马、牛、绵羊和猪的炭疽。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419.4万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头份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黑体" w:hAnsi="宋体" w:eastAsia="黑体" w:cs="黑体"/>
                <w:b/>
                <w:bCs/>
                <w:i w:val="0"/>
                <w:iCs w:val="0"/>
                <w:color w:val="auto"/>
                <w:kern w:val="0"/>
                <w:sz w:val="22"/>
                <w:szCs w:val="22"/>
                <w:highlight w:val="none"/>
                <w:u w:val="none"/>
                <w:lang w:val="en-US" w:eastAsia="zh-CN" w:bidi="ar"/>
              </w:rPr>
            </w:pPr>
            <w:r>
              <w:rPr>
                <w:rFonts w:hint="eastAsia" w:ascii="微软雅黑" w:hAnsi="微软雅黑" w:eastAsia="微软雅黑" w:cs="微软雅黑"/>
                <w:color w:val="auto"/>
                <w:szCs w:val="21"/>
                <w:highlight w:val="none"/>
                <w:lang w:val="en-US" w:eastAsia="zh-CN"/>
              </w:rPr>
              <w:t>无荚膜炭疽芽孢疫苗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default" w:ascii="微软雅黑" w:hAnsi="微软雅黑" w:eastAsia="微软雅黑" w:cs="微软雅黑"/>
                <w:color w:val="auto"/>
                <w:szCs w:val="21"/>
                <w:highlight w:val="none"/>
                <w:lang w:val="en-US" w:eastAsia="zh-CN"/>
              </w:rPr>
            </w:pPr>
            <w:bookmarkStart w:id="1183" w:name="_Toc30966"/>
            <w:bookmarkStart w:id="1184" w:name="_Toc4673"/>
            <w:r>
              <w:rPr>
                <w:rFonts w:hint="eastAsia" w:ascii="微软雅黑" w:hAnsi="微软雅黑" w:eastAsia="微软雅黑" w:cs="微软雅黑"/>
                <w:color w:val="auto"/>
                <w:szCs w:val="21"/>
                <w:highlight w:val="none"/>
                <w:lang w:val="en-US" w:eastAsia="zh-CN"/>
              </w:rPr>
              <w:t>2</w:t>
            </w:r>
          </w:p>
        </w:tc>
        <w:tc>
          <w:tcPr>
            <w:tcW w:w="13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p>
        </w:tc>
        <w:tc>
          <w:tcPr>
            <w:tcW w:w="12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auto"/>
                <w:szCs w:val="21"/>
                <w:highlight w:val="none"/>
                <w:lang w:val="en-US" w:eastAsia="zh-CN"/>
              </w:rPr>
            </w:pPr>
          </w:p>
        </w:tc>
        <w:tc>
          <w:tcPr>
            <w:tcW w:w="45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auto"/>
                <w:szCs w:val="21"/>
                <w:highlight w:val="none"/>
                <w:lang w:val="en-US" w:eastAsia="zh-CN"/>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15万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头份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黑体" w:hAnsi="宋体" w:eastAsia="黑体" w:cs="黑体"/>
                <w:b/>
                <w:bCs/>
                <w:i w:val="0"/>
                <w:iCs w:val="0"/>
                <w:color w:val="auto"/>
                <w:kern w:val="0"/>
                <w:sz w:val="22"/>
                <w:szCs w:val="22"/>
                <w:highlight w:val="none"/>
                <w:u w:val="none"/>
                <w:lang w:val="en-US" w:eastAsia="zh-CN" w:bidi="ar"/>
              </w:rPr>
            </w:pPr>
            <w:r>
              <w:rPr>
                <w:rFonts w:hint="eastAsia" w:ascii="微软雅黑" w:hAnsi="微软雅黑" w:eastAsia="微软雅黑" w:cs="微软雅黑"/>
                <w:color w:val="auto"/>
                <w:szCs w:val="21"/>
                <w:highlight w:val="none"/>
                <w:lang w:val="en-US" w:eastAsia="zh-CN"/>
              </w:rPr>
              <w:t>Ⅱ号炭疽芽孢疫苗</w:t>
            </w:r>
          </w:p>
        </w:tc>
      </w:tr>
      <w:bookmarkEnd w:id="1183"/>
      <w:bookmarkEnd w:id="1184"/>
    </w:tbl>
    <w:p>
      <w:pPr>
        <w:pStyle w:val="4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outlineLvl w:val="1"/>
        <w:rPr>
          <w:rFonts w:hint="eastAsia" w:ascii="微软雅黑" w:hAnsi="微软雅黑" w:eastAsia="微软雅黑" w:cs="微软雅黑"/>
          <w:b/>
          <w:bCs/>
          <w:color w:val="auto"/>
          <w:sz w:val="24"/>
          <w:szCs w:val="24"/>
          <w:highlight w:val="none"/>
          <w:lang w:val="en-US" w:eastAsia="zh-CN"/>
        </w:rPr>
      </w:pPr>
      <w:bookmarkStart w:id="1185" w:name="_Toc27940"/>
      <w:bookmarkStart w:id="1186" w:name="_Toc9091"/>
      <w:r>
        <w:rPr>
          <w:rFonts w:hint="eastAsia" w:ascii="微软雅黑" w:hAnsi="微软雅黑" w:eastAsia="微软雅黑" w:cs="微软雅黑"/>
          <w:b/>
          <w:bCs/>
          <w:color w:val="auto"/>
          <w:sz w:val="24"/>
          <w:szCs w:val="24"/>
          <w:highlight w:val="none"/>
          <w:lang w:val="en-US" w:eastAsia="zh-CN"/>
        </w:rPr>
        <w:t>二、项目要求：</w:t>
      </w:r>
      <w:bookmarkEnd w:id="1185"/>
      <w:bookmarkEnd w:id="1186"/>
      <w:r>
        <w:rPr>
          <w:rFonts w:hint="eastAsia" w:ascii="微软雅黑" w:hAnsi="微软雅黑" w:eastAsia="微软雅黑" w:cs="微软雅黑"/>
          <w:b/>
          <w:bCs/>
          <w:color w:val="auto"/>
          <w:sz w:val="24"/>
          <w:szCs w:val="24"/>
          <w:highlight w:val="none"/>
          <w:lang w:val="en-US" w:eastAsia="zh-CN"/>
        </w:rPr>
        <w:t xml:space="preserve"> </w:t>
      </w:r>
    </w:p>
    <w:p>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（一）所招产品的质量要求</w:t>
      </w:r>
    </w:p>
    <w:p>
      <w:pPr>
        <w:pStyle w:val="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（1）本项目技术参数均为公共参数，无指向性，投标供应商认为该产品指向某一品牌、某一型号，那么该参数均为参考参数，可以根据技术要求及商务要求自行去选择产品品牌和型号。</w:t>
      </w:r>
    </w:p>
    <w:p>
      <w:pPr>
        <w:pStyle w:val="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val="en-US" w:eastAsia="zh-CN"/>
        </w:rPr>
        <w:t>（二）</w:t>
      </w:r>
      <w:r>
        <w:rPr>
          <w:rFonts w:hint="eastAsia" w:ascii="微软雅黑" w:hAnsi="微软雅黑" w:eastAsia="微软雅黑" w:cs="微软雅黑"/>
          <w:b/>
          <w:color w:val="auto"/>
          <w:sz w:val="24"/>
          <w:szCs w:val="24"/>
          <w:highlight w:val="none"/>
        </w:rPr>
        <w:t>项目的</w:t>
      </w:r>
      <w:r>
        <w:rPr>
          <w:rFonts w:hint="eastAsia" w:ascii="微软雅黑" w:hAnsi="微软雅黑" w:eastAsia="微软雅黑" w:cs="微软雅黑"/>
          <w:b/>
          <w:color w:val="auto"/>
          <w:sz w:val="24"/>
          <w:szCs w:val="24"/>
          <w:highlight w:val="none"/>
          <w:lang w:eastAsia="zh-CN"/>
        </w:rPr>
        <w:t>供</w:t>
      </w:r>
      <w:r>
        <w:rPr>
          <w:rFonts w:hint="eastAsia" w:ascii="微软雅黑" w:hAnsi="微软雅黑" w:eastAsia="微软雅黑" w:cs="微软雅黑"/>
          <w:b/>
          <w:color w:val="auto"/>
          <w:sz w:val="24"/>
          <w:szCs w:val="24"/>
          <w:highlight w:val="none"/>
        </w:rPr>
        <w:t>货期、地点</w:t>
      </w:r>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color w:val="auto"/>
          <w:sz w:val="24"/>
          <w:szCs w:val="24"/>
          <w:highlight w:val="none"/>
          <w:lang w:val="en-US" w:eastAsia="zh-CN"/>
        </w:rPr>
        <w:t>保质期、</w:t>
      </w:r>
      <w:r>
        <w:rPr>
          <w:rFonts w:hint="eastAsia" w:ascii="微软雅黑" w:hAnsi="微软雅黑" w:eastAsia="微软雅黑" w:cs="微软雅黑"/>
          <w:b/>
          <w:color w:val="auto"/>
          <w:sz w:val="24"/>
          <w:szCs w:val="24"/>
          <w:highlight w:val="none"/>
          <w:lang w:eastAsia="zh-CN"/>
        </w:rPr>
        <w:t>运输方式</w:t>
      </w:r>
      <w:r>
        <w:rPr>
          <w:rFonts w:hint="eastAsia" w:ascii="微软雅黑" w:hAnsi="微软雅黑" w:eastAsia="微软雅黑" w:cs="微软雅黑"/>
          <w:b/>
          <w:color w:val="auto"/>
          <w:sz w:val="24"/>
          <w:szCs w:val="24"/>
          <w:highlight w:val="none"/>
        </w:rPr>
        <w:t>及验收方式</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供</w:t>
      </w:r>
      <w:r>
        <w:rPr>
          <w:rFonts w:hint="eastAsia" w:ascii="微软雅黑" w:hAnsi="微软雅黑" w:eastAsia="微软雅黑" w:cs="微软雅黑"/>
          <w:color w:val="auto"/>
          <w:sz w:val="24"/>
          <w:szCs w:val="24"/>
          <w:highlight w:val="none"/>
        </w:rPr>
        <w:t>货期：10个工作日内，如遇特殊情况3个工作日内（以采购方实际需求为准）。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供</w:t>
      </w:r>
      <w:r>
        <w:rPr>
          <w:rFonts w:hint="eastAsia" w:ascii="微软雅黑" w:hAnsi="微软雅黑" w:eastAsia="微软雅黑" w:cs="微软雅黑"/>
          <w:color w:val="auto"/>
          <w:sz w:val="24"/>
          <w:szCs w:val="24"/>
          <w:highlight w:val="none"/>
        </w:rPr>
        <w:t>货地点：采购方指定地点</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（3）保质期：以各包疫苗有效期为准。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运输要求：由</w:t>
      </w:r>
      <w:r>
        <w:rPr>
          <w:rFonts w:hint="eastAsia" w:ascii="微软雅黑" w:hAnsi="微软雅黑" w:eastAsia="微软雅黑" w:cs="微软雅黑"/>
          <w:color w:val="auto"/>
          <w:sz w:val="24"/>
          <w:szCs w:val="24"/>
          <w:highlight w:val="none"/>
          <w:lang w:val="en-US" w:eastAsia="zh-CN"/>
        </w:rPr>
        <w:t>中标</w:t>
      </w:r>
      <w:r>
        <w:rPr>
          <w:rFonts w:hint="eastAsia" w:ascii="微软雅黑" w:hAnsi="微软雅黑" w:eastAsia="微软雅黑" w:cs="微软雅黑"/>
          <w:color w:val="auto"/>
          <w:sz w:val="24"/>
          <w:szCs w:val="24"/>
          <w:highlight w:val="none"/>
          <w:lang w:eastAsia="zh-CN"/>
        </w:rPr>
        <w:t>企业通过</w:t>
      </w:r>
      <w:r>
        <w:rPr>
          <w:rFonts w:hint="eastAsia" w:ascii="微软雅黑" w:hAnsi="微软雅黑" w:eastAsia="微软雅黑" w:cs="微软雅黑"/>
          <w:color w:val="auto"/>
          <w:sz w:val="24"/>
          <w:szCs w:val="24"/>
          <w:highlight w:val="none"/>
        </w:rPr>
        <w:t>冷链运输疫苗，送</w:t>
      </w:r>
      <w:r>
        <w:rPr>
          <w:rFonts w:hint="eastAsia" w:ascii="微软雅黑" w:hAnsi="微软雅黑" w:eastAsia="微软雅黑" w:cs="微软雅黑"/>
          <w:color w:val="auto"/>
          <w:sz w:val="24"/>
          <w:szCs w:val="24"/>
          <w:highlight w:val="none"/>
          <w:lang w:eastAsia="zh-CN"/>
        </w:rPr>
        <w:t>至</w:t>
      </w:r>
      <w:r>
        <w:rPr>
          <w:rFonts w:hint="eastAsia" w:ascii="微软雅黑" w:hAnsi="微软雅黑" w:eastAsia="微软雅黑" w:cs="微软雅黑"/>
          <w:color w:val="auto"/>
          <w:sz w:val="24"/>
          <w:szCs w:val="24"/>
          <w:highlight w:val="none"/>
        </w:rPr>
        <w:t>采购</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指定地点，专用疫苗冷链运输，必须有连续温度监控仪，</w:t>
      </w:r>
      <w:r>
        <w:rPr>
          <w:rFonts w:hint="eastAsia" w:ascii="微软雅黑" w:hAnsi="微软雅黑" w:eastAsia="微软雅黑" w:cs="微软雅黑"/>
          <w:color w:val="auto"/>
          <w:sz w:val="24"/>
          <w:szCs w:val="24"/>
          <w:highlight w:val="none"/>
          <w:lang w:val="en-US" w:eastAsia="zh-CN"/>
        </w:rPr>
        <w:t>内包装有泡沫保温箱、外包装使用纸箱，</w:t>
      </w:r>
      <w:r>
        <w:rPr>
          <w:rFonts w:hint="eastAsia" w:ascii="微软雅黑" w:hAnsi="微软雅黑" w:eastAsia="微软雅黑" w:cs="微软雅黑"/>
          <w:color w:val="auto"/>
          <w:sz w:val="24"/>
          <w:szCs w:val="24"/>
          <w:highlight w:val="none"/>
          <w:lang w:eastAsia="zh-CN"/>
        </w:rPr>
        <w:t>供</w:t>
      </w:r>
      <w:r>
        <w:rPr>
          <w:rFonts w:hint="eastAsia" w:ascii="微软雅黑" w:hAnsi="微软雅黑" w:eastAsia="微软雅黑" w:cs="微软雅黑"/>
          <w:color w:val="auto"/>
          <w:sz w:val="24"/>
          <w:szCs w:val="24"/>
          <w:highlight w:val="none"/>
        </w:rPr>
        <w:t>货后必须向收货方和采购方提供出库单据、与实物相对应批号的兽用生物制品生产与中监所的批签发报告和温度监控记录表。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验收方式</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①乙方必须保证所供应疫苗有效期应满足甲方要求。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②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③产品说明书内注意事项与瓶签说明必须一致。</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④在甲方查验货物时如数量少于定货数量，以甲方实际收到的数量为准，按甲方要求决定是否补发；如数量多于定货数量，由甲方根据需要决定接受或退货。</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⑤疫苗在运输过程中出现的破损或失效由乙方负责。</w:t>
      </w:r>
      <w:bookmarkStart w:id="1187" w:name="_Toc439255246"/>
      <w:bookmarkStart w:id="1188" w:name="_Toc27018_WPSOffice_Level1"/>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4、付款方式：</w:t>
      </w:r>
      <w:r>
        <w:rPr>
          <w:rFonts w:hint="eastAsia" w:ascii="微软雅黑" w:hAnsi="微软雅黑" w:eastAsia="微软雅黑" w:cs="微软雅黑"/>
          <w:color w:val="auto"/>
          <w:sz w:val="24"/>
          <w:szCs w:val="24"/>
          <w:highlight w:val="none"/>
        </w:rPr>
        <w:t>根据实际所需量，</w:t>
      </w:r>
      <w:r>
        <w:rPr>
          <w:rFonts w:hint="eastAsia" w:ascii="微软雅黑" w:hAnsi="微软雅黑" w:eastAsia="微软雅黑" w:cs="微软雅黑"/>
          <w:color w:val="auto"/>
          <w:sz w:val="24"/>
          <w:szCs w:val="24"/>
          <w:highlight w:val="none"/>
          <w:lang w:val="en-US" w:eastAsia="zh-CN"/>
        </w:rPr>
        <w:t>1-6月份</w:t>
      </w:r>
      <w:r>
        <w:rPr>
          <w:rFonts w:hint="eastAsia" w:ascii="微软雅黑" w:hAnsi="微软雅黑" w:eastAsia="微软雅黑" w:cs="微软雅黑"/>
          <w:color w:val="auto"/>
          <w:sz w:val="24"/>
          <w:szCs w:val="24"/>
          <w:highlight w:val="none"/>
        </w:rPr>
        <w:t>货到验收合格之后付清，</w:t>
      </w:r>
      <w:r>
        <w:rPr>
          <w:rFonts w:hint="eastAsia" w:ascii="微软雅黑" w:hAnsi="微软雅黑" w:eastAsia="微软雅黑" w:cs="微软雅黑"/>
          <w:color w:val="auto"/>
          <w:sz w:val="24"/>
          <w:szCs w:val="24"/>
          <w:highlight w:val="none"/>
          <w:lang w:val="en-US" w:eastAsia="zh-CN"/>
        </w:rPr>
        <w:t>7-12月份</w:t>
      </w:r>
      <w:r>
        <w:rPr>
          <w:rFonts w:hint="eastAsia" w:ascii="微软雅黑" w:hAnsi="微软雅黑" w:eastAsia="微软雅黑" w:cs="微软雅黑"/>
          <w:color w:val="auto"/>
          <w:sz w:val="24"/>
          <w:szCs w:val="24"/>
          <w:highlight w:val="none"/>
        </w:rPr>
        <w:t>货到验收合格之后付清。（双方可以通过协商另行约定。）</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color w:val="auto"/>
          <w:sz w:val="24"/>
          <w:szCs w:val="24"/>
          <w:highlight w:val="none"/>
          <w:lang w:val="en-US" w:eastAsia="zh-CN"/>
        </w:rPr>
      </w:pPr>
      <w:bookmarkStart w:id="1189" w:name="_Toc16729"/>
      <w:bookmarkStart w:id="1190" w:name="_Toc28983"/>
      <w:bookmarkStart w:id="1191" w:name="_Toc8866"/>
      <w:r>
        <w:rPr>
          <w:rFonts w:hint="eastAsia" w:ascii="微软雅黑" w:hAnsi="微软雅黑" w:eastAsia="微软雅黑" w:cs="微软雅黑"/>
          <w:b/>
          <w:color w:val="auto"/>
          <w:sz w:val="24"/>
          <w:szCs w:val="24"/>
          <w:highlight w:val="none"/>
          <w:lang w:val="en-US" w:eastAsia="zh-CN"/>
        </w:rPr>
        <w:t xml:space="preserve"> 5、产品技术指标及生产能力技术</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color w:val="auto"/>
          <w:kern w:val="2"/>
          <w:sz w:val="24"/>
          <w:szCs w:val="24"/>
          <w:highlight w:val="none"/>
          <w:lang w:val="en-US" w:eastAsia="zh-CN" w:bidi="ar-SA"/>
        </w:rPr>
        <w:t>（1）投标供应商提供主要生产工艺设备清单和照片。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Chars="200"/>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color w:val="auto"/>
          <w:kern w:val="2"/>
          <w:sz w:val="24"/>
          <w:szCs w:val="24"/>
          <w:highlight w:val="none"/>
          <w:lang w:val="en-US" w:eastAsia="zh-CN" w:bidi="ar-SA"/>
        </w:rPr>
        <w:t>（2）产品功能：①投标供应商提供该产品的完整产品说明书、使用范围、使用方法，注意事项等情况。说明书内容全面，分项介绍详细，配图完整易理解；②投标供应商提供产品使用效果合格的检测报告的。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color w:val="auto"/>
          <w:kern w:val="2"/>
          <w:sz w:val="24"/>
          <w:szCs w:val="24"/>
          <w:highlight w:val="none"/>
          <w:lang w:val="en-US" w:eastAsia="zh-CN" w:bidi="ar-SA"/>
        </w:rPr>
        <w:t>（3）安全性：投标供应商提供动物疫控机构出具的良好的评价证明材料和满意度反馈表。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Chars="0" w:firstLine="480" w:firstLineChars="200"/>
        <w:textAlignment w:val="auto"/>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color w:val="auto"/>
          <w:kern w:val="2"/>
          <w:sz w:val="24"/>
          <w:szCs w:val="24"/>
          <w:highlight w:val="none"/>
          <w:lang w:val="en-US" w:eastAsia="zh-CN" w:bidi="ar-SA"/>
        </w:rPr>
        <w:t>（4）对于所投产品的研发实力、技术革新或成果：①投标供应商提供国家高新技术企业的佐证资料；②投标供应商提供所投产品技术革新或新成果：有国家有关部门或农业农村部认可的项目新成果的佐证材料。</w:t>
      </w:r>
    </w:p>
    <w:bookmarkEnd w:id="1187"/>
    <w:bookmarkEnd w:id="1188"/>
    <w:bookmarkEnd w:id="1189"/>
    <w:bookmarkEnd w:id="1190"/>
    <w:bookmarkEnd w:id="1191"/>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6、疫苗免疫副反应、免疫失败、产品质量问题等处理方案损失补偿</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color w:val="auto"/>
          <w:kern w:val="2"/>
          <w:sz w:val="24"/>
          <w:szCs w:val="24"/>
          <w:highlight w:val="none"/>
          <w:lang w:val="en-US" w:eastAsia="zh-CN" w:bidi="ar-SA"/>
        </w:rPr>
        <w:t>（1）投标供应商承诺因疫苗反应、免疫失败、产品质量导致畜禽死亡或流产造成损失按照不低于国家标准补偿，并建立补偿准备金。</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color w:val="auto"/>
          <w:kern w:val="2"/>
          <w:sz w:val="24"/>
          <w:szCs w:val="24"/>
          <w:highlight w:val="none"/>
          <w:lang w:val="en-US" w:eastAsia="zh-CN" w:bidi="ar-SA"/>
        </w:rPr>
        <w:t>（2）国家补偿标准：补助对象：畜禽养殖场(户)和经营单位；补助标准：扑杀补助标准为鸡鸭、鹅等禽类每只20元，猪每头800元，羊每只500元，肉牛每头3000元，奶牛每头6000元。</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default" w:ascii="微软雅黑" w:hAnsi="微软雅黑" w:eastAsia="微软雅黑" w:cs="微软雅黑"/>
          <w:b/>
          <w:color w:val="auto"/>
          <w:sz w:val="24"/>
          <w:szCs w:val="24"/>
          <w:highlight w:val="none"/>
          <w:lang w:val="en-US" w:eastAsia="zh-CN"/>
        </w:rPr>
      </w:pPr>
      <w:bookmarkStart w:id="1192" w:name="_Toc10385"/>
      <w:bookmarkStart w:id="1193" w:name="_Toc24342"/>
      <w:bookmarkStart w:id="1194" w:name="_Toc16176"/>
      <w:bookmarkStart w:id="1195" w:name="_Toc7742_WPSOffice_Level1"/>
      <w:bookmarkStart w:id="1196" w:name="_Toc439255248"/>
      <w:bookmarkStart w:id="1197" w:name="_Toc267320050"/>
      <w:r>
        <w:rPr>
          <w:rFonts w:hint="eastAsia" w:ascii="微软雅黑" w:hAnsi="微软雅黑" w:eastAsia="微软雅黑" w:cs="微软雅黑"/>
          <w:b/>
          <w:color w:val="auto"/>
          <w:sz w:val="24"/>
          <w:szCs w:val="24"/>
          <w:highlight w:val="none"/>
          <w:lang w:val="en-US" w:eastAsia="zh-CN"/>
        </w:rPr>
        <w:t>7、</w:t>
      </w:r>
      <w:r>
        <w:rPr>
          <w:rFonts w:hint="eastAsia" w:ascii="微软雅黑" w:hAnsi="微软雅黑" w:eastAsia="微软雅黑" w:cs="微软雅黑"/>
          <w:b/>
          <w:color w:val="auto"/>
          <w:sz w:val="24"/>
          <w:szCs w:val="24"/>
          <w:highlight w:val="none"/>
          <w:lang w:eastAsia="zh-CN"/>
        </w:rPr>
        <w:t>售后服务、</w:t>
      </w:r>
      <w:r>
        <w:rPr>
          <w:rFonts w:hint="eastAsia" w:ascii="微软雅黑" w:hAnsi="微软雅黑" w:eastAsia="微软雅黑" w:cs="微软雅黑"/>
          <w:b/>
          <w:color w:val="auto"/>
          <w:sz w:val="24"/>
          <w:szCs w:val="24"/>
          <w:highlight w:val="none"/>
        </w:rPr>
        <w:t>质量保证</w:t>
      </w:r>
      <w:bookmarkEnd w:id="1192"/>
      <w:bookmarkEnd w:id="1193"/>
      <w:bookmarkEnd w:id="1194"/>
      <w:r>
        <w:rPr>
          <w:rFonts w:hint="eastAsia" w:ascii="微软雅黑" w:hAnsi="微软雅黑" w:eastAsia="微软雅黑" w:cs="微软雅黑"/>
          <w:b/>
          <w:color w:val="auto"/>
          <w:sz w:val="24"/>
          <w:szCs w:val="24"/>
          <w:highlight w:val="none"/>
          <w:lang w:val="en-US" w:eastAsia="zh-CN"/>
        </w:rPr>
        <w:t>及培训方案</w:t>
      </w:r>
    </w:p>
    <w:bookmarkEnd w:id="1195"/>
    <w:bookmarkEnd w:id="1196"/>
    <w:bookmarkEnd w:id="1197"/>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（1）售后服务和技术支持要求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①售后服务方案包含进度计划安排、配送方案、保质期内的服务、质保期外的服务、质保期外的服务、后期跟踪方案、动态监测、验收组织安排、风险防范措施及在使用过程中配备相应注射设备。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②疫苗供应企业在疆内、疆外能够提供售后保障服务网点，配备5名具有执业兽医医师资格证的专业技术服务人员。（须提供租赁合同或合作协议，资格证书，资料须真实有效，否则将取消中标资格。）</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④疫苗的冷链运输：承诺疫苗用专用冷藏车运输不超过72小时或航空运输不超过24小时，有全程温控记录设备和数据的。</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⑤投标供应商承诺响应时间：投标供应商承诺措施全面可行性强，对疫苗免疫严重副反应现场处置响应时间≤24小时，并给予反应死亡赔偿费。</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⑥供货服务商免费提供技术咨询和相关宣传资料。如采购方需要，供货服务商应免费开展相关疫苗实验、检测、培训等，一切费用由中标企业承担。</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疫苗免疫造成畜禽副反应、死亡或经济损失的，中标企业无条件及时派人调查或参加由供需双方组成的联合调查小组进行调查。经调查认定或经国家权威部门鉴定，确认是因疫苗质量引起的损失，由中标人负责给予补偿。</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⑧如因免疫失败，导致疫情暴发，双方会同有关部门组成调查组查清原因，经权威部门确认是由产品质量原因造成的，中标企业应承担扑疫经费，并赔偿相应的经济损失。</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培训方案：①须提供培训，培训是指涉及认识产品、基础理论、基本操作方法、在使用过程中应注意的事项等有关内容的学习。培训人员至少5人，对各地州县市、乡镇、村防疫人员进行技术培训，并保证在采购人指定交货地点对每包（品目）最终用户操作人员提供不少于 1 天的免费培训。提供至少2至3名具有执业兽医医师资格证的讲师。在出现疫情时采用线上培训，无疫情时采用线下培训，培训结束后确保用户方4名操作人员能熟悉的使用相关设备。同时，提供出具畜牧兽医机构培训材料。培训投标人投标时应提供详细的培训方案。培训教员的差旅费、食宿费、培训教材等费用，应计入投标报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（3）投标供应商需要其他详细阐明的：所投货物的免费质量保证期，按生产商及国家有关规定。</w:t>
      </w:r>
    </w:p>
    <w:p>
      <w:pPr>
        <w:keepNext w:val="0"/>
        <w:keepLines w:val="0"/>
        <w:pageBreakBefore w:val="0"/>
        <w:widowControl w:val="0"/>
        <w:shd w:val="clear"/>
        <w:kinsoku/>
        <w:wordWrap/>
        <w:overflowPunct/>
        <w:topLinePunct w:val="0"/>
        <w:autoSpaceDE/>
        <w:autoSpaceDN/>
        <w:bidi w:val="0"/>
        <w:adjustRightInd/>
        <w:snapToGrid/>
        <w:spacing w:line="400" w:lineRule="exact"/>
        <w:ind w:left="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（4）保质期内服务基本要求：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①供货时采购人对产品进行抽检，发现产品有沉淀、混浊、变色、分层等现象，采购人拒收，并要求中标人重新发货。并承担所有费用，更换疫苗到达最终用户地不得超过24小时。</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②供货服务商在疫苗质保期内保证疫苗的质量，在有效期内对因检定表明是疫苗质量引起的任何缺陷，实施更换和其它补偿。</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③供货时疫苗有效期不得低于中标人在投标文件中承诺的有效期时长，且包装规格必须与投标文件承诺一致，疫苗的供货有效期有效（详见：“第5章 货物内容及项目要求”中的“货物需求”中的具体要求）否则采购人拒收，并要求中标人重新发货。</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供货时需提供产品出厂合格证、使用说明书和中国兽医药品监察所对该批产品的批签发报告扫描件。保质期内供货服务商接到甲方产品出现问题的通知后，至少满足24小时内到达产品使用现场，进行处理。除不可抗力和使用方责任外，费用全部由乙方承担。质保期内产品质量经权威机构鉴定不符合质量要求的，按合同约定承担违约责任，供货服务商应及时收回不合格产品，所产生的费用由中标人自行负责，采购方立即停止合同。</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（5）质保期外服务基本要求：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供货服务商接到使用方产品出现问题的通知后，24小时内到达产品现场，进行处理，并提供预防接种异常反应处理方案。</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val="en-US" w:eastAsia="zh-CN"/>
        </w:rPr>
        <w:t>供应商</w:t>
      </w:r>
      <w:r>
        <w:rPr>
          <w:rFonts w:hint="eastAsia" w:ascii="微软雅黑" w:hAnsi="微软雅黑" w:eastAsia="微软雅黑" w:cs="微软雅黑"/>
          <w:color w:val="auto"/>
          <w:sz w:val="24"/>
          <w:szCs w:val="24"/>
          <w:highlight w:val="none"/>
        </w:rPr>
        <w:t>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在使用疫苗过程中出现的苗源反应引起的畜禽死亡或因免疫失败而导致疫情暴发的均由乙方负责处理，并且对造成的损失给予经济赔偿。</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①因注射疫苗引起的畜禽副反应或死亡，经双方联合调查确认后，由乙方负责对造成的损失给予赔偿。</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②在规定的免疫保护期内，免疫后的动物又发生疫情时，乙方接到甲方电话或传真通知后，要及时派专业技术人员到达现场调查核实实际情况，由乙方负责承担一切经济损失以及全部费用。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③甲方在疫苗的使用过程中，发现疫苗的副反应大或免疫效果差，甲方可根据情况调整采购比例；情况严重的，甲方有权停止采购该</w:t>
      </w:r>
      <w:r>
        <w:rPr>
          <w:rFonts w:hint="eastAsia" w:ascii="微软雅黑" w:hAnsi="微软雅黑" w:eastAsia="微软雅黑" w:cs="微软雅黑"/>
          <w:color w:val="auto"/>
          <w:sz w:val="24"/>
          <w:szCs w:val="24"/>
          <w:highlight w:val="none"/>
          <w:lang w:eastAsia="zh-CN"/>
        </w:rPr>
        <w:t>所投产品</w:t>
      </w:r>
      <w:r>
        <w:rPr>
          <w:rFonts w:hint="eastAsia" w:ascii="微软雅黑" w:hAnsi="微软雅黑" w:eastAsia="微软雅黑" w:cs="微软雅黑"/>
          <w:color w:val="auto"/>
          <w:sz w:val="24"/>
          <w:szCs w:val="24"/>
          <w:highlight w:val="none"/>
        </w:rPr>
        <w:t>，将库存疫苗做退货处理，其采购合同未执行数量由其余供货服务商履行，由于疫苗副反应大或免疫效果差造成的经济损失，由乙方承担责任。</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④若在疫苗的使用过程中，发现乙方所提供的全部产品出现质量问题，甲方有权停止采购该分包的产品，并将相关情况上报给采购计划主管部门和农业农村部备案，终止该乙方的采购合同，并追究其违约责任。</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（8）产品保险：投标供应商有在保险有效期内的产品投保证明（须提供有效的证明材料）</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lang w:val="en-US" w:eastAsia="zh-CN"/>
        </w:rPr>
        <w:t>注：以上内容及“ 货物内容及项目要求”中的商务要求投标供应商必须在投标文件上清楚阐明。如投标供应商有更优质的服务内容，以投标供应商承诺的服务内容为准。</w:t>
      </w:r>
      <w:bookmarkStart w:id="1198" w:name="_Toc439255250"/>
      <w:bookmarkStart w:id="1199" w:name="_Toc267320052"/>
      <w:bookmarkStart w:id="1200" w:name="_Toc6208_WPSOffice_Level1"/>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color w:val="auto"/>
          <w:sz w:val="24"/>
          <w:szCs w:val="24"/>
          <w:highlight w:val="none"/>
        </w:rPr>
      </w:pPr>
      <w:bookmarkStart w:id="1201" w:name="_Toc31012"/>
      <w:bookmarkStart w:id="1202" w:name="_Toc16945"/>
      <w:bookmarkStart w:id="1203" w:name="_Toc8238"/>
      <w:r>
        <w:rPr>
          <w:rFonts w:hint="eastAsia" w:ascii="微软雅黑" w:hAnsi="微软雅黑" w:eastAsia="微软雅黑" w:cs="微软雅黑"/>
          <w:b/>
          <w:color w:val="auto"/>
          <w:sz w:val="24"/>
          <w:szCs w:val="24"/>
          <w:highlight w:val="none"/>
          <w:lang w:val="en-US" w:eastAsia="zh-CN"/>
        </w:rPr>
        <w:t>8、</w:t>
      </w:r>
      <w:r>
        <w:rPr>
          <w:rFonts w:hint="eastAsia" w:ascii="微软雅黑" w:hAnsi="微软雅黑" w:eastAsia="微软雅黑" w:cs="微软雅黑"/>
          <w:b/>
          <w:color w:val="auto"/>
          <w:sz w:val="24"/>
          <w:szCs w:val="24"/>
          <w:highlight w:val="none"/>
        </w:rPr>
        <w:t>知识产权</w:t>
      </w:r>
      <w:bookmarkEnd w:id="1201"/>
      <w:bookmarkEnd w:id="1202"/>
      <w:bookmarkEnd w:id="1203"/>
    </w:p>
    <w:bookmarkEnd w:id="1198"/>
    <w:bookmarkEnd w:id="1199"/>
    <w:bookmarkEnd w:id="1200"/>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lang w:val="en-US" w:eastAsia="zh-CN"/>
        </w:rPr>
        <w:t>采购方在中华人民共和国境内使用投标供应商提供的货物及服务时免受第三方提出的侵犯其专利权或其它知识产权的起诉。如果第三方提出侵权指控，供货服务商应承担由此而引起的一切法律责任和费用。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b/>
          <w:color w:val="auto"/>
          <w:sz w:val="24"/>
          <w:szCs w:val="24"/>
          <w:highlight w:val="none"/>
        </w:rPr>
      </w:pPr>
      <w:bookmarkStart w:id="1204" w:name="_Toc17147"/>
      <w:bookmarkStart w:id="1205" w:name="_Toc20832"/>
      <w:bookmarkStart w:id="1206" w:name="_Toc267320054"/>
      <w:bookmarkStart w:id="1207" w:name="_Toc12840_WPSOffice_Level1"/>
      <w:bookmarkStart w:id="1208" w:name="_Toc439255252"/>
      <w:r>
        <w:rPr>
          <w:rFonts w:hint="eastAsia" w:ascii="微软雅黑" w:hAnsi="微软雅黑" w:eastAsia="微软雅黑" w:cs="微软雅黑"/>
          <w:b/>
          <w:color w:val="auto"/>
          <w:sz w:val="24"/>
          <w:szCs w:val="24"/>
          <w:highlight w:val="none"/>
          <w:lang w:val="en-US" w:eastAsia="zh-CN"/>
        </w:rPr>
        <w:t>9、</w:t>
      </w:r>
      <w:r>
        <w:rPr>
          <w:rFonts w:hint="eastAsia" w:ascii="微软雅黑" w:hAnsi="微软雅黑" w:eastAsia="微软雅黑" w:cs="微软雅黑"/>
          <w:b/>
          <w:color w:val="auto"/>
          <w:sz w:val="24"/>
          <w:szCs w:val="24"/>
          <w:highlight w:val="none"/>
        </w:rPr>
        <w:t>其他</w:t>
      </w:r>
      <w:bookmarkEnd w:id="1204"/>
      <w:bookmarkEnd w:id="1205"/>
    </w:p>
    <w:bookmarkEnd w:id="1206"/>
    <w:bookmarkEnd w:id="1207"/>
    <w:bookmarkEnd w:id="1208"/>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投标供应商</w:t>
      </w:r>
      <w:r>
        <w:rPr>
          <w:rFonts w:hint="eastAsia" w:ascii="微软雅黑" w:hAnsi="微软雅黑" w:eastAsia="微软雅黑" w:cs="微软雅黑"/>
          <w:color w:val="auto"/>
          <w:sz w:val="24"/>
          <w:szCs w:val="24"/>
          <w:highlight w:val="none"/>
        </w:rPr>
        <w:t>必须在投标文件中对以上条款和服务承诺明确列出，承诺内容必须达到本篇及招标文件其他条款的要求。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中标人与采购人签订</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协议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后，须与用户方签订</w:t>
      </w:r>
      <w:r>
        <w:rPr>
          <w:rFonts w:hint="eastAsia" w:ascii="微软雅黑" w:hAnsi="微软雅黑" w:eastAsia="微软雅黑" w:cs="微软雅黑"/>
          <w:color w:val="auto"/>
          <w:sz w:val="24"/>
          <w:szCs w:val="24"/>
          <w:highlight w:val="none"/>
          <w:lang w:eastAsia="zh-CN"/>
        </w:rPr>
        <w:t>《疫苗采购供应</w:t>
      </w:r>
      <w:r>
        <w:rPr>
          <w:rFonts w:hint="eastAsia" w:ascii="微软雅黑" w:hAnsi="微软雅黑" w:eastAsia="微软雅黑" w:cs="微软雅黑"/>
          <w:color w:val="auto"/>
          <w:sz w:val="24"/>
          <w:szCs w:val="24"/>
          <w:highlight w:val="none"/>
        </w:rPr>
        <w:t>合同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（包括供货范围、需求数量、单价等），明确具体供货数量、供货时间、送达地点等内容。</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其他未尽事宜由供需双方在采购合同中详细约定。</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若供货服务商不能按招标文件规定的</w:t>
      </w:r>
      <w:r>
        <w:rPr>
          <w:rFonts w:hint="eastAsia" w:ascii="微软雅黑" w:hAnsi="微软雅黑" w:eastAsia="微软雅黑" w:cs="微软雅黑"/>
          <w:color w:val="auto"/>
          <w:sz w:val="24"/>
          <w:szCs w:val="24"/>
          <w:highlight w:val="none"/>
          <w:lang w:eastAsia="zh-CN"/>
        </w:rPr>
        <w:t>供货</w:t>
      </w:r>
      <w:r>
        <w:rPr>
          <w:rFonts w:hint="eastAsia" w:ascii="微软雅黑" w:hAnsi="微软雅黑" w:eastAsia="微软雅黑" w:cs="微软雅黑"/>
          <w:color w:val="auto"/>
          <w:sz w:val="24"/>
          <w:szCs w:val="24"/>
          <w:highlight w:val="none"/>
        </w:rPr>
        <w:t>期正常</w:t>
      </w:r>
      <w:r>
        <w:rPr>
          <w:rFonts w:hint="eastAsia" w:ascii="微软雅黑" w:hAnsi="微软雅黑" w:eastAsia="微软雅黑" w:cs="微软雅黑"/>
          <w:color w:val="auto"/>
          <w:sz w:val="24"/>
          <w:szCs w:val="24"/>
          <w:highlight w:val="none"/>
          <w:lang w:eastAsia="zh-CN"/>
        </w:rPr>
        <w:t>供货</w:t>
      </w:r>
      <w:r>
        <w:rPr>
          <w:rFonts w:hint="eastAsia" w:ascii="微软雅黑" w:hAnsi="微软雅黑" w:eastAsia="微软雅黑" w:cs="微软雅黑"/>
          <w:color w:val="auto"/>
          <w:sz w:val="24"/>
          <w:szCs w:val="24"/>
          <w:highlight w:val="none"/>
        </w:rPr>
        <w:t>，采购方有权终止采购合同，并将相关情况上报给采购计划主管部门，取消其中标资格。</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采购方根据国家免疫政策调整情况，享有本次采购疫苗品种、类别、数量调整的权利。</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采购方有权对供货服务商供应的每一个批次的产品进行产品质量的实验室抽检和免疫效果评价，经检测和评价不符合国家相关标准和要求的，立即对产品进行退货、中止合同且上报监督部门对其进行处罚。</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）投标供应商提供近三年内参与</w:t>
      </w:r>
      <w:r>
        <w:rPr>
          <w:rFonts w:hint="eastAsia" w:ascii="微软雅黑" w:hAnsi="微软雅黑" w:eastAsia="微软雅黑" w:cs="微软雅黑"/>
          <w:color w:val="auto"/>
          <w:sz w:val="24"/>
          <w:szCs w:val="24"/>
          <w:highlight w:val="none"/>
          <w:lang w:val="en-US" w:eastAsia="zh-CN"/>
        </w:rPr>
        <w:t>类似</w:t>
      </w:r>
      <w:r>
        <w:rPr>
          <w:rFonts w:hint="eastAsia" w:ascii="微软雅黑" w:hAnsi="微软雅黑" w:eastAsia="微软雅黑" w:cs="微软雅黑"/>
          <w:color w:val="auto"/>
          <w:sz w:val="24"/>
          <w:szCs w:val="24"/>
          <w:highlight w:val="none"/>
        </w:rPr>
        <w:t>业绩证明材料中</w:t>
      </w:r>
      <w:r>
        <w:rPr>
          <w:rFonts w:hint="eastAsia" w:ascii="微软雅黑" w:hAnsi="微软雅黑" w:eastAsia="微软雅黑" w:cs="微软雅黑"/>
          <w:color w:val="auto"/>
          <w:sz w:val="24"/>
          <w:szCs w:val="24"/>
          <w:highlight w:val="none"/>
          <w:lang w:eastAsia="zh-CN"/>
        </w:rPr>
        <w:t>标通知书</w:t>
      </w:r>
      <w:r>
        <w:rPr>
          <w:rFonts w:hint="eastAsia" w:ascii="微软雅黑" w:hAnsi="微软雅黑" w:eastAsia="微软雅黑" w:cs="微软雅黑"/>
          <w:color w:val="auto"/>
          <w:sz w:val="24"/>
          <w:szCs w:val="24"/>
          <w:highlight w:val="none"/>
          <w:lang w:val="en-US" w:eastAsia="zh-CN"/>
        </w:rPr>
        <w:t>及</w:t>
      </w:r>
      <w:r>
        <w:rPr>
          <w:rFonts w:hint="eastAsia" w:ascii="微软雅黑" w:hAnsi="微软雅黑" w:eastAsia="微软雅黑" w:cs="微软雅黑"/>
          <w:color w:val="auto"/>
          <w:sz w:val="24"/>
          <w:szCs w:val="24"/>
          <w:highlight w:val="none"/>
          <w:lang w:eastAsia="zh-CN"/>
        </w:rPr>
        <w:t>合同</w:t>
      </w:r>
      <w:r>
        <w:rPr>
          <w:rFonts w:hint="eastAsia" w:ascii="微软雅黑" w:hAnsi="微软雅黑" w:eastAsia="微软雅黑" w:cs="微软雅黑"/>
          <w:color w:val="auto"/>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）配备5名具有执业兽医医师资格证的专业技术服务人员。</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rPr>
          <w:rFonts w:hint="eastAsia"/>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标书制作目录与页码对应准确，评审内容便于查找，没有与评审内容无关的资料。</w:t>
      </w:r>
    </w:p>
    <w:p>
      <w:pPr>
        <w:keepNext w:val="0"/>
        <w:keepLines w:val="0"/>
        <w:pageBreakBefore w:val="0"/>
        <w:widowControl w:val="0"/>
        <w:kinsoku/>
        <w:wordWrap/>
        <w:overflowPunct/>
        <w:topLinePunct w:val="0"/>
        <w:autoSpaceDE/>
        <w:autoSpaceDN/>
        <w:bidi w:val="0"/>
        <w:adjustRightInd/>
        <w:spacing w:line="360" w:lineRule="exact"/>
        <w:ind w:left="641" w:leftChars="0" w:hanging="641" w:hangingChars="267"/>
        <w:jc w:val="left"/>
        <w:textAlignment w:val="auto"/>
        <w:outlineLvl w:val="9"/>
        <w:rPr>
          <w:rFonts w:hint="default"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注：上述技术参数不允许偏离，若偏离，作无效投标处理。</w:t>
      </w:r>
    </w:p>
    <w:p>
      <w:pPr>
        <w:rPr>
          <w:rFonts w:hint="eastAsia" w:ascii="微软雅黑" w:hAnsi="微软雅黑" w:eastAsia="微软雅黑" w:cs="微软雅黑"/>
          <w:color w:val="auto"/>
          <w:highlight w:val="none"/>
          <w:lang w:val="en-US" w:eastAsia="zh-CN"/>
        </w:rPr>
      </w:pPr>
    </w:p>
    <w:p>
      <w:pPr>
        <w:rPr>
          <w:rFonts w:hint="eastAsia" w:ascii="微软雅黑" w:hAnsi="微软雅黑" w:eastAsia="微软雅黑" w:cs="微软雅黑"/>
          <w:b/>
          <w:bCs/>
          <w:color w:val="auto"/>
          <w:sz w:val="28"/>
          <w:szCs w:val="36"/>
          <w:highlight w:val="none"/>
          <w:lang w:val="en-US" w:eastAsia="zh-CN"/>
        </w:rPr>
      </w:pPr>
      <w:r>
        <w:rPr>
          <w:rFonts w:hint="eastAsia" w:ascii="微软雅黑" w:hAnsi="微软雅黑" w:eastAsia="微软雅黑" w:cs="微软雅黑"/>
          <w:b/>
          <w:bCs/>
          <w:color w:val="auto"/>
          <w:sz w:val="24"/>
          <w:szCs w:val="24"/>
          <w:highlight w:val="none"/>
          <w:lang w:val="en-US" w:eastAsia="zh-CN"/>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p>
      <w:pPr>
        <w:jc w:val="center"/>
        <w:outlineLvl w:val="0"/>
        <w:rPr>
          <w:rFonts w:hint="eastAsia" w:ascii="微软雅黑" w:hAnsi="微软雅黑" w:eastAsia="微软雅黑" w:cs="微软雅黑"/>
          <w:color w:val="auto"/>
          <w:sz w:val="32"/>
          <w:szCs w:val="32"/>
          <w:highlight w:val="none"/>
        </w:rPr>
      </w:pPr>
      <w:bookmarkStart w:id="1209" w:name="_Toc11259"/>
      <w:bookmarkStart w:id="1210" w:name="_Toc16984"/>
      <w:bookmarkStart w:id="1211" w:name="_Toc31651"/>
      <w:r>
        <w:rPr>
          <w:rStyle w:val="38"/>
          <w:rFonts w:hint="eastAsia" w:ascii="微软雅黑" w:hAnsi="微软雅黑" w:eastAsia="微软雅黑" w:cs="微软雅黑"/>
          <w:color w:val="auto"/>
          <w:sz w:val="32"/>
          <w:szCs w:val="32"/>
          <w:highlight w:val="none"/>
        </w:rPr>
        <w:t>第6章  评标方法和标准</w:t>
      </w:r>
      <w:bookmarkEnd w:id="14"/>
      <w:bookmarkEnd w:id="15"/>
      <w:bookmarkEnd w:id="16"/>
      <w:bookmarkEnd w:id="17"/>
      <w:bookmarkEnd w:id="18"/>
      <w:bookmarkEnd w:id="19"/>
      <w:bookmarkEnd w:id="20"/>
      <w:bookmarkEnd w:id="1209"/>
      <w:bookmarkEnd w:id="1210"/>
      <w:bookmarkEnd w:id="1211"/>
    </w:p>
    <w:p>
      <w:pPr>
        <w:pStyle w:val="11"/>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1.投标无效的情形：</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）供应商应当对所投分包投标文件中“</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内容”所列的所有内容进行投标，如仅响应某一包中的部分内容，其该包投标将被认定为投标无效。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）所有投标文件采用不可拆装的胶订方式装订，否则其投标将被认定为投标无效。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13</w:t>
      </w:r>
      <w:r>
        <w:rPr>
          <w:rFonts w:hint="eastAsia" w:ascii="微软雅黑" w:hAnsi="微软雅黑" w:eastAsia="微软雅黑" w:cs="微软雅黑"/>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380" w:lineRule="exact"/>
        <w:jc w:val="lef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kern w:val="2"/>
          <w:sz w:val="24"/>
          <w:szCs w:val="24"/>
          <w:highlight w:val="none"/>
          <w:lang w:val="en-US" w:eastAsia="zh-CN" w:bidi="ar-SA"/>
        </w:rPr>
        <w:t>本项目不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  10  %后参与评审。对于同时属于小型、微型及小微企业、监狱企业或残疾人福利性单位的，不重复进行报价扣除。具体办法详见招标文件第6章。</w:t>
      </w:r>
    </w:p>
    <w:p>
      <w:pPr>
        <w:keepNext w:val="0"/>
        <w:keepLines w:val="0"/>
        <w:pageBreakBefore w:val="0"/>
        <w:widowControl/>
        <w:kinsoku/>
        <w:wordWrap/>
        <w:overflowPunct/>
        <w:topLinePunct w:val="0"/>
        <w:autoSpaceDE/>
        <w:autoSpaceDN/>
        <w:bidi w:val="0"/>
        <w:adjustRightInd/>
        <w:spacing w:line="38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3.联合协议中约定</w:t>
      </w:r>
      <w:r>
        <w:rPr>
          <w:rFonts w:hint="eastAsia" w:ascii="微软雅黑" w:hAnsi="微软雅黑" w:eastAsia="微软雅黑" w:cs="微软雅黑"/>
          <w:color w:val="auto"/>
          <w:sz w:val="24"/>
          <w:highlight w:val="none"/>
        </w:rPr>
        <w:t>，小型、微型企业和监狱企业的协议合同金额占到联合体协议合同总金额30%以上的，可给予联合体</w:t>
      </w:r>
      <w:r>
        <w:rPr>
          <w:rFonts w:hint="eastAsia" w:ascii="微软雅黑" w:hAnsi="微软雅黑" w:eastAsia="微软雅黑" w:cs="微软雅黑"/>
          <w:color w:val="auto"/>
          <w:sz w:val="24"/>
          <w:highlight w:val="none"/>
          <w:u w:val="single"/>
        </w:rPr>
        <w:t xml:space="preserve"> 2%-3%</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38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联合体各方均为小型、微型企业和监狱企业的，联合体视同为小型、微型企业和监狱企业。</w:t>
      </w:r>
    </w:p>
    <w:p>
      <w:pPr>
        <w:pStyle w:val="11"/>
        <w:keepNext w:val="0"/>
        <w:keepLines w:val="0"/>
        <w:pageBreakBefore w:val="0"/>
        <w:tabs>
          <w:tab w:val="clear" w:pos="567"/>
        </w:tabs>
        <w:kinsoku/>
        <w:wordWrap/>
        <w:overflowPunct/>
        <w:topLinePunct w:val="0"/>
        <w:autoSpaceDE/>
        <w:autoSpaceDN/>
        <w:bidi w:val="0"/>
        <w:adjustRightInd/>
        <w:spacing w:before="0" w:line="380" w:lineRule="exact"/>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4.供应商</w:t>
      </w:r>
      <w:r>
        <w:rPr>
          <w:rFonts w:hint="eastAsia" w:ascii="微软雅黑" w:hAnsi="微软雅黑" w:eastAsia="微软雅黑" w:cs="微软雅黑"/>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微软雅黑" w:hAnsi="微软雅黑" w:eastAsia="微软雅黑" w:cs="微软雅黑"/>
          <w:color w:val="auto"/>
          <w:highlight w:val="none"/>
        </w:rPr>
        <w:t>。</w:t>
      </w:r>
    </w:p>
    <w:p>
      <w:pPr>
        <w:pStyle w:val="11"/>
        <w:keepNext w:val="0"/>
        <w:keepLines w:val="0"/>
        <w:pageBreakBefore w:val="0"/>
        <w:tabs>
          <w:tab w:val="clear" w:pos="567"/>
        </w:tabs>
        <w:kinsoku/>
        <w:wordWrap/>
        <w:overflowPunct/>
        <w:topLinePunct w:val="0"/>
        <w:autoSpaceDE/>
        <w:autoSpaceDN/>
        <w:bidi w:val="0"/>
        <w:adjustRightInd/>
        <w:spacing w:before="0" w:line="380" w:lineRule="exact"/>
        <w:rPr>
          <w:rFonts w:hint="eastAsia" w:ascii="微软雅黑" w:hAnsi="微软雅黑" w:eastAsia="微软雅黑" w:cs="微软雅黑"/>
          <w:color w:val="auto"/>
          <w:highlight w:val="none"/>
          <w:u w:val="single"/>
        </w:rPr>
      </w:pPr>
      <w:r>
        <w:rPr>
          <w:rFonts w:hint="eastAsia" w:ascii="微软雅黑" w:hAnsi="微软雅黑" w:eastAsia="微软雅黑" w:cs="微软雅黑"/>
          <w:b/>
          <w:bCs/>
          <w:color w:val="auto"/>
          <w:highlight w:val="none"/>
        </w:rPr>
        <w:t>5.对创新产</w:t>
      </w:r>
      <w:r>
        <w:rPr>
          <w:rFonts w:hint="eastAsia" w:ascii="微软雅黑" w:hAnsi="微软雅黑" w:eastAsia="微软雅黑" w:cs="微软雅黑"/>
          <w:color w:val="auto"/>
          <w:highlight w:val="none"/>
        </w:rPr>
        <w:t>品或创新性企业的优惠措施为：</w:t>
      </w:r>
      <w:r>
        <w:rPr>
          <w:rFonts w:hint="eastAsia" w:ascii="微软雅黑" w:hAnsi="微软雅黑" w:eastAsia="微软雅黑" w:cs="微软雅黑"/>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6.开标：</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（1）供应商按照须知资料表中规定的开标时间和地点，在规定时间内上传投标文件。</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（2）在开标前，工作人员收取所有参会人员的手机，主持人宣读开标纪律。</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（3）开标时，由代理机构对供应商的投标文件进行解密，解密时间为30分钟。</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（4）由代理机构开启报价，所有投标供应商签字确认。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color w:val="auto"/>
          <w:sz w:val="24"/>
          <w:highlight w:val="none"/>
        </w:rPr>
        <w:t>（5）采购人或采购代理机构登录政采云平台对投标供应商的资格证明材料进行审查。</w:t>
      </w:r>
    </w:p>
    <w:p>
      <w:pPr>
        <w:pStyle w:val="19"/>
        <w:keepNext w:val="0"/>
        <w:keepLines w:val="0"/>
        <w:pageBreakBefore w:val="0"/>
        <w:kinsoku/>
        <w:wordWrap/>
        <w:overflowPunct/>
        <w:topLinePunct w:val="0"/>
        <w:autoSpaceDE/>
        <w:autoSpaceDN/>
        <w:bidi w:val="0"/>
        <w:adjustRightInd/>
        <w:spacing w:line="436" w:lineRule="exact"/>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7.评标：</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（1）在政采云平台上随机抽取</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名专家，负责评标工作。</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（2）评标前，工作人员收取所有参会人员的手机，主持人宣读评标纪律。</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对采购单位的纪律要求：</w:t>
      </w:r>
      <w:r>
        <w:rPr>
          <w:rFonts w:hint="eastAsia" w:ascii="微软雅黑" w:hAnsi="微软雅黑" w:eastAsia="微软雅黑" w:cs="微软雅黑"/>
          <w:color w:val="auto"/>
          <w:sz w:val="24"/>
          <w:highlight w:val="none"/>
          <w:lang w:eastAsia="zh-CN"/>
        </w:rPr>
        <w:t>采购单位不得泄露招投标活动中应当保密的情况和资料，不得与供应商串通损害国家利益、社会公共利益或者他人合法权益</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对与开标大会活动有关的工作人员的纪律要求：与开标大会活动有关的工作人员不得收受他人的财物或者其他好处，不得向他人透露对中标候选人的推荐情况以及评标有关的其他情况。</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对评标专家的评标纪律及注意事项：</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①与本次评标工作无关的人员不得进入评标现场；</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②在评标过程中评标委员会以外人员不得干预或影响正常评标工作，不得明示或暗示其倾向性、引导性言论；</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③评标委员会成员要严格遵守政府采购法、政府采购法实施条例、政府采购货物和服务招标投标管理办法及评标专家管理办法，要求公正、公平的参与评标工作；</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pStyle w:val="19"/>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⑦评标专家与供应商有下列利害关系之一的人员，应当回避：</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参加采购活动前3年内与供应商存在劳动关系；</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参加采购活动前3年内担任供应商的董事、监事；</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参加采购活动前3年内是供应商的控股股东或者实际控制人；</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与供应商的法定代表人或者负责人有夫妻、直系血亲、三代以内旁系血亲或者近姻亲关系。</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（3）评标委员会应当按照招标文件中规定的评标方法和标准，对所有通过资格审查要求的投标供应商的投标文件，进行符合性审查，以确定是否满足招标文件的实质性要求。</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19"/>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注：现场所有参会人员均要对开标内容进行保密。</w:t>
      </w:r>
    </w:p>
    <w:p>
      <w:pPr>
        <w:pStyle w:val="19"/>
        <w:keepNext w:val="0"/>
        <w:keepLines w:val="0"/>
        <w:pageBreakBefore w:val="0"/>
        <w:shd w:val="clear" w:color="auto" w:fill="auto"/>
        <w:kinsoku/>
        <w:wordWrap/>
        <w:overflowPunct/>
        <w:topLinePunct w:val="0"/>
        <w:autoSpaceDE/>
        <w:autoSpaceDN/>
        <w:bidi w:val="0"/>
        <w:adjustRightInd/>
        <w:snapToGrid w:val="0"/>
        <w:spacing w:line="500"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8.答疑澄清：</w:t>
      </w:r>
    </w:p>
    <w:p>
      <w:pPr>
        <w:pStyle w:val="19"/>
        <w:keepNext w:val="0"/>
        <w:keepLines w:val="0"/>
        <w:pageBreakBefore w:val="0"/>
        <w:numPr>
          <w:ilvl w:val="0"/>
          <w:numId w:val="0"/>
        </w:numPr>
        <w:kinsoku/>
        <w:wordWrap/>
        <w:overflowPunct/>
        <w:topLinePunct w:val="0"/>
        <w:autoSpaceDE/>
        <w:autoSpaceDN/>
        <w:bidi w:val="0"/>
        <w:adjustRightInd/>
        <w:spacing w:line="436"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（1）评标委员会对于投标文件中含义不明确、同类问题表述不一致或者有明显文字和计算错误的内容，要求投标人以书面形式现场作出必要的澄清、说明或者补正。</w:t>
      </w:r>
    </w:p>
    <w:p>
      <w:pPr>
        <w:pStyle w:val="19"/>
        <w:keepNext w:val="0"/>
        <w:keepLines w:val="0"/>
        <w:pageBreakBefore w:val="0"/>
        <w:numPr>
          <w:ilvl w:val="0"/>
          <w:numId w:val="0"/>
        </w:numPr>
        <w:kinsoku/>
        <w:wordWrap/>
        <w:overflowPunct/>
        <w:topLinePunct w:val="0"/>
        <w:autoSpaceDE/>
        <w:autoSpaceDN/>
        <w:bidi w:val="0"/>
        <w:adjustRightInd/>
        <w:spacing w:line="436"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pPr>
        <w:pStyle w:val="19"/>
        <w:keepNext w:val="0"/>
        <w:keepLines w:val="0"/>
        <w:pageBreakBefore w:val="0"/>
        <w:numPr>
          <w:ilvl w:val="0"/>
          <w:numId w:val="0"/>
        </w:numPr>
        <w:kinsoku/>
        <w:wordWrap/>
        <w:overflowPunct/>
        <w:topLinePunct w:val="0"/>
        <w:autoSpaceDE/>
        <w:autoSpaceDN/>
        <w:bidi w:val="0"/>
        <w:adjustRightInd/>
        <w:snapToGrid w:val="0"/>
        <w:spacing w:line="498"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9.定标：</w:t>
      </w:r>
    </w:p>
    <w:p>
      <w:pPr>
        <w:pStyle w:val="19"/>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（1）采购代理机构应当在评标结束后2个工作日内将评标报告送采购人。</w:t>
      </w:r>
    </w:p>
    <w:p>
      <w:pPr>
        <w:pStyle w:val="19"/>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（2）采购人应当自收到评标报告之日起5个工作日内，在评标报告确定的中标候选人名单中按顺序确定中标人。中标候选人并列的，由采购人按照招标文件规定的方式确定中标人。</w:t>
      </w:r>
    </w:p>
    <w:p>
      <w:pPr>
        <w:pStyle w:val="19"/>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pStyle w:val="19"/>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9"/>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10.评标标准：</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（2）商务评分占6%，包含业绩、文件制作。</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（3）技术评分占64%，包含产品技术指标及生产能力技术、培训方案、损失补偿方案、售后服务、疫苗的冷链运输、响应时间、产品保险。</w:t>
      </w:r>
    </w:p>
    <w:p>
      <w:pPr>
        <w:pStyle w:val="19"/>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19"/>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19"/>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7"/>
        <w:jc w:val="center"/>
        <w:rPr>
          <w:rFonts w:hint="eastAsia" w:ascii="微软雅黑" w:hAnsi="微软雅黑" w:eastAsia="微软雅黑" w:cs="微软雅黑"/>
          <w:color w:val="auto"/>
          <w:highlight w:val="none"/>
        </w:rPr>
      </w:pPr>
      <w:bookmarkStart w:id="1212" w:name="_Toc397"/>
      <w:bookmarkStart w:id="1213" w:name="_Toc25901"/>
      <w:bookmarkStart w:id="1214" w:name="_Toc19412"/>
      <w:bookmarkStart w:id="1215" w:name="_Toc1327"/>
      <w:bookmarkStart w:id="1216" w:name="_Toc5578"/>
      <w:bookmarkStart w:id="1217" w:name="_Toc29085"/>
      <w:bookmarkStart w:id="1218" w:name="_Toc9116"/>
      <w:bookmarkStart w:id="1219" w:name="_Toc23043"/>
      <w:bookmarkStart w:id="1220" w:name="_Toc21578"/>
      <w:bookmarkStart w:id="1221" w:name="_Toc9835"/>
      <w:bookmarkStart w:id="1222" w:name="_Toc23103"/>
      <w:bookmarkStart w:id="1223" w:name="_Toc6128"/>
      <w:bookmarkStart w:id="1224" w:name="_Toc21866"/>
      <w:bookmarkStart w:id="1225" w:name="_Toc5478"/>
      <w:bookmarkStart w:id="1226" w:name="_Toc5776"/>
      <w:bookmarkStart w:id="1227" w:name="_Toc5986"/>
      <w:bookmarkStart w:id="1228" w:name="_Toc7467"/>
      <w:bookmarkStart w:id="1229" w:name="_Toc28782"/>
      <w:bookmarkStart w:id="1230" w:name="_Toc10419"/>
      <w:r>
        <w:rPr>
          <w:rFonts w:hint="eastAsia" w:ascii="微软雅黑" w:hAnsi="微软雅黑" w:eastAsia="微软雅黑" w:cs="微软雅黑"/>
          <w:color w:val="auto"/>
          <w:highlight w:val="none"/>
        </w:rPr>
        <w:t>初步评审—资格性审查表</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tbl>
      <w:tblPr>
        <w:tblStyle w:val="25"/>
        <w:tblpPr w:leftFromText="180" w:rightFromText="180" w:vertAnchor="text" w:horzAnchor="page" w:tblpXSpec="center" w:tblpY="234"/>
        <w:tblOverlap w:val="never"/>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7449"/>
        <w:gridCol w:w="851"/>
        <w:gridCol w:w="706"/>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序号</w:t>
            </w:r>
          </w:p>
        </w:tc>
        <w:tc>
          <w:tcPr>
            <w:tcW w:w="744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评审内容</w:t>
            </w:r>
          </w:p>
        </w:tc>
        <w:tc>
          <w:tcPr>
            <w:tcW w:w="227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p>
        </w:tc>
        <w:tc>
          <w:tcPr>
            <w:tcW w:w="7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c>
          <w:tcPr>
            <w:tcW w:w="7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1</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具有有效的营业执照；</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2</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提供法定代表人资格证明及授权书、被授权人身份证；(法定代表人投标需提供法定代表人身份证)；</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3</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具有有效的《兽药经营许可证》或《兽药生产许可证》；</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4</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提近两年任意一年的财务审计报告，新成立的公司提供近三个月内任意一个月的银行资信证明；</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5</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提供依法缴纳近6个月内任意1个月社会保险的证明；</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6</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提供依法缴纳近6个月内任意1个月的税收证明；</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7</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国家企业信用信息公示系统（http://www.gsxt.gov.cn）”列入严重违法失信企业名单（黑名单）信息截图；将拒绝其参加本次招标活动；</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8</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提供参与政府采购活动前3年内未被列入失信、重大税收违法案件、财政部门禁止参加政府采购活动的承诺书；</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9</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提供针对本次项目《反商业贿赂承诺书》。</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10</w:t>
            </w: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提供缴纳投标保证金有效凭证。</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p>
        </w:tc>
        <w:tc>
          <w:tcPr>
            <w:tcW w:w="74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结论</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bl>
    <w:p>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说明：（1）上述各项中用“√”表示通过，“×”表示不通过；</w:t>
      </w:r>
    </w:p>
    <w:p>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（3）投标文件最终合格与否，以所有评委的评审意见中少数服从多数为原则定论。</w:t>
      </w:r>
    </w:p>
    <w:p>
      <w:pPr>
        <w:spacing w:line="360" w:lineRule="exac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未通过资格审查的供应商不进入评标；通过资格审查的供应商少于不足三家的，不得评标。</w:t>
      </w:r>
    </w:p>
    <w:p>
      <w:pPr>
        <w:pStyle w:val="5"/>
        <w:rPr>
          <w:rFonts w:hint="eastAsia" w:ascii="微软雅黑" w:hAnsi="微软雅黑" w:eastAsia="微软雅黑" w:cs="微软雅黑"/>
          <w:b/>
          <w:bCs/>
          <w:color w:val="auto"/>
          <w:szCs w:val="21"/>
          <w:highlight w:val="none"/>
        </w:rPr>
      </w:pPr>
    </w:p>
    <w:p>
      <w:pPr>
        <w:rPr>
          <w:rFonts w:hint="eastAsia" w:ascii="微软雅黑" w:hAnsi="微软雅黑" w:eastAsia="微软雅黑" w:cs="微软雅黑"/>
          <w:b/>
          <w:bCs/>
          <w:color w:val="auto"/>
          <w:szCs w:val="21"/>
          <w:highlight w:val="none"/>
        </w:rPr>
      </w:pPr>
    </w:p>
    <w:p>
      <w:pPr>
        <w:pStyle w:val="5"/>
        <w:rPr>
          <w:rFonts w:hint="eastAsia"/>
          <w:highlight w:val="none"/>
        </w:rPr>
      </w:pPr>
    </w:p>
    <w:p>
      <w:pPr>
        <w:rPr>
          <w:rFonts w:hint="eastAsia" w:ascii="微软雅黑" w:hAnsi="微软雅黑" w:eastAsia="微软雅黑" w:cs="微软雅黑"/>
          <w:color w:val="auto"/>
          <w:highlight w:val="none"/>
        </w:rPr>
      </w:pPr>
      <w:bookmarkStart w:id="1231" w:name="_Toc10492"/>
      <w:bookmarkStart w:id="1232" w:name="_Toc26642"/>
      <w:bookmarkStart w:id="1233" w:name="_Toc8255"/>
      <w:bookmarkStart w:id="1234" w:name="_Toc273"/>
      <w:bookmarkStart w:id="1235" w:name="_Toc18094"/>
      <w:bookmarkStart w:id="1236" w:name="_Toc14007"/>
      <w:bookmarkStart w:id="1237" w:name="_Toc27246"/>
      <w:bookmarkStart w:id="1238" w:name="_Toc8382"/>
      <w:bookmarkStart w:id="1239" w:name="_Toc31983"/>
      <w:bookmarkStart w:id="1240" w:name="_Toc30395"/>
      <w:bookmarkStart w:id="1241" w:name="_Toc28858"/>
      <w:bookmarkStart w:id="1242" w:name="_Toc13854"/>
      <w:bookmarkStart w:id="1243" w:name="_Toc12108"/>
      <w:bookmarkStart w:id="1244" w:name="_Toc3927"/>
      <w:bookmarkStart w:id="1245" w:name="_Toc16022"/>
      <w:bookmarkStart w:id="1246" w:name="_Toc21850"/>
      <w:bookmarkStart w:id="1247" w:name="_Toc3062"/>
      <w:bookmarkStart w:id="1248" w:name="_Toc1474"/>
      <w:r>
        <w:rPr>
          <w:rFonts w:hint="eastAsia" w:ascii="微软雅黑" w:hAnsi="微软雅黑" w:eastAsia="微软雅黑" w:cs="微软雅黑"/>
          <w:color w:val="auto"/>
          <w:highlight w:val="none"/>
        </w:rPr>
        <w:br w:type="page"/>
      </w:r>
    </w:p>
    <w:p>
      <w:pPr>
        <w:pStyle w:val="7"/>
        <w:rPr>
          <w:rFonts w:hint="eastAsia" w:ascii="微软雅黑" w:hAnsi="微软雅黑" w:eastAsia="微软雅黑" w:cs="微软雅黑"/>
          <w:color w:val="auto"/>
          <w:highlight w:val="none"/>
        </w:rPr>
      </w:pPr>
      <w:bookmarkStart w:id="1249" w:name="_Toc31262"/>
      <w:r>
        <w:rPr>
          <w:rFonts w:hint="eastAsia" w:ascii="微软雅黑" w:hAnsi="微软雅黑" w:eastAsia="微软雅黑" w:cs="微软雅黑"/>
          <w:color w:val="auto"/>
          <w:highlight w:val="none"/>
        </w:rPr>
        <w:t>初步评审—符合性审查表</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tbl>
      <w:tblPr>
        <w:tblStyle w:val="25"/>
        <w:tblpPr w:leftFromText="180" w:rightFromText="180" w:vertAnchor="text" w:horzAnchor="page" w:tblpXSpec="center" w:tblpY="262"/>
        <w:tblOverlap w:val="never"/>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793"/>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51" w:type="dxa"/>
            <w:gridSpan w:val="2"/>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评审内容</w:t>
            </w:r>
          </w:p>
        </w:tc>
        <w:tc>
          <w:tcPr>
            <w:tcW w:w="116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8" w:type="dxa"/>
            <w:vAlign w:val="center"/>
          </w:tcPr>
          <w:p>
            <w:pPr>
              <w:spacing w:line="400" w:lineRule="exac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序号</w:t>
            </w:r>
          </w:p>
        </w:tc>
        <w:tc>
          <w:tcPr>
            <w:tcW w:w="7793" w:type="dxa"/>
            <w:vAlign w:val="center"/>
          </w:tcPr>
          <w:p>
            <w:pPr>
              <w:spacing w:line="400" w:lineRule="exact"/>
              <w:rPr>
                <w:rFonts w:hint="eastAsia" w:ascii="微软雅黑" w:hAnsi="微软雅黑" w:eastAsia="微软雅黑" w:cs="微软雅黑"/>
                <w:color w:val="auto"/>
                <w:spacing w:val="-2"/>
                <w:szCs w:val="21"/>
                <w:highlight w:val="none"/>
              </w:rPr>
            </w:pPr>
          </w:p>
        </w:tc>
        <w:tc>
          <w:tcPr>
            <w:tcW w:w="116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各供应商投标报价未高于预算金额；</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评标委员会认为供应商的报价无明显低于其他通过</w:t>
            </w:r>
            <w:r>
              <w:rPr>
                <w:rFonts w:hint="eastAsia" w:ascii="微软雅黑" w:hAnsi="微软雅黑" w:eastAsia="微软雅黑" w:cs="微软雅黑"/>
                <w:color w:val="auto"/>
                <w:spacing w:val="-2"/>
                <w:szCs w:val="21"/>
                <w:highlight w:val="none"/>
                <w:lang w:val="en-US" w:eastAsia="zh-CN"/>
              </w:rPr>
              <w:t>符合</w:t>
            </w:r>
            <w:r>
              <w:rPr>
                <w:rFonts w:hint="eastAsia" w:ascii="微软雅黑" w:hAnsi="微软雅黑" w:eastAsia="微软雅黑" w:cs="微软雅黑"/>
                <w:color w:val="auto"/>
                <w:spacing w:val="-2"/>
                <w:szCs w:val="21"/>
                <w:highlight w:val="none"/>
              </w:rPr>
              <w:t>性审查供应商的报价的；</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投标文件按照招标文件的规定编制、标记及签署盖章的，法定代表人或其授权代表</w:t>
            </w:r>
            <w:r>
              <w:rPr>
                <w:rFonts w:hint="eastAsia" w:ascii="微软雅黑" w:hAnsi="微软雅黑" w:eastAsia="微软雅黑" w:cs="微软雅黑"/>
                <w:color w:val="auto"/>
                <w:spacing w:val="-2"/>
                <w:szCs w:val="21"/>
                <w:highlight w:val="none"/>
                <w:lang w:val="en-US" w:eastAsia="zh-CN"/>
              </w:rPr>
              <w:t>签</w:t>
            </w:r>
            <w:r>
              <w:rPr>
                <w:rFonts w:hint="eastAsia" w:ascii="微软雅黑" w:hAnsi="微软雅黑" w:eastAsia="微软雅黑" w:cs="微软雅黑"/>
                <w:color w:val="auto"/>
                <w:spacing w:val="-2"/>
                <w:szCs w:val="21"/>
                <w:highlight w:val="none"/>
              </w:rPr>
              <w:t>章</w:t>
            </w:r>
            <w:r>
              <w:rPr>
                <w:rFonts w:hint="eastAsia" w:ascii="微软雅黑" w:hAnsi="微软雅黑" w:eastAsia="微软雅黑" w:cs="微软雅黑"/>
                <w:color w:val="auto"/>
                <w:spacing w:val="-2"/>
                <w:szCs w:val="21"/>
                <w:highlight w:val="none"/>
                <w:lang w:eastAsia="zh-CN"/>
              </w:rPr>
              <w:t>；</w:t>
            </w:r>
          </w:p>
        </w:tc>
        <w:tc>
          <w:tcPr>
            <w:tcW w:w="1168" w:type="dxa"/>
            <w:vAlign w:val="center"/>
          </w:tcPr>
          <w:p>
            <w:pPr>
              <w:spacing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4</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所投</w:t>
            </w:r>
            <w:r>
              <w:rPr>
                <w:rFonts w:hint="eastAsia" w:ascii="微软雅黑" w:hAnsi="微软雅黑" w:eastAsia="微软雅黑" w:cs="微软雅黑"/>
                <w:color w:val="auto"/>
                <w:spacing w:val="-2"/>
                <w:szCs w:val="21"/>
                <w:highlight w:val="none"/>
                <w:lang w:eastAsia="zh-CN"/>
              </w:rPr>
              <w:t>的</w:t>
            </w:r>
            <w:r>
              <w:rPr>
                <w:rFonts w:hint="eastAsia" w:ascii="微软雅黑" w:hAnsi="微软雅黑" w:eastAsia="微软雅黑" w:cs="微软雅黑"/>
                <w:color w:val="auto"/>
                <w:spacing w:val="-2"/>
                <w:szCs w:val="21"/>
                <w:highlight w:val="none"/>
              </w:rPr>
              <w:t>产品及数量满足招标文件要求的；</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5</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按招标文件规定的格式填写，内容</w:t>
            </w:r>
            <w:r>
              <w:rPr>
                <w:rFonts w:hint="eastAsia" w:ascii="微软雅黑" w:hAnsi="微软雅黑" w:eastAsia="微软雅黑" w:cs="微软雅黑"/>
                <w:color w:val="auto"/>
                <w:spacing w:val="-2"/>
                <w:szCs w:val="21"/>
                <w:highlight w:val="none"/>
                <w:lang w:val="en-US" w:eastAsia="zh-CN"/>
              </w:rPr>
              <w:t>全面</w:t>
            </w:r>
            <w:r>
              <w:rPr>
                <w:rFonts w:hint="eastAsia" w:ascii="微软雅黑" w:hAnsi="微软雅黑" w:eastAsia="微软雅黑" w:cs="微软雅黑"/>
                <w:color w:val="auto"/>
                <w:spacing w:val="-2"/>
                <w:szCs w:val="21"/>
                <w:highlight w:val="none"/>
              </w:rPr>
              <w:t>；</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6</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lang w:val="en-US" w:eastAsia="zh-CN"/>
              </w:rPr>
              <w:t>符合招标文件中规定的要求；</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7</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没有采购人不能接受的附加条件的；</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8</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不同供应商的投标文件没有错漏一致的情况；</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9</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rPr>
              <w:t>供应商附有详细地址、联系人、电话标明的；</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51" w:type="dxa"/>
            <w:gridSpan w:val="2"/>
            <w:vAlign w:val="center"/>
          </w:tcPr>
          <w:p>
            <w:pPr>
              <w:spacing w:line="400" w:lineRule="exact"/>
              <w:ind w:firstLine="370" w:firstLineChars="180"/>
              <w:rPr>
                <w:rFonts w:hint="eastAsia"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Cs w:val="21"/>
                <w:highlight w:val="none"/>
              </w:rPr>
              <w:t>结论：通过评审打“√”，未通过评审打“×”</w:t>
            </w:r>
          </w:p>
        </w:tc>
        <w:tc>
          <w:tcPr>
            <w:tcW w:w="1168" w:type="dxa"/>
            <w:vAlign w:val="center"/>
          </w:tcPr>
          <w:p>
            <w:pPr>
              <w:spacing w:line="400" w:lineRule="exact"/>
              <w:ind w:firstLine="370" w:firstLineChars="180"/>
              <w:rPr>
                <w:rFonts w:hint="eastAsia" w:ascii="微软雅黑" w:hAnsi="微软雅黑" w:eastAsia="微软雅黑" w:cs="微软雅黑"/>
                <w:color w:val="auto"/>
                <w:spacing w:val="-2"/>
                <w:szCs w:val="21"/>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（2）上述各项中如有一项为“×”，则结论为“×”，表示该投标文件中存在重大偏差，不能通过初步评审；评委对某一分项评审认为不合格时，必须要写明原因。</w:t>
      </w:r>
    </w:p>
    <w:p>
      <w:pPr>
        <w:pStyle w:val="4"/>
        <w:keepNext w:val="0"/>
        <w:keepLines w:val="0"/>
        <w:pageBreakBefore w:val="0"/>
        <w:widowControl w:val="0"/>
        <w:kinsoku/>
        <w:wordWrap/>
        <w:overflowPunct/>
        <w:topLinePunct w:val="0"/>
        <w:bidi w:val="0"/>
        <w:snapToGrid/>
        <w:spacing w:line="400" w:lineRule="exact"/>
        <w:ind w:firstLine="0"/>
        <w:jc w:val="both"/>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未通过资格审查的供应商不进入评标；通过资格审查的供应商少于不足三家的，不得评标。</w:t>
      </w:r>
    </w:p>
    <w:p>
      <w:pPr>
        <w:pStyle w:val="5"/>
        <w:ind w:left="0" w:leftChars="0" w:firstLine="0" w:firstLineChars="0"/>
        <w:outlineLvl w:val="9"/>
        <w:rPr>
          <w:rFonts w:hint="eastAsia" w:ascii="微软雅黑" w:hAnsi="微软雅黑" w:eastAsia="微软雅黑" w:cs="微软雅黑"/>
          <w:color w:val="auto"/>
          <w:highlight w:val="none"/>
        </w:rPr>
      </w:pPr>
    </w:p>
    <w:p>
      <w:pPr>
        <w:outlineLvl w:val="9"/>
        <w:rPr>
          <w:rFonts w:hint="eastAsia" w:ascii="微软雅黑" w:hAnsi="微软雅黑" w:eastAsia="微软雅黑" w:cs="微软雅黑"/>
          <w:color w:val="auto"/>
          <w:highlight w:val="none"/>
        </w:rPr>
      </w:pPr>
    </w:p>
    <w:p>
      <w:pPr>
        <w:pStyle w:val="2"/>
        <w:outlineLvl w:val="9"/>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tbl>
      <w:tblPr>
        <w:tblStyle w:val="25"/>
        <w:tblW w:w="9978" w:type="dxa"/>
        <w:tblInd w:w="-430" w:type="dxa"/>
        <w:tblLayout w:type="fixed"/>
        <w:tblCellMar>
          <w:top w:w="0" w:type="dxa"/>
          <w:left w:w="108" w:type="dxa"/>
          <w:bottom w:w="0" w:type="dxa"/>
          <w:right w:w="108" w:type="dxa"/>
        </w:tblCellMar>
      </w:tblPr>
      <w:tblGrid>
        <w:gridCol w:w="3087"/>
        <w:gridCol w:w="5651"/>
        <w:gridCol w:w="545"/>
        <w:gridCol w:w="459"/>
        <w:gridCol w:w="236"/>
      </w:tblGrid>
      <w:tr>
        <w:tblPrEx>
          <w:tblCellMar>
            <w:top w:w="0" w:type="dxa"/>
            <w:left w:w="108" w:type="dxa"/>
            <w:bottom w:w="0" w:type="dxa"/>
            <w:right w:w="108" w:type="dxa"/>
          </w:tblCellMar>
        </w:tblPrEx>
        <w:trPr>
          <w:trHeight w:val="585" w:hRule="atLeast"/>
        </w:trPr>
        <w:tc>
          <w:tcPr>
            <w:tcW w:w="9978"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kern w:val="0"/>
                <w:sz w:val="32"/>
                <w:szCs w:val="32"/>
                <w:highlight w:val="none"/>
              </w:rPr>
            </w:pPr>
            <w:r>
              <w:rPr>
                <w:rFonts w:hint="eastAsia" w:ascii="微软雅黑" w:hAnsi="微软雅黑" w:eastAsia="微软雅黑" w:cs="微软雅黑"/>
                <w:b/>
                <w:bCs/>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审查事项</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不接受</w:t>
            </w:r>
            <w:r>
              <w:rPr>
                <w:rFonts w:hint="eastAsia" w:ascii="微软雅黑" w:hAnsi="微软雅黑" w:eastAsia="微软雅黑" w:cs="微软雅黑"/>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自提交投标文件截止之日起</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u w:val="single"/>
                <w:lang w:val="en-US" w:eastAsia="zh-CN"/>
              </w:rPr>
              <w:t>60</w:t>
            </w:r>
            <w:r>
              <w:rPr>
                <w:rFonts w:hint="eastAsia" w:ascii="微软雅黑" w:hAnsi="微软雅黑" w:eastAsia="微软雅黑" w:cs="微软雅黑"/>
                <w:szCs w:val="21"/>
                <w:highlight w:val="none"/>
                <w:u w:val="single"/>
              </w:rPr>
              <w:t xml:space="preserve"> 日</w:t>
            </w:r>
            <w:r>
              <w:rPr>
                <w:rFonts w:hint="eastAsia" w:ascii="微软雅黑" w:hAnsi="微软雅黑" w:eastAsia="微软雅黑" w:cs="微软雅黑"/>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投标文件的签署和盖章符合要求</w:t>
            </w:r>
          </w:p>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szCs w:val="21"/>
                <w:highlight w:val="none"/>
              </w:rPr>
            </w:pPr>
            <w:r>
              <w:rPr>
                <w:rFonts w:hint="eastAsia" w:ascii="微软雅黑" w:hAnsi="微软雅黑" w:eastAsia="微软雅黑" w:cs="微软雅黑"/>
                <w:b/>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r>
    </w:tbl>
    <w:p>
      <w:pPr>
        <w:pStyle w:val="11"/>
        <w:tabs>
          <w:tab w:val="clear" w:pos="567"/>
        </w:tabs>
        <w:spacing w:before="0" w:line="360" w:lineRule="exact"/>
        <w:ind w:left="-181" w:leftChars="-86" w:firstLine="660" w:firstLineChars="275"/>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tbl>
      <w:tblPr>
        <w:tblStyle w:val="25"/>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kern w:val="0"/>
                <w:sz w:val="32"/>
                <w:szCs w:val="32"/>
                <w:highlight w:val="none"/>
              </w:rPr>
            </w:pPr>
          </w:p>
          <w:p>
            <w:pPr>
              <w:widowControl/>
              <w:spacing w:line="360" w:lineRule="exact"/>
              <w:jc w:val="center"/>
              <w:rPr>
                <w:rFonts w:hint="eastAsia" w:ascii="微软雅黑" w:hAnsi="微软雅黑" w:eastAsia="微软雅黑" w:cs="微软雅黑"/>
                <w:b/>
                <w:bCs/>
                <w:kern w:val="0"/>
                <w:sz w:val="32"/>
                <w:szCs w:val="32"/>
                <w:highlight w:val="none"/>
              </w:rPr>
            </w:pPr>
          </w:p>
          <w:p>
            <w:pPr>
              <w:widowControl/>
              <w:spacing w:line="360" w:lineRule="exact"/>
              <w:jc w:val="center"/>
              <w:rPr>
                <w:rFonts w:hint="eastAsia" w:ascii="微软雅黑" w:hAnsi="微软雅黑" w:eastAsia="微软雅黑" w:cs="微软雅黑"/>
                <w:b/>
                <w:bCs/>
                <w:kern w:val="0"/>
                <w:sz w:val="32"/>
                <w:szCs w:val="32"/>
                <w:highlight w:val="none"/>
              </w:rPr>
            </w:pPr>
            <w:r>
              <w:rPr>
                <w:rFonts w:hint="eastAsia" w:ascii="微软雅黑" w:hAnsi="微软雅黑" w:eastAsia="微软雅黑" w:cs="微软雅黑"/>
                <w:b/>
                <w:bCs/>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lang w:eastAsia="zh-CN"/>
              </w:rPr>
              <w:t>货物</w:t>
            </w:r>
            <w:r>
              <w:rPr>
                <w:rFonts w:hint="eastAsia" w:ascii="微软雅黑" w:hAnsi="微软雅黑" w:eastAsia="微软雅黑" w:cs="微软雅黑"/>
                <w:kern w:val="0"/>
                <w:sz w:val="22"/>
                <w:szCs w:val="22"/>
                <w:highlight w:val="none"/>
              </w:rPr>
              <w:t>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bl>
    <w:p>
      <w:pPr>
        <w:pStyle w:val="4"/>
        <w:rPr>
          <w:rFonts w:hint="eastAsia" w:ascii="微软雅黑" w:hAnsi="微软雅黑" w:eastAsia="微软雅黑" w:cs="微软雅黑"/>
          <w:highlight w:val="none"/>
        </w:rPr>
      </w:pPr>
    </w:p>
    <w:p>
      <w:pPr>
        <w:rPr>
          <w:rFonts w:hint="eastAsia" w:ascii="微软雅黑" w:hAnsi="微软雅黑" w:eastAsia="微软雅黑" w:cs="微软雅黑"/>
          <w:b/>
          <w:bCs/>
          <w:color w:val="auto"/>
          <w:sz w:val="24"/>
          <w:szCs w:val="24"/>
          <w:highlight w:val="none"/>
          <w:lang w:val="en-US" w:eastAsia="zh-CN"/>
        </w:rPr>
      </w:pPr>
      <w:bookmarkStart w:id="1250" w:name="_Toc18177"/>
      <w:bookmarkStart w:id="1251" w:name="_Toc1909"/>
      <w:bookmarkStart w:id="1252" w:name="_Toc507399904"/>
      <w:r>
        <w:rPr>
          <w:rFonts w:hint="eastAsia" w:ascii="微软雅黑" w:hAnsi="微软雅黑" w:eastAsia="微软雅黑" w:cs="微软雅黑"/>
          <w:b/>
          <w:bCs/>
          <w:color w:val="auto"/>
          <w:sz w:val="24"/>
          <w:szCs w:val="24"/>
          <w:highlight w:val="none"/>
          <w:lang w:val="en-US" w:eastAsia="zh-CN"/>
        </w:rPr>
        <w:br w:type="page"/>
      </w:r>
    </w:p>
    <w:bookmarkEnd w:id="1250"/>
    <w:bookmarkEnd w:id="1251"/>
    <w:p>
      <w:pPr>
        <w:spacing w:line="300" w:lineRule="auto"/>
        <w:jc w:val="center"/>
        <w:outlineLvl w:val="1"/>
        <w:rPr>
          <w:rFonts w:hint="eastAsia" w:ascii="微软雅黑" w:hAnsi="微软雅黑" w:eastAsia="微软雅黑" w:cs="微软雅黑"/>
          <w:b/>
          <w:color w:val="auto"/>
          <w:sz w:val="32"/>
          <w:highlight w:val="none"/>
        </w:rPr>
      </w:pPr>
      <w:bookmarkStart w:id="1253" w:name="_Toc5375"/>
      <w:bookmarkStart w:id="1254" w:name="_Toc21350"/>
      <w:bookmarkStart w:id="1255" w:name="_Toc6940"/>
      <w:bookmarkStart w:id="1256" w:name="_Toc11449"/>
      <w:bookmarkStart w:id="1257" w:name="_Toc31737"/>
      <w:bookmarkStart w:id="1258" w:name="_Toc17586"/>
      <w:bookmarkStart w:id="1259" w:name="_Toc31042"/>
      <w:bookmarkStart w:id="1260" w:name="_Toc20505"/>
      <w:bookmarkStart w:id="1261" w:name="_Toc29006"/>
      <w:bookmarkStart w:id="1262" w:name="_Toc359"/>
      <w:bookmarkStart w:id="1263" w:name="_Toc4034"/>
      <w:bookmarkStart w:id="1264" w:name="_Toc7591"/>
      <w:bookmarkStart w:id="1265" w:name="_Toc26618"/>
      <w:bookmarkStart w:id="1266" w:name="_Toc26924"/>
      <w:bookmarkStart w:id="1267" w:name="_Toc21392"/>
      <w:bookmarkStart w:id="1268" w:name="_Toc7381"/>
      <w:bookmarkStart w:id="1269" w:name="_Toc19967"/>
      <w:bookmarkStart w:id="1270" w:name="_Toc12524"/>
      <w:bookmarkStart w:id="1271" w:name="_Toc4748"/>
      <w:bookmarkStart w:id="1272" w:name="_Toc3812"/>
      <w:r>
        <w:rPr>
          <w:rFonts w:hint="eastAsia" w:ascii="微软雅黑" w:hAnsi="微软雅黑" w:eastAsia="微软雅黑" w:cs="微软雅黑"/>
          <w:b/>
          <w:bCs/>
          <w:color w:val="auto"/>
          <w:szCs w:val="21"/>
          <w:highlight w:val="none"/>
        </w:rPr>
        <w:t>标段</w:t>
      </w:r>
      <w:r>
        <w:rPr>
          <w:rFonts w:hint="eastAsia" w:ascii="微软雅黑" w:hAnsi="微软雅黑" w:eastAsia="微软雅黑" w:cs="微软雅黑"/>
          <w:b/>
          <w:bCs/>
          <w:color w:val="auto"/>
          <w:szCs w:val="21"/>
          <w:highlight w:val="none"/>
          <w:lang w:val="en-US" w:eastAsia="zh-CN"/>
        </w:rPr>
        <w:t>2</w:t>
      </w:r>
      <w:r>
        <w:rPr>
          <w:rFonts w:hint="eastAsia" w:ascii="微软雅黑" w:hAnsi="微软雅黑" w:eastAsia="微软雅黑" w:cs="微软雅黑"/>
          <w:b/>
          <w:bCs/>
          <w:color w:val="auto"/>
          <w:szCs w:val="21"/>
          <w:highlight w:val="none"/>
        </w:rPr>
        <w:t>综合评分表</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tbl>
      <w:tblPr>
        <w:tblStyle w:val="25"/>
        <w:tblpPr w:leftFromText="180" w:rightFromText="180" w:vertAnchor="text" w:horzAnchor="page" w:tblpX="928" w:tblpY="317"/>
        <w:tblOverlap w:val="never"/>
        <w:tblW w:w="10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2"/>
        <w:gridCol w:w="668"/>
        <w:gridCol w:w="785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6" w:hRule="atLeast"/>
        </w:trPr>
        <w:tc>
          <w:tcPr>
            <w:tcW w:w="832" w:type="dxa"/>
            <w:shd w:val="clear" w:color="auto" w:fill="auto"/>
            <w:vAlign w:val="center"/>
          </w:tcPr>
          <w:p>
            <w:pPr>
              <w:keepNext w:val="0"/>
              <w:keepLines w:val="0"/>
              <w:pageBreakBefore w:val="0"/>
              <w:widowControl/>
              <w:shd w:val="clear"/>
              <w:kinsoku/>
              <w:wordWrap/>
              <w:overflowPunct/>
              <w:topLinePunct w:val="0"/>
              <w:autoSpaceDE/>
              <w:autoSpaceDN/>
              <w:bidi w:val="0"/>
              <w:adjustRightInd/>
              <w:spacing w:line="400" w:lineRule="exact"/>
              <w:jc w:val="center"/>
              <w:textAlignment w:val="auto"/>
              <w:rPr>
                <w:rFonts w:ascii="微软雅黑" w:hAnsi="微软雅黑" w:eastAsia="微软雅黑" w:cs="微软雅黑"/>
                <w:b/>
                <w:bCs/>
                <w:color w:val="auto"/>
                <w:kern w:val="0"/>
                <w:sz w:val="20"/>
                <w:szCs w:val="20"/>
                <w:highlight w:val="none"/>
              </w:rPr>
            </w:pPr>
            <w:r>
              <w:rPr>
                <w:rFonts w:hint="eastAsia" w:ascii="微软雅黑" w:hAnsi="微软雅黑" w:eastAsia="微软雅黑" w:cs="微软雅黑"/>
                <w:b/>
                <w:bCs/>
                <w:color w:val="auto"/>
                <w:kern w:val="0"/>
                <w:sz w:val="20"/>
                <w:szCs w:val="20"/>
                <w:highlight w:val="none"/>
              </w:rPr>
              <w:t>序号</w:t>
            </w:r>
          </w:p>
        </w:tc>
        <w:tc>
          <w:tcPr>
            <w:tcW w:w="668" w:type="dxa"/>
            <w:shd w:val="clear" w:color="auto" w:fill="auto"/>
            <w:vAlign w:val="center"/>
          </w:tcPr>
          <w:p>
            <w:pPr>
              <w:keepNext w:val="0"/>
              <w:keepLines w:val="0"/>
              <w:pageBreakBefore w:val="0"/>
              <w:widowControl/>
              <w:shd w:val="clear"/>
              <w:kinsoku/>
              <w:wordWrap/>
              <w:overflowPunct/>
              <w:topLinePunct w:val="0"/>
              <w:autoSpaceDE/>
              <w:autoSpaceDN/>
              <w:bidi w:val="0"/>
              <w:adjustRightInd/>
              <w:spacing w:line="400" w:lineRule="exact"/>
              <w:jc w:val="center"/>
              <w:textAlignment w:val="auto"/>
              <w:rPr>
                <w:rFonts w:ascii="微软雅黑" w:hAnsi="微软雅黑" w:eastAsia="微软雅黑" w:cs="微软雅黑"/>
                <w:b/>
                <w:bCs/>
                <w:color w:val="auto"/>
                <w:kern w:val="0"/>
                <w:sz w:val="20"/>
                <w:szCs w:val="20"/>
                <w:highlight w:val="none"/>
              </w:rPr>
            </w:pPr>
            <w:r>
              <w:rPr>
                <w:rFonts w:hint="eastAsia" w:ascii="微软雅黑" w:hAnsi="微软雅黑" w:eastAsia="微软雅黑" w:cs="微软雅黑"/>
                <w:b/>
                <w:bCs/>
                <w:color w:val="auto"/>
                <w:kern w:val="0"/>
                <w:sz w:val="20"/>
                <w:szCs w:val="20"/>
                <w:highlight w:val="none"/>
              </w:rPr>
              <w:t>分值</w:t>
            </w:r>
          </w:p>
        </w:tc>
        <w:tc>
          <w:tcPr>
            <w:tcW w:w="7855" w:type="dxa"/>
            <w:shd w:val="clear" w:color="auto" w:fill="auto"/>
            <w:vAlign w:val="center"/>
          </w:tcPr>
          <w:p>
            <w:pPr>
              <w:keepNext w:val="0"/>
              <w:keepLines w:val="0"/>
              <w:pageBreakBefore w:val="0"/>
              <w:widowControl/>
              <w:shd w:val="clear"/>
              <w:kinsoku/>
              <w:wordWrap/>
              <w:overflowPunct/>
              <w:topLinePunct w:val="0"/>
              <w:autoSpaceDE/>
              <w:autoSpaceDN/>
              <w:bidi w:val="0"/>
              <w:adjustRightInd/>
              <w:spacing w:line="400" w:lineRule="exact"/>
              <w:jc w:val="center"/>
              <w:textAlignment w:val="auto"/>
              <w:rPr>
                <w:rFonts w:ascii="微软雅黑" w:hAnsi="微软雅黑" w:eastAsia="微软雅黑" w:cs="微软雅黑"/>
                <w:b/>
                <w:bCs/>
                <w:color w:val="auto"/>
                <w:kern w:val="0"/>
                <w:sz w:val="20"/>
                <w:szCs w:val="20"/>
                <w:highlight w:val="none"/>
              </w:rPr>
            </w:pPr>
            <w:r>
              <w:rPr>
                <w:rFonts w:hint="eastAsia" w:ascii="微软雅黑" w:hAnsi="微软雅黑" w:eastAsia="微软雅黑" w:cs="微软雅黑"/>
                <w:b/>
                <w:bCs/>
                <w:color w:val="auto"/>
                <w:kern w:val="0"/>
                <w:sz w:val="20"/>
                <w:szCs w:val="20"/>
                <w:highlight w:val="none"/>
              </w:rPr>
              <w:t>评分因素及权重</w:t>
            </w:r>
            <w:r>
              <w:rPr>
                <w:rFonts w:hint="eastAsia" w:ascii="微软雅黑" w:hAnsi="微软雅黑" w:eastAsia="微软雅黑" w:cs="微软雅黑"/>
                <w:b/>
                <w:bCs/>
                <w:color w:val="auto"/>
                <w:kern w:val="0"/>
                <w:sz w:val="20"/>
                <w:szCs w:val="20"/>
                <w:highlight w:val="none"/>
                <w:lang w:eastAsia="zh-CN"/>
              </w:rPr>
              <w:t>、</w:t>
            </w:r>
            <w:r>
              <w:rPr>
                <w:rFonts w:hint="eastAsia" w:ascii="微软雅黑" w:hAnsi="微软雅黑" w:eastAsia="微软雅黑" w:cs="微软雅黑"/>
                <w:b/>
                <w:bCs/>
                <w:color w:val="auto"/>
                <w:kern w:val="0"/>
                <w:sz w:val="20"/>
                <w:szCs w:val="20"/>
                <w:highlight w:val="none"/>
              </w:rPr>
              <w:t>评分标准</w:t>
            </w:r>
          </w:p>
          <w:p>
            <w:pPr>
              <w:keepNext w:val="0"/>
              <w:keepLines w:val="0"/>
              <w:pageBreakBefore w:val="0"/>
              <w:widowControl/>
              <w:shd w:val="clear"/>
              <w:kinsoku/>
              <w:wordWrap/>
              <w:overflowPunct/>
              <w:topLinePunct w:val="0"/>
              <w:autoSpaceDE/>
              <w:autoSpaceDN/>
              <w:bidi w:val="0"/>
              <w:adjustRightInd/>
              <w:spacing w:line="400" w:lineRule="exact"/>
              <w:jc w:val="center"/>
              <w:textAlignment w:val="auto"/>
              <w:rPr>
                <w:rFonts w:ascii="微软雅黑" w:hAnsi="微软雅黑" w:eastAsia="微软雅黑" w:cs="微软雅黑"/>
                <w:b/>
                <w:bCs/>
                <w:color w:val="auto"/>
                <w:kern w:val="0"/>
                <w:sz w:val="20"/>
                <w:szCs w:val="20"/>
                <w:highlight w:val="none"/>
              </w:rPr>
            </w:pPr>
            <w:r>
              <w:rPr>
                <w:rFonts w:hint="eastAsia" w:ascii="微软雅黑" w:hAnsi="微软雅黑" w:eastAsia="微软雅黑" w:cs="微软雅黑"/>
                <w:b/>
                <w:bCs/>
                <w:color w:val="auto"/>
                <w:kern w:val="0"/>
                <w:sz w:val="20"/>
                <w:szCs w:val="20"/>
                <w:highlight w:val="none"/>
              </w:rPr>
              <w:t>价   格：30分  商   务：</w:t>
            </w:r>
            <w:r>
              <w:rPr>
                <w:rFonts w:hint="eastAsia" w:ascii="微软雅黑" w:hAnsi="微软雅黑" w:eastAsia="微软雅黑" w:cs="微软雅黑"/>
                <w:b/>
                <w:bCs/>
                <w:color w:val="auto"/>
                <w:kern w:val="0"/>
                <w:sz w:val="20"/>
                <w:szCs w:val="20"/>
                <w:highlight w:val="none"/>
                <w:lang w:val="en-US" w:eastAsia="zh-CN"/>
              </w:rPr>
              <w:t>6</w:t>
            </w:r>
            <w:r>
              <w:rPr>
                <w:rFonts w:hint="eastAsia" w:ascii="微软雅黑" w:hAnsi="微软雅黑" w:eastAsia="微软雅黑" w:cs="微软雅黑"/>
                <w:b/>
                <w:bCs/>
                <w:color w:val="auto"/>
                <w:kern w:val="0"/>
                <w:sz w:val="20"/>
                <w:szCs w:val="20"/>
                <w:highlight w:val="none"/>
              </w:rPr>
              <w:t>分   技   术：</w:t>
            </w:r>
            <w:r>
              <w:rPr>
                <w:rFonts w:hint="eastAsia" w:ascii="微软雅黑" w:hAnsi="微软雅黑" w:eastAsia="微软雅黑" w:cs="微软雅黑"/>
                <w:b/>
                <w:bCs/>
                <w:color w:val="auto"/>
                <w:kern w:val="0"/>
                <w:sz w:val="20"/>
                <w:szCs w:val="20"/>
                <w:highlight w:val="none"/>
                <w:lang w:val="en-US" w:eastAsia="zh-CN"/>
              </w:rPr>
              <w:t>64</w:t>
            </w:r>
            <w:r>
              <w:rPr>
                <w:rFonts w:hint="eastAsia" w:ascii="微软雅黑" w:hAnsi="微软雅黑" w:eastAsia="微软雅黑" w:cs="微软雅黑"/>
                <w:b/>
                <w:bCs/>
                <w:color w:val="auto"/>
                <w:kern w:val="0"/>
                <w:sz w:val="20"/>
                <w:szCs w:val="20"/>
                <w:highlight w:val="none"/>
              </w:rPr>
              <w:t xml:space="preserve">分              </w:t>
            </w:r>
          </w:p>
        </w:tc>
        <w:tc>
          <w:tcPr>
            <w:tcW w:w="1188" w:type="dxa"/>
            <w:shd w:val="clear" w:color="auto" w:fill="auto"/>
            <w:vAlign w:val="center"/>
          </w:tcPr>
          <w:p>
            <w:pPr>
              <w:pStyle w:val="41"/>
              <w:keepNext w:val="0"/>
              <w:keepLines w:val="0"/>
              <w:pageBreakBefore w:val="0"/>
              <w:shd w:val="clear"/>
              <w:kinsoku/>
              <w:wordWrap/>
              <w:overflowPunct/>
              <w:topLinePunct w:val="0"/>
              <w:autoSpaceDE/>
              <w:autoSpaceDN/>
              <w:bidi w:val="0"/>
              <w:adjustRightInd/>
              <w:spacing w:before="0" w:after="0" w:line="400" w:lineRule="exact"/>
              <w:textAlignment w:val="auto"/>
              <w:rPr>
                <w:rFonts w:ascii="微软雅黑" w:hAnsi="微软雅黑" w:eastAsia="微软雅黑" w:cs="微软雅黑"/>
                <w:bCs/>
                <w:color w:val="auto"/>
                <w:sz w:val="20"/>
                <w:szCs w:val="20"/>
                <w:highlight w:val="none"/>
              </w:rPr>
            </w:pPr>
            <w:r>
              <w:rPr>
                <w:rFonts w:hint="eastAsia" w:ascii="微软雅黑" w:hAnsi="微软雅黑" w:eastAsia="微软雅黑" w:cs="微软雅黑"/>
                <w:bCs/>
                <w:color w:val="auto"/>
                <w:sz w:val="20"/>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8" w:hRule="atLeast"/>
        </w:trPr>
        <w:tc>
          <w:tcPr>
            <w:tcW w:w="832" w:type="dxa"/>
            <w:shd w:val="clear" w:color="auto" w:fill="auto"/>
            <w:vAlign w:val="center"/>
          </w:tcPr>
          <w:p>
            <w:pPr>
              <w:widowControl/>
              <w:shd w:val="clear"/>
              <w:spacing w:line="280" w:lineRule="exact"/>
              <w:jc w:val="center"/>
              <w:rPr>
                <w:rFonts w:ascii="微软雅黑" w:hAnsi="微软雅黑" w:eastAsia="微软雅黑" w:cs="微软雅黑"/>
                <w:b/>
                <w:bCs/>
                <w:color w:val="auto"/>
                <w:kern w:val="0"/>
                <w:sz w:val="20"/>
                <w:szCs w:val="20"/>
                <w:highlight w:val="none"/>
              </w:rPr>
            </w:pPr>
            <w:r>
              <w:rPr>
                <w:rFonts w:hint="eastAsia" w:ascii="微软雅黑" w:hAnsi="微软雅黑" w:eastAsia="微软雅黑" w:cs="微软雅黑"/>
                <w:b/>
                <w:bCs/>
                <w:color w:val="auto"/>
                <w:kern w:val="0"/>
                <w:sz w:val="20"/>
                <w:szCs w:val="20"/>
                <w:highlight w:val="none"/>
              </w:rPr>
              <w:t>价格评分标准</w:t>
            </w:r>
          </w:p>
        </w:tc>
        <w:tc>
          <w:tcPr>
            <w:tcW w:w="668" w:type="dxa"/>
            <w:shd w:val="clear" w:color="auto" w:fill="auto"/>
            <w:vAlign w:val="center"/>
          </w:tcPr>
          <w:p>
            <w:pPr>
              <w:widowControl/>
              <w:shd w:val="clear"/>
              <w:spacing w:line="280" w:lineRule="exact"/>
              <w:jc w:val="center"/>
              <w:rPr>
                <w:rFonts w:ascii="微软雅黑" w:hAnsi="微软雅黑" w:eastAsia="微软雅黑" w:cs="微软雅黑"/>
                <w:color w:val="auto"/>
                <w:kern w:val="0"/>
                <w:sz w:val="20"/>
                <w:szCs w:val="20"/>
                <w:highlight w:val="none"/>
              </w:rPr>
            </w:pPr>
            <w:r>
              <w:rPr>
                <w:rFonts w:hint="eastAsia" w:ascii="微软雅黑" w:hAnsi="微软雅黑" w:eastAsia="微软雅黑" w:cs="微软雅黑"/>
                <w:color w:val="auto"/>
                <w:kern w:val="0"/>
                <w:sz w:val="20"/>
                <w:szCs w:val="20"/>
                <w:highlight w:val="none"/>
              </w:rPr>
              <w:t>30</w:t>
            </w:r>
          </w:p>
        </w:tc>
        <w:tc>
          <w:tcPr>
            <w:tcW w:w="7855" w:type="dxa"/>
            <w:shd w:val="clear" w:color="auto" w:fill="auto"/>
            <w:vAlign w:val="center"/>
          </w:tcPr>
          <w:p>
            <w:pPr>
              <w:shd w:val="clear"/>
              <w:spacing w:line="280" w:lineRule="exact"/>
              <w:rPr>
                <w:rFonts w:ascii="微软雅黑" w:hAnsi="微软雅黑" w:eastAsia="微软雅黑" w:cs="微软雅黑"/>
                <w:color w:val="auto"/>
                <w:sz w:val="20"/>
                <w:szCs w:val="22"/>
                <w:highlight w:val="none"/>
              </w:rPr>
            </w:pPr>
            <w:r>
              <w:rPr>
                <w:rFonts w:hint="eastAsia" w:ascii="微软雅黑" w:hAnsi="微软雅黑" w:eastAsia="微软雅黑" w:cs="微软雅黑"/>
                <w:color w:val="auto"/>
                <w:kern w:val="0"/>
                <w:sz w:val="20"/>
                <w:szCs w:val="20"/>
                <w:highlight w:val="none"/>
              </w:rPr>
              <w:t>投标报价</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sz w:val="20"/>
                <w:szCs w:val="22"/>
                <w:highlight w:val="none"/>
              </w:rPr>
              <w:t>完全满足招标文件参数的投标报价中的最低价为评标基准价，按照下列公式计算每个</w:t>
            </w:r>
            <w:r>
              <w:rPr>
                <w:rFonts w:hint="eastAsia" w:ascii="微软雅黑" w:hAnsi="微软雅黑" w:eastAsia="微软雅黑" w:cs="微软雅黑"/>
                <w:color w:val="auto"/>
                <w:sz w:val="20"/>
                <w:szCs w:val="22"/>
                <w:highlight w:val="none"/>
                <w:lang w:eastAsia="zh-CN"/>
              </w:rPr>
              <w:t>投标供应商</w:t>
            </w:r>
            <w:r>
              <w:rPr>
                <w:rFonts w:hint="eastAsia" w:ascii="微软雅黑" w:hAnsi="微软雅黑" w:eastAsia="微软雅黑" w:cs="微软雅黑"/>
                <w:color w:val="auto"/>
                <w:sz w:val="20"/>
                <w:szCs w:val="22"/>
                <w:highlight w:val="none"/>
              </w:rPr>
              <w:t>的投标价格得分。投标报价得分＝</w:t>
            </w:r>
            <w:r>
              <w:rPr>
                <w:rFonts w:hint="eastAsia" w:ascii="微软雅黑" w:hAnsi="微软雅黑" w:eastAsia="微软雅黑" w:cs="微软雅黑"/>
                <w:iCs/>
                <w:color w:val="auto"/>
                <w:sz w:val="20"/>
                <w:szCs w:val="20"/>
                <w:highlight w:val="none"/>
              </w:rPr>
              <w:t>（基准价/投标报价）×价格权重×100。</w:t>
            </w:r>
            <w:r>
              <w:rPr>
                <w:rFonts w:hint="eastAsia" w:ascii="微软雅黑" w:hAnsi="微软雅黑" w:eastAsia="微软雅黑" w:cs="微软雅黑"/>
                <w:b/>
                <w:bCs/>
                <w:iCs/>
                <w:color w:val="auto"/>
                <w:sz w:val="20"/>
                <w:szCs w:val="20"/>
                <w:highlight w:val="none"/>
              </w:rPr>
              <w:t>（注：若为</w:t>
            </w:r>
            <w:r>
              <w:rPr>
                <w:rFonts w:hint="eastAsia" w:ascii="微软雅黑" w:hAnsi="微软雅黑" w:eastAsia="微软雅黑" w:cs="微软雅黑"/>
                <w:b/>
                <w:bCs/>
                <w:iCs/>
                <w:color w:val="auto"/>
                <w:sz w:val="20"/>
                <w:szCs w:val="20"/>
                <w:highlight w:val="none"/>
                <w:lang w:eastAsia="zh-CN"/>
              </w:rPr>
              <w:t>小型、微型</w:t>
            </w:r>
            <w:r>
              <w:rPr>
                <w:rFonts w:hint="eastAsia" w:ascii="微软雅黑" w:hAnsi="微软雅黑" w:eastAsia="微软雅黑" w:cs="微软雅黑"/>
                <w:b/>
                <w:bCs/>
                <w:iCs/>
                <w:color w:val="auto"/>
                <w:sz w:val="20"/>
                <w:szCs w:val="20"/>
                <w:highlight w:val="none"/>
              </w:rPr>
              <w:t xml:space="preserve">企业，其投标报价扣除 </w:t>
            </w:r>
            <w:r>
              <w:rPr>
                <w:rFonts w:hint="eastAsia" w:ascii="微软雅黑" w:hAnsi="微软雅黑" w:eastAsia="微软雅黑" w:cs="微软雅黑"/>
                <w:b/>
                <w:bCs/>
                <w:iCs/>
                <w:color w:val="auto"/>
                <w:sz w:val="20"/>
                <w:szCs w:val="20"/>
                <w:highlight w:val="none"/>
                <w:lang w:val="en-US" w:eastAsia="zh-CN"/>
              </w:rPr>
              <w:t>10</w:t>
            </w:r>
            <w:r>
              <w:rPr>
                <w:rFonts w:hint="eastAsia" w:ascii="微软雅黑" w:hAnsi="微软雅黑" w:eastAsia="微软雅黑" w:cs="微软雅黑"/>
                <w:b/>
                <w:bCs/>
                <w:iCs/>
                <w:color w:val="auto"/>
                <w:sz w:val="20"/>
                <w:szCs w:val="20"/>
                <w:highlight w:val="none"/>
              </w:rPr>
              <w:t xml:space="preserve"> %后参与评审，提供相关证明资料，否则无效。）</w:t>
            </w:r>
          </w:p>
        </w:tc>
        <w:tc>
          <w:tcPr>
            <w:tcW w:w="1188" w:type="dxa"/>
            <w:shd w:val="clear" w:color="auto" w:fill="auto"/>
            <w:vAlign w:val="center"/>
          </w:tcPr>
          <w:p>
            <w:pPr>
              <w:shd w:val="clear"/>
              <w:spacing w:line="280" w:lineRule="exact"/>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1" w:hRule="atLeast"/>
        </w:trPr>
        <w:tc>
          <w:tcPr>
            <w:tcW w:w="832" w:type="dxa"/>
            <w:vMerge w:val="restart"/>
            <w:shd w:val="clear" w:color="auto" w:fill="auto"/>
            <w:vAlign w:val="center"/>
          </w:tcPr>
          <w:p>
            <w:pPr>
              <w:widowControl/>
              <w:shd w:val="clear"/>
              <w:spacing w:line="280" w:lineRule="exact"/>
              <w:jc w:val="center"/>
              <w:rPr>
                <w:rFonts w:ascii="微软雅黑" w:hAnsi="微软雅黑" w:eastAsia="微软雅黑" w:cs="微软雅黑"/>
                <w:b/>
                <w:bCs/>
                <w:color w:val="auto"/>
                <w:kern w:val="0"/>
                <w:sz w:val="20"/>
                <w:szCs w:val="20"/>
                <w:highlight w:val="none"/>
              </w:rPr>
            </w:pPr>
            <w:r>
              <w:rPr>
                <w:rFonts w:hint="eastAsia" w:ascii="微软雅黑" w:hAnsi="微软雅黑" w:eastAsia="微软雅黑" w:cs="微软雅黑"/>
                <w:b/>
                <w:bCs/>
                <w:color w:val="auto"/>
                <w:kern w:val="0"/>
                <w:sz w:val="20"/>
                <w:szCs w:val="20"/>
                <w:highlight w:val="none"/>
              </w:rPr>
              <w:t>商务评分标准</w:t>
            </w:r>
          </w:p>
        </w:tc>
        <w:tc>
          <w:tcPr>
            <w:tcW w:w="668" w:type="dxa"/>
            <w:shd w:val="clear" w:color="auto" w:fill="auto"/>
            <w:vAlign w:val="center"/>
          </w:tcPr>
          <w:p>
            <w:pPr>
              <w:widowControl/>
              <w:shd w:val="clear"/>
              <w:spacing w:line="280" w:lineRule="exact"/>
              <w:jc w:val="center"/>
              <w:rPr>
                <w:rFonts w:hint="default"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w:t>
            </w:r>
          </w:p>
        </w:tc>
        <w:tc>
          <w:tcPr>
            <w:tcW w:w="7855" w:type="dxa"/>
            <w:shd w:val="clear" w:color="auto" w:fill="auto"/>
            <w:vAlign w:val="center"/>
          </w:tcPr>
          <w:p>
            <w:pPr>
              <w:numPr>
                <w:ilvl w:val="0"/>
                <w:numId w:val="0"/>
              </w:numPr>
              <w:shd w:val="clear"/>
              <w:spacing w:line="280" w:lineRule="exact"/>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rPr>
              <w:t>业绩</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lang w:val="en-US" w:eastAsia="zh-CN"/>
              </w:rPr>
              <w:t>投标供应商提供近三年内类似</w:t>
            </w:r>
            <w:r>
              <w:rPr>
                <w:rFonts w:hint="eastAsia" w:ascii="微软雅黑" w:hAnsi="微软雅黑" w:eastAsia="微软雅黑" w:cs="微软雅黑"/>
                <w:color w:val="auto"/>
                <w:kern w:val="0"/>
                <w:sz w:val="20"/>
                <w:szCs w:val="20"/>
                <w:highlight w:val="none"/>
              </w:rPr>
              <w:t>业绩</w:t>
            </w:r>
            <w:r>
              <w:rPr>
                <w:rFonts w:hint="eastAsia" w:ascii="微软雅黑" w:hAnsi="微软雅黑" w:eastAsia="微软雅黑" w:cs="微软雅黑"/>
                <w:color w:val="auto"/>
                <w:kern w:val="0"/>
                <w:sz w:val="20"/>
                <w:szCs w:val="20"/>
                <w:highlight w:val="none"/>
                <w:lang w:val="en-US" w:eastAsia="zh-CN"/>
              </w:rPr>
              <w:t>的合同和中标或成交通知书</w:t>
            </w:r>
            <w:r>
              <w:rPr>
                <w:rFonts w:hint="eastAsia" w:ascii="微软雅黑" w:hAnsi="微软雅黑" w:eastAsia="微软雅黑" w:cs="微软雅黑"/>
                <w:color w:val="auto"/>
                <w:kern w:val="0"/>
                <w:sz w:val="20"/>
                <w:szCs w:val="20"/>
                <w:highlight w:val="none"/>
              </w:rPr>
              <w:t>，每提供一个得</w:t>
            </w:r>
            <w:r>
              <w:rPr>
                <w:rFonts w:hint="eastAsia" w:ascii="微软雅黑" w:hAnsi="微软雅黑" w:eastAsia="微软雅黑" w:cs="微软雅黑"/>
                <w:color w:val="auto"/>
                <w:kern w:val="0"/>
                <w:sz w:val="20"/>
                <w:szCs w:val="20"/>
                <w:highlight w:val="none"/>
                <w:lang w:val="en-US" w:eastAsia="zh-CN"/>
              </w:rPr>
              <w:t>2</w:t>
            </w:r>
            <w:r>
              <w:rPr>
                <w:rFonts w:hint="eastAsia" w:ascii="微软雅黑" w:hAnsi="微软雅黑" w:eastAsia="微软雅黑" w:cs="微软雅黑"/>
                <w:color w:val="auto"/>
                <w:kern w:val="0"/>
                <w:sz w:val="20"/>
                <w:szCs w:val="20"/>
                <w:highlight w:val="none"/>
              </w:rPr>
              <w:t>分，共</w:t>
            </w:r>
            <w:r>
              <w:rPr>
                <w:rFonts w:hint="eastAsia" w:ascii="微软雅黑" w:hAnsi="微软雅黑" w:eastAsia="微软雅黑" w:cs="微软雅黑"/>
                <w:color w:val="auto"/>
                <w:kern w:val="0"/>
                <w:sz w:val="20"/>
                <w:szCs w:val="20"/>
                <w:highlight w:val="none"/>
                <w:lang w:val="en-US" w:eastAsia="zh-CN"/>
              </w:rPr>
              <w:t>4</w:t>
            </w:r>
            <w:r>
              <w:rPr>
                <w:rFonts w:hint="eastAsia" w:ascii="微软雅黑" w:hAnsi="微软雅黑" w:eastAsia="微软雅黑" w:cs="微软雅黑"/>
                <w:color w:val="auto"/>
                <w:kern w:val="0"/>
                <w:sz w:val="20"/>
                <w:szCs w:val="20"/>
                <w:highlight w:val="none"/>
              </w:rPr>
              <w:t>分。</w:t>
            </w:r>
          </w:p>
        </w:tc>
        <w:tc>
          <w:tcPr>
            <w:tcW w:w="1188" w:type="dxa"/>
            <w:vMerge w:val="restart"/>
            <w:shd w:val="clear" w:color="auto" w:fill="auto"/>
            <w:vAlign w:val="center"/>
          </w:tcPr>
          <w:p>
            <w:pPr>
              <w:shd w:val="clear"/>
              <w:spacing w:line="280" w:lineRule="exact"/>
              <w:rPr>
                <w:rFonts w:ascii="微软雅黑" w:hAnsi="微软雅黑" w:eastAsia="微软雅黑" w:cs="微软雅黑"/>
                <w:color w:val="auto"/>
                <w:sz w:val="20"/>
                <w:szCs w:val="20"/>
                <w:highlight w:val="none"/>
              </w:rPr>
            </w:pPr>
            <w:r>
              <w:rPr>
                <w:rFonts w:hint="eastAsia" w:ascii="微软雅黑" w:hAnsi="微软雅黑" w:eastAsia="微软雅黑" w:cs="微软雅黑"/>
                <w:b/>
                <w:bCs/>
                <w:color w:val="auto"/>
                <w:sz w:val="20"/>
                <w:szCs w:val="20"/>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4" w:hRule="atLeast"/>
        </w:trPr>
        <w:tc>
          <w:tcPr>
            <w:tcW w:w="832" w:type="dxa"/>
            <w:vMerge w:val="continue"/>
            <w:shd w:val="clear" w:color="auto" w:fill="auto"/>
            <w:vAlign w:val="center"/>
          </w:tcPr>
          <w:p>
            <w:pPr>
              <w:widowControl/>
              <w:shd w:val="clear"/>
              <w:spacing w:line="280" w:lineRule="exact"/>
              <w:jc w:val="center"/>
              <w:rPr>
                <w:rFonts w:ascii="微软雅黑" w:hAnsi="微软雅黑" w:eastAsia="微软雅黑" w:cs="微软雅黑"/>
                <w:b/>
                <w:bCs/>
                <w:color w:val="auto"/>
                <w:kern w:val="0"/>
                <w:sz w:val="20"/>
                <w:szCs w:val="20"/>
                <w:highlight w:val="none"/>
              </w:rPr>
            </w:pPr>
          </w:p>
        </w:tc>
        <w:tc>
          <w:tcPr>
            <w:tcW w:w="668" w:type="dxa"/>
            <w:shd w:val="clear" w:color="auto" w:fill="auto"/>
            <w:vAlign w:val="center"/>
          </w:tcPr>
          <w:p>
            <w:pPr>
              <w:widowControl/>
              <w:shd w:val="clear"/>
              <w:spacing w:line="280" w:lineRule="exact"/>
              <w:jc w:val="center"/>
              <w:rPr>
                <w:rFonts w:hint="default"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w:t>
            </w:r>
          </w:p>
        </w:tc>
        <w:tc>
          <w:tcPr>
            <w:tcW w:w="7855" w:type="dxa"/>
            <w:shd w:val="clear" w:color="auto" w:fill="auto"/>
            <w:vAlign w:val="center"/>
          </w:tcPr>
          <w:p>
            <w:pPr>
              <w:widowControl/>
              <w:shd w:val="clear"/>
              <w:spacing w:line="280" w:lineRule="exact"/>
              <w:jc w:val="left"/>
              <w:rPr>
                <w:rFonts w:hint="eastAsia" w:ascii="微软雅黑" w:hAnsi="微软雅黑" w:eastAsia="微软雅黑" w:cs="微软雅黑"/>
                <w:color w:val="auto"/>
                <w:kern w:val="0"/>
                <w:sz w:val="20"/>
                <w:szCs w:val="20"/>
                <w:highlight w:val="none"/>
                <w:lang w:eastAsia="zh-CN"/>
              </w:rPr>
            </w:pPr>
            <w:r>
              <w:rPr>
                <w:rFonts w:hint="eastAsia" w:ascii="微软雅黑" w:hAnsi="微软雅黑" w:eastAsia="微软雅黑" w:cs="微软雅黑"/>
                <w:color w:val="auto"/>
                <w:kern w:val="0"/>
                <w:sz w:val="20"/>
                <w:szCs w:val="20"/>
                <w:highlight w:val="none"/>
                <w:lang w:eastAsia="zh-CN"/>
              </w:rPr>
              <w:t>标书制作：投标文件目录清晰、关联点对应准确，评审内容便于查找，没有与评审内容无关的资料及文件得2分，否则不得分。</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0" w:hRule="atLeast"/>
        </w:trPr>
        <w:tc>
          <w:tcPr>
            <w:tcW w:w="832" w:type="dxa"/>
            <w:vMerge w:val="restart"/>
            <w:shd w:val="clear" w:color="auto" w:fill="auto"/>
            <w:vAlign w:val="center"/>
          </w:tcPr>
          <w:p>
            <w:pPr>
              <w:widowControl/>
              <w:shd w:val="clear"/>
              <w:spacing w:line="280" w:lineRule="exact"/>
              <w:jc w:val="center"/>
              <w:rPr>
                <w:rFonts w:ascii="微软雅黑" w:hAnsi="微软雅黑" w:eastAsia="微软雅黑" w:cs="微软雅黑"/>
                <w:b/>
                <w:bCs/>
                <w:color w:val="auto"/>
                <w:kern w:val="0"/>
                <w:sz w:val="20"/>
                <w:szCs w:val="20"/>
                <w:highlight w:val="none"/>
              </w:rPr>
            </w:pPr>
          </w:p>
          <w:p>
            <w:pPr>
              <w:widowControl/>
              <w:shd w:val="clear"/>
              <w:spacing w:line="280" w:lineRule="exact"/>
              <w:jc w:val="center"/>
              <w:rPr>
                <w:rFonts w:ascii="微软雅黑" w:hAnsi="微软雅黑" w:eastAsia="微软雅黑" w:cs="微软雅黑"/>
                <w:b/>
                <w:bCs/>
                <w:color w:val="auto"/>
                <w:kern w:val="0"/>
                <w:sz w:val="20"/>
                <w:szCs w:val="20"/>
                <w:highlight w:val="none"/>
              </w:rPr>
            </w:pPr>
            <w:r>
              <w:rPr>
                <w:rFonts w:hint="eastAsia" w:ascii="微软雅黑" w:hAnsi="微软雅黑" w:eastAsia="微软雅黑" w:cs="微软雅黑"/>
                <w:b/>
                <w:bCs/>
                <w:color w:val="auto"/>
                <w:kern w:val="0"/>
                <w:sz w:val="20"/>
                <w:szCs w:val="20"/>
                <w:highlight w:val="none"/>
              </w:rPr>
              <w:t>技术评分标准</w:t>
            </w:r>
          </w:p>
        </w:tc>
        <w:tc>
          <w:tcPr>
            <w:tcW w:w="668" w:type="dxa"/>
            <w:shd w:val="clear" w:color="auto" w:fill="auto"/>
            <w:vAlign w:val="center"/>
          </w:tcPr>
          <w:p>
            <w:pPr>
              <w:widowControl/>
              <w:shd w:val="clear"/>
              <w:spacing w:line="280" w:lineRule="exact"/>
              <w:jc w:val="center"/>
              <w:rPr>
                <w:rFonts w:hint="default" w:ascii="微软雅黑" w:hAnsi="微软雅黑" w:eastAsia="微软雅黑" w:cs="微软雅黑"/>
                <w:iCs/>
                <w:color w:val="auto"/>
                <w:sz w:val="20"/>
                <w:szCs w:val="20"/>
                <w:highlight w:val="none"/>
                <w:lang w:val="en-US" w:eastAsia="zh-CN"/>
              </w:rPr>
            </w:pPr>
            <w:r>
              <w:rPr>
                <w:rFonts w:hint="eastAsia" w:ascii="微软雅黑" w:hAnsi="微软雅黑" w:eastAsia="微软雅黑" w:cs="微软雅黑"/>
                <w:iCs/>
                <w:color w:val="auto"/>
                <w:sz w:val="20"/>
                <w:szCs w:val="20"/>
                <w:highlight w:val="none"/>
                <w:lang w:val="en-US" w:eastAsia="zh-CN"/>
              </w:rPr>
              <w:t>3</w:t>
            </w:r>
          </w:p>
        </w:tc>
        <w:tc>
          <w:tcPr>
            <w:tcW w:w="7855" w:type="dxa"/>
            <w:shd w:val="clear" w:color="auto" w:fill="auto"/>
            <w:vAlign w:val="center"/>
          </w:tcPr>
          <w:p>
            <w:pPr>
              <w:pStyle w:val="13"/>
              <w:numPr>
                <w:ilvl w:val="0"/>
                <w:numId w:val="0"/>
              </w:numPr>
              <w:shd w:val="clear"/>
              <w:jc w:val="both"/>
              <w:rPr>
                <w:rFonts w:hint="eastAsia" w:ascii="微软雅黑" w:hAnsi="微软雅黑" w:eastAsia="微软雅黑" w:cs="微软雅黑"/>
                <w:iCs/>
                <w:color w:val="auto"/>
                <w:sz w:val="20"/>
                <w:szCs w:val="20"/>
                <w:highlight w:val="none"/>
                <w:lang w:eastAsia="zh-CN"/>
              </w:rPr>
            </w:pPr>
            <w:r>
              <w:rPr>
                <w:rFonts w:hint="eastAsia" w:ascii="微软雅黑" w:hAnsi="微软雅黑" w:eastAsia="微软雅黑" w:cs="微软雅黑"/>
                <w:iCs/>
                <w:color w:val="auto"/>
                <w:sz w:val="20"/>
                <w:szCs w:val="20"/>
                <w:highlight w:val="none"/>
                <w:lang w:eastAsia="zh-CN"/>
              </w:rPr>
              <w:t>产品技术指标及生产能力技术：</w:t>
            </w:r>
          </w:p>
          <w:p>
            <w:pPr>
              <w:pStyle w:val="13"/>
              <w:numPr>
                <w:ilvl w:val="0"/>
                <w:numId w:val="0"/>
              </w:numPr>
              <w:shd w:val="clear"/>
              <w:jc w:val="both"/>
              <w:rPr>
                <w:rFonts w:hint="default"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（1）投标供应商提供主要生产工艺设备清单和照片得3分。未提供不得分。</w:t>
            </w:r>
          </w:p>
        </w:tc>
        <w:tc>
          <w:tcPr>
            <w:tcW w:w="1188" w:type="dxa"/>
            <w:vMerge w:val="restart"/>
            <w:shd w:val="clear" w:color="auto" w:fill="auto"/>
            <w:vAlign w:val="center"/>
          </w:tcPr>
          <w:p>
            <w:pPr>
              <w:shd w:val="clear"/>
              <w:spacing w:line="280" w:lineRule="exact"/>
              <w:rPr>
                <w:rFonts w:ascii="微软雅黑" w:hAnsi="微软雅黑" w:eastAsia="微软雅黑" w:cs="微软雅黑"/>
                <w:color w:val="auto"/>
                <w:sz w:val="20"/>
                <w:szCs w:val="20"/>
                <w:highlight w:val="none"/>
              </w:rPr>
            </w:pPr>
            <w:r>
              <w:rPr>
                <w:rFonts w:hint="eastAsia" w:ascii="微软雅黑" w:hAnsi="微软雅黑" w:eastAsia="微软雅黑" w:cs="微软雅黑"/>
                <w:b/>
                <w:bCs/>
                <w:color w:val="auto"/>
                <w:sz w:val="20"/>
                <w:szCs w:val="20"/>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29"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default"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7</w:t>
            </w:r>
          </w:p>
        </w:tc>
        <w:tc>
          <w:tcPr>
            <w:tcW w:w="7855" w:type="dxa"/>
            <w:shd w:val="clear" w:color="auto" w:fill="auto"/>
            <w:vAlign w:val="center"/>
          </w:tcPr>
          <w:p>
            <w:pPr>
              <w:pStyle w:val="13"/>
              <w:numPr>
                <w:ilvl w:val="0"/>
                <w:numId w:val="0"/>
              </w:numPr>
              <w:shd w:val="clear"/>
              <w:jc w:val="both"/>
              <w:rPr>
                <w:rFonts w:hint="eastAsia" w:ascii="微软雅黑" w:hAnsi="微软雅黑" w:eastAsia="微软雅黑" w:cs="微软雅黑"/>
                <w:iCs/>
                <w:color w:val="auto"/>
                <w:sz w:val="20"/>
                <w:szCs w:val="20"/>
                <w:highlight w:val="none"/>
                <w:lang w:eastAsia="zh-CN"/>
              </w:rPr>
            </w:pPr>
            <w:r>
              <w:rPr>
                <w:rFonts w:hint="eastAsia" w:ascii="微软雅黑" w:hAnsi="微软雅黑" w:eastAsia="微软雅黑" w:cs="微软雅黑"/>
                <w:iCs/>
                <w:color w:val="auto"/>
                <w:sz w:val="20"/>
                <w:szCs w:val="20"/>
                <w:highlight w:val="none"/>
                <w:lang w:eastAsia="zh-CN"/>
              </w:rPr>
              <w:t>产品技术指标及生产能力技术：</w:t>
            </w:r>
          </w:p>
          <w:p>
            <w:pPr>
              <w:pStyle w:val="13"/>
              <w:shd w:val="clear"/>
              <w:jc w:val="both"/>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（2）产品功能（满分7分）：</w:t>
            </w:r>
          </w:p>
          <w:p>
            <w:pPr>
              <w:pStyle w:val="13"/>
              <w:shd w:val="clear"/>
              <w:jc w:val="both"/>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①</w:t>
            </w:r>
            <w:r>
              <w:rPr>
                <w:rFonts w:hint="eastAsia" w:ascii="微软雅黑" w:hAnsi="微软雅黑" w:eastAsia="微软雅黑" w:cs="微软雅黑"/>
                <w:color w:val="auto"/>
                <w:kern w:val="0"/>
                <w:sz w:val="20"/>
                <w:szCs w:val="20"/>
                <w:highlight w:val="none"/>
                <w:lang w:val="en-US" w:eastAsia="zh-CN"/>
              </w:rPr>
              <w:t>投标供应商</w:t>
            </w:r>
            <w:r>
              <w:rPr>
                <w:rFonts w:hint="eastAsia" w:ascii="微软雅黑" w:hAnsi="微软雅黑" w:eastAsia="微软雅黑" w:cs="微软雅黑"/>
                <w:color w:val="auto"/>
                <w:kern w:val="0"/>
                <w:sz w:val="20"/>
                <w:szCs w:val="20"/>
                <w:highlight w:val="none"/>
                <w:lang w:val="en-US" w:eastAsia="zh-CN" w:bidi="ar-SA"/>
              </w:rPr>
              <w:t>提供该产品的完整产品说明书、使用范围、使用方法，注意事项等情况。说明书内容全面，分项介绍详细，配图完整易理解，得3分；</w:t>
            </w:r>
          </w:p>
          <w:p>
            <w:pPr>
              <w:pStyle w:val="13"/>
              <w:shd w:val="clear"/>
              <w:jc w:val="both"/>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②</w:t>
            </w:r>
            <w:r>
              <w:rPr>
                <w:rFonts w:hint="eastAsia" w:ascii="微软雅黑" w:hAnsi="微软雅黑" w:eastAsia="微软雅黑" w:cs="微软雅黑"/>
                <w:color w:val="auto"/>
                <w:kern w:val="0"/>
                <w:sz w:val="20"/>
                <w:szCs w:val="20"/>
                <w:highlight w:val="none"/>
                <w:lang w:val="en-US" w:eastAsia="zh-CN"/>
              </w:rPr>
              <w:t>投标供应商</w:t>
            </w:r>
            <w:r>
              <w:rPr>
                <w:rFonts w:hint="eastAsia" w:ascii="微软雅黑" w:hAnsi="微软雅黑" w:eastAsia="微软雅黑" w:cs="微软雅黑"/>
                <w:color w:val="auto"/>
                <w:kern w:val="0"/>
                <w:sz w:val="20"/>
                <w:szCs w:val="20"/>
                <w:highlight w:val="none"/>
                <w:lang w:val="en-US" w:eastAsia="zh-CN" w:bidi="ar-SA"/>
              </w:rPr>
              <w:t>提供产品使用效果合格的第三方检测机构或国家权威机构的检测报告得4分。</w:t>
            </w:r>
          </w:p>
          <w:p>
            <w:pPr>
              <w:pStyle w:val="13"/>
              <w:shd w:val="clear"/>
              <w:jc w:val="both"/>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kern w:val="0"/>
                <w:sz w:val="20"/>
                <w:szCs w:val="20"/>
                <w:highlight w:val="none"/>
                <w:lang w:val="en-US" w:eastAsia="zh-CN" w:bidi="ar-SA"/>
              </w:rPr>
              <w:t>注：标段2：炭疽疫苗（无荚膜炭疽芽孢疫苗、Ⅱ号炭疽芽孢疫苗）。</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20"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default"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8</w:t>
            </w:r>
          </w:p>
        </w:tc>
        <w:tc>
          <w:tcPr>
            <w:tcW w:w="7855" w:type="dxa"/>
            <w:shd w:val="clear" w:color="auto" w:fill="auto"/>
            <w:vAlign w:val="top"/>
          </w:tcPr>
          <w:p>
            <w:pPr>
              <w:pStyle w:val="13"/>
              <w:numPr>
                <w:ilvl w:val="0"/>
                <w:numId w:val="0"/>
              </w:numPr>
              <w:shd w:val="clear"/>
              <w:jc w:val="both"/>
              <w:rPr>
                <w:rFonts w:hint="eastAsia" w:ascii="微软雅黑" w:hAnsi="微软雅黑" w:eastAsia="微软雅黑" w:cs="微软雅黑"/>
                <w:iCs/>
                <w:color w:val="auto"/>
                <w:sz w:val="20"/>
                <w:szCs w:val="20"/>
                <w:highlight w:val="none"/>
                <w:lang w:eastAsia="zh-CN"/>
              </w:rPr>
            </w:pPr>
            <w:r>
              <w:rPr>
                <w:rFonts w:hint="eastAsia" w:ascii="微软雅黑" w:hAnsi="微软雅黑" w:eastAsia="微软雅黑" w:cs="微软雅黑"/>
                <w:iCs/>
                <w:color w:val="auto"/>
                <w:sz w:val="20"/>
                <w:szCs w:val="20"/>
                <w:highlight w:val="none"/>
                <w:lang w:eastAsia="zh-CN"/>
              </w:rPr>
              <w:t>产品技术指标及生产能力技术：</w:t>
            </w:r>
          </w:p>
          <w:p>
            <w:pPr>
              <w:pStyle w:val="17"/>
              <w:numPr>
                <w:ilvl w:val="0"/>
                <w:numId w:val="0"/>
              </w:numPr>
              <w:pBdr>
                <w:bottom w:val="none" w:color="auto" w:sz="0" w:space="0"/>
              </w:pBdr>
              <w:shd w:val="clear"/>
              <w:jc w:val="left"/>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（3）安全性（满分8分）：</w:t>
            </w:r>
          </w:p>
          <w:p>
            <w:pPr>
              <w:pStyle w:val="17"/>
              <w:numPr>
                <w:ilvl w:val="0"/>
                <w:numId w:val="0"/>
              </w:numPr>
              <w:pBdr>
                <w:bottom w:val="none" w:color="auto" w:sz="0" w:space="0"/>
              </w:pBdr>
              <w:shd w:val="clear"/>
              <w:jc w:val="left"/>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rPr>
              <w:t>投标供应商</w:t>
            </w:r>
            <w:r>
              <w:rPr>
                <w:rFonts w:hint="eastAsia" w:ascii="微软雅黑" w:hAnsi="微软雅黑" w:eastAsia="微软雅黑" w:cs="微软雅黑"/>
                <w:color w:val="auto"/>
                <w:kern w:val="0"/>
                <w:sz w:val="20"/>
                <w:szCs w:val="20"/>
                <w:highlight w:val="none"/>
                <w:lang w:val="en-US" w:eastAsia="zh-CN" w:bidi="ar-SA"/>
              </w:rPr>
              <w:t>提供</w:t>
            </w:r>
            <w:r>
              <w:rPr>
                <w:rFonts w:hint="eastAsia" w:ascii="微软雅黑" w:hAnsi="微软雅黑" w:eastAsia="微软雅黑" w:cs="微软雅黑"/>
                <w:color w:val="auto"/>
                <w:kern w:val="0"/>
                <w:sz w:val="20"/>
                <w:szCs w:val="20"/>
                <w:highlight w:val="none"/>
                <w:lang w:val="en-US" w:eastAsia="zh-CN"/>
              </w:rPr>
              <w:t>2020年～2022年</w:t>
            </w:r>
            <w:r>
              <w:rPr>
                <w:rFonts w:hint="eastAsia" w:ascii="微软雅黑" w:hAnsi="微软雅黑" w:eastAsia="微软雅黑" w:cs="微软雅黑"/>
                <w:color w:val="auto"/>
                <w:kern w:val="0"/>
                <w:sz w:val="20"/>
                <w:szCs w:val="20"/>
                <w:highlight w:val="none"/>
                <w:lang w:eastAsia="zh-CN"/>
              </w:rPr>
              <w:t>内</w:t>
            </w:r>
            <w:r>
              <w:rPr>
                <w:rFonts w:hint="eastAsia" w:ascii="微软雅黑" w:hAnsi="微软雅黑" w:eastAsia="微软雅黑" w:cs="微软雅黑"/>
                <w:color w:val="auto"/>
                <w:kern w:val="0"/>
                <w:sz w:val="20"/>
                <w:szCs w:val="20"/>
                <w:highlight w:val="none"/>
                <w:lang w:val="en-US" w:eastAsia="zh-CN" w:bidi="ar-SA"/>
              </w:rPr>
              <w:t>动物疫控机构出具的良好的评价证明材料及满意度反馈表</w:t>
            </w:r>
            <w:r>
              <w:rPr>
                <w:rFonts w:hint="eastAsia" w:ascii="微软雅黑" w:hAnsi="微软雅黑" w:eastAsia="微软雅黑" w:cs="微软雅黑"/>
                <w:color w:val="auto"/>
                <w:kern w:val="0"/>
                <w:sz w:val="20"/>
                <w:szCs w:val="20"/>
                <w:highlight w:val="none"/>
                <w:lang w:val="en-US" w:eastAsia="zh-CN"/>
              </w:rPr>
              <w:t>的</w:t>
            </w:r>
            <w:r>
              <w:rPr>
                <w:rFonts w:hint="eastAsia" w:ascii="微软雅黑" w:hAnsi="微软雅黑" w:eastAsia="微软雅黑" w:cs="微软雅黑"/>
                <w:color w:val="auto"/>
                <w:kern w:val="0"/>
                <w:sz w:val="20"/>
                <w:szCs w:val="20"/>
                <w:highlight w:val="none"/>
                <w:lang w:val="en-US" w:eastAsia="zh-CN" w:bidi="ar-SA"/>
              </w:rPr>
              <w:t>得0.5分，满分8分。</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30"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default"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4</w:t>
            </w:r>
          </w:p>
        </w:tc>
        <w:tc>
          <w:tcPr>
            <w:tcW w:w="7855" w:type="dxa"/>
            <w:shd w:val="clear" w:color="auto" w:fill="auto"/>
            <w:vAlign w:val="top"/>
          </w:tcPr>
          <w:p>
            <w:pPr>
              <w:pStyle w:val="13"/>
              <w:numPr>
                <w:ilvl w:val="0"/>
                <w:numId w:val="0"/>
              </w:numPr>
              <w:shd w:val="clear"/>
              <w:jc w:val="both"/>
              <w:rPr>
                <w:rFonts w:hint="eastAsia" w:ascii="微软雅黑" w:hAnsi="微软雅黑" w:eastAsia="微软雅黑" w:cs="微软雅黑"/>
                <w:iCs/>
                <w:color w:val="auto"/>
                <w:sz w:val="20"/>
                <w:szCs w:val="20"/>
                <w:highlight w:val="none"/>
                <w:lang w:eastAsia="zh-CN"/>
              </w:rPr>
            </w:pPr>
            <w:r>
              <w:rPr>
                <w:rFonts w:hint="eastAsia" w:ascii="微软雅黑" w:hAnsi="微软雅黑" w:eastAsia="微软雅黑" w:cs="微软雅黑"/>
                <w:iCs/>
                <w:color w:val="auto"/>
                <w:sz w:val="20"/>
                <w:szCs w:val="20"/>
                <w:highlight w:val="none"/>
                <w:lang w:eastAsia="zh-CN"/>
              </w:rPr>
              <w:t>产品技术指标及生产能力技术：</w:t>
            </w:r>
          </w:p>
          <w:p>
            <w:pPr>
              <w:widowControl/>
              <w:shd w:val="clear"/>
              <w:spacing w:line="280" w:lineRule="exact"/>
              <w:jc w:val="left"/>
              <w:rPr>
                <w:rFonts w:hint="eastAsia" w:ascii="微软雅黑" w:hAnsi="微软雅黑" w:eastAsia="微软雅黑" w:cs="微软雅黑"/>
                <w:b w:val="0"/>
                <w:bCs w:val="0"/>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（4）</w:t>
            </w:r>
            <w:r>
              <w:rPr>
                <w:rFonts w:hint="eastAsia" w:ascii="微软雅黑" w:hAnsi="微软雅黑" w:eastAsia="微软雅黑" w:cs="微软雅黑"/>
                <w:b w:val="0"/>
                <w:bCs w:val="0"/>
                <w:color w:val="auto"/>
                <w:kern w:val="0"/>
                <w:sz w:val="20"/>
                <w:szCs w:val="20"/>
                <w:highlight w:val="none"/>
                <w:lang w:val="en-US" w:eastAsia="zh-CN" w:bidi="ar-SA"/>
              </w:rPr>
              <w:t>对于所投产品的研发实力、技术革新或成果（满分4分）：</w:t>
            </w:r>
          </w:p>
          <w:p>
            <w:pPr>
              <w:widowControl/>
              <w:shd w:val="clear"/>
              <w:spacing w:line="280" w:lineRule="exact"/>
              <w:jc w:val="left"/>
              <w:rPr>
                <w:rFonts w:hint="eastAsia" w:ascii="微软雅黑" w:hAnsi="微软雅黑" w:eastAsia="微软雅黑" w:cs="微软雅黑"/>
                <w:b w:val="0"/>
                <w:bCs w:val="0"/>
                <w:color w:val="auto"/>
                <w:kern w:val="0"/>
                <w:sz w:val="20"/>
                <w:szCs w:val="20"/>
                <w:highlight w:val="none"/>
                <w:lang w:val="en-US" w:eastAsia="zh-CN" w:bidi="ar-SA"/>
              </w:rPr>
            </w:pPr>
            <w:r>
              <w:rPr>
                <w:rFonts w:hint="eastAsia" w:ascii="微软雅黑" w:hAnsi="微软雅黑" w:eastAsia="微软雅黑" w:cs="微软雅黑"/>
                <w:b w:val="0"/>
                <w:bCs w:val="0"/>
                <w:color w:val="auto"/>
                <w:kern w:val="0"/>
                <w:sz w:val="20"/>
                <w:szCs w:val="20"/>
                <w:highlight w:val="none"/>
                <w:lang w:val="en-US" w:eastAsia="zh-CN" w:bidi="ar-SA"/>
              </w:rPr>
              <w:t>①</w:t>
            </w:r>
            <w:r>
              <w:rPr>
                <w:rFonts w:hint="eastAsia" w:ascii="微软雅黑" w:hAnsi="微软雅黑" w:eastAsia="微软雅黑" w:cs="微软雅黑"/>
                <w:color w:val="auto"/>
                <w:kern w:val="0"/>
                <w:sz w:val="20"/>
                <w:szCs w:val="20"/>
                <w:highlight w:val="none"/>
                <w:lang w:val="en-US" w:eastAsia="zh-Hans" w:bidi="ar-SA"/>
              </w:rPr>
              <w:t>投标企业为</w:t>
            </w:r>
            <w:r>
              <w:rPr>
                <w:rFonts w:hint="eastAsia" w:ascii="微软雅黑" w:hAnsi="微软雅黑" w:eastAsia="微软雅黑" w:cs="微软雅黑"/>
                <w:color w:val="auto"/>
                <w:kern w:val="0"/>
                <w:sz w:val="20"/>
                <w:szCs w:val="20"/>
                <w:highlight w:val="none"/>
                <w:lang w:val="en-US" w:eastAsia="zh-CN" w:bidi="ar-SA"/>
              </w:rPr>
              <w:t>国家</w:t>
            </w:r>
            <w:r>
              <w:rPr>
                <w:rFonts w:hint="eastAsia" w:ascii="微软雅黑" w:hAnsi="微软雅黑" w:eastAsia="微软雅黑" w:cs="微软雅黑"/>
                <w:color w:val="auto"/>
                <w:kern w:val="0"/>
                <w:sz w:val="20"/>
                <w:szCs w:val="20"/>
                <w:highlight w:val="none"/>
                <w:lang w:val="en-US" w:eastAsia="zh-Hans" w:bidi="ar-SA"/>
              </w:rPr>
              <w:t>高新技术企业</w:t>
            </w:r>
            <w:r>
              <w:rPr>
                <w:rFonts w:hint="eastAsia" w:ascii="微软雅黑" w:hAnsi="微软雅黑" w:eastAsia="微软雅黑" w:cs="微软雅黑"/>
                <w:color w:val="auto"/>
                <w:kern w:val="0"/>
                <w:sz w:val="20"/>
                <w:szCs w:val="20"/>
                <w:highlight w:val="none"/>
                <w:lang w:val="en-US" w:eastAsia="zh-CN" w:bidi="ar-SA"/>
              </w:rPr>
              <w:t>的提供佐证材料的得1分，没有的不得分</w:t>
            </w:r>
            <w:r>
              <w:rPr>
                <w:rFonts w:hint="eastAsia" w:ascii="微软雅黑" w:hAnsi="微软雅黑" w:eastAsia="微软雅黑" w:cs="微软雅黑"/>
                <w:b w:val="0"/>
                <w:bCs w:val="0"/>
                <w:color w:val="auto"/>
                <w:kern w:val="0"/>
                <w:sz w:val="20"/>
                <w:szCs w:val="20"/>
                <w:highlight w:val="none"/>
                <w:lang w:val="en-US" w:eastAsia="zh-CN" w:bidi="ar-SA"/>
              </w:rPr>
              <w:t>；</w:t>
            </w:r>
          </w:p>
          <w:p>
            <w:pPr>
              <w:widowControl/>
              <w:shd w:val="clear"/>
              <w:spacing w:line="280" w:lineRule="exact"/>
              <w:jc w:val="left"/>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b w:val="0"/>
                <w:bCs w:val="0"/>
                <w:color w:val="auto"/>
                <w:kern w:val="0"/>
                <w:sz w:val="20"/>
                <w:szCs w:val="20"/>
                <w:highlight w:val="none"/>
                <w:lang w:val="en-US" w:eastAsia="zh-CN" w:bidi="ar-SA"/>
              </w:rPr>
              <w:t>②</w:t>
            </w:r>
            <w:r>
              <w:rPr>
                <w:rFonts w:hint="eastAsia" w:ascii="微软雅黑" w:hAnsi="微软雅黑" w:eastAsia="微软雅黑" w:cs="微软雅黑"/>
                <w:color w:val="auto"/>
                <w:kern w:val="0"/>
                <w:sz w:val="20"/>
                <w:szCs w:val="20"/>
                <w:highlight w:val="none"/>
                <w:lang w:val="en-US" w:eastAsia="zh-CN"/>
              </w:rPr>
              <w:t>投标供应商</w:t>
            </w:r>
            <w:r>
              <w:rPr>
                <w:rFonts w:hint="eastAsia" w:ascii="微软雅黑" w:hAnsi="微软雅黑" w:eastAsia="微软雅黑" w:cs="微软雅黑"/>
                <w:b w:val="0"/>
                <w:bCs w:val="0"/>
                <w:color w:val="auto"/>
                <w:kern w:val="0"/>
                <w:sz w:val="20"/>
                <w:szCs w:val="20"/>
                <w:highlight w:val="none"/>
                <w:lang w:val="en-US" w:eastAsia="zh-CN" w:bidi="ar-SA"/>
              </w:rPr>
              <w:t>提供所投产品技术革新或新成果：有国家有关部门或农业农村部认可的项目新成果的佐证</w:t>
            </w:r>
            <w:r>
              <w:rPr>
                <w:rFonts w:hint="eastAsia" w:ascii="微软雅黑" w:hAnsi="微软雅黑" w:eastAsia="微软雅黑" w:cs="微软雅黑"/>
                <w:color w:val="auto"/>
                <w:kern w:val="0"/>
                <w:sz w:val="20"/>
                <w:szCs w:val="20"/>
                <w:highlight w:val="none"/>
                <w:lang w:val="en-US" w:eastAsia="zh-CN" w:bidi="ar-SA"/>
              </w:rPr>
              <w:t>材料</w:t>
            </w:r>
            <w:r>
              <w:rPr>
                <w:rFonts w:hint="eastAsia" w:ascii="微软雅黑" w:hAnsi="微软雅黑" w:eastAsia="微软雅黑" w:cs="微软雅黑"/>
                <w:b w:val="0"/>
                <w:bCs w:val="0"/>
                <w:color w:val="auto"/>
                <w:kern w:val="0"/>
                <w:sz w:val="20"/>
                <w:szCs w:val="20"/>
                <w:highlight w:val="none"/>
                <w:lang w:val="en-US" w:eastAsia="zh-CN" w:bidi="ar-SA"/>
              </w:rPr>
              <w:t>，有1项得1分，没有不得分，最高得3分。</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70"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default"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8</w:t>
            </w:r>
          </w:p>
        </w:tc>
        <w:tc>
          <w:tcPr>
            <w:tcW w:w="7855" w:type="dxa"/>
            <w:shd w:val="clear" w:color="auto" w:fill="auto"/>
            <w:vAlign w:val="center"/>
          </w:tcPr>
          <w:p>
            <w:pPr>
              <w:numPr>
                <w:ilvl w:val="0"/>
                <w:numId w:val="0"/>
              </w:numPr>
              <w:shd w:val="clear"/>
              <w:spacing w:line="280" w:lineRule="exact"/>
              <w:rPr>
                <w:rFonts w:ascii="微软雅黑" w:hAnsi="微软雅黑" w:eastAsia="微软雅黑" w:cs="微软雅黑"/>
                <w:color w:val="auto"/>
                <w:kern w:val="0"/>
                <w:sz w:val="20"/>
                <w:szCs w:val="20"/>
                <w:highlight w:val="none"/>
              </w:rPr>
            </w:pPr>
            <w:r>
              <w:rPr>
                <w:rFonts w:hint="eastAsia" w:ascii="微软雅黑" w:hAnsi="微软雅黑" w:eastAsia="微软雅黑" w:cs="微软雅黑"/>
                <w:color w:val="auto"/>
                <w:kern w:val="0"/>
                <w:sz w:val="20"/>
                <w:szCs w:val="20"/>
                <w:highlight w:val="none"/>
              </w:rPr>
              <w:t>培训方案</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lang w:val="en-US" w:eastAsia="zh-CN"/>
              </w:rPr>
              <w:t>投标供应商</w:t>
            </w:r>
            <w:r>
              <w:rPr>
                <w:rFonts w:hint="eastAsia" w:ascii="微软雅黑" w:hAnsi="微软雅黑" w:eastAsia="微软雅黑" w:cs="微软雅黑"/>
                <w:color w:val="auto"/>
                <w:kern w:val="0"/>
                <w:sz w:val="20"/>
                <w:szCs w:val="20"/>
                <w:highlight w:val="none"/>
                <w:lang w:eastAsia="zh-CN"/>
              </w:rPr>
              <w:t>对采购方各地州县市、乡镇、村防疫人员进行技术</w:t>
            </w:r>
            <w:r>
              <w:rPr>
                <w:rFonts w:hint="eastAsia" w:ascii="微软雅黑" w:hAnsi="微软雅黑" w:eastAsia="微软雅黑" w:cs="微软雅黑"/>
                <w:color w:val="auto"/>
                <w:kern w:val="0"/>
                <w:sz w:val="20"/>
                <w:szCs w:val="20"/>
                <w:highlight w:val="none"/>
              </w:rPr>
              <w:t>培训</w:t>
            </w:r>
            <w:r>
              <w:rPr>
                <w:rFonts w:hint="eastAsia" w:ascii="微软雅黑" w:hAnsi="微软雅黑" w:eastAsia="微软雅黑" w:cs="微软雅黑"/>
                <w:color w:val="auto"/>
                <w:kern w:val="0"/>
                <w:sz w:val="20"/>
                <w:szCs w:val="20"/>
                <w:highlight w:val="none"/>
                <w:lang w:eastAsia="zh-CN"/>
              </w:rPr>
              <w:t>并制定培训方案</w:t>
            </w:r>
            <w:r>
              <w:rPr>
                <w:rFonts w:hint="eastAsia" w:ascii="微软雅黑" w:hAnsi="微软雅黑" w:eastAsia="微软雅黑" w:cs="微软雅黑"/>
                <w:color w:val="auto"/>
                <w:kern w:val="0"/>
                <w:sz w:val="20"/>
                <w:szCs w:val="20"/>
                <w:highlight w:val="none"/>
              </w:rPr>
              <w:t>，方案包括</w:t>
            </w:r>
            <w:r>
              <w:rPr>
                <w:rFonts w:hint="eastAsia" w:ascii="微软雅黑" w:hAnsi="微软雅黑" w:eastAsia="微软雅黑" w:cs="微软雅黑"/>
                <w:color w:val="auto"/>
                <w:kern w:val="0"/>
                <w:sz w:val="20"/>
                <w:szCs w:val="20"/>
                <w:highlight w:val="none"/>
                <w:lang w:val="en-US" w:eastAsia="zh-CN"/>
              </w:rPr>
              <w:t>培训内容、培训目的、</w:t>
            </w:r>
            <w:r>
              <w:rPr>
                <w:rFonts w:hint="eastAsia" w:ascii="微软雅黑" w:hAnsi="微软雅黑" w:eastAsia="微软雅黑" w:cs="微软雅黑"/>
                <w:color w:val="auto"/>
                <w:kern w:val="0"/>
                <w:sz w:val="20"/>
                <w:szCs w:val="20"/>
                <w:highlight w:val="none"/>
              </w:rPr>
              <w:t>培训计划、培训地点、培训方式、培训人员至少</w:t>
            </w:r>
            <w:r>
              <w:rPr>
                <w:rFonts w:hint="eastAsia" w:ascii="微软雅黑" w:hAnsi="微软雅黑" w:eastAsia="微软雅黑" w:cs="微软雅黑"/>
                <w:color w:val="auto"/>
                <w:kern w:val="0"/>
                <w:sz w:val="20"/>
                <w:szCs w:val="20"/>
                <w:highlight w:val="none"/>
                <w:lang w:val="en-US" w:eastAsia="zh-CN"/>
              </w:rPr>
              <w:t>满足</w:t>
            </w:r>
            <w:r>
              <w:rPr>
                <w:rFonts w:hint="eastAsia" w:ascii="微软雅黑" w:hAnsi="微软雅黑" w:eastAsia="微软雅黑" w:cs="微软雅黑"/>
                <w:color w:val="auto"/>
                <w:kern w:val="0"/>
                <w:sz w:val="20"/>
                <w:szCs w:val="20"/>
                <w:highlight w:val="none"/>
              </w:rPr>
              <w:t>5人、师资力量</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rPr>
              <w:t>培训时间、培训讲师</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lang w:val="en-US" w:eastAsia="zh-CN"/>
              </w:rPr>
              <w:t>出具畜牧兽医机构培训材料</w:t>
            </w:r>
            <w:r>
              <w:rPr>
                <w:rFonts w:hint="eastAsia" w:ascii="微软雅黑" w:hAnsi="微软雅黑" w:eastAsia="微软雅黑" w:cs="微软雅黑"/>
                <w:color w:val="auto"/>
                <w:kern w:val="0"/>
                <w:sz w:val="20"/>
                <w:szCs w:val="20"/>
                <w:highlight w:val="none"/>
              </w:rPr>
              <w:t>等</w:t>
            </w:r>
            <w:r>
              <w:rPr>
                <w:rFonts w:hint="eastAsia" w:ascii="微软雅黑" w:hAnsi="微软雅黑" w:eastAsia="微软雅黑" w:cs="微软雅黑"/>
                <w:color w:val="auto"/>
                <w:kern w:val="0"/>
                <w:sz w:val="20"/>
                <w:szCs w:val="20"/>
                <w:highlight w:val="none"/>
                <w:lang w:val="en-US" w:eastAsia="zh-CN"/>
              </w:rPr>
              <w:t>进行横向对比</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rPr>
              <w:t>完全满足项目实际要求的得</w:t>
            </w:r>
            <w:r>
              <w:rPr>
                <w:rFonts w:hint="eastAsia" w:ascii="微软雅黑" w:hAnsi="微软雅黑" w:eastAsia="微软雅黑" w:cs="微软雅黑"/>
                <w:color w:val="auto"/>
                <w:kern w:val="0"/>
                <w:sz w:val="20"/>
                <w:szCs w:val="20"/>
                <w:highlight w:val="none"/>
                <w:lang w:val="en-US" w:eastAsia="zh-CN"/>
              </w:rPr>
              <w:t>8</w:t>
            </w:r>
            <w:r>
              <w:rPr>
                <w:rFonts w:hint="eastAsia" w:ascii="微软雅黑" w:hAnsi="微软雅黑" w:eastAsia="微软雅黑" w:cs="微软雅黑"/>
                <w:color w:val="auto"/>
                <w:kern w:val="0"/>
                <w:sz w:val="20"/>
                <w:szCs w:val="20"/>
                <w:highlight w:val="none"/>
              </w:rPr>
              <w:t>分；方案描述不清晰或结构混乱不贴合</w:t>
            </w:r>
            <w:r>
              <w:rPr>
                <w:rFonts w:hint="eastAsia" w:ascii="微软雅黑" w:hAnsi="微软雅黑" w:eastAsia="微软雅黑" w:cs="微软雅黑"/>
                <w:color w:val="auto"/>
                <w:kern w:val="0"/>
                <w:sz w:val="20"/>
                <w:szCs w:val="20"/>
                <w:highlight w:val="none"/>
                <w:lang w:val="en-US" w:eastAsia="zh-CN"/>
              </w:rPr>
              <w:t>实际或</w:t>
            </w:r>
            <w:r>
              <w:rPr>
                <w:rFonts w:hint="eastAsia" w:ascii="微软雅黑" w:hAnsi="微软雅黑" w:eastAsia="微软雅黑" w:cs="微软雅黑"/>
                <w:color w:val="auto"/>
                <w:kern w:val="0"/>
                <w:sz w:val="20"/>
                <w:szCs w:val="20"/>
                <w:highlight w:val="none"/>
              </w:rPr>
              <w:t>有缺失内容的每一项扣</w:t>
            </w:r>
            <w:r>
              <w:rPr>
                <w:rFonts w:hint="eastAsia" w:ascii="微软雅黑" w:hAnsi="微软雅黑" w:eastAsia="微软雅黑" w:cs="微软雅黑"/>
                <w:color w:val="auto"/>
                <w:kern w:val="0"/>
                <w:sz w:val="20"/>
                <w:szCs w:val="20"/>
                <w:highlight w:val="none"/>
                <w:lang w:val="en-US" w:eastAsia="zh-CN"/>
              </w:rPr>
              <w:t>2</w:t>
            </w:r>
            <w:r>
              <w:rPr>
                <w:rFonts w:hint="eastAsia" w:ascii="微软雅黑" w:hAnsi="微软雅黑" w:eastAsia="微软雅黑" w:cs="微软雅黑"/>
                <w:color w:val="auto"/>
                <w:kern w:val="0"/>
                <w:sz w:val="20"/>
                <w:szCs w:val="20"/>
                <w:highlight w:val="none"/>
              </w:rPr>
              <w:t>分，扣完为止；未提供的不得分。</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32"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4</w:t>
            </w:r>
          </w:p>
        </w:tc>
        <w:tc>
          <w:tcPr>
            <w:tcW w:w="7855" w:type="dxa"/>
            <w:shd w:val="clear" w:color="auto" w:fill="auto"/>
            <w:vAlign w:val="center"/>
          </w:tcPr>
          <w:p>
            <w:pPr>
              <w:widowControl/>
              <w:shd w:val="clear"/>
              <w:spacing w:line="280" w:lineRule="exact"/>
              <w:jc w:val="left"/>
              <w:rPr>
                <w:rFonts w:hint="eastAsia" w:ascii="微软雅黑" w:hAnsi="微软雅黑" w:eastAsia="微软雅黑" w:cs="微软雅黑"/>
                <w:color w:val="auto"/>
                <w:kern w:val="0"/>
                <w:sz w:val="20"/>
                <w:szCs w:val="20"/>
                <w:highlight w:val="none"/>
              </w:rPr>
            </w:pPr>
            <w:r>
              <w:rPr>
                <w:rFonts w:hint="eastAsia" w:ascii="微软雅黑" w:hAnsi="微软雅黑" w:eastAsia="微软雅黑" w:cs="微软雅黑"/>
                <w:color w:val="auto"/>
                <w:kern w:val="0"/>
                <w:sz w:val="20"/>
                <w:szCs w:val="20"/>
                <w:highlight w:val="none"/>
                <w:lang w:eastAsia="zh-CN"/>
              </w:rPr>
              <w:t>损失补偿方案：</w:t>
            </w:r>
            <w:r>
              <w:rPr>
                <w:rFonts w:hint="eastAsia" w:ascii="微软雅黑" w:hAnsi="微软雅黑" w:eastAsia="微软雅黑" w:cs="微软雅黑"/>
                <w:color w:val="auto"/>
                <w:kern w:val="0"/>
                <w:sz w:val="20"/>
                <w:szCs w:val="20"/>
                <w:highlight w:val="none"/>
                <w:lang w:val="en-US" w:eastAsia="zh-CN"/>
              </w:rPr>
              <w:t>投标供应商</w:t>
            </w:r>
            <w:r>
              <w:rPr>
                <w:rFonts w:hint="eastAsia" w:ascii="微软雅黑" w:hAnsi="微软雅黑" w:eastAsia="微软雅黑" w:cs="微软雅黑"/>
                <w:color w:val="auto"/>
                <w:kern w:val="0"/>
                <w:sz w:val="20"/>
                <w:szCs w:val="20"/>
                <w:highlight w:val="none"/>
                <w:lang w:eastAsia="zh-CN"/>
              </w:rPr>
              <w:t>承诺因疫苗反应、免疫失败、产品质量导致畜禽死亡或流产造成损失按照不低于国家标准补偿，</w:t>
            </w:r>
            <w:r>
              <w:rPr>
                <w:rFonts w:hint="eastAsia" w:ascii="微软雅黑" w:hAnsi="微软雅黑" w:eastAsia="微软雅黑" w:cs="微软雅黑"/>
                <w:color w:val="auto"/>
                <w:kern w:val="0"/>
                <w:sz w:val="20"/>
                <w:szCs w:val="20"/>
                <w:highlight w:val="none"/>
                <w:lang w:val="en-US" w:eastAsia="zh-CN"/>
              </w:rPr>
              <w:t>并</w:t>
            </w:r>
            <w:r>
              <w:rPr>
                <w:rFonts w:hint="eastAsia" w:ascii="微软雅黑" w:hAnsi="微软雅黑" w:eastAsia="微软雅黑" w:cs="微软雅黑"/>
                <w:color w:val="auto"/>
                <w:kern w:val="0"/>
                <w:sz w:val="20"/>
                <w:szCs w:val="20"/>
                <w:highlight w:val="none"/>
              </w:rPr>
              <w:t>建立补偿准备金</w:t>
            </w:r>
            <w:r>
              <w:rPr>
                <w:rFonts w:hint="eastAsia" w:ascii="微软雅黑" w:hAnsi="微软雅黑" w:eastAsia="微软雅黑" w:cs="微软雅黑"/>
                <w:color w:val="auto"/>
                <w:kern w:val="0"/>
                <w:sz w:val="20"/>
                <w:szCs w:val="20"/>
                <w:highlight w:val="none"/>
                <w:lang w:eastAsia="zh-CN"/>
              </w:rPr>
              <w:t>得</w:t>
            </w:r>
            <w:r>
              <w:rPr>
                <w:rFonts w:hint="eastAsia" w:ascii="微软雅黑" w:hAnsi="微软雅黑" w:eastAsia="微软雅黑" w:cs="微软雅黑"/>
                <w:color w:val="auto"/>
                <w:kern w:val="0"/>
                <w:sz w:val="20"/>
                <w:szCs w:val="20"/>
                <w:highlight w:val="none"/>
                <w:lang w:val="en-US" w:eastAsia="zh-CN"/>
              </w:rPr>
              <w:t>4分。</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60"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default"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9</w:t>
            </w:r>
          </w:p>
        </w:tc>
        <w:tc>
          <w:tcPr>
            <w:tcW w:w="7855" w:type="dxa"/>
            <w:shd w:val="clear" w:color="auto" w:fill="auto"/>
            <w:vAlign w:val="center"/>
          </w:tcPr>
          <w:p>
            <w:pPr>
              <w:widowControl/>
              <w:shd w:val="clear"/>
              <w:spacing w:line="280" w:lineRule="exact"/>
              <w:jc w:val="left"/>
              <w:rPr>
                <w:rFonts w:hint="eastAsia" w:ascii="微软雅黑" w:hAnsi="微软雅黑" w:eastAsia="微软雅黑" w:cs="微软雅黑"/>
                <w:color w:val="auto"/>
                <w:kern w:val="0"/>
                <w:sz w:val="20"/>
                <w:szCs w:val="20"/>
                <w:highlight w:val="none"/>
                <w:lang w:eastAsia="zh-CN"/>
              </w:rPr>
            </w:pPr>
            <w:r>
              <w:rPr>
                <w:rFonts w:hint="eastAsia" w:ascii="微软雅黑" w:hAnsi="微软雅黑" w:eastAsia="微软雅黑" w:cs="微软雅黑"/>
                <w:color w:val="auto"/>
                <w:kern w:val="0"/>
                <w:sz w:val="20"/>
                <w:szCs w:val="20"/>
                <w:highlight w:val="none"/>
              </w:rPr>
              <w:t>售后服务</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lang w:val="en-US" w:eastAsia="zh-CN"/>
              </w:rPr>
              <w:t>投标供应商提供</w:t>
            </w:r>
            <w:r>
              <w:rPr>
                <w:rFonts w:hint="eastAsia" w:ascii="微软雅黑" w:hAnsi="微软雅黑" w:eastAsia="微软雅黑" w:cs="微软雅黑"/>
                <w:color w:val="auto"/>
                <w:kern w:val="0"/>
                <w:sz w:val="20"/>
                <w:szCs w:val="20"/>
                <w:highlight w:val="none"/>
              </w:rPr>
              <w:t>售后服务方案</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rPr>
              <w:t>包含进度计划安排、配送方案、</w:t>
            </w:r>
            <w:r>
              <w:rPr>
                <w:rFonts w:hint="eastAsia" w:ascii="微软雅黑" w:hAnsi="微软雅黑" w:eastAsia="微软雅黑" w:cs="微软雅黑"/>
                <w:color w:val="auto"/>
                <w:kern w:val="0"/>
                <w:sz w:val="20"/>
                <w:szCs w:val="20"/>
                <w:highlight w:val="none"/>
                <w:lang w:val="en-US" w:eastAsia="zh-CN"/>
              </w:rPr>
              <w:t>保质期内的服务</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lang w:val="en-US" w:eastAsia="zh-CN"/>
              </w:rPr>
              <w:t>质保期外的服务、后期跟踪方案、动态监测、</w:t>
            </w:r>
            <w:r>
              <w:rPr>
                <w:rFonts w:hint="eastAsia" w:ascii="微软雅黑" w:hAnsi="微软雅黑" w:eastAsia="微软雅黑" w:cs="微软雅黑"/>
                <w:color w:val="auto"/>
                <w:kern w:val="0"/>
                <w:sz w:val="20"/>
                <w:szCs w:val="20"/>
                <w:highlight w:val="none"/>
              </w:rPr>
              <w:t>验收组织安排</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rPr>
              <w:t>风险防范措施</w:t>
            </w:r>
            <w:r>
              <w:rPr>
                <w:rFonts w:hint="eastAsia" w:ascii="微软雅黑" w:hAnsi="微软雅黑" w:eastAsia="微软雅黑" w:cs="微软雅黑"/>
                <w:color w:val="auto"/>
                <w:kern w:val="0"/>
                <w:sz w:val="20"/>
                <w:szCs w:val="20"/>
                <w:highlight w:val="none"/>
                <w:lang w:val="en-US" w:eastAsia="zh-CN"/>
              </w:rPr>
              <w:t>及在使用过程中配备相应注射设备等进行横向对比</w:t>
            </w:r>
            <w:r>
              <w:rPr>
                <w:rFonts w:hint="eastAsia" w:ascii="微软雅黑" w:hAnsi="微软雅黑" w:eastAsia="微软雅黑" w:cs="微软雅黑"/>
                <w:color w:val="auto"/>
                <w:kern w:val="0"/>
                <w:sz w:val="20"/>
                <w:szCs w:val="20"/>
                <w:highlight w:val="none"/>
              </w:rPr>
              <w:t>，方案完整，逻辑清晰，贴合采购需求，可行性高的得</w:t>
            </w:r>
            <w:r>
              <w:rPr>
                <w:rFonts w:hint="eastAsia" w:ascii="微软雅黑" w:hAnsi="微软雅黑" w:eastAsia="微软雅黑" w:cs="微软雅黑"/>
                <w:color w:val="auto"/>
                <w:kern w:val="0"/>
                <w:sz w:val="20"/>
                <w:szCs w:val="20"/>
                <w:highlight w:val="none"/>
                <w:lang w:val="en-US" w:eastAsia="zh-CN"/>
              </w:rPr>
              <w:t>9</w:t>
            </w:r>
            <w:r>
              <w:rPr>
                <w:rFonts w:hint="eastAsia" w:ascii="微软雅黑" w:hAnsi="微软雅黑" w:eastAsia="微软雅黑" w:cs="微软雅黑"/>
                <w:color w:val="auto"/>
                <w:kern w:val="0"/>
                <w:sz w:val="20"/>
                <w:szCs w:val="20"/>
                <w:highlight w:val="none"/>
              </w:rPr>
              <w:t>分；方案较为合理且可行性高的得</w:t>
            </w:r>
            <w:r>
              <w:rPr>
                <w:rFonts w:hint="eastAsia" w:ascii="微软雅黑" w:hAnsi="微软雅黑" w:eastAsia="微软雅黑" w:cs="微软雅黑"/>
                <w:color w:val="auto"/>
                <w:kern w:val="0"/>
                <w:sz w:val="20"/>
                <w:szCs w:val="20"/>
                <w:highlight w:val="none"/>
                <w:lang w:val="en-US" w:eastAsia="zh-CN"/>
              </w:rPr>
              <w:t>7</w:t>
            </w:r>
            <w:r>
              <w:rPr>
                <w:rFonts w:hint="eastAsia" w:ascii="微软雅黑" w:hAnsi="微软雅黑" w:eastAsia="微软雅黑" w:cs="微软雅黑"/>
                <w:color w:val="auto"/>
                <w:kern w:val="0"/>
                <w:sz w:val="20"/>
                <w:szCs w:val="20"/>
                <w:highlight w:val="none"/>
              </w:rPr>
              <w:t>分；方案不太合理，可行性不高的得</w:t>
            </w:r>
            <w:r>
              <w:rPr>
                <w:rFonts w:hint="eastAsia" w:ascii="微软雅黑" w:hAnsi="微软雅黑" w:eastAsia="微软雅黑" w:cs="微软雅黑"/>
                <w:color w:val="auto"/>
                <w:kern w:val="0"/>
                <w:sz w:val="20"/>
                <w:szCs w:val="20"/>
                <w:highlight w:val="none"/>
                <w:lang w:val="en-US" w:eastAsia="zh-CN"/>
              </w:rPr>
              <w:t>5</w:t>
            </w:r>
            <w:r>
              <w:rPr>
                <w:rFonts w:hint="eastAsia" w:ascii="微软雅黑" w:hAnsi="微软雅黑" w:eastAsia="微软雅黑" w:cs="微软雅黑"/>
                <w:color w:val="auto"/>
                <w:kern w:val="0"/>
                <w:sz w:val="20"/>
                <w:szCs w:val="20"/>
                <w:highlight w:val="none"/>
              </w:rPr>
              <w:t>分；方案结构混乱，不贴合本项目的采购需求得2分；未提供不得分。</w:t>
            </w:r>
            <w:r>
              <w:rPr>
                <w:rFonts w:hint="eastAsia" w:ascii="微软雅黑" w:hAnsi="微软雅黑" w:eastAsia="微软雅黑" w:cs="微软雅黑"/>
                <w:color w:val="auto"/>
                <w:kern w:val="0"/>
                <w:sz w:val="20"/>
                <w:szCs w:val="20"/>
                <w:highlight w:val="none"/>
                <w:lang w:eastAsia="zh-CN"/>
              </w:rPr>
              <w:t>（注：提供落实的方案，并提供佐证材料。）</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21"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8</w:t>
            </w:r>
          </w:p>
        </w:tc>
        <w:tc>
          <w:tcPr>
            <w:tcW w:w="7855" w:type="dxa"/>
            <w:shd w:val="clear" w:color="auto" w:fill="auto"/>
          </w:tcPr>
          <w:p>
            <w:pPr>
              <w:widowControl/>
              <w:numPr>
                <w:ilvl w:val="0"/>
                <w:numId w:val="0"/>
              </w:numPr>
              <w:shd w:val="clear"/>
              <w:spacing w:line="280" w:lineRule="exact"/>
              <w:rPr>
                <w:rFonts w:hint="eastAsia" w:ascii="微软雅黑" w:hAnsi="微软雅黑" w:eastAsia="微软雅黑" w:cs="微软雅黑"/>
                <w:color w:val="auto"/>
                <w:kern w:val="0"/>
                <w:sz w:val="20"/>
                <w:szCs w:val="20"/>
                <w:highlight w:val="none"/>
                <w:lang w:eastAsia="zh-CN"/>
              </w:rPr>
            </w:pPr>
            <w:r>
              <w:rPr>
                <w:rFonts w:hint="eastAsia" w:ascii="微软雅黑" w:hAnsi="微软雅黑" w:eastAsia="微软雅黑" w:cs="微软雅黑"/>
                <w:color w:val="auto"/>
                <w:kern w:val="0"/>
                <w:sz w:val="20"/>
                <w:szCs w:val="20"/>
                <w:highlight w:val="none"/>
              </w:rPr>
              <w:t>售后服务</w:t>
            </w:r>
            <w:r>
              <w:rPr>
                <w:rFonts w:hint="eastAsia" w:ascii="微软雅黑" w:hAnsi="微软雅黑" w:eastAsia="微软雅黑" w:cs="微软雅黑"/>
                <w:color w:val="auto"/>
                <w:kern w:val="0"/>
                <w:sz w:val="20"/>
                <w:szCs w:val="20"/>
                <w:highlight w:val="none"/>
                <w:lang w:eastAsia="zh-CN"/>
              </w:rPr>
              <w:t>：</w:t>
            </w:r>
          </w:p>
          <w:p>
            <w:pPr>
              <w:widowControl/>
              <w:numPr>
                <w:ilvl w:val="0"/>
                <w:numId w:val="0"/>
              </w:numPr>
              <w:shd w:val="clear"/>
              <w:spacing w:line="280" w:lineRule="exact"/>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lang w:val="en-US" w:eastAsia="zh-CN"/>
              </w:rPr>
              <w:t>1</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lang w:val="en-US" w:eastAsia="zh-CN"/>
              </w:rPr>
              <w:t>投标供应商</w:t>
            </w:r>
            <w:r>
              <w:rPr>
                <w:rFonts w:hint="eastAsia" w:ascii="微软雅黑" w:hAnsi="微软雅黑" w:eastAsia="微软雅黑" w:cs="微软雅黑"/>
                <w:color w:val="auto"/>
                <w:sz w:val="20"/>
                <w:szCs w:val="20"/>
                <w:highlight w:val="none"/>
              </w:rPr>
              <w:t>在</w:t>
            </w:r>
            <w:r>
              <w:rPr>
                <w:rFonts w:hint="eastAsia" w:ascii="微软雅黑" w:hAnsi="微软雅黑" w:eastAsia="微软雅黑" w:cs="微软雅黑"/>
                <w:color w:val="auto"/>
                <w:sz w:val="20"/>
                <w:szCs w:val="20"/>
                <w:highlight w:val="none"/>
                <w:lang w:val="en-US" w:eastAsia="zh-CN"/>
              </w:rPr>
              <w:t>疆内</w:t>
            </w:r>
            <w:r>
              <w:rPr>
                <w:rFonts w:hint="eastAsia" w:ascii="微软雅黑" w:hAnsi="微软雅黑" w:eastAsia="微软雅黑" w:cs="微软雅黑"/>
                <w:color w:val="auto"/>
                <w:sz w:val="20"/>
                <w:szCs w:val="20"/>
                <w:highlight w:val="none"/>
              </w:rPr>
              <w:t>能够提供售后保障服务网点</w:t>
            </w:r>
            <w:r>
              <w:rPr>
                <w:rFonts w:hint="eastAsia" w:ascii="微软雅黑" w:hAnsi="微软雅黑" w:eastAsia="微软雅黑" w:cs="微软雅黑"/>
                <w:color w:val="auto"/>
                <w:sz w:val="20"/>
                <w:szCs w:val="20"/>
                <w:highlight w:val="none"/>
                <w:lang w:val="en-US" w:eastAsia="zh-CN"/>
              </w:rPr>
              <w:t>的得4分</w:t>
            </w: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rPr>
              <w:t>在</w:t>
            </w:r>
            <w:r>
              <w:rPr>
                <w:rFonts w:hint="eastAsia" w:ascii="微软雅黑" w:hAnsi="微软雅黑" w:eastAsia="微软雅黑" w:cs="微软雅黑"/>
                <w:color w:val="auto"/>
                <w:sz w:val="20"/>
                <w:szCs w:val="20"/>
                <w:highlight w:val="none"/>
                <w:lang w:val="en-US" w:eastAsia="zh-CN"/>
              </w:rPr>
              <w:t>疆外</w:t>
            </w:r>
            <w:r>
              <w:rPr>
                <w:rFonts w:hint="eastAsia" w:ascii="微软雅黑" w:hAnsi="微软雅黑" w:eastAsia="微软雅黑" w:cs="微软雅黑"/>
                <w:color w:val="auto"/>
                <w:sz w:val="20"/>
                <w:szCs w:val="20"/>
                <w:highlight w:val="none"/>
              </w:rPr>
              <w:t>能够提供售后保障服务网点</w:t>
            </w:r>
            <w:r>
              <w:rPr>
                <w:rFonts w:hint="eastAsia" w:ascii="微软雅黑" w:hAnsi="微软雅黑" w:eastAsia="微软雅黑" w:cs="微软雅黑"/>
                <w:color w:val="auto"/>
                <w:sz w:val="20"/>
                <w:szCs w:val="20"/>
                <w:highlight w:val="none"/>
                <w:lang w:val="en-US" w:eastAsia="zh-CN"/>
              </w:rPr>
              <w:t>的得2分。</w:t>
            </w:r>
          </w:p>
          <w:p>
            <w:pPr>
              <w:widowControl/>
              <w:numPr>
                <w:ilvl w:val="0"/>
                <w:numId w:val="0"/>
              </w:numPr>
              <w:shd w:val="clear"/>
              <w:spacing w:line="280" w:lineRule="exact"/>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lang w:val="en-US" w:eastAsia="zh-CN"/>
              </w:rPr>
              <w:t>2</w:t>
            </w: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rPr>
              <w:t>配备</w:t>
            </w:r>
            <w:r>
              <w:rPr>
                <w:rFonts w:hint="eastAsia" w:ascii="微软雅黑" w:hAnsi="微软雅黑" w:eastAsia="微软雅黑" w:cs="微软雅黑"/>
                <w:color w:val="auto"/>
                <w:sz w:val="20"/>
                <w:szCs w:val="20"/>
                <w:highlight w:val="none"/>
                <w:lang w:val="en-US" w:eastAsia="zh-CN"/>
              </w:rPr>
              <w:t>5名具有执业兽医医师资格证的</w:t>
            </w:r>
            <w:r>
              <w:rPr>
                <w:rFonts w:hint="eastAsia" w:ascii="微软雅黑" w:hAnsi="微软雅黑" w:eastAsia="微软雅黑" w:cs="微软雅黑"/>
                <w:color w:val="auto"/>
                <w:sz w:val="20"/>
                <w:szCs w:val="20"/>
                <w:highlight w:val="none"/>
              </w:rPr>
              <w:t>专业技术服务人员</w:t>
            </w:r>
            <w:r>
              <w:rPr>
                <w:rFonts w:hint="eastAsia" w:ascii="微软雅黑" w:hAnsi="微软雅黑" w:eastAsia="微软雅黑" w:cs="微软雅黑"/>
                <w:color w:val="auto"/>
                <w:sz w:val="20"/>
                <w:szCs w:val="20"/>
                <w:highlight w:val="none"/>
                <w:lang w:val="en-US" w:eastAsia="zh-CN"/>
              </w:rPr>
              <w:t>的</w:t>
            </w:r>
            <w:r>
              <w:rPr>
                <w:rFonts w:hint="eastAsia" w:ascii="微软雅黑" w:hAnsi="微软雅黑" w:eastAsia="微软雅黑" w:cs="微软雅黑"/>
                <w:color w:val="auto"/>
                <w:sz w:val="20"/>
                <w:szCs w:val="20"/>
                <w:highlight w:val="none"/>
                <w:lang w:eastAsia="zh-CN"/>
              </w:rPr>
              <w:t>得</w:t>
            </w:r>
            <w:r>
              <w:rPr>
                <w:rFonts w:hint="eastAsia" w:ascii="微软雅黑" w:hAnsi="微软雅黑" w:eastAsia="微软雅黑" w:cs="微软雅黑"/>
                <w:color w:val="auto"/>
                <w:sz w:val="20"/>
                <w:szCs w:val="20"/>
                <w:highlight w:val="none"/>
                <w:lang w:val="en-US" w:eastAsia="zh-CN"/>
              </w:rPr>
              <w:t>4分；没有不得分</w:t>
            </w:r>
            <w:r>
              <w:rPr>
                <w:rFonts w:hint="eastAsia" w:ascii="微软雅黑" w:hAnsi="微软雅黑" w:eastAsia="微软雅黑" w:cs="微软雅黑"/>
                <w:color w:val="auto"/>
                <w:sz w:val="20"/>
                <w:szCs w:val="20"/>
                <w:highlight w:val="none"/>
              </w:rPr>
              <w:t>。</w:t>
            </w:r>
          </w:p>
          <w:p>
            <w:pPr>
              <w:widowControl/>
              <w:numPr>
                <w:ilvl w:val="0"/>
                <w:numId w:val="0"/>
              </w:numPr>
              <w:shd w:val="clear"/>
              <w:spacing w:line="280" w:lineRule="exact"/>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注：除</w:t>
            </w:r>
            <w:r>
              <w:rPr>
                <w:rFonts w:hint="eastAsia" w:ascii="微软雅黑" w:hAnsi="微软雅黑" w:eastAsia="微软雅黑" w:cs="微软雅黑"/>
                <w:color w:val="auto"/>
                <w:sz w:val="20"/>
                <w:szCs w:val="20"/>
                <w:highlight w:val="none"/>
              </w:rPr>
              <w:t>提供租赁合同</w:t>
            </w:r>
            <w:r>
              <w:rPr>
                <w:rFonts w:hint="eastAsia" w:ascii="微软雅黑" w:hAnsi="微软雅黑" w:eastAsia="微软雅黑" w:cs="微软雅黑"/>
                <w:color w:val="auto"/>
                <w:sz w:val="20"/>
                <w:szCs w:val="20"/>
                <w:highlight w:val="none"/>
                <w:lang w:val="en-US" w:eastAsia="zh-CN"/>
              </w:rPr>
              <w:t>或合作协议或营业执照注册地</w:t>
            </w:r>
            <w:r>
              <w:rPr>
                <w:rFonts w:hint="eastAsia" w:ascii="微软雅黑" w:hAnsi="微软雅黑" w:eastAsia="微软雅黑" w:cs="微软雅黑"/>
                <w:color w:val="auto"/>
                <w:sz w:val="20"/>
                <w:szCs w:val="20"/>
                <w:highlight w:val="none"/>
              </w:rPr>
              <w:t>，</w:t>
            </w:r>
            <w:r>
              <w:rPr>
                <w:rFonts w:hint="eastAsia" w:ascii="微软雅黑" w:hAnsi="微软雅黑" w:eastAsia="微软雅黑" w:cs="微软雅黑"/>
                <w:color w:val="auto"/>
                <w:sz w:val="20"/>
                <w:szCs w:val="20"/>
                <w:highlight w:val="none"/>
                <w:lang w:val="en-US" w:eastAsia="zh-CN"/>
              </w:rPr>
              <w:t>资格证</w:t>
            </w: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lang w:val="en-US" w:eastAsia="zh-CN"/>
              </w:rPr>
              <w:t>资格证</w:t>
            </w:r>
            <w:r>
              <w:rPr>
                <w:rFonts w:hint="eastAsia" w:ascii="微软雅黑" w:hAnsi="微软雅黑" w:eastAsia="微软雅黑" w:cs="微软雅黑"/>
                <w:color w:val="auto"/>
                <w:sz w:val="20"/>
                <w:szCs w:val="20"/>
                <w:highlight w:val="none"/>
              </w:rPr>
              <w:t>资料须真实有效，否则将取消中标资格。</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7"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6</w:t>
            </w:r>
          </w:p>
        </w:tc>
        <w:tc>
          <w:tcPr>
            <w:tcW w:w="7855" w:type="dxa"/>
            <w:shd w:val="clear" w:color="auto" w:fill="auto"/>
            <w:vAlign w:val="center"/>
          </w:tcPr>
          <w:p>
            <w:pPr>
              <w:widowControl/>
              <w:shd w:val="clear"/>
              <w:spacing w:line="280" w:lineRule="exact"/>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疫苗的冷链运输：</w:t>
            </w:r>
          </w:p>
          <w:p>
            <w:pPr>
              <w:widowControl/>
              <w:numPr>
                <w:ilvl w:val="0"/>
                <w:numId w:val="8"/>
              </w:numPr>
              <w:shd w:val="clear"/>
              <w:spacing w:line="280" w:lineRule="exact"/>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①承诺疫苗使用专用冷藏车运输不超过72小时或航空运输不超过24小时，有全程温控记录设备和数据的得3分；</w:t>
            </w:r>
          </w:p>
          <w:p>
            <w:pPr>
              <w:widowControl/>
              <w:numPr>
                <w:ilvl w:val="0"/>
                <w:numId w:val="0"/>
              </w:numPr>
              <w:shd w:val="clear"/>
              <w:spacing w:line="280" w:lineRule="exact"/>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②承诺疫苗使用冷藏车运输超过72小时或航空运输超过24小时，有全程温控记录设备和数据的得1.5分；</w:t>
            </w:r>
          </w:p>
          <w:p>
            <w:pPr>
              <w:widowControl/>
              <w:numPr>
                <w:ilvl w:val="0"/>
                <w:numId w:val="0"/>
              </w:numPr>
              <w:shd w:val="clear"/>
              <w:spacing w:line="280" w:lineRule="exact"/>
              <w:jc w:val="both"/>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③承诺的超过以上最低时限或未采取规定运载工具运输的不得分。</w:t>
            </w:r>
          </w:p>
          <w:p>
            <w:pPr>
              <w:widowControl/>
              <w:shd w:val="clear"/>
              <w:spacing w:line="280" w:lineRule="exact"/>
              <w:jc w:val="both"/>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lang w:val="en-US" w:eastAsia="zh-CN"/>
              </w:rPr>
              <w:t>2</w:t>
            </w: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lang w:val="en-US" w:eastAsia="zh-CN"/>
              </w:rPr>
              <w:t>提供2022年内5个地区的冷链运输供货完整记录凭证的得3分。</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center"/>
          </w:tcPr>
          <w:p>
            <w:pPr>
              <w:shd w:val="clear"/>
              <w:spacing w:line="280" w:lineRule="exact"/>
              <w:jc w:val="center"/>
              <w:rPr>
                <w:rFonts w:hint="default"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4</w:t>
            </w:r>
          </w:p>
        </w:tc>
        <w:tc>
          <w:tcPr>
            <w:tcW w:w="7855" w:type="dxa"/>
            <w:shd w:val="clear" w:color="auto" w:fill="auto"/>
            <w:vAlign w:val="center"/>
          </w:tcPr>
          <w:p>
            <w:pPr>
              <w:pStyle w:val="2"/>
              <w:shd w:val="clear"/>
              <w:spacing w:line="240" w:lineRule="auto"/>
              <w:ind w:left="0" w:leftChars="0" w:firstLine="0" w:firstLineChars="0"/>
              <w:jc w:val="both"/>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val="en-US" w:eastAsia="zh-CN" w:bidi="ar-SA"/>
              </w:rPr>
              <w:t>投标供应商承诺响应时间：</w:t>
            </w:r>
          </w:p>
          <w:p>
            <w:pPr>
              <w:pStyle w:val="2"/>
              <w:shd w:val="clear"/>
              <w:spacing w:line="240" w:lineRule="auto"/>
              <w:ind w:left="0" w:leftChars="0" w:firstLine="0" w:firstLineChars="0"/>
              <w:jc w:val="both"/>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val="en-US" w:eastAsia="zh-CN" w:bidi="ar-SA"/>
              </w:rPr>
              <w:t>①投标供应商承诺措施全面可行性强，对疫苗免疫严重副反应现场处置响应时间≤24小时，并给予反应死亡赔偿费的得4分；</w:t>
            </w:r>
          </w:p>
          <w:p>
            <w:pPr>
              <w:pStyle w:val="2"/>
              <w:shd w:val="clear"/>
              <w:spacing w:line="240" w:lineRule="auto"/>
              <w:ind w:left="0" w:leftChars="0" w:firstLine="0" w:firstLineChars="0"/>
              <w:jc w:val="both"/>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val="en-US" w:eastAsia="zh-CN" w:bidi="ar-SA"/>
              </w:rPr>
              <w:t>②投标供应商承诺对疫苗免疫严重副反应现场处置响应时间≤24小时，未给予反应死亡赔偿费的得2分；</w:t>
            </w:r>
          </w:p>
          <w:p>
            <w:pPr>
              <w:pStyle w:val="2"/>
              <w:shd w:val="clear"/>
              <w:spacing w:line="240" w:lineRule="auto"/>
              <w:ind w:left="0" w:leftChars="0" w:firstLine="0" w:firstLineChars="0"/>
              <w:jc w:val="both"/>
              <w:rPr>
                <w:rFonts w:hint="eastAsia" w:ascii="微软雅黑" w:hAnsi="微软雅黑" w:eastAsia="微软雅黑" w:cs="微软雅黑"/>
                <w:color w:val="auto"/>
                <w:kern w:val="2"/>
                <w:sz w:val="20"/>
                <w:szCs w:val="20"/>
                <w:highlight w:val="none"/>
                <w:lang w:val="en-US" w:eastAsia="zh-CN" w:bidi="ar-SA"/>
              </w:rPr>
            </w:pPr>
            <w:r>
              <w:rPr>
                <w:rFonts w:hint="eastAsia" w:ascii="微软雅黑" w:hAnsi="微软雅黑" w:eastAsia="微软雅黑" w:cs="微软雅黑"/>
                <w:color w:val="auto"/>
                <w:kern w:val="2"/>
                <w:sz w:val="20"/>
                <w:szCs w:val="20"/>
                <w:highlight w:val="none"/>
                <w:lang w:val="en-US" w:eastAsia="zh-CN" w:bidi="ar-SA"/>
              </w:rPr>
              <w:t>③无承诺不得分。</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7" w:hRule="atLeast"/>
        </w:trPr>
        <w:tc>
          <w:tcPr>
            <w:tcW w:w="832" w:type="dxa"/>
            <w:vMerge w:val="continue"/>
            <w:shd w:val="clear" w:color="auto" w:fill="auto"/>
            <w:vAlign w:val="top"/>
          </w:tcPr>
          <w:p>
            <w:pPr>
              <w:widowControl/>
              <w:shd w:val="clear"/>
              <w:spacing w:line="280" w:lineRule="exact"/>
              <w:jc w:val="left"/>
              <w:rPr>
                <w:rFonts w:ascii="微软雅黑" w:hAnsi="微软雅黑" w:eastAsia="微软雅黑" w:cs="微软雅黑"/>
                <w:color w:val="auto"/>
                <w:kern w:val="0"/>
                <w:sz w:val="20"/>
                <w:szCs w:val="20"/>
                <w:highlight w:val="none"/>
              </w:rPr>
            </w:pPr>
          </w:p>
        </w:tc>
        <w:tc>
          <w:tcPr>
            <w:tcW w:w="668" w:type="dxa"/>
            <w:shd w:val="clear" w:color="auto" w:fill="auto"/>
            <w:vAlign w:val="top"/>
          </w:tcPr>
          <w:p>
            <w:pPr>
              <w:shd w:val="clear"/>
              <w:spacing w:line="280" w:lineRule="exact"/>
              <w:jc w:val="center"/>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3</w:t>
            </w:r>
          </w:p>
        </w:tc>
        <w:tc>
          <w:tcPr>
            <w:tcW w:w="7855" w:type="dxa"/>
            <w:shd w:val="clear" w:color="auto" w:fill="auto"/>
            <w:vAlign w:val="center"/>
          </w:tcPr>
          <w:p>
            <w:pPr>
              <w:widowControl/>
              <w:shd w:val="clear"/>
              <w:spacing w:line="280" w:lineRule="exact"/>
              <w:jc w:val="both"/>
              <w:rPr>
                <w:rFonts w:hint="eastAsia" w:ascii="微软雅黑" w:hAnsi="微软雅黑" w:eastAsia="微软雅黑" w:cs="微软雅黑"/>
                <w:color w:val="auto"/>
                <w:kern w:val="0"/>
                <w:sz w:val="20"/>
                <w:szCs w:val="20"/>
                <w:highlight w:val="none"/>
                <w:lang w:eastAsia="zh-CN"/>
              </w:rPr>
            </w:pPr>
            <w:r>
              <w:rPr>
                <w:rFonts w:hint="eastAsia" w:ascii="微软雅黑" w:hAnsi="微软雅黑" w:eastAsia="微软雅黑" w:cs="微软雅黑"/>
                <w:color w:val="auto"/>
                <w:sz w:val="20"/>
                <w:szCs w:val="20"/>
                <w:highlight w:val="none"/>
                <w:lang w:eastAsia="zh-CN"/>
              </w:rPr>
              <w:t>产品保险：</w:t>
            </w:r>
            <w:r>
              <w:rPr>
                <w:rFonts w:hint="eastAsia" w:ascii="微软雅黑" w:hAnsi="微软雅黑" w:eastAsia="微软雅黑" w:cs="微软雅黑"/>
                <w:color w:val="auto"/>
                <w:kern w:val="2"/>
                <w:sz w:val="20"/>
                <w:szCs w:val="20"/>
                <w:highlight w:val="none"/>
                <w:lang w:val="en-US" w:eastAsia="zh-CN" w:bidi="ar-SA"/>
              </w:rPr>
              <w:t>投标供应商</w:t>
            </w:r>
            <w:r>
              <w:rPr>
                <w:rFonts w:hint="eastAsia" w:ascii="微软雅黑" w:hAnsi="微软雅黑" w:eastAsia="微软雅黑" w:cs="微软雅黑"/>
                <w:color w:val="auto"/>
                <w:kern w:val="0"/>
                <w:sz w:val="20"/>
                <w:szCs w:val="20"/>
                <w:highlight w:val="none"/>
              </w:rPr>
              <w:t>有在保险有效期内的产品投保证明（须提供有效的证明材料）</w:t>
            </w:r>
            <w:r>
              <w:rPr>
                <w:rFonts w:hint="eastAsia" w:ascii="微软雅黑" w:hAnsi="微软雅黑" w:eastAsia="微软雅黑" w:cs="微软雅黑"/>
                <w:color w:val="auto"/>
                <w:kern w:val="0"/>
                <w:sz w:val="20"/>
                <w:szCs w:val="20"/>
                <w:highlight w:val="none"/>
                <w:lang w:val="en-US" w:eastAsia="zh-CN"/>
              </w:rPr>
              <w:t>的</w:t>
            </w:r>
            <w:r>
              <w:rPr>
                <w:rFonts w:hint="eastAsia" w:ascii="微软雅黑" w:hAnsi="微软雅黑" w:eastAsia="微软雅黑" w:cs="微软雅黑"/>
                <w:color w:val="auto"/>
                <w:kern w:val="0"/>
                <w:sz w:val="20"/>
                <w:szCs w:val="20"/>
                <w:highlight w:val="none"/>
              </w:rPr>
              <w:t>得</w:t>
            </w:r>
            <w:r>
              <w:rPr>
                <w:rFonts w:hint="eastAsia" w:ascii="微软雅黑" w:hAnsi="微软雅黑" w:eastAsia="微软雅黑" w:cs="微软雅黑"/>
                <w:color w:val="auto"/>
                <w:kern w:val="0"/>
                <w:sz w:val="20"/>
                <w:szCs w:val="20"/>
                <w:highlight w:val="none"/>
                <w:lang w:val="en-US" w:eastAsia="zh-CN"/>
              </w:rPr>
              <w:t>3</w:t>
            </w:r>
            <w:r>
              <w:rPr>
                <w:rFonts w:hint="eastAsia" w:ascii="微软雅黑" w:hAnsi="微软雅黑" w:eastAsia="微软雅黑" w:cs="微软雅黑"/>
                <w:color w:val="auto"/>
                <w:kern w:val="0"/>
                <w:sz w:val="20"/>
                <w:szCs w:val="20"/>
                <w:highlight w:val="none"/>
              </w:rPr>
              <w:t>分</w:t>
            </w:r>
            <w:r>
              <w:rPr>
                <w:rFonts w:hint="eastAsia" w:ascii="微软雅黑" w:hAnsi="微软雅黑" w:eastAsia="微软雅黑" w:cs="微软雅黑"/>
                <w:color w:val="auto"/>
                <w:kern w:val="0"/>
                <w:sz w:val="20"/>
                <w:szCs w:val="20"/>
                <w:highlight w:val="none"/>
                <w:lang w:eastAsia="zh-CN"/>
              </w:rPr>
              <w:t>，</w:t>
            </w:r>
            <w:r>
              <w:rPr>
                <w:rFonts w:hint="eastAsia" w:ascii="微软雅黑" w:hAnsi="微软雅黑" w:eastAsia="微软雅黑" w:cs="微软雅黑"/>
                <w:color w:val="auto"/>
                <w:kern w:val="0"/>
                <w:sz w:val="20"/>
                <w:szCs w:val="20"/>
                <w:highlight w:val="none"/>
              </w:rPr>
              <w:t>没有或过期的不得分</w:t>
            </w:r>
            <w:r>
              <w:rPr>
                <w:rFonts w:hint="eastAsia" w:ascii="微软雅黑" w:hAnsi="微软雅黑" w:eastAsia="微软雅黑" w:cs="微软雅黑"/>
                <w:color w:val="auto"/>
                <w:kern w:val="0"/>
                <w:sz w:val="20"/>
                <w:szCs w:val="20"/>
                <w:highlight w:val="none"/>
                <w:lang w:eastAsia="zh-CN"/>
              </w:rPr>
              <w:t>。</w:t>
            </w:r>
          </w:p>
        </w:tc>
        <w:tc>
          <w:tcPr>
            <w:tcW w:w="1188" w:type="dxa"/>
            <w:vMerge w:val="continue"/>
            <w:shd w:val="clear" w:color="auto" w:fill="auto"/>
            <w:vAlign w:val="center"/>
          </w:tcPr>
          <w:p>
            <w:pPr>
              <w:shd w:val="clear"/>
              <w:spacing w:line="280" w:lineRule="exact"/>
              <w:rPr>
                <w:rFonts w:ascii="微软雅黑" w:hAnsi="微软雅黑" w:eastAsia="微软雅黑" w:cs="微软雅黑"/>
                <w:color w:val="auto"/>
                <w:sz w:val="20"/>
                <w:szCs w:val="20"/>
                <w:highlight w:val="none"/>
              </w:rPr>
            </w:pPr>
          </w:p>
        </w:tc>
      </w:tr>
    </w:tbl>
    <w:p>
      <w:pPr>
        <w:spacing w:line="300" w:lineRule="auto"/>
        <w:jc w:val="center"/>
        <w:outlineLvl w:val="1"/>
        <w:rPr>
          <w:rFonts w:hint="eastAsia" w:ascii="微软雅黑" w:hAnsi="微软雅黑" w:eastAsia="微软雅黑" w:cs="微软雅黑"/>
          <w:b/>
          <w:color w:val="auto"/>
          <w:sz w:val="32"/>
          <w:highlight w:val="none"/>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rPr>
          <w:rFonts w:hint="eastAsia" w:ascii="微软雅黑" w:hAnsi="微软雅黑" w:eastAsia="微软雅黑" w:cs="微软雅黑"/>
          <w:color w:val="auto"/>
          <w:sz w:val="24"/>
          <w:szCs w:val="24"/>
          <w:highlight w:val="none"/>
          <w:lang w:val="en-US" w:eastAsia="zh-CN"/>
        </w:rPr>
      </w:pPr>
    </w:p>
    <w:p>
      <w:pPr>
        <w:pStyle w:val="19"/>
        <w:jc w:val="center"/>
        <w:outlineLvl w:val="1"/>
        <w:rPr>
          <w:rFonts w:hint="eastAsia" w:ascii="微软雅黑" w:hAnsi="微软雅黑" w:eastAsia="微软雅黑" w:cs="微软雅黑"/>
          <w:b/>
          <w:bCs/>
          <w:color w:val="auto"/>
          <w:sz w:val="24"/>
          <w:szCs w:val="24"/>
          <w:highlight w:val="none"/>
          <w:lang w:val="en-US" w:eastAsia="zh-CN"/>
        </w:rPr>
      </w:pPr>
      <w:bookmarkStart w:id="1273" w:name="_Toc24559"/>
      <w:bookmarkStart w:id="1274" w:name="_Toc24074"/>
    </w:p>
    <w:p>
      <w:pPr>
        <w:pStyle w:val="19"/>
        <w:jc w:val="center"/>
        <w:outlineLvl w:val="1"/>
        <w:rPr>
          <w:rFonts w:hint="eastAsia" w:ascii="微软雅黑" w:hAnsi="微软雅黑" w:eastAsia="微软雅黑" w:cs="微软雅黑"/>
          <w:b/>
          <w:bCs/>
          <w:color w:val="auto"/>
          <w:sz w:val="24"/>
          <w:szCs w:val="24"/>
          <w:highlight w:val="none"/>
          <w:lang w:val="en-US" w:eastAsia="zh-CN"/>
        </w:rPr>
      </w:pPr>
    </w:p>
    <w:bookmarkEnd w:id="1273"/>
    <w:bookmarkEnd w:id="1274"/>
    <w:p>
      <w:pPr>
        <w:pStyle w:val="2"/>
        <w:rPr>
          <w:rFonts w:hint="eastAsia" w:ascii="微软雅黑" w:hAnsi="微软雅黑" w:eastAsia="微软雅黑" w:cs="微软雅黑"/>
          <w:highlight w:val="none"/>
        </w:rPr>
      </w:pPr>
    </w:p>
    <w:p>
      <w:pPr>
        <w:pStyle w:val="4"/>
        <w:rPr>
          <w:rFonts w:hint="eastAsia" w:ascii="微软雅黑" w:hAnsi="微软雅黑" w:eastAsia="微软雅黑" w:cs="微软雅黑"/>
          <w:highlight w:val="none"/>
        </w:rPr>
      </w:pPr>
    </w:p>
    <w:p>
      <w:pPr>
        <w:pStyle w:val="5"/>
        <w:rPr>
          <w:rFonts w:hint="eastAsia" w:ascii="微软雅黑" w:hAnsi="微软雅黑" w:eastAsia="微软雅黑" w:cs="微软雅黑"/>
          <w:highlight w:val="none"/>
        </w:rPr>
      </w:pPr>
    </w:p>
    <w:p>
      <w:pPr>
        <w:pStyle w:val="5"/>
        <w:rPr>
          <w:rFonts w:hint="eastAsia" w:ascii="微软雅黑" w:hAnsi="微软雅黑" w:eastAsia="微软雅黑" w:cs="微软雅黑"/>
          <w:highlight w:val="none"/>
        </w:rPr>
      </w:pPr>
    </w:p>
    <w:p>
      <w:pPr>
        <w:rPr>
          <w:rFonts w:hint="eastAsia" w:ascii="微软雅黑" w:hAnsi="微软雅黑" w:eastAsia="微软雅黑" w:cs="微软雅黑"/>
          <w:highlight w:val="none"/>
        </w:rPr>
      </w:pPr>
    </w:p>
    <w:p>
      <w:pPr>
        <w:pStyle w:val="2"/>
        <w:rPr>
          <w:rFonts w:hint="eastAsia" w:ascii="微软雅黑" w:hAnsi="微软雅黑" w:eastAsia="微软雅黑" w:cs="微软雅黑"/>
          <w:highlight w:val="none"/>
        </w:rPr>
      </w:pPr>
    </w:p>
    <w:p>
      <w:pPr>
        <w:pStyle w:val="4"/>
        <w:rPr>
          <w:rFonts w:hint="eastAsia" w:ascii="微软雅黑" w:hAnsi="微软雅黑" w:eastAsia="微软雅黑" w:cs="微软雅黑"/>
          <w:highlight w:val="none"/>
        </w:rPr>
      </w:pPr>
    </w:p>
    <w:p>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pPr>
        <w:spacing w:line="240" w:lineRule="atLeast"/>
        <w:jc w:val="center"/>
        <w:rPr>
          <w:rFonts w:hint="eastAsia" w:ascii="微软雅黑" w:hAnsi="微软雅黑" w:eastAsia="微软雅黑" w:cs="微软雅黑"/>
          <w:b/>
          <w:color w:val="auto"/>
          <w:sz w:val="40"/>
          <w:szCs w:val="40"/>
          <w:highlight w:val="none"/>
        </w:rPr>
      </w:pPr>
    </w:p>
    <w:p>
      <w:pPr>
        <w:spacing w:line="240" w:lineRule="atLeast"/>
        <w:jc w:val="center"/>
        <w:rPr>
          <w:rFonts w:hint="default" w:ascii="微软雅黑" w:hAnsi="微软雅黑" w:eastAsia="微软雅黑" w:cs="微软雅黑"/>
          <w:b/>
          <w:color w:val="auto"/>
          <w:sz w:val="40"/>
          <w:szCs w:val="40"/>
          <w:highlight w:val="none"/>
          <w:lang w:val="en-US" w:eastAsia="zh-CN"/>
        </w:rPr>
      </w:pPr>
      <w:bookmarkStart w:id="1275" w:name="_Toc13284_WPSOffice_Level2"/>
      <w:r>
        <w:rPr>
          <w:rFonts w:hint="eastAsia" w:ascii="微软雅黑" w:hAnsi="微软雅黑" w:eastAsia="微软雅黑" w:cs="微软雅黑"/>
          <w:b/>
          <w:color w:val="auto"/>
          <w:sz w:val="40"/>
          <w:szCs w:val="40"/>
          <w:highlight w:val="none"/>
        </w:rPr>
        <w:t>项目编号：</w:t>
      </w:r>
      <w:bookmarkEnd w:id="1275"/>
      <w:r>
        <w:rPr>
          <w:rFonts w:hint="eastAsia" w:ascii="微软雅黑" w:hAnsi="微软雅黑" w:eastAsia="微软雅黑" w:cs="微软雅黑"/>
          <w:b/>
          <w:color w:val="auto"/>
          <w:sz w:val="40"/>
          <w:szCs w:val="40"/>
          <w:highlight w:val="none"/>
          <w:lang w:eastAsia="zh-CN"/>
        </w:rPr>
        <w:t>23GJ-(GK)007</w:t>
      </w:r>
      <w:r>
        <w:rPr>
          <w:rFonts w:hint="eastAsia" w:ascii="微软雅黑" w:hAnsi="微软雅黑" w:eastAsia="微软雅黑" w:cs="微软雅黑"/>
          <w:b/>
          <w:color w:val="auto"/>
          <w:sz w:val="40"/>
          <w:szCs w:val="40"/>
          <w:highlight w:val="none"/>
          <w:lang w:val="en-US" w:eastAsia="zh-CN"/>
        </w:rPr>
        <w:t>-2</w:t>
      </w:r>
    </w:p>
    <w:p>
      <w:pPr>
        <w:pStyle w:val="2"/>
        <w:ind w:firstLine="480"/>
        <w:rPr>
          <w:rFonts w:hint="eastAsia" w:ascii="微软雅黑" w:hAnsi="微软雅黑" w:eastAsia="微软雅黑" w:cs="微软雅黑"/>
          <w:color w:val="auto"/>
          <w:highlight w:val="none"/>
        </w:rPr>
      </w:pPr>
    </w:p>
    <w:p>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 三 册</w:t>
      </w:r>
    </w:p>
    <w:p>
      <w:pPr>
        <w:spacing w:line="240" w:lineRule="atLeast"/>
        <w:jc w:val="center"/>
        <w:rPr>
          <w:rFonts w:hint="eastAsia" w:ascii="微软雅黑" w:hAnsi="微软雅黑" w:eastAsia="微软雅黑" w:cs="微软雅黑"/>
          <w:b/>
          <w:color w:val="auto"/>
          <w:sz w:val="32"/>
          <w:highlight w:val="none"/>
        </w:rPr>
      </w:pPr>
    </w:p>
    <w:p>
      <w:pPr>
        <w:spacing w:line="240" w:lineRule="atLeast"/>
        <w:ind w:left="1080" w:leftChars="257" w:hanging="540"/>
        <w:jc w:val="center"/>
        <w:rPr>
          <w:rFonts w:hint="eastAsia" w:ascii="微软雅黑" w:hAnsi="微软雅黑" w:eastAsia="微软雅黑" w:cs="微软雅黑"/>
          <w:b/>
          <w:color w:val="auto"/>
          <w:sz w:val="52"/>
          <w:highlight w:val="none"/>
        </w:rPr>
      </w:pPr>
    </w:p>
    <w:p>
      <w:pPr>
        <w:pStyle w:val="2"/>
        <w:rPr>
          <w:rFonts w:hint="eastAsia" w:ascii="微软雅黑" w:hAnsi="微软雅黑" w:eastAsia="微软雅黑" w:cs="微软雅黑"/>
          <w:b/>
          <w:color w:val="auto"/>
          <w:sz w:val="52"/>
          <w:highlight w:val="none"/>
        </w:rPr>
      </w:pPr>
    </w:p>
    <w:p>
      <w:pPr>
        <w:pStyle w:val="2"/>
        <w:rPr>
          <w:rFonts w:hint="eastAsia" w:ascii="微软雅黑" w:hAnsi="微软雅黑" w:eastAsia="微软雅黑" w:cs="微软雅黑"/>
          <w:b/>
          <w:color w:val="auto"/>
          <w:sz w:val="52"/>
          <w:highlight w:val="none"/>
        </w:rPr>
      </w:pPr>
    </w:p>
    <w:p>
      <w:pPr>
        <w:pStyle w:val="4"/>
        <w:rPr>
          <w:rFonts w:hint="eastAsia" w:ascii="微软雅黑" w:hAnsi="微软雅黑" w:eastAsia="微软雅黑" w:cs="微软雅黑"/>
          <w:b/>
          <w:color w:val="auto"/>
          <w:sz w:val="52"/>
          <w:highlight w:val="none"/>
        </w:rPr>
      </w:pPr>
    </w:p>
    <w:p>
      <w:pPr>
        <w:pStyle w:val="5"/>
        <w:rPr>
          <w:rFonts w:hint="eastAsia"/>
        </w:rPr>
      </w:pPr>
    </w:p>
    <w:p>
      <w:pPr>
        <w:pStyle w:val="4"/>
        <w:rPr>
          <w:rFonts w:hint="eastAsia" w:ascii="微软雅黑" w:hAnsi="微软雅黑" w:eastAsia="微软雅黑" w:cs="微软雅黑"/>
          <w:b/>
          <w:color w:val="auto"/>
          <w:sz w:val="52"/>
          <w:highlight w:val="none"/>
        </w:rPr>
      </w:pPr>
    </w:p>
    <w:p>
      <w:pPr>
        <w:pStyle w:val="5"/>
        <w:rPr>
          <w:rFonts w:hint="eastAsia"/>
          <w:highlight w:val="none"/>
        </w:rPr>
      </w:pPr>
    </w:p>
    <w:bookmarkEnd w:id="1252"/>
    <w:p>
      <w:pPr>
        <w:pStyle w:val="6"/>
        <w:shd w:val="clear"/>
        <w:tabs>
          <w:tab w:val="left" w:pos="0"/>
        </w:tabs>
        <w:spacing w:before="0" w:after="0" w:line="240" w:lineRule="atLeast"/>
        <w:ind w:left="-15"/>
        <w:outlineLvl w:val="0"/>
        <w:rPr>
          <w:rFonts w:hint="eastAsia" w:ascii="微软雅黑" w:hAnsi="微软雅黑" w:eastAsia="微软雅黑" w:cs="微软雅黑"/>
          <w:color w:val="auto"/>
          <w:sz w:val="32"/>
          <w:szCs w:val="32"/>
          <w:highlight w:val="none"/>
        </w:rPr>
      </w:pPr>
      <w:bookmarkStart w:id="1276" w:name="_Toc30353"/>
      <w:bookmarkStart w:id="1277" w:name="_Toc21195"/>
      <w:bookmarkStart w:id="1278" w:name="_Toc15341"/>
      <w:r>
        <w:rPr>
          <w:rFonts w:hint="eastAsia" w:ascii="微软雅黑" w:hAnsi="微软雅黑" w:eastAsia="微软雅黑" w:cs="微软雅黑"/>
          <w:b/>
          <w:bCs/>
          <w:color w:val="auto"/>
          <w:sz w:val="32"/>
          <w:szCs w:val="32"/>
          <w:highlight w:val="none"/>
        </w:rPr>
        <w:t>第7章 政府采购合同</w:t>
      </w:r>
      <w:bookmarkEnd w:id="1276"/>
      <w:bookmarkEnd w:id="1277"/>
      <w:bookmarkEnd w:id="1278"/>
      <w:bookmarkStart w:id="1279" w:name="_Toc216513788"/>
      <w:bookmarkEnd w:id="1279"/>
      <w:bookmarkStart w:id="1280" w:name="_Toc487900382"/>
      <w:bookmarkEnd w:id="1280"/>
      <w:bookmarkStart w:id="1281" w:name="_Hlt487972895"/>
      <w:bookmarkEnd w:id="1281"/>
    </w:p>
    <w:p>
      <w:pPr>
        <w:shd w:val="clea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合同编号：           </w:t>
      </w:r>
    </w:p>
    <w:p>
      <w:pPr>
        <w:shd w:val="clear"/>
        <w:rPr>
          <w:rFonts w:hint="eastAsia" w:ascii="微软雅黑" w:hAnsi="微软雅黑" w:eastAsia="微软雅黑" w:cs="微软雅黑"/>
          <w:color w:val="auto"/>
          <w:szCs w:val="21"/>
          <w:highlight w:val="none"/>
        </w:rPr>
      </w:pPr>
    </w:p>
    <w:p>
      <w:pPr>
        <w:shd w:val="clea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政府采购合同参考范本</w:t>
      </w:r>
    </w:p>
    <w:p>
      <w:pPr>
        <w:shd w:val="clea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（货物类）</w:t>
      </w:r>
    </w:p>
    <w:p>
      <w:pPr>
        <w:shd w:val="clear"/>
        <w:rPr>
          <w:rFonts w:hint="eastAsia" w:ascii="微软雅黑" w:hAnsi="微软雅黑" w:eastAsia="微软雅黑" w:cs="微软雅黑"/>
          <w:color w:val="auto"/>
          <w:szCs w:val="21"/>
          <w:highlight w:val="none"/>
        </w:rPr>
      </w:pPr>
    </w:p>
    <w:p>
      <w:pPr>
        <w:shd w:val="clear"/>
        <w:rPr>
          <w:rFonts w:hint="eastAsia" w:ascii="微软雅黑" w:hAnsi="微软雅黑" w:eastAsia="微软雅黑" w:cs="微软雅黑"/>
          <w:color w:val="auto"/>
          <w:szCs w:val="21"/>
          <w:highlight w:val="none"/>
        </w:rPr>
      </w:pPr>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第一部分 合同书</w:t>
      </w:r>
    </w:p>
    <w:p>
      <w:pPr>
        <w:shd w:val="clear"/>
        <w:rPr>
          <w:rFonts w:hint="eastAsia" w:ascii="微软雅黑" w:hAnsi="微软雅黑" w:eastAsia="微软雅黑" w:cs="微软雅黑"/>
          <w:color w:val="auto"/>
          <w:szCs w:val="21"/>
          <w:highlight w:val="none"/>
        </w:rPr>
      </w:pPr>
    </w:p>
    <w:p>
      <w:pPr>
        <w:shd w:val="clear"/>
        <w:spacing w:before="120" w:line="360" w:lineRule="exact"/>
        <w:ind w:left="9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u w:val="single"/>
        </w:rPr>
        <w:t xml:space="preserve">                                   </w:t>
      </w:r>
    </w:p>
    <w:p>
      <w:pPr>
        <w:pStyle w:val="58"/>
        <w:shd w:val="clear"/>
        <w:spacing w:before="120" w:line="360" w:lineRule="exact"/>
        <w:rPr>
          <w:rFonts w:hint="eastAsia" w:ascii="微软雅黑" w:hAnsi="微软雅黑" w:eastAsia="微软雅黑" w:cs="微软雅黑"/>
          <w:color w:val="auto"/>
          <w:sz w:val="21"/>
          <w:szCs w:val="21"/>
          <w:highlight w:val="none"/>
        </w:rPr>
      </w:pPr>
    </w:p>
    <w:p>
      <w:pPr>
        <w:pStyle w:val="58"/>
        <w:shd w:val="clear"/>
        <w:spacing w:before="120" w:line="360" w:lineRule="exact"/>
        <w:rPr>
          <w:rFonts w:hint="eastAsia" w:ascii="微软雅黑" w:hAnsi="微软雅黑" w:eastAsia="微软雅黑" w:cs="微软雅黑"/>
          <w:color w:val="auto"/>
          <w:sz w:val="21"/>
          <w:szCs w:val="21"/>
          <w:highlight w:val="none"/>
        </w:rPr>
      </w:pPr>
    </w:p>
    <w:p>
      <w:pPr>
        <w:shd w:val="clear"/>
        <w:spacing w:line="360" w:lineRule="exact"/>
        <w:rPr>
          <w:rFonts w:hint="eastAsia" w:ascii="微软雅黑" w:hAnsi="微软雅黑" w:eastAsia="微软雅黑" w:cs="微软雅黑"/>
          <w:color w:val="auto"/>
          <w:szCs w:val="21"/>
          <w:highlight w:val="none"/>
        </w:rPr>
      </w:pPr>
    </w:p>
    <w:p>
      <w:pPr>
        <w:shd w:val="clear"/>
        <w:spacing w:before="120" w:line="360" w:lineRule="exact"/>
        <w:ind w:left="96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甲方：</w:t>
      </w:r>
      <w:r>
        <w:rPr>
          <w:rFonts w:hint="eastAsia" w:ascii="微软雅黑" w:hAnsi="微软雅黑" w:eastAsia="微软雅黑" w:cs="微软雅黑"/>
          <w:color w:val="auto"/>
          <w:szCs w:val="21"/>
          <w:highlight w:val="none"/>
          <w:u w:val="single"/>
        </w:rPr>
        <w:t xml:space="preserve">                                       </w:t>
      </w:r>
    </w:p>
    <w:p>
      <w:pPr>
        <w:shd w:val="clear"/>
        <w:spacing w:before="120" w:line="360" w:lineRule="exact"/>
        <w:rPr>
          <w:rFonts w:hint="eastAsia" w:ascii="微软雅黑" w:hAnsi="微软雅黑" w:eastAsia="微软雅黑" w:cs="微软雅黑"/>
          <w:color w:val="auto"/>
          <w:szCs w:val="21"/>
          <w:highlight w:val="none"/>
        </w:rPr>
      </w:pPr>
    </w:p>
    <w:p>
      <w:pPr>
        <w:shd w:val="clear"/>
        <w:spacing w:before="120" w:line="360" w:lineRule="exact"/>
        <w:ind w:left="96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u w:val="single"/>
        </w:rPr>
        <w:t xml:space="preserve">                                       </w:t>
      </w:r>
    </w:p>
    <w:p>
      <w:pPr>
        <w:shd w:val="clear"/>
        <w:spacing w:before="120" w:line="360" w:lineRule="exact"/>
        <w:rPr>
          <w:rFonts w:hint="eastAsia" w:ascii="微软雅黑" w:hAnsi="微软雅黑" w:eastAsia="微软雅黑" w:cs="微软雅黑"/>
          <w:color w:val="auto"/>
          <w:szCs w:val="21"/>
          <w:highlight w:val="none"/>
        </w:rPr>
      </w:pPr>
    </w:p>
    <w:p>
      <w:pPr>
        <w:shd w:val="clear"/>
        <w:spacing w:before="120" w:line="360" w:lineRule="exact"/>
        <w:ind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签订地：</w:t>
      </w:r>
      <w:r>
        <w:rPr>
          <w:rFonts w:hint="eastAsia" w:ascii="微软雅黑" w:hAnsi="微软雅黑" w:eastAsia="微软雅黑" w:cs="微软雅黑"/>
          <w:color w:val="auto"/>
          <w:szCs w:val="21"/>
          <w:highlight w:val="none"/>
          <w:u w:val="single"/>
        </w:rPr>
        <w:t xml:space="preserve">                                     </w:t>
      </w:r>
    </w:p>
    <w:p>
      <w:pPr>
        <w:shd w:val="clear"/>
        <w:spacing w:before="120" w:line="360" w:lineRule="exact"/>
        <w:rPr>
          <w:rFonts w:hint="eastAsia" w:ascii="微软雅黑" w:hAnsi="微软雅黑" w:eastAsia="微软雅黑" w:cs="微软雅黑"/>
          <w:color w:val="auto"/>
          <w:szCs w:val="21"/>
          <w:highlight w:val="none"/>
        </w:rPr>
      </w:pPr>
    </w:p>
    <w:p>
      <w:pPr>
        <w:shd w:val="clear"/>
        <w:spacing w:before="120" w:line="360" w:lineRule="exact"/>
        <w:ind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签订日期：</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w:t>
      </w:r>
    </w:p>
    <w:p>
      <w:pPr>
        <w:shd w:val="clear"/>
        <w:autoSpaceDE w:val="0"/>
        <w:autoSpaceDN w:val="0"/>
        <w:adjustRightInd w:val="0"/>
        <w:spacing w:line="360" w:lineRule="exact"/>
        <w:ind w:firstLine="640"/>
        <w:jc w:val="center"/>
        <w:rPr>
          <w:rFonts w:hint="eastAsia" w:ascii="微软雅黑" w:hAnsi="微软雅黑" w:eastAsia="微软雅黑" w:cs="微软雅黑"/>
          <w:color w:val="auto"/>
          <w:szCs w:val="21"/>
          <w:highlight w:val="none"/>
        </w:rPr>
        <w:sectPr>
          <w:headerReference r:id="rId6" w:type="default"/>
          <w:pgSz w:w="11907" w:h="16840"/>
          <w:pgMar w:top="1474" w:right="1814" w:bottom="1474" w:left="1814" w:header="851" w:footer="851" w:gutter="0"/>
          <w:pgNumType w:fmt="decimal"/>
          <w:cols w:space="720" w:num="1"/>
          <w:docGrid w:linePitch="462" w:charSpace="0"/>
        </w:sectPr>
      </w:pP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282" w:name="_Toc2232"/>
      <w:bookmarkStart w:id="1283" w:name="_Toc2659"/>
      <w:bookmarkStart w:id="1284" w:name="_Toc26721"/>
      <w:bookmarkStart w:id="1285" w:name="_Toc24059"/>
      <w:bookmarkStart w:id="1286" w:name="_Toc1846"/>
      <w:bookmarkStart w:id="1287" w:name="_Toc3029"/>
      <w:r>
        <w:rPr>
          <w:rFonts w:hint="eastAsia" w:ascii="微软雅黑" w:hAnsi="微软雅黑" w:eastAsia="微软雅黑" w:cs="微软雅黑"/>
          <w:color w:val="auto"/>
          <w:szCs w:val="21"/>
          <w:highlight w:val="none"/>
          <w:u w:val="single"/>
          <w:lang w:val="zh-CN"/>
        </w:rPr>
        <w:t xml:space="preserve">        </w:t>
      </w:r>
      <w:r>
        <w:rPr>
          <w:rFonts w:hint="eastAsia" w:ascii="微软雅黑" w:hAnsi="微软雅黑" w:eastAsia="微软雅黑" w:cs="微软雅黑"/>
          <w:color w:val="auto"/>
          <w:szCs w:val="21"/>
          <w:highlight w:val="none"/>
          <w:lang w:val="zh-CN"/>
        </w:rPr>
        <w:t>年</w:t>
      </w:r>
      <w:r>
        <w:rPr>
          <w:rFonts w:hint="eastAsia" w:ascii="微软雅黑" w:hAnsi="微软雅黑" w:eastAsia="微软雅黑" w:cs="微软雅黑"/>
          <w:color w:val="auto"/>
          <w:szCs w:val="21"/>
          <w:highlight w:val="none"/>
          <w:u w:val="single"/>
          <w:lang w:val="zh-CN"/>
        </w:rPr>
        <w:t xml:space="preserve">    </w:t>
      </w:r>
      <w:r>
        <w:rPr>
          <w:rFonts w:hint="eastAsia" w:ascii="微软雅黑" w:hAnsi="微软雅黑" w:eastAsia="微软雅黑" w:cs="微软雅黑"/>
          <w:color w:val="auto"/>
          <w:szCs w:val="21"/>
          <w:highlight w:val="none"/>
          <w:lang w:val="zh-CN"/>
        </w:rPr>
        <w:t>月</w:t>
      </w:r>
      <w:r>
        <w:rPr>
          <w:rFonts w:hint="eastAsia" w:ascii="微软雅黑" w:hAnsi="微软雅黑" w:eastAsia="微软雅黑" w:cs="微软雅黑"/>
          <w:color w:val="auto"/>
          <w:szCs w:val="21"/>
          <w:highlight w:val="none"/>
          <w:u w:val="single"/>
          <w:lang w:val="zh-CN"/>
        </w:rPr>
        <w:t xml:space="preserve">    </w:t>
      </w:r>
      <w:r>
        <w:rPr>
          <w:rFonts w:hint="eastAsia" w:ascii="微软雅黑" w:hAnsi="微软雅黑" w:eastAsia="微软雅黑" w:cs="微软雅黑"/>
          <w:color w:val="auto"/>
          <w:szCs w:val="21"/>
          <w:highlight w:val="none"/>
          <w:lang w:val="zh-CN"/>
        </w:rPr>
        <w:t>日</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 xml:space="preserve">   （采购人名称）   </w:t>
      </w:r>
      <w:r>
        <w:rPr>
          <w:rFonts w:hint="eastAsia" w:ascii="微软雅黑" w:hAnsi="微软雅黑" w:eastAsia="微软雅黑" w:cs="微软雅黑"/>
          <w:color w:val="auto"/>
          <w:szCs w:val="21"/>
          <w:highlight w:val="none"/>
        </w:rPr>
        <w:t>以</w:t>
      </w:r>
      <w:r>
        <w:rPr>
          <w:rFonts w:hint="eastAsia" w:ascii="微软雅黑" w:hAnsi="微软雅黑" w:eastAsia="微软雅黑" w:cs="微软雅黑"/>
          <w:color w:val="auto"/>
          <w:szCs w:val="21"/>
          <w:highlight w:val="none"/>
          <w:u w:val="single"/>
        </w:rPr>
        <w:t xml:space="preserve">   （政府采购方式）  </w:t>
      </w:r>
      <w:r>
        <w:rPr>
          <w:rFonts w:hint="eastAsia" w:ascii="微软雅黑" w:hAnsi="微软雅黑" w:eastAsia="微软雅黑" w:cs="微软雅黑"/>
          <w:color w:val="auto"/>
          <w:szCs w:val="21"/>
          <w:highlight w:val="none"/>
        </w:rPr>
        <w:t>对</w:t>
      </w:r>
      <w:r>
        <w:rPr>
          <w:rFonts w:hint="eastAsia" w:ascii="微软雅黑" w:hAnsi="微软雅黑" w:eastAsia="微软雅黑" w:cs="微软雅黑"/>
          <w:color w:val="auto"/>
          <w:szCs w:val="21"/>
          <w:highlight w:val="none"/>
          <w:u w:val="single"/>
        </w:rPr>
        <w:t xml:space="preserve">   （同前页项目名称）   </w:t>
      </w:r>
      <w:r>
        <w:rPr>
          <w:rFonts w:hint="eastAsia" w:ascii="微软雅黑" w:hAnsi="微软雅黑" w:eastAsia="微软雅黑" w:cs="微软雅黑"/>
          <w:color w:val="auto"/>
          <w:szCs w:val="21"/>
          <w:highlight w:val="none"/>
        </w:rPr>
        <w:t>项目进行了采购。经</w:t>
      </w:r>
      <w:r>
        <w:rPr>
          <w:rFonts w:hint="eastAsia" w:ascii="微软雅黑" w:hAnsi="微软雅黑" w:eastAsia="微软雅黑" w:cs="微软雅黑"/>
          <w:color w:val="auto"/>
          <w:szCs w:val="21"/>
          <w:highlight w:val="none"/>
          <w:u w:val="single"/>
        </w:rPr>
        <w:t xml:space="preserve">   （相关评定主体名称）   </w:t>
      </w:r>
      <w:r>
        <w:rPr>
          <w:rFonts w:hint="eastAsia" w:ascii="微软雅黑" w:hAnsi="微软雅黑" w:eastAsia="微软雅黑" w:cs="微软雅黑"/>
          <w:color w:val="auto"/>
          <w:szCs w:val="21"/>
          <w:highlight w:val="none"/>
        </w:rPr>
        <w:t>评定，</w:t>
      </w:r>
      <w:r>
        <w:rPr>
          <w:rFonts w:hint="eastAsia" w:ascii="微软雅黑" w:hAnsi="微软雅黑" w:eastAsia="微软雅黑" w:cs="微软雅黑"/>
          <w:color w:val="auto"/>
          <w:szCs w:val="21"/>
          <w:highlight w:val="none"/>
          <w:u w:val="single"/>
        </w:rPr>
        <w:t xml:space="preserve">   （中标供应商名称）</w:t>
      </w:r>
      <w:r>
        <w:rPr>
          <w:rFonts w:hint="eastAsia" w:ascii="微软雅黑" w:hAnsi="微软雅黑" w:eastAsia="微软雅黑" w:cs="微软雅黑"/>
          <w:color w:val="auto"/>
          <w:szCs w:val="21"/>
          <w:highlight w:val="none"/>
        </w:rPr>
        <w:t>为该项目中标供应商。现于中标通知书发出之日起三十日内，按照采购文件确定的事项签订本合同。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根据《中华人民共和国</w:t>
      </w:r>
      <w:r>
        <w:rPr>
          <w:rFonts w:hint="eastAsia" w:ascii="微软雅黑" w:hAnsi="微软雅黑" w:eastAsia="微软雅黑" w:cs="微软雅黑"/>
          <w:color w:val="auto"/>
          <w:szCs w:val="21"/>
          <w:highlight w:val="none"/>
        </w:rPr>
        <w:t>民法典</w:t>
      </w:r>
      <w:r>
        <w:rPr>
          <w:rFonts w:hint="eastAsia" w:ascii="微软雅黑" w:hAnsi="微软雅黑" w:eastAsia="微软雅黑" w:cs="微软雅黑"/>
          <w:color w:val="auto"/>
          <w:szCs w:val="21"/>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Cs w:val="21"/>
          <w:highlight w:val="none"/>
          <w:u w:val="single"/>
        </w:rPr>
        <w:t xml:space="preserve">   （采购人名称）   </w:t>
      </w:r>
      <w:r>
        <w:rPr>
          <w:rFonts w:hint="eastAsia" w:ascii="微软雅黑" w:hAnsi="微软雅黑" w:eastAsia="微软雅黑" w:cs="微软雅黑"/>
          <w:color w:val="auto"/>
          <w:szCs w:val="21"/>
          <w:highlight w:val="none"/>
          <w:lang w:val="zh-CN"/>
        </w:rPr>
        <w:t>(以下简称：甲方)和</w:t>
      </w:r>
      <w:r>
        <w:rPr>
          <w:rFonts w:hint="eastAsia" w:ascii="微软雅黑" w:hAnsi="微软雅黑" w:eastAsia="微软雅黑" w:cs="微软雅黑"/>
          <w:color w:val="auto"/>
          <w:szCs w:val="21"/>
          <w:highlight w:val="none"/>
          <w:u w:val="single"/>
        </w:rPr>
        <w:t xml:space="preserve">   （中标供应商名称）   </w:t>
      </w:r>
      <w:r>
        <w:rPr>
          <w:rFonts w:hint="eastAsia" w:ascii="微软雅黑" w:hAnsi="微软雅黑" w:eastAsia="微软雅黑" w:cs="微软雅黑"/>
          <w:color w:val="auto"/>
          <w:szCs w:val="21"/>
          <w:highlight w:val="none"/>
          <w:lang w:val="zh-CN"/>
        </w:rPr>
        <w:t>(以下简称：乙方)协商一致，约定以下合同</w:t>
      </w:r>
      <w:r>
        <w:rPr>
          <w:rFonts w:hint="eastAsia" w:ascii="微软雅黑" w:hAnsi="微软雅黑" w:eastAsia="微软雅黑" w:cs="微软雅黑"/>
          <w:color w:val="auto"/>
          <w:szCs w:val="21"/>
          <w:highlight w:val="none"/>
        </w:rPr>
        <w:t>条款，以兹共同遵守、全面履行。</w:t>
      </w:r>
    </w:p>
    <w:bookmarkEnd w:id="1282"/>
    <w:bookmarkEnd w:id="1283"/>
    <w:bookmarkEnd w:id="1284"/>
    <w:bookmarkEnd w:id="1285"/>
    <w:bookmarkEnd w:id="1286"/>
    <w:bookmarkEnd w:id="1287"/>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288" w:name="_Toc30575"/>
      <w:bookmarkStart w:id="1289" w:name="_Toc15183"/>
      <w:bookmarkStart w:id="1290" w:name="_Toc18729"/>
      <w:bookmarkStart w:id="1291" w:name="_Toc4751"/>
      <w:bookmarkStart w:id="1292" w:name="_Toc4274"/>
      <w:bookmarkStart w:id="1293" w:name="_Toc4279"/>
      <w:bookmarkStart w:id="1294" w:name="_Toc18247"/>
      <w:bookmarkStart w:id="1295" w:name="_Toc12771"/>
      <w:bookmarkStart w:id="1296" w:name="_Toc18344"/>
      <w:bookmarkStart w:id="1297" w:name="_Toc29751"/>
      <w:bookmarkStart w:id="1298" w:name="_Toc20877"/>
      <w:bookmarkStart w:id="1299" w:name="_Toc2302"/>
      <w:bookmarkStart w:id="1300" w:name="_Toc25352"/>
      <w:bookmarkStart w:id="1301" w:name="_Toc21329"/>
      <w:bookmarkStart w:id="1302" w:name="_Toc21386"/>
      <w:bookmarkStart w:id="1303" w:name="_Toc14766"/>
      <w:bookmarkStart w:id="1304" w:name="_Toc30797"/>
      <w:bookmarkStart w:id="1305" w:name="_Toc28090"/>
      <w:bookmarkStart w:id="1306" w:name="_Toc6038"/>
      <w:bookmarkStart w:id="1307" w:name="_Toc13018"/>
      <w:bookmarkStart w:id="1308" w:name="_Toc937"/>
      <w:bookmarkStart w:id="1309" w:name="_Toc24186"/>
      <w:bookmarkStart w:id="1310" w:name="_Toc14426"/>
      <w:bookmarkStart w:id="1311" w:name="_Toc4498"/>
      <w:bookmarkStart w:id="1312" w:name="_Toc299"/>
      <w:bookmarkStart w:id="1313" w:name="_Toc14410"/>
      <w:r>
        <w:rPr>
          <w:rFonts w:hint="eastAsia" w:ascii="微软雅黑" w:hAnsi="微软雅黑" w:eastAsia="微软雅黑" w:cs="微软雅黑"/>
          <w:b/>
          <w:color w:val="auto"/>
          <w:szCs w:val="21"/>
          <w:highlight w:val="none"/>
        </w:rPr>
        <w:t>1.1 合同组成部分</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1.1.1 本合同及其补充合同、变更协议；</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1.1.2 中标通知书；</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1.1.3 投标文件（含澄清或者说明文件）；</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1.1.4 招标文件（含澄清或者修改文件）；</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1.1.5 其他相关采购文件。</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314" w:name="_Toc4735"/>
      <w:bookmarkStart w:id="1315" w:name="_Toc21217"/>
      <w:bookmarkStart w:id="1316" w:name="_Toc8510"/>
      <w:bookmarkStart w:id="1317" w:name="_Toc30626"/>
      <w:bookmarkStart w:id="1318" w:name="_Toc15345"/>
      <w:bookmarkStart w:id="1319" w:name="_Toc31638"/>
      <w:bookmarkStart w:id="1320" w:name="_Toc27126"/>
      <w:bookmarkStart w:id="1321" w:name="_Toc16086"/>
      <w:bookmarkStart w:id="1322" w:name="_Toc7977"/>
      <w:bookmarkStart w:id="1323" w:name="_Toc23778"/>
      <w:bookmarkStart w:id="1324" w:name="_Toc8057"/>
      <w:bookmarkStart w:id="1325" w:name="_Toc25402"/>
      <w:bookmarkStart w:id="1326" w:name="_Toc19336"/>
      <w:bookmarkStart w:id="1327" w:name="_Toc24300"/>
      <w:bookmarkStart w:id="1328" w:name="_Toc27318"/>
      <w:bookmarkStart w:id="1329" w:name="_Toc9006"/>
      <w:bookmarkStart w:id="1330" w:name="_Toc12726"/>
      <w:bookmarkStart w:id="1331" w:name="_Toc19432"/>
      <w:bookmarkStart w:id="1332" w:name="_Toc4957"/>
      <w:bookmarkStart w:id="1333" w:name="_Toc1446"/>
      <w:bookmarkStart w:id="1334" w:name="_Toc14235"/>
      <w:bookmarkStart w:id="1335" w:name="_Toc5906"/>
      <w:bookmarkStart w:id="1336" w:name="_Toc13138"/>
      <w:bookmarkStart w:id="1337" w:name="_Toc21295"/>
      <w:bookmarkStart w:id="1338" w:name="_Toc25735"/>
      <w:bookmarkStart w:id="1339" w:name="_Toc26166"/>
      <w:bookmarkStart w:id="1340" w:name="_Toc28577"/>
      <w:bookmarkStart w:id="1341" w:name="_Toc1557"/>
      <w:bookmarkStart w:id="1342" w:name="_Toc20245"/>
      <w:bookmarkStart w:id="1343" w:name="_Toc14186"/>
      <w:bookmarkStart w:id="1344" w:name="_Toc9161"/>
      <w:bookmarkStart w:id="1345" w:name="_Toc19377"/>
      <w:bookmarkStart w:id="1346" w:name="_Toc8631"/>
      <w:r>
        <w:rPr>
          <w:rFonts w:hint="eastAsia" w:ascii="微软雅黑" w:hAnsi="微软雅黑" w:eastAsia="微软雅黑" w:cs="微软雅黑"/>
          <w:b/>
          <w:color w:val="auto"/>
          <w:szCs w:val="21"/>
          <w:highlight w:val="none"/>
        </w:rPr>
        <w:t>1.2 货物</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1.2.1 货物名称：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1.2.2 货物数量：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1.2.3 货物质量：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347" w:name="_Toc25196"/>
      <w:bookmarkStart w:id="1348" w:name="_Toc9364"/>
      <w:bookmarkStart w:id="1349" w:name="_Toc19682"/>
      <w:bookmarkStart w:id="1350" w:name="_Toc13898"/>
      <w:bookmarkStart w:id="1351" w:name="_Toc12759"/>
      <w:bookmarkStart w:id="1352" w:name="_Toc633"/>
      <w:bookmarkStart w:id="1353" w:name="_Toc21551"/>
      <w:bookmarkStart w:id="1354" w:name="_Toc28204"/>
      <w:bookmarkStart w:id="1355" w:name="_Toc1528"/>
      <w:bookmarkStart w:id="1356" w:name="_Toc23693"/>
      <w:bookmarkStart w:id="1357" w:name="_Toc30755"/>
      <w:bookmarkStart w:id="1358" w:name="_Toc17221"/>
      <w:bookmarkStart w:id="1359" w:name="_Toc20842"/>
      <w:bookmarkStart w:id="1360" w:name="_Toc25368"/>
      <w:bookmarkStart w:id="1361" w:name="_Toc21631"/>
      <w:bookmarkStart w:id="1362" w:name="_Toc11045"/>
      <w:bookmarkStart w:id="1363" w:name="_Toc8386"/>
      <w:bookmarkStart w:id="1364" w:name="_Toc10942"/>
      <w:bookmarkStart w:id="1365" w:name="_Toc30667"/>
      <w:bookmarkStart w:id="1366" w:name="_Toc14240"/>
      <w:bookmarkStart w:id="1367" w:name="_Toc20800"/>
      <w:bookmarkStart w:id="1368" w:name="_Toc1267"/>
      <w:bookmarkStart w:id="1369" w:name="_Toc18854"/>
      <w:bookmarkStart w:id="1370" w:name="_Toc29895"/>
      <w:bookmarkStart w:id="1371" w:name="_Toc21040"/>
      <w:bookmarkStart w:id="1372" w:name="_Toc23292"/>
      <w:bookmarkStart w:id="1373" w:name="_Toc14520"/>
      <w:bookmarkStart w:id="1374" w:name="_Toc12266"/>
      <w:bookmarkStart w:id="1375" w:name="_Toc27282"/>
      <w:bookmarkStart w:id="1376" w:name="_Toc4513"/>
      <w:bookmarkStart w:id="1377" w:name="_Toc23316"/>
      <w:bookmarkStart w:id="1378" w:name="_Toc27433"/>
      <w:r>
        <w:rPr>
          <w:rFonts w:hint="eastAsia" w:ascii="微软雅黑" w:hAnsi="微软雅黑" w:eastAsia="微软雅黑" w:cs="微软雅黑"/>
          <w:b/>
          <w:color w:val="auto"/>
          <w:szCs w:val="21"/>
          <w:highlight w:val="none"/>
        </w:rPr>
        <w:t>1.3 价款</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本合同总价为：￥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元（大写：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元人民币）。</w:t>
      </w:r>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分项价格：</w:t>
      </w:r>
    </w:p>
    <w:tbl>
      <w:tblPr>
        <w:tblStyle w:val="2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9"/>
              <w:shd w:val="clear"/>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序号</w:t>
            </w:r>
          </w:p>
        </w:tc>
        <w:tc>
          <w:tcPr>
            <w:tcW w:w="3738"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分项名称</w:t>
            </w:r>
          </w:p>
        </w:tc>
        <w:tc>
          <w:tcPr>
            <w:tcW w:w="2803" w:type="dxa"/>
            <w:vAlign w:val="center"/>
          </w:tcPr>
          <w:p>
            <w:pPr>
              <w:pStyle w:val="59"/>
              <w:shd w:val="clear"/>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总价</w:t>
            </w:r>
          </w:p>
        </w:tc>
        <w:tc>
          <w:tcPr>
            <w:tcW w:w="2803" w:type="dxa"/>
            <w:vAlign w:val="center"/>
          </w:tcPr>
          <w:p>
            <w:pPr>
              <w:pStyle w:val="59"/>
              <w:shd w:val="clear"/>
              <w:spacing w:line="360" w:lineRule="exact"/>
              <w:ind w:firstLine="200"/>
              <w:jc w:val="center"/>
              <w:rPr>
                <w:rFonts w:hint="eastAsia" w:ascii="微软雅黑" w:hAnsi="微软雅黑" w:eastAsia="微软雅黑" w:cs="微软雅黑"/>
                <w:color w:val="auto"/>
                <w:kern w:val="2"/>
                <w:sz w:val="21"/>
                <w:szCs w:val="21"/>
                <w:highlight w:val="none"/>
              </w:rPr>
            </w:pPr>
          </w:p>
        </w:tc>
      </w:tr>
    </w:tbl>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379" w:name="_Toc28773"/>
      <w:bookmarkStart w:id="1380" w:name="_Toc4330"/>
      <w:bookmarkStart w:id="1381" w:name="_Toc20763"/>
      <w:bookmarkStart w:id="1382" w:name="_Toc10340"/>
      <w:bookmarkStart w:id="1383" w:name="_Toc25678"/>
      <w:bookmarkStart w:id="1384" w:name="_Toc5736"/>
      <w:bookmarkStart w:id="1385" w:name="_Toc243"/>
      <w:bookmarkStart w:id="1386" w:name="_Toc4084"/>
      <w:bookmarkStart w:id="1387" w:name="_Toc31015"/>
      <w:bookmarkStart w:id="1388" w:name="_Toc4585"/>
      <w:bookmarkStart w:id="1389" w:name="_Toc12094"/>
      <w:bookmarkStart w:id="1390" w:name="_Toc26112"/>
      <w:bookmarkStart w:id="1391" w:name="_Toc10086"/>
      <w:bookmarkStart w:id="1392" w:name="_Toc15573"/>
      <w:bookmarkStart w:id="1393" w:name="_Toc30643"/>
      <w:bookmarkStart w:id="1394" w:name="_Toc31049"/>
      <w:bookmarkStart w:id="1395" w:name="_Toc27817"/>
      <w:bookmarkStart w:id="1396" w:name="_Toc7801"/>
      <w:bookmarkStart w:id="1397" w:name="_Toc1814"/>
      <w:bookmarkStart w:id="1398" w:name="_Toc22618"/>
      <w:bookmarkStart w:id="1399" w:name="_Toc9108"/>
      <w:bookmarkStart w:id="1400" w:name="_Toc7895"/>
      <w:bookmarkStart w:id="1401" w:name="_Toc21349"/>
      <w:bookmarkStart w:id="1402" w:name="_Toc26470"/>
      <w:bookmarkStart w:id="1403" w:name="_Toc27654"/>
      <w:bookmarkStart w:id="1404" w:name="_Toc9279"/>
      <w:bookmarkStart w:id="1405" w:name="_Toc24781"/>
      <w:bookmarkStart w:id="1406" w:name="_Toc7458"/>
      <w:bookmarkStart w:id="1407" w:name="_Toc11510"/>
      <w:bookmarkStart w:id="1408" w:name="_Toc25818"/>
      <w:bookmarkStart w:id="1409" w:name="_Toc30297"/>
      <w:r>
        <w:rPr>
          <w:rFonts w:hint="eastAsia" w:ascii="微软雅黑" w:hAnsi="微软雅黑" w:eastAsia="微软雅黑" w:cs="微软雅黑"/>
          <w:b/>
          <w:color w:val="auto"/>
          <w:szCs w:val="21"/>
          <w:highlight w:val="none"/>
        </w:rPr>
        <w:t>1.4 付款方式和发票开具方式</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1.4.1 付款方式：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1.4.2 发票开具方式：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410" w:name="_Toc23735"/>
      <w:bookmarkStart w:id="1411" w:name="_Toc26095"/>
      <w:bookmarkStart w:id="1412" w:name="_Toc2852"/>
      <w:bookmarkStart w:id="1413" w:name="_Toc30364"/>
      <w:bookmarkStart w:id="1414" w:name="_Toc2846"/>
      <w:bookmarkStart w:id="1415" w:name="_Toc27990"/>
      <w:bookmarkStart w:id="1416" w:name="_Toc4353"/>
      <w:bookmarkStart w:id="1417" w:name="_Toc3719"/>
      <w:bookmarkStart w:id="1418" w:name="_Toc22861"/>
      <w:bookmarkStart w:id="1419" w:name="_Toc30447"/>
      <w:bookmarkStart w:id="1420" w:name="_Toc17179"/>
      <w:bookmarkStart w:id="1421" w:name="_Toc6393"/>
      <w:bookmarkStart w:id="1422" w:name="_Toc4501"/>
      <w:bookmarkStart w:id="1423" w:name="_Toc9478"/>
      <w:bookmarkStart w:id="1424" w:name="_Toc26187"/>
      <w:bookmarkStart w:id="1425" w:name="_Toc25278"/>
      <w:bookmarkStart w:id="1426" w:name="_Toc10276"/>
      <w:bookmarkStart w:id="1427" w:name="_Toc30563"/>
      <w:bookmarkStart w:id="1428" w:name="_Toc17448"/>
      <w:bookmarkStart w:id="1429" w:name="_Toc27020"/>
      <w:bookmarkStart w:id="1430" w:name="_Toc32098"/>
      <w:bookmarkStart w:id="1431" w:name="_Toc16823"/>
      <w:bookmarkStart w:id="1432" w:name="_Toc9475"/>
      <w:bookmarkStart w:id="1433" w:name="_Toc24174"/>
      <w:bookmarkStart w:id="1434" w:name="_Toc14194"/>
      <w:bookmarkStart w:id="1435" w:name="_Toc2048"/>
      <w:bookmarkStart w:id="1436" w:name="_Toc2083"/>
      <w:bookmarkStart w:id="1437" w:name="_Toc28943"/>
      <w:bookmarkStart w:id="1438" w:name="_Toc19304"/>
      <w:bookmarkStart w:id="1439" w:name="_Toc25427"/>
      <w:bookmarkStart w:id="1440" w:name="_Toc32071"/>
      <w:bookmarkStart w:id="1441" w:name="_Toc7017"/>
      <w:r>
        <w:rPr>
          <w:rFonts w:hint="eastAsia" w:ascii="微软雅黑" w:hAnsi="微软雅黑" w:eastAsia="微软雅黑" w:cs="微软雅黑"/>
          <w:b/>
          <w:color w:val="auto"/>
          <w:szCs w:val="21"/>
          <w:highlight w:val="none"/>
        </w:rPr>
        <w:t>1.5 货物交付期限、地点和方式</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1.5.1 交付期限：</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1.5.2 交付地点：</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1.5.3 交付方式：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442" w:name="_Toc32088"/>
      <w:bookmarkStart w:id="1443" w:name="_Toc12495"/>
      <w:bookmarkStart w:id="1444" w:name="_Toc28130"/>
      <w:bookmarkStart w:id="1445" w:name="_Toc27247"/>
      <w:bookmarkStart w:id="1446" w:name="_Toc13569"/>
      <w:bookmarkStart w:id="1447" w:name="_Toc5183"/>
      <w:bookmarkStart w:id="1448" w:name="_Toc1835"/>
      <w:bookmarkStart w:id="1449" w:name="_Toc19554"/>
      <w:bookmarkStart w:id="1450" w:name="_Toc12988"/>
      <w:bookmarkStart w:id="1451" w:name="_Toc27250"/>
      <w:bookmarkStart w:id="1452" w:name="_Toc1881"/>
      <w:bookmarkStart w:id="1453" w:name="_Toc15865"/>
      <w:bookmarkStart w:id="1454" w:name="_Toc4190"/>
      <w:bookmarkStart w:id="1455" w:name="_Toc32353"/>
      <w:bookmarkStart w:id="1456" w:name="_Toc11237"/>
      <w:bookmarkStart w:id="1457" w:name="_Toc9204"/>
      <w:bookmarkStart w:id="1458" w:name="_Toc12629"/>
      <w:bookmarkStart w:id="1459" w:name="_Toc16816"/>
      <w:bookmarkStart w:id="1460" w:name="_Toc26850"/>
      <w:bookmarkStart w:id="1461" w:name="_Toc8541"/>
      <w:bookmarkStart w:id="1462" w:name="_Toc13970"/>
      <w:bookmarkStart w:id="1463" w:name="_Toc22088"/>
      <w:bookmarkStart w:id="1464" w:name="_Toc7250"/>
      <w:bookmarkStart w:id="1465" w:name="_Toc21423"/>
      <w:bookmarkStart w:id="1466" w:name="_Toc1143"/>
      <w:bookmarkStart w:id="1467" w:name="_Toc8754"/>
      <w:bookmarkStart w:id="1468" w:name="_Toc21406"/>
      <w:bookmarkStart w:id="1469" w:name="_Toc29769"/>
      <w:bookmarkStart w:id="1470" w:name="_Toc26856"/>
      <w:bookmarkStart w:id="1471" w:name="_Toc6841"/>
      <w:bookmarkStart w:id="1472" w:name="_Toc12753"/>
      <w:r>
        <w:rPr>
          <w:rFonts w:hint="eastAsia" w:ascii="微软雅黑" w:hAnsi="微软雅黑" w:eastAsia="微软雅黑" w:cs="微软雅黑"/>
          <w:b/>
          <w:color w:val="auto"/>
          <w:szCs w:val="21"/>
          <w:highlight w:val="none"/>
        </w:rPr>
        <w:t>1.6 违约责任</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%计算，最高限额为本合同总价的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%；迟延交付货物的违约金计算数额达到前述最高限额之日起，甲方有权在要求乙方支付违约金的同时，书面通知乙方解除本合同；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%计算，最高限额为本合同总价的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%；迟延付款的违约金计算数额达到前述最高限额之日起，乙方有权在要求甲方支付违约金的同时，书面通知甲方解除本合同；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473" w:name="_Toc6448"/>
      <w:bookmarkStart w:id="1474" w:name="_Toc28375"/>
      <w:bookmarkStart w:id="1475" w:name="_Toc25793"/>
      <w:bookmarkStart w:id="1476" w:name="_Toc24393"/>
      <w:bookmarkStart w:id="1477" w:name="_Toc5482"/>
      <w:bookmarkStart w:id="1478" w:name="_Toc9202"/>
      <w:bookmarkStart w:id="1479" w:name="_Toc8054"/>
      <w:bookmarkStart w:id="1480" w:name="_Toc3403"/>
      <w:bookmarkStart w:id="1481" w:name="_Toc7647"/>
      <w:bookmarkStart w:id="1482" w:name="_Toc6344"/>
      <w:bookmarkStart w:id="1483" w:name="_Toc27762"/>
      <w:bookmarkStart w:id="1484" w:name="_Toc17013"/>
      <w:bookmarkStart w:id="1485" w:name="_Toc2627"/>
      <w:bookmarkStart w:id="1486" w:name="_Toc27927"/>
      <w:bookmarkStart w:id="1487" w:name="_Toc2338"/>
      <w:bookmarkStart w:id="1488" w:name="_Toc8914"/>
      <w:bookmarkStart w:id="1489" w:name="_Toc23677"/>
      <w:bookmarkStart w:id="1490" w:name="_Toc15583"/>
      <w:bookmarkStart w:id="1491" w:name="_Toc16021"/>
      <w:bookmarkStart w:id="1492" w:name="_Toc29802"/>
      <w:bookmarkStart w:id="1493" w:name="_Toc23654"/>
      <w:bookmarkStart w:id="1494" w:name="_Toc20610"/>
      <w:bookmarkStart w:id="1495" w:name="_Toc6660"/>
      <w:bookmarkStart w:id="1496" w:name="_Toc29338"/>
      <w:bookmarkStart w:id="1497" w:name="_Toc11167"/>
      <w:bookmarkStart w:id="1498" w:name="_Toc565"/>
      <w:bookmarkStart w:id="1499" w:name="_Toc17824"/>
      <w:bookmarkStart w:id="1500" w:name="_Toc13447"/>
      <w:bookmarkStart w:id="1501" w:name="_Toc9253"/>
      <w:bookmarkStart w:id="1502" w:name="_Toc19011"/>
      <w:bookmarkStart w:id="1503" w:name="_Toc7216"/>
      <w:bookmarkStart w:id="1504" w:name="_Toc25915"/>
      <w:r>
        <w:rPr>
          <w:rFonts w:hint="eastAsia" w:ascii="微软雅黑" w:hAnsi="微软雅黑" w:eastAsia="微软雅黑" w:cs="微软雅黑"/>
          <w:b/>
          <w:color w:val="auto"/>
          <w:szCs w:val="21"/>
          <w:highlight w:val="none"/>
        </w:rPr>
        <w:t>1.7 合同争议的解决</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种方式解决：</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1.7.1 将争议提交</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仲裁委员会依申请仲裁时其现行有效的仲裁规则裁决；</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1.7.2 向</w:t>
      </w:r>
      <w:r>
        <w:rPr>
          <w:rFonts w:hint="eastAsia" w:ascii="微软雅黑" w:hAnsi="微软雅黑" w:eastAsia="微软雅黑" w:cs="微软雅黑"/>
          <w:color w:val="auto"/>
          <w:szCs w:val="21"/>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Cs w:val="21"/>
          <w:highlight w:val="none"/>
        </w:rPr>
        <w:t>人民法院起诉。</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505" w:name="_Toc20305"/>
      <w:bookmarkStart w:id="1506" w:name="_Toc26897"/>
      <w:bookmarkStart w:id="1507" w:name="_Toc17113"/>
      <w:bookmarkStart w:id="1508" w:name="_Toc9582"/>
      <w:bookmarkStart w:id="1509" w:name="_Toc16410"/>
      <w:bookmarkStart w:id="1510" w:name="_Toc19180"/>
      <w:bookmarkStart w:id="1511" w:name="_Toc4834"/>
      <w:bookmarkStart w:id="1512" w:name="_Toc22385"/>
      <w:bookmarkStart w:id="1513" w:name="_Toc24003"/>
      <w:bookmarkStart w:id="1514" w:name="_Toc518"/>
      <w:bookmarkStart w:id="1515" w:name="_Toc21152"/>
      <w:bookmarkStart w:id="1516" w:name="_Toc2901"/>
      <w:bookmarkStart w:id="1517" w:name="_Toc2894"/>
      <w:bookmarkStart w:id="1518" w:name="_Toc27626"/>
      <w:bookmarkStart w:id="1519" w:name="_Toc12859"/>
      <w:bookmarkStart w:id="1520" w:name="_Toc9329"/>
      <w:bookmarkStart w:id="1521" w:name="_Toc1647"/>
      <w:bookmarkStart w:id="1522" w:name="_Toc6411"/>
      <w:bookmarkStart w:id="1523" w:name="_Toc7245"/>
      <w:bookmarkStart w:id="1524" w:name="_Toc12003"/>
      <w:bookmarkStart w:id="1525" w:name="_Toc10255"/>
      <w:bookmarkStart w:id="1526" w:name="_Toc13065"/>
      <w:bookmarkStart w:id="1527" w:name="_Toc6001"/>
      <w:bookmarkStart w:id="1528" w:name="_Toc10043"/>
      <w:bookmarkStart w:id="1529" w:name="_Toc11173"/>
      <w:bookmarkStart w:id="1530" w:name="_Toc13718"/>
      <w:bookmarkStart w:id="1531" w:name="_Toc10429"/>
      <w:bookmarkStart w:id="1532" w:name="_Toc20905"/>
      <w:bookmarkStart w:id="1533" w:name="_Toc30260"/>
      <w:bookmarkStart w:id="1534" w:name="_Toc24759"/>
      <w:bookmarkStart w:id="1535" w:name="_Toc15322"/>
      <w:r>
        <w:rPr>
          <w:rFonts w:hint="eastAsia" w:ascii="微软雅黑" w:hAnsi="微软雅黑" w:eastAsia="微软雅黑" w:cs="微软雅黑"/>
          <w:b/>
          <w:color w:val="auto"/>
          <w:szCs w:val="21"/>
          <w:highlight w:val="none"/>
        </w:rPr>
        <w:t>1.8 合同生效</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pPr>
        <w:shd w:val="clea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本合同自双方当事人盖章或者签字时生效。</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b/>
          <w:color w:val="auto"/>
          <w:szCs w:val="21"/>
          <w:highlight w:val="none"/>
          <w:lang w:val="zh-CN"/>
        </w:rPr>
        <w:t>甲方</w:t>
      </w:r>
      <w:r>
        <w:rPr>
          <w:rFonts w:hint="eastAsia" w:ascii="微软雅黑" w:hAnsi="微软雅黑" w:eastAsia="微软雅黑" w:cs="微软雅黑"/>
          <w:color w:val="auto"/>
          <w:szCs w:val="21"/>
          <w:highlight w:val="none"/>
          <w:lang w:val="zh-CN"/>
        </w:rPr>
        <w:t xml:space="preserve">：                             </w:t>
      </w:r>
      <w:r>
        <w:rPr>
          <w:rFonts w:hint="eastAsia" w:ascii="微软雅黑" w:hAnsi="微软雅黑" w:eastAsia="微软雅黑" w:cs="微软雅黑"/>
          <w:b/>
          <w:color w:val="auto"/>
          <w:szCs w:val="21"/>
          <w:highlight w:val="none"/>
          <w:lang w:val="zh-CN"/>
        </w:rPr>
        <w:t xml:space="preserve">      乙方</w:t>
      </w:r>
      <w:r>
        <w:rPr>
          <w:rFonts w:hint="eastAsia" w:ascii="微软雅黑" w:hAnsi="微软雅黑" w:eastAsia="微软雅黑" w:cs="微软雅黑"/>
          <w:color w:val="auto"/>
          <w:szCs w:val="21"/>
          <w:highlight w:val="none"/>
          <w:lang w:val="zh-CN"/>
        </w:rPr>
        <w:t>：</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统一社会信用代码：                        统一社会信用代码或身份证号码：</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住所：                                   住所：</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法定代表人或                             法定代表人</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 xml:space="preserve">授权代表（签字）：                        或授权代表（签字）: </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联系人：                                 联系人：</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约定送达地址：                           约定送达地址：</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邮政编码：                               邮政编码：</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 xml:space="preserve">电话:                                    电话: </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传真:                                    传真:</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电子邮箱：                               电子邮箱：</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开户银行：                               开户银行： </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开户名称：                               开户名称： </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开户账号：</w:t>
      </w:r>
      <w:r>
        <w:rPr>
          <w:rFonts w:hint="eastAsia" w:ascii="微软雅黑" w:hAnsi="微软雅黑" w:eastAsia="微软雅黑" w:cs="微软雅黑"/>
          <w:color w:val="auto"/>
          <w:szCs w:val="21"/>
          <w:highlight w:val="none"/>
          <w:lang w:val="zh-CN"/>
        </w:rPr>
        <w:t xml:space="preserve">                               </w:t>
      </w:r>
      <w:r>
        <w:rPr>
          <w:rFonts w:hint="eastAsia" w:ascii="微软雅黑" w:hAnsi="微软雅黑" w:eastAsia="微软雅黑" w:cs="微软雅黑"/>
          <w:color w:val="auto"/>
          <w:szCs w:val="21"/>
          <w:highlight w:val="none"/>
        </w:rPr>
        <w:t>开户账号：</w:t>
      </w:r>
    </w:p>
    <w:p>
      <w:pPr>
        <w:widowControl/>
        <w:shd w:val="clear"/>
        <w:spacing w:line="360" w:lineRule="exact"/>
        <w:jc w:val="left"/>
        <w:rPr>
          <w:rFonts w:hint="eastAsia" w:ascii="微软雅黑" w:hAnsi="微软雅黑" w:eastAsia="微软雅黑" w:cs="微软雅黑"/>
          <w:b/>
          <w:color w:val="auto"/>
          <w:szCs w:val="21"/>
          <w:highlight w:val="none"/>
        </w:rPr>
      </w:pPr>
      <w:bookmarkStart w:id="1536" w:name="_Toc331685783"/>
    </w:p>
    <w:p>
      <w:pPr>
        <w:widowControl/>
        <w:shd w:val="clear"/>
        <w:spacing w:line="360" w:lineRule="exact"/>
        <w:jc w:val="left"/>
        <w:rPr>
          <w:rFonts w:hint="eastAsia" w:ascii="微软雅黑" w:hAnsi="微软雅黑" w:eastAsia="微软雅黑" w:cs="微软雅黑"/>
          <w:b/>
          <w:color w:val="auto"/>
          <w:szCs w:val="21"/>
          <w:highlight w:val="none"/>
        </w:rPr>
      </w:pPr>
    </w:p>
    <w:p>
      <w:pPr>
        <w:pStyle w:val="57"/>
        <w:shd w:val="clear"/>
        <w:spacing w:line="360" w:lineRule="exact"/>
        <w:ind w:firstLine="20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第二部分 合同一般条款</w:t>
      </w:r>
      <w:bookmarkEnd w:id="1536"/>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537" w:name="_Ref467379094"/>
      <w:bookmarkStart w:id="1538" w:name="_Ref467378404"/>
      <w:bookmarkStart w:id="1539" w:name="_Toc26822"/>
      <w:bookmarkStart w:id="1540" w:name="_Toc259093669"/>
      <w:bookmarkStart w:id="1541" w:name="_Toc25554"/>
      <w:bookmarkStart w:id="1542" w:name="_Toc1241"/>
      <w:bookmarkStart w:id="1543" w:name="_Toc28992"/>
      <w:bookmarkStart w:id="1544" w:name="_Toc19614"/>
      <w:bookmarkStart w:id="1545" w:name="_Toc3091"/>
      <w:bookmarkStart w:id="1546" w:name="_Toc17718"/>
      <w:bookmarkStart w:id="1547" w:name="_Ref467379214"/>
      <w:bookmarkStart w:id="1548" w:name="_Ref467379101"/>
      <w:bookmarkStart w:id="1549" w:name="_Toc2485"/>
      <w:bookmarkStart w:id="1550" w:name="_Toc32624"/>
      <w:bookmarkStart w:id="1551" w:name="_Ref467379195"/>
      <w:bookmarkStart w:id="1552" w:name="_Toc28763"/>
      <w:bookmarkStart w:id="1553" w:name="_Toc115"/>
      <w:bookmarkStart w:id="1554" w:name="_Toc29659"/>
      <w:bookmarkStart w:id="1555" w:name="_Toc26415"/>
      <w:bookmarkStart w:id="1556" w:name="_Ref467379225"/>
      <w:bookmarkStart w:id="1557" w:name="_Toc16917"/>
      <w:bookmarkStart w:id="1558" w:name="_Toc8206"/>
      <w:bookmarkStart w:id="1559" w:name="_Toc5579"/>
      <w:bookmarkStart w:id="1560" w:name="_Toc6280"/>
      <w:bookmarkStart w:id="1561" w:name="_Toc31417"/>
      <w:bookmarkStart w:id="1562" w:name="_Toc16593"/>
      <w:bookmarkStart w:id="1563" w:name="_Toc15647"/>
      <w:bookmarkStart w:id="1564" w:name="_Toc279701240"/>
      <w:bookmarkStart w:id="1565" w:name="_Ref467378499"/>
      <w:bookmarkStart w:id="1566" w:name="_Toc16687"/>
      <w:bookmarkStart w:id="1567" w:name="_Ref467378463"/>
      <w:bookmarkStart w:id="1568" w:name="_Ref467379109"/>
      <w:bookmarkStart w:id="1569" w:name="_Toc27590"/>
      <w:bookmarkStart w:id="1570" w:name="_Toc2034"/>
      <w:bookmarkStart w:id="1571" w:name="_Toc26936"/>
      <w:bookmarkStart w:id="1572" w:name="_Toc20709"/>
      <w:bookmarkStart w:id="1573" w:name="_Toc12387"/>
      <w:bookmarkStart w:id="1574" w:name="_Toc18165"/>
      <w:bookmarkStart w:id="1575" w:name="_Toc28547"/>
      <w:bookmarkStart w:id="1576" w:name="_Toc14065"/>
      <w:bookmarkStart w:id="1577" w:name="_Toc14827"/>
      <w:bookmarkStart w:id="1578" w:name="_Toc510"/>
      <w:bookmarkStart w:id="1579" w:name="_Toc1596"/>
      <w:bookmarkStart w:id="1580" w:name="_Toc487900349"/>
      <w:bookmarkStart w:id="1581" w:name="_Ref467379205"/>
      <w:bookmarkStart w:id="1582" w:name="_Toc12488"/>
      <w:r>
        <w:rPr>
          <w:rFonts w:hint="eastAsia" w:ascii="微软雅黑" w:hAnsi="微软雅黑" w:eastAsia="微软雅黑" w:cs="微软雅黑"/>
          <w:b/>
          <w:color w:val="auto"/>
          <w:szCs w:val="21"/>
          <w:highlight w:val="none"/>
        </w:rPr>
        <w:t>2.1 定义</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本合同中的下列词语应按以下内容进行解释：</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 “合同”系指采购人和中标供应商签订的载明双方当事人所达成的协议，并包括所有的附件、附录和构成合同的其他文件。</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2.1.2 “合同价”系指根据合同约定，中标供应商在完全履行合同义务后，采购人应支付给中标供应商的价格。</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 “货物”系指中标供应商根据合同约定应向采购人交付的一切各种形态和种类的物品，包括原材料、燃料、设备、机械、仪表、备件、计算机软件、产品等，并包括工具、手册等其他相关资料。</w:t>
      </w: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583" w:name="_Ref467378840"/>
      <w:r>
        <w:rPr>
          <w:rFonts w:hint="eastAsia" w:ascii="微软雅黑" w:hAnsi="微软雅黑" w:eastAsia="微软雅黑" w:cs="微软雅黑"/>
          <w:color w:val="auto"/>
          <w:szCs w:val="21"/>
          <w:highlight w:val="none"/>
        </w:rPr>
        <w:t>2.1.4 “甲方”系指与中标供应商签署合同的采购人</w:t>
      </w:r>
      <w:bookmarkEnd w:id="1583"/>
      <w:r>
        <w:rPr>
          <w:rFonts w:hint="eastAsia" w:ascii="微软雅黑" w:hAnsi="微软雅黑" w:eastAsia="微软雅黑" w:cs="微软雅黑"/>
          <w:color w:val="auto"/>
          <w:szCs w:val="21"/>
          <w:highlight w:val="none"/>
        </w:rPr>
        <w:t>；采购人委托采购代理机构代表其与乙方签订合同的，采购人的授权委托书作为合同附件。</w:t>
      </w: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584" w:name="_Ref467379400"/>
      <w:r>
        <w:rPr>
          <w:rFonts w:hint="eastAsia" w:ascii="微软雅黑" w:hAnsi="微软雅黑" w:eastAsia="微软雅黑" w:cs="微软雅黑"/>
          <w:color w:val="auto"/>
          <w:szCs w:val="21"/>
          <w:highlight w:val="none"/>
        </w:rPr>
        <w:t>2.1.5 “乙方”系指根据合同约定交付货物的中标供应商</w:t>
      </w:r>
      <w:bookmarkEnd w:id="1584"/>
      <w:r>
        <w:rPr>
          <w:rFonts w:hint="eastAsia" w:ascii="微软雅黑" w:hAnsi="微软雅黑" w:eastAsia="微软雅黑" w:cs="微软雅黑"/>
          <w:color w:val="auto"/>
          <w:szCs w:val="21"/>
          <w:highlight w:val="none"/>
        </w:rPr>
        <w:t>；两个以上的自然人、</w:t>
      </w:r>
      <w:r>
        <w:rPr>
          <w:rFonts w:hint="eastAsia" w:ascii="微软雅黑" w:hAnsi="微软雅黑" w:eastAsia="微软雅黑" w:cs="微软雅黑"/>
          <w:color w:val="auto"/>
          <w:szCs w:val="21"/>
          <w:highlight w:val="none"/>
          <w:lang w:eastAsia="zh-CN"/>
        </w:rPr>
        <w:t>法定代表人</w:t>
      </w:r>
      <w:r>
        <w:rPr>
          <w:rFonts w:hint="eastAsia" w:ascii="微软雅黑" w:hAnsi="微软雅黑" w:eastAsia="微软雅黑" w:cs="微软雅黑"/>
          <w:color w:val="auto"/>
          <w:szCs w:val="21"/>
          <w:highlight w:val="none"/>
        </w:rPr>
        <w:t>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585" w:name="_Ref467379436"/>
      <w:r>
        <w:rPr>
          <w:rFonts w:hint="eastAsia" w:ascii="微软雅黑" w:hAnsi="微软雅黑" w:eastAsia="微软雅黑" w:cs="微软雅黑"/>
          <w:color w:val="auto"/>
          <w:szCs w:val="21"/>
          <w:highlight w:val="none"/>
        </w:rPr>
        <w:t>2.1.6 “现场”系指合同约定货物将要运至或者安装的地点。</w:t>
      </w:r>
      <w:bookmarkEnd w:id="1585"/>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586" w:name="_Toc259093670"/>
      <w:bookmarkStart w:id="1587" w:name="_Toc15848"/>
      <w:bookmarkStart w:id="1588" w:name="_Toc1352"/>
      <w:bookmarkStart w:id="1589" w:name="_Toc16045"/>
      <w:bookmarkStart w:id="1590" w:name="_Toc26403"/>
      <w:bookmarkStart w:id="1591" w:name="_Toc1447"/>
      <w:bookmarkStart w:id="1592" w:name="_Toc29311"/>
      <w:bookmarkStart w:id="1593" w:name="_Toc21145"/>
      <w:bookmarkStart w:id="1594" w:name="_Toc22122"/>
      <w:bookmarkStart w:id="1595" w:name="_Toc13336"/>
      <w:bookmarkStart w:id="1596" w:name="_Toc13251"/>
      <w:bookmarkStart w:id="1597" w:name="_Toc22104"/>
      <w:bookmarkStart w:id="1598" w:name="_Toc17151"/>
      <w:bookmarkStart w:id="1599" w:name="_Toc3949"/>
      <w:bookmarkStart w:id="1600" w:name="_Toc7130"/>
      <w:bookmarkStart w:id="1601" w:name="_Toc20046"/>
      <w:bookmarkStart w:id="1602" w:name="_Toc1183"/>
      <w:bookmarkStart w:id="1603" w:name="_Toc487900350"/>
      <w:bookmarkStart w:id="1604" w:name="_Toc25266"/>
      <w:bookmarkStart w:id="1605" w:name="_Toc16564"/>
      <w:bookmarkStart w:id="1606" w:name="_Toc5592"/>
      <w:bookmarkStart w:id="1607" w:name="_Toc7416"/>
      <w:bookmarkStart w:id="1608" w:name="_Toc20726"/>
      <w:bookmarkStart w:id="1609" w:name="_Toc4183"/>
      <w:bookmarkStart w:id="1610" w:name="_Toc24448"/>
      <w:bookmarkStart w:id="1611" w:name="_Toc10183"/>
      <w:bookmarkStart w:id="1612" w:name="_Toc10855"/>
      <w:bookmarkStart w:id="1613" w:name="_Toc6897"/>
      <w:bookmarkStart w:id="1614" w:name="_Toc11142"/>
      <w:bookmarkStart w:id="1615" w:name="_Toc279701241"/>
      <w:bookmarkStart w:id="1616" w:name="_Toc27635"/>
      <w:bookmarkStart w:id="1617" w:name="_Toc1221"/>
      <w:bookmarkStart w:id="1618" w:name="_Toc32504"/>
      <w:bookmarkStart w:id="1619" w:name="_Toc24523"/>
      <w:bookmarkStart w:id="1620" w:name="_Toc23689"/>
      <w:bookmarkStart w:id="1621" w:name="_Toc24792"/>
      <w:r>
        <w:rPr>
          <w:rFonts w:hint="eastAsia" w:ascii="微软雅黑" w:hAnsi="微软雅黑" w:eastAsia="微软雅黑" w:cs="微软雅黑"/>
          <w:b/>
          <w:color w:val="auto"/>
          <w:szCs w:val="21"/>
          <w:highlight w:val="none"/>
        </w:rPr>
        <w:t>2.2 技术规范</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622" w:name="_Toc975"/>
      <w:bookmarkStart w:id="1623" w:name="_Toc9829"/>
      <w:bookmarkStart w:id="1624" w:name="_Toc31634"/>
      <w:bookmarkStart w:id="1625" w:name="_Toc994"/>
      <w:bookmarkStart w:id="1626" w:name="_Toc30527"/>
      <w:bookmarkStart w:id="1627" w:name="_Toc6581"/>
      <w:bookmarkStart w:id="1628" w:name="_Toc259093671"/>
      <w:bookmarkStart w:id="1629" w:name="_Toc6121"/>
      <w:bookmarkStart w:id="1630" w:name="_Toc4916"/>
      <w:bookmarkStart w:id="1631" w:name="_Toc23649"/>
      <w:bookmarkStart w:id="1632" w:name="_Toc20130"/>
      <w:bookmarkStart w:id="1633" w:name="_Toc24940"/>
      <w:bookmarkStart w:id="1634" w:name="_Toc30700"/>
      <w:bookmarkStart w:id="1635" w:name="_Toc27983"/>
      <w:bookmarkStart w:id="1636" w:name="_Toc27853"/>
      <w:bookmarkStart w:id="1637" w:name="_Toc279701242"/>
      <w:bookmarkStart w:id="1638" w:name="_Toc5708"/>
      <w:bookmarkStart w:id="1639" w:name="_Toc24537"/>
      <w:bookmarkStart w:id="1640" w:name="_Toc10732"/>
      <w:bookmarkStart w:id="1641" w:name="_Toc32048"/>
      <w:bookmarkStart w:id="1642" w:name="_Toc31783"/>
      <w:bookmarkStart w:id="1643" w:name="_Toc23791"/>
      <w:bookmarkStart w:id="1644" w:name="_Toc30287"/>
      <w:bookmarkStart w:id="1645" w:name="_Toc4029"/>
      <w:bookmarkStart w:id="1646" w:name="_Toc19084"/>
      <w:bookmarkStart w:id="1647" w:name="_Toc15733"/>
      <w:bookmarkStart w:id="1648" w:name="_Toc14978"/>
      <w:bookmarkStart w:id="1649" w:name="_Toc14437"/>
      <w:bookmarkStart w:id="1650" w:name="_Toc487900351"/>
      <w:bookmarkStart w:id="1651" w:name="_Toc25750"/>
      <w:bookmarkStart w:id="1652" w:name="_Toc14632"/>
      <w:bookmarkStart w:id="1653" w:name="_Toc3854"/>
      <w:bookmarkStart w:id="1654" w:name="_Toc16609"/>
      <w:bookmarkStart w:id="1655" w:name="_Toc30552"/>
      <w:bookmarkStart w:id="1656" w:name="_Toc2944"/>
      <w:bookmarkStart w:id="1657" w:name="_Toc7722"/>
      <w:r>
        <w:rPr>
          <w:rFonts w:hint="eastAsia" w:ascii="微软雅黑" w:hAnsi="微软雅黑" w:eastAsia="微软雅黑" w:cs="微软雅黑"/>
          <w:b/>
          <w:color w:val="auto"/>
          <w:szCs w:val="21"/>
          <w:highlight w:val="none"/>
        </w:rPr>
        <w:t>2.3 知识产权</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2.3.2具有知识产权的计算机软件等货物的知识产权归属，详见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658" w:name="_Toc29149"/>
      <w:bookmarkStart w:id="1659" w:name="_Toc6781"/>
      <w:bookmarkStart w:id="1660" w:name="_Toc12105"/>
      <w:bookmarkStart w:id="1661" w:name="_Toc28714"/>
      <w:bookmarkStart w:id="1662" w:name="_Toc3486"/>
      <w:bookmarkStart w:id="1663" w:name="_Toc11241"/>
      <w:bookmarkStart w:id="1664" w:name="_Toc25767"/>
      <w:bookmarkStart w:id="1665" w:name="_Toc12219"/>
      <w:bookmarkStart w:id="1666" w:name="_Toc9470"/>
      <w:bookmarkStart w:id="1667" w:name="_Toc8260"/>
      <w:bookmarkStart w:id="1668" w:name="_Toc6190"/>
      <w:bookmarkStart w:id="1669" w:name="_Toc10970"/>
      <w:bookmarkStart w:id="1670" w:name="_Toc10546"/>
      <w:bookmarkStart w:id="1671" w:name="_Toc11932"/>
      <w:bookmarkStart w:id="1672" w:name="_Toc17680"/>
      <w:bookmarkStart w:id="1673" w:name="_Toc64"/>
      <w:bookmarkStart w:id="1674" w:name="_Toc22723"/>
      <w:bookmarkStart w:id="1675" w:name="_Toc5395"/>
      <w:bookmarkStart w:id="1676" w:name="_Toc7613"/>
      <w:bookmarkStart w:id="1677" w:name="_Toc5819"/>
      <w:bookmarkStart w:id="1678" w:name="_Toc19638"/>
      <w:bookmarkStart w:id="1679" w:name="_Toc18554"/>
      <w:bookmarkStart w:id="1680" w:name="_Toc7771"/>
      <w:bookmarkStart w:id="1681" w:name="_Toc7492"/>
      <w:bookmarkStart w:id="1682" w:name="_Toc20378"/>
      <w:bookmarkStart w:id="1683" w:name="_Toc16163"/>
      <w:bookmarkStart w:id="1684" w:name="_Toc23105"/>
      <w:bookmarkStart w:id="1685" w:name="_Toc26731"/>
      <w:bookmarkStart w:id="1686" w:name="_Toc20620"/>
      <w:bookmarkStart w:id="1687" w:name="_Toc17080"/>
      <w:bookmarkStart w:id="1688" w:name="_Toc16949"/>
      <w:bookmarkStart w:id="1689" w:name="_Toc28684"/>
      <w:bookmarkStart w:id="1690" w:name="_Toc4194"/>
      <w:r>
        <w:rPr>
          <w:rFonts w:hint="eastAsia" w:ascii="微软雅黑" w:hAnsi="微软雅黑" w:eastAsia="微软雅黑" w:cs="微软雅黑"/>
          <w:b/>
          <w:color w:val="auto"/>
          <w:szCs w:val="21"/>
          <w:highlight w:val="none"/>
        </w:rPr>
        <w:t>2.4 包装和装运</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2.4.1除</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2.4.2 装运货物的要求和通知，详见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691" w:name="_Toc259093674"/>
      <w:bookmarkStart w:id="1692" w:name="_Toc487900354"/>
      <w:bookmarkStart w:id="1693" w:name="_Ref467379536"/>
      <w:bookmarkStart w:id="1694" w:name="_Ref467378541"/>
      <w:bookmarkStart w:id="1695" w:name="_Ref467379542"/>
      <w:bookmarkStart w:id="1696" w:name="_Toc279701245"/>
      <w:bookmarkStart w:id="1697" w:name="_Ref467378591"/>
      <w:bookmarkStart w:id="1698" w:name="_Ref467379527"/>
      <w:bookmarkStart w:id="1699" w:name="_Toc28937"/>
      <w:bookmarkStart w:id="1700" w:name="_Toc30516"/>
      <w:bookmarkStart w:id="1701" w:name="_Toc28324"/>
      <w:bookmarkStart w:id="1702" w:name="_Toc30087"/>
      <w:bookmarkStart w:id="1703" w:name="_Toc21198"/>
      <w:bookmarkStart w:id="1704" w:name="_Toc26182"/>
      <w:bookmarkStart w:id="1705" w:name="_Toc21410"/>
      <w:bookmarkStart w:id="1706" w:name="_Toc2628"/>
      <w:bookmarkStart w:id="1707" w:name="_Toc24299"/>
      <w:bookmarkStart w:id="1708" w:name="_Toc7299"/>
      <w:bookmarkStart w:id="1709" w:name="_Toc3427"/>
      <w:bookmarkStart w:id="1710" w:name="_Toc13671"/>
      <w:bookmarkStart w:id="1711" w:name="_Toc18162"/>
      <w:bookmarkStart w:id="1712" w:name="_Toc12428"/>
      <w:bookmarkStart w:id="1713" w:name="_Toc19074"/>
      <w:bookmarkStart w:id="1714" w:name="_Toc1336"/>
      <w:bookmarkStart w:id="1715" w:name="_Toc13458"/>
      <w:bookmarkStart w:id="1716" w:name="_Toc4831"/>
      <w:bookmarkStart w:id="1717" w:name="_Toc22648"/>
      <w:bookmarkStart w:id="1718" w:name="_Toc25149"/>
      <w:bookmarkStart w:id="1719" w:name="_Toc14904"/>
      <w:bookmarkStart w:id="1720" w:name="_Toc24935"/>
      <w:bookmarkStart w:id="1721" w:name="_Toc18515"/>
      <w:bookmarkStart w:id="1722" w:name="_Toc27540"/>
      <w:bookmarkStart w:id="1723" w:name="_Toc7292"/>
      <w:bookmarkStart w:id="1724" w:name="_Toc18307"/>
      <w:bookmarkStart w:id="1725" w:name="_Toc2815"/>
      <w:bookmarkStart w:id="1726" w:name="_Toc28646"/>
      <w:bookmarkStart w:id="1727" w:name="_Toc5927"/>
      <w:bookmarkStart w:id="1728" w:name="_Toc15512"/>
      <w:bookmarkStart w:id="1729" w:name="_Toc18834"/>
      <w:bookmarkStart w:id="1730" w:name="_Toc30272"/>
      <w:r>
        <w:rPr>
          <w:rFonts w:hint="eastAsia" w:ascii="微软雅黑" w:hAnsi="微软雅黑" w:eastAsia="微软雅黑" w:cs="微软雅黑"/>
          <w:b/>
          <w:color w:val="auto"/>
          <w:szCs w:val="21"/>
          <w:highlight w:val="none"/>
        </w:rPr>
        <w:t>2.</w:t>
      </w:r>
      <w:bookmarkEnd w:id="1691"/>
      <w:bookmarkEnd w:id="1692"/>
      <w:bookmarkEnd w:id="1693"/>
      <w:bookmarkEnd w:id="1694"/>
      <w:bookmarkEnd w:id="1695"/>
      <w:bookmarkEnd w:id="1696"/>
      <w:bookmarkEnd w:id="1697"/>
      <w:bookmarkEnd w:id="1698"/>
      <w:r>
        <w:rPr>
          <w:rFonts w:hint="eastAsia" w:ascii="微软雅黑" w:hAnsi="微软雅黑" w:eastAsia="微软雅黑" w:cs="微软雅黑"/>
          <w:b/>
          <w:color w:val="auto"/>
          <w:szCs w:val="21"/>
          <w:highlight w:val="none"/>
        </w:rPr>
        <w:t>5 履约检查和问题反馈</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pPr>
        <w:shd w:val="clear"/>
        <w:spacing w:line="360" w:lineRule="exact"/>
        <w:ind w:firstLine="420" w:firstLineChars="200"/>
        <w:rPr>
          <w:rFonts w:hint="eastAsia" w:ascii="微软雅黑" w:hAnsi="微软雅黑" w:eastAsia="微软雅黑" w:cs="微软雅黑"/>
          <w:color w:val="auto"/>
          <w:szCs w:val="21"/>
          <w:highlight w:val="none"/>
        </w:rPr>
      </w:pPr>
      <w:bookmarkStart w:id="1731" w:name="_Ref467379657"/>
      <w:r>
        <w:rPr>
          <w:rFonts w:hint="eastAsia" w:ascii="微软雅黑" w:hAnsi="微软雅黑" w:eastAsia="微软雅黑" w:cs="微软雅黑"/>
          <w:color w:val="auto"/>
          <w:szCs w:val="21"/>
          <w:highlight w:val="none"/>
        </w:rPr>
        <w:t>2.5.1</w:t>
      </w:r>
      <w:bookmarkEnd w:id="1731"/>
      <w:bookmarkStart w:id="1732" w:name="_Toc186431854"/>
      <w:bookmarkStart w:id="1733" w:name="_Ref467379807"/>
      <w:bookmarkStart w:id="1734" w:name="_Toc259093676"/>
      <w:bookmarkStart w:id="1735" w:name="_Toc487900357"/>
      <w:bookmarkStart w:id="1736" w:name="_Toc279701247"/>
      <w:bookmarkStart w:id="1737" w:name="_Ref467379793"/>
      <w:r>
        <w:rPr>
          <w:rFonts w:hint="eastAsia" w:ascii="微软雅黑" w:hAnsi="微软雅黑" w:eastAsia="微软雅黑" w:cs="微软雅黑"/>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2.5.2 合同履行期间，甲方有权将履行过程中出现的问题反馈给乙方，双方当事人应以书面形式约定需要完善和改进的内容</w:t>
      </w:r>
      <w:bookmarkEnd w:id="1732"/>
      <w:bookmarkStart w:id="1738" w:name="_Toc186431855"/>
      <w:r>
        <w:rPr>
          <w:rFonts w:hint="eastAsia" w:ascii="微软雅黑" w:hAnsi="微软雅黑" w:eastAsia="微软雅黑" w:cs="微软雅黑"/>
          <w:color w:val="auto"/>
          <w:szCs w:val="21"/>
          <w:highlight w:val="none"/>
        </w:rPr>
        <w:t>。</w:t>
      </w:r>
    </w:p>
    <w:bookmarkEnd w:id="1738"/>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739" w:name="_Toc16706"/>
      <w:bookmarkStart w:id="1740" w:name="_Toc26298"/>
      <w:bookmarkStart w:id="1741" w:name="_Toc31014"/>
      <w:bookmarkStart w:id="1742" w:name="_Toc4239"/>
      <w:bookmarkStart w:id="1743" w:name="_Toc582"/>
      <w:bookmarkStart w:id="1744" w:name="_Toc567"/>
      <w:bookmarkStart w:id="1745" w:name="_Toc6964"/>
      <w:bookmarkStart w:id="1746" w:name="_Toc31002"/>
      <w:bookmarkStart w:id="1747" w:name="_Toc9092"/>
      <w:bookmarkStart w:id="1748" w:name="_Toc23553"/>
      <w:bookmarkStart w:id="1749" w:name="_Toc11270"/>
      <w:bookmarkStart w:id="1750" w:name="_Toc234"/>
      <w:bookmarkStart w:id="1751" w:name="_Toc25745"/>
      <w:bookmarkStart w:id="1752" w:name="_Toc2067"/>
      <w:bookmarkStart w:id="1753" w:name="_Toc11522"/>
      <w:bookmarkStart w:id="1754" w:name="_Toc7836"/>
      <w:bookmarkStart w:id="1755" w:name="_Toc31711"/>
      <w:bookmarkStart w:id="1756" w:name="_Toc19219"/>
      <w:bookmarkStart w:id="1757" w:name="_Toc17283"/>
      <w:bookmarkStart w:id="1758" w:name="_Toc23261"/>
      <w:bookmarkStart w:id="1759" w:name="_Toc26232"/>
      <w:bookmarkStart w:id="1760" w:name="_Toc10980"/>
      <w:bookmarkStart w:id="1761" w:name="_Toc32592"/>
      <w:bookmarkStart w:id="1762" w:name="_Toc5304"/>
      <w:bookmarkStart w:id="1763" w:name="_Toc25739"/>
      <w:bookmarkStart w:id="1764" w:name="_Toc31520"/>
      <w:bookmarkStart w:id="1765" w:name="_Toc23408"/>
      <w:bookmarkStart w:id="1766" w:name="_Toc12377"/>
      <w:bookmarkStart w:id="1767" w:name="_Toc6603"/>
      <w:bookmarkStart w:id="1768" w:name="_Toc12360"/>
      <w:bookmarkStart w:id="1769" w:name="_Toc8304"/>
      <w:r>
        <w:rPr>
          <w:rFonts w:hint="eastAsia" w:ascii="微软雅黑" w:hAnsi="微软雅黑" w:eastAsia="微软雅黑" w:cs="微软雅黑"/>
          <w:b/>
          <w:color w:val="auto"/>
          <w:szCs w:val="21"/>
          <w:highlight w:val="none"/>
        </w:rPr>
        <w:t>2.6 结算方式和付款条件</w:t>
      </w:r>
      <w:bookmarkEnd w:id="1733"/>
      <w:bookmarkEnd w:id="1734"/>
      <w:bookmarkEnd w:id="1735"/>
      <w:bookmarkEnd w:id="1736"/>
      <w:bookmarkEnd w:id="1737"/>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770" w:name="_Ref467379863"/>
      <w:bookmarkStart w:id="1771" w:name="_Toc279701248"/>
      <w:bookmarkStart w:id="1772" w:name="_Ref467379852"/>
      <w:bookmarkStart w:id="1773" w:name="_Toc259093677"/>
      <w:bookmarkStart w:id="1774" w:name="_Ref467379923"/>
      <w:bookmarkStart w:id="1775" w:name="_Toc487900358"/>
      <w:bookmarkStart w:id="1776" w:name="_Toc1200"/>
      <w:bookmarkStart w:id="1777" w:name="_Toc29030"/>
      <w:bookmarkStart w:id="1778" w:name="_Toc13023"/>
      <w:bookmarkStart w:id="1779" w:name="_Toc29616"/>
      <w:bookmarkStart w:id="1780" w:name="_Toc3225"/>
      <w:bookmarkStart w:id="1781" w:name="_Toc10114"/>
      <w:bookmarkStart w:id="1782" w:name="_Toc21848"/>
      <w:bookmarkStart w:id="1783" w:name="_Toc10475"/>
      <w:bookmarkStart w:id="1784" w:name="_Toc13711"/>
      <w:bookmarkStart w:id="1785" w:name="_Toc27454"/>
      <w:bookmarkStart w:id="1786" w:name="_Toc774"/>
      <w:bookmarkStart w:id="1787" w:name="_Toc31305"/>
      <w:bookmarkStart w:id="1788" w:name="_Toc22305"/>
      <w:bookmarkStart w:id="1789" w:name="_Toc14491"/>
      <w:bookmarkStart w:id="1790" w:name="_Toc1947"/>
      <w:bookmarkStart w:id="1791" w:name="_Toc11615"/>
      <w:bookmarkStart w:id="1792" w:name="_Toc21436"/>
      <w:bookmarkStart w:id="1793" w:name="_Toc31971"/>
      <w:bookmarkStart w:id="1794" w:name="_Toc17607"/>
      <w:bookmarkStart w:id="1795" w:name="_Toc16110"/>
      <w:bookmarkStart w:id="1796" w:name="_Toc17630"/>
      <w:bookmarkStart w:id="1797" w:name="_Toc17051"/>
      <w:bookmarkStart w:id="1798" w:name="_Toc29885"/>
      <w:bookmarkStart w:id="1799" w:name="_Toc10595"/>
      <w:bookmarkStart w:id="1800" w:name="_Toc11236"/>
      <w:bookmarkStart w:id="1801" w:name="_Toc28781"/>
      <w:bookmarkStart w:id="1802" w:name="_Toc30098"/>
      <w:bookmarkStart w:id="1803" w:name="_Toc8995"/>
      <w:bookmarkStart w:id="1804" w:name="_Toc17136"/>
      <w:bookmarkStart w:id="1805" w:name="_Toc5979"/>
      <w:bookmarkStart w:id="1806" w:name="_Toc12169"/>
      <w:bookmarkStart w:id="1807" w:name="_Toc26143"/>
      <w:bookmarkStart w:id="1808" w:name="_Toc9845"/>
      <w:r>
        <w:rPr>
          <w:rFonts w:hint="eastAsia" w:ascii="微软雅黑" w:hAnsi="微软雅黑" w:eastAsia="微软雅黑" w:cs="微软雅黑"/>
          <w:b/>
          <w:color w:val="auto"/>
          <w:szCs w:val="21"/>
          <w:highlight w:val="none"/>
        </w:rPr>
        <w:t>2.7 技术资料</w:t>
      </w:r>
      <w:bookmarkEnd w:id="1770"/>
      <w:bookmarkEnd w:id="1771"/>
      <w:bookmarkEnd w:id="1772"/>
      <w:bookmarkEnd w:id="1773"/>
      <w:bookmarkEnd w:id="1774"/>
      <w:bookmarkEnd w:id="1775"/>
      <w:r>
        <w:rPr>
          <w:rFonts w:hint="eastAsia" w:ascii="微软雅黑" w:hAnsi="微软雅黑" w:eastAsia="微软雅黑" w:cs="微软雅黑"/>
          <w:b/>
          <w:color w:val="auto"/>
          <w:szCs w:val="21"/>
          <w:highlight w:val="none"/>
        </w:rPr>
        <w:t>和保密义务</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2.7.1 乙方有权依据合同约定和项目需要，向甲方了解有关情况，调阅有关资料等，甲方应予积极配合；</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2.7.2 乙方有义务妥善保管和保护由甲方提供的前款信息和资料等；</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809" w:name="_Toc7328"/>
      <w:bookmarkStart w:id="1810" w:name="_Toc16190"/>
      <w:bookmarkStart w:id="1811" w:name="_Toc25567"/>
      <w:bookmarkStart w:id="1812" w:name="_Toc7860"/>
      <w:bookmarkStart w:id="1813" w:name="_Toc5321"/>
      <w:bookmarkStart w:id="1814" w:name="_Toc23081"/>
      <w:bookmarkStart w:id="1815" w:name="_Toc18551"/>
      <w:bookmarkStart w:id="1816" w:name="_Toc11328"/>
      <w:bookmarkStart w:id="1817" w:name="_Toc14935"/>
      <w:bookmarkStart w:id="1818" w:name="_Toc7374"/>
      <w:bookmarkStart w:id="1819" w:name="_Toc30503"/>
      <w:bookmarkStart w:id="1820" w:name="_Toc4587"/>
      <w:bookmarkStart w:id="1821" w:name="_Toc3156"/>
      <w:bookmarkStart w:id="1822" w:name="_Toc21267"/>
      <w:bookmarkStart w:id="1823" w:name="_Toc19122"/>
      <w:bookmarkStart w:id="1824" w:name="_Toc8288"/>
      <w:bookmarkStart w:id="1825" w:name="_Toc53"/>
      <w:bookmarkStart w:id="1826" w:name="_Toc11530"/>
      <w:bookmarkStart w:id="1827" w:name="_Toc18231"/>
      <w:bookmarkStart w:id="1828" w:name="_Toc27453"/>
      <w:bookmarkStart w:id="1829" w:name="_Toc10326"/>
      <w:bookmarkStart w:id="1830" w:name="_Toc26262"/>
      <w:bookmarkStart w:id="1831" w:name="_Toc4354"/>
      <w:bookmarkStart w:id="1832" w:name="_Toc30167"/>
      <w:bookmarkStart w:id="1833" w:name="_Toc24921"/>
      <w:bookmarkStart w:id="1834" w:name="_Toc30246"/>
      <w:bookmarkStart w:id="1835" w:name="_Toc28372"/>
      <w:bookmarkStart w:id="1836" w:name="_Toc27962"/>
      <w:bookmarkStart w:id="1837" w:name="_Toc5200"/>
      <w:bookmarkStart w:id="1838" w:name="_Toc30477"/>
      <w:r>
        <w:rPr>
          <w:rFonts w:hint="eastAsia" w:ascii="微软雅黑" w:hAnsi="微软雅黑" w:eastAsia="微软雅黑" w:cs="微软雅黑"/>
          <w:b/>
          <w:color w:val="auto"/>
          <w:szCs w:val="21"/>
          <w:highlight w:val="none"/>
        </w:rPr>
        <w:t>2.8 质量保证</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2.8.1 乙方应建立和完善履行合同的内部质量保证体系，并提供相关内部规章制度给甲方，以便甲方进行监督检查；</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2.8.2 乙方应保证履行合同的人员数量和素质、软件和硬件设备的配置、场地、环境和设施等满足全面履行合同的要求，并应接受甲方的监督检查。</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839" w:name="_Toc23172"/>
      <w:bookmarkStart w:id="1840" w:name="_Toc26555"/>
      <w:bookmarkStart w:id="1841" w:name="_Toc31920"/>
      <w:bookmarkStart w:id="1842" w:name="_Toc14596"/>
      <w:bookmarkStart w:id="1843" w:name="_Toc28497"/>
      <w:bookmarkStart w:id="1844" w:name="_Toc7046"/>
      <w:bookmarkStart w:id="1845" w:name="_Toc17244"/>
      <w:bookmarkStart w:id="1846" w:name="_Toc17030"/>
      <w:bookmarkStart w:id="1847" w:name="_Toc12010"/>
      <w:bookmarkStart w:id="1848" w:name="_Toc13812"/>
      <w:bookmarkStart w:id="1849" w:name="_Toc18817"/>
      <w:bookmarkStart w:id="1850" w:name="_Toc25549"/>
      <w:bookmarkStart w:id="1851" w:name="_Toc22016"/>
      <w:bookmarkStart w:id="1852" w:name="_Toc22330"/>
      <w:bookmarkStart w:id="1853" w:name="_Toc14663"/>
      <w:bookmarkStart w:id="1854" w:name="_Toc2473"/>
      <w:bookmarkStart w:id="1855" w:name="_Toc27238"/>
      <w:bookmarkStart w:id="1856" w:name="_Toc25529"/>
      <w:bookmarkStart w:id="1857" w:name="_Toc17497"/>
      <w:bookmarkStart w:id="1858" w:name="_Toc16901"/>
      <w:bookmarkStart w:id="1859" w:name="_Toc812"/>
      <w:bookmarkStart w:id="1860" w:name="_Toc27234"/>
      <w:bookmarkStart w:id="1861" w:name="_Toc30757"/>
      <w:bookmarkStart w:id="1862" w:name="_Toc21300"/>
      <w:bookmarkStart w:id="1863" w:name="_Toc22464"/>
      <w:bookmarkStart w:id="1864" w:name="_Toc23417"/>
      <w:bookmarkStart w:id="1865" w:name="_Toc7598"/>
      <w:bookmarkStart w:id="1866" w:name="_Toc12966"/>
      <w:bookmarkStart w:id="1867" w:name="_Toc17032"/>
      <w:bookmarkStart w:id="1868" w:name="_Toc19991"/>
      <w:bookmarkStart w:id="1869" w:name="_Toc487900362"/>
      <w:bookmarkStart w:id="1870" w:name="_Toc279701252"/>
      <w:bookmarkStart w:id="1871" w:name="_Toc259093681"/>
      <w:r>
        <w:rPr>
          <w:rFonts w:hint="eastAsia" w:ascii="微软雅黑" w:hAnsi="微软雅黑" w:eastAsia="微软雅黑" w:cs="微软雅黑"/>
          <w:b/>
          <w:color w:val="auto"/>
          <w:szCs w:val="21"/>
          <w:highlight w:val="none"/>
        </w:rPr>
        <w:t>2.9 货物的风险负担</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pPr>
        <w:shd w:val="clea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货物或者在途货物或者交付给第一承运人后的货物毁损、灭失的风险负担详见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lang w:eastAsia="zh-CN"/>
        </w:rPr>
      </w:pPr>
      <w:bookmarkStart w:id="1872" w:name="_Toc22377"/>
      <w:bookmarkStart w:id="1873" w:name="_Toc6602"/>
      <w:bookmarkStart w:id="1874" w:name="_Toc15972"/>
      <w:bookmarkStart w:id="1875" w:name="_Toc11963"/>
      <w:bookmarkStart w:id="1876" w:name="_Toc14055"/>
      <w:bookmarkStart w:id="1877" w:name="_Toc30533"/>
      <w:bookmarkStart w:id="1878" w:name="_Toc7986"/>
      <w:bookmarkStart w:id="1879" w:name="_Toc2791"/>
      <w:bookmarkStart w:id="1880" w:name="_Toc8328"/>
      <w:bookmarkStart w:id="1881" w:name="_Toc22674"/>
      <w:bookmarkStart w:id="1882" w:name="_Toc15465"/>
      <w:bookmarkStart w:id="1883" w:name="_Toc29192"/>
      <w:bookmarkStart w:id="1884" w:name="_Toc25663"/>
      <w:bookmarkStart w:id="1885" w:name="_Toc19684"/>
      <w:bookmarkStart w:id="1886" w:name="_Toc2"/>
      <w:bookmarkStart w:id="1887" w:name="_Toc9067"/>
      <w:bookmarkStart w:id="1888" w:name="_Toc26567"/>
      <w:bookmarkStart w:id="1889" w:name="_Toc5196"/>
      <w:bookmarkStart w:id="1890" w:name="_Toc14698"/>
      <w:bookmarkStart w:id="1891" w:name="_Toc29837"/>
      <w:bookmarkStart w:id="1892" w:name="_Toc10328"/>
      <w:bookmarkStart w:id="1893" w:name="_Toc6894"/>
      <w:bookmarkStart w:id="1894" w:name="_Toc31819"/>
      <w:bookmarkStart w:id="1895" w:name="_Toc552"/>
      <w:bookmarkStart w:id="1896" w:name="_Toc25703"/>
      <w:bookmarkStart w:id="1897" w:name="_Toc7128"/>
      <w:bookmarkStart w:id="1898" w:name="_Toc26181"/>
      <w:bookmarkStart w:id="1899" w:name="_Toc13867"/>
      <w:bookmarkStart w:id="1900" w:name="_Toc13218"/>
      <w:bookmarkStart w:id="1901" w:name="_Toc1742"/>
      <w:r>
        <w:rPr>
          <w:rFonts w:hint="eastAsia" w:ascii="微软雅黑" w:hAnsi="微软雅黑" w:eastAsia="微软雅黑" w:cs="微软雅黑"/>
          <w:b/>
          <w:color w:val="auto"/>
          <w:szCs w:val="21"/>
          <w:highlight w:val="none"/>
        </w:rPr>
        <w:t>2.10 延迟</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rPr>
          <w:rFonts w:hint="eastAsia" w:ascii="微软雅黑" w:hAnsi="微软雅黑" w:eastAsia="微软雅黑" w:cs="微软雅黑"/>
          <w:b/>
          <w:color w:val="auto"/>
          <w:szCs w:val="21"/>
          <w:highlight w:val="none"/>
          <w:lang w:eastAsia="zh-CN"/>
        </w:rPr>
        <w:t>供货</w:t>
      </w:r>
      <w:bookmarkEnd w:id="1892"/>
      <w:bookmarkEnd w:id="1893"/>
      <w:bookmarkEnd w:id="1894"/>
      <w:bookmarkEnd w:id="1895"/>
      <w:bookmarkEnd w:id="1896"/>
      <w:bookmarkEnd w:id="1897"/>
      <w:bookmarkEnd w:id="1898"/>
      <w:bookmarkEnd w:id="1899"/>
      <w:bookmarkEnd w:id="1900"/>
      <w:bookmarkEnd w:id="1901"/>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w:t>
      </w:r>
      <w:r>
        <w:rPr>
          <w:rFonts w:hint="eastAsia" w:ascii="微软雅黑" w:hAnsi="微软雅黑" w:eastAsia="微软雅黑" w:cs="微软雅黑"/>
          <w:color w:val="auto"/>
          <w:szCs w:val="21"/>
          <w:highlight w:val="none"/>
          <w:lang w:eastAsia="zh-CN"/>
        </w:rPr>
        <w:t>供货</w:t>
      </w:r>
      <w:r>
        <w:rPr>
          <w:rFonts w:hint="eastAsia" w:ascii="微软雅黑" w:hAnsi="微软雅黑" w:eastAsia="微软雅黑" w:cs="微软雅黑"/>
          <w:color w:val="auto"/>
          <w:szCs w:val="21"/>
          <w:highlight w:val="none"/>
        </w:rPr>
        <w:t>的具体时间。</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902" w:name="_Toc7502"/>
      <w:bookmarkStart w:id="1903" w:name="_Toc24836"/>
      <w:bookmarkStart w:id="1904" w:name="_Toc10956"/>
      <w:bookmarkStart w:id="1905" w:name="_Toc593"/>
      <w:bookmarkStart w:id="1906" w:name="_Toc6293"/>
      <w:bookmarkStart w:id="1907" w:name="_Toc8441"/>
      <w:bookmarkStart w:id="1908" w:name="_Toc27518"/>
      <w:bookmarkStart w:id="1909" w:name="_Toc25717"/>
      <w:bookmarkStart w:id="1910" w:name="_Toc1280"/>
      <w:bookmarkStart w:id="1911" w:name="_Toc31403"/>
      <w:bookmarkStart w:id="1912" w:name="_Toc4897"/>
      <w:bookmarkStart w:id="1913" w:name="_Toc2858"/>
      <w:bookmarkStart w:id="1914" w:name="_Toc14851"/>
      <w:bookmarkStart w:id="1915" w:name="_Toc20553"/>
      <w:bookmarkStart w:id="1916" w:name="_Toc15143"/>
      <w:bookmarkStart w:id="1917" w:name="_Toc15877"/>
      <w:bookmarkStart w:id="1918" w:name="_Toc18704"/>
      <w:bookmarkStart w:id="1919" w:name="_Toc17237"/>
      <w:bookmarkStart w:id="1920" w:name="_Toc4586"/>
      <w:bookmarkStart w:id="1921" w:name="_Toc15931"/>
      <w:bookmarkStart w:id="1922" w:name="_Toc10995"/>
      <w:bookmarkStart w:id="1923" w:name="_Toc7444"/>
      <w:bookmarkStart w:id="1924" w:name="_Toc1184"/>
      <w:bookmarkStart w:id="1925" w:name="_Toc507"/>
      <w:bookmarkStart w:id="1926" w:name="_Toc12175"/>
      <w:bookmarkStart w:id="1927" w:name="_Toc28031"/>
      <w:bookmarkStart w:id="1928" w:name="_Toc29608"/>
      <w:bookmarkStart w:id="1929" w:name="_Toc3064"/>
      <w:bookmarkStart w:id="1930" w:name="_Toc16528"/>
      <w:bookmarkStart w:id="1931" w:name="_Toc16810"/>
      <w:bookmarkStart w:id="1932" w:name="_Toc31857"/>
      <w:bookmarkStart w:id="1933" w:name="_Toc259093683"/>
      <w:bookmarkStart w:id="1934" w:name="_Ref467378121"/>
      <w:bookmarkStart w:id="1935" w:name="_Toc279701254"/>
      <w:bookmarkStart w:id="1936" w:name="_Toc487900364"/>
      <w:r>
        <w:rPr>
          <w:rFonts w:hint="eastAsia" w:ascii="微软雅黑" w:hAnsi="微软雅黑" w:eastAsia="微软雅黑" w:cs="微软雅黑"/>
          <w:b/>
          <w:color w:val="auto"/>
          <w:szCs w:val="21"/>
          <w:highlight w:val="none"/>
        </w:rPr>
        <w:t>2.11 合同变更</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937" w:name="_Toc259093688"/>
      <w:bookmarkStart w:id="1938" w:name="_Toc487900369"/>
      <w:bookmarkStart w:id="1939" w:name="_Toc279701259"/>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940" w:name="_Toc24511"/>
      <w:bookmarkStart w:id="1941" w:name="_Toc19380"/>
      <w:bookmarkStart w:id="1942" w:name="_Toc26864"/>
      <w:bookmarkStart w:id="1943" w:name="_Toc9984"/>
      <w:bookmarkStart w:id="1944" w:name="_Toc6988"/>
      <w:bookmarkStart w:id="1945" w:name="_Toc21617"/>
      <w:bookmarkStart w:id="1946" w:name="_Toc8431"/>
      <w:bookmarkStart w:id="1947" w:name="_Toc19406"/>
      <w:bookmarkStart w:id="1948" w:name="_Toc22955"/>
      <w:bookmarkStart w:id="1949" w:name="_Toc13446"/>
      <w:bookmarkStart w:id="1950" w:name="_Toc29703"/>
      <w:bookmarkStart w:id="1951" w:name="_Toc3825"/>
      <w:bookmarkStart w:id="1952" w:name="_Toc31619"/>
      <w:bookmarkStart w:id="1953" w:name="_Toc15237"/>
      <w:bookmarkStart w:id="1954" w:name="_Toc14895"/>
      <w:bookmarkStart w:id="1955" w:name="_Toc9031"/>
      <w:bookmarkStart w:id="1956" w:name="_Toc21146"/>
      <w:bookmarkStart w:id="1957" w:name="_Toc26224"/>
      <w:bookmarkStart w:id="1958" w:name="_Toc14172"/>
      <w:bookmarkStart w:id="1959" w:name="_Toc3931"/>
      <w:bookmarkStart w:id="1960" w:name="_Toc11626"/>
      <w:bookmarkStart w:id="1961" w:name="_Toc11573"/>
      <w:bookmarkStart w:id="1962" w:name="_Toc21525"/>
      <w:bookmarkStart w:id="1963" w:name="_Toc10537"/>
      <w:bookmarkStart w:id="1964" w:name="_Toc10366"/>
      <w:bookmarkStart w:id="1965" w:name="_Toc2157"/>
      <w:bookmarkStart w:id="1966" w:name="_Toc29865"/>
      <w:bookmarkStart w:id="1967" w:name="_Toc23079"/>
      <w:bookmarkStart w:id="1968" w:name="_Toc4389"/>
      <w:bookmarkStart w:id="1969" w:name="_Toc3928"/>
      <w:r>
        <w:rPr>
          <w:rFonts w:hint="eastAsia" w:ascii="微软雅黑" w:hAnsi="微软雅黑" w:eastAsia="微软雅黑" w:cs="微软雅黑"/>
          <w:b/>
          <w:color w:val="auto"/>
          <w:szCs w:val="21"/>
          <w:highlight w:val="none"/>
        </w:rPr>
        <w:t>2.12 合同转让</w:t>
      </w:r>
      <w:bookmarkEnd w:id="1937"/>
      <w:bookmarkEnd w:id="1938"/>
      <w:bookmarkEnd w:id="1939"/>
      <w:r>
        <w:rPr>
          <w:rFonts w:hint="eastAsia" w:ascii="微软雅黑" w:hAnsi="微软雅黑" w:eastAsia="微软雅黑" w:cs="微软雅黑"/>
          <w:b/>
          <w:color w:val="auto"/>
          <w:szCs w:val="21"/>
          <w:highlight w:val="none"/>
        </w:rPr>
        <w:t>和分包</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970" w:name="_Toc14066"/>
      <w:bookmarkStart w:id="1971" w:name="_Toc24741"/>
      <w:bookmarkStart w:id="1972" w:name="_Toc31101"/>
      <w:bookmarkStart w:id="1973" w:name="_Toc6918"/>
      <w:bookmarkStart w:id="1974" w:name="_Toc15441"/>
      <w:bookmarkStart w:id="1975" w:name="_Toc11767"/>
      <w:bookmarkStart w:id="1976" w:name="_Toc3533"/>
      <w:bookmarkStart w:id="1977" w:name="_Toc16893"/>
      <w:bookmarkStart w:id="1978" w:name="_Toc5484"/>
      <w:bookmarkStart w:id="1979" w:name="_Toc11104"/>
      <w:bookmarkStart w:id="1980" w:name="_Toc2586"/>
      <w:bookmarkStart w:id="1981" w:name="_Toc13570"/>
      <w:bookmarkStart w:id="1982" w:name="_Toc32109"/>
      <w:bookmarkStart w:id="1983" w:name="_Toc17498"/>
      <w:bookmarkStart w:id="1984" w:name="_Toc32515"/>
      <w:bookmarkStart w:id="1985" w:name="_Toc27813"/>
      <w:bookmarkStart w:id="1986" w:name="_Toc15741"/>
      <w:bookmarkStart w:id="1987" w:name="_Toc584"/>
      <w:bookmarkStart w:id="1988" w:name="_Toc8114"/>
      <w:bookmarkStart w:id="1989" w:name="_Toc14752"/>
      <w:bookmarkStart w:id="1990" w:name="_Toc4540"/>
      <w:bookmarkStart w:id="1991" w:name="_Toc16508"/>
      <w:bookmarkStart w:id="1992" w:name="_Toc13557"/>
      <w:bookmarkStart w:id="1993" w:name="_Toc18376"/>
      <w:bookmarkStart w:id="1994" w:name="_Toc17819"/>
      <w:bookmarkStart w:id="1995" w:name="_Toc12809"/>
      <w:bookmarkStart w:id="1996" w:name="_Toc28490"/>
      <w:bookmarkStart w:id="1997" w:name="_Toc19610"/>
      <w:bookmarkStart w:id="1998" w:name="_Toc8480"/>
      <w:bookmarkStart w:id="1999" w:name="_Toc2908"/>
      <w:bookmarkStart w:id="2000" w:name="_Toc2540"/>
      <w:r>
        <w:rPr>
          <w:rFonts w:hint="eastAsia" w:ascii="微软雅黑" w:hAnsi="微软雅黑" w:eastAsia="微软雅黑" w:cs="微软雅黑"/>
          <w:b/>
          <w:color w:val="auto"/>
          <w:szCs w:val="21"/>
          <w:highlight w:val="none"/>
        </w:rPr>
        <w:t>2.13 不可抗力</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2.13.1如果任何一方遭遇法律规定的不可抗力，致使合同履行受阻时，履行合同的期限应予延长，延长的期限应相当于不可抗力所影响的时间；</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2.13.2 因不可抗力致使不能实现合同目的的，当事人可以解除合同；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2.13.3 因不可抗力致使合同有变更必要的，双方当事人应在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约定时间内以书面形式变更合同；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2.13.4受不可抗力影响的一方在不可抗力发生后，应在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约定时间内以书面形式通知对方当事人，并在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约定时间内，将有关部门出具的证明文件送达对方当事人。</w:t>
      </w:r>
    </w:p>
    <w:p>
      <w:pPr>
        <w:pStyle w:val="4"/>
        <w:shd w:val="clea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2.13.5如遇到像新冠疫情等情势变更的情形，请参照2.13</w:t>
      </w:r>
      <w:r>
        <w:rPr>
          <w:rFonts w:hint="eastAsia" w:ascii="微软雅黑" w:hAnsi="微软雅黑" w:eastAsia="微软雅黑" w:cs="微软雅黑"/>
          <w:b/>
          <w:color w:val="auto"/>
          <w:sz w:val="21"/>
          <w:szCs w:val="21"/>
          <w:highlight w:val="none"/>
        </w:rPr>
        <w:t>不可抗力的条款。</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001" w:name="_Toc279701255"/>
      <w:bookmarkStart w:id="2002" w:name="_Toc11423"/>
      <w:bookmarkStart w:id="2003" w:name="_Toc17152"/>
      <w:bookmarkStart w:id="2004" w:name="_Toc19306"/>
      <w:bookmarkStart w:id="2005" w:name="_Toc11876"/>
      <w:bookmarkStart w:id="2006" w:name="_Toc10324"/>
      <w:bookmarkStart w:id="2007" w:name="_Toc6969"/>
      <w:bookmarkStart w:id="2008" w:name="_Toc5380"/>
      <w:bookmarkStart w:id="2009" w:name="_Toc31597"/>
      <w:bookmarkStart w:id="2010" w:name="_Toc6047"/>
      <w:bookmarkStart w:id="2011" w:name="_Toc1584"/>
      <w:bookmarkStart w:id="2012" w:name="_Toc6224"/>
      <w:bookmarkStart w:id="2013" w:name="_Toc4006"/>
      <w:bookmarkStart w:id="2014" w:name="_Toc10528"/>
      <w:bookmarkStart w:id="2015" w:name="_Toc689"/>
      <w:bookmarkStart w:id="2016" w:name="_Toc259093684"/>
      <w:bookmarkStart w:id="2017" w:name="_Toc30676"/>
      <w:bookmarkStart w:id="2018" w:name="_Toc6141"/>
      <w:bookmarkStart w:id="2019" w:name="_Toc28117"/>
      <w:bookmarkStart w:id="2020" w:name="_Toc6243"/>
      <w:bookmarkStart w:id="2021" w:name="_Toc13910"/>
      <w:bookmarkStart w:id="2022" w:name="_Toc7145"/>
      <w:bookmarkStart w:id="2023" w:name="_Toc14974"/>
      <w:bookmarkStart w:id="2024" w:name="_Toc22930"/>
      <w:bookmarkStart w:id="2025" w:name="_Toc19677"/>
      <w:bookmarkStart w:id="2026" w:name="_Toc11263"/>
      <w:bookmarkStart w:id="2027" w:name="_Toc16229"/>
      <w:bookmarkStart w:id="2028" w:name="_Toc10899"/>
      <w:bookmarkStart w:id="2029" w:name="_Toc26981"/>
      <w:bookmarkStart w:id="2030" w:name="_Toc15258"/>
      <w:bookmarkStart w:id="2031" w:name="_Toc6288"/>
      <w:bookmarkStart w:id="2032" w:name="_Toc6676"/>
      <w:bookmarkStart w:id="2033" w:name="_Toc4510"/>
      <w:bookmarkStart w:id="2034" w:name="_Toc487900365"/>
      <w:bookmarkStart w:id="2035" w:name="_Toc26085"/>
      <w:bookmarkStart w:id="2036" w:name="_Toc23578"/>
      <w:r>
        <w:rPr>
          <w:rFonts w:hint="eastAsia" w:ascii="微软雅黑" w:hAnsi="微软雅黑" w:eastAsia="微软雅黑" w:cs="微软雅黑"/>
          <w:b/>
          <w:color w:val="auto"/>
          <w:szCs w:val="21"/>
          <w:highlight w:val="none"/>
        </w:rPr>
        <w:t>2.14 税费</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与合同有关的一切税费，均按照中华人民共和国法律的相关规定。</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037" w:name="_Toc13626"/>
      <w:bookmarkStart w:id="2038" w:name="_Toc16940"/>
      <w:bookmarkStart w:id="2039" w:name="_Toc22239"/>
      <w:bookmarkStart w:id="2040" w:name="_Toc4812"/>
      <w:bookmarkStart w:id="2041" w:name="_Toc487900368"/>
      <w:bookmarkStart w:id="2042" w:name="_Toc4260"/>
      <w:bookmarkStart w:id="2043" w:name="_Toc9300"/>
      <w:bookmarkStart w:id="2044" w:name="_Toc259093687"/>
      <w:bookmarkStart w:id="2045" w:name="_Toc12594"/>
      <w:bookmarkStart w:id="2046" w:name="_Toc21290"/>
      <w:bookmarkStart w:id="2047" w:name="_Toc6688"/>
      <w:bookmarkStart w:id="2048" w:name="_Toc7102"/>
      <w:bookmarkStart w:id="2049" w:name="_Toc29869"/>
      <w:bookmarkStart w:id="2050" w:name="_Toc32686"/>
      <w:bookmarkStart w:id="2051" w:name="_Toc8298"/>
      <w:bookmarkStart w:id="2052" w:name="_Toc13012"/>
      <w:bookmarkStart w:id="2053" w:name="_Toc4792"/>
      <w:bookmarkStart w:id="2054" w:name="_Toc12141"/>
      <w:bookmarkStart w:id="2055" w:name="_Toc16959"/>
      <w:bookmarkStart w:id="2056" w:name="_Toc7117"/>
      <w:bookmarkStart w:id="2057" w:name="_Toc20594"/>
      <w:bookmarkStart w:id="2058" w:name="_Toc515"/>
      <w:bookmarkStart w:id="2059" w:name="_Toc28905"/>
      <w:bookmarkStart w:id="2060" w:name="_Toc6037"/>
      <w:bookmarkStart w:id="2061" w:name="_Toc14348"/>
      <w:bookmarkStart w:id="2062" w:name="_Toc25260"/>
      <w:bookmarkStart w:id="2063" w:name="_Toc23266"/>
      <w:bookmarkStart w:id="2064" w:name="_Toc30768"/>
      <w:bookmarkStart w:id="2065" w:name="_Toc14403"/>
      <w:bookmarkStart w:id="2066" w:name="_Toc279701258"/>
      <w:bookmarkStart w:id="2067" w:name="_Toc11308"/>
      <w:bookmarkStart w:id="2068" w:name="_Toc8934"/>
      <w:bookmarkStart w:id="2069" w:name="_Toc15722"/>
      <w:bookmarkStart w:id="2070" w:name="_Toc17219"/>
      <w:bookmarkStart w:id="2071" w:name="_Toc29993"/>
      <w:bookmarkStart w:id="2072" w:name="_Toc17217"/>
      <w:r>
        <w:rPr>
          <w:rFonts w:hint="eastAsia" w:ascii="微软雅黑" w:hAnsi="微软雅黑" w:eastAsia="微软雅黑" w:cs="微软雅黑"/>
          <w:b/>
          <w:color w:val="auto"/>
          <w:szCs w:val="21"/>
          <w:highlight w:val="none"/>
        </w:rPr>
        <w:t>2.15 乙方破产</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073" w:name="_Toc24976"/>
      <w:bookmarkStart w:id="2074" w:name="_Toc1303"/>
      <w:bookmarkStart w:id="2075" w:name="_Toc2211"/>
      <w:bookmarkStart w:id="2076" w:name="_Toc6641"/>
      <w:bookmarkStart w:id="2077" w:name="_Toc15445"/>
      <w:bookmarkStart w:id="2078" w:name="_Toc15605"/>
      <w:bookmarkStart w:id="2079" w:name="_Toc27106"/>
      <w:bookmarkStart w:id="2080" w:name="_Toc5182"/>
      <w:bookmarkStart w:id="2081" w:name="_Toc14797"/>
      <w:bookmarkStart w:id="2082" w:name="_Toc20974"/>
      <w:bookmarkStart w:id="2083" w:name="_Toc24066"/>
      <w:bookmarkStart w:id="2084" w:name="_Toc6150"/>
      <w:bookmarkStart w:id="2085" w:name="_Toc4227"/>
      <w:bookmarkStart w:id="2086" w:name="_Toc8188"/>
      <w:bookmarkStart w:id="2087" w:name="_Toc31639"/>
      <w:bookmarkStart w:id="2088" w:name="_Toc6134"/>
      <w:bookmarkStart w:id="2089" w:name="_Toc32526"/>
      <w:bookmarkStart w:id="2090" w:name="_Toc12868"/>
      <w:bookmarkStart w:id="2091" w:name="_Toc9318"/>
      <w:bookmarkStart w:id="2092" w:name="_Toc2374"/>
      <w:bookmarkStart w:id="2093" w:name="_Toc15387"/>
      <w:bookmarkStart w:id="2094" w:name="_Toc24867"/>
      <w:bookmarkStart w:id="2095" w:name="_Toc26255"/>
      <w:bookmarkStart w:id="2096" w:name="_Toc9957"/>
      <w:bookmarkStart w:id="2097" w:name="_Toc818"/>
      <w:bookmarkStart w:id="2098" w:name="_Toc12606"/>
      <w:bookmarkStart w:id="2099" w:name="_Toc2967"/>
      <w:bookmarkStart w:id="2100" w:name="_Toc7369"/>
      <w:bookmarkStart w:id="2101" w:name="_Toc29764"/>
      <w:bookmarkStart w:id="2102" w:name="_Toc1542"/>
      <w:bookmarkStart w:id="2103" w:name="_Toc32508"/>
      <w:bookmarkStart w:id="2104" w:name="_Toc29333"/>
      <w:r>
        <w:rPr>
          <w:rFonts w:hint="eastAsia" w:ascii="微软雅黑" w:hAnsi="微软雅黑" w:eastAsia="微软雅黑" w:cs="微软雅黑"/>
          <w:b/>
          <w:color w:val="auto"/>
          <w:szCs w:val="21"/>
          <w:highlight w:val="none"/>
        </w:rPr>
        <w:t>2.16 合同中止、终止</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2.16.1 双方当事人不得擅自中止或者终止合同；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105" w:name="_Toc14890"/>
      <w:bookmarkStart w:id="2106" w:name="_Toc11060"/>
      <w:bookmarkStart w:id="2107" w:name="_Toc207"/>
      <w:bookmarkStart w:id="2108" w:name="_Toc4111"/>
      <w:bookmarkStart w:id="2109" w:name="_Toc22561"/>
      <w:bookmarkStart w:id="2110" w:name="_Toc6596"/>
      <w:bookmarkStart w:id="2111" w:name="_Toc11658"/>
      <w:bookmarkStart w:id="2112" w:name="_Toc14563"/>
      <w:bookmarkStart w:id="2113" w:name="_Toc27954"/>
      <w:bookmarkStart w:id="2114" w:name="_Toc24650"/>
      <w:bookmarkStart w:id="2115" w:name="_Toc24731"/>
      <w:bookmarkStart w:id="2116" w:name="_Toc30133"/>
      <w:bookmarkStart w:id="2117" w:name="_Toc25358"/>
      <w:bookmarkStart w:id="2118" w:name="_Toc19324"/>
      <w:bookmarkStart w:id="2119" w:name="_Toc7005"/>
      <w:bookmarkStart w:id="2120" w:name="_Toc16623"/>
      <w:bookmarkStart w:id="2121" w:name="_Toc19328"/>
      <w:bookmarkStart w:id="2122" w:name="_Toc25710"/>
      <w:bookmarkStart w:id="2123" w:name="_Toc20145"/>
      <w:bookmarkStart w:id="2124" w:name="_Toc1125"/>
      <w:bookmarkStart w:id="2125" w:name="_Toc18411"/>
      <w:bookmarkStart w:id="2126" w:name="_Toc5614"/>
      <w:bookmarkStart w:id="2127" w:name="_Toc21636"/>
      <w:bookmarkStart w:id="2128" w:name="_Toc29829"/>
      <w:bookmarkStart w:id="2129" w:name="_Toc30476"/>
      <w:bookmarkStart w:id="2130" w:name="_Toc27227"/>
      <w:bookmarkStart w:id="2131" w:name="_Toc30958"/>
      <w:bookmarkStart w:id="2132" w:name="_Toc28047"/>
      <w:bookmarkStart w:id="2133" w:name="_Toc22451"/>
      <w:bookmarkStart w:id="2134" w:name="_Toc19755"/>
      <w:bookmarkStart w:id="2135" w:name="_Toc13150"/>
      <w:bookmarkStart w:id="2136" w:name="_Toc22455"/>
      <w:r>
        <w:rPr>
          <w:rFonts w:hint="eastAsia" w:ascii="微软雅黑" w:hAnsi="微软雅黑" w:eastAsia="微软雅黑" w:cs="微软雅黑"/>
          <w:b/>
          <w:color w:val="auto"/>
          <w:szCs w:val="21"/>
          <w:highlight w:val="none"/>
        </w:rPr>
        <w:t>2.17 检验和验收</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p>
    <w:p>
      <w:pPr>
        <w:shd w:val="clea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约定时间内组织验收，并可依法邀请相关方参加，验收应出具验收书。</w:t>
      </w:r>
    </w:p>
    <w:p>
      <w:pPr>
        <w:shd w:val="clea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2.17.3 检验和验收标准、程序等具体内容以及前述验收书的效力详见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i/>
          <w:color w:val="auto"/>
          <w:szCs w:val="21"/>
          <w:highlight w:val="none"/>
        </w:rPr>
        <w:t>。</w:t>
      </w:r>
    </w:p>
    <w:bookmarkEnd w:id="1933"/>
    <w:bookmarkEnd w:id="1934"/>
    <w:bookmarkEnd w:id="1935"/>
    <w:bookmarkEnd w:id="1936"/>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137" w:name="_Toc259093690"/>
      <w:bookmarkStart w:id="2138" w:name="_Toc487900371"/>
      <w:bookmarkStart w:id="2139" w:name="_Toc279701261"/>
      <w:bookmarkStart w:id="2140" w:name="_Toc2040"/>
      <w:bookmarkStart w:id="2141" w:name="_Toc382"/>
      <w:bookmarkStart w:id="2142" w:name="_Toc8096"/>
      <w:bookmarkStart w:id="2143" w:name="_Toc26892"/>
      <w:bookmarkStart w:id="2144" w:name="_Toc26823"/>
      <w:bookmarkStart w:id="2145" w:name="_Toc29229"/>
      <w:bookmarkStart w:id="2146" w:name="_Toc13220"/>
      <w:bookmarkStart w:id="2147" w:name="_Toc27621"/>
      <w:bookmarkStart w:id="2148" w:name="_Toc29075"/>
      <w:bookmarkStart w:id="2149" w:name="_Toc19604"/>
      <w:bookmarkStart w:id="2150" w:name="_Toc17313"/>
      <w:bookmarkStart w:id="2151" w:name="_Toc12493"/>
      <w:bookmarkStart w:id="2152" w:name="_Toc14242"/>
      <w:bookmarkStart w:id="2153" w:name="_Toc17705"/>
      <w:bookmarkStart w:id="2154" w:name="_Toc15037"/>
      <w:bookmarkStart w:id="2155" w:name="_Toc9266"/>
      <w:bookmarkStart w:id="2156" w:name="_Toc25182"/>
      <w:bookmarkStart w:id="2157" w:name="_Toc17270"/>
      <w:bookmarkStart w:id="2158" w:name="_Toc21849"/>
      <w:bookmarkStart w:id="2159" w:name="_Toc25315"/>
      <w:bookmarkStart w:id="2160" w:name="_Toc725"/>
      <w:bookmarkStart w:id="2161" w:name="_Toc19636"/>
      <w:bookmarkStart w:id="2162" w:name="_Toc19091"/>
      <w:bookmarkStart w:id="2163" w:name="_Toc10130"/>
      <w:bookmarkStart w:id="2164" w:name="_Toc8941"/>
      <w:bookmarkStart w:id="2165" w:name="_Toc11284"/>
      <w:bookmarkStart w:id="2166" w:name="_Toc4983"/>
      <w:bookmarkStart w:id="2167" w:name="_Toc29995"/>
      <w:bookmarkStart w:id="2168" w:name="_Toc15285"/>
      <w:bookmarkStart w:id="2169" w:name="_Toc11065"/>
      <w:r>
        <w:rPr>
          <w:rFonts w:hint="eastAsia" w:ascii="微软雅黑" w:hAnsi="微软雅黑" w:eastAsia="微软雅黑" w:cs="微软雅黑"/>
          <w:b/>
          <w:color w:val="auto"/>
          <w:szCs w:val="21"/>
          <w:highlight w:val="none"/>
        </w:rPr>
        <w:t>2.18 通知</w:t>
      </w:r>
      <w:bookmarkEnd w:id="2137"/>
      <w:bookmarkEnd w:id="2138"/>
      <w:bookmarkEnd w:id="2139"/>
      <w:r>
        <w:rPr>
          <w:rFonts w:hint="eastAsia" w:ascii="微软雅黑" w:hAnsi="微软雅黑" w:eastAsia="微软雅黑" w:cs="微软雅黑"/>
          <w:b/>
          <w:color w:val="auto"/>
          <w:szCs w:val="21"/>
          <w:highlight w:val="none"/>
        </w:rPr>
        <w:t>和送达</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pPr>
        <w:shd w:val="clear"/>
        <w:spacing w:line="360" w:lineRule="exact"/>
        <w:ind w:firstLine="420" w:firstLineChars="200"/>
        <w:rPr>
          <w:rFonts w:hint="eastAsia" w:ascii="微软雅黑" w:hAnsi="微软雅黑" w:eastAsia="微软雅黑" w:cs="微软雅黑"/>
          <w:color w:val="auto"/>
          <w:szCs w:val="21"/>
          <w:highlight w:val="none"/>
        </w:rPr>
      </w:pPr>
      <w:bookmarkStart w:id="2170" w:name="_Toc3135"/>
      <w:bookmarkStart w:id="2171" w:name="_Toc6698"/>
      <w:bookmarkStart w:id="2172" w:name="_Toc259093691"/>
      <w:bookmarkStart w:id="2173" w:name="_Toc279701262"/>
      <w:bookmarkStart w:id="2174" w:name="_Toc487900372"/>
      <w:r>
        <w:rPr>
          <w:rFonts w:hint="eastAsia" w:ascii="微软雅黑" w:hAnsi="微软雅黑" w:eastAsia="微软雅黑" w:cs="微软雅黑"/>
          <w:color w:val="auto"/>
          <w:szCs w:val="21"/>
          <w:highlight w:val="none"/>
        </w:rPr>
        <w:t>2.18.1 任何一方因履行合同而以合同第一部分尾部所列明的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个工作日内书面通知对方当事人，在对方当事人收到有关变更通知之前，变更前的约定送达方式或者地址仍视为有效。</w:t>
      </w:r>
      <w:bookmarkEnd w:id="2170"/>
      <w:bookmarkEnd w:id="2171"/>
    </w:p>
    <w:p>
      <w:pPr>
        <w:shd w:val="clear"/>
        <w:spacing w:line="360" w:lineRule="exact"/>
        <w:ind w:firstLine="420" w:firstLineChars="200"/>
        <w:rPr>
          <w:rFonts w:hint="eastAsia" w:ascii="微软雅黑" w:hAnsi="微软雅黑" w:eastAsia="微软雅黑" w:cs="微软雅黑"/>
          <w:color w:val="auto"/>
          <w:szCs w:val="21"/>
          <w:highlight w:val="none"/>
        </w:rPr>
      </w:pPr>
      <w:bookmarkStart w:id="2175" w:name="_Toc23128"/>
      <w:bookmarkStart w:id="2176" w:name="_Toc23294"/>
      <w:r>
        <w:rPr>
          <w:rFonts w:hint="eastAsia" w:ascii="微软雅黑" w:hAnsi="微软雅黑" w:eastAsia="微软雅黑" w:cs="微软雅黑"/>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75"/>
      <w:bookmarkEnd w:id="2176"/>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177" w:name="_Toc9371"/>
      <w:bookmarkStart w:id="2178" w:name="_Toc19314"/>
      <w:bookmarkStart w:id="2179" w:name="_Toc20309"/>
      <w:bookmarkStart w:id="2180" w:name="_Toc1444"/>
      <w:bookmarkStart w:id="2181" w:name="_Toc27038"/>
      <w:bookmarkStart w:id="2182" w:name="_Toc4355"/>
      <w:bookmarkStart w:id="2183" w:name="_Toc30497"/>
      <w:bookmarkStart w:id="2184" w:name="_Toc10932"/>
      <w:bookmarkStart w:id="2185" w:name="_Toc29312"/>
      <w:bookmarkStart w:id="2186" w:name="_Toc20914"/>
      <w:bookmarkStart w:id="2187" w:name="_Toc31"/>
      <w:bookmarkStart w:id="2188" w:name="_Toc30599"/>
      <w:bookmarkStart w:id="2189" w:name="_Toc14430"/>
      <w:bookmarkStart w:id="2190" w:name="_Toc12721"/>
      <w:bookmarkStart w:id="2191" w:name="_Toc21923"/>
      <w:bookmarkStart w:id="2192" w:name="_Toc2623"/>
      <w:bookmarkStart w:id="2193" w:name="_Toc21245"/>
      <w:bookmarkStart w:id="2194" w:name="_Toc4241"/>
      <w:bookmarkStart w:id="2195" w:name="_Toc19958"/>
      <w:bookmarkStart w:id="2196" w:name="_Toc9456"/>
      <w:bookmarkStart w:id="2197" w:name="_Toc11585"/>
      <w:bookmarkStart w:id="2198" w:name="_Toc18540"/>
      <w:bookmarkStart w:id="2199" w:name="_Toc14810"/>
      <w:bookmarkStart w:id="2200" w:name="_Toc16010"/>
      <w:bookmarkStart w:id="2201" w:name="_Toc1121"/>
      <w:bookmarkStart w:id="2202" w:name="_Toc27011"/>
      <w:bookmarkStart w:id="2203" w:name="_Toc4747"/>
      <w:bookmarkStart w:id="2204" w:name="_Toc31861"/>
      <w:bookmarkStart w:id="2205" w:name="_Toc22532"/>
      <w:bookmarkStart w:id="2206" w:name="_Toc11892"/>
      <w:bookmarkStart w:id="2207" w:name="_Toc20989"/>
      <w:bookmarkStart w:id="2208" w:name="_Toc5312"/>
      <w:bookmarkStart w:id="2209" w:name="_Toc22798"/>
      <w:r>
        <w:rPr>
          <w:rFonts w:hint="eastAsia" w:ascii="微软雅黑" w:hAnsi="微软雅黑" w:eastAsia="微软雅黑" w:cs="微软雅黑"/>
          <w:b/>
          <w:color w:val="auto"/>
          <w:szCs w:val="21"/>
          <w:highlight w:val="none"/>
        </w:rPr>
        <w:t>2.19 计量单位</w:t>
      </w:r>
      <w:bookmarkEnd w:id="2172"/>
      <w:bookmarkEnd w:id="2173"/>
      <w:bookmarkEnd w:id="2174"/>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除技术规范中另有规定外,合同的计量单位均使用国家法定计量单位。</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210" w:name="_Toc2161"/>
      <w:bookmarkStart w:id="2211" w:name="_Toc11130"/>
      <w:bookmarkStart w:id="2212" w:name="_Toc10830"/>
      <w:bookmarkStart w:id="2213" w:name="_Toc10330"/>
      <w:bookmarkStart w:id="2214" w:name="_Toc15428"/>
      <w:bookmarkStart w:id="2215" w:name="_Toc12773"/>
      <w:bookmarkStart w:id="2216" w:name="_Toc5796"/>
      <w:bookmarkStart w:id="2217" w:name="_Toc18567"/>
      <w:bookmarkStart w:id="2218" w:name="_Toc15271"/>
      <w:bookmarkStart w:id="2219" w:name="_Toc28784"/>
      <w:bookmarkStart w:id="2220" w:name="_Toc13131"/>
      <w:bookmarkStart w:id="2221" w:name="_Toc11453"/>
      <w:bookmarkStart w:id="2222" w:name="_Toc23641"/>
      <w:bookmarkStart w:id="2223" w:name="_Toc18716"/>
      <w:bookmarkStart w:id="2224" w:name="_Toc487900373"/>
      <w:bookmarkStart w:id="2225" w:name="_Toc16880"/>
      <w:bookmarkStart w:id="2226" w:name="_Toc18634"/>
      <w:bookmarkStart w:id="2227" w:name="_Toc7567"/>
      <w:bookmarkStart w:id="2228" w:name="_Toc4232"/>
      <w:bookmarkStart w:id="2229" w:name="_Toc12547"/>
      <w:bookmarkStart w:id="2230" w:name="_Toc26340"/>
      <w:bookmarkStart w:id="2231" w:name="_Toc32583"/>
      <w:bookmarkStart w:id="2232" w:name="_Toc279701263"/>
      <w:bookmarkStart w:id="2233" w:name="_Toc6343"/>
      <w:bookmarkStart w:id="2234" w:name="_Toc17517"/>
      <w:bookmarkStart w:id="2235" w:name="_Toc19154"/>
      <w:bookmarkStart w:id="2236" w:name="_Toc7172"/>
      <w:bookmarkStart w:id="2237" w:name="_Toc259093692"/>
      <w:bookmarkStart w:id="2238" w:name="_Toc27589"/>
      <w:bookmarkStart w:id="2239" w:name="_Toc1736"/>
      <w:bookmarkStart w:id="2240" w:name="_Toc15868"/>
      <w:bookmarkStart w:id="2241" w:name="_Toc20624"/>
      <w:bookmarkStart w:id="2242" w:name="_Toc24231"/>
      <w:r>
        <w:rPr>
          <w:rFonts w:hint="eastAsia" w:ascii="微软雅黑" w:hAnsi="微软雅黑" w:eastAsia="微软雅黑" w:cs="微软雅黑"/>
          <w:b/>
          <w:color w:val="auto"/>
          <w:szCs w:val="21"/>
          <w:highlight w:val="none"/>
        </w:rPr>
        <w:t>2.20 合同使用的文字和适用的法律</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2.20.1 合同使用汉语书就、变更和解释；</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2.20.2 合同适用中华人民共和国法律。</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243" w:name="_Toc12004"/>
      <w:bookmarkStart w:id="2244" w:name="_Toc10262"/>
      <w:bookmarkStart w:id="2245" w:name="_Toc17743"/>
      <w:bookmarkStart w:id="2246" w:name="_Toc3148"/>
      <w:bookmarkStart w:id="2247" w:name="_Toc17759"/>
      <w:bookmarkStart w:id="2248" w:name="_Toc8602"/>
      <w:bookmarkStart w:id="2249" w:name="_Toc18838"/>
      <w:bookmarkStart w:id="2250" w:name="_Toc11628"/>
      <w:bookmarkStart w:id="2251" w:name="_Toc26372"/>
      <w:bookmarkStart w:id="2252" w:name="_Toc279701264"/>
      <w:bookmarkStart w:id="2253" w:name="_Toc23015"/>
      <w:bookmarkStart w:id="2254" w:name="_Toc1396"/>
      <w:bookmarkStart w:id="2255" w:name="_Toc32497"/>
      <w:bookmarkStart w:id="2256" w:name="_Toc16658"/>
      <w:bookmarkStart w:id="2257" w:name="_Toc9280"/>
      <w:bookmarkStart w:id="2258" w:name="_Toc5000"/>
      <w:bookmarkStart w:id="2259" w:name="_Toc1670"/>
      <w:bookmarkStart w:id="2260" w:name="_Toc12066"/>
      <w:bookmarkStart w:id="2261" w:name="_Toc19409"/>
      <w:bookmarkStart w:id="2262" w:name="_Toc16673"/>
      <w:bookmarkStart w:id="2263" w:name="_Toc9880"/>
      <w:bookmarkStart w:id="2264" w:name="_Toc30511"/>
      <w:bookmarkStart w:id="2265" w:name="_Toc25551"/>
      <w:bookmarkStart w:id="2266" w:name="_Toc29073"/>
      <w:bookmarkStart w:id="2267" w:name="_Toc15434"/>
      <w:bookmarkStart w:id="2268" w:name="_Toc14964"/>
      <w:bookmarkStart w:id="2269" w:name="_Toc23464"/>
      <w:bookmarkStart w:id="2270" w:name="_Toc31790"/>
      <w:bookmarkStart w:id="2271" w:name="_Toc14308"/>
      <w:bookmarkStart w:id="2272" w:name="_Toc18845"/>
      <w:bookmarkStart w:id="2273" w:name="_Toc13277"/>
      <w:bookmarkStart w:id="2274" w:name="_Toc259093693"/>
      <w:bookmarkStart w:id="2275" w:name="_Toc638"/>
      <w:bookmarkStart w:id="2276" w:name="_Toc18281"/>
      <w:bookmarkStart w:id="2277" w:name="_Toc13924"/>
      <w:bookmarkStart w:id="2278" w:name="_Toc487900374"/>
      <w:r>
        <w:rPr>
          <w:rFonts w:hint="eastAsia" w:ascii="微软雅黑" w:hAnsi="微软雅黑" w:eastAsia="微软雅黑" w:cs="微软雅黑"/>
          <w:b/>
          <w:color w:val="auto"/>
          <w:szCs w:val="21"/>
          <w:highlight w:val="none"/>
        </w:rPr>
        <w:t>2.21 履约保证金</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2.21.1 采购文件要求乙方提交履约保证金的，乙方应按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约定的方式，以支票、汇票、本票或者金融机构、担保机构出具的保函等非现金形式，提交不超过合同价10%的履约保证金；</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2.21.2  履约保证金在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个工作日内，甲方应将履约保证金退还乙方；</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78"/>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279" w:name="_Toc12607"/>
      <w:bookmarkStart w:id="2280" w:name="_Toc6240"/>
      <w:bookmarkStart w:id="2281" w:name="_Toc28671"/>
      <w:bookmarkStart w:id="2282" w:name="_Toc22821"/>
      <w:bookmarkStart w:id="2283" w:name="_Toc608"/>
      <w:bookmarkStart w:id="2284" w:name="_Toc10736"/>
      <w:bookmarkStart w:id="2285" w:name="_Toc27563"/>
      <w:bookmarkStart w:id="2286" w:name="_Toc11644"/>
      <w:bookmarkStart w:id="2287" w:name="_Toc24006"/>
      <w:bookmarkStart w:id="2288" w:name="_Toc13582"/>
      <w:bookmarkStart w:id="2289" w:name="_Toc14001"/>
      <w:bookmarkStart w:id="2290" w:name="_Toc32408"/>
      <w:bookmarkStart w:id="2291" w:name="_Toc3020"/>
      <w:bookmarkStart w:id="2292" w:name="_Toc10801"/>
      <w:bookmarkStart w:id="2293" w:name="_Toc369"/>
      <w:bookmarkStart w:id="2294" w:name="_Toc8495"/>
      <w:bookmarkStart w:id="2295" w:name="_Toc6885"/>
      <w:bookmarkStart w:id="2296" w:name="_Toc30847"/>
      <w:bookmarkStart w:id="2297" w:name="_Toc10477"/>
      <w:bookmarkStart w:id="2298" w:name="_Toc31089"/>
      <w:bookmarkStart w:id="2299" w:name="_Toc22496"/>
      <w:bookmarkStart w:id="2300" w:name="_Toc11103"/>
      <w:bookmarkStart w:id="2301" w:name="_Toc20802"/>
      <w:bookmarkStart w:id="2302" w:name="_Toc2720"/>
      <w:bookmarkStart w:id="2303" w:name="_Toc31950"/>
      <w:bookmarkStart w:id="2304" w:name="_Toc2442"/>
      <w:bookmarkStart w:id="2305" w:name="_Toc19890"/>
      <w:bookmarkStart w:id="2306" w:name="_Toc25691"/>
      <w:bookmarkStart w:id="2307" w:name="_Toc27561"/>
      <w:bookmarkStart w:id="2308" w:name="_Toc8867"/>
      <w:bookmarkStart w:id="2309" w:name="_Toc12034"/>
      <w:bookmarkStart w:id="2310" w:name="_Toc2916"/>
      <w:bookmarkStart w:id="2311" w:name="_Toc30496"/>
      <w:r>
        <w:rPr>
          <w:rFonts w:hint="eastAsia" w:ascii="微软雅黑" w:hAnsi="微软雅黑" w:eastAsia="微软雅黑" w:cs="微软雅黑"/>
          <w:b/>
          <w:color w:val="auto"/>
          <w:szCs w:val="21"/>
          <w:highlight w:val="none"/>
        </w:rPr>
        <w:t>2.22 合同份数</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合同份数按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规定，每份均具有同等法律效力。</w:t>
      </w:r>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bookmarkStart w:id="2312" w:name="_Toc331685784"/>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p>
    <w:p>
      <w:pP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br w:type="page"/>
      </w:r>
    </w:p>
    <w:p>
      <w:pPr>
        <w:pStyle w:val="57"/>
        <w:shd w:val="clear"/>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第三部分  合同专用条款</w:t>
      </w:r>
      <w:bookmarkEnd w:id="231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hd w:val="clea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条款号</w:t>
            </w:r>
          </w:p>
        </w:tc>
        <w:tc>
          <w:tcPr>
            <w:tcW w:w="7633" w:type="dxa"/>
            <w:vAlign w:val="center"/>
          </w:tcPr>
          <w:p>
            <w:pPr>
              <w:shd w:val="clea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bl>
    <w:p>
      <w:pPr>
        <w:pStyle w:val="39"/>
        <w:jc w:val="center"/>
        <w:rPr>
          <w:rFonts w:hint="eastAsia" w:ascii="微软雅黑" w:hAnsi="微软雅黑" w:eastAsia="微软雅黑" w:cs="微软雅黑"/>
          <w:color w:val="auto"/>
          <w:kern w:val="0"/>
          <w:sz w:val="28"/>
          <w:szCs w:val="28"/>
          <w:highlight w:val="none"/>
        </w:rPr>
      </w:pPr>
    </w:p>
    <w:p>
      <w:pPr>
        <w:rPr>
          <w:rFonts w:hint="eastAsia" w:ascii="微软雅黑" w:hAnsi="微软雅黑" w:eastAsia="微软雅黑" w:cs="微软雅黑"/>
          <w:color w:val="auto"/>
          <w:sz w:val="24"/>
          <w:szCs w:val="24"/>
          <w:highlight w:val="none"/>
        </w:rPr>
      </w:pPr>
    </w:p>
    <w:sectPr>
      <w:headerReference r:id="rId7" w:type="default"/>
      <w:footerReference r:id="rId8"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036"/>
        <w:tab w:val="center" w:pos="4355"/>
        <w:tab w:val="right" w:pos="8312"/>
        <w:tab w:val="right" w:pos="8950"/>
      </w:tabs>
      <w:ind w:right="360"/>
      <w:jc w:val="center"/>
    </w:pPr>
    <w:r>
      <w:rPr>
        <w:rFonts w:hint="eastAsia"/>
        <w:color w:val="FF0000"/>
      </w:rPr>
      <w:t>Add：喀什经济开发区深喀大道</w:t>
    </w:r>
    <w:r>
      <w:rPr>
        <w:rFonts w:hint="eastAsia"/>
        <w:color w:val="FF0000"/>
        <w:lang w:val="en-US" w:eastAsia="zh-CN"/>
      </w:rPr>
      <w:t>陕西大厦12楼1208室</w:t>
    </w:r>
    <w:r>
      <w:rPr>
        <w:rFonts w:hint="eastAsia"/>
        <w:color w:val="FF0000"/>
      </w:rPr>
      <w:t xml:space="preserve">        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w:t>
    </w:r>
    <w:r>
      <w:rPr>
        <w:rFonts w:hint="eastAsia"/>
        <w:color w:val="FF0000"/>
        <w:lang w:val="en-US" w:eastAsia="zh-CN"/>
      </w:rPr>
      <w:t>陕西大厦12楼1208室</w:t>
    </w:r>
    <w:r>
      <w:rPr>
        <w:rFonts w:hint="eastAsia"/>
        <w:color w:val="FF0000"/>
      </w:rPr>
      <w:t xml:space="preserve">        Tel：18209987338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64</w:t>
                    </w:r>
                    <w:r>
                      <w:fldChar w:fldCharType="end"/>
                    </w:r>
                  </w:p>
                </w:txbxContent>
              </v:textbox>
            </v:shape>
          </w:pict>
        </mc:Fallback>
      </mc:AlternateContent>
    </w:r>
    <w:r>
      <w:rPr>
        <w:rFonts w:hint="eastAsia"/>
        <w:color w:val="FF0000"/>
      </w:rPr>
      <w:t>Add：喀什经济开发区深喀大道</w:t>
    </w:r>
    <w:r>
      <w:rPr>
        <w:rFonts w:hint="eastAsia"/>
        <w:color w:val="FF0000"/>
        <w:lang w:val="en-US" w:eastAsia="zh-CN"/>
      </w:rPr>
      <w:t>陕西大厦12楼1208室</w:t>
    </w:r>
    <w:r>
      <w:rPr>
        <w:rFonts w:hint="eastAsia"/>
        <w:color w:val="FF0000"/>
      </w:rPr>
      <w:t xml:space="preserve">        Tel：18209987338</w:t>
    </w:r>
  </w:p>
  <w:p>
    <w:pPr>
      <w:pStyle w:val="1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rPr>
        <w:sz w:val="18"/>
      </w:rP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4099" name="WordPictureWatermark44743" descr="图片1"/>
          <wp:cNvGraphicFramePr/>
          <a:graphic xmlns:a="http://schemas.openxmlformats.org/drawingml/2006/main">
            <a:graphicData uri="http://schemas.openxmlformats.org/drawingml/2006/picture">
              <pic:pic xmlns:pic="http://schemas.openxmlformats.org/drawingml/2006/picture">
                <pic:nvPicPr>
                  <pic:cNvPr id="4099" name="WordPictureWatermark44743" descr="图片1"/>
                  <pic:cNvPicPr/>
                </pic:nvPicPr>
                <pic:blipFill>
                  <a:blip r:embed="rId1" cstate="print">
                    <a:lum bright="68000" contrast="-70000"/>
                  </a:blip>
                  <a:srcRect/>
                  <a:stretch>
                    <a:fillRect/>
                  </a:stretch>
                </pic:blipFill>
                <pic:spPr>
                  <a:xfrm rot="-2700000">
                    <a:off x="0" y="0"/>
                    <a:ext cx="5274310" cy="847090"/>
                  </a:xfrm>
                  <a:prstGeom prst="rect">
                    <a:avLst/>
                  </a:prstGeom>
                  <a:ln>
                    <a:noFill/>
                  </a:ln>
                </pic:spPr>
              </pic:pic>
            </a:graphicData>
          </a:graphic>
        </wp:anchor>
      </w:drawing>
    </w:r>
    <w:r>
      <w:rPr>
        <w:rFonts w:hint="eastAsia"/>
      </w:rPr>
      <w:drawing>
        <wp:inline distT="0" distB="0" distL="0" distR="0">
          <wp:extent cx="2992755" cy="428625"/>
          <wp:effectExtent l="0" t="0" r="9525" b="13335"/>
          <wp:docPr id="4100"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100" name="图片 2"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6" name="WordPictureWatermark4474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44743" descr="图片1"/>
                  <pic:cNvPicPr>
                    <a:picLocks noChangeAspect="1"/>
                  </pic:cNvPicPr>
                </pic:nvPicPr>
                <pic:blipFill>
                  <a:blip r:embed="rId1">
                    <a:lum bright="69998" contrast="-70001"/>
                  </a:blip>
                  <a:stretch>
                    <a:fillRect/>
                  </a:stretch>
                </pic:blipFill>
                <pic:spPr>
                  <a:xfrm rot="-2700000">
                    <a:off x="0" y="0"/>
                    <a:ext cx="5274310" cy="847090"/>
                  </a:xfrm>
                  <a:prstGeom prst="rect">
                    <a:avLst/>
                  </a:prstGeom>
                  <a:noFill/>
                  <a:ln>
                    <a:noFill/>
                  </a:ln>
                </pic:spPr>
              </pic:pic>
            </a:graphicData>
          </a:graphic>
        </wp:anchor>
      </w:drawing>
    </w:r>
    <w:r>
      <w:rPr>
        <w:rFonts w:hint="eastAsia"/>
      </w:rPr>
      <w:drawing>
        <wp:inline distT="0" distB="0" distL="114300" distR="114300">
          <wp:extent cx="2992755" cy="429260"/>
          <wp:effectExtent l="0" t="0" r="9525" b="12700"/>
          <wp:docPr id="9" name="图片 9" descr="7fb26b890cf49d76afa2453ec3c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fb26b890cf49d76afa2453ec3c9120"/>
                  <pic:cNvPicPr>
                    <a:picLocks noChangeAspect="1"/>
                  </pic:cNvPicPr>
                </pic:nvPicPr>
                <pic:blipFill>
                  <a:blip r:embed="rId1"/>
                  <a:stretch>
                    <a:fillRect/>
                  </a:stretch>
                </pic:blipFill>
                <pic:spPr>
                  <a:xfrm>
                    <a:off x="0" y="0"/>
                    <a:ext cx="2992755" cy="4292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rPr>
        <w:rFonts w:hint="eastAsia"/>
      </w:rPr>
      <w:drawing>
        <wp:inline distT="0" distB="0" distL="0" distR="0">
          <wp:extent cx="2992755" cy="428625"/>
          <wp:effectExtent l="0" t="0" r="17145" b="8890"/>
          <wp:docPr id="4105" name="图片 4" descr="7fb26b890cf49d76afa2453ec3c9120"/>
          <wp:cNvGraphicFramePr/>
          <a:graphic xmlns:a="http://schemas.openxmlformats.org/drawingml/2006/main">
            <a:graphicData uri="http://schemas.openxmlformats.org/drawingml/2006/picture">
              <pic:pic xmlns:pic="http://schemas.openxmlformats.org/drawingml/2006/picture">
                <pic:nvPicPr>
                  <pic:cNvPr id="4105" name="图片 4"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p>
    <w:pPr>
      <w:pStyle w:val="17"/>
      <w:pBdr>
        <w:bottom w:val="none" w:color="auto" w:sz="0" w:space="0"/>
      </w:pBdr>
      <w:jc w:val="right"/>
    </w:pPr>
    <w:r>
      <w:rPr>
        <w:sz w:val="18"/>
      </w:rP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4106" name="WordPictureWatermark44743" descr="图片1"/>
          <wp:cNvGraphicFramePr/>
          <a:graphic xmlns:a="http://schemas.openxmlformats.org/drawingml/2006/main">
            <a:graphicData uri="http://schemas.openxmlformats.org/drawingml/2006/picture">
              <pic:pic xmlns:pic="http://schemas.openxmlformats.org/drawingml/2006/picture">
                <pic:nvPicPr>
                  <pic:cNvPr id="4106" name="WordPictureWatermark44743" descr="图片1"/>
                  <pic:cNvPicPr/>
                </pic:nvPicPr>
                <pic:blipFill>
                  <a:blip r:embed="rId1" cstate="print">
                    <a:lum bright="68000" contrast="-70000"/>
                  </a:blip>
                  <a:srcRect/>
                  <a:stretch>
                    <a:fillRect/>
                  </a:stretch>
                </pic:blipFill>
                <pic:spPr>
                  <a:xfrm rot="-2700000">
                    <a:off x="0" y="0"/>
                    <a:ext cx="5274310" cy="84709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07782"/>
    <w:multiLevelType w:val="singleLevel"/>
    <w:tmpl w:val="C0D07782"/>
    <w:lvl w:ilvl="0" w:tentative="0">
      <w:start w:val="1"/>
      <w:numFmt w:val="decimal"/>
      <w:suff w:val="nothing"/>
      <w:lvlText w:val="（%1）"/>
      <w:lvlJc w:val="left"/>
    </w:lvl>
  </w:abstractNum>
  <w:abstractNum w:abstractNumId="1">
    <w:nsid w:val="00000000"/>
    <w:multiLevelType w:val="singleLevel"/>
    <w:tmpl w:val="00000000"/>
    <w:lvl w:ilvl="0" w:tentative="0">
      <w:start w:val="5"/>
      <w:numFmt w:val="decimal"/>
      <w:suff w:val="space"/>
      <w:lvlText w:val="第%1章"/>
      <w:lvlJc w:val="left"/>
    </w:lvl>
  </w:abstractNum>
  <w:abstractNum w:abstractNumId="2">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6"/>
    <w:multiLevelType w:val="multilevel"/>
    <w:tmpl w:val="00000006"/>
    <w:lvl w:ilvl="0" w:tentative="0">
      <w:start w:val="1"/>
      <w:numFmt w:val="upperLetter"/>
      <w:pStyle w:val="35"/>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4">
    <w:nsid w:val="00000007"/>
    <w:multiLevelType w:val="singleLevel"/>
    <w:tmpl w:val="00000007"/>
    <w:lvl w:ilvl="0" w:tentative="0">
      <w:start w:val="2"/>
      <w:numFmt w:val="decimal"/>
      <w:suff w:val="nothing"/>
      <w:lvlText w:val="%1、"/>
      <w:lvlJc w:val="left"/>
    </w:lvl>
  </w:abstractNum>
  <w:abstractNum w:abstractNumId="5">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6"/>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4"/>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85"/>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7">
    <w:nsid w:val="6005F10E"/>
    <w:multiLevelType w:val="singleLevel"/>
    <w:tmpl w:val="6005F10E"/>
    <w:lvl w:ilvl="0" w:tentative="0">
      <w:start w:val="15"/>
      <w:numFmt w:val="decimal"/>
      <w:suff w:val="space"/>
      <w:lvlText w:val="%1."/>
      <w:lvlJc w:val="left"/>
    </w:lvl>
  </w:abstractNum>
  <w:num w:numId="1">
    <w:abstractNumId w:val="3"/>
  </w:num>
  <w:num w:numId="2">
    <w:abstractNumId w:val="5"/>
  </w:num>
  <w:num w:numId="3">
    <w:abstractNumId w:val="6"/>
  </w:num>
  <w:num w:numId="4">
    <w:abstractNumId w:val="2"/>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00000000"/>
    <w:rsid w:val="002145A0"/>
    <w:rsid w:val="00320039"/>
    <w:rsid w:val="003A4DB8"/>
    <w:rsid w:val="006360BD"/>
    <w:rsid w:val="0073763C"/>
    <w:rsid w:val="008E53B2"/>
    <w:rsid w:val="00B22F90"/>
    <w:rsid w:val="00CA58C6"/>
    <w:rsid w:val="010C0502"/>
    <w:rsid w:val="01113BE8"/>
    <w:rsid w:val="014632E9"/>
    <w:rsid w:val="014E721F"/>
    <w:rsid w:val="01566194"/>
    <w:rsid w:val="015C3AD4"/>
    <w:rsid w:val="01621A8C"/>
    <w:rsid w:val="01842F42"/>
    <w:rsid w:val="01AC75F0"/>
    <w:rsid w:val="01D60B10"/>
    <w:rsid w:val="01E24E4B"/>
    <w:rsid w:val="01FE7AA2"/>
    <w:rsid w:val="0247556A"/>
    <w:rsid w:val="02C64F85"/>
    <w:rsid w:val="02C933CD"/>
    <w:rsid w:val="02DD1F30"/>
    <w:rsid w:val="032338E1"/>
    <w:rsid w:val="032923D9"/>
    <w:rsid w:val="035277E1"/>
    <w:rsid w:val="03635BA2"/>
    <w:rsid w:val="036A59B4"/>
    <w:rsid w:val="039B2F0B"/>
    <w:rsid w:val="039B6747"/>
    <w:rsid w:val="03A17621"/>
    <w:rsid w:val="03FE7EAB"/>
    <w:rsid w:val="0418202A"/>
    <w:rsid w:val="0422003D"/>
    <w:rsid w:val="043164D2"/>
    <w:rsid w:val="046F2DD0"/>
    <w:rsid w:val="04956A61"/>
    <w:rsid w:val="04C64E6C"/>
    <w:rsid w:val="04DA0DAB"/>
    <w:rsid w:val="04EB4AD4"/>
    <w:rsid w:val="052B035A"/>
    <w:rsid w:val="05B918D7"/>
    <w:rsid w:val="05E74AEF"/>
    <w:rsid w:val="05EC26B0"/>
    <w:rsid w:val="05F0727E"/>
    <w:rsid w:val="06043E9E"/>
    <w:rsid w:val="061E7562"/>
    <w:rsid w:val="062513A7"/>
    <w:rsid w:val="065169B7"/>
    <w:rsid w:val="065232F6"/>
    <w:rsid w:val="066E1317"/>
    <w:rsid w:val="068C3E93"/>
    <w:rsid w:val="069D39AB"/>
    <w:rsid w:val="06A27213"/>
    <w:rsid w:val="06B26F80"/>
    <w:rsid w:val="06B82B89"/>
    <w:rsid w:val="06BF5690"/>
    <w:rsid w:val="06ED4932"/>
    <w:rsid w:val="070E48A8"/>
    <w:rsid w:val="07443D6C"/>
    <w:rsid w:val="07577514"/>
    <w:rsid w:val="07623E5D"/>
    <w:rsid w:val="07666493"/>
    <w:rsid w:val="07715705"/>
    <w:rsid w:val="07A44D2D"/>
    <w:rsid w:val="080622B5"/>
    <w:rsid w:val="08152EBB"/>
    <w:rsid w:val="084B1AA8"/>
    <w:rsid w:val="085424AB"/>
    <w:rsid w:val="08573CD6"/>
    <w:rsid w:val="08752E31"/>
    <w:rsid w:val="08BA4587"/>
    <w:rsid w:val="08D150B4"/>
    <w:rsid w:val="08D60107"/>
    <w:rsid w:val="08D833C0"/>
    <w:rsid w:val="08E55999"/>
    <w:rsid w:val="08E873D7"/>
    <w:rsid w:val="08F32F05"/>
    <w:rsid w:val="09033A4F"/>
    <w:rsid w:val="090B72F2"/>
    <w:rsid w:val="09532A47"/>
    <w:rsid w:val="09600354"/>
    <w:rsid w:val="09671E04"/>
    <w:rsid w:val="0989582F"/>
    <w:rsid w:val="09A03C4E"/>
    <w:rsid w:val="09A07FFE"/>
    <w:rsid w:val="09C6272F"/>
    <w:rsid w:val="09DB78E1"/>
    <w:rsid w:val="09E029B5"/>
    <w:rsid w:val="09E55D95"/>
    <w:rsid w:val="0AA00E18"/>
    <w:rsid w:val="0ADA0003"/>
    <w:rsid w:val="0AED79CA"/>
    <w:rsid w:val="0AF04068"/>
    <w:rsid w:val="0B0C55A3"/>
    <w:rsid w:val="0B432F08"/>
    <w:rsid w:val="0B6D6042"/>
    <w:rsid w:val="0B6E381F"/>
    <w:rsid w:val="0B894DF9"/>
    <w:rsid w:val="0BE27694"/>
    <w:rsid w:val="0C1D5661"/>
    <w:rsid w:val="0C291FD0"/>
    <w:rsid w:val="0C4360FE"/>
    <w:rsid w:val="0C522904"/>
    <w:rsid w:val="0C601702"/>
    <w:rsid w:val="0C791C96"/>
    <w:rsid w:val="0C7F4408"/>
    <w:rsid w:val="0C8A49D1"/>
    <w:rsid w:val="0CF84031"/>
    <w:rsid w:val="0D065FC8"/>
    <w:rsid w:val="0D0E1995"/>
    <w:rsid w:val="0D103290"/>
    <w:rsid w:val="0D1D0B59"/>
    <w:rsid w:val="0D5A43A4"/>
    <w:rsid w:val="0D7D0092"/>
    <w:rsid w:val="0D887163"/>
    <w:rsid w:val="0D896A37"/>
    <w:rsid w:val="0D9D2C7A"/>
    <w:rsid w:val="0DDA54E4"/>
    <w:rsid w:val="0E0A5DCA"/>
    <w:rsid w:val="0E0F38A2"/>
    <w:rsid w:val="0E6967BD"/>
    <w:rsid w:val="0E73449F"/>
    <w:rsid w:val="0E7C47EE"/>
    <w:rsid w:val="0E7E2F8C"/>
    <w:rsid w:val="0EEF72C3"/>
    <w:rsid w:val="0EFE3455"/>
    <w:rsid w:val="0F113188"/>
    <w:rsid w:val="0F125C24"/>
    <w:rsid w:val="0F143C29"/>
    <w:rsid w:val="0F2136B6"/>
    <w:rsid w:val="0F4935D9"/>
    <w:rsid w:val="0F521FFA"/>
    <w:rsid w:val="0F592CA9"/>
    <w:rsid w:val="0FB32592"/>
    <w:rsid w:val="0FC54741"/>
    <w:rsid w:val="0FD14C8B"/>
    <w:rsid w:val="0FDA5C70"/>
    <w:rsid w:val="0FF652C6"/>
    <w:rsid w:val="10280789"/>
    <w:rsid w:val="10901321"/>
    <w:rsid w:val="109149C6"/>
    <w:rsid w:val="10C7057C"/>
    <w:rsid w:val="10D73F5D"/>
    <w:rsid w:val="10EA3C90"/>
    <w:rsid w:val="112A6783"/>
    <w:rsid w:val="11375FBE"/>
    <w:rsid w:val="11503189"/>
    <w:rsid w:val="115F151F"/>
    <w:rsid w:val="116C28F7"/>
    <w:rsid w:val="11806BCC"/>
    <w:rsid w:val="119245C3"/>
    <w:rsid w:val="11A2411E"/>
    <w:rsid w:val="11AB78C4"/>
    <w:rsid w:val="11C50105"/>
    <w:rsid w:val="11CE678B"/>
    <w:rsid w:val="11FD4B29"/>
    <w:rsid w:val="11FF376C"/>
    <w:rsid w:val="123F625E"/>
    <w:rsid w:val="12592360"/>
    <w:rsid w:val="126637EB"/>
    <w:rsid w:val="12A460C1"/>
    <w:rsid w:val="12AC5303"/>
    <w:rsid w:val="12DD1CFF"/>
    <w:rsid w:val="12ED5CBA"/>
    <w:rsid w:val="12EF37E0"/>
    <w:rsid w:val="12FC31D3"/>
    <w:rsid w:val="130D09BD"/>
    <w:rsid w:val="131F30F5"/>
    <w:rsid w:val="1377365B"/>
    <w:rsid w:val="13800B97"/>
    <w:rsid w:val="139A6651"/>
    <w:rsid w:val="13A16876"/>
    <w:rsid w:val="13B16CE7"/>
    <w:rsid w:val="13B642FE"/>
    <w:rsid w:val="13C44C6D"/>
    <w:rsid w:val="13CB5AD5"/>
    <w:rsid w:val="13DB225F"/>
    <w:rsid w:val="13F866C4"/>
    <w:rsid w:val="14027543"/>
    <w:rsid w:val="140530B1"/>
    <w:rsid w:val="141C5039"/>
    <w:rsid w:val="14241086"/>
    <w:rsid w:val="142A5FDC"/>
    <w:rsid w:val="142B2A40"/>
    <w:rsid w:val="146E4BD8"/>
    <w:rsid w:val="148651F0"/>
    <w:rsid w:val="149169E7"/>
    <w:rsid w:val="15290693"/>
    <w:rsid w:val="1530255F"/>
    <w:rsid w:val="153D570D"/>
    <w:rsid w:val="159A283B"/>
    <w:rsid w:val="15A44D56"/>
    <w:rsid w:val="15B900D5"/>
    <w:rsid w:val="15E6670D"/>
    <w:rsid w:val="161B48EC"/>
    <w:rsid w:val="16421E79"/>
    <w:rsid w:val="16552373"/>
    <w:rsid w:val="166B7621"/>
    <w:rsid w:val="1679118E"/>
    <w:rsid w:val="16A00DA8"/>
    <w:rsid w:val="16A13043"/>
    <w:rsid w:val="16B02706"/>
    <w:rsid w:val="16D503AC"/>
    <w:rsid w:val="16D57BCB"/>
    <w:rsid w:val="170D15F4"/>
    <w:rsid w:val="171037CA"/>
    <w:rsid w:val="17131521"/>
    <w:rsid w:val="17384C14"/>
    <w:rsid w:val="17872E44"/>
    <w:rsid w:val="178A7F7B"/>
    <w:rsid w:val="17961E8F"/>
    <w:rsid w:val="17C647A7"/>
    <w:rsid w:val="18023FB5"/>
    <w:rsid w:val="1811509D"/>
    <w:rsid w:val="1820443C"/>
    <w:rsid w:val="187A3B4C"/>
    <w:rsid w:val="187C5B16"/>
    <w:rsid w:val="18955D2D"/>
    <w:rsid w:val="18A427FE"/>
    <w:rsid w:val="18C329A6"/>
    <w:rsid w:val="18CB43A7"/>
    <w:rsid w:val="18D13587"/>
    <w:rsid w:val="19172397"/>
    <w:rsid w:val="194E5DAF"/>
    <w:rsid w:val="196F6835"/>
    <w:rsid w:val="19856C4C"/>
    <w:rsid w:val="19940C3D"/>
    <w:rsid w:val="1998697F"/>
    <w:rsid w:val="19A03A86"/>
    <w:rsid w:val="19A0795C"/>
    <w:rsid w:val="19B96B20"/>
    <w:rsid w:val="19D92AF4"/>
    <w:rsid w:val="1A1574F5"/>
    <w:rsid w:val="1A19736B"/>
    <w:rsid w:val="1A203775"/>
    <w:rsid w:val="1A613215"/>
    <w:rsid w:val="1A705133"/>
    <w:rsid w:val="1AD03EF7"/>
    <w:rsid w:val="1AEB0D31"/>
    <w:rsid w:val="1B1413CF"/>
    <w:rsid w:val="1B1B5E81"/>
    <w:rsid w:val="1B222DFA"/>
    <w:rsid w:val="1B2435A0"/>
    <w:rsid w:val="1B497395"/>
    <w:rsid w:val="1B50328A"/>
    <w:rsid w:val="1BC17CE4"/>
    <w:rsid w:val="1C2C1601"/>
    <w:rsid w:val="1C38492A"/>
    <w:rsid w:val="1C485D0F"/>
    <w:rsid w:val="1C4F0B8B"/>
    <w:rsid w:val="1C5F46E4"/>
    <w:rsid w:val="1C753007"/>
    <w:rsid w:val="1C9A2A0F"/>
    <w:rsid w:val="1CDC2147"/>
    <w:rsid w:val="1CF07981"/>
    <w:rsid w:val="1D01040A"/>
    <w:rsid w:val="1D012A8E"/>
    <w:rsid w:val="1D9C6BA7"/>
    <w:rsid w:val="1DB161A0"/>
    <w:rsid w:val="1DC85359"/>
    <w:rsid w:val="1DD95F2A"/>
    <w:rsid w:val="1DDC3E11"/>
    <w:rsid w:val="1DFE521F"/>
    <w:rsid w:val="1E081BFA"/>
    <w:rsid w:val="1E1965DF"/>
    <w:rsid w:val="1E3C6860"/>
    <w:rsid w:val="1E5E3995"/>
    <w:rsid w:val="1E613D0C"/>
    <w:rsid w:val="1E6A65D5"/>
    <w:rsid w:val="1E8618AA"/>
    <w:rsid w:val="1E982F7E"/>
    <w:rsid w:val="1ED27475"/>
    <w:rsid w:val="1ED45E22"/>
    <w:rsid w:val="1EE879B6"/>
    <w:rsid w:val="1F0B3750"/>
    <w:rsid w:val="1F4153C3"/>
    <w:rsid w:val="1F7B107E"/>
    <w:rsid w:val="1F8E4D0D"/>
    <w:rsid w:val="1F8E612F"/>
    <w:rsid w:val="1F941997"/>
    <w:rsid w:val="1F9C6A9E"/>
    <w:rsid w:val="1FC2498B"/>
    <w:rsid w:val="1FFC578E"/>
    <w:rsid w:val="1FFE1506"/>
    <w:rsid w:val="201C198C"/>
    <w:rsid w:val="20A42F05"/>
    <w:rsid w:val="21134B3E"/>
    <w:rsid w:val="211A228D"/>
    <w:rsid w:val="215533A8"/>
    <w:rsid w:val="215E79BE"/>
    <w:rsid w:val="21863561"/>
    <w:rsid w:val="21A140EB"/>
    <w:rsid w:val="21A80E9D"/>
    <w:rsid w:val="21AB49A6"/>
    <w:rsid w:val="21CB2917"/>
    <w:rsid w:val="2207555D"/>
    <w:rsid w:val="22137BC2"/>
    <w:rsid w:val="22813E3B"/>
    <w:rsid w:val="22D4654E"/>
    <w:rsid w:val="22E907A2"/>
    <w:rsid w:val="22EE3A71"/>
    <w:rsid w:val="22FE460E"/>
    <w:rsid w:val="23137077"/>
    <w:rsid w:val="23330577"/>
    <w:rsid w:val="233F31F6"/>
    <w:rsid w:val="23573852"/>
    <w:rsid w:val="2378337E"/>
    <w:rsid w:val="23F67FA6"/>
    <w:rsid w:val="240069B4"/>
    <w:rsid w:val="241035B6"/>
    <w:rsid w:val="246F2824"/>
    <w:rsid w:val="249C4BBB"/>
    <w:rsid w:val="24AE5C38"/>
    <w:rsid w:val="24E24F53"/>
    <w:rsid w:val="24EE3942"/>
    <w:rsid w:val="254D531C"/>
    <w:rsid w:val="256421C0"/>
    <w:rsid w:val="258119C1"/>
    <w:rsid w:val="25DE2665"/>
    <w:rsid w:val="25E91C5D"/>
    <w:rsid w:val="267E514F"/>
    <w:rsid w:val="268A7650"/>
    <w:rsid w:val="26AB7EF8"/>
    <w:rsid w:val="26CC5EBA"/>
    <w:rsid w:val="26ED0AC3"/>
    <w:rsid w:val="2724694F"/>
    <w:rsid w:val="27383935"/>
    <w:rsid w:val="274F4D29"/>
    <w:rsid w:val="276C144B"/>
    <w:rsid w:val="27895B59"/>
    <w:rsid w:val="27C27241"/>
    <w:rsid w:val="2803474D"/>
    <w:rsid w:val="280B47C0"/>
    <w:rsid w:val="28645A37"/>
    <w:rsid w:val="28893937"/>
    <w:rsid w:val="28CA642A"/>
    <w:rsid w:val="28DB4EF1"/>
    <w:rsid w:val="29086F52"/>
    <w:rsid w:val="29213387"/>
    <w:rsid w:val="29315676"/>
    <w:rsid w:val="29515CEB"/>
    <w:rsid w:val="29521364"/>
    <w:rsid w:val="295D5ECC"/>
    <w:rsid w:val="29B64C00"/>
    <w:rsid w:val="2A1C2CB5"/>
    <w:rsid w:val="2A391AB9"/>
    <w:rsid w:val="2A522E74"/>
    <w:rsid w:val="2A5863DD"/>
    <w:rsid w:val="2A720B27"/>
    <w:rsid w:val="2A7A3E7F"/>
    <w:rsid w:val="2A9A007E"/>
    <w:rsid w:val="2AAF7153"/>
    <w:rsid w:val="2AD510B6"/>
    <w:rsid w:val="2B1129B8"/>
    <w:rsid w:val="2B1240B8"/>
    <w:rsid w:val="2B1716CE"/>
    <w:rsid w:val="2B6352AF"/>
    <w:rsid w:val="2B6716AF"/>
    <w:rsid w:val="2B745C17"/>
    <w:rsid w:val="2BC5112A"/>
    <w:rsid w:val="2BE45A54"/>
    <w:rsid w:val="2BFE65D6"/>
    <w:rsid w:val="2C1A1476"/>
    <w:rsid w:val="2C1F4CDE"/>
    <w:rsid w:val="2C477D91"/>
    <w:rsid w:val="2C8B5F92"/>
    <w:rsid w:val="2C9A25B7"/>
    <w:rsid w:val="2CAB0E29"/>
    <w:rsid w:val="2CAE39BA"/>
    <w:rsid w:val="2CF0769C"/>
    <w:rsid w:val="2D18318D"/>
    <w:rsid w:val="2D300EFC"/>
    <w:rsid w:val="2D3F513B"/>
    <w:rsid w:val="2D40338B"/>
    <w:rsid w:val="2D6B3960"/>
    <w:rsid w:val="2D742E08"/>
    <w:rsid w:val="2DEB5BE1"/>
    <w:rsid w:val="2E1A519A"/>
    <w:rsid w:val="2E3879E0"/>
    <w:rsid w:val="2EB57CA5"/>
    <w:rsid w:val="2EDE7AFE"/>
    <w:rsid w:val="2F2A7575"/>
    <w:rsid w:val="2F6E42FA"/>
    <w:rsid w:val="2FC16BFF"/>
    <w:rsid w:val="300E150D"/>
    <w:rsid w:val="30304791"/>
    <w:rsid w:val="30654D09"/>
    <w:rsid w:val="3086532C"/>
    <w:rsid w:val="30963095"/>
    <w:rsid w:val="309C45E7"/>
    <w:rsid w:val="30A12166"/>
    <w:rsid w:val="30A13BD7"/>
    <w:rsid w:val="30B71989"/>
    <w:rsid w:val="30CA0702"/>
    <w:rsid w:val="30F94BCC"/>
    <w:rsid w:val="311D0D4C"/>
    <w:rsid w:val="31BC6930"/>
    <w:rsid w:val="31C364EC"/>
    <w:rsid w:val="31D41044"/>
    <w:rsid w:val="31FB5844"/>
    <w:rsid w:val="320845A6"/>
    <w:rsid w:val="32153953"/>
    <w:rsid w:val="3243129F"/>
    <w:rsid w:val="3243731A"/>
    <w:rsid w:val="32780945"/>
    <w:rsid w:val="329D28D8"/>
    <w:rsid w:val="32D0288E"/>
    <w:rsid w:val="33133DDA"/>
    <w:rsid w:val="33490375"/>
    <w:rsid w:val="33812C9C"/>
    <w:rsid w:val="33D358E7"/>
    <w:rsid w:val="33D44600"/>
    <w:rsid w:val="33EA7980"/>
    <w:rsid w:val="33F94067"/>
    <w:rsid w:val="33FD557F"/>
    <w:rsid w:val="34041C9B"/>
    <w:rsid w:val="34082B44"/>
    <w:rsid w:val="347C7A35"/>
    <w:rsid w:val="34D04DC8"/>
    <w:rsid w:val="34E5433C"/>
    <w:rsid w:val="34EA7C3C"/>
    <w:rsid w:val="34F226A3"/>
    <w:rsid w:val="351C2BB8"/>
    <w:rsid w:val="3538296D"/>
    <w:rsid w:val="353A713F"/>
    <w:rsid w:val="358D3C5A"/>
    <w:rsid w:val="3592002F"/>
    <w:rsid w:val="35AA397D"/>
    <w:rsid w:val="35BF4E3C"/>
    <w:rsid w:val="35F43F4A"/>
    <w:rsid w:val="365C3BAD"/>
    <w:rsid w:val="365C65CD"/>
    <w:rsid w:val="365E006C"/>
    <w:rsid w:val="366072AB"/>
    <w:rsid w:val="367F7DF8"/>
    <w:rsid w:val="368F1131"/>
    <w:rsid w:val="36AB243C"/>
    <w:rsid w:val="36C95B54"/>
    <w:rsid w:val="36E508D2"/>
    <w:rsid w:val="37133692"/>
    <w:rsid w:val="3728009E"/>
    <w:rsid w:val="374A67D1"/>
    <w:rsid w:val="375F68D7"/>
    <w:rsid w:val="378F1341"/>
    <w:rsid w:val="37914E1C"/>
    <w:rsid w:val="37B02C8E"/>
    <w:rsid w:val="380958D5"/>
    <w:rsid w:val="380E1DAA"/>
    <w:rsid w:val="38380BDE"/>
    <w:rsid w:val="38575DB5"/>
    <w:rsid w:val="387E2D8D"/>
    <w:rsid w:val="388243D6"/>
    <w:rsid w:val="38AE5AAE"/>
    <w:rsid w:val="38DD71EC"/>
    <w:rsid w:val="38EA0422"/>
    <w:rsid w:val="38FA3704"/>
    <w:rsid w:val="392E0D37"/>
    <w:rsid w:val="39D0617D"/>
    <w:rsid w:val="39FF1E0A"/>
    <w:rsid w:val="3A105C66"/>
    <w:rsid w:val="3A1B0039"/>
    <w:rsid w:val="3A2B6F44"/>
    <w:rsid w:val="3A347BA7"/>
    <w:rsid w:val="3A573895"/>
    <w:rsid w:val="3ABB3136"/>
    <w:rsid w:val="3AFB60DC"/>
    <w:rsid w:val="3B3F0C67"/>
    <w:rsid w:val="3B583D69"/>
    <w:rsid w:val="3B7B3C9E"/>
    <w:rsid w:val="3B7F22D6"/>
    <w:rsid w:val="3BE54A14"/>
    <w:rsid w:val="3C037302"/>
    <w:rsid w:val="3C0C4D5B"/>
    <w:rsid w:val="3C293BC2"/>
    <w:rsid w:val="3C2F4ACA"/>
    <w:rsid w:val="3C3F6EED"/>
    <w:rsid w:val="3C5912BF"/>
    <w:rsid w:val="3C6F3118"/>
    <w:rsid w:val="3C74613C"/>
    <w:rsid w:val="3CA01012"/>
    <w:rsid w:val="3CA45516"/>
    <w:rsid w:val="3CB52AF5"/>
    <w:rsid w:val="3CBF6F46"/>
    <w:rsid w:val="3CD613E9"/>
    <w:rsid w:val="3CE401C5"/>
    <w:rsid w:val="3CE91981"/>
    <w:rsid w:val="3D207281"/>
    <w:rsid w:val="3D7B789B"/>
    <w:rsid w:val="3DB00D18"/>
    <w:rsid w:val="3DC76509"/>
    <w:rsid w:val="3DC9653B"/>
    <w:rsid w:val="3DC96858"/>
    <w:rsid w:val="3DD31EFC"/>
    <w:rsid w:val="3DD81F88"/>
    <w:rsid w:val="3E45258B"/>
    <w:rsid w:val="3EDA1E89"/>
    <w:rsid w:val="3F2006FA"/>
    <w:rsid w:val="3F2B098F"/>
    <w:rsid w:val="3F2C3542"/>
    <w:rsid w:val="3F316DAB"/>
    <w:rsid w:val="3F403E2A"/>
    <w:rsid w:val="3F4C7741"/>
    <w:rsid w:val="3F6F38B1"/>
    <w:rsid w:val="3F815597"/>
    <w:rsid w:val="3F8C0675"/>
    <w:rsid w:val="3F956035"/>
    <w:rsid w:val="3FA53259"/>
    <w:rsid w:val="3FB0060E"/>
    <w:rsid w:val="3FB65236"/>
    <w:rsid w:val="3FBE071F"/>
    <w:rsid w:val="3FFA0F65"/>
    <w:rsid w:val="401E3421"/>
    <w:rsid w:val="403C77B5"/>
    <w:rsid w:val="40552625"/>
    <w:rsid w:val="408745C2"/>
    <w:rsid w:val="40AF442B"/>
    <w:rsid w:val="40BD01A1"/>
    <w:rsid w:val="40CD3FF4"/>
    <w:rsid w:val="40F77B80"/>
    <w:rsid w:val="4108613C"/>
    <w:rsid w:val="411F101A"/>
    <w:rsid w:val="41511589"/>
    <w:rsid w:val="41760AA5"/>
    <w:rsid w:val="41853106"/>
    <w:rsid w:val="41993698"/>
    <w:rsid w:val="41BD47CF"/>
    <w:rsid w:val="41CA7043"/>
    <w:rsid w:val="41E35FAA"/>
    <w:rsid w:val="41E65108"/>
    <w:rsid w:val="41F3622B"/>
    <w:rsid w:val="41FF65A5"/>
    <w:rsid w:val="42067245"/>
    <w:rsid w:val="426B6130"/>
    <w:rsid w:val="42885B31"/>
    <w:rsid w:val="42B62EBF"/>
    <w:rsid w:val="42BF13A8"/>
    <w:rsid w:val="42DC004C"/>
    <w:rsid w:val="42DC527F"/>
    <w:rsid w:val="42F92679"/>
    <w:rsid w:val="42FD6AEA"/>
    <w:rsid w:val="43066BB7"/>
    <w:rsid w:val="43170066"/>
    <w:rsid w:val="432A251A"/>
    <w:rsid w:val="4372194D"/>
    <w:rsid w:val="43BD0C0D"/>
    <w:rsid w:val="43D30AB1"/>
    <w:rsid w:val="43F87AE8"/>
    <w:rsid w:val="44242BF2"/>
    <w:rsid w:val="44295A18"/>
    <w:rsid w:val="443600D1"/>
    <w:rsid w:val="44422052"/>
    <w:rsid w:val="448C0A90"/>
    <w:rsid w:val="44D0671E"/>
    <w:rsid w:val="44F763A1"/>
    <w:rsid w:val="44FC3C5E"/>
    <w:rsid w:val="45097E82"/>
    <w:rsid w:val="45380515"/>
    <w:rsid w:val="453B2E04"/>
    <w:rsid w:val="453F3F6E"/>
    <w:rsid w:val="455870C9"/>
    <w:rsid w:val="455C26A8"/>
    <w:rsid w:val="45DE620E"/>
    <w:rsid w:val="45EB67D2"/>
    <w:rsid w:val="46144D30"/>
    <w:rsid w:val="46160AA8"/>
    <w:rsid w:val="46412573"/>
    <w:rsid w:val="464F7B16"/>
    <w:rsid w:val="46525488"/>
    <w:rsid w:val="46554453"/>
    <w:rsid w:val="46804174"/>
    <w:rsid w:val="46B9431C"/>
    <w:rsid w:val="46DD15C6"/>
    <w:rsid w:val="46FD0452"/>
    <w:rsid w:val="46FE1EC1"/>
    <w:rsid w:val="47173339"/>
    <w:rsid w:val="471D19C3"/>
    <w:rsid w:val="473B6AF6"/>
    <w:rsid w:val="48036ED9"/>
    <w:rsid w:val="482B052A"/>
    <w:rsid w:val="48321BFE"/>
    <w:rsid w:val="4840005F"/>
    <w:rsid w:val="48460926"/>
    <w:rsid w:val="484F2050"/>
    <w:rsid w:val="487A3570"/>
    <w:rsid w:val="487F60CE"/>
    <w:rsid w:val="48AB372A"/>
    <w:rsid w:val="48C70F09"/>
    <w:rsid w:val="48DF1625"/>
    <w:rsid w:val="48E71DE0"/>
    <w:rsid w:val="48E955FE"/>
    <w:rsid w:val="492D634D"/>
    <w:rsid w:val="49650D95"/>
    <w:rsid w:val="496C4D4B"/>
    <w:rsid w:val="49775F25"/>
    <w:rsid w:val="499A0AB6"/>
    <w:rsid w:val="49B948C6"/>
    <w:rsid w:val="49F2569D"/>
    <w:rsid w:val="49F83896"/>
    <w:rsid w:val="4A05376F"/>
    <w:rsid w:val="4A3B4F46"/>
    <w:rsid w:val="4A770394"/>
    <w:rsid w:val="4A9457E6"/>
    <w:rsid w:val="4ACB602B"/>
    <w:rsid w:val="4AD60806"/>
    <w:rsid w:val="4B200A28"/>
    <w:rsid w:val="4B3B0743"/>
    <w:rsid w:val="4B4E4840"/>
    <w:rsid w:val="4B7324F9"/>
    <w:rsid w:val="4B8169C4"/>
    <w:rsid w:val="4B882CCA"/>
    <w:rsid w:val="4BA803F5"/>
    <w:rsid w:val="4BC06985"/>
    <w:rsid w:val="4BEF63DD"/>
    <w:rsid w:val="4C1710D6"/>
    <w:rsid w:val="4C266B6F"/>
    <w:rsid w:val="4C3979AF"/>
    <w:rsid w:val="4C417533"/>
    <w:rsid w:val="4C493FB8"/>
    <w:rsid w:val="4C545E87"/>
    <w:rsid w:val="4CAF54B5"/>
    <w:rsid w:val="4CCB5621"/>
    <w:rsid w:val="4CD6614F"/>
    <w:rsid w:val="4CDB65A8"/>
    <w:rsid w:val="4D021466"/>
    <w:rsid w:val="4D147D15"/>
    <w:rsid w:val="4D2C6E03"/>
    <w:rsid w:val="4D5B7721"/>
    <w:rsid w:val="4D5E6D65"/>
    <w:rsid w:val="4D6537ED"/>
    <w:rsid w:val="4D7A191D"/>
    <w:rsid w:val="4D7C3266"/>
    <w:rsid w:val="4D840509"/>
    <w:rsid w:val="4D9B2972"/>
    <w:rsid w:val="4D9F75D5"/>
    <w:rsid w:val="4DAB7D28"/>
    <w:rsid w:val="4DC87D7D"/>
    <w:rsid w:val="4DDD1EDB"/>
    <w:rsid w:val="4DE80F7C"/>
    <w:rsid w:val="4DFD3E60"/>
    <w:rsid w:val="4E1C52A3"/>
    <w:rsid w:val="4E230DF5"/>
    <w:rsid w:val="4E807407"/>
    <w:rsid w:val="4EA330F5"/>
    <w:rsid w:val="4EB278E6"/>
    <w:rsid w:val="4EB35F20"/>
    <w:rsid w:val="4EB470B0"/>
    <w:rsid w:val="4ECE7984"/>
    <w:rsid w:val="4EDD3D64"/>
    <w:rsid w:val="4F2F0FF2"/>
    <w:rsid w:val="4F561F16"/>
    <w:rsid w:val="4F8A253C"/>
    <w:rsid w:val="4FD572DE"/>
    <w:rsid w:val="4FDC066D"/>
    <w:rsid w:val="4FFF25AD"/>
    <w:rsid w:val="500A32CB"/>
    <w:rsid w:val="502142D2"/>
    <w:rsid w:val="504A72AE"/>
    <w:rsid w:val="50870E47"/>
    <w:rsid w:val="50943D1E"/>
    <w:rsid w:val="50B11AF9"/>
    <w:rsid w:val="50E72179"/>
    <w:rsid w:val="50FC1995"/>
    <w:rsid w:val="50FE4613"/>
    <w:rsid w:val="51856C95"/>
    <w:rsid w:val="51894824"/>
    <w:rsid w:val="51B11685"/>
    <w:rsid w:val="5227392D"/>
    <w:rsid w:val="524E0305"/>
    <w:rsid w:val="52AB2578"/>
    <w:rsid w:val="52AB64C9"/>
    <w:rsid w:val="52AC3333"/>
    <w:rsid w:val="52C534B2"/>
    <w:rsid w:val="52E71802"/>
    <w:rsid w:val="52F65D6E"/>
    <w:rsid w:val="52FF4DD7"/>
    <w:rsid w:val="530C1269"/>
    <w:rsid w:val="53206AC2"/>
    <w:rsid w:val="533A0733"/>
    <w:rsid w:val="53474623"/>
    <w:rsid w:val="53F97C7A"/>
    <w:rsid w:val="542E2280"/>
    <w:rsid w:val="543D5452"/>
    <w:rsid w:val="544C75C8"/>
    <w:rsid w:val="544F0695"/>
    <w:rsid w:val="54770499"/>
    <w:rsid w:val="54B43966"/>
    <w:rsid w:val="54D14506"/>
    <w:rsid w:val="54EB21F5"/>
    <w:rsid w:val="54FF53C6"/>
    <w:rsid w:val="55056B6F"/>
    <w:rsid w:val="55564A1D"/>
    <w:rsid w:val="55756823"/>
    <w:rsid w:val="55801A9A"/>
    <w:rsid w:val="55B300C2"/>
    <w:rsid w:val="55EF275F"/>
    <w:rsid w:val="561B503A"/>
    <w:rsid w:val="5627460C"/>
    <w:rsid w:val="5651299D"/>
    <w:rsid w:val="566B5F8F"/>
    <w:rsid w:val="566D200C"/>
    <w:rsid w:val="56A63783"/>
    <w:rsid w:val="56D54068"/>
    <w:rsid w:val="56F36D7A"/>
    <w:rsid w:val="57014E5D"/>
    <w:rsid w:val="5725579B"/>
    <w:rsid w:val="574134AB"/>
    <w:rsid w:val="574376B4"/>
    <w:rsid w:val="57711FE2"/>
    <w:rsid w:val="578421FC"/>
    <w:rsid w:val="579E08FE"/>
    <w:rsid w:val="57A72EA2"/>
    <w:rsid w:val="57B62A48"/>
    <w:rsid w:val="57B9742D"/>
    <w:rsid w:val="57E02CC4"/>
    <w:rsid w:val="5814296E"/>
    <w:rsid w:val="582901C7"/>
    <w:rsid w:val="58403211"/>
    <w:rsid w:val="58824ECF"/>
    <w:rsid w:val="588540F9"/>
    <w:rsid w:val="588854DF"/>
    <w:rsid w:val="58A27F7A"/>
    <w:rsid w:val="59071FB3"/>
    <w:rsid w:val="591764DD"/>
    <w:rsid w:val="59480B21"/>
    <w:rsid w:val="595C45CC"/>
    <w:rsid w:val="596B480F"/>
    <w:rsid w:val="598D29D8"/>
    <w:rsid w:val="59A85A64"/>
    <w:rsid w:val="5A663955"/>
    <w:rsid w:val="5A6951F3"/>
    <w:rsid w:val="5A6A06F6"/>
    <w:rsid w:val="5A6A7C37"/>
    <w:rsid w:val="5A731BCE"/>
    <w:rsid w:val="5A7B338F"/>
    <w:rsid w:val="5A7E7F78"/>
    <w:rsid w:val="5A851901"/>
    <w:rsid w:val="5A955FE8"/>
    <w:rsid w:val="5AA1673B"/>
    <w:rsid w:val="5AAF4CA2"/>
    <w:rsid w:val="5AD51B54"/>
    <w:rsid w:val="5AE67453"/>
    <w:rsid w:val="5AEC072A"/>
    <w:rsid w:val="5B0E7AA9"/>
    <w:rsid w:val="5B3A12E0"/>
    <w:rsid w:val="5B3C43F9"/>
    <w:rsid w:val="5B4F689D"/>
    <w:rsid w:val="5B8E1F77"/>
    <w:rsid w:val="5C0E31E0"/>
    <w:rsid w:val="5C2515ED"/>
    <w:rsid w:val="5D6F0D72"/>
    <w:rsid w:val="5DA721EE"/>
    <w:rsid w:val="5DD92690"/>
    <w:rsid w:val="5DDA44C4"/>
    <w:rsid w:val="5DDC5CDC"/>
    <w:rsid w:val="5E036058"/>
    <w:rsid w:val="5E0D4729"/>
    <w:rsid w:val="5E27164D"/>
    <w:rsid w:val="5E4541A5"/>
    <w:rsid w:val="5E622188"/>
    <w:rsid w:val="5E6A0C09"/>
    <w:rsid w:val="5E841F66"/>
    <w:rsid w:val="5EA902B4"/>
    <w:rsid w:val="5ED846F5"/>
    <w:rsid w:val="5EF157B7"/>
    <w:rsid w:val="5F014280"/>
    <w:rsid w:val="5F04373C"/>
    <w:rsid w:val="5F0C5367"/>
    <w:rsid w:val="5F3833E6"/>
    <w:rsid w:val="5F555D46"/>
    <w:rsid w:val="5F571ABE"/>
    <w:rsid w:val="5F61742A"/>
    <w:rsid w:val="5F9871DA"/>
    <w:rsid w:val="5FF67EAC"/>
    <w:rsid w:val="5FFE018B"/>
    <w:rsid w:val="600833BA"/>
    <w:rsid w:val="6036368B"/>
    <w:rsid w:val="60363DC9"/>
    <w:rsid w:val="604A2DD9"/>
    <w:rsid w:val="6058765C"/>
    <w:rsid w:val="60804663"/>
    <w:rsid w:val="6098238E"/>
    <w:rsid w:val="60E539A3"/>
    <w:rsid w:val="60E7371E"/>
    <w:rsid w:val="60FD0443"/>
    <w:rsid w:val="612F525A"/>
    <w:rsid w:val="61364C91"/>
    <w:rsid w:val="613A1697"/>
    <w:rsid w:val="61883922"/>
    <w:rsid w:val="6199600F"/>
    <w:rsid w:val="619E75CA"/>
    <w:rsid w:val="61D355A0"/>
    <w:rsid w:val="61E403FB"/>
    <w:rsid w:val="61F47A98"/>
    <w:rsid w:val="62001846"/>
    <w:rsid w:val="620140DF"/>
    <w:rsid w:val="620F042E"/>
    <w:rsid w:val="621E68C3"/>
    <w:rsid w:val="625C50B7"/>
    <w:rsid w:val="62620EA5"/>
    <w:rsid w:val="626647B3"/>
    <w:rsid w:val="62705D86"/>
    <w:rsid w:val="62970423"/>
    <w:rsid w:val="62A61D97"/>
    <w:rsid w:val="62BD1642"/>
    <w:rsid w:val="62BF09F2"/>
    <w:rsid w:val="631C1015"/>
    <w:rsid w:val="6329551F"/>
    <w:rsid w:val="63471D15"/>
    <w:rsid w:val="634C4DBD"/>
    <w:rsid w:val="636B26DB"/>
    <w:rsid w:val="63784A9C"/>
    <w:rsid w:val="637F15E3"/>
    <w:rsid w:val="63956756"/>
    <w:rsid w:val="63A578CC"/>
    <w:rsid w:val="63AA345E"/>
    <w:rsid w:val="63B147CB"/>
    <w:rsid w:val="64145061"/>
    <w:rsid w:val="644F5459"/>
    <w:rsid w:val="6456039C"/>
    <w:rsid w:val="645C3295"/>
    <w:rsid w:val="64A137DB"/>
    <w:rsid w:val="64DB0657"/>
    <w:rsid w:val="64E558BE"/>
    <w:rsid w:val="654F3370"/>
    <w:rsid w:val="655A60B2"/>
    <w:rsid w:val="657F4FCC"/>
    <w:rsid w:val="658514DA"/>
    <w:rsid w:val="658E3D60"/>
    <w:rsid w:val="65BA4B55"/>
    <w:rsid w:val="65BA6903"/>
    <w:rsid w:val="65EA3FE0"/>
    <w:rsid w:val="66124586"/>
    <w:rsid w:val="6616725E"/>
    <w:rsid w:val="66737EE4"/>
    <w:rsid w:val="668141DE"/>
    <w:rsid w:val="66C24F70"/>
    <w:rsid w:val="66FF2835"/>
    <w:rsid w:val="67670D0C"/>
    <w:rsid w:val="6771220F"/>
    <w:rsid w:val="67864576"/>
    <w:rsid w:val="678D611D"/>
    <w:rsid w:val="678E6299"/>
    <w:rsid w:val="67B21482"/>
    <w:rsid w:val="67E74EA8"/>
    <w:rsid w:val="67EB36EB"/>
    <w:rsid w:val="67F02AB0"/>
    <w:rsid w:val="6800317F"/>
    <w:rsid w:val="680700DC"/>
    <w:rsid w:val="68126ECA"/>
    <w:rsid w:val="682E35D8"/>
    <w:rsid w:val="6841122D"/>
    <w:rsid w:val="685D03F9"/>
    <w:rsid w:val="68686AEA"/>
    <w:rsid w:val="68C6767F"/>
    <w:rsid w:val="69273E73"/>
    <w:rsid w:val="694A2693"/>
    <w:rsid w:val="699F28D9"/>
    <w:rsid w:val="69C55155"/>
    <w:rsid w:val="6A042842"/>
    <w:rsid w:val="6A130CD7"/>
    <w:rsid w:val="6A3F7D1E"/>
    <w:rsid w:val="6A51640E"/>
    <w:rsid w:val="6A65178A"/>
    <w:rsid w:val="6A863A05"/>
    <w:rsid w:val="6AA67D9D"/>
    <w:rsid w:val="6AC344AB"/>
    <w:rsid w:val="6AE13432"/>
    <w:rsid w:val="6AEB2C75"/>
    <w:rsid w:val="6B050FEE"/>
    <w:rsid w:val="6B252A70"/>
    <w:rsid w:val="6B482C03"/>
    <w:rsid w:val="6B531AB3"/>
    <w:rsid w:val="6B560266"/>
    <w:rsid w:val="6B5B7BB3"/>
    <w:rsid w:val="6B647ACE"/>
    <w:rsid w:val="6BC7621D"/>
    <w:rsid w:val="6BCE6D20"/>
    <w:rsid w:val="6BD34BC2"/>
    <w:rsid w:val="6C0C513D"/>
    <w:rsid w:val="6C1A459F"/>
    <w:rsid w:val="6C2814C5"/>
    <w:rsid w:val="6C347ED9"/>
    <w:rsid w:val="6C4B378C"/>
    <w:rsid w:val="6C9E6F7E"/>
    <w:rsid w:val="6CCF0D79"/>
    <w:rsid w:val="6CF3576D"/>
    <w:rsid w:val="6D166445"/>
    <w:rsid w:val="6D4E1FD9"/>
    <w:rsid w:val="6D605FE2"/>
    <w:rsid w:val="6D745F31"/>
    <w:rsid w:val="6D8018C0"/>
    <w:rsid w:val="6DCA36D7"/>
    <w:rsid w:val="6DF32FA3"/>
    <w:rsid w:val="6E1B63AC"/>
    <w:rsid w:val="6E213562"/>
    <w:rsid w:val="6E3A4A84"/>
    <w:rsid w:val="6E49547A"/>
    <w:rsid w:val="6E7F3A9C"/>
    <w:rsid w:val="6EB84C34"/>
    <w:rsid w:val="6ED870F8"/>
    <w:rsid w:val="6EE20FB0"/>
    <w:rsid w:val="6EE5266B"/>
    <w:rsid w:val="6F0C75E9"/>
    <w:rsid w:val="6F127BBD"/>
    <w:rsid w:val="6F2F210F"/>
    <w:rsid w:val="6F343BCA"/>
    <w:rsid w:val="6F82139A"/>
    <w:rsid w:val="6F8A37EA"/>
    <w:rsid w:val="6FC860C0"/>
    <w:rsid w:val="6FE13847"/>
    <w:rsid w:val="7034110A"/>
    <w:rsid w:val="70347EC5"/>
    <w:rsid w:val="7037325E"/>
    <w:rsid w:val="704C0A9F"/>
    <w:rsid w:val="70716758"/>
    <w:rsid w:val="707E1956"/>
    <w:rsid w:val="70877D29"/>
    <w:rsid w:val="70BA5135"/>
    <w:rsid w:val="70C865BA"/>
    <w:rsid w:val="710359C7"/>
    <w:rsid w:val="710C4F64"/>
    <w:rsid w:val="712832BA"/>
    <w:rsid w:val="712B4B58"/>
    <w:rsid w:val="712E7CE0"/>
    <w:rsid w:val="7141684A"/>
    <w:rsid w:val="714B2F5B"/>
    <w:rsid w:val="716342F2"/>
    <w:rsid w:val="71BB56FA"/>
    <w:rsid w:val="72556331"/>
    <w:rsid w:val="725C0CF7"/>
    <w:rsid w:val="729C3F60"/>
    <w:rsid w:val="72A44BC2"/>
    <w:rsid w:val="72BD5C84"/>
    <w:rsid w:val="72ED34B8"/>
    <w:rsid w:val="72FA32DB"/>
    <w:rsid w:val="73221F8B"/>
    <w:rsid w:val="733028FA"/>
    <w:rsid w:val="733046A8"/>
    <w:rsid w:val="73315854"/>
    <w:rsid w:val="7349146F"/>
    <w:rsid w:val="73657957"/>
    <w:rsid w:val="738432AB"/>
    <w:rsid w:val="73896160"/>
    <w:rsid w:val="73B47087"/>
    <w:rsid w:val="73C3551C"/>
    <w:rsid w:val="73FE6554"/>
    <w:rsid w:val="74235FBB"/>
    <w:rsid w:val="74625466"/>
    <w:rsid w:val="7491438D"/>
    <w:rsid w:val="749F246B"/>
    <w:rsid w:val="74A83B7E"/>
    <w:rsid w:val="74AF784E"/>
    <w:rsid w:val="74F0721D"/>
    <w:rsid w:val="74FD680C"/>
    <w:rsid w:val="75A46F31"/>
    <w:rsid w:val="75A8117E"/>
    <w:rsid w:val="75E3563F"/>
    <w:rsid w:val="75F24464"/>
    <w:rsid w:val="75FA70B8"/>
    <w:rsid w:val="761E6A3A"/>
    <w:rsid w:val="762A2599"/>
    <w:rsid w:val="7641097A"/>
    <w:rsid w:val="76465CA4"/>
    <w:rsid w:val="76527883"/>
    <w:rsid w:val="767D5E56"/>
    <w:rsid w:val="76967AE3"/>
    <w:rsid w:val="76B068C0"/>
    <w:rsid w:val="76CE0A27"/>
    <w:rsid w:val="76DB2B7D"/>
    <w:rsid w:val="76E01F41"/>
    <w:rsid w:val="76F47013"/>
    <w:rsid w:val="771852A8"/>
    <w:rsid w:val="77471AC4"/>
    <w:rsid w:val="77737259"/>
    <w:rsid w:val="77992DCC"/>
    <w:rsid w:val="77A711E5"/>
    <w:rsid w:val="77BF1197"/>
    <w:rsid w:val="77F122C3"/>
    <w:rsid w:val="77FA431C"/>
    <w:rsid w:val="78186422"/>
    <w:rsid w:val="782347DB"/>
    <w:rsid w:val="784F3822"/>
    <w:rsid w:val="785F3736"/>
    <w:rsid w:val="78700AEC"/>
    <w:rsid w:val="78817E80"/>
    <w:rsid w:val="78881314"/>
    <w:rsid w:val="78FE4D5E"/>
    <w:rsid w:val="792E70E0"/>
    <w:rsid w:val="794970F6"/>
    <w:rsid w:val="79583F1D"/>
    <w:rsid w:val="799F634B"/>
    <w:rsid w:val="79B25E17"/>
    <w:rsid w:val="79BD47BC"/>
    <w:rsid w:val="79E046C3"/>
    <w:rsid w:val="7A1532E7"/>
    <w:rsid w:val="7A41010A"/>
    <w:rsid w:val="7A4C5587"/>
    <w:rsid w:val="7A635363"/>
    <w:rsid w:val="7A6E5710"/>
    <w:rsid w:val="7A8D0632"/>
    <w:rsid w:val="7A9C77AE"/>
    <w:rsid w:val="7AA84A78"/>
    <w:rsid w:val="7AB73F37"/>
    <w:rsid w:val="7ADE09A6"/>
    <w:rsid w:val="7AE968FC"/>
    <w:rsid w:val="7AEE7323"/>
    <w:rsid w:val="7AF8058E"/>
    <w:rsid w:val="7B684125"/>
    <w:rsid w:val="7B7D31C4"/>
    <w:rsid w:val="7BD640AB"/>
    <w:rsid w:val="7BE97AEA"/>
    <w:rsid w:val="7BF14584"/>
    <w:rsid w:val="7C013085"/>
    <w:rsid w:val="7C015831"/>
    <w:rsid w:val="7C057E14"/>
    <w:rsid w:val="7C1253BC"/>
    <w:rsid w:val="7C1B1A99"/>
    <w:rsid w:val="7C423191"/>
    <w:rsid w:val="7C61562B"/>
    <w:rsid w:val="7C8C718A"/>
    <w:rsid w:val="7C9B4EB2"/>
    <w:rsid w:val="7C9B6DD9"/>
    <w:rsid w:val="7CF60710"/>
    <w:rsid w:val="7D444673"/>
    <w:rsid w:val="7D741635"/>
    <w:rsid w:val="7D865993"/>
    <w:rsid w:val="7D982EFE"/>
    <w:rsid w:val="7DC12F45"/>
    <w:rsid w:val="7DD1096F"/>
    <w:rsid w:val="7DE10D4F"/>
    <w:rsid w:val="7DEF65D0"/>
    <w:rsid w:val="7E176B90"/>
    <w:rsid w:val="7E3A287F"/>
    <w:rsid w:val="7E703D97"/>
    <w:rsid w:val="7EAC1F50"/>
    <w:rsid w:val="7EF97A8A"/>
    <w:rsid w:val="7F067F7C"/>
    <w:rsid w:val="7F5A6298"/>
    <w:rsid w:val="7F767868"/>
    <w:rsid w:val="7F912972"/>
    <w:rsid w:val="7FA53B5B"/>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38"/>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7">
    <w:name w:val="heading 2"/>
    <w:basedOn w:val="6"/>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4"/>
    <w:qFormat/>
    <w:uiPriority w:val="0"/>
    <w:pPr>
      <w:spacing w:before="360" w:after="120"/>
      <w:jc w:val="left"/>
      <w:outlineLvl w:val="2"/>
    </w:pPr>
    <w:rPr>
      <w:rFonts w:ascii="宋体" w:hAnsi="Times New Roman" w:eastAsia="宋体"/>
      <w:sz w:val="24"/>
      <w:u w:val="single"/>
    </w:rPr>
  </w:style>
  <w:style w:type="paragraph" w:styleId="9">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line="360" w:lineRule="auto"/>
      <w:ind w:firstLine="570"/>
    </w:pPr>
    <w:rPr>
      <w:rFonts w:ascii="Times New Roman" w:hAnsi="Times New Roman"/>
      <w:sz w:val="24"/>
    </w:rPr>
  </w:style>
  <w:style w:type="paragraph" w:styleId="4">
    <w:name w:val="Normal Indent"/>
    <w:basedOn w:val="1"/>
    <w:next w:val="5"/>
    <w:qFormat/>
    <w:uiPriority w:val="0"/>
    <w:pPr>
      <w:autoSpaceDE w:val="0"/>
      <w:autoSpaceDN w:val="0"/>
      <w:adjustRightInd w:val="0"/>
      <w:ind w:firstLine="420"/>
      <w:jc w:val="left"/>
    </w:pPr>
    <w:rPr>
      <w:rFonts w:ascii="宋体" w:hAnsi="Times New Roman"/>
      <w:kern w:val="0"/>
      <w:sz w:val="24"/>
      <w:szCs w:val="20"/>
    </w:rPr>
  </w:style>
  <w:style w:type="paragraph" w:styleId="5">
    <w:name w:val="toa heading"/>
    <w:basedOn w:val="1"/>
    <w:next w:val="1"/>
    <w:qFormat/>
    <w:uiPriority w:val="0"/>
    <w:pPr>
      <w:widowControl/>
      <w:spacing w:before="120"/>
      <w:ind w:firstLine="3584"/>
    </w:pPr>
  </w:style>
  <w:style w:type="paragraph" w:styleId="10">
    <w:name w:val="annotation text"/>
    <w:basedOn w:val="1"/>
    <w:link w:val="63"/>
    <w:qFormat/>
    <w:uiPriority w:val="0"/>
    <w:pPr>
      <w:jc w:val="left"/>
    </w:pPr>
  </w:style>
  <w:style w:type="paragraph" w:styleId="11">
    <w:name w:val="Body Text"/>
    <w:basedOn w:val="1"/>
    <w:next w:val="1"/>
    <w:qFormat/>
    <w:uiPriority w:val="0"/>
    <w:pPr>
      <w:tabs>
        <w:tab w:val="left" w:pos="567"/>
      </w:tabs>
      <w:spacing w:before="120" w:line="22" w:lineRule="atLeast"/>
    </w:pPr>
    <w:rPr>
      <w:rFonts w:ascii="宋体" w:hAnsi="宋体"/>
      <w:sz w:val="24"/>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rPr>
      <w:rFonts w:ascii="仿宋_GB2312" w:hAnsi="Courier New" w:eastAsia="仿宋_GB2312"/>
      <w:kern w:val="0"/>
      <w:sz w:val="24"/>
    </w:rPr>
  </w:style>
  <w:style w:type="paragraph" w:styleId="15">
    <w:name w:val="Balloon Text"/>
    <w:basedOn w:val="1"/>
    <w:link w:val="62"/>
    <w:qFormat/>
    <w:uiPriority w:val="0"/>
    <w:rPr>
      <w:sz w:val="18"/>
      <w:szCs w:val="18"/>
    </w:r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qFormat/>
    <w:uiPriority w:val="0"/>
    <w:rPr>
      <w:rFonts w:ascii="Times New Roman" w:hAnsi="Times New Roman"/>
    </w:rPr>
  </w:style>
  <w:style w:type="paragraph" w:styleId="19">
    <w:name w:val="footnote text"/>
    <w:basedOn w:val="1"/>
    <w:qFormat/>
    <w:uiPriority w:val="0"/>
    <w:pPr>
      <w:snapToGrid w:val="0"/>
      <w:jc w:val="left"/>
    </w:pPr>
    <w:rPr>
      <w:rFonts w:ascii="Times New Roman" w:hAnsi="Times New Roman"/>
      <w:sz w:val="18"/>
    </w:rPr>
  </w:style>
  <w:style w:type="paragraph" w:styleId="20">
    <w:name w:val="toc 2"/>
    <w:basedOn w:val="1"/>
    <w:next w:val="1"/>
    <w:qFormat/>
    <w:uiPriority w:val="0"/>
    <w:pPr>
      <w:ind w:left="420" w:leftChars="200"/>
    </w:pPr>
    <w:rPr>
      <w:rFonts w:ascii="Times New Roman" w:hAnsi="Times New Roman"/>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3">
    <w:name w:val="annotation subject"/>
    <w:basedOn w:val="10"/>
    <w:next w:val="10"/>
    <w:link w:val="64"/>
    <w:qFormat/>
    <w:uiPriority w:val="0"/>
    <w:rPr>
      <w:b/>
      <w:bCs/>
    </w:rPr>
  </w:style>
  <w:style w:type="paragraph" w:styleId="24">
    <w:name w:val="Body Text First Indent"/>
    <w:basedOn w:val="11"/>
    <w:qFormat/>
    <w:uiPriority w:val="0"/>
    <w:pPr>
      <w:spacing w:after="120" w:line="240" w:lineRule="auto"/>
      <w:ind w:firstLine="420" w:firstLineChars="100"/>
    </w:pPr>
    <w:rPr>
      <w:rFonts w:ascii="Calibri" w:hAnsi="Calibri"/>
      <w:sz w:val="18"/>
      <w:szCs w:val="18"/>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page number"/>
    <w:basedOn w:val="27"/>
    <w:qFormat/>
    <w:uiPriority w:val="0"/>
    <w:rPr>
      <w:rFonts w:ascii="Times New Roman" w:hAnsi="Times New Roman" w:eastAsia="宋体" w:cs="Times New Roman"/>
    </w:rPr>
  </w:style>
  <w:style w:type="character" w:styleId="30">
    <w:name w:val="Hyperlink"/>
    <w:basedOn w:val="27"/>
    <w:qFormat/>
    <w:uiPriority w:val="0"/>
    <w:rPr>
      <w:color w:val="0000FF"/>
      <w:u w:val="single"/>
    </w:rPr>
  </w:style>
  <w:style w:type="character" w:styleId="31">
    <w:name w:val="annotation reference"/>
    <w:basedOn w:val="27"/>
    <w:qFormat/>
    <w:uiPriority w:val="0"/>
    <w:rPr>
      <w:sz w:val="21"/>
      <w:szCs w:val="21"/>
    </w:rPr>
  </w:style>
  <w:style w:type="character" w:styleId="32">
    <w:name w:val="HTML Sample"/>
    <w:basedOn w:val="27"/>
    <w:qFormat/>
    <w:uiPriority w:val="0"/>
    <w:rPr>
      <w:rFonts w:ascii="Courier New" w:hAnsi="Courier New"/>
    </w:rPr>
  </w:style>
  <w:style w:type="paragraph" w:customStyle="1" w:styleId="33">
    <w:name w:val="正文王森"/>
    <w:basedOn w:val="1"/>
    <w:qFormat/>
    <w:uiPriority w:val="0"/>
    <w:pPr>
      <w:spacing w:line="360" w:lineRule="auto"/>
      <w:ind w:firstLine="480" w:firstLineChars="200"/>
    </w:pPr>
    <w:rPr>
      <w:rFonts w:ascii="黑体" w:hAnsi="黑体" w:eastAsia="黑体"/>
      <w:sz w:val="24"/>
    </w:rPr>
  </w:style>
  <w:style w:type="paragraph" w:customStyle="1" w:styleId="34">
    <w:name w:val="List2"/>
    <w:basedOn w:val="1"/>
    <w:qFormat/>
    <w:uiPriority w:val="0"/>
    <w:pPr>
      <w:widowControl/>
      <w:ind w:left="100" w:leftChars="200" w:hanging="200" w:hangingChars="200"/>
      <w:contextualSpacing/>
      <w:textAlignment w:val="baseline"/>
    </w:pPr>
  </w:style>
  <w:style w:type="paragraph" w:customStyle="1" w:styleId="35">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36">
    <w:name w:val="BodyText"/>
    <w:basedOn w:val="1"/>
    <w:qFormat/>
    <w:uiPriority w:val="0"/>
    <w:pPr>
      <w:spacing w:after="120"/>
    </w:pPr>
  </w:style>
  <w:style w:type="paragraph" w:customStyle="1" w:styleId="37">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38">
    <w:name w:val="标题 1 Char"/>
    <w:link w:val="6"/>
    <w:qFormat/>
    <w:uiPriority w:val="0"/>
    <w:rPr>
      <w:rFonts w:ascii="宋体"/>
      <w:b/>
      <w:kern w:val="44"/>
      <w:sz w:val="32"/>
      <w:szCs w:val="20"/>
    </w:rPr>
  </w:style>
  <w:style w:type="paragraph" w:customStyle="1" w:styleId="39">
    <w:name w:val="No Spacing_3b93350b-94da-44fa-8143-641484b951a0"/>
    <w:link w:val="56"/>
    <w:qFormat/>
    <w:uiPriority w:val="1"/>
    <w:pPr>
      <w:widowControl w:val="0"/>
      <w:jc w:val="both"/>
    </w:pPr>
    <w:rPr>
      <w:rFonts w:ascii="Calibri" w:hAnsi="Calibri" w:eastAsia="宋体" w:cs="Times New Roman"/>
      <w:kern w:val="2"/>
      <w:sz w:val="21"/>
      <w:szCs w:val="24"/>
      <w:lang w:val="en-US" w:eastAsia="zh-CN" w:bidi="ar-SA"/>
    </w:rPr>
  </w:style>
  <w:style w:type="character" w:customStyle="1" w:styleId="40">
    <w:name w:val="NormalCharacter"/>
    <w:qFormat/>
    <w:uiPriority w:val="0"/>
    <w:rPr>
      <w:rFonts w:ascii="Calibri" w:hAnsi="Calibri" w:eastAsia="宋体" w:cs="Times New Roman"/>
      <w:kern w:val="2"/>
      <w:sz w:val="21"/>
      <w:szCs w:val="24"/>
      <w:lang w:val="en-US" w:eastAsia="zh-CN" w:bidi="ar-SA"/>
    </w:rPr>
  </w:style>
  <w:style w:type="paragraph" w:customStyle="1" w:styleId="41">
    <w:name w:val="图例"/>
    <w:basedOn w:val="1"/>
    <w:qFormat/>
    <w:uiPriority w:val="0"/>
    <w:pPr>
      <w:spacing w:before="120" w:after="120" w:line="360" w:lineRule="auto"/>
      <w:jc w:val="center"/>
    </w:pPr>
    <w:rPr>
      <w:rFonts w:eastAsia="仿宋_GB2312"/>
      <w:b/>
      <w:sz w:val="24"/>
    </w:rPr>
  </w:style>
  <w:style w:type="paragraph" w:customStyle="1" w:styleId="42">
    <w:name w:val="列出段落1"/>
    <w:basedOn w:val="1"/>
    <w:qFormat/>
    <w:uiPriority w:val="0"/>
    <w:pPr>
      <w:ind w:firstLine="420" w:firstLineChars="200"/>
    </w:pPr>
  </w:style>
  <w:style w:type="paragraph" w:customStyle="1" w:styleId="43">
    <w:name w:val="List Paragraph_7aecd6e6-fc70-4df6-be05-ef790174fbad"/>
    <w:basedOn w:val="1"/>
    <w:qFormat/>
    <w:uiPriority w:val="34"/>
    <w:pPr>
      <w:ind w:firstLine="420" w:firstLineChars="200"/>
    </w:pPr>
  </w:style>
  <w:style w:type="paragraph" w:customStyle="1" w:styleId="44">
    <w:name w:val="正文-manu"/>
    <w:basedOn w:val="1"/>
    <w:qFormat/>
    <w:uiPriority w:val="0"/>
    <w:pPr>
      <w:spacing w:line="300" w:lineRule="auto"/>
    </w:pPr>
    <w:rPr>
      <w:b/>
      <w:snapToGrid w:val="0"/>
      <w:kern w:val="0"/>
      <w:sz w:val="24"/>
      <w:szCs w:val="20"/>
    </w:rPr>
  </w:style>
  <w:style w:type="character" w:customStyle="1" w:styleId="45">
    <w:name w:val="font01"/>
    <w:basedOn w:val="27"/>
    <w:qFormat/>
    <w:uiPriority w:val="0"/>
    <w:rPr>
      <w:rFonts w:hint="default" w:ascii="Arial" w:hAnsi="Arial" w:cs="Arial"/>
      <w:color w:val="000000"/>
      <w:sz w:val="22"/>
      <w:szCs w:val="22"/>
      <w:u w:val="none"/>
    </w:rPr>
  </w:style>
  <w:style w:type="character" w:customStyle="1" w:styleId="46">
    <w:name w:val="font41"/>
    <w:basedOn w:val="27"/>
    <w:qFormat/>
    <w:uiPriority w:val="0"/>
    <w:rPr>
      <w:rFonts w:hint="eastAsia" w:ascii="宋体" w:hAnsi="宋体" w:eastAsia="宋体" w:cs="宋体"/>
      <w:color w:val="000000"/>
      <w:sz w:val="22"/>
      <w:szCs w:val="22"/>
      <w:u w:val="none"/>
    </w:rPr>
  </w:style>
  <w:style w:type="character" w:customStyle="1" w:styleId="47">
    <w:name w:val="font51"/>
    <w:basedOn w:val="27"/>
    <w:qFormat/>
    <w:uiPriority w:val="0"/>
    <w:rPr>
      <w:rFonts w:hint="eastAsia" w:ascii="宋体" w:hAnsi="宋体" w:eastAsia="宋体" w:cs="宋体"/>
      <w:color w:val="000000"/>
      <w:sz w:val="22"/>
      <w:szCs w:val="22"/>
      <w:u w:val="none"/>
    </w:rPr>
  </w:style>
  <w:style w:type="character" w:customStyle="1" w:styleId="48">
    <w:name w:val="font31"/>
    <w:basedOn w:val="27"/>
    <w:qFormat/>
    <w:uiPriority w:val="0"/>
    <w:rPr>
      <w:rFonts w:hint="default" w:ascii="Arial" w:hAnsi="Arial" w:cs="Arial"/>
      <w:b/>
      <w:color w:val="000000"/>
      <w:sz w:val="22"/>
      <w:szCs w:val="22"/>
      <w:u w:val="none"/>
    </w:rPr>
  </w:style>
  <w:style w:type="character" w:customStyle="1" w:styleId="49">
    <w:name w:val="font91"/>
    <w:basedOn w:val="27"/>
    <w:qFormat/>
    <w:uiPriority w:val="0"/>
    <w:rPr>
      <w:rFonts w:hint="default" w:ascii="Arial" w:hAnsi="Arial" w:cs="Arial"/>
      <w:color w:val="000000"/>
      <w:sz w:val="22"/>
      <w:szCs w:val="22"/>
      <w:u w:val="none"/>
    </w:rPr>
  </w:style>
  <w:style w:type="character" w:customStyle="1" w:styleId="50">
    <w:name w:val="font81"/>
    <w:basedOn w:val="27"/>
    <w:qFormat/>
    <w:uiPriority w:val="0"/>
    <w:rPr>
      <w:rFonts w:hint="eastAsia" w:ascii="宋体" w:hAnsi="宋体" w:eastAsia="宋体" w:cs="宋体"/>
      <w:color w:val="000000"/>
      <w:sz w:val="22"/>
      <w:szCs w:val="22"/>
      <w:u w:val="none"/>
    </w:rPr>
  </w:style>
  <w:style w:type="character" w:customStyle="1" w:styleId="51">
    <w:name w:val="font21"/>
    <w:basedOn w:val="27"/>
    <w:qFormat/>
    <w:uiPriority w:val="0"/>
    <w:rPr>
      <w:rFonts w:ascii="微软雅黑" w:hAnsi="微软雅黑" w:eastAsia="微软雅黑" w:cs="微软雅黑"/>
      <w:b/>
      <w:color w:val="000000"/>
      <w:sz w:val="24"/>
      <w:szCs w:val="24"/>
      <w:u w:val="none"/>
    </w:rPr>
  </w:style>
  <w:style w:type="character" w:customStyle="1" w:styleId="52">
    <w:name w:val="font61"/>
    <w:basedOn w:val="27"/>
    <w:qFormat/>
    <w:uiPriority w:val="0"/>
    <w:rPr>
      <w:rFonts w:hint="default" w:ascii="Times New Roman" w:hAnsi="Times New Roman" w:cs="Times New Roman"/>
      <w:b/>
      <w:color w:val="000000"/>
      <w:sz w:val="24"/>
      <w:szCs w:val="24"/>
      <w:u w:val="none"/>
    </w:rPr>
  </w:style>
  <w:style w:type="character" w:customStyle="1" w:styleId="53">
    <w:name w:val="font71"/>
    <w:basedOn w:val="27"/>
    <w:qFormat/>
    <w:uiPriority w:val="0"/>
    <w:rPr>
      <w:rFonts w:hint="eastAsia" w:ascii="微软雅黑" w:hAnsi="微软雅黑" w:eastAsia="微软雅黑" w:cs="微软雅黑"/>
      <w:color w:val="000000"/>
      <w:sz w:val="24"/>
      <w:szCs w:val="24"/>
      <w:u w:val="none"/>
    </w:rPr>
  </w:style>
  <w:style w:type="character" w:customStyle="1" w:styleId="54">
    <w:name w:val="font101"/>
    <w:basedOn w:val="27"/>
    <w:qFormat/>
    <w:uiPriority w:val="0"/>
    <w:rPr>
      <w:rFonts w:hint="default" w:ascii="Times New Roman" w:hAnsi="Times New Roman" w:cs="Times New Roman"/>
      <w:color w:val="000000"/>
      <w:sz w:val="24"/>
      <w:szCs w:val="24"/>
      <w:u w:val="none"/>
    </w:rPr>
  </w:style>
  <w:style w:type="paragraph" w:customStyle="1" w:styleId="55">
    <w:name w:val="_Style 1"/>
    <w:basedOn w:val="1"/>
    <w:qFormat/>
    <w:uiPriority w:val="34"/>
    <w:pPr>
      <w:ind w:firstLine="420" w:firstLineChars="200"/>
    </w:pPr>
  </w:style>
  <w:style w:type="character" w:customStyle="1" w:styleId="56">
    <w:name w:val="无间隔 Char"/>
    <w:link w:val="39"/>
    <w:qFormat/>
    <w:uiPriority w:val="1"/>
    <w:rPr>
      <w:rFonts w:ascii="Calibri" w:hAnsi="Calibri" w:eastAsia="宋体" w:cs="Times New Roman"/>
      <w:kern w:val="2"/>
      <w:sz w:val="21"/>
      <w:szCs w:val="24"/>
      <w:lang w:val="en-US" w:eastAsia="zh-CN" w:bidi="ar-SA"/>
    </w:rPr>
  </w:style>
  <w:style w:type="paragraph" w:customStyle="1" w:styleId="5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8">
    <w:name w:val="索引 11"/>
    <w:basedOn w:val="1"/>
    <w:next w:val="1"/>
    <w:qFormat/>
    <w:uiPriority w:val="0"/>
    <w:pPr>
      <w:spacing w:line="360" w:lineRule="auto"/>
    </w:pPr>
    <w:rPr>
      <w:rFonts w:ascii="仿宋_GB2312" w:eastAsia="仿宋_GB2312"/>
      <w:sz w:val="24"/>
      <w:szCs w:val="20"/>
    </w:rPr>
  </w:style>
  <w:style w:type="paragraph" w:customStyle="1" w:styleId="59">
    <w:name w:val="纯文本1"/>
    <w:basedOn w:val="1"/>
    <w:qFormat/>
    <w:uiPriority w:val="0"/>
    <w:rPr>
      <w:rFonts w:ascii="宋体" w:hAnsi="Courier New"/>
      <w:kern w:val="0"/>
      <w:sz w:val="20"/>
      <w:szCs w:val="20"/>
    </w:rPr>
  </w:style>
  <w:style w:type="paragraph" w:customStyle="1" w:styleId="60">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1">
    <w:name w:val="石墨文档正文"/>
    <w:qFormat/>
    <w:uiPriority w:val="0"/>
    <w:rPr>
      <w:rFonts w:ascii="微软雅黑" w:hAnsi="微软雅黑" w:eastAsia="微软雅黑" w:cs="微软雅黑"/>
      <w:sz w:val="24"/>
      <w:szCs w:val="24"/>
      <w:lang w:val="en-US" w:eastAsia="zh-CN" w:bidi="ar-SA"/>
    </w:rPr>
  </w:style>
  <w:style w:type="character" w:customStyle="1" w:styleId="62">
    <w:name w:val="批注框文本 Char"/>
    <w:basedOn w:val="27"/>
    <w:link w:val="15"/>
    <w:qFormat/>
    <w:uiPriority w:val="0"/>
    <w:rPr>
      <w:kern w:val="2"/>
      <w:sz w:val="18"/>
      <w:szCs w:val="18"/>
    </w:rPr>
  </w:style>
  <w:style w:type="character" w:customStyle="1" w:styleId="63">
    <w:name w:val="批注文字 Char"/>
    <w:basedOn w:val="27"/>
    <w:link w:val="10"/>
    <w:qFormat/>
    <w:uiPriority w:val="0"/>
    <w:rPr>
      <w:kern w:val="2"/>
      <w:sz w:val="21"/>
      <w:szCs w:val="24"/>
    </w:rPr>
  </w:style>
  <w:style w:type="character" w:customStyle="1" w:styleId="64">
    <w:name w:val="批注主题 Char"/>
    <w:basedOn w:val="63"/>
    <w:link w:val="23"/>
    <w:qFormat/>
    <w:uiPriority w:val="0"/>
    <w:rPr>
      <w:b/>
      <w:bCs/>
      <w:kern w:val="2"/>
      <w:sz w:val="21"/>
      <w:szCs w:val="24"/>
    </w:rPr>
  </w:style>
  <w:style w:type="paragraph" w:customStyle="1" w:styleId="65">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6">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6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8">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69">
    <w:name w:val="s1"/>
    <w:basedOn w:val="27"/>
    <w:qFormat/>
    <w:uiPriority w:val="0"/>
    <w:rPr>
      <w:rFonts w:ascii="pingfang sc" w:hAnsi="pingfang sc" w:eastAsia="pingfang sc" w:cs="pingfang sc"/>
      <w:sz w:val="40"/>
      <w:szCs w:val="40"/>
    </w:rPr>
  </w:style>
  <w:style w:type="character" w:customStyle="1" w:styleId="70">
    <w:name w:val="trans"/>
    <w:qFormat/>
    <w:uiPriority w:val="99"/>
  </w:style>
  <w:style w:type="paragraph" w:customStyle="1" w:styleId="71">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2">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3">
    <w:name w:val="PageNumber"/>
    <w:qFormat/>
    <w:uiPriority w:val="99"/>
    <w:rPr>
      <w:rFonts w:cs="Times New Roman"/>
    </w:rPr>
  </w:style>
  <w:style w:type="paragraph" w:customStyle="1" w:styleId="74">
    <w:name w:val="样式1"/>
    <w:basedOn w:val="7"/>
    <w:qFormat/>
    <w:uiPriority w:val="0"/>
    <w:pPr>
      <w:spacing w:before="100" w:beforeAutospacing="1" w:after="100" w:afterAutospacing="1"/>
      <w:ind w:right="100" w:rightChars="100"/>
    </w:pPr>
    <w:rPr>
      <w:sz w:val="21"/>
    </w:rPr>
  </w:style>
  <w:style w:type="paragraph" w:customStyle="1" w:styleId="75">
    <w:name w:val="UserStyle_15"/>
    <w:basedOn w:val="76"/>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6">
    <w:name w:val="Heading2"/>
    <w:basedOn w:val="1"/>
    <w:next w:val="1"/>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77">
    <w:name w:val="UserStyle_2"/>
    <w:link w:val="78"/>
    <w:qFormat/>
    <w:uiPriority w:val="0"/>
    <w:rPr>
      <w:kern w:val="0"/>
      <w:sz w:val="20"/>
      <w:szCs w:val="24"/>
      <w:lang w:val="en-US" w:eastAsia="zh-CN" w:bidi="ar-SA"/>
    </w:rPr>
  </w:style>
  <w:style w:type="paragraph" w:customStyle="1" w:styleId="78">
    <w:name w:val="UserStyle_3"/>
    <w:basedOn w:val="1"/>
    <w:link w:val="77"/>
    <w:qFormat/>
    <w:uiPriority w:val="0"/>
    <w:pPr>
      <w:jc w:val="both"/>
      <w:textAlignment w:val="baseline"/>
    </w:pPr>
    <w:rPr>
      <w:kern w:val="0"/>
      <w:sz w:val="20"/>
      <w:szCs w:val="24"/>
      <w:lang w:val="en-US" w:eastAsia="zh-CN" w:bidi="ar-SA"/>
    </w:rPr>
  </w:style>
  <w:style w:type="paragraph" w:customStyle="1" w:styleId="79">
    <w:name w:val="List Paragraph1"/>
    <w:basedOn w:val="1"/>
    <w:qFormat/>
    <w:uiPriority w:val="0"/>
    <w:pPr>
      <w:ind w:firstLine="420" w:firstLineChars="200"/>
    </w:pPr>
  </w:style>
  <w:style w:type="paragraph" w:customStyle="1" w:styleId="80">
    <w:name w:val="List Paragraph"/>
    <w:basedOn w:val="1"/>
    <w:qFormat/>
    <w:uiPriority w:val="34"/>
    <w:pPr>
      <w:ind w:firstLine="420" w:firstLineChars="200"/>
    </w:pPr>
  </w:style>
  <w:style w:type="paragraph" w:styleId="8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3">
    <w:name w:val="TOC Heading"/>
    <w:basedOn w:val="6"/>
    <w:next w:val="1"/>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4">
    <w:name w:val="标题33"/>
    <w:basedOn w:val="8"/>
    <w:next w:val="33"/>
    <w:qFormat/>
    <w:uiPriority w:val="0"/>
    <w:pPr>
      <w:numPr>
        <w:ilvl w:val="2"/>
        <w:numId w:val="3"/>
      </w:numPr>
      <w:tabs>
        <w:tab w:val="clear" w:pos="720"/>
      </w:tabs>
    </w:pPr>
    <w:rPr>
      <w:rFonts w:hAnsi="黑体" w:eastAsia="黑体"/>
      <w:sz w:val="30"/>
      <w:szCs w:val="30"/>
    </w:rPr>
  </w:style>
  <w:style w:type="paragraph" w:customStyle="1" w:styleId="85">
    <w:name w:val="标题44"/>
    <w:basedOn w:val="9"/>
    <w:next w:val="33"/>
    <w:qFormat/>
    <w:uiPriority w:val="0"/>
    <w:pPr>
      <w:numPr>
        <w:ilvl w:val="3"/>
        <w:numId w:val="3"/>
      </w:numPr>
    </w:pPr>
    <w:rPr>
      <w:sz w:val="30"/>
      <w:szCs w:val="30"/>
    </w:rPr>
  </w:style>
  <w:style w:type="paragraph" w:customStyle="1" w:styleId="86">
    <w:name w:val="表格文字"/>
    <w:basedOn w:val="1"/>
    <w:qFormat/>
    <w:uiPriority w:val="0"/>
    <w:pPr>
      <w:spacing w:before="25" w:after="25"/>
      <w:jc w:val="left"/>
    </w:pPr>
    <w:rPr>
      <w:bCs/>
      <w:spacing w:val="10"/>
      <w:kern w:val="0"/>
      <w:sz w:val="24"/>
    </w:rPr>
  </w:style>
  <w:style w:type="paragraph" w:customStyle="1" w:styleId="87">
    <w:name w:val="p0"/>
    <w:basedOn w:val="1"/>
    <w:qFormat/>
    <w:uiPriority w:val="0"/>
    <w:pPr>
      <w:widowControl/>
    </w:pPr>
    <w:rPr>
      <w:kern w:val="0"/>
      <w:szCs w:val="21"/>
    </w:rPr>
  </w:style>
  <w:style w:type="character" w:customStyle="1" w:styleId="88">
    <w:name w:val="font11"/>
    <w:basedOn w:val="27"/>
    <w:qFormat/>
    <w:uiPriority w:val="0"/>
    <w:rPr>
      <w:rFonts w:hint="eastAsia" w:ascii="宋体" w:hAnsi="宋体" w:eastAsia="宋体" w:cs="宋体"/>
      <w:color w:val="333333"/>
      <w:sz w:val="24"/>
      <w:szCs w:val="24"/>
      <w:u w:val="none"/>
    </w:rPr>
  </w:style>
  <w:style w:type="table" w:customStyle="1" w:styleId="89">
    <w:name w:val="Table Normal"/>
    <w:semiHidden/>
    <w:unhideWhenUsed/>
    <w:qFormat/>
    <w:uiPriority w:val="0"/>
    <w:tblPr>
      <w:tblCellMar>
        <w:top w:w="0" w:type="dxa"/>
        <w:left w:w="0" w:type="dxa"/>
        <w:bottom w:w="0" w:type="dxa"/>
        <w:right w:w="0" w:type="dxa"/>
      </w:tblCellMar>
    </w:tblPr>
  </w:style>
  <w:style w:type="paragraph" w:customStyle="1" w:styleId="90">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1">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71</Pages>
  <Words>41080</Words>
  <Characters>44370</Characters>
  <Paragraphs>2159</Paragraphs>
  <TotalTime>2</TotalTime>
  <ScaleCrop>false</ScaleCrop>
  <LinksUpToDate>false</LinksUpToDate>
  <CharactersWithSpaces>49125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回回去去789@</cp:lastModifiedBy>
  <cp:lastPrinted>2023-03-07T07:07:00Z</cp:lastPrinted>
  <dcterms:modified xsi:type="dcterms:W3CDTF">2023-03-08T05:08:14Z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61BA6FF438D246589DBB246298696034</vt:lpwstr>
  </property>
</Properties>
</file>