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56"/>
          <w:szCs w:val="22"/>
        </w:rPr>
      </w:pP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72"/>
        </w:rPr>
      </w:pPr>
      <w:r>
        <w:rPr>
          <w:rFonts w:hint="eastAsia" w:ascii="宋体" w:hAnsi="宋体" w:eastAsia="宋体" w:cs="宋体"/>
          <w:b/>
          <w:color w:val="000000"/>
          <w:sz w:val="72"/>
          <w:szCs w:val="24"/>
        </w:rPr>
        <w:t>政府采购项目</w:t>
      </w:r>
      <w:r>
        <w:rPr>
          <w:rFonts w:hint="eastAsia" w:ascii="宋体" w:hAnsi="宋体" w:eastAsia="宋体" w:cs="宋体"/>
          <w:b/>
          <w:color w:val="000000"/>
          <w:sz w:val="72"/>
          <w:szCs w:val="24"/>
          <w:lang w:val="en-US" w:eastAsia="zh-CN"/>
        </w:rPr>
        <w:t>竞争性谈判</w:t>
      </w:r>
      <w:r>
        <w:rPr>
          <w:rFonts w:hint="eastAsia" w:ascii="宋体" w:hAnsi="宋体" w:eastAsia="宋体" w:cs="宋体"/>
          <w:b/>
          <w:color w:val="000000"/>
          <w:sz w:val="72"/>
          <w:szCs w:val="24"/>
        </w:rPr>
        <w:t>文件</w:t>
      </w: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p>
    <w:p>
      <w:pPr>
        <w:pageBreakBefore w:val="0"/>
        <w:numPr>
          <w:ilvl w:val="0"/>
          <w:numId w:val="0"/>
        </w:numPr>
        <w:kinsoku/>
        <w:overflowPunct/>
        <w:topLinePunct w:val="0"/>
        <w:autoSpaceDE/>
        <w:autoSpaceDN/>
        <w:bidi w:val="0"/>
        <w:adjustRightInd/>
        <w:snapToGrid/>
        <w:spacing w:line="360" w:lineRule="auto"/>
        <w:jc w:val="center"/>
        <w:textAlignment w:val="auto"/>
        <w:rPr>
          <w:rFonts w:hint="default" w:ascii="宋体" w:hAnsi="宋体" w:eastAsia="宋体" w:cs="宋体"/>
          <w:sz w:val="28"/>
          <w:szCs w:val="28"/>
          <w:lang w:val="en-US"/>
        </w:rPr>
      </w:pPr>
      <w:r>
        <w:rPr>
          <w:rFonts w:hint="eastAsia" w:ascii="宋体" w:hAnsi="宋体" w:eastAsia="宋体" w:cs="宋体"/>
          <w:sz w:val="28"/>
          <w:szCs w:val="28"/>
        </w:rPr>
        <w:t>采购编号：</w:t>
      </w:r>
      <w:r>
        <w:rPr>
          <w:rFonts w:hint="eastAsia" w:ascii="宋体" w:hAnsi="宋体" w:cs="宋体"/>
          <w:sz w:val="28"/>
          <w:szCs w:val="28"/>
          <w:lang w:val="en-US" w:eastAsia="zh-CN"/>
        </w:rPr>
        <w:t>XJXBZJ-MFX-2023-002号</w:t>
      </w:r>
    </w:p>
    <w:p>
      <w:pPr>
        <w:pStyle w:val="14"/>
        <w:numPr>
          <w:ilvl w:val="0"/>
          <w:numId w:val="0"/>
        </w:numPr>
        <w:ind w:leftChars="0"/>
        <w:rPr>
          <w:rFonts w:hint="eastAsia" w:ascii="宋体" w:hAnsi="宋体" w:eastAsia="宋体" w:cs="宋体"/>
        </w:rPr>
      </w:pPr>
    </w:p>
    <w:p>
      <w:pPr>
        <w:pStyle w:val="14"/>
        <w:numPr>
          <w:ilvl w:val="0"/>
          <w:numId w:val="0"/>
        </w:numPr>
        <w:ind w:leftChars="0"/>
        <w:jc w:val="center"/>
        <w:rPr>
          <w:rFonts w:hint="eastAsia" w:ascii="宋体" w:hAnsi="宋体" w:eastAsia="宋体" w:cs="宋体"/>
          <w:lang w:eastAsia="zh-CN"/>
        </w:rPr>
      </w:pPr>
    </w:p>
    <w:p>
      <w:pPr>
        <w:pStyle w:val="15"/>
        <w:rPr>
          <w:rFonts w:hint="eastAsia" w:ascii="宋体" w:hAnsi="宋体" w:eastAsia="宋体" w:cs="宋体"/>
          <w:lang w:val="en-US" w:eastAsia="zh-CN"/>
        </w:rPr>
      </w:pPr>
    </w:p>
    <w:p>
      <w:pPr>
        <w:pStyle w:val="15"/>
        <w:rPr>
          <w:rFonts w:hint="eastAsia" w:ascii="宋体" w:hAnsi="宋体" w:eastAsia="宋体" w:cs="宋体"/>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leftChars="0" w:firstLine="560" w:firstLineChars="200"/>
        <w:textAlignment w:val="auto"/>
        <w:rPr>
          <w:rFonts w:hint="eastAsia" w:ascii="宋体" w:hAnsi="宋体" w:eastAsia="宋体" w:cs="宋体"/>
          <w:bCs/>
          <w:color w:val="000000"/>
          <w:sz w:val="28"/>
          <w:szCs w:val="28"/>
          <w:lang w:val="en-US" w:eastAsia="zh-CN"/>
        </w:rPr>
      </w:pPr>
    </w:p>
    <w:p>
      <w:pPr>
        <w:pStyle w:val="15"/>
        <w:rPr>
          <w:rFonts w:hint="eastAsia" w:ascii="宋体" w:hAnsi="宋体" w:eastAsia="宋体" w:cs="宋体"/>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leftChars="0" w:firstLine="840" w:firstLineChars="3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项目</w:t>
      </w:r>
      <w:r>
        <w:rPr>
          <w:rFonts w:hint="eastAsia" w:ascii="宋体" w:hAnsi="宋体" w:eastAsia="宋体" w:cs="宋体"/>
          <w:bCs/>
          <w:color w:val="000000"/>
          <w:sz w:val="28"/>
          <w:szCs w:val="28"/>
          <w:lang w:val="zh-CN"/>
        </w:rPr>
        <w:t>名称：</w:t>
      </w:r>
      <w:r>
        <w:rPr>
          <w:rFonts w:hint="eastAsia" w:ascii="宋体" w:hAnsi="宋体" w:cs="宋体"/>
          <w:bCs/>
          <w:color w:val="000000"/>
          <w:sz w:val="28"/>
          <w:szCs w:val="28"/>
          <w:lang w:val="en-US" w:eastAsia="zh-CN"/>
        </w:rPr>
        <w:t>民丰县2022年防沙治沙综合示范区建设项目</w:t>
      </w:r>
    </w:p>
    <w:p>
      <w:pPr>
        <w:keepNext w:val="0"/>
        <w:keepLines w:val="0"/>
        <w:pageBreakBefore w:val="0"/>
        <w:widowControl w:val="0"/>
        <w:kinsoku/>
        <w:wordWrap/>
        <w:overflowPunct/>
        <w:topLinePunct w:val="0"/>
        <w:autoSpaceDE w:val="0"/>
        <w:autoSpaceDN w:val="0"/>
        <w:bidi w:val="0"/>
        <w:adjustRightInd w:val="0"/>
        <w:snapToGrid/>
        <w:spacing w:line="360" w:lineRule="auto"/>
        <w:ind w:leftChars="0" w:firstLine="840" w:firstLineChars="3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招 标 人（盖章）：民丰县林业和草原局</w:t>
      </w:r>
    </w:p>
    <w:p>
      <w:pPr>
        <w:keepNext w:val="0"/>
        <w:keepLines w:val="0"/>
        <w:pageBreakBefore w:val="0"/>
        <w:widowControl w:val="0"/>
        <w:kinsoku/>
        <w:wordWrap/>
        <w:overflowPunct/>
        <w:topLinePunct w:val="0"/>
        <w:autoSpaceDE w:val="0"/>
        <w:autoSpaceDN w:val="0"/>
        <w:bidi w:val="0"/>
        <w:adjustRightInd w:val="0"/>
        <w:snapToGrid/>
        <w:spacing w:line="360" w:lineRule="auto"/>
        <w:ind w:leftChars="0" w:firstLine="840" w:firstLineChars="3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联 系 人：管东</w:t>
      </w:r>
    </w:p>
    <w:p>
      <w:pPr>
        <w:keepNext w:val="0"/>
        <w:keepLines w:val="0"/>
        <w:pageBreakBefore w:val="0"/>
        <w:widowControl w:val="0"/>
        <w:kinsoku/>
        <w:wordWrap/>
        <w:overflowPunct/>
        <w:topLinePunct w:val="0"/>
        <w:autoSpaceDE w:val="0"/>
        <w:autoSpaceDN w:val="0"/>
        <w:bidi w:val="0"/>
        <w:adjustRightInd w:val="0"/>
        <w:snapToGrid/>
        <w:spacing w:line="360" w:lineRule="auto"/>
        <w:ind w:leftChars="0" w:firstLine="840" w:firstLineChars="3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电    话：0903-6750275</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招标代理机构（盖章）：新疆西北中建项目管理有限公司</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项目负责人：周梦</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电    话：</w:t>
      </w:r>
      <w:r>
        <w:rPr>
          <w:rFonts w:hint="eastAsia" w:ascii="宋体" w:hAnsi="宋体" w:cs="宋体"/>
          <w:b w:val="0"/>
          <w:bCs/>
          <w:color w:val="000000"/>
          <w:kern w:val="0"/>
          <w:sz w:val="28"/>
          <w:szCs w:val="28"/>
          <w:lang w:val="en-US" w:eastAsia="zh-CN" w:bidi="ar-SA"/>
        </w:rPr>
        <w:t>0903-2023278</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详细地址：</w:t>
      </w:r>
      <w:r>
        <w:rPr>
          <w:rFonts w:hint="eastAsia" w:ascii="宋体" w:hAnsi="宋体" w:cs="宋体"/>
          <w:b w:val="0"/>
          <w:bCs/>
          <w:color w:val="000000"/>
          <w:kern w:val="0"/>
          <w:sz w:val="28"/>
          <w:szCs w:val="28"/>
          <w:lang w:val="en-US" w:eastAsia="zh-CN" w:bidi="ar-SA"/>
        </w:rPr>
        <w:t>和田市台北东路147号万方乐奏三楼（原和田县第二中学院内）</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日    期：202</w:t>
      </w:r>
      <w:r>
        <w:rPr>
          <w:rFonts w:hint="eastAsia" w:ascii="宋体" w:hAnsi="宋体" w:cs="宋体"/>
          <w:b w:val="0"/>
          <w:bCs/>
          <w:color w:val="000000"/>
          <w:kern w:val="0"/>
          <w:sz w:val="28"/>
          <w:szCs w:val="28"/>
          <w:lang w:val="en-US" w:eastAsia="zh-CN" w:bidi="ar-SA"/>
        </w:rPr>
        <w:t>3</w:t>
      </w:r>
      <w:r>
        <w:rPr>
          <w:rFonts w:hint="eastAsia" w:ascii="宋体" w:hAnsi="宋体" w:eastAsia="宋体" w:cs="宋体"/>
          <w:b w:val="0"/>
          <w:bCs/>
          <w:color w:val="000000"/>
          <w:kern w:val="0"/>
          <w:sz w:val="28"/>
          <w:szCs w:val="28"/>
          <w:lang w:val="en-US" w:eastAsia="zh-CN" w:bidi="ar-SA"/>
        </w:rPr>
        <w:t>年03月</w:t>
      </w:r>
    </w:p>
    <w:p>
      <w:pPr>
        <w:jc w:val="both"/>
        <w:rPr>
          <w:rFonts w:hint="eastAsia" w:ascii="宋体" w:hAnsi="宋体" w:eastAsia="宋体" w:cs="宋体"/>
          <w:b/>
          <w:bCs w:val="0"/>
          <w:sz w:val="32"/>
        </w:rPr>
      </w:pPr>
    </w:p>
    <w:p>
      <w:pPr>
        <w:pStyle w:val="2"/>
        <w:rPr>
          <w:rFonts w:hint="eastAsia"/>
        </w:rPr>
      </w:pPr>
    </w:p>
    <w:p>
      <w:pPr>
        <w:jc w:val="center"/>
        <w:rPr>
          <w:rFonts w:hint="eastAsia" w:ascii="宋体" w:hAnsi="宋体" w:eastAsia="宋体" w:cs="宋体"/>
          <w:b/>
          <w:bCs w:val="0"/>
          <w:sz w:val="32"/>
          <w:lang w:val="en-US" w:eastAsia="zh-CN"/>
        </w:rPr>
      </w:pPr>
      <w:r>
        <w:rPr>
          <w:rFonts w:hint="eastAsia" w:ascii="宋体" w:hAnsi="宋体" w:eastAsia="宋体" w:cs="宋体"/>
          <w:b/>
          <w:bCs w:val="0"/>
          <w:sz w:val="32"/>
        </w:rPr>
        <w:t>新疆·和田地区·</w:t>
      </w:r>
      <w:r>
        <w:rPr>
          <w:rFonts w:hint="eastAsia" w:ascii="宋体" w:hAnsi="宋体" w:eastAsia="宋体" w:cs="宋体"/>
          <w:b/>
          <w:bCs w:val="0"/>
          <w:sz w:val="32"/>
          <w:lang w:val="en-US" w:eastAsia="zh-CN"/>
        </w:rPr>
        <w:t>民丰县</w:t>
      </w:r>
    </w:p>
    <w:p>
      <w:pPr>
        <w:rPr>
          <w:rFonts w:hint="eastAsia" w:ascii="宋体" w:hAnsi="宋体" w:eastAsia="宋体" w:cs="宋体"/>
          <w:b/>
          <w:bCs w:val="0"/>
          <w:sz w:val="32"/>
          <w:lang w:val="en-US" w:eastAsia="zh-CN"/>
        </w:rPr>
      </w:pPr>
      <w:r>
        <w:rPr>
          <w:rFonts w:hint="eastAsia" w:ascii="宋体" w:hAnsi="宋体" w:eastAsia="宋体" w:cs="宋体"/>
          <w:b/>
          <w:bCs w:val="0"/>
          <w:sz w:val="32"/>
          <w:lang w:val="en-US" w:eastAsia="zh-CN"/>
        </w:rPr>
        <w:br w:type="page"/>
      </w:r>
    </w:p>
    <w:p>
      <w:pPr>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pPr>
        <w:ind w:left="0" w:leftChars="0" w:firstLine="0" w:firstLineChars="0"/>
        <w:rPr>
          <w:rFonts w:hint="eastAsia" w:ascii="宋体" w:hAnsi="宋体" w:eastAsia="宋体" w:cs="宋体"/>
        </w:rPr>
      </w:pPr>
      <w:r>
        <w:rPr>
          <w:rFonts w:hint="eastAsia" w:ascii="宋体" w:hAnsi="宋体" w:eastAsia="宋体" w:cs="宋体"/>
          <w:b/>
          <w:bCs/>
          <w:color w:val="000000"/>
          <w:sz w:val="32"/>
          <w:szCs w:val="32"/>
        </w:rPr>
        <w:t>招投标监督管理机构备案登记栏</w:t>
      </w:r>
    </w:p>
    <w:tbl>
      <w:tblPr>
        <w:tblStyle w:val="20"/>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3" w:type="dxa"/>
            <w:noWrap w:val="0"/>
            <w:vAlign w:val="top"/>
          </w:tcPr>
          <w:p>
            <w:pPr>
              <w:rPr>
                <w:rFonts w:hint="eastAsia" w:ascii="宋体" w:hAnsi="宋体" w:eastAsia="宋体" w:cs="宋体"/>
                <w:color w:val="000000"/>
                <w:szCs w:val="28"/>
              </w:rPr>
            </w:pPr>
          </w:p>
          <w:p>
            <w:pPr>
              <w:rPr>
                <w:rFonts w:hint="eastAsia" w:ascii="宋体" w:hAnsi="宋体" w:eastAsia="宋体" w:cs="宋体"/>
                <w:color w:val="000000"/>
                <w:szCs w:val="28"/>
              </w:rPr>
            </w:pPr>
          </w:p>
          <w:p>
            <w:pPr>
              <w:rPr>
                <w:rFonts w:hint="eastAsia" w:ascii="宋体" w:hAnsi="宋体" w:eastAsia="宋体" w:cs="宋体"/>
                <w:color w:val="000000"/>
                <w:szCs w:val="28"/>
              </w:rPr>
            </w:pPr>
          </w:p>
          <w:p>
            <w:pPr>
              <w:rPr>
                <w:rFonts w:hint="eastAsia" w:ascii="宋体" w:hAnsi="宋体" w:eastAsia="宋体" w:cs="宋体"/>
                <w:color w:val="000000"/>
                <w:szCs w:val="28"/>
              </w:rPr>
            </w:pPr>
          </w:p>
          <w:p>
            <w:pPr>
              <w:rPr>
                <w:rFonts w:hint="eastAsia" w:ascii="宋体" w:hAnsi="宋体" w:eastAsia="宋体" w:cs="宋体"/>
                <w:color w:val="000000"/>
                <w:szCs w:val="28"/>
              </w:rPr>
            </w:pPr>
          </w:p>
          <w:p>
            <w:pPr>
              <w:pStyle w:val="2"/>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color w:val="000000"/>
                <w:szCs w:val="28"/>
              </w:rPr>
            </w:pPr>
          </w:p>
          <w:p>
            <w:pPr>
              <w:jc w:val="center"/>
              <w:rPr>
                <w:rFonts w:hint="eastAsia" w:ascii="宋体" w:hAnsi="宋体" w:eastAsia="宋体" w:cs="宋体"/>
                <w:color w:val="000000"/>
                <w:szCs w:val="28"/>
              </w:rPr>
            </w:pPr>
          </w:p>
          <w:p>
            <w:pPr>
              <w:jc w:val="center"/>
              <w:rPr>
                <w:rFonts w:hint="eastAsia" w:ascii="宋体" w:hAnsi="宋体" w:eastAsia="宋体" w:cs="宋体"/>
                <w:color w:val="000000"/>
                <w:sz w:val="44"/>
                <w:szCs w:val="44"/>
              </w:rPr>
            </w:pPr>
            <w:r>
              <w:rPr>
                <w:rFonts w:hint="eastAsia" w:ascii="宋体" w:hAnsi="宋体" w:eastAsia="宋体" w:cs="宋体"/>
                <w:color w:val="000000"/>
                <w:sz w:val="44"/>
                <w:szCs w:val="44"/>
              </w:rPr>
              <w:t>本文件已报备</w:t>
            </w:r>
          </w:p>
          <w:p>
            <w:pPr>
              <w:jc w:val="center"/>
              <w:rPr>
                <w:rFonts w:hint="eastAsia" w:ascii="宋体" w:hAnsi="宋体" w:eastAsia="宋体" w:cs="宋体"/>
                <w:color w:val="000000"/>
                <w:szCs w:val="28"/>
              </w:rPr>
            </w:pPr>
          </w:p>
          <w:p>
            <w:pPr>
              <w:pStyle w:val="2"/>
              <w:numPr>
                <w:ilvl w:val="0"/>
                <w:numId w:val="0"/>
              </w:numPr>
              <w:ind w:leftChars="0"/>
              <w:jc w:val="both"/>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26"/>
              <w:rPr>
                <w:rFonts w:hint="eastAsia" w:ascii="宋体" w:hAnsi="宋体" w:eastAsia="宋体" w:cs="宋体"/>
              </w:rPr>
            </w:pPr>
          </w:p>
          <w:p>
            <w:pPr>
              <w:rPr>
                <w:rFonts w:hint="eastAsia" w:ascii="宋体" w:hAnsi="宋体" w:eastAsia="宋体" w:cs="宋体"/>
                <w:color w:val="000000"/>
                <w:szCs w:val="28"/>
              </w:rPr>
            </w:pPr>
          </w:p>
          <w:p>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项目名称：</w:t>
            </w:r>
            <w:r>
              <w:rPr>
                <w:rFonts w:hint="eastAsia" w:ascii="宋体" w:hAnsi="宋体" w:cs="宋体"/>
                <w:color w:val="000000"/>
                <w:sz w:val="28"/>
                <w:szCs w:val="28"/>
                <w:lang w:val="en-US" w:eastAsia="zh-CN"/>
              </w:rPr>
              <w:t>民丰县2022年防沙治沙综合示范区建设项目</w:t>
            </w:r>
          </w:p>
          <w:p>
            <w:pPr>
              <w:pStyle w:val="2"/>
              <w:rPr>
                <w:rFonts w:hint="eastAsia" w:ascii="宋体" w:hAnsi="宋体" w:eastAsia="宋体" w:cs="宋体"/>
                <w:sz w:val="36"/>
                <w:szCs w:val="21"/>
                <w:lang w:val="en-US" w:eastAsia="zh-CN"/>
              </w:rPr>
            </w:pPr>
          </w:p>
          <w:p>
            <w:pPr>
              <w:rPr>
                <w:rFonts w:hint="eastAsia" w:ascii="宋体" w:hAnsi="宋体" w:eastAsia="宋体" w:cs="宋体"/>
                <w:sz w:val="24"/>
                <w:lang w:eastAsia="zh-CN"/>
              </w:rPr>
            </w:pPr>
          </w:p>
          <w:p>
            <w:pPr>
              <w:pStyle w:val="15"/>
              <w:rPr>
                <w:rFonts w:hint="eastAsia"/>
                <w:lang w:eastAsia="zh-CN"/>
              </w:rPr>
            </w:pPr>
          </w:p>
          <w:p>
            <w:pPr>
              <w:rPr>
                <w:rFonts w:hint="eastAsia" w:ascii="宋体" w:hAnsi="宋体" w:eastAsia="宋体" w:cs="宋体"/>
              </w:rPr>
            </w:pPr>
          </w:p>
          <w:p>
            <w:pPr>
              <w:spacing w:line="502" w:lineRule="exact"/>
              <w:ind w:right="20"/>
              <w:rPr>
                <w:rFonts w:hint="eastAsia" w:ascii="宋体" w:hAnsi="宋体" w:eastAsia="宋体" w:cs="宋体"/>
                <w:color w:val="000000"/>
                <w:szCs w:val="28"/>
              </w:rPr>
            </w:pPr>
          </w:p>
        </w:tc>
      </w:tr>
    </w:tbl>
    <w:p>
      <w:pPr>
        <w:pStyle w:val="26"/>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 xml:space="preserve">                                     民丰县政府采购办</w:t>
      </w:r>
    </w:p>
    <w:p>
      <w:pPr>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br w:type="page"/>
      </w:r>
    </w:p>
    <w:p>
      <w:pPr>
        <w:spacing w:before="0" w:beforeLines="0" w:after="0" w:afterLines="0" w:line="240" w:lineRule="auto"/>
        <w:ind w:left="0" w:leftChars="0" w:right="0" w:rightChars="0" w:firstLine="0" w:firstLineChars="0"/>
        <w:jc w:val="center"/>
        <w:rPr>
          <w:rFonts w:hint="eastAsia" w:ascii="宋体" w:hAnsi="宋体" w:eastAsia="宋体" w:cs="宋体"/>
          <w:b/>
          <w:bCs/>
          <w:sz w:val="44"/>
          <w:szCs w:val="44"/>
        </w:rPr>
      </w:pPr>
      <w:bookmarkStart w:id="0" w:name="_Toc13050"/>
      <w:r>
        <w:rPr>
          <w:rFonts w:hint="eastAsia" w:ascii="宋体" w:hAnsi="宋体" w:eastAsia="宋体" w:cs="宋体"/>
          <w:b/>
          <w:bCs/>
          <w:sz w:val="44"/>
          <w:szCs w:val="44"/>
        </w:rPr>
        <w:t>目录</w:t>
      </w:r>
    </w:p>
    <w:p>
      <w:pPr>
        <w:pStyle w:val="27"/>
        <w:keepNext w:val="0"/>
        <w:keepLines w:val="0"/>
        <w:pageBreakBefore w:val="0"/>
        <w:widowControl/>
        <w:tabs>
          <w:tab w:val="right" w:leader="dot" w:pos="9746"/>
        </w:tabs>
        <w:kinsoku/>
        <w:wordWrap/>
        <w:overflowPunct/>
        <w:topLinePunct w:val="0"/>
        <w:autoSpaceDE/>
        <w:autoSpaceDN/>
        <w:bidi w:val="0"/>
        <w:adjustRightInd/>
        <w:snapToGrid/>
        <w:spacing w:line="480" w:lineRule="auto"/>
        <w:textAlignment w:val="auto"/>
        <w:outlineLvl w:val="9"/>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TOC \o "1-1" \h \u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_Toc13050 </w:instrText>
      </w:r>
      <w:r>
        <w:rPr>
          <w:rFonts w:hint="eastAsia" w:ascii="宋体" w:hAnsi="宋体" w:eastAsia="宋体" w:cs="宋体"/>
          <w:sz w:val="28"/>
          <w:szCs w:val="28"/>
        </w:rPr>
        <w:fldChar w:fldCharType="separate"/>
      </w:r>
      <w:r>
        <w:rPr>
          <w:rFonts w:hint="eastAsia" w:ascii="宋体" w:hAnsi="宋体" w:eastAsia="宋体" w:cs="宋体"/>
          <w:kern w:val="2"/>
          <w:sz w:val="28"/>
          <w:szCs w:val="28"/>
          <w:shd w:val="clear" w:color="auto" w:fill="FFFFFF"/>
          <w:lang w:val="en-US" w:eastAsia="zh-CN"/>
        </w:rPr>
        <w:t>第一章 竞争性谈判公告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_Toc13050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pPr>
        <w:pStyle w:val="27"/>
        <w:keepNext w:val="0"/>
        <w:keepLines w:val="0"/>
        <w:pageBreakBefore w:val="0"/>
        <w:widowControl/>
        <w:tabs>
          <w:tab w:val="right" w:leader="dot" w:pos="9746"/>
        </w:tabs>
        <w:kinsoku/>
        <w:wordWrap/>
        <w:overflowPunct/>
        <w:topLinePunct w:val="0"/>
        <w:autoSpaceDE/>
        <w:autoSpaceDN/>
        <w:bidi w:val="0"/>
        <w:adjustRightInd/>
        <w:snapToGrid/>
        <w:spacing w:line="480" w:lineRule="auto"/>
        <w:textAlignment w:val="auto"/>
        <w:outlineLvl w:val="9"/>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_Toc18344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谈判</w:t>
      </w:r>
      <w:r>
        <w:rPr>
          <w:rFonts w:hint="eastAsia" w:ascii="宋体" w:hAnsi="宋体" w:eastAsia="宋体" w:cs="宋体"/>
          <w:sz w:val="28"/>
          <w:szCs w:val="28"/>
          <w:lang w:val="en-US" w:eastAsia="zh-CN"/>
        </w:rPr>
        <w:t>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_Toc18344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cs="宋体"/>
          <w:sz w:val="28"/>
          <w:szCs w:val="28"/>
          <w:lang w:val="en-US" w:eastAsia="zh-CN"/>
        </w:rPr>
        <w:t>3</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pPr>
        <w:pStyle w:val="27"/>
        <w:keepNext w:val="0"/>
        <w:keepLines w:val="0"/>
        <w:pageBreakBefore w:val="0"/>
        <w:widowControl/>
        <w:tabs>
          <w:tab w:val="right" w:leader="dot" w:pos="9746"/>
        </w:tabs>
        <w:kinsoku/>
        <w:wordWrap/>
        <w:overflowPunct/>
        <w:topLinePunct w:val="0"/>
        <w:autoSpaceDE/>
        <w:autoSpaceDN/>
        <w:bidi w:val="0"/>
        <w:adjustRightInd/>
        <w:snapToGrid/>
        <w:spacing w:line="480" w:lineRule="auto"/>
        <w:textAlignment w:val="auto"/>
        <w:outlineLvl w:val="9"/>
        <w:rPr>
          <w:rFonts w:hint="eastAsia" w:ascii="宋体" w:hAnsi="宋体" w:eastAsia="宋体" w:cs="宋体"/>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_Toc31425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第三章 采购需求、技术参数、规格</w:t>
      </w:r>
      <w:r>
        <w:rPr>
          <w:rFonts w:hint="eastAsia" w:ascii="宋体" w:hAnsi="宋体" w:eastAsia="宋体" w:cs="宋体"/>
          <w:sz w:val="28"/>
          <w:szCs w:val="28"/>
        </w:rPr>
        <w:tab/>
      </w:r>
      <w:r>
        <w:rPr>
          <w:rFonts w:hint="eastAsia" w:ascii="宋体" w:hAnsi="宋体" w:cs="宋体"/>
          <w:sz w:val="28"/>
          <w:szCs w:val="28"/>
          <w:lang w:val="en-US" w:eastAsia="zh-CN"/>
        </w:rPr>
        <w:t>2</w:t>
      </w:r>
      <w:r>
        <w:rPr>
          <w:rFonts w:hint="eastAsia" w:ascii="宋体" w:hAnsi="宋体" w:eastAsia="宋体" w:cs="宋体"/>
          <w:color w:val="000000"/>
          <w:sz w:val="28"/>
          <w:szCs w:val="28"/>
        </w:rPr>
        <w:fldChar w:fldCharType="end"/>
      </w:r>
      <w:r>
        <w:rPr>
          <w:rFonts w:hint="eastAsia" w:ascii="宋体" w:hAnsi="宋体" w:cs="宋体"/>
          <w:color w:val="000000"/>
          <w:sz w:val="28"/>
          <w:szCs w:val="28"/>
          <w:lang w:val="en-US" w:eastAsia="zh-CN"/>
        </w:rPr>
        <w:t>3</w:t>
      </w:r>
    </w:p>
    <w:p>
      <w:pPr>
        <w:pStyle w:val="27"/>
        <w:keepNext w:val="0"/>
        <w:keepLines w:val="0"/>
        <w:pageBreakBefore w:val="0"/>
        <w:widowControl/>
        <w:tabs>
          <w:tab w:val="right" w:leader="dot" w:pos="9746"/>
        </w:tabs>
        <w:kinsoku/>
        <w:wordWrap/>
        <w:overflowPunct/>
        <w:topLinePunct w:val="0"/>
        <w:autoSpaceDE/>
        <w:autoSpaceDN/>
        <w:bidi w:val="0"/>
        <w:adjustRightInd/>
        <w:snapToGrid/>
        <w:spacing w:line="480" w:lineRule="auto"/>
        <w:textAlignment w:val="auto"/>
        <w:outlineLvl w:val="9"/>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_Toc12490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第四章 政府采购合同（样本）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_Toc12490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cs="宋体"/>
          <w:sz w:val="28"/>
          <w:szCs w:val="28"/>
          <w:lang w:val="en-US" w:eastAsia="zh-CN"/>
        </w:rPr>
        <w:t>4</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pPr>
        <w:pStyle w:val="27"/>
        <w:keepNext w:val="0"/>
        <w:keepLines w:val="0"/>
        <w:pageBreakBefore w:val="0"/>
        <w:widowControl/>
        <w:tabs>
          <w:tab w:val="right" w:leader="dot" w:pos="9746"/>
        </w:tabs>
        <w:kinsoku/>
        <w:wordWrap/>
        <w:overflowPunct/>
        <w:topLinePunct w:val="0"/>
        <w:autoSpaceDE/>
        <w:autoSpaceDN/>
        <w:bidi w:val="0"/>
        <w:adjustRightInd/>
        <w:snapToGrid/>
        <w:spacing w:line="480" w:lineRule="auto"/>
        <w:textAlignment w:val="auto"/>
        <w:outlineLvl w:val="9"/>
        <w:rPr>
          <w:rFonts w:hint="default" w:ascii="宋体" w:hAnsi="宋体" w:eastAsia="宋体" w:cs="宋体"/>
          <w:sz w:val="28"/>
          <w:szCs w:val="28"/>
          <w:lang w:val="en-US" w:eastAsia="zh-CN"/>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_Toc28193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bidi="ar-SA"/>
        </w:rPr>
        <w:t>第五章 谈判响应文件格式</w:t>
      </w:r>
      <w:r>
        <w:rPr>
          <w:rFonts w:hint="eastAsia" w:ascii="宋体" w:hAnsi="宋体" w:eastAsia="宋体" w:cs="宋体"/>
          <w:sz w:val="28"/>
          <w:szCs w:val="28"/>
        </w:rPr>
        <w:tab/>
      </w:r>
      <w:r>
        <w:rPr>
          <w:rFonts w:hint="eastAsia" w:ascii="宋体" w:hAnsi="宋体" w:eastAsia="宋体" w:cs="宋体"/>
          <w:color w:val="000000"/>
          <w:sz w:val="28"/>
          <w:szCs w:val="28"/>
        </w:rPr>
        <w:fldChar w:fldCharType="end"/>
      </w:r>
      <w:r>
        <w:rPr>
          <w:rFonts w:hint="eastAsia" w:ascii="宋体" w:hAnsi="宋体" w:cs="宋体"/>
          <w:color w:val="000000"/>
          <w:sz w:val="28"/>
          <w:szCs w:val="28"/>
          <w:lang w:val="en-US" w:eastAsia="zh-CN"/>
        </w:rPr>
        <w:t>29</w:t>
      </w:r>
    </w:p>
    <w:p>
      <w:pPr>
        <w:rPr>
          <w:rFonts w:hint="eastAsia" w:ascii="宋体" w:hAnsi="宋体" w:eastAsia="宋体" w:cs="宋体"/>
          <w:b/>
          <w:kern w:val="2"/>
          <w:sz w:val="44"/>
          <w:szCs w:val="44"/>
          <w:shd w:val="clear" w:color="auto" w:fill="FFFFFF"/>
          <w:lang w:val="en-US" w:eastAsia="zh-CN"/>
        </w:rPr>
      </w:pPr>
      <w:r>
        <w:rPr>
          <w:rFonts w:hint="eastAsia" w:ascii="宋体" w:hAnsi="宋体" w:eastAsia="宋体" w:cs="宋体"/>
          <w:color w:val="000000"/>
          <w:sz w:val="28"/>
          <w:szCs w:val="28"/>
        </w:rPr>
        <w:fldChar w:fldCharType="end"/>
      </w:r>
      <w:r>
        <w:rPr>
          <w:rFonts w:hint="eastAsia" w:ascii="宋体" w:hAnsi="宋体" w:eastAsia="宋体" w:cs="宋体"/>
          <w:b/>
          <w:kern w:val="2"/>
          <w:sz w:val="44"/>
          <w:szCs w:val="44"/>
          <w:shd w:val="clear" w:color="auto" w:fill="FFFFFF"/>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center"/>
        <w:textAlignment w:val="baseline"/>
        <w:outlineLvl w:val="0"/>
        <w:rPr>
          <w:rFonts w:hint="eastAsia" w:ascii="宋体" w:hAnsi="宋体" w:eastAsia="宋体" w:cs="宋体"/>
          <w:b/>
          <w:kern w:val="2"/>
          <w:sz w:val="44"/>
          <w:szCs w:val="44"/>
          <w:shd w:val="clear" w:color="auto" w:fill="FFFFFF"/>
          <w:lang w:val="en-US" w:eastAsia="zh-CN"/>
        </w:rPr>
      </w:pPr>
      <w:r>
        <w:rPr>
          <w:rFonts w:hint="eastAsia" w:ascii="宋体" w:hAnsi="宋体" w:eastAsia="宋体" w:cs="宋体"/>
          <w:b/>
          <w:kern w:val="2"/>
          <w:sz w:val="44"/>
          <w:szCs w:val="44"/>
          <w:shd w:val="clear" w:color="auto" w:fill="FFFFFF"/>
          <w:lang w:val="en-US" w:eastAsia="zh-CN"/>
        </w:rPr>
        <w:t xml:space="preserve">第一章 竞争性谈判公告 </w:t>
      </w:r>
      <w:bookmarkEnd w:id="0"/>
    </w:p>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val="0"/>
        <w:spacing w:before="0" w:after="0" w:line="360" w:lineRule="auto"/>
        <w:ind w:left="0" w:leftChars="0" w:firstLine="0" w:firstLineChars="0"/>
        <w:jc w:val="center"/>
        <w:textAlignment w:val="auto"/>
        <w:rPr>
          <w:rFonts w:hint="eastAsia" w:ascii="宋体" w:hAnsi="宋体" w:eastAsia="宋体" w:cs="宋体"/>
          <w:sz w:val="40"/>
          <w:szCs w:val="40"/>
        </w:rPr>
      </w:pPr>
      <w:r>
        <w:rPr>
          <w:rFonts w:hint="eastAsia" w:ascii="宋体" w:hAnsi="宋体" w:eastAsia="宋体" w:cs="宋体"/>
          <w:b/>
          <w:kern w:val="2"/>
          <w:sz w:val="32"/>
          <w:szCs w:val="32"/>
          <w:shd w:val="clear" w:color="auto" w:fill="FFFFFF"/>
          <w:lang w:val="en-US" w:eastAsia="zh-CN"/>
        </w:rPr>
        <w:t>民丰县2022年防沙治沙综合示范区建设项目竞争性谈判公告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民丰县2022年防沙治沙综合示范区建设项目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新疆政府采购网（http://www.ccgp-xinjiang.gov.cn/）</w:t>
      </w:r>
      <w:r>
        <w:rPr>
          <w:rFonts w:hint="eastAsia" w:ascii="宋体" w:hAnsi="宋体" w:eastAsia="宋体" w:cs="宋体"/>
          <w:sz w:val="24"/>
          <w:szCs w:val="24"/>
        </w:rPr>
        <w:t>获取</w:t>
      </w:r>
      <w:r>
        <w:rPr>
          <w:rFonts w:hint="eastAsia" w:ascii="宋体" w:hAnsi="宋体" w:eastAsia="宋体" w:cs="宋体"/>
          <w:sz w:val="24"/>
          <w:szCs w:val="24"/>
          <w:lang w:val="en-US" w:eastAsia="zh-CN"/>
        </w:rPr>
        <w:t>下载</w:t>
      </w:r>
      <w:r>
        <w:rPr>
          <w:rFonts w:hint="eastAsia" w:ascii="宋体" w:hAnsi="宋体" w:eastAsia="宋体" w:cs="宋体"/>
          <w:sz w:val="24"/>
          <w:szCs w:val="24"/>
        </w:rPr>
        <w:t>招标文件，并于</w:t>
      </w:r>
      <w:r>
        <w:rPr>
          <w:rFonts w:hint="eastAsia" w:ascii="宋体" w:hAnsi="宋体" w:cs="宋体"/>
          <w:sz w:val="24"/>
          <w:szCs w:val="24"/>
          <w:u w:val="single"/>
          <w:lang w:val="en-US" w:eastAsia="zh-CN"/>
        </w:rPr>
        <w:t>2023年03月16日11点00分</w:t>
      </w:r>
      <w:r>
        <w:rPr>
          <w:rFonts w:hint="eastAsia" w:ascii="宋体" w:hAnsi="宋体" w:eastAsia="宋体" w:cs="宋体"/>
          <w:bCs/>
          <w:sz w:val="24"/>
          <w:szCs w:val="24"/>
          <w:u w:val="non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rPr>
      </w:pPr>
      <w:bookmarkStart w:id="1" w:name="_Toc35393790"/>
      <w:bookmarkStart w:id="2" w:name="_Toc28359002"/>
      <w:bookmarkStart w:id="3" w:name="_Toc28359079"/>
      <w:bookmarkStart w:id="4" w:name="_Toc35393621"/>
      <w:bookmarkStart w:id="5" w:name="_Hlk24379207"/>
      <w:r>
        <w:rPr>
          <w:rFonts w:hint="eastAsia" w:ascii="宋体" w:hAnsi="宋体" w:eastAsia="宋体" w:cs="宋体"/>
          <w:b/>
          <w:bCs/>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lang w:eastAsia="zh-CN"/>
        </w:rPr>
        <w:t>XJXBZJ-MFX-2023-002号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民丰县2022年防沙治沙综合示范区建设项目</w:t>
      </w:r>
    </w:p>
    <w:bookmarkEnd w:id="5"/>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采购方式：竞争性谈判</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cs="宋体"/>
          <w:sz w:val="24"/>
          <w:szCs w:val="24"/>
          <w:lang w:val="en-US" w:eastAsia="zh-CN"/>
        </w:rPr>
        <w:t>855000</w:t>
      </w:r>
      <w:r>
        <w:rPr>
          <w:rFonts w:hint="eastAsia" w:ascii="宋体" w:hAnsi="宋体" w:eastAsia="宋体" w:cs="宋体"/>
          <w:sz w:val="24"/>
          <w:szCs w:val="24"/>
          <w:lang w:val="en-US" w:eastAsia="zh-CN"/>
        </w:rPr>
        <w:t>.00元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lang w:eastAsia="zh-CN"/>
        </w:rPr>
        <w:t>：</w:t>
      </w:r>
      <w:r>
        <w:rPr>
          <w:rFonts w:hint="eastAsia" w:ascii="宋体" w:hAnsi="宋体" w:cs="宋体"/>
          <w:sz w:val="24"/>
          <w:szCs w:val="24"/>
          <w:lang w:val="en-US" w:eastAsia="zh-CN"/>
        </w:rPr>
        <w:t>855000</w:t>
      </w:r>
      <w:r>
        <w:rPr>
          <w:rFonts w:hint="eastAsia" w:ascii="宋体" w:hAnsi="宋体" w:eastAsia="宋体" w:cs="宋体"/>
          <w:sz w:val="24"/>
          <w:szCs w:val="24"/>
          <w:lang w:val="en-US" w:eastAsia="zh-CN"/>
        </w:rPr>
        <w:t>.00元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简要规格描述或项目基本概况介绍、用途：苗木购置、定植、抚育管护、宣传牌等</w:t>
      </w:r>
      <w:r>
        <w:rPr>
          <w:rFonts w:hint="eastAsia" w:ascii="宋体" w:hAnsi="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具体采购内容及参数，详见</w:t>
      </w:r>
      <w:r>
        <w:rPr>
          <w:rFonts w:hint="eastAsia" w:ascii="宋体" w:hAnsi="宋体" w:eastAsia="宋体" w:cs="宋体"/>
          <w:sz w:val="24"/>
          <w:szCs w:val="24"/>
          <w:lang w:val="en-US" w:eastAsia="zh-CN"/>
        </w:rPr>
        <w:t>谈判</w:t>
      </w:r>
      <w:r>
        <w:rPr>
          <w:rFonts w:hint="eastAsia" w:ascii="宋体" w:hAnsi="宋体" w:eastAsia="宋体" w:cs="宋体"/>
          <w:sz w:val="24"/>
          <w:szCs w:val="24"/>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详见谈判文件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w:t>
      </w:r>
      <w:r>
        <w:rPr>
          <w:rFonts w:hint="eastAsia" w:ascii="宋体" w:hAnsi="宋体" w:eastAsia="宋体" w:cs="宋体"/>
          <w:sz w:val="24"/>
          <w:szCs w:val="24"/>
          <w:lang w:eastAsia="zh-CN"/>
        </w:rPr>
        <w:t>）</w:t>
      </w:r>
      <w:r>
        <w:rPr>
          <w:rFonts w:hint="eastAsia" w:ascii="宋体" w:hAnsi="宋体" w:eastAsia="宋体" w:cs="宋体"/>
          <w:sz w:val="24"/>
          <w:szCs w:val="24"/>
        </w:rPr>
        <w:t>接受联合体投标。</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rPr>
      </w:pPr>
      <w:bookmarkStart w:id="6" w:name="_Toc28359003"/>
      <w:bookmarkStart w:id="7" w:name="_Toc35393622"/>
      <w:bookmarkStart w:id="8" w:name="_Toc28359080"/>
      <w:bookmarkStart w:id="9" w:name="_Toc35393791"/>
      <w:bookmarkStart w:id="10" w:name="_Toc28359082"/>
      <w:bookmarkStart w:id="11" w:name="_Toc28359005"/>
      <w:bookmarkStart w:id="12" w:name="_Toc35393624"/>
      <w:bookmarkStart w:id="13" w:name="_Toc35393793"/>
      <w:r>
        <w:rPr>
          <w:rFonts w:hint="eastAsia" w:ascii="宋体" w:hAnsi="宋体" w:eastAsia="宋体" w:cs="宋体"/>
          <w:b/>
          <w:bCs/>
          <w:sz w:val="24"/>
          <w:szCs w:val="24"/>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bookmarkStart w:id="14" w:name="_Toc28359081"/>
      <w:bookmarkStart w:id="15" w:name="_Toc28359004"/>
      <w:bookmarkStart w:id="16" w:name="_Toc35393623"/>
      <w:bookmarkStart w:id="17" w:name="_Toc35393792"/>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2.落实政府采购政策需满足的资格要求：供应商为中小企业，《政府采购促进中小企业发展管理办法》（财库〔2020〕46号）；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（1）提供经年审合格（三证合一）的营业执照；</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法定代表人投标需携带法定代表人证明书及法定代表人身份证（原件），委托代理人投标需携带法定代表人授权委托书及委托代理人身份证（原件）；提供法定代表人（近3个月）的社保缴费凭证（新成立时间少于三个月的公司，按实际发生提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（3）投标供应商必须具备《林木种子生产许可证》或《林木种子经营许可证》、</w:t>
      </w:r>
      <w:r>
        <w:rPr>
          <w:rFonts w:hint="eastAsia" w:ascii="宋体" w:hAnsi="宋体" w:cs="宋体"/>
          <w:sz w:val="24"/>
          <w:szCs w:val="24"/>
          <w:lang w:eastAsia="zh-CN"/>
        </w:rPr>
        <w:t>《林业植物检疫登记证》</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（4）提供2022年度的财务审计报告原件（2022年01月份后新成立的公司可不提供但需提供银行出具的近三个月的资信证明原件）；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（5）提供税务机关出具近三个月的完税证明（新成立不足三个月的，按实际情况发生提供)；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凡拟参加本次招标项目的投标人，近三年内如在“信用中国网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（7）企业负责人为同一人或者存在直接控股、管理关系的不同投标人，不得参加同一合同项下的政府采购活动。否则，皆取消投标资格；</w:t>
      </w:r>
    </w:p>
    <w:bookmarkEnd w:id="10"/>
    <w:bookmarkEnd w:id="11"/>
    <w:bookmarkEnd w:id="12"/>
    <w:bookmarkEnd w:id="13"/>
    <w:bookmarkEnd w:id="14"/>
    <w:bookmarkEnd w:id="15"/>
    <w:bookmarkEnd w:id="16"/>
    <w:bookmarkEnd w:id="17"/>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时间：2023年03月0</w:t>
      </w:r>
      <w:r>
        <w:rPr>
          <w:rFonts w:hint="eastAsia" w:ascii="宋体" w:hAnsi="宋体" w:cs="宋体"/>
          <w:sz w:val="24"/>
          <w:szCs w:val="24"/>
          <w:lang w:val="en-US" w:eastAsia="zh-CN"/>
        </w:rPr>
        <w:t>9</w:t>
      </w:r>
      <w:r>
        <w:rPr>
          <w:rFonts w:hint="eastAsia" w:ascii="宋体" w:hAnsi="宋体" w:eastAsia="宋体" w:cs="宋体"/>
          <w:sz w:val="24"/>
          <w:szCs w:val="24"/>
        </w:rPr>
        <w:t>日至2023年03月</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日，每天上午00:00至12:00，下午12:00至23:59（北京时间，法定节假日除外）</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地点：新疆政府采购网（http://www.ccgp-xinjiang.gov.cn/）</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方式：供应商登录政采云平台https://www.zcygov.cn/在线申请获取采购文件（进入“项目采购”应用，在获取采购文件菜单中选择项目，申请获取采购文件）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售价（元）：0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cs="宋体"/>
          <w:sz w:val="24"/>
          <w:szCs w:val="24"/>
          <w:lang w:eastAsia="zh-CN"/>
        </w:rPr>
        <w:t>2023年03月16日 11:00</w:t>
      </w:r>
      <w:r>
        <w:rPr>
          <w:rFonts w:hint="eastAsia" w:ascii="宋体" w:hAnsi="宋体" w:eastAsia="宋体" w:cs="宋体"/>
          <w:sz w:val="24"/>
          <w:szCs w:val="24"/>
        </w:rPr>
        <w:t>（北京时间）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地点：民丰县行政服务和公共资源交易中心（民丰县友谊路75号）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五、响应文件开启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开启时间：</w:t>
      </w:r>
      <w:r>
        <w:rPr>
          <w:rFonts w:hint="eastAsia" w:ascii="宋体" w:hAnsi="宋体" w:cs="宋体"/>
          <w:sz w:val="24"/>
          <w:szCs w:val="24"/>
          <w:lang w:eastAsia="zh-CN"/>
        </w:rPr>
        <w:t>2023年03月16日 11:00</w:t>
      </w:r>
      <w:r>
        <w:rPr>
          <w:rFonts w:hint="eastAsia" w:ascii="宋体" w:hAnsi="宋体" w:eastAsia="宋体" w:cs="宋体"/>
          <w:sz w:val="24"/>
          <w:szCs w:val="24"/>
        </w:rPr>
        <w:t>（北京时间）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地点：民丰县行政服务和公共资源交易中心（民丰县友谊路75号）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六、公告期限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七、其他补充事宜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特别提示：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八、凡对本次招标提出询问，请按以下方式联系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bookmarkStart w:id="18" w:name="_Toc28359009"/>
      <w:bookmarkStart w:id="19" w:name="_Toc28359086"/>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民丰县林业和草原局</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址：民丰县兰帕北路15号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联系人：管东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0903-6750275</w:t>
      </w:r>
    </w:p>
    <w:bookmarkEnd w:id="18"/>
    <w:bookmarkEnd w:id="19"/>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称：新疆西北中建项目管理有限公司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w:t>
      </w:r>
      <w:r>
        <w:rPr>
          <w:rFonts w:hint="eastAsia" w:ascii="宋体" w:hAnsi="宋体" w:cs="宋体"/>
          <w:sz w:val="24"/>
          <w:szCs w:val="24"/>
          <w:lang w:val="en-US" w:eastAsia="zh-CN"/>
        </w:rPr>
        <w:t>和田市台北东路147号万方乐奏三楼（原和田县第二中学院内）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联系人：周梦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w:t>
      </w:r>
      <w:r>
        <w:rPr>
          <w:rFonts w:hint="eastAsia" w:ascii="宋体" w:hAnsi="宋体" w:cs="宋体"/>
          <w:sz w:val="24"/>
          <w:szCs w:val="24"/>
          <w:lang w:val="en-US" w:eastAsia="zh-CN"/>
        </w:rPr>
        <w:t>0903-2023278</w:t>
      </w:r>
    </w:p>
    <w:p>
      <w:pPr>
        <w:pageBreakBefore w:val="0"/>
        <w:widowControl w:val="0"/>
        <w:kinsoku/>
        <w:wordWrap/>
        <w:overflowPunct/>
        <w:topLinePunct w:val="0"/>
        <w:bidi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spacing w:line="520" w:lineRule="exact"/>
        <w:jc w:val="center"/>
        <w:outlineLvl w:val="0"/>
        <w:rPr>
          <w:rFonts w:hint="eastAsia" w:ascii="宋体" w:hAnsi="宋体" w:eastAsia="宋体" w:cs="宋体"/>
          <w:b/>
          <w:sz w:val="40"/>
          <w:szCs w:val="40"/>
        </w:rPr>
      </w:pPr>
      <w:bookmarkStart w:id="20" w:name="_Toc20234"/>
      <w:r>
        <w:rPr>
          <w:rFonts w:hint="eastAsia" w:ascii="宋体" w:hAnsi="宋体" w:eastAsia="宋体" w:cs="宋体"/>
          <w:b/>
          <w:sz w:val="40"/>
          <w:szCs w:val="40"/>
        </w:rPr>
        <w:t>投标人须知一览表</w:t>
      </w:r>
      <w:bookmarkEnd w:id="20"/>
    </w:p>
    <w:tbl>
      <w:tblPr>
        <w:tblStyle w:val="20"/>
        <w:tblW w:w="10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1"/>
        <w:gridCol w:w="1742"/>
        <w:gridCol w:w="76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601" w:type="dxa"/>
            <w:tcBorders>
              <w:top w:val="single" w:color="auto" w:sz="12"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742" w:type="dxa"/>
            <w:tcBorders>
              <w:top w:val="single" w:color="auto" w:sz="12" w:space="0"/>
              <w:right w:val="single" w:color="auto" w:sz="4"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条款名称</w:t>
            </w:r>
          </w:p>
        </w:tc>
        <w:tc>
          <w:tcPr>
            <w:tcW w:w="7668" w:type="dxa"/>
            <w:tcBorders>
              <w:top w:val="single" w:color="auto" w:sz="12" w:space="0"/>
              <w:left w:val="single" w:color="auto" w:sz="4"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9"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742"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w:t>
            </w:r>
          </w:p>
        </w:tc>
        <w:tc>
          <w:tcPr>
            <w:tcW w:w="7668" w:type="dxa"/>
            <w:tcBorders>
              <w:left w:val="single" w:color="auto" w:sz="4" w:space="0"/>
            </w:tcBorders>
            <w:noWrap w:val="0"/>
            <w:vAlign w:val="center"/>
          </w:tcPr>
          <w:p>
            <w:pPr>
              <w:spacing w:before="24" w:beforeLines="10" w:after="24" w:afterLines="10" w:line="360" w:lineRule="exact"/>
              <w:ind w:firstLine="0" w:firstLineChars="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名  称：</w:t>
            </w:r>
            <w:r>
              <w:rPr>
                <w:rFonts w:hint="eastAsia" w:ascii="宋体" w:hAnsi="宋体" w:eastAsia="宋体" w:cs="宋体"/>
                <w:sz w:val="24"/>
                <w:szCs w:val="24"/>
                <w:lang w:eastAsia="zh-CN"/>
              </w:rPr>
              <w:t>民丰县林业和草原局</w:t>
            </w:r>
            <w:r>
              <w:rPr>
                <w:rFonts w:hint="eastAsia" w:ascii="宋体" w:hAnsi="宋体" w:eastAsia="宋体" w:cs="宋体"/>
                <w:sz w:val="24"/>
                <w:szCs w:val="24"/>
              </w:rPr>
              <w:t xml:space="preserve"> </w:t>
            </w:r>
          </w:p>
          <w:p>
            <w:pPr>
              <w:spacing w:before="24" w:beforeLines="10" w:after="24" w:afterLines="10" w:line="360" w:lineRule="exact"/>
              <w:ind w:firstLine="0" w:firstLineChars="0"/>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联系人：</w:t>
            </w:r>
            <w:r>
              <w:rPr>
                <w:rFonts w:hint="eastAsia" w:ascii="宋体" w:hAnsi="宋体" w:eastAsia="宋体" w:cs="宋体"/>
                <w:color w:val="000000"/>
                <w:kern w:val="0"/>
                <w:sz w:val="24"/>
                <w:highlight w:val="none"/>
                <w:lang w:val="en-US" w:eastAsia="zh-CN"/>
              </w:rPr>
              <w:t>管东</w:t>
            </w:r>
          </w:p>
          <w:p>
            <w:pPr>
              <w:spacing w:before="24" w:beforeLines="10" w:after="24" w:afterLines="10" w:line="360" w:lineRule="exact"/>
              <w:ind w:firstLine="0" w:firstLineChars="0"/>
              <w:rPr>
                <w:rFonts w:hint="eastAsia" w:ascii="宋体" w:hAnsi="宋体" w:eastAsia="宋体" w:cs="宋体"/>
                <w:color w:val="000000"/>
                <w:sz w:val="24"/>
                <w:highlight w:val="none"/>
                <w:lang w:val="en-US" w:eastAsia="zh-CN"/>
              </w:rPr>
            </w:pPr>
            <w:r>
              <w:rPr>
                <w:rFonts w:hint="eastAsia" w:ascii="宋体" w:hAnsi="宋体" w:eastAsia="宋体" w:cs="宋体"/>
                <w:color w:val="000000"/>
                <w:kern w:val="0"/>
                <w:sz w:val="24"/>
                <w:highlight w:val="none"/>
              </w:rPr>
              <w:t>电  话：</w:t>
            </w:r>
            <w:r>
              <w:rPr>
                <w:rFonts w:hint="eastAsia" w:ascii="宋体" w:hAnsi="宋体" w:eastAsia="宋体" w:cs="宋体"/>
                <w:sz w:val="24"/>
                <w:szCs w:val="24"/>
                <w:lang w:val="en-US" w:eastAsia="zh-CN"/>
              </w:rPr>
              <w:t>0903-6750275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742"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代理机构</w:t>
            </w:r>
          </w:p>
        </w:tc>
        <w:tc>
          <w:tcPr>
            <w:tcW w:w="7668" w:type="dxa"/>
            <w:tcBorders>
              <w:left w:val="single" w:color="auto" w:sz="4" w:space="0"/>
            </w:tcBorders>
            <w:noWrap w:val="0"/>
            <w:vAlign w:val="center"/>
          </w:tcPr>
          <w:p>
            <w:pPr>
              <w:spacing w:before="24" w:beforeLines="10" w:after="24" w:afterLines="10" w:line="360" w:lineRule="exact"/>
              <w:ind w:firstLine="0" w:firstLineChars="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名 称：新疆西北中建项目管理有限公司</w:t>
            </w:r>
          </w:p>
          <w:p>
            <w:pPr>
              <w:spacing w:before="24" w:beforeLines="10" w:after="24" w:afterLines="10" w:line="360" w:lineRule="exact"/>
              <w:ind w:firstLine="0" w:firstLineChars="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地 址：</w:t>
            </w:r>
            <w:r>
              <w:rPr>
                <w:rFonts w:hint="eastAsia" w:ascii="宋体" w:hAnsi="宋体" w:cs="宋体"/>
                <w:color w:val="000000"/>
                <w:sz w:val="24"/>
                <w:highlight w:val="none"/>
                <w:lang w:val="en-US" w:eastAsia="zh-CN"/>
              </w:rPr>
              <w:t>和田市台北东路147号万方乐奏三楼（原和田县第二中学院内）</w:t>
            </w:r>
          </w:p>
          <w:p>
            <w:pPr>
              <w:spacing w:before="24" w:beforeLines="10" w:after="24" w:afterLines="10" w:line="360" w:lineRule="exact"/>
              <w:ind w:firstLine="0" w:firstLineChars="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联系人：周梦</w:t>
            </w:r>
          </w:p>
          <w:p>
            <w:pPr>
              <w:spacing w:before="24" w:beforeLines="10" w:after="24" w:afterLines="10" w:line="360" w:lineRule="exact"/>
              <w:ind w:firstLine="0" w:firstLineChars="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联系方式：</w:t>
            </w:r>
            <w:r>
              <w:rPr>
                <w:rFonts w:hint="eastAsia" w:ascii="宋体" w:hAnsi="宋体" w:cs="宋体"/>
                <w:color w:val="000000"/>
                <w:sz w:val="24"/>
                <w:highlight w:val="none"/>
                <w:lang w:val="en-US" w:eastAsia="zh-CN"/>
              </w:rPr>
              <w:t>0903-2023278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投标企业资格要求</w:t>
            </w:r>
          </w:p>
        </w:tc>
        <w:tc>
          <w:tcPr>
            <w:tcW w:w="766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2.落实政府采购政策需满足的资格要求：供应商为中小企业，《政府采购促进中小企业发展管理办法》（财库〔2020〕46号）；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（1）提供经年审合格（三证合一）的营业执照；</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法定代表人投标需携带法定代表人证明书及法定代表人身份证（原件），委托代理人投标需携带法定代表人授权委托书及委托代理人身份证（原件）；提供法定代表人（近3个月）的社保缴费凭证（新成立时间少于三个月的公司，按实际发生提供）；</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（3）投标供应商必须具备《林木种子生产许可证》或《林木种子经营许可证》、</w:t>
            </w:r>
            <w:r>
              <w:rPr>
                <w:rFonts w:hint="eastAsia" w:ascii="宋体" w:hAnsi="宋体" w:cs="宋体"/>
                <w:color w:val="000000"/>
                <w:kern w:val="0"/>
                <w:sz w:val="24"/>
                <w:highlight w:val="none"/>
                <w:lang w:val="en-US" w:eastAsia="zh-CN"/>
              </w:rPr>
              <w:t>《林业植物检疫登记证》</w:t>
            </w:r>
            <w:r>
              <w:rPr>
                <w:rFonts w:hint="eastAsia" w:ascii="宋体" w:hAnsi="宋体" w:eastAsia="宋体" w:cs="宋体"/>
                <w:color w:val="000000"/>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（4）提供2022年度的财务审计报告原件（2022年01月份后新成立的公司可不提供但需提供银行出具的近三个月的资信证明原件）；</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（5）提供税务机关出具近三个月的完税证明（新成立不足三个月的，按实际情况发生提供)；</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（6）凡拟参加本次招标项目的投标人，近三年内如在“</w:t>
            </w:r>
            <w:bookmarkStart w:id="206" w:name="_GoBack"/>
            <w:bookmarkEnd w:id="206"/>
            <w:r>
              <w:rPr>
                <w:rFonts w:hint="eastAsia" w:ascii="宋体" w:hAnsi="宋体" w:eastAsia="宋体" w:cs="宋体"/>
                <w:color w:val="000000"/>
                <w:kern w:val="0"/>
                <w:sz w:val="24"/>
                <w:highlight w:val="none"/>
                <w:lang w:val="en-US" w:eastAsia="zh-CN"/>
              </w:rPr>
              <w:t>信用中国网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（7）企业负责人为同一人或者存在直接控股、管理关系的不同投标人，不得参加同一合同项下的政府采购活动。否则，皆取消投标资格；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4</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采购项目名称</w:t>
            </w:r>
          </w:p>
        </w:tc>
        <w:tc>
          <w:tcPr>
            <w:tcW w:w="7668"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eastAsia="zh-CN"/>
              </w:rPr>
              <w:t>民丰县2022年防沙治沙综合示范区建设项目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5</w:t>
            </w:r>
          </w:p>
        </w:tc>
        <w:tc>
          <w:tcPr>
            <w:tcW w:w="1742" w:type="dxa"/>
            <w:tcBorders>
              <w:right w:val="single" w:color="auto" w:sz="4" w:space="0"/>
            </w:tcBorders>
            <w:noWrap w:val="0"/>
            <w:vAlign w:val="center"/>
          </w:tcPr>
          <w:p>
            <w:pPr>
              <w:tabs>
                <w:tab w:val="left" w:pos="900"/>
              </w:tabs>
              <w:spacing w:before="24" w:beforeLines="10" w:after="24" w:afterLines="10" w:line="36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w:t>
            </w:r>
          </w:p>
        </w:tc>
        <w:tc>
          <w:tcPr>
            <w:tcW w:w="7668"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上级专项资金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6</w:t>
            </w:r>
          </w:p>
        </w:tc>
        <w:tc>
          <w:tcPr>
            <w:tcW w:w="1742" w:type="dxa"/>
            <w:tcBorders>
              <w:right w:val="single" w:color="auto" w:sz="4" w:space="0"/>
            </w:tcBorders>
            <w:noWrap w:val="0"/>
            <w:vAlign w:val="center"/>
          </w:tcPr>
          <w:p>
            <w:pPr>
              <w:tabs>
                <w:tab w:val="left" w:pos="900"/>
              </w:tabs>
              <w:spacing w:before="24" w:beforeLines="10" w:after="24" w:afterLines="10" w:line="360" w:lineRule="exact"/>
              <w:ind w:firstLine="0" w:firstLineChars="0"/>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最高限价</w:t>
            </w:r>
          </w:p>
        </w:tc>
        <w:tc>
          <w:tcPr>
            <w:tcW w:w="7668"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eastAsia" w:ascii="宋体" w:hAnsi="宋体" w:eastAsia="宋体" w:cs="宋体"/>
                <w:b/>
                <w:bCs/>
                <w:color w:val="000000"/>
                <w:kern w:val="0"/>
                <w:sz w:val="24"/>
                <w:highlight w:val="none"/>
              </w:rPr>
            </w:pPr>
            <w:r>
              <w:rPr>
                <w:rFonts w:hint="eastAsia" w:ascii="宋体" w:hAnsi="宋体" w:cs="宋体"/>
                <w:b/>
                <w:bCs/>
                <w:color w:val="000000"/>
                <w:kern w:val="0"/>
                <w:sz w:val="24"/>
                <w:highlight w:val="none"/>
                <w:lang w:val="en-US" w:eastAsia="zh-CN"/>
              </w:rPr>
              <w:t>855000.</w:t>
            </w:r>
            <w:r>
              <w:rPr>
                <w:rFonts w:hint="eastAsia" w:ascii="宋体" w:hAnsi="宋体" w:eastAsia="宋体" w:cs="宋体"/>
                <w:b/>
                <w:bCs/>
                <w:color w:val="000000"/>
                <w:kern w:val="0"/>
                <w:sz w:val="24"/>
                <w:highlight w:val="none"/>
                <w:lang w:val="en-US" w:eastAsia="zh-CN"/>
              </w:rPr>
              <w:t>00元</w:t>
            </w:r>
            <w:r>
              <w:rPr>
                <w:rFonts w:hint="eastAsia" w:ascii="宋体" w:hAnsi="宋体" w:eastAsia="宋体" w:cs="宋体"/>
                <w:b/>
                <w:bCs/>
                <w:color w:val="000000"/>
                <w:kern w:val="0"/>
                <w:sz w:val="24"/>
                <w:highlight w:val="none"/>
                <w:lang w:eastAsia="zh-CN"/>
              </w:rPr>
              <w:t>。</w:t>
            </w:r>
            <w:r>
              <w:rPr>
                <w:rFonts w:hint="eastAsia" w:ascii="宋体" w:hAnsi="宋体" w:eastAsia="宋体" w:cs="宋体"/>
                <w:b/>
                <w:bCs/>
                <w:color w:val="000000"/>
                <w:kern w:val="0"/>
                <w:sz w:val="24"/>
                <w:highlight w:val="none"/>
              </w:rPr>
              <w:t>(此预算为最高报价，超过为无效报价)</w:t>
            </w:r>
          </w:p>
          <w:p>
            <w:pPr>
              <w:tabs>
                <w:tab w:val="left" w:pos="900"/>
              </w:tabs>
              <w:spacing w:before="24" w:beforeLines="10" w:after="24" w:afterLines="10" w:line="360" w:lineRule="exact"/>
              <w:ind w:firstLine="0" w:firstLineChars="0"/>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投标报价高于预算限价按废标处理，敬请投标人注意！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7</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采购方式</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u w:val="single"/>
                <w:lang w:val="en-US" w:eastAsia="zh-CN"/>
              </w:rPr>
            </w:pPr>
            <w:r>
              <w:rPr>
                <w:rFonts w:hint="eastAsia" w:ascii="宋体" w:hAnsi="宋体" w:eastAsia="宋体" w:cs="宋体"/>
                <w:b w:val="0"/>
                <w:bCs w:val="0"/>
                <w:color w:val="000000"/>
                <w:sz w:val="24"/>
                <w:highlight w:val="none"/>
                <w:u w:val="none"/>
                <w:lang w:val="en-US"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1" w:hRule="atLeast"/>
          <w:jc w:val="center"/>
        </w:trPr>
        <w:tc>
          <w:tcPr>
            <w:tcW w:w="601" w:type="dxa"/>
            <w:vMerge w:val="restart"/>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8</w:t>
            </w:r>
          </w:p>
        </w:tc>
        <w:tc>
          <w:tcPr>
            <w:tcW w:w="1742" w:type="dxa"/>
            <w:vMerge w:val="restart"/>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评标方法</w:t>
            </w:r>
          </w:p>
        </w:tc>
        <w:tc>
          <w:tcPr>
            <w:tcW w:w="7668" w:type="dxa"/>
            <w:tcBorders>
              <w:left w:val="single" w:color="auto" w:sz="4" w:space="0"/>
              <w:bottom w:val="single" w:color="auto" w:sz="4" w:space="0"/>
            </w:tcBorders>
            <w:noWrap w:val="0"/>
            <w:vAlign w:val="center"/>
          </w:tcPr>
          <w:p>
            <w:pPr>
              <w:widowControl w:val="0"/>
              <w:numPr>
                <w:ilvl w:val="0"/>
                <w:numId w:val="0"/>
              </w:numPr>
              <w:tabs>
                <w:tab w:val="left" w:pos="420"/>
              </w:tabs>
              <w:adjustRightInd w:val="0"/>
              <w:snapToGrid w:val="0"/>
              <w:ind w:leftChars="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t>最低价评标法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vMerge w:val="continue"/>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p>
        </w:tc>
        <w:tc>
          <w:tcPr>
            <w:tcW w:w="1742" w:type="dxa"/>
            <w:vMerge w:val="continue"/>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p>
        </w:tc>
        <w:tc>
          <w:tcPr>
            <w:tcW w:w="7668" w:type="dxa"/>
            <w:tcBorders>
              <w:top w:val="single" w:color="auto" w:sz="4" w:space="0"/>
              <w:left w:val="single" w:color="auto" w:sz="4" w:space="0"/>
            </w:tcBorders>
            <w:noWrap w:val="0"/>
            <w:vAlign w:val="center"/>
          </w:tcPr>
          <w:p>
            <w:pPr>
              <w:widowControl w:val="0"/>
              <w:numPr>
                <w:ilvl w:val="0"/>
                <w:numId w:val="0"/>
              </w:numPr>
              <w:tabs>
                <w:tab w:val="left" w:pos="420"/>
              </w:tabs>
              <w:adjustRightInd w:val="0"/>
              <w:snapToGrid w:val="0"/>
              <w:ind w:leftChars="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t>开标会议结束后，进行评标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9</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供货期</w:t>
            </w:r>
            <w:r>
              <w:rPr>
                <w:rFonts w:hint="eastAsia" w:ascii="宋体" w:hAnsi="宋体" w:eastAsia="宋体" w:cs="宋体"/>
                <w:color w:val="auto"/>
                <w:sz w:val="24"/>
                <w:highlight w:val="none"/>
                <w:lang w:val="en-US" w:eastAsia="zh-CN"/>
              </w:rPr>
              <w:t>及地点</w:t>
            </w:r>
          </w:p>
        </w:tc>
        <w:tc>
          <w:tcPr>
            <w:tcW w:w="7668" w:type="dxa"/>
            <w:tcBorders>
              <w:left w:val="single" w:color="auto" w:sz="4" w:space="0"/>
            </w:tcBorders>
            <w:noWrap w:val="0"/>
            <w:vAlign w:val="center"/>
          </w:tcPr>
          <w:p>
            <w:pPr>
              <w:keepNext w:val="0"/>
              <w:keepLines w:val="0"/>
              <w:widowControl/>
              <w:suppressLineNumbers w:val="0"/>
              <w:ind w:firstLine="0" w:firstLineChars="0"/>
              <w:jc w:val="left"/>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供货期：签订合同后30日内完成供货并种植，服务期限1年；</w:t>
            </w:r>
          </w:p>
          <w:p>
            <w:pPr>
              <w:keepNext w:val="0"/>
              <w:keepLines w:val="0"/>
              <w:widowControl/>
              <w:suppressLineNumbers w:val="0"/>
              <w:ind w:firstLine="0" w:firstLineChars="0"/>
              <w:jc w:val="left"/>
              <w:rPr>
                <w:rFonts w:hint="eastAsia" w:ascii="宋体" w:hAnsi="宋体" w:eastAsia="宋体" w:cs="宋体"/>
                <w:color w:val="auto"/>
                <w:sz w:val="24"/>
                <w:highlight w:val="none"/>
              </w:rPr>
            </w:pPr>
            <w:r>
              <w:rPr>
                <w:rFonts w:hint="eastAsia" w:ascii="宋体" w:hAnsi="宋体" w:cs="宋体"/>
                <w:color w:val="auto"/>
                <w:kern w:val="0"/>
                <w:sz w:val="24"/>
                <w:szCs w:val="24"/>
                <w:lang w:val="en-US" w:eastAsia="zh-CN" w:bidi="ar"/>
              </w:rPr>
              <w:t>服务</w:t>
            </w:r>
            <w:r>
              <w:rPr>
                <w:rFonts w:hint="eastAsia" w:ascii="宋体" w:hAnsi="宋体" w:eastAsia="宋体" w:cs="宋体"/>
                <w:color w:val="auto"/>
                <w:kern w:val="0"/>
                <w:sz w:val="24"/>
                <w:szCs w:val="24"/>
                <w:lang w:val="en-US" w:eastAsia="zh-CN" w:bidi="ar"/>
              </w:rPr>
              <w:t>地点：采购人指定具体地点</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en-US" w:eastAsia="zh-CN"/>
              </w:rPr>
              <w:t>民丰县林业和草原局</w:t>
            </w:r>
            <w:r>
              <w:rPr>
                <w:rFonts w:hint="eastAsia" w:ascii="宋体" w:hAnsi="宋体" w:eastAsia="宋体" w:cs="宋体"/>
                <w:color w:val="auto"/>
                <w:sz w:val="24"/>
                <w:highlight w:val="none"/>
              </w:rPr>
              <w:t>指定）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0</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联合体投标</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1</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考察现场、标前答疑会</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招标采购单位认为有必要，另行书面通知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2</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投标人对招标文件提出质疑的时间</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自招标文件发售时间起的</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个工作日内（各潜在投标人如有质疑，请于规定的日期内提出，以书面形式提出质疑，质疑书应列明理由、依据，加盖单位公章递交至新疆西北中建项目管理有限公司；投标人须对质疑内容的真实性承担责任，由招标人或招标代理机构负责解释。如在规定的日期内未收到任何投标人递交的质疑书，视为投标人可完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7"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3</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构成招标文件的其他文件</w:t>
            </w:r>
          </w:p>
        </w:tc>
        <w:tc>
          <w:tcPr>
            <w:tcW w:w="7668" w:type="dxa"/>
            <w:tcBorders>
              <w:left w:val="single" w:color="auto" w:sz="4" w:space="0"/>
            </w:tcBorders>
            <w:noWrap w:val="0"/>
            <w:vAlign w:val="center"/>
          </w:tcPr>
          <w:p>
            <w:pPr>
              <w:spacing w:line="240" w:lineRule="auto"/>
              <w:ind w:firstLine="0"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601" w:type="dxa"/>
            <w:noWrap w:val="0"/>
            <w:vAlign w:val="center"/>
          </w:tcPr>
          <w:p>
            <w:pPr>
              <w:spacing w:line="360" w:lineRule="exact"/>
              <w:ind w:firstLine="0" w:firstLineChars="0"/>
              <w:jc w:val="center"/>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rPr>
              <w:t>1</w:t>
            </w:r>
            <w:r>
              <w:rPr>
                <w:rFonts w:hint="eastAsia" w:ascii="宋体" w:hAnsi="宋体" w:eastAsia="宋体" w:cs="宋体"/>
                <w:bCs/>
                <w:color w:val="000000"/>
                <w:sz w:val="24"/>
                <w:highlight w:val="none"/>
                <w:lang w:val="en-US" w:eastAsia="zh-CN"/>
              </w:rPr>
              <w:t>4</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投标截止时间</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000000"/>
                <w:sz w:val="24"/>
                <w:highlight w:val="none"/>
              </w:rPr>
            </w:pPr>
            <w:r>
              <w:rPr>
                <w:rFonts w:hint="eastAsia" w:ascii="宋体" w:hAnsi="宋体" w:cs="宋体"/>
                <w:bCs/>
                <w:color w:val="000000"/>
                <w:sz w:val="24"/>
                <w:highlight w:val="none"/>
                <w:lang w:val="en-US" w:eastAsia="zh-CN"/>
              </w:rPr>
              <w:t>2023年03月16日11：00</w:t>
            </w:r>
            <w:r>
              <w:rPr>
                <w:rFonts w:hint="eastAsia" w:ascii="宋体" w:hAnsi="宋体" w:eastAsia="宋体" w:cs="宋体"/>
                <w:bCs/>
                <w:color w:val="000000"/>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5</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投标有效期</w:t>
            </w:r>
          </w:p>
        </w:tc>
        <w:tc>
          <w:tcPr>
            <w:tcW w:w="7668"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60</w:t>
            </w:r>
            <w:r>
              <w:rPr>
                <w:rFonts w:hint="eastAsia" w:ascii="宋体" w:hAnsi="宋体" w:eastAsia="宋体" w:cs="宋体"/>
                <w:bCs/>
                <w:color w:val="000000"/>
                <w:sz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投标保证金</w:t>
            </w:r>
          </w:p>
        </w:tc>
        <w:tc>
          <w:tcPr>
            <w:tcW w:w="7668" w:type="dxa"/>
            <w:tcBorders>
              <w:lef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bCs w:val="0"/>
                <w:color w:val="000000"/>
                <w:sz w:val="24"/>
                <w:highlight w:val="none"/>
              </w:rPr>
            </w:pPr>
            <w:r>
              <w:rPr>
                <w:rFonts w:hint="eastAsia" w:ascii="宋体" w:hAnsi="宋体" w:eastAsia="宋体" w:cs="宋体"/>
                <w:b/>
                <w:bCs w:val="0"/>
                <w:color w:val="000000"/>
                <w:sz w:val="24"/>
                <w:highlight w:val="none"/>
              </w:rPr>
              <w:t>投标保证金的形式：转账、汇款（须从供应商基本账户转出）；</w:t>
            </w:r>
          </w:p>
          <w:p>
            <w:pPr>
              <w:keepNext w:val="0"/>
              <w:keepLines w:val="0"/>
              <w:suppressLineNumbers w:val="0"/>
              <w:spacing w:before="0" w:beforeAutospacing="0" w:after="0" w:afterAutospacing="0" w:line="360" w:lineRule="auto"/>
              <w:ind w:left="0" w:right="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投标保证金：¥</w:t>
            </w:r>
            <w:r>
              <w:rPr>
                <w:rFonts w:hint="eastAsia" w:ascii="宋体" w:hAnsi="宋体" w:cs="宋体"/>
                <w:b/>
                <w:color w:val="000000"/>
                <w:sz w:val="24"/>
                <w:highlight w:val="none"/>
                <w:lang w:val="en-US" w:eastAsia="zh-CN"/>
              </w:rPr>
              <w:t>8</w:t>
            </w:r>
            <w:r>
              <w:rPr>
                <w:rFonts w:hint="eastAsia" w:ascii="宋体" w:hAnsi="宋体" w:eastAsia="宋体" w:cs="宋体"/>
                <w:b/>
                <w:color w:val="000000"/>
                <w:sz w:val="24"/>
                <w:highlight w:val="none"/>
                <w:lang w:val="en-US" w:eastAsia="zh-CN"/>
              </w:rPr>
              <w:t>000.00元（</w:t>
            </w:r>
            <w:r>
              <w:rPr>
                <w:rFonts w:hint="eastAsia" w:ascii="宋体" w:hAnsi="宋体" w:cs="宋体"/>
                <w:b/>
                <w:color w:val="000000"/>
                <w:sz w:val="24"/>
                <w:highlight w:val="none"/>
                <w:lang w:val="en-US" w:eastAsia="zh-CN"/>
              </w:rPr>
              <w:t>捌仟元整</w:t>
            </w:r>
            <w:r>
              <w:rPr>
                <w:rFonts w:hint="eastAsia" w:ascii="宋体" w:hAnsi="宋体" w:eastAsia="宋体" w:cs="宋体"/>
                <w:b/>
                <w:color w:val="000000"/>
                <w:sz w:val="24"/>
                <w:highlight w:val="none"/>
                <w:lang w:val="en-US" w:eastAsia="zh-CN"/>
              </w:rPr>
              <w:t>）</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请于招标文件指定日期前将投标保证金足额汇入（存入）以下账户：</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 xml:space="preserve">投开户名称：民丰县行政服务和公共资源交易中心 </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 xml:space="preserve">开户银行：中国农业银行股份有限公司民丰县支行 </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账号：30582301040020842</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特别注意：投标人请于投标截止时间及开标时间前将投标保证金缴入指定账户，注明项目名称及用途，以进账时间为准确定投标保证金缴纳的时效性，无须到民丰县公共资源交易中心换取收据，开标时需携带投标保证金电子回单。</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投标保证金有效期应当与投标有效期一致。</w:t>
            </w:r>
          </w:p>
          <w:p>
            <w:pPr>
              <w:spacing w:line="360" w:lineRule="auto"/>
              <w:ind w:firstLine="0" w:firstLineChars="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由投标人基本账户汇出，且不得以分公司的名义转账。</w:t>
            </w:r>
          </w:p>
          <w:p>
            <w:pPr>
              <w:spacing w:line="360" w:lineRule="auto"/>
              <w:ind w:firstLine="0" w:firstLineChars="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投标单位须在汇款单备注栏标明：XXX项目XXX包段（标段）及项目编号。</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退保证金需要：投标保证金回执单、法定代表人证明书（原件）及法定代表人身份证（原件），委托代理人投标需携带法定代表人授权委托书（原件）及委托代理人身份证（原件）、开户许可证、退回保证金收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备选投标方案和报价</w:t>
            </w:r>
          </w:p>
        </w:tc>
        <w:tc>
          <w:tcPr>
            <w:tcW w:w="7668" w:type="dxa"/>
            <w:tcBorders>
              <w:left w:val="single" w:color="auto" w:sz="4" w:space="0"/>
            </w:tcBorders>
            <w:noWrap w:val="0"/>
            <w:vAlign w:val="center"/>
          </w:tcPr>
          <w:p>
            <w:pPr>
              <w:spacing w:line="360" w:lineRule="auto"/>
              <w:jc w:val="both"/>
              <w:rPr>
                <w:rFonts w:hint="eastAsia" w:ascii="宋体" w:hAnsi="宋体" w:eastAsia="宋体" w:cs="宋体"/>
                <w:bCs/>
                <w:color w:val="000000"/>
                <w:sz w:val="24"/>
              </w:rPr>
            </w:pPr>
            <w:r>
              <w:rPr>
                <w:rFonts w:hint="eastAsia" w:ascii="宋体" w:hAnsi="宋体" w:eastAsia="宋体" w:cs="宋体"/>
                <w:bCs/>
                <w:color w:val="000000"/>
                <w:sz w:val="24"/>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18</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签字或盖章</w:t>
            </w:r>
          </w:p>
        </w:tc>
        <w:tc>
          <w:tcPr>
            <w:tcW w:w="7668" w:type="dxa"/>
            <w:tcBorders>
              <w:left w:val="single" w:color="auto" w:sz="4" w:space="0"/>
            </w:tcBorders>
            <w:noWrap w:val="0"/>
            <w:vAlign w:val="center"/>
          </w:tcPr>
          <w:p>
            <w:pPr>
              <w:spacing w:line="240" w:lineRule="auto"/>
              <w:jc w:val="both"/>
              <w:rPr>
                <w:rFonts w:hint="eastAsia" w:ascii="宋体" w:hAnsi="宋体" w:eastAsia="宋体" w:cs="宋体"/>
                <w:bCs/>
                <w:color w:val="000000"/>
                <w:sz w:val="24"/>
              </w:rPr>
            </w:pPr>
            <w:r>
              <w:rPr>
                <w:rFonts w:hint="eastAsia" w:ascii="宋体" w:hAnsi="宋体" w:eastAsia="宋体" w:cs="宋体"/>
                <w:bCs/>
                <w:color w:val="000000"/>
                <w:sz w:val="24"/>
              </w:rPr>
              <w:t>投标人必须按照招标文件的规定和要求签字</w:t>
            </w:r>
            <w:r>
              <w:rPr>
                <w:rFonts w:hint="eastAsia" w:ascii="宋体" w:hAnsi="宋体" w:eastAsia="宋体" w:cs="宋体"/>
                <w:bCs/>
                <w:color w:val="000000"/>
                <w:sz w:val="24"/>
                <w:lang w:val="en-US" w:eastAsia="zh-CN"/>
              </w:rPr>
              <w:t>或</w:t>
            </w:r>
            <w:r>
              <w:rPr>
                <w:rFonts w:hint="eastAsia" w:ascii="宋体" w:hAnsi="宋体" w:eastAsia="宋体" w:cs="宋体"/>
                <w:bCs/>
                <w:color w:val="000000"/>
                <w:sz w:val="24"/>
              </w:rPr>
              <w:t>盖章（法人代表的签字可用具有法定效力的签字章）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19</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投标文件份数</w:t>
            </w:r>
          </w:p>
        </w:tc>
        <w:tc>
          <w:tcPr>
            <w:tcW w:w="7668" w:type="dxa"/>
            <w:tcBorders>
              <w:left w:val="single" w:color="auto" w:sz="4" w:space="0"/>
            </w:tcBorders>
            <w:noWrap w:val="0"/>
            <w:vAlign w:val="center"/>
          </w:tcPr>
          <w:p>
            <w:pPr>
              <w:spacing w:line="240" w:lineRule="auto"/>
              <w:ind w:left="715" w:leftChars="1" w:hanging="712" w:hangingChars="297"/>
              <w:jc w:val="both"/>
              <w:rPr>
                <w:rFonts w:hint="eastAsia" w:ascii="宋体" w:hAnsi="宋体" w:eastAsia="宋体" w:cs="宋体"/>
                <w:lang w:val="en-US" w:eastAsia="zh-CN"/>
              </w:rPr>
            </w:pPr>
            <w:r>
              <w:rPr>
                <w:rFonts w:hint="eastAsia" w:ascii="宋体" w:hAnsi="宋体" w:eastAsia="宋体" w:cs="宋体"/>
                <w:bCs/>
                <w:color w:val="000000"/>
                <w:sz w:val="24"/>
              </w:rPr>
              <w:t>投标文件：一份正本、</w:t>
            </w:r>
            <w:r>
              <w:rPr>
                <w:rFonts w:hint="eastAsia" w:ascii="宋体" w:hAnsi="宋体" w:eastAsia="宋体" w:cs="宋体"/>
                <w:bCs/>
                <w:color w:val="000000"/>
                <w:sz w:val="24"/>
                <w:lang w:val="en-US" w:eastAsia="zh-CN"/>
              </w:rPr>
              <w:t>三</w:t>
            </w:r>
            <w:r>
              <w:rPr>
                <w:rFonts w:hint="eastAsia" w:ascii="宋体" w:hAnsi="宋体" w:eastAsia="宋体" w:cs="宋体"/>
                <w:bCs/>
                <w:color w:val="000000"/>
                <w:sz w:val="24"/>
              </w:rPr>
              <w:t>份副本、一份电子档（</w:t>
            </w:r>
            <w:r>
              <w:rPr>
                <w:rFonts w:hint="eastAsia" w:ascii="宋体" w:hAnsi="宋体" w:eastAsia="宋体" w:cs="宋体"/>
                <w:bCs/>
                <w:color w:val="000000"/>
                <w:sz w:val="24"/>
                <w:lang w:val="en-US" w:eastAsia="zh-CN"/>
              </w:rPr>
              <w:t>光盘和U盘</w:t>
            </w:r>
            <w:r>
              <w:rPr>
                <w:rFonts w:hint="eastAsia" w:ascii="宋体" w:hAnsi="宋体" w:eastAsia="宋体" w:cs="宋体"/>
                <w:bCs/>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0</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投标文件封面的标注</w:t>
            </w:r>
          </w:p>
        </w:tc>
        <w:tc>
          <w:tcPr>
            <w:tcW w:w="7668" w:type="dxa"/>
            <w:tcBorders>
              <w:left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投标文件正本和副本的封面上均应标明：投标项目名称、项目编号、</w:t>
            </w:r>
          </w:p>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分包号（如有分包）、投标人名称、年月日；并分别在右上角标明“正</w:t>
            </w:r>
          </w:p>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本”和“副本”字样，并加盖单位公章。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1</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投标文件外层密封袋的标注</w:t>
            </w:r>
          </w:p>
        </w:tc>
        <w:tc>
          <w:tcPr>
            <w:tcW w:w="7668"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（1）采购人名称；</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（2）项目名称、项目编号；</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（3）招标代理机构名称；</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（4）投标人名称；</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（5）投标人法人签字或盖章；</w:t>
            </w:r>
          </w:p>
          <w:p>
            <w:pPr>
              <w:ind w:firstLine="0" w:firstLineChars="0"/>
              <w:rPr>
                <w:rFonts w:hint="eastAsia" w:ascii="宋体" w:hAnsi="宋体" w:eastAsia="宋体" w:cs="宋体"/>
                <w:sz w:val="21"/>
                <w:lang w:val="en-US" w:eastAsia="zh-CN"/>
              </w:rPr>
            </w:pPr>
            <w:r>
              <w:rPr>
                <w:rFonts w:hint="eastAsia" w:ascii="宋体" w:hAnsi="宋体" w:eastAsia="宋体" w:cs="宋体"/>
                <w:sz w:val="24"/>
                <w:szCs w:val="24"/>
                <w:lang w:val="en-US" w:eastAsia="zh-CN"/>
              </w:rPr>
              <w:t>（6）     年   月   日上午    时    分开标，此时间以前不得开封。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2</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递交投标文件的地点</w:t>
            </w:r>
          </w:p>
        </w:tc>
        <w:tc>
          <w:tcPr>
            <w:tcW w:w="7668" w:type="dxa"/>
            <w:tcBorders>
              <w:left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lang w:eastAsia="zh-CN"/>
              </w:rPr>
            </w:pPr>
            <w:r>
              <w:rPr>
                <w:rFonts w:hint="eastAsia" w:ascii="宋体" w:hAnsi="宋体" w:cs="宋体"/>
                <w:sz w:val="24"/>
                <w:szCs w:val="24"/>
                <w:lang w:eastAsia="zh-CN"/>
              </w:rPr>
              <w:t>民丰县行政服务和公共资源交易中心（民丰县友谊路75号）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4"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3</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评标委员的组建</w:t>
            </w:r>
          </w:p>
        </w:tc>
        <w:tc>
          <w:tcPr>
            <w:tcW w:w="7668" w:type="dxa"/>
            <w:tcBorders>
              <w:left w:val="single" w:color="auto" w:sz="4" w:space="0"/>
            </w:tcBorders>
            <w:noWrap w:val="0"/>
            <w:vAlign w:val="center"/>
          </w:tcPr>
          <w:p>
            <w:pPr>
              <w:spacing w:line="240" w:lineRule="auto"/>
              <w:ind w:left="715" w:leftChars="1" w:hanging="712" w:hangingChars="297"/>
              <w:jc w:val="left"/>
              <w:rPr>
                <w:rFonts w:hint="eastAsia" w:ascii="宋体" w:hAnsi="宋体" w:eastAsia="宋体" w:cs="宋体"/>
                <w:bCs/>
                <w:color w:val="000000"/>
                <w:sz w:val="24"/>
              </w:rPr>
            </w:pPr>
            <w:r>
              <w:rPr>
                <w:rFonts w:hint="eastAsia" w:ascii="宋体" w:hAnsi="宋体" w:eastAsia="宋体" w:cs="宋体"/>
                <w:bCs/>
                <w:color w:val="000000"/>
                <w:sz w:val="24"/>
              </w:rPr>
              <w:t>评标委员会构成</w:t>
            </w:r>
            <w:r>
              <w:rPr>
                <w:rFonts w:hint="eastAsia" w:ascii="宋体" w:hAnsi="宋体" w:eastAsia="宋体" w:cs="宋体"/>
                <w:bCs/>
                <w:color w:val="000000"/>
                <w:sz w:val="24"/>
                <w:lang w:val="en-US" w:eastAsia="zh-CN"/>
              </w:rPr>
              <w:t>3</w:t>
            </w:r>
            <w:r>
              <w:rPr>
                <w:rFonts w:hint="eastAsia" w:ascii="宋体" w:hAnsi="宋体" w:eastAsia="宋体" w:cs="宋体"/>
                <w:bCs/>
                <w:color w:val="000000"/>
                <w:sz w:val="24"/>
              </w:rPr>
              <w:t>人或</w:t>
            </w:r>
            <w:r>
              <w:rPr>
                <w:rFonts w:hint="eastAsia" w:ascii="宋体" w:hAnsi="宋体" w:eastAsia="宋体" w:cs="宋体"/>
                <w:bCs/>
                <w:color w:val="000000"/>
                <w:sz w:val="24"/>
                <w:lang w:val="en-US" w:eastAsia="zh-CN"/>
              </w:rPr>
              <w:t>3</w:t>
            </w:r>
            <w:r>
              <w:rPr>
                <w:rFonts w:hint="eastAsia" w:ascii="宋体" w:hAnsi="宋体" w:eastAsia="宋体" w:cs="宋体"/>
                <w:bCs/>
                <w:color w:val="000000"/>
                <w:sz w:val="24"/>
              </w:rPr>
              <w:t>以上单数组成，业主专家1人；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4</w:t>
            </w:r>
          </w:p>
        </w:tc>
        <w:tc>
          <w:tcPr>
            <w:tcW w:w="1742" w:type="dxa"/>
            <w:tcBorders>
              <w:right w:val="single" w:color="auto" w:sz="4" w:space="0"/>
            </w:tcBorders>
            <w:noWrap w:val="0"/>
            <w:vAlign w:val="center"/>
          </w:tcPr>
          <w:p>
            <w:pPr>
              <w:spacing w:line="240" w:lineRule="auto"/>
              <w:ind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开标时间和地点</w:t>
            </w:r>
          </w:p>
        </w:tc>
        <w:tc>
          <w:tcPr>
            <w:tcW w:w="7668" w:type="dxa"/>
            <w:tcBorders>
              <w:left w:val="single" w:color="auto" w:sz="4" w:space="0"/>
            </w:tcBorders>
            <w:noWrap w:val="0"/>
            <w:vAlign w:val="center"/>
          </w:tcPr>
          <w:p>
            <w:pPr>
              <w:spacing w:line="240" w:lineRule="auto"/>
              <w:rPr>
                <w:rFonts w:hint="eastAsia" w:ascii="宋体" w:hAnsi="宋体" w:eastAsia="宋体" w:cs="宋体"/>
                <w:bCs/>
                <w:color w:val="000000"/>
                <w:sz w:val="24"/>
              </w:rPr>
            </w:pPr>
            <w:r>
              <w:rPr>
                <w:rFonts w:hint="eastAsia" w:ascii="宋体" w:hAnsi="宋体" w:eastAsia="宋体" w:cs="宋体"/>
                <w:bCs/>
                <w:color w:val="000000"/>
                <w:sz w:val="24"/>
              </w:rPr>
              <w:t>开标时间：</w:t>
            </w:r>
            <w:r>
              <w:rPr>
                <w:rFonts w:hint="eastAsia" w:ascii="宋体" w:hAnsi="宋体" w:cs="宋体"/>
                <w:bCs/>
                <w:color w:val="000000"/>
                <w:sz w:val="24"/>
                <w:lang w:eastAsia="zh-CN"/>
              </w:rPr>
              <w:t>2023年03月16日11：00</w:t>
            </w:r>
            <w:r>
              <w:rPr>
                <w:rFonts w:hint="eastAsia" w:ascii="宋体" w:hAnsi="宋体" w:eastAsia="宋体" w:cs="宋体"/>
                <w:bCs/>
                <w:color w:val="000000"/>
                <w:sz w:val="24"/>
              </w:rPr>
              <w:t>（北京时间）</w:t>
            </w:r>
          </w:p>
          <w:p>
            <w:pPr>
              <w:spacing w:line="240" w:lineRule="auto"/>
              <w:jc w:val="left"/>
              <w:rPr>
                <w:rFonts w:hint="eastAsia" w:ascii="宋体" w:hAnsi="宋体" w:eastAsia="宋体" w:cs="宋体"/>
                <w:bCs/>
                <w:color w:val="000000"/>
                <w:sz w:val="24"/>
                <w:lang w:eastAsia="zh-CN"/>
              </w:rPr>
            </w:pPr>
            <w:r>
              <w:rPr>
                <w:rFonts w:hint="eastAsia" w:ascii="宋体" w:hAnsi="宋体" w:eastAsia="宋体" w:cs="宋体"/>
                <w:bCs/>
                <w:color w:val="000000"/>
                <w:sz w:val="24"/>
              </w:rPr>
              <w:t>开标地点：</w:t>
            </w:r>
            <w:r>
              <w:rPr>
                <w:rFonts w:hint="eastAsia" w:ascii="宋体" w:hAnsi="宋体" w:cs="宋体"/>
                <w:sz w:val="24"/>
                <w:szCs w:val="24"/>
                <w:lang w:eastAsia="zh-CN"/>
              </w:rPr>
              <w:t>民丰县行政服务和公共资源交易中心（民丰县友谊路75号）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601" w:type="dxa"/>
            <w:tcBorders>
              <w:bottom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5</w:t>
            </w:r>
          </w:p>
        </w:tc>
        <w:tc>
          <w:tcPr>
            <w:tcW w:w="1742" w:type="dxa"/>
            <w:tcBorders>
              <w:bottom w:val="single" w:color="auto" w:sz="4" w:space="0"/>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关于运距补充说明</w:t>
            </w:r>
          </w:p>
        </w:tc>
        <w:tc>
          <w:tcPr>
            <w:tcW w:w="7668"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业主指定地点或合同中指定地点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7" w:hRule="atLeast"/>
          <w:jc w:val="center"/>
        </w:trPr>
        <w:tc>
          <w:tcPr>
            <w:tcW w:w="601" w:type="dxa"/>
            <w:tcBorders>
              <w:top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26</w:t>
            </w:r>
          </w:p>
        </w:tc>
        <w:tc>
          <w:tcPr>
            <w:tcW w:w="1742" w:type="dxa"/>
            <w:tcBorders>
              <w:top w:val="single" w:color="auto" w:sz="4" w:space="0"/>
              <w:right w:val="single" w:color="auto" w:sz="4" w:space="0"/>
            </w:tcBorders>
            <w:noWrap w:val="0"/>
            <w:vAlign w:val="center"/>
          </w:tcPr>
          <w:p>
            <w:pPr>
              <w:ind w:firstLine="0" w:firstLineChars="0"/>
              <w:jc w:val="center"/>
              <w:rPr>
                <w:rFonts w:hint="eastAsia" w:ascii="宋体" w:hAnsi="宋体" w:eastAsia="宋体" w:cs="宋体"/>
                <w:color w:val="FF0000"/>
                <w:sz w:val="24"/>
              </w:rPr>
            </w:pPr>
            <w:r>
              <w:rPr>
                <w:rFonts w:hint="eastAsia" w:ascii="宋体" w:hAnsi="宋体" w:eastAsia="宋体" w:cs="宋体"/>
                <w:color w:val="auto"/>
                <w:sz w:val="24"/>
              </w:rPr>
              <w:t>履约保证金</w:t>
            </w:r>
          </w:p>
        </w:tc>
        <w:tc>
          <w:tcPr>
            <w:tcW w:w="7668"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履约保证金：中标单位在签订合同前，将中标价10%的履约保证金交到用户单位财务账上并与用户单位签订合同。产品验收合格后将10%的履约保证一次性无息退还中标单位。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5"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27</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付款方式</w:t>
            </w:r>
          </w:p>
        </w:tc>
        <w:tc>
          <w:tcPr>
            <w:tcW w:w="766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以甲乙双方签订合同为准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84"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8</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评审前采购人及监督人代表对供应商资格符合 性核验</w:t>
            </w:r>
          </w:p>
        </w:tc>
        <w:tc>
          <w:tcPr>
            <w:tcW w:w="766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开标时，投标企业需单独提供以下证件进行核验：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1、提供经年审合格（三证合一）的营业执照；</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法定代表人投标需携带法定代表人证明书及法定代表人身份证（原件），委托代理人投标需携带法定代表人授权委托书及委托代理人身份证（原件）；提供法定代表人（近3个月）的社保缴费凭证（新成立时间少于三个月的公司，按实际发生提供）；</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3、投标供应商必须具备《林木种子生产许可证》或《林木种子经营许可证》、</w:t>
            </w:r>
            <w:r>
              <w:rPr>
                <w:rFonts w:hint="eastAsia" w:ascii="宋体" w:hAnsi="宋体" w:cs="宋体"/>
                <w:color w:val="000000"/>
                <w:kern w:val="0"/>
                <w:sz w:val="24"/>
                <w:highlight w:val="none"/>
                <w:lang w:val="en-US" w:eastAsia="zh-CN"/>
              </w:rPr>
              <w:t>《林业植物检疫登记证》</w:t>
            </w:r>
            <w:r>
              <w:rPr>
                <w:rFonts w:hint="eastAsia" w:ascii="宋体" w:hAnsi="宋体" w:eastAsia="宋体" w:cs="宋体"/>
                <w:color w:val="000000"/>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4、提供2022年度的财务审计报告原件（2022年01月份后新成立的公司可不提供但需提供银行出具的近三个月的资信证明原件）；</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5、提供税务机关出具近三个月的完税证明（新成立不足三个月的，按实际情况发生提供)；</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6、投标保证金电子回单。</w:t>
            </w:r>
          </w:p>
          <w:p>
            <w:pPr>
              <w:keepNext w:val="0"/>
              <w:keepLines w:val="0"/>
              <w:pageBreakBefore w:val="0"/>
              <w:widowControl w:val="0"/>
              <w:numPr>
                <w:ilvl w:val="0"/>
                <w:numId w:val="0"/>
              </w:numPr>
              <w:kinsoku/>
              <w:wordWrap/>
              <w:overflowPunct/>
              <w:topLinePunct w:val="0"/>
              <w:autoSpaceDE/>
              <w:autoSpaceDN/>
              <w:bidi w:val="0"/>
              <w:adjustRightInd/>
              <w:snapToGrid/>
              <w:spacing w:line="398"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auto"/>
                <w:sz w:val="24"/>
                <w:szCs w:val="24"/>
                <w:highlight w:val="none"/>
                <w:lang w:val="en-US" w:eastAsia="zh-CN"/>
              </w:rPr>
              <w:t>注：若未按要求单独提供相关资料，投标文件将不予开启，做无效投标处理。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7"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9</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低价认定</w:t>
            </w:r>
          </w:p>
        </w:tc>
        <w:tc>
          <w:tcPr>
            <w:tcW w:w="7668" w:type="dxa"/>
            <w:tcBorders>
              <w:left w:val="single" w:color="auto" w:sz="4" w:space="0"/>
            </w:tcBorders>
            <w:noWrap w:val="0"/>
            <w:vAlign w:val="center"/>
          </w:tcPr>
          <w:p>
            <w:pPr>
              <w:widowControl/>
              <w:tabs>
                <w:tab w:val="left" w:pos="9214"/>
              </w:tabs>
              <w:adjustRightInd w:val="0"/>
              <w:spacing w:after="120" w:line="400" w:lineRule="atLeast"/>
              <w:ind w:left="0" w:leftChars="0" w:right="-58" w:firstLine="0" w:firstLineChars="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根据中华人民共和国《政府采购货物和服务招标投标管理办法》（财政部令第 87 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46"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利害关系供应商处理</w:t>
            </w:r>
          </w:p>
        </w:tc>
        <w:tc>
          <w:tcPr>
            <w:tcW w:w="7668"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w:t>
            </w:r>
            <w:r>
              <w:rPr>
                <w:rFonts w:hint="eastAsia" w:ascii="宋体" w:hAnsi="宋体" w:cs="宋体"/>
                <w:color w:val="000000"/>
                <w:sz w:val="24"/>
                <w:lang w:val="en-US" w:eastAsia="zh-CN"/>
              </w:rPr>
              <w:t>1</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利害关系代理人处理</w:t>
            </w:r>
          </w:p>
        </w:tc>
        <w:tc>
          <w:tcPr>
            <w:tcW w:w="7668"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2家以上的供应商不得在同一合同项下的采购项目中，同时委托同一个自然人、同一家庭的人员、同一单位的人员作为其代理人，否则，其投标文件作为无效处理。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0"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szCs w:val="24"/>
                <w:lang w:val="en-US" w:eastAsia="zh-CN" w:bidi="ar-SA"/>
              </w:rPr>
            </w:pPr>
            <w:r>
              <w:rPr>
                <w:rFonts w:hint="eastAsia" w:ascii="宋体" w:hAnsi="宋体" w:eastAsia="宋体" w:cs="宋体"/>
                <w:b/>
                <w:bCs/>
                <w:color w:val="000000"/>
                <w:sz w:val="24"/>
                <w:lang w:val="en-US" w:eastAsia="zh-CN"/>
              </w:rPr>
              <w:t>小、微型企业产品价格扣除</w:t>
            </w:r>
          </w:p>
        </w:tc>
        <w:tc>
          <w:tcPr>
            <w:tcW w:w="7668" w:type="dxa"/>
            <w:tcBorders>
              <w:left w:val="single" w:color="auto" w:sz="4" w:space="0"/>
            </w:tcBorders>
            <w:noWrap w:val="0"/>
            <w:vAlign w:val="center"/>
          </w:tcPr>
          <w:p>
            <w:pPr>
              <w:pageBreakBefore w:val="0"/>
              <w:numPr>
                <w:ilvl w:val="0"/>
                <w:numId w:val="0"/>
              </w:numPr>
              <w:kinsoku/>
              <w:wordWrap/>
              <w:overflowPunct/>
              <w:topLinePunct w:val="0"/>
              <w:bidi w:val="0"/>
              <w:spacing w:line="40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本项目为专门面向中小企业（含中型、小型、微型企业）采购项目，根据《政府采购促进中小企业发展暂行办法》（财库〔2020)46号）的规定对超出公开招标数额的预留比例提高至40%，其中小微企业60%。监狱企业、残疾人福利性单位视同为小微企业，用优惠后的价格参与评审。</w:t>
            </w:r>
          </w:p>
          <w:p>
            <w:pPr>
              <w:pageBreakBefore w:val="0"/>
              <w:numPr>
                <w:ilvl w:val="0"/>
                <w:numId w:val="0"/>
              </w:numPr>
              <w:kinsoku/>
              <w:wordWrap/>
              <w:overflowPunct/>
              <w:topLinePunct w:val="0"/>
              <w:bidi w:val="0"/>
              <w:spacing w:line="40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highlight w:val="none"/>
                <w:lang w:val="en-US" w:eastAsia="zh-CN"/>
              </w:rPr>
              <w:t>（2）参加本项目的供应商必须提供《中小企业声明函》（附件），小微企业根据工信部等部委发布的《关于印发中小企业划型标准规定的通知》(工信部联企业[2011]300号)规定执行；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4"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w:t>
            </w:r>
            <w:r>
              <w:rPr>
                <w:rFonts w:hint="eastAsia" w:ascii="宋体" w:hAnsi="宋体" w:cs="宋体"/>
                <w:color w:val="000000"/>
                <w:sz w:val="24"/>
                <w:lang w:val="en-US" w:eastAsia="zh-CN"/>
              </w:rPr>
              <w:t>2</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其他说明</w:t>
            </w:r>
          </w:p>
        </w:tc>
        <w:tc>
          <w:tcPr>
            <w:tcW w:w="7668" w:type="dxa"/>
            <w:tcBorders>
              <w:left w:val="single" w:color="auto" w:sz="4" w:space="0"/>
            </w:tcBorders>
            <w:noWrap w:val="0"/>
            <w:vAlign w:val="center"/>
          </w:tcPr>
          <w:p>
            <w:pPr>
              <w:numPr>
                <w:ilvl w:val="0"/>
                <w:numId w:val="0"/>
              </w:numPr>
              <w:ind w:firstLine="241" w:firstLineChars="100"/>
              <w:rPr>
                <w:rFonts w:hint="eastAsia" w:ascii="宋体" w:hAnsi="宋体" w:eastAsia="宋体" w:cs="宋体"/>
                <w:lang w:val="en-US" w:eastAsia="zh-CN"/>
              </w:rPr>
            </w:pPr>
            <w:r>
              <w:rPr>
                <w:rFonts w:hint="eastAsia" w:ascii="宋体" w:hAnsi="宋体" w:eastAsia="宋体" w:cs="宋体"/>
                <w:b/>
                <w:bCs/>
                <w:sz w:val="24"/>
                <w:szCs w:val="24"/>
                <w:lang w:val="en-US" w:eastAsia="zh-CN" w:bidi="ar-SA"/>
              </w:rPr>
              <w:t>本次中标单位不得转包转卖此次合同，如被发现转包转卖合同将废除此次中标资格，其履约保证金不予退还，并上报监管部门追究责任。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5" w:hRule="atLeast"/>
          <w:jc w:val="center"/>
        </w:trPr>
        <w:tc>
          <w:tcPr>
            <w:tcW w:w="601" w:type="dxa"/>
            <w:noWrap w:val="0"/>
            <w:vAlign w:val="center"/>
          </w:tcPr>
          <w:p>
            <w:pPr>
              <w:spacing w:line="360" w:lineRule="exact"/>
              <w:ind w:firstLine="0" w:firstLineChars="0"/>
              <w:jc w:val="center"/>
              <w:rPr>
                <w:rFonts w:hint="eastAsia" w:ascii="宋体" w:hAnsi="宋体" w:eastAsia="宋体" w:cs="宋体"/>
                <w:b/>
                <w:bCs/>
                <w:color w:val="000000"/>
                <w:sz w:val="24"/>
                <w:lang w:val="en-US" w:eastAsia="zh-CN"/>
              </w:rPr>
            </w:pPr>
            <w:r>
              <w:rPr>
                <w:rFonts w:hint="eastAsia" w:ascii="宋体" w:hAnsi="宋体" w:eastAsia="宋体" w:cs="宋体"/>
                <w:b w:val="0"/>
                <w:bCs w:val="0"/>
                <w:color w:val="000000"/>
                <w:sz w:val="24"/>
                <w:lang w:val="en-US" w:eastAsia="zh-CN"/>
              </w:rPr>
              <w:t>3</w:t>
            </w:r>
            <w:r>
              <w:rPr>
                <w:rFonts w:hint="eastAsia" w:ascii="宋体" w:hAnsi="宋体" w:cs="宋体"/>
                <w:b w:val="0"/>
                <w:bCs w:val="0"/>
                <w:color w:val="000000"/>
                <w:sz w:val="24"/>
                <w:lang w:val="en-US" w:eastAsia="zh-CN"/>
              </w:rPr>
              <w:t>3</w:t>
            </w: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中标服务费</w:t>
            </w:r>
          </w:p>
        </w:tc>
        <w:tc>
          <w:tcPr>
            <w:tcW w:w="7668"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本次招标代理服务费由中标单位支付，本项目代理服务费按差额定率累进法计取。（100万以下按1.5%记取、100-500万按1.1%记取、500-1000万按0.8%记取、1000-5000万按0.5%记取）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5" w:hRule="atLeast"/>
          <w:jc w:val="center"/>
        </w:trPr>
        <w:tc>
          <w:tcPr>
            <w:tcW w:w="601" w:type="dxa"/>
            <w:noWrap w:val="0"/>
            <w:vAlign w:val="center"/>
          </w:tcPr>
          <w:p>
            <w:pPr>
              <w:spacing w:line="360" w:lineRule="exact"/>
              <w:ind w:firstLine="0" w:firstLineChars="0"/>
              <w:jc w:val="center"/>
              <w:rPr>
                <w:rFonts w:hint="eastAsia" w:ascii="宋体" w:hAnsi="宋体" w:eastAsia="宋体" w:cs="宋体"/>
                <w:b w:val="0"/>
                <w:bCs w:val="0"/>
                <w:color w:val="000000"/>
                <w:sz w:val="24"/>
                <w:lang w:val="en-US" w:eastAsia="zh-CN"/>
              </w:rPr>
            </w:pPr>
          </w:p>
        </w:tc>
        <w:tc>
          <w:tcPr>
            <w:tcW w:w="1742"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rPr>
              <w:t>投标人对招标文件提出质疑的时间</w:t>
            </w:r>
          </w:p>
        </w:tc>
        <w:tc>
          <w:tcPr>
            <w:tcW w:w="7668"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提出质疑函的时限：对采购文件提出质疑的，应当在获取采购文件或者采购文件公告期限届满之日起3个工作日内提出。</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接收质疑函的方式：将PDF格式电子版质疑文件加盖公章扫描发送至704310640@qq.com邮箱。</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接受质疑的单位：新疆西北中建项目管理有限公司</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 和田市台北东路147号万方乐奏三楼（原和田县第二中学院内）</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 周梦</w:t>
            </w:r>
          </w:p>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 0903-2023278</w:t>
            </w:r>
          </w:p>
        </w:tc>
      </w:tr>
    </w:tbl>
    <w:p>
      <w:pPr>
        <w:pStyle w:val="6"/>
        <w:ind w:left="0" w:leftChars="0" w:firstLine="0" w:firstLineChars="0"/>
        <w:rPr>
          <w:rFonts w:hint="eastAsia" w:ascii="宋体" w:hAnsi="宋体" w:eastAsia="宋体" w:cs="宋体"/>
          <w:sz w:val="24"/>
        </w:rPr>
      </w:pPr>
      <w:r>
        <w:rPr>
          <w:rFonts w:hint="eastAsia" w:ascii="宋体" w:hAnsi="宋体" w:eastAsia="宋体" w:cs="宋体"/>
          <w:sz w:val="24"/>
        </w:rPr>
        <w:t>备注：如招标文件中前后不一致时，请以前付须知表为准。</w:t>
      </w: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2"/>
        <w:pageBreakBefore w:val="0"/>
        <w:numPr>
          <w:ilvl w:val="0"/>
          <w:numId w:val="0"/>
        </w:numPr>
        <w:kinsoku/>
        <w:wordWrap/>
        <w:overflowPunct/>
        <w:topLinePunct w:val="0"/>
        <w:autoSpaceDE/>
        <w:autoSpaceDN/>
        <w:bidi w:val="0"/>
        <w:spacing w:line="360" w:lineRule="auto"/>
        <w:ind w:leftChars="0"/>
        <w:jc w:val="center"/>
        <w:textAlignment w:val="auto"/>
        <w:outlineLvl w:val="0"/>
        <w:rPr>
          <w:rFonts w:hint="eastAsia" w:ascii="宋体" w:hAnsi="宋体" w:eastAsia="宋体" w:cs="宋体"/>
          <w:sz w:val="52"/>
          <w:szCs w:val="52"/>
        </w:rPr>
      </w:pPr>
      <w:bookmarkStart w:id="21" w:name="_Toc13215"/>
      <w:bookmarkStart w:id="22" w:name="_Toc18344"/>
      <w:r>
        <w:rPr>
          <w:rFonts w:hint="eastAsia" w:ascii="宋体" w:hAnsi="宋体" w:eastAsia="宋体" w:cs="宋体"/>
          <w:sz w:val="44"/>
          <w:szCs w:val="44"/>
          <w:lang w:eastAsia="zh-CN"/>
        </w:rPr>
        <w:t>第二章</w:t>
      </w: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谈判</w:t>
      </w:r>
      <w:r>
        <w:rPr>
          <w:rFonts w:hint="eastAsia" w:ascii="宋体" w:hAnsi="宋体" w:eastAsia="宋体" w:cs="宋体"/>
          <w:sz w:val="44"/>
          <w:szCs w:val="44"/>
          <w:lang w:val="en-US" w:eastAsia="zh-CN"/>
        </w:rPr>
        <w:t>须知</w:t>
      </w:r>
      <w:bookmarkEnd w:id="21"/>
      <w:bookmarkEnd w:id="22"/>
    </w:p>
    <w:p>
      <w:pPr>
        <w:pStyle w:val="2"/>
        <w:pageBreakBefore w:val="0"/>
        <w:numPr>
          <w:ilvl w:val="0"/>
          <w:numId w:val="0"/>
        </w:numPr>
        <w:kinsoku/>
        <w:wordWrap/>
        <w:overflowPunct/>
        <w:topLinePunct w:val="0"/>
        <w:autoSpaceDE/>
        <w:autoSpaceDN/>
        <w:bidi w:val="0"/>
        <w:spacing w:line="360" w:lineRule="auto"/>
        <w:ind w:leftChars="0" w:firstLine="3614" w:firstLineChars="1200"/>
        <w:jc w:val="both"/>
        <w:textAlignment w:val="auto"/>
        <w:rPr>
          <w:rFonts w:hint="eastAsia" w:ascii="宋体" w:hAnsi="宋体" w:eastAsia="宋体" w:cs="宋体"/>
          <w:sz w:val="30"/>
          <w:szCs w:val="30"/>
        </w:rPr>
      </w:pPr>
      <w:bookmarkStart w:id="23" w:name="_Toc32712"/>
      <w:r>
        <w:rPr>
          <w:rFonts w:hint="eastAsia" w:ascii="宋体" w:hAnsi="宋体" w:eastAsia="宋体" w:cs="宋体"/>
          <w:sz w:val="30"/>
          <w:szCs w:val="30"/>
        </w:rPr>
        <w:t>（一）总   则</w:t>
      </w:r>
      <w:bookmarkEnd w:id="23"/>
    </w:p>
    <w:p>
      <w:pPr>
        <w:keepNext w:val="0"/>
        <w:keepLines w:val="0"/>
        <w:pageBreakBefore w:val="0"/>
        <w:kinsoku/>
        <w:wordWrap/>
        <w:overflowPunct/>
        <w:topLinePunct w:val="0"/>
        <w:autoSpaceDE/>
        <w:autoSpaceDN/>
        <w:bidi w:val="0"/>
        <w:adjustRightInd/>
        <w:snapToGrid/>
        <w:spacing w:line="360" w:lineRule="auto"/>
        <w:ind w:left="480" w:right="0" w:rightChars="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rPr>
        <w:t>1、</w:t>
      </w:r>
      <w:r>
        <w:rPr>
          <w:rFonts w:hint="eastAsia" w:ascii="宋体" w:hAnsi="宋体" w:cs="宋体"/>
          <w:b/>
          <w:bCs/>
          <w:color w:val="000000"/>
          <w:sz w:val="24"/>
          <w:lang w:val="en-US" w:eastAsia="zh-CN"/>
        </w:rPr>
        <w:t>项目</w:t>
      </w:r>
      <w:r>
        <w:rPr>
          <w:rFonts w:hint="eastAsia" w:ascii="宋体" w:hAnsi="宋体" w:eastAsia="宋体" w:cs="宋体"/>
          <w:b/>
          <w:bCs/>
          <w:color w:val="000000"/>
          <w:sz w:val="24"/>
        </w:rPr>
        <w:t>说明</w:t>
      </w:r>
    </w:p>
    <w:p>
      <w:pPr>
        <w:keepNext w:val="0"/>
        <w:keepLines w:val="0"/>
        <w:pageBreakBefore w:val="0"/>
        <w:kinsoku/>
        <w:wordWrap/>
        <w:overflowPunct/>
        <w:topLinePunct w:val="0"/>
        <w:autoSpaceDE/>
        <w:autoSpaceDN/>
        <w:bidi w:val="0"/>
        <w:adjustRightInd/>
        <w:snapToGrid/>
        <w:spacing w:line="360" w:lineRule="auto"/>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1.1本采购项目说明详见前附表；</w:t>
      </w:r>
    </w:p>
    <w:p>
      <w:pPr>
        <w:keepNext w:val="0"/>
        <w:keepLines w:val="0"/>
        <w:pageBreakBefore w:val="0"/>
        <w:kinsoku/>
        <w:wordWrap/>
        <w:overflowPunct/>
        <w:topLinePunct w:val="0"/>
        <w:autoSpaceDE/>
        <w:autoSpaceDN/>
        <w:bidi w:val="0"/>
        <w:adjustRightInd/>
        <w:snapToGrid/>
        <w:spacing w:line="360" w:lineRule="auto"/>
        <w:ind w:right="0" w:rightChars="0" w:firstLine="48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1.2本采购项目按照《中华人民共和国招标投标法》、《中华人民共和国政府采购法》等有关法律、行政法规和部门规章，通过竞争性谈判采购方式择优选定一家供应商。</w:t>
      </w:r>
    </w:p>
    <w:p>
      <w:pPr>
        <w:keepNext w:val="0"/>
        <w:keepLines w:val="0"/>
        <w:pageBreakBefore w:val="0"/>
        <w:numPr>
          <w:ilvl w:val="0"/>
          <w:numId w:val="3"/>
        </w:numPr>
        <w:kinsoku/>
        <w:wordWrap/>
        <w:overflowPunct/>
        <w:topLinePunct w:val="0"/>
        <w:autoSpaceDE/>
        <w:autoSpaceDN/>
        <w:bidi w:val="0"/>
        <w:adjustRightInd/>
        <w:snapToGrid/>
        <w:spacing w:line="360" w:lineRule="auto"/>
        <w:ind w:right="0" w:rightChars="0" w:firstLine="48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rPr>
        <w:t>招标范围</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2.1谈判范围：谈判文件内所包含的全部内容。</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资金来源</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3.1本采购项目资金来源为</w:t>
      </w:r>
      <w:r>
        <w:rPr>
          <w:rFonts w:hint="eastAsia" w:ascii="宋体" w:hAnsi="宋体" w:eastAsia="宋体" w:cs="宋体"/>
          <w:b/>
          <w:bCs/>
          <w:color w:val="auto"/>
          <w:sz w:val="24"/>
          <w:lang w:val="en-US" w:eastAsia="zh-CN"/>
        </w:rPr>
        <w:t>上级专项资金</w:t>
      </w:r>
      <w:r>
        <w:rPr>
          <w:rFonts w:hint="eastAsia" w:ascii="宋体" w:hAnsi="宋体" w:eastAsia="宋体" w:cs="宋体"/>
          <w:color w:val="auto"/>
          <w:sz w:val="24"/>
        </w:rPr>
        <w:t>。</w:t>
      </w:r>
    </w:p>
    <w:p>
      <w:pPr>
        <w:keepNext w:val="0"/>
        <w:keepLines w:val="0"/>
        <w:pageBreakBefore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合格的谈判人</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cs="宋体"/>
          <w:color w:val="auto"/>
          <w:sz w:val="24"/>
          <w:szCs w:val="24"/>
          <w:lang w:val="en-US" w:eastAsia="zh-CN"/>
        </w:rPr>
        <w:t>4.</w:t>
      </w:r>
      <w:r>
        <w:rPr>
          <w:rFonts w:hint="eastAsia" w:ascii="宋体" w:hAnsi="宋体" w:eastAsia="宋体" w:cs="宋体"/>
          <w:color w:val="auto"/>
          <w:sz w:val="24"/>
          <w:szCs w:val="24"/>
          <w:lang w:eastAsia="zh-CN"/>
        </w:rPr>
        <w:t>1.满足《中华人民共和国政府采购法》第二十二条规定；</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cs="宋体"/>
          <w:color w:val="auto"/>
          <w:sz w:val="24"/>
          <w:szCs w:val="24"/>
          <w:lang w:val="en-US" w:eastAsia="zh-CN"/>
        </w:rPr>
        <w:t>4.</w:t>
      </w:r>
      <w:r>
        <w:rPr>
          <w:rFonts w:hint="eastAsia" w:ascii="宋体" w:hAnsi="宋体" w:eastAsia="宋体" w:cs="宋体"/>
          <w:color w:val="auto"/>
          <w:sz w:val="24"/>
          <w:szCs w:val="24"/>
          <w:lang w:eastAsia="zh-CN"/>
        </w:rPr>
        <w:t>2.落实政府采购政策需满足的资格要求：供应商为中小企业，《政府采购促进中小企业发展管理办法》（财库〔2020〕46号）；</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cs="宋体"/>
          <w:color w:val="auto"/>
          <w:sz w:val="24"/>
          <w:szCs w:val="24"/>
          <w:lang w:val="en-US" w:eastAsia="zh-CN"/>
        </w:rPr>
        <w:t>4.</w:t>
      </w:r>
      <w:r>
        <w:rPr>
          <w:rFonts w:hint="eastAsia" w:ascii="宋体" w:hAnsi="宋体" w:eastAsia="宋体" w:cs="宋体"/>
          <w:color w:val="auto"/>
          <w:sz w:val="24"/>
          <w:szCs w:val="24"/>
          <w:lang w:eastAsia="zh-CN"/>
        </w:rPr>
        <w:t>3.本项目的特定资格要求：</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（1）提供经年审合格（三证合一）的营业执照；</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法定代表人投标需携带法定代表人证明书及法定代表人身份证（原件），委托代理人投标需携带法定代表人授权委托书及委托代理人身份证（原件）；提供法定代表人（近3个月）的社保缴费凭证（新成立时间少于三个月的公司，按实际发生提供）；</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（3）投标供应商必须具备《林木种子生产许可证》或《林木种子经营许可证》、</w:t>
      </w:r>
      <w:r>
        <w:rPr>
          <w:rFonts w:hint="eastAsia" w:cs="宋体"/>
          <w:color w:val="auto"/>
          <w:sz w:val="24"/>
          <w:szCs w:val="24"/>
          <w:lang w:eastAsia="zh-CN"/>
        </w:rPr>
        <w:t>《林业植物检疫登记证》</w:t>
      </w:r>
      <w:r>
        <w:rPr>
          <w:rFonts w:hint="eastAsia" w:ascii="宋体" w:hAnsi="宋体" w:eastAsia="宋体" w:cs="宋体"/>
          <w:color w:val="auto"/>
          <w:sz w:val="24"/>
          <w:szCs w:val="24"/>
          <w:lang w:eastAsia="zh-CN"/>
        </w:rPr>
        <w:t>；</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（4）提供2022年度的财务审计报告原件（2022年01月份后新成立的公司可不提供但需提供银行出具的近三个月的资信证明原件）；</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（5）提供税务机关出具近三个月的完税证明（新成立不足三个月的，按实际情况发生提供)；</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凡拟参加本次招标项目的投标人，近三年内如在“信用中国网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（7）企业负责人为同一人或者存在直接控股、管理关系的不同投标人，不得参加同一合同项下的政府采购活动。否则，皆取消投标资格；</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b/>
          <w:bCs/>
          <w:color w:val="auto"/>
          <w:sz w:val="24"/>
        </w:rPr>
      </w:pPr>
      <w:r>
        <w:rPr>
          <w:rFonts w:hint="eastAsia" w:ascii="宋体" w:hAnsi="宋体" w:eastAsia="宋体" w:cs="宋体"/>
          <w:b/>
          <w:bCs/>
          <w:color w:val="auto"/>
          <w:sz w:val="24"/>
        </w:rPr>
        <w:t>5、谈判费用</w:t>
      </w:r>
    </w:p>
    <w:p>
      <w:pPr>
        <w:pStyle w:val="1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5.1谈判</w:t>
      </w:r>
      <w:r>
        <w:rPr>
          <w:rFonts w:hint="eastAsia" w:ascii="宋体" w:hAnsi="宋体" w:eastAsia="宋体" w:cs="宋体"/>
          <w:sz w:val="24"/>
        </w:rPr>
        <w:t>响应</w:t>
      </w:r>
      <w:r>
        <w:rPr>
          <w:rFonts w:hint="eastAsia" w:ascii="宋体" w:hAnsi="宋体" w:eastAsia="宋体" w:cs="宋体"/>
          <w:color w:val="000000"/>
          <w:sz w:val="24"/>
        </w:rPr>
        <w:t>人应承担其参加本采购活动自身所发生的费用。</w:t>
      </w:r>
    </w:p>
    <w:p>
      <w:pPr>
        <w:pStyle w:val="2"/>
        <w:pageBreakBefore w:val="0"/>
        <w:numPr>
          <w:ilvl w:val="2"/>
          <w:numId w:val="0"/>
        </w:numPr>
        <w:kinsoku/>
        <w:wordWrap/>
        <w:overflowPunct/>
        <w:topLinePunct w:val="0"/>
        <w:autoSpaceDE/>
        <w:autoSpaceDN/>
        <w:bidi w:val="0"/>
        <w:spacing w:line="360" w:lineRule="auto"/>
        <w:textAlignment w:val="auto"/>
        <w:rPr>
          <w:rFonts w:hint="eastAsia" w:ascii="宋体" w:hAnsi="宋体" w:eastAsia="宋体" w:cs="宋体"/>
          <w:sz w:val="30"/>
          <w:szCs w:val="30"/>
        </w:rPr>
      </w:pPr>
      <w:bookmarkStart w:id="24" w:name="_Toc7726"/>
      <w:r>
        <w:rPr>
          <w:rFonts w:hint="eastAsia" w:ascii="宋体" w:hAnsi="宋体" w:eastAsia="宋体" w:cs="宋体"/>
          <w:sz w:val="30"/>
          <w:szCs w:val="30"/>
        </w:rPr>
        <w:t>（二） 谈判文件</w:t>
      </w:r>
      <w:bookmarkEnd w:id="24"/>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7、谈判文件的组成</w:t>
      </w:r>
    </w:p>
    <w:p>
      <w:pPr>
        <w:pageBreakBefore w:val="0"/>
        <w:kinsoku/>
        <w:wordWrap/>
        <w:overflowPunct/>
        <w:topLinePunct w:val="0"/>
        <w:autoSpaceDE/>
        <w:autoSpaceDN/>
        <w:bidi w:val="0"/>
        <w:spacing w:line="360" w:lineRule="auto"/>
        <w:ind w:firstLine="602" w:firstLineChars="251"/>
        <w:textAlignment w:val="auto"/>
        <w:rPr>
          <w:rFonts w:hint="eastAsia" w:ascii="宋体" w:hAnsi="宋体" w:eastAsia="宋体" w:cs="宋体"/>
          <w:color w:val="000000"/>
          <w:sz w:val="24"/>
        </w:rPr>
      </w:pPr>
      <w:r>
        <w:rPr>
          <w:rFonts w:hint="eastAsia" w:ascii="宋体" w:hAnsi="宋体" w:eastAsia="宋体" w:cs="宋体"/>
          <w:color w:val="000000"/>
          <w:sz w:val="24"/>
        </w:rPr>
        <w:t>7.1谈判文件包括下列内容：</w:t>
      </w:r>
    </w:p>
    <w:p>
      <w:pPr>
        <w:pStyle w:val="11"/>
        <w:pageBreakBefore w:val="0"/>
        <w:widowControl/>
        <w:numPr>
          <w:ilvl w:val="0"/>
          <w:numId w:val="0"/>
        </w:numPr>
        <w:kinsoku/>
        <w:wordWrap/>
        <w:overflowPunct/>
        <w:topLinePunct w:val="0"/>
        <w:autoSpaceDE/>
        <w:autoSpaceDN/>
        <w:bidi w:val="0"/>
        <w:spacing w:line="360" w:lineRule="auto"/>
        <w:ind w:left="799" w:leftChars="0"/>
        <w:textAlignment w:val="auto"/>
        <w:rPr>
          <w:rFonts w:hint="eastAsia" w:ascii="宋体" w:hAnsi="宋体" w:eastAsia="宋体" w:cs="宋体"/>
          <w:color w:val="000000"/>
        </w:rPr>
      </w:pPr>
      <w:r>
        <w:rPr>
          <w:rFonts w:hint="eastAsia" w:ascii="宋体" w:hAnsi="宋体" w:eastAsia="宋体" w:cs="宋体"/>
          <w:color w:val="000000"/>
        </w:rPr>
        <w:t>第一章  竞争性谈判公告</w:t>
      </w:r>
    </w:p>
    <w:p>
      <w:pPr>
        <w:pStyle w:val="11"/>
        <w:pageBreakBefore w:val="0"/>
        <w:widowControl/>
        <w:numPr>
          <w:ilvl w:val="0"/>
          <w:numId w:val="0"/>
        </w:numPr>
        <w:kinsoku/>
        <w:wordWrap/>
        <w:overflowPunct/>
        <w:topLinePunct w:val="0"/>
        <w:autoSpaceDE/>
        <w:autoSpaceDN/>
        <w:bidi w:val="0"/>
        <w:spacing w:line="360" w:lineRule="auto"/>
        <w:ind w:left="799" w:leftChars="0"/>
        <w:textAlignment w:val="auto"/>
        <w:rPr>
          <w:rFonts w:hint="eastAsia" w:ascii="宋体" w:hAnsi="宋体" w:eastAsia="宋体" w:cs="宋体"/>
          <w:color w:val="000000"/>
        </w:rPr>
      </w:pPr>
      <w:r>
        <w:rPr>
          <w:rFonts w:hint="eastAsia" w:ascii="宋体" w:hAnsi="宋体" w:eastAsia="宋体" w:cs="宋体"/>
          <w:color w:val="000000"/>
        </w:rPr>
        <w:t>第二章  谈判须知</w:t>
      </w:r>
    </w:p>
    <w:p>
      <w:pPr>
        <w:pStyle w:val="11"/>
        <w:pageBreakBefore w:val="0"/>
        <w:widowControl/>
        <w:numPr>
          <w:ilvl w:val="0"/>
          <w:numId w:val="0"/>
        </w:numPr>
        <w:kinsoku/>
        <w:wordWrap/>
        <w:overflowPunct/>
        <w:topLinePunct w:val="0"/>
        <w:autoSpaceDE/>
        <w:autoSpaceDN/>
        <w:bidi w:val="0"/>
        <w:spacing w:line="360" w:lineRule="auto"/>
        <w:ind w:left="799" w:leftChars="0"/>
        <w:textAlignment w:val="auto"/>
        <w:rPr>
          <w:rFonts w:hint="eastAsia" w:ascii="宋体" w:hAnsi="宋体" w:eastAsia="宋体" w:cs="宋体"/>
          <w:color w:val="000000"/>
        </w:rPr>
      </w:pPr>
      <w:r>
        <w:rPr>
          <w:rFonts w:hint="eastAsia" w:ascii="宋体" w:hAnsi="宋体" w:eastAsia="宋体" w:cs="宋体"/>
          <w:color w:val="000000"/>
        </w:rPr>
        <w:t>第三章  采购需求、技术参数、规格</w:t>
      </w:r>
    </w:p>
    <w:p>
      <w:pPr>
        <w:pStyle w:val="11"/>
        <w:pageBreakBefore w:val="0"/>
        <w:widowControl/>
        <w:numPr>
          <w:ilvl w:val="0"/>
          <w:numId w:val="0"/>
        </w:numPr>
        <w:kinsoku/>
        <w:wordWrap/>
        <w:overflowPunct/>
        <w:topLinePunct w:val="0"/>
        <w:autoSpaceDE/>
        <w:autoSpaceDN/>
        <w:bidi w:val="0"/>
        <w:spacing w:line="360" w:lineRule="auto"/>
        <w:ind w:left="799" w:leftChars="0"/>
        <w:textAlignment w:val="auto"/>
        <w:rPr>
          <w:rFonts w:hint="eastAsia" w:ascii="宋体" w:hAnsi="宋体" w:eastAsia="宋体" w:cs="宋体"/>
          <w:color w:val="000000"/>
        </w:rPr>
      </w:pPr>
      <w:r>
        <w:rPr>
          <w:rFonts w:hint="eastAsia" w:ascii="宋体" w:hAnsi="宋体" w:eastAsia="宋体" w:cs="宋体"/>
          <w:color w:val="000000"/>
        </w:rPr>
        <w:t>第四章  合同条款及格式（样本）</w:t>
      </w:r>
    </w:p>
    <w:p>
      <w:pPr>
        <w:pStyle w:val="11"/>
        <w:pageBreakBefore w:val="0"/>
        <w:widowControl/>
        <w:numPr>
          <w:ilvl w:val="0"/>
          <w:numId w:val="0"/>
        </w:numPr>
        <w:kinsoku/>
        <w:wordWrap/>
        <w:overflowPunct/>
        <w:topLinePunct w:val="0"/>
        <w:autoSpaceDE/>
        <w:autoSpaceDN/>
        <w:bidi w:val="0"/>
        <w:spacing w:line="360" w:lineRule="auto"/>
        <w:ind w:left="799" w:leftChars="0"/>
        <w:textAlignment w:val="auto"/>
        <w:rPr>
          <w:rFonts w:hint="eastAsia" w:ascii="宋体" w:hAnsi="宋体" w:eastAsia="宋体" w:cs="宋体"/>
          <w:color w:val="000000"/>
        </w:rPr>
      </w:pPr>
      <w:r>
        <w:rPr>
          <w:rFonts w:hint="eastAsia" w:ascii="宋体" w:hAnsi="宋体" w:eastAsia="宋体" w:cs="宋体"/>
          <w:color w:val="000000"/>
        </w:rPr>
        <w:t>第五章  谈判响应文件格式</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7.2 除7.1内容外，采购人在谈判</w:t>
      </w:r>
      <w:r>
        <w:rPr>
          <w:rFonts w:hint="eastAsia" w:ascii="宋体" w:hAnsi="宋体" w:eastAsia="宋体" w:cs="宋体"/>
          <w:sz w:val="24"/>
        </w:rPr>
        <w:t>响应</w:t>
      </w:r>
      <w:r>
        <w:rPr>
          <w:rFonts w:hint="eastAsia" w:ascii="宋体" w:hAnsi="宋体" w:eastAsia="宋体" w:cs="宋体"/>
          <w:color w:val="000000"/>
          <w:sz w:val="24"/>
        </w:rPr>
        <w:t>人提交谈判</w:t>
      </w:r>
      <w:r>
        <w:rPr>
          <w:rFonts w:hint="eastAsia" w:ascii="宋体" w:hAnsi="宋体" w:eastAsia="宋体" w:cs="宋体"/>
          <w:sz w:val="24"/>
        </w:rPr>
        <w:t>响应</w:t>
      </w:r>
      <w:r>
        <w:rPr>
          <w:rFonts w:hint="eastAsia" w:ascii="宋体" w:hAnsi="宋体" w:eastAsia="宋体" w:cs="宋体"/>
          <w:color w:val="000000"/>
          <w:sz w:val="24"/>
        </w:rPr>
        <w:t>文件截止时间3天前，以书面形式发出的对</w:t>
      </w:r>
      <w:r>
        <w:rPr>
          <w:rFonts w:hint="eastAsia" w:ascii="宋体" w:hAnsi="宋体" w:eastAsia="宋体" w:cs="宋体"/>
          <w:sz w:val="24"/>
        </w:rPr>
        <w:t>谈判</w:t>
      </w:r>
      <w:r>
        <w:rPr>
          <w:rFonts w:hint="eastAsia" w:ascii="宋体" w:hAnsi="宋体" w:eastAsia="宋体" w:cs="宋体"/>
          <w:color w:val="000000"/>
          <w:sz w:val="24"/>
        </w:rPr>
        <w:t>文件的澄清或修改内容，均为谈判文件的组成部分，对采购人和谈判</w:t>
      </w:r>
      <w:r>
        <w:rPr>
          <w:rFonts w:hint="eastAsia" w:ascii="宋体" w:hAnsi="宋体" w:eastAsia="宋体" w:cs="宋体"/>
          <w:sz w:val="24"/>
        </w:rPr>
        <w:t>响应</w:t>
      </w:r>
      <w:r>
        <w:rPr>
          <w:rFonts w:hint="eastAsia" w:ascii="宋体" w:hAnsi="宋体" w:eastAsia="宋体" w:cs="宋体"/>
          <w:color w:val="000000"/>
          <w:sz w:val="24"/>
        </w:rPr>
        <w:t>人起约束作用。</w:t>
      </w:r>
    </w:p>
    <w:p>
      <w:pPr>
        <w:pageBreakBefore w:val="0"/>
        <w:kinsoku/>
        <w:wordWrap/>
        <w:overflowPunct/>
        <w:topLinePunct w:val="0"/>
        <w:autoSpaceDE/>
        <w:autoSpaceDN/>
        <w:bidi w:val="0"/>
        <w:spacing w:line="360" w:lineRule="auto"/>
        <w:ind w:firstLine="532"/>
        <w:textAlignment w:val="auto"/>
        <w:rPr>
          <w:rFonts w:hint="eastAsia" w:ascii="宋体" w:hAnsi="宋体" w:eastAsia="宋体" w:cs="宋体"/>
          <w:color w:val="000000"/>
          <w:sz w:val="24"/>
        </w:rPr>
      </w:pPr>
      <w:r>
        <w:rPr>
          <w:rFonts w:hint="eastAsia" w:ascii="宋体" w:hAnsi="宋体" w:eastAsia="宋体" w:cs="宋体"/>
          <w:color w:val="000000"/>
          <w:sz w:val="24"/>
        </w:rPr>
        <w:t>7.3 谈判</w:t>
      </w:r>
      <w:r>
        <w:rPr>
          <w:rFonts w:hint="eastAsia" w:ascii="宋体" w:hAnsi="宋体" w:eastAsia="宋体" w:cs="宋体"/>
          <w:sz w:val="24"/>
        </w:rPr>
        <w:t>响应</w:t>
      </w:r>
      <w:r>
        <w:rPr>
          <w:rFonts w:hint="eastAsia" w:ascii="宋体" w:hAnsi="宋体" w:eastAsia="宋体" w:cs="宋体"/>
          <w:color w:val="000000"/>
          <w:sz w:val="24"/>
        </w:rPr>
        <w:t>人获取谈判文件后，应仔细检查谈判文件的所有内容，如有残缺等问题应在获得谈判文件3日内向采购人提出，否则，由此引起的损失由谈判</w:t>
      </w:r>
      <w:r>
        <w:rPr>
          <w:rFonts w:hint="eastAsia" w:ascii="宋体" w:hAnsi="宋体" w:eastAsia="宋体" w:cs="宋体"/>
          <w:sz w:val="24"/>
        </w:rPr>
        <w:t>响应</w:t>
      </w:r>
      <w:r>
        <w:rPr>
          <w:rFonts w:hint="eastAsia" w:ascii="宋体" w:hAnsi="宋体" w:eastAsia="宋体" w:cs="宋体"/>
          <w:color w:val="000000"/>
          <w:sz w:val="24"/>
        </w:rPr>
        <w:t>人自己承担。谈判</w:t>
      </w:r>
      <w:r>
        <w:rPr>
          <w:rFonts w:hint="eastAsia" w:ascii="宋体" w:hAnsi="宋体" w:eastAsia="宋体" w:cs="宋体"/>
          <w:sz w:val="24"/>
        </w:rPr>
        <w:t>响应</w:t>
      </w:r>
      <w:r>
        <w:rPr>
          <w:rFonts w:hint="eastAsia" w:ascii="宋体" w:hAnsi="宋体" w:eastAsia="宋体" w:cs="宋体"/>
          <w:color w:val="000000"/>
          <w:sz w:val="24"/>
        </w:rPr>
        <w:t>人同时应认真审阅谈判文件中所有的事项、格式、条款和规范要求等，若谈判</w:t>
      </w:r>
      <w:r>
        <w:rPr>
          <w:rFonts w:hint="eastAsia" w:ascii="宋体" w:hAnsi="宋体" w:eastAsia="宋体" w:cs="宋体"/>
          <w:sz w:val="24"/>
        </w:rPr>
        <w:t>响应</w:t>
      </w:r>
      <w:r>
        <w:rPr>
          <w:rFonts w:hint="eastAsia" w:ascii="宋体" w:hAnsi="宋体" w:eastAsia="宋体" w:cs="宋体"/>
          <w:color w:val="000000"/>
          <w:sz w:val="24"/>
        </w:rPr>
        <w:t>人的谈判</w:t>
      </w:r>
      <w:r>
        <w:rPr>
          <w:rFonts w:hint="eastAsia" w:ascii="宋体" w:hAnsi="宋体" w:eastAsia="宋体" w:cs="宋体"/>
          <w:sz w:val="24"/>
        </w:rPr>
        <w:t>响应</w:t>
      </w:r>
      <w:r>
        <w:rPr>
          <w:rFonts w:hint="eastAsia" w:ascii="宋体" w:hAnsi="宋体" w:eastAsia="宋体" w:cs="宋体"/>
          <w:color w:val="000000"/>
          <w:sz w:val="24"/>
        </w:rPr>
        <w:t>文件没有按谈判文件要求提交全部资料，或谈判</w:t>
      </w:r>
      <w:r>
        <w:rPr>
          <w:rFonts w:hint="eastAsia" w:ascii="宋体" w:hAnsi="宋体" w:eastAsia="宋体" w:cs="宋体"/>
          <w:sz w:val="24"/>
        </w:rPr>
        <w:t>响应</w:t>
      </w:r>
      <w:r>
        <w:rPr>
          <w:rFonts w:hint="eastAsia" w:ascii="宋体" w:hAnsi="宋体" w:eastAsia="宋体" w:cs="宋体"/>
          <w:color w:val="000000"/>
          <w:sz w:val="24"/>
        </w:rPr>
        <w:t>文件没有对谈判文件做出实质性响应，其风险由谈判</w:t>
      </w:r>
      <w:r>
        <w:rPr>
          <w:rFonts w:hint="eastAsia" w:ascii="宋体" w:hAnsi="宋体" w:eastAsia="宋体" w:cs="宋体"/>
          <w:sz w:val="24"/>
        </w:rPr>
        <w:t>响应</w:t>
      </w:r>
      <w:r>
        <w:rPr>
          <w:rFonts w:hint="eastAsia" w:ascii="宋体" w:hAnsi="宋体" w:eastAsia="宋体" w:cs="宋体"/>
          <w:color w:val="000000"/>
          <w:sz w:val="24"/>
        </w:rPr>
        <w:t>人自行承担，并根据有关条款规定，该谈判</w:t>
      </w:r>
      <w:r>
        <w:rPr>
          <w:rFonts w:hint="eastAsia" w:ascii="宋体" w:hAnsi="宋体" w:eastAsia="宋体" w:cs="宋体"/>
          <w:sz w:val="24"/>
        </w:rPr>
        <w:t>响应文件</w:t>
      </w:r>
      <w:r>
        <w:rPr>
          <w:rFonts w:hint="eastAsia" w:ascii="宋体" w:hAnsi="宋体" w:eastAsia="宋体" w:cs="宋体"/>
          <w:color w:val="000000"/>
          <w:sz w:val="24"/>
        </w:rPr>
        <w:t>有可能被拒绝。</w:t>
      </w:r>
    </w:p>
    <w:p>
      <w:pPr>
        <w:pageBreakBefore w:val="0"/>
        <w:kinsoku/>
        <w:wordWrap/>
        <w:overflowPunct/>
        <w:topLinePunct w:val="0"/>
        <w:autoSpaceDE/>
        <w:autoSpaceDN/>
        <w:bidi w:val="0"/>
        <w:spacing w:line="360" w:lineRule="auto"/>
        <w:ind w:firstLine="532"/>
        <w:textAlignment w:val="auto"/>
        <w:rPr>
          <w:rFonts w:hint="eastAsia" w:ascii="宋体" w:hAnsi="宋体" w:eastAsia="宋体" w:cs="宋体"/>
          <w:b/>
          <w:bCs/>
          <w:color w:val="000000"/>
          <w:sz w:val="24"/>
        </w:rPr>
      </w:pPr>
      <w:r>
        <w:rPr>
          <w:rFonts w:hint="eastAsia" w:ascii="宋体" w:hAnsi="宋体" w:eastAsia="宋体" w:cs="宋体"/>
          <w:b/>
          <w:bCs/>
          <w:color w:val="000000"/>
          <w:sz w:val="24"/>
        </w:rPr>
        <w:t>8、谈判文件的澄清</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Cs/>
          <w:kern w:val="2"/>
          <w:sz w:val="24"/>
          <w:szCs w:val="20"/>
        </w:rPr>
      </w:pPr>
      <w:r>
        <w:rPr>
          <w:rFonts w:hint="eastAsia" w:ascii="宋体" w:hAnsi="宋体" w:eastAsia="宋体" w:cs="宋体"/>
          <w:bCs/>
          <w:kern w:val="2"/>
          <w:sz w:val="24"/>
          <w:szCs w:val="20"/>
        </w:rPr>
        <w:t>8.1要求澄清谈判文件的响应人应在响应文件递交截止三个工作日前将需要澄清及答疑的内容以书面形式并加盖企业公章按谈判须知前附表中的地址提交到代理机构处。代理机构将对收到的要求澄清的问题予以答复。代理机构将答复发给所有谈判文件收受人( 包括对要求澄清问题的说明，但不指明问题的来源。</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9、谈判文件的修改</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9.1 谈判文件发出后，在提交谈判文件截止时间3日前，采购人可对谈判文件进行必要的澄清或修改。</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9.2 谈判文件的修改将以书面形式发送给所有谈判人，谈判人应于收到该修改文件后及时以书面形式给予确认。谈判文件的修改内容作为谈判文件的组成部分，具有约束作用。</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9.3谈判文件的澄清、修改、补充等内容均以书面形式明确的内容为准。当谈判文件、谈判文件的澄清、修改、补充等在同一内容的表述上不一致时，以最后发出的书面文件为准。</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9.4为使谈判人在编制谈判文件时有充分的时间对谈判文件的澄清、修改、补充等内容进行研究，采购人将酌情延长提交谈判文件的截止时间，具体时间将在谈判文件的修改、补充通知中予以明确。</w:t>
      </w:r>
    </w:p>
    <w:p>
      <w:pPr>
        <w:pStyle w:val="2"/>
        <w:pageBreakBefore w:val="0"/>
        <w:numPr>
          <w:ilvl w:val="2"/>
          <w:numId w:val="0"/>
        </w:numPr>
        <w:kinsoku/>
        <w:wordWrap/>
        <w:overflowPunct/>
        <w:topLinePunct w:val="0"/>
        <w:autoSpaceDE/>
        <w:autoSpaceDN/>
        <w:bidi w:val="0"/>
        <w:spacing w:line="360" w:lineRule="auto"/>
        <w:textAlignment w:val="auto"/>
        <w:rPr>
          <w:rFonts w:hint="eastAsia" w:ascii="宋体" w:hAnsi="宋体" w:eastAsia="宋体" w:cs="宋体"/>
          <w:sz w:val="30"/>
          <w:szCs w:val="30"/>
        </w:rPr>
      </w:pPr>
      <w:bookmarkStart w:id="25" w:name="_Toc10953"/>
      <w:r>
        <w:rPr>
          <w:rFonts w:hint="eastAsia" w:ascii="宋体" w:hAnsi="宋体" w:eastAsia="宋体" w:cs="宋体"/>
          <w:sz w:val="30"/>
          <w:szCs w:val="30"/>
        </w:rPr>
        <w:t>（三）谈判响应文件的编制</w:t>
      </w:r>
      <w:bookmarkEnd w:id="25"/>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10、谈判响应文件的语言</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10.1谈判响应文件和与谈判有关的所有文件均应使用中文</w:t>
      </w:r>
      <w:r>
        <w:rPr>
          <w:rFonts w:hint="eastAsia" w:ascii="宋体" w:hAnsi="宋体" w:eastAsia="宋体" w:cs="宋体"/>
          <w:color w:val="000000"/>
          <w:sz w:val="24"/>
          <w:lang w:eastAsia="zh-CN"/>
        </w:rPr>
        <w:t>。</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11、谈判响应文件的组成</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一、法定代表人身份证明书</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二、谈判响应文件签署授权委托书</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三、谈判函及谈判函附表</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四、技术参数、功能偏离表</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五、商务条款偏离表</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六、投标人基本情况表</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七、交纳投标保证金</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八、实施方案</w:t>
      </w:r>
    </w:p>
    <w:p>
      <w:pPr>
        <w:pageBreakBefore w:val="0"/>
        <w:kinsoku/>
        <w:wordWrap/>
        <w:overflowPunct/>
        <w:topLinePunct w:val="0"/>
        <w:autoSpaceDE/>
        <w:autoSpaceDN/>
        <w:bidi w:val="0"/>
        <w:spacing w:line="360" w:lineRule="auto"/>
        <w:ind w:firstLine="480"/>
        <w:textAlignment w:val="auto"/>
        <w:rPr>
          <w:rFonts w:hint="default" w:ascii="宋体" w:hAnsi="宋体" w:eastAsia="宋体" w:cs="宋体"/>
          <w:color w:val="000000"/>
          <w:sz w:val="24"/>
          <w:lang w:val="en-US" w:eastAsia="zh-CN"/>
        </w:rPr>
      </w:pPr>
      <w:r>
        <w:rPr>
          <w:rFonts w:hint="eastAsia" w:ascii="宋体" w:hAnsi="宋体" w:eastAsia="宋体" w:cs="宋体"/>
          <w:color w:val="000000"/>
          <w:sz w:val="24"/>
        </w:rPr>
        <w:t>九、</w:t>
      </w:r>
      <w:r>
        <w:rPr>
          <w:rFonts w:hint="eastAsia" w:ascii="宋体" w:hAnsi="宋体" w:cs="宋体"/>
          <w:color w:val="000000"/>
          <w:sz w:val="24"/>
          <w:lang w:val="en-US" w:eastAsia="zh-CN"/>
        </w:rPr>
        <w:t>售后服务承诺书</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cs="宋体"/>
          <w:color w:val="000000"/>
          <w:sz w:val="24"/>
          <w:lang w:val="en-US" w:eastAsia="zh-CN"/>
        </w:rPr>
        <w:t>十、</w:t>
      </w:r>
      <w:r>
        <w:rPr>
          <w:rFonts w:hint="eastAsia" w:ascii="宋体" w:hAnsi="宋体" w:eastAsia="宋体" w:cs="宋体"/>
          <w:color w:val="000000"/>
          <w:sz w:val="24"/>
        </w:rPr>
        <w:t>反商业贿赂承诺书</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十</w:t>
      </w:r>
      <w:r>
        <w:rPr>
          <w:rFonts w:hint="eastAsia" w:ascii="宋体" w:hAnsi="宋体" w:cs="宋体"/>
          <w:color w:val="000000"/>
          <w:sz w:val="24"/>
          <w:lang w:val="en-US" w:eastAsia="zh-CN"/>
        </w:rPr>
        <w:t>一</w:t>
      </w:r>
      <w:r>
        <w:rPr>
          <w:rFonts w:hint="eastAsia" w:ascii="宋体" w:hAnsi="宋体" w:eastAsia="宋体" w:cs="宋体"/>
          <w:color w:val="000000"/>
          <w:sz w:val="24"/>
        </w:rPr>
        <w:t>、投标人认为应附的其他资料（格式自拟）</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12、谈判响应文件格式</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谈判响应文件应当使用谈判文件所提供格式（表格可以按同样格式扩展）。</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 xml:space="preserve">13、谈判报价    </w:t>
      </w:r>
    </w:p>
    <w:p>
      <w:pPr>
        <w:pageBreakBefore w:val="0"/>
        <w:kinsoku/>
        <w:wordWrap/>
        <w:overflowPunct/>
        <w:topLinePunct w:val="0"/>
        <w:autoSpaceDE/>
        <w:autoSpaceDN/>
        <w:bidi w:val="0"/>
        <w:spacing w:line="360" w:lineRule="auto"/>
        <w:ind w:firstLine="532"/>
        <w:textAlignment w:val="auto"/>
        <w:rPr>
          <w:rFonts w:hint="eastAsia" w:ascii="宋体" w:hAnsi="宋体" w:eastAsia="宋体" w:cs="宋体"/>
          <w:sz w:val="24"/>
        </w:rPr>
      </w:pPr>
      <w:r>
        <w:rPr>
          <w:rFonts w:hint="eastAsia" w:ascii="宋体" w:hAnsi="宋体" w:eastAsia="宋体" w:cs="宋体"/>
          <w:color w:val="000000"/>
          <w:sz w:val="24"/>
        </w:rPr>
        <w:t>13.1</w:t>
      </w:r>
      <w:r>
        <w:rPr>
          <w:rFonts w:hint="eastAsia" w:ascii="宋体" w:hAnsi="宋体" w:eastAsia="宋体" w:cs="宋体"/>
          <w:sz w:val="24"/>
        </w:rPr>
        <w:t>本</w:t>
      </w:r>
      <w:r>
        <w:rPr>
          <w:rFonts w:hint="eastAsia" w:ascii="宋体" w:hAnsi="宋体" w:cs="宋体"/>
          <w:sz w:val="24"/>
          <w:lang w:val="en-US" w:eastAsia="zh-CN"/>
        </w:rPr>
        <w:t>项目</w:t>
      </w:r>
      <w:r>
        <w:rPr>
          <w:rFonts w:hint="eastAsia" w:ascii="宋体" w:hAnsi="宋体" w:eastAsia="宋体" w:cs="宋体"/>
          <w:sz w:val="24"/>
        </w:rPr>
        <w:t>的谈判报价以采购清单为依据，由谈判响应人按照谈判文件、谈判文件的补充通知、答疑纪要、现场情况、承包范围，并充分考虑配送期间各类市场风险和国家政策性调整等风险系数，根据自身情况，在合理范围内，自主考虑、优惠报价，但不得低于企业成本。</w:t>
      </w:r>
    </w:p>
    <w:p>
      <w:pPr>
        <w:pageBreakBefore w:val="0"/>
        <w:kinsoku/>
        <w:wordWrap/>
        <w:overflowPunct/>
        <w:topLinePunct w:val="0"/>
        <w:autoSpaceDE/>
        <w:autoSpaceDN/>
        <w:bidi w:val="0"/>
        <w:spacing w:line="360" w:lineRule="auto"/>
        <w:ind w:firstLine="482"/>
        <w:textAlignment w:val="auto"/>
        <w:rPr>
          <w:rFonts w:hint="eastAsia" w:ascii="宋体" w:hAnsi="宋体" w:eastAsia="宋体" w:cs="宋体"/>
          <w:sz w:val="24"/>
        </w:rPr>
      </w:pPr>
      <w:r>
        <w:rPr>
          <w:rFonts w:hint="eastAsia" w:ascii="宋体" w:hAnsi="宋体" w:eastAsia="宋体" w:cs="宋体"/>
          <w:sz w:val="24"/>
        </w:rPr>
        <w:t>13.2谈判报价含税全包价，包括产品的包装、保险、运输、装卸、验收、检验试验、保修等一切费用。</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14、谈判货币</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14.1本</w:t>
      </w:r>
      <w:r>
        <w:rPr>
          <w:rFonts w:hint="eastAsia" w:ascii="宋体" w:hAnsi="宋体" w:eastAsia="宋体" w:cs="宋体"/>
          <w:color w:val="000000"/>
          <w:sz w:val="24"/>
          <w:lang w:val="en-US" w:eastAsia="zh-CN"/>
        </w:rPr>
        <w:t>项目</w:t>
      </w:r>
      <w:r>
        <w:rPr>
          <w:rFonts w:hint="eastAsia" w:ascii="宋体" w:hAnsi="宋体" w:eastAsia="宋体" w:cs="宋体"/>
          <w:color w:val="000000"/>
          <w:sz w:val="24"/>
        </w:rPr>
        <w:t>谈判报价采用的币种为人民币。</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15、谈判有效期</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15.1谈判有效期60日历天（从谈判截止之日算起），在此期限内，凡符合本谈判文件要求的谈判响应文件均保持有效。</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15.2在特殊情况下，采购人在原定谈判有效期内，可以根据需要以书面形式向谈判响应人提出延长谈判有效期的要求，对此要求谈判响应人须以书面形式予以答复。同意延长谈判有效期的谈判响应人既不能要求也不允许修改其谈判响应文件。</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16、谈判保证金</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16.1谈判响应人应按前附表要求的时间及金额采用基本户转账形式将保证金交至民丰县行政服务和公共资源交易中心。</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16.2如有下列情况之一，谈判响应人的谈判保证金不予退还。</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16.2.1谈判响应人在谈判有效期内撤回其谈判响应文件；</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16.2.2谈判响应人违反有关规定，串通作弊；</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16.2.3谈判响应人提供假证件的</w:t>
      </w:r>
      <w:r>
        <w:rPr>
          <w:rFonts w:hint="eastAsia" w:ascii="宋体" w:hAnsi="宋体" w:eastAsia="宋体" w:cs="宋体"/>
          <w:color w:val="000000"/>
          <w:sz w:val="24"/>
          <w:lang w:eastAsia="zh-CN"/>
        </w:rPr>
        <w:t>；</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16.3对于未能按要求提交谈判保证金的谈判，采购人将视为不响应谈判文件而予以拒绝</w:t>
      </w:r>
      <w:r>
        <w:rPr>
          <w:rFonts w:hint="eastAsia" w:ascii="宋体" w:hAnsi="宋体" w:eastAsia="宋体" w:cs="宋体"/>
          <w:color w:val="000000"/>
          <w:sz w:val="24"/>
          <w:lang w:eastAsia="zh-CN"/>
        </w:rPr>
        <w:t>；</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16.4在谈判有效期满后五个工作日内向未成交人退还谈判保证金。在谈判有效期满前确定成交人的，在确定成交人后五个工作日内退还。</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17、谈判响应文件的份数和签署</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17.1 谈判人应按前附表规定的份数提交谈判响应文件。</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17.2 谈判响应文件的正本和副本均需打印或使用不褪色的墨水笔书写，字迹应清晰易于辨认，正本和副本如有不一致之处，以正本为准。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17.3 谈判响应文件封面、谈判函均应加盖谈判响应人印章并经法定代表人或其委托代理人</w:t>
      </w:r>
      <w:r>
        <w:rPr>
          <w:rFonts w:hint="eastAsia" w:ascii="宋体" w:hAnsi="宋体" w:eastAsia="宋体" w:cs="宋体"/>
          <w:color w:val="000000"/>
          <w:sz w:val="24"/>
          <w:lang w:eastAsia="zh-CN"/>
        </w:rPr>
        <w:t>签字或盖章</w:t>
      </w:r>
      <w:r>
        <w:rPr>
          <w:rFonts w:hint="eastAsia" w:ascii="宋体" w:hAnsi="宋体" w:eastAsia="宋体" w:cs="宋体"/>
          <w:color w:val="auto"/>
          <w:sz w:val="24"/>
          <w:lang w:val="en-US" w:eastAsia="zh-CN"/>
        </w:rPr>
        <w:t>。</w:t>
      </w:r>
      <w:r>
        <w:rPr>
          <w:rFonts w:hint="eastAsia" w:ascii="宋体" w:hAnsi="宋体" w:eastAsia="宋体" w:cs="宋体"/>
          <w:color w:val="000000"/>
          <w:sz w:val="24"/>
        </w:rPr>
        <w:t>由委托代理人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的在谈判响应文件中须同时提交谈判响应文件签署授权委托书。谈判响应文件签署授权委托书格式、签字、盖章及内容均应符合要求，否则谈判响应文件签署授权委托书无效。</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17.4 除谈判响应人对错误处须修改外，全套谈判响应文件应无涂改或行间插字和增删。如有修改，修改处应由谈判响应人加盖谈判响应人的印章或由谈判响应文件签字人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w:t>
      </w:r>
    </w:p>
    <w:p>
      <w:pPr>
        <w:pStyle w:val="2"/>
        <w:pageBreakBefore w:val="0"/>
        <w:numPr>
          <w:ilvl w:val="2"/>
          <w:numId w:val="0"/>
        </w:numPr>
        <w:kinsoku/>
        <w:wordWrap/>
        <w:overflowPunct/>
        <w:topLinePunct w:val="0"/>
        <w:autoSpaceDE/>
        <w:autoSpaceDN/>
        <w:bidi w:val="0"/>
        <w:spacing w:line="360" w:lineRule="auto"/>
        <w:textAlignment w:val="auto"/>
        <w:rPr>
          <w:rFonts w:hint="eastAsia" w:ascii="宋体" w:hAnsi="宋体" w:eastAsia="宋体" w:cs="宋体"/>
          <w:sz w:val="10"/>
          <w:szCs w:val="10"/>
        </w:rPr>
      </w:pPr>
      <w:bookmarkStart w:id="26" w:name="_Toc15429"/>
      <w:r>
        <w:rPr>
          <w:rFonts w:hint="eastAsia" w:ascii="宋体" w:hAnsi="宋体" w:eastAsia="宋体" w:cs="宋体"/>
          <w:sz w:val="30"/>
          <w:szCs w:val="30"/>
        </w:rPr>
        <w:t>（四）谈判响应文件的提交</w:t>
      </w:r>
      <w:bookmarkEnd w:id="26"/>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bCs/>
          <w:color w:val="000000"/>
          <w:sz w:val="24"/>
        </w:rPr>
      </w:pPr>
      <w:r>
        <w:rPr>
          <w:rFonts w:hint="eastAsia" w:ascii="宋体" w:hAnsi="宋体" w:eastAsia="宋体" w:cs="宋体"/>
          <w:b/>
          <w:bCs/>
          <w:color w:val="000000"/>
          <w:sz w:val="24"/>
        </w:rPr>
        <w:t>18、谈判响应文件的装订、密封和标记</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18.1谈判响应人应将所有谈判响应文件的正本和所有副本、电子文档密封。</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18.2在谈判响应文件密封袋上均应：</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18.2.1写明采购人名称；</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18.2.2注明下列识别标志：</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(1) 采购名称；</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(2)</w:t>
      </w:r>
      <w:r>
        <w:rPr>
          <w:rFonts w:hint="eastAsia" w:ascii="宋体" w:hAnsi="宋体" w:eastAsia="宋体" w:cs="宋体"/>
          <w:b w:val="0"/>
          <w:bCs w:val="0"/>
          <w:color w:val="000000"/>
          <w:sz w:val="24"/>
          <w:u w:val="single"/>
        </w:rPr>
        <w:t xml:space="preserve">     年   月   日</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u w:val="single"/>
        </w:rPr>
        <w:t>上午    时    分</w:t>
      </w:r>
      <w:r>
        <w:rPr>
          <w:rFonts w:hint="eastAsia" w:ascii="宋体" w:hAnsi="宋体" w:eastAsia="宋体" w:cs="宋体"/>
          <w:b w:val="0"/>
          <w:bCs w:val="0"/>
          <w:color w:val="000000"/>
          <w:sz w:val="24"/>
        </w:rPr>
        <w:t>谈判，此时间以前不得开封。</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(3)谈判响应人应将所有的谈判响应文件的正本、副本及电子版分别密封在封袋中，在封袋正面注明：“谈判响应文件（正本）”、“谈判响应文件（副本）”、“谈判响应文件（电子版）”的响应字样。封袋上加贴封条，并在封袋的封口处加盖谈判响应人企业印章、企业法定代表人或其委托代理人印章。</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18.3 如果谈判响应文件没有按本谈判须知的规定装订(采用死页胶装)和加写标记及密封，采购人将不承担谈判响应文件提前开封的责任。对由此造成提前开封的谈判响应文件将予以拒绝，并退还给谈判响应人。</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bCs/>
          <w:color w:val="000000"/>
          <w:sz w:val="24"/>
        </w:rPr>
      </w:pPr>
      <w:r>
        <w:rPr>
          <w:rFonts w:hint="eastAsia" w:ascii="宋体" w:hAnsi="宋体" w:eastAsia="宋体" w:cs="宋体"/>
          <w:b/>
          <w:bCs/>
          <w:color w:val="000000"/>
          <w:sz w:val="24"/>
        </w:rPr>
        <w:t>19、谈判响应文件的提交</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19.1 谈判响应人应于谈判之前将谈判响应文件递交至谈判地点（按本须知前附表所规定的地点）。</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20、谈判响应文件提交的截止时间</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color w:val="000000"/>
          <w:sz w:val="24"/>
        </w:rPr>
      </w:pPr>
      <w:r>
        <w:rPr>
          <w:rFonts w:hint="eastAsia" w:ascii="宋体" w:hAnsi="宋体" w:eastAsia="宋体" w:cs="宋体"/>
          <w:color w:val="000000"/>
          <w:sz w:val="24"/>
        </w:rPr>
        <w:t>20.1采购人在谈判截止时间以后将拒绝接收迟到的谈判响应文件。</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20.2 采购人可按规定以修改补充通知的方式，酌情延长提交谈判响应文件的截止时间。在此情况下，谈判响应人的所有权利和义务以及谈判响应人受制约的截止时间，均以延长后新的谈判截止时间为准。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20.3 到谈判截止时间为止，采购人收到的谈判响应文件少于3个的，采购人将依法重新组织采购。</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bCs/>
          <w:color w:val="000000"/>
          <w:sz w:val="24"/>
        </w:rPr>
      </w:pPr>
      <w:r>
        <w:rPr>
          <w:rFonts w:hint="eastAsia" w:ascii="宋体" w:hAnsi="宋体" w:eastAsia="宋体" w:cs="宋体"/>
          <w:b/>
          <w:bCs/>
          <w:color w:val="000000"/>
          <w:sz w:val="24"/>
        </w:rPr>
        <w:t>21、迟交的谈判响应文件</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21.1采购人在本须知规定的谈判截止时间以后收到的谈判响应文件，将被拒绝并退回给谈判响应人。</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22、谈判响应文件的补充、修改与撤回</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22.1 谈判响应人在提交谈判响应文件以后，在规定的谈判截止时间之前，可以书面形式补充修改或撤回已提交的谈判响应文件，并以书面形式通知采购人。补充、修改的内容为谈判响应文件的组成部分。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22.2 谈判响应人对谈判响应文件的补充、修改，应按本须知有关规定密封、标记和提交，并在内外层谈判响应文件密封袋上清楚标明“补充、修改”或“撤回”字样。</w:t>
      </w:r>
    </w:p>
    <w:p>
      <w:pPr>
        <w:pageBreakBefore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22.3在谈判截止时间之后，谈判响应人不得补充、修改谈判文件。</w:t>
      </w:r>
    </w:p>
    <w:p>
      <w:pPr>
        <w:pageBreakBefore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10"/>
          <w:szCs w:val="10"/>
        </w:rPr>
      </w:pPr>
      <w:r>
        <w:rPr>
          <w:rFonts w:hint="eastAsia" w:ascii="宋体" w:hAnsi="宋体" w:eastAsia="宋体" w:cs="宋体"/>
          <w:color w:val="000000"/>
          <w:sz w:val="24"/>
        </w:rPr>
        <w:t>22.4 在谈判截止时间至谈判有效期满之前，谈判响应人不得撤回其谈判响应文件，否则其谈判保证金将被没收。</w:t>
      </w:r>
    </w:p>
    <w:p>
      <w:pPr>
        <w:pStyle w:val="2"/>
        <w:pageBreakBefore w:val="0"/>
        <w:numPr>
          <w:ilvl w:val="2"/>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10"/>
          <w:szCs w:val="10"/>
        </w:rPr>
      </w:pPr>
      <w:bookmarkStart w:id="27" w:name="_Toc21979"/>
      <w:r>
        <w:rPr>
          <w:rFonts w:hint="eastAsia" w:ascii="宋体" w:hAnsi="宋体" w:eastAsia="宋体" w:cs="宋体"/>
          <w:sz w:val="30"/>
          <w:szCs w:val="30"/>
        </w:rPr>
        <w:t>（五）谈判</w:t>
      </w:r>
      <w:bookmarkEnd w:id="27"/>
    </w:p>
    <w:p>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23、谈判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000000"/>
          <w:sz w:val="24"/>
        </w:rPr>
        <w:t>23.1采购人按本须知前附表所规定的时间和地点谈判，并邀请所有谈判响应人参加。谈判响</w:t>
      </w:r>
      <w:r>
        <w:rPr>
          <w:rFonts w:hint="eastAsia" w:ascii="宋体" w:hAnsi="宋体" w:eastAsia="宋体" w:cs="宋体"/>
          <w:color w:val="auto"/>
          <w:sz w:val="24"/>
        </w:rPr>
        <w:t>应人应按时参加谈判会议并签到，谈判响应人参加谈判会议时应出示以下证件原件：</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cs="宋体"/>
          <w:color w:val="000000"/>
          <w:sz w:val="24"/>
          <w:lang w:val="en-US" w:eastAsia="zh-CN"/>
        </w:rPr>
        <w:t>23.1.</w:t>
      </w:r>
      <w:r>
        <w:rPr>
          <w:rFonts w:hint="eastAsia" w:ascii="宋体" w:hAnsi="宋体" w:eastAsia="宋体" w:cs="宋体"/>
          <w:color w:val="000000"/>
          <w:sz w:val="24"/>
        </w:rPr>
        <w:t>1、投标人须具有独立企业法人资格，应提供营业执照(三证合一)；</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cs="宋体"/>
          <w:color w:val="000000"/>
          <w:sz w:val="24"/>
          <w:lang w:val="en-US" w:eastAsia="zh-CN"/>
        </w:rPr>
        <w:t>23.1.</w:t>
      </w:r>
      <w:r>
        <w:rPr>
          <w:rFonts w:hint="eastAsia" w:ascii="宋体" w:hAnsi="宋体" w:eastAsia="宋体" w:cs="宋体"/>
          <w:color w:val="000000"/>
          <w:sz w:val="24"/>
        </w:rPr>
        <w:t>2、法定代表人投标需携带法定代表人证明书（原件）及法定代表人身份证（原件），委托代理人投标需携带法定代表人授权委托书（原件）及委托代理人身份证（原件）；</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cs="宋体"/>
          <w:color w:val="000000"/>
          <w:sz w:val="24"/>
          <w:lang w:val="en-US" w:eastAsia="zh-CN"/>
        </w:rPr>
        <w:t>23.1.</w:t>
      </w:r>
      <w:r>
        <w:rPr>
          <w:rFonts w:hint="eastAsia" w:ascii="宋体" w:hAnsi="宋体" w:eastAsia="宋体" w:cs="宋体"/>
          <w:color w:val="000000"/>
          <w:sz w:val="24"/>
        </w:rPr>
        <w:t>3、提供法定代表人和委托代理人社保部门出具近三个月（2021年12月-2022年2月）的缴纳社保证明（社保缴费凭证及个人明细表）（新公司按实际发生提供）；</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cs="宋体"/>
          <w:color w:val="000000"/>
          <w:sz w:val="24"/>
          <w:lang w:val="en-US" w:eastAsia="zh-CN"/>
        </w:rPr>
        <w:t>23.1.</w:t>
      </w:r>
      <w:r>
        <w:rPr>
          <w:rFonts w:hint="eastAsia" w:ascii="宋体" w:hAnsi="宋体" w:eastAsia="宋体" w:cs="宋体"/>
          <w:color w:val="000000"/>
          <w:sz w:val="24"/>
        </w:rPr>
        <w:t>4、2021年度由第三方财务审计机构出具的财务审计报告（2021年10月份后成立的公司可不提供但需提供银行出具的近三个月的资信证明）和近三个月的完税证明；</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cs="宋体"/>
          <w:color w:val="000000"/>
          <w:sz w:val="24"/>
          <w:lang w:val="en-US" w:eastAsia="zh-CN"/>
        </w:rPr>
        <w:t>23.1.</w:t>
      </w:r>
      <w:r>
        <w:rPr>
          <w:rFonts w:hint="eastAsia" w:ascii="宋体" w:hAnsi="宋体" w:eastAsia="宋体" w:cs="宋体"/>
          <w:color w:val="000000"/>
          <w:sz w:val="24"/>
        </w:rPr>
        <w:t>5、投标供应商需具备《林木种子生产许可证》或《林木种子经营许可证》；</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cs="宋体"/>
          <w:color w:val="000000"/>
          <w:sz w:val="24"/>
          <w:lang w:val="en-US" w:eastAsia="zh-CN"/>
        </w:rPr>
        <w:t>23.1.6、</w:t>
      </w:r>
      <w:r>
        <w:rPr>
          <w:rFonts w:hint="eastAsia" w:ascii="宋体" w:hAnsi="宋体" w:eastAsia="宋体" w:cs="宋体"/>
          <w:color w:val="000000"/>
          <w:sz w:val="24"/>
        </w:rPr>
        <w:t>投标保证金电子回单。</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23.2按规定提交合格的撤回通知的谈判响应文件不予开封，并退回给谈判响应人；按本须知规定确定为无效的谈判响应文件，不予送交评审。</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23.3 谈判程序：</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23.3.1 谈判由采购人或采购代理机构主持；</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23.3.2 由谈判响应人或其推选的代表检查谈判响应文件的密封情况；</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23.3.3谈判顺序：按照响应文件递交签到的逆顺序进行；</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23.3.4谈判（采购人将对谈判过程进行记录，以存档备查）；</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23.3.5如有必要，谈判响应人可推荐相关技术人员对整个项目进行简单描述。</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bCs/>
          <w:color w:val="000000"/>
          <w:sz w:val="24"/>
        </w:rPr>
      </w:pPr>
      <w:r>
        <w:rPr>
          <w:rFonts w:hint="eastAsia" w:ascii="宋体" w:hAnsi="宋体" w:eastAsia="宋体" w:cs="宋体"/>
          <w:b/>
          <w:bCs/>
          <w:color w:val="000000"/>
          <w:sz w:val="24"/>
        </w:rPr>
        <w:t>24、谈判响应文件的有效性</w:t>
      </w:r>
    </w:p>
    <w:p>
      <w:pPr>
        <w:pageBreakBefore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5、</w:t>
      </w:r>
      <w:r>
        <w:rPr>
          <w:rFonts w:hint="eastAsia" w:ascii="宋体" w:hAnsi="宋体" w:eastAsia="宋体" w:cs="宋体"/>
          <w:color w:val="000000"/>
          <w:sz w:val="24"/>
        </w:rPr>
        <w:t>采购人将有效谈判响应文件，送谈判小组进行评审、比较。</w:t>
      </w:r>
    </w:p>
    <w:p>
      <w:pPr>
        <w:pageBreakBefore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lang w:val="en-US" w:eastAsia="zh-CN"/>
        </w:rPr>
      </w:pPr>
      <w:r>
        <w:rPr>
          <w:rFonts w:hint="eastAsia" w:ascii="宋体" w:hAnsi="宋体" w:eastAsia="宋体" w:cs="宋体"/>
          <w:b/>
          <w:sz w:val="30"/>
          <w:szCs w:val="30"/>
          <w:lang w:val="en-US" w:eastAsia="zh-CN" w:bidi="ar-SA"/>
        </w:rPr>
        <w:t>（六）谈判与成交</w:t>
      </w:r>
    </w:p>
    <w:p>
      <w:pPr>
        <w:pageBreakBefore w:val="0"/>
        <w:kinsoku/>
        <w:wordWrap/>
        <w:overflowPunct/>
        <w:topLinePunct w:val="0"/>
        <w:autoSpaceDE/>
        <w:autoSpaceDN/>
        <w:bidi w:val="0"/>
        <w:spacing w:line="360" w:lineRule="auto"/>
        <w:ind w:firstLine="479" w:firstLineChars="199"/>
        <w:textAlignment w:val="auto"/>
        <w:rPr>
          <w:rFonts w:hint="eastAsia" w:ascii="宋体" w:hAnsi="宋体" w:eastAsia="宋体" w:cs="宋体"/>
          <w:b/>
          <w:bCs/>
          <w:color w:val="000000"/>
          <w:sz w:val="24"/>
        </w:rPr>
      </w:pPr>
      <w:r>
        <w:rPr>
          <w:rFonts w:hint="eastAsia" w:ascii="宋体" w:hAnsi="宋体" w:eastAsia="宋体" w:cs="宋体"/>
          <w:b/>
          <w:bCs/>
          <w:color w:val="000000"/>
          <w:sz w:val="24"/>
        </w:rPr>
        <w:t>25、谈判小组与评标</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sz w:val="24"/>
        </w:rPr>
      </w:pPr>
      <w:r>
        <w:rPr>
          <w:rFonts w:hint="eastAsia" w:ascii="宋体" w:hAnsi="宋体" w:eastAsia="宋体" w:cs="宋体"/>
          <w:sz w:val="24"/>
        </w:rPr>
        <w:t>25.1谈判小组由采购人依法组建，负责谈判活动，其中采购人的代表一名和有关技术、经济等方面的专家</w:t>
      </w:r>
      <w:r>
        <w:rPr>
          <w:rFonts w:hint="eastAsia" w:ascii="宋体" w:hAnsi="宋体" w:eastAsia="宋体" w:cs="宋体"/>
          <w:sz w:val="24"/>
          <w:lang w:val="en-US" w:eastAsia="zh-CN"/>
        </w:rPr>
        <w:t>二</w:t>
      </w:r>
      <w:r>
        <w:rPr>
          <w:rFonts w:hint="eastAsia" w:ascii="宋体" w:hAnsi="宋体" w:eastAsia="宋体" w:cs="宋体"/>
          <w:sz w:val="24"/>
        </w:rPr>
        <w:t>名。</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sz w:val="24"/>
        </w:rPr>
        <w:t>25.2参加谈判的专家由采购人在</w:t>
      </w:r>
      <w:r>
        <w:rPr>
          <w:rFonts w:hint="eastAsia" w:ascii="宋体" w:hAnsi="宋体" w:eastAsia="宋体" w:cs="宋体"/>
          <w:color w:val="000000"/>
          <w:sz w:val="24"/>
        </w:rPr>
        <w:t>谈判前从相关的</w:t>
      </w:r>
      <w:r>
        <w:rPr>
          <w:rFonts w:hint="eastAsia" w:ascii="宋体" w:hAnsi="宋体" w:eastAsia="宋体" w:cs="宋体"/>
          <w:color w:val="000000"/>
          <w:sz w:val="24"/>
          <w:lang w:val="en-US" w:eastAsia="zh-CN"/>
        </w:rPr>
        <w:t>政采云</w:t>
      </w:r>
      <w:r>
        <w:rPr>
          <w:rFonts w:hint="eastAsia" w:ascii="宋体" w:hAnsi="宋体" w:eastAsia="宋体" w:cs="宋体"/>
          <w:color w:val="000000"/>
          <w:sz w:val="24"/>
        </w:rPr>
        <w:t>专家库中随机抽选。</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25.3与谈判响应人有利害关系的人不得进入谈判小组。</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25.4谈判小组成员应当客观、公正地履行职务，遵守职业道德，对所提出的评审意见承担个人责任。</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bCs/>
          <w:color w:val="000000"/>
          <w:sz w:val="24"/>
        </w:rPr>
      </w:pPr>
      <w:r>
        <w:rPr>
          <w:rFonts w:hint="eastAsia" w:ascii="宋体" w:hAnsi="宋体" w:eastAsia="宋体" w:cs="宋体"/>
          <w:b/>
          <w:bCs/>
          <w:color w:val="000000"/>
          <w:sz w:val="24"/>
        </w:rPr>
        <w:t>26、谈判过程的保密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26.1谈判后，直至授予成交人合同为止，凡属于对谈判响应文件的审查、澄清、评价和比较的有关资料以及成交候选人的推荐情况，与谈判有关的其他任何情况均严格保密。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26.2 在谈判响应文件的评审和比较、成交候选人推荐以及授予合同的过程中，谈判响应人向采购人和谈判小组施加影响的任何行为，都将会导致其谈判被拒绝。</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26.3成交人确定后，采购人不对未成交人就谈判过程以及未能成交原因作出任何解释。未成交人不得向谈判小组组成人员或其他有关人员索问谈判过程的情况和材料。</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27、谈判响应文件的初步评审</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27.1 经采购人审查符合本须知有关规定的谈判响应文件，才能提交谈判小组进行评审。</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27.2 评标时，谈判小组将首先评定每份谈判响应文件是否在实质上响应了谈判文件的要求。所谓实质上响应，是指谈判响应文件应与谈判文件的所有实质性条款、条件和要求相符，无显著差异或保留，或者对合同中约定的采购人的权利和谈判响应人的义务方面造成重大的限制，纠正这些显著差异或保留将会对其他实质上响应谈判文件要求的谈判响应文件的谈判响应人的竞争地位产生不公正的影响。</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27.3如果谈判响应文件实质上不响应谈判文件的各项要求，谈判小组将予以拒绝，并且不允许谈判响应人通过修改或撤销其不符合要求的差异或保留，使之成为具有响应性的谈判。</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28、谈判响应文件计算错误的修正</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28.1谈判小组将对确定为实质上响应谈判文件要求的谈判响应文件进行校核，看其是否有计算或表达上的错误，修正错误的原则如下：</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28.1.1如果数字表示的金额和用文字表示的金额不一致时，应以文字表示的金额为准；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28.1.2当单价与数量的乘积与合价不一致时，以单价为准，除非谈判小组认为单价有明显的小数点错误，此时应以标出的合价为准，并修改单价；</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28.2 按上述修正错误的原则及方法调整或修正谈判响应文件的谈判报价，谈判响应人同意后，调整后的谈判报价对谈判响应人起约束作用。如果谈判响应人不接受修正后的报价，则其谈判将被拒绝并且其谈判保证金也将被没收，并不影响谈判工作。</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bCs/>
          <w:color w:val="000000"/>
          <w:sz w:val="24"/>
        </w:rPr>
      </w:pPr>
      <w:r>
        <w:rPr>
          <w:rFonts w:hint="eastAsia" w:ascii="宋体" w:hAnsi="宋体" w:eastAsia="宋体" w:cs="宋体"/>
          <w:b/>
          <w:bCs/>
          <w:color w:val="000000"/>
          <w:sz w:val="24"/>
        </w:rPr>
        <w:t>29、谈判响应文件的评审和比较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u w:val="single"/>
        </w:rPr>
      </w:pPr>
      <w:r>
        <w:rPr>
          <w:rFonts w:hint="eastAsia" w:ascii="宋体" w:hAnsi="宋体" w:eastAsia="宋体" w:cs="宋体"/>
          <w:sz w:val="24"/>
        </w:rPr>
        <w:t>29.1</w:t>
      </w:r>
      <w:r>
        <w:rPr>
          <w:rFonts w:hint="eastAsia" w:ascii="宋体" w:hAnsi="宋体" w:eastAsia="宋体" w:cs="宋体"/>
          <w:bCs/>
          <w:sz w:val="24"/>
        </w:rPr>
        <w:t>谈判办法：最低评标价法，即全部满足谈判文件要求的情况下以第二次报价最低的谈判响应人为成交人。</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bCs/>
          <w:color w:val="FF0000"/>
          <w:sz w:val="24"/>
        </w:rPr>
      </w:pPr>
      <w:r>
        <w:rPr>
          <w:rFonts w:hint="eastAsia" w:ascii="宋体" w:hAnsi="宋体" w:eastAsia="宋体" w:cs="宋体"/>
          <w:bCs/>
          <w:color w:val="000000"/>
          <w:sz w:val="24"/>
        </w:rPr>
        <w:t>29.</w:t>
      </w:r>
      <w:r>
        <w:rPr>
          <w:rFonts w:hint="eastAsia" w:ascii="宋体" w:hAnsi="宋体" w:eastAsia="宋体" w:cs="宋体"/>
          <w:bCs/>
          <w:color w:val="000000"/>
          <w:sz w:val="24"/>
          <w:lang w:val="en-US" w:eastAsia="zh-CN"/>
        </w:rPr>
        <w:t>2</w:t>
      </w:r>
      <w:r>
        <w:rPr>
          <w:rFonts w:hint="eastAsia" w:ascii="宋体" w:hAnsi="宋体" w:eastAsia="宋体" w:cs="宋体"/>
          <w:b/>
          <w:bCs w:val="0"/>
          <w:color w:val="000000"/>
          <w:sz w:val="24"/>
          <w:lang w:val="en-US" w:eastAsia="zh-CN"/>
        </w:rPr>
        <w:t>谈判响应人对所投产品根据市场行情自主报价：竞争性谈判采购方式要求必须进行至少二次以上的报价，通常进行两轮报价（特殊情况可能进行三次或三次以上的报价），第一轮以谈判响应文件正本中的“谈判函”内的价格为准（不公开宣布第一轮参与谈判的谈判响应人的报价情况），招标代理机构将在开标现场组织谈判小组谈判过后符合条件的谈判响应人进行最终报价，在符合采购需求、质量和服务相等的前提下，推荐最终报价中提出最低报价的谈判响应人作为成交供应商。</w:t>
      </w:r>
      <w:r>
        <w:rPr>
          <w:rFonts w:hint="eastAsia" w:ascii="宋体" w:hAnsi="宋体" w:eastAsia="宋体" w:cs="宋体"/>
          <w:b/>
          <w:bCs w:val="0"/>
          <w:sz w:val="24"/>
        </w:rPr>
        <w:t>（注：第二次报价可以和第一次报价相同，但不能</w:t>
      </w:r>
      <w:r>
        <w:rPr>
          <w:rFonts w:hint="eastAsia" w:ascii="宋体" w:hAnsi="宋体" w:eastAsia="宋体" w:cs="宋体"/>
          <w:b/>
          <w:bCs w:val="0"/>
          <w:sz w:val="24"/>
          <w:lang w:val="en-US" w:eastAsia="zh-CN"/>
        </w:rPr>
        <w:t>高</w:t>
      </w:r>
      <w:r>
        <w:rPr>
          <w:rFonts w:hint="eastAsia" w:ascii="宋体" w:hAnsi="宋体" w:eastAsia="宋体" w:cs="宋体"/>
          <w:b/>
          <w:bCs w:val="0"/>
          <w:sz w:val="24"/>
        </w:rPr>
        <w:t>于第一次报价；举例：如第一次报价为</w:t>
      </w:r>
      <w:r>
        <w:rPr>
          <w:rFonts w:hint="eastAsia" w:ascii="宋体" w:hAnsi="宋体" w:eastAsia="宋体" w:cs="宋体"/>
          <w:b/>
          <w:bCs w:val="0"/>
          <w:sz w:val="24"/>
          <w:lang w:val="en-US" w:eastAsia="zh-CN"/>
        </w:rPr>
        <w:t>100元</w:t>
      </w:r>
      <w:r>
        <w:rPr>
          <w:rFonts w:hint="eastAsia" w:ascii="宋体" w:hAnsi="宋体" w:eastAsia="宋体" w:cs="宋体"/>
          <w:b/>
          <w:bCs w:val="0"/>
          <w:sz w:val="24"/>
        </w:rPr>
        <w:t>，则第二次报价不能</w:t>
      </w:r>
      <w:r>
        <w:rPr>
          <w:rFonts w:hint="eastAsia" w:ascii="宋体" w:hAnsi="宋体" w:eastAsia="宋体" w:cs="宋体"/>
          <w:b/>
          <w:bCs w:val="0"/>
          <w:sz w:val="24"/>
          <w:lang w:val="en-US" w:eastAsia="zh-CN"/>
        </w:rPr>
        <w:t>高于100元。</w:t>
      </w:r>
      <w:r>
        <w:rPr>
          <w:rFonts w:hint="eastAsia" w:ascii="宋体" w:hAnsi="宋体" w:eastAsia="宋体" w:cs="宋体"/>
          <w:b/>
          <w:bCs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sz w:val="24"/>
        </w:rPr>
      </w:pPr>
      <w:r>
        <w:rPr>
          <w:rFonts w:hint="eastAsia" w:ascii="宋体" w:hAnsi="宋体" w:eastAsia="宋体" w:cs="宋体"/>
          <w:bCs/>
          <w:sz w:val="24"/>
        </w:rPr>
        <w:t>29.4</w:t>
      </w:r>
      <w:r>
        <w:rPr>
          <w:rFonts w:hint="eastAsia" w:ascii="宋体" w:hAnsi="宋体" w:eastAsia="宋体" w:cs="宋体"/>
          <w:sz w:val="24"/>
        </w:rPr>
        <w:t>谈判小组仅对实质上响应谈判文件要求的谈判响应文件进行评估和比较；</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rPr>
      </w:pPr>
      <w:r>
        <w:rPr>
          <w:rFonts w:hint="eastAsia" w:ascii="宋体" w:hAnsi="宋体" w:eastAsia="宋体" w:cs="宋体"/>
          <w:sz w:val="24"/>
        </w:rPr>
        <w:t>29.5</w:t>
      </w:r>
      <w:r>
        <w:rPr>
          <w:rFonts w:hint="eastAsia" w:ascii="宋体" w:hAnsi="宋体" w:eastAsia="宋体" w:cs="宋体"/>
          <w:color w:val="000000"/>
          <w:sz w:val="24"/>
        </w:rPr>
        <w:t>谈判小组所有成员集中与单一供应商分别进行谈判。若谈判内容有实质性变动的，谈判小组应当以书面形式通知所有参加谈判的供应商；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bCs/>
          <w:color w:val="000000"/>
          <w:sz w:val="24"/>
        </w:rPr>
        <w:t>29.6</w:t>
      </w:r>
      <w:r>
        <w:rPr>
          <w:rFonts w:hint="eastAsia" w:ascii="宋体" w:hAnsi="宋体" w:eastAsia="宋体" w:cs="宋体"/>
          <w:color w:val="000000"/>
          <w:sz w:val="24"/>
        </w:rPr>
        <w:t>谈判共分二次进行：响应文件中的内容为第一次谈判内容，第一次谈判内容保密，谈判小组将根据第一次谈判的内容确定不少于三家的供应商参加第二次谈判，第二次谈判内容为最终谈判内容，所有参加第二次谈判（最终）的供应商在规定时间内递交最终报价函，最后进行公开宣标；</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29.7谈判小组将根据“《中华人民共和国政府采购法》和《政府采购货物和服务招标投标管理办法》（财政部令第18号）及财库[2007]2号令”有关规定向采购人推荐3名成交候选人。</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rPr>
      </w:pPr>
      <w:r>
        <w:rPr>
          <w:rFonts w:hint="eastAsia" w:ascii="宋体" w:hAnsi="宋体" w:eastAsia="宋体" w:cs="宋体"/>
          <w:bCs/>
          <w:color w:val="000000"/>
          <w:sz w:val="24"/>
        </w:rPr>
        <w:t>30、</w:t>
      </w:r>
      <w:r>
        <w:rPr>
          <w:rFonts w:hint="eastAsia" w:ascii="宋体" w:hAnsi="宋体" w:eastAsia="宋体" w:cs="宋体"/>
          <w:color w:val="000000"/>
          <w:sz w:val="24"/>
        </w:rPr>
        <w:t>在谈判过程中，凡遇到谈判响应文件中无界定或界定不清、前后不一致使谈判小组成员意见有分歧且又难以协商一致的问题，均由谈判小组予以表决，获半数以上同意的即为通过，未获半数同意的即为否决。</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31、成交及履约保证金</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31.1谈判结束后，谈判小组应当编制谈判工作报告，谈判工作报告须经谈判小组全体成员签字确认。谈判小组提出书面谈判工作报告后5日内，采购人根据谈判小组提交的谈判工作报告和推荐的成交候选供应商确定成交供应商。</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31.2谈判小组根据谈判响应人谈判价按从低到高的顺序向采购人</w:t>
      </w:r>
      <w:r>
        <w:rPr>
          <w:rFonts w:hint="eastAsia" w:ascii="宋体" w:hAnsi="宋体" w:eastAsia="宋体" w:cs="宋体"/>
          <w:sz w:val="24"/>
        </w:rPr>
        <w:t>推荐3名成交候选</w:t>
      </w:r>
      <w:r>
        <w:rPr>
          <w:rFonts w:hint="eastAsia" w:ascii="宋体" w:hAnsi="宋体" w:eastAsia="宋体" w:cs="宋体"/>
          <w:color w:val="000000"/>
          <w:sz w:val="24"/>
        </w:rPr>
        <w:t>人。</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31.3由采购人根据谈判小组推荐的成交候选人确定成交人，成交候选人即为成交人。成交候选人放弃成交或因不可抗力提出不能履行合同，采购人可以按谈判响应人谈判价从低到高的顺序向下依次确定成交人。</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31.4采购人按规定确定成交人后，采购代理机构将在</w:t>
      </w:r>
      <w:r>
        <w:rPr>
          <w:rFonts w:hint="eastAsia" w:ascii="宋体" w:hAnsi="宋体" w:eastAsia="宋体" w:cs="宋体"/>
          <w:b/>
          <w:sz w:val="24"/>
        </w:rPr>
        <w:t>《</w:t>
      </w:r>
      <w:r>
        <w:rPr>
          <w:rFonts w:hint="eastAsia" w:ascii="宋体" w:hAnsi="宋体" w:eastAsia="宋体" w:cs="宋体"/>
          <w:b/>
          <w:sz w:val="24"/>
          <w:lang w:val="en-US" w:eastAsia="zh-CN"/>
        </w:rPr>
        <w:t>新疆维吾尔自治区政府采购网</w:t>
      </w:r>
      <w:r>
        <w:rPr>
          <w:rFonts w:hint="eastAsia" w:ascii="宋体" w:hAnsi="宋体" w:eastAsia="宋体" w:cs="宋体"/>
          <w:b/>
          <w:sz w:val="24"/>
        </w:rPr>
        <w:t>》</w:t>
      </w:r>
      <w:r>
        <w:rPr>
          <w:rFonts w:hint="eastAsia" w:ascii="宋体" w:hAnsi="宋体" w:eastAsia="宋体" w:cs="宋体"/>
          <w:sz w:val="24"/>
        </w:rPr>
        <w:t>上发布成交公告。</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sz w:val="24"/>
        </w:rPr>
        <w:t>31.5响应人若对谈判结果有疑问，有权按照中华人民共和国财政部第20号令规定的程序进行投诉和质疑，但须对投诉和质疑内容的真实性承担责任。</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sz w:val="24"/>
        </w:rPr>
      </w:pPr>
      <w:r>
        <w:rPr>
          <w:rFonts w:hint="eastAsia" w:ascii="宋体" w:hAnsi="宋体" w:eastAsia="宋体" w:cs="宋体"/>
          <w:sz w:val="24"/>
        </w:rPr>
        <w:t>31.6成交人应在接到成交通知书3日内、合同签订前5日内向采购单位提交履约保证金成交价的10%，否则视为自动放弃成交权。</w:t>
      </w:r>
    </w:p>
    <w:p>
      <w:pPr>
        <w:pStyle w:val="2"/>
        <w:pageBreakBefore w:val="0"/>
        <w:numPr>
          <w:ilvl w:val="2"/>
          <w:numId w:val="0"/>
        </w:numPr>
        <w:kinsoku/>
        <w:wordWrap/>
        <w:overflowPunct/>
        <w:topLinePunct w:val="0"/>
        <w:autoSpaceDE/>
        <w:autoSpaceDN/>
        <w:bidi w:val="0"/>
        <w:spacing w:line="360" w:lineRule="auto"/>
        <w:textAlignment w:val="auto"/>
        <w:rPr>
          <w:rFonts w:hint="eastAsia" w:ascii="宋体" w:hAnsi="宋体" w:eastAsia="宋体" w:cs="宋体"/>
          <w:sz w:val="30"/>
          <w:szCs w:val="30"/>
        </w:rPr>
      </w:pPr>
      <w:bookmarkStart w:id="28" w:name="_Toc808"/>
      <w:r>
        <w:rPr>
          <w:rFonts w:hint="eastAsia" w:ascii="宋体" w:hAnsi="宋体" w:eastAsia="宋体" w:cs="宋体"/>
          <w:sz w:val="30"/>
          <w:szCs w:val="30"/>
        </w:rPr>
        <w:t>（七）合同的授予</w:t>
      </w:r>
      <w:bookmarkEnd w:id="28"/>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32、合同授予标准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32.1本采购合同将授予经过谈判小组推荐并经采购人确定的成交人。</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b/>
          <w:bCs/>
          <w:color w:val="000000"/>
          <w:sz w:val="24"/>
        </w:rPr>
      </w:pPr>
      <w:r>
        <w:rPr>
          <w:rFonts w:hint="eastAsia" w:ascii="宋体" w:hAnsi="宋体" w:eastAsia="宋体" w:cs="宋体"/>
          <w:b/>
          <w:bCs/>
          <w:color w:val="000000"/>
          <w:sz w:val="24"/>
        </w:rPr>
        <w:t>33、成交通知书</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33.1成交通知书是合同的组成部分。</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33.2成交人确定后，采购人将于15日内向</w:t>
      </w:r>
      <w:r>
        <w:rPr>
          <w:rFonts w:hint="eastAsia" w:ascii="宋体" w:hAnsi="宋体" w:eastAsia="宋体" w:cs="宋体"/>
          <w:sz w:val="24"/>
        </w:rPr>
        <w:t>相关部门</w:t>
      </w:r>
      <w:r>
        <w:rPr>
          <w:rFonts w:hint="eastAsia" w:ascii="宋体" w:hAnsi="宋体" w:eastAsia="宋体" w:cs="宋体"/>
          <w:color w:val="000000"/>
          <w:sz w:val="24"/>
        </w:rPr>
        <w:t>提交谈判情况的书面报告。</w:t>
      </w:r>
    </w:p>
    <w:p>
      <w:pPr>
        <w:pageBreakBefore w:val="0"/>
        <w:kinsoku/>
        <w:wordWrap/>
        <w:overflowPunct/>
        <w:topLinePunct w:val="0"/>
        <w:autoSpaceDE/>
        <w:autoSpaceDN/>
        <w:bidi w:val="0"/>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33.3确定出成交人后采购人将以书面形式通知成交的谈判响应人其谈判响应文件被接受。 </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b/>
          <w:bCs/>
          <w:color w:val="000000"/>
          <w:sz w:val="24"/>
        </w:rPr>
      </w:pPr>
      <w:r>
        <w:rPr>
          <w:rFonts w:hint="eastAsia" w:ascii="宋体" w:hAnsi="宋体" w:eastAsia="宋体" w:cs="宋体"/>
          <w:b/>
          <w:bCs/>
          <w:color w:val="000000"/>
          <w:sz w:val="24"/>
        </w:rPr>
        <w:t>34、合同的签订</w:t>
      </w:r>
    </w:p>
    <w:p>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34.1 采购人与成交人将于成交通知书发出之日起30日内，按照谈判文件及其补充通知、谈判文件、答疑纪要、成交通知书和成交人的谈判响应文件签署书面合同。</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34.2 采购人如不按本谈判须知有关规定与成交人订立合同，或者采购人、成交人订立背离合同实质性内容的协议，应改正同时，依法承担相应法律责任。</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34.3 成交人如不按本谈判须知有关规定与采购人订立合同，则采购人将废除成交，谈判保证金不予退还，给采购人造成的损失超过谈判保证金数额的，还应当对超过部分予以赔偿，同时依法承担相应法律责任。</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34.4 成交人应当按照合同约定履行义务，完成成交项目供货，不得将成交项目转让（转包）给他人,否则采购人有权提出赔偿。</w:t>
      </w:r>
    </w:p>
    <w:p>
      <w:pPr>
        <w:pStyle w:val="10"/>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34.6中标服务费</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成交人在领取成交通知书时向招标代理机构支付按国家规定收费标准的招标代理服务费。</w:t>
      </w:r>
    </w:p>
    <w:p>
      <w:pPr>
        <w:pStyle w:val="2"/>
        <w:pageBreakBefore w:val="0"/>
        <w:numPr>
          <w:ilvl w:val="2"/>
          <w:numId w:val="0"/>
        </w:numPr>
        <w:kinsoku/>
        <w:wordWrap/>
        <w:overflowPunct/>
        <w:topLinePunct w:val="0"/>
        <w:autoSpaceDE/>
        <w:autoSpaceDN/>
        <w:bidi w:val="0"/>
        <w:spacing w:line="360" w:lineRule="auto"/>
        <w:textAlignment w:val="auto"/>
        <w:rPr>
          <w:rFonts w:hint="eastAsia" w:ascii="宋体" w:hAnsi="宋体" w:eastAsia="宋体" w:cs="宋体"/>
          <w:sz w:val="30"/>
          <w:szCs w:val="30"/>
        </w:rPr>
      </w:pPr>
      <w:bookmarkStart w:id="29" w:name="_Toc8326"/>
      <w:r>
        <w:rPr>
          <w:rFonts w:hint="eastAsia" w:ascii="宋体" w:hAnsi="宋体" w:eastAsia="宋体" w:cs="宋体"/>
          <w:sz w:val="30"/>
          <w:szCs w:val="30"/>
        </w:rPr>
        <w:t>（</w:t>
      </w:r>
      <w:r>
        <w:rPr>
          <w:rFonts w:hint="eastAsia" w:ascii="宋体" w:hAnsi="宋体" w:eastAsia="宋体" w:cs="宋体"/>
          <w:sz w:val="30"/>
          <w:szCs w:val="30"/>
          <w:lang w:val="en-US" w:eastAsia="zh-CN"/>
        </w:rPr>
        <w:t>八</w:t>
      </w:r>
      <w:r>
        <w:rPr>
          <w:rFonts w:hint="eastAsia" w:ascii="宋体" w:hAnsi="宋体" w:eastAsia="宋体" w:cs="宋体"/>
          <w:sz w:val="30"/>
          <w:szCs w:val="30"/>
        </w:rPr>
        <w:t>）  其   他</w:t>
      </w:r>
      <w:bookmarkEnd w:id="29"/>
    </w:p>
    <w:p>
      <w:pPr>
        <w:pageBreakBefore w:val="0"/>
        <w:kinsoku/>
        <w:wordWrap/>
        <w:overflowPunct/>
        <w:topLinePunct w:val="0"/>
        <w:autoSpaceDE/>
        <w:autoSpaceDN/>
        <w:bidi w:val="0"/>
        <w:adjustRightInd w:val="0"/>
        <w:snapToGrid w:val="0"/>
        <w:spacing w:line="360" w:lineRule="auto"/>
        <w:ind w:firstLine="528" w:firstLineChars="220"/>
        <w:textAlignment w:val="auto"/>
        <w:rPr>
          <w:rFonts w:hint="eastAsia" w:ascii="宋体" w:hAnsi="宋体" w:eastAsia="宋体" w:cs="宋体"/>
          <w:color w:val="000000"/>
          <w:sz w:val="24"/>
        </w:rPr>
      </w:pPr>
      <w:r>
        <w:rPr>
          <w:rFonts w:hint="eastAsia" w:ascii="宋体" w:hAnsi="宋体" w:eastAsia="宋体" w:cs="宋体"/>
          <w:color w:val="000000"/>
          <w:sz w:val="24"/>
        </w:rPr>
        <w:t>36、谈判响应人到采购代理机构领取谈判文件。</w:t>
      </w:r>
    </w:p>
    <w:p>
      <w:pPr>
        <w:pageBreakBefore w:val="0"/>
        <w:kinsoku/>
        <w:wordWrap/>
        <w:overflowPunct/>
        <w:topLinePunct w:val="0"/>
        <w:autoSpaceDE/>
        <w:autoSpaceDN/>
        <w:bidi w:val="0"/>
        <w:adjustRightInd w:val="0"/>
        <w:snapToGrid w:val="0"/>
        <w:spacing w:line="360" w:lineRule="auto"/>
        <w:ind w:firstLine="528" w:firstLineChars="220"/>
        <w:textAlignment w:val="auto"/>
        <w:rPr>
          <w:rFonts w:hint="eastAsia" w:ascii="宋体" w:hAnsi="宋体" w:eastAsia="宋体" w:cs="宋体"/>
          <w:color w:val="000000"/>
          <w:sz w:val="24"/>
        </w:rPr>
      </w:pPr>
      <w:r>
        <w:rPr>
          <w:rFonts w:hint="eastAsia" w:ascii="宋体" w:hAnsi="宋体" w:eastAsia="宋体" w:cs="宋体"/>
          <w:color w:val="000000"/>
          <w:sz w:val="24"/>
        </w:rPr>
        <w:t>37、未尽事宜，按国家有关规定执行。</w:t>
      </w:r>
    </w:p>
    <w:p>
      <w:pPr>
        <w:pStyle w:val="6"/>
        <w:spacing w:line="540" w:lineRule="exact"/>
        <w:ind w:firstLine="0"/>
        <w:rPr>
          <w:rFonts w:hint="eastAsia" w:ascii="宋体" w:hAnsi="宋体" w:eastAsia="宋体" w:cs="宋体"/>
          <w:color w:val="000000"/>
          <w:sz w:val="24"/>
        </w:rPr>
      </w:pPr>
    </w:p>
    <w:p>
      <w:pPr>
        <w:pStyle w:val="6"/>
        <w:spacing w:line="540" w:lineRule="exact"/>
        <w:ind w:firstLine="0"/>
        <w:rPr>
          <w:rFonts w:hint="eastAsia" w:ascii="宋体" w:hAnsi="宋体" w:eastAsia="宋体" w:cs="宋体"/>
          <w:color w:val="000000"/>
          <w:sz w:val="24"/>
        </w:rPr>
      </w:pPr>
    </w:p>
    <w:p>
      <w:pPr>
        <w:rPr>
          <w:rFonts w:hint="eastAsia" w:ascii="宋体" w:hAnsi="宋体" w:eastAsia="宋体" w:cs="宋体"/>
          <w:b/>
          <w:bCs/>
          <w:sz w:val="44"/>
          <w:szCs w:val="44"/>
          <w:lang w:val="en-US" w:eastAsia="zh-CN"/>
        </w:rPr>
      </w:pPr>
      <w:bookmarkStart w:id="30" w:name="_Toc31425"/>
      <w:bookmarkStart w:id="31" w:name="_Toc731"/>
      <w:r>
        <w:rPr>
          <w:rFonts w:hint="eastAsia" w:ascii="宋体" w:hAnsi="宋体" w:eastAsia="宋体" w:cs="宋体"/>
          <w:b/>
          <w:bCs/>
          <w:sz w:val="44"/>
          <w:szCs w:val="44"/>
          <w:lang w:val="en-US" w:eastAsia="zh-CN"/>
        </w:rPr>
        <w:br w:type="page"/>
      </w:r>
    </w:p>
    <w:p>
      <w:pPr>
        <w:keepNext w:val="0"/>
        <w:keepLines w:val="0"/>
        <w:pageBreakBefore w:val="0"/>
        <w:numPr>
          <w:ilvl w:val="0"/>
          <w:numId w:val="0"/>
        </w:numPr>
        <w:kinsoku/>
        <w:wordWrap/>
        <w:overflowPunct/>
        <w:topLinePunct w:val="0"/>
        <w:bidi w:val="0"/>
        <w:adjustRightInd w:val="0"/>
        <w:snapToGrid w:val="0"/>
        <w:spacing w:line="360" w:lineRule="auto"/>
        <w:ind w:leftChars="0"/>
        <w:jc w:val="center"/>
        <w:outlineLvl w:val="0"/>
        <w:rPr>
          <w:rFonts w:hint="eastAsia" w:ascii="宋体" w:hAnsi="宋体" w:eastAsia="宋体" w:cs="宋体"/>
          <w:b/>
          <w:bCs/>
          <w:sz w:val="52"/>
          <w:szCs w:val="52"/>
          <w:lang w:val="en-US" w:eastAsia="zh-CN"/>
        </w:rPr>
      </w:pPr>
      <w:r>
        <w:rPr>
          <w:rFonts w:hint="eastAsia" w:ascii="宋体" w:hAnsi="宋体" w:eastAsia="宋体" w:cs="宋体"/>
          <w:b/>
          <w:bCs/>
          <w:sz w:val="44"/>
          <w:szCs w:val="44"/>
          <w:lang w:val="en-US" w:eastAsia="zh-CN"/>
        </w:rPr>
        <w:t>第三章 采购需求、技术参数、规格</w:t>
      </w:r>
      <w:bookmarkEnd w:id="30"/>
      <w:bookmarkEnd w:id="31"/>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50505"/>
          <w:sz w:val="24"/>
          <w:szCs w:val="24"/>
          <w:lang w:val="en-US" w:eastAsia="zh-CN"/>
        </w:rPr>
      </w:pPr>
      <w:r>
        <w:rPr>
          <w:rFonts w:hint="eastAsia" w:ascii="宋体" w:hAnsi="宋体" w:eastAsia="宋体" w:cs="宋体"/>
          <w:color w:val="050505"/>
          <w:sz w:val="24"/>
          <w:szCs w:val="24"/>
        </w:rPr>
        <w:t>项目名称</w:t>
      </w:r>
      <w:r>
        <w:rPr>
          <w:rFonts w:hint="eastAsia" w:ascii="宋体" w:hAnsi="宋体" w:eastAsia="宋体" w:cs="宋体"/>
          <w:color w:val="050505"/>
          <w:sz w:val="24"/>
          <w:szCs w:val="24"/>
          <w:lang w:eastAsia="zh-CN"/>
        </w:rPr>
        <w:t>：</w:t>
      </w:r>
      <w:r>
        <w:rPr>
          <w:rFonts w:hint="eastAsia" w:ascii="宋体" w:hAnsi="宋体" w:cs="宋体"/>
          <w:color w:val="050505"/>
          <w:sz w:val="24"/>
          <w:szCs w:val="24"/>
          <w:lang w:eastAsia="zh-CN"/>
        </w:rPr>
        <w:t>民丰县2022年防沙治沙综合示范区建设项目</w:t>
      </w:r>
    </w:p>
    <w:p>
      <w:pPr>
        <w:pStyle w:val="26"/>
        <w:keepNext w:val="0"/>
        <w:keepLines w:val="0"/>
        <w:pageBreakBefore w:val="0"/>
        <w:kinsoku/>
        <w:wordWrap/>
        <w:overflowPunct/>
        <w:topLinePunct w:val="0"/>
        <w:bidi w:val="0"/>
        <w:snapToGrid/>
        <w:spacing w:line="360" w:lineRule="auto"/>
        <w:textAlignment w:val="auto"/>
        <w:rPr>
          <w:rFonts w:hint="eastAsia" w:ascii="宋体" w:hAnsi="宋体" w:eastAsia="宋体" w:cs="宋体"/>
          <w:lang w:val="en-US" w:eastAsia="zh-CN"/>
        </w:rPr>
      </w:pPr>
      <w:r>
        <w:rPr>
          <w:rFonts w:hint="eastAsia" w:ascii="宋体" w:hAnsi="宋体" w:eastAsia="宋体" w:cs="宋体"/>
          <w:color w:val="050505"/>
          <w:sz w:val="24"/>
          <w:szCs w:val="24"/>
          <w:lang w:val="en-US" w:eastAsia="zh-CN"/>
        </w:rPr>
        <w:t xml:space="preserve">    采购金额：</w:t>
      </w:r>
      <w:r>
        <w:rPr>
          <w:rFonts w:hint="eastAsia" w:hAnsi="宋体" w:cs="宋体"/>
          <w:color w:val="050505"/>
          <w:sz w:val="24"/>
          <w:szCs w:val="24"/>
          <w:lang w:val="en-US" w:eastAsia="zh-CN"/>
        </w:rPr>
        <w:t>855000</w:t>
      </w:r>
      <w:r>
        <w:rPr>
          <w:rFonts w:hint="eastAsia" w:ascii="宋体" w:hAnsi="宋体" w:eastAsia="宋体" w:cs="宋体"/>
          <w:color w:val="050505"/>
          <w:sz w:val="24"/>
          <w:szCs w:val="24"/>
          <w:lang w:val="en-US" w:eastAsia="zh-CN"/>
        </w:rPr>
        <w:t>.00元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rPr>
          <w:rFonts w:hint="eastAsia"/>
          <w:lang w:val="en-US" w:eastAsia="zh-CN"/>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本项目集中采购品种名称及主要技术参数要求</w:t>
      </w:r>
    </w:p>
    <w:tbl>
      <w:tblPr>
        <w:tblStyle w:val="20"/>
        <w:tblW w:w="97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8"/>
        <w:gridCol w:w="2310"/>
        <w:gridCol w:w="3075"/>
        <w:gridCol w:w="945"/>
        <w:gridCol w:w="1155"/>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工程或费用名称</w:t>
            </w:r>
          </w:p>
        </w:tc>
        <w:tc>
          <w:tcPr>
            <w:tcW w:w="3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参数、规格</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梭梭苗木（两年生播种苗）</w:t>
            </w:r>
          </w:p>
        </w:tc>
        <w:tc>
          <w:tcPr>
            <w:tcW w:w="3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2年生实生苗，地径≥0.5cm、苗高≥60cm、主根长度≥20cm；</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417000</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定植费</w:t>
            </w:r>
          </w:p>
        </w:tc>
        <w:tc>
          <w:tcPr>
            <w:tcW w:w="3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栽植穴30cm×30cm×30cm</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417000</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抚育管护</w:t>
            </w:r>
          </w:p>
        </w:tc>
        <w:tc>
          <w:tcPr>
            <w:tcW w:w="3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种植当年抚育管护</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亩</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3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宣传牌</w:t>
            </w:r>
          </w:p>
        </w:tc>
        <w:tc>
          <w:tcPr>
            <w:tcW w:w="3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长2m×宽1.5m</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36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三、验收地点、验收方式要求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1、验收地点：甲方指定送货地点，民丰县林业和草原局指定地点；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2、验收方式：民丰县林业和草原局验收员现场验收；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3、数量以到达指定配送地点验收合格的数量为准。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四、质量、品质要求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1、质量必须符合国家相关标准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rPr>
        <w:t>质保服务要求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1、在项目实施过程中，将提供完整的质量保证流程，确保成果达到要求。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2、服务时间承诺：产品如出现不合格，供应商必需在1小时内给予响应，24小时内到位。须明确现场响应的时间，在承诺响应时间内不能到达或完成服务的惩罚措施。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sz w:val="24"/>
          <w:szCs w:val="24"/>
          <w:lang w:val="en-US" w:eastAsia="zh-CN"/>
        </w:rPr>
      </w:pPr>
    </w:p>
    <w:p>
      <w:pPr>
        <w:rPr>
          <w:rFonts w:hint="eastAsia" w:ascii="宋体" w:hAnsi="宋体" w:eastAsia="宋体" w:cs="宋体"/>
          <w:sz w:val="36"/>
          <w:szCs w:val="36"/>
        </w:rPr>
      </w:pPr>
    </w:p>
    <w:p>
      <w:pPr>
        <w:spacing w:line="360" w:lineRule="auto"/>
        <w:jc w:val="center"/>
        <w:rPr>
          <w:rFonts w:hint="eastAsia" w:ascii="宋体" w:hAnsi="宋体" w:eastAsia="宋体" w:cs="宋体"/>
          <w:b/>
          <w:bCs/>
          <w:sz w:val="52"/>
          <w:szCs w:val="52"/>
          <w:lang w:val="en-US" w:eastAsia="zh-CN" w:bidi="ar-SA"/>
        </w:rPr>
      </w:pPr>
    </w:p>
    <w:p>
      <w:pPr>
        <w:rPr>
          <w:rFonts w:hint="eastAsia" w:ascii="宋体" w:hAnsi="宋体" w:eastAsia="宋体" w:cs="宋体"/>
          <w:b/>
          <w:bCs/>
          <w:sz w:val="44"/>
          <w:szCs w:val="44"/>
          <w:lang w:val="en-US" w:eastAsia="zh-CN"/>
        </w:rPr>
      </w:pPr>
      <w:bookmarkStart w:id="32" w:name="_Toc12490"/>
      <w:r>
        <w:rPr>
          <w:rFonts w:hint="eastAsia" w:ascii="宋体" w:hAnsi="宋体" w:eastAsia="宋体" w:cs="宋体"/>
          <w:b/>
          <w:bCs/>
          <w:sz w:val="44"/>
          <w:szCs w:val="44"/>
          <w:lang w:val="en-US" w:eastAsia="zh-CN"/>
        </w:rPr>
        <w:br w:type="page"/>
      </w:r>
    </w:p>
    <w:p>
      <w:pPr>
        <w:spacing w:line="360" w:lineRule="auto"/>
        <w:jc w:val="center"/>
        <w:outlineLvl w:val="0"/>
        <w:rPr>
          <w:rFonts w:hint="eastAsia" w:ascii="宋体" w:hAnsi="宋体" w:eastAsia="宋体" w:cs="宋体"/>
          <w:sz w:val="32"/>
          <w:szCs w:val="32"/>
        </w:rPr>
      </w:pPr>
      <w:r>
        <w:rPr>
          <w:rFonts w:hint="eastAsia" w:ascii="宋体" w:hAnsi="宋体" w:eastAsia="宋体" w:cs="宋体"/>
          <w:b/>
          <w:bCs/>
          <w:sz w:val="44"/>
          <w:szCs w:val="44"/>
          <w:lang w:val="en-US" w:eastAsia="zh-CN"/>
        </w:rPr>
        <w:t>第四章 政府采购合同（样本）</w:t>
      </w:r>
      <w:bookmarkEnd w:id="32"/>
    </w:p>
    <w:p>
      <w:pPr>
        <w:spacing w:line="360" w:lineRule="auto"/>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val="en-US" w:eastAsia="zh-CN"/>
        </w:rPr>
        <w:t xml:space="preserve">                           </w:t>
      </w:r>
      <w:r>
        <w:rPr>
          <w:rFonts w:hint="eastAsia" w:ascii="宋体" w:hAnsi="宋体" w:eastAsia="宋体" w:cs="宋体"/>
          <w:sz w:val="24"/>
        </w:rPr>
        <w:t xml:space="preserve">          合同编号：</w:t>
      </w:r>
    </w:p>
    <w:p>
      <w:pPr>
        <w:spacing w:line="360" w:lineRule="auto"/>
        <w:rPr>
          <w:rFonts w:hint="eastAsia" w:ascii="宋体" w:hAnsi="宋体" w:eastAsia="宋体" w:cs="宋体"/>
          <w:sz w:val="24"/>
        </w:rPr>
      </w:pPr>
      <w:r>
        <w:rPr>
          <w:rFonts w:hint="eastAsia" w:ascii="宋体" w:hAnsi="宋体" w:eastAsia="宋体" w:cs="宋体"/>
          <w:sz w:val="24"/>
        </w:rPr>
        <w:t>乙方：（中标人）                           签约地点：</w:t>
      </w:r>
    </w:p>
    <w:p>
      <w:pPr>
        <w:spacing w:line="360" w:lineRule="auto"/>
        <w:rPr>
          <w:rFonts w:hint="eastAsia" w:ascii="宋体" w:hAnsi="宋体" w:eastAsia="宋体" w:cs="宋体"/>
          <w:sz w:val="24"/>
        </w:rPr>
      </w:pPr>
    </w:p>
    <w:p>
      <w:pPr>
        <w:spacing w:line="360" w:lineRule="auto"/>
        <w:ind w:firstLine="480"/>
        <w:jc w:val="left"/>
        <w:rPr>
          <w:rFonts w:hint="eastAsia" w:ascii="宋体" w:hAnsi="宋体" w:eastAsia="宋体" w:cs="宋体"/>
          <w:sz w:val="24"/>
          <w:szCs w:val="24"/>
        </w:rPr>
      </w:pPr>
      <w:r>
        <w:rPr>
          <w:rFonts w:hint="eastAsia" w:ascii="宋体" w:hAnsi="宋体" w:eastAsia="宋体" w:cs="宋体"/>
          <w:sz w:val="24"/>
        </w:rPr>
        <w:t>根据《中华人民共和国合同法》及</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val="en-US" w:eastAsia="zh-CN"/>
        </w:rPr>
        <w:t>新疆西北中建项目管理有限公司</w:t>
      </w:r>
      <w:r>
        <w:rPr>
          <w:rFonts w:hint="eastAsia" w:ascii="宋体" w:hAnsi="宋体" w:eastAsia="宋体" w:cs="宋体"/>
          <w:sz w:val="24"/>
        </w:rPr>
        <w:t>组织</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（项目名称）</w:t>
      </w:r>
      <w:r>
        <w:rPr>
          <w:rFonts w:hint="eastAsia" w:ascii="宋体" w:hAnsi="宋体" w:eastAsia="宋体" w:cs="宋体"/>
          <w:sz w:val="24"/>
        </w:rPr>
        <w:t>的招标结果和招标文件（</w:t>
      </w:r>
      <w:r>
        <w:rPr>
          <w:rFonts w:hint="eastAsia" w:ascii="宋体" w:hAnsi="宋体" w:eastAsia="宋体" w:cs="宋体"/>
          <w:sz w:val="24"/>
          <w:szCs w:val="24"/>
          <w:u w:val="single"/>
        </w:rPr>
        <w:t>招标编号</w:t>
      </w:r>
      <w:r>
        <w:rPr>
          <w:rFonts w:hint="eastAsia" w:ascii="宋体" w:hAnsi="宋体" w:eastAsia="宋体" w:cs="宋体"/>
          <w:sz w:val="24"/>
          <w:szCs w:val="24"/>
          <w:u w:val="single"/>
          <w:lang w:eastAsia="zh-CN"/>
        </w:rPr>
        <w:t>：）</w:t>
      </w:r>
      <w:r>
        <w:rPr>
          <w:rFonts w:hint="eastAsia" w:ascii="宋体" w:hAnsi="宋体" w:eastAsia="宋体" w:cs="宋体"/>
          <w:sz w:val="24"/>
          <w:szCs w:val="24"/>
        </w:rPr>
        <w:t>的要求，经双方协商一致，签订本合同。</w:t>
      </w:r>
    </w:p>
    <w:p>
      <w:pPr>
        <w:pStyle w:val="2"/>
        <w:numPr>
          <w:ilvl w:val="2"/>
          <w:numId w:val="0"/>
        </w:numPr>
        <w:spacing w:line="360" w:lineRule="auto"/>
        <w:ind w:left="288" w:leftChars="0"/>
        <w:rPr>
          <w:rFonts w:hint="eastAsia" w:ascii="宋体" w:hAnsi="宋体" w:eastAsia="宋体" w:cs="宋体"/>
          <w:sz w:val="28"/>
          <w:lang w:eastAsia="zh-CN"/>
        </w:rPr>
      </w:pPr>
      <w:bookmarkStart w:id="33" w:name="_Toc130697196"/>
      <w:bookmarkStart w:id="34" w:name="_Toc19069"/>
      <w:bookmarkStart w:id="35" w:name="_Toc279046881"/>
      <w:bookmarkStart w:id="36" w:name="_Toc191353029"/>
      <w:bookmarkStart w:id="37" w:name="_Toc185747592"/>
      <w:bookmarkStart w:id="38" w:name="_Toc278958174"/>
      <w:bookmarkStart w:id="39" w:name="_Toc153615301"/>
      <w:bookmarkStart w:id="40" w:name="_Toc130695604"/>
      <w:bookmarkStart w:id="41" w:name="_Toc4684"/>
      <w:r>
        <w:rPr>
          <w:rFonts w:hint="eastAsia" w:ascii="宋体" w:hAnsi="宋体" w:eastAsia="宋体" w:cs="宋体"/>
          <w:sz w:val="28"/>
        </w:rPr>
        <w:t>1、合同</w:t>
      </w:r>
      <w:bookmarkEnd w:id="33"/>
      <w:bookmarkEnd w:id="34"/>
      <w:bookmarkEnd w:id="35"/>
      <w:bookmarkEnd w:id="36"/>
      <w:bookmarkEnd w:id="37"/>
      <w:bookmarkEnd w:id="38"/>
      <w:bookmarkEnd w:id="39"/>
      <w:bookmarkEnd w:id="40"/>
      <w:r>
        <w:rPr>
          <w:rFonts w:hint="eastAsia" w:ascii="宋体" w:hAnsi="宋体" w:eastAsia="宋体" w:cs="宋体"/>
          <w:sz w:val="28"/>
          <w:lang w:eastAsia="zh-CN"/>
        </w:rPr>
        <w:t>设备（货物）</w:t>
      </w:r>
      <w:bookmarkEnd w:id="41"/>
    </w:p>
    <w:p>
      <w:pPr>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乙方负责向甲方供应下表中所列</w:t>
      </w:r>
      <w:r>
        <w:rPr>
          <w:rFonts w:hint="eastAsia" w:ascii="宋体" w:hAnsi="宋体" w:eastAsia="宋体" w:cs="宋体"/>
          <w:sz w:val="24"/>
          <w:lang w:eastAsia="zh-CN"/>
        </w:rPr>
        <w:t>设备（货物）</w:t>
      </w:r>
      <w:r>
        <w:rPr>
          <w:rFonts w:hint="eastAsia" w:ascii="宋体" w:hAnsi="宋体" w:eastAsia="宋体" w:cs="宋体"/>
          <w:sz w:val="24"/>
        </w:rPr>
        <w:t>及负责安装调试。</w:t>
      </w:r>
    </w:p>
    <w:tbl>
      <w:tblPr>
        <w:tblStyle w:val="20"/>
        <w:tblW w:w="92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0"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设备（货物）</w:t>
            </w:r>
            <w:r>
              <w:rPr>
                <w:rFonts w:hint="eastAsia" w:ascii="宋体" w:hAnsi="宋体" w:eastAsia="宋体" w:cs="宋体"/>
                <w:sz w:val="24"/>
              </w:rPr>
              <w:t>名称</w:t>
            </w:r>
          </w:p>
        </w:tc>
        <w:tc>
          <w:tcPr>
            <w:tcW w:w="1365"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规格型号</w:t>
            </w:r>
          </w:p>
        </w:tc>
        <w:tc>
          <w:tcPr>
            <w:tcW w:w="82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产地厂家</w:t>
            </w:r>
          </w:p>
        </w:tc>
        <w:tc>
          <w:tcPr>
            <w:tcW w:w="878"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单位</w:t>
            </w:r>
          </w:p>
        </w:tc>
        <w:tc>
          <w:tcPr>
            <w:tcW w:w="878"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878"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单价</w:t>
            </w:r>
          </w:p>
        </w:tc>
        <w:tc>
          <w:tcPr>
            <w:tcW w:w="878"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总价</w:t>
            </w:r>
          </w:p>
        </w:tc>
        <w:tc>
          <w:tcPr>
            <w:tcW w:w="878"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随机配件</w:t>
            </w:r>
          </w:p>
        </w:tc>
        <w:tc>
          <w:tcPr>
            <w:tcW w:w="878"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交货地点</w:t>
            </w:r>
          </w:p>
        </w:tc>
        <w:tc>
          <w:tcPr>
            <w:tcW w:w="938"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交货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pPr>
              <w:spacing w:line="360" w:lineRule="auto"/>
              <w:rPr>
                <w:rFonts w:hint="eastAsia" w:ascii="宋体" w:hAnsi="宋体" w:eastAsia="宋体" w:cs="宋体"/>
                <w:sz w:val="24"/>
              </w:rPr>
            </w:pPr>
          </w:p>
        </w:tc>
        <w:tc>
          <w:tcPr>
            <w:tcW w:w="1365" w:type="dxa"/>
            <w:noWrap w:val="0"/>
            <w:vAlign w:val="top"/>
          </w:tcPr>
          <w:p>
            <w:pPr>
              <w:spacing w:line="360" w:lineRule="auto"/>
              <w:rPr>
                <w:rFonts w:hint="eastAsia" w:ascii="宋体" w:hAnsi="宋体" w:eastAsia="宋体" w:cs="宋体"/>
                <w:sz w:val="24"/>
              </w:rPr>
            </w:pPr>
          </w:p>
        </w:tc>
        <w:tc>
          <w:tcPr>
            <w:tcW w:w="829" w:type="dxa"/>
            <w:noWrap w:val="0"/>
            <w:vAlign w:val="top"/>
          </w:tcPr>
          <w:p>
            <w:pPr>
              <w:spacing w:line="360" w:lineRule="auto"/>
              <w:rPr>
                <w:rFonts w:hint="eastAsia" w:ascii="宋体" w:hAnsi="宋体" w:eastAsia="宋体" w:cs="宋体"/>
                <w:sz w:val="24"/>
              </w:rPr>
            </w:pPr>
          </w:p>
        </w:tc>
        <w:tc>
          <w:tcPr>
            <w:tcW w:w="878" w:type="dxa"/>
            <w:noWrap w:val="0"/>
            <w:vAlign w:val="top"/>
          </w:tcPr>
          <w:p>
            <w:pPr>
              <w:spacing w:line="360" w:lineRule="auto"/>
              <w:rPr>
                <w:rFonts w:hint="eastAsia" w:ascii="宋体" w:hAnsi="宋体" w:eastAsia="宋体" w:cs="宋体"/>
                <w:sz w:val="24"/>
              </w:rPr>
            </w:pPr>
          </w:p>
        </w:tc>
        <w:tc>
          <w:tcPr>
            <w:tcW w:w="878" w:type="dxa"/>
            <w:noWrap w:val="0"/>
            <w:vAlign w:val="top"/>
          </w:tcPr>
          <w:p>
            <w:pPr>
              <w:spacing w:line="360" w:lineRule="auto"/>
              <w:rPr>
                <w:rFonts w:hint="eastAsia" w:ascii="宋体" w:hAnsi="宋体" w:eastAsia="宋体" w:cs="宋体"/>
                <w:sz w:val="24"/>
              </w:rPr>
            </w:pPr>
          </w:p>
        </w:tc>
        <w:tc>
          <w:tcPr>
            <w:tcW w:w="878" w:type="dxa"/>
            <w:noWrap w:val="0"/>
            <w:vAlign w:val="top"/>
          </w:tcPr>
          <w:p>
            <w:pPr>
              <w:spacing w:line="360" w:lineRule="auto"/>
              <w:rPr>
                <w:rFonts w:hint="eastAsia" w:ascii="宋体" w:hAnsi="宋体" w:eastAsia="宋体" w:cs="宋体"/>
                <w:sz w:val="24"/>
              </w:rPr>
            </w:pPr>
          </w:p>
        </w:tc>
        <w:tc>
          <w:tcPr>
            <w:tcW w:w="878" w:type="dxa"/>
            <w:noWrap w:val="0"/>
            <w:vAlign w:val="top"/>
          </w:tcPr>
          <w:p>
            <w:pPr>
              <w:spacing w:line="360" w:lineRule="auto"/>
              <w:rPr>
                <w:rFonts w:hint="eastAsia" w:ascii="宋体" w:hAnsi="宋体" w:eastAsia="宋体" w:cs="宋体"/>
                <w:sz w:val="24"/>
              </w:rPr>
            </w:pPr>
          </w:p>
        </w:tc>
        <w:tc>
          <w:tcPr>
            <w:tcW w:w="878" w:type="dxa"/>
            <w:noWrap w:val="0"/>
            <w:vAlign w:val="top"/>
          </w:tcPr>
          <w:p>
            <w:pPr>
              <w:spacing w:line="360" w:lineRule="auto"/>
              <w:rPr>
                <w:rFonts w:hint="eastAsia" w:ascii="宋体" w:hAnsi="宋体" w:eastAsia="宋体" w:cs="宋体"/>
                <w:sz w:val="24"/>
              </w:rPr>
            </w:pPr>
          </w:p>
        </w:tc>
        <w:tc>
          <w:tcPr>
            <w:tcW w:w="878" w:type="dxa"/>
            <w:noWrap w:val="0"/>
            <w:vAlign w:val="top"/>
          </w:tcPr>
          <w:p>
            <w:pPr>
              <w:spacing w:line="360" w:lineRule="auto"/>
              <w:rPr>
                <w:rFonts w:hint="eastAsia" w:ascii="宋体" w:hAnsi="宋体" w:eastAsia="宋体" w:cs="宋体"/>
                <w:sz w:val="24"/>
              </w:rPr>
            </w:pPr>
          </w:p>
        </w:tc>
        <w:tc>
          <w:tcPr>
            <w:tcW w:w="938" w:type="dxa"/>
            <w:noWrap w:val="0"/>
            <w:vAlign w:val="top"/>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0"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w:t>
            </w:r>
          </w:p>
        </w:tc>
        <w:tc>
          <w:tcPr>
            <w:tcW w:w="1365" w:type="dxa"/>
            <w:noWrap w:val="0"/>
            <w:vAlign w:val="top"/>
          </w:tcPr>
          <w:p>
            <w:pPr>
              <w:spacing w:line="360" w:lineRule="auto"/>
              <w:rPr>
                <w:rFonts w:hint="eastAsia" w:ascii="宋体" w:hAnsi="宋体" w:eastAsia="宋体" w:cs="宋体"/>
                <w:sz w:val="24"/>
              </w:rPr>
            </w:pPr>
          </w:p>
        </w:tc>
        <w:tc>
          <w:tcPr>
            <w:tcW w:w="829" w:type="dxa"/>
            <w:noWrap w:val="0"/>
            <w:vAlign w:val="top"/>
          </w:tcPr>
          <w:p>
            <w:pPr>
              <w:spacing w:line="360" w:lineRule="auto"/>
              <w:rPr>
                <w:rFonts w:hint="eastAsia" w:ascii="宋体" w:hAnsi="宋体" w:eastAsia="宋体" w:cs="宋体"/>
                <w:sz w:val="24"/>
              </w:rPr>
            </w:pPr>
          </w:p>
        </w:tc>
        <w:tc>
          <w:tcPr>
            <w:tcW w:w="878" w:type="dxa"/>
            <w:noWrap w:val="0"/>
            <w:vAlign w:val="top"/>
          </w:tcPr>
          <w:p>
            <w:pPr>
              <w:spacing w:line="360" w:lineRule="auto"/>
              <w:rPr>
                <w:rFonts w:hint="eastAsia" w:ascii="宋体" w:hAnsi="宋体" w:eastAsia="宋体" w:cs="宋体"/>
                <w:sz w:val="24"/>
              </w:rPr>
            </w:pPr>
          </w:p>
        </w:tc>
        <w:tc>
          <w:tcPr>
            <w:tcW w:w="878" w:type="dxa"/>
            <w:noWrap w:val="0"/>
            <w:vAlign w:val="top"/>
          </w:tcPr>
          <w:p>
            <w:pPr>
              <w:spacing w:line="360" w:lineRule="auto"/>
              <w:rPr>
                <w:rFonts w:hint="eastAsia" w:ascii="宋体" w:hAnsi="宋体" w:eastAsia="宋体" w:cs="宋体"/>
                <w:sz w:val="24"/>
              </w:rPr>
            </w:pPr>
          </w:p>
        </w:tc>
        <w:tc>
          <w:tcPr>
            <w:tcW w:w="878" w:type="dxa"/>
            <w:noWrap w:val="0"/>
            <w:vAlign w:val="top"/>
          </w:tcPr>
          <w:p>
            <w:pPr>
              <w:spacing w:line="360" w:lineRule="auto"/>
              <w:rPr>
                <w:rFonts w:hint="eastAsia" w:ascii="宋体" w:hAnsi="宋体" w:eastAsia="宋体" w:cs="宋体"/>
                <w:sz w:val="24"/>
              </w:rPr>
            </w:pPr>
          </w:p>
        </w:tc>
        <w:tc>
          <w:tcPr>
            <w:tcW w:w="878" w:type="dxa"/>
            <w:noWrap w:val="0"/>
            <w:vAlign w:val="top"/>
          </w:tcPr>
          <w:p>
            <w:pPr>
              <w:spacing w:line="360" w:lineRule="auto"/>
              <w:rPr>
                <w:rFonts w:hint="eastAsia" w:ascii="宋体" w:hAnsi="宋体" w:eastAsia="宋体" w:cs="宋体"/>
                <w:sz w:val="24"/>
              </w:rPr>
            </w:pPr>
          </w:p>
        </w:tc>
        <w:tc>
          <w:tcPr>
            <w:tcW w:w="878" w:type="dxa"/>
            <w:noWrap w:val="0"/>
            <w:vAlign w:val="top"/>
          </w:tcPr>
          <w:p>
            <w:pPr>
              <w:spacing w:line="360" w:lineRule="auto"/>
              <w:rPr>
                <w:rFonts w:hint="eastAsia" w:ascii="宋体" w:hAnsi="宋体" w:eastAsia="宋体" w:cs="宋体"/>
                <w:sz w:val="24"/>
              </w:rPr>
            </w:pPr>
          </w:p>
        </w:tc>
        <w:tc>
          <w:tcPr>
            <w:tcW w:w="878" w:type="dxa"/>
            <w:noWrap w:val="0"/>
            <w:vAlign w:val="top"/>
          </w:tcPr>
          <w:p>
            <w:pPr>
              <w:spacing w:line="360" w:lineRule="auto"/>
              <w:rPr>
                <w:rFonts w:hint="eastAsia" w:ascii="宋体" w:hAnsi="宋体" w:eastAsia="宋体" w:cs="宋体"/>
                <w:sz w:val="24"/>
              </w:rPr>
            </w:pPr>
          </w:p>
        </w:tc>
        <w:tc>
          <w:tcPr>
            <w:tcW w:w="938" w:type="dxa"/>
            <w:noWrap w:val="0"/>
            <w:vAlign w:val="top"/>
          </w:tcPr>
          <w:p>
            <w:pPr>
              <w:spacing w:line="360" w:lineRule="auto"/>
              <w:rPr>
                <w:rFonts w:hint="eastAsia" w:ascii="宋体" w:hAnsi="宋体" w:eastAsia="宋体" w:cs="宋体"/>
                <w:sz w:val="24"/>
              </w:rPr>
            </w:pPr>
          </w:p>
        </w:tc>
      </w:tr>
    </w:tbl>
    <w:p>
      <w:pPr>
        <w:pStyle w:val="2"/>
        <w:numPr>
          <w:ilvl w:val="2"/>
          <w:numId w:val="0"/>
        </w:numPr>
        <w:spacing w:line="360" w:lineRule="auto"/>
        <w:ind w:left="288" w:leftChars="0"/>
        <w:rPr>
          <w:rFonts w:hint="eastAsia" w:ascii="宋体" w:hAnsi="宋体" w:eastAsia="宋体" w:cs="宋体"/>
        </w:rPr>
      </w:pPr>
      <w:bookmarkStart w:id="42" w:name="_Toc278958175"/>
      <w:bookmarkStart w:id="43" w:name="_Toc24962"/>
      <w:bookmarkStart w:id="44" w:name="_Toc153615302"/>
      <w:bookmarkStart w:id="45" w:name="_Toc130697197"/>
      <w:bookmarkStart w:id="46" w:name="_Toc130695605"/>
      <w:bookmarkStart w:id="47" w:name="_Toc279046882"/>
      <w:bookmarkStart w:id="48" w:name="_Toc17681"/>
      <w:bookmarkStart w:id="49" w:name="_Toc185747593"/>
      <w:bookmarkStart w:id="50" w:name="_Toc191353030"/>
      <w:r>
        <w:rPr>
          <w:rFonts w:hint="eastAsia" w:ascii="宋体" w:hAnsi="宋体" w:eastAsia="宋体" w:cs="宋体"/>
          <w:sz w:val="28"/>
        </w:rPr>
        <w:t>2、合同总价</w:t>
      </w:r>
      <w:bookmarkEnd w:id="42"/>
      <w:bookmarkEnd w:id="43"/>
      <w:bookmarkEnd w:id="44"/>
      <w:bookmarkEnd w:id="45"/>
      <w:bookmarkEnd w:id="46"/>
      <w:bookmarkEnd w:id="47"/>
      <w:bookmarkEnd w:id="48"/>
      <w:bookmarkEnd w:id="49"/>
      <w:bookmarkEnd w:id="50"/>
    </w:p>
    <w:p>
      <w:pPr>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总价为人民币（大写）：</w:t>
      </w:r>
      <w:r>
        <w:rPr>
          <w:rFonts w:hint="eastAsia" w:ascii="宋体" w:hAnsi="宋体" w:eastAsia="宋体" w:cs="宋体"/>
          <w:sz w:val="24"/>
          <w:u w:val="single"/>
        </w:rPr>
        <w:t xml:space="preserve">　　              </w:t>
      </w:r>
      <w:r>
        <w:rPr>
          <w:rFonts w:hint="eastAsia" w:ascii="宋体" w:hAnsi="宋体" w:eastAsia="宋体" w:cs="宋体"/>
          <w:sz w:val="24"/>
        </w:rPr>
        <w:t>，即RMB￥</w:t>
      </w:r>
      <w:r>
        <w:rPr>
          <w:rFonts w:hint="eastAsia" w:ascii="宋体" w:hAnsi="宋体" w:eastAsia="宋体" w:cs="宋体"/>
          <w:sz w:val="24"/>
          <w:u w:val="single"/>
        </w:rPr>
        <w:t xml:space="preserve">         </w:t>
      </w:r>
      <w:r>
        <w:rPr>
          <w:rFonts w:hint="eastAsia" w:ascii="宋体" w:hAnsi="宋体" w:eastAsia="宋体" w:cs="宋体"/>
          <w:sz w:val="24"/>
        </w:rPr>
        <w:t xml:space="preserve"> 元，该合同总金额是设计、</w:t>
      </w:r>
      <w:r>
        <w:rPr>
          <w:rFonts w:hint="eastAsia" w:ascii="宋体" w:hAnsi="宋体" w:eastAsia="宋体" w:cs="宋体"/>
          <w:sz w:val="24"/>
          <w:lang w:eastAsia="zh-CN"/>
        </w:rPr>
        <w:t>设备（货物）</w:t>
      </w:r>
      <w:r>
        <w:rPr>
          <w:rFonts w:hint="eastAsia" w:ascii="宋体" w:hAnsi="宋体" w:eastAsia="宋体" w:cs="宋体"/>
          <w:sz w:val="24"/>
        </w:rPr>
        <w:t>制造、包装、仓储、运输、装卸、安装及验收合格之前及保修期与备品备件发生的所有含税费用。本合同执行期间合同总金额不变。</w:t>
      </w:r>
    </w:p>
    <w:p>
      <w:pPr>
        <w:pStyle w:val="2"/>
        <w:numPr>
          <w:ilvl w:val="2"/>
          <w:numId w:val="0"/>
        </w:numPr>
        <w:spacing w:line="360" w:lineRule="auto"/>
        <w:ind w:left="288" w:leftChars="0"/>
        <w:rPr>
          <w:rFonts w:hint="eastAsia" w:ascii="宋体" w:hAnsi="宋体" w:eastAsia="宋体" w:cs="宋体"/>
        </w:rPr>
      </w:pPr>
      <w:bookmarkStart w:id="51" w:name="_Toc130697198"/>
      <w:bookmarkStart w:id="52" w:name="_Toc279046883"/>
      <w:bookmarkStart w:id="53" w:name="_Toc153615303"/>
      <w:bookmarkStart w:id="54" w:name="_Toc130695606"/>
      <w:bookmarkStart w:id="55" w:name="_Toc185747594"/>
      <w:bookmarkStart w:id="56" w:name="_Toc27872"/>
      <w:bookmarkStart w:id="57" w:name="_Toc278958176"/>
      <w:bookmarkStart w:id="58" w:name="_Toc191353031"/>
      <w:bookmarkStart w:id="59" w:name="_Toc22700"/>
      <w:r>
        <w:rPr>
          <w:rFonts w:hint="eastAsia" w:ascii="宋体" w:hAnsi="宋体" w:eastAsia="宋体" w:cs="宋体"/>
          <w:sz w:val="28"/>
        </w:rPr>
        <w:t>3、合同组成</w:t>
      </w:r>
      <w:bookmarkEnd w:id="51"/>
      <w:bookmarkEnd w:id="52"/>
      <w:bookmarkEnd w:id="53"/>
      <w:bookmarkEnd w:id="54"/>
      <w:bookmarkEnd w:id="55"/>
      <w:bookmarkEnd w:id="56"/>
      <w:bookmarkEnd w:id="57"/>
      <w:bookmarkEnd w:id="58"/>
      <w:bookmarkEnd w:id="59"/>
    </w:p>
    <w:p>
      <w:pPr>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详细价格、技术说明及其它有关合同</w:t>
      </w:r>
      <w:r>
        <w:rPr>
          <w:rFonts w:hint="eastAsia" w:ascii="宋体" w:hAnsi="宋体" w:eastAsia="宋体" w:cs="宋体"/>
          <w:sz w:val="24"/>
          <w:lang w:eastAsia="zh-CN"/>
        </w:rPr>
        <w:t>设备（货物）</w:t>
      </w:r>
      <w:r>
        <w:rPr>
          <w:rFonts w:hint="eastAsia" w:ascii="宋体" w:hAnsi="宋体" w:eastAsia="宋体" w:cs="宋体"/>
          <w:sz w:val="24"/>
        </w:rPr>
        <w:t>的特定信息由合同附件说明。所有附件及本项目的招投标文件、会议纪要、协议等均为本合同不可分割之一部分。</w:t>
      </w:r>
    </w:p>
    <w:p>
      <w:pPr>
        <w:pStyle w:val="2"/>
        <w:numPr>
          <w:ilvl w:val="2"/>
          <w:numId w:val="0"/>
        </w:numPr>
        <w:spacing w:line="360" w:lineRule="auto"/>
        <w:ind w:left="288" w:leftChars="0"/>
        <w:rPr>
          <w:rFonts w:hint="eastAsia" w:ascii="宋体" w:hAnsi="宋体" w:eastAsia="宋体" w:cs="宋体"/>
        </w:rPr>
      </w:pPr>
      <w:bookmarkStart w:id="60" w:name="_Toc130697199"/>
      <w:bookmarkStart w:id="61" w:name="_Toc28285"/>
      <w:bookmarkStart w:id="62" w:name="_Toc130695607"/>
      <w:bookmarkStart w:id="63" w:name="_Toc191353032"/>
      <w:bookmarkStart w:id="64" w:name="_Toc279046884"/>
      <w:bookmarkStart w:id="65" w:name="_Toc153615304"/>
      <w:bookmarkStart w:id="66" w:name="_Toc278958177"/>
      <w:bookmarkStart w:id="67" w:name="_Toc4477"/>
      <w:bookmarkStart w:id="68" w:name="_Toc185747595"/>
      <w:r>
        <w:rPr>
          <w:rFonts w:hint="eastAsia" w:ascii="宋体" w:hAnsi="宋体" w:eastAsia="宋体" w:cs="宋体"/>
          <w:sz w:val="28"/>
        </w:rPr>
        <w:t>4、技术要求</w:t>
      </w:r>
      <w:bookmarkEnd w:id="60"/>
      <w:bookmarkEnd w:id="61"/>
      <w:bookmarkEnd w:id="62"/>
      <w:bookmarkEnd w:id="63"/>
      <w:bookmarkEnd w:id="64"/>
      <w:bookmarkEnd w:id="65"/>
      <w:bookmarkEnd w:id="66"/>
      <w:bookmarkEnd w:id="67"/>
      <w:bookmarkEnd w:id="68"/>
    </w:p>
    <w:p>
      <w:pPr>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乙方所提供</w:t>
      </w:r>
      <w:r>
        <w:rPr>
          <w:rFonts w:hint="eastAsia" w:ascii="宋体" w:hAnsi="宋体" w:eastAsia="宋体" w:cs="宋体"/>
          <w:sz w:val="24"/>
          <w:lang w:eastAsia="zh-CN"/>
        </w:rPr>
        <w:t>设备（货物）</w:t>
      </w:r>
      <w:r>
        <w:rPr>
          <w:rFonts w:hint="eastAsia" w:ascii="宋体" w:hAnsi="宋体" w:eastAsia="宋体" w:cs="宋体"/>
          <w:sz w:val="24"/>
        </w:rPr>
        <w:t>，必须符合国家有关规范和环保要求及甲方的技术要求，并提供</w:t>
      </w:r>
      <w:r>
        <w:rPr>
          <w:rFonts w:hint="eastAsia" w:ascii="宋体" w:hAnsi="宋体" w:eastAsia="宋体" w:cs="宋体"/>
          <w:sz w:val="24"/>
          <w:lang w:eastAsia="zh-CN"/>
        </w:rPr>
        <w:t>设备（货物）</w:t>
      </w:r>
      <w:r>
        <w:rPr>
          <w:rFonts w:hint="eastAsia" w:ascii="宋体" w:hAnsi="宋体" w:eastAsia="宋体" w:cs="宋体"/>
          <w:sz w:val="24"/>
        </w:rPr>
        <w:t>的厂试测验报告。所有</w:t>
      </w:r>
      <w:r>
        <w:rPr>
          <w:rFonts w:hint="eastAsia" w:ascii="宋体" w:hAnsi="宋体" w:eastAsia="宋体" w:cs="宋体"/>
          <w:sz w:val="24"/>
          <w:lang w:eastAsia="zh-CN"/>
        </w:rPr>
        <w:t>设备（货物）</w:t>
      </w:r>
      <w:r>
        <w:rPr>
          <w:rFonts w:hint="eastAsia" w:ascii="宋体" w:hAnsi="宋体" w:eastAsia="宋体" w:cs="宋体"/>
          <w:sz w:val="24"/>
        </w:rPr>
        <w:t>及服务不得侵犯第三方版权、专利、税费等。</w:t>
      </w:r>
    </w:p>
    <w:p>
      <w:pPr>
        <w:pStyle w:val="2"/>
        <w:numPr>
          <w:ilvl w:val="2"/>
          <w:numId w:val="0"/>
        </w:numPr>
        <w:spacing w:line="360" w:lineRule="auto"/>
        <w:ind w:left="288" w:leftChars="0"/>
        <w:rPr>
          <w:rFonts w:hint="eastAsia" w:ascii="宋体" w:hAnsi="宋体" w:eastAsia="宋体" w:cs="宋体"/>
        </w:rPr>
      </w:pPr>
      <w:bookmarkStart w:id="69" w:name="_Toc278958178"/>
      <w:bookmarkStart w:id="70" w:name="_Toc153615305"/>
      <w:bookmarkStart w:id="71" w:name="_Toc26127"/>
      <w:bookmarkStart w:id="72" w:name="_Toc130695608"/>
      <w:bookmarkStart w:id="73" w:name="_Toc185747596"/>
      <w:bookmarkStart w:id="74" w:name="_Toc279046885"/>
      <w:bookmarkStart w:id="75" w:name="_Toc130697200"/>
      <w:bookmarkStart w:id="76" w:name="_Toc32628"/>
      <w:bookmarkStart w:id="77" w:name="_Toc191353033"/>
      <w:r>
        <w:rPr>
          <w:rFonts w:hint="eastAsia" w:ascii="宋体" w:hAnsi="宋体" w:eastAsia="宋体" w:cs="宋体"/>
          <w:sz w:val="28"/>
        </w:rPr>
        <w:t>5、合同</w:t>
      </w:r>
      <w:r>
        <w:rPr>
          <w:rFonts w:hint="eastAsia" w:ascii="宋体" w:hAnsi="宋体" w:eastAsia="宋体" w:cs="宋体"/>
          <w:sz w:val="28"/>
          <w:lang w:eastAsia="zh-CN"/>
        </w:rPr>
        <w:t>货物、设备（货物）的</w:t>
      </w:r>
      <w:r>
        <w:rPr>
          <w:rFonts w:hint="eastAsia" w:ascii="宋体" w:hAnsi="宋体" w:eastAsia="宋体" w:cs="宋体"/>
          <w:sz w:val="28"/>
        </w:rPr>
        <w:t>包装、交货、验收</w:t>
      </w:r>
      <w:bookmarkEnd w:id="69"/>
      <w:bookmarkEnd w:id="70"/>
      <w:bookmarkEnd w:id="71"/>
      <w:bookmarkEnd w:id="72"/>
      <w:bookmarkEnd w:id="73"/>
      <w:bookmarkEnd w:id="74"/>
      <w:bookmarkEnd w:id="75"/>
      <w:bookmarkEnd w:id="76"/>
      <w:bookmarkEnd w:id="77"/>
    </w:p>
    <w:p>
      <w:pPr>
        <w:spacing w:line="360" w:lineRule="auto"/>
        <w:rPr>
          <w:rFonts w:hint="eastAsia" w:ascii="宋体" w:hAnsi="宋体" w:eastAsia="宋体" w:cs="宋体"/>
          <w:sz w:val="24"/>
        </w:rPr>
      </w:pPr>
      <w:r>
        <w:rPr>
          <w:rFonts w:hint="eastAsia" w:ascii="宋体" w:hAnsi="宋体" w:eastAsia="宋体" w:cs="宋体"/>
          <w:sz w:val="24"/>
        </w:rPr>
        <w:t>5.1 合同</w:t>
      </w:r>
      <w:r>
        <w:rPr>
          <w:rFonts w:hint="eastAsia" w:ascii="宋体" w:hAnsi="宋体" w:eastAsia="宋体" w:cs="宋体"/>
          <w:sz w:val="24"/>
          <w:lang w:eastAsia="zh-CN"/>
        </w:rPr>
        <w:t>设备（货物）</w:t>
      </w:r>
      <w:r>
        <w:rPr>
          <w:rFonts w:hint="eastAsia" w:ascii="宋体" w:hAnsi="宋体" w:eastAsia="宋体" w:cs="宋体"/>
          <w:sz w:val="24"/>
        </w:rPr>
        <w:t>的包装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货物、设备（货物）</w:t>
      </w:r>
      <w:r>
        <w:rPr>
          <w:rFonts w:hint="eastAsia" w:ascii="宋体" w:hAnsi="宋体" w:eastAsia="宋体" w:cs="宋体"/>
          <w:sz w:val="24"/>
        </w:rPr>
        <w:t>的包装均应有良好的防湿、防锈、防潮、防雨、防腐及防碰撞的措施。凡由于包装不良造成的损失和由此产生的费用均由乙方承担。</w:t>
      </w:r>
    </w:p>
    <w:p>
      <w:pPr>
        <w:spacing w:line="360" w:lineRule="auto"/>
        <w:rPr>
          <w:rFonts w:hint="eastAsia" w:ascii="宋体" w:hAnsi="宋体" w:eastAsia="宋体" w:cs="宋体"/>
          <w:sz w:val="24"/>
        </w:rPr>
      </w:pPr>
      <w:r>
        <w:rPr>
          <w:rFonts w:hint="eastAsia" w:ascii="宋体" w:hAnsi="宋体" w:eastAsia="宋体" w:cs="宋体"/>
          <w:sz w:val="24"/>
        </w:rPr>
        <w:t>5.2 合同</w:t>
      </w:r>
      <w:r>
        <w:rPr>
          <w:rFonts w:hint="eastAsia" w:ascii="宋体" w:hAnsi="宋体" w:eastAsia="宋体" w:cs="宋体"/>
          <w:sz w:val="24"/>
          <w:lang w:eastAsia="zh-CN"/>
        </w:rPr>
        <w:t>设备（货物）</w:t>
      </w:r>
      <w:r>
        <w:rPr>
          <w:rFonts w:hint="eastAsia" w:ascii="宋体" w:hAnsi="宋体" w:eastAsia="宋体" w:cs="宋体"/>
          <w:sz w:val="24"/>
        </w:rPr>
        <w:t>的交货</w:t>
      </w:r>
    </w:p>
    <w:p>
      <w:pPr>
        <w:spacing w:line="360" w:lineRule="auto"/>
        <w:rPr>
          <w:rFonts w:hint="eastAsia" w:ascii="宋体" w:hAnsi="宋体" w:eastAsia="宋体" w:cs="宋体"/>
          <w:sz w:val="24"/>
        </w:rPr>
      </w:pPr>
      <w:r>
        <w:rPr>
          <w:rFonts w:hint="eastAsia" w:ascii="宋体" w:hAnsi="宋体" w:eastAsia="宋体" w:cs="宋体"/>
          <w:sz w:val="24"/>
        </w:rPr>
        <w:t>5.2.1 乙方交货时间：</w:t>
      </w:r>
      <w:r>
        <w:rPr>
          <w:rFonts w:hint="eastAsia" w:ascii="宋体" w:hAnsi="宋体" w:eastAsia="宋体" w:cs="宋体"/>
          <w:b/>
          <w:bCs/>
          <w:sz w:val="24"/>
        </w:rPr>
        <w:t>合同生效之日起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b/>
          <w:bCs/>
          <w:color w:val="auto"/>
          <w:sz w:val="24"/>
          <w:u w:val="single"/>
        </w:rPr>
        <w:t xml:space="preserve"> </w:t>
      </w:r>
      <w:r>
        <w:rPr>
          <w:rFonts w:hint="eastAsia" w:ascii="宋体" w:hAnsi="宋体" w:eastAsia="宋体" w:cs="宋体"/>
          <w:sz w:val="24"/>
        </w:rPr>
        <w:t>日内交货并完成安装、调试。</w:t>
      </w:r>
    </w:p>
    <w:p>
      <w:pPr>
        <w:spacing w:line="360" w:lineRule="auto"/>
        <w:rPr>
          <w:rFonts w:hint="eastAsia" w:ascii="宋体" w:hAnsi="宋体" w:eastAsia="宋体" w:cs="宋体"/>
          <w:sz w:val="24"/>
        </w:rPr>
      </w:pPr>
      <w:r>
        <w:rPr>
          <w:rFonts w:hint="eastAsia" w:ascii="宋体" w:hAnsi="宋体" w:eastAsia="宋体" w:cs="宋体"/>
          <w:sz w:val="24"/>
        </w:rPr>
        <w:t>5.2.2 乙方交货地点：甲方指定地点。</w:t>
      </w:r>
    </w:p>
    <w:p>
      <w:pPr>
        <w:spacing w:line="360" w:lineRule="auto"/>
        <w:rPr>
          <w:rFonts w:hint="eastAsia" w:ascii="宋体" w:hAnsi="宋体" w:eastAsia="宋体" w:cs="宋体"/>
          <w:sz w:val="24"/>
        </w:rPr>
      </w:pPr>
      <w:r>
        <w:rPr>
          <w:rFonts w:hint="eastAsia" w:ascii="宋体" w:hAnsi="宋体" w:eastAsia="宋体" w:cs="宋体"/>
          <w:sz w:val="24"/>
        </w:rPr>
        <w:t>5.3 合同</w:t>
      </w:r>
      <w:r>
        <w:rPr>
          <w:rFonts w:hint="eastAsia" w:ascii="宋体" w:hAnsi="宋体" w:eastAsia="宋体" w:cs="宋体"/>
          <w:sz w:val="24"/>
          <w:lang w:eastAsia="zh-CN"/>
        </w:rPr>
        <w:t>设备（货物）</w:t>
      </w:r>
      <w:r>
        <w:rPr>
          <w:rFonts w:hint="eastAsia" w:ascii="宋体" w:hAnsi="宋体" w:eastAsia="宋体" w:cs="宋体"/>
          <w:sz w:val="24"/>
        </w:rPr>
        <w:t>的安装调试</w:t>
      </w:r>
    </w:p>
    <w:p>
      <w:pPr>
        <w:spacing w:line="360" w:lineRule="auto"/>
        <w:rPr>
          <w:rFonts w:hint="eastAsia" w:ascii="宋体" w:hAnsi="宋体" w:eastAsia="宋体" w:cs="宋体"/>
          <w:sz w:val="24"/>
        </w:rPr>
      </w:pPr>
      <w:r>
        <w:rPr>
          <w:rFonts w:hint="eastAsia" w:ascii="宋体" w:hAnsi="宋体" w:eastAsia="宋体" w:cs="宋体"/>
          <w:sz w:val="24"/>
        </w:rPr>
        <w:t>5.3.1 乙方负责合同项下的安装调试，一切费用由乙方负责。</w:t>
      </w:r>
    </w:p>
    <w:p>
      <w:pPr>
        <w:spacing w:line="360" w:lineRule="auto"/>
        <w:rPr>
          <w:rFonts w:hint="eastAsia" w:ascii="宋体" w:hAnsi="宋体" w:eastAsia="宋体" w:cs="宋体"/>
          <w:sz w:val="24"/>
        </w:rPr>
      </w:pPr>
      <w:r>
        <w:rPr>
          <w:rFonts w:hint="eastAsia" w:ascii="宋体" w:hAnsi="宋体" w:eastAsia="宋体" w:cs="宋体"/>
          <w:sz w:val="24"/>
        </w:rPr>
        <w:t>5.3.2 乙方安装时须对各安装场地内的其它</w:t>
      </w:r>
      <w:r>
        <w:rPr>
          <w:rFonts w:hint="eastAsia" w:ascii="宋体" w:hAnsi="宋体" w:eastAsia="宋体" w:cs="宋体"/>
          <w:sz w:val="24"/>
          <w:lang w:eastAsia="zh-CN"/>
        </w:rPr>
        <w:t>设备（货物）</w:t>
      </w:r>
      <w:r>
        <w:rPr>
          <w:rFonts w:hint="eastAsia" w:ascii="宋体" w:hAnsi="宋体" w:eastAsia="宋体" w:cs="宋体"/>
          <w:sz w:val="24"/>
        </w:rPr>
        <w:t>、设施有良好保护措施。</w:t>
      </w:r>
    </w:p>
    <w:p>
      <w:pPr>
        <w:spacing w:line="360" w:lineRule="auto"/>
        <w:rPr>
          <w:rFonts w:hint="eastAsia" w:ascii="宋体" w:hAnsi="宋体" w:eastAsia="宋体" w:cs="宋体"/>
          <w:sz w:val="24"/>
        </w:rPr>
      </w:pPr>
      <w:r>
        <w:rPr>
          <w:rFonts w:hint="eastAsia" w:ascii="宋体" w:hAnsi="宋体" w:eastAsia="宋体" w:cs="宋体"/>
          <w:sz w:val="24"/>
        </w:rPr>
        <w:t xml:space="preserve">5.4  </w:t>
      </w:r>
      <w:r>
        <w:rPr>
          <w:rFonts w:hint="eastAsia" w:ascii="宋体" w:hAnsi="宋体" w:eastAsia="宋体" w:cs="宋体"/>
          <w:sz w:val="24"/>
          <w:lang w:eastAsia="zh-CN"/>
        </w:rPr>
        <w:t>设备（货物）</w:t>
      </w:r>
      <w:r>
        <w:rPr>
          <w:rFonts w:hint="eastAsia" w:ascii="宋体" w:hAnsi="宋体" w:eastAsia="宋体" w:cs="宋体"/>
          <w:sz w:val="24"/>
        </w:rPr>
        <w:t>的验收</w:t>
      </w:r>
    </w:p>
    <w:p>
      <w:pPr>
        <w:spacing w:line="360" w:lineRule="auto"/>
        <w:ind w:left="713" w:right="11" w:rightChars="4" w:hanging="712" w:hangingChars="297"/>
        <w:rPr>
          <w:rFonts w:hint="eastAsia" w:ascii="宋体" w:hAnsi="宋体" w:eastAsia="宋体" w:cs="宋体"/>
          <w:sz w:val="24"/>
        </w:rPr>
      </w:pPr>
      <w:r>
        <w:rPr>
          <w:rFonts w:hint="eastAsia" w:ascii="宋体" w:hAnsi="宋体" w:eastAsia="宋体" w:cs="宋体"/>
          <w:sz w:val="24"/>
        </w:rPr>
        <w:t>5.4.1 合同</w:t>
      </w:r>
      <w:r>
        <w:rPr>
          <w:rFonts w:hint="eastAsia" w:ascii="宋体" w:hAnsi="宋体" w:eastAsia="宋体" w:cs="宋体"/>
          <w:sz w:val="24"/>
          <w:lang w:eastAsia="zh-CN"/>
        </w:rPr>
        <w:t>设备（货物）</w:t>
      </w:r>
      <w:r>
        <w:rPr>
          <w:rFonts w:hint="eastAsia" w:ascii="宋体" w:hAnsi="宋体" w:eastAsia="宋体" w:cs="宋体"/>
          <w:sz w:val="24"/>
        </w:rPr>
        <w:t>安装调试完成并移交所有资料文档后XX个工作日内验收，验收应在甲乙双方共同参加下进行，验收标准按照国家有关标准。</w:t>
      </w:r>
    </w:p>
    <w:p>
      <w:pPr>
        <w:spacing w:line="360" w:lineRule="auto"/>
        <w:ind w:left="746" w:hanging="746" w:hangingChars="311"/>
        <w:rPr>
          <w:rFonts w:hint="eastAsia" w:ascii="宋体" w:hAnsi="宋体" w:eastAsia="宋体" w:cs="宋体"/>
          <w:sz w:val="24"/>
        </w:rPr>
      </w:pPr>
      <w:r>
        <w:rPr>
          <w:rFonts w:hint="eastAsia" w:ascii="宋体" w:hAnsi="宋体" w:eastAsia="宋体" w:cs="宋体"/>
          <w:sz w:val="24"/>
        </w:rPr>
        <w:t>5.4.2 验收按国家有关的规定、规范进行。验收时如发现所交付的</w:t>
      </w:r>
      <w:r>
        <w:rPr>
          <w:rFonts w:hint="eastAsia" w:ascii="宋体" w:hAnsi="宋体" w:eastAsia="宋体" w:cs="宋体"/>
          <w:sz w:val="24"/>
          <w:lang w:eastAsia="zh-CN"/>
        </w:rPr>
        <w:t>设备（货物）</w:t>
      </w:r>
      <w:r>
        <w:rPr>
          <w:rFonts w:hint="eastAsia" w:ascii="宋体" w:hAnsi="宋体" w:eastAsia="宋体" w:cs="宋体"/>
          <w:sz w:val="24"/>
        </w:rPr>
        <w:t>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spacing w:line="360" w:lineRule="auto"/>
        <w:ind w:left="746" w:hanging="746" w:hangingChars="311"/>
        <w:rPr>
          <w:rFonts w:hint="eastAsia" w:ascii="宋体" w:hAnsi="宋体" w:eastAsia="宋体" w:cs="宋体"/>
          <w:sz w:val="24"/>
        </w:rPr>
      </w:pPr>
      <w:r>
        <w:rPr>
          <w:rFonts w:hint="eastAsia" w:ascii="宋体" w:hAnsi="宋体" w:eastAsia="宋体" w:cs="宋体"/>
          <w:sz w:val="24"/>
        </w:rPr>
        <w:t>5.4.3 如果合同</w:t>
      </w:r>
      <w:r>
        <w:rPr>
          <w:rFonts w:hint="eastAsia" w:ascii="宋体" w:hAnsi="宋体" w:eastAsia="宋体" w:cs="宋体"/>
          <w:sz w:val="24"/>
          <w:lang w:eastAsia="zh-CN"/>
        </w:rPr>
        <w:t>设备（货物）</w:t>
      </w:r>
      <w:r>
        <w:rPr>
          <w:rFonts w:hint="eastAsia" w:ascii="宋体" w:hAnsi="宋体" w:eastAsia="宋体" w:cs="宋体"/>
          <w:sz w:val="24"/>
        </w:rPr>
        <w:t>运输和安装调试过程中因事故造成货物短缺、损坏，乙方应及时安排换装，以保证合同</w:t>
      </w:r>
      <w:r>
        <w:rPr>
          <w:rFonts w:hint="eastAsia" w:ascii="宋体" w:hAnsi="宋体" w:eastAsia="宋体" w:cs="宋体"/>
          <w:sz w:val="24"/>
          <w:lang w:eastAsia="zh-CN"/>
        </w:rPr>
        <w:t>设备（货物）</w:t>
      </w:r>
      <w:r>
        <w:rPr>
          <w:rFonts w:hint="eastAsia" w:ascii="宋体" w:hAnsi="宋体" w:eastAsia="宋体" w:cs="宋体"/>
          <w:sz w:val="24"/>
        </w:rPr>
        <w:t>安装调试的成功完成。换货的相关费用由乙方承担。</w:t>
      </w:r>
    </w:p>
    <w:p>
      <w:pPr>
        <w:spacing w:line="360" w:lineRule="auto"/>
        <w:ind w:left="746" w:hanging="746" w:hangingChars="311"/>
        <w:rPr>
          <w:rFonts w:hint="eastAsia" w:ascii="宋体" w:hAnsi="宋体" w:eastAsia="宋体" w:cs="宋体"/>
          <w:sz w:val="24"/>
        </w:rPr>
      </w:pPr>
      <w:r>
        <w:rPr>
          <w:rFonts w:hint="eastAsia" w:ascii="宋体" w:hAnsi="宋体" w:eastAsia="宋体" w:cs="宋体"/>
          <w:sz w:val="24"/>
        </w:rPr>
        <w:t>5.4.4 国内产品或合资厂的产品必须具备出厂合格证。</w:t>
      </w:r>
    </w:p>
    <w:p>
      <w:pPr>
        <w:spacing w:line="360" w:lineRule="auto"/>
        <w:ind w:left="746" w:hanging="746" w:hangingChars="311"/>
        <w:rPr>
          <w:rFonts w:hint="eastAsia" w:ascii="宋体" w:hAnsi="宋体" w:eastAsia="宋体" w:cs="宋体"/>
          <w:sz w:val="24"/>
        </w:rPr>
      </w:pPr>
      <w:r>
        <w:rPr>
          <w:rFonts w:hint="eastAsia" w:ascii="宋体" w:hAnsi="宋体" w:eastAsia="宋体" w:cs="宋体"/>
          <w:sz w:val="24"/>
        </w:rPr>
        <w:t>5.4.5 进口产品必须具备省级（或相当于省级）商检部门的检验证明。</w:t>
      </w:r>
    </w:p>
    <w:p>
      <w:pPr>
        <w:spacing w:line="360" w:lineRule="auto"/>
        <w:ind w:left="629" w:hanging="628" w:hangingChars="262"/>
        <w:rPr>
          <w:rFonts w:hint="eastAsia" w:ascii="宋体" w:hAnsi="宋体" w:eastAsia="宋体" w:cs="宋体"/>
          <w:sz w:val="24"/>
        </w:rPr>
      </w:pPr>
      <w:r>
        <w:rPr>
          <w:rFonts w:hint="eastAsia" w:ascii="宋体" w:hAnsi="宋体" w:eastAsia="宋体" w:cs="宋体"/>
          <w:sz w:val="24"/>
        </w:rPr>
        <w:t>5.5  如乙方没有及时提供相关证件（如商检证等），有可能影响验收进程，所导致的经济损失，由乙方自行承担。</w:t>
      </w:r>
    </w:p>
    <w:p>
      <w:pPr>
        <w:spacing w:line="360" w:lineRule="auto"/>
        <w:ind w:left="629" w:hanging="628" w:hangingChars="262"/>
        <w:rPr>
          <w:rFonts w:hint="eastAsia" w:ascii="宋体" w:hAnsi="宋体" w:eastAsia="宋体" w:cs="宋体"/>
          <w:sz w:val="24"/>
        </w:rPr>
      </w:pPr>
      <w:r>
        <w:rPr>
          <w:rFonts w:hint="eastAsia" w:ascii="宋体" w:hAnsi="宋体" w:eastAsia="宋体" w:cs="宋体"/>
          <w:sz w:val="24"/>
        </w:rPr>
        <w:t>5.6  乙方保证合同项下提供的</w:t>
      </w:r>
      <w:r>
        <w:rPr>
          <w:rFonts w:hint="eastAsia" w:ascii="宋体" w:hAnsi="宋体" w:eastAsia="宋体" w:cs="宋体"/>
          <w:sz w:val="24"/>
          <w:lang w:eastAsia="zh-CN"/>
        </w:rPr>
        <w:t>设备（货物）</w:t>
      </w:r>
      <w:r>
        <w:rPr>
          <w:rFonts w:hint="eastAsia" w:ascii="宋体" w:hAnsi="宋体" w:eastAsia="宋体" w:cs="宋体"/>
          <w:sz w:val="24"/>
        </w:rPr>
        <w:t>不侵犯任何第三方的专利、商标或版权。否则，乙方须承担对第三方的专利或版权的侵权责任并承担因此而发生的所有费用。</w:t>
      </w:r>
    </w:p>
    <w:p>
      <w:pPr>
        <w:pStyle w:val="2"/>
        <w:numPr>
          <w:ilvl w:val="2"/>
          <w:numId w:val="0"/>
        </w:numPr>
        <w:spacing w:line="360" w:lineRule="auto"/>
        <w:ind w:left="288" w:leftChars="0"/>
        <w:rPr>
          <w:rFonts w:hint="eastAsia" w:ascii="宋体" w:hAnsi="宋体" w:eastAsia="宋体" w:cs="宋体"/>
        </w:rPr>
      </w:pPr>
      <w:bookmarkStart w:id="78" w:name="_Toc130697201"/>
      <w:bookmarkStart w:id="79" w:name="_Toc130695609"/>
      <w:bookmarkStart w:id="80" w:name="_Toc278958179"/>
      <w:bookmarkStart w:id="81" w:name="_Toc7541"/>
      <w:bookmarkStart w:id="82" w:name="_Toc18520"/>
      <w:bookmarkStart w:id="83" w:name="_Toc185747597"/>
      <w:bookmarkStart w:id="84" w:name="_Toc191353034"/>
      <w:bookmarkStart w:id="85" w:name="_Toc153615306"/>
      <w:bookmarkStart w:id="86" w:name="_Toc279046886"/>
      <w:r>
        <w:rPr>
          <w:rFonts w:hint="eastAsia" w:ascii="宋体" w:hAnsi="宋体" w:eastAsia="宋体" w:cs="宋体"/>
          <w:sz w:val="28"/>
        </w:rPr>
        <w:t>6、质量保证及售后服务</w:t>
      </w:r>
      <w:bookmarkEnd w:id="78"/>
      <w:bookmarkEnd w:id="79"/>
      <w:bookmarkEnd w:id="80"/>
      <w:bookmarkEnd w:id="81"/>
      <w:bookmarkEnd w:id="82"/>
      <w:bookmarkEnd w:id="83"/>
      <w:bookmarkEnd w:id="84"/>
      <w:bookmarkEnd w:id="85"/>
      <w:bookmarkEnd w:id="86"/>
    </w:p>
    <w:p>
      <w:pPr>
        <w:spacing w:line="360" w:lineRule="auto"/>
        <w:ind w:left="480" w:hanging="480" w:hangingChars="200"/>
        <w:rPr>
          <w:rFonts w:hint="eastAsia" w:ascii="宋体" w:hAnsi="宋体" w:eastAsia="宋体" w:cs="宋体"/>
          <w:sz w:val="24"/>
        </w:rPr>
      </w:pPr>
      <w:r>
        <w:rPr>
          <w:rFonts w:hint="eastAsia" w:ascii="宋体" w:hAnsi="宋体" w:eastAsia="宋体" w:cs="宋体"/>
          <w:sz w:val="24"/>
        </w:rPr>
        <w:t>6.1 乙方保证合同</w:t>
      </w:r>
      <w:r>
        <w:rPr>
          <w:rFonts w:hint="eastAsia" w:ascii="宋体" w:hAnsi="宋体" w:eastAsia="宋体" w:cs="宋体"/>
          <w:sz w:val="24"/>
          <w:lang w:eastAsia="zh-CN"/>
        </w:rPr>
        <w:t>货物、设备（货物）</w:t>
      </w:r>
      <w:r>
        <w:rPr>
          <w:rFonts w:hint="eastAsia" w:ascii="宋体" w:hAnsi="宋体" w:eastAsia="宋体" w:cs="宋体"/>
          <w:sz w:val="24"/>
        </w:rPr>
        <w:t>是全新、未曾使用过的，其质量、规格及技术特征符合合同附件的要求。所有</w:t>
      </w:r>
      <w:r>
        <w:rPr>
          <w:rFonts w:hint="eastAsia" w:ascii="宋体" w:hAnsi="宋体" w:eastAsia="宋体" w:cs="宋体"/>
          <w:sz w:val="24"/>
          <w:lang w:eastAsia="zh-CN"/>
        </w:rPr>
        <w:t>设备（货物）</w:t>
      </w:r>
      <w:r>
        <w:rPr>
          <w:rFonts w:hint="eastAsia" w:ascii="宋体" w:hAnsi="宋体" w:eastAsia="宋体" w:cs="宋体"/>
          <w:sz w:val="24"/>
        </w:rPr>
        <w:t>要求原厂商现场验货、安装和测试，并提供验收证明。每台货物</w:t>
      </w:r>
      <w:r>
        <w:rPr>
          <w:rFonts w:hint="eastAsia" w:ascii="宋体" w:hAnsi="宋体" w:eastAsia="宋体" w:cs="宋体"/>
          <w:sz w:val="24"/>
          <w:lang w:eastAsia="zh-CN"/>
        </w:rPr>
        <w:t>包装</w:t>
      </w:r>
      <w:r>
        <w:rPr>
          <w:rFonts w:hint="eastAsia" w:ascii="宋体" w:hAnsi="宋体" w:eastAsia="宋体" w:cs="宋体"/>
          <w:sz w:val="24"/>
        </w:rPr>
        <w:t>上</w:t>
      </w:r>
      <w:r>
        <w:rPr>
          <w:rFonts w:hint="eastAsia" w:ascii="宋体" w:hAnsi="宋体" w:eastAsia="宋体" w:cs="宋体"/>
          <w:sz w:val="24"/>
          <w:lang w:eastAsia="zh-CN"/>
        </w:rPr>
        <w:t>装订名牌</w:t>
      </w:r>
      <w:r>
        <w:rPr>
          <w:rFonts w:hint="eastAsia" w:ascii="宋体" w:hAnsi="宋体" w:eastAsia="宋体" w:cs="宋体"/>
          <w:sz w:val="24"/>
        </w:rPr>
        <w:t>（内容</w:t>
      </w:r>
      <w:r>
        <w:rPr>
          <w:rFonts w:hint="eastAsia" w:ascii="宋体" w:hAnsi="宋体" w:eastAsia="宋体" w:cs="宋体"/>
          <w:sz w:val="24"/>
          <w:lang w:eastAsia="zh-CN"/>
        </w:rPr>
        <w:t>包</w:t>
      </w:r>
      <w:r>
        <w:rPr>
          <w:rFonts w:hint="eastAsia" w:ascii="宋体" w:hAnsi="宋体" w:eastAsia="宋体" w:cs="宋体"/>
          <w:sz w:val="24"/>
        </w:rPr>
        <w:t>括：制造商、货物名称、型号规格、出厂日期等）并附有产品质量检验合格标志。乙方应提供货物的</w:t>
      </w:r>
      <w:r>
        <w:rPr>
          <w:rFonts w:hint="eastAsia" w:ascii="宋体" w:hAnsi="宋体" w:eastAsia="宋体" w:cs="宋体"/>
          <w:sz w:val="24"/>
          <w:lang w:eastAsia="zh-CN"/>
        </w:rPr>
        <w:t>随箱</w:t>
      </w:r>
      <w:r>
        <w:rPr>
          <w:rFonts w:hint="eastAsia" w:ascii="宋体" w:hAnsi="宋体" w:eastAsia="宋体" w:cs="宋体"/>
          <w:sz w:val="24"/>
        </w:rPr>
        <w:t>清单、用户手册、保修卡（或保修文件）、</w:t>
      </w:r>
      <w:r>
        <w:rPr>
          <w:rFonts w:hint="eastAsia" w:ascii="宋体" w:hAnsi="宋体" w:eastAsia="宋体" w:cs="宋体"/>
          <w:sz w:val="24"/>
          <w:lang w:eastAsia="zh-CN"/>
        </w:rPr>
        <w:t>随机</w:t>
      </w:r>
      <w:r>
        <w:rPr>
          <w:rFonts w:hint="eastAsia" w:ascii="宋体" w:hAnsi="宋体" w:eastAsia="宋体" w:cs="宋体"/>
          <w:sz w:val="24"/>
        </w:rPr>
        <w:t>资料及配件、随机工具等；乙方不能完整交付上述资料的，视为未按合同约定付货。</w:t>
      </w:r>
    </w:p>
    <w:p>
      <w:pPr>
        <w:spacing w:line="360" w:lineRule="auto"/>
        <w:ind w:left="480" w:hanging="480" w:hangingChars="200"/>
        <w:rPr>
          <w:rFonts w:hint="eastAsia" w:ascii="宋体" w:hAnsi="宋体" w:eastAsia="宋体" w:cs="宋体"/>
          <w:sz w:val="24"/>
        </w:rPr>
      </w:pPr>
      <w:r>
        <w:rPr>
          <w:rFonts w:hint="eastAsia" w:ascii="宋体" w:hAnsi="宋体" w:eastAsia="宋体" w:cs="宋体"/>
          <w:sz w:val="24"/>
        </w:rPr>
        <w:t>6.2 合同</w:t>
      </w:r>
      <w:r>
        <w:rPr>
          <w:rFonts w:hint="eastAsia" w:ascii="宋体" w:hAnsi="宋体" w:eastAsia="宋体" w:cs="宋体"/>
          <w:sz w:val="24"/>
          <w:lang w:eastAsia="zh-CN"/>
        </w:rPr>
        <w:t>设备（货物）</w:t>
      </w:r>
      <w:r>
        <w:rPr>
          <w:rFonts w:hint="eastAsia" w:ascii="宋体" w:hAnsi="宋体" w:eastAsia="宋体" w:cs="宋体"/>
          <w:sz w:val="24"/>
        </w:rPr>
        <w:t>免费保修期按生产厂家的标准执行</w:t>
      </w:r>
      <w:r>
        <w:rPr>
          <w:rFonts w:hint="eastAsia" w:ascii="宋体" w:hAnsi="宋体" w:eastAsia="宋体" w:cs="宋体"/>
          <w:color w:val="auto"/>
          <w:sz w:val="24"/>
        </w:rPr>
        <w:t>，</w:t>
      </w:r>
      <w:r>
        <w:rPr>
          <w:rFonts w:hint="eastAsia" w:ascii="宋体" w:hAnsi="宋体" w:eastAsia="宋体" w:cs="宋体"/>
          <w:b w:val="0"/>
          <w:bCs w:val="0"/>
          <w:color w:val="auto"/>
          <w:sz w:val="24"/>
          <w:lang w:eastAsia="zh-CN"/>
        </w:rPr>
        <w:t>质保</w:t>
      </w:r>
      <w:r>
        <w:rPr>
          <w:rFonts w:hint="eastAsia" w:ascii="宋体" w:hAnsi="宋体" w:eastAsia="宋体" w:cs="宋体"/>
          <w:b w:val="0"/>
          <w:bCs w:val="0"/>
          <w:color w:val="auto"/>
          <w:sz w:val="24"/>
          <w:lang w:val="en-US" w:eastAsia="zh-CN"/>
        </w:rPr>
        <w:t>2年</w:t>
      </w:r>
      <w:r>
        <w:rPr>
          <w:rFonts w:hint="eastAsia" w:ascii="宋体" w:hAnsi="宋体" w:eastAsia="宋体" w:cs="宋体"/>
          <w:b w:val="0"/>
          <w:bCs w:val="0"/>
          <w:color w:val="auto"/>
          <w:sz w:val="24"/>
        </w:rPr>
        <w:t>（</w:t>
      </w:r>
      <w:r>
        <w:rPr>
          <w:rFonts w:hint="eastAsia" w:ascii="宋体" w:hAnsi="宋体" w:eastAsia="宋体" w:cs="宋体"/>
          <w:sz w:val="24"/>
        </w:rPr>
        <w:t>用户单位验收合格之日起计算。免费保修期内非甲方的人为原因出现产品质量及安装问题，由乙方负责</w:t>
      </w:r>
      <w:r>
        <w:rPr>
          <w:rFonts w:hint="eastAsia" w:ascii="宋体" w:hAnsi="宋体" w:eastAsia="宋体" w:cs="宋体"/>
          <w:sz w:val="24"/>
          <w:lang w:eastAsia="zh-CN"/>
        </w:rPr>
        <w:t>保</w:t>
      </w:r>
      <w:r>
        <w:rPr>
          <w:rFonts w:hint="eastAsia" w:ascii="宋体" w:hAnsi="宋体" w:eastAsia="宋体" w:cs="宋体"/>
          <w:sz w:val="24"/>
        </w:rPr>
        <w:t>修、包换或包退，并承担因此而产生的一切费用。乙方应在收到甲方</w:t>
      </w:r>
      <w:r>
        <w:rPr>
          <w:rFonts w:hint="eastAsia" w:ascii="宋体" w:hAnsi="宋体" w:eastAsia="宋体" w:cs="宋体"/>
          <w:sz w:val="24"/>
          <w:lang w:eastAsia="zh-CN"/>
        </w:rPr>
        <w:t>通</w:t>
      </w:r>
      <w:r>
        <w:rPr>
          <w:rFonts w:hint="eastAsia" w:ascii="宋体" w:hAnsi="宋体" w:eastAsia="宋体" w:cs="宋体"/>
          <w:sz w:val="24"/>
        </w:rPr>
        <w:t>知后派员到</w:t>
      </w:r>
      <w:r>
        <w:rPr>
          <w:rFonts w:hint="eastAsia" w:ascii="宋体" w:hAnsi="宋体" w:eastAsia="宋体" w:cs="宋体"/>
          <w:sz w:val="24"/>
          <w:lang w:eastAsia="zh-CN"/>
        </w:rPr>
        <w:t>现</w:t>
      </w:r>
      <w:r>
        <w:rPr>
          <w:rFonts w:hint="eastAsia" w:ascii="宋体" w:hAnsi="宋体" w:eastAsia="宋体" w:cs="宋体"/>
          <w:sz w:val="24"/>
        </w:rPr>
        <w:t>场</w:t>
      </w:r>
      <w:r>
        <w:rPr>
          <w:rFonts w:hint="eastAsia" w:ascii="宋体" w:hAnsi="宋体" w:eastAsia="宋体" w:cs="宋体"/>
          <w:sz w:val="24"/>
          <w:lang w:eastAsia="zh-CN"/>
        </w:rPr>
        <w:t>维</w:t>
      </w:r>
      <w:r>
        <w:rPr>
          <w:rFonts w:hint="eastAsia" w:ascii="宋体" w:hAnsi="宋体" w:eastAsia="宋体" w:cs="宋体"/>
          <w:sz w:val="24"/>
        </w:rPr>
        <w:t>修。</w:t>
      </w:r>
    </w:p>
    <w:p>
      <w:pPr>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下列情况乙方不负责免费</w:t>
      </w:r>
      <w:r>
        <w:rPr>
          <w:rFonts w:hint="eastAsia" w:ascii="宋体" w:hAnsi="宋体" w:eastAsia="宋体" w:cs="宋体"/>
          <w:sz w:val="24"/>
          <w:lang w:eastAsia="zh-CN"/>
        </w:rPr>
        <w:t>保</w:t>
      </w:r>
      <w:r>
        <w:rPr>
          <w:rFonts w:hint="eastAsia" w:ascii="宋体" w:hAnsi="宋体" w:eastAsia="宋体" w:cs="宋体"/>
          <w:sz w:val="24"/>
        </w:rPr>
        <w:t>修：</w:t>
      </w:r>
    </w:p>
    <w:p>
      <w:pPr>
        <w:spacing w:line="360" w:lineRule="auto"/>
        <w:rPr>
          <w:rFonts w:hint="eastAsia" w:ascii="宋体" w:hAnsi="宋体" w:eastAsia="宋体" w:cs="宋体"/>
          <w:sz w:val="24"/>
        </w:rPr>
      </w:pPr>
      <w:r>
        <w:rPr>
          <w:rFonts w:hint="eastAsia" w:ascii="宋体" w:hAnsi="宋体" w:eastAsia="宋体" w:cs="宋体"/>
          <w:sz w:val="24"/>
        </w:rPr>
        <w:t>（1）甲方不按照乙方提供的正确使用方法而引致</w:t>
      </w:r>
      <w:r>
        <w:rPr>
          <w:rFonts w:hint="eastAsia" w:ascii="宋体" w:hAnsi="宋体" w:eastAsia="宋体" w:cs="宋体"/>
          <w:sz w:val="24"/>
          <w:lang w:eastAsia="zh-CN"/>
        </w:rPr>
        <w:t>设备（货物）</w:t>
      </w:r>
      <w:r>
        <w:rPr>
          <w:rFonts w:hint="eastAsia" w:ascii="宋体" w:hAnsi="宋体" w:eastAsia="宋体" w:cs="宋体"/>
          <w:sz w:val="24"/>
        </w:rPr>
        <w:t>故障损坏；</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2）擅自改装</w:t>
      </w:r>
      <w:r>
        <w:rPr>
          <w:rFonts w:hint="eastAsia" w:ascii="宋体" w:hAnsi="宋体" w:eastAsia="宋体" w:cs="宋体"/>
          <w:sz w:val="24"/>
          <w:lang w:eastAsia="zh-CN"/>
        </w:rPr>
        <w:t>设备（货物）</w:t>
      </w:r>
      <w:r>
        <w:rPr>
          <w:rFonts w:hint="eastAsia" w:ascii="宋体" w:hAnsi="宋体" w:eastAsia="宋体" w:cs="宋体"/>
          <w:sz w:val="24"/>
        </w:rPr>
        <w:t>；</w:t>
      </w:r>
    </w:p>
    <w:p>
      <w:pPr>
        <w:spacing w:line="360" w:lineRule="auto"/>
        <w:ind w:left="480" w:hanging="480" w:hangingChars="200"/>
        <w:rPr>
          <w:rFonts w:hint="eastAsia" w:ascii="宋体" w:hAnsi="宋体" w:eastAsia="宋体" w:cs="宋体"/>
          <w:sz w:val="24"/>
        </w:rPr>
      </w:pPr>
      <w:r>
        <w:rPr>
          <w:rFonts w:hint="eastAsia" w:ascii="宋体" w:hAnsi="宋体" w:eastAsia="宋体" w:cs="宋体"/>
          <w:sz w:val="24"/>
        </w:rPr>
        <w:t>（3）各种人为因</w:t>
      </w:r>
      <w:r>
        <w:rPr>
          <w:rFonts w:hint="eastAsia" w:ascii="宋体" w:hAnsi="宋体" w:eastAsia="宋体" w:cs="宋体"/>
          <w:sz w:val="24"/>
          <w:lang w:eastAsia="zh-CN"/>
        </w:rPr>
        <w:t>素</w:t>
      </w:r>
      <w:r>
        <w:rPr>
          <w:rFonts w:hint="eastAsia" w:ascii="宋体" w:hAnsi="宋体" w:eastAsia="宋体" w:cs="宋体"/>
          <w:sz w:val="24"/>
        </w:rPr>
        <w:t>或天灾等外来因素造成的损坏。</w:t>
      </w:r>
      <w:r>
        <w:rPr>
          <w:rFonts w:hint="eastAsia" w:ascii="宋体" w:hAnsi="宋体" w:eastAsia="宋体" w:cs="宋体"/>
          <w:sz w:val="24"/>
        </w:rPr>
        <w:tab/>
      </w:r>
    </w:p>
    <w:p>
      <w:pPr>
        <w:spacing w:line="360" w:lineRule="auto"/>
        <w:ind w:left="480" w:hanging="480" w:hangingChars="200"/>
        <w:rPr>
          <w:rFonts w:hint="eastAsia" w:ascii="宋体" w:hAnsi="宋体" w:eastAsia="宋体" w:cs="宋体"/>
          <w:sz w:val="24"/>
        </w:rPr>
      </w:pPr>
      <w:r>
        <w:rPr>
          <w:rFonts w:hint="eastAsia" w:ascii="宋体" w:hAnsi="宋体" w:eastAsia="宋体" w:cs="宋体"/>
          <w:sz w:val="24"/>
        </w:rPr>
        <w:t>6.3 货物</w:t>
      </w:r>
      <w:r>
        <w:rPr>
          <w:rFonts w:hint="eastAsia" w:ascii="宋体" w:hAnsi="宋体" w:eastAsia="宋体" w:cs="宋体"/>
          <w:sz w:val="24"/>
          <w:lang w:eastAsia="zh-CN"/>
        </w:rPr>
        <w:t>交</w:t>
      </w:r>
      <w:r>
        <w:rPr>
          <w:rFonts w:hint="eastAsia" w:ascii="宋体" w:hAnsi="宋体" w:eastAsia="宋体" w:cs="宋体"/>
          <w:sz w:val="24"/>
        </w:rPr>
        <w:t>付使用后以书面形式承诺</w:t>
      </w:r>
      <w:r>
        <w:rPr>
          <w:rFonts w:hint="eastAsia" w:ascii="宋体" w:hAnsi="宋体" w:eastAsia="宋体" w:cs="宋体"/>
          <w:sz w:val="24"/>
          <w:lang w:eastAsia="zh-CN"/>
        </w:rPr>
        <w:t>售后</w:t>
      </w:r>
      <w:r>
        <w:rPr>
          <w:rFonts w:hint="eastAsia" w:ascii="宋体" w:hAnsi="宋体" w:eastAsia="宋体" w:cs="宋体"/>
          <w:sz w:val="24"/>
        </w:rPr>
        <w:t>服务，实行终身维护：</w:t>
      </w:r>
    </w:p>
    <w:p>
      <w:pPr>
        <w:spacing w:line="360" w:lineRule="auto"/>
        <w:ind w:left="638" w:leftChars="228"/>
        <w:rPr>
          <w:rFonts w:hint="eastAsia" w:ascii="宋体" w:hAnsi="宋体" w:eastAsia="宋体" w:cs="宋体"/>
          <w:sz w:val="24"/>
        </w:rPr>
      </w:pPr>
      <w:r>
        <w:rPr>
          <w:rFonts w:hint="eastAsia" w:ascii="宋体" w:hAnsi="宋体" w:eastAsia="宋体" w:cs="宋体"/>
          <w:sz w:val="24"/>
          <w:lang w:eastAsia="zh-CN"/>
        </w:rPr>
        <w:t>设备（货物）</w:t>
      </w:r>
      <w:r>
        <w:rPr>
          <w:rFonts w:hint="eastAsia" w:ascii="宋体" w:hAnsi="宋体" w:eastAsia="宋体" w:cs="宋体"/>
          <w:sz w:val="24"/>
        </w:rPr>
        <w:t>维修响应时间：①工作时间（10：00-20：00，节假日除外）</w:t>
      </w:r>
      <w:r>
        <w:rPr>
          <w:rFonts w:hint="eastAsia" w:ascii="宋体" w:hAnsi="宋体" w:eastAsia="宋体" w:cs="宋体"/>
          <w:sz w:val="24"/>
          <w:lang w:val="en-US" w:eastAsia="zh-CN"/>
        </w:rPr>
        <w:t>30分钟</w:t>
      </w:r>
      <w:r>
        <w:rPr>
          <w:rFonts w:hint="eastAsia" w:ascii="宋体" w:hAnsi="宋体" w:eastAsia="宋体" w:cs="宋体"/>
          <w:sz w:val="24"/>
        </w:rPr>
        <w:t>内故障响应，</w:t>
      </w:r>
      <w:r>
        <w:rPr>
          <w:rFonts w:hint="eastAsia" w:ascii="宋体" w:hAnsi="宋体" w:eastAsia="宋体" w:cs="宋体"/>
          <w:sz w:val="24"/>
          <w:lang w:val="en-US" w:eastAsia="zh-CN"/>
        </w:rPr>
        <w:t>2</w:t>
      </w:r>
      <w:r>
        <w:rPr>
          <w:rFonts w:hint="eastAsia" w:ascii="宋体" w:hAnsi="宋体" w:eastAsia="宋体" w:cs="宋体"/>
          <w:sz w:val="24"/>
        </w:rPr>
        <w:t>小时内到达现场提供服务，</w:t>
      </w:r>
      <w:r>
        <w:rPr>
          <w:rFonts w:hint="eastAsia" w:ascii="宋体" w:hAnsi="宋体" w:eastAsia="宋体" w:cs="宋体"/>
          <w:sz w:val="24"/>
          <w:lang w:val="en-US" w:eastAsia="zh-CN"/>
        </w:rPr>
        <w:t>4</w:t>
      </w:r>
      <w:r>
        <w:rPr>
          <w:rFonts w:hint="eastAsia" w:ascii="宋体" w:hAnsi="宋体" w:eastAsia="宋体" w:cs="宋体"/>
          <w:sz w:val="24"/>
        </w:rPr>
        <w:t>小时内处理完毕；②非工作时间（工作时间以外的时间）内为</w:t>
      </w:r>
      <w:r>
        <w:rPr>
          <w:rFonts w:hint="eastAsia" w:ascii="宋体" w:hAnsi="宋体" w:eastAsia="宋体" w:cs="宋体"/>
          <w:sz w:val="24"/>
          <w:lang w:val="en-US" w:eastAsia="zh-CN"/>
        </w:rPr>
        <w:t>1</w:t>
      </w:r>
      <w:r>
        <w:rPr>
          <w:rFonts w:hint="eastAsia" w:ascii="宋体" w:hAnsi="宋体" w:eastAsia="宋体" w:cs="宋体"/>
          <w:sz w:val="24"/>
        </w:rPr>
        <w:t>小时内故障响应，</w:t>
      </w:r>
      <w:r>
        <w:rPr>
          <w:rFonts w:hint="eastAsia" w:ascii="宋体" w:hAnsi="宋体" w:eastAsia="宋体" w:cs="宋体"/>
          <w:sz w:val="24"/>
          <w:lang w:val="en-US" w:eastAsia="zh-CN"/>
        </w:rPr>
        <w:t>4</w:t>
      </w:r>
      <w:r>
        <w:rPr>
          <w:rFonts w:hint="eastAsia" w:ascii="宋体" w:hAnsi="宋体" w:eastAsia="宋体" w:cs="宋体"/>
          <w:sz w:val="24"/>
        </w:rPr>
        <w:t>小时内到达现场提供服务，</w:t>
      </w:r>
      <w:r>
        <w:rPr>
          <w:rFonts w:hint="eastAsia" w:ascii="宋体" w:hAnsi="宋体" w:eastAsia="宋体" w:cs="宋体"/>
          <w:sz w:val="24"/>
          <w:lang w:val="en-US" w:eastAsia="zh-CN"/>
        </w:rPr>
        <w:t>24</w:t>
      </w:r>
      <w:r>
        <w:rPr>
          <w:rFonts w:hint="eastAsia" w:ascii="宋体" w:hAnsi="宋体" w:eastAsia="宋体" w:cs="宋体"/>
          <w:sz w:val="24"/>
        </w:rPr>
        <w:t>小时内处理完毕。</w:t>
      </w:r>
    </w:p>
    <w:p>
      <w:pPr>
        <w:spacing w:line="360" w:lineRule="auto"/>
        <w:ind w:left="480" w:hanging="480" w:hangingChars="200"/>
        <w:rPr>
          <w:rFonts w:hint="eastAsia" w:ascii="宋体" w:hAnsi="宋体" w:eastAsia="宋体" w:cs="宋体"/>
          <w:sz w:val="24"/>
        </w:rPr>
      </w:pPr>
      <w:r>
        <w:rPr>
          <w:rFonts w:hint="eastAsia" w:ascii="宋体" w:hAnsi="宋体" w:eastAsia="宋体" w:cs="宋体"/>
          <w:sz w:val="24"/>
        </w:rPr>
        <w:t xml:space="preserve">6.4 </w:t>
      </w:r>
      <w:r>
        <w:rPr>
          <w:rFonts w:hint="eastAsia" w:ascii="宋体" w:hAnsi="宋体" w:eastAsia="宋体" w:cs="宋体"/>
          <w:sz w:val="24"/>
          <w:lang w:val="zh-CN"/>
        </w:rPr>
        <w:t>所有保修服务方式均为</w:t>
      </w:r>
      <w:r>
        <w:rPr>
          <w:rFonts w:hint="eastAsia" w:ascii="宋体" w:hAnsi="宋体" w:eastAsia="宋体" w:cs="宋体"/>
          <w:sz w:val="24"/>
        </w:rPr>
        <w:t>乙方</w:t>
      </w:r>
      <w:r>
        <w:rPr>
          <w:rFonts w:hint="eastAsia" w:ascii="宋体" w:hAnsi="宋体" w:eastAsia="宋体" w:cs="宋体"/>
          <w:sz w:val="24"/>
          <w:lang w:val="zh-CN"/>
        </w:rPr>
        <w:t>到现场保修，即</w:t>
      </w:r>
      <w:r>
        <w:rPr>
          <w:rFonts w:hint="eastAsia" w:ascii="宋体" w:hAnsi="宋体" w:eastAsia="宋体" w:cs="宋体"/>
          <w:sz w:val="24"/>
        </w:rPr>
        <w:t>乙方</w:t>
      </w:r>
      <w:r>
        <w:rPr>
          <w:rFonts w:hint="eastAsia" w:ascii="宋体" w:hAnsi="宋体" w:eastAsia="宋体" w:cs="宋体"/>
          <w:sz w:val="24"/>
          <w:lang w:val="zh-CN"/>
        </w:rPr>
        <w:t>派员到甲方设备（货物）使用现场维修，由此产生的一切费用均由</w:t>
      </w:r>
      <w:r>
        <w:rPr>
          <w:rFonts w:hint="eastAsia" w:ascii="宋体" w:hAnsi="宋体" w:eastAsia="宋体" w:cs="宋体"/>
          <w:sz w:val="24"/>
        </w:rPr>
        <w:t>乙方</w:t>
      </w:r>
      <w:r>
        <w:rPr>
          <w:rFonts w:hint="eastAsia" w:ascii="宋体" w:hAnsi="宋体" w:eastAsia="宋体" w:cs="宋体"/>
          <w:sz w:val="24"/>
          <w:lang w:val="zh-CN"/>
        </w:rPr>
        <w:t>承担。</w:t>
      </w:r>
    </w:p>
    <w:p>
      <w:pPr>
        <w:spacing w:line="360" w:lineRule="auto"/>
        <w:ind w:left="480" w:hanging="480" w:hangingChars="200"/>
        <w:rPr>
          <w:rFonts w:hint="eastAsia" w:ascii="宋体" w:hAnsi="宋体" w:eastAsia="宋体" w:cs="宋体"/>
          <w:sz w:val="24"/>
        </w:rPr>
      </w:pPr>
      <w:r>
        <w:rPr>
          <w:rFonts w:hint="eastAsia" w:ascii="宋体" w:hAnsi="宋体" w:eastAsia="宋体" w:cs="宋体"/>
          <w:sz w:val="24"/>
        </w:rPr>
        <w:t>6.5 因</w:t>
      </w:r>
      <w:r>
        <w:rPr>
          <w:rFonts w:hint="eastAsia" w:ascii="宋体" w:hAnsi="宋体" w:eastAsia="宋体" w:cs="宋体"/>
          <w:sz w:val="24"/>
          <w:lang w:eastAsia="zh-CN"/>
        </w:rPr>
        <w:t>设备（货物）</w:t>
      </w:r>
      <w:r>
        <w:rPr>
          <w:rFonts w:hint="eastAsia" w:ascii="宋体" w:hAnsi="宋体" w:eastAsia="宋体" w:cs="宋体"/>
          <w:sz w:val="24"/>
        </w:rPr>
        <w:t>的质量问题而发生争议，由新疆维吾尔自治区或当地质检部门进行质量鉴定。</w:t>
      </w:r>
      <w:r>
        <w:rPr>
          <w:rFonts w:hint="eastAsia" w:ascii="宋体" w:hAnsi="宋体" w:eastAsia="宋体" w:cs="宋体"/>
          <w:sz w:val="24"/>
          <w:lang w:eastAsia="zh-CN"/>
        </w:rPr>
        <w:t>设备（货物）</w:t>
      </w:r>
      <w:r>
        <w:rPr>
          <w:rFonts w:hint="eastAsia" w:ascii="宋体" w:hAnsi="宋体" w:eastAsia="宋体" w:cs="宋体"/>
          <w:sz w:val="24"/>
        </w:rPr>
        <w:t>符合质量标准的，鉴定费用由甲方承担；</w:t>
      </w:r>
      <w:r>
        <w:rPr>
          <w:rFonts w:hint="eastAsia" w:ascii="宋体" w:hAnsi="宋体" w:eastAsia="宋体" w:cs="宋体"/>
          <w:sz w:val="24"/>
          <w:lang w:eastAsia="zh-CN"/>
        </w:rPr>
        <w:t>设备（货物）</w:t>
      </w:r>
      <w:r>
        <w:rPr>
          <w:rFonts w:hint="eastAsia" w:ascii="宋体" w:hAnsi="宋体" w:eastAsia="宋体" w:cs="宋体"/>
          <w:sz w:val="24"/>
        </w:rPr>
        <w:t>不符合质量标准的，鉴定费用由乙方房担。</w:t>
      </w:r>
    </w:p>
    <w:p>
      <w:pPr>
        <w:pStyle w:val="2"/>
        <w:numPr>
          <w:ilvl w:val="2"/>
          <w:numId w:val="0"/>
        </w:numPr>
        <w:spacing w:line="360" w:lineRule="auto"/>
        <w:ind w:left="288" w:leftChars="0"/>
        <w:rPr>
          <w:rFonts w:hint="eastAsia" w:ascii="宋体" w:hAnsi="宋体" w:eastAsia="宋体" w:cs="宋体"/>
          <w:b/>
          <w:bCs/>
          <w:sz w:val="28"/>
        </w:rPr>
      </w:pPr>
      <w:bookmarkStart w:id="87" w:name="_Toc191353035"/>
      <w:bookmarkStart w:id="88" w:name="_Toc153615307"/>
      <w:bookmarkStart w:id="89" w:name="_Toc278958180"/>
      <w:bookmarkStart w:id="90" w:name="_Toc185747598"/>
      <w:bookmarkStart w:id="91" w:name="_Toc279046887"/>
      <w:bookmarkStart w:id="92" w:name="_Toc353"/>
      <w:bookmarkStart w:id="93" w:name="_Toc708"/>
      <w:bookmarkStart w:id="94" w:name="_Toc130695610"/>
      <w:bookmarkStart w:id="95" w:name="_Toc130697202"/>
      <w:bookmarkStart w:id="96" w:name="_Toc191353037"/>
      <w:bookmarkStart w:id="97" w:name="_Toc130695611"/>
      <w:bookmarkStart w:id="98" w:name="_Toc279046889"/>
      <w:bookmarkStart w:id="99" w:name="_Toc278958182"/>
      <w:bookmarkStart w:id="100" w:name="_Toc185747600"/>
      <w:bookmarkStart w:id="101" w:name="_Toc130697203"/>
      <w:bookmarkStart w:id="102" w:name="_Toc153615309"/>
      <w:r>
        <w:rPr>
          <w:rFonts w:hint="eastAsia" w:ascii="宋体" w:hAnsi="宋体" w:eastAsia="宋体" w:cs="宋体"/>
          <w:b/>
          <w:bCs/>
          <w:sz w:val="28"/>
        </w:rPr>
        <w:t>7、培训</w:t>
      </w:r>
      <w:bookmarkEnd w:id="87"/>
      <w:bookmarkEnd w:id="88"/>
      <w:bookmarkEnd w:id="89"/>
      <w:bookmarkEnd w:id="90"/>
      <w:bookmarkEnd w:id="91"/>
      <w:bookmarkEnd w:id="92"/>
      <w:bookmarkEnd w:id="93"/>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乙方为甲方提供操作及维护培训，主要内容为设备（货物）的基本结构、性能、主要部件的构造及原理，日常使用操作、保养与管理，常见故障的排除，紧急情况的处理等，培训地点主要在设备（货物）安装现场或按甲乙双方协商安排。</w:t>
      </w:r>
    </w:p>
    <w:p>
      <w:pPr>
        <w:pStyle w:val="2"/>
        <w:numPr>
          <w:ilvl w:val="2"/>
          <w:numId w:val="0"/>
        </w:numPr>
        <w:spacing w:line="360" w:lineRule="auto"/>
        <w:ind w:left="288" w:leftChars="0"/>
        <w:rPr>
          <w:rFonts w:hint="eastAsia" w:ascii="宋体" w:hAnsi="宋体" w:eastAsia="宋体" w:cs="宋体"/>
          <w:sz w:val="24"/>
          <w:szCs w:val="22"/>
          <w:lang w:val="en-US" w:eastAsia="zh-CN" w:bidi="ar-SA"/>
        </w:rPr>
      </w:pPr>
      <w:bookmarkStart w:id="103" w:name="_Toc278958181"/>
      <w:bookmarkStart w:id="104" w:name="_Toc191353036"/>
      <w:bookmarkStart w:id="105" w:name="_Toc279046888"/>
      <w:bookmarkStart w:id="106" w:name="_Toc153615308"/>
      <w:bookmarkStart w:id="107" w:name="_Toc31477"/>
      <w:bookmarkStart w:id="108" w:name="_Toc185747599"/>
      <w:bookmarkStart w:id="109" w:name="_Toc15075"/>
      <w:r>
        <w:rPr>
          <w:rFonts w:hint="eastAsia" w:ascii="宋体" w:hAnsi="宋体" w:eastAsia="宋体" w:cs="宋体"/>
          <w:sz w:val="24"/>
          <w:szCs w:val="22"/>
          <w:lang w:val="en-US" w:eastAsia="zh-CN" w:bidi="ar-SA"/>
        </w:rPr>
        <w:t>8、付款方式</w:t>
      </w:r>
      <w:bookmarkEnd w:id="94"/>
      <w:bookmarkEnd w:id="95"/>
      <w:bookmarkEnd w:id="103"/>
      <w:bookmarkEnd w:id="104"/>
      <w:bookmarkEnd w:id="105"/>
      <w:bookmarkEnd w:id="106"/>
      <w:bookmarkEnd w:id="107"/>
      <w:bookmarkEnd w:id="108"/>
      <w:bookmarkEnd w:id="109"/>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本合同的每笔款项以人民币支票方式支付，合同设备（货物）到采购人指定地点交付并完成安装，验收合格后，中标单位凭：</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1、合同；</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2、验收合格报告（加盖采购人公章）；</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3、中标单位开具的正式发票复印件，加盖采购人公章。</w:t>
      </w:r>
    </w:p>
    <w:bookmarkEnd w:id="96"/>
    <w:bookmarkEnd w:id="97"/>
    <w:bookmarkEnd w:id="98"/>
    <w:bookmarkEnd w:id="99"/>
    <w:bookmarkEnd w:id="100"/>
    <w:bookmarkEnd w:id="101"/>
    <w:bookmarkEnd w:id="102"/>
    <w:p>
      <w:pPr>
        <w:pStyle w:val="2"/>
        <w:numPr>
          <w:ilvl w:val="2"/>
          <w:numId w:val="0"/>
        </w:numPr>
        <w:spacing w:line="360" w:lineRule="auto"/>
        <w:ind w:left="288" w:leftChars="0"/>
        <w:rPr>
          <w:rFonts w:hint="eastAsia" w:ascii="宋体" w:hAnsi="宋体" w:eastAsia="宋体" w:cs="宋体"/>
        </w:rPr>
      </w:pPr>
      <w:bookmarkStart w:id="110" w:name="_Toc10318"/>
      <w:bookmarkStart w:id="111" w:name="_Toc4895"/>
      <w:r>
        <w:rPr>
          <w:rFonts w:hint="eastAsia" w:ascii="宋体" w:hAnsi="宋体" w:eastAsia="宋体" w:cs="宋体"/>
          <w:sz w:val="28"/>
        </w:rPr>
        <w:t>9、技术服务</w:t>
      </w:r>
      <w:bookmarkEnd w:id="110"/>
      <w:bookmarkEnd w:id="111"/>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9.1 乙方应派员到甲方指定地点配合工作。</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9.2 乙方按甲方提供的合同执行进度计划，再配合甲方及有关单位，以此做好合同执行进度上的配合工作。</w:t>
      </w:r>
    </w:p>
    <w:p>
      <w:pPr>
        <w:pStyle w:val="2"/>
        <w:numPr>
          <w:ilvl w:val="2"/>
          <w:numId w:val="0"/>
        </w:numPr>
        <w:spacing w:line="360" w:lineRule="auto"/>
        <w:ind w:left="288" w:leftChars="0"/>
        <w:rPr>
          <w:rFonts w:hint="eastAsia" w:ascii="宋体" w:hAnsi="宋体" w:eastAsia="宋体" w:cs="宋体"/>
        </w:rPr>
      </w:pPr>
      <w:bookmarkStart w:id="112" w:name="_Toc130695612"/>
      <w:bookmarkStart w:id="113" w:name="_Toc191353038"/>
      <w:bookmarkStart w:id="114" w:name="_Toc31457"/>
      <w:bookmarkStart w:id="115" w:name="_Toc279046890"/>
      <w:bookmarkStart w:id="116" w:name="_Toc185747601"/>
      <w:bookmarkStart w:id="117" w:name="_Toc7453"/>
      <w:bookmarkStart w:id="118" w:name="_Toc153615310"/>
      <w:bookmarkStart w:id="119" w:name="_Toc130697204"/>
      <w:bookmarkStart w:id="120" w:name="_Toc278958183"/>
      <w:r>
        <w:rPr>
          <w:rFonts w:hint="eastAsia" w:ascii="宋体" w:hAnsi="宋体" w:eastAsia="宋体" w:cs="宋体"/>
          <w:sz w:val="28"/>
        </w:rPr>
        <w:t>10、不可抗力</w:t>
      </w:r>
      <w:bookmarkEnd w:id="112"/>
      <w:bookmarkEnd w:id="113"/>
      <w:bookmarkEnd w:id="114"/>
      <w:bookmarkEnd w:id="115"/>
      <w:bookmarkEnd w:id="116"/>
      <w:bookmarkEnd w:id="117"/>
      <w:bookmarkEnd w:id="118"/>
      <w:bookmarkEnd w:id="119"/>
      <w:bookmarkEnd w:id="120"/>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10.1 不可抗力指战争、严重火灾、洪水、台风、地震等或其它双方认定的不可抗力事件。</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10.2 签约双方中任何一方由于不可抗力影响合同执行时，发生不可抗力一方应尽快将事故通知另一方。在此情况下，乙方仍然有责任采取必要的措施加速供货，双方应通过友好协商尽快解决本合同的执行问题。</w:t>
      </w:r>
    </w:p>
    <w:p>
      <w:pPr>
        <w:pStyle w:val="2"/>
        <w:numPr>
          <w:ilvl w:val="2"/>
          <w:numId w:val="0"/>
        </w:numPr>
        <w:spacing w:line="360" w:lineRule="auto"/>
        <w:ind w:left="288" w:leftChars="0"/>
        <w:rPr>
          <w:rFonts w:hint="eastAsia" w:ascii="宋体" w:hAnsi="宋体" w:eastAsia="宋体" w:cs="宋体"/>
        </w:rPr>
      </w:pPr>
      <w:bookmarkStart w:id="121" w:name="_Toc153615311"/>
      <w:bookmarkStart w:id="122" w:name="_Toc279046891"/>
      <w:bookmarkStart w:id="123" w:name="_Toc130697205"/>
      <w:bookmarkStart w:id="124" w:name="_Toc185747602"/>
      <w:bookmarkStart w:id="125" w:name="_Toc191353039"/>
      <w:bookmarkStart w:id="126" w:name="_Toc278958184"/>
      <w:bookmarkStart w:id="127" w:name="_Toc130695613"/>
      <w:bookmarkStart w:id="128" w:name="_Toc24092"/>
      <w:bookmarkStart w:id="129" w:name="_Toc9248"/>
      <w:r>
        <w:rPr>
          <w:rFonts w:hint="eastAsia" w:ascii="宋体" w:hAnsi="宋体" w:eastAsia="宋体" w:cs="宋体"/>
          <w:sz w:val="28"/>
        </w:rPr>
        <w:t>11、索赔</w:t>
      </w:r>
      <w:bookmarkEnd w:id="121"/>
      <w:bookmarkEnd w:id="122"/>
      <w:bookmarkEnd w:id="123"/>
      <w:bookmarkEnd w:id="124"/>
      <w:bookmarkEnd w:id="125"/>
      <w:bookmarkEnd w:id="126"/>
      <w:bookmarkEnd w:id="127"/>
      <w:bookmarkEnd w:id="128"/>
      <w:bookmarkEnd w:id="129"/>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11.1 如有异议，甲方有权根据有关政府部门的检验结果向乙方提出索赔。</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11.2 在合同执行期间，如果乙方对甲方提出的索赔和差异负有责任，乙方应按照甲方同意的下列一种或多种方式解决索赔事宜：</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（1）乙方同意退货，并按合同规定的同种货币将货款退还给甲方，并承担由此发生的一切损失和费用。</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（2）根据货物低劣程度、损坏程度以及甲方所遭受损失的数额甲乙双方商定降低货物的价格。</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（3）用符合规格、质量和性能要求的新零件、部件或货物来更换有缺陷的部分或修补缺陷的部分，乙方应承担一切费用和风险并负有甲方所发生的一切直接费用。同时，相应延长质量保证期。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11.3 如果在甲方发出索赔通知后30天内，乙方未作答复，上述索赔应视为已被乙方接受。甲方将从合同款项中扣回索赔金额。如果这些金额不足以补偿索赔金额，甲方有权向乙方提出不足部分的补偿。</w:t>
      </w:r>
    </w:p>
    <w:p>
      <w:pPr>
        <w:pStyle w:val="2"/>
        <w:numPr>
          <w:ilvl w:val="2"/>
          <w:numId w:val="0"/>
        </w:numPr>
        <w:spacing w:line="360" w:lineRule="auto"/>
        <w:ind w:left="288" w:leftChars="0"/>
        <w:rPr>
          <w:rFonts w:hint="eastAsia" w:ascii="宋体" w:hAnsi="宋体" w:eastAsia="宋体" w:cs="宋体"/>
        </w:rPr>
      </w:pPr>
      <w:bookmarkStart w:id="130" w:name="_Toc130697206"/>
      <w:bookmarkStart w:id="131" w:name="_Toc2774"/>
      <w:bookmarkStart w:id="132" w:name="_Toc279046892"/>
      <w:bookmarkStart w:id="133" w:name="_Toc24897"/>
      <w:bookmarkStart w:id="134" w:name="_Toc185747603"/>
      <w:bookmarkStart w:id="135" w:name="_Toc153615312"/>
      <w:bookmarkStart w:id="136" w:name="_Toc130695614"/>
      <w:bookmarkStart w:id="137" w:name="_Toc191353040"/>
      <w:bookmarkStart w:id="138" w:name="_Toc278958185"/>
      <w:r>
        <w:rPr>
          <w:rFonts w:hint="eastAsia" w:ascii="宋体" w:hAnsi="宋体" w:eastAsia="宋体" w:cs="宋体"/>
          <w:sz w:val="28"/>
        </w:rPr>
        <w:t>12、违约与处罚</w:t>
      </w:r>
      <w:bookmarkEnd w:id="130"/>
      <w:bookmarkEnd w:id="131"/>
      <w:bookmarkEnd w:id="132"/>
      <w:bookmarkEnd w:id="133"/>
      <w:bookmarkEnd w:id="134"/>
      <w:bookmarkEnd w:id="135"/>
      <w:bookmarkEnd w:id="136"/>
      <w:bookmarkEnd w:id="137"/>
      <w:bookmarkEnd w:id="138"/>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12.1 甲方应依合同规定时间内向当地财政部门申请办理政府集中支付手续，每拖延一天乙方可向甲方加收合同金额的3‰的违约金。</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12.2 乙方未能按时交货，每拖延一天，须向甲方支付合同金额的3‰的违约金。</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12.3 乙方交付的货物不符合合同规定的，甲方有权拒收，乙方向甲方支付合同金额的5%的违约金。</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12.4 甲方无正当理由拒收货物的，甲方向乙方支付合同金额的5%的违约金。</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12.5 乙方未能交付货物，则向甲方支付合同金额的7.5%的违约金。</w:t>
      </w:r>
    </w:p>
    <w:p>
      <w:pPr>
        <w:pStyle w:val="2"/>
        <w:numPr>
          <w:ilvl w:val="2"/>
          <w:numId w:val="0"/>
        </w:numPr>
        <w:spacing w:line="360" w:lineRule="auto"/>
        <w:ind w:left="288" w:leftChars="0"/>
        <w:rPr>
          <w:rFonts w:hint="eastAsia" w:ascii="宋体" w:hAnsi="宋体" w:eastAsia="宋体" w:cs="宋体"/>
        </w:rPr>
      </w:pPr>
      <w:bookmarkStart w:id="139" w:name="_Toc185747604"/>
      <w:bookmarkStart w:id="140" w:name="_Toc130695615"/>
      <w:bookmarkStart w:id="141" w:name="_Toc191353041"/>
      <w:bookmarkStart w:id="142" w:name="_Toc279046893"/>
      <w:bookmarkStart w:id="143" w:name="_Toc130697207"/>
      <w:bookmarkStart w:id="144" w:name="_Toc22596"/>
      <w:bookmarkStart w:id="145" w:name="_Toc153615313"/>
      <w:bookmarkStart w:id="146" w:name="_Toc278958186"/>
      <w:bookmarkStart w:id="147" w:name="_Toc25446"/>
      <w:r>
        <w:rPr>
          <w:rFonts w:hint="eastAsia" w:ascii="宋体" w:hAnsi="宋体" w:eastAsia="宋体" w:cs="宋体"/>
          <w:sz w:val="28"/>
        </w:rPr>
        <w:t>13、合同终止</w:t>
      </w:r>
      <w:bookmarkEnd w:id="139"/>
      <w:bookmarkEnd w:id="140"/>
      <w:bookmarkEnd w:id="141"/>
      <w:bookmarkEnd w:id="142"/>
      <w:bookmarkEnd w:id="143"/>
      <w:bookmarkEnd w:id="144"/>
      <w:bookmarkEnd w:id="145"/>
      <w:bookmarkEnd w:id="146"/>
      <w:bookmarkEnd w:id="147"/>
    </w:p>
    <w:p>
      <w:pPr>
        <w:spacing w:line="360" w:lineRule="auto"/>
        <w:rPr>
          <w:rFonts w:hint="eastAsia" w:ascii="宋体" w:hAnsi="宋体" w:eastAsia="宋体" w:cs="宋体"/>
          <w:sz w:val="24"/>
          <w:lang w:val="en-US" w:eastAsia="zh-CN"/>
        </w:rPr>
      </w:pPr>
      <w:r>
        <w:rPr>
          <w:rFonts w:hint="eastAsia" w:ascii="宋体" w:hAnsi="宋体" w:eastAsia="宋体" w:cs="宋体"/>
          <w:sz w:val="24"/>
        </w:rPr>
        <w:tab/>
      </w:r>
      <w:r>
        <w:rPr>
          <w:rFonts w:hint="eastAsia" w:ascii="宋体" w:hAnsi="宋体" w:eastAsia="宋体" w:cs="宋体"/>
          <w:sz w:val="24"/>
          <w:lang w:val="en-US" w:eastAsia="zh-CN"/>
        </w:rPr>
        <w:t>如果一方严重违反合同，并在收到对方违约通知书后在30天内仍未能改正违约的，另一方可立即终止本合同。</w:t>
      </w:r>
    </w:p>
    <w:p>
      <w:pPr>
        <w:pStyle w:val="2"/>
        <w:numPr>
          <w:ilvl w:val="2"/>
          <w:numId w:val="0"/>
        </w:numPr>
        <w:spacing w:line="360" w:lineRule="auto"/>
        <w:ind w:left="288" w:leftChars="0"/>
        <w:rPr>
          <w:rFonts w:hint="eastAsia" w:ascii="宋体" w:hAnsi="宋体" w:eastAsia="宋体" w:cs="宋体"/>
        </w:rPr>
      </w:pPr>
      <w:bookmarkStart w:id="148" w:name="_Toc185747605"/>
      <w:bookmarkStart w:id="149" w:name="_Toc279046894"/>
      <w:bookmarkStart w:id="150" w:name="_Toc29647"/>
      <w:bookmarkStart w:id="151" w:name="_Toc153615314"/>
      <w:bookmarkStart w:id="152" w:name="_Toc130695616"/>
      <w:bookmarkStart w:id="153" w:name="_Toc278958187"/>
      <w:bookmarkStart w:id="154" w:name="_Toc191353042"/>
      <w:bookmarkStart w:id="155" w:name="_Toc130697208"/>
      <w:bookmarkStart w:id="156" w:name="_Toc7446"/>
      <w:r>
        <w:rPr>
          <w:rFonts w:hint="eastAsia" w:ascii="宋体" w:hAnsi="宋体" w:eastAsia="宋体" w:cs="宋体"/>
          <w:sz w:val="28"/>
        </w:rPr>
        <w:t>14、法律诉讼</w:t>
      </w:r>
      <w:bookmarkEnd w:id="148"/>
      <w:bookmarkEnd w:id="149"/>
      <w:bookmarkEnd w:id="150"/>
      <w:bookmarkEnd w:id="151"/>
      <w:bookmarkEnd w:id="152"/>
      <w:bookmarkEnd w:id="153"/>
      <w:bookmarkEnd w:id="154"/>
      <w:bookmarkEnd w:id="155"/>
      <w:bookmarkEnd w:id="156"/>
    </w:p>
    <w:p>
      <w:pPr>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签约双方在履约中发生争执和分歧，双方应通过友好协商解决，若经协商不能达成协议时，则由</w:t>
      </w:r>
      <w:r>
        <w:rPr>
          <w:rFonts w:hint="eastAsia" w:ascii="宋体" w:hAnsi="宋体" w:cs="宋体"/>
          <w:sz w:val="24"/>
          <w:lang w:val="en-US" w:eastAsia="zh-CN"/>
        </w:rPr>
        <w:t>民丰</w:t>
      </w:r>
      <w:r>
        <w:rPr>
          <w:rFonts w:hint="eastAsia" w:ascii="宋体" w:hAnsi="宋体" w:eastAsia="宋体" w:cs="宋体"/>
          <w:sz w:val="24"/>
          <w:lang w:eastAsia="zh-CN"/>
        </w:rPr>
        <w:t>县</w:t>
      </w:r>
      <w:r>
        <w:rPr>
          <w:rFonts w:hint="eastAsia" w:ascii="宋体" w:hAnsi="宋体" w:eastAsia="宋体" w:cs="宋体"/>
          <w:sz w:val="24"/>
        </w:rPr>
        <w:t>仲裁委员会或合同签订所在地人民法院提起诉讼（仲裁或诉讼任选一种）。受理期间，双方应继续执行合同其余部分。</w:t>
      </w:r>
    </w:p>
    <w:p>
      <w:pPr>
        <w:pStyle w:val="2"/>
        <w:numPr>
          <w:ilvl w:val="2"/>
          <w:numId w:val="0"/>
        </w:numPr>
        <w:spacing w:line="360" w:lineRule="auto"/>
        <w:ind w:left="288" w:leftChars="0"/>
        <w:rPr>
          <w:rFonts w:hint="eastAsia" w:ascii="宋体" w:hAnsi="宋体" w:eastAsia="宋体" w:cs="宋体"/>
        </w:rPr>
      </w:pPr>
      <w:bookmarkStart w:id="157" w:name="_Toc153615315"/>
      <w:bookmarkStart w:id="158" w:name="_Toc278958188"/>
      <w:bookmarkStart w:id="159" w:name="_Toc130695617"/>
      <w:bookmarkStart w:id="160" w:name="_Toc130697209"/>
      <w:bookmarkStart w:id="161" w:name="_Toc3962"/>
      <w:bookmarkStart w:id="162" w:name="_Toc191353043"/>
      <w:bookmarkStart w:id="163" w:name="_Toc29625"/>
      <w:bookmarkStart w:id="164" w:name="_Toc279046895"/>
      <w:bookmarkStart w:id="165" w:name="_Toc185747606"/>
      <w:r>
        <w:rPr>
          <w:rFonts w:hint="eastAsia" w:ascii="宋体" w:hAnsi="宋体" w:eastAsia="宋体" w:cs="宋体"/>
          <w:sz w:val="28"/>
        </w:rPr>
        <w:t>15、其它</w:t>
      </w:r>
      <w:bookmarkEnd w:id="157"/>
      <w:bookmarkEnd w:id="158"/>
      <w:bookmarkEnd w:id="159"/>
      <w:bookmarkEnd w:id="160"/>
      <w:bookmarkEnd w:id="161"/>
      <w:bookmarkEnd w:id="162"/>
      <w:bookmarkEnd w:id="163"/>
      <w:bookmarkEnd w:id="164"/>
      <w:bookmarkEnd w:id="165"/>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15.1本合同正本六份，具有同等法律效力，甲乙双方各二份，财政局一份，招标代理机构一份。合同自签字之日起即时生效。</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15.2 本合同未尽事宜，由双方协商处理。</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甲方：                                 乙方：</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签约代表：                             签约代表：</w:t>
      </w:r>
    </w:p>
    <w:p>
      <w:pPr>
        <w:spacing w:line="360" w:lineRule="auto"/>
        <w:rPr>
          <w:rFonts w:hint="eastAsia" w:ascii="宋体" w:hAnsi="宋体" w:eastAsia="宋体" w:cs="宋体"/>
          <w:sz w:val="24"/>
        </w:rPr>
      </w:pPr>
      <w:r>
        <w:rPr>
          <w:rFonts w:hint="eastAsia" w:ascii="宋体" w:hAnsi="宋体" w:eastAsia="宋体" w:cs="宋体"/>
          <w:sz w:val="24"/>
        </w:rPr>
        <w:t>地址：                                 地址：</w:t>
      </w:r>
    </w:p>
    <w:p>
      <w:pPr>
        <w:spacing w:line="360" w:lineRule="auto"/>
        <w:rPr>
          <w:rFonts w:hint="eastAsia" w:ascii="宋体" w:hAnsi="宋体" w:eastAsia="宋体" w:cs="宋体"/>
          <w:sz w:val="24"/>
        </w:rPr>
      </w:pPr>
      <w:r>
        <w:rPr>
          <w:rFonts w:hint="eastAsia" w:ascii="宋体" w:hAnsi="宋体" w:eastAsia="宋体" w:cs="宋体"/>
          <w:sz w:val="24"/>
        </w:rPr>
        <w:t>电话：　　　                           电话：</w:t>
      </w:r>
    </w:p>
    <w:p>
      <w:pPr>
        <w:spacing w:line="360" w:lineRule="auto"/>
        <w:rPr>
          <w:rFonts w:hint="eastAsia" w:ascii="宋体" w:hAnsi="宋体" w:eastAsia="宋体" w:cs="宋体"/>
          <w:sz w:val="24"/>
        </w:rPr>
      </w:pPr>
      <w:r>
        <w:rPr>
          <w:rFonts w:hint="eastAsia" w:ascii="宋体" w:hAnsi="宋体" w:eastAsia="宋体" w:cs="宋体"/>
          <w:sz w:val="24"/>
        </w:rPr>
        <w:t>传真：　　　                           传真：</w:t>
      </w:r>
    </w:p>
    <w:p>
      <w:pPr>
        <w:spacing w:line="360" w:lineRule="auto"/>
        <w:rPr>
          <w:rFonts w:hint="eastAsia" w:ascii="宋体" w:hAnsi="宋体" w:eastAsia="宋体" w:cs="宋体"/>
          <w:sz w:val="24"/>
        </w:rPr>
      </w:pPr>
      <w:r>
        <w:rPr>
          <w:rFonts w:hint="eastAsia" w:ascii="宋体" w:hAnsi="宋体" w:eastAsia="宋体" w:cs="宋体"/>
          <w:sz w:val="24"/>
        </w:rPr>
        <w:t>签约日期：    年  月  日               签约日期：    年  月  日</w:t>
      </w:r>
    </w:p>
    <w:p>
      <w:pPr>
        <w:spacing w:line="360" w:lineRule="auto"/>
        <w:rPr>
          <w:rFonts w:hint="eastAsia" w:ascii="宋体" w:hAnsi="宋体" w:eastAsia="宋体" w:cs="宋体"/>
          <w:sz w:val="24"/>
          <w:lang w:eastAsia="zh-CN"/>
        </w:rPr>
      </w:pPr>
      <w:r>
        <w:rPr>
          <w:rFonts w:hint="eastAsia" w:ascii="宋体" w:hAnsi="宋体" w:eastAsia="宋体" w:cs="宋体"/>
          <w:sz w:val="24"/>
        </w:rPr>
        <w:t>签约地点</w:t>
      </w:r>
      <w:r>
        <w:rPr>
          <w:rFonts w:hint="eastAsia" w:ascii="宋体" w:hAnsi="宋体" w:eastAsia="宋体" w:cs="宋体"/>
          <w:sz w:val="24"/>
          <w:lang w:eastAsia="zh-CN"/>
        </w:rPr>
        <w:t>：</w:t>
      </w:r>
    </w:p>
    <w:p>
      <w:pPr>
        <w:rPr>
          <w:rFonts w:hint="eastAsia" w:ascii="宋体" w:hAnsi="宋体" w:eastAsia="宋体" w:cs="宋体"/>
          <w:sz w:val="24"/>
          <w:lang w:eastAsia="zh-CN"/>
        </w:rPr>
      </w:pPr>
    </w:p>
    <w:p>
      <w:pPr>
        <w:rPr>
          <w:rFonts w:hint="eastAsia" w:ascii="宋体" w:hAnsi="宋体" w:eastAsia="宋体" w:cs="宋体"/>
          <w:sz w:val="24"/>
          <w:szCs w:val="15"/>
          <w:lang w:eastAsia="zh-CN"/>
        </w:rPr>
        <w:sectPr>
          <w:headerReference r:id="rId3" w:type="default"/>
          <w:footerReference r:id="rId4" w:type="default"/>
          <w:pgSz w:w="11906" w:h="16838"/>
          <w:pgMar w:top="1440" w:right="1080" w:bottom="1440" w:left="1080" w:header="737" w:footer="737" w:gutter="0"/>
          <w:pgNumType w:fmt="decimal"/>
          <w:cols w:space="720" w:num="1"/>
          <w:docGrid w:linePitch="312" w:charSpace="0"/>
        </w:sectPr>
      </w:pPr>
      <w:r>
        <w:rPr>
          <w:rFonts w:hint="eastAsia" w:ascii="宋体" w:hAnsi="宋体" w:eastAsia="宋体" w:cs="宋体"/>
          <w:b/>
          <w:sz w:val="24"/>
          <w:szCs w:val="15"/>
        </w:rPr>
        <w:t>注：本合同条款仅供参考，甲乙双方可根据实际情况进行补充。</w:t>
      </w:r>
    </w:p>
    <w:p>
      <w:pPr>
        <w:pStyle w:val="2"/>
        <w:numPr>
          <w:ilvl w:val="2"/>
          <w:numId w:val="0"/>
        </w:numPr>
        <w:spacing w:before="0" w:beforeLines="0" w:after="0" w:afterLines="0" w:line="240" w:lineRule="auto"/>
        <w:jc w:val="center"/>
        <w:outlineLvl w:val="0"/>
        <w:rPr>
          <w:rFonts w:hint="eastAsia" w:ascii="宋体" w:hAnsi="宋体" w:eastAsia="宋体" w:cs="宋体"/>
          <w:sz w:val="52"/>
          <w:szCs w:val="52"/>
        </w:rPr>
      </w:pPr>
      <w:bookmarkStart w:id="166" w:name="_Toc8764"/>
      <w:bookmarkStart w:id="167" w:name="_Toc28193"/>
      <w:r>
        <w:rPr>
          <w:rFonts w:hint="eastAsia" w:ascii="宋体" w:hAnsi="宋体" w:eastAsia="宋体" w:cs="宋体"/>
          <w:b/>
          <w:bCs/>
          <w:sz w:val="44"/>
          <w:szCs w:val="44"/>
          <w:lang w:val="en-US" w:eastAsia="zh-CN" w:bidi="ar-SA"/>
        </w:rPr>
        <w:t>第五章 谈判响应文件格式</w:t>
      </w:r>
      <w:bookmarkEnd w:id="166"/>
      <w:bookmarkEnd w:id="167"/>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jc w:val="center"/>
        <w:outlineLvl w:val="0"/>
        <w:rPr>
          <w:rFonts w:hint="eastAsia" w:ascii="宋体" w:hAnsi="宋体" w:eastAsia="宋体" w:cs="宋体"/>
          <w:color w:val="000000"/>
          <w:sz w:val="32"/>
        </w:rPr>
      </w:pPr>
      <w:r>
        <w:rPr>
          <w:rFonts w:hint="eastAsia" w:ascii="宋体" w:hAnsi="宋体" w:eastAsia="宋体" w:cs="宋体"/>
          <w:color w:val="000000"/>
          <w:sz w:val="32"/>
          <w:u w:val="single"/>
        </w:rPr>
        <w:t xml:space="preserve">                            </w:t>
      </w:r>
      <w:bookmarkStart w:id="168" w:name="_Toc28533"/>
      <w:r>
        <w:rPr>
          <w:rFonts w:hint="eastAsia" w:ascii="宋体" w:hAnsi="宋体" w:eastAsia="宋体" w:cs="宋体"/>
          <w:color w:val="000000"/>
          <w:sz w:val="32"/>
        </w:rPr>
        <w:t>项目</w:t>
      </w:r>
      <w:bookmarkEnd w:id="168"/>
    </w:p>
    <w:p>
      <w:pPr>
        <w:adjustRightInd w:val="0"/>
        <w:snapToGrid w:val="0"/>
        <w:spacing w:line="500" w:lineRule="atLeast"/>
        <w:jc w:val="center"/>
        <w:rPr>
          <w:rFonts w:hint="eastAsia" w:ascii="宋体" w:hAnsi="宋体" w:eastAsia="宋体" w:cs="宋体"/>
          <w:b/>
          <w:bCs/>
          <w:color w:val="000000"/>
          <w:sz w:val="24"/>
        </w:rPr>
      </w:pPr>
    </w:p>
    <w:p>
      <w:pPr>
        <w:adjustRightInd w:val="0"/>
        <w:snapToGrid w:val="0"/>
        <w:spacing w:line="500" w:lineRule="atLeast"/>
        <w:jc w:val="center"/>
        <w:rPr>
          <w:rFonts w:hint="eastAsia" w:ascii="宋体" w:hAnsi="宋体" w:eastAsia="宋体" w:cs="宋体"/>
          <w:b/>
          <w:bCs/>
          <w:color w:val="000000"/>
          <w:sz w:val="84"/>
          <w:szCs w:val="84"/>
        </w:rPr>
      </w:pPr>
      <w:r>
        <w:rPr>
          <w:rFonts w:hint="eastAsia" w:ascii="宋体" w:hAnsi="宋体" w:eastAsia="宋体" w:cs="宋体"/>
          <w:b/>
          <w:bCs/>
          <w:color w:val="000000"/>
          <w:sz w:val="120"/>
        </w:rPr>
        <w:t xml:space="preserve"> </w:t>
      </w:r>
      <w:r>
        <w:rPr>
          <w:rFonts w:hint="eastAsia" w:ascii="宋体" w:hAnsi="宋体" w:eastAsia="宋体" w:cs="宋体"/>
          <w:b/>
          <w:bCs/>
          <w:color w:val="000000"/>
          <w:sz w:val="84"/>
          <w:szCs w:val="84"/>
        </w:rPr>
        <w:t>谈判响应文件</w:t>
      </w:r>
    </w:p>
    <w:p>
      <w:pPr>
        <w:adjustRightInd w:val="0"/>
        <w:snapToGrid w:val="0"/>
        <w:spacing w:line="500" w:lineRule="atLeast"/>
        <w:jc w:val="center"/>
        <w:outlineLvl w:val="0"/>
        <w:rPr>
          <w:rFonts w:hint="eastAsia" w:ascii="宋体" w:hAnsi="宋体" w:eastAsia="宋体" w:cs="宋体"/>
          <w:color w:val="000000"/>
          <w:sz w:val="32"/>
          <w:szCs w:val="32"/>
        </w:rPr>
      </w:pPr>
      <w:bookmarkStart w:id="169" w:name="_Toc30813"/>
      <w:r>
        <w:rPr>
          <w:rFonts w:hint="eastAsia" w:ascii="宋体" w:hAnsi="宋体" w:eastAsia="宋体" w:cs="宋体"/>
          <w:color w:val="000000"/>
          <w:sz w:val="32"/>
          <w:szCs w:val="32"/>
        </w:rPr>
        <w:t>（采购编号：         ）</w:t>
      </w:r>
      <w:bookmarkEnd w:id="169"/>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ind w:firstLine="1243" w:firstLineChars="444"/>
        <w:rPr>
          <w:rFonts w:hint="eastAsia" w:ascii="宋体" w:hAnsi="宋体" w:eastAsia="宋体" w:cs="宋体"/>
          <w:color w:val="000000"/>
        </w:rPr>
      </w:pPr>
    </w:p>
    <w:p>
      <w:pPr>
        <w:adjustRightInd w:val="0"/>
        <w:snapToGrid w:val="0"/>
        <w:spacing w:line="500" w:lineRule="atLeast"/>
        <w:ind w:firstLine="1243" w:firstLineChars="444"/>
        <w:outlineLvl w:val="0"/>
        <w:rPr>
          <w:rFonts w:hint="eastAsia" w:ascii="宋体" w:hAnsi="宋体" w:eastAsia="宋体" w:cs="宋体"/>
          <w:color w:val="000000"/>
          <w:u w:val="single"/>
        </w:rPr>
      </w:pPr>
      <w:bookmarkStart w:id="170" w:name="_Toc19499"/>
      <w:r>
        <w:rPr>
          <w:rFonts w:hint="eastAsia" w:ascii="宋体" w:hAnsi="宋体" w:eastAsia="宋体" w:cs="宋体"/>
          <w:color w:val="000000"/>
        </w:rPr>
        <w:t>谈判响应人：</w:t>
      </w:r>
      <w:r>
        <w:rPr>
          <w:rFonts w:hint="eastAsia" w:ascii="宋体" w:hAnsi="宋体" w:eastAsia="宋体" w:cs="宋体"/>
          <w:color w:val="000000"/>
          <w:u w:val="single"/>
        </w:rPr>
        <w:t xml:space="preserve">          （盖章）</w:t>
      </w:r>
      <w:bookmarkEnd w:id="170"/>
      <w:r>
        <w:rPr>
          <w:rFonts w:hint="eastAsia" w:ascii="宋体" w:hAnsi="宋体" w:eastAsia="宋体" w:cs="宋体"/>
          <w:color w:val="000000"/>
          <w:u w:val="single"/>
        </w:rPr>
        <w:t xml:space="preserve">           </w:t>
      </w:r>
    </w:p>
    <w:p>
      <w:pPr>
        <w:adjustRightInd w:val="0"/>
        <w:snapToGrid w:val="0"/>
        <w:spacing w:line="500" w:lineRule="atLeast"/>
        <w:ind w:firstLine="1223" w:firstLineChars="437"/>
        <w:outlineLvl w:val="0"/>
        <w:rPr>
          <w:rFonts w:hint="eastAsia" w:ascii="宋体" w:hAnsi="宋体" w:eastAsia="宋体" w:cs="宋体"/>
          <w:color w:val="000000"/>
        </w:rPr>
      </w:pPr>
      <w:bookmarkStart w:id="171" w:name="_Toc1441"/>
      <w:r>
        <w:rPr>
          <w:rFonts w:hint="eastAsia" w:ascii="宋体" w:hAnsi="宋体" w:eastAsia="宋体" w:cs="宋体"/>
          <w:color w:val="000000"/>
        </w:rPr>
        <w:t>法定代表人或委托代理人：</w:t>
      </w:r>
      <w:r>
        <w:rPr>
          <w:rFonts w:hint="eastAsia" w:ascii="宋体" w:hAnsi="宋体" w:eastAsia="宋体" w:cs="宋体"/>
          <w:color w:val="000000"/>
          <w:u w:val="single"/>
        </w:rPr>
        <w:t>（</w:t>
      </w:r>
      <w:r>
        <w:rPr>
          <w:rFonts w:hint="eastAsia" w:ascii="宋体" w:hAnsi="宋体" w:eastAsia="宋体" w:cs="宋体"/>
          <w:color w:val="000000"/>
          <w:u w:val="single"/>
          <w:lang w:eastAsia="zh-CN"/>
        </w:rPr>
        <w:t>签字或盖章</w:t>
      </w:r>
      <w:r>
        <w:rPr>
          <w:rFonts w:hint="eastAsia" w:ascii="宋体" w:hAnsi="宋体" w:eastAsia="宋体" w:cs="宋体"/>
          <w:color w:val="000000"/>
          <w:u w:val="single"/>
        </w:rPr>
        <w:t>）</w:t>
      </w:r>
      <w:bookmarkEnd w:id="171"/>
      <w:r>
        <w:rPr>
          <w:rFonts w:hint="eastAsia" w:ascii="宋体" w:hAnsi="宋体" w:eastAsia="宋体" w:cs="宋体"/>
          <w:color w:val="000000"/>
          <w:u w:val="single"/>
        </w:rPr>
        <w:t xml:space="preserve">   </w:t>
      </w:r>
    </w:p>
    <w:p>
      <w:pPr>
        <w:adjustRightInd w:val="0"/>
        <w:snapToGrid w:val="0"/>
        <w:spacing w:line="500" w:lineRule="atLeast"/>
        <w:ind w:firstLine="1243" w:firstLineChars="444"/>
        <w:outlineLvl w:val="0"/>
        <w:rPr>
          <w:rFonts w:hint="eastAsia" w:ascii="宋体" w:hAnsi="宋体" w:eastAsia="宋体" w:cs="宋体"/>
          <w:color w:val="000000"/>
        </w:rPr>
      </w:pPr>
      <w:bookmarkStart w:id="172" w:name="_Toc31055"/>
      <w:r>
        <w:rPr>
          <w:rFonts w:hint="eastAsia" w:ascii="宋体" w:hAnsi="宋体" w:eastAsia="宋体" w:cs="宋体"/>
          <w:color w:val="000000"/>
        </w:rPr>
        <w:t>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bookmarkEnd w:id="172"/>
    </w:p>
    <w:p>
      <w:pPr>
        <w:adjustRightInd w:val="0"/>
        <w:snapToGrid w:val="0"/>
        <w:spacing w:line="480" w:lineRule="atLeast"/>
        <w:jc w:val="center"/>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480" w:lineRule="atLeast"/>
        <w:jc w:val="both"/>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adjustRightInd w:val="0"/>
        <w:snapToGrid w:val="0"/>
        <w:spacing w:line="480" w:lineRule="atLeast"/>
        <w:jc w:val="center"/>
        <w:outlineLvl w:val="0"/>
        <w:rPr>
          <w:rFonts w:hint="eastAsia" w:ascii="宋体" w:hAnsi="宋体" w:eastAsia="宋体" w:cs="宋体"/>
          <w:b/>
          <w:color w:val="000000"/>
          <w:spacing w:val="40"/>
          <w:sz w:val="44"/>
        </w:rPr>
      </w:pPr>
      <w:r>
        <w:rPr>
          <w:rFonts w:hint="eastAsia" w:ascii="宋体" w:hAnsi="宋体" w:eastAsia="宋体" w:cs="宋体"/>
          <w:b/>
          <w:color w:val="000000"/>
          <w:spacing w:val="40"/>
          <w:sz w:val="44"/>
        </w:rPr>
        <w:br w:type="page"/>
      </w:r>
      <w:bookmarkStart w:id="173" w:name="_Toc16899"/>
      <w:r>
        <w:rPr>
          <w:rFonts w:hint="eastAsia" w:ascii="宋体" w:hAnsi="宋体" w:eastAsia="宋体" w:cs="宋体"/>
          <w:b/>
          <w:color w:val="000000"/>
          <w:spacing w:val="40"/>
          <w:sz w:val="44"/>
        </w:rPr>
        <w:t>谈判响应文件目录</w:t>
      </w:r>
      <w:bookmarkEnd w:id="173"/>
    </w:p>
    <w:p>
      <w:pPr>
        <w:adjustRightInd w:val="0"/>
        <w:snapToGrid w:val="0"/>
        <w:spacing w:line="480" w:lineRule="auto"/>
        <w:rPr>
          <w:rFonts w:hint="eastAsia" w:ascii="宋体" w:hAnsi="宋体" w:eastAsia="宋体" w:cs="宋体"/>
          <w:color w:val="000000"/>
          <w:sz w:val="24"/>
        </w:rPr>
      </w:pPr>
    </w:p>
    <w:p>
      <w:pPr>
        <w:adjustRightInd w:val="0"/>
        <w:snapToGrid w:val="0"/>
        <w:spacing w:line="480" w:lineRule="auto"/>
        <w:rPr>
          <w:rFonts w:hint="eastAsia" w:ascii="宋体" w:hAnsi="宋体" w:eastAsia="宋体" w:cs="宋体"/>
          <w:color w:val="000000"/>
          <w:sz w:val="24"/>
        </w:rPr>
      </w:pPr>
      <w:r>
        <w:rPr>
          <w:rFonts w:hint="eastAsia" w:ascii="宋体" w:hAnsi="宋体" w:eastAsia="宋体" w:cs="宋体"/>
          <w:color w:val="000000"/>
          <w:sz w:val="24"/>
        </w:rPr>
        <w:t>一、法定代表人身份证明书</w:t>
      </w:r>
    </w:p>
    <w:p>
      <w:pPr>
        <w:adjustRightInd w:val="0"/>
        <w:snapToGrid w:val="0"/>
        <w:spacing w:line="480" w:lineRule="auto"/>
        <w:rPr>
          <w:rFonts w:hint="eastAsia" w:ascii="宋体" w:hAnsi="宋体" w:eastAsia="宋体" w:cs="宋体"/>
          <w:color w:val="000000"/>
          <w:sz w:val="24"/>
        </w:rPr>
      </w:pPr>
      <w:r>
        <w:rPr>
          <w:rFonts w:hint="eastAsia" w:ascii="宋体" w:hAnsi="宋体" w:eastAsia="宋体" w:cs="宋体"/>
          <w:color w:val="000000"/>
          <w:sz w:val="24"/>
        </w:rPr>
        <w:t>二、谈判响应文件签署授权委托书</w:t>
      </w:r>
    </w:p>
    <w:p>
      <w:pPr>
        <w:adjustRightInd w:val="0"/>
        <w:snapToGrid w:val="0"/>
        <w:spacing w:line="480" w:lineRule="auto"/>
        <w:rPr>
          <w:rFonts w:hint="eastAsia" w:ascii="宋体" w:hAnsi="宋体" w:eastAsia="宋体" w:cs="宋体"/>
          <w:color w:val="000000"/>
          <w:sz w:val="24"/>
        </w:rPr>
      </w:pPr>
      <w:r>
        <w:rPr>
          <w:rFonts w:hint="eastAsia" w:ascii="宋体" w:hAnsi="宋体" w:eastAsia="宋体" w:cs="宋体"/>
          <w:color w:val="000000"/>
          <w:sz w:val="24"/>
        </w:rPr>
        <w:t>三、谈判函及谈判函附表</w:t>
      </w:r>
    </w:p>
    <w:p>
      <w:pPr>
        <w:adjustRightInd w:val="0"/>
        <w:snapToGrid w:val="0"/>
        <w:spacing w:line="480" w:lineRule="auto"/>
        <w:rPr>
          <w:rFonts w:hint="eastAsia" w:ascii="宋体" w:hAnsi="宋体" w:eastAsia="宋体" w:cs="宋体"/>
          <w:color w:val="000000"/>
          <w:sz w:val="24"/>
        </w:rPr>
      </w:pPr>
      <w:r>
        <w:rPr>
          <w:rFonts w:hint="eastAsia" w:ascii="宋体" w:hAnsi="宋体" w:eastAsia="宋体" w:cs="宋体"/>
          <w:color w:val="000000"/>
          <w:sz w:val="24"/>
        </w:rPr>
        <w:t>四、技术参数、功能偏离表</w:t>
      </w:r>
    </w:p>
    <w:p>
      <w:pPr>
        <w:adjustRightInd w:val="0"/>
        <w:snapToGrid w:val="0"/>
        <w:spacing w:line="48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五、商务条款偏离表</w:t>
      </w:r>
    </w:p>
    <w:p>
      <w:pPr>
        <w:adjustRightInd w:val="0"/>
        <w:snapToGrid w:val="0"/>
        <w:spacing w:line="48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六、投标人基本情况表</w:t>
      </w:r>
    </w:p>
    <w:p>
      <w:pPr>
        <w:adjustRightInd w:val="0"/>
        <w:snapToGrid w:val="0"/>
        <w:spacing w:line="48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七、交纳投标保证金</w:t>
      </w:r>
    </w:p>
    <w:p>
      <w:pPr>
        <w:adjustRightInd w:val="0"/>
        <w:snapToGrid w:val="0"/>
        <w:spacing w:line="48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八、实施方案</w:t>
      </w:r>
    </w:p>
    <w:p>
      <w:pPr>
        <w:adjustRightInd w:val="0"/>
        <w:snapToGrid w:val="0"/>
        <w:spacing w:line="480" w:lineRule="auto"/>
        <w:rPr>
          <w:rFonts w:hint="default" w:ascii="宋体" w:hAnsi="宋体" w:eastAsia="宋体" w:cs="宋体"/>
          <w:color w:val="000000"/>
          <w:sz w:val="24"/>
          <w:lang w:val="en-US" w:eastAsia="zh-CN"/>
        </w:rPr>
      </w:pPr>
      <w:r>
        <w:rPr>
          <w:rFonts w:hint="eastAsia" w:ascii="宋体" w:hAnsi="宋体" w:eastAsia="宋体" w:cs="宋体"/>
          <w:color w:val="000000"/>
          <w:sz w:val="24"/>
          <w:lang w:eastAsia="zh-CN"/>
        </w:rPr>
        <w:t>九、</w:t>
      </w:r>
      <w:r>
        <w:rPr>
          <w:rFonts w:hint="eastAsia" w:ascii="宋体" w:hAnsi="宋体" w:cs="宋体"/>
          <w:color w:val="000000"/>
          <w:sz w:val="24"/>
          <w:lang w:val="en-US" w:eastAsia="zh-CN"/>
        </w:rPr>
        <w:t>售后服务承诺书</w:t>
      </w:r>
    </w:p>
    <w:p>
      <w:pPr>
        <w:adjustRightInd w:val="0"/>
        <w:snapToGrid w:val="0"/>
        <w:spacing w:line="480" w:lineRule="auto"/>
        <w:rPr>
          <w:rFonts w:hint="eastAsia" w:ascii="宋体" w:hAnsi="宋体" w:eastAsia="宋体" w:cs="宋体"/>
          <w:color w:val="000000"/>
          <w:sz w:val="24"/>
        </w:rPr>
      </w:pPr>
      <w:r>
        <w:rPr>
          <w:rFonts w:hint="eastAsia" w:ascii="宋体" w:hAnsi="宋体" w:cs="宋体"/>
          <w:color w:val="000000"/>
          <w:sz w:val="24"/>
          <w:lang w:val="en-US" w:eastAsia="zh-CN"/>
        </w:rPr>
        <w:t>十、</w:t>
      </w:r>
      <w:r>
        <w:rPr>
          <w:rFonts w:hint="eastAsia" w:ascii="宋体" w:hAnsi="宋体" w:eastAsia="宋体" w:cs="宋体"/>
          <w:color w:val="000000"/>
          <w:sz w:val="24"/>
          <w:lang w:eastAsia="zh-CN"/>
        </w:rPr>
        <w:t>反商业贿赂承诺书</w:t>
      </w:r>
    </w:p>
    <w:p>
      <w:pPr>
        <w:adjustRightInd w:val="0"/>
        <w:snapToGrid w:val="0"/>
        <w:spacing w:line="480" w:lineRule="auto"/>
        <w:rPr>
          <w:rFonts w:hint="eastAsia" w:ascii="宋体" w:hAnsi="宋体" w:eastAsia="宋体" w:cs="宋体"/>
          <w:color w:val="000000"/>
          <w:sz w:val="24"/>
        </w:rPr>
      </w:pPr>
      <w:r>
        <w:rPr>
          <w:rFonts w:hint="eastAsia" w:ascii="宋体" w:hAnsi="宋体" w:eastAsia="宋体" w:cs="宋体"/>
          <w:color w:val="000000"/>
          <w:sz w:val="24"/>
        </w:rPr>
        <w:t>十</w:t>
      </w:r>
      <w:r>
        <w:rPr>
          <w:rFonts w:hint="eastAsia" w:ascii="宋体" w:hAnsi="宋体" w:cs="宋体"/>
          <w:color w:val="000000"/>
          <w:sz w:val="24"/>
          <w:lang w:val="en-US" w:eastAsia="zh-CN"/>
        </w:rPr>
        <w:t>一</w:t>
      </w:r>
      <w:r>
        <w:rPr>
          <w:rFonts w:hint="eastAsia" w:ascii="宋体" w:hAnsi="宋体" w:eastAsia="宋体" w:cs="宋体"/>
          <w:color w:val="000000"/>
          <w:sz w:val="24"/>
        </w:rPr>
        <w:t>、投标人认为应附的其他资料（格式自拟）</w:t>
      </w: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15"/>
        <w:rPr>
          <w:rFonts w:hint="eastAsia" w:ascii="宋体" w:hAnsi="宋体" w:eastAsia="宋体" w:cs="宋体"/>
        </w:rPr>
      </w:pPr>
    </w:p>
    <w:p>
      <w:pPr>
        <w:pStyle w:val="6"/>
        <w:rPr>
          <w:rFonts w:hint="eastAsia" w:ascii="宋体" w:hAnsi="宋体" w:eastAsia="宋体" w:cs="宋体"/>
        </w:rPr>
      </w:pPr>
    </w:p>
    <w:p>
      <w:pPr>
        <w:ind w:firstLine="1605" w:firstLineChars="400"/>
        <w:outlineLvl w:val="0"/>
        <w:rPr>
          <w:rFonts w:hint="eastAsia" w:ascii="宋体" w:hAnsi="宋体" w:eastAsia="宋体" w:cs="宋体"/>
          <w:b/>
          <w:sz w:val="32"/>
          <w:szCs w:val="32"/>
        </w:rPr>
      </w:pPr>
      <w:bookmarkStart w:id="174" w:name="_Toc12505"/>
      <w:r>
        <w:rPr>
          <w:rFonts w:hint="eastAsia" w:ascii="宋体" w:hAnsi="宋体" w:eastAsia="宋体" w:cs="宋体"/>
          <w:b/>
          <w:color w:val="000000"/>
          <w:spacing w:val="40"/>
          <w:sz w:val="32"/>
          <w:szCs w:val="32"/>
        </w:rPr>
        <w:t>一、</w:t>
      </w:r>
      <w:r>
        <w:rPr>
          <w:rFonts w:hint="eastAsia" w:ascii="宋体" w:hAnsi="宋体" w:eastAsia="宋体" w:cs="宋体"/>
          <w:b/>
          <w:sz w:val="32"/>
          <w:szCs w:val="32"/>
        </w:rPr>
        <w:t>法定代表人身份证明及授权委托书</w:t>
      </w:r>
      <w:bookmarkEnd w:id="174"/>
    </w:p>
    <w:p>
      <w:pPr>
        <w:ind w:firstLine="720" w:firstLineChars="300"/>
        <w:rPr>
          <w:rFonts w:hint="eastAsia" w:ascii="宋体" w:hAnsi="宋体" w:eastAsia="宋体" w:cs="宋体"/>
          <w:sz w:val="24"/>
        </w:rPr>
      </w:pPr>
    </w:p>
    <w:p>
      <w:pPr>
        <w:ind w:firstLine="720" w:firstLineChars="300"/>
        <w:rPr>
          <w:rFonts w:hint="eastAsia" w:ascii="宋体" w:hAnsi="宋体" w:eastAsia="宋体" w:cs="宋体"/>
          <w:sz w:val="24"/>
        </w:rPr>
      </w:pPr>
    </w:p>
    <w:p>
      <w:pPr>
        <w:ind w:firstLine="720" w:firstLineChars="300"/>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480"/>
        <w:rPr>
          <w:rFonts w:hint="eastAsia" w:ascii="宋体" w:hAnsi="宋体" w:eastAsia="宋体" w:cs="宋体"/>
          <w:sz w:val="24"/>
        </w:rPr>
      </w:pPr>
    </w:p>
    <w:p>
      <w:pPr>
        <w:ind w:firstLine="720" w:firstLineChars="300"/>
        <w:rPr>
          <w:rFonts w:hint="eastAsia"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760"/>
        </w:tabs>
        <w:ind w:firstLine="480"/>
        <w:rPr>
          <w:rFonts w:hint="eastAsia" w:ascii="宋体" w:hAnsi="宋体" w:eastAsia="宋体" w:cs="宋体"/>
          <w:sz w:val="24"/>
        </w:rPr>
      </w:pPr>
    </w:p>
    <w:p>
      <w:pPr>
        <w:tabs>
          <w:tab w:val="left" w:pos="760"/>
        </w:tabs>
        <w:ind w:firstLine="720" w:firstLineChars="3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2280"/>
          <w:tab w:val="left" w:pos="3195"/>
          <w:tab w:val="left" w:pos="4245"/>
        </w:tabs>
        <w:ind w:firstLine="480"/>
        <w:rPr>
          <w:rFonts w:hint="eastAsia" w:ascii="宋体" w:hAnsi="宋体" w:eastAsia="宋体" w:cs="宋体"/>
          <w:sz w:val="24"/>
        </w:rPr>
      </w:pPr>
    </w:p>
    <w:p>
      <w:pPr>
        <w:tabs>
          <w:tab w:val="left" w:pos="2520"/>
          <w:tab w:val="left" w:pos="3435"/>
          <w:tab w:val="left" w:pos="4485"/>
        </w:tabs>
        <w:ind w:firstLine="720" w:firstLineChars="300"/>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rPr>
        <w:tab/>
      </w:r>
      <w:r>
        <w:rPr>
          <w:rFonts w:hint="eastAsia" w:ascii="宋体" w:hAnsi="宋体" w:eastAsia="宋体" w:cs="宋体"/>
          <w:sz w:val="24"/>
        </w:rPr>
        <w:t>月</w:t>
      </w:r>
      <w:r>
        <w:rPr>
          <w:rFonts w:hint="eastAsia" w:ascii="宋体" w:hAnsi="宋体" w:eastAsia="宋体" w:cs="宋体"/>
          <w:sz w:val="24"/>
          <w:u w:val="single"/>
        </w:rPr>
        <w:tab/>
      </w:r>
      <w:r>
        <w:rPr>
          <w:rFonts w:hint="eastAsia" w:ascii="宋体" w:hAnsi="宋体" w:eastAsia="宋体" w:cs="宋体"/>
          <w:sz w:val="24"/>
        </w:rPr>
        <w:t>日</w:t>
      </w:r>
    </w:p>
    <w:p>
      <w:pPr>
        <w:ind w:firstLine="480"/>
        <w:rPr>
          <w:rFonts w:hint="eastAsia" w:ascii="宋体" w:hAnsi="宋体" w:eastAsia="宋体" w:cs="宋体"/>
          <w:sz w:val="24"/>
        </w:rPr>
      </w:pPr>
    </w:p>
    <w:p>
      <w:pPr>
        <w:ind w:firstLine="720" w:firstLineChars="300"/>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20" w:firstLineChars="300"/>
        <w:rPr>
          <w:rFonts w:hint="eastAsia" w:ascii="宋体" w:hAnsi="宋体" w:eastAsia="宋体" w:cs="宋体"/>
          <w:sz w:val="24"/>
        </w:rPr>
      </w:pPr>
    </w:p>
    <w:p>
      <w:pPr>
        <w:ind w:firstLine="720" w:firstLineChars="30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11" w:firstLineChars="300"/>
        <w:rPr>
          <w:rFonts w:hint="eastAsia" w:ascii="宋体" w:hAnsi="宋体" w:eastAsia="宋体" w:cs="宋体"/>
          <w:w w:val="99"/>
          <w:sz w:val="24"/>
        </w:rPr>
      </w:pPr>
    </w:p>
    <w:p>
      <w:pPr>
        <w:ind w:firstLine="720" w:firstLineChars="300"/>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w w:val="99"/>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名称）的法定代表人。</w:t>
      </w:r>
    </w:p>
    <w:p>
      <w:pPr>
        <w:spacing w:line="240" w:lineRule="exact"/>
        <w:rPr>
          <w:rFonts w:hint="eastAsia" w:ascii="宋体" w:hAnsi="宋体" w:eastAsia="宋体" w:cs="宋体"/>
          <w:sz w:val="24"/>
          <w:u w:val="single"/>
        </w:rPr>
      </w:pPr>
    </w:p>
    <w:p>
      <w:pPr>
        <w:spacing w:line="240" w:lineRule="exact"/>
        <w:rPr>
          <w:rFonts w:hint="eastAsia" w:ascii="宋体" w:hAnsi="宋体" w:eastAsia="宋体" w:cs="宋体"/>
          <w:sz w:val="24"/>
          <w:u w:val="single"/>
        </w:rPr>
      </w:pPr>
    </w:p>
    <w:p>
      <w:pPr>
        <w:spacing w:line="240" w:lineRule="exact"/>
        <w:rPr>
          <w:rFonts w:hint="eastAsia" w:ascii="宋体" w:hAnsi="宋体" w:eastAsia="宋体" w:cs="宋体"/>
          <w:sz w:val="24"/>
          <w:u w:val="single"/>
        </w:rPr>
      </w:pPr>
    </w:p>
    <w:p>
      <w:pPr>
        <w:ind w:left="520" w:firstLine="480"/>
        <w:rPr>
          <w:rFonts w:hint="eastAsia" w:ascii="宋体" w:hAnsi="宋体" w:eastAsia="宋体" w:cs="宋体"/>
          <w:sz w:val="24"/>
        </w:rPr>
      </w:pPr>
      <w:r>
        <w:rPr>
          <w:rFonts w:hint="eastAsia" w:ascii="宋体" w:hAnsi="宋体" w:eastAsia="宋体" w:cs="宋体"/>
          <w:sz w:val="24"/>
        </w:rPr>
        <w:t>特此证明。</w:t>
      </w:r>
    </w:p>
    <w:p>
      <w:pPr>
        <w:spacing w:line="240" w:lineRule="exact"/>
        <w:rPr>
          <w:rFonts w:hint="eastAsia" w:ascii="宋体" w:hAnsi="宋体" w:eastAsia="宋体" w:cs="宋体"/>
          <w:sz w:val="24"/>
          <w:u w:val="single"/>
        </w:rPr>
      </w:pPr>
    </w:p>
    <w:p>
      <w:pPr>
        <w:spacing w:line="240" w:lineRule="exact"/>
        <w:ind w:firstLine="4560" w:firstLineChars="1900"/>
        <w:rPr>
          <w:rFonts w:hint="eastAsia" w:ascii="宋体" w:hAnsi="宋体" w:eastAsia="宋体" w:cs="宋体"/>
          <w:sz w:val="24"/>
          <w:u w:val="single"/>
        </w:rPr>
      </w:pPr>
    </w:p>
    <w:p>
      <w:pPr>
        <w:spacing w:line="240" w:lineRule="exact"/>
        <w:ind w:firstLine="3600" w:firstLineChars="1500"/>
        <w:jc w:val="left"/>
        <w:rPr>
          <w:rFonts w:hint="eastAsia"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（盖单位公章）</w:t>
      </w:r>
    </w:p>
    <w:p>
      <w:pPr>
        <w:tabs>
          <w:tab w:val="left" w:pos="7575"/>
          <w:tab w:val="left" w:pos="8835"/>
        </w:tabs>
        <w:ind w:firstLine="199" w:firstLineChars="83"/>
        <w:rPr>
          <w:rFonts w:hint="eastAsia" w:ascii="宋体" w:hAnsi="宋体" w:eastAsia="宋体" w:cs="宋体"/>
          <w:sz w:val="24"/>
        </w:rPr>
      </w:pPr>
      <w:r>
        <w:rPr>
          <w:rFonts w:hint="eastAsia" w:ascii="宋体" w:hAnsi="宋体" w:eastAsia="宋体" w:cs="宋体"/>
          <w:sz w:val="24"/>
        </w:rPr>
        <w:t xml:space="preserve">                                             </w:t>
      </w:r>
    </w:p>
    <w:p>
      <w:pPr>
        <w:tabs>
          <w:tab w:val="left" w:pos="7575"/>
          <w:tab w:val="left" w:pos="8835"/>
        </w:tabs>
        <w:ind w:firstLine="4279" w:firstLineChars="1783"/>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月       日</w:t>
      </w: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ind w:right="60" w:firstLine="480"/>
        <w:jc w:val="center"/>
        <w:rPr>
          <w:rFonts w:hint="eastAsia" w:ascii="宋体" w:hAnsi="宋体" w:eastAsia="宋体" w:cs="宋体"/>
          <w:u w:val="single"/>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ind w:firstLine="0"/>
        <w:rPr>
          <w:rFonts w:hint="eastAsia" w:ascii="宋体" w:hAnsi="宋体" w:eastAsia="宋体" w:cs="宋体"/>
        </w:rPr>
      </w:pPr>
    </w:p>
    <w:p>
      <w:pPr>
        <w:adjustRightInd w:val="0"/>
        <w:snapToGrid w:val="0"/>
        <w:spacing w:line="480" w:lineRule="atLeast"/>
        <w:jc w:val="center"/>
        <w:outlineLvl w:val="0"/>
        <w:rPr>
          <w:rFonts w:hint="eastAsia" w:ascii="宋体" w:hAnsi="宋体" w:eastAsia="宋体" w:cs="宋体"/>
          <w:b/>
          <w:color w:val="000000"/>
          <w:spacing w:val="40"/>
          <w:sz w:val="32"/>
          <w:szCs w:val="32"/>
        </w:rPr>
      </w:pPr>
      <w:bookmarkStart w:id="175" w:name="_Toc11505"/>
      <w:r>
        <w:rPr>
          <w:rFonts w:hint="eastAsia" w:ascii="宋体" w:hAnsi="宋体" w:eastAsia="宋体" w:cs="宋体"/>
          <w:b/>
          <w:color w:val="000000"/>
          <w:spacing w:val="40"/>
          <w:sz w:val="32"/>
          <w:szCs w:val="32"/>
        </w:rPr>
        <w:t>二、谈判响应文件签署授权委托书</w:t>
      </w:r>
      <w:bookmarkEnd w:id="175"/>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（投标单位名称）法定代表人授权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为本公司的合法代理人，参加贵方组织的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项目</w:t>
      </w:r>
      <w:r>
        <w:rPr>
          <w:rFonts w:hint="eastAsia" w:ascii="宋体" w:hAnsi="宋体" w:eastAsia="宋体" w:cs="宋体"/>
          <w:bCs/>
          <w:color w:val="000000"/>
          <w:sz w:val="24"/>
          <w:szCs w:val="24"/>
        </w:rPr>
        <w:t>招标文件</w:t>
      </w:r>
      <w:r>
        <w:rPr>
          <w:rFonts w:hint="eastAsia" w:ascii="宋体" w:hAnsi="宋体" w:eastAsia="宋体" w:cs="宋体"/>
          <w:color w:val="000000"/>
          <w:sz w:val="24"/>
          <w:szCs w:val="24"/>
        </w:rPr>
        <w:t>采购招标活动，全权代表我方处理招标活动中的一切事宜和签署一切文件，被授权人无转委托权，特此委托。</w:t>
      </w:r>
    </w:p>
    <w:tbl>
      <w:tblPr>
        <w:tblStyle w:val="20"/>
        <w:tblpPr w:leftFromText="180" w:rightFromText="180" w:vertAnchor="text" w:horzAnchor="page" w:tblpX="1627" w:tblpY="375"/>
        <w:tblOverlap w:val="never"/>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33"/>
        <w:gridCol w:w="4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3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4"/>
                <w:lang w:val="en-US" w:eastAsia="zh-CN"/>
              </w:rPr>
            </w:pPr>
            <w:r>
              <w:rPr>
                <w:rFonts w:hint="eastAsia" w:ascii="宋体" w:hAnsi="宋体" w:eastAsia="宋体" w:cs="宋体"/>
                <w:b/>
                <w:color w:val="000000"/>
                <w:sz w:val="24"/>
              </w:rPr>
              <w:t>授权人身份证复印件</w:t>
            </w:r>
            <w:r>
              <w:rPr>
                <w:rFonts w:hint="eastAsia" w:ascii="宋体" w:hAnsi="宋体" w:eastAsia="宋体" w:cs="宋体"/>
                <w:b/>
                <w:color w:val="000000"/>
                <w:sz w:val="24"/>
                <w:lang w:val="en-US" w:eastAsia="zh-CN"/>
              </w:rPr>
              <w:t>正面</w:t>
            </w:r>
          </w:p>
        </w:tc>
        <w:tc>
          <w:tcPr>
            <w:tcW w:w="465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4"/>
                <w:lang w:val="en-US" w:eastAsia="zh-CN"/>
              </w:rPr>
            </w:pPr>
            <w:r>
              <w:rPr>
                <w:rFonts w:hint="eastAsia" w:ascii="宋体" w:hAnsi="宋体" w:eastAsia="宋体" w:cs="宋体"/>
                <w:b/>
                <w:color w:val="000000"/>
                <w:sz w:val="24"/>
              </w:rPr>
              <w:t>被授权人身份证复印件</w:t>
            </w:r>
            <w:r>
              <w:rPr>
                <w:rFonts w:hint="eastAsia" w:ascii="宋体" w:hAnsi="宋体" w:eastAsia="宋体" w:cs="宋体"/>
                <w:b/>
                <w:color w:val="000000"/>
                <w:sz w:val="24"/>
                <w:lang w:val="en-US" w:eastAsia="zh-CN"/>
              </w:rPr>
              <w:t>正面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3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24"/>
                <w:lang w:val="en-US" w:eastAsia="zh-CN"/>
              </w:rPr>
            </w:pPr>
            <w:r>
              <w:rPr>
                <w:rFonts w:hint="eastAsia" w:ascii="宋体" w:hAnsi="宋体" w:eastAsia="宋体" w:cs="宋体"/>
                <w:b/>
                <w:color w:val="000000"/>
                <w:sz w:val="24"/>
              </w:rPr>
              <w:t>授权人身份证复印件</w:t>
            </w:r>
            <w:r>
              <w:rPr>
                <w:rFonts w:hint="eastAsia" w:ascii="宋体" w:hAnsi="宋体" w:eastAsia="宋体" w:cs="宋体"/>
                <w:b/>
                <w:color w:val="000000"/>
                <w:sz w:val="24"/>
                <w:lang w:val="en-US" w:eastAsia="zh-CN"/>
              </w:rPr>
              <w:t>反面</w:t>
            </w:r>
          </w:p>
        </w:tc>
        <w:tc>
          <w:tcPr>
            <w:tcW w:w="465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24"/>
                <w:lang w:val="en-US" w:eastAsia="zh-CN"/>
              </w:rPr>
            </w:pPr>
            <w:r>
              <w:rPr>
                <w:rFonts w:hint="eastAsia" w:ascii="宋体" w:hAnsi="宋体" w:eastAsia="宋体" w:cs="宋体"/>
                <w:b/>
                <w:color w:val="000000"/>
                <w:sz w:val="24"/>
              </w:rPr>
              <w:t>被授权人身份证复印件</w:t>
            </w:r>
            <w:r>
              <w:rPr>
                <w:rFonts w:hint="eastAsia" w:ascii="宋体" w:hAnsi="宋体" w:eastAsia="宋体" w:cs="宋体"/>
                <w:b/>
                <w:color w:val="000000"/>
                <w:sz w:val="24"/>
                <w:lang w:val="en-US" w:eastAsia="zh-CN"/>
              </w:rPr>
              <w:t>反面</w:t>
            </w:r>
          </w:p>
        </w:tc>
      </w:tr>
    </w:tbl>
    <w:p>
      <w:pPr>
        <w:spacing w:line="360" w:lineRule="auto"/>
        <w:ind w:firstLine="720" w:firstLineChars="300"/>
        <w:rPr>
          <w:rFonts w:hint="eastAsia" w:ascii="宋体" w:hAnsi="宋体" w:eastAsia="宋体" w:cs="宋体"/>
          <w:color w:val="000000"/>
          <w:sz w:val="24"/>
        </w:rPr>
      </w:pPr>
    </w:p>
    <w:p>
      <w:pPr>
        <w:ind w:left="1260"/>
        <w:rPr>
          <w:rFonts w:hint="eastAsia" w:ascii="宋体" w:hAnsi="宋体" w:eastAsia="宋体" w:cs="宋体"/>
          <w:color w:val="000000"/>
          <w:sz w:val="24"/>
        </w:rPr>
      </w:pPr>
    </w:p>
    <w:p>
      <w:pPr>
        <w:pStyle w:val="18"/>
        <w:rPr>
          <w:rFonts w:hint="eastAsia" w:ascii="宋体" w:hAnsi="宋体" w:eastAsia="宋体" w:cs="宋体"/>
        </w:rPr>
      </w:pPr>
    </w:p>
    <w:p>
      <w:pPr>
        <w:spacing w:line="760" w:lineRule="exact"/>
        <w:ind w:left="2699" w:leftChars="964" w:firstLine="1200" w:firstLineChars="500"/>
        <w:rPr>
          <w:rFonts w:hint="eastAsia" w:ascii="宋体" w:hAnsi="宋体" w:eastAsia="宋体" w:cs="宋体"/>
          <w:color w:val="000000"/>
          <w:sz w:val="24"/>
        </w:rPr>
      </w:pPr>
      <w:r>
        <w:rPr>
          <w:rFonts w:hint="eastAsia" w:ascii="宋体" w:hAnsi="宋体" w:eastAsia="宋体" w:cs="宋体"/>
          <w:color w:val="000000"/>
          <w:sz w:val="24"/>
        </w:rPr>
        <w:t>谈判响应人：</w:t>
      </w:r>
      <w:r>
        <w:rPr>
          <w:rFonts w:hint="eastAsia" w:ascii="宋体" w:hAnsi="宋体" w:eastAsia="宋体" w:cs="宋体"/>
          <w:color w:val="000000"/>
          <w:sz w:val="24"/>
          <w:u w:val="single"/>
        </w:rPr>
        <w:t xml:space="preserve">       （盖章）         </w:t>
      </w:r>
    </w:p>
    <w:p>
      <w:pPr>
        <w:spacing w:line="760" w:lineRule="exact"/>
        <w:ind w:left="2699" w:leftChars="964" w:firstLine="1200" w:firstLineChars="500"/>
        <w:rPr>
          <w:rFonts w:hint="eastAsia" w:ascii="宋体" w:hAnsi="宋体" w:eastAsia="宋体" w:cs="宋体"/>
          <w:color w:val="000000"/>
          <w:sz w:val="24"/>
          <w:u w:val="single"/>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eastAsia="zh-CN"/>
        </w:rPr>
        <w:t>签字或盖章</w:t>
      </w:r>
      <w:r>
        <w:rPr>
          <w:rFonts w:hint="eastAsia" w:ascii="宋体" w:hAnsi="宋体" w:eastAsia="宋体" w:cs="宋体"/>
          <w:color w:val="000000"/>
          <w:sz w:val="24"/>
          <w:u w:val="single"/>
        </w:rPr>
        <w:t xml:space="preserve">）      </w:t>
      </w:r>
    </w:p>
    <w:p>
      <w:pPr>
        <w:pStyle w:val="18"/>
        <w:ind w:firstLine="3840" w:firstLineChars="1600"/>
        <w:rPr>
          <w:rFonts w:hint="eastAsia" w:ascii="宋体" w:hAnsi="宋体" w:eastAsia="宋体" w:cs="宋体"/>
          <w:color w:val="000000"/>
          <w:sz w:val="24"/>
        </w:rPr>
      </w:pPr>
    </w:p>
    <w:p>
      <w:pPr>
        <w:pStyle w:val="18"/>
        <w:ind w:firstLine="3840" w:firstLineChars="1600"/>
        <w:rPr>
          <w:rFonts w:hint="eastAsia" w:ascii="宋体" w:hAnsi="宋体" w:eastAsia="宋体" w:cs="宋体"/>
          <w:lang w:val="en-US" w:eastAsia="zh-CN"/>
        </w:rPr>
      </w:pPr>
      <w:r>
        <w:rPr>
          <w:rFonts w:hint="eastAsia" w:ascii="宋体" w:hAnsi="宋体" w:eastAsia="宋体" w:cs="宋体"/>
          <w:color w:val="000000"/>
          <w:sz w:val="24"/>
        </w:rPr>
        <w:t>授权委托</w:t>
      </w:r>
      <w:r>
        <w:rPr>
          <w:rFonts w:hint="eastAsia" w:ascii="宋体" w:hAnsi="宋体" w:eastAsia="宋体" w:cs="宋体"/>
          <w:color w:val="000000"/>
          <w:sz w:val="24"/>
          <w:lang w:val="en-US" w:eastAsia="zh-CN"/>
        </w:rPr>
        <w:t>人：</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eastAsia="zh-CN"/>
        </w:rPr>
        <w:t>签字或盖章</w:t>
      </w:r>
      <w:r>
        <w:rPr>
          <w:rFonts w:hint="eastAsia" w:ascii="宋体" w:hAnsi="宋体" w:eastAsia="宋体" w:cs="宋体"/>
          <w:color w:val="000000"/>
          <w:sz w:val="24"/>
          <w:u w:val="single"/>
        </w:rPr>
        <w:t xml:space="preserve">）      </w:t>
      </w:r>
    </w:p>
    <w:p>
      <w:pPr>
        <w:spacing w:line="760" w:lineRule="exact"/>
        <w:jc w:val="center"/>
        <w:rPr>
          <w:rFonts w:hint="eastAsia" w:ascii="宋体" w:hAnsi="宋体" w:eastAsia="宋体" w:cs="宋体"/>
          <w:color w:val="000000"/>
          <w:sz w:val="24"/>
        </w:rPr>
      </w:pPr>
      <w:r>
        <w:rPr>
          <w:rFonts w:hint="eastAsia" w:ascii="宋体" w:hAnsi="宋体" w:eastAsia="宋体" w:cs="宋体"/>
          <w:color w:val="000000"/>
          <w:sz w:val="24"/>
        </w:rPr>
        <w:t xml:space="preserve">                        授权委托日期：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年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pStyle w:val="2"/>
        <w:numPr>
          <w:ilvl w:val="2"/>
          <w:numId w:val="0"/>
        </w:numPr>
        <w:jc w:val="both"/>
        <w:outlineLvl w:val="9"/>
        <w:rPr>
          <w:rFonts w:hint="eastAsia" w:ascii="宋体" w:hAnsi="宋体" w:eastAsia="宋体" w:cs="宋体"/>
          <w:b w:val="0"/>
          <w:color w:val="000000"/>
          <w:sz w:val="24"/>
          <w:szCs w:val="24"/>
        </w:rPr>
      </w:pPr>
    </w:p>
    <w:p>
      <w:pPr>
        <w:pStyle w:val="6"/>
        <w:rPr>
          <w:rFonts w:hint="eastAsia" w:ascii="宋体" w:hAnsi="宋体" w:eastAsia="宋体" w:cs="宋体"/>
          <w:sz w:val="24"/>
        </w:rPr>
      </w:pPr>
    </w:p>
    <w:p>
      <w:pPr>
        <w:rPr>
          <w:rFonts w:hint="eastAsia" w:ascii="宋体" w:hAnsi="宋体" w:eastAsia="宋体" w:cs="宋体"/>
        </w:rPr>
      </w:pPr>
    </w:p>
    <w:p>
      <w:pPr>
        <w:rPr>
          <w:rFonts w:hint="eastAsia" w:ascii="宋体" w:hAnsi="宋体" w:eastAsia="宋体" w:cs="宋体"/>
          <w:b/>
          <w:color w:val="000000"/>
          <w:spacing w:val="40"/>
          <w:sz w:val="32"/>
          <w:szCs w:val="32"/>
        </w:rPr>
      </w:pPr>
      <w:bookmarkStart w:id="176" w:name="_Toc13454"/>
      <w:r>
        <w:rPr>
          <w:rFonts w:hint="eastAsia" w:ascii="宋体" w:hAnsi="宋体" w:eastAsia="宋体" w:cs="宋体"/>
          <w:b/>
          <w:color w:val="000000"/>
          <w:spacing w:val="40"/>
          <w:sz w:val="32"/>
          <w:szCs w:val="32"/>
        </w:rPr>
        <w:br w:type="page"/>
      </w:r>
    </w:p>
    <w:p>
      <w:pPr>
        <w:adjustRightInd w:val="0"/>
        <w:snapToGrid w:val="0"/>
        <w:spacing w:line="480" w:lineRule="atLeast"/>
        <w:jc w:val="center"/>
        <w:outlineLvl w:val="0"/>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t>三、谈  判  函</w:t>
      </w:r>
      <w:bookmarkEnd w:id="176"/>
    </w:p>
    <w:p>
      <w:pPr>
        <w:widowControl/>
        <w:snapToGrid w:val="0"/>
        <w:spacing w:line="480" w:lineRule="exact"/>
        <w:jc w:val="left"/>
        <w:outlineLvl w:val="0"/>
        <w:rPr>
          <w:rFonts w:hint="eastAsia" w:ascii="宋体" w:hAnsi="宋体" w:eastAsia="宋体" w:cs="宋体"/>
          <w:sz w:val="24"/>
        </w:rPr>
      </w:pPr>
      <w:bookmarkStart w:id="177" w:name="_Toc22444"/>
      <w:bookmarkStart w:id="178" w:name="_Toc26877"/>
      <w:r>
        <w:rPr>
          <w:rFonts w:hint="eastAsia" w:ascii="宋体" w:hAnsi="宋体" w:eastAsia="宋体" w:cs="宋体"/>
          <w:sz w:val="24"/>
        </w:rPr>
        <w:t>致（采购方名称）：</w:t>
      </w:r>
      <w:bookmarkEnd w:id="177"/>
      <w:bookmarkEnd w:id="178"/>
    </w:p>
    <w:p>
      <w:pPr>
        <w:widowControl/>
        <w:snapToGrid w:val="0"/>
        <w:spacing w:line="480" w:lineRule="exact"/>
        <w:ind w:firstLine="480" w:firstLineChars="200"/>
        <w:jc w:val="left"/>
        <w:outlineLvl w:val="0"/>
        <w:rPr>
          <w:rFonts w:hint="eastAsia" w:ascii="宋体" w:hAnsi="宋体" w:eastAsia="宋体" w:cs="宋体"/>
          <w:sz w:val="24"/>
        </w:rPr>
      </w:pPr>
      <w:bookmarkStart w:id="179" w:name="_Toc15257"/>
      <w:bookmarkStart w:id="180" w:name="_Toc27914"/>
      <w:r>
        <w:rPr>
          <w:rFonts w:hint="eastAsia" w:ascii="宋体" w:hAnsi="宋体" w:eastAsia="宋体" w:cs="宋体"/>
          <w:sz w:val="24"/>
        </w:rPr>
        <w:t>根据你方</w:t>
      </w:r>
      <w:r>
        <w:rPr>
          <w:rFonts w:hint="eastAsia" w:ascii="宋体" w:hAnsi="宋体" w:eastAsia="宋体" w:cs="宋体"/>
          <w:sz w:val="24"/>
          <w:u w:val="single"/>
        </w:rPr>
        <w:t xml:space="preserve">              </w:t>
      </w:r>
      <w:r>
        <w:rPr>
          <w:rFonts w:hint="eastAsia" w:ascii="宋体" w:hAnsi="宋体" w:eastAsia="宋体" w:cs="宋体"/>
          <w:sz w:val="24"/>
        </w:rPr>
        <w:t>项目的编号为：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none"/>
        </w:rPr>
        <w:t>谈判</w:t>
      </w:r>
      <w:r>
        <w:rPr>
          <w:rFonts w:hint="eastAsia" w:ascii="宋体" w:hAnsi="宋体" w:eastAsia="宋体" w:cs="宋体"/>
          <w:sz w:val="24"/>
        </w:rPr>
        <w:t>文件，本公司正式授权的下述签字人</w:t>
      </w:r>
      <w:r>
        <w:rPr>
          <w:rFonts w:hint="eastAsia" w:ascii="宋体" w:hAnsi="宋体" w:eastAsia="宋体" w:cs="宋体"/>
          <w:sz w:val="24"/>
          <w:u w:val="single"/>
        </w:rPr>
        <w:t xml:space="preserve">      </w:t>
      </w:r>
      <w:r>
        <w:rPr>
          <w:rFonts w:hint="eastAsia" w:ascii="宋体" w:hAnsi="宋体" w:eastAsia="宋体" w:cs="宋体"/>
          <w:sz w:val="24"/>
        </w:rPr>
        <w:t>（姓名和职务）代表本公司</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名称），提交全部文件正本1份，副本  份。</w:t>
      </w:r>
      <w:bookmarkEnd w:id="179"/>
      <w:bookmarkEnd w:id="180"/>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据此函，签字人兹宣布同意如下：</w:t>
      </w:r>
    </w:p>
    <w:p>
      <w:pPr>
        <w:widowControl/>
        <w:tabs>
          <w:tab w:val="left" w:pos="7125"/>
        </w:tabs>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按谈判文件规定提供</w:t>
      </w:r>
      <w:r>
        <w:rPr>
          <w:rFonts w:hint="eastAsia" w:ascii="宋体" w:hAnsi="宋体" w:eastAsia="宋体" w:cs="宋体"/>
          <w:sz w:val="24"/>
          <w:lang w:val="en-US" w:eastAsia="zh-CN"/>
        </w:rPr>
        <w:t>货物</w:t>
      </w:r>
      <w:r>
        <w:rPr>
          <w:rFonts w:hint="eastAsia" w:ascii="宋体" w:hAnsi="宋体" w:eastAsia="宋体" w:cs="宋体"/>
          <w:sz w:val="24"/>
        </w:rPr>
        <w:t>的投标为（大写）</w:t>
      </w:r>
      <w:r>
        <w:rPr>
          <w:rFonts w:hint="eastAsia" w:ascii="宋体" w:hAnsi="宋体" w:eastAsia="宋体" w:cs="宋体"/>
          <w:sz w:val="24"/>
          <w:u w:val="single"/>
        </w:rPr>
        <w:tab/>
      </w:r>
      <w:r>
        <w:rPr>
          <w:rFonts w:hint="eastAsia" w:ascii="宋体" w:hAnsi="宋体" w:eastAsia="宋体" w:cs="宋体"/>
          <w:sz w:val="24"/>
        </w:rPr>
        <w:t>元人民币。</w:t>
      </w:r>
    </w:p>
    <w:p>
      <w:pPr>
        <w:widowControl/>
        <w:snapToGrid w:val="0"/>
        <w:spacing w:line="480" w:lineRule="exact"/>
        <w:ind w:firstLine="480" w:firstLineChars="200"/>
        <w:jc w:val="left"/>
        <w:rPr>
          <w:rFonts w:hint="eastAsia" w:ascii="宋体" w:hAnsi="宋体" w:eastAsia="宋体" w:cs="宋体"/>
          <w:sz w:val="24"/>
          <w:lang w:val="en-US" w:eastAsia="zh-CN"/>
        </w:rPr>
      </w:pPr>
      <w:r>
        <w:rPr>
          <w:rFonts w:hint="eastAsia" w:ascii="宋体" w:hAnsi="宋体" w:eastAsia="宋体" w:cs="宋体"/>
          <w:bCs/>
          <w:sz w:val="24"/>
        </w:rPr>
        <w:t>2.</w:t>
      </w:r>
      <w:r>
        <w:rPr>
          <w:rFonts w:hint="eastAsia" w:ascii="宋体" w:hAnsi="宋体" w:eastAsia="宋体" w:cs="宋体"/>
          <w:sz w:val="24"/>
        </w:rPr>
        <w:t>如果我方被评定为成交供应商，我们保证根据谈判文件规定履行合同责任和义务。具体交货时间承诺如下：合同订立后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之内</w:t>
      </w:r>
      <w:r>
        <w:rPr>
          <w:rFonts w:hint="eastAsia" w:ascii="宋体" w:hAnsi="宋体" w:eastAsia="宋体" w:cs="宋体"/>
          <w:sz w:val="24"/>
        </w:rPr>
        <w:t>天</w:t>
      </w:r>
      <w:r>
        <w:rPr>
          <w:rFonts w:hint="eastAsia" w:ascii="宋体" w:hAnsi="宋体" w:eastAsia="宋体" w:cs="宋体"/>
          <w:sz w:val="24"/>
          <w:lang w:val="en-US" w:eastAsia="zh-CN"/>
        </w:rPr>
        <w:t>完成交货、调试等工作。</w:t>
      </w:r>
    </w:p>
    <w:p>
      <w:pPr>
        <w:widowControl/>
        <w:snapToGrid w:val="0"/>
        <w:spacing w:line="480" w:lineRule="exact"/>
        <w:ind w:firstLine="480" w:firstLineChars="200"/>
        <w:jc w:val="left"/>
        <w:rPr>
          <w:rFonts w:hint="eastAsia" w:ascii="宋体" w:hAnsi="宋体" w:eastAsia="宋体" w:cs="宋体"/>
          <w:bCs/>
          <w:sz w:val="24"/>
        </w:rPr>
      </w:pPr>
      <w:r>
        <w:rPr>
          <w:rFonts w:hint="eastAsia" w:ascii="宋体" w:hAnsi="宋体" w:eastAsia="宋体" w:cs="宋体"/>
          <w:bCs/>
          <w:sz w:val="24"/>
        </w:rPr>
        <w:t>3.我方人民币</w:t>
      </w:r>
      <w:r>
        <w:rPr>
          <w:rFonts w:hint="eastAsia" w:ascii="宋体" w:hAnsi="宋体" w:eastAsia="宋体" w:cs="宋体"/>
          <w:bCs/>
          <w:sz w:val="24"/>
          <w:u w:val="single"/>
        </w:rPr>
        <w:t xml:space="preserve">        </w:t>
      </w:r>
      <w:r>
        <w:rPr>
          <w:rFonts w:hint="eastAsia" w:ascii="宋体" w:hAnsi="宋体" w:eastAsia="宋体" w:cs="宋体"/>
          <w:bCs/>
          <w:sz w:val="24"/>
        </w:rPr>
        <w:t>元的谈判保证金与本投标文件同时提交。</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4.如果我方成交，我方保证按谈判文件规定提交履约保证金，承担履约责任。</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5.</w:t>
      </w:r>
      <w:r>
        <w:rPr>
          <w:rFonts w:hint="eastAsia" w:ascii="宋体" w:hAnsi="宋体" w:eastAsia="宋体" w:cs="宋体"/>
          <w:sz w:val="24"/>
        </w:rPr>
        <w:t>我们已详细阅读了全部谈判文件以及谈判文件的修改、补充文件和有关的附件，我们知道必须放弃提出含糊不清或误解的问题的权利。</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6.</w:t>
      </w:r>
      <w:r>
        <w:rPr>
          <w:rFonts w:hint="eastAsia" w:ascii="宋体" w:hAnsi="宋体" w:eastAsia="宋体" w:cs="宋体"/>
          <w:sz w:val="24"/>
        </w:rPr>
        <w:t>我们对谈判文件关于时限、程序方面的规定没有异议，保证按照谈判文件规定的时限和程序参加谈判活动。</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7.</w:t>
      </w:r>
      <w:r>
        <w:rPr>
          <w:rFonts w:hint="eastAsia" w:ascii="宋体" w:hAnsi="宋体" w:eastAsia="宋体" w:cs="宋体"/>
          <w:sz w:val="24"/>
        </w:rPr>
        <w:t>我们同意在规定的公开投标时间起遵循本谈判文件，并在规定的投标有效期满之前均具有约束力，并有可能被确定为中标供应商。</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8.</w:t>
      </w:r>
      <w:r>
        <w:rPr>
          <w:rFonts w:hint="eastAsia" w:ascii="宋体" w:hAnsi="宋体" w:eastAsia="宋体" w:cs="宋体"/>
          <w:sz w:val="24"/>
        </w:rPr>
        <w:t>如果我们在规定的投标有效期内撤回投标文件，贵方可不予退还我们的谈判保证金。</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9.</w:t>
      </w:r>
      <w:r>
        <w:rPr>
          <w:rFonts w:hint="eastAsia" w:ascii="宋体" w:hAnsi="宋体" w:eastAsia="宋体" w:cs="宋体"/>
          <w:sz w:val="24"/>
        </w:rPr>
        <w:t>我们同意向你方提供你方可能要求的与本投标有关的任何证据或资料。</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10.</w:t>
      </w:r>
      <w:r>
        <w:rPr>
          <w:rFonts w:hint="eastAsia" w:ascii="宋体" w:hAnsi="宋体" w:eastAsia="宋体" w:cs="宋体"/>
          <w:sz w:val="24"/>
        </w:rPr>
        <w:t>我们完全理解你方不一定要接受最低投标或收到的任何投标的规定。</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本投标文件自公开投标之时起</w:t>
      </w:r>
      <w:r>
        <w:rPr>
          <w:rFonts w:hint="eastAsia" w:ascii="宋体" w:hAnsi="宋体" w:eastAsia="宋体" w:cs="宋体"/>
          <w:sz w:val="24"/>
          <w:u w:val="single"/>
          <w:lang w:val="en-US" w:eastAsia="zh-CN"/>
        </w:rPr>
        <w:t xml:space="preserve">     </w:t>
      </w:r>
      <w:r>
        <w:rPr>
          <w:rFonts w:hint="eastAsia" w:ascii="宋体" w:hAnsi="宋体" w:eastAsia="宋体" w:cs="宋体"/>
          <w:sz w:val="24"/>
        </w:rPr>
        <w:t>天内有效。</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b/>
          <w:bCs/>
          <w:sz w:val="24"/>
        </w:rPr>
        <w:t>（加盖公章）：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代表姓名</w:t>
      </w:r>
      <w:r>
        <w:rPr>
          <w:rFonts w:hint="eastAsia" w:ascii="宋体" w:hAnsi="宋体" w:eastAsia="宋体" w:cs="宋体"/>
          <w:b/>
          <w:bCs/>
          <w:sz w:val="24"/>
        </w:rPr>
        <w:t>（手书签字）：</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电话、传真或电传：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djustRightInd w:val="0"/>
        <w:snapToGrid w:val="0"/>
        <w:spacing w:line="240" w:lineRule="auto"/>
        <w:jc w:val="center"/>
        <w:rPr>
          <w:rFonts w:hint="eastAsia" w:ascii="宋体" w:hAnsi="宋体" w:eastAsia="宋体" w:cs="宋体"/>
          <w:b/>
          <w:color w:val="000000"/>
          <w:spacing w:val="40"/>
          <w:sz w:val="32"/>
          <w:szCs w:val="32"/>
        </w:rPr>
      </w:pPr>
    </w:p>
    <w:p>
      <w:pPr>
        <w:pStyle w:val="15"/>
        <w:rPr>
          <w:rFonts w:hint="eastAsia" w:ascii="宋体" w:hAnsi="宋体" w:eastAsia="宋体" w:cs="宋体"/>
        </w:rPr>
      </w:pPr>
    </w:p>
    <w:p>
      <w:pPr>
        <w:adjustRightInd w:val="0"/>
        <w:snapToGrid w:val="0"/>
        <w:spacing w:line="240" w:lineRule="auto"/>
        <w:jc w:val="cente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t>谈 判 函 附 表</w:t>
      </w:r>
    </w:p>
    <w:p>
      <w:pPr>
        <w:spacing w:line="460" w:lineRule="exact"/>
        <w:jc w:val="center"/>
        <w:rPr>
          <w:rFonts w:hint="eastAsia" w:ascii="宋体" w:hAnsi="宋体" w:eastAsia="宋体" w:cs="宋体"/>
          <w:color w:val="000000"/>
          <w:sz w:val="30"/>
        </w:rPr>
      </w:pPr>
    </w:p>
    <w:p>
      <w:pPr>
        <w:widowControl/>
        <w:snapToGrid w:val="0"/>
        <w:jc w:val="left"/>
        <w:rPr>
          <w:rFonts w:hint="eastAsia" w:ascii="宋体" w:hAnsi="宋体" w:eastAsia="宋体" w:cs="宋体"/>
          <w:bCs/>
          <w:sz w:val="24"/>
        </w:rPr>
      </w:pPr>
      <w:r>
        <w:rPr>
          <w:rFonts w:hint="eastAsia" w:ascii="宋体" w:hAnsi="宋体" w:eastAsia="宋体" w:cs="宋体"/>
          <w:bCs/>
          <w:sz w:val="24"/>
        </w:rPr>
        <w:t>采购项目名称：</w:t>
      </w:r>
    </w:p>
    <w:p>
      <w:pPr>
        <w:widowControl/>
        <w:snapToGrid w:val="0"/>
        <w:jc w:val="left"/>
        <w:rPr>
          <w:rFonts w:hint="eastAsia" w:ascii="宋体" w:hAnsi="宋体" w:eastAsia="宋体" w:cs="宋体"/>
          <w:bCs/>
          <w:sz w:val="24"/>
        </w:rPr>
      </w:pPr>
      <w:r>
        <w:rPr>
          <w:rFonts w:hint="eastAsia" w:ascii="宋体" w:hAnsi="宋体" w:eastAsia="宋体" w:cs="宋体"/>
          <w:color w:val="000000"/>
          <w:sz w:val="24"/>
        </w:rPr>
        <w:t>谈判响应人</w:t>
      </w:r>
      <w:r>
        <w:rPr>
          <w:rFonts w:hint="eastAsia" w:ascii="宋体" w:hAnsi="宋体" w:eastAsia="宋体" w:cs="宋体"/>
          <w:bCs/>
          <w:sz w:val="24"/>
        </w:rPr>
        <w:t>名称</w:t>
      </w:r>
      <w:r>
        <w:rPr>
          <w:rFonts w:hint="eastAsia" w:ascii="宋体" w:hAnsi="宋体" w:eastAsia="宋体" w:cs="宋体"/>
          <w:b/>
          <w:sz w:val="24"/>
        </w:rPr>
        <w:t>（加盖公章）：</w:t>
      </w:r>
    </w:p>
    <w:p>
      <w:pPr>
        <w:widowControl/>
        <w:snapToGrid w:val="0"/>
        <w:jc w:val="left"/>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tbl>
      <w:tblPr>
        <w:tblStyle w:val="20"/>
        <w:tblpPr w:leftFromText="180" w:rightFromText="180" w:vertAnchor="text" w:horzAnchor="page" w:tblpX="1084" w:tblpY="400"/>
        <w:tblOverlap w:val="never"/>
        <w:tblW w:w="9736" w:type="dxa"/>
        <w:tblInd w:w="0" w:type="dxa"/>
        <w:tblLayout w:type="fixed"/>
        <w:tblCellMar>
          <w:top w:w="0" w:type="dxa"/>
          <w:left w:w="28" w:type="dxa"/>
          <w:bottom w:w="0" w:type="dxa"/>
          <w:right w:w="28" w:type="dxa"/>
        </w:tblCellMar>
      </w:tblPr>
      <w:tblGrid>
        <w:gridCol w:w="688"/>
        <w:gridCol w:w="1731"/>
        <w:gridCol w:w="1785"/>
        <w:gridCol w:w="1344"/>
        <w:gridCol w:w="1344"/>
        <w:gridCol w:w="962"/>
        <w:gridCol w:w="961"/>
        <w:gridCol w:w="921"/>
      </w:tblGrid>
      <w:tr>
        <w:tblPrEx>
          <w:tblCellMar>
            <w:top w:w="0" w:type="dxa"/>
            <w:left w:w="28" w:type="dxa"/>
            <w:bottom w:w="0" w:type="dxa"/>
            <w:right w:w="28" w:type="dxa"/>
          </w:tblCellMar>
        </w:tblPrEx>
        <w:trPr>
          <w:trHeight w:val="818" w:hRule="atLeast"/>
        </w:trPr>
        <w:tc>
          <w:tcPr>
            <w:tcW w:w="688" w:type="dxa"/>
            <w:tcBorders>
              <w:top w:val="single" w:color="000000" w:sz="8" w:space="0"/>
              <w:left w:val="single" w:color="000000" w:sz="8"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序号</w:t>
            </w:r>
          </w:p>
        </w:tc>
        <w:tc>
          <w:tcPr>
            <w:tcW w:w="1731"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产品名称</w:t>
            </w:r>
          </w:p>
        </w:tc>
        <w:tc>
          <w:tcPr>
            <w:tcW w:w="1785"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规格、参数</w:t>
            </w:r>
          </w:p>
        </w:tc>
        <w:tc>
          <w:tcPr>
            <w:tcW w:w="1344"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产地</w:t>
            </w:r>
          </w:p>
        </w:tc>
        <w:tc>
          <w:tcPr>
            <w:tcW w:w="1344"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单位</w:t>
            </w:r>
          </w:p>
        </w:tc>
        <w:tc>
          <w:tcPr>
            <w:tcW w:w="962"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en-US" w:eastAsia="zh-CN"/>
              </w:rPr>
              <w:t>数量</w:t>
            </w:r>
          </w:p>
        </w:tc>
        <w:tc>
          <w:tcPr>
            <w:tcW w:w="961"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单价</w:t>
            </w:r>
          </w:p>
        </w:tc>
        <w:tc>
          <w:tcPr>
            <w:tcW w:w="921"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合计</w:t>
            </w:r>
          </w:p>
        </w:tc>
      </w:tr>
      <w:tr>
        <w:tblPrEx>
          <w:tblCellMar>
            <w:top w:w="0" w:type="dxa"/>
            <w:left w:w="28" w:type="dxa"/>
            <w:bottom w:w="0" w:type="dxa"/>
            <w:right w:w="28" w:type="dxa"/>
          </w:tblCellMar>
        </w:tblPrEx>
        <w:trPr>
          <w:trHeight w:val="813" w:hRule="atLeast"/>
        </w:trPr>
        <w:tc>
          <w:tcPr>
            <w:tcW w:w="688" w:type="dxa"/>
            <w:tcBorders>
              <w:top w:val="single" w:color="000000" w:sz="6" w:space="0"/>
              <w:left w:val="single" w:color="000000" w:sz="8"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1</w:t>
            </w:r>
          </w:p>
        </w:tc>
        <w:tc>
          <w:tcPr>
            <w:tcW w:w="173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178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134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134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96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96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9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r>
      <w:tr>
        <w:tblPrEx>
          <w:tblCellMar>
            <w:top w:w="0" w:type="dxa"/>
            <w:left w:w="28" w:type="dxa"/>
            <w:bottom w:w="0" w:type="dxa"/>
            <w:right w:w="28" w:type="dxa"/>
          </w:tblCellMar>
        </w:tblPrEx>
        <w:trPr>
          <w:trHeight w:val="813" w:hRule="atLeast"/>
        </w:trPr>
        <w:tc>
          <w:tcPr>
            <w:tcW w:w="688" w:type="dxa"/>
            <w:tcBorders>
              <w:top w:val="single" w:color="000000" w:sz="6" w:space="0"/>
              <w:left w:val="single" w:color="000000" w:sz="8"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2</w:t>
            </w:r>
          </w:p>
        </w:tc>
        <w:tc>
          <w:tcPr>
            <w:tcW w:w="173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178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134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134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96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96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9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r>
      <w:tr>
        <w:tblPrEx>
          <w:tblCellMar>
            <w:top w:w="0" w:type="dxa"/>
            <w:left w:w="28" w:type="dxa"/>
            <w:bottom w:w="0" w:type="dxa"/>
            <w:right w:w="28" w:type="dxa"/>
          </w:tblCellMar>
        </w:tblPrEx>
        <w:trPr>
          <w:trHeight w:val="813" w:hRule="atLeast"/>
        </w:trPr>
        <w:tc>
          <w:tcPr>
            <w:tcW w:w="688" w:type="dxa"/>
            <w:tcBorders>
              <w:top w:val="single" w:color="000000" w:sz="6" w:space="0"/>
              <w:left w:val="single" w:color="000000" w:sz="8"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3</w:t>
            </w:r>
          </w:p>
        </w:tc>
        <w:tc>
          <w:tcPr>
            <w:tcW w:w="173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178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134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134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96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96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9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r>
      <w:tr>
        <w:tblPrEx>
          <w:tblCellMar>
            <w:top w:w="0" w:type="dxa"/>
            <w:left w:w="28" w:type="dxa"/>
            <w:bottom w:w="0" w:type="dxa"/>
            <w:right w:w="28" w:type="dxa"/>
          </w:tblCellMar>
        </w:tblPrEx>
        <w:trPr>
          <w:trHeight w:val="813" w:hRule="atLeast"/>
        </w:trPr>
        <w:tc>
          <w:tcPr>
            <w:tcW w:w="688" w:type="dxa"/>
            <w:tcBorders>
              <w:top w:val="single" w:color="000000" w:sz="6" w:space="0"/>
              <w:left w:val="single" w:color="000000" w:sz="8"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4</w:t>
            </w:r>
          </w:p>
        </w:tc>
        <w:tc>
          <w:tcPr>
            <w:tcW w:w="173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178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134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134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96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96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9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r>
      <w:tr>
        <w:tblPrEx>
          <w:tblCellMar>
            <w:top w:w="0" w:type="dxa"/>
            <w:left w:w="28" w:type="dxa"/>
            <w:bottom w:w="0" w:type="dxa"/>
            <w:right w:w="28" w:type="dxa"/>
          </w:tblCellMar>
        </w:tblPrEx>
        <w:trPr>
          <w:trHeight w:val="813" w:hRule="atLeast"/>
        </w:trPr>
        <w:tc>
          <w:tcPr>
            <w:tcW w:w="688" w:type="dxa"/>
            <w:tcBorders>
              <w:top w:val="single" w:color="000000" w:sz="6" w:space="0"/>
              <w:left w:val="single" w:color="000000" w:sz="8"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w:t>
            </w:r>
          </w:p>
        </w:tc>
        <w:tc>
          <w:tcPr>
            <w:tcW w:w="173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178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134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134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96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96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c>
          <w:tcPr>
            <w:tcW w:w="9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zh-CN"/>
              </w:rPr>
            </w:pPr>
          </w:p>
        </w:tc>
      </w:tr>
      <w:tr>
        <w:tblPrEx>
          <w:tblCellMar>
            <w:top w:w="0" w:type="dxa"/>
            <w:left w:w="28" w:type="dxa"/>
            <w:bottom w:w="0" w:type="dxa"/>
            <w:right w:w="28" w:type="dxa"/>
          </w:tblCellMar>
        </w:tblPrEx>
        <w:trPr>
          <w:trHeight w:val="828" w:hRule="atLeast"/>
        </w:trPr>
        <w:tc>
          <w:tcPr>
            <w:tcW w:w="2419" w:type="dxa"/>
            <w:gridSpan w:val="2"/>
            <w:tcBorders>
              <w:top w:val="single" w:color="000000" w:sz="6" w:space="0"/>
              <w:left w:val="single" w:color="000000" w:sz="8" w:space="0"/>
              <w:bottom w:val="single" w:color="000000" w:sz="6" w:space="0"/>
              <w:right w:val="single" w:color="000000" w:sz="6" w:space="0"/>
            </w:tcBorders>
            <w:noWrap w:val="0"/>
            <w:vAlign w:val="center"/>
          </w:tcPr>
          <w:p>
            <w:pPr>
              <w:autoSpaceDE w:val="0"/>
              <w:autoSpaceDN w:val="0"/>
              <w:spacing w:line="240" w:lineRule="auto"/>
              <w:ind w:firstLine="0" w:firstLineChars="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投标总报价</w:t>
            </w:r>
          </w:p>
        </w:tc>
        <w:tc>
          <w:tcPr>
            <w:tcW w:w="7317"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ind w:firstLine="0" w:firstLineChars="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大写：</w:t>
            </w:r>
          </w:p>
          <w:p>
            <w:pPr>
              <w:autoSpaceDE w:val="0"/>
              <w:autoSpaceDN w:val="0"/>
              <w:spacing w:line="240" w:lineRule="auto"/>
              <w:ind w:firstLine="0" w:firstLineChars="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小写：</w:t>
            </w:r>
          </w:p>
        </w:tc>
      </w:tr>
    </w:tbl>
    <w:p>
      <w:pPr>
        <w:widowControl/>
        <w:snapToGrid w:val="0"/>
        <w:jc w:val="left"/>
        <w:rPr>
          <w:rFonts w:hint="eastAsia" w:ascii="宋体" w:hAnsi="宋体" w:eastAsia="宋体" w:cs="宋体"/>
          <w:b/>
          <w:bCs/>
          <w:sz w:val="24"/>
        </w:rPr>
      </w:pPr>
    </w:p>
    <w:p>
      <w:pPr>
        <w:widowControl/>
        <w:snapToGrid w:val="0"/>
        <w:jc w:val="left"/>
        <w:rPr>
          <w:rFonts w:hint="eastAsia" w:ascii="宋体" w:hAnsi="宋体" w:eastAsia="宋体" w:cs="宋体"/>
          <w:b/>
          <w:bCs/>
          <w:sz w:val="24"/>
        </w:rPr>
      </w:pPr>
    </w:p>
    <w:p>
      <w:pPr>
        <w:widowControl/>
        <w:snapToGrid w:val="0"/>
        <w:jc w:val="left"/>
        <w:rPr>
          <w:rFonts w:hint="eastAsia" w:ascii="宋体" w:hAnsi="宋体" w:eastAsia="宋体" w:cs="宋体"/>
          <w:b/>
          <w:bCs/>
          <w:sz w:val="24"/>
        </w:rPr>
      </w:pPr>
      <w:r>
        <w:rPr>
          <w:rFonts w:hint="eastAsia" w:ascii="宋体" w:hAnsi="宋体" w:eastAsia="宋体" w:cs="宋体"/>
          <w:b/>
          <w:bCs/>
          <w:sz w:val="24"/>
        </w:rPr>
        <w:t>投标要求：</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1.与完成本项目有关的各种费用均应包含在投标报价中</w:t>
      </w:r>
      <w:r>
        <w:rPr>
          <w:rFonts w:hint="eastAsia" w:ascii="宋体" w:hAnsi="宋体" w:eastAsia="宋体" w:cs="宋体"/>
          <w:sz w:val="24"/>
          <w:lang w:eastAsia="zh-CN"/>
        </w:rPr>
        <w:t>（</w:t>
      </w:r>
      <w:r>
        <w:rPr>
          <w:rFonts w:hint="eastAsia" w:ascii="宋体" w:hAnsi="宋体" w:eastAsia="宋体" w:cs="宋体"/>
          <w:sz w:val="24"/>
        </w:rPr>
        <w:t>报价含税全包价，包括产品的包装、保险、运输、装卸、验收、检验试验、保修等一切费用。</w:t>
      </w:r>
      <w:r>
        <w:rPr>
          <w:rFonts w:hint="eastAsia" w:ascii="宋体" w:hAnsi="宋体" w:eastAsia="宋体" w:cs="宋体"/>
          <w:sz w:val="24"/>
          <w:lang w:eastAsia="zh-CN"/>
        </w:rPr>
        <w:t>）</w:t>
      </w:r>
      <w:r>
        <w:rPr>
          <w:rFonts w:hint="eastAsia" w:ascii="宋体" w:hAnsi="宋体" w:eastAsia="宋体" w:cs="宋体"/>
          <w:sz w:val="24"/>
        </w:rPr>
        <w:t xml:space="preserve"> </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2.报价填写必须为计算机录入，手写无效</w:t>
      </w:r>
    </w:p>
    <w:p>
      <w:pPr>
        <w:spacing w:line="460" w:lineRule="exact"/>
        <w:rPr>
          <w:rFonts w:hint="eastAsia" w:ascii="宋体" w:hAnsi="宋体" w:eastAsia="宋体" w:cs="宋体"/>
          <w:color w:val="000000"/>
          <w:sz w:val="24"/>
        </w:rPr>
      </w:pP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谈判响应人：（盖章）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lang w:val="en-US" w:eastAsia="zh-CN"/>
        </w:rPr>
        <w:t>签字或盖章</w:t>
      </w:r>
      <w:r>
        <w:rPr>
          <w:rFonts w:hint="eastAsia" w:ascii="宋体" w:hAnsi="宋体" w:eastAsia="宋体" w:cs="宋体"/>
          <w:color w:val="000000"/>
          <w:sz w:val="24"/>
        </w:rPr>
        <w:t>）</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adjustRightInd w:val="0"/>
        <w:snapToGrid w:val="0"/>
        <w:spacing w:line="240" w:lineRule="auto"/>
        <w:jc w:val="center"/>
        <w:rPr>
          <w:rFonts w:hint="eastAsia" w:ascii="宋体" w:hAnsi="宋体" w:eastAsia="宋体" w:cs="宋体"/>
          <w:b/>
          <w:color w:val="000000"/>
          <w:spacing w:val="40"/>
          <w:sz w:val="32"/>
          <w:szCs w:val="32"/>
        </w:rPr>
      </w:pPr>
      <w:bookmarkStart w:id="181" w:name="_Toc2215_WPSOffice_Level2"/>
    </w:p>
    <w:p>
      <w:pPr>
        <w:adjustRightInd w:val="0"/>
        <w:snapToGrid w:val="0"/>
        <w:spacing w:line="240" w:lineRule="auto"/>
        <w:jc w:val="center"/>
        <w:outlineLvl w:val="0"/>
        <w:rPr>
          <w:rFonts w:hint="eastAsia" w:ascii="宋体" w:hAnsi="宋体" w:eastAsia="宋体" w:cs="宋体"/>
          <w:b/>
          <w:color w:val="000000"/>
          <w:spacing w:val="40"/>
          <w:sz w:val="32"/>
          <w:szCs w:val="32"/>
        </w:rPr>
      </w:pPr>
      <w:bookmarkStart w:id="182" w:name="_Toc13124"/>
      <w:r>
        <w:rPr>
          <w:rFonts w:hint="eastAsia" w:ascii="宋体" w:hAnsi="宋体" w:eastAsia="宋体" w:cs="宋体"/>
          <w:b/>
          <w:color w:val="000000"/>
          <w:spacing w:val="40"/>
          <w:sz w:val="32"/>
          <w:szCs w:val="32"/>
          <w:lang w:val="en-US" w:eastAsia="zh-CN"/>
        </w:rPr>
        <w:br w:type="page"/>
      </w:r>
      <w:r>
        <w:rPr>
          <w:rFonts w:hint="eastAsia" w:ascii="宋体" w:hAnsi="宋体" w:eastAsia="宋体" w:cs="宋体"/>
          <w:b/>
          <w:color w:val="000000"/>
          <w:spacing w:val="40"/>
          <w:sz w:val="32"/>
          <w:szCs w:val="32"/>
          <w:lang w:val="en-US" w:eastAsia="zh-CN"/>
        </w:rPr>
        <w:t>四、</w:t>
      </w:r>
      <w:r>
        <w:rPr>
          <w:rFonts w:hint="eastAsia" w:ascii="宋体" w:hAnsi="宋体" w:eastAsia="宋体" w:cs="宋体"/>
          <w:b/>
          <w:color w:val="000000"/>
          <w:spacing w:val="40"/>
          <w:sz w:val="32"/>
          <w:szCs w:val="32"/>
        </w:rPr>
        <w:t>技术参数、功能偏离表</w:t>
      </w:r>
      <w:bookmarkEnd w:id="182"/>
    </w:p>
    <w:p>
      <w:pPr>
        <w:spacing w:line="400" w:lineRule="atLeast"/>
        <w:rPr>
          <w:rFonts w:hint="eastAsia" w:ascii="宋体" w:hAnsi="宋体" w:eastAsia="宋体" w:cs="宋体"/>
          <w:sz w:val="24"/>
        </w:rPr>
      </w:pPr>
    </w:p>
    <w:p>
      <w:pPr>
        <w:spacing w:line="400" w:lineRule="atLeast"/>
        <w:ind w:firstLine="240" w:firstLineChars="100"/>
        <w:rPr>
          <w:rFonts w:hint="eastAsia" w:ascii="宋体" w:hAnsi="宋体" w:eastAsia="宋体" w:cs="宋体"/>
          <w:sz w:val="24"/>
          <w:u w:val="single"/>
        </w:rPr>
      </w:pPr>
      <w:r>
        <w:rPr>
          <w:rFonts w:hint="eastAsia" w:ascii="宋体" w:hAnsi="宋体" w:eastAsia="宋体" w:cs="宋体"/>
          <w:sz w:val="24"/>
          <w:lang w:val="en-US" w:eastAsia="zh-CN"/>
        </w:rPr>
        <w:t>投标人</w:t>
      </w:r>
      <w:r>
        <w:rPr>
          <w:rFonts w:hint="eastAsia" w:ascii="宋体" w:hAnsi="宋体" w:eastAsia="宋体" w:cs="宋体"/>
          <w:sz w:val="24"/>
        </w:rPr>
        <w:t>名称（公章）：</w:t>
      </w:r>
      <w:r>
        <w:rPr>
          <w:rFonts w:hint="eastAsia" w:ascii="宋体" w:hAnsi="宋体" w:eastAsia="宋体" w:cs="宋体"/>
          <w:sz w:val="24"/>
          <w:u w:val="single"/>
        </w:rPr>
        <w:t xml:space="preserve">         　　　　　  </w:t>
      </w:r>
      <w:r>
        <w:rPr>
          <w:rFonts w:hint="eastAsia" w:ascii="宋体" w:hAnsi="宋体" w:eastAsia="宋体" w:cs="宋体"/>
          <w:sz w:val="24"/>
        </w:rPr>
        <w:t>项目编号/包号：</w:t>
      </w:r>
      <w:r>
        <w:rPr>
          <w:rFonts w:hint="eastAsia" w:ascii="宋体" w:hAnsi="宋体" w:eastAsia="宋体" w:cs="宋体"/>
          <w:sz w:val="24"/>
          <w:u w:val="single"/>
        </w:rPr>
        <w:t>　　　　　　　　　　　</w:t>
      </w:r>
    </w:p>
    <w:tbl>
      <w:tblPr>
        <w:tblStyle w:val="20"/>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819"/>
        <w:gridCol w:w="2777"/>
        <w:gridCol w:w="2564"/>
        <w:gridCol w:w="1535"/>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71"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序号</w:t>
            </w:r>
          </w:p>
        </w:tc>
        <w:tc>
          <w:tcPr>
            <w:tcW w:w="1819"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lang w:val="en-US" w:eastAsia="zh-CN"/>
              </w:rPr>
              <w:t>谈判</w:t>
            </w:r>
            <w:r>
              <w:rPr>
                <w:rFonts w:hint="eastAsia" w:ascii="宋体" w:hAnsi="宋体" w:eastAsia="宋体" w:cs="宋体"/>
                <w:sz w:val="24"/>
              </w:rPr>
              <w:t>文件规格条目号</w:t>
            </w:r>
          </w:p>
        </w:tc>
        <w:tc>
          <w:tcPr>
            <w:tcW w:w="2777"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lang w:val="en-US" w:eastAsia="zh-CN"/>
              </w:rPr>
              <w:t>谈判</w:t>
            </w:r>
            <w:r>
              <w:rPr>
                <w:rFonts w:hint="eastAsia" w:ascii="宋体" w:hAnsi="宋体" w:eastAsia="宋体" w:cs="宋体"/>
                <w:sz w:val="24"/>
              </w:rPr>
              <w:t>文件要求规格</w:t>
            </w:r>
          </w:p>
        </w:tc>
        <w:tc>
          <w:tcPr>
            <w:tcW w:w="2564"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投标规格</w:t>
            </w:r>
          </w:p>
        </w:tc>
        <w:tc>
          <w:tcPr>
            <w:tcW w:w="1535"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偏离</w:t>
            </w:r>
          </w:p>
        </w:tc>
        <w:tc>
          <w:tcPr>
            <w:tcW w:w="713"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1819"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2777" w:type="dxa"/>
            <w:noWrap w:val="0"/>
            <w:vAlign w:val="top"/>
          </w:tcPr>
          <w:p>
            <w:pPr>
              <w:spacing w:line="400" w:lineRule="atLeast"/>
              <w:rPr>
                <w:rFonts w:hint="eastAsia" w:ascii="宋体" w:hAnsi="宋体" w:eastAsia="宋体" w:cs="宋体"/>
                <w:sz w:val="24"/>
              </w:rPr>
            </w:pPr>
          </w:p>
        </w:tc>
        <w:tc>
          <w:tcPr>
            <w:tcW w:w="2564" w:type="dxa"/>
            <w:noWrap w:val="0"/>
            <w:vAlign w:val="top"/>
          </w:tcPr>
          <w:p>
            <w:pPr>
              <w:spacing w:line="400" w:lineRule="atLeast"/>
              <w:rPr>
                <w:rFonts w:hint="eastAsia" w:ascii="宋体" w:hAnsi="宋体" w:eastAsia="宋体" w:cs="宋体"/>
                <w:sz w:val="24"/>
              </w:rPr>
            </w:pPr>
          </w:p>
        </w:tc>
        <w:tc>
          <w:tcPr>
            <w:tcW w:w="1535" w:type="dxa"/>
            <w:noWrap w:val="0"/>
            <w:vAlign w:val="top"/>
          </w:tcPr>
          <w:p>
            <w:pPr>
              <w:spacing w:line="400" w:lineRule="atLeast"/>
              <w:rPr>
                <w:rFonts w:hint="eastAsia" w:ascii="宋体" w:hAnsi="宋体" w:eastAsia="宋体" w:cs="宋体"/>
                <w:sz w:val="24"/>
              </w:rPr>
            </w:pPr>
          </w:p>
        </w:tc>
        <w:tc>
          <w:tcPr>
            <w:tcW w:w="713"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71"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1819"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2777" w:type="dxa"/>
            <w:noWrap w:val="0"/>
            <w:vAlign w:val="top"/>
          </w:tcPr>
          <w:p>
            <w:pPr>
              <w:spacing w:line="400" w:lineRule="atLeast"/>
              <w:rPr>
                <w:rFonts w:hint="eastAsia" w:ascii="宋体" w:hAnsi="宋体" w:eastAsia="宋体" w:cs="宋体"/>
                <w:sz w:val="24"/>
              </w:rPr>
            </w:pPr>
          </w:p>
        </w:tc>
        <w:tc>
          <w:tcPr>
            <w:tcW w:w="2564" w:type="dxa"/>
            <w:noWrap w:val="0"/>
            <w:vAlign w:val="top"/>
          </w:tcPr>
          <w:p>
            <w:pPr>
              <w:spacing w:line="400" w:lineRule="atLeast"/>
              <w:rPr>
                <w:rFonts w:hint="eastAsia" w:ascii="宋体" w:hAnsi="宋体" w:eastAsia="宋体" w:cs="宋体"/>
                <w:sz w:val="24"/>
              </w:rPr>
            </w:pPr>
          </w:p>
        </w:tc>
        <w:tc>
          <w:tcPr>
            <w:tcW w:w="1535" w:type="dxa"/>
            <w:noWrap w:val="0"/>
            <w:vAlign w:val="top"/>
          </w:tcPr>
          <w:p>
            <w:pPr>
              <w:spacing w:line="400" w:lineRule="atLeast"/>
              <w:rPr>
                <w:rFonts w:hint="eastAsia" w:ascii="宋体" w:hAnsi="宋体" w:eastAsia="宋体" w:cs="宋体"/>
                <w:sz w:val="24"/>
              </w:rPr>
            </w:pPr>
          </w:p>
        </w:tc>
        <w:tc>
          <w:tcPr>
            <w:tcW w:w="713"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1819"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2777" w:type="dxa"/>
            <w:noWrap w:val="0"/>
            <w:vAlign w:val="top"/>
          </w:tcPr>
          <w:p>
            <w:pPr>
              <w:spacing w:line="400" w:lineRule="atLeast"/>
              <w:rPr>
                <w:rFonts w:hint="eastAsia" w:ascii="宋体" w:hAnsi="宋体" w:eastAsia="宋体" w:cs="宋体"/>
                <w:sz w:val="24"/>
              </w:rPr>
            </w:pPr>
          </w:p>
        </w:tc>
        <w:tc>
          <w:tcPr>
            <w:tcW w:w="2564" w:type="dxa"/>
            <w:noWrap w:val="0"/>
            <w:vAlign w:val="top"/>
          </w:tcPr>
          <w:p>
            <w:pPr>
              <w:spacing w:line="400" w:lineRule="atLeast"/>
              <w:rPr>
                <w:rFonts w:hint="eastAsia" w:ascii="宋体" w:hAnsi="宋体" w:eastAsia="宋体" w:cs="宋体"/>
                <w:sz w:val="24"/>
              </w:rPr>
            </w:pPr>
          </w:p>
        </w:tc>
        <w:tc>
          <w:tcPr>
            <w:tcW w:w="1535" w:type="dxa"/>
            <w:noWrap w:val="0"/>
            <w:vAlign w:val="top"/>
          </w:tcPr>
          <w:p>
            <w:pPr>
              <w:spacing w:line="400" w:lineRule="atLeast"/>
              <w:rPr>
                <w:rFonts w:hint="eastAsia" w:ascii="宋体" w:hAnsi="宋体" w:eastAsia="宋体" w:cs="宋体"/>
                <w:sz w:val="24"/>
              </w:rPr>
            </w:pPr>
          </w:p>
        </w:tc>
        <w:tc>
          <w:tcPr>
            <w:tcW w:w="713"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1819"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2777" w:type="dxa"/>
            <w:noWrap w:val="0"/>
            <w:vAlign w:val="top"/>
          </w:tcPr>
          <w:p>
            <w:pPr>
              <w:spacing w:line="400" w:lineRule="atLeast"/>
              <w:rPr>
                <w:rFonts w:hint="eastAsia" w:ascii="宋体" w:hAnsi="宋体" w:eastAsia="宋体" w:cs="宋体"/>
                <w:sz w:val="24"/>
              </w:rPr>
            </w:pPr>
          </w:p>
        </w:tc>
        <w:tc>
          <w:tcPr>
            <w:tcW w:w="2564" w:type="dxa"/>
            <w:noWrap w:val="0"/>
            <w:vAlign w:val="top"/>
          </w:tcPr>
          <w:p>
            <w:pPr>
              <w:spacing w:line="400" w:lineRule="atLeast"/>
              <w:rPr>
                <w:rFonts w:hint="eastAsia" w:ascii="宋体" w:hAnsi="宋体" w:eastAsia="宋体" w:cs="宋体"/>
                <w:sz w:val="24"/>
              </w:rPr>
            </w:pPr>
          </w:p>
        </w:tc>
        <w:tc>
          <w:tcPr>
            <w:tcW w:w="1535" w:type="dxa"/>
            <w:noWrap w:val="0"/>
            <w:vAlign w:val="top"/>
          </w:tcPr>
          <w:p>
            <w:pPr>
              <w:spacing w:line="400" w:lineRule="atLeast"/>
              <w:rPr>
                <w:rFonts w:hint="eastAsia" w:ascii="宋体" w:hAnsi="宋体" w:eastAsia="宋体" w:cs="宋体"/>
                <w:sz w:val="24"/>
              </w:rPr>
            </w:pPr>
          </w:p>
        </w:tc>
        <w:tc>
          <w:tcPr>
            <w:tcW w:w="713"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1819"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2777" w:type="dxa"/>
            <w:noWrap w:val="0"/>
            <w:vAlign w:val="top"/>
          </w:tcPr>
          <w:p>
            <w:pPr>
              <w:spacing w:line="400" w:lineRule="atLeast"/>
              <w:rPr>
                <w:rFonts w:hint="eastAsia" w:ascii="宋体" w:hAnsi="宋体" w:eastAsia="宋体" w:cs="宋体"/>
                <w:sz w:val="24"/>
              </w:rPr>
            </w:pPr>
          </w:p>
        </w:tc>
        <w:tc>
          <w:tcPr>
            <w:tcW w:w="2564" w:type="dxa"/>
            <w:noWrap w:val="0"/>
            <w:vAlign w:val="top"/>
          </w:tcPr>
          <w:p>
            <w:pPr>
              <w:spacing w:line="400" w:lineRule="atLeast"/>
              <w:rPr>
                <w:rFonts w:hint="eastAsia" w:ascii="宋体" w:hAnsi="宋体" w:eastAsia="宋体" w:cs="宋体"/>
                <w:sz w:val="24"/>
              </w:rPr>
            </w:pPr>
          </w:p>
        </w:tc>
        <w:tc>
          <w:tcPr>
            <w:tcW w:w="1535" w:type="dxa"/>
            <w:noWrap w:val="0"/>
            <w:vAlign w:val="top"/>
          </w:tcPr>
          <w:p>
            <w:pPr>
              <w:spacing w:line="400" w:lineRule="atLeast"/>
              <w:rPr>
                <w:rFonts w:hint="eastAsia" w:ascii="宋体" w:hAnsi="宋体" w:eastAsia="宋体" w:cs="宋体"/>
                <w:sz w:val="24"/>
              </w:rPr>
            </w:pPr>
          </w:p>
        </w:tc>
        <w:tc>
          <w:tcPr>
            <w:tcW w:w="713"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1819"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2777" w:type="dxa"/>
            <w:noWrap w:val="0"/>
            <w:vAlign w:val="top"/>
          </w:tcPr>
          <w:p>
            <w:pPr>
              <w:spacing w:line="400" w:lineRule="atLeast"/>
              <w:rPr>
                <w:rFonts w:hint="eastAsia" w:ascii="宋体" w:hAnsi="宋体" w:eastAsia="宋体" w:cs="宋体"/>
                <w:sz w:val="24"/>
              </w:rPr>
            </w:pPr>
          </w:p>
        </w:tc>
        <w:tc>
          <w:tcPr>
            <w:tcW w:w="2564" w:type="dxa"/>
            <w:noWrap w:val="0"/>
            <w:vAlign w:val="top"/>
          </w:tcPr>
          <w:p>
            <w:pPr>
              <w:spacing w:line="400" w:lineRule="atLeast"/>
              <w:rPr>
                <w:rFonts w:hint="eastAsia" w:ascii="宋体" w:hAnsi="宋体" w:eastAsia="宋体" w:cs="宋体"/>
                <w:sz w:val="24"/>
              </w:rPr>
            </w:pPr>
          </w:p>
        </w:tc>
        <w:tc>
          <w:tcPr>
            <w:tcW w:w="1535" w:type="dxa"/>
            <w:noWrap w:val="0"/>
            <w:vAlign w:val="top"/>
          </w:tcPr>
          <w:p>
            <w:pPr>
              <w:spacing w:line="400" w:lineRule="atLeast"/>
              <w:rPr>
                <w:rFonts w:hint="eastAsia" w:ascii="宋体" w:hAnsi="宋体" w:eastAsia="宋体" w:cs="宋体"/>
                <w:sz w:val="24"/>
              </w:rPr>
            </w:pPr>
          </w:p>
        </w:tc>
        <w:tc>
          <w:tcPr>
            <w:tcW w:w="713"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1819"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2777" w:type="dxa"/>
            <w:noWrap w:val="0"/>
            <w:vAlign w:val="top"/>
          </w:tcPr>
          <w:p>
            <w:pPr>
              <w:spacing w:line="400" w:lineRule="atLeast"/>
              <w:rPr>
                <w:rFonts w:hint="eastAsia" w:ascii="宋体" w:hAnsi="宋体" w:eastAsia="宋体" w:cs="宋体"/>
                <w:sz w:val="24"/>
              </w:rPr>
            </w:pPr>
          </w:p>
        </w:tc>
        <w:tc>
          <w:tcPr>
            <w:tcW w:w="2564" w:type="dxa"/>
            <w:noWrap w:val="0"/>
            <w:vAlign w:val="top"/>
          </w:tcPr>
          <w:p>
            <w:pPr>
              <w:spacing w:line="400" w:lineRule="atLeast"/>
              <w:rPr>
                <w:rFonts w:hint="eastAsia" w:ascii="宋体" w:hAnsi="宋体" w:eastAsia="宋体" w:cs="宋体"/>
                <w:sz w:val="24"/>
              </w:rPr>
            </w:pPr>
          </w:p>
        </w:tc>
        <w:tc>
          <w:tcPr>
            <w:tcW w:w="1535" w:type="dxa"/>
            <w:noWrap w:val="0"/>
            <w:vAlign w:val="top"/>
          </w:tcPr>
          <w:p>
            <w:pPr>
              <w:spacing w:line="400" w:lineRule="atLeast"/>
              <w:rPr>
                <w:rFonts w:hint="eastAsia" w:ascii="宋体" w:hAnsi="宋体" w:eastAsia="宋体" w:cs="宋体"/>
                <w:sz w:val="24"/>
              </w:rPr>
            </w:pPr>
          </w:p>
        </w:tc>
        <w:tc>
          <w:tcPr>
            <w:tcW w:w="713"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1819"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2777" w:type="dxa"/>
            <w:noWrap w:val="0"/>
            <w:vAlign w:val="top"/>
          </w:tcPr>
          <w:p>
            <w:pPr>
              <w:spacing w:line="400" w:lineRule="atLeast"/>
              <w:rPr>
                <w:rFonts w:hint="eastAsia" w:ascii="宋体" w:hAnsi="宋体" w:eastAsia="宋体" w:cs="宋体"/>
                <w:sz w:val="24"/>
              </w:rPr>
            </w:pPr>
          </w:p>
        </w:tc>
        <w:tc>
          <w:tcPr>
            <w:tcW w:w="2564" w:type="dxa"/>
            <w:noWrap w:val="0"/>
            <w:vAlign w:val="top"/>
          </w:tcPr>
          <w:p>
            <w:pPr>
              <w:spacing w:line="400" w:lineRule="atLeast"/>
              <w:rPr>
                <w:rFonts w:hint="eastAsia" w:ascii="宋体" w:hAnsi="宋体" w:eastAsia="宋体" w:cs="宋体"/>
                <w:sz w:val="24"/>
              </w:rPr>
            </w:pPr>
          </w:p>
        </w:tc>
        <w:tc>
          <w:tcPr>
            <w:tcW w:w="1535" w:type="dxa"/>
            <w:noWrap w:val="0"/>
            <w:vAlign w:val="top"/>
          </w:tcPr>
          <w:p>
            <w:pPr>
              <w:spacing w:line="400" w:lineRule="atLeast"/>
              <w:rPr>
                <w:rFonts w:hint="eastAsia" w:ascii="宋体" w:hAnsi="宋体" w:eastAsia="宋体" w:cs="宋体"/>
                <w:sz w:val="24"/>
              </w:rPr>
            </w:pPr>
          </w:p>
        </w:tc>
        <w:tc>
          <w:tcPr>
            <w:tcW w:w="713"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1819"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2777" w:type="dxa"/>
            <w:noWrap w:val="0"/>
            <w:vAlign w:val="top"/>
          </w:tcPr>
          <w:p>
            <w:pPr>
              <w:spacing w:line="400" w:lineRule="atLeast"/>
              <w:rPr>
                <w:rFonts w:hint="eastAsia" w:ascii="宋体" w:hAnsi="宋体" w:eastAsia="宋体" w:cs="宋体"/>
                <w:sz w:val="24"/>
              </w:rPr>
            </w:pPr>
          </w:p>
        </w:tc>
        <w:tc>
          <w:tcPr>
            <w:tcW w:w="2564" w:type="dxa"/>
            <w:noWrap w:val="0"/>
            <w:vAlign w:val="top"/>
          </w:tcPr>
          <w:p>
            <w:pPr>
              <w:spacing w:line="400" w:lineRule="atLeast"/>
              <w:rPr>
                <w:rFonts w:hint="eastAsia" w:ascii="宋体" w:hAnsi="宋体" w:eastAsia="宋体" w:cs="宋体"/>
                <w:sz w:val="24"/>
              </w:rPr>
            </w:pPr>
          </w:p>
        </w:tc>
        <w:tc>
          <w:tcPr>
            <w:tcW w:w="1535" w:type="dxa"/>
            <w:noWrap w:val="0"/>
            <w:vAlign w:val="top"/>
          </w:tcPr>
          <w:p>
            <w:pPr>
              <w:spacing w:line="400" w:lineRule="atLeast"/>
              <w:rPr>
                <w:rFonts w:hint="eastAsia" w:ascii="宋体" w:hAnsi="宋体" w:eastAsia="宋体" w:cs="宋体"/>
                <w:sz w:val="24"/>
              </w:rPr>
            </w:pPr>
          </w:p>
        </w:tc>
        <w:tc>
          <w:tcPr>
            <w:tcW w:w="713" w:type="dxa"/>
            <w:noWrap w:val="0"/>
            <w:vAlign w:val="top"/>
          </w:tcPr>
          <w:p>
            <w:pPr>
              <w:spacing w:line="400" w:lineRule="atLeast"/>
              <w:rPr>
                <w:rFonts w:hint="eastAsia" w:ascii="宋体" w:hAnsi="宋体" w:eastAsia="宋体" w:cs="宋体"/>
                <w:sz w:val="24"/>
              </w:rPr>
            </w:pPr>
          </w:p>
        </w:tc>
      </w:tr>
    </w:tbl>
    <w:p>
      <w:pPr>
        <w:spacing w:line="400" w:lineRule="atLeast"/>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sz w:val="24"/>
          <w:lang w:val="en-US" w:eastAsia="zh-CN"/>
        </w:rPr>
        <w:t>与谈判</w:t>
      </w:r>
      <w:r>
        <w:rPr>
          <w:rFonts w:hint="eastAsia" w:ascii="宋体" w:hAnsi="宋体" w:eastAsia="宋体" w:cs="宋体"/>
          <w:sz w:val="24"/>
        </w:rPr>
        <w:t>文件</w:t>
      </w:r>
      <w:r>
        <w:rPr>
          <w:rFonts w:hint="eastAsia" w:ascii="宋体" w:hAnsi="宋体" w:eastAsia="宋体" w:cs="宋体"/>
          <w:sz w:val="24"/>
          <w:lang w:val="en-US" w:eastAsia="zh-CN"/>
        </w:rPr>
        <w:t>技术参数</w:t>
      </w:r>
      <w:r>
        <w:rPr>
          <w:rFonts w:hint="eastAsia" w:ascii="宋体" w:hAnsi="宋体" w:eastAsia="宋体" w:cs="宋体"/>
          <w:sz w:val="24"/>
        </w:rPr>
        <w:t>要求逐条对应填写。</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lang w:val="en-US" w:eastAsia="zh-CN"/>
        </w:rPr>
        <w:t>签字或盖章</w:t>
      </w:r>
      <w:r>
        <w:rPr>
          <w:rFonts w:hint="eastAsia" w:ascii="宋体" w:hAnsi="宋体" w:eastAsia="宋体" w:cs="宋体"/>
          <w:color w:val="000000"/>
          <w:sz w:val="24"/>
        </w:rPr>
        <w:t>）</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bookmarkStart w:id="183" w:name="_Toc29190"/>
      <w:bookmarkStart w:id="184" w:name="_Toc1702"/>
      <w:bookmarkStart w:id="185" w:name="_Toc7412"/>
    </w:p>
    <w:p>
      <w:pPr>
        <w:pStyle w:val="15"/>
        <w:rPr>
          <w:rFonts w:hint="eastAsia" w:ascii="宋体" w:hAnsi="宋体" w:eastAsia="宋体" w:cs="宋体"/>
          <w:color w:val="000000"/>
          <w:sz w:val="24"/>
        </w:rPr>
      </w:pPr>
    </w:p>
    <w:p>
      <w:pPr>
        <w:pStyle w:val="15"/>
        <w:rPr>
          <w:rFonts w:hint="eastAsia" w:ascii="宋体" w:hAnsi="宋体" w:eastAsia="宋体" w:cs="宋体"/>
          <w:color w:val="000000"/>
          <w:sz w:val="24"/>
        </w:rPr>
      </w:pPr>
    </w:p>
    <w:p>
      <w:pPr>
        <w:pStyle w:val="15"/>
        <w:rPr>
          <w:rFonts w:hint="eastAsia" w:ascii="宋体" w:hAnsi="宋体" w:eastAsia="宋体" w:cs="宋体"/>
          <w:color w:val="000000"/>
          <w:sz w:val="24"/>
        </w:rPr>
      </w:pPr>
    </w:p>
    <w:p>
      <w:pPr>
        <w:pStyle w:val="2"/>
        <w:numPr>
          <w:ilvl w:val="0"/>
          <w:numId w:val="0"/>
        </w:numPr>
        <w:ind w:leftChars="0"/>
        <w:jc w:val="center"/>
        <w:outlineLvl w:val="0"/>
        <w:rPr>
          <w:rFonts w:hint="eastAsia" w:ascii="宋体" w:hAnsi="宋体" w:eastAsia="宋体" w:cs="宋体"/>
          <w:sz w:val="32"/>
          <w:szCs w:val="32"/>
          <w:lang w:val="en-US" w:eastAsia="zh-CN"/>
        </w:rPr>
      </w:pPr>
      <w:bookmarkStart w:id="186" w:name="_Toc1575"/>
      <w:r>
        <w:rPr>
          <w:rFonts w:hint="eastAsia" w:ascii="宋体" w:hAnsi="宋体" w:eastAsia="宋体" w:cs="宋体"/>
          <w:color w:val="000000"/>
          <w:sz w:val="32"/>
          <w:szCs w:val="32"/>
          <w:lang w:val="en-US" w:eastAsia="zh-CN"/>
        </w:rPr>
        <w:t>五、</w:t>
      </w:r>
      <w:r>
        <w:rPr>
          <w:rFonts w:hint="eastAsia" w:ascii="宋体" w:hAnsi="宋体" w:eastAsia="宋体" w:cs="宋体"/>
          <w:color w:val="000000"/>
          <w:sz w:val="32"/>
          <w:szCs w:val="32"/>
        </w:rPr>
        <w:t>商务条款偏离表</w:t>
      </w:r>
      <w:bookmarkEnd w:id="183"/>
      <w:bookmarkEnd w:id="184"/>
      <w:bookmarkEnd w:id="185"/>
      <w:bookmarkEnd w:id="186"/>
    </w:p>
    <w:p>
      <w:pPr>
        <w:spacing w:line="400" w:lineRule="atLeast"/>
        <w:ind w:firstLine="240" w:firstLineChars="100"/>
        <w:rPr>
          <w:rFonts w:hint="eastAsia" w:ascii="宋体" w:hAnsi="宋体" w:eastAsia="宋体" w:cs="宋体"/>
          <w:sz w:val="24"/>
          <w:u w:val="single"/>
        </w:rPr>
      </w:pPr>
      <w:r>
        <w:rPr>
          <w:rFonts w:hint="eastAsia" w:ascii="宋体" w:hAnsi="宋体" w:eastAsia="宋体" w:cs="宋体"/>
          <w:sz w:val="24"/>
          <w:lang w:val="en-US" w:eastAsia="zh-CN"/>
        </w:rPr>
        <w:t>投标人</w:t>
      </w:r>
      <w:r>
        <w:rPr>
          <w:rFonts w:hint="eastAsia" w:ascii="宋体" w:hAnsi="宋体" w:eastAsia="宋体" w:cs="宋体"/>
          <w:sz w:val="24"/>
        </w:rPr>
        <w:t>名称（公章）：</w:t>
      </w:r>
      <w:r>
        <w:rPr>
          <w:rFonts w:hint="eastAsia" w:ascii="宋体" w:hAnsi="宋体" w:eastAsia="宋体" w:cs="宋体"/>
          <w:sz w:val="24"/>
          <w:u w:val="single"/>
        </w:rPr>
        <w:t xml:space="preserve">         　　　　　  </w:t>
      </w:r>
      <w:r>
        <w:rPr>
          <w:rFonts w:hint="eastAsia" w:ascii="宋体" w:hAnsi="宋体" w:eastAsia="宋体" w:cs="宋体"/>
          <w:sz w:val="24"/>
        </w:rPr>
        <w:t>项目编号/包号：</w:t>
      </w:r>
      <w:r>
        <w:rPr>
          <w:rFonts w:hint="eastAsia" w:ascii="宋体" w:hAnsi="宋体" w:eastAsia="宋体" w:cs="宋体"/>
          <w:sz w:val="24"/>
          <w:u w:val="single"/>
        </w:rPr>
        <w:t>　　　　　　　　　　　</w:t>
      </w:r>
    </w:p>
    <w:tbl>
      <w:tblPr>
        <w:tblStyle w:val="20"/>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2000"/>
        <w:gridCol w:w="3053"/>
        <w:gridCol w:w="2819"/>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26"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序号</w:t>
            </w:r>
          </w:p>
        </w:tc>
        <w:tc>
          <w:tcPr>
            <w:tcW w:w="2000"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文件</w:t>
            </w:r>
          </w:p>
          <w:p>
            <w:pPr>
              <w:spacing w:line="400" w:lineRule="atLeast"/>
              <w:jc w:val="center"/>
              <w:rPr>
                <w:rFonts w:hint="eastAsia" w:ascii="宋体" w:hAnsi="宋体" w:eastAsia="宋体" w:cs="宋体"/>
                <w:sz w:val="24"/>
              </w:rPr>
            </w:pPr>
            <w:r>
              <w:rPr>
                <w:rFonts w:hint="eastAsia" w:ascii="宋体" w:hAnsi="宋体" w:eastAsia="宋体" w:cs="宋体"/>
                <w:color w:val="000000"/>
                <w:sz w:val="24"/>
              </w:rPr>
              <w:t>条目号</w:t>
            </w:r>
          </w:p>
        </w:tc>
        <w:tc>
          <w:tcPr>
            <w:tcW w:w="3053"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文件的</w:t>
            </w:r>
          </w:p>
          <w:p>
            <w:pPr>
              <w:spacing w:line="400" w:lineRule="atLeast"/>
              <w:jc w:val="center"/>
              <w:rPr>
                <w:rFonts w:hint="eastAsia" w:ascii="宋体" w:hAnsi="宋体" w:eastAsia="宋体" w:cs="宋体"/>
                <w:sz w:val="24"/>
              </w:rPr>
            </w:pPr>
            <w:r>
              <w:rPr>
                <w:rFonts w:hint="eastAsia" w:ascii="宋体" w:hAnsi="宋体" w:eastAsia="宋体" w:cs="宋体"/>
                <w:color w:val="000000"/>
                <w:sz w:val="24"/>
              </w:rPr>
              <w:t>商务条款</w:t>
            </w:r>
          </w:p>
        </w:tc>
        <w:tc>
          <w:tcPr>
            <w:tcW w:w="2819" w:type="dxa"/>
            <w:noWrap w:val="0"/>
            <w:vAlign w:val="center"/>
          </w:tcPr>
          <w:p>
            <w:pPr>
              <w:pageBreakBefore w:val="0"/>
              <w:kinsoku/>
              <w:wordWrap/>
              <w:overflowPunct/>
              <w:topLinePunct w:val="0"/>
              <w:bidi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lang w:eastAsia="zh-CN"/>
              </w:rPr>
              <w:t>谈判响应文件</w:t>
            </w:r>
            <w:r>
              <w:rPr>
                <w:rFonts w:hint="eastAsia" w:ascii="宋体" w:hAnsi="宋体" w:eastAsia="宋体" w:cs="宋体"/>
                <w:color w:val="000000"/>
                <w:sz w:val="24"/>
              </w:rPr>
              <w:t>的</w:t>
            </w:r>
          </w:p>
          <w:p>
            <w:pPr>
              <w:spacing w:line="400" w:lineRule="atLeast"/>
              <w:jc w:val="center"/>
              <w:rPr>
                <w:rFonts w:hint="eastAsia" w:ascii="宋体" w:hAnsi="宋体" w:eastAsia="宋体" w:cs="宋体"/>
                <w:sz w:val="24"/>
              </w:rPr>
            </w:pPr>
            <w:r>
              <w:rPr>
                <w:rFonts w:hint="eastAsia" w:ascii="宋体" w:hAnsi="宋体" w:eastAsia="宋体" w:cs="宋体"/>
                <w:color w:val="000000"/>
                <w:sz w:val="24"/>
              </w:rPr>
              <w:t>商务条款</w:t>
            </w:r>
          </w:p>
        </w:tc>
        <w:tc>
          <w:tcPr>
            <w:tcW w:w="784" w:type="dxa"/>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26" w:type="dxa"/>
            <w:noWrap w:val="0"/>
            <w:vAlign w:val="top"/>
          </w:tcPr>
          <w:p>
            <w:pPr>
              <w:spacing w:line="400" w:lineRule="atLeast"/>
              <w:rPr>
                <w:rFonts w:hint="eastAsia" w:ascii="宋体" w:hAnsi="宋体" w:eastAsia="宋体" w:cs="宋体"/>
                <w:sz w:val="24"/>
              </w:rPr>
            </w:pPr>
          </w:p>
          <w:p>
            <w:pPr>
              <w:spacing w:line="400" w:lineRule="atLeast"/>
              <w:rPr>
                <w:rFonts w:hint="eastAsia" w:ascii="宋体" w:hAnsi="宋体" w:eastAsia="宋体" w:cs="宋体"/>
                <w:sz w:val="24"/>
              </w:rPr>
            </w:pPr>
          </w:p>
        </w:tc>
        <w:tc>
          <w:tcPr>
            <w:tcW w:w="2000" w:type="dxa"/>
            <w:noWrap w:val="0"/>
            <w:vAlign w:val="top"/>
          </w:tcPr>
          <w:p>
            <w:pPr>
              <w:widowControl/>
              <w:spacing w:line="400" w:lineRule="atLeast"/>
              <w:jc w:val="left"/>
              <w:rPr>
                <w:rFonts w:hint="eastAsia" w:ascii="宋体" w:hAnsi="宋体" w:eastAsia="宋体" w:cs="宋体"/>
                <w:sz w:val="24"/>
              </w:rPr>
            </w:pPr>
          </w:p>
          <w:p>
            <w:pPr>
              <w:spacing w:line="400" w:lineRule="atLeast"/>
              <w:rPr>
                <w:rFonts w:hint="eastAsia" w:ascii="宋体" w:hAnsi="宋体" w:eastAsia="宋体" w:cs="宋体"/>
                <w:sz w:val="24"/>
              </w:rPr>
            </w:pPr>
          </w:p>
        </w:tc>
        <w:tc>
          <w:tcPr>
            <w:tcW w:w="3053" w:type="dxa"/>
            <w:noWrap w:val="0"/>
            <w:vAlign w:val="top"/>
          </w:tcPr>
          <w:p>
            <w:pPr>
              <w:spacing w:line="400" w:lineRule="atLeast"/>
              <w:rPr>
                <w:rFonts w:hint="eastAsia" w:ascii="宋体" w:hAnsi="宋体" w:eastAsia="宋体" w:cs="宋体"/>
                <w:sz w:val="24"/>
              </w:rPr>
            </w:pPr>
          </w:p>
        </w:tc>
        <w:tc>
          <w:tcPr>
            <w:tcW w:w="2819" w:type="dxa"/>
            <w:noWrap w:val="0"/>
            <w:vAlign w:val="top"/>
          </w:tcPr>
          <w:p>
            <w:pPr>
              <w:spacing w:line="400" w:lineRule="atLeast"/>
              <w:rPr>
                <w:rFonts w:hint="eastAsia" w:ascii="宋体" w:hAnsi="宋体" w:eastAsia="宋体" w:cs="宋体"/>
                <w:sz w:val="24"/>
              </w:rPr>
            </w:pPr>
          </w:p>
        </w:tc>
        <w:tc>
          <w:tcPr>
            <w:tcW w:w="784" w:type="dxa"/>
            <w:noWrap w:val="0"/>
            <w:vAlign w:val="top"/>
          </w:tcPr>
          <w:p>
            <w:pPr>
              <w:spacing w:line="400" w:lineRule="atLeast"/>
              <w:rPr>
                <w:rFonts w:hint="eastAsia" w:ascii="宋体" w:hAnsi="宋体" w:eastAsia="宋体" w:cs="宋体"/>
                <w:sz w:val="24"/>
              </w:rPr>
            </w:pPr>
          </w:p>
        </w:tc>
      </w:tr>
    </w:tbl>
    <w:p>
      <w:pPr>
        <w:spacing w:line="400" w:lineRule="atLeast"/>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sz w:val="24"/>
          <w:lang w:val="en-US" w:eastAsia="zh-CN"/>
        </w:rPr>
        <w:t>与谈判</w:t>
      </w:r>
      <w:r>
        <w:rPr>
          <w:rFonts w:hint="eastAsia" w:ascii="宋体" w:hAnsi="宋体" w:eastAsia="宋体" w:cs="宋体"/>
          <w:sz w:val="24"/>
        </w:rPr>
        <w:t>文件</w:t>
      </w:r>
      <w:r>
        <w:rPr>
          <w:rFonts w:hint="eastAsia" w:ascii="宋体" w:hAnsi="宋体" w:eastAsia="宋体" w:cs="宋体"/>
          <w:sz w:val="24"/>
          <w:lang w:val="en-US" w:eastAsia="zh-CN"/>
        </w:rPr>
        <w:t>技术参数</w:t>
      </w:r>
      <w:r>
        <w:rPr>
          <w:rFonts w:hint="eastAsia" w:ascii="宋体" w:hAnsi="宋体" w:eastAsia="宋体" w:cs="宋体"/>
          <w:sz w:val="24"/>
        </w:rPr>
        <w:t>要求逐条对应填写。</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lang w:val="en-US" w:eastAsia="zh-CN"/>
        </w:rPr>
        <w:t>签字或盖章</w:t>
      </w:r>
      <w:r>
        <w:rPr>
          <w:rFonts w:hint="eastAsia" w:ascii="宋体" w:hAnsi="宋体" w:eastAsia="宋体" w:cs="宋体"/>
          <w:color w:val="000000"/>
          <w:sz w:val="24"/>
        </w:rPr>
        <w:t>）</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numPr>
          <w:ilvl w:val="0"/>
          <w:numId w:val="0"/>
        </w:numPr>
        <w:rPr>
          <w:rFonts w:hint="eastAsia" w:ascii="宋体" w:hAnsi="宋体" w:eastAsia="宋体" w:cs="宋体"/>
        </w:rPr>
      </w:pPr>
    </w:p>
    <w:p>
      <w:pPr>
        <w:rPr>
          <w:rFonts w:hint="eastAsia" w:ascii="宋体" w:hAnsi="宋体" w:eastAsia="宋体" w:cs="宋体"/>
          <w:b/>
          <w:bCs w:val="0"/>
          <w:kern w:val="2"/>
          <w:sz w:val="32"/>
          <w:szCs w:val="32"/>
          <w:lang w:val="en-US" w:eastAsia="zh-CN" w:bidi="ar-SA"/>
        </w:rPr>
      </w:pPr>
      <w:bookmarkStart w:id="187" w:name="_Toc1722"/>
      <w:bookmarkStart w:id="188" w:name="_Toc5494"/>
      <w:r>
        <w:rPr>
          <w:rFonts w:hint="eastAsia" w:ascii="宋体" w:hAnsi="宋体" w:eastAsia="宋体" w:cs="宋体"/>
          <w:b/>
          <w:bCs w:val="0"/>
          <w:kern w:val="2"/>
          <w:sz w:val="32"/>
          <w:szCs w:val="32"/>
          <w:lang w:val="en-US" w:eastAsia="zh-CN" w:bidi="ar-SA"/>
        </w:rPr>
        <w:br w:type="page"/>
      </w:r>
    </w:p>
    <w:p>
      <w:pPr>
        <w:pStyle w:val="2"/>
        <w:numPr>
          <w:ilvl w:val="0"/>
          <w:numId w:val="0"/>
        </w:numPr>
        <w:ind w:leftChars="0"/>
        <w:jc w:val="center"/>
        <w:outlineLvl w:val="0"/>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六、投标人基本情况表</w:t>
      </w:r>
      <w:bookmarkEnd w:id="187"/>
      <w:bookmarkEnd w:id="188"/>
    </w:p>
    <w:tbl>
      <w:tblPr>
        <w:tblStyle w:val="20"/>
        <w:tblW w:w="9760"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337"/>
        <w:gridCol w:w="1057"/>
        <w:gridCol w:w="822"/>
        <w:gridCol w:w="1511"/>
        <w:gridCol w:w="85"/>
        <w:gridCol w:w="1476"/>
        <w:gridCol w:w="642"/>
        <w:gridCol w:w="571"/>
        <w:gridCol w:w="1259"/>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8"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投标人名称</w:t>
            </w:r>
          </w:p>
        </w:tc>
        <w:tc>
          <w:tcPr>
            <w:tcW w:w="7423"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5"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注册地址</w:t>
            </w:r>
          </w:p>
        </w:tc>
        <w:tc>
          <w:tcPr>
            <w:tcW w:w="3390"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156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邮政编码</w:t>
            </w:r>
          </w:p>
        </w:tc>
        <w:tc>
          <w:tcPr>
            <w:tcW w:w="2472"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8" w:hRule="atLeast"/>
          <w:jc w:val="center"/>
        </w:trPr>
        <w:tc>
          <w:tcPr>
            <w:tcW w:w="2337"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联系方式</w:t>
            </w:r>
          </w:p>
        </w:tc>
        <w:tc>
          <w:tcPr>
            <w:tcW w:w="10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联系人</w:t>
            </w:r>
          </w:p>
        </w:tc>
        <w:tc>
          <w:tcPr>
            <w:tcW w:w="233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156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电话</w:t>
            </w:r>
          </w:p>
        </w:tc>
        <w:tc>
          <w:tcPr>
            <w:tcW w:w="2472"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8" w:hRule="atLeast"/>
          <w:jc w:val="center"/>
        </w:trPr>
        <w:tc>
          <w:tcPr>
            <w:tcW w:w="233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10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传真</w:t>
            </w:r>
          </w:p>
        </w:tc>
        <w:tc>
          <w:tcPr>
            <w:tcW w:w="233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1561"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网址</w:t>
            </w:r>
          </w:p>
        </w:tc>
        <w:tc>
          <w:tcPr>
            <w:tcW w:w="2472"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企业性质</w:t>
            </w:r>
          </w:p>
        </w:tc>
        <w:tc>
          <w:tcPr>
            <w:tcW w:w="7423"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法定代表人</w:t>
            </w:r>
          </w:p>
        </w:tc>
        <w:tc>
          <w:tcPr>
            <w:tcW w:w="10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姓名</w:t>
            </w:r>
          </w:p>
        </w:tc>
        <w:tc>
          <w:tcPr>
            <w:tcW w:w="82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1596"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技术职称</w:t>
            </w:r>
          </w:p>
        </w:tc>
        <w:tc>
          <w:tcPr>
            <w:tcW w:w="147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6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电话</w:t>
            </w:r>
          </w:p>
        </w:tc>
        <w:tc>
          <w:tcPr>
            <w:tcW w:w="183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技术负责人</w:t>
            </w:r>
          </w:p>
        </w:tc>
        <w:tc>
          <w:tcPr>
            <w:tcW w:w="10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姓名</w:t>
            </w:r>
          </w:p>
        </w:tc>
        <w:tc>
          <w:tcPr>
            <w:tcW w:w="82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1596"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技术职称</w:t>
            </w:r>
          </w:p>
        </w:tc>
        <w:tc>
          <w:tcPr>
            <w:tcW w:w="147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6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电话</w:t>
            </w:r>
          </w:p>
        </w:tc>
        <w:tc>
          <w:tcPr>
            <w:tcW w:w="183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1"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成立时间</w:t>
            </w:r>
          </w:p>
        </w:tc>
        <w:tc>
          <w:tcPr>
            <w:tcW w:w="187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5544"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员工总人数：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4"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营业执照号</w:t>
            </w:r>
          </w:p>
        </w:tc>
        <w:tc>
          <w:tcPr>
            <w:tcW w:w="187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1511" w:type="dxa"/>
            <w:vMerge w:val="restart"/>
            <w:tcBorders>
              <w:top w:val="single" w:color="000000" w:sz="6" w:space="0"/>
              <w:left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2774"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125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5"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注册资金（万元）</w:t>
            </w:r>
          </w:p>
        </w:tc>
        <w:tc>
          <w:tcPr>
            <w:tcW w:w="187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1511"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2774"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125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2"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开户银行</w:t>
            </w:r>
          </w:p>
        </w:tc>
        <w:tc>
          <w:tcPr>
            <w:tcW w:w="187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1511"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2774"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125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8"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账 号</w:t>
            </w:r>
          </w:p>
        </w:tc>
        <w:tc>
          <w:tcPr>
            <w:tcW w:w="187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1511"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2774"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c>
          <w:tcPr>
            <w:tcW w:w="125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经营范围</w:t>
            </w:r>
          </w:p>
        </w:tc>
        <w:tc>
          <w:tcPr>
            <w:tcW w:w="7423"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jc w:val="center"/>
        </w:trPr>
        <w:tc>
          <w:tcPr>
            <w:tcW w:w="23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r>
              <w:rPr>
                <w:rFonts w:hint="eastAsia" w:ascii="宋体" w:hAnsi="宋体" w:eastAsia="宋体" w:cs="宋体"/>
                <w:sz w:val="24"/>
              </w:rPr>
              <w:t>备 注</w:t>
            </w:r>
          </w:p>
        </w:tc>
        <w:tc>
          <w:tcPr>
            <w:tcW w:w="7423" w:type="dxa"/>
            <w:gridSpan w:val="8"/>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400" w:lineRule="atLeast"/>
              <w:jc w:val="center"/>
              <w:rPr>
                <w:rFonts w:hint="eastAsia" w:ascii="宋体" w:hAnsi="宋体" w:eastAsia="宋体" w:cs="宋体"/>
                <w:sz w:val="24"/>
              </w:rPr>
            </w:pPr>
          </w:p>
        </w:tc>
      </w:tr>
    </w:tbl>
    <w:p>
      <w:pPr>
        <w:rPr>
          <w:rFonts w:hint="eastAsia" w:ascii="宋体" w:hAnsi="宋体" w:eastAsia="宋体" w:cs="宋体"/>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谈判响应人：（盖章）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法定代表人或授权委托人：（</w:t>
      </w:r>
      <w:r>
        <w:rPr>
          <w:rFonts w:hint="eastAsia" w:ascii="宋体" w:hAnsi="宋体" w:eastAsia="宋体" w:cs="宋体"/>
          <w:color w:val="000000"/>
          <w:sz w:val="24"/>
          <w:lang w:val="en-US" w:eastAsia="zh-CN"/>
        </w:rPr>
        <w:t>签字或盖章</w:t>
      </w:r>
      <w:r>
        <w:rPr>
          <w:rFonts w:hint="eastAsia" w:ascii="宋体" w:hAnsi="宋体" w:eastAsia="宋体" w:cs="宋体"/>
          <w:color w:val="000000"/>
          <w:sz w:val="24"/>
        </w:rPr>
        <w:t>）</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pStyle w:val="4"/>
        <w:spacing w:before="156" w:beforeLines="0" w:after="156" w:afterLines="0"/>
        <w:ind w:firstLine="2168" w:firstLineChars="900"/>
        <w:jc w:val="both"/>
        <w:outlineLvl w:val="9"/>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6"/>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6"/>
        <w:rPr>
          <w:rFonts w:hint="eastAsia" w:ascii="宋体" w:hAnsi="宋体" w:eastAsia="宋体" w:cs="宋体"/>
        </w:rPr>
      </w:pPr>
    </w:p>
    <w:p>
      <w:pPr>
        <w:pStyle w:val="18"/>
        <w:rPr>
          <w:rFonts w:hint="eastAsia" w:ascii="宋体" w:hAnsi="宋体" w:eastAsia="宋体" w:cs="宋体"/>
          <w:color w:val="000000"/>
          <w:sz w:val="24"/>
          <w:szCs w:val="24"/>
        </w:rPr>
      </w:pPr>
    </w:p>
    <w:p>
      <w:pPr>
        <w:rPr>
          <w:rFonts w:hint="eastAsia" w:ascii="宋体" w:hAnsi="宋体" w:eastAsia="宋体" w:cs="宋体"/>
          <w:b/>
          <w:bCs/>
          <w:sz w:val="28"/>
          <w:szCs w:val="36"/>
          <w:lang w:eastAsia="zh-CN"/>
        </w:rPr>
      </w:pPr>
      <w:bookmarkStart w:id="189" w:name="_Toc22"/>
      <w:bookmarkStart w:id="190" w:name="_Toc7040"/>
      <w:bookmarkStart w:id="191" w:name="_Toc21580"/>
      <w:r>
        <w:rPr>
          <w:rFonts w:hint="eastAsia" w:ascii="宋体" w:hAnsi="宋体" w:eastAsia="宋体" w:cs="宋体"/>
          <w:b/>
          <w:bCs/>
          <w:sz w:val="28"/>
          <w:szCs w:val="36"/>
          <w:lang w:eastAsia="zh-CN"/>
        </w:rPr>
        <w:br w:type="page"/>
      </w:r>
    </w:p>
    <w:p>
      <w:pPr>
        <w:pStyle w:val="3"/>
        <w:numPr>
          <w:ilvl w:val="0"/>
          <w:numId w:val="0"/>
        </w:numPr>
        <w:bidi w:val="0"/>
        <w:ind w:leftChars="0"/>
        <w:jc w:val="center"/>
        <w:rPr>
          <w:rFonts w:hint="eastAsia" w:ascii="宋体" w:hAnsi="宋体" w:eastAsia="宋体" w:cs="宋体"/>
          <w:b/>
          <w:bCs/>
          <w:sz w:val="28"/>
          <w:szCs w:val="36"/>
          <w:lang w:eastAsia="zh-CN"/>
        </w:rPr>
      </w:pPr>
    </w:p>
    <w:p>
      <w:pPr>
        <w:pStyle w:val="3"/>
        <w:numPr>
          <w:ilvl w:val="0"/>
          <w:numId w:val="0"/>
        </w:numPr>
        <w:bidi w:val="0"/>
        <w:ind w:leftChars="0"/>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报价人证明谈判资格合格的相关证件证明的复印件</w:t>
      </w:r>
      <w:bookmarkEnd w:id="189"/>
      <w:bookmarkEnd w:id="190"/>
      <w:bookmarkEnd w:id="191"/>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投标人按下列要求提交资格文件：</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具有经年审合格的企业法人营业执照</w:t>
      </w:r>
      <w:r>
        <w:rPr>
          <w:rFonts w:hint="eastAsia" w:ascii="宋体" w:hAnsi="宋体" w:eastAsia="宋体" w:cs="宋体"/>
          <w:b w:val="0"/>
          <w:bCs w:val="0"/>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2、提供法人近三个月社保证明。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银行开户许可证</w:t>
      </w:r>
      <w:r>
        <w:rPr>
          <w:rFonts w:hint="eastAsia" w:ascii="宋体" w:hAnsi="宋体" w:eastAsia="宋体" w:cs="宋体"/>
          <w:b w:val="0"/>
          <w:bCs w:val="0"/>
          <w:color w:val="auto"/>
          <w:sz w:val="24"/>
          <w:szCs w:val="24"/>
        </w:rPr>
        <w:t>复印件</w:t>
      </w:r>
      <w:r>
        <w:rPr>
          <w:rFonts w:hint="eastAsia" w:ascii="宋体" w:hAnsi="宋体" w:eastAsia="宋体" w:cs="宋体"/>
          <w:b w:val="0"/>
          <w:bCs w:val="0"/>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lang w:val="en-US" w:eastAsia="zh-CN"/>
        </w:rPr>
        <w:t>、提供2022年度的财务审计报告原件（2022年01月份后新成立的公司可不提供但需提供银行出具的近三个月的资信证明原件）；</w:t>
      </w:r>
      <w:r>
        <w:rPr>
          <w:rFonts w:hint="eastAsia" w:ascii="宋体" w:hAnsi="宋体" w:eastAsia="宋体" w:cs="宋体"/>
          <w:color w:val="000000"/>
          <w:kern w:val="0"/>
          <w:sz w:val="24"/>
          <w:highlight w:val="none"/>
          <w:lang w:val="en-US" w:eastAsia="zh-CN"/>
        </w:rPr>
        <w:t>完税证明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5、</w:t>
      </w:r>
      <w:r>
        <w:rPr>
          <w:rFonts w:hint="eastAsia" w:ascii="宋体" w:hAnsi="宋体" w:eastAsia="宋体" w:cs="宋体"/>
          <w:kern w:val="2"/>
          <w:sz w:val="24"/>
          <w:szCs w:val="24"/>
          <w:lang w:val="en-US" w:eastAsia="zh-CN" w:bidi="ar-SA"/>
        </w:rPr>
        <w:t>《林木种子生产许可证》或《林木种子经营许可证》、</w:t>
      </w:r>
      <w:r>
        <w:rPr>
          <w:rFonts w:hint="eastAsia" w:ascii="宋体" w:hAnsi="宋体" w:cs="宋体"/>
          <w:kern w:val="2"/>
          <w:sz w:val="24"/>
          <w:szCs w:val="24"/>
          <w:lang w:val="en-US" w:eastAsia="zh-CN" w:bidi="ar-SA"/>
        </w:rPr>
        <w:t>《林业植物检疫登记证》</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6、网站截图</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其他投标人认为有必要的资质文件</w:t>
      </w:r>
      <w:r>
        <w:rPr>
          <w:rFonts w:hint="eastAsia" w:ascii="宋体" w:hAnsi="宋体" w:eastAsia="宋体" w:cs="宋体"/>
          <w:b w:val="0"/>
          <w:bCs w:val="0"/>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……（招标文件要求和投标人应提供的其他相关证件按上述格式填写）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注</w:t>
      </w:r>
      <w:r>
        <w:rPr>
          <w:rFonts w:hint="eastAsia" w:ascii="宋体" w:hAnsi="宋体" w:eastAsia="宋体" w:cs="宋体"/>
          <w:b w:val="0"/>
          <w:bCs w:val="0"/>
          <w:color w:val="auto"/>
          <w:sz w:val="24"/>
          <w:szCs w:val="24"/>
        </w:rPr>
        <w:t>：</w:t>
      </w:r>
    </w:p>
    <w:p>
      <w:pPr>
        <w:spacing w:line="360" w:lineRule="auto"/>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投标人应自行承担所提供上述资料任何错漏而导致的一切后果。</w:t>
      </w:r>
    </w:p>
    <w:p>
      <w:pPr>
        <w:keepNext w:val="0"/>
        <w:keepLines w:val="0"/>
        <w:pageBreakBefore w:val="0"/>
        <w:kinsoku/>
        <w:wordWrap/>
        <w:overflowPunct/>
        <w:topLinePunct w:val="0"/>
        <w:autoSpaceDE/>
        <w:autoSpaceDN/>
        <w:bidi w:val="0"/>
        <w:adjustRightInd/>
        <w:snapToGrid/>
        <w:spacing w:line="320" w:lineRule="exact"/>
        <w:ind w:firstLine="236" w:firstLineChars="98"/>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）所附的资格证明文件的复印件或影印件含糊不清，导致无法辨认的，其投标将被否决。</w:t>
      </w:r>
    </w:p>
    <w:bookmarkEnd w:id="181"/>
    <w:p>
      <w:pPr>
        <w:spacing w:before="163" w:line="229" w:lineRule="auto"/>
        <w:ind w:left="0" w:leftChars="0" w:firstLine="0" w:firstLineChars="0"/>
        <w:jc w:val="center"/>
        <w:rPr>
          <w:rFonts w:hint="eastAsia" w:ascii="宋体" w:hAnsi="宋体" w:eastAsia="宋体" w:cs="宋体"/>
          <w:sz w:val="35"/>
          <w:szCs w:val="35"/>
          <w:lang w:eastAsia="zh-CN"/>
        </w:rPr>
      </w:pPr>
      <w:bookmarkStart w:id="192" w:name="_Toc21278"/>
      <w:r>
        <w:rPr>
          <w:rFonts w:hint="eastAsia" w:ascii="宋体" w:hAnsi="宋体" w:eastAsia="宋体" w:cs="宋体"/>
          <w:b/>
          <w:bCs w:val="0"/>
          <w:kern w:val="2"/>
          <w:sz w:val="32"/>
          <w:szCs w:val="32"/>
          <w:lang w:val="en-US" w:eastAsia="zh-CN" w:bidi="ar-SA"/>
        </w:rPr>
        <w:br w:type="page"/>
      </w:r>
      <w:r>
        <w:rPr>
          <w:rFonts w:hint="eastAsia" w:ascii="宋体" w:hAnsi="宋体" w:eastAsia="宋体" w:cs="宋体"/>
          <w:spacing w:val="9"/>
          <w:sz w:val="35"/>
          <w:szCs w:val="35"/>
        </w:rPr>
        <w:t>中</w:t>
      </w:r>
      <w:r>
        <w:rPr>
          <w:rFonts w:hint="eastAsia" w:ascii="宋体" w:hAnsi="宋体" w:eastAsia="宋体" w:cs="宋体"/>
          <w:spacing w:val="5"/>
          <w:sz w:val="35"/>
          <w:szCs w:val="35"/>
        </w:rPr>
        <w:t>小企业声明函 (货物)</w:t>
      </w:r>
      <w:r>
        <w:rPr>
          <w:rFonts w:hint="eastAsia" w:ascii="宋体" w:hAnsi="宋体" w:eastAsia="宋体" w:cs="宋体"/>
          <w:spacing w:val="5"/>
          <w:sz w:val="35"/>
          <w:szCs w:val="35"/>
          <w:lang w:eastAsia="zh-CN"/>
        </w:rPr>
        <w:t>（</w:t>
      </w:r>
      <w:r>
        <w:rPr>
          <w:rFonts w:hint="eastAsia" w:ascii="宋体" w:hAnsi="宋体" w:eastAsia="宋体" w:cs="宋体"/>
          <w:spacing w:val="5"/>
          <w:sz w:val="35"/>
          <w:szCs w:val="35"/>
          <w:lang w:val="en-US" w:eastAsia="zh-CN"/>
        </w:rPr>
        <w:t>如有</w:t>
      </w:r>
      <w:r>
        <w:rPr>
          <w:rFonts w:hint="eastAsia" w:ascii="宋体" w:hAnsi="宋体" w:eastAsia="宋体" w:cs="宋体"/>
          <w:spacing w:val="5"/>
          <w:sz w:val="35"/>
          <w:szCs w:val="35"/>
          <w:lang w:eastAsia="zh-CN"/>
        </w:rPr>
        <w:t>）</w:t>
      </w:r>
    </w:p>
    <w:p>
      <w:pPr>
        <w:spacing w:line="275" w:lineRule="auto"/>
        <w:rPr>
          <w:rFonts w:hint="eastAsia" w:ascii="宋体" w:hAnsi="宋体" w:eastAsia="宋体" w:cs="宋体"/>
          <w:sz w:val="21"/>
        </w:rPr>
      </w:pPr>
    </w:p>
    <w:p>
      <w:pPr>
        <w:spacing w:line="275" w:lineRule="auto"/>
        <w:rPr>
          <w:rFonts w:hint="eastAsia" w:ascii="宋体" w:hAnsi="宋体" w:eastAsia="宋体" w:cs="宋体"/>
          <w:sz w:val="21"/>
        </w:rPr>
      </w:pPr>
    </w:p>
    <w:p>
      <w:pPr>
        <w:spacing w:line="460" w:lineRule="exact"/>
        <w:ind w:firstLine="496" w:firstLineChars="20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 xml:space="preserve">本公司 (联合体) 郑重声明，根据《政府采购促进中小企业发展管理办法》(财库 ﹝ 2020 ﹞ 46 号) 的规定，本公司 </w:t>
      </w:r>
      <w:r>
        <w:rPr>
          <w:rFonts w:hint="eastAsia" w:ascii="宋体" w:hAnsi="宋体" w:eastAsia="宋体" w:cs="宋体"/>
          <w:color w:val="auto"/>
          <w:spacing w:val="4"/>
          <w:kern w:val="2"/>
          <w:sz w:val="24"/>
          <w:szCs w:val="24"/>
          <w:highlight w:val="none"/>
          <w:u w:val="none"/>
          <w:lang w:val="en-US" w:eastAsia="zh-CN" w:bidi="ar-SA"/>
        </w:rPr>
        <w:tab/>
      </w:r>
      <w:r>
        <w:rPr>
          <w:rFonts w:hint="eastAsia" w:ascii="宋体" w:hAnsi="宋体" w:eastAsia="宋体" w:cs="宋体"/>
          <w:color w:val="auto"/>
          <w:spacing w:val="4"/>
          <w:kern w:val="2"/>
          <w:sz w:val="24"/>
          <w:szCs w:val="24"/>
          <w:highlight w:val="none"/>
          <w:u w:val="none"/>
          <w:lang w:val="en-US" w:eastAsia="zh-CN" w:bidi="ar-SA"/>
        </w:rPr>
        <w:t>(联合体) 参加 (单位名称)的 (项目名称) 采购活动，提供的货物全部由符合政策要求的中小企业制造。相关企业(含联合体中的中小企业、签订分包意向协议的中小企业) 的具体情况如下：</w:t>
      </w:r>
    </w:p>
    <w:p>
      <w:pPr>
        <w:spacing w:line="460" w:lineRule="exact"/>
        <w:ind w:firstLine="496" w:firstLineChars="20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1. (标的名称) ，属于 (采购文件中明确的所属行业)行业；制造商为 (企业名称)，从业人员</w:t>
      </w:r>
      <w:r>
        <w:rPr>
          <w:rFonts w:hint="eastAsia" w:ascii="宋体" w:hAnsi="宋体" w:eastAsia="宋体" w:cs="宋体"/>
          <w:color w:val="auto"/>
          <w:spacing w:val="4"/>
          <w:kern w:val="2"/>
          <w:sz w:val="24"/>
          <w:szCs w:val="24"/>
          <w:highlight w:val="none"/>
          <w:u w:val="single"/>
          <w:lang w:val="en-US" w:eastAsia="zh-CN" w:bidi="ar-SA"/>
        </w:rPr>
        <w:t xml:space="preserve">      </w:t>
      </w:r>
      <w:r>
        <w:rPr>
          <w:rFonts w:hint="eastAsia" w:ascii="宋体" w:hAnsi="宋体" w:eastAsia="宋体" w:cs="宋体"/>
          <w:color w:val="auto"/>
          <w:spacing w:val="4"/>
          <w:kern w:val="2"/>
          <w:sz w:val="24"/>
          <w:szCs w:val="24"/>
          <w:highlight w:val="none"/>
          <w:u w:val="none"/>
          <w:lang w:val="en-US" w:eastAsia="zh-CN" w:bidi="ar-SA"/>
        </w:rPr>
        <w:t xml:space="preserve">人，营业收入为 </w:t>
      </w:r>
      <w:r>
        <w:rPr>
          <w:rFonts w:hint="eastAsia" w:ascii="宋体" w:hAnsi="宋体" w:eastAsia="宋体" w:cs="宋体"/>
          <w:color w:val="auto"/>
          <w:spacing w:val="4"/>
          <w:kern w:val="2"/>
          <w:sz w:val="24"/>
          <w:szCs w:val="24"/>
          <w:highlight w:val="none"/>
          <w:u w:val="single"/>
          <w:lang w:val="en-US" w:eastAsia="zh-CN" w:bidi="ar-SA"/>
        </w:rPr>
        <w:t xml:space="preserve">   </w:t>
      </w:r>
      <w:r>
        <w:rPr>
          <w:rFonts w:hint="eastAsia" w:ascii="宋体" w:hAnsi="宋体" w:eastAsia="宋体" w:cs="宋体"/>
          <w:color w:val="auto"/>
          <w:spacing w:val="4"/>
          <w:kern w:val="2"/>
          <w:sz w:val="24"/>
          <w:szCs w:val="24"/>
          <w:highlight w:val="none"/>
          <w:u w:val="none"/>
          <w:lang w:val="en-US" w:eastAsia="zh-CN" w:bidi="ar-SA"/>
        </w:rPr>
        <w:t>万元，资产总额为</w:t>
      </w:r>
      <w:r>
        <w:rPr>
          <w:rFonts w:hint="eastAsia" w:ascii="宋体" w:hAnsi="宋体" w:eastAsia="宋体" w:cs="宋体"/>
          <w:color w:val="auto"/>
          <w:spacing w:val="4"/>
          <w:kern w:val="2"/>
          <w:sz w:val="24"/>
          <w:szCs w:val="24"/>
          <w:highlight w:val="none"/>
          <w:u w:val="single"/>
          <w:lang w:val="en-US" w:eastAsia="zh-CN" w:bidi="ar-SA"/>
        </w:rPr>
        <w:t xml:space="preserve">    </w:t>
      </w:r>
      <w:r>
        <w:rPr>
          <w:rFonts w:hint="eastAsia" w:ascii="宋体" w:hAnsi="宋体" w:eastAsia="宋体" w:cs="宋体"/>
          <w:color w:val="auto"/>
          <w:spacing w:val="4"/>
          <w:kern w:val="2"/>
          <w:sz w:val="24"/>
          <w:szCs w:val="24"/>
          <w:highlight w:val="none"/>
          <w:u w:val="none"/>
          <w:lang w:val="en-US" w:eastAsia="zh-CN" w:bidi="ar-SA"/>
        </w:rPr>
        <w:t>万元 ，属于 (中型企业、小型企业、微型企业)；</w:t>
      </w:r>
    </w:p>
    <w:p>
      <w:pPr>
        <w:spacing w:line="460" w:lineRule="exact"/>
        <w:ind w:firstLine="496" w:firstLineChars="20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2. (标的名称) ，属于 (采购文件中明确的所属行业) 行业；制造商为 (企业名称)，从业人员</w:t>
      </w:r>
      <w:r>
        <w:rPr>
          <w:rFonts w:hint="eastAsia" w:ascii="宋体" w:hAnsi="宋体" w:eastAsia="宋体" w:cs="宋体"/>
          <w:color w:val="auto"/>
          <w:spacing w:val="4"/>
          <w:kern w:val="2"/>
          <w:sz w:val="24"/>
          <w:szCs w:val="24"/>
          <w:highlight w:val="none"/>
          <w:u w:val="single"/>
          <w:lang w:val="en-US" w:eastAsia="zh-CN" w:bidi="ar-SA"/>
        </w:rPr>
        <w:t xml:space="preserve">    </w:t>
      </w:r>
      <w:r>
        <w:rPr>
          <w:rFonts w:hint="eastAsia" w:ascii="宋体" w:hAnsi="宋体" w:eastAsia="宋体" w:cs="宋体"/>
          <w:color w:val="auto"/>
          <w:spacing w:val="4"/>
          <w:kern w:val="2"/>
          <w:sz w:val="24"/>
          <w:szCs w:val="24"/>
          <w:highlight w:val="none"/>
          <w:u w:val="none"/>
          <w:lang w:val="en-US" w:eastAsia="zh-CN" w:bidi="ar-SA"/>
        </w:rPr>
        <w:t>人，营业收入为</w:t>
      </w:r>
      <w:r>
        <w:rPr>
          <w:rFonts w:hint="eastAsia" w:ascii="宋体" w:hAnsi="宋体" w:eastAsia="宋体" w:cs="宋体"/>
          <w:color w:val="auto"/>
          <w:spacing w:val="4"/>
          <w:kern w:val="2"/>
          <w:sz w:val="24"/>
          <w:szCs w:val="24"/>
          <w:highlight w:val="none"/>
          <w:u w:val="single"/>
          <w:lang w:val="en-US" w:eastAsia="zh-CN" w:bidi="ar-SA"/>
        </w:rPr>
        <w:t xml:space="preserve">    </w:t>
      </w:r>
      <w:r>
        <w:rPr>
          <w:rFonts w:hint="eastAsia" w:ascii="宋体" w:hAnsi="宋体" w:eastAsia="宋体" w:cs="宋体"/>
          <w:color w:val="auto"/>
          <w:spacing w:val="4"/>
          <w:kern w:val="2"/>
          <w:sz w:val="24"/>
          <w:szCs w:val="24"/>
          <w:highlight w:val="none"/>
          <w:u w:val="none"/>
          <w:lang w:val="en-US" w:eastAsia="zh-CN" w:bidi="ar-SA"/>
        </w:rPr>
        <w:t>万元，资产总额为</w:t>
      </w:r>
      <w:r>
        <w:rPr>
          <w:rFonts w:hint="eastAsia" w:ascii="宋体" w:hAnsi="宋体" w:eastAsia="宋体" w:cs="宋体"/>
          <w:color w:val="auto"/>
          <w:spacing w:val="4"/>
          <w:kern w:val="2"/>
          <w:sz w:val="24"/>
          <w:szCs w:val="24"/>
          <w:highlight w:val="none"/>
          <w:u w:val="single"/>
          <w:lang w:val="en-US" w:eastAsia="zh-CN" w:bidi="ar-SA"/>
        </w:rPr>
        <w:t xml:space="preserve">    </w:t>
      </w:r>
      <w:r>
        <w:rPr>
          <w:rFonts w:hint="eastAsia" w:ascii="宋体" w:hAnsi="宋体" w:eastAsia="宋体" w:cs="宋体"/>
          <w:color w:val="auto"/>
          <w:spacing w:val="4"/>
          <w:kern w:val="2"/>
          <w:sz w:val="24"/>
          <w:szCs w:val="24"/>
          <w:highlight w:val="none"/>
          <w:u w:val="none"/>
          <w:lang w:val="en-US" w:eastAsia="zh-CN" w:bidi="ar-SA"/>
        </w:rPr>
        <w:t>万元，属于 (中型企业、小型企业、微型企业)；</w:t>
      </w:r>
    </w:p>
    <w:p>
      <w:pPr>
        <w:spacing w:line="460" w:lineRule="exact"/>
        <w:ind w:firstLine="496" w:firstLineChars="20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以上企业，不属于大企业的分支机构，不存在控股股东为大企业的情形，也不存在与大企业的负责人为同一人的情形。</w:t>
      </w:r>
    </w:p>
    <w:p>
      <w:pPr>
        <w:spacing w:line="460" w:lineRule="exact"/>
        <w:ind w:firstLine="496" w:firstLineChars="20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本企业对上述声明内容的真实性负责。如有虚假，将依法承担相应责任。</w:t>
      </w:r>
    </w:p>
    <w:p>
      <w:pPr>
        <w:spacing w:line="460" w:lineRule="exact"/>
        <w:ind w:firstLine="496" w:firstLineChars="200"/>
        <w:rPr>
          <w:rFonts w:hint="eastAsia" w:ascii="宋体" w:hAnsi="宋体" w:eastAsia="宋体" w:cs="宋体"/>
          <w:color w:val="auto"/>
          <w:spacing w:val="4"/>
          <w:kern w:val="2"/>
          <w:sz w:val="24"/>
          <w:szCs w:val="24"/>
          <w:highlight w:val="none"/>
          <w:u w:val="none"/>
          <w:lang w:val="en-US" w:eastAsia="zh-CN" w:bidi="ar-SA"/>
        </w:rPr>
      </w:pPr>
      <w:r>
        <w:rPr>
          <w:rFonts w:hint="eastAsia" w:ascii="宋体" w:hAnsi="宋体" w:eastAsia="宋体" w:cs="宋体"/>
          <w:color w:val="auto"/>
          <w:spacing w:val="4"/>
          <w:kern w:val="2"/>
          <w:sz w:val="24"/>
          <w:szCs w:val="24"/>
          <w:highlight w:val="none"/>
          <w:u w:val="none"/>
          <w:lang w:val="en-US" w:eastAsia="zh-CN" w:bidi="ar-SA"/>
        </w:rPr>
        <w:t>企业名称 (盖章)：</w:t>
      </w:r>
    </w:p>
    <w:p>
      <w:pPr>
        <w:keepNext w:val="0"/>
        <w:keepLines w:val="0"/>
        <w:pageBreakBefore w:val="0"/>
        <w:widowControl w:val="0"/>
        <w:kinsoku/>
        <w:wordWrap/>
        <w:overflowPunct/>
        <w:topLinePunct w:val="0"/>
        <w:bidi w:val="0"/>
        <w:adjustRightInd/>
        <w:snapToGrid/>
        <w:spacing w:line="360" w:lineRule="auto"/>
        <w:jc w:val="center"/>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auto"/>
          <w:spacing w:val="4"/>
          <w:kern w:val="2"/>
          <w:sz w:val="24"/>
          <w:szCs w:val="24"/>
          <w:highlight w:val="none"/>
          <w:u w:val="none"/>
          <w:lang w:val="en-US" w:eastAsia="zh-CN" w:bidi="ar-SA"/>
        </w:rPr>
        <w:t>日 期：</w:t>
      </w:r>
      <w:r>
        <w:rPr>
          <w:rFonts w:hint="eastAsia" w:ascii="宋体" w:hAnsi="宋体" w:eastAsia="宋体" w:cs="宋体"/>
          <w:b/>
          <w:bCs w:val="0"/>
          <w:kern w:val="2"/>
          <w:sz w:val="32"/>
          <w:szCs w:val="32"/>
          <w:lang w:val="en-US" w:eastAsia="zh-CN" w:bidi="ar-SA"/>
        </w:rPr>
        <w:br w:type="page"/>
      </w:r>
      <w:r>
        <w:rPr>
          <w:rFonts w:hint="eastAsia" w:ascii="宋体" w:hAnsi="宋体" w:eastAsia="宋体" w:cs="宋体"/>
          <w:b/>
          <w:bCs w:val="0"/>
          <w:kern w:val="2"/>
          <w:sz w:val="32"/>
          <w:szCs w:val="32"/>
          <w:lang w:val="en-US" w:eastAsia="zh-CN" w:bidi="ar-SA"/>
        </w:rPr>
        <w:t>七、交纳投标保证金</w:t>
      </w:r>
      <w:bookmarkEnd w:id="192"/>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（缴纳单位名称）</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（投标</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rPr>
        <w:t xml:space="preserve">全称)   </w:t>
      </w:r>
      <w:r>
        <w:rPr>
          <w:rFonts w:hint="eastAsia" w:ascii="宋体" w:hAnsi="宋体" w:eastAsia="宋体" w:cs="宋体"/>
          <w:color w:val="000000"/>
          <w:sz w:val="24"/>
          <w:szCs w:val="24"/>
        </w:rPr>
        <w:t>参加贵方组织的</w:t>
      </w:r>
      <w:r>
        <w:rPr>
          <w:rFonts w:hint="eastAsia" w:ascii="宋体" w:hAnsi="宋体" w:eastAsia="宋体" w:cs="宋体"/>
          <w:color w:val="000000"/>
          <w:sz w:val="24"/>
          <w:szCs w:val="24"/>
          <w:u w:val="single"/>
        </w:rPr>
        <w:t>(项目编号/项目名称/包号及内容)</w:t>
      </w:r>
      <w:r>
        <w:rPr>
          <w:rFonts w:hint="eastAsia" w:ascii="宋体" w:hAnsi="宋体" w:eastAsia="宋体" w:cs="宋体"/>
          <w:color w:val="000000"/>
          <w:sz w:val="24"/>
          <w:szCs w:val="24"/>
        </w:rPr>
        <w:t>项目采购活动。按招标文件的规定，已递交人民币</w:t>
      </w:r>
      <w:r>
        <w:rPr>
          <w:rFonts w:hint="eastAsia" w:ascii="宋体" w:hAnsi="宋体" w:eastAsia="宋体" w:cs="宋体"/>
          <w:color w:val="000000"/>
          <w:sz w:val="24"/>
          <w:szCs w:val="24"/>
          <w:u w:val="single"/>
        </w:rPr>
        <w:t xml:space="preserve">（大写）  　　  </w:t>
      </w:r>
      <w:r>
        <w:rPr>
          <w:rFonts w:hint="eastAsia" w:ascii="宋体" w:hAnsi="宋体" w:eastAsia="宋体" w:cs="宋体"/>
          <w:color w:val="000000"/>
          <w:sz w:val="24"/>
          <w:szCs w:val="24"/>
        </w:rPr>
        <w:t>元的投标保证金。</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银行帐号：</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(公章) </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投标供应商法定代表人或法定代表人授权代表：</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eastAsia="zh-CN"/>
        </w:rPr>
        <w:t>签字或盖章</w:t>
      </w:r>
      <w:r>
        <w:rPr>
          <w:rFonts w:hint="eastAsia" w:ascii="宋体" w:hAnsi="宋体" w:eastAsia="宋体" w:cs="宋体"/>
          <w:color w:val="000000"/>
          <w:sz w:val="24"/>
          <w:szCs w:val="24"/>
          <w:u w:val="single"/>
        </w:rPr>
        <w:t>）</w:t>
      </w:r>
    </w:p>
    <w:p>
      <w:pPr>
        <w:keepNext w:val="0"/>
        <w:keepLines w:val="0"/>
        <w:pageBreakBefore w:val="0"/>
        <w:widowControl w:val="0"/>
        <w:kinsoku/>
        <w:wordWrap/>
        <w:overflowPunct/>
        <w:topLinePunct w:val="0"/>
        <w:bidi w:val="0"/>
        <w:adjustRightInd/>
        <w:snapToGrid/>
        <w:spacing w:line="360" w:lineRule="auto"/>
        <w:jc w:val="righ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bl>
      <w:tblPr>
        <w:tblStyle w:val="2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286" w:type="dxa"/>
            <w:noWrap w:val="0"/>
            <w:vAlign w:val="top"/>
          </w:tcPr>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rPr>
              <w:t xml:space="preserve"> </w:t>
            </w:r>
          </w:p>
        </w:tc>
      </w:tr>
    </w:tbl>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注：请投标供应商认真填写银行信息，并要求与银行凭证的相关信息一致。</w:t>
      </w: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pStyle w:val="6"/>
        <w:rPr>
          <w:rFonts w:hint="eastAsia" w:ascii="宋体" w:hAnsi="宋体" w:eastAsia="宋体" w:cs="宋体"/>
        </w:rPr>
      </w:pPr>
    </w:p>
    <w:p>
      <w:pPr>
        <w:adjustRightInd w:val="0"/>
        <w:snapToGrid w:val="0"/>
        <w:spacing w:line="480" w:lineRule="atLeast"/>
        <w:jc w:val="center"/>
        <w:outlineLvl w:val="0"/>
        <w:rPr>
          <w:rFonts w:hint="eastAsia" w:ascii="宋体" w:hAnsi="宋体" w:eastAsia="宋体" w:cs="宋体"/>
          <w:b/>
          <w:color w:val="000000"/>
          <w:spacing w:val="40"/>
          <w:sz w:val="32"/>
          <w:szCs w:val="32"/>
          <w:lang w:val="en-US" w:eastAsia="zh-CN"/>
        </w:rPr>
      </w:pPr>
      <w:r>
        <w:rPr>
          <w:rFonts w:hint="eastAsia" w:ascii="宋体" w:hAnsi="宋体" w:eastAsia="宋体" w:cs="宋体"/>
          <w:b/>
          <w:color w:val="000000"/>
          <w:spacing w:val="40"/>
          <w:sz w:val="32"/>
          <w:szCs w:val="32"/>
          <w:lang w:val="en-US" w:eastAsia="zh-CN"/>
        </w:rPr>
        <w:br w:type="page"/>
      </w:r>
      <w:bookmarkStart w:id="193" w:name="_Toc24098"/>
      <w:r>
        <w:rPr>
          <w:rFonts w:hint="eastAsia" w:ascii="宋体" w:hAnsi="宋体" w:eastAsia="宋体" w:cs="宋体"/>
          <w:b/>
          <w:color w:val="000000"/>
          <w:spacing w:val="40"/>
          <w:sz w:val="32"/>
          <w:szCs w:val="32"/>
          <w:lang w:val="en-US" w:eastAsia="zh-CN"/>
        </w:rPr>
        <w:t>八</w:t>
      </w:r>
      <w:r>
        <w:rPr>
          <w:rFonts w:hint="eastAsia" w:ascii="宋体" w:hAnsi="宋体" w:eastAsia="宋体" w:cs="宋体"/>
          <w:b/>
          <w:color w:val="000000"/>
          <w:spacing w:val="40"/>
          <w:sz w:val="32"/>
          <w:szCs w:val="32"/>
        </w:rPr>
        <w:t>、</w:t>
      </w:r>
      <w:r>
        <w:rPr>
          <w:rFonts w:hint="eastAsia" w:ascii="宋体" w:hAnsi="宋体" w:eastAsia="宋体" w:cs="宋体"/>
          <w:b/>
          <w:color w:val="000000"/>
          <w:spacing w:val="40"/>
          <w:sz w:val="32"/>
          <w:szCs w:val="32"/>
          <w:lang w:val="en-US" w:eastAsia="zh-CN"/>
        </w:rPr>
        <w:t>实施方案</w:t>
      </w:r>
      <w:bookmarkEnd w:id="193"/>
    </w:p>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1、所投项目详细实施方案</w:t>
      </w:r>
    </w:p>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2、其他投标人认为需要提供的其他材料</w:t>
      </w:r>
    </w:p>
    <w:p>
      <w:pPr>
        <w:tabs>
          <w:tab w:val="left" w:pos="720"/>
        </w:tabs>
        <w:spacing w:line="400" w:lineRule="exact"/>
        <w:ind w:firstLine="480" w:firstLineChars="200"/>
        <w:jc w:val="center"/>
        <w:rPr>
          <w:rFonts w:hint="eastAsia" w:ascii="宋体" w:hAnsi="宋体" w:eastAsia="宋体" w:cs="宋体"/>
          <w:sz w:val="24"/>
          <w:lang w:eastAsia="zh-CN"/>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p>
    <w:p>
      <w:pPr>
        <w:rPr>
          <w:rFonts w:hint="eastAsia" w:ascii="宋体" w:hAnsi="宋体" w:eastAsia="宋体" w:cs="宋体"/>
          <w:b/>
          <w:bCs/>
          <w:sz w:val="32"/>
          <w:szCs w:val="32"/>
          <w:lang w:val="en-US" w:eastAsia="zh-CN"/>
        </w:rPr>
      </w:pPr>
      <w:bookmarkStart w:id="194" w:name="_Toc11376"/>
      <w:r>
        <w:rPr>
          <w:rFonts w:hint="eastAsia" w:ascii="宋体" w:hAnsi="宋体" w:eastAsia="宋体" w:cs="宋体"/>
          <w:b/>
          <w:bCs/>
          <w:sz w:val="32"/>
          <w:szCs w:val="32"/>
          <w:lang w:val="en-US" w:eastAsia="zh-CN"/>
        </w:rPr>
        <w:br w:type="page"/>
      </w:r>
    </w:p>
    <w:p>
      <w:pPr>
        <w:pStyle w:val="28"/>
        <w:numPr>
          <w:ilvl w:val="0"/>
          <w:numId w:val="0"/>
        </w:numPr>
        <w:tabs>
          <w:tab w:val="left" w:pos="540"/>
          <w:tab w:val="left" w:pos="1080"/>
        </w:tabs>
        <w:spacing w:line="460" w:lineRule="exact"/>
        <w:jc w:val="center"/>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九、售后服务承诺书</w:t>
      </w:r>
    </w:p>
    <w:p>
      <w:pPr>
        <w:pStyle w:val="28"/>
        <w:numPr>
          <w:ilvl w:val="0"/>
          <w:numId w:val="0"/>
        </w:numPr>
        <w:tabs>
          <w:tab w:val="left" w:pos="540"/>
          <w:tab w:val="left" w:pos="1080"/>
        </w:tabs>
        <w:spacing w:line="460" w:lineRule="exact"/>
        <w:jc w:val="both"/>
        <w:rPr>
          <w:rFonts w:hint="eastAsia" w:ascii="宋体" w:hAnsi="宋体" w:eastAsia="宋体" w:cs="宋体"/>
          <w:b/>
          <w:color w:val="000000"/>
          <w:sz w:val="32"/>
          <w:szCs w:val="32"/>
          <w:lang w:val="en-US" w:eastAsia="zh-CN"/>
        </w:rPr>
      </w:pPr>
    </w:p>
    <w:p>
      <w:pPr>
        <w:widowControl/>
        <w:snapToGrid w:val="0"/>
        <w:spacing w:before="100" w:beforeLines="0" w:beforeAutospacing="1" w:after="100" w:afterLines="0" w:afterAutospacing="1"/>
        <w:jc w:val="center"/>
        <w:outlineLvl w:val="0"/>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（格式自拟）</w:t>
      </w:r>
    </w:p>
    <w:p>
      <w:pPr>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br w:type="page"/>
      </w:r>
    </w:p>
    <w:p>
      <w:pPr>
        <w:widowControl/>
        <w:snapToGrid w:val="0"/>
        <w:spacing w:before="100" w:beforeLines="0" w:beforeAutospacing="1" w:after="100" w:afterLines="0" w:afterAutospacing="1"/>
        <w:jc w:val="center"/>
        <w:outlineLvl w:val="0"/>
        <w:rPr>
          <w:rFonts w:hint="eastAsia" w:ascii="宋体" w:hAnsi="宋体" w:eastAsia="宋体" w:cs="宋体"/>
          <w:sz w:val="32"/>
          <w:szCs w:val="32"/>
        </w:rPr>
      </w:pPr>
      <w:r>
        <w:rPr>
          <w:rFonts w:hint="eastAsia" w:ascii="宋体" w:hAnsi="宋体" w:cs="宋体"/>
          <w:b/>
          <w:bCs/>
          <w:sz w:val="32"/>
          <w:szCs w:val="32"/>
          <w:lang w:val="en-US" w:eastAsia="zh-CN"/>
        </w:rPr>
        <w:t>十、</w:t>
      </w:r>
      <w:r>
        <w:rPr>
          <w:rFonts w:hint="eastAsia" w:ascii="宋体" w:hAnsi="宋体" w:eastAsia="宋体" w:cs="宋体"/>
          <w:b/>
          <w:bCs/>
          <w:sz w:val="32"/>
          <w:szCs w:val="32"/>
        </w:rPr>
        <w:t>反商业贿赂承诺书</w:t>
      </w:r>
      <w:r>
        <w:rPr>
          <w:rFonts w:hint="eastAsia" w:ascii="宋体" w:hAnsi="宋体" w:eastAsia="宋体" w:cs="宋体"/>
          <w:sz w:val="32"/>
          <w:szCs w:val="32"/>
        </w:rPr>
        <w:t> </w:t>
      </w:r>
      <w:bookmarkEnd w:id="194"/>
    </w:p>
    <w:p>
      <w:pPr>
        <w:widowControl/>
        <w:snapToGrid w:val="0"/>
        <w:spacing w:before="100" w:beforeLines="0" w:beforeAutospacing="1" w:after="100" w:afterLines="0" w:afterAutospacing="1" w:line="540" w:lineRule="exact"/>
        <w:ind w:firstLine="480" w:firstLineChars="200"/>
        <w:jc w:val="left"/>
        <w:rPr>
          <w:rFonts w:hint="eastAsia"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 xml:space="preserve">                      </w:t>
      </w:r>
      <w:r>
        <w:rPr>
          <w:rFonts w:hint="eastAsia" w:ascii="宋体" w:hAnsi="宋体" w:eastAsia="宋体" w:cs="宋体"/>
          <w:sz w:val="24"/>
          <w:u w:val="none"/>
        </w:rPr>
        <w:t>竞争性谈判</w:t>
      </w:r>
      <w:r>
        <w:rPr>
          <w:rFonts w:hint="eastAsia" w:ascii="宋体" w:hAnsi="宋体" w:eastAsia="宋体" w:cs="宋体"/>
          <w:sz w:val="24"/>
        </w:rPr>
        <w:t>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napToGrid w:val="0"/>
        <w:spacing w:before="100" w:beforeLines="0" w:beforeAutospacing="1" w:after="100" w:afterLines="0" w:afterAutospacing="1" w:line="540" w:lineRule="exact"/>
        <w:ind w:firstLine="899"/>
        <w:jc w:val="left"/>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法人代表：</w:t>
      </w:r>
    </w:p>
    <w:p>
      <w:pPr>
        <w:widowControl/>
        <w:snapToGrid w:val="0"/>
        <w:spacing w:before="100" w:beforeLines="0" w:beforeAutospacing="1" w:after="100" w:afterLines="0" w:afterAutospacing="1" w:line="540" w:lineRule="exact"/>
        <w:ind w:firstLine="899"/>
        <w:jc w:val="left"/>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法人授权代表：</w:t>
      </w: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both"/>
        <w:rPr>
          <w:rFonts w:hint="eastAsia" w:ascii="宋体" w:hAnsi="宋体" w:eastAsia="宋体" w:cs="宋体"/>
          <w:b/>
          <w:color w:val="000000"/>
          <w:sz w:val="32"/>
          <w:lang w:eastAsia="zh-CN"/>
        </w:rPr>
      </w:pPr>
      <w:r>
        <w:rPr>
          <w:rFonts w:hint="eastAsia" w:ascii="宋体" w:hAnsi="宋体" w:eastAsia="宋体" w:cs="宋体"/>
          <w:bCs/>
          <w:color w:val="000000"/>
          <w:szCs w:val="21"/>
          <w:u w:val="single"/>
        </w:rPr>
        <w:t xml:space="preserve"> </w:t>
      </w:r>
    </w:p>
    <w:p>
      <w:pPr>
        <w:spacing w:line="360" w:lineRule="auto"/>
        <w:jc w:val="center"/>
        <w:outlineLvl w:val="0"/>
        <w:rPr>
          <w:rFonts w:hint="eastAsia" w:ascii="宋体" w:hAnsi="宋体" w:eastAsia="宋体" w:cs="宋体"/>
          <w:b/>
          <w:color w:val="000000"/>
          <w:sz w:val="32"/>
        </w:rPr>
      </w:pPr>
      <w:bookmarkStart w:id="195" w:name="_Toc9382"/>
      <w:r>
        <w:rPr>
          <w:rFonts w:hint="eastAsia" w:ascii="宋体" w:hAnsi="宋体" w:eastAsia="宋体" w:cs="宋体"/>
          <w:b/>
          <w:color w:val="000000"/>
          <w:sz w:val="32"/>
          <w:lang w:val="en-US" w:eastAsia="zh-CN"/>
        </w:rPr>
        <w:t>十</w:t>
      </w:r>
      <w:r>
        <w:rPr>
          <w:rFonts w:hint="eastAsia" w:ascii="宋体" w:hAnsi="宋体" w:cs="宋体"/>
          <w:b/>
          <w:color w:val="000000"/>
          <w:sz w:val="32"/>
          <w:lang w:val="en-US" w:eastAsia="zh-CN"/>
        </w:rPr>
        <w:t>一</w:t>
      </w:r>
      <w:r>
        <w:rPr>
          <w:rFonts w:hint="eastAsia" w:ascii="宋体" w:hAnsi="宋体" w:eastAsia="宋体" w:cs="宋体"/>
          <w:b/>
          <w:color w:val="000000"/>
          <w:sz w:val="32"/>
        </w:rPr>
        <w:t>、</w:t>
      </w:r>
      <w:r>
        <w:rPr>
          <w:rFonts w:hint="eastAsia" w:ascii="宋体" w:hAnsi="宋体" w:eastAsia="宋体" w:cs="宋体"/>
          <w:b/>
          <w:color w:val="000000"/>
          <w:sz w:val="32"/>
          <w:lang w:val="en-US" w:eastAsia="zh-CN"/>
        </w:rPr>
        <w:t>投标人</w:t>
      </w:r>
      <w:r>
        <w:rPr>
          <w:rFonts w:hint="eastAsia" w:ascii="宋体" w:hAnsi="宋体" w:eastAsia="宋体" w:cs="宋体"/>
          <w:b/>
          <w:color w:val="000000"/>
          <w:sz w:val="32"/>
        </w:rPr>
        <w:t>认为应附的其他资料（格式自拟）</w:t>
      </w:r>
      <w:bookmarkEnd w:id="195"/>
    </w:p>
    <w:p>
      <w:pPr>
        <w:jc w:val="center"/>
        <w:rPr>
          <w:rFonts w:hint="eastAsia" w:ascii="宋体" w:hAnsi="宋体" w:eastAsia="宋体" w:cs="宋体"/>
          <w:b/>
          <w:sz w:val="44"/>
          <w:szCs w:val="44"/>
        </w:rPr>
      </w:pPr>
    </w:p>
    <w:p>
      <w:pPr>
        <w:pStyle w:val="2"/>
        <w:numPr>
          <w:ilvl w:val="2"/>
          <w:numId w:val="0"/>
        </w:numPr>
        <w:spacing w:line="520" w:lineRule="exact"/>
        <w:outlineLvl w:val="9"/>
        <w:rPr>
          <w:rFonts w:hint="eastAsia" w:ascii="宋体" w:hAnsi="宋体" w:eastAsia="宋体" w:cs="宋体"/>
          <w:b w:val="0"/>
          <w:sz w:val="44"/>
          <w:szCs w:val="44"/>
        </w:rPr>
      </w:pPr>
      <w:bookmarkStart w:id="196" w:name="_Toc458539072"/>
    </w:p>
    <w:p>
      <w:pPr>
        <w:pStyle w:val="2"/>
        <w:numPr>
          <w:ilvl w:val="2"/>
          <w:numId w:val="0"/>
        </w:numPr>
        <w:spacing w:line="520" w:lineRule="exact"/>
        <w:outlineLvl w:val="9"/>
        <w:rPr>
          <w:rFonts w:hint="eastAsia" w:ascii="宋体" w:hAnsi="宋体" w:eastAsia="宋体" w:cs="宋体"/>
          <w:b w:val="0"/>
          <w:sz w:val="44"/>
          <w:szCs w:val="44"/>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sz w:val="44"/>
          <w:szCs w:val="44"/>
        </w:rPr>
      </w:pPr>
    </w:p>
    <w:p>
      <w:pPr>
        <w:pStyle w:val="6"/>
        <w:rPr>
          <w:rFonts w:hint="eastAsia" w:ascii="宋体" w:hAnsi="宋体" w:eastAsia="宋体" w:cs="宋体"/>
        </w:rPr>
      </w:pPr>
    </w:p>
    <w:bookmarkEnd w:id="196"/>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3"/>
        <w:numPr>
          <w:ilvl w:val="0"/>
          <w:numId w:val="0"/>
        </w:numPr>
        <w:bidi w:val="0"/>
        <w:ind w:leftChars="0"/>
        <w:jc w:val="center"/>
        <w:rPr>
          <w:rFonts w:hint="eastAsia" w:ascii="宋体" w:hAnsi="宋体" w:eastAsia="宋体" w:cs="宋体"/>
          <w:b/>
          <w:color w:val="000000"/>
          <w:sz w:val="32"/>
          <w:szCs w:val="24"/>
          <w:lang w:val="en-US" w:eastAsia="zh-CN" w:bidi="ar-SA"/>
        </w:rPr>
      </w:pPr>
      <w:bookmarkStart w:id="197" w:name="_Toc4955"/>
      <w:bookmarkStart w:id="198" w:name="_Toc18068"/>
      <w:bookmarkStart w:id="199" w:name="_Toc31586"/>
      <w:bookmarkStart w:id="200" w:name="_Toc16148"/>
      <w:r>
        <w:rPr>
          <w:rFonts w:hint="eastAsia" w:ascii="宋体" w:hAnsi="宋体" w:eastAsia="宋体" w:cs="宋体"/>
          <w:b/>
          <w:color w:val="000000"/>
          <w:sz w:val="32"/>
          <w:szCs w:val="24"/>
          <w:lang w:val="en-US" w:eastAsia="zh-CN" w:bidi="ar-SA"/>
        </w:rPr>
        <w:t>评审标准</w:t>
      </w:r>
      <w:bookmarkEnd w:id="197"/>
      <w:bookmarkEnd w:id="198"/>
      <w:bookmarkEnd w:id="199"/>
      <w:bookmarkEnd w:id="200"/>
    </w:p>
    <w:p>
      <w:pPr>
        <w:pStyle w:val="15"/>
        <w:numPr>
          <w:ilvl w:val="0"/>
          <w:numId w:val="0"/>
        </w:numPr>
        <w:spacing w:before="120" w:line="360" w:lineRule="auto"/>
        <w:jc w:val="left"/>
        <w:outlineLvl w:val="0"/>
        <w:rPr>
          <w:rFonts w:hint="eastAsia" w:ascii="宋体" w:hAnsi="宋体" w:eastAsia="宋体" w:cs="宋体"/>
          <w:b w:val="0"/>
          <w:bCs/>
          <w:i w:val="0"/>
          <w:color w:val="auto"/>
          <w:kern w:val="0"/>
          <w:sz w:val="24"/>
          <w:szCs w:val="24"/>
          <w:u w:val="none"/>
          <w:lang w:val="en-US" w:eastAsia="zh-CN" w:bidi="ar"/>
        </w:rPr>
      </w:pPr>
      <w:bookmarkStart w:id="201" w:name="_Toc8526"/>
      <w:r>
        <w:rPr>
          <w:rFonts w:hint="eastAsia" w:ascii="宋体" w:hAnsi="宋体" w:eastAsia="宋体" w:cs="宋体"/>
          <w:b w:val="0"/>
          <w:bCs/>
          <w:i w:val="0"/>
          <w:color w:val="auto"/>
          <w:kern w:val="0"/>
          <w:sz w:val="24"/>
          <w:szCs w:val="24"/>
          <w:u w:val="none"/>
          <w:lang w:val="en-US" w:eastAsia="zh-CN" w:bidi="ar"/>
        </w:rPr>
        <w:t>附表1、   投标人资格审查</w:t>
      </w:r>
      <w:bookmarkEnd w:id="201"/>
    </w:p>
    <w:p>
      <w:pPr>
        <w:pStyle w:val="15"/>
        <w:numPr>
          <w:ilvl w:val="0"/>
          <w:numId w:val="0"/>
        </w:numPr>
        <w:spacing w:before="120" w:line="360" w:lineRule="auto"/>
        <w:jc w:val="left"/>
        <w:outlineLvl w:val="0"/>
        <w:rPr>
          <w:rFonts w:hint="eastAsia" w:ascii="宋体" w:hAnsi="宋体" w:eastAsia="宋体" w:cs="宋体"/>
          <w:b w:val="0"/>
          <w:bCs/>
          <w:i w:val="0"/>
          <w:color w:val="auto"/>
          <w:kern w:val="0"/>
          <w:sz w:val="24"/>
          <w:szCs w:val="24"/>
          <w:u w:val="none"/>
          <w:lang w:val="en-US" w:eastAsia="zh-CN" w:bidi="ar"/>
        </w:rPr>
      </w:pPr>
      <w:bookmarkStart w:id="202" w:name="_Toc30213"/>
      <w:r>
        <w:rPr>
          <w:rFonts w:hint="eastAsia" w:ascii="宋体" w:hAnsi="宋体" w:eastAsia="宋体" w:cs="宋体"/>
          <w:b w:val="0"/>
          <w:bCs/>
          <w:i w:val="0"/>
          <w:color w:val="auto"/>
          <w:kern w:val="0"/>
          <w:sz w:val="24"/>
          <w:szCs w:val="24"/>
          <w:u w:val="none"/>
          <w:lang w:val="en-US" w:eastAsia="zh-CN" w:bidi="ar"/>
        </w:rPr>
        <w:t>附表2、   投标文件评审表</w:t>
      </w:r>
      <w:bookmarkEnd w:id="202"/>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15"/>
        <w:spacing w:before="120" w:line="360" w:lineRule="auto"/>
        <w:jc w:val="both"/>
        <w:outlineLvl w:val="0"/>
        <w:rPr>
          <w:rFonts w:hint="eastAsia" w:ascii="宋体" w:hAnsi="宋体" w:eastAsia="宋体" w:cs="宋体"/>
          <w:color w:val="000000"/>
          <w:sz w:val="24"/>
          <w:szCs w:val="24"/>
        </w:rPr>
      </w:pPr>
      <w:bookmarkStart w:id="203" w:name="_Toc5595"/>
      <w:r>
        <w:rPr>
          <w:rFonts w:hint="eastAsia" w:ascii="宋体" w:hAnsi="宋体" w:eastAsia="宋体" w:cs="宋体"/>
          <w:color w:val="000000"/>
          <w:sz w:val="24"/>
          <w:szCs w:val="24"/>
          <w:lang w:eastAsia="zh-CN"/>
        </w:rPr>
        <w:t>附表</w:t>
      </w:r>
      <w:r>
        <w:rPr>
          <w:rFonts w:hint="eastAsia" w:ascii="宋体" w:hAnsi="宋体" w:eastAsia="宋体" w:cs="宋体"/>
          <w:color w:val="000000"/>
          <w:sz w:val="24"/>
          <w:szCs w:val="24"/>
          <w:lang w:val="en-US" w:eastAsia="zh-CN"/>
        </w:rPr>
        <w:t>1</w:t>
      </w:r>
      <w:bookmarkEnd w:id="203"/>
    </w:p>
    <w:p>
      <w:pPr>
        <w:pStyle w:val="15"/>
        <w:spacing w:before="120" w:line="360" w:lineRule="auto"/>
        <w:jc w:val="center"/>
        <w:rPr>
          <w:rFonts w:hint="eastAsia" w:ascii="宋体" w:hAnsi="宋体" w:eastAsia="宋体" w:cs="宋体"/>
          <w:color w:val="000000"/>
          <w:sz w:val="32"/>
          <w:szCs w:val="32"/>
        </w:rPr>
      </w:pPr>
      <w:r>
        <w:rPr>
          <w:rFonts w:hint="eastAsia" w:ascii="宋体" w:hAnsi="宋体" w:eastAsia="宋体" w:cs="宋体"/>
          <w:b/>
          <w:i w:val="0"/>
          <w:color w:val="000000"/>
          <w:kern w:val="0"/>
          <w:sz w:val="32"/>
          <w:szCs w:val="32"/>
          <w:u w:val="none"/>
          <w:lang w:val="en-US" w:eastAsia="zh-CN" w:bidi="ar"/>
        </w:rPr>
        <w:t>报价人资格审查</w:t>
      </w:r>
    </w:p>
    <w:p>
      <w:pPr>
        <w:pStyle w:val="2"/>
        <w:numPr>
          <w:ilvl w:val="0"/>
          <w:numId w:val="0"/>
        </w:numPr>
        <w:ind w:leftChars="0"/>
        <w:jc w:val="center"/>
        <w:rPr>
          <w:rFonts w:hint="eastAsia" w:ascii="宋体" w:hAnsi="宋体" w:eastAsia="宋体" w:cs="宋体"/>
          <w:b/>
          <w:i w:val="0"/>
          <w:color w:val="000000"/>
          <w:kern w:val="0"/>
          <w:sz w:val="32"/>
          <w:szCs w:val="32"/>
          <w:u w:val="none"/>
          <w:lang w:val="en-US" w:eastAsia="zh-CN" w:bidi="ar"/>
        </w:rPr>
      </w:pPr>
      <w:bookmarkStart w:id="204" w:name="_Toc4899"/>
      <w:r>
        <w:rPr>
          <w:rFonts w:hint="eastAsia" w:ascii="宋体" w:hAnsi="宋体" w:eastAsia="宋体" w:cs="宋体"/>
          <w:b/>
          <w:i w:val="0"/>
          <w:color w:val="000000"/>
          <w:kern w:val="0"/>
          <w:sz w:val="32"/>
          <w:szCs w:val="32"/>
          <w:u w:val="none"/>
          <w:lang w:val="en-US" w:eastAsia="zh-CN" w:bidi="ar"/>
        </w:rPr>
        <w:t>资格审查表</w:t>
      </w:r>
      <w:bookmarkEnd w:id="204"/>
    </w:p>
    <w:tbl>
      <w:tblPr>
        <w:tblStyle w:val="20"/>
        <w:tblW w:w="996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465"/>
        <w:gridCol w:w="837"/>
        <w:gridCol w:w="943"/>
        <w:gridCol w:w="8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335" w:type="dxa"/>
            <w:gridSpan w:val="2"/>
            <w:noWrap w:val="0"/>
            <w:vAlign w:val="center"/>
          </w:tcPr>
          <w:p>
            <w:pPr>
              <w:spacing w:line="240" w:lineRule="auto"/>
              <w:ind w:firstLine="42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评审内容</w:t>
            </w:r>
          </w:p>
        </w:tc>
        <w:tc>
          <w:tcPr>
            <w:tcW w:w="2627" w:type="dxa"/>
            <w:gridSpan w:val="3"/>
            <w:noWrap w:val="0"/>
            <w:vAlign w:val="center"/>
          </w:tcPr>
          <w:p>
            <w:pPr>
              <w:spacing w:line="240" w:lineRule="auto"/>
              <w:ind w:left="0" w:leftChars="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投标企业名称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0" w:type="dxa"/>
            <w:noWrap w:val="0"/>
            <w:vAlign w:val="center"/>
          </w:tcPr>
          <w:p>
            <w:pPr>
              <w:spacing w:line="400" w:lineRule="exact"/>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1</w:t>
            </w:r>
          </w:p>
        </w:tc>
        <w:tc>
          <w:tcPr>
            <w:tcW w:w="6465" w:type="dxa"/>
            <w:noWrap w:val="0"/>
            <w:vAlign w:val="center"/>
          </w:tcPr>
          <w:p>
            <w:pPr>
              <w:spacing w:line="400" w:lineRule="exact"/>
              <w:rPr>
                <w:rFonts w:hint="eastAsia" w:ascii="宋体" w:hAnsi="宋体" w:eastAsia="宋体" w:cs="宋体"/>
                <w:color w:val="000000"/>
                <w:spacing w:val="-2"/>
                <w:sz w:val="24"/>
                <w:szCs w:val="24"/>
                <w:lang w:val="en-US" w:eastAsia="zh-CN"/>
              </w:rPr>
            </w:pPr>
            <w:r>
              <w:rPr>
                <w:rFonts w:hint="eastAsia" w:ascii="宋体" w:hAnsi="宋体" w:eastAsia="宋体" w:cs="宋体"/>
                <w:color w:val="auto"/>
                <w:kern w:val="0"/>
                <w:sz w:val="24"/>
                <w:highlight w:val="none"/>
                <w:lang w:val="en-US" w:eastAsia="zh-CN"/>
              </w:rPr>
              <w:t>提供经年审合格（三证合一）的营业执照；</w:t>
            </w:r>
          </w:p>
        </w:tc>
        <w:tc>
          <w:tcPr>
            <w:tcW w:w="837" w:type="dxa"/>
            <w:noWrap w:val="0"/>
            <w:vAlign w:val="center"/>
          </w:tcPr>
          <w:p>
            <w:pPr>
              <w:spacing w:line="240" w:lineRule="auto"/>
              <w:ind w:firstLine="420"/>
              <w:rPr>
                <w:rFonts w:hint="eastAsia" w:ascii="宋体" w:hAnsi="宋体" w:eastAsia="宋体" w:cs="宋体"/>
                <w:sz w:val="24"/>
                <w:szCs w:val="24"/>
              </w:rPr>
            </w:pPr>
          </w:p>
        </w:tc>
        <w:tc>
          <w:tcPr>
            <w:tcW w:w="943" w:type="dxa"/>
            <w:noWrap w:val="0"/>
            <w:vAlign w:val="center"/>
          </w:tcPr>
          <w:p>
            <w:pPr>
              <w:spacing w:line="240" w:lineRule="auto"/>
              <w:ind w:firstLine="420"/>
              <w:rPr>
                <w:rFonts w:hint="eastAsia" w:ascii="宋体" w:hAnsi="宋体" w:eastAsia="宋体" w:cs="宋体"/>
                <w:sz w:val="24"/>
                <w:szCs w:val="24"/>
              </w:rPr>
            </w:pPr>
          </w:p>
        </w:tc>
        <w:tc>
          <w:tcPr>
            <w:tcW w:w="847" w:type="dxa"/>
            <w:noWrap w:val="0"/>
            <w:vAlign w:val="center"/>
          </w:tcPr>
          <w:p>
            <w:pPr>
              <w:spacing w:line="240" w:lineRule="auto"/>
              <w:ind w:firstLine="420"/>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70" w:type="dxa"/>
            <w:noWrap w:val="0"/>
            <w:vAlign w:val="center"/>
          </w:tcPr>
          <w:p>
            <w:pPr>
              <w:spacing w:line="400" w:lineRule="exact"/>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2</w:t>
            </w:r>
          </w:p>
        </w:tc>
        <w:tc>
          <w:tcPr>
            <w:tcW w:w="6465" w:type="dxa"/>
            <w:noWrap w:val="0"/>
            <w:vAlign w:val="center"/>
          </w:tcPr>
          <w:p>
            <w:pPr>
              <w:spacing w:line="400" w:lineRule="exact"/>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法定代表人投标需携带法定代表人证明书及法定代表人身份证（原件），委托代理人投标需携带法定代表人授权委托书及委托代理人身份证（原件）；提供法定代表人（近3个月）的社保缴费凭证（新成立时间少于三个月的公司，按实际发生提供）；</w:t>
            </w:r>
          </w:p>
        </w:tc>
        <w:tc>
          <w:tcPr>
            <w:tcW w:w="837" w:type="dxa"/>
            <w:noWrap w:val="0"/>
            <w:vAlign w:val="center"/>
          </w:tcPr>
          <w:p>
            <w:pPr>
              <w:spacing w:line="240" w:lineRule="auto"/>
              <w:ind w:firstLine="420"/>
              <w:rPr>
                <w:rFonts w:hint="eastAsia" w:ascii="宋体" w:hAnsi="宋体" w:eastAsia="宋体" w:cs="宋体"/>
                <w:sz w:val="24"/>
                <w:szCs w:val="24"/>
              </w:rPr>
            </w:pPr>
          </w:p>
        </w:tc>
        <w:tc>
          <w:tcPr>
            <w:tcW w:w="943" w:type="dxa"/>
            <w:noWrap w:val="0"/>
            <w:vAlign w:val="center"/>
          </w:tcPr>
          <w:p>
            <w:pPr>
              <w:spacing w:line="240" w:lineRule="auto"/>
              <w:ind w:firstLine="420"/>
              <w:rPr>
                <w:rFonts w:hint="eastAsia" w:ascii="宋体" w:hAnsi="宋体" w:eastAsia="宋体" w:cs="宋体"/>
                <w:sz w:val="24"/>
                <w:szCs w:val="24"/>
              </w:rPr>
            </w:pPr>
          </w:p>
        </w:tc>
        <w:tc>
          <w:tcPr>
            <w:tcW w:w="847" w:type="dxa"/>
            <w:noWrap w:val="0"/>
            <w:vAlign w:val="center"/>
          </w:tcPr>
          <w:p>
            <w:pPr>
              <w:spacing w:line="240" w:lineRule="auto"/>
              <w:ind w:firstLine="420"/>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70" w:type="dxa"/>
            <w:noWrap w:val="0"/>
            <w:vAlign w:val="center"/>
          </w:tcPr>
          <w:p>
            <w:pPr>
              <w:spacing w:line="400" w:lineRule="exact"/>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3</w:t>
            </w:r>
          </w:p>
        </w:tc>
        <w:tc>
          <w:tcPr>
            <w:tcW w:w="6465" w:type="dxa"/>
            <w:noWrap w:val="0"/>
            <w:vAlign w:val="center"/>
          </w:tcPr>
          <w:p>
            <w:pPr>
              <w:spacing w:line="400" w:lineRule="exact"/>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投标供应商必须具备《林木种子生产许可证》或《林木种子经营许可证》、</w:t>
            </w:r>
            <w:r>
              <w:rPr>
                <w:rFonts w:hint="eastAsia" w:ascii="宋体" w:hAnsi="宋体" w:cs="宋体"/>
                <w:color w:val="000000"/>
                <w:spacing w:val="-2"/>
                <w:sz w:val="24"/>
                <w:szCs w:val="24"/>
                <w:lang w:val="en-US" w:eastAsia="zh-CN"/>
              </w:rPr>
              <w:t>《林业植物检疫登记证》</w:t>
            </w:r>
            <w:r>
              <w:rPr>
                <w:rFonts w:hint="eastAsia" w:ascii="宋体" w:hAnsi="宋体" w:eastAsia="宋体" w:cs="宋体"/>
                <w:color w:val="000000"/>
                <w:spacing w:val="-2"/>
                <w:sz w:val="24"/>
                <w:szCs w:val="24"/>
                <w:lang w:val="en-US" w:eastAsia="zh-CN"/>
              </w:rPr>
              <w:t>；</w:t>
            </w:r>
          </w:p>
        </w:tc>
        <w:tc>
          <w:tcPr>
            <w:tcW w:w="837" w:type="dxa"/>
            <w:noWrap w:val="0"/>
            <w:vAlign w:val="center"/>
          </w:tcPr>
          <w:p>
            <w:pPr>
              <w:spacing w:line="240" w:lineRule="auto"/>
              <w:ind w:firstLine="420"/>
              <w:rPr>
                <w:rFonts w:hint="eastAsia" w:ascii="宋体" w:hAnsi="宋体" w:eastAsia="宋体" w:cs="宋体"/>
                <w:sz w:val="24"/>
                <w:szCs w:val="24"/>
              </w:rPr>
            </w:pPr>
          </w:p>
        </w:tc>
        <w:tc>
          <w:tcPr>
            <w:tcW w:w="943" w:type="dxa"/>
            <w:noWrap w:val="0"/>
            <w:vAlign w:val="center"/>
          </w:tcPr>
          <w:p>
            <w:pPr>
              <w:spacing w:line="240" w:lineRule="auto"/>
              <w:ind w:firstLine="420"/>
              <w:rPr>
                <w:rFonts w:hint="eastAsia" w:ascii="宋体" w:hAnsi="宋体" w:eastAsia="宋体" w:cs="宋体"/>
                <w:sz w:val="24"/>
                <w:szCs w:val="24"/>
              </w:rPr>
            </w:pPr>
          </w:p>
        </w:tc>
        <w:tc>
          <w:tcPr>
            <w:tcW w:w="847" w:type="dxa"/>
            <w:noWrap w:val="0"/>
            <w:vAlign w:val="center"/>
          </w:tcPr>
          <w:p>
            <w:pPr>
              <w:spacing w:line="240" w:lineRule="auto"/>
              <w:ind w:firstLine="420"/>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70" w:type="dxa"/>
            <w:noWrap w:val="0"/>
            <w:vAlign w:val="center"/>
          </w:tcPr>
          <w:p>
            <w:pPr>
              <w:spacing w:line="400" w:lineRule="exact"/>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4</w:t>
            </w:r>
          </w:p>
        </w:tc>
        <w:tc>
          <w:tcPr>
            <w:tcW w:w="6465" w:type="dxa"/>
            <w:noWrap w:val="0"/>
            <w:vAlign w:val="center"/>
          </w:tcPr>
          <w:p>
            <w:pPr>
              <w:spacing w:line="400" w:lineRule="exact"/>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提供2022年度的财务审计报告原件（2022年01月份后新成立的公司可不提供但需提供银行出具的近三个月的资信证明原件）；</w:t>
            </w:r>
          </w:p>
        </w:tc>
        <w:tc>
          <w:tcPr>
            <w:tcW w:w="837" w:type="dxa"/>
            <w:noWrap w:val="0"/>
            <w:vAlign w:val="center"/>
          </w:tcPr>
          <w:p>
            <w:pPr>
              <w:spacing w:line="240" w:lineRule="auto"/>
              <w:ind w:firstLine="420"/>
              <w:rPr>
                <w:rFonts w:hint="eastAsia" w:ascii="宋体" w:hAnsi="宋体" w:eastAsia="宋体" w:cs="宋体"/>
                <w:sz w:val="24"/>
                <w:szCs w:val="24"/>
              </w:rPr>
            </w:pPr>
          </w:p>
        </w:tc>
        <w:tc>
          <w:tcPr>
            <w:tcW w:w="943" w:type="dxa"/>
            <w:noWrap w:val="0"/>
            <w:vAlign w:val="center"/>
          </w:tcPr>
          <w:p>
            <w:pPr>
              <w:spacing w:line="240" w:lineRule="auto"/>
              <w:ind w:firstLine="420"/>
              <w:rPr>
                <w:rFonts w:hint="eastAsia" w:ascii="宋体" w:hAnsi="宋体" w:eastAsia="宋体" w:cs="宋体"/>
                <w:sz w:val="24"/>
                <w:szCs w:val="24"/>
              </w:rPr>
            </w:pPr>
          </w:p>
        </w:tc>
        <w:tc>
          <w:tcPr>
            <w:tcW w:w="847" w:type="dxa"/>
            <w:noWrap w:val="0"/>
            <w:vAlign w:val="center"/>
          </w:tcPr>
          <w:p>
            <w:pPr>
              <w:spacing w:line="240" w:lineRule="auto"/>
              <w:ind w:firstLine="420"/>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70" w:type="dxa"/>
            <w:noWrap w:val="0"/>
            <w:vAlign w:val="center"/>
          </w:tcPr>
          <w:p>
            <w:pPr>
              <w:spacing w:line="400" w:lineRule="exact"/>
              <w:jc w:val="center"/>
              <w:rPr>
                <w:rFonts w:hint="default"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5</w:t>
            </w:r>
          </w:p>
        </w:tc>
        <w:tc>
          <w:tcPr>
            <w:tcW w:w="6465" w:type="dxa"/>
            <w:noWrap w:val="0"/>
            <w:vAlign w:val="center"/>
          </w:tcPr>
          <w:p>
            <w:pPr>
              <w:spacing w:line="400" w:lineRule="exact"/>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提供税务机关出具近三个月的完税证明（新成立不足三个月的，按实际情况发生提供)；</w:t>
            </w:r>
          </w:p>
        </w:tc>
        <w:tc>
          <w:tcPr>
            <w:tcW w:w="837" w:type="dxa"/>
            <w:noWrap w:val="0"/>
            <w:vAlign w:val="center"/>
          </w:tcPr>
          <w:p>
            <w:pPr>
              <w:spacing w:line="240" w:lineRule="auto"/>
              <w:ind w:firstLine="420"/>
              <w:rPr>
                <w:rFonts w:hint="eastAsia" w:ascii="宋体" w:hAnsi="宋体" w:eastAsia="宋体" w:cs="宋体"/>
                <w:sz w:val="24"/>
                <w:szCs w:val="24"/>
              </w:rPr>
            </w:pPr>
          </w:p>
        </w:tc>
        <w:tc>
          <w:tcPr>
            <w:tcW w:w="943" w:type="dxa"/>
            <w:noWrap w:val="0"/>
            <w:vAlign w:val="center"/>
          </w:tcPr>
          <w:p>
            <w:pPr>
              <w:spacing w:line="240" w:lineRule="auto"/>
              <w:ind w:firstLine="420"/>
              <w:rPr>
                <w:rFonts w:hint="eastAsia" w:ascii="宋体" w:hAnsi="宋体" w:eastAsia="宋体" w:cs="宋体"/>
                <w:sz w:val="24"/>
                <w:szCs w:val="24"/>
              </w:rPr>
            </w:pPr>
          </w:p>
        </w:tc>
        <w:tc>
          <w:tcPr>
            <w:tcW w:w="847" w:type="dxa"/>
            <w:noWrap w:val="0"/>
            <w:vAlign w:val="center"/>
          </w:tcPr>
          <w:p>
            <w:pPr>
              <w:spacing w:line="240" w:lineRule="auto"/>
              <w:ind w:firstLine="420"/>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70" w:type="dxa"/>
            <w:noWrap w:val="0"/>
            <w:vAlign w:val="center"/>
          </w:tcPr>
          <w:p>
            <w:pPr>
              <w:spacing w:line="400" w:lineRule="exact"/>
              <w:jc w:val="center"/>
              <w:rPr>
                <w:rFonts w:hint="default" w:ascii="宋体" w:hAnsi="宋体" w:cs="宋体"/>
                <w:color w:val="000000"/>
                <w:spacing w:val="-2"/>
                <w:sz w:val="24"/>
                <w:szCs w:val="24"/>
                <w:lang w:val="en-US" w:eastAsia="zh-CN"/>
              </w:rPr>
            </w:pPr>
            <w:r>
              <w:rPr>
                <w:rFonts w:hint="eastAsia" w:ascii="宋体" w:hAnsi="宋体" w:cs="宋体"/>
                <w:color w:val="000000"/>
                <w:spacing w:val="-2"/>
                <w:sz w:val="24"/>
                <w:szCs w:val="24"/>
                <w:lang w:val="en-US" w:eastAsia="zh-CN"/>
              </w:rPr>
              <w:t>6</w:t>
            </w:r>
          </w:p>
        </w:tc>
        <w:tc>
          <w:tcPr>
            <w:tcW w:w="6465" w:type="dxa"/>
            <w:noWrap w:val="0"/>
            <w:vAlign w:val="center"/>
          </w:tcPr>
          <w:p>
            <w:pPr>
              <w:spacing w:line="400" w:lineRule="exact"/>
              <w:rPr>
                <w:rFonts w:hint="default" w:ascii="宋体" w:hAnsi="宋体" w:eastAsia="宋体" w:cs="宋体"/>
                <w:color w:val="000000"/>
                <w:spacing w:val="-2"/>
                <w:sz w:val="24"/>
                <w:szCs w:val="24"/>
                <w:lang w:val="en-US" w:eastAsia="zh-CN"/>
              </w:rPr>
            </w:pPr>
            <w:r>
              <w:rPr>
                <w:rFonts w:hint="default" w:ascii="宋体" w:hAnsi="宋体" w:eastAsia="宋体" w:cs="宋体"/>
                <w:color w:val="000000"/>
                <w:spacing w:val="-2"/>
                <w:sz w:val="24"/>
                <w:szCs w:val="24"/>
                <w:lang w:val="en-US" w:eastAsia="zh-CN"/>
              </w:rPr>
              <w:t>投标保证金电子回单</w:t>
            </w:r>
            <w:r>
              <w:rPr>
                <w:rFonts w:hint="eastAsia" w:ascii="宋体" w:hAnsi="宋体" w:cs="宋体"/>
                <w:color w:val="000000"/>
                <w:spacing w:val="-2"/>
                <w:sz w:val="24"/>
                <w:szCs w:val="24"/>
                <w:lang w:val="en-US" w:eastAsia="zh-CN"/>
              </w:rPr>
              <w:t>；</w:t>
            </w:r>
          </w:p>
        </w:tc>
        <w:tc>
          <w:tcPr>
            <w:tcW w:w="837" w:type="dxa"/>
            <w:noWrap w:val="0"/>
            <w:vAlign w:val="center"/>
          </w:tcPr>
          <w:p>
            <w:pPr>
              <w:spacing w:line="240" w:lineRule="auto"/>
              <w:ind w:firstLine="420"/>
              <w:rPr>
                <w:rFonts w:hint="eastAsia" w:ascii="宋体" w:hAnsi="宋体" w:eastAsia="宋体" w:cs="宋体"/>
                <w:sz w:val="24"/>
                <w:szCs w:val="24"/>
              </w:rPr>
            </w:pPr>
          </w:p>
        </w:tc>
        <w:tc>
          <w:tcPr>
            <w:tcW w:w="943" w:type="dxa"/>
            <w:noWrap w:val="0"/>
            <w:vAlign w:val="center"/>
          </w:tcPr>
          <w:p>
            <w:pPr>
              <w:spacing w:line="240" w:lineRule="auto"/>
              <w:ind w:firstLine="420"/>
              <w:rPr>
                <w:rFonts w:hint="eastAsia" w:ascii="宋体" w:hAnsi="宋体" w:eastAsia="宋体" w:cs="宋体"/>
                <w:sz w:val="24"/>
                <w:szCs w:val="24"/>
              </w:rPr>
            </w:pPr>
          </w:p>
        </w:tc>
        <w:tc>
          <w:tcPr>
            <w:tcW w:w="847" w:type="dxa"/>
            <w:noWrap w:val="0"/>
            <w:vAlign w:val="center"/>
          </w:tcPr>
          <w:p>
            <w:pPr>
              <w:spacing w:line="240" w:lineRule="auto"/>
              <w:ind w:firstLine="420"/>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72" w:type="dxa"/>
            <w:gridSpan w:val="3"/>
            <w:noWrap w:val="0"/>
            <w:vAlign w:val="center"/>
          </w:tcPr>
          <w:p>
            <w:pPr>
              <w:spacing w:line="240" w:lineRule="auto"/>
              <w:ind w:firstLine="420"/>
              <w:rPr>
                <w:rFonts w:hint="eastAsia" w:ascii="宋体" w:hAnsi="宋体" w:eastAsia="宋体" w:cs="宋体"/>
                <w:sz w:val="24"/>
                <w:szCs w:val="24"/>
              </w:rPr>
            </w:pPr>
            <w:r>
              <w:rPr>
                <w:rFonts w:hint="eastAsia" w:ascii="宋体" w:hAnsi="宋体" w:eastAsia="宋体" w:cs="宋体"/>
                <w:sz w:val="24"/>
                <w:szCs w:val="24"/>
              </w:rPr>
              <w:t>结论：通过评审打“√”       未通过评审打“×”</w:t>
            </w:r>
          </w:p>
        </w:tc>
        <w:tc>
          <w:tcPr>
            <w:tcW w:w="943" w:type="dxa"/>
            <w:noWrap w:val="0"/>
            <w:vAlign w:val="center"/>
          </w:tcPr>
          <w:p>
            <w:pPr>
              <w:spacing w:line="240" w:lineRule="auto"/>
              <w:ind w:firstLine="420"/>
              <w:rPr>
                <w:rFonts w:hint="eastAsia" w:ascii="宋体" w:hAnsi="宋体" w:eastAsia="宋体" w:cs="宋体"/>
                <w:sz w:val="24"/>
                <w:szCs w:val="24"/>
              </w:rPr>
            </w:pPr>
          </w:p>
        </w:tc>
        <w:tc>
          <w:tcPr>
            <w:tcW w:w="847" w:type="dxa"/>
            <w:noWrap w:val="0"/>
            <w:vAlign w:val="center"/>
          </w:tcPr>
          <w:p>
            <w:pPr>
              <w:spacing w:line="240" w:lineRule="auto"/>
              <w:ind w:firstLine="420"/>
              <w:rPr>
                <w:rFonts w:hint="eastAsia" w:ascii="宋体" w:hAnsi="宋体" w:eastAsia="宋体" w:cs="宋体"/>
                <w:sz w:val="24"/>
                <w:szCs w:val="24"/>
              </w:rPr>
            </w:pPr>
          </w:p>
        </w:tc>
      </w:tr>
    </w:tbl>
    <w:p>
      <w:pPr>
        <w:widowControl/>
        <w:jc w:val="left"/>
        <w:textAlignment w:val="center"/>
        <w:rPr>
          <w:rFonts w:hint="eastAsia" w:ascii="宋体" w:hAnsi="宋体" w:eastAsia="宋体" w:cs="宋体"/>
          <w:sz w:val="24"/>
          <w:szCs w:val="24"/>
        </w:rPr>
      </w:pPr>
      <w:r>
        <w:rPr>
          <w:rFonts w:hint="eastAsia" w:ascii="宋体" w:hAnsi="宋体" w:eastAsia="宋体" w:cs="宋体"/>
          <w:b/>
          <w:bCs/>
          <w:color w:val="000000"/>
          <w:kern w:val="0"/>
          <w:sz w:val="24"/>
          <w:szCs w:val="24"/>
        </w:rPr>
        <w:t>注：投标人有一项未通过不得参与下阶段评审，视为废标。</w:t>
      </w:r>
    </w:p>
    <w:p>
      <w:pPr>
        <w:pStyle w:val="6"/>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说明：以上证件除特殊标注外均须为原件，开标时请随身携带以备查验；未通过资格审查的报价人将拒绝进行下一阶段评审！请投标人特别注意！</w:t>
      </w:r>
    </w:p>
    <w:p>
      <w:pPr>
        <w:pStyle w:val="15"/>
        <w:rPr>
          <w:rFonts w:hint="eastAsia" w:ascii="宋体" w:hAnsi="宋体" w:eastAsia="宋体" w:cs="宋体"/>
        </w:rPr>
      </w:pPr>
    </w:p>
    <w:p>
      <w:pPr>
        <w:pStyle w:val="15"/>
        <w:spacing w:before="120" w:line="360" w:lineRule="auto"/>
        <w:jc w:val="both"/>
        <w:outlineLvl w:val="0"/>
        <w:rPr>
          <w:rFonts w:hint="eastAsia" w:ascii="宋体" w:hAnsi="宋体" w:eastAsia="宋体" w:cs="宋体"/>
          <w:color w:val="000000"/>
          <w:sz w:val="24"/>
          <w:szCs w:val="24"/>
          <w:lang w:eastAsia="zh-CN"/>
        </w:rPr>
      </w:pPr>
      <w:bookmarkStart w:id="205" w:name="_Toc27603"/>
    </w:p>
    <w:p>
      <w:pPr>
        <w:pStyle w:val="15"/>
        <w:spacing w:before="120" w:line="360" w:lineRule="auto"/>
        <w:jc w:val="both"/>
        <w:outlineLvl w:val="0"/>
        <w:rPr>
          <w:rFonts w:hint="eastAsia" w:ascii="宋体" w:hAnsi="宋体" w:eastAsia="宋体" w:cs="宋体"/>
          <w:color w:val="000000"/>
          <w:sz w:val="24"/>
          <w:szCs w:val="24"/>
          <w:lang w:eastAsia="zh-CN"/>
        </w:rPr>
      </w:pPr>
    </w:p>
    <w:p>
      <w:pPr>
        <w:pStyle w:val="15"/>
        <w:spacing w:before="120" w:line="360" w:lineRule="auto"/>
        <w:jc w:val="both"/>
        <w:outlineLvl w:val="0"/>
        <w:rPr>
          <w:rFonts w:hint="eastAsia" w:ascii="宋体" w:hAnsi="宋体" w:eastAsia="宋体" w:cs="宋体"/>
          <w:color w:val="000000"/>
          <w:sz w:val="24"/>
          <w:szCs w:val="24"/>
          <w:lang w:eastAsia="zh-CN"/>
        </w:rPr>
      </w:pPr>
    </w:p>
    <w:p>
      <w:pPr>
        <w:pStyle w:val="15"/>
        <w:spacing w:before="120" w:line="360" w:lineRule="auto"/>
        <w:jc w:val="both"/>
        <w:outlineLvl w:val="0"/>
        <w:rPr>
          <w:rFonts w:hint="eastAsia" w:ascii="宋体" w:hAnsi="宋体" w:eastAsia="宋体" w:cs="宋体"/>
          <w:color w:val="000000"/>
          <w:sz w:val="24"/>
          <w:szCs w:val="24"/>
          <w:lang w:eastAsia="zh-CN"/>
        </w:rPr>
      </w:pPr>
    </w:p>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br w:type="page"/>
      </w:r>
    </w:p>
    <w:p>
      <w:pPr>
        <w:pStyle w:val="15"/>
        <w:spacing w:before="120" w:line="360" w:lineRule="auto"/>
        <w:jc w:val="both"/>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附表</w:t>
      </w:r>
      <w:r>
        <w:rPr>
          <w:rFonts w:hint="eastAsia" w:ascii="宋体" w:hAnsi="宋体" w:eastAsia="宋体" w:cs="宋体"/>
          <w:color w:val="000000"/>
          <w:sz w:val="24"/>
          <w:szCs w:val="24"/>
          <w:lang w:val="en-US" w:eastAsia="zh-CN"/>
        </w:rPr>
        <w:t>2</w:t>
      </w:r>
      <w:bookmarkEnd w:id="205"/>
    </w:p>
    <w:p>
      <w:pPr>
        <w:pStyle w:val="6"/>
        <w:ind w:firstLine="0"/>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32"/>
          <w:szCs w:val="32"/>
          <w:highlight w:val="none"/>
          <w:lang w:val="en-US" w:eastAsia="zh-CN" w:bidi="ar"/>
        </w:rPr>
        <w:t>投标文件评审表</w:t>
      </w:r>
    </w:p>
    <w:tbl>
      <w:tblPr>
        <w:tblStyle w:val="20"/>
        <w:tblpPr w:leftFromText="180" w:rightFromText="180" w:vertAnchor="text" w:horzAnchor="page" w:tblpXSpec="center" w:tblpY="16"/>
        <w:tblOverlap w:val="never"/>
        <w:tblW w:w="9776" w:type="dxa"/>
        <w:jc w:val="center"/>
        <w:tblLayout w:type="fixed"/>
        <w:tblCellMar>
          <w:top w:w="15" w:type="dxa"/>
          <w:left w:w="15" w:type="dxa"/>
          <w:bottom w:w="15" w:type="dxa"/>
          <w:right w:w="15" w:type="dxa"/>
        </w:tblCellMar>
      </w:tblPr>
      <w:tblGrid>
        <w:gridCol w:w="740"/>
        <w:gridCol w:w="6261"/>
        <w:gridCol w:w="2775"/>
      </w:tblGrid>
      <w:tr>
        <w:tblPrEx>
          <w:tblCellMar>
            <w:top w:w="15" w:type="dxa"/>
            <w:left w:w="15" w:type="dxa"/>
            <w:bottom w:w="15" w:type="dxa"/>
            <w:right w:w="15" w:type="dxa"/>
          </w:tblCellMar>
        </w:tblPrEx>
        <w:trPr>
          <w:trHeight w:val="93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评审内容</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是否通过评审（注：通过的打“√”，未通过的打“×”）</w:t>
            </w:r>
          </w:p>
        </w:tc>
      </w:tr>
      <w:tr>
        <w:tblPrEx>
          <w:tblCellMar>
            <w:top w:w="15" w:type="dxa"/>
            <w:left w:w="15" w:type="dxa"/>
            <w:bottom w:w="15" w:type="dxa"/>
            <w:right w:w="15" w:type="dxa"/>
          </w:tblCellMar>
        </w:tblPrEx>
        <w:trPr>
          <w:trHeight w:val="77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0"/>
                <w:sz w:val="24"/>
                <w:szCs w:val="24"/>
                <w:highlight w:val="none"/>
                <w:lang w:val="en-US" w:eastAsia="zh-CN" w:bidi="ar"/>
              </w:rPr>
              <w:t>谈判响应文件签字或盖章是否满足招标文件要求；</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7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谈判响应文件是否按谈判文件要求编制，内容是否全面或字迹是否模糊、辨认不清的；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1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投标文件是否不齐全或者内容虚假的；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61"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4</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0"/>
                <w:sz w:val="24"/>
                <w:szCs w:val="24"/>
                <w:highlight w:val="none"/>
                <w:lang w:val="en-US" w:eastAsia="zh-CN" w:bidi="ar"/>
              </w:rPr>
              <w:t>投标文件记载的招标项目供货期是否超过招标文件规定的供货期；</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56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5</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投标有效期是否满足招标文件要求的；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525"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6</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i w:val="0"/>
                <w:color w:val="000000"/>
                <w:kern w:val="0"/>
                <w:sz w:val="24"/>
                <w:szCs w:val="24"/>
                <w:u w:val="none"/>
                <w:lang w:val="en-US" w:eastAsia="zh-CN" w:bidi="ar"/>
              </w:rPr>
              <w:t>投标报价没有高于采购预算价；</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83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7</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i w:val="0"/>
                <w:color w:val="000000"/>
                <w:kern w:val="0"/>
                <w:sz w:val="24"/>
                <w:szCs w:val="24"/>
                <w:u w:val="none"/>
                <w:lang w:val="en-US" w:eastAsia="zh-CN" w:bidi="ar"/>
              </w:rPr>
              <w:t>投标人没有递交两份或两份以上内容不同的投标书，已声明哪一份有效的；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91"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8</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明显不符合技术规格和技术标准（技术规格、合同条款有偏离情况的）；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9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9</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商务条款是否有偏离情况的；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6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10</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投标文件是否附有招标人不能接受条件的；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3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11</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投标保证金的缴纳主体与投标人是否一致；</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8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12</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是否满足招标文件实质性要求的其他情形；</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bl>
    <w:p>
      <w:pPr>
        <w:pStyle w:val="6"/>
        <w:ind w:firstLine="0"/>
        <w:rPr>
          <w:rFonts w:hint="eastAsia" w:ascii="宋体" w:hAnsi="宋体" w:eastAsia="宋体" w:cs="宋体"/>
          <w:b/>
          <w:bCs/>
          <w:color w:val="auto"/>
          <w:sz w:val="24"/>
          <w:szCs w:val="24"/>
        </w:rPr>
      </w:pPr>
    </w:p>
    <w:p>
      <w:pPr>
        <w:pStyle w:val="6"/>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注：投标人有一项未通过不得参与下阶段评审，视为废标。</w:t>
      </w:r>
    </w:p>
    <w:p>
      <w:pPr>
        <w:pStyle w:val="2"/>
        <w:rPr>
          <w:rFonts w:hint="eastAsia" w:ascii="宋体" w:hAnsi="宋体" w:eastAsia="宋体" w:cs="宋体"/>
          <w:lang w:val="en-US" w:eastAsia="zh-CN"/>
        </w:rPr>
      </w:pPr>
    </w:p>
    <w:sectPr>
      <w:footerReference r:id="rId5"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87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Bdr>
                              <w:top w:val="none" w:color="auto" w:sz="0" w:space="0"/>
                            </w:pBdr>
                            <w:rPr>
                              <w:rStyle w:val="23"/>
                              <w:rFonts w:eastAsia="宋体"/>
                            </w:rPr>
                          </w:pPr>
                          <w:r>
                            <w:fldChar w:fldCharType="begin"/>
                          </w:r>
                          <w:r>
                            <w:rPr>
                              <w:rStyle w:val="23"/>
                              <w:rFonts w:eastAsia="宋体"/>
                            </w:rPr>
                            <w:instrText xml:space="preserve">PAGE  </w:instrText>
                          </w:r>
                          <w:r>
                            <w:fldChar w:fldCharType="separate"/>
                          </w:r>
                          <w:r>
                            <w:rPr>
                              <w:rStyle w:val="23"/>
                              <w:rFonts w:eastAsia="宋体"/>
                            </w:rP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0288;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rm5S3RAAAABgEAAA8AAAAAAAAAAQAgAAAAIgAAAGRycy9kb3ducmV2Lnht&#10;bFBLAQIUABQAAAAIAIdO4kD0CSeXxwEAAJkDAAAOAAAAAAAAAAEAIAAAACABAABkcnMvZTJvRG9j&#10;LnhtbFBLBQYAAAAABgAGAFkBAABZBQAAAAA=&#10;">
              <v:fill on="f" focussize="0,0"/>
              <v:stroke on="f"/>
              <v:imagedata o:title=""/>
              <o:lock v:ext="edit" aspectratio="f"/>
              <v:textbox inset="0mm,0mm,0mm,0mm" style="mso-fit-shape-to-text:t;">
                <w:txbxContent>
                  <w:p>
                    <w:pPr>
                      <w:pStyle w:val="12"/>
                      <w:pBdr>
                        <w:top w:val="none" w:color="auto" w:sz="0" w:space="0"/>
                      </w:pBdr>
                      <w:rPr>
                        <w:rStyle w:val="23"/>
                        <w:rFonts w:eastAsia="宋体"/>
                      </w:rPr>
                    </w:pPr>
                    <w:r>
                      <w:fldChar w:fldCharType="begin"/>
                    </w:r>
                    <w:r>
                      <w:rPr>
                        <w:rStyle w:val="23"/>
                        <w:rFonts w:eastAsia="宋体"/>
                      </w:rPr>
                      <w:instrText xml:space="preserve">PAGE  </w:instrText>
                    </w:r>
                    <w:r>
                      <w:fldChar w:fldCharType="separate"/>
                    </w:r>
                    <w:r>
                      <w:rPr>
                        <w:rStyle w:val="23"/>
                        <w:rFonts w:eastAsia="宋体"/>
                      </w:rP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both"/>
      <w:rPr>
        <w:rFonts w:hint="eastAsia" w:ascii="宋体" w:hAnsi="宋体"/>
        <w:u w:val="single" w:color="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5E14812"/>
    <w:multiLevelType w:val="singleLevel"/>
    <w:tmpl w:val="15E14812"/>
    <w:lvl w:ilvl="0" w:tentative="0">
      <w:start w:val="2"/>
      <w:numFmt w:val="decimal"/>
      <w:suff w:val="nothing"/>
      <w:lvlText w:val="%1、"/>
      <w:lvlJc w:val="left"/>
    </w:lvl>
  </w:abstractNum>
  <w:abstractNum w:abstractNumId="2">
    <w:nsid w:val="3983044D"/>
    <w:multiLevelType w:val="multilevel"/>
    <w:tmpl w:val="3983044D"/>
    <w:lvl w:ilvl="0" w:tentative="0">
      <w:start w:val="1"/>
      <w:numFmt w:val="decimal"/>
      <w:pStyle w:val="14"/>
      <w:lvlText w:val="第%1章"/>
      <w:lvlJc w:val="left"/>
      <w:pPr>
        <w:tabs>
          <w:tab w:val="left" w:pos="425"/>
        </w:tabs>
        <w:ind w:left="425" w:hanging="425"/>
      </w:pPr>
      <w:rPr>
        <w:rFonts w:ascii="Times New Roman" w:hAnsi="Times New Roman"/>
        <w:position w:val="0"/>
      </w:rPr>
    </w:lvl>
    <w:lvl w:ilvl="1" w:tentative="0">
      <w:start w:val="1"/>
      <w:numFmt w:val="decimal"/>
      <w:lvlText w:val="%1.%2"/>
      <w:lvlJc w:val="left"/>
      <w:pPr>
        <w:tabs>
          <w:tab w:val="left" w:pos="709"/>
        </w:tabs>
        <w:ind w:left="709" w:hanging="567"/>
      </w:pPr>
      <w:rPr>
        <w:rFonts w:ascii="Times New Roman" w:hAnsi="Times New Roman"/>
        <w:lang w:val="en-US"/>
      </w:rPr>
    </w:lvl>
    <w:lvl w:ilvl="2" w:tentative="0">
      <w:start w:val="1"/>
      <w:numFmt w:val="decimal"/>
      <w:lvlText w:val="%1.%2.%3"/>
      <w:lvlJc w:val="left"/>
      <w:pPr>
        <w:tabs>
          <w:tab w:val="left" w:pos="709"/>
        </w:tabs>
        <w:ind w:left="709" w:hanging="709"/>
      </w:pPr>
      <w:rPr>
        <w:sz w:val="32"/>
        <w:szCs w:val="3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ind w:left="1418" w:hanging="1418"/>
      </w:pPr>
    </w:lvl>
    <w:lvl w:ilvl="8" w:tentative="0">
      <w:start w:val="1"/>
      <w:numFmt w:val="decimal"/>
      <w:lvlText w:val="%1.%2.%3.%4.%5.%6.%7.%8.%9."/>
      <w:lvlJc w:val="left"/>
      <w:pPr>
        <w:tabs>
          <w:tab w:val="left" w:pos="1559"/>
        </w:tabs>
        <w:ind w:left="1559" w:hanging="1559"/>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NDQ1ZDljNDkyY2FhY2ZhN2FjMWJlMzg0NDc3YzgifQ=="/>
  </w:docVars>
  <w:rsids>
    <w:rsidRoot w:val="0D6A2784"/>
    <w:rsid w:val="03D72797"/>
    <w:rsid w:val="06F10783"/>
    <w:rsid w:val="0D6A2784"/>
    <w:rsid w:val="11A82F00"/>
    <w:rsid w:val="12B529C2"/>
    <w:rsid w:val="14834452"/>
    <w:rsid w:val="16710E4C"/>
    <w:rsid w:val="1839508D"/>
    <w:rsid w:val="1D812B2E"/>
    <w:rsid w:val="31FB643B"/>
    <w:rsid w:val="36755864"/>
    <w:rsid w:val="36BF712B"/>
    <w:rsid w:val="43CE162A"/>
    <w:rsid w:val="48D24D20"/>
    <w:rsid w:val="4A843274"/>
    <w:rsid w:val="4E133FC0"/>
    <w:rsid w:val="5788093E"/>
    <w:rsid w:val="5D1A3EBF"/>
    <w:rsid w:val="60940FF5"/>
    <w:rsid w:val="7EFC2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8"/>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sz w:val="52"/>
      <w:szCs w:val="20"/>
    </w:rPr>
  </w:style>
  <w:style w:type="paragraph" w:styleId="4">
    <w:name w:val="heading 2"/>
    <w:basedOn w:val="1"/>
    <w:next w:val="1"/>
    <w:qFormat/>
    <w:uiPriority w:val="0"/>
    <w:pPr>
      <w:keepNext/>
      <w:keepLines/>
      <w:widowControl/>
      <w:spacing w:before="260" w:beforeLines="0" w:after="260" w:afterLines="0" w:line="416" w:lineRule="auto"/>
      <w:jc w:val="center"/>
      <w:outlineLvl w:val="1"/>
    </w:pPr>
    <w:rPr>
      <w:rFonts w:ascii="Arial" w:hAnsi="Arial"/>
      <w:b/>
      <w:sz w:val="44"/>
      <w:szCs w:val="20"/>
    </w:rPr>
  </w:style>
  <w:style w:type="paragraph" w:styleId="2">
    <w:name w:val="heading 3"/>
    <w:basedOn w:val="1"/>
    <w:next w:val="1"/>
    <w:qFormat/>
    <w:uiPriority w:val="0"/>
    <w:pPr>
      <w:keepNext/>
      <w:outlineLvl w:val="2"/>
    </w:pPr>
    <w:rPr>
      <w:rFonts w:ascii="楷体_GB2312" w:hAnsi="宋体" w:eastAsia="楷体_GB2312"/>
      <w:b/>
      <w:bCs/>
      <w:sz w:val="32"/>
    </w:rPr>
  </w:style>
  <w:style w:type="paragraph" w:styleId="5">
    <w:name w:val="heading 4"/>
    <w:basedOn w:val="1"/>
    <w:next w:val="1"/>
    <w:qFormat/>
    <w:uiPriority w:val="0"/>
    <w:pPr>
      <w:keepNext/>
      <w:keepLines/>
      <w:spacing w:before="280" w:after="290" w:line="440" w:lineRule="exact"/>
      <w:outlineLvl w:val="3"/>
    </w:pPr>
    <w:rPr>
      <w:rFonts w:ascii="Cambria" w:hAnsi="Cambria"/>
      <w:b/>
      <w:bCs/>
      <w:sz w:val="28"/>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sz w:val="20"/>
      <w:szCs w:val="20"/>
    </w:rPr>
  </w:style>
  <w:style w:type="paragraph" w:styleId="7">
    <w:name w:val="toa heading"/>
    <w:basedOn w:val="1"/>
    <w:next w:val="1"/>
    <w:qFormat/>
    <w:uiPriority w:val="99"/>
    <w:pPr>
      <w:spacing w:before="120"/>
    </w:pPr>
    <w:rPr>
      <w:rFonts w:ascii="Arial" w:hAnsi="Arial" w:eastAsia="仿宋"/>
      <w:sz w:val="24"/>
      <w:szCs w:val="20"/>
    </w:rPr>
  </w:style>
  <w:style w:type="paragraph" w:styleId="8">
    <w:name w:val="Body Text"/>
    <w:basedOn w:val="1"/>
    <w:qFormat/>
    <w:uiPriority w:val="0"/>
    <w:pPr>
      <w:spacing w:line="0" w:lineRule="atLeast"/>
    </w:pPr>
    <w:rPr>
      <w:kern w:val="2"/>
      <w:sz w:val="30"/>
      <w:szCs w:val="20"/>
    </w:rPr>
  </w:style>
  <w:style w:type="paragraph" w:styleId="9">
    <w:name w:val="Body Text Indent"/>
    <w:basedOn w:val="1"/>
    <w:next w:val="5"/>
    <w:qFormat/>
    <w:uiPriority w:val="0"/>
    <w:pPr>
      <w:spacing w:after="120"/>
      <w:ind w:left="420" w:leftChars="200"/>
    </w:pPr>
    <w:rPr>
      <w:kern w:val="0"/>
      <w:sz w:val="20"/>
    </w:rPr>
  </w:style>
  <w:style w:type="paragraph" w:styleId="10">
    <w:name w:val="Plain Text"/>
    <w:basedOn w:val="1"/>
    <w:qFormat/>
    <w:uiPriority w:val="0"/>
    <w:rPr>
      <w:rFonts w:ascii="宋体" w:hAnsi="Courier New" w:eastAsia="宋体"/>
      <w:kern w:val="2"/>
      <w:sz w:val="21"/>
      <w:lang w:val="en-US" w:eastAsia="zh-CN" w:bidi="ar-SA"/>
    </w:rPr>
  </w:style>
  <w:style w:type="paragraph" w:styleId="11">
    <w:name w:val="Date"/>
    <w:basedOn w:val="1"/>
    <w:next w:val="1"/>
    <w:qFormat/>
    <w:uiPriority w:val="0"/>
    <w:rPr>
      <w:kern w:val="2"/>
      <w:sz w:val="24"/>
      <w:szCs w:val="20"/>
    </w:rPr>
  </w:style>
  <w:style w:type="paragraph" w:styleId="12">
    <w:name w:val="footer"/>
    <w:basedOn w:val="1"/>
    <w:next w:val="1"/>
    <w:qFormat/>
    <w:uiPriority w:val="0"/>
    <w:pPr>
      <w:widowControl/>
      <w:tabs>
        <w:tab w:val="center" w:pos="4153"/>
        <w:tab w:val="right" w:pos="8306"/>
      </w:tabs>
      <w:snapToGrid w:val="0"/>
      <w:jc w:val="left"/>
    </w:pPr>
    <w:rPr>
      <w:sz w:val="18"/>
      <w:szCs w:val="20"/>
    </w:rPr>
  </w:style>
  <w:style w:type="paragraph" w:styleId="13">
    <w:name w:val="header"/>
    <w:basedOn w:val="1"/>
    <w:qFormat/>
    <w:uiPriority w:val="0"/>
    <w:pPr>
      <w:widowControl/>
      <w:pBdr>
        <w:bottom w:val="single" w:color="auto" w:sz="6" w:space="1"/>
      </w:pBdr>
      <w:tabs>
        <w:tab w:val="center" w:pos="4153"/>
        <w:tab w:val="right" w:pos="8306"/>
      </w:tabs>
      <w:snapToGrid w:val="0"/>
      <w:jc w:val="center"/>
    </w:pPr>
    <w:rPr>
      <w:sz w:val="18"/>
      <w:szCs w:val="20"/>
    </w:rPr>
  </w:style>
  <w:style w:type="paragraph" w:styleId="14">
    <w:name w:val="List"/>
    <w:basedOn w:val="1"/>
    <w:qFormat/>
    <w:uiPriority w:val="0"/>
    <w:pPr>
      <w:numPr>
        <w:ilvl w:val="0"/>
        <w:numId w:val="2"/>
      </w:numPr>
      <w:tabs>
        <w:tab w:val="center" w:pos="425"/>
      </w:tabs>
      <w:spacing w:line="360" w:lineRule="auto"/>
    </w:pPr>
    <w:rPr>
      <w:rFonts w:ascii="Arial" w:hAnsi="Arial"/>
      <w:kern w:val="0"/>
      <w:sz w:val="24"/>
    </w:rPr>
  </w:style>
  <w:style w:type="paragraph" w:styleId="15">
    <w:name w:val="footnote text"/>
    <w:basedOn w:val="1"/>
    <w:qFormat/>
    <w:uiPriority w:val="0"/>
    <w:pPr>
      <w:snapToGrid w:val="0"/>
      <w:jc w:val="left"/>
    </w:pPr>
    <w:rPr>
      <w:sz w:val="18"/>
    </w:rPr>
  </w:style>
  <w:style w:type="paragraph" w:styleId="1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8">
    <w:name w:val="Body Text First Indent"/>
    <w:basedOn w:val="8"/>
    <w:qFormat/>
    <w:uiPriority w:val="0"/>
    <w:pPr>
      <w:ind w:firstLine="420" w:firstLineChars="100"/>
    </w:pPr>
    <w:rPr>
      <w:szCs w:val="24"/>
    </w:rPr>
  </w:style>
  <w:style w:type="paragraph" w:styleId="19">
    <w:name w:val="Body Text First Indent 2"/>
    <w:basedOn w:val="9"/>
    <w:qFormat/>
    <w:uiPriority w:val="0"/>
    <w:pPr>
      <w:ind w:firstLine="420" w:firstLineChars="200"/>
    </w:pPr>
    <w:rPr>
      <w:sz w:val="21"/>
    </w:r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样式1"/>
    <w:basedOn w:val="7"/>
    <w:next w:val="5"/>
    <w:qFormat/>
    <w:uiPriority w:val="0"/>
    <w:pPr>
      <w:spacing w:line="360" w:lineRule="auto"/>
      <w:ind w:firstLine="560" w:firstLineChars="200"/>
    </w:pPr>
    <w:rPr>
      <w:rFonts w:ascii="宋体" w:hAnsi="宋体"/>
      <w:sz w:val="28"/>
      <w:szCs w:val="28"/>
    </w:rPr>
  </w:style>
  <w:style w:type="paragraph" w:customStyle="1" w:styleId="25">
    <w:name w:val="标题1"/>
    <w:basedOn w:val="1"/>
    <w:qFormat/>
    <w:uiPriority w:val="99"/>
    <w:rPr>
      <w:rFonts w:eastAsia="黑体"/>
      <w:sz w:val="30"/>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WPSOffice手动目录 1"/>
    <w:qFormat/>
    <w:uiPriority w:val="0"/>
    <w:pPr>
      <w:ind w:leftChars="0"/>
    </w:pPr>
    <w:rPr>
      <w:rFonts w:ascii="Calibri" w:hAnsi="Calibri" w:eastAsia="宋体" w:cs="Times New Roman"/>
      <w:sz w:val="20"/>
      <w:szCs w:val="20"/>
    </w:rPr>
  </w:style>
  <w:style w:type="paragraph" w:customStyle="1" w:styleId="28">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9">
    <w:name w:val="font21"/>
    <w:basedOn w:val="21"/>
    <w:qFormat/>
    <w:uiPriority w:val="0"/>
    <w:rPr>
      <w:rFonts w:hint="default" w:ascii="Calibri" w:hAnsi="Calibri" w:cs="Calibri"/>
      <w:color w:val="000000"/>
      <w:sz w:val="21"/>
      <w:szCs w:val="21"/>
      <w:u w:val="none"/>
    </w:rPr>
  </w:style>
  <w:style w:type="character" w:customStyle="1" w:styleId="30">
    <w:name w:val="font01"/>
    <w:basedOn w:val="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19439</Words>
  <Characters>20730</Characters>
  <Lines>0</Lines>
  <Paragraphs>0</Paragraphs>
  <TotalTime>3</TotalTime>
  <ScaleCrop>false</ScaleCrop>
  <LinksUpToDate>false</LinksUpToDate>
  <CharactersWithSpaces>22478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2022-03-03T03:43:00Z</dcterms:created>
  <dc:creator>Mars丶</dc:creator>
  <cp:lastModifiedBy>Mars丶</cp:lastModifiedBy>
  <dcterms:modified xsi:type="dcterms:W3CDTF">2023-03-08T08:16:28Z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07B88745EFBB432EB42A0DE9C9C49CB4</vt:lpwstr>
  </property>
</Properties>
</file>