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spacing w:line="360" w:lineRule="auto"/>
        <w:ind w:left="0" w:leftChars="0" w:firstLine="0" w:firstLineChars="0"/>
        <w:rPr>
          <w:rFonts w:hint="eastAsia" w:ascii="仿宋" w:hAnsi="仿宋" w:eastAsia="仿宋" w:cs="仿宋"/>
          <w:color w:val="auto"/>
        </w:rPr>
      </w:pPr>
    </w:p>
    <w:p>
      <w:pPr>
        <w:spacing w:line="360" w:lineRule="auto"/>
        <w:jc w:val="center"/>
        <w:rPr>
          <w:rFonts w:hint="eastAsia" w:ascii="仿宋" w:hAnsi="仿宋" w:eastAsia="仿宋" w:cs="仿宋"/>
          <w:b/>
          <w:color w:val="auto"/>
          <w:sz w:val="72"/>
          <w:lang w:eastAsia="zh-CN"/>
        </w:rPr>
      </w:pPr>
      <w:r>
        <w:rPr>
          <w:rFonts w:hint="eastAsia" w:ascii="仿宋" w:hAnsi="仿宋" w:eastAsia="仿宋" w:cs="仿宋"/>
          <w:b/>
          <w:color w:val="auto"/>
          <w:sz w:val="72"/>
          <w:lang w:eastAsia="zh-CN"/>
        </w:rPr>
        <w:drawing>
          <wp:inline distT="0" distB="0" distL="114300" distR="114300">
            <wp:extent cx="2171700" cy="2145665"/>
            <wp:effectExtent l="0" t="0" r="0" b="698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0"/>
                    <a:srcRect l="30045" t="9183" r="28960" b="26720"/>
                    <a:stretch>
                      <a:fillRect/>
                    </a:stretch>
                  </pic:blipFill>
                  <pic:spPr>
                    <a:xfrm>
                      <a:off x="0" y="0"/>
                      <a:ext cx="2171700" cy="2145665"/>
                    </a:xfrm>
                    <a:prstGeom prst="rect">
                      <a:avLst/>
                    </a:prstGeom>
                    <a:noFill/>
                    <a:ln>
                      <a:noFill/>
                    </a:ln>
                  </pic:spPr>
                </pic:pic>
              </a:graphicData>
            </a:graphic>
          </wp:inline>
        </w:drawing>
      </w:r>
    </w:p>
    <w:p>
      <w:pPr>
        <w:pStyle w:val="41"/>
        <w:spacing w:line="360" w:lineRule="auto"/>
        <w:ind w:left="0" w:leftChars="0" w:firstLine="0" w:firstLineChars="0"/>
        <w:rPr>
          <w:rFonts w:hint="eastAsia" w:ascii="仿宋" w:hAnsi="仿宋" w:eastAsia="仿宋" w:cs="仿宋"/>
          <w:b/>
          <w:color w:val="auto"/>
          <w:sz w:val="72"/>
          <w:lang w:eastAsia="zh-CN"/>
        </w:rPr>
      </w:pPr>
    </w:p>
    <w:p>
      <w:pPr>
        <w:tabs>
          <w:tab w:val="left" w:pos="3240"/>
          <w:tab w:val="left" w:pos="3420"/>
        </w:tabs>
        <w:spacing w:line="600" w:lineRule="auto"/>
        <w:ind w:left="2159" w:leftChars="266" w:hanging="1600" w:hangingChars="500"/>
        <w:rPr>
          <w:rFonts w:hint="eastAsia" w:ascii="仿宋" w:hAnsi="仿宋" w:eastAsia="仿宋" w:cs="仿宋"/>
          <w:bCs/>
          <w:color w:val="auto"/>
          <w:sz w:val="32"/>
          <w:szCs w:val="30"/>
          <w:lang w:eastAsia="zh-CN"/>
        </w:rPr>
      </w:pPr>
      <w:r>
        <w:rPr>
          <w:rFonts w:hint="eastAsia" w:ascii="仿宋" w:hAnsi="仿宋" w:eastAsia="仿宋" w:cs="仿宋"/>
          <w:bCs/>
          <w:color w:val="auto"/>
          <w:sz w:val="32"/>
          <w:szCs w:val="30"/>
        </w:rPr>
        <w:t>项目名称：</w:t>
      </w:r>
      <w:r>
        <w:rPr>
          <w:rFonts w:hint="eastAsia" w:ascii="仿宋" w:hAnsi="仿宋" w:eastAsia="仿宋" w:cs="仿宋"/>
          <w:bCs/>
          <w:color w:val="auto"/>
          <w:sz w:val="32"/>
          <w:szCs w:val="30"/>
          <w:u w:val="single"/>
          <w:lang w:eastAsia="zh-CN"/>
        </w:rPr>
        <w:t>和布克赛尔蒙古自治县乡镇国土空间规划、村庄规划编制项目</w:t>
      </w:r>
    </w:p>
    <w:p>
      <w:pPr>
        <w:tabs>
          <w:tab w:val="left" w:pos="3240"/>
          <w:tab w:val="left" w:pos="3420"/>
        </w:tabs>
        <w:spacing w:line="600" w:lineRule="auto"/>
        <w:ind w:firstLine="640" w:firstLineChars="200"/>
        <w:rPr>
          <w:rFonts w:hint="default" w:ascii="仿宋" w:hAnsi="仿宋" w:eastAsia="仿宋" w:cs="仿宋"/>
          <w:bCs/>
          <w:color w:val="auto"/>
          <w:sz w:val="32"/>
          <w:szCs w:val="30"/>
          <w:u w:val="single"/>
          <w:lang w:val="en-US" w:eastAsia="zh-CN"/>
        </w:rPr>
      </w:pPr>
      <w:r>
        <w:rPr>
          <w:rFonts w:hint="eastAsia" w:ascii="仿宋" w:hAnsi="仿宋" w:eastAsia="仿宋" w:cs="仿宋"/>
          <w:bCs/>
          <w:color w:val="auto"/>
          <w:sz w:val="32"/>
          <w:szCs w:val="30"/>
          <w:lang w:eastAsia="zh-CN"/>
        </w:rPr>
        <w:t>采购</w:t>
      </w:r>
      <w:r>
        <w:rPr>
          <w:rFonts w:hint="eastAsia" w:ascii="仿宋" w:hAnsi="仿宋" w:eastAsia="仿宋" w:cs="仿宋"/>
          <w:bCs/>
          <w:color w:val="auto"/>
          <w:sz w:val="32"/>
          <w:szCs w:val="30"/>
        </w:rPr>
        <w:t>编号：</w:t>
      </w:r>
      <w:r>
        <w:rPr>
          <w:rFonts w:hint="eastAsia" w:ascii="仿宋" w:hAnsi="仿宋" w:eastAsia="仿宋" w:cs="仿宋"/>
          <w:bCs/>
          <w:color w:val="auto"/>
          <w:sz w:val="32"/>
          <w:szCs w:val="30"/>
          <w:u w:val="single"/>
          <w:lang w:eastAsia="zh-CN"/>
        </w:rPr>
        <w:t>XJWZS(ZC)2023-005</w:t>
      </w:r>
    </w:p>
    <w:p>
      <w:pPr>
        <w:tabs>
          <w:tab w:val="left" w:pos="3240"/>
          <w:tab w:val="left" w:pos="3420"/>
        </w:tabs>
        <w:spacing w:line="600" w:lineRule="auto"/>
        <w:ind w:firstLine="640" w:firstLineChars="200"/>
        <w:rPr>
          <w:rFonts w:hint="eastAsia" w:ascii="仿宋" w:hAnsi="仿宋" w:eastAsia="仿宋" w:cs="仿宋"/>
          <w:bCs/>
          <w:color w:val="auto"/>
          <w:sz w:val="32"/>
          <w:szCs w:val="30"/>
          <w:lang w:eastAsia="zh-CN"/>
        </w:rPr>
      </w:pPr>
      <w:r>
        <w:rPr>
          <w:rFonts w:hint="eastAsia" w:ascii="仿宋" w:hAnsi="仿宋" w:eastAsia="仿宋" w:cs="仿宋"/>
          <w:bCs/>
          <w:color w:val="auto"/>
          <w:sz w:val="32"/>
          <w:szCs w:val="30"/>
        </w:rPr>
        <w:t>采 购 人：</w:t>
      </w:r>
      <w:r>
        <w:rPr>
          <w:rFonts w:hint="eastAsia" w:ascii="仿宋" w:hAnsi="仿宋" w:eastAsia="仿宋" w:cs="仿宋"/>
          <w:bCs/>
          <w:color w:val="auto"/>
          <w:sz w:val="32"/>
          <w:szCs w:val="30"/>
          <w:u w:val="single"/>
        </w:rPr>
        <w:t>和布克赛尔蒙古自治县自然资源局</w:t>
      </w:r>
    </w:p>
    <w:p>
      <w:pPr>
        <w:tabs>
          <w:tab w:val="left" w:pos="3240"/>
          <w:tab w:val="left" w:pos="3420"/>
        </w:tabs>
        <w:spacing w:line="600" w:lineRule="auto"/>
        <w:ind w:firstLine="640" w:firstLineChars="200"/>
        <w:rPr>
          <w:rFonts w:hint="eastAsia" w:ascii="仿宋" w:hAnsi="仿宋" w:eastAsia="仿宋" w:cs="仿宋"/>
          <w:bCs/>
          <w:color w:val="auto"/>
          <w:sz w:val="32"/>
          <w:szCs w:val="30"/>
          <w:u w:val="single"/>
        </w:rPr>
      </w:pPr>
      <w:r>
        <w:rPr>
          <w:rFonts w:hint="eastAsia" w:ascii="仿宋" w:hAnsi="仿宋" w:eastAsia="仿宋" w:cs="仿宋"/>
          <w:bCs/>
          <w:color w:val="auto"/>
          <w:sz w:val="32"/>
          <w:szCs w:val="30"/>
        </w:rPr>
        <w:t>采购代理机构：</w:t>
      </w:r>
      <w:r>
        <w:rPr>
          <w:rFonts w:hint="eastAsia" w:ascii="仿宋" w:hAnsi="仿宋" w:eastAsia="仿宋" w:cs="仿宋"/>
          <w:bCs/>
          <w:color w:val="auto"/>
          <w:sz w:val="32"/>
          <w:szCs w:val="30"/>
          <w:u w:val="single"/>
          <w:lang w:val="en-US" w:eastAsia="zh-CN"/>
        </w:rPr>
        <w:t>新疆卫中森工程管理服务有限公司</w:t>
      </w:r>
    </w:p>
    <w:p>
      <w:pPr>
        <w:tabs>
          <w:tab w:val="left" w:pos="3240"/>
          <w:tab w:val="left" w:pos="3420"/>
        </w:tabs>
        <w:spacing w:line="600" w:lineRule="auto"/>
        <w:jc w:val="center"/>
        <w:rPr>
          <w:rFonts w:hint="eastAsia" w:ascii="仿宋" w:hAnsi="仿宋" w:eastAsia="仿宋" w:cs="仿宋"/>
          <w:bCs/>
          <w:color w:val="auto"/>
          <w:sz w:val="32"/>
          <w:szCs w:val="36"/>
        </w:rPr>
      </w:pPr>
    </w:p>
    <w:p>
      <w:pPr>
        <w:spacing w:line="600" w:lineRule="auto"/>
        <w:jc w:val="center"/>
        <w:rPr>
          <w:rFonts w:hint="eastAsia" w:ascii="仿宋" w:hAnsi="仿宋" w:eastAsia="仿宋" w:cs="仿宋"/>
          <w:bCs/>
          <w:color w:val="auto"/>
          <w:sz w:val="32"/>
          <w:szCs w:val="36"/>
          <w:highlight w:val="none"/>
          <w:u w:val="single"/>
        </w:rPr>
      </w:pPr>
      <w:r>
        <w:rPr>
          <w:rFonts w:hint="eastAsia" w:ascii="仿宋" w:hAnsi="仿宋" w:eastAsia="仿宋" w:cs="仿宋"/>
          <w:bCs/>
          <w:color w:val="auto"/>
          <w:sz w:val="32"/>
          <w:szCs w:val="36"/>
          <w:highlight w:val="none"/>
        </w:rPr>
        <w:t>日    期：</w:t>
      </w:r>
      <w:r>
        <w:rPr>
          <w:rFonts w:hint="eastAsia" w:ascii="仿宋" w:hAnsi="仿宋" w:eastAsia="仿宋" w:cs="仿宋"/>
          <w:bCs/>
          <w:color w:val="auto"/>
          <w:sz w:val="32"/>
          <w:szCs w:val="36"/>
          <w:highlight w:val="none"/>
          <w:u w:val="single"/>
        </w:rPr>
        <w:t>20</w:t>
      </w:r>
      <w:r>
        <w:rPr>
          <w:rFonts w:hint="eastAsia" w:ascii="仿宋" w:hAnsi="仿宋" w:eastAsia="仿宋" w:cs="仿宋"/>
          <w:bCs/>
          <w:color w:val="auto"/>
          <w:sz w:val="32"/>
          <w:szCs w:val="36"/>
          <w:highlight w:val="none"/>
          <w:u w:val="single"/>
          <w:lang w:val="en-US" w:eastAsia="zh-CN"/>
        </w:rPr>
        <w:t>23</w:t>
      </w:r>
      <w:r>
        <w:rPr>
          <w:rFonts w:hint="eastAsia" w:ascii="仿宋" w:hAnsi="仿宋" w:eastAsia="仿宋" w:cs="仿宋"/>
          <w:bCs/>
          <w:color w:val="auto"/>
          <w:sz w:val="32"/>
          <w:szCs w:val="36"/>
          <w:highlight w:val="none"/>
          <w:u w:val="single"/>
        </w:rPr>
        <w:t>年</w:t>
      </w:r>
      <w:r>
        <w:rPr>
          <w:rFonts w:hint="eastAsia" w:ascii="仿宋" w:hAnsi="仿宋" w:eastAsia="仿宋" w:cs="仿宋"/>
          <w:bCs/>
          <w:color w:val="auto"/>
          <w:sz w:val="32"/>
          <w:szCs w:val="36"/>
          <w:highlight w:val="none"/>
          <w:u w:val="single"/>
          <w:lang w:val="en-US" w:eastAsia="zh-CN"/>
        </w:rPr>
        <w:t>03</w:t>
      </w:r>
      <w:r>
        <w:rPr>
          <w:rFonts w:hint="eastAsia" w:ascii="仿宋" w:hAnsi="仿宋" w:eastAsia="仿宋" w:cs="仿宋"/>
          <w:bCs/>
          <w:color w:val="auto"/>
          <w:sz w:val="32"/>
          <w:szCs w:val="36"/>
          <w:highlight w:val="none"/>
          <w:u w:val="single"/>
        </w:rPr>
        <w:t>月</w:t>
      </w:r>
    </w:p>
    <w:p>
      <w:pPr>
        <w:spacing w:line="360" w:lineRule="auto"/>
        <w:rPr>
          <w:rFonts w:hint="eastAsia" w:ascii="仿宋" w:hAnsi="仿宋" w:eastAsia="仿宋" w:cs="仿宋"/>
        </w:rPr>
        <w:sectPr>
          <w:pgSz w:w="11906" w:h="16838"/>
          <w:pgMar w:top="1440" w:right="1080" w:bottom="1440" w:left="1080" w:header="851" w:footer="992" w:gutter="0"/>
          <w:pgNumType w:start="1"/>
          <w:cols w:space="425" w:num="1"/>
          <w:docGrid w:type="lines" w:linePitch="312" w:charSpace="0"/>
        </w:sectPr>
      </w:pPr>
    </w:p>
    <w:sdt>
      <w:sdtPr>
        <w:rPr>
          <w:rFonts w:ascii="宋体" w:hAnsi="宋体" w:eastAsia="宋体" w:cstheme="minorBidi"/>
          <w:b/>
          <w:bCs/>
          <w:kern w:val="2"/>
          <w:sz w:val="32"/>
          <w:szCs w:val="32"/>
          <w:lang w:val="en-US" w:eastAsia="zh-CN" w:bidi="ar-SA"/>
        </w:rPr>
        <w:id w:val="147463848"/>
        <w15:color w:val="DBDBDB"/>
        <w:docPartObj>
          <w:docPartGallery w:val="Table of Contents"/>
          <w:docPartUnique/>
        </w:docPartObj>
      </w:sdtPr>
      <w:sdtEndPr>
        <w:rPr>
          <w:rFonts w:hint="eastAsia" w:ascii="仿宋" w:hAnsi="仿宋" w:eastAsia="仿宋" w:cs="仿宋"/>
          <w:b/>
          <w:bCs/>
          <w:color w:val="auto"/>
          <w:kern w:val="2"/>
          <w:sz w:val="21"/>
          <w:szCs w:val="24"/>
          <w:lang w:val="en-US" w:eastAsia="zh-CN" w:bidi="ar-SA"/>
        </w:rPr>
      </w:sdtEndPr>
      <w:sdtContent>
        <w:p>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bookmarkStart w:id="0" w:name="_Toc128152397"/>
          <w:bookmarkStart w:id="1" w:name="_Toc23821"/>
          <w:r>
            <w:rPr>
              <w:rFonts w:hint="eastAsia" w:ascii="仿宋" w:hAnsi="仿宋" w:eastAsia="仿宋" w:cs="仿宋"/>
              <w:b/>
              <w:bCs/>
              <w:sz w:val="32"/>
              <w:szCs w:val="32"/>
            </w:rPr>
            <w:t>目录</w:t>
          </w:r>
        </w:p>
        <w:p>
          <w:pPr>
            <w:pStyle w:val="71"/>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TOC \o "1-2" \h \u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_Toc5303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第一部分 招标公告</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_Toc5303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_Toc21258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2"/>
              <w:sz w:val="24"/>
              <w:szCs w:val="24"/>
            </w:rPr>
            <w:t>一、项目基本情况</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_Toc21258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_Toc7408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2"/>
              <w:sz w:val="24"/>
              <w:szCs w:val="24"/>
            </w:rPr>
            <w:t>二、申请人的资格要求：</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_Toc7408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_Toc12430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2"/>
              <w:sz w:val="24"/>
              <w:szCs w:val="24"/>
            </w:rPr>
            <w:t>三、获取招标文件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_Toc12430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_Toc25069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2"/>
              <w:sz w:val="24"/>
              <w:szCs w:val="24"/>
            </w:rPr>
            <w:t>四、提交投标文件截止时间、开标时间和地点</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_Toc25069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_Toc2198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2"/>
              <w:sz w:val="24"/>
              <w:szCs w:val="24"/>
            </w:rPr>
            <w:t>五、公告期限</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_Toc2198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_Toc9726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2"/>
              <w:sz w:val="24"/>
              <w:szCs w:val="24"/>
            </w:rPr>
            <w:t>六、其他补充事宜</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_Toc9726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_Toc21152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2"/>
              <w:sz w:val="24"/>
              <w:szCs w:val="24"/>
            </w:rPr>
            <w:t>七、对本次采购提出询问，请按以下方式联系</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_Toc21152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1"/>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_Toc29889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第二部分</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投标须知</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_Toc29889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8</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_Toc22044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投标须知前附表</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_Toc22044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8</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_Toc22531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第</w:t>
          </w: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rPr>
            <w:t>章 总则</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_Toc22531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14</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_Toc10457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eastAsia="zh-CN"/>
            </w:rPr>
            <w:t>第三章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招标文件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_Toc10457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16</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_Toc6503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eastAsia="zh-CN"/>
            </w:rPr>
            <w:t>第四章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投标文件的编制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_Toc6503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18</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_Toc10871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eastAsia="zh-CN"/>
            </w:rPr>
            <w:t>第五章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投标文件的制作、上传及递交要求</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_Toc10871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21</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_Toc27468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eastAsia="zh-CN"/>
            </w:rPr>
            <w:t>第六章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开标、评标和定标</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_Toc27468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23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_Toc14384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eastAsia="zh-CN"/>
            </w:rPr>
            <w:t>第七章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合同的授予</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_Toc14384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30</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_Toc8458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eastAsia="zh-CN"/>
            </w:rPr>
            <w:t>第八章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纪律和监督</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_Toc8458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31</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_Toc16094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eastAsia="zh-CN"/>
            </w:rPr>
            <w:t>第九章</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质疑与投诉</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_Toc16094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32</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1"/>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_Toc18286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eastAsia="zh-CN" w:bidi="ar-SA"/>
            </w:rPr>
            <w:t xml:space="preserve">第三部分 </w:t>
          </w:r>
          <w:r>
            <w:rPr>
              <w:rFonts w:hint="eastAsia" w:ascii="仿宋" w:hAnsi="仿宋" w:eastAsia="仿宋" w:cs="仿宋"/>
              <w:b w:val="0"/>
              <w:bCs w:val="0"/>
              <w:sz w:val="24"/>
              <w:szCs w:val="24"/>
              <w:highlight w:val="none"/>
              <w:lang w:bidi="ar-SA"/>
            </w:rPr>
            <w:t>评标</w:t>
          </w:r>
          <w:r>
            <w:rPr>
              <w:rFonts w:hint="eastAsia" w:ascii="仿宋" w:hAnsi="仿宋" w:eastAsia="仿宋" w:cs="仿宋"/>
              <w:b w:val="0"/>
              <w:bCs w:val="0"/>
              <w:sz w:val="24"/>
              <w:szCs w:val="24"/>
              <w:highlight w:val="none"/>
              <w:lang w:eastAsia="zh-CN" w:bidi="ar-SA"/>
            </w:rPr>
            <w:t>办法</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_Toc18286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_Toc1542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eastAsia="zh-CN"/>
            </w:rPr>
            <w:t>一</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评标程序</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_Toc1542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_Toc1556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二</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投标文件</w:t>
          </w:r>
          <w:r>
            <w:rPr>
              <w:rFonts w:hint="eastAsia" w:ascii="仿宋" w:hAnsi="仿宋" w:eastAsia="仿宋" w:cs="仿宋"/>
              <w:b w:val="0"/>
              <w:bCs w:val="0"/>
              <w:sz w:val="24"/>
              <w:szCs w:val="24"/>
              <w:lang w:eastAsia="zh-CN"/>
            </w:rPr>
            <w:t>审查</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_Toc1556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_Toc14420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eastAsia="zh-CN"/>
            </w:rPr>
            <w:t>三</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投标文件的澄清和补正</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_Toc14420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35</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_Toc20843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 xml:space="preserve">四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比较与评价</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_Toc20843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36</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_Toc25317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五  推荐中标候选人</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_Toc25317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40</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1"/>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_Toc7651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rPr>
            <w:t>第四</w:t>
          </w:r>
          <w:r>
            <w:rPr>
              <w:rFonts w:hint="eastAsia" w:ascii="仿宋" w:hAnsi="仿宋" w:eastAsia="仿宋" w:cs="仿宋"/>
              <w:b w:val="0"/>
              <w:bCs w:val="0"/>
              <w:sz w:val="24"/>
              <w:szCs w:val="24"/>
              <w:highlight w:val="none"/>
              <w:lang w:eastAsia="zh-CN"/>
            </w:rPr>
            <w:t>部分</w:t>
          </w:r>
          <w:r>
            <w:rPr>
              <w:rFonts w:hint="eastAsia" w:ascii="仿宋" w:hAnsi="仿宋" w:eastAsia="仿宋" w:cs="仿宋"/>
              <w:b w:val="0"/>
              <w:bCs w:val="0"/>
              <w:sz w:val="24"/>
              <w:szCs w:val="24"/>
              <w:highlight w:val="none"/>
            </w:rPr>
            <w:t xml:space="preserve"> 采购内容及技术要求</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_Toc7651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1"/>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_Toc24960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eastAsia="zh-CN"/>
            </w:rPr>
            <w:t>第五部分</w:t>
          </w:r>
          <w:r>
            <w:rPr>
              <w:rFonts w:hint="eastAsia" w:ascii="仿宋" w:hAnsi="仿宋" w:eastAsia="仿宋" w:cs="仿宋"/>
              <w:b w:val="0"/>
              <w:bCs w:val="0"/>
              <w:sz w:val="24"/>
              <w:szCs w:val="24"/>
            </w:rPr>
            <w:t xml:space="preserve"> 政府采购合同条款及格式（仅供参考）</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_Toc24960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1"/>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_Toc14292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第六部分  投标文件格式</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_Toc14292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54</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_Toc28509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rPr>
            <w:t>投标文件格式</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_Toc28509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55</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_Toc14981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lang w:eastAsia="zh-CN"/>
            </w:rPr>
            <w:t>一、</w:t>
          </w:r>
          <w:r>
            <w:rPr>
              <w:rFonts w:hint="eastAsia" w:ascii="仿宋" w:hAnsi="仿宋" w:eastAsia="仿宋" w:cs="仿宋"/>
              <w:b w:val="0"/>
              <w:bCs w:val="0"/>
              <w:sz w:val="24"/>
              <w:szCs w:val="24"/>
              <w:highlight w:val="none"/>
            </w:rPr>
            <w:t>开标一览表及资格证明文件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_Toc14981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55</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_Toc13691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 xml:space="preserve"> 法人或者非法人组织的营业执照等证明文件或自然人的身份证明</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_Toc13691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59</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_Toc23102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rPr>
            <w:t xml:space="preserve">3 </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法定代表人资格证明书</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_Toc23102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60</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_Toc27186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rPr>
            <w:t xml:space="preserve"> </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法定代表人授权委托书(投标文件格式</w:t>
          </w:r>
          <w:r>
            <w:rPr>
              <w:rFonts w:hint="eastAsia" w:ascii="仿宋" w:hAnsi="仿宋" w:eastAsia="仿宋" w:cs="仿宋"/>
              <w:b w:val="0"/>
              <w:bCs w:val="0"/>
              <w:sz w:val="24"/>
              <w:szCs w:val="24"/>
              <w:highlight w:val="none"/>
              <w:lang w:eastAsia="zh-CN"/>
            </w:rPr>
            <w:t>三</w:t>
          </w:r>
          <w:r>
            <w:rPr>
              <w:rFonts w:hint="eastAsia" w:ascii="仿宋" w:hAnsi="仿宋" w:eastAsia="仿宋" w:cs="仿宋"/>
              <w:b w:val="0"/>
              <w:bCs w:val="0"/>
              <w:sz w:val="24"/>
              <w:szCs w:val="24"/>
              <w:highlight w:val="none"/>
            </w:rPr>
            <w:t>，自然人投标的无需提供)</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_Toc27186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61</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_Toc16909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具有良好的商业信誉和健全的财务会计制度的证明文件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_Toc16909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62</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_Toc23560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投标保证金缴纳凭证或投标担保函</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_Toc23560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_Toc29015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 xml:space="preserve">7、 </w:t>
          </w:r>
          <w:r>
            <w:rPr>
              <w:rFonts w:hint="eastAsia" w:ascii="仿宋" w:hAnsi="仿宋" w:eastAsia="仿宋" w:cs="仿宋"/>
              <w:b w:val="0"/>
              <w:bCs w:val="0"/>
              <w:sz w:val="24"/>
              <w:szCs w:val="24"/>
              <w:highlight w:val="none"/>
              <w:lang w:val="en-US" w:eastAsia="zh-CN"/>
            </w:rPr>
            <w:t>社保及纳税的缴纳证明</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_Toc29015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66</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_Toc4222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 xml:space="preserve">8、 </w:t>
          </w:r>
          <w:r>
            <w:rPr>
              <w:rFonts w:hint="eastAsia" w:ascii="仿宋" w:hAnsi="仿宋" w:eastAsia="仿宋" w:cs="仿宋"/>
              <w:b w:val="0"/>
              <w:bCs w:val="0"/>
              <w:sz w:val="24"/>
              <w:szCs w:val="24"/>
              <w:highlight w:val="none"/>
            </w:rPr>
            <w:t>参加政府采购活动前3年内在经营活动中没有重大违法记录的书面声明</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_Toc4222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67</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_Toc953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 xml:space="preserve"> 投标人须知资料表要求的其他资格证明文件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_Toc953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68</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1"/>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_Toc21350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lang w:val="en-US" w:eastAsia="zh-CN"/>
            </w:rPr>
            <w:t>二、</w:t>
          </w:r>
          <w:r>
            <w:rPr>
              <w:rFonts w:hint="eastAsia" w:ascii="仿宋" w:hAnsi="仿宋" w:eastAsia="仿宋" w:cs="仿宋"/>
              <w:b w:val="0"/>
              <w:bCs w:val="0"/>
              <w:sz w:val="24"/>
              <w:szCs w:val="24"/>
              <w:highlight w:val="none"/>
            </w:rPr>
            <w:t>商务及技术文件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_Toc21350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69</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_Toc22000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rPr>
            <w:t xml:space="preserve">1 </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投标书（投标文件格式五）</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_Toc22000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70</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72"/>
            <w:tabs>
              <w:tab w:val="right" w:leader="dot" w:pos="9746"/>
            </w:tabs>
            <w:spacing w:line="360" w:lineRule="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_Toc28814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lang w:eastAsia="zh-CN"/>
            </w:rPr>
            <w:t>投标人认为有必要提供的其他证明材料（格式自拟）</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_Toc28814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73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3"/>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color w:val="auto"/>
              <w:kern w:val="2"/>
              <w:sz w:val="21"/>
              <w:szCs w:val="24"/>
              <w:lang w:val="en-US" w:eastAsia="zh-CN" w:bidi="ar-SA"/>
            </w:rPr>
          </w:pPr>
          <w:r>
            <w:rPr>
              <w:rFonts w:hint="eastAsia" w:ascii="仿宋" w:hAnsi="仿宋" w:eastAsia="仿宋" w:cs="仿宋"/>
              <w:b w:val="0"/>
              <w:bCs w:val="0"/>
              <w:color w:val="auto"/>
              <w:sz w:val="24"/>
              <w:szCs w:val="24"/>
            </w:rPr>
            <w:fldChar w:fldCharType="end"/>
          </w:r>
        </w:p>
      </w:sdtContent>
    </w:sdt>
    <w:p>
      <w:pPr>
        <w:rPr>
          <w:rFonts w:hint="eastAsia"/>
        </w:rPr>
      </w:pPr>
    </w:p>
    <w:p>
      <w:pPr>
        <w:rPr>
          <w:rFonts w:hint="eastAsia" w:ascii="仿宋" w:hAnsi="仿宋" w:eastAsia="仿宋" w:cs="仿宋"/>
        </w:rPr>
      </w:pPr>
    </w:p>
    <w:p>
      <w:pPr>
        <w:pStyle w:val="12"/>
        <w:rPr>
          <w:rFonts w:hint="eastAsia" w:ascii="仿宋" w:hAnsi="仿宋" w:eastAsia="仿宋" w:cs="仿宋"/>
        </w:rPr>
      </w:pPr>
    </w:p>
    <w:p>
      <w:pPr>
        <w:pStyle w:val="13"/>
        <w:rPr>
          <w:rFonts w:hint="eastAsia" w:ascii="仿宋" w:hAnsi="仿宋" w:eastAsia="仿宋" w:cs="仿宋"/>
        </w:rPr>
      </w:pPr>
    </w:p>
    <w:p>
      <w:pPr>
        <w:rPr>
          <w:rFonts w:hint="eastAsia" w:ascii="仿宋" w:hAnsi="仿宋" w:eastAsia="仿宋" w:cs="仿宋"/>
        </w:rPr>
      </w:pPr>
    </w:p>
    <w:p>
      <w:pPr>
        <w:pStyle w:val="12"/>
        <w:rPr>
          <w:rFonts w:hint="eastAsia" w:ascii="仿宋" w:hAnsi="仿宋" w:eastAsia="仿宋" w:cs="仿宋"/>
        </w:rPr>
      </w:pPr>
    </w:p>
    <w:p>
      <w:pPr>
        <w:pStyle w:val="13"/>
        <w:rPr>
          <w:rFonts w:hint="eastAsia" w:ascii="仿宋" w:hAnsi="仿宋" w:eastAsia="仿宋" w:cs="仿宋"/>
        </w:rPr>
      </w:pPr>
    </w:p>
    <w:p>
      <w:pPr>
        <w:rPr>
          <w:rFonts w:hint="eastAsia" w:ascii="仿宋" w:hAnsi="仿宋" w:eastAsia="仿宋" w:cs="仿宋"/>
        </w:rPr>
      </w:pPr>
    </w:p>
    <w:p>
      <w:pPr>
        <w:pStyle w:val="12"/>
        <w:rPr>
          <w:rFonts w:hint="eastAsia" w:ascii="仿宋" w:hAnsi="仿宋" w:eastAsia="仿宋" w:cs="仿宋"/>
        </w:rPr>
      </w:pPr>
    </w:p>
    <w:p>
      <w:pPr>
        <w:pStyle w:val="13"/>
        <w:rPr>
          <w:rFonts w:hint="eastAsia" w:ascii="仿宋" w:hAnsi="仿宋" w:eastAsia="仿宋" w:cs="仿宋"/>
        </w:rPr>
      </w:pPr>
    </w:p>
    <w:p>
      <w:pPr>
        <w:rPr>
          <w:rFonts w:hint="eastAsia" w:ascii="仿宋" w:hAnsi="仿宋" w:eastAsia="仿宋" w:cs="仿宋"/>
        </w:rPr>
      </w:pPr>
    </w:p>
    <w:p>
      <w:pPr>
        <w:pStyle w:val="12"/>
        <w:rPr>
          <w:rFonts w:hint="eastAsia" w:ascii="仿宋" w:hAnsi="仿宋" w:eastAsia="仿宋" w:cs="仿宋"/>
        </w:rPr>
      </w:pPr>
    </w:p>
    <w:p>
      <w:pPr>
        <w:pStyle w:val="13"/>
        <w:rPr>
          <w:rFonts w:hint="eastAsia" w:ascii="仿宋" w:hAnsi="仿宋" w:eastAsia="仿宋" w:cs="仿宋"/>
        </w:rPr>
      </w:pPr>
    </w:p>
    <w:p>
      <w:pPr>
        <w:rPr>
          <w:rFonts w:hint="eastAsia" w:ascii="仿宋" w:hAnsi="仿宋" w:eastAsia="仿宋" w:cs="仿宋"/>
        </w:rPr>
      </w:pPr>
    </w:p>
    <w:p>
      <w:pPr>
        <w:pStyle w:val="12"/>
        <w:rPr>
          <w:rFonts w:hint="eastAsia" w:ascii="仿宋" w:hAnsi="仿宋" w:eastAsia="仿宋" w:cs="仿宋"/>
        </w:rPr>
      </w:pPr>
    </w:p>
    <w:p>
      <w:pPr>
        <w:pStyle w:val="13"/>
        <w:rPr>
          <w:rFonts w:hint="eastAsia" w:ascii="仿宋" w:hAnsi="仿宋" w:eastAsia="仿宋" w:cs="仿宋"/>
        </w:rPr>
      </w:pPr>
    </w:p>
    <w:p>
      <w:pPr>
        <w:rPr>
          <w:rFonts w:hint="eastAsia" w:ascii="仿宋" w:hAnsi="仿宋" w:eastAsia="仿宋" w:cs="仿宋"/>
        </w:rPr>
      </w:pPr>
    </w:p>
    <w:p>
      <w:pPr>
        <w:pStyle w:val="12"/>
        <w:rPr>
          <w:rFonts w:hint="eastAsia" w:ascii="仿宋" w:hAnsi="仿宋" w:eastAsia="仿宋" w:cs="仿宋"/>
        </w:rPr>
      </w:pPr>
    </w:p>
    <w:p>
      <w:pPr>
        <w:pStyle w:val="13"/>
        <w:rPr>
          <w:rFonts w:hint="eastAsia" w:ascii="仿宋" w:hAnsi="仿宋" w:eastAsia="仿宋" w:cs="仿宋"/>
        </w:rPr>
      </w:pPr>
    </w:p>
    <w:p>
      <w:pPr>
        <w:rPr>
          <w:rFonts w:hint="eastAsia" w:ascii="仿宋" w:hAnsi="仿宋" w:eastAsia="仿宋" w:cs="仿宋"/>
        </w:rPr>
      </w:pPr>
    </w:p>
    <w:p>
      <w:pPr>
        <w:pStyle w:val="12"/>
        <w:rPr>
          <w:rFonts w:hint="eastAsia" w:ascii="仿宋" w:hAnsi="仿宋" w:eastAsia="仿宋" w:cs="仿宋"/>
        </w:rPr>
      </w:pPr>
    </w:p>
    <w:p>
      <w:pPr>
        <w:pStyle w:val="13"/>
        <w:rPr>
          <w:rFonts w:hint="eastAsia" w:ascii="仿宋" w:hAnsi="仿宋" w:eastAsia="仿宋" w:cs="仿宋"/>
        </w:rPr>
      </w:pPr>
    </w:p>
    <w:p>
      <w:pPr>
        <w:rPr>
          <w:rFonts w:hint="eastAsia" w:ascii="仿宋" w:hAnsi="仿宋" w:eastAsia="仿宋" w:cs="仿宋"/>
        </w:rPr>
      </w:pPr>
    </w:p>
    <w:p>
      <w:pPr>
        <w:pStyle w:val="12"/>
        <w:rPr>
          <w:rFonts w:hint="eastAsia" w:ascii="仿宋" w:hAnsi="仿宋" w:eastAsia="仿宋" w:cs="仿宋"/>
        </w:rPr>
      </w:pPr>
    </w:p>
    <w:p>
      <w:pPr>
        <w:pStyle w:val="13"/>
        <w:rPr>
          <w:rFonts w:hint="eastAsia" w:ascii="仿宋" w:hAnsi="仿宋" w:eastAsia="仿宋" w:cs="仿宋"/>
        </w:rPr>
      </w:pP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rPr>
        <w:sectPr>
          <w:headerReference r:id="rId3" w:type="default"/>
          <w:footerReference r:id="rId4" w:type="default"/>
          <w:pgSz w:w="11905" w:h="16838"/>
          <w:pgMar w:top="1077" w:right="1134" w:bottom="1134" w:left="1417" w:header="567" w:footer="737" w:gutter="0"/>
          <w:pgBorders w:offsetFrom="page">
            <w:top w:val="none" w:sz="0" w:space="0"/>
            <w:left w:val="none" w:sz="0" w:space="0"/>
            <w:bottom w:val="none" w:sz="0" w:space="0"/>
            <w:right w:val="none" w:sz="0" w:space="0"/>
          </w:pgBorders>
          <w:pgNumType w:fmt="decimal"/>
          <w:cols w:space="720" w:num="1"/>
          <w:rtlGutter w:val="0"/>
          <w:docGrid w:linePitch="312" w:charSpace="0"/>
        </w:sectPr>
      </w:pPr>
      <w:bookmarkStart w:id="2" w:name="_Toc5303"/>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rPr>
      </w:pPr>
      <w:r>
        <w:rPr>
          <w:rFonts w:hint="eastAsia" w:ascii="仿宋" w:hAnsi="仿宋" w:eastAsia="仿宋" w:cs="仿宋"/>
        </w:rPr>
        <w:t>第一部分 招标公告</w:t>
      </w:r>
      <w:bookmarkEnd w:id="0"/>
      <w:bookmarkEnd w:id="2"/>
    </w:p>
    <w:p>
      <w:pPr>
        <w:pStyle w:val="12"/>
        <w:spacing w:line="360" w:lineRule="auto"/>
        <w:jc w:val="center"/>
        <w:rPr>
          <w:rFonts w:hint="eastAsia" w:ascii="仿宋" w:hAnsi="仿宋" w:eastAsia="仿宋" w:cs="仿宋"/>
          <w:b/>
          <w:sz w:val="32"/>
          <w:lang w:eastAsia="zh-CN"/>
        </w:rPr>
      </w:pPr>
      <w:r>
        <w:rPr>
          <w:rFonts w:hint="eastAsia" w:ascii="仿宋" w:hAnsi="仿宋" w:eastAsia="仿宋" w:cs="仿宋"/>
          <w:b/>
          <w:sz w:val="32"/>
        </w:rPr>
        <w:t>和布克赛尔蒙古自治县乡镇国土空间规划、村庄规划编制</w:t>
      </w:r>
      <w:r>
        <w:rPr>
          <w:rFonts w:hint="eastAsia" w:ascii="仿宋" w:hAnsi="仿宋" w:eastAsia="仿宋" w:cs="仿宋"/>
          <w:b/>
          <w:sz w:val="32"/>
          <w:lang w:eastAsia="zh-CN"/>
        </w:rPr>
        <w:t>项目</w:t>
      </w:r>
    </w:p>
    <w:p>
      <w:pPr>
        <w:pStyle w:val="12"/>
        <w:spacing w:line="360" w:lineRule="auto"/>
        <w:jc w:val="center"/>
        <w:rPr>
          <w:rFonts w:hint="eastAsia" w:ascii="仿宋" w:hAnsi="仿宋" w:eastAsia="仿宋" w:cs="仿宋"/>
          <w:b/>
          <w:sz w:val="32"/>
          <w:highlight w:val="red"/>
        </w:rPr>
      </w:pPr>
      <w:r>
        <w:rPr>
          <w:rFonts w:hint="eastAsia" w:ascii="仿宋" w:hAnsi="仿宋" w:eastAsia="仿宋" w:cs="仿宋"/>
          <w:b/>
          <w:sz w:val="32"/>
        </w:rPr>
        <w:t>招标公告</w:t>
      </w:r>
      <w:bookmarkEnd w:id="1"/>
    </w:p>
    <w:tbl>
      <w:tblPr>
        <w:tblStyle w:val="2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62" w:type="dxa"/>
          </w:tcPr>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项目概况 </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和布克赛尔蒙古自治县乡镇国土空间规划、</w:t>
            </w:r>
            <w:bookmarkStart w:id="385" w:name="_GoBack"/>
            <w:bookmarkEnd w:id="385"/>
            <w:r>
              <w:rPr>
                <w:rFonts w:hint="eastAsia" w:ascii="仿宋" w:hAnsi="仿宋" w:eastAsia="仿宋" w:cs="仿宋"/>
                <w:sz w:val="24"/>
              </w:rPr>
              <w:t>村庄规划编制</w:t>
            </w:r>
            <w:r>
              <w:rPr>
                <w:rFonts w:hint="eastAsia" w:ascii="仿宋" w:hAnsi="仿宋" w:eastAsia="仿宋" w:cs="仿宋"/>
                <w:sz w:val="24"/>
                <w:lang w:eastAsia="zh-CN"/>
              </w:rPr>
              <w:t>项目</w:t>
            </w:r>
            <w:r>
              <w:rPr>
                <w:rFonts w:hint="eastAsia" w:ascii="仿宋" w:hAnsi="仿宋" w:eastAsia="仿宋" w:cs="仿宋"/>
                <w:sz w:val="24"/>
              </w:rPr>
              <w:t>的潜在投标人应在政采云平台线上方式获取招标文件，并于2023年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10</w:t>
            </w:r>
            <w:r>
              <w:rPr>
                <w:rFonts w:hint="eastAsia" w:ascii="仿宋" w:hAnsi="仿宋" w:eastAsia="仿宋" w:cs="仿宋"/>
                <w:sz w:val="24"/>
              </w:rPr>
              <w:t xml:space="preserve">日 </w:t>
            </w:r>
            <w:r>
              <w:rPr>
                <w:rFonts w:hint="eastAsia" w:ascii="仿宋" w:hAnsi="仿宋" w:eastAsia="仿宋" w:cs="仿宋"/>
                <w:sz w:val="24"/>
                <w:lang w:val="en-US" w:eastAsia="zh-CN"/>
              </w:rPr>
              <w:t>16</w:t>
            </w:r>
            <w:r>
              <w:rPr>
                <w:rFonts w:hint="eastAsia" w:ascii="仿宋" w:hAnsi="仿宋" w:eastAsia="仿宋" w:cs="仿宋"/>
                <w:sz w:val="24"/>
              </w:rPr>
              <w:t>:00（北京时间）前</w:t>
            </w:r>
            <w:r>
              <w:rPr>
                <w:rFonts w:hint="eastAsia" w:ascii="仿宋" w:hAnsi="仿宋" w:eastAsia="仿宋" w:cs="仿宋"/>
                <w:b/>
                <w:bCs/>
                <w:sz w:val="24"/>
                <w:lang w:eastAsia="zh-CN"/>
              </w:rPr>
              <w:t>（上传）</w:t>
            </w:r>
            <w:r>
              <w:rPr>
                <w:rFonts w:hint="eastAsia" w:ascii="仿宋" w:hAnsi="仿宋" w:eastAsia="仿宋" w:cs="仿宋"/>
                <w:sz w:val="24"/>
              </w:rPr>
              <w:t>投标文件。</w:t>
            </w:r>
          </w:p>
        </w:tc>
      </w:tr>
    </w:tbl>
    <w:p>
      <w:pPr>
        <w:pStyle w:val="37"/>
        <w:spacing w:line="360" w:lineRule="auto"/>
        <w:outlineLvl w:val="1"/>
        <w:rPr>
          <w:rFonts w:hint="eastAsia" w:ascii="仿宋" w:hAnsi="仿宋" w:eastAsia="仿宋" w:cs="仿宋"/>
          <w:b/>
          <w:color w:val="auto"/>
          <w:kern w:val="2"/>
          <w:szCs w:val="32"/>
        </w:rPr>
      </w:pPr>
      <w:bookmarkStart w:id="3" w:name="_Toc21258"/>
      <w:bookmarkStart w:id="4" w:name="_Toc128152398"/>
      <w:r>
        <w:rPr>
          <w:rFonts w:hint="eastAsia" w:ascii="仿宋" w:hAnsi="仿宋" w:eastAsia="仿宋" w:cs="仿宋"/>
          <w:b/>
          <w:color w:val="auto"/>
          <w:kern w:val="2"/>
          <w:szCs w:val="32"/>
        </w:rPr>
        <w:t>一、项目基本情况</w:t>
      </w:r>
      <w:bookmarkEnd w:id="3"/>
      <w:bookmarkEnd w:id="4"/>
    </w:p>
    <w:p>
      <w:pPr>
        <w:adjustRightInd w:val="0"/>
        <w:snapToGrid w:val="0"/>
        <w:spacing w:line="360" w:lineRule="auto"/>
        <w:ind w:firstLine="480" w:firstLineChars="200"/>
        <w:jc w:val="left"/>
        <w:rPr>
          <w:rFonts w:hint="eastAsia" w:ascii="仿宋" w:hAnsi="仿宋" w:eastAsia="仿宋" w:cs="仿宋"/>
          <w:sz w:val="24"/>
          <w:highlight w:val="red"/>
          <w:lang w:val="en-US"/>
        </w:rPr>
      </w:pPr>
      <w:r>
        <w:rPr>
          <w:rFonts w:hint="eastAsia" w:ascii="仿宋" w:hAnsi="仿宋" w:eastAsia="仿宋" w:cs="仿宋"/>
          <w:sz w:val="24"/>
        </w:rPr>
        <w:t>项目编号：</w:t>
      </w:r>
      <w:r>
        <w:rPr>
          <w:rFonts w:hint="eastAsia" w:ascii="仿宋" w:hAnsi="仿宋" w:eastAsia="仿宋" w:cs="仿宋"/>
          <w:sz w:val="24"/>
          <w:lang w:eastAsia="zh-CN"/>
        </w:rPr>
        <w:t>XJWZS(ZC)2023-005</w:t>
      </w:r>
    </w:p>
    <w:p>
      <w:pPr>
        <w:adjustRightInd w:val="0"/>
        <w:snapToGrid w:val="0"/>
        <w:spacing w:line="360" w:lineRule="auto"/>
        <w:ind w:left="1679" w:leftChars="228" w:hanging="1200" w:hangingChars="500"/>
        <w:jc w:val="left"/>
        <w:rPr>
          <w:rFonts w:hint="eastAsia" w:ascii="仿宋" w:hAnsi="仿宋" w:eastAsia="仿宋" w:cs="仿宋"/>
          <w:sz w:val="24"/>
          <w:highlight w:val="red"/>
        </w:rPr>
      </w:pPr>
      <w:r>
        <w:rPr>
          <w:rFonts w:hint="eastAsia" w:ascii="仿宋" w:hAnsi="仿宋" w:eastAsia="仿宋" w:cs="仿宋"/>
          <w:sz w:val="24"/>
        </w:rPr>
        <w:t>项目名称：</w:t>
      </w:r>
      <w:r>
        <w:rPr>
          <w:rFonts w:hint="eastAsia" w:ascii="仿宋" w:hAnsi="仿宋" w:eastAsia="仿宋" w:cs="仿宋"/>
          <w:kern w:val="0"/>
          <w:sz w:val="24"/>
          <w:lang w:eastAsia="zh-CN"/>
        </w:rPr>
        <w:t>和布克赛尔蒙古自治县乡镇国土空间规划、村庄规划编制项目</w:t>
      </w:r>
    </w:p>
    <w:p>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采购方式：公开招标</w:t>
      </w:r>
    </w:p>
    <w:p>
      <w:pPr>
        <w:snapToGrid w:val="0"/>
        <w:spacing w:line="360" w:lineRule="auto"/>
        <w:ind w:firstLine="480" w:firstLineChars="200"/>
        <w:jc w:val="left"/>
        <w:textAlignment w:val="baseline"/>
        <w:rPr>
          <w:rFonts w:hint="eastAsia" w:ascii="仿宋" w:hAnsi="仿宋" w:eastAsia="仿宋" w:cs="仿宋"/>
          <w:sz w:val="24"/>
          <w:highlight w:val="red"/>
        </w:rPr>
      </w:pPr>
      <w:r>
        <w:rPr>
          <w:rFonts w:hint="eastAsia" w:ascii="仿宋" w:hAnsi="仿宋" w:eastAsia="仿宋" w:cs="仿宋"/>
          <w:sz w:val="24"/>
        </w:rPr>
        <w:t>预算金额：</w:t>
      </w:r>
      <w:r>
        <w:rPr>
          <w:rFonts w:hint="eastAsia" w:ascii="仿宋" w:hAnsi="仿宋" w:eastAsia="仿宋" w:cs="仿宋"/>
          <w:sz w:val="24"/>
          <w:lang w:eastAsia="zh-CN"/>
        </w:rPr>
        <w:t>4100000.00</w:t>
      </w:r>
      <w:r>
        <w:rPr>
          <w:rFonts w:hint="eastAsia" w:ascii="仿宋" w:hAnsi="仿宋" w:eastAsia="仿宋" w:cs="仿宋"/>
          <w:sz w:val="24"/>
        </w:rPr>
        <w:t>元</w:t>
      </w:r>
    </w:p>
    <w:p>
      <w:pPr>
        <w:snapToGrid w:val="0"/>
        <w:spacing w:line="360" w:lineRule="auto"/>
        <w:ind w:firstLine="480" w:firstLineChars="200"/>
        <w:jc w:val="left"/>
        <w:textAlignment w:val="baseline"/>
        <w:rPr>
          <w:rFonts w:hint="eastAsia" w:ascii="仿宋" w:hAnsi="仿宋" w:eastAsia="仿宋" w:cs="仿宋"/>
          <w:sz w:val="24"/>
        </w:rPr>
      </w:pPr>
      <w:r>
        <w:rPr>
          <w:rFonts w:hint="eastAsia" w:ascii="仿宋" w:hAnsi="仿宋" w:eastAsia="仿宋" w:cs="仿宋"/>
          <w:sz w:val="24"/>
        </w:rPr>
        <w:t>最高限价（元）：</w:t>
      </w:r>
      <w:r>
        <w:rPr>
          <w:rFonts w:hint="eastAsia" w:ascii="仿宋" w:hAnsi="仿宋" w:eastAsia="仿宋" w:cs="仿宋"/>
          <w:sz w:val="24"/>
          <w:lang w:eastAsia="zh-CN"/>
        </w:rPr>
        <w:t>4100000.00元</w:t>
      </w:r>
      <w:r>
        <w:rPr>
          <w:rFonts w:hint="eastAsia" w:ascii="仿宋" w:hAnsi="仿宋" w:eastAsia="仿宋" w:cs="仿宋"/>
          <w:sz w:val="24"/>
        </w:rPr>
        <w:t>；</w:t>
      </w:r>
    </w:p>
    <w:p>
      <w:pPr>
        <w:adjustRightInd w:val="0"/>
        <w:snapToGrid w:val="0"/>
        <w:spacing w:line="360" w:lineRule="auto"/>
        <w:ind w:left="1679" w:leftChars="228" w:hanging="1200" w:hangingChars="500"/>
        <w:jc w:val="left"/>
        <w:rPr>
          <w:rFonts w:hint="eastAsia" w:ascii="仿宋" w:hAnsi="仿宋" w:eastAsia="仿宋" w:cs="仿宋"/>
          <w:sz w:val="24"/>
        </w:rPr>
      </w:pPr>
      <w:r>
        <w:rPr>
          <w:rFonts w:hint="eastAsia" w:ascii="仿宋" w:hAnsi="仿宋" w:eastAsia="仿宋" w:cs="仿宋"/>
          <w:sz w:val="24"/>
        </w:rPr>
        <w:t>标项名称:</w:t>
      </w:r>
      <w:r>
        <w:rPr>
          <w:rFonts w:hint="eastAsia" w:ascii="仿宋" w:hAnsi="仿宋" w:eastAsia="仿宋" w:cs="仿宋"/>
        </w:rPr>
        <w:t xml:space="preserve"> </w:t>
      </w:r>
      <w:r>
        <w:rPr>
          <w:rFonts w:hint="eastAsia" w:ascii="仿宋" w:hAnsi="仿宋" w:eastAsia="仿宋" w:cs="仿宋"/>
          <w:kern w:val="0"/>
          <w:sz w:val="24"/>
          <w:lang w:eastAsia="zh-CN"/>
        </w:rPr>
        <w:t>和布克赛尔蒙古自治县乡镇国土空间规划、村庄规划编制项目</w:t>
      </w:r>
    </w:p>
    <w:p>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数量:1</w:t>
      </w:r>
    </w:p>
    <w:p>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预算金额（元）:</w:t>
      </w:r>
      <w:r>
        <w:rPr>
          <w:rFonts w:hint="eastAsia" w:ascii="仿宋" w:hAnsi="仿宋" w:eastAsia="仿宋" w:cs="仿宋"/>
          <w:sz w:val="24"/>
          <w:lang w:eastAsia="zh-CN"/>
        </w:rPr>
        <w:t>4100000.00</w:t>
      </w:r>
      <w:r>
        <w:rPr>
          <w:rFonts w:hint="eastAsia" w:ascii="仿宋" w:hAnsi="仿宋" w:eastAsia="仿宋" w:cs="仿宋"/>
          <w:sz w:val="24"/>
        </w:rPr>
        <w:t>元</w:t>
      </w:r>
    </w:p>
    <w:p>
      <w:pPr>
        <w:adjustRightInd w:val="0"/>
        <w:snapToGrid w:val="0"/>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简要规格描述或项目基本概况介绍、用途：对和什托洛盖镇、拉乌伦村、伊森托洛盖新村、夏孜盖村规划编制</w:t>
      </w:r>
      <w:r>
        <w:rPr>
          <w:rFonts w:hint="eastAsia" w:ascii="仿宋" w:hAnsi="仿宋" w:eastAsia="仿宋" w:cs="仿宋"/>
          <w:sz w:val="24"/>
          <w:lang w:eastAsia="zh-CN"/>
        </w:rPr>
        <w:t>（</w:t>
      </w:r>
      <w:r>
        <w:rPr>
          <w:rFonts w:hint="eastAsia" w:ascii="仿宋" w:hAnsi="仿宋" w:eastAsia="仿宋" w:cs="仿宋"/>
          <w:sz w:val="24"/>
          <w:lang w:val="en-US" w:eastAsia="zh-CN"/>
        </w:rPr>
        <w:t>含1:500地形图修补测工作</w:t>
      </w:r>
      <w:r>
        <w:rPr>
          <w:rFonts w:hint="eastAsia" w:ascii="仿宋" w:hAnsi="仿宋" w:eastAsia="仿宋" w:cs="仿宋"/>
          <w:sz w:val="24"/>
          <w:lang w:eastAsia="zh-CN"/>
        </w:rPr>
        <w:t>）</w:t>
      </w:r>
    </w:p>
    <w:p>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备注：</w:t>
      </w:r>
    </w:p>
    <w:p>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合同履约期限：</w:t>
      </w:r>
      <w:r>
        <w:rPr>
          <w:rFonts w:hint="eastAsia" w:ascii="仿宋" w:hAnsi="仿宋" w:eastAsia="仿宋" w:cs="仿宋"/>
          <w:sz w:val="24"/>
          <w:lang w:val="en-US" w:eastAsia="zh-CN"/>
        </w:rPr>
        <w:t>合同签订后，3个月内提交初步成果</w:t>
      </w:r>
      <w:r>
        <w:rPr>
          <w:rFonts w:hint="eastAsia" w:ascii="仿宋" w:hAnsi="仿宋" w:eastAsia="仿宋" w:cs="仿宋"/>
          <w:sz w:val="24"/>
        </w:rPr>
        <w:t>；</w:t>
      </w:r>
    </w:p>
    <w:p>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本项目（否）接受联合体投标。</w:t>
      </w:r>
    </w:p>
    <w:p>
      <w:pPr>
        <w:pStyle w:val="37"/>
        <w:spacing w:line="360" w:lineRule="auto"/>
        <w:outlineLvl w:val="1"/>
        <w:rPr>
          <w:rFonts w:hint="eastAsia" w:ascii="仿宋" w:hAnsi="仿宋" w:eastAsia="仿宋" w:cs="仿宋"/>
          <w:b/>
          <w:color w:val="auto"/>
          <w:kern w:val="2"/>
          <w:szCs w:val="32"/>
        </w:rPr>
      </w:pPr>
      <w:bookmarkStart w:id="5" w:name="_Toc128152399"/>
      <w:bookmarkStart w:id="6" w:name="_Toc7408"/>
      <w:r>
        <w:rPr>
          <w:rFonts w:hint="eastAsia" w:ascii="仿宋" w:hAnsi="仿宋" w:eastAsia="仿宋" w:cs="仿宋"/>
          <w:b/>
          <w:color w:val="auto"/>
          <w:kern w:val="2"/>
          <w:szCs w:val="32"/>
        </w:rPr>
        <w:t>二、申请人的资格要求：</w:t>
      </w:r>
      <w:bookmarkEnd w:id="5"/>
      <w:bookmarkEnd w:id="6"/>
    </w:p>
    <w:p>
      <w:pPr>
        <w:pStyle w:val="15"/>
        <w:tabs>
          <w:tab w:val="left" w:pos="4305"/>
        </w:tabs>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pPr>
        <w:pStyle w:val="15"/>
        <w:tabs>
          <w:tab w:val="left" w:pos="4305"/>
        </w:tabs>
        <w:spacing w:line="360" w:lineRule="auto"/>
        <w:ind w:firstLine="480" w:firstLineChars="200"/>
        <w:rPr>
          <w:rFonts w:hint="eastAsia" w:ascii="仿宋" w:hAnsi="仿宋" w:eastAsia="仿宋" w:cs="仿宋"/>
          <w:sz w:val="24"/>
        </w:rPr>
      </w:pPr>
      <w:r>
        <w:rPr>
          <w:rFonts w:hint="eastAsia" w:ascii="仿宋" w:hAnsi="仿宋" w:eastAsia="仿宋" w:cs="仿宋"/>
          <w:sz w:val="24"/>
        </w:rPr>
        <w:t>（1）具有独立承担民事责任的能力的投标人；</w:t>
      </w:r>
    </w:p>
    <w:p>
      <w:pPr>
        <w:pStyle w:val="15"/>
        <w:tabs>
          <w:tab w:val="left" w:pos="4305"/>
        </w:tabs>
        <w:spacing w:line="360" w:lineRule="auto"/>
        <w:ind w:firstLine="480" w:firstLineChars="200"/>
        <w:rPr>
          <w:rFonts w:hint="eastAsia" w:ascii="仿宋" w:hAnsi="仿宋" w:eastAsia="仿宋" w:cs="仿宋"/>
          <w:sz w:val="24"/>
        </w:rPr>
      </w:pPr>
      <w:r>
        <w:rPr>
          <w:rFonts w:hint="eastAsia" w:ascii="仿宋" w:hAnsi="仿宋" w:eastAsia="仿宋" w:cs="仿宋"/>
          <w:sz w:val="24"/>
        </w:rPr>
        <w:t>（2）具有良好的商业信誉和健全的财务会计制度；</w:t>
      </w:r>
    </w:p>
    <w:p>
      <w:pPr>
        <w:pStyle w:val="15"/>
        <w:tabs>
          <w:tab w:val="left" w:pos="4305"/>
        </w:tabs>
        <w:spacing w:line="360" w:lineRule="auto"/>
        <w:ind w:firstLine="480" w:firstLineChars="200"/>
        <w:rPr>
          <w:rFonts w:hint="eastAsia" w:ascii="仿宋" w:hAnsi="仿宋" w:eastAsia="仿宋" w:cs="仿宋"/>
          <w:sz w:val="24"/>
        </w:rPr>
      </w:pPr>
      <w:r>
        <w:rPr>
          <w:rFonts w:hint="eastAsia" w:ascii="仿宋" w:hAnsi="仿宋" w:eastAsia="仿宋" w:cs="仿宋"/>
          <w:sz w:val="24"/>
        </w:rPr>
        <w:t>（3）具有履行合同所必需的设备和专业技术能力；</w:t>
      </w:r>
    </w:p>
    <w:p>
      <w:pPr>
        <w:pStyle w:val="15"/>
        <w:tabs>
          <w:tab w:val="left" w:pos="4305"/>
        </w:tabs>
        <w:spacing w:line="360" w:lineRule="auto"/>
        <w:ind w:firstLine="480" w:firstLineChars="200"/>
        <w:rPr>
          <w:rFonts w:hint="eastAsia" w:ascii="仿宋" w:hAnsi="仿宋" w:eastAsia="仿宋" w:cs="仿宋"/>
          <w:sz w:val="24"/>
        </w:rPr>
      </w:pPr>
      <w:r>
        <w:rPr>
          <w:rFonts w:hint="eastAsia" w:ascii="仿宋" w:hAnsi="仿宋" w:eastAsia="仿宋" w:cs="仿宋"/>
          <w:sz w:val="24"/>
        </w:rPr>
        <w:t>（4）有依法缴纳税收和社会保障资金的良好记录；</w:t>
      </w:r>
    </w:p>
    <w:p>
      <w:pPr>
        <w:pStyle w:val="15"/>
        <w:tabs>
          <w:tab w:val="left" w:pos="4305"/>
        </w:tabs>
        <w:spacing w:line="360" w:lineRule="auto"/>
        <w:ind w:firstLine="480" w:firstLineChars="200"/>
        <w:rPr>
          <w:rFonts w:hint="eastAsia" w:ascii="仿宋" w:hAnsi="仿宋" w:eastAsia="仿宋" w:cs="仿宋"/>
          <w:sz w:val="24"/>
        </w:rPr>
      </w:pPr>
      <w:r>
        <w:rPr>
          <w:rFonts w:hint="eastAsia" w:ascii="仿宋" w:hAnsi="仿宋" w:eastAsia="仿宋" w:cs="仿宋"/>
          <w:sz w:val="24"/>
        </w:rPr>
        <w:t>（5）参加本次采购活动前三年内，在经营活动中没有重大违法记录；</w:t>
      </w:r>
    </w:p>
    <w:p>
      <w:pPr>
        <w:pStyle w:val="15"/>
        <w:tabs>
          <w:tab w:val="left" w:pos="4305"/>
        </w:tabs>
        <w:spacing w:line="360" w:lineRule="auto"/>
        <w:ind w:firstLine="480" w:firstLineChars="200"/>
        <w:rPr>
          <w:rFonts w:hint="eastAsia" w:ascii="仿宋" w:hAnsi="仿宋" w:eastAsia="仿宋" w:cs="仿宋"/>
          <w:sz w:val="24"/>
        </w:rPr>
      </w:pPr>
      <w:r>
        <w:rPr>
          <w:rFonts w:hint="eastAsia" w:ascii="仿宋" w:hAnsi="仿宋" w:eastAsia="仿宋" w:cs="仿宋"/>
          <w:sz w:val="24"/>
        </w:rPr>
        <w:t>（6）法律、行政法规规定的其他条件。</w:t>
      </w:r>
    </w:p>
    <w:p>
      <w:pPr>
        <w:pStyle w:val="15"/>
        <w:tabs>
          <w:tab w:val="left" w:pos="4305"/>
        </w:tabs>
        <w:spacing w:line="360" w:lineRule="auto"/>
        <w:ind w:firstLine="480" w:firstLineChars="200"/>
        <w:rPr>
          <w:rFonts w:hint="eastAsia" w:ascii="仿宋" w:hAnsi="仿宋" w:eastAsia="仿宋" w:cs="仿宋"/>
          <w:sz w:val="24"/>
          <w:highlight w:val="yellow"/>
        </w:rPr>
      </w:pPr>
      <w:r>
        <w:rPr>
          <w:rFonts w:hint="eastAsia" w:ascii="仿宋" w:hAnsi="仿宋" w:eastAsia="仿宋" w:cs="仿宋"/>
          <w:sz w:val="24"/>
        </w:rPr>
        <w:t>2.落实政府采购政策需满足的资格要求： 投标人为中小企业；</w:t>
      </w:r>
    </w:p>
    <w:p>
      <w:pPr>
        <w:pStyle w:val="15"/>
        <w:tabs>
          <w:tab w:val="left" w:pos="4305"/>
        </w:tabs>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3.本项目的特定资格要求：</w:t>
      </w:r>
    </w:p>
    <w:p>
      <w:pPr>
        <w:pStyle w:val="24"/>
        <w:widowControl/>
        <w:adjustRightInd w:val="0"/>
        <w:snapToGrid w:val="0"/>
        <w:spacing w:before="60" w:after="60" w:line="360" w:lineRule="auto"/>
        <w:ind w:firstLine="480" w:firstLineChars="200"/>
        <w:rPr>
          <w:rFonts w:hint="eastAsia" w:ascii="仿宋" w:hAnsi="仿宋" w:eastAsia="仿宋" w:cs="仿宋"/>
        </w:rPr>
      </w:pPr>
      <w:r>
        <w:rPr>
          <w:rFonts w:hint="eastAsia" w:ascii="仿宋" w:hAnsi="仿宋" w:eastAsia="仿宋" w:cs="仿宋"/>
        </w:rPr>
        <w:t>（1）具有有效合法的营业执照；</w:t>
      </w:r>
    </w:p>
    <w:p>
      <w:pPr>
        <w:pStyle w:val="24"/>
        <w:widowControl/>
        <w:adjustRightInd w:val="0"/>
        <w:snapToGrid w:val="0"/>
        <w:spacing w:before="60" w:after="60" w:line="360" w:lineRule="auto"/>
        <w:ind w:firstLine="480" w:firstLineChars="200"/>
        <w:rPr>
          <w:rFonts w:hint="eastAsia" w:ascii="仿宋" w:hAnsi="仿宋" w:eastAsia="仿宋" w:cs="仿宋"/>
        </w:rPr>
      </w:pPr>
      <w:r>
        <w:rPr>
          <w:rFonts w:hint="eastAsia" w:ascii="仿宋" w:hAnsi="仿宋" w:eastAsia="仿宋" w:cs="仿宋"/>
        </w:rPr>
        <w:t>（2）投标人须具有城乡规划编制乙级（含）以上资质</w:t>
      </w:r>
      <w:r>
        <w:rPr>
          <w:rFonts w:hint="eastAsia" w:ascii="仿宋" w:hAnsi="仿宋" w:eastAsia="仿宋" w:cs="仿宋"/>
          <w:lang w:val="en-US" w:eastAsia="zh-CN"/>
        </w:rPr>
        <w:t>及测绘资质乙级</w:t>
      </w:r>
      <w:r>
        <w:rPr>
          <w:rFonts w:hint="eastAsia" w:ascii="仿宋" w:hAnsi="仿宋" w:eastAsia="仿宋" w:cs="仿宋"/>
        </w:rPr>
        <w:t>（含）以上资质</w:t>
      </w:r>
      <w:r>
        <w:rPr>
          <w:rFonts w:hint="eastAsia" w:ascii="仿宋" w:hAnsi="仿宋" w:eastAsia="仿宋" w:cs="仿宋"/>
          <w:lang w:val="en-US"/>
        </w:rPr>
        <w:t>或</w:t>
      </w:r>
      <w:r>
        <w:rPr>
          <w:rFonts w:hint="eastAsia" w:ascii="仿宋" w:hAnsi="仿宋" w:eastAsia="仿宋" w:cs="仿宋"/>
        </w:rPr>
        <w:t>土地规划</w:t>
      </w:r>
      <w:r>
        <w:rPr>
          <w:rFonts w:hint="eastAsia" w:ascii="仿宋" w:hAnsi="仿宋" w:eastAsia="仿宋" w:cs="仿宋"/>
          <w:lang w:val="en-US"/>
        </w:rPr>
        <w:t>乙</w:t>
      </w:r>
      <w:r>
        <w:rPr>
          <w:rFonts w:hint="eastAsia" w:ascii="仿宋" w:hAnsi="仿宋" w:eastAsia="仿宋" w:cs="仿宋"/>
        </w:rPr>
        <w:t>级（含）以上资质</w:t>
      </w:r>
      <w:r>
        <w:rPr>
          <w:rFonts w:hint="eastAsia" w:ascii="仿宋" w:hAnsi="仿宋" w:eastAsia="仿宋" w:cs="仿宋"/>
          <w:lang w:val="en-US" w:eastAsia="zh-CN"/>
        </w:rPr>
        <w:t>及测绘资质乙级</w:t>
      </w:r>
      <w:r>
        <w:rPr>
          <w:rFonts w:hint="eastAsia" w:ascii="仿宋" w:hAnsi="仿宋" w:eastAsia="仿宋" w:cs="仿宋"/>
        </w:rPr>
        <w:t>（含）以上资质；</w:t>
      </w:r>
    </w:p>
    <w:p>
      <w:pPr>
        <w:pStyle w:val="24"/>
        <w:widowControl/>
        <w:adjustRightInd w:val="0"/>
        <w:snapToGrid w:val="0"/>
        <w:spacing w:before="60" w:after="60" w:line="360" w:lineRule="auto"/>
        <w:ind w:firstLine="480" w:firstLineChars="200"/>
        <w:rPr>
          <w:rFonts w:hint="eastAsia" w:ascii="仿宋" w:hAnsi="仿宋" w:eastAsia="仿宋" w:cs="仿宋"/>
        </w:rPr>
      </w:pPr>
      <w:r>
        <w:rPr>
          <w:rFonts w:hint="eastAsia" w:ascii="仿宋" w:hAnsi="仿宋" w:eastAsia="仿宋" w:cs="仿宋"/>
        </w:rPr>
        <w:t>（3）投标人未在“信用中国”网站（www.creditchina.gov.cn）、“中国政府采购网”（www.ccgp.gov.cn）等渠道列入失信被执行人、重大税收违法失信主体、政府采购严重违法失信行为记录名单。被列入失信被执行人、重大税收违法失信主体、政府采购严重违法失信行为记录名单的单位及其他不符合《中华人民共和国政府采购法》第二十二条规定条件的投标单位，将被拒绝参与本次政府采购活动；</w:t>
      </w:r>
    </w:p>
    <w:p>
      <w:pPr>
        <w:pStyle w:val="24"/>
        <w:widowControl/>
        <w:adjustRightInd w:val="0"/>
        <w:snapToGrid w:val="0"/>
        <w:spacing w:before="60" w:after="60" w:line="360" w:lineRule="auto"/>
        <w:ind w:firstLine="480" w:firstLineChars="200"/>
        <w:rPr>
          <w:rFonts w:hint="eastAsia" w:ascii="仿宋" w:hAnsi="仿宋" w:eastAsia="仿宋" w:cs="仿宋"/>
        </w:rPr>
      </w:pPr>
      <w:r>
        <w:rPr>
          <w:rFonts w:hint="eastAsia" w:ascii="仿宋" w:hAnsi="仿宋" w:eastAsia="仿宋" w:cs="仿宋"/>
        </w:rPr>
        <w:t>（4）其他说明:</w:t>
      </w:r>
      <w:r>
        <w:rPr>
          <w:rFonts w:hint="default" w:ascii="Calibri" w:hAnsi="Calibri" w:eastAsia="仿宋" w:cs="Calibri"/>
          <w:sz w:val="21"/>
          <w:szCs w:val="21"/>
        </w:rPr>
        <w:t>①</w:t>
      </w:r>
      <w:r>
        <w:rPr>
          <w:rFonts w:hint="eastAsia" w:ascii="仿宋" w:hAnsi="仿宋" w:eastAsia="仿宋" w:cs="仿宋"/>
        </w:rPr>
        <w:t xml:space="preserve">与招标人存在利害关系可能影响招标公正性的法定代表人、其他组织或者个人，不得参加投标: </w:t>
      </w:r>
      <w:r>
        <w:rPr>
          <w:rFonts w:hint="default" w:ascii="Calibri" w:hAnsi="Calibri" w:eastAsia="仿宋" w:cs="Calibri"/>
          <w:sz w:val="21"/>
          <w:szCs w:val="21"/>
        </w:rPr>
        <w:t>②</w:t>
      </w:r>
      <w:r>
        <w:rPr>
          <w:rFonts w:hint="eastAsia" w:ascii="仿宋" w:hAnsi="仿宋" w:eastAsia="仿宋" w:cs="仿宋"/>
        </w:rPr>
        <w:t>单位负责人为同一人或者存在控股、管理关系的不同单位，不得参加同一合同项下的同一招标项目投标。违反上述两款规定的，相关投标均无效；</w:t>
      </w:r>
    </w:p>
    <w:p>
      <w:pPr>
        <w:pStyle w:val="24"/>
        <w:widowControl/>
        <w:adjustRightInd w:val="0"/>
        <w:snapToGrid w:val="0"/>
        <w:spacing w:before="60" w:after="60" w:line="360" w:lineRule="auto"/>
        <w:ind w:firstLine="480" w:firstLineChars="200"/>
        <w:rPr>
          <w:rFonts w:hint="eastAsia" w:ascii="仿宋" w:hAnsi="仿宋" w:eastAsia="仿宋" w:cs="仿宋"/>
        </w:rPr>
      </w:pPr>
      <w:r>
        <w:rPr>
          <w:rFonts w:hint="eastAsia" w:ascii="仿宋" w:hAnsi="仿宋" w:eastAsia="仿宋" w:cs="仿宋"/>
        </w:rPr>
        <w:t>（5）本项目不接受联合体投标；</w:t>
      </w:r>
    </w:p>
    <w:p>
      <w:pPr>
        <w:pStyle w:val="37"/>
        <w:spacing w:line="360" w:lineRule="auto"/>
        <w:outlineLvl w:val="1"/>
        <w:rPr>
          <w:rFonts w:hint="eastAsia" w:ascii="仿宋" w:hAnsi="仿宋" w:eastAsia="仿宋" w:cs="仿宋"/>
          <w:b/>
          <w:color w:val="auto"/>
          <w:kern w:val="2"/>
          <w:szCs w:val="32"/>
        </w:rPr>
      </w:pPr>
      <w:bookmarkStart w:id="7" w:name="_Toc128152400"/>
      <w:bookmarkStart w:id="8" w:name="_Toc12430"/>
      <w:r>
        <w:rPr>
          <w:rFonts w:hint="eastAsia" w:ascii="仿宋" w:hAnsi="仿宋" w:eastAsia="仿宋" w:cs="仿宋"/>
          <w:b/>
          <w:color w:val="auto"/>
          <w:kern w:val="2"/>
          <w:szCs w:val="32"/>
        </w:rPr>
        <w:t>三、获取招标文件</w:t>
      </w:r>
      <w:bookmarkEnd w:id="7"/>
      <w:bookmarkEnd w:id="8"/>
    </w:p>
    <w:p>
      <w:pPr>
        <w:pStyle w:val="24"/>
        <w:widowControl/>
        <w:adjustRightInd w:val="0"/>
        <w:snapToGrid w:val="0"/>
        <w:spacing w:before="60" w:after="60" w:line="360" w:lineRule="auto"/>
        <w:ind w:firstLine="420"/>
        <w:rPr>
          <w:rFonts w:hint="eastAsia" w:ascii="仿宋" w:hAnsi="仿宋" w:eastAsia="仿宋" w:cs="仿宋"/>
          <w:highlight w:val="red"/>
        </w:rPr>
      </w:pPr>
      <w:r>
        <w:rPr>
          <w:rFonts w:hint="eastAsia" w:ascii="仿宋" w:hAnsi="仿宋" w:eastAsia="仿宋" w:cs="仿宋"/>
        </w:rPr>
        <w:t>1.时间：2023年</w:t>
      </w:r>
      <w:r>
        <w:rPr>
          <w:rFonts w:hint="eastAsia" w:ascii="仿宋" w:hAnsi="仿宋" w:eastAsia="仿宋" w:cs="仿宋"/>
          <w:lang w:val="en-US" w:eastAsia="zh-CN"/>
        </w:rPr>
        <w:t>03</w:t>
      </w:r>
      <w:r>
        <w:rPr>
          <w:rFonts w:hint="eastAsia" w:ascii="仿宋" w:hAnsi="仿宋" w:eastAsia="仿宋" w:cs="仿宋"/>
        </w:rPr>
        <w:t>月2</w:t>
      </w:r>
      <w:r>
        <w:rPr>
          <w:rFonts w:hint="eastAsia" w:ascii="仿宋" w:hAnsi="仿宋" w:eastAsia="仿宋" w:cs="仿宋"/>
          <w:lang w:val="en-US" w:eastAsia="zh-CN"/>
        </w:rPr>
        <w:t>1</w:t>
      </w:r>
      <w:r>
        <w:rPr>
          <w:rFonts w:hint="eastAsia" w:ascii="仿宋" w:hAnsi="仿宋" w:eastAsia="仿宋" w:cs="仿宋"/>
        </w:rPr>
        <w:t>日至2023年3月</w:t>
      </w:r>
      <w:r>
        <w:rPr>
          <w:rFonts w:hint="eastAsia" w:ascii="仿宋" w:hAnsi="仿宋" w:eastAsia="仿宋" w:cs="仿宋"/>
          <w:lang w:val="en-US" w:eastAsia="zh-CN"/>
        </w:rPr>
        <w:t>27</w:t>
      </w:r>
      <w:r>
        <w:rPr>
          <w:rFonts w:hint="eastAsia" w:ascii="仿宋" w:hAnsi="仿宋" w:eastAsia="仿宋" w:cs="仿宋"/>
        </w:rPr>
        <w:t>日，每天上午10:</w:t>
      </w:r>
      <w:r>
        <w:rPr>
          <w:rFonts w:hint="eastAsia" w:ascii="仿宋" w:hAnsi="仿宋" w:eastAsia="仿宋" w:cs="仿宋"/>
          <w:lang w:val="en-US" w:eastAsia="zh-CN"/>
        </w:rPr>
        <w:t>3</w:t>
      </w:r>
      <w:r>
        <w:rPr>
          <w:rFonts w:hint="eastAsia" w:ascii="仿宋" w:hAnsi="仿宋" w:eastAsia="仿宋" w:cs="仿宋"/>
        </w:rPr>
        <w:t>0至13:30，</w:t>
      </w:r>
      <w:r>
        <w:rPr>
          <w:rFonts w:hint="eastAsia" w:ascii="仿宋" w:hAnsi="仿宋" w:eastAsia="仿宋" w:cs="仿宋"/>
          <w:highlight w:val="none"/>
        </w:rPr>
        <w:t>下午15:30至1</w:t>
      </w:r>
      <w:r>
        <w:rPr>
          <w:rFonts w:hint="eastAsia" w:ascii="仿宋" w:hAnsi="仿宋" w:eastAsia="仿宋" w:cs="仿宋"/>
          <w:highlight w:val="none"/>
          <w:lang w:val="en-US" w:eastAsia="zh-CN"/>
        </w:rPr>
        <w:t>6</w:t>
      </w:r>
      <w:r>
        <w:rPr>
          <w:rFonts w:hint="eastAsia" w:ascii="仿宋" w:hAnsi="仿宋" w:eastAsia="仿宋" w:cs="仿宋"/>
          <w:highlight w:val="none"/>
        </w:rPr>
        <w:t>:30（</w:t>
      </w:r>
      <w:r>
        <w:rPr>
          <w:rFonts w:hint="eastAsia" w:ascii="仿宋" w:hAnsi="仿宋" w:eastAsia="仿宋" w:cs="仿宋"/>
        </w:rPr>
        <w:t>北京时间，法定节假日除外）</w:t>
      </w:r>
    </w:p>
    <w:p>
      <w:pPr>
        <w:widowControl/>
        <w:spacing w:before="75" w:after="75"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2.地点：线上方式获取。</w:t>
      </w:r>
    </w:p>
    <w:p>
      <w:pPr>
        <w:widowControl/>
        <w:spacing w:before="75" w:after="75"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3.获取方式：投标人登陆政采云系统平台（https://www.zcygov.cn/）进入“项目采购”栏目，在获取</w:t>
      </w:r>
      <w:r>
        <w:rPr>
          <w:rFonts w:hint="eastAsia" w:ascii="仿宋" w:hAnsi="仿宋" w:eastAsia="仿宋" w:cs="仿宋"/>
          <w:kern w:val="0"/>
          <w:sz w:val="24"/>
          <w:lang w:eastAsia="zh-CN"/>
        </w:rPr>
        <w:t>招标文件</w:t>
      </w:r>
      <w:r>
        <w:rPr>
          <w:rFonts w:hint="eastAsia" w:ascii="仿宋" w:hAnsi="仿宋" w:eastAsia="仿宋" w:cs="仿宋"/>
          <w:kern w:val="0"/>
          <w:sz w:val="24"/>
        </w:rPr>
        <w:t>菜单中选择所要获取</w:t>
      </w:r>
      <w:r>
        <w:rPr>
          <w:rFonts w:hint="eastAsia" w:ascii="仿宋" w:hAnsi="仿宋" w:eastAsia="仿宋" w:cs="仿宋"/>
          <w:kern w:val="0"/>
          <w:sz w:val="24"/>
          <w:lang w:eastAsia="zh-CN"/>
        </w:rPr>
        <w:t>招标文件</w:t>
      </w:r>
      <w:r>
        <w:rPr>
          <w:rFonts w:hint="eastAsia" w:ascii="仿宋" w:hAnsi="仿宋" w:eastAsia="仿宋" w:cs="仿宋"/>
          <w:kern w:val="0"/>
          <w:sz w:val="24"/>
        </w:rPr>
        <w:t>的项目，申请获取</w:t>
      </w:r>
      <w:r>
        <w:rPr>
          <w:rFonts w:hint="eastAsia" w:ascii="仿宋" w:hAnsi="仿宋" w:eastAsia="仿宋" w:cs="仿宋"/>
          <w:kern w:val="0"/>
          <w:sz w:val="24"/>
          <w:lang w:eastAsia="zh-CN"/>
        </w:rPr>
        <w:t>招标文件</w:t>
      </w:r>
      <w:r>
        <w:rPr>
          <w:rFonts w:hint="eastAsia" w:ascii="仿宋" w:hAnsi="仿宋" w:eastAsia="仿宋" w:cs="仿宋"/>
          <w:kern w:val="0"/>
          <w:sz w:val="24"/>
        </w:rPr>
        <w:t>。</w:t>
      </w:r>
    </w:p>
    <w:p>
      <w:pPr>
        <w:widowControl/>
        <w:spacing w:before="75" w:after="75"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4.售价（元）：0</w:t>
      </w:r>
    </w:p>
    <w:p>
      <w:pPr>
        <w:pStyle w:val="37"/>
        <w:spacing w:line="360" w:lineRule="auto"/>
        <w:outlineLvl w:val="1"/>
        <w:rPr>
          <w:rFonts w:hint="eastAsia" w:ascii="仿宋" w:hAnsi="仿宋" w:eastAsia="仿宋" w:cs="仿宋"/>
          <w:b/>
          <w:color w:val="auto"/>
          <w:kern w:val="2"/>
          <w:szCs w:val="32"/>
        </w:rPr>
      </w:pPr>
      <w:bookmarkStart w:id="9" w:name="_Toc128152401"/>
      <w:bookmarkStart w:id="10" w:name="_Toc25069"/>
      <w:r>
        <w:rPr>
          <w:rFonts w:hint="eastAsia" w:ascii="仿宋" w:hAnsi="仿宋" w:eastAsia="仿宋" w:cs="仿宋"/>
          <w:bCs/>
          <w:color w:val="auto"/>
          <w:kern w:val="2"/>
          <w:szCs w:val="32"/>
        </w:rPr>
        <w:t>四、提交投标文件截止时间、开标时间和地点</w:t>
      </w:r>
      <w:bookmarkEnd w:id="9"/>
      <w:bookmarkEnd w:id="10"/>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1.提交投标文件截止时间：</w:t>
      </w:r>
      <w:r>
        <w:rPr>
          <w:rFonts w:hint="eastAsia" w:ascii="仿宋" w:hAnsi="仿宋" w:eastAsia="仿宋" w:cs="仿宋"/>
          <w:sz w:val="24"/>
        </w:rPr>
        <w:t>2023年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10</w:t>
      </w:r>
      <w:r>
        <w:rPr>
          <w:rFonts w:hint="eastAsia" w:ascii="仿宋" w:hAnsi="仿宋" w:eastAsia="仿宋" w:cs="仿宋"/>
          <w:sz w:val="24"/>
        </w:rPr>
        <w:t>日 1</w:t>
      </w:r>
      <w:r>
        <w:rPr>
          <w:rFonts w:hint="eastAsia" w:ascii="仿宋" w:hAnsi="仿宋" w:eastAsia="仿宋" w:cs="仿宋"/>
          <w:sz w:val="24"/>
          <w:lang w:val="en-US" w:eastAsia="zh-CN"/>
        </w:rPr>
        <w:t>6</w:t>
      </w:r>
      <w:r>
        <w:rPr>
          <w:rFonts w:hint="eastAsia" w:ascii="仿宋" w:hAnsi="仿宋" w:eastAsia="仿宋" w:cs="仿宋"/>
          <w:sz w:val="24"/>
        </w:rPr>
        <w:t>:00</w:t>
      </w:r>
      <w:r>
        <w:rPr>
          <w:rFonts w:hint="eastAsia" w:ascii="仿宋" w:hAnsi="仿宋" w:eastAsia="仿宋" w:cs="仿宋"/>
        </w:rPr>
        <w:t>（北京时间）</w:t>
      </w:r>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2.投标地点：政采云平台</w:t>
      </w:r>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开标时间：</w:t>
      </w:r>
      <w:r>
        <w:rPr>
          <w:rFonts w:hint="eastAsia" w:ascii="仿宋" w:hAnsi="仿宋" w:eastAsia="仿宋" w:cs="仿宋"/>
          <w:sz w:val="24"/>
        </w:rPr>
        <w:t>2023年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10</w:t>
      </w:r>
      <w:r>
        <w:rPr>
          <w:rFonts w:hint="eastAsia" w:ascii="仿宋" w:hAnsi="仿宋" w:eastAsia="仿宋" w:cs="仿宋"/>
          <w:sz w:val="24"/>
        </w:rPr>
        <w:t>日 1</w:t>
      </w:r>
      <w:r>
        <w:rPr>
          <w:rFonts w:hint="eastAsia" w:ascii="仿宋" w:hAnsi="仿宋" w:eastAsia="仿宋" w:cs="仿宋"/>
          <w:sz w:val="24"/>
          <w:lang w:val="en-US" w:eastAsia="zh-CN"/>
        </w:rPr>
        <w:t>6</w:t>
      </w:r>
      <w:r>
        <w:rPr>
          <w:rFonts w:hint="eastAsia" w:ascii="仿宋" w:hAnsi="仿宋" w:eastAsia="仿宋" w:cs="仿宋"/>
          <w:sz w:val="24"/>
        </w:rPr>
        <w:t>:00</w:t>
      </w:r>
      <w:r>
        <w:rPr>
          <w:rFonts w:hint="eastAsia" w:ascii="仿宋" w:hAnsi="仿宋" w:eastAsia="仿宋" w:cs="仿宋"/>
        </w:rPr>
        <w:t>（北京时间）</w:t>
      </w:r>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开标地点：政采云平台</w:t>
      </w:r>
    </w:p>
    <w:p>
      <w:pPr>
        <w:pStyle w:val="37"/>
        <w:spacing w:line="360" w:lineRule="auto"/>
        <w:outlineLvl w:val="1"/>
        <w:rPr>
          <w:rFonts w:hint="eastAsia" w:ascii="仿宋" w:hAnsi="仿宋" w:eastAsia="仿宋" w:cs="仿宋"/>
          <w:b/>
          <w:color w:val="auto"/>
          <w:kern w:val="2"/>
          <w:szCs w:val="32"/>
        </w:rPr>
      </w:pPr>
      <w:bookmarkStart w:id="11" w:name="_Toc128152402"/>
      <w:bookmarkStart w:id="12" w:name="_Toc2198"/>
      <w:r>
        <w:rPr>
          <w:rFonts w:hint="eastAsia" w:ascii="仿宋" w:hAnsi="仿宋" w:eastAsia="仿宋" w:cs="仿宋"/>
          <w:bCs/>
          <w:color w:val="auto"/>
          <w:kern w:val="2"/>
          <w:szCs w:val="32"/>
        </w:rPr>
        <w:t>五、公告期限</w:t>
      </w:r>
      <w:bookmarkEnd w:id="11"/>
      <w:bookmarkEnd w:id="12"/>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自本公告发布之日起5个工作日。</w:t>
      </w:r>
    </w:p>
    <w:p>
      <w:pPr>
        <w:pStyle w:val="37"/>
        <w:spacing w:line="360" w:lineRule="auto"/>
        <w:outlineLvl w:val="1"/>
        <w:rPr>
          <w:rFonts w:hint="eastAsia" w:ascii="仿宋" w:hAnsi="仿宋" w:eastAsia="仿宋" w:cs="仿宋"/>
          <w:bCs/>
          <w:color w:val="auto"/>
          <w:kern w:val="2"/>
          <w:szCs w:val="32"/>
        </w:rPr>
      </w:pPr>
      <w:bookmarkStart w:id="13" w:name="_Toc128152403"/>
      <w:bookmarkStart w:id="14" w:name="_Toc9726"/>
      <w:r>
        <w:rPr>
          <w:rFonts w:hint="eastAsia" w:ascii="仿宋" w:hAnsi="仿宋" w:eastAsia="仿宋" w:cs="仿宋"/>
          <w:bCs/>
          <w:color w:val="auto"/>
          <w:kern w:val="2"/>
          <w:szCs w:val="32"/>
        </w:rPr>
        <w:t>六、其他补充事宜</w:t>
      </w:r>
      <w:bookmarkEnd w:id="13"/>
      <w:bookmarkEnd w:id="14"/>
    </w:p>
    <w:p>
      <w:pPr>
        <w:pStyle w:val="37"/>
        <w:spacing w:line="360" w:lineRule="auto"/>
        <w:ind w:firstLine="480" w:firstLineChars="200"/>
        <w:outlineLvl w:val="1"/>
        <w:rPr>
          <w:rFonts w:hint="eastAsia" w:ascii="仿宋" w:hAnsi="仿宋" w:eastAsia="仿宋" w:cs="仿宋"/>
          <w:bCs/>
          <w:color w:val="auto"/>
          <w:kern w:val="2"/>
          <w:szCs w:val="32"/>
        </w:rPr>
      </w:pPr>
      <w:bookmarkStart w:id="15" w:name="_Toc5263"/>
      <w:bookmarkStart w:id="16" w:name="_Toc128152404"/>
      <w:r>
        <w:rPr>
          <w:rFonts w:hint="eastAsia" w:ascii="仿宋" w:hAnsi="仿宋" w:eastAsia="仿宋" w:cs="仿宋"/>
          <w:bCs/>
          <w:color w:val="auto"/>
          <w:kern w:val="2"/>
          <w:szCs w:val="32"/>
        </w:rPr>
        <w:t>1</w:t>
      </w:r>
      <w:r>
        <w:rPr>
          <w:rFonts w:hint="eastAsia" w:ascii="仿宋" w:hAnsi="仿宋" w:eastAsia="仿宋" w:cs="仿宋"/>
          <w:bCs/>
          <w:color w:val="auto"/>
          <w:kern w:val="2"/>
          <w:szCs w:val="32"/>
          <w:lang w:val="en-US" w:eastAsia="zh-CN"/>
        </w:rPr>
        <w:t>.</w:t>
      </w:r>
      <w:r>
        <w:rPr>
          <w:rFonts w:hint="eastAsia" w:ascii="仿宋" w:hAnsi="仿宋" w:eastAsia="仿宋" w:cs="仿宋"/>
          <w:bCs/>
          <w:color w:val="auto"/>
          <w:kern w:val="2"/>
          <w:szCs w:val="32"/>
        </w:rPr>
        <w:t>本项目实行</w:t>
      </w:r>
      <w:r>
        <w:rPr>
          <w:rFonts w:hint="eastAsia" w:ascii="仿宋" w:hAnsi="仿宋" w:eastAsia="仿宋" w:cs="仿宋"/>
          <w:bCs/>
          <w:color w:val="auto"/>
          <w:kern w:val="2"/>
          <w:szCs w:val="32"/>
          <w:lang w:eastAsia="zh-CN"/>
        </w:rPr>
        <w:t>全流程电子招投标</w:t>
      </w:r>
      <w:r>
        <w:rPr>
          <w:rFonts w:hint="eastAsia" w:ascii="仿宋" w:hAnsi="仿宋" w:eastAsia="仿宋" w:cs="仿宋"/>
          <w:bCs/>
          <w:color w:val="auto"/>
          <w:kern w:val="2"/>
          <w:szCs w:val="32"/>
        </w:rPr>
        <w:t>；</w:t>
      </w:r>
      <w:bookmarkEnd w:id="15"/>
    </w:p>
    <w:p>
      <w:pPr>
        <w:pStyle w:val="37"/>
        <w:spacing w:line="360" w:lineRule="auto"/>
        <w:ind w:firstLine="480" w:firstLineChars="200"/>
        <w:outlineLvl w:val="1"/>
        <w:rPr>
          <w:rFonts w:hint="eastAsia" w:ascii="仿宋" w:hAnsi="仿宋" w:eastAsia="仿宋" w:cs="仿宋"/>
          <w:bCs/>
          <w:color w:val="auto"/>
          <w:kern w:val="2"/>
          <w:szCs w:val="32"/>
        </w:rPr>
      </w:pPr>
      <w:bookmarkStart w:id="17" w:name="_Toc17325"/>
      <w:r>
        <w:rPr>
          <w:rFonts w:hint="eastAsia" w:ascii="仿宋" w:hAnsi="仿宋" w:eastAsia="仿宋" w:cs="仿宋"/>
          <w:bCs/>
          <w:color w:val="auto"/>
          <w:kern w:val="2"/>
          <w:szCs w:val="32"/>
        </w:rPr>
        <w:t>2</w:t>
      </w:r>
      <w:r>
        <w:rPr>
          <w:rFonts w:hint="eastAsia" w:ascii="仿宋" w:hAnsi="仿宋" w:eastAsia="仿宋" w:cs="仿宋"/>
          <w:bCs/>
          <w:color w:val="auto"/>
          <w:kern w:val="2"/>
          <w:szCs w:val="32"/>
          <w:lang w:val="en-US" w:eastAsia="zh-CN"/>
        </w:rPr>
        <w:t>.</w:t>
      </w:r>
      <w:r>
        <w:rPr>
          <w:rFonts w:hint="eastAsia" w:ascii="仿宋" w:hAnsi="仿宋" w:eastAsia="仿宋" w:cs="仿宋"/>
          <w:bCs/>
          <w:color w:val="auto"/>
          <w:kern w:val="2"/>
          <w:szCs w:val="32"/>
        </w:rPr>
        <w:t>各</w:t>
      </w:r>
      <w:r>
        <w:rPr>
          <w:rFonts w:hint="eastAsia" w:ascii="仿宋" w:hAnsi="仿宋" w:eastAsia="仿宋" w:cs="仿宋"/>
          <w:bCs/>
          <w:color w:val="auto"/>
          <w:kern w:val="2"/>
          <w:szCs w:val="32"/>
          <w:lang w:eastAsia="zh-CN"/>
        </w:rPr>
        <w:t>投标单位</w:t>
      </w:r>
      <w:r>
        <w:rPr>
          <w:rFonts w:hint="eastAsia" w:ascii="仿宋" w:hAnsi="仿宋" w:eastAsia="仿宋" w:cs="仿宋"/>
          <w:bCs/>
          <w:color w:val="auto"/>
          <w:kern w:val="2"/>
          <w:szCs w:val="32"/>
        </w:rPr>
        <w:t>在开标前应确保成为新疆政府采购网正式注册入库</w:t>
      </w:r>
      <w:r>
        <w:rPr>
          <w:rFonts w:hint="eastAsia" w:ascii="仿宋" w:hAnsi="仿宋" w:eastAsia="仿宋" w:cs="仿宋"/>
          <w:bCs/>
          <w:color w:val="auto"/>
          <w:kern w:val="2"/>
          <w:szCs w:val="32"/>
          <w:lang w:eastAsia="zh-CN"/>
        </w:rPr>
        <w:t>投标单位</w:t>
      </w:r>
      <w:r>
        <w:rPr>
          <w:rFonts w:hint="eastAsia" w:ascii="仿宋" w:hAnsi="仿宋" w:eastAsia="仿宋" w:cs="仿宋"/>
          <w:bCs/>
          <w:color w:val="auto"/>
          <w:kern w:val="2"/>
          <w:szCs w:val="32"/>
        </w:rPr>
        <w:t>，并完成CA数字证书（符合国密标准）申领。因未注册入库、未办理CA数字证书等原因造成无法投标或投标失败等后果由</w:t>
      </w:r>
      <w:r>
        <w:rPr>
          <w:rFonts w:hint="eastAsia" w:ascii="仿宋" w:hAnsi="仿宋" w:eastAsia="仿宋" w:cs="仿宋"/>
          <w:bCs/>
          <w:color w:val="auto"/>
          <w:kern w:val="2"/>
          <w:szCs w:val="32"/>
          <w:lang w:eastAsia="zh-CN"/>
        </w:rPr>
        <w:t>投标单位</w:t>
      </w:r>
      <w:r>
        <w:rPr>
          <w:rFonts w:hint="eastAsia" w:ascii="仿宋" w:hAnsi="仿宋" w:eastAsia="仿宋" w:cs="仿宋"/>
          <w:bCs/>
          <w:color w:val="auto"/>
          <w:kern w:val="2"/>
          <w:szCs w:val="32"/>
        </w:rPr>
        <w:t>自行承担。有意向参与电子开评标的</w:t>
      </w:r>
      <w:r>
        <w:rPr>
          <w:rFonts w:hint="eastAsia" w:ascii="仿宋" w:hAnsi="仿宋" w:eastAsia="仿宋" w:cs="仿宋"/>
          <w:bCs/>
          <w:color w:val="auto"/>
          <w:kern w:val="2"/>
          <w:szCs w:val="32"/>
          <w:lang w:eastAsia="zh-CN"/>
        </w:rPr>
        <w:t>投标单位</w:t>
      </w:r>
      <w:r>
        <w:rPr>
          <w:rFonts w:hint="eastAsia" w:ascii="仿宋" w:hAnsi="仿宋" w:eastAsia="仿宋" w:cs="仿宋"/>
          <w:bCs/>
          <w:color w:val="auto"/>
          <w:kern w:val="2"/>
          <w:szCs w:val="32"/>
        </w:rPr>
        <w:t>，可访问新疆数字证书认证中心官方网站（https://www.xjca.com.cn/）或下载“新疆政务通”APP自行进行申领。如需咨询，请联系新疆CA服务热线0991-2819290；</w:t>
      </w:r>
      <w:bookmarkEnd w:id="17"/>
    </w:p>
    <w:p>
      <w:pPr>
        <w:pStyle w:val="37"/>
        <w:spacing w:line="360" w:lineRule="auto"/>
        <w:ind w:firstLine="480" w:firstLineChars="200"/>
        <w:outlineLvl w:val="1"/>
        <w:rPr>
          <w:rFonts w:hint="eastAsia" w:ascii="仿宋" w:hAnsi="仿宋" w:eastAsia="仿宋" w:cs="仿宋"/>
          <w:bCs/>
          <w:color w:val="auto"/>
          <w:kern w:val="2"/>
          <w:szCs w:val="32"/>
        </w:rPr>
      </w:pPr>
      <w:bookmarkStart w:id="18" w:name="_Toc6223"/>
      <w:r>
        <w:rPr>
          <w:rFonts w:hint="eastAsia" w:ascii="仿宋" w:hAnsi="仿宋" w:eastAsia="仿宋" w:cs="仿宋"/>
          <w:bCs/>
          <w:color w:val="auto"/>
          <w:kern w:val="2"/>
          <w:szCs w:val="32"/>
        </w:rPr>
        <w:t>3</w:t>
      </w:r>
      <w:r>
        <w:rPr>
          <w:rFonts w:hint="eastAsia" w:ascii="仿宋" w:hAnsi="仿宋" w:eastAsia="仿宋" w:cs="仿宋"/>
          <w:bCs/>
          <w:color w:val="auto"/>
          <w:kern w:val="2"/>
          <w:szCs w:val="32"/>
          <w:lang w:val="en-US" w:eastAsia="zh-CN"/>
        </w:rPr>
        <w:t>.</w:t>
      </w:r>
      <w:r>
        <w:rPr>
          <w:rFonts w:hint="eastAsia" w:ascii="仿宋" w:hAnsi="仿宋" w:eastAsia="仿宋" w:cs="仿宋"/>
          <w:bCs/>
          <w:color w:val="auto"/>
          <w:kern w:val="2"/>
          <w:szCs w:val="32"/>
          <w:lang w:eastAsia="zh-CN"/>
        </w:rPr>
        <w:t>投标单位</w:t>
      </w:r>
      <w:r>
        <w:rPr>
          <w:rFonts w:hint="eastAsia" w:ascii="仿宋" w:hAnsi="仿宋" w:eastAsia="仿宋" w:cs="仿宋"/>
          <w:bCs/>
          <w:color w:val="auto"/>
          <w:kern w:val="2"/>
          <w:szCs w:val="32"/>
        </w:rPr>
        <w:t>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w:t>
      </w:r>
      <w:r>
        <w:rPr>
          <w:rFonts w:hint="eastAsia" w:ascii="仿宋" w:hAnsi="仿宋" w:eastAsia="仿宋" w:cs="仿宋"/>
          <w:bCs/>
          <w:color w:val="auto"/>
          <w:kern w:val="2"/>
          <w:szCs w:val="32"/>
          <w:lang w:eastAsia="zh-CN"/>
        </w:rPr>
        <w:t>投标单位</w:t>
      </w:r>
      <w:r>
        <w:rPr>
          <w:rFonts w:hint="eastAsia" w:ascii="仿宋" w:hAnsi="仿宋" w:eastAsia="仿宋" w:cs="仿宋"/>
          <w:bCs/>
          <w:color w:val="auto"/>
          <w:kern w:val="2"/>
          <w:szCs w:val="32"/>
        </w:rPr>
        <w:t>自身原因导致在规定时间内无法正常解密的（如：浏览器故障、未安装相关驱动、网络故障、加密CA与解密CA不一致等），采购中心/代理机构不予异常处理，视为</w:t>
      </w:r>
      <w:r>
        <w:rPr>
          <w:rFonts w:hint="eastAsia" w:ascii="仿宋" w:hAnsi="仿宋" w:eastAsia="仿宋" w:cs="仿宋"/>
          <w:bCs/>
          <w:color w:val="auto"/>
          <w:kern w:val="2"/>
          <w:szCs w:val="32"/>
          <w:lang w:eastAsia="zh-CN"/>
        </w:rPr>
        <w:t>投标单位</w:t>
      </w:r>
      <w:r>
        <w:rPr>
          <w:rFonts w:hint="eastAsia" w:ascii="仿宋" w:hAnsi="仿宋" w:eastAsia="仿宋" w:cs="仿宋"/>
          <w:bCs/>
          <w:color w:val="auto"/>
          <w:kern w:val="2"/>
          <w:szCs w:val="32"/>
        </w:rPr>
        <w:t>自动弃标。</w:t>
      </w:r>
      <w:bookmarkEnd w:id="18"/>
    </w:p>
    <w:p>
      <w:pPr>
        <w:pStyle w:val="37"/>
        <w:spacing w:line="360" w:lineRule="auto"/>
        <w:ind w:firstLine="480" w:firstLineChars="200"/>
        <w:outlineLvl w:val="1"/>
        <w:rPr>
          <w:rFonts w:hint="eastAsia" w:ascii="仿宋" w:hAnsi="仿宋" w:eastAsia="仿宋" w:cs="仿宋"/>
          <w:bCs/>
          <w:color w:val="auto"/>
          <w:kern w:val="2"/>
          <w:szCs w:val="32"/>
          <w:lang w:eastAsia="zh-CN"/>
        </w:rPr>
      </w:pPr>
      <w:bookmarkStart w:id="19" w:name="_Toc15658"/>
      <w:r>
        <w:rPr>
          <w:rFonts w:hint="eastAsia" w:ascii="仿宋" w:hAnsi="仿宋" w:eastAsia="仿宋" w:cs="仿宋"/>
          <w:bCs/>
          <w:color w:val="auto"/>
          <w:kern w:val="2"/>
          <w:szCs w:val="32"/>
        </w:rPr>
        <w:t>4</w:t>
      </w:r>
      <w:r>
        <w:rPr>
          <w:rFonts w:hint="eastAsia" w:ascii="仿宋" w:hAnsi="仿宋" w:eastAsia="仿宋" w:cs="仿宋"/>
          <w:bCs/>
          <w:color w:val="auto"/>
          <w:kern w:val="2"/>
          <w:szCs w:val="32"/>
          <w:lang w:val="en-US" w:eastAsia="zh-CN"/>
        </w:rPr>
        <w:t>.</w:t>
      </w:r>
      <w:r>
        <w:rPr>
          <w:rFonts w:hint="eastAsia" w:ascii="仿宋" w:hAnsi="仿宋" w:eastAsia="仿宋" w:cs="仿宋"/>
          <w:bCs/>
          <w:color w:val="auto"/>
          <w:kern w:val="2"/>
          <w:szCs w:val="32"/>
          <w:lang w:eastAsia="zh-CN"/>
        </w:rPr>
        <w:t>投标单位在开标前</w:t>
      </w:r>
      <w:r>
        <w:rPr>
          <w:rFonts w:hint="eastAsia" w:ascii="仿宋" w:hAnsi="仿宋" w:eastAsia="仿宋" w:cs="仿宋"/>
          <w:bCs/>
          <w:color w:val="auto"/>
          <w:kern w:val="2"/>
          <w:szCs w:val="32"/>
        </w:rPr>
        <w:t>应</w:t>
      </w:r>
      <w:r>
        <w:rPr>
          <w:rFonts w:hint="eastAsia" w:ascii="仿宋" w:hAnsi="仿宋" w:eastAsia="仿宋" w:cs="仿宋"/>
          <w:bCs/>
          <w:color w:val="auto"/>
          <w:kern w:val="2"/>
          <w:szCs w:val="32"/>
          <w:lang w:eastAsia="zh-CN"/>
        </w:rPr>
        <w:t>准备好电脑以及制作加密电子投标文件所使用的CA锁。电脑须提前配置好</w:t>
      </w:r>
      <w:r>
        <w:rPr>
          <w:rFonts w:hint="eastAsia" w:ascii="仿宋" w:hAnsi="仿宋" w:eastAsia="仿宋" w:cs="仿宋"/>
          <w:bCs/>
          <w:color w:val="auto"/>
          <w:kern w:val="2"/>
          <w:szCs w:val="32"/>
        </w:rPr>
        <w:t>浏览器（建议使用360 浏览器或谷歌浏览器）</w:t>
      </w:r>
      <w:r>
        <w:rPr>
          <w:rFonts w:hint="eastAsia" w:ascii="仿宋" w:hAnsi="仿宋" w:eastAsia="仿宋" w:cs="仿宋"/>
          <w:bCs/>
          <w:color w:val="auto"/>
          <w:kern w:val="2"/>
          <w:szCs w:val="32"/>
          <w:lang w:eastAsia="zh-CN"/>
        </w:rPr>
        <w:t>。</w:t>
      </w:r>
      <w:bookmarkEnd w:id="19"/>
    </w:p>
    <w:p>
      <w:pPr>
        <w:pStyle w:val="37"/>
        <w:spacing w:line="360" w:lineRule="auto"/>
        <w:ind w:firstLine="480" w:firstLineChars="200"/>
        <w:outlineLvl w:val="1"/>
        <w:rPr>
          <w:rFonts w:hint="eastAsia" w:ascii="仿宋" w:hAnsi="仿宋" w:eastAsia="仿宋" w:cs="仿宋"/>
          <w:bCs/>
          <w:color w:val="auto"/>
          <w:kern w:val="2"/>
          <w:szCs w:val="32"/>
        </w:rPr>
      </w:pPr>
      <w:bookmarkStart w:id="20" w:name="_Toc19526"/>
      <w:r>
        <w:rPr>
          <w:rFonts w:hint="eastAsia" w:ascii="仿宋" w:hAnsi="仿宋" w:eastAsia="仿宋" w:cs="仿宋"/>
          <w:bCs/>
          <w:color w:val="auto"/>
          <w:kern w:val="2"/>
          <w:szCs w:val="32"/>
          <w:lang w:val="en-US" w:eastAsia="zh-CN"/>
        </w:rPr>
        <w:t>5.</w:t>
      </w:r>
      <w:r>
        <w:rPr>
          <w:rFonts w:hint="eastAsia" w:ascii="仿宋" w:hAnsi="仿宋" w:eastAsia="仿宋" w:cs="仿宋"/>
          <w:bCs/>
          <w:color w:val="auto"/>
          <w:kern w:val="2"/>
          <w:szCs w:val="32"/>
        </w:rPr>
        <w:t>在</w:t>
      </w:r>
      <w:r>
        <w:rPr>
          <w:rFonts w:hint="eastAsia" w:ascii="仿宋" w:hAnsi="仿宋" w:eastAsia="仿宋" w:cs="仿宋"/>
          <w:bCs/>
          <w:color w:val="auto"/>
          <w:kern w:val="2"/>
          <w:szCs w:val="32"/>
          <w:lang w:eastAsia="zh-CN"/>
        </w:rPr>
        <w:t>投标截止时间</w:t>
      </w:r>
      <w:r>
        <w:rPr>
          <w:rFonts w:hint="eastAsia" w:ascii="仿宋" w:hAnsi="仿宋" w:eastAsia="仿宋" w:cs="仿宋"/>
          <w:bCs/>
          <w:color w:val="auto"/>
          <w:kern w:val="2"/>
          <w:szCs w:val="32"/>
        </w:rPr>
        <w:t>前,</w:t>
      </w:r>
      <w:r>
        <w:rPr>
          <w:rFonts w:hint="eastAsia" w:ascii="仿宋" w:hAnsi="仿宋" w:eastAsia="仿宋" w:cs="仿宋"/>
          <w:bCs/>
          <w:color w:val="auto"/>
          <w:kern w:val="2"/>
          <w:szCs w:val="32"/>
          <w:lang w:eastAsia="zh-CN"/>
        </w:rPr>
        <w:t>投标单位应</w:t>
      </w:r>
      <w:r>
        <w:rPr>
          <w:rFonts w:hint="eastAsia" w:ascii="仿宋" w:hAnsi="仿宋" w:eastAsia="仿宋" w:cs="仿宋"/>
          <w:bCs/>
          <w:color w:val="auto"/>
          <w:kern w:val="2"/>
          <w:szCs w:val="32"/>
        </w:rPr>
        <w:t>将生成的“电子加密</w:t>
      </w:r>
      <w:r>
        <w:rPr>
          <w:rFonts w:hint="eastAsia" w:ascii="仿宋" w:hAnsi="仿宋" w:eastAsia="仿宋" w:cs="仿宋"/>
          <w:bCs/>
          <w:color w:val="auto"/>
          <w:kern w:val="2"/>
          <w:szCs w:val="32"/>
          <w:lang w:eastAsia="zh-CN"/>
        </w:rPr>
        <w:t>投标文件</w:t>
      </w:r>
      <w:r>
        <w:rPr>
          <w:rFonts w:hint="eastAsia" w:ascii="仿宋" w:hAnsi="仿宋" w:eastAsia="仿宋" w:cs="仿宋"/>
          <w:bCs/>
          <w:color w:val="auto"/>
          <w:kern w:val="2"/>
          <w:szCs w:val="32"/>
        </w:rPr>
        <w:t>”上传递交至“政府采购云平台”,</w:t>
      </w:r>
      <w:r>
        <w:rPr>
          <w:rFonts w:hint="eastAsia" w:ascii="仿宋" w:hAnsi="仿宋" w:eastAsia="仿宋" w:cs="仿宋"/>
          <w:bCs/>
          <w:color w:val="auto"/>
          <w:kern w:val="2"/>
          <w:szCs w:val="32"/>
          <w:lang w:eastAsia="zh-CN"/>
        </w:rPr>
        <w:t>投标截止时间</w:t>
      </w:r>
      <w:r>
        <w:rPr>
          <w:rFonts w:hint="eastAsia" w:ascii="仿宋" w:hAnsi="仿宋" w:eastAsia="仿宋" w:cs="仿宋"/>
          <w:bCs/>
          <w:color w:val="auto"/>
          <w:kern w:val="2"/>
          <w:szCs w:val="32"/>
        </w:rPr>
        <w:t>以后上传递交的</w:t>
      </w:r>
      <w:r>
        <w:rPr>
          <w:rFonts w:hint="eastAsia" w:ascii="仿宋" w:hAnsi="仿宋" w:eastAsia="仿宋" w:cs="仿宋"/>
          <w:bCs/>
          <w:color w:val="auto"/>
          <w:kern w:val="2"/>
          <w:szCs w:val="32"/>
          <w:lang w:eastAsia="zh-CN"/>
        </w:rPr>
        <w:t>投标文件</w:t>
      </w:r>
      <w:r>
        <w:rPr>
          <w:rFonts w:hint="eastAsia" w:ascii="仿宋" w:hAnsi="仿宋" w:eastAsia="仿宋" w:cs="仿宋"/>
          <w:bCs/>
          <w:color w:val="auto"/>
          <w:kern w:val="2"/>
          <w:szCs w:val="32"/>
        </w:rPr>
        <w:t>将被“政府采购云平台”拒收。</w:t>
      </w:r>
      <w:bookmarkEnd w:id="20"/>
    </w:p>
    <w:p>
      <w:pPr>
        <w:pStyle w:val="37"/>
        <w:spacing w:line="360" w:lineRule="auto"/>
        <w:ind w:firstLine="480" w:firstLineChars="200"/>
        <w:outlineLvl w:val="1"/>
        <w:rPr>
          <w:rFonts w:hint="eastAsia" w:ascii="仿宋" w:hAnsi="仿宋" w:eastAsia="仿宋" w:cs="仿宋"/>
          <w:bCs/>
          <w:color w:val="auto"/>
          <w:kern w:val="2"/>
          <w:szCs w:val="32"/>
        </w:rPr>
      </w:pPr>
      <w:bookmarkStart w:id="21" w:name="_Toc13336"/>
      <w:r>
        <w:rPr>
          <w:rFonts w:hint="eastAsia" w:ascii="仿宋" w:hAnsi="仿宋" w:eastAsia="仿宋" w:cs="仿宋"/>
          <w:bCs/>
          <w:color w:val="auto"/>
          <w:kern w:val="2"/>
          <w:szCs w:val="32"/>
          <w:lang w:val="en-US" w:eastAsia="zh-CN"/>
        </w:rPr>
        <w:t>6.投标单位应①</w:t>
      </w:r>
      <w:r>
        <w:rPr>
          <w:rFonts w:hint="eastAsia" w:ascii="仿宋" w:hAnsi="仿宋" w:eastAsia="仿宋" w:cs="仿宋"/>
          <w:bCs/>
          <w:color w:val="auto"/>
          <w:kern w:val="2"/>
          <w:szCs w:val="32"/>
          <w:lang w:eastAsia="zh-CN"/>
        </w:rPr>
        <w:t>投标截止时间</w:t>
      </w:r>
      <w:r>
        <w:rPr>
          <w:rFonts w:hint="eastAsia" w:ascii="仿宋" w:hAnsi="仿宋" w:eastAsia="仿宋" w:cs="仿宋"/>
          <w:bCs/>
          <w:color w:val="auto"/>
          <w:kern w:val="2"/>
          <w:szCs w:val="32"/>
          <w:lang w:val="en-US" w:eastAsia="zh-CN"/>
        </w:rPr>
        <w:t>前一小时在系统进行在线签到；②30分钟内完成在线解密；③开标结束后30分钟内完成“开标一览表”在线签章；④</w:t>
      </w:r>
      <w:r>
        <w:rPr>
          <w:rFonts w:hint="eastAsia" w:ascii="仿宋" w:hAnsi="仿宋" w:eastAsia="仿宋" w:cs="仿宋"/>
          <w:bCs/>
          <w:color w:val="auto"/>
          <w:kern w:val="2"/>
          <w:szCs w:val="32"/>
        </w:rPr>
        <w:t>开标结束后，请及时进入“网上报价”页面，等待最终报价通知。</w:t>
      </w:r>
      <w:r>
        <w:rPr>
          <w:rFonts w:hint="eastAsia" w:ascii="仿宋" w:hAnsi="仿宋" w:eastAsia="仿宋" w:cs="仿宋"/>
          <w:bCs/>
          <w:color w:val="auto"/>
          <w:kern w:val="2"/>
          <w:szCs w:val="32"/>
          <w:lang w:val="en-US" w:eastAsia="zh-CN"/>
        </w:rPr>
        <w:t>注意：如未在规定时间进行以上操作，将导致投标（响应）无效。</w:t>
      </w:r>
      <w:bookmarkEnd w:id="21"/>
    </w:p>
    <w:p>
      <w:pPr>
        <w:pStyle w:val="37"/>
        <w:spacing w:line="360" w:lineRule="auto"/>
        <w:outlineLvl w:val="1"/>
        <w:rPr>
          <w:rFonts w:hint="eastAsia" w:ascii="仿宋" w:hAnsi="仿宋" w:eastAsia="仿宋" w:cs="仿宋"/>
          <w:b/>
          <w:color w:val="auto"/>
          <w:kern w:val="2"/>
          <w:szCs w:val="32"/>
        </w:rPr>
      </w:pPr>
      <w:bookmarkStart w:id="22" w:name="_Toc21152"/>
      <w:r>
        <w:rPr>
          <w:rFonts w:hint="eastAsia" w:ascii="仿宋" w:hAnsi="仿宋" w:eastAsia="仿宋" w:cs="仿宋"/>
          <w:bCs/>
          <w:color w:val="auto"/>
          <w:kern w:val="2"/>
          <w:szCs w:val="32"/>
        </w:rPr>
        <w:t>七、对本次采购提出询问，请按以下方式联系</w:t>
      </w:r>
      <w:bookmarkEnd w:id="16"/>
      <w:bookmarkEnd w:id="22"/>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1.采购人信息</w:t>
      </w:r>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名 称：和布克赛尔蒙古自治县自然资源局</w:t>
      </w:r>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地 址：和布克赛尔镇敖包特东街49号</w:t>
      </w:r>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联系方式：0990-6710571</w:t>
      </w:r>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2.采购代理机构信息</w:t>
      </w:r>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名 称：</w:t>
      </w:r>
      <w:r>
        <w:rPr>
          <w:rFonts w:hint="eastAsia" w:ascii="仿宋" w:hAnsi="仿宋" w:eastAsia="仿宋" w:cs="仿宋"/>
          <w:lang w:eastAsia="zh-CN"/>
        </w:rPr>
        <w:t>新疆卫中森工程管理服务有限公司</w:t>
      </w:r>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地　址：新疆乌鲁木齐高新技术产业开发区（新市区）北京路街道高新街217号盈科广场B座1409</w:t>
      </w:r>
    </w:p>
    <w:p>
      <w:pPr>
        <w:pStyle w:val="24"/>
        <w:widowControl/>
        <w:adjustRightInd w:val="0"/>
        <w:snapToGrid w:val="0"/>
        <w:spacing w:before="60" w:after="60" w:line="360" w:lineRule="auto"/>
        <w:ind w:firstLine="420"/>
        <w:rPr>
          <w:rFonts w:hint="eastAsia" w:ascii="仿宋" w:hAnsi="仿宋" w:eastAsia="仿宋" w:cs="仿宋"/>
          <w:lang w:val="en-US"/>
        </w:rPr>
      </w:pPr>
      <w:r>
        <w:rPr>
          <w:rFonts w:hint="eastAsia" w:ascii="仿宋" w:hAnsi="仿宋" w:eastAsia="仿宋" w:cs="仿宋"/>
        </w:rPr>
        <w:t>联系方式：</w:t>
      </w:r>
      <w:bookmarkStart w:id="23" w:name="_Toc28359087"/>
      <w:bookmarkStart w:id="24" w:name="_Toc28359010"/>
      <w:r>
        <w:rPr>
          <w:rFonts w:hint="eastAsia" w:ascii="仿宋" w:hAnsi="仿宋" w:eastAsia="仿宋" w:cs="仿宋"/>
          <w:lang w:val="en-US" w:eastAsia="zh-CN"/>
        </w:rPr>
        <w:t>13649965070</w:t>
      </w:r>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3.项目联系方式</w:t>
      </w:r>
      <w:bookmarkEnd w:id="23"/>
      <w:bookmarkEnd w:id="24"/>
    </w:p>
    <w:p>
      <w:pPr>
        <w:pStyle w:val="24"/>
        <w:widowControl/>
        <w:adjustRightInd w:val="0"/>
        <w:snapToGrid w:val="0"/>
        <w:spacing w:before="60" w:after="60" w:line="360" w:lineRule="auto"/>
        <w:ind w:firstLine="420"/>
        <w:rPr>
          <w:rFonts w:hint="eastAsia" w:ascii="仿宋" w:hAnsi="仿宋" w:eastAsia="仿宋" w:cs="仿宋"/>
        </w:rPr>
      </w:pPr>
      <w:r>
        <w:rPr>
          <w:rFonts w:hint="eastAsia" w:ascii="仿宋" w:hAnsi="仿宋" w:eastAsia="仿宋" w:cs="仿宋"/>
        </w:rPr>
        <w:t>项目联系人：</w:t>
      </w:r>
      <w:r>
        <w:rPr>
          <w:rFonts w:hint="eastAsia" w:ascii="仿宋" w:hAnsi="仿宋" w:eastAsia="仿宋" w:cs="仿宋"/>
          <w:lang w:eastAsia="zh-CN"/>
        </w:rPr>
        <w:t>杨镕墁</w:t>
      </w:r>
    </w:p>
    <w:p>
      <w:pPr>
        <w:pStyle w:val="24"/>
        <w:widowControl/>
        <w:adjustRightInd w:val="0"/>
        <w:snapToGrid w:val="0"/>
        <w:spacing w:before="60" w:after="60" w:line="360" w:lineRule="auto"/>
        <w:ind w:firstLine="420"/>
        <w:rPr>
          <w:rFonts w:hint="eastAsia" w:ascii="仿宋" w:hAnsi="仿宋" w:eastAsia="仿宋" w:cs="仿宋"/>
          <w:lang w:val="en-US" w:eastAsia="zh-CN"/>
        </w:rPr>
      </w:pPr>
      <w:r>
        <w:rPr>
          <w:rFonts w:hint="eastAsia" w:ascii="仿宋" w:hAnsi="仿宋" w:eastAsia="仿宋" w:cs="仿宋"/>
        </w:rPr>
        <w:t>电　话：</w:t>
      </w:r>
      <w:r>
        <w:rPr>
          <w:rFonts w:hint="eastAsia" w:ascii="仿宋" w:hAnsi="仿宋" w:eastAsia="仿宋" w:cs="仿宋"/>
          <w:lang w:val="en-US" w:eastAsia="zh-CN"/>
        </w:rPr>
        <w:t>13649965070</w:t>
      </w:r>
    </w:p>
    <w:p>
      <w:pPr>
        <w:spacing w:line="360" w:lineRule="auto"/>
        <w:rPr>
          <w:rFonts w:hint="eastAsia" w:ascii="仿宋" w:hAnsi="仿宋" w:eastAsia="仿宋" w:cs="仿宋"/>
        </w:rPr>
      </w:pPr>
    </w:p>
    <w:p>
      <w:pPr>
        <w:widowControl/>
        <w:spacing w:line="360" w:lineRule="auto"/>
        <w:jc w:val="left"/>
        <w:rPr>
          <w:rFonts w:hint="eastAsia" w:ascii="仿宋" w:hAnsi="仿宋" w:eastAsia="仿宋" w:cs="仿宋"/>
          <w:b/>
          <w:sz w:val="36"/>
        </w:rPr>
      </w:pPr>
      <w:r>
        <w:rPr>
          <w:rFonts w:hint="eastAsia" w:ascii="仿宋" w:hAnsi="仿宋" w:eastAsia="仿宋" w:cs="仿宋"/>
          <w:b/>
          <w:sz w:val="36"/>
        </w:rPr>
        <w:br w:type="page"/>
      </w:r>
    </w:p>
    <w:p>
      <w:pPr>
        <w:pStyle w:val="3"/>
        <w:bidi w:val="0"/>
        <w:spacing w:line="360" w:lineRule="auto"/>
        <w:jc w:val="center"/>
        <w:rPr>
          <w:rFonts w:hint="eastAsia" w:ascii="仿宋" w:hAnsi="仿宋" w:eastAsia="仿宋" w:cs="仿宋"/>
        </w:rPr>
      </w:pPr>
      <w:bookmarkStart w:id="25" w:name="_Toc128152405"/>
      <w:bookmarkStart w:id="26" w:name="_Toc29889"/>
      <w:r>
        <w:rPr>
          <w:rFonts w:hint="eastAsia" w:ascii="仿宋" w:hAnsi="仿宋" w:eastAsia="仿宋" w:cs="仿宋"/>
        </w:rPr>
        <w:t>第二部分</w:t>
      </w:r>
      <w:r>
        <w:rPr>
          <w:rFonts w:hint="eastAsia" w:ascii="仿宋" w:hAnsi="仿宋" w:eastAsia="仿宋" w:cs="仿宋"/>
          <w:lang w:val="en-US" w:eastAsia="zh-CN"/>
        </w:rPr>
        <w:t xml:space="preserve"> </w:t>
      </w:r>
      <w:r>
        <w:rPr>
          <w:rFonts w:hint="eastAsia" w:ascii="仿宋" w:hAnsi="仿宋" w:eastAsia="仿宋" w:cs="仿宋"/>
        </w:rPr>
        <w:t xml:space="preserve"> 投标须知</w:t>
      </w:r>
      <w:bookmarkEnd w:id="25"/>
      <w:bookmarkEnd w:id="26"/>
    </w:p>
    <w:p>
      <w:pPr>
        <w:pStyle w:val="4"/>
        <w:bidi w:val="0"/>
        <w:spacing w:line="360" w:lineRule="auto"/>
        <w:rPr>
          <w:rFonts w:hint="eastAsia" w:ascii="仿宋" w:hAnsi="仿宋" w:eastAsia="仿宋" w:cs="仿宋"/>
        </w:rPr>
      </w:pPr>
      <w:bookmarkStart w:id="27" w:name="_Toc128152406"/>
      <w:bookmarkStart w:id="28" w:name="_Toc22044"/>
      <w:r>
        <w:rPr>
          <w:rFonts w:hint="eastAsia" w:ascii="仿宋" w:hAnsi="仿宋" w:eastAsia="仿宋" w:cs="仿宋"/>
        </w:rPr>
        <w:t>投标须知前附表</w:t>
      </w:r>
      <w:bookmarkEnd w:id="27"/>
      <w:bookmarkEnd w:id="28"/>
    </w:p>
    <w:tbl>
      <w:tblPr>
        <w:tblStyle w:val="26"/>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250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名称</w:t>
            </w:r>
          </w:p>
        </w:tc>
        <w:tc>
          <w:tcPr>
            <w:tcW w:w="6837"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250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项目编号</w:t>
            </w:r>
          </w:p>
        </w:tc>
        <w:tc>
          <w:tcPr>
            <w:tcW w:w="6837" w:type="dxa"/>
            <w:vAlign w:val="center"/>
          </w:tcPr>
          <w:p>
            <w:pPr>
              <w:pStyle w:val="35"/>
              <w:snapToGrid w:val="0"/>
              <w:spacing w:line="360" w:lineRule="auto"/>
              <w:jc w:val="both"/>
              <w:rPr>
                <w:rFonts w:hint="eastAsia" w:ascii="仿宋" w:hAnsi="仿宋" w:eastAsia="仿宋" w:cs="仿宋"/>
                <w:color w:val="auto"/>
                <w:lang w:eastAsia="zh-CN"/>
              </w:rPr>
            </w:pPr>
            <w:r>
              <w:rPr>
                <w:rFonts w:hint="eastAsia" w:ascii="仿宋" w:hAnsi="仿宋" w:eastAsia="仿宋" w:cs="仿宋"/>
                <w:color w:val="auto"/>
                <w:lang w:eastAsia="zh-CN"/>
              </w:rPr>
              <w:t>XJWZS(ZC)2023-005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250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6837" w:type="dxa"/>
          </w:tcPr>
          <w:p>
            <w:pPr>
              <w:spacing w:line="360" w:lineRule="auto"/>
              <w:rPr>
                <w:rFonts w:hint="eastAsia" w:ascii="仿宋" w:hAnsi="仿宋" w:eastAsia="仿宋" w:cs="仿宋"/>
                <w:kern w:val="0"/>
                <w:sz w:val="24"/>
                <w:lang w:eastAsia="zh-CN"/>
              </w:rPr>
            </w:pPr>
            <w:r>
              <w:rPr>
                <w:rFonts w:hint="eastAsia" w:ascii="仿宋" w:hAnsi="仿宋" w:eastAsia="仿宋" w:cs="仿宋"/>
                <w:kern w:val="0"/>
                <w:sz w:val="24"/>
                <w:lang w:eastAsia="zh-CN"/>
              </w:rPr>
              <w:t>和布克赛尔蒙古自治县乡镇国土空间规划、村庄规划编制项目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250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联系方式</w:t>
            </w:r>
          </w:p>
        </w:tc>
        <w:tc>
          <w:tcPr>
            <w:tcW w:w="6837" w:type="dxa"/>
            <w:vAlign w:val="center"/>
          </w:tcPr>
          <w:p>
            <w:pPr>
              <w:pStyle w:val="35"/>
              <w:snapToGrid w:val="0"/>
              <w:spacing w:line="360" w:lineRule="auto"/>
              <w:jc w:val="both"/>
              <w:rPr>
                <w:rFonts w:hint="eastAsia" w:ascii="仿宋" w:hAnsi="仿宋" w:eastAsia="仿宋" w:cs="仿宋"/>
                <w:color w:val="auto"/>
                <w:kern w:val="2"/>
              </w:rPr>
            </w:pPr>
            <w:r>
              <w:rPr>
                <w:rFonts w:hint="eastAsia" w:ascii="仿宋" w:hAnsi="仿宋" w:eastAsia="仿宋" w:cs="仿宋"/>
                <w:color w:val="auto"/>
                <w:kern w:val="2"/>
              </w:rPr>
              <w:t>1.采购人信息</w:t>
            </w:r>
          </w:p>
          <w:p>
            <w:pPr>
              <w:pStyle w:val="35"/>
              <w:snapToGrid w:val="0"/>
              <w:spacing w:line="360" w:lineRule="auto"/>
              <w:jc w:val="both"/>
              <w:rPr>
                <w:rFonts w:hint="eastAsia" w:ascii="仿宋" w:hAnsi="仿宋" w:eastAsia="仿宋" w:cs="仿宋"/>
                <w:color w:val="auto"/>
                <w:kern w:val="2"/>
              </w:rPr>
            </w:pPr>
            <w:r>
              <w:rPr>
                <w:rFonts w:hint="eastAsia" w:ascii="仿宋" w:hAnsi="仿宋" w:eastAsia="仿宋" w:cs="仿宋"/>
                <w:color w:val="auto"/>
                <w:kern w:val="2"/>
              </w:rPr>
              <w:t>名 称：和布克赛尔蒙古自治县自然资源局</w:t>
            </w:r>
          </w:p>
          <w:p>
            <w:pPr>
              <w:pStyle w:val="35"/>
              <w:snapToGrid w:val="0"/>
              <w:spacing w:line="360" w:lineRule="auto"/>
              <w:jc w:val="both"/>
              <w:rPr>
                <w:rFonts w:hint="eastAsia" w:ascii="仿宋" w:hAnsi="仿宋" w:eastAsia="仿宋" w:cs="仿宋"/>
                <w:color w:val="auto"/>
                <w:kern w:val="2"/>
              </w:rPr>
            </w:pPr>
            <w:r>
              <w:rPr>
                <w:rFonts w:hint="eastAsia" w:ascii="仿宋" w:hAnsi="仿宋" w:eastAsia="仿宋" w:cs="仿宋"/>
                <w:color w:val="auto"/>
                <w:kern w:val="2"/>
              </w:rPr>
              <w:t>地 址：和布克赛尔镇敖包特东街49号</w:t>
            </w:r>
          </w:p>
          <w:p>
            <w:pPr>
              <w:pStyle w:val="35"/>
              <w:snapToGrid w:val="0"/>
              <w:spacing w:line="360" w:lineRule="auto"/>
              <w:jc w:val="both"/>
              <w:rPr>
                <w:rFonts w:hint="eastAsia" w:ascii="仿宋" w:hAnsi="仿宋" w:eastAsia="仿宋" w:cs="仿宋"/>
                <w:color w:val="auto"/>
                <w:kern w:val="2"/>
              </w:rPr>
            </w:pPr>
            <w:r>
              <w:rPr>
                <w:rFonts w:hint="eastAsia" w:ascii="仿宋" w:hAnsi="仿宋" w:eastAsia="仿宋" w:cs="仿宋"/>
                <w:color w:val="auto"/>
                <w:kern w:val="2"/>
              </w:rPr>
              <w:t>联系方式：0990-6710571</w:t>
            </w:r>
          </w:p>
          <w:p>
            <w:pPr>
              <w:pStyle w:val="35"/>
              <w:snapToGrid w:val="0"/>
              <w:spacing w:line="360" w:lineRule="auto"/>
              <w:jc w:val="both"/>
              <w:rPr>
                <w:rFonts w:hint="eastAsia" w:ascii="仿宋" w:hAnsi="仿宋" w:eastAsia="仿宋" w:cs="仿宋"/>
                <w:color w:val="auto"/>
                <w:kern w:val="2"/>
              </w:rPr>
            </w:pPr>
            <w:r>
              <w:rPr>
                <w:rFonts w:hint="eastAsia" w:ascii="仿宋" w:hAnsi="仿宋" w:eastAsia="仿宋" w:cs="仿宋"/>
                <w:color w:val="auto"/>
                <w:kern w:val="2"/>
              </w:rPr>
              <w:t>2.采购代理机构信息</w:t>
            </w:r>
          </w:p>
          <w:p>
            <w:pPr>
              <w:pStyle w:val="35"/>
              <w:snapToGrid w:val="0"/>
              <w:spacing w:line="360" w:lineRule="auto"/>
              <w:jc w:val="both"/>
              <w:rPr>
                <w:rFonts w:hint="eastAsia" w:ascii="仿宋" w:hAnsi="仿宋" w:eastAsia="仿宋" w:cs="仿宋"/>
                <w:color w:val="auto"/>
                <w:kern w:val="2"/>
              </w:rPr>
            </w:pPr>
            <w:r>
              <w:rPr>
                <w:rFonts w:hint="eastAsia" w:ascii="仿宋" w:hAnsi="仿宋" w:eastAsia="仿宋" w:cs="仿宋"/>
                <w:color w:val="auto"/>
                <w:kern w:val="2"/>
              </w:rPr>
              <w:t>名 称：</w:t>
            </w:r>
            <w:r>
              <w:rPr>
                <w:rFonts w:hint="eastAsia" w:ascii="仿宋" w:hAnsi="仿宋" w:eastAsia="仿宋" w:cs="仿宋"/>
                <w:color w:val="auto"/>
                <w:kern w:val="2"/>
                <w:lang w:eastAsia="zh-CN"/>
              </w:rPr>
              <w:t>新疆卫中森工程管理服务有限公司</w:t>
            </w:r>
          </w:p>
          <w:p>
            <w:pPr>
              <w:pStyle w:val="35"/>
              <w:snapToGrid w:val="0"/>
              <w:spacing w:line="360" w:lineRule="auto"/>
              <w:jc w:val="both"/>
              <w:rPr>
                <w:rFonts w:hint="eastAsia" w:ascii="仿宋" w:hAnsi="仿宋" w:eastAsia="仿宋" w:cs="仿宋"/>
                <w:color w:val="auto"/>
                <w:kern w:val="2"/>
              </w:rPr>
            </w:pPr>
            <w:r>
              <w:rPr>
                <w:rFonts w:hint="eastAsia" w:ascii="仿宋" w:hAnsi="仿宋" w:eastAsia="仿宋" w:cs="仿宋"/>
                <w:color w:val="auto"/>
                <w:kern w:val="2"/>
              </w:rPr>
              <w:t>地　址：新疆乌鲁木齐高新技术产业开发区（新市区）北京路街道高新街217号盈科广场B座1409</w:t>
            </w:r>
          </w:p>
          <w:p>
            <w:pPr>
              <w:pStyle w:val="35"/>
              <w:snapToGrid w:val="0"/>
              <w:spacing w:line="360" w:lineRule="auto"/>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项目联系人：杨镕墁</w:t>
            </w:r>
          </w:p>
          <w:p>
            <w:pPr>
              <w:pStyle w:val="35"/>
              <w:snapToGrid w:val="0"/>
              <w:spacing w:line="360" w:lineRule="auto"/>
              <w:jc w:val="both"/>
              <w:rPr>
                <w:rFonts w:hint="eastAsia" w:ascii="仿宋" w:hAnsi="仿宋" w:eastAsia="仿宋" w:cs="仿宋"/>
                <w:color w:val="auto"/>
                <w:kern w:val="2"/>
              </w:rPr>
            </w:pPr>
            <w:r>
              <w:rPr>
                <w:rFonts w:hint="eastAsia" w:ascii="仿宋" w:hAnsi="仿宋" w:eastAsia="仿宋" w:cs="仿宋"/>
                <w:color w:val="auto"/>
                <w:kern w:val="2"/>
              </w:rPr>
              <w:t>联系方式：</w:t>
            </w:r>
            <w:r>
              <w:rPr>
                <w:rFonts w:hint="eastAsia" w:ascii="仿宋" w:hAnsi="仿宋" w:eastAsia="仿宋" w:cs="仿宋"/>
                <w:color w:val="auto"/>
                <w:kern w:val="2"/>
                <w:lang w:val="en-US" w:eastAsia="zh-CN"/>
              </w:rPr>
              <w:t>13649965070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4</w:t>
            </w:r>
          </w:p>
        </w:tc>
        <w:tc>
          <w:tcPr>
            <w:tcW w:w="250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资金落实情况</w:t>
            </w:r>
          </w:p>
        </w:tc>
        <w:tc>
          <w:tcPr>
            <w:tcW w:w="6837" w:type="dxa"/>
            <w:vAlign w:val="center"/>
          </w:tcPr>
          <w:p>
            <w:pPr>
              <w:spacing w:line="360" w:lineRule="auto"/>
              <w:rPr>
                <w:rFonts w:hint="eastAsia" w:ascii="仿宋" w:hAnsi="仿宋" w:eastAsia="仿宋" w:cs="仿宋"/>
                <w:sz w:val="24"/>
              </w:rPr>
            </w:pPr>
            <w:r>
              <w:rPr>
                <w:rFonts w:hint="eastAsia" w:ascii="仿宋" w:hAnsi="仿宋" w:eastAsia="仿宋" w:cs="仿宋"/>
                <w:sz w:val="24"/>
              </w:rPr>
              <w:t>已落实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2509" w:type="dxa"/>
            <w:vAlign w:val="center"/>
          </w:tcPr>
          <w:p>
            <w:pPr>
              <w:overflowPunct w:val="0"/>
              <w:spacing w:line="360" w:lineRule="auto"/>
              <w:rPr>
                <w:rFonts w:hint="eastAsia" w:ascii="仿宋" w:hAnsi="仿宋" w:eastAsia="仿宋" w:cs="仿宋"/>
                <w:sz w:val="24"/>
              </w:rPr>
            </w:pPr>
            <w:r>
              <w:rPr>
                <w:rFonts w:hint="eastAsia" w:ascii="仿宋" w:hAnsi="仿宋" w:eastAsia="仿宋" w:cs="仿宋"/>
                <w:sz w:val="24"/>
              </w:rPr>
              <w:t>最高限价（采购预算）</w:t>
            </w:r>
          </w:p>
        </w:tc>
        <w:tc>
          <w:tcPr>
            <w:tcW w:w="6837" w:type="dxa"/>
            <w:vAlign w:val="center"/>
          </w:tcPr>
          <w:p>
            <w:pPr>
              <w:spacing w:line="360" w:lineRule="auto"/>
              <w:rPr>
                <w:rFonts w:hint="eastAsia" w:ascii="仿宋" w:hAnsi="仿宋" w:eastAsia="仿宋" w:cs="仿宋"/>
                <w:sz w:val="24"/>
                <w:highlight w:val="red"/>
                <w:lang w:eastAsia="zh-CN"/>
              </w:rPr>
            </w:pPr>
            <w:r>
              <w:rPr>
                <w:rFonts w:hint="eastAsia" w:ascii="仿宋" w:hAnsi="仿宋" w:eastAsia="仿宋" w:cs="仿宋"/>
                <w:sz w:val="24"/>
              </w:rPr>
              <w:t>预算金额（元）：</w:t>
            </w:r>
            <w:r>
              <w:rPr>
                <w:rFonts w:hint="eastAsia" w:ascii="仿宋" w:hAnsi="仿宋" w:eastAsia="仿宋" w:cs="仿宋"/>
                <w:sz w:val="24"/>
                <w:lang w:eastAsia="zh-CN"/>
              </w:rPr>
              <w:t>4100000.00</w:t>
            </w:r>
          </w:p>
          <w:p>
            <w:pPr>
              <w:spacing w:line="360" w:lineRule="auto"/>
              <w:rPr>
                <w:rFonts w:hint="eastAsia" w:ascii="仿宋" w:hAnsi="仿宋" w:eastAsia="仿宋" w:cs="仿宋"/>
                <w:sz w:val="24"/>
                <w:lang w:eastAsia="zh-CN"/>
              </w:rPr>
            </w:pPr>
            <w:r>
              <w:rPr>
                <w:rFonts w:hint="eastAsia" w:ascii="仿宋" w:hAnsi="仿宋" w:eastAsia="仿宋" w:cs="仿宋"/>
                <w:sz w:val="24"/>
              </w:rPr>
              <w:t>最高限价（元）：</w:t>
            </w:r>
            <w:r>
              <w:rPr>
                <w:rFonts w:hint="eastAsia" w:ascii="仿宋" w:hAnsi="仿宋" w:eastAsia="仿宋" w:cs="仿宋"/>
                <w:sz w:val="24"/>
                <w:lang w:eastAsia="zh-CN"/>
              </w:rPr>
              <w:t>4100000.00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6</w:t>
            </w:r>
          </w:p>
        </w:tc>
        <w:tc>
          <w:tcPr>
            <w:tcW w:w="2509" w:type="dxa"/>
            <w:vAlign w:val="center"/>
          </w:tcPr>
          <w:p>
            <w:pPr>
              <w:overflowPunct w:val="0"/>
              <w:spacing w:line="360" w:lineRule="auto"/>
              <w:jc w:val="center"/>
              <w:rPr>
                <w:rFonts w:hint="eastAsia" w:ascii="仿宋" w:hAnsi="仿宋" w:eastAsia="仿宋" w:cs="仿宋"/>
                <w:bCs/>
                <w:sz w:val="24"/>
              </w:rPr>
            </w:pPr>
            <w:r>
              <w:rPr>
                <w:rFonts w:hint="eastAsia" w:ascii="仿宋" w:hAnsi="仿宋" w:eastAsia="仿宋" w:cs="仿宋"/>
                <w:bCs/>
                <w:sz w:val="24"/>
              </w:rPr>
              <w:t>服务期限</w:t>
            </w:r>
          </w:p>
        </w:tc>
        <w:tc>
          <w:tcPr>
            <w:tcW w:w="6837" w:type="dxa"/>
            <w:vAlign w:val="center"/>
          </w:tcPr>
          <w:p>
            <w:pPr>
              <w:overflowPunct w:val="0"/>
              <w:spacing w:line="360" w:lineRule="auto"/>
              <w:rPr>
                <w:rFonts w:hint="eastAsia" w:ascii="仿宋" w:hAnsi="仿宋" w:eastAsia="仿宋" w:cs="仿宋"/>
                <w:bCs/>
                <w:sz w:val="24"/>
              </w:rPr>
            </w:pPr>
            <w:r>
              <w:rPr>
                <w:rFonts w:hint="eastAsia" w:ascii="仿宋" w:hAnsi="仿宋" w:eastAsia="仿宋" w:cs="仿宋"/>
                <w:bCs/>
                <w:sz w:val="24"/>
                <w:lang w:val="en-US" w:eastAsia="zh-CN"/>
              </w:rPr>
              <w:t>合同签订后，3个月内提交初步成果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7</w:t>
            </w:r>
          </w:p>
        </w:tc>
        <w:tc>
          <w:tcPr>
            <w:tcW w:w="2509" w:type="dxa"/>
            <w:tcBorders>
              <w:bottom w:val="single" w:color="auto" w:sz="4" w:space="0"/>
              <w:right w:val="single" w:color="auto" w:sz="4" w:space="0"/>
            </w:tcBorders>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采购方式</w:t>
            </w:r>
          </w:p>
        </w:tc>
        <w:tc>
          <w:tcPr>
            <w:tcW w:w="6837" w:type="dxa"/>
            <w:tcBorders>
              <w:left w:val="single" w:color="auto" w:sz="4" w:space="0"/>
              <w:bottom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公开招标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8</w:t>
            </w:r>
          </w:p>
        </w:tc>
        <w:tc>
          <w:tcPr>
            <w:tcW w:w="2509" w:type="dxa"/>
            <w:tcBorders>
              <w:bottom w:val="single" w:color="auto" w:sz="4" w:space="0"/>
              <w:right w:val="single" w:color="auto" w:sz="4" w:space="0"/>
            </w:tcBorders>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评标方法</w:t>
            </w:r>
          </w:p>
        </w:tc>
        <w:tc>
          <w:tcPr>
            <w:tcW w:w="6837" w:type="dxa"/>
            <w:tcBorders>
              <w:left w:val="single" w:color="auto" w:sz="4" w:space="0"/>
              <w:bottom w:val="single" w:color="auto" w:sz="4" w:space="0"/>
            </w:tcBorders>
            <w:vAlign w:val="center"/>
          </w:tcPr>
          <w:p>
            <w:pPr>
              <w:overflowPunct w:val="0"/>
              <w:spacing w:line="360" w:lineRule="auto"/>
              <w:rPr>
                <w:rFonts w:hint="eastAsia" w:ascii="仿宋" w:hAnsi="仿宋" w:eastAsia="仿宋" w:cs="仿宋"/>
                <w:sz w:val="24"/>
              </w:rPr>
            </w:pPr>
            <w:r>
              <w:rPr>
                <w:rFonts w:hint="eastAsia" w:ascii="仿宋" w:hAnsi="仿宋" w:eastAsia="仿宋" w:cs="仿宋"/>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79" w:type="dxa"/>
            <w:tcBorders>
              <w:top w:val="single" w:color="auto" w:sz="4" w:space="0"/>
            </w:tcBorders>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9</w:t>
            </w:r>
          </w:p>
        </w:tc>
        <w:tc>
          <w:tcPr>
            <w:tcW w:w="2509" w:type="dxa"/>
            <w:tcBorders>
              <w:top w:val="single" w:color="auto" w:sz="4" w:space="0"/>
            </w:tcBorders>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投标资格</w:t>
            </w:r>
          </w:p>
        </w:tc>
        <w:tc>
          <w:tcPr>
            <w:tcW w:w="6837" w:type="dxa"/>
            <w:tcBorders>
              <w:top w:val="single" w:color="auto" w:sz="4" w:space="0"/>
            </w:tcBorders>
            <w:vAlign w:val="center"/>
          </w:tcPr>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1.满足《中华人民共和国政府采购法》第二十二条规定；</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（1）具有独立承担民事责任的能力的投标人；</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（2）具有良好的商业信誉和健全的财务会计制度；</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（3）具有履行合同所必需的设备和专业技术能力；</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（4）有依法缴纳税收和社会保障资金的良好记录；</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（5）参加本次采购活动前三年内，在经营活动中没有重大违法记录；</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（6）法律、行政法规规定的其他条件。</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2.落实政府采购政策需满足的资格要求： 投标人为中小企业；</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3.本项目的特定资格要求：</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（1）具有有效合法的营业执照；</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（2）投标人须具有城乡规划编制乙级（含）以上资质</w:t>
            </w:r>
            <w:r>
              <w:rPr>
                <w:rFonts w:hint="eastAsia" w:ascii="仿宋" w:hAnsi="仿宋" w:eastAsia="仿宋" w:cs="仿宋"/>
                <w:lang w:val="en-US" w:eastAsia="zh-CN"/>
              </w:rPr>
              <w:t>及测绘资质乙级</w:t>
            </w:r>
            <w:r>
              <w:rPr>
                <w:rFonts w:hint="eastAsia" w:ascii="仿宋" w:hAnsi="仿宋" w:eastAsia="仿宋" w:cs="仿宋"/>
              </w:rPr>
              <w:t>（含）以上资质</w:t>
            </w:r>
            <w:r>
              <w:rPr>
                <w:rFonts w:hint="eastAsia" w:ascii="仿宋" w:hAnsi="仿宋" w:eastAsia="仿宋" w:cs="仿宋"/>
                <w:lang w:val="en-US"/>
              </w:rPr>
              <w:t>或</w:t>
            </w:r>
            <w:r>
              <w:rPr>
                <w:rFonts w:hint="eastAsia" w:ascii="仿宋" w:hAnsi="仿宋" w:eastAsia="仿宋" w:cs="仿宋"/>
              </w:rPr>
              <w:t>土地规划</w:t>
            </w:r>
            <w:r>
              <w:rPr>
                <w:rFonts w:hint="eastAsia" w:ascii="仿宋" w:hAnsi="仿宋" w:eastAsia="仿宋" w:cs="仿宋"/>
                <w:lang w:val="en-US"/>
              </w:rPr>
              <w:t>乙</w:t>
            </w:r>
            <w:r>
              <w:rPr>
                <w:rFonts w:hint="eastAsia" w:ascii="仿宋" w:hAnsi="仿宋" w:eastAsia="仿宋" w:cs="仿宋"/>
              </w:rPr>
              <w:t>级（含）以上资质</w:t>
            </w:r>
            <w:r>
              <w:rPr>
                <w:rFonts w:hint="eastAsia" w:ascii="仿宋" w:hAnsi="仿宋" w:eastAsia="仿宋" w:cs="仿宋"/>
                <w:lang w:val="en-US" w:eastAsia="zh-CN"/>
              </w:rPr>
              <w:t>及测绘资质乙级</w:t>
            </w:r>
            <w:r>
              <w:rPr>
                <w:rFonts w:hint="eastAsia" w:ascii="仿宋" w:hAnsi="仿宋" w:eastAsia="仿宋" w:cs="仿宋"/>
              </w:rPr>
              <w:t>（含）以上资质；</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3）投标人未在“信用中国”网站（www.creditchina.gov.cn）、“中国政府采购网”（www.ccgp.gov.cn）等渠道列入失信被执行人、重大税收违法失信主体、政府采购严重违法失信行为记录名单。被列入失信被执行人、重大税收违法失信主体、政府采购严重违法失信行为记录名单的单位及其他不符合《中华人民共和国政府采购法》第二十二条规定条件的投标单位，将被拒绝参与本次政府采购活动；</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（4）其他说明:</w:t>
            </w:r>
            <w:r>
              <w:rPr>
                <w:rFonts w:hint="default" w:ascii="Calibri" w:hAnsi="Calibri" w:eastAsia="仿宋" w:cs="Calibri"/>
                <w:sz w:val="21"/>
                <w:szCs w:val="21"/>
              </w:rPr>
              <w:t>①</w:t>
            </w:r>
            <w:r>
              <w:rPr>
                <w:rFonts w:hint="eastAsia" w:ascii="仿宋" w:hAnsi="仿宋" w:eastAsia="仿宋" w:cs="仿宋"/>
              </w:rPr>
              <w:t xml:space="preserve">与招标人存在利害关系可能影响招标公正性的法定代表人、其他组织或者个人，不得参加投标: </w:t>
            </w:r>
            <w:r>
              <w:rPr>
                <w:rFonts w:hint="default" w:ascii="Calibri" w:hAnsi="Calibri" w:eastAsia="仿宋" w:cs="Calibri"/>
                <w:sz w:val="21"/>
                <w:szCs w:val="21"/>
              </w:rPr>
              <w:t>②</w:t>
            </w:r>
            <w:r>
              <w:rPr>
                <w:rFonts w:hint="eastAsia" w:ascii="仿宋" w:hAnsi="仿宋" w:eastAsia="仿宋" w:cs="仿宋"/>
              </w:rPr>
              <w:t>单位负责人为同一人或者存在控股、管理关系的不同单位，不得参加同一合同项下的同一招标项目投标。违反上述两款规定的，相关投标均无效；</w:t>
            </w:r>
          </w:p>
          <w:p>
            <w:pPr>
              <w:pStyle w:val="24"/>
              <w:widowControl/>
              <w:adjustRightInd w:val="0"/>
              <w:snapToGrid w:val="0"/>
              <w:spacing w:before="60" w:after="60" w:line="360" w:lineRule="auto"/>
              <w:rPr>
                <w:rFonts w:hint="eastAsia" w:ascii="仿宋" w:hAnsi="仿宋" w:eastAsia="仿宋" w:cs="仿宋"/>
              </w:rPr>
            </w:pPr>
            <w:r>
              <w:rPr>
                <w:rFonts w:hint="eastAsia" w:ascii="仿宋" w:hAnsi="仿宋" w:eastAsia="仿宋" w:cs="仿宋"/>
              </w:rPr>
              <w:t>（5）本项目不接受联合体投标；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2509" w:type="dxa"/>
            <w:tcBorders>
              <w:bottom w:val="single" w:color="auto" w:sz="4" w:space="0"/>
            </w:tcBorders>
            <w:vAlign w:val="center"/>
          </w:tcPr>
          <w:p>
            <w:pPr>
              <w:pStyle w:val="36"/>
              <w:spacing w:line="360" w:lineRule="auto"/>
              <w:ind w:left="38"/>
              <w:jc w:val="center"/>
              <w:rPr>
                <w:rFonts w:hint="eastAsia" w:ascii="仿宋" w:hAnsi="仿宋" w:eastAsia="仿宋" w:cs="仿宋"/>
                <w:kern w:val="2"/>
              </w:rPr>
            </w:pPr>
            <w:r>
              <w:rPr>
                <w:rFonts w:hint="eastAsia" w:ascii="仿宋" w:hAnsi="仿宋" w:eastAsia="仿宋" w:cs="仿宋"/>
                <w:kern w:val="2"/>
              </w:rPr>
              <w:t>信用情况</w:t>
            </w:r>
          </w:p>
        </w:tc>
        <w:tc>
          <w:tcPr>
            <w:tcW w:w="6837" w:type="dxa"/>
            <w:tcBorders>
              <w:bottom w:val="single" w:color="auto" w:sz="4" w:space="0"/>
            </w:tcBorders>
            <w:vAlign w:val="center"/>
          </w:tcPr>
          <w:p>
            <w:pPr>
              <w:widowControl/>
              <w:spacing w:line="360" w:lineRule="auto"/>
              <w:jc w:val="left"/>
              <w:rPr>
                <w:rFonts w:hint="eastAsia" w:ascii="仿宋" w:hAnsi="仿宋" w:eastAsia="仿宋" w:cs="仿宋"/>
                <w:b/>
                <w:sz w:val="24"/>
              </w:rPr>
            </w:pPr>
            <w:r>
              <w:rPr>
                <w:rFonts w:hint="eastAsia" w:ascii="仿宋" w:hAnsi="仿宋" w:eastAsia="仿宋" w:cs="仿宋"/>
                <w:sz w:val="24"/>
              </w:rPr>
              <w:t>根据《财政部关于在政府采购活动中查询及使用信用记录有关问题的通知》（财库〔2016〕125 号）规定，投标截止时间后，采购人或采购代理机构将通过“信用中国”网站(www.creditchina.gov.cn)、“中国执行信息公开网”（http://zxgk.court.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r>
              <w:rPr>
                <w:rFonts w:hint="eastAsia" w:ascii="仿宋" w:hAnsi="仿宋" w:eastAsia="仿宋" w:cs="仿宋"/>
                <w:b/>
                <w:bCs/>
                <w:sz w:val="24"/>
              </w:rPr>
              <w:t>本项目不接受失信企业投标</w:t>
            </w:r>
            <w:r>
              <w:rPr>
                <w:rFonts w:hint="eastAsia" w:ascii="仿宋" w:hAnsi="仿宋" w:eastAsia="仿宋" w:cs="仿宋"/>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2509" w:type="dxa"/>
            <w:tcBorders>
              <w:top w:val="single" w:color="auto" w:sz="4" w:space="0"/>
            </w:tcBorders>
            <w:vAlign w:val="center"/>
          </w:tcPr>
          <w:p>
            <w:pPr>
              <w:overflowPunct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6837" w:type="dxa"/>
            <w:tcBorders>
              <w:top w:val="single" w:color="auto" w:sz="4" w:space="0"/>
            </w:tcBorders>
            <w:vAlign w:val="center"/>
          </w:tcPr>
          <w:p>
            <w:pPr>
              <w:overflowPunct w:val="0"/>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0 日历天（从投标截止之日算起）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250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投标保证金</w:t>
            </w:r>
          </w:p>
        </w:tc>
        <w:tc>
          <w:tcPr>
            <w:tcW w:w="6837" w:type="dxa"/>
            <w:vAlign w:val="center"/>
          </w:tcPr>
          <w:p>
            <w:pPr>
              <w:overflowPunct w:val="0"/>
              <w:spacing w:line="360" w:lineRule="auto"/>
              <w:rPr>
                <w:rFonts w:hint="eastAsia" w:ascii="仿宋" w:hAnsi="仿宋" w:eastAsia="仿宋" w:cs="仿宋"/>
                <w:sz w:val="24"/>
              </w:rPr>
            </w:pPr>
            <w:r>
              <w:rPr>
                <w:rFonts w:hint="eastAsia" w:ascii="仿宋" w:hAnsi="仿宋" w:eastAsia="仿宋" w:cs="仿宋"/>
                <w:sz w:val="24"/>
              </w:rPr>
              <w:t>投标保证金金额：</w:t>
            </w:r>
            <w:r>
              <w:rPr>
                <w:rFonts w:hint="eastAsia" w:ascii="仿宋" w:hAnsi="仿宋" w:eastAsia="仿宋" w:cs="仿宋"/>
                <w:sz w:val="24"/>
                <w:lang w:eastAsia="zh-CN"/>
              </w:rPr>
              <w:t>肆</w:t>
            </w:r>
            <w:r>
              <w:rPr>
                <w:rFonts w:hint="eastAsia" w:ascii="仿宋" w:hAnsi="仿宋" w:eastAsia="仿宋" w:cs="仿宋"/>
                <w:sz w:val="24"/>
                <w:lang w:val="en-US" w:eastAsia="zh-CN"/>
              </w:rPr>
              <w:t>万</w:t>
            </w:r>
            <w:r>
              <w:rPr>
                <w:rFonts w:hint="eastAsia" w:ascii="仿宋" w:hAnsi="仿宋" w:eastAsia="仿宋" w:cs="仿宋"/>
                <w:sz w:val="24"/>
              </w:rPr>
              <w:t>元整（￥</w:t>
            </w:r>
            <w:r>
              <w:rPr>
                <w:rFonts w:hint="eastAsia" w:ascii="仿宋" w:hAnsi="仿宋" w:eastAsia="仿宋" w:cs="仿宋"/>
                <w:sz w:val="24"/>
                <w:lang w:val="en-US" w:eastAsia="zh-CN"/>
              </w:rPr>
              <w:t>40</w:t>
            </w:r>
            <w:r>
              <w:rPr>
                <w:rFonts w:hint="eastAsia" w:ascii="仿宋" w:hAnsi="仿宋" w:eastAsia="仿宋" w:cs="仿宋"/>
                <w:sz w:val="24"/>
              </w:rPr>
              <w:t>000.00元）；</w:t>
            </w:r>
          </w:p>
          <w:p>
            <w:pPr>
              <w:overflowPunct w:val="0"/>
              <w:spacing w:line="360" w:lineRule="auto"/>
              <w:rPr>
                <w:rFonts w:hint="eastAsia" w:ascii="仿宋" w:hAnsi="仿宋" w:eastAsia="仿宋" w:cs="仿宋"/>
                <w:sz w:val="24"/>
              </w:rPr>
            </w:pPr>
            <w:r>
              <w:rPr>
                <w:rFonts w:hint="eastAsia" w:ascii="仿宋" w:hAnsi="仿宋" w:eastAsia="仿宋" w:cs="仿宋"/>
                <w:sz w:val="24"/>
              </w:rPr>
              <w:t>投标保证金银行及帐号：</w:t>
            </w:r>
          </w:p>
          <w:p>
            <w:pPr>
              <w:overflowPunct w:val="0"/>
              <w:spacing w:line="360" w:lineRule="auto"/>
              <w:rPr>
                <w:rFonts w:hint="eastAsia" w:ascii="仿宋" w:hAnsi="仿宋" w:eastAsia="仿宋" w:cs="仿宋"/>
                <w:sz w:val="24"/>
              </w:rPr>
            </w:pPr>
            <w:r>
              <w:rPr>
                <w:rFonts w:hint="eastAsia" w:ascii="仿宋" w:hAnsi="仿宋" w:eastAsia="仿宋" w:cs="仿宋"/>
                <w:sz w:val="24"/>
              </w:rPr>
              <w:t>账户名：</w:t>
            </w:r>
            <w:r>
              <w:rPr>
                <w:rFonts w:hint="eastAsia" w:ascii="仿宋" w:hAnsi="仿宋" w:eastAsia="仿宋" w:cs="仿宋"/>
                <w:sz w:val="24"/>
                <w:lang w:eastAsia="zh-CN"/>
              </w:rPr>
              <w:t>新疆卫中森工程管理服务有限公司</w:t>
            </w:r>
            <w:r>
              <w:rPr>
                <w:rFonts w:hint="eastAsia" w:ascii="仿宋" w:hAnsi="仿宋" w:eastAsia="仿宋" w:cs="仿宋"/>
                <w:sz w:val="24"/>
              </w:rPr>
              <w:t xml:space="preserve"> </w:t>
            </w:r>
          </w:p>
          <w:p>
            <w:pPr>
              <w:overflowPunct w:val="0"/>
              <w:spacing w:line="360" w:lineRule="auto"/>
              <w:rPr>
                <w:rFonts w:hint="eastAsia" w:ascii="仿宋" w:hAnsi="仿宋" w:eastAsia="仿宋" w:cs="仿宋"/>
                <w:sz w:val="24"/>
                <w:lang w:val="en-US" w:eastAsia="zh-CN"/>
              </w:rPr>
            </w:pPr>
            <w:r>
              <w:rPr>
                <w:rFonts w:hint="eastAsia" w:ascii="仿宋" w:hAnsi="仿宋" w:eastAsia="仿宋" w:cs="仿宋"/>
                <w:sz w:val="24"/>
              </w:rPr>
              <w:t>开户行</w:t>
            </w:r>
            <w:r>
              <w:rPr>
                <w:rFonts w:hint="eastAsia" w:ascii="仿宋" w:hAnsi="仿宋" w:eastAsia="仿宋" w:cs="仿宋"/>
                <w:sz w:val="24"/>
                <w:lang w:eastAsia="zh-CN"/>
              </w:rPr>
              <w:t>：</w:t>
            </w:r>
            <w:r>
              <w:rPr>
                <w:rFonts w:hint="eastAsia" w:ascii="仿宋" w:hAnsi="仿宋" w:eastAsia="仿宋" w:cs="仿宋"/>
                <w:sz w:val="24"/>
                <w:lang w:val="en-US" w:eastAsia="zh-CN"/>
              </w:rPr>
              <w:t>中信银行乌鲁木齐北京路支行</w:t>
            </w:r>
          </w:p>
          <w:p>
            <w:pPr>
              <w:overflowPunct w:val="0"/>
              <w:spacing w:line="360" w:lineRule="auto"/>
              <w:rPr>
                <w:rFonts w:hint="eastAsia" w:ascii="仿宋" w:hAnsi="仿宋" w:eastAsia="仿宋" w:cs="仿宋"/>
                <w:sz w:val="24"/>
                <w:lang w:val="en-US" w:eastAsia="zh-CN"/>
              </w:rPr>
            </w:pPr>
            <w:r>
              <w:rPr>
                <w:rFonts w:hint="eastAsia" w:ascii="仿宋" w:hAnsi="仿宋" w:eastAsia="仿宋" w:cs="仿宋"/>
                <w:sz w:val="24"/>
              </w:rPr>
              <w:t>帐 号：</w:t>
            </w:r>
            <w:r>
              <w:rPr>
                <w:rFonts w:hint="eastAsia" w:ascii="仿宋" w:hAnsi="仿宋" w:eastAsia="仿宋" w:cs="仿宋"/>
                <w:sz w:val="24"/>
                <w:lang w:val="en-US" w:eastAsia="zh-CN"/>
              </w:rPr>
              <w:t>8113701013800154940</w:t>
            </w:r>
          </w:p>
          <w:p>
            <w:pPr>
              <w:overflowPunct w:val="0"/>
              <w:spacing w:line="360" w:lineRule="auto"/>
              <w:rPr>
                <w:rFonts w:hint="eastAsia" w:ascii="仿宋" w:hAnsi="仿宋" w:eastAsia="仿宋" w:cs="仿宋"/>
              </w:rPr>
            </w:pPr>
            <w:r>
              <w:rPr>
                <w:rFonts w:hint="eastAsia" w:ascii="仿宋" w:hAnsi="仿宋" w:eastAsia="仿宋" w:cs="仿宋"/>
                <w:sz w:val="24"/>
                <w:lang w:eastAsia="zh-CN"/>
              </w:rPr>
              <w:t>注：须以转账或电汇等其他非现金形式递交保证金，投标</w:t>
            </w:r>
            <w:r>
              <w:rPr>
                <w:rFonts w:hint="eastAsia" w:ascii="仿宋" w:hAnsi="仿宋" w:eastAsia="仿宋" w:cs="仿宋"/>
                <w:sz w:val="24"/>
              </w:rPr>
              <w:t>保证金交款单据上须</w:t>
            </w:r>
            <w:r>
              <w:rPr>
                <w:rFonts w:hint="eastAsia" w:ascii="仿宋" w:hAnsi="仿宋" w:eastAsia="仿宋" w:cs="仿宋"/>
                <w:sz w:val="24"/>
                <w:lang w:eastAsia="zh-CN"/>
              </w:rPr>
              <w:t>备注</w:t>
            </w:r>
            <w:r>
              <w:rPr>
                <w:rFonts w:hint="eastAsia" w:ascii="仿宋" w:hAnsi="仿宋" w:eastAsia="仿宋" w:cs="仿宋"/>
                <w:sz w:val="24"/>
              </w:rPr>
              <w:t>“</w:t>
            </w:r>
            <w:r>
              <w:rPr>
                <w:rFonts w:hint="eastAsia" w:ascii="仿宋" w:hAnsi="仿宋" w:eastAsia="仿宋" w:cs="仿宋"/>
                <w:sz w:val="24"/>
                <w:lang w:eastAsia="zh-CN"/>
              </w:rPr>
              <w:t>XJWZS(ZC)2023-005</w:t>
            </w:r>
            <w:r>
              <w:rPr>
                <w:rFonts w:hint="eastAsia" w:ascii="仿宋" w:hAnsi="仿宋" w:eastAsia="仿宋" w:cs="仿宋"/>
                <w:sz w:val="24"/>
              </w:rPr>
              <w:t>”字样。保证金于</w:t>
            </w:r>
            <w:r>
              <w:rPr>
                <w:rFonts w:hint="eastAsia" w:ascii="仿宋" w:hAnsi="仿宋" w:eastAsia="仿宋" w:cs="仿宋"/>
                <w:sz w:val="24"/>
                <w:lang w:eastAsia="zh-CN"/>
              </w:rPr>
              <w:t>投标</w:t>
            </w:r>
            <w:r>
              <w:rPr>
                <w:rFonts w:hint="eastAsia" w:ascii="仿宋" w:hAnsi="仿宋" w:eastAsia="仿宋" w:cs="仿宋"/>
                <w:sz w:val="24"/>
              </w:rPr>
              <w:t>截止日之前确认到账，若投标人</w:t>
            </w:r>
            <w:r>
              <w:rPr>
                <w:rFonts w:hint="eastAsia" w:ascii="仿宋" w:hAnsi="仿宋" w:eastAsia="仿宋" w:cs="仿宋"/>
                <w:sz w:val="24"/>
                <w:lang w:val="zh-CN"/>
              </w:rPr>
              <w:t>未按照上述规定缴纳保证金,投标文件将被拒绝评审。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13</w:t>
            </w:r>
          </w:p>
        </w:tc>
        <w:tc>
          <w:tcPr>
            <w:tcW w:w="2509" w:type="dxa"/>
            <w:vAlign w:val="center"/>
          </w:tcPr>
          <w:p>
            <w:pPr>
              <w:pStyle w:val="15"/>
              <w:spacing w:line="360" w:lineRule="auto"/>
              <w:rPr>
                <w:rFonts w:hint="eastAsia" w:ascii="仿宋" w:hAnsi="仿宋" w:eastAsia="仿宋" w:cs="仿宋"/>
                <w:sz w:val="24"/>
              </w:rPr>
            </w:pPr>
            <w:r>
              <w:rPr>
                <w:rFonts w:hint="eastAsia" w:ascii="仿宋" w:hAnsi="仿宋" w:eastAsia="仿宋" w:cs="仿宋"/>
                <w:sz w:val="24"/>
              </w:rPr>
              <w:t>投标保证金的退还</w:t>
            </w:r>
          </w:p>
        </w:tc>
        <w:tc>
          <w:tcPr>
            <w:tcW w:w="6837" w:type="dxa"/>
            <w:vAlign w:val="center"/>
          </w:tcPr>
          <w:p>
            <w:pPr>
              <w:pStyle w:val="15"/>
              <w:spacing w:line="360" w:lineRule="auto"/>
              <w:rPr>
                <w:rFonts w:hint="eastAsia" w:ascii="仿宋" w:hAnsi="仿宋" w:eastAsia="仿宋" w:cs="仿宋"/>
                <w:sz w:val="24"/>
              </w:rPr>
            </w:pPr>
            <w:r>
              <w:rPr>
                <w:rFonts w:hint="eastAsia" w:ascii="仿宋" w:hAnsi="仿宋" w:eastAsia="仿宋" w:cs="仿宋"/>
                <w:sz w:val="24"/>
              </w:rPr>
              <w:t>（1）投标人在投标截止时间前撤回已提交的投标文件的，采购人或者采购代理机构应当自收到投标人书面撤回通知之日起5个工作日内，退还已收取的投标保证金，但因投标人自身原因导致无法及时退还的除外。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360" w:lineRule="auto"/>
              <w:rPr>
                <w:rFonts w:hint="eastAsia" w:ascii="仿宋" w:hAnsi="仿宋" w:eastAsia="仿宋" w:cs="仿宋"/>
                <w:sz w:val="24"/>
              </w:rPr>
            </w:pPr>
            <w:r>
              <w:rPr>
                <w:rFonts w:hint="eastAsia" w:ascii="仿宋" w:hAnsi="仿宋" w:eastAsia="仿宋" w:cs="仿宋"/>
                <w:sz w:val="24"/>
              </w:rPr>
              <w:t>（2）采购人或者采购代理机构应当自中标通知书发出之日起5个工作日内退还未中标人的投标保证金，自采购合同签订之日起5个工作日内退还中标人的投标保证金或者转为中标人的履约保证金。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14</w:t>
            </w:r>
          </w:p>
        </w:tc>
        <w:tc>
          <w:tcPr>
            <w:tcW w:w="2509" w:type="dxa"/>
            <w:vAlign w:val="center"/>
          </w:tcPr>
          <w:p>
            <w:pPr>
              <w:pStyle w:val="15"/>
              <w:spacing w:line="360" w:lineRule="auto"/>
              <w:jc w:val="center"/>
              <w:rPr>
                <w:rFonts w:hint="eastAsia" w:ascii="仿宋" w:hAnsi="仿宋" w:eastAsia="仿宋" w:cs="仿宋"/>
                <w:sz w:val="24"/>
              </w:rPr>
            </w:pPr>
            <w:r>
              <w:rPr>
                <w:rFonts w:hint="eastAsia" w:ascii="仿宋" w:hAnsi="仿宋" w:eastAsia="仿宋" w:cs="仿宋"/>
                <w:sz w:val="24"/>
              </w:rPr>
              <w:t>不予退还保证金的情形</w:t>
            </w:r>
          </w:p>
        </w:tc>
        <w:tc>
          <w:tcPr>
            <w:tcW w:w="6837" w:type="dxa"/>
            <w:vAlign w:val="center"/>
          </w:tcPr>
          <w:p>
            <w:pPr>
              <w:pStyle w:val="15"/>
              <w:spacing w:line="360" w:lineRule="auto"/>
              <w:rPr>
                <w:rFonts w:hint="eastAsia" w:ascii="仿宋" w:hAnsi="仿宋" w:eastAsia="仿宋" w:cs="仿宋"/>
                <w:sz w:val="24"/>
              </w:rPr>
            </w:pPr>
            <w:r>
              <w:rPr>
                <w:rFonts w:hint="eastAsia" w:ascii="仿宋" w:hAnsi="仿宋" w:eastAsia="仿宋" w:cs="仿宋"/>
                <w:sz w:val="24"/>
              </w:rPr>
              <w:t>有下列情形之一的，保证金不予退还：</w:t>
            </w:r>
          </w:p>
          <w:p>
            <w:pPr>
              <w:pStyle w:val="15"/>
              <w:spacing w:line="360" w:lineRule="auto"/>
              <w:rPr>
                <w:rFonts w:hint="eastAsia" w:ascii="仿宋" w:hAnsi="仿宋" w:eastAsia="仿宋" w:cs="仿宋"/>
                <w:sz w:val="24"/>
              </w:rPr>
            </w:pPr>
            <w:r>
              <w:rPr>
                <w:rFonts w:hint="eastAsia" w:ascii="仿宋" w:hAnsi="仿宋" w:eastAsia="仿宋" w:cs="仿宋"/>
                <w:sz w:val="24"/>
              </w:rPr>
              <w:t>（1）投标人在提交投标文件截止时间后撤回投标文件的；</w:t>
            </w:r>
          </w:p>
          <w:p>
            <w:pPr>
              <w:pStyle w:val="15"/>
              <w:spacing w:line="360" w:lineRule="auto"/>
              <w:rPr>
                <w:rFonts w:hint="eastAsia" w:ascii="仿宋" w:hAnsi="仿宋" w:eastAsia="仿宋" w:cs="仿宋"/>
                <w:sz w:val="24"/>
              </w:rPr>
            </w:pPr>
            <w:r>
              <w:rPr>
                <w:rFonts w:hint="eastAsia" w:ascii="仿宋" w:hAnsi="仿宋" w:eastAsia="仿宋" w:cs="仿宋"/>
                <w:sz w:val="24"/>
              </w:rPr>
              <w:t>（2）投标人在投标文件中提供虚假材料的；</w:t>
            </w:r>
          </w:p>
          <w:p>
            <w:pPr>
              <w:pStyle w:val="15"/>
              <w:spacing w:line="360" w:lineRule="auto"/>
              <w:rPr>
                <w:rFonts w:hint="eastAsia" w:ascii="仿宋" w:hAnsi="仿宋" w:eastAsia="仿宋" w:cs="仿宋"/>
                <w:sz w:val="24"/>
              </w:rPr>
            </w:pPr>
            <w:r>
              <w:rPr>
                <w:rFonts w:hint="eastAsia" w:ascii="仿宋" w:hAnsi="仿宋" w:eastAsia="仿宋" w:cs="仿宋"/>
                <w:sz w:val="24"/>
              </w:rPr>
              <w:t>（3）除因不可抗力或招标文件认可的情形以外，成交投标人不与采购人签订合同的；</w:t>
            </w:r>
          </w:p>
          <w:p>
            <w:pPr>
              <w:pStyle w:val="15"/>
              <w:spacing w:line="360" w:lineRule="auto"/>
              <w:rPr>
                <w:rFonts w:hint="eastAsia" w:ascii="仿宋" w:hAnsi="仿宋" w:eastAsia="仿宋" w:cs="仿宋"/>
                <w:sz w:val="24"/>
              </w:rPr>
            </w:pPr>
            <w:r>
              <w:rPr>
                <w:rFonts w:hint="eastAsia" w:ascii="仿宋" w:hAnsi="仿宋" w:eastAsia="仿宋" w:cs="仿宋"/>
                <w:sz w:val="24"/>
              </w:rPr>
              <w:t>（4）投标人与采购人、其他投标人或者采购代理机构恶意串通的；</w:t>
            </w:r>
          </w:p>
          <w:p>
            <w:pPr>
              <w:spacing w:line="360" w:lineRule="auto"/>
              <w:rPr>
                <w:rFonts w:hint="eastAsia" w:ascii="仿宋" w:hAnsi="仿宋" w:eastAsia="仿宋" w:cs="仿宋"/>
                <w:sz w:val="24"/>
              </w:rPr>
            </w:pPr>
            <w:r>
              <w:rPr>
                <w:rFonts w:hint="eastAsia" w:ascii="仿宋" w:hAnsi="仿宋" w:eastAsia="仿宋" w:cs="仿宋"/>
                <w:sz w:val="24"/>
              </w:rPr>
              <w:t>（5）招标文件规定的其他情形。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15</w:t>
            </w:r>
          </w:p>
        </w:tc>
        <w:tc>
          <w:tcPr>
            <w:tcW w:w="250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投标文件格式</w:t>
            </w:r>
          </w:p>
        </w:tc>
        <w:tc>
          <w:tcPr>
            <w:tcW w:w="6837" w:type="dxa"/>
            <w:vAlign w:val="center"/>
          </w:tcPr>
          <w:p>
            <w:pPr>
              <w:numPr>
                <w:ilvl w:val="0"/>
                <w:numId w:val="2"/>
              </w:numPr>
              <w:spacing w:line="360" w:lineRule="auto"/>
              <w:rPr>
                <w:rFonts w:hint="eastAsia" w:ascii="仿宋" w:hAnsi="仿宋" w:eastAsia="仿宋" w:cs="仿宋"/>
                <w:sz w:val="24"/>
              </w:rPr>
            </w:pPr>
            <w:r>
              <w:rPr>
                <w:rFonts w:hint="eastAsia" w:ascii="仿宋" w:hAnsi="仿宋" w:eastAsia="仿宋" w:cs="仿宋"/>
                <w:sz w:val="24"/>
              </w:rPr>
              <w:t>投标人应按招标文件中提供的投标文件格式填写。</w:t>
            </w:r>
          </w:p>
          <w:p>
            <w:pPr>
              <w:spacing w:line="360" w:lineRule="auto"/>
              <w:rPr>
                <w:rFonts w:hint="eastAsia" w:ascii="仿宋" w:hAnsi="仿宋" w:eastAsia="仿宋" w:cs="仿宋"/>
                <w:sz w:val="24"/>
              </w:rPr>
            </w:pPr>
            <w:r>
              <w:rPr>
                <w:rFonts w:hint="eastAsia" w:ascii="仿宋" w:hAnsi="仿宋" w:eastAsia="仿宋" w:cs="仿宋"/>
                <w:sz w:val="24"/>
              </w:rPr>
              <w:t>2.如招标文件没有提供格式的，投标人可自行设置。</w:t>
            </w:r>
          </w:p>
          <w:p>
            <w:pPr>
              <w:widowControl/>
              <w:spacing w:line="360" w:lineRule="auto"/>
              <w:jc w:val="left"/>
              <w:rPr>
                <w:rFonts w:hint="eastAsia" w:ascii="仿宋" w:hAnsi="仿宋" w:eastAsia="仿宋" w:cs="仿宋"/>
                <w:sz w:val="24"/>
              </w:rPr>
            </w:pPr>
            <w:r>
              <w:rPr>
                <w:rFonts w:hint="eastAsia" w:ascii="仿宋" w:hAnsi="仿宋" w:eastAsia="仿宋" w:cs="仿宋"/>
                <w:sz w:val="24"/>
              </w:rPr>
              <w:t>3.投标人应将投标文件按规定的顺序编排、并应编制目录、逐页标注连续页码，</w:t>
            </w:r>
            <w:r>
              <w:rPr>
                <w:rFonts w:hint="eastAsia" w:ascii="仿宋" w:hAnsi="仿宋" w:eastAsia="仿宋" w:cs="仿宋"/>
                <w:b/>
                <w:sz w:val="24"/>
              </w:rPr>
              <w:t>不得采用活页装订，否则视为无效投标文件。</w:t>
            </w:r>
          </w:p>
          <w:p>
            <w:pPr>
              <w:widowControl/>
              <w:spacing w:line="360" w:lineRule="auto"/>
              <w:jc w:val="left"/>
              <w:rPr>
                <w:rFonts w:hint="eastAsia" w:ascii="仿宋" w:hAnsi="仿宋" w:eastAsia="仿宋" w:cs="仿宋"/>
                <w:sz w:val="24"/>
              </w:rPr>
            </w:pPr>
            <w:r>
              <w:rPr>
                <w:rFonts w:hint="eastAsia" w:ascii="仿宋" w:hAnsi="仿宋" w:eastAsia="仿宋" w:cs="仿宋"/>
                <w:sz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16</w:t>
            </w:r>
          </w:p>
        </w:tc>
        <w:tc>
          <w:tcPr>
            <w:tcW w:w="2509" w:type="dxa"/>
            <w:vAlign w:val="center"/>
          </w:tcPr>
          <w:p>
            <w:pPr>
              <w:widowControl/>
              <w:spacing w:line="360" w:lineRule="auto"/>
              <w:jc w:val="center"/>
              <w:rPr>
                <w:rFonts w:hint="eastAsia" w:ascii="仿宋" w:hAnsi="仿宋" w:eastAsia="仿宋" w:cs="仿宋"/>
                <w:kern w:val="1"/>
                <w:sz w:val="24"/>
              </w:rPr>
            </w:pPr>
            <w:r>
              <w:rPr>
                <w:rFonts w:hint="eastAsia" w:ascii="仿宋" w:hAnsi="仿宋" w:eastAsia="仿宋" w:cs="仿宋"/>
                <w:kern w:val="1"/>
                <w:sz w:val="24"/>
                <w:lang w:eastAsia="zh-CN"/>
              </w:rPr>
              <w:t>投标文件的份数</w:t>
            </w:r>
          </w:p>
        </w:tc>
        <w:tc>
          <w:tcPr>
            <w:tcW w:w="6837" w:type="dxa"/>
            <w:vAlign w:val="center"/>
          </w:tcPr>
          <w:p>
            <w:pPr>
              <w:widowControl/>
              <w:spacing w:line="360" w:lineRule="auto"/>
              <w:jc w:val="left"/>
              <w:rPr>
                <w:rFonts w:hint="eastAsia" w:ascii="仿宋" w:hAnsi="仿宋" w:eastAsia="仿宋" w:cs="仿宋"/>
                <w:sz w:val="24"/>
              </w:rPr>
            </w:pPr>
            <w:r>
              <w:rPr>
                <w:rFonts w:hint="eastAsia" w:ascii="仿宋" w:hAnsi="仿宋" w:eastAsia="仿宋" w:cs="仿宋"/>
                <w:sz w:val="24"/>
                <w:lang w:val="en-US" w:eastAsia="zh-CN"/>
              </w:rPr>
              <w:t xml:space="preserve">1、一份电子加密标书 (“.jmbs”格式），一份备份标书文件 (“.bfbs”格式） </w:t>
            </w:r>
            <w:r>
              <w:rPr>
                <w:rFonts w:hint="eastAsia" w:ascii="仿宋" w:hAnsi="仿宋" w:eastAsia="仿宋" w:cs="仿宋"/>
                <w:sz w:val="24"/>
              </w:rPr>
              <w:t xml:space="preserve">。                                                        </w:t>
            </w:r>
          </w:p>
          <w:p>
            <w:pPr>
              <w:widowControl/>
              <w:spacing w:line="360" w:lineRule="auto"/>
              <w:jc w:val="left"/>
              <w:rPr>
                <w:rFonts w:hint="eastAsia" w:ascii="仿宋" w:hAnsi="仿宋" w:eastAsia="仿宋" w:cs="仿宋"/>
                <w:kern w:val="1"/>
                <w:sz w:val="24"/>
              </w:rPr>
            </w:pP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b/>
                <w:bCs/>
                <w:sz w:val="24"/>
              </w:rPr>
              <w:t>中标</w:t>
            </w:r>
            <w:r>
              <w:rPr>
                <w:rFonts w:hint="eastAsia" w:ascii="仿宋" w:hAnsi="仿宋" w:eastAsia="仿宋" w:cs="仿宋"/>
                <w:b/>
                <w:bCs/>
                <w:sz w:val="24"/>
                <w:lang w:eastAsia="zh-CN"/>
              </w:rPr>
              <w:t>单位</w:t>
            </w:r>
            <w:r>
              <w:rPr>
                <w:rFonts w:hint="eastAsia" w:ascii="仿宋" w:hAnsi="仿宋" w:eastAsia="仿宋" w:cs="仿宋"/>
                <w:b/>
                <w:bCs/>
                <w:sz w:val="24"/>
              </w:rPr>
              <w:t>请于</w:t>
            </w:r>
            <w:r>
              <w:rPr>
                <w:rFonts w:hint="eastAsia" w:ascii="仿宋" w:hAnsi="仿宋" w:eastAsia="仿宋" w:cs="仿宋"/>
                <w:b/>
                <w:bCs/>
                <w:sz w:val="24"/>
                <w:lang w:eastAsia="zh-CN"/>
              </w:rPr>
              <w:t>中标公告发布之日起</w:t>
            </w:r>
            <w:r>
              <w:rPr>
                <w:rFonts w:hint="eastAsia" w:ascii="仿宋" w:hAnsi="仿宋" w:eastAsia="仿宋" w:cs="仿宋"/>
                <w:b/>
                <w:bCs/>
                <w:sz w:val="24"/>
                <w:lang w:val="en-US" w:eastAsia="zh-CN"/>
              </w:rPr>
              <w:t>3日内提供</w:t>
            </w:r>
            <w:r>
              <w:rPr>
                <w:rFonts w:hint="eastAsia" w:ascii="仿宋" w:hAnsi="仿宋" w:eastAsia="仿宋" w:cs="仿宋"/>
                <w:b/>
                <w:bCs/>
                <w:sz w:val="24"/>
              </w:rPr>
              <w:t>纸质投标文件</w:t>
            </w:r>
            <w:r>
              <w:rPr>
                <w:rFonts w:hint="eastAsia" w:ascii="仿宋" w:hAnsi="仿宋" w:eastAsia="仿宋" w:cs="仿宋"/>
                <w:b/>
                <w:bCs/>
                <w:sz w:val="24"/>
                <w:lang w:eastAsia="zh-CN"/>
              </w:rPr>
              <w:t>（</w:t>
            </w:r>
            <w:r>
              <w:rPr>
                <w:rFonts w:hint="eastAsia" w:ascii="仿宋" w:hAnsi="仿宋" w:eastAsia="仿宋" w:cs="仿宋"/>
                <w:b/>
                <w:bCs/>
                <w:sz w:val="24"/>
                <w:lang w:val="en-US" w:eastAsia="zh-CN"/>
              </w:rPr>
              <w:t>1正2副</w:t>
            </w:r>
            <w:r>
              <w:rPr>
                <w:rFonts w:hint="eastAsia" w:ascii="仿宋" w:hAnsi="仿宋" w:eastAsia="仿宋" w:cs="仿宋"/>
                <w:b/>
                <w:bCs/>
                <w:sz w:val="24"/>
                <w:lang w:eastAsia="zh-CN"/>
              </w:rPr>
              <w:t>）三</w:t>
            </w:r>
            <w:r>
              <w:rPr>
                <w:rFonts w:hint="eastAsia" w:ascii="仿宋" w:hAnsi="仿宋" w:eastAsia="仿宋" w:cs="仿宋"/>
                <w:b/>
                <w:bCs/>
                <w:sz w:val="24"/>
              </w:rPr>
              <w:t>份并承诺与电子投标文件内容一致的承诺书</w:t>
            </w:r>
            <w:r>
              <w:rPr>
                <w:rFonts w:hint="eastAsia" w:ascii="仿宋" w:hAnsi="仿宋" w:eastAsia="仿宋" w:cs="仿宋"/>
                <w:sz w:val="24"/>
              </w:rPr>
              <w:t>至</w:t>
            </w:r>
            <w:r>
              <w:rPr>
                <w:rFonts w:hint="eastAsia" w:ascii="仿宋" w:hAnsi="仿宋" w:eastAsia="仿宋" w:cs="仿宋"/>
                <w:sz w:val="24"/>
                <w:lang w:eastAsia="zh-CN"/>
              </w:rPr>
              <w:t>招标代理机构</w:t>
            </w:r>
            <w:r>
              <w:rPr>
                <w:rFonts w:hint="eastAsia" w:ascii="仿宋" w:hAnsi="仿宋" w:eastAsia="仿宋" w:cs="仿宋"/>
                <w:sz w:val="24"/>
              </w:rPr>
              <w:t>。中标人可采用邮寄方式提供纸质版投标文件（收件地址：新疆乌鲁木齐高新技术产业开发区（新市区）北京路街道高新街217号盈科广场B座1409，收件人：</w:t>
            </w:r>
            <w:r>
              <w:rPr>
                <w:rFonts w:hint="eastAsia" w:ascii="仿宋" w:hAnsi="仿宋" w:eastAsia="仿宋" w:cs="仿宋"/>
                <w:sz w:val="24"/>
                <w:lang w:eastAsia="zh-CN"/>
              </w:rPr>
              <w:t>杨镕墁</w:t>
            </w:r>
            <w:r>
              <w:rPr>
                <w:rFonts w:hint="eastAsia" w:ascii="仿宋" w:hAnsi="仿宋" w:eastAsia="仿宋" w:cs="仿宋"/>
                <w:sz w:val="24"/>
              </w:rPr>
              <w:t>，电话：</w:t>
            </w:r>
            <w:r>
              <w:rPr>
                <w:rFonts w:hint="eastAsia" w:ascii="仿宋" w:hAnsi="仿宋" w:eastAsia="仿宋" w:cs="仿宋"/>
                <w:sz w:val="24"/>
                <w:lang w:val="en-US" w:eastAsia="zh-CN"/>
              </w:rPr>
              <w:t>13649965070</w:t>
            </w:r>
            <w:r>
              <w:rPr>
                <w:rFonts w:hint="eastAsia" w:ascii="仿宋" w:hAnsi="仿宋" w:eastAsia="仿宋" w:cs="仿宋"/>
                <w:sz w:val="24"/>
              </w:rPr>
              <w:t>)，费用自行承担。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kern w:val="0"/>
                <w:sz w:val="24"/>
              </w:rPr>
            </w:pPr>
            <w:r>
              <w:rPr>
                <w:rFonts w:hint="eastAsia" w:ascii="仿宋" w:hAnsi="仿宋" w:eastAsia="仿宋" w:cs="仿宋"/>
                <w:kern w:val="0"/>
                <w:sz w:val="24"/>
              </w:rPr>
              <w:t>17</w:t>
            </w:r>
          </w:p>
        </w:tc>
        <w:tc>
          <w:tcPr>
            <w:tcW w:w="2509" w:type="dxa"/>
            <w:vAlign w:val="center"/>
          </w:tcPr>
          <w:p>
            <w:pPr>
              <w:widowControl/>
              <w:spacing w:line="360" w:lineRule="auto"/>
              <w:jc w:val="center"/>
              <w:rPr>
                <w:rFonts w:hint="eastAsia" w:ascii="仿宋" w:hAnsi="仿宋" w:eastAsia="仿宋" w:cs="仿宋"/>
                <w:sz w:val="24"/>
              </w:rPr>
            </w:pPr>
            <w:r>
              <w:rPr>
                <w:rFonts w:hint="eastAsia" w:ascii="仿宋" w:hAnsi="仿宋" w:eastAsia="仿宋" w:cs="仿宋"/>
                <w:sz w:val="24"/>
              </w:rPr>
              <w:t>投标文件的上传和递交</w:t>
            </w:r>
          </w:p>
        </w:tc>
        <w:tc>
          <w:tcPr>
            <w:tcW w:w="6837" w:type="dxa"/>
            <w:vAlign w:val="center"/>
          </w:tcPr>
          <w:p>
            <w:pPr>
              <w:widowControl/>
              <w:spacing w:line="360" w:lineRule="auto"/>
              <w:jc w:val="left"/>
              <w:rPr>
                <w:rFonts w:hint="eastAsia" w:ascii="仿宋" w:hAnsi="仿宋" w:eastAsia="仿宋" w:cs="仿宋"/>
                <w:sz w:val="24"/>
              </w:rPr>
            </w:pPr>
            <w:r>
              <w:rPr>
                <w:rFonts w:hint="eastAsia" w:ascii="仿宋" w:hAnsi="仿宋" w:eastAsia="仿宋" w:cs="仿宋"/>
                <w:sz w:val="24"/>
              </w:rPr>
              <w:t>1.电子加密投标文件：投标文件制作完成并生成加密标书，在投标截止时间前，</w:t>
            </w:r>
            <w:r>
              <w:rPr>
                <w:rFonts w:hint="eastAsia" w:ascii="仿宋" w:hAnsi="仿宋" w:eastAsia="仿宋" w:cs="仿宋"/>
                <w:sz w:val="24"/>
                <w:lang w:eastAsia="zh-CN"/>
              </w:rPr>
              <w:t>投标单位</w:t>
            </w:r>
            <w:r>
              <w:rPr>
                <w:rFonts w:hint="eastAsia" w:ascii="仿宋" w:hAnsi="仿宋" w:eastAsia="仿宋" w:cs="仿宋"/>
                <w:sz w:val="24"/>
              </w:rPr>
              <w:t>需将加密的投标文件上传至政采云平台，在开标时间开始后，待</w:t>
            </w:r>
            <w:r>
              <w:rPr>
                <w:rFonts w:hint="eastAsia" w:ascii="仿宋" w:hAnsi="仿宋" w:eastAsia="仿宋" w:cs="仿宋"/>
                <w:sz w:val="24"/>
                <w:lang w:eastAsia="zh-CN"/>
              </w:rPr>
              <w:t>招标代理机构</w:t>
            </w:r>
            <w:r>
              <w:rPr>
                <w:rFonts w:hint="eastAsia" w:ascii="仿宋" w:hAnsi="仿宋" w:eastAsia="仿宋" w:cs="仿宋"/>
                <w:sz w:val="24"/>
              </w:rPr>
              <w:t>发出解密通知后30分钟内解密投标文件。</w:t>
            </w:r>
          </w:p>
          <w:p>
            <w:pPr>
              <w:widowControl/>
              <w:spacing w:line="360" w:lineRule="auto"/>
              <w:jc w:val="left"/>
              <w:rPr>
                <w:rFonts w:hint="eastAsia" w:ascii="仿宋" w:hAnsi="仿宋" w:eastAsia="仿宋" w:cs="仿宋"/>
                <w:sz w:val="24"/>
              </w:rPr>
            </w:pPr>
            <w:r>
              <w:rPr>
                <w:rFonts w:hint="eastAsia" w:ascii="仿宋" w:hAnsi="仿宋" w:eastAsia="仿宋" w:cs="仿宋"/>
                <w:sz w:val="24"/>
              </w:rPr>
              <w:t>a.</w:t>
            </w:r>
            <w:r>
              <w:rPr>
                <w:rFonts w:hint="eastAsia" w:ascii="仿宋" w:hAnsi="仿宋" w:eastAsia="仿宋" w:cs="仿宋"/>
                <w:sz w:val="24"/>
                <w:lang w:eastAsia="zh-CN"/>
              </w:rPr>
              <w:t>投标单位</w:t>
            </w:r>
            <w:r>
              <w:rPr>
                <w:rFonts w:hint="eastAsia" w:ascii="仿宋" w:hAnsi="仿宋" w:eastAsia="仿宋" w:cs="仿宋"/>
                <w:sz w:val="24"/>
              </w:rPr>
              <w:t>未能在投标截止时间前成功上传电子加密投标文件的投标无效。</w:t>
            </w:r>
          </w:p>
          <w:p>
            <w:pPr>
              <w:widowControl/>
              <w:spacing w:line="360" w:lineRule="auto"/>
              <w:jc w:val="left"/>
              <w:rPr>
                <w:rFonts w:hint="eastAsia" w:ascii="仿宋" w:hAnsi="仿宋" w:eastAsia="仿宋" w:cs="仿宋"/>
                <w:sz w:val="24"/>
              </w:rPr>
            </w:pPr>
            <w:r>
              <w:rPr>
                <w:rFonts w:hint="eastAsia" w:ascii="仿宋" w:hAnsi="仿宋" w:eastAsia="仿宋" w:cs="仿宋"/>
                <w:sz w:val="24"/>
              </w:rPr>
              <w:t>b.</w:t>
            </w:r>
            <w:r>
              <w:rPr>
                <w:rFonts w:hint="eastAsia" w:ascii="仿宋" w:hAnsi="仿宋" w:eastAsia="仿宋" w:cs="仿宋"/>
                <w:sz w:val="24"/>
                <w:lang w:eastAsia="zh-CN"/>
              </w:rPr>
              <w:t>投标单位</w:t>
            </w:r>
            <w:r>
              <w:rPr>
                <w:rFonts w:hint="eastAsia" w:ascii="仿宋" w:hAnsi="仿宋" w:eastAsia="仿宋" w:cs="仿宋"/>
                <w:sz w:val="24"/>
              </w:rPr>
              <w:t>成功上传电子加密投标文件后，可自行打印投标文件接收回执。</w:t>
            </w:r>
          </w:p>
          <w:p>
            <w:pPr>
              <w:widowControl/>
              <w:spacing w:line="360" w:lineRule="auto"/>
              <w:jc w:val="left"/>
              <w:rPr>
                <w:rFonts w:hint="eastAsia" w:ascii="仿宋" w:hAnsi="仿宋" w:eastAsia="仿宋" w:cs="仿宋"/>
                <w:sz w:val="24"/>
              </w:rPr>
            </w:pPr>
            <w:r>
              <w:rPr>
                <w:rFonts w:hint="eastAsia" w:ascii="仿宋" w:hAnsi="仿宋" w:eastAsia="仿宋" w:cs="仿宋"/>
                <w:sz w:val="24"/>
              </w:rPr>
              <w:t>2.备份投标文件：</w:t>
            </w:r>
            <w:r>
              <w:rPr>
                <w:rFonts w:hint="eastAsia" w:ascii="仿宋" w:hAnsi="仿宋" w:eastAsia="仿宋" w:cs="仿宋"/>
                <w:sz w:val="24"/>
                <w:lang w:eastAsia="zh-CN"/>
              </w:rPr>
              <w:t>投标单位</w:t>
            </w:r>
            <w:r>
              <w:rPr>
                <w:rFonts w:hint="eastAsia" w:ascii="仿宋" w:hAnsi="仿宋" w:eastAsia="仿宋" w:cs="仿宋"/>
                <w:sz w:val="24"/>
              </w:rPr>
              <w:t>在投标截止时间前将加密的投标文件上传至政府采购云平台，还可以在投标截止时间前以电子邮件方式提供备份投标文件1份（接收人邮箱：</w:t>
            </w:r>
            <w:r>
              <w:rPr>
                <w:rFonts w:hint="eastAsia" w:ascii="仿宋" w:hAnsi="仿宋" w:eastAsia="仿宋" w:cs="仿宋"/>
                <w:sz w:val="24"/>
                <w:lang w:val="en-US" w:eastAsia="zh-CN"/>
              </w:rPr>
              <w:t>942281669</w:t>
            </w:r>
            <w:r>
              <w:rPr>
                <w:rFonts w:hint="eastAsia" w:ascii="仿宋" w:hAnsi="仿宋" w:eastAsia="仿宋" w:cs="仿宋"/>
                <w:sz w:val="24"/>
              </w:rPr>
              <w:t>@qq.com，接收人：</w:t>
            </w:r>
            <w:r>
              <w:rPr>
                <w:rFonts w:hint="eastAsia" w:ascii="仿宋" w:hAnsi="仿宋" w:eastAsia="仿宋" w:cs="仿宋"/>
                <w:sz w:val="24"/>
                <w:lang w:eastAsia="zh-CN"/>
              </w:rPr>
              <w:t>杨镕墁</w:t>
            </w:r>
            <w:r>
              <w:rPr>
                <w:rFonts w:hint="eastAsia" w:ascii="仿宋" w:hAnsi="仿宋" w:eastAsia="仿宋" w:cs="仿宋"/>
                <w:sz w:val="24"/>
              </w:rPr>
              <w:t>，电话：</w:t>
            </w:r>
            <w:r>
              <w:rPr>
                <w:rFonts w:hint="eastAsia" w:ascii="仿宋" w:hAnsi="仿宋" w:eastAsia="仿宋" w:cs="仿宋"/>
                <w:sz w:val="24"/>
                <w:lang w:val="en-US" w:eastAsia="zh-CN"/>
              </w:rPr>
              <w:t>13649965070</w:t>
            </w:r>
            <w:r>
              <w:rPr>
                <w:rFonts w:hint="eastAsia" w:ascii="仿宋" w:hAnsi="仿宋" w:eastAsia="仿宋" w:cs="仿宋"/>
                <w:sz w:val="24"/>
              </w:rPr>
              <w:t>)，“备份投标文件”由</w:t>
            </w:r>
            <w:r>
              <w:rPr>
                <w:rFonts w:hint="eastAsia" w:ascii="仿宋" w:hAnsi="仿宋" w:eastAsia="仿宋" w:cs="仿宋"/>
                <w:sz w:val="24"/>
                <w:lang w:eastAsia="zh-CN"/>
              </w:rPr>
              <w:t>投标单位</w:t>
            </w:r>
            <w:r>
              <w:rPr>
                <w:rFonts w:hint="eastAsia" w:ascii="仿宋" w:hAnsi="仿宋" w:eastAsia="仿宋" w:cs="仿宋"/>
                <w:sz w:val="24"/>
              </w:rPr>
              <w:t>自愿提供，招标文件不作强制性要求；如不提供或未按要求提供的，当电子投标文件无法解密时，将导致无备份投标文件而失去投标资格。</w:t>
            </w:r>
          </w:p>
          <w:p>
            <w:pPr>
              <w:widowControl/>
              <w:spacing w:line="360" w:lineRule="auto"/>
              <w:jc w:val="left"/>
              <w:rPr>
                <w:rFonts w:hint="eastAsia" w:ascii="仿宋" w:hAnsi="仿宋" w:eastAsia="仿宋" w:cs="仿宋"/>
                <w:sz w:val="24"/>
              </w:rPr>
            </w:pPr>
            <w:r>
              <w:rPr>
                <w:rFonts w:hint="eastAsia" w:ascii="仿宋" w:hAnsi="仿宋" w:eastAsia="仿宋" w:cs="仿宋"/>
                <w:sz w:val="24"/>
              </w:rPr>
              <w:t>a.备份投标文件提供要求：</w:t>
            </w:r>
            <w:r>
              <w:rPr>
                <w:rFonts w:hint="eastAsia" w:ascii="仿宋" w:hAnsi="仿宋" w:eastAsia="仿宋" w:cs="仿宋"/>
                <w:sz w:val="24"/>
                <w:lang w:eastAsia="zh-CN"/>
              </w:rPr>
              <w:t>投标单位</w:t>
            </w:r>
            <w:r>
              <w:rPr>
                <w:rFonts w:hint="eastAsia" w:ascii="仿宋" w:hAnsi="仿宋" w:eastAsia="仿宋" w:cs="仿宋"/>
                <w:sz w:val="24"/>
              </w:rPr>
              <w:t>可以将备份投标文件打包压缩并加密，压缩包命名为“XX</w:t>
            </w:r>
            <w:r>
              <w:rPr>
                <w:rFonts w:hint="eastAsia" w:ascii="仿宋" w:hAnsi="仿宋" w:eastAsia="仿宋" w:cs="仿宋"/>
                <w:sz w:val="24"/>
                <w:lang w:eastAsia="zh-CN"/>
              </w:rPr>
              <w:t>公司</w:t>
            </w:r>
            <w:r>
              <w:rPr>
                <w:rFonts w:hint="eastAsia" w:ascii="仿宋" w:hAnsi="仿宋" w:eastAsia="仿宋" w:cs="仿宋"/>
                <w:sz w:val="24"/>
              </w:rPr>
              <w:t>备份投标文件”，加密密码由</w:t>
            </w:r>
            <w:r>
              <w:rPr>
                <w:rFonts w:hint="eastAsia" w:ascii="仿宋" w:hAnsi="仿宋" w:eastAsia="仿宋" w:cs="仿宋"/>
                <w:sz w:val="24"/>
                <w:lang w:eastAsia="zh-CN"/>
              </w:rPr>
              <w:t>投标单位</w:t>
            </w:r>
            <w:r>
              <w:rPr>
                <w:rFonts w:hint="eastAsia" w:ascii="仿宋" w:hAnsi="仿宋" w:eastAsia="仿宋" w:cs="仿宋"/>
                <w:sz w:val="24"/>
              </w:rPr>
              <w:t>自行保管；送达时间以采购代理机构实际接收时间为准。“备份投标文件”逾期或未按要求提供的视为未提供，</w:t>
            </w:r>
            <w:r>
              <w:rPr>
                <w:rFonts w:hint="eastAsia" w:ascii="仿宋" w:hAnsi="仿宋" w:eastAsia="仿宋" w:cs="仿宋"/>
                <w:b/>
                <w:bCs/>
                <w:sz w:val="24"/>
              </w:rPr>
              <w:t>建议</w:t>
            </w:r>
            <w:r>
              <w:rPr>
                <w:rFonts w:hint="eastAsia" w:ascii="仿宋" w:hAnsi="仿宋" w:eastAsia="仿宋" w:cs="仿宋"/>
                <w:b/>
                <w:bCs/>
                <w:sz w:val="24"/>
                <w:lang w:eastAsia="zh-CN"/>
              </w:rPr>
              <w:t>投标单位</w:t>
            </w:r>
            <w:r>
              <w:rPr>
                <w:rFonts w:hint="eastAsia" w:ascii="仿宋" w:hAnsi="仿宋" w:eastAsia="仿宋" w:cs="仿宋"/>
                <w:b/>
                <w:bCs/>
                <w:sz w:val="24"/>
              </w:rPr>
              <w:t>提前1日办理邮件提供事宜</w:t>
            </w:r>
            <w:r>
              <w:rPr>
                <w:rFonts w:hint="eastAsia" w:ascii="仿宋" w:hAnsi="仿宋" w:eastAsia="仿宋" w:cs="仿宋"/>
                <w:sz w:val="24"/>
              </w:rPr>
              <w:t>。</w:t>
            </w:r>
          </w:p>
          <w:p>
            <w:pPr>
              <w:widowControl/>
              <w:spacing w:line="360" w:lineRule="auto"/>
              <w:jc w:val="left"/>
              <w:rPr>
                <w:rFonts w:hint="eastAsia" w:ascii="仿宋" w:hAnsi="仿宋" w:eastAsia="仿宋" w:cs="仿宋"/>
                <w:sz w:val="24"/>
              </w:rPr>
            </w:pPr>
            <w:r>
              <w:rPr>
                <w:rFonts w:hint="eastAsia" w:ascii="仿宋" w:hAnsi="仿宋" w:eastAsia="仿宋" w:cs="仿宋"/>
                <w:sz w:val="24"/>
              </w:rPr>
              <w:t>b.通过“政府采购云平台”成功上传递交的“电子加密投标文件”已按时解密的，“备份投标文件”自动失效。</w:t>
            </w:r>
            <w:r>
              <w:rPr>
                <w:rFonts w:hint="eastAsia" w:ascii="仿宋" w:hAnsi="仿宋" w:eastAsia="仿宋" w:cs="仿宋"/>
                <w:b/>
                <w:bCs/>
                <w:sz w:val="24"/>
              </w:rPr>
              <w:t>投标截止时间前，投标</w:t>
            </w:r>
            <w:r>
              <w:rPr>
                <w:rFonts w:hint="eastAsia" w:ascii="仿宋" w:hAnsi="仿宋" w:eastAsia="仿宋" w:cs="仿宋"/>
                <w:b/>
                <w:bCs/>
                <w:sz w:val="24"/>
                <w:lang w:eastAsia="zh-CN"/>
              </w:rPr>
              <w:t>投标单位</w:t>
            </w:r>
            <w:r>
              <w:rPr>
                <w:rFonts w:hint="eastAsia" w:ascii="仿宋" w:hAnsi="仿宋" w:eastAsia="仿宋" w:cs="仿宋"/>
                <w:b/>
                <w:bCs/>
                <w:sz w:val="24"/>
              </w:rPr>
              <w:t>仅提供了“备份投标文件”而未将“电子加密投标文件”成功上传至“政府采购云平台”的，投标无效。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9" w:type="dxa"/>
            <w:vAlign w:val="center"/>
          </w:tcPr>
          <w:p>
            <w:pPr>
              <w:overflowPunct w:val="0"/>
              <w:spacing w:line="360" w:lineRule="auto"/>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8</w:t>
            </w:r>
          </w:p>
        </w:tc>
        <w:tc>
          <w:tcPr>
            <w:tcW w:w="2509" w:type="dxa"/>
            <w:vAlign w:val="center"/>
          </w:tcPr>
          <w:p>
            <w:pPr>
              <w:overflowPunct w:val="0"/>
              <w:spacing w:line="360" w:lineRule="auto"/>
              <w:ind w:left="240" w:hanging="240" w:hangingChars="100"/>
              <w:rPr>
                <w:rFonts w:hint="eastAsia" w:ascii="仿宋" w:hAnsi="仿宋" w:eastAsia="仿宋" w:cs="仿宋"/>
                <w:sz w:val="24"/>
              </w:rPr>
            </w:pPr>
            <w:r>
              <w:rPr>
                <w:rFonts w:hint="eastAsia" w:ascii="仿宋" w:hAnsi="仿宋" w:eastAsia="仿宋" w:cs="仿宋"/>
                <w:sz w:val="24"/>
              </w:rPr>
              <w:t>开标时间及招标文件递交截止时间</w:t>
            </w:r>
          </w:p>
        </w:tc>
        <w:tc>
          <w:tcPr>
            <w:tcW w:w="6837" w:type="dxa"/>
            <w:vAlign w:val="center"/>
          </w:tcPr>
          <w:p>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979" w:type="dxa"/>
            <w:vAlign w:val="center"/>
          </w:tcPr>
          <w:p>
            <w:pPr>
              <w:overflowPunct w:val="0"/>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19</w:t>
            </w:r>
          </w:p>
        </w:tc>
        <w:tc>
          <w:tcPr>
            <w:tcW w:w="250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招标文件递交及开标地点</w:t>
            </w:r>
          </w:p>
        </w:tc>
        <w:tc>
          <w:tcPr>
            <w:tcW w:w="6837" w:type="dxa"/>
            <w:vAlign w:val="center"/>
          </w:tcPr>
          <w:p>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0</w:t>
            </w:r>
          </w:p>
        </w:tc>
        <w:tc>
          <w:tcPr>
            <w:tcW w:w="250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付款方式及币种</w:t>
            </w:r>
          </w:p>
        </w:tc>
        <w:tc>
          <w:tcPr>
            <w:tcW w:w="6837" w:type="dxa"/>
            <w:vAlign w:val="center"/>
          </w:tcPr>
          <w:p>
            <w:pPr>
              <w:overflowPunct w:val="0"/>
              <w:spacing w:line="360" w:lineRule="auto"/>
              <w:rPr>
                <w:rFonts w:hint="eastAsia" w:ascii="仿宋" w:hAnsi="仿宋" w:eastAsia="仿宋" w:cs="仿宋"/>
                <w:sz w:val="24"/>
              </w:rPr>
            </w:pPr>
            <w:r>
              <w:rPr>
                <w:rFonts w:hint="eastAsia" w:ascii="仿宋" w:hAnsi="仿宋" w:eastAsia="仿宋" w:cs="仿宋"/>
                <w:sz w:val="24"/>
              </w:rPr>
              <w:t>1、付款币种</w:t>
            </w:r>
          </w:p>
          <w:p>
            <w:pPr>
              <w:overflowPunct w:val="0"/>
              <w:spacing w:line="360" w:lineRule="auto"/>
              <w:rPr>
                <w:rFonts w:hint="eastAsia" w:ascii="仿宋" w:hAnsi="仿宋" w:eastAsia="仿宋" w:cs="仿宋"/>
                <w:sz w:val="24"/>
              </w:rPr>
            </w:pPr>
            <w:r>
              <w:rPr>
                <w:rFonts w:hint="eastAsia" w:ascii="仿宋" w:hAnsi="仿宋" w:eastAsia="仿宋" w:cs="仿宋"/>
                <w:sz w:val="24"/>
              </w:rPr>
              <w:t>本次招标所述的项目资金均以人民币支付。</w:t>
            </w:r>
          </w:p>
          <w:p>
            <w:pPr>
              <w:spacing w:line="360" w:lineRule="auto"/>
              <w:jc w:val="left"/>
              <w:rPr>
                <w:rFonts w:hint="eastAsia" w:ascii="仿宋" w:hAnsi="仿宋" w:eastAsia="仿宋" w:cs="仿宋"/>
                <w:sz w:val="24"/>
              </w:rPr>
            </w:pPr>
            <w:r>
              <w:rPr>
                <w:rFonts w:hint="eastAsia" w:ascii="仿宋" w:hAnsi="仿宋" w:eastAsia="仿宋" w:cs="仿宋"/>
                <w:sz w:val="24"/>
              </w:rPr>
              <w:t>2、付款方式</w:t>
            </w:r>
          </w:p>
          <w:p>
            <w:pPr>
              <w:spacing w:line="360" w:lineRule="auto"/>
              <w:jc w:val="left"/>
              <w:rPr>
                <w:rFonts w:hint="eastAsia" w:ascii="仿宋" w:hAnsi="仿宋" w:eastAsia="仿宋" w:cs="仿宋"/>
                <w:sz w:val="24"/>
              </w:rPr>
            </w:pPr>
            <w:r>
              <w:rPr>
                <w:rFonts w:hint="eastAsia" w:ascii="仿宋" w:hAnsi="仿宋" w:eastAsia="仿宋" w:cs="仿宋"/>
                <w:color w:val="auto"/>
                <w:sz w:val="24"/>
                <w:highlight w:val="none"/>
              </w:rPr>
              <w:t>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1</w:t>
            </w:r>
          </w:p>
        </w:tc>
        <w:tc>
          <w:tcPr>
            <w:tcW w:w="2509" w:type="dxa"/>
            <w:vAlign w:val="center"/>
          </w:tcPr>
          <w:p>
            <w:pPr>
              <w:overflowPunct w:val="0"/>
              <w:spacing w:line="360" w:lineRule="auto"/>
              <w:jc w:val="center"/>
              <w:rPr>
                <w:rFonts w:hint="eastAsia" w:ascii="仿宋" w:hAnsi="仿宋" w:eastAsia="仿宋" w:cs="仿宋"/>
                <w:kern w:val="0"/>
                <w:sz w:val="24"/>
              </w:rPr>
            </w:pPr>
            <w:r>
              <w:rPr>
                <w:rFonts w:hint="eastAsia" w:ascii="仿宋" w:hAnsi="仿宋" w:eastAsia="仿宋" w:cs="仿宋"/>
                <w:kern w:val="0"/>
                <w:sz w:val="24"/>
              </w:rPr>
              <w:t>招标代理服务费</w:t>
            </w:r>
          </w:p>
        </w:tc>
        <w:tc>
          <w:tcPr>
            <w:tcW w:w="6837" w:type="dxa"/>
            <w:vAlign w:val="center"/>
          </w:tcPr>
          <w:p>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lang w:eastAsia="zh-CN"/>
              </w:rPr>
              <w:t>参照</w:t>
            </w:r>
            <w:r>
              <w:rPr>
                <w:rFonts w:hint="eastAsia" w:ascii="仿宋" w:hAnsi="仿宋" w:eastAsia="仿宋" w:cs="仿宋"/>
                <w:sz w:val="24"/>
              </w:rPr>
              <w:t>国家计委《招标代理服务收费管理暂行办法》（计价格[2002]1980号）所规定</w:t>
            </w:r>
            <w:r>
              <w:rPr>
                <w:rFonts w:hint="eastAsia" w:ascii="仿宋" w:hAnsi="仿宋" w:eastAsia="仿宋" w:cs="仿宋"/>
                <w:sz w:val="24"/>
                <w:lang w:eastAsia="zh-CN"/>
              </w:rPr>
              <w:t>的</w:t>
            </w:r>
            <w:r>
              <w:rPr>
                <w:rFonts w:hint="eastAsia" w:ascii="仿宋" w:hAnsi="仿宋" w:eastAsia="仿宋" w:cs="仿宋"/>
                <w:sz w:val="24"/>
              </w:rPr>
              <w:t>标准</w:t>
            </w:r>
            <w:r>
              <w:rPr>
                <w:rFonts w:hint="eastAsia" w:ascii="仿宋" w:hAnsi="仿宋" w:eastAsia="仿宋" w:cs="仿宋"/>
                <w:sz w:val="24"/>
                <w:lang w:eastAsia="zh-CN"/>
              </w:rPr>
              <w:t>执行</w:t>
            </w:r>
            <w:r>
              <w:rPr>
                <w:rFonts w:hint="eastAsia" w:ascii="仿宋" w:hAnsi="仿宋" w:eastAsia="仿宋" w:cs="仿宋"/>
                <w:sz w:val="24"/>
              </w:rPr>
              <w:t>。</w:t>
            </w:r>
          </w:p>
          <w:p>
            <w:pPr>
              <w:adjustRightInd w:val="0"/>
              <w:snapToGrid w:val="0"/>
              <w:spacing w:line="360" w:lineRule="auto"/>
              <w:jc w:val="left"/>
              <w:rPr>
                <w:rFonts w:hint="eastAsia" w:ascii="仿宋" w:hAnsi="仿宋" w:eastAsia="仿宋" w:cs="仿宋"/>
                <w:b/>
                <w:kern w:val="0"/>
                <w:sz w:val="24"/>
              </w:rPr>
            </w:pPr>
            <w:r>
              <w:rPr>
                <w:rFonts w:hint="eastAsia" w:ascii="仿宋" w:hAnsi="仿宋" w:eastAsia="仿宋" w:cs="仿宋"/>
                <w:sz w:val="24"/>
                <w:lang w:val="en-US" w:eastAsia="zh-CN"/>
              </w:rPr>
              <w:t>2</w:t>
            </w:r>
            <w:r>
              <w:rPr>
                <w:rFonts w:hint="eastAsia" w:ascii="仿宋" w:hAnsi="仿宋" w:eastAsia="仿宋" w:cs="仿宋"/>
                <w:sz w:val="24"/>
              </w:rPr>
              <w:t>、代理报酬的支付时间：</w:t>
            </w:r>
            <w:r>
              <w:rPr>
                <w:rFonts w:hint="eastAsia" w:ascii="仿宋" w:hAnsi="仿宋" w:eastAsia="仿宋" w:cs="仿宋"/>
                <w:sz w:val="24"/>
                <w:u w:val="single"/>
              </w:rPr>
              <w:t>由中标人领取中标通知书前支付。</w:t>
            </w:r>
            <w:r>
              <w:rPr>
                <w:rFonts w:hint="eastAsia" w:ascii="仿宋" w:hAnsi="仿宋" w:eastAsia="仿宋" w:cs="仿宋"/>
                <w:kern w:val="0"/>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2</w:t>
            </w:r>
          </w:p>
        </w:tc>
        <w:tc>
          <w:tcPr>
            <w:tcW w:w="2509" w:type="dxa"/>
            <w:vAlign w:val="center"/>
          </w:tcPr>
          <w:p>
            <w:pPr>
              <w:overflowPunct w:val="0"/>
              <w:spacing w:line="360" w:lineRule="auto"/>
              <w:jc w:val="center"/>
              <w:rPr>
                <w:rFonts w:hint="eastAsia" w:ascii="仿宋" w:hAnsi="仿宋" w:eastAsia="仿宋" w:cs="仿宋"/>
                <w:sz w:val="24"/>
              </w:rPr>
            </w:pPr>
            <w:r>
              <w:rPr>
                <w:rFonts w:hint="eastAsia" w:ascii="仿宋" w:hAnsi="仿宋" w:eastAsia="仿宋" w:cs="仿宋"/>
                <w:sz w:val="24"/>
              </w:rPr>
              <w:t>低于成本价不正当</w:t>
            </w:r>
          </w:p>
          <w:p>
            <w:pPr>
              <w:overflowPunct w:val="0"/>
              <w:spacing w:line="360" w:lineRule="auto"/>
              <w:jc w:val="center"/>
              <w:rPr>
                <w:rFonts w:hint="eastAsia" w:ascii="仿宋" w:hAnsi="仿宋" w:eastAsia="仿宋" w:cs="仿宋"/>
                <w:sz w:val="24"/>
              </w:rPr>
            </w:pPr>
            <w:r>
              <w:rPr>
                <w:rFonts w:hint="eastAsia" w:ascii="仿宋" w:hAnsi="仿宋" w:eastAsia="仿宋" w:cs="仿宋"/>
                <w:sz w:val="24"/>
              </w:rPr>
              <w:t>竞争预防措施</w:t>
            </w:r>
          </w:p>
        </w:tc>
        <w:tc>
          <w:tcPr>
            <w:tcW w:w="6837" w:type="dxa"/>
            <w:vAlign w:val="center"/>
          </w:tcPr>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3</w:t>
            </w:r>
          </w:p>
        </w:tc>
        <w:tc>
          <w:tcPr>
            <w:tcW w:w="2509"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政府采购政策支持</w:t>
            </w:r>
          </w:p>
        </w:tc>
        <w:tc>
          <w:tcPr>
            <w:tcW w:w="6837" w:type="dxa"/>
          </w:tcPr>
          <w:p>
            <w:pPr>
              <w:spacing w:line="360" w:lineRule="auto"/>
              <w:rPr>
                <w:rFonts w:hint="eastAsia" w:ascii="仿宋" w:hAnsi="仿宋" w:eastAsia="仿宋" w:cs="仿宋"/>
                <w:sz w:val="24"/>
              </w:rPr>
            </w:pPr>
            <w:r>
              <w:rPr>
                <w:rFonts w:hint="eastAsia" w:ascii="仿宋" w:hAnsi="仿宋" w:eastAsia="仿宋" w:cs="仿宋"/>
                <w:sz w:val="24"/>
              </w:rPr>
              <w:t>节约能源、保护环境、扶持不发达地区和少数民族地区、促进中小企业发展等政府采购政策。</w:t>
            </w:r>
          </w:p>
          <w:p>
            <w:pPr>
              <w:spacing w:line="360" w:lineRule="auto"/>
              <w:rPr>
                <w:rFonts w:hint="eastAsia" w:ascii="仿宋" w:hAnsi="仿宋" w:eastAsia="仿宋" w:cs="仿宋"/>
                <w:sz w:val="24"/>
              </w:rPr>
            </w:pPr>
            <w:r>
              <w:rPr>
                <w:rFonts w:hint="eastAsia" w:ascii="仿宋" w:hAnsi="仿宋" w:eastAsia="仿宋" w:cs="仿宋"/>
                <w:sz w:val="24"/>
              </w:rPr>
              <w:t>1、本项目为专门面向中小微企业，本项目采购标的对应的中小微企业划分标准所属行业为</w:t>
            </w:r>
            <w:r>
              <w:rPr>
                <w:rFonts w:hint="eastAsia" w:ascii="仿宋" w:hAnsi="仿宋" w:eastAsia="仿宋" w:cs="仿宋"/>
                <w:b/>
                <w:bCs/>
                <w:sz w:val="24"/>
                <w:lang w:eastAsia="zh-CN"/>
              </w:rPr>
              <w:t>其他未列明行业</w:t>
            </w:r>
            <w:r>
              <w:rPr>
                <w:rFonts w:hint="eastAsia" w:ascii="仿宋" w:hAnsi="仿宋" w:eastAsia="仿宋" w:cs="仿宋"/>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24</w:t>
            </w:r>
          </w:p>
        </w:tc>
        <w:tc>
          <w:tcPr>
            <w:tcW w:w="2509" w:type="dxa"/>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b/>
                <w:bCs/>
                <w:sz w:val="24"/>
              </w:rPr>
              <w:t>注意事项</w:t>
            </w:r>
          </w:p>
        </w:tc>
        <w:tc>
          <w:tcPr>
            <w:tcW w:w="6837" w:type="dxa"/>
            <w:vAlign w:val="center"/>
          </w:tcPr>
          <w:p>
            <w:pPr>
              <w:spacing w:line="360" w:lineRule="auto"/>
              <w:jc w:val="left"/>
              <w:rPr>
                <w:rFonts w:hint="eastAsia" w:ascii="仿宋" w:hAnsi="仿宋" w:eastAsia="仿宋" w:cs="仿宋"/>
                <w:sz w:val="24"/>
              </w:rPr>
            </w:pPr>
            <w:r>
              <w:rPr>
                <w:rFonts w:hint="eastAsia" w:ascii="仿宋" w:hAnsi="仿宋" w:eastAsia="仿宋" w:cs="仿宋"/>
                <w:sz w:val="24"/>
              </w:rPr>
              <w:t>1、请务必确保投标文件制作客户端为最新版本，旧版本可能导致投标文件解密失败。</w:t>
            </w:r>
          </w:p>
          <w:p>
            <w:pPr>
              <w:spacing w:line="360" w:lineRule="auto"/>
              <w:jc w:val="left"/>
              <w:rPr>
                <w:rFonts w:hint="eastAsia" w:ascii="仿宋" w:hAnsi="仿宋" w:eastAsia="仿宋" w:cs="仿宋"/>
                <w:sz w:val="24"/>
                <w:lang w:val="en-US" w:eastAsia="zh-CN"/>
              </w:rPr>
            </w:pPr>
            <w:r>
              <w:rPr>
                <w:rFonts w:hint="eastAsia" w:ascii="仿宋" w:hAnsi="仿宋" w:eastAsia="仿宋" w:cs="仿宋"/>
                <w:sz w:val="24"/>
              </w:rPr>
              <w:t>2、请务必确保投标文件制作时所用的CA锁与投标文件解密时的CA锁为同一把，否则可能导致投标文件解密失败。</w:t>
            </w:r>
          </w:p>
        </w:tc>
      </w:tr>
    </w:tbl>
    <w:p>
      <w:pPr>
        <w:pStyle w:val="4"/>
        <w:bidi w:val="0"/>
        <w:spacing w:line="360" w:lineRule="auto"/>
        <w:rPr>
          <w:rFonts w:hint="eastAsia" w:ascii="仿宋" w:hAnsi="仿宋" w:eastAsia="仿宋" w:cs="仿宋"/>
        </w:rPr>
      </w:pPr>
      <w:bookmarkStart w:id="29" w:name="_Toc128152407"/>
      <w:bookmarkStart w:id="30" w:name="_Toc497239284"/>
      <w:bookmarkStart w:id="31" w:name="_Toc22531"/>
    </w:p>
    <w:p>
      <w:pPr>
        <w:pStyle w:val="4"/>
        <w:bidi w:val="0"/>
        <w:spacing w:line="360" w:lineRule="auto"/>
        <w:rPr>
          <w:rFonts w:hint="eastAsia" w:ascii="仿宋" w:hAnsi="仿宋" w:eastAsia="仿宋" w:cs="仿宋"/>
        </w:rPr>
      </w:pPr>
    </w:p>
    <w:p>
      <w:pPr>
        <w:pStyle w:val="4"/>
        <w:bidi w:val="0"/>
        <w:spacing w:line="360" w:lineRule="auto"/>
        <w:rPr>
          <w:rFonts w:hint="eastAsia" w:ascii="仿宋" w:hAnsi="仿宋" w:eastAsia="仿宋" w:cs="仿宋"/>
        </w:rPr>
      </w:pPr>
    </w:p>
    <w:p>
      <w:pPr>
        <w:pStyle w:val="4"/>
        <w:bidi w:val="0"/>
        <w:spacing w:line="360" w:lineRule="auto"/>
        <w:rPr>
          <w:rFonts w:hint="eastAsia" w:ascii="仿宋" w:hAnsi="仿宋" w:eastAsia="仿宋" w:cs="仿宋"/>
        </w:rPr>
      </w:pPr>
    </w:p>
    <w:p>
      <w:pPr>
        <w:pStyle w:val="4"/>
        <w:bidi w:val="0"/>
        <w:spacing w:line="360" w:lineRule="auto"/>
        <w:rPr>
          <w:rFonts w:hint="eastAsia" w:ascii="仿宋" w:hAnsi="仿宋" w:eastAsia="仿宋" w:cs="仿宋"/>
        </w:rPr>
      </w:pPr>
    </w:p>
    <w:p>
      <w:pPr>
        <w:pStyle w:val="4"/>
        <w:bidi w:val="0"/>
        <w:spacing w:line="360" w:lineRule="auto"/>
        <w:rPr>
          <w:rFonts w:hint="eastAsia" w:ascii="仿宋" w:hAnsi="仿宋" w:eastAsia="仿宋" w:cs="仿宋"/>
        </w:rPr>
      </w:pPr>
    </w:p>
    <w:p>
      <w:pPr>
        <w:pStyle w:val="4"/>
        <w:bidi w:val="0"/>
        <w:spacing w:line="360" w:lineRule="auto"/>
        <w:rPr>
          <w:rFonts w:hint="eastAsia" w:ascii="仿宋" w:hAnsi="仿宋" w:eastAsia="仿宋" w:cs="仿宋"/>
        </w:rPr>
      </w:pPr>
    </w:p>
    <w:p>
      <w:pPr>
        <w:pStyle w:val="4"/>
        <w:bidi w:val="0"/>
        <w:spacing w:line="360" w:lineRule="auto"/>
        <w:rPr>
          <w:rFonts w:hint="eastAsia" w:ascii="仿宋" w:hAnsi="仿宋" w:eastAsia="仿宋" w:cs="仿宋"/>
        </w:rPr>
      </w:pPr>
    </w:p>
    <w:p>
      <w:pPr>
        <w:pStyle w:val="4"/>
        <w:bidi w:val="0"/>
        <w:spacing w:line="360" w:lineRule="auto"/>
        <w:rPr>
          <w:rFonts w:hint="eastAsia" w:ascii="仿宋" w:hAnsi="仿宋" w:eastAsia="仿宋" w:cs="仿宋"/>
        </w:rPr>
      </w:pPr>
    </w:p>
    <w:p>
      <w:pPr>
        <w:pStyle w:val="4"/>
        <w:bidi w:val="0"/>
        <w:spacing w:line="360" w:lineRule="auto"/>
        <w:rPr>
          <w:rFonts w:hint="eastAsia" w:ascii="仿宋" w:hAnsi="仿宋" w:eastAsia="仿宋" w:cs="仿宋"/>
        </w:rPr>
      </w:pPr>
    </w:p>
    <w:p>
      <w:pPr>
        <w:pStyle w:val="4"/>
        <w:bidi w:val="0"/>
        <w:spacing w:line="360" w:lineRule="auto"/>
        <w:rPr>
          <w:rFonts w:hint="eastAsia" w:ascii="仿宋" w:hAnsi="仿宋" w:eastAsia="仿宋" w:cs="仿宋"/>
        </w:rPr>
      </w:pPr>
    </w:p>
    <w:p>
      <w:pPr>
        <w:pStyle w:val="4"/>
        <w:bidi w:val="0"/>
        <w:spacing w:line="360" w:lineRule="auto"/>
        <w:rPr>
          <w:rFonts w:hint="eastAsia" w:ascii="仿宋" w:hAnsi="仿宋" w:eastAsia="仿宋" w:cs="仿宋"/>
        </w:rPr>
      </w:pPr>
    </w:p>
    <w:p>
      <w:pPr>
        <w:pStyle w:val="4"/>
        <w:bidi w:val="0"/>
        <w:spacing w:line="360" w:lineRule="auto"/>
        <w:rPr>
          <w:rFonts w:hint="eastAsia" w:ascii="仿宋" w:hAnsi="仿宋" w:eastAsia="仿宋" w:cs="仿宋"/>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rPr>
      </w:pPr>
    </w:p>
    <w:p>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rPr>
      </w:pPr>
      <w:r>
        <w:rPr>
          <w:rFonts w:hint="eastAsia" w:ascii="仿宋" w:hAnsi="仿宋" w:eastAsia="仿宋" w:cs="仿宋"/>
        </w:rPr>
        <w:t>第</w:t>
      </w:r>
      <w:r>
        <w:rPr>
          <w:rFonts w:hint="eastAsia" w:ascii="仿宋" w:hAnsi="仿宋" w:eastAsia="仿宋" w:cs="仿宋"/>
          <w:lang w:eastAsia="zh-CN"/>
        </w:rPr>
        <w:t>二</w:t>
      </w:r>
      <w:r>
        <w:rPr>
          <w:rFonts w:hint="eastAsia" w:ascii="仿宋" w:hAnsi="仿宋" w:eastAsia="仿宋" w:cs="仿宋"/>
        </w:rPr>
        <w:t>章 总则</w:t>
      </w:r>
      <w:bookmarkEnd w:id="29"/>
      <w:bookmarkEnd w:id="30"/>
      <w:bookmarkEnd w:id="31"/>
    </w:p>
    <w:p>
      <w:pPr>
        <w:spacing w:line="360" w:lineRule="auto"/>
        <w:ind w:firstLine="472" w:firstLineChars="196"/>
        <w:rPr>
          <w:rFonts w:hint="eastAsia" w:ascii="仿宋" w:hAnsi="仿宋" w:eastAsia="仿宋" w:cs="仿宋"/>
          <w:b/>
          <w:sz w:val="24"/>
        </w:rPr>
      </w:pPr>
      <w:r>
        <w:rPr>
          <w:rFonts w:hint="eastAsia" w:ascii="仿宋" w:hAnsi="仿宋" w:eastAsia="仿宋" w:cs="仿宋"/>
          <w:b/>
          <w:sz w:val="24"/>
        </w:rPr>
        <w:t>1. 适用范围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  本招标文件仅适用于</w:t>
      </w:r>
      <w:r>
        <w:rPr>
          <w:rFonts w:hint="eastAsia" w:ascii="仿宋" w:hAnsi="仿宋" w:eastAsia="仿宋" w:cs="仿宋"/>
          <w:sz w:val="24"/>
          <w:lang w:eastAsia="zh-CN"/>
        </w:rPr>
        <w:t>新疆卫中森工程管理服务有限公司</w:t>
      </w:r>
      <w:r>
        <w:rPr>
          <w:rFonts w:hint="eastAsia" w:ascii="仿宋" w:hAnsi="仿宋" w:eastAsia="仿宋" w:cs="仿宋"/>
          <w:sz w:val="24"/>
        </w:rPr>
        <w:t>的本次招标活动。</w:t>
      </w:r>
    </w:p>
    <w:p>
      <w:pPr>
        <w:tabs>
          <w:tab w:val="left" w:pos="1185"/>
        </w:tabs>
        <w:spacing w:line="360" w:lineRule="auto"/>
        <w:ind w:firstLine="482" w:firstLineChars="200"/>
        <w:rPr>
          <w:rFonts w:hint="eastAsia" w:ascii="仿宋" w:hAnsi="仿宋" w:eastAsia="仿宋" w:cs="仿宋"/>
          <w:b/>
          <w:sz w:val="24"/>
        </w:rPr>
      </w:pPr>
      <w:r>
        <w:rPr>
          <w:rFonts w:hint="eastAsia" w:ascii="仿宋" w:hAnsi="仿宋" w:eastAsia="仿宋" w:cs="仿宋"/>
          <w:b/>
          <w:sz w:val="24"/>
        </w:rPr>
        <w:t>2. 投标资格</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2.1.满足《中华人民共和国政府采购法》第二十二条规定；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2.2.落实政府采购政策需满足的资格要求：见投标须知前附表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2.3.本项目的特定资格要求：见投标须知前附表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 投标人存在下列情形之一的，拒绝其参加本次投标（已投标的按无效标处理）：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（1）为招标人不具有独立法人资格的附属机构（单位）；</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（2）为本标段前期准备提供设计或咨询服务的；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（3）为本标段提供招标代理服务的；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（4）法定代表人为同一人的两个及两个以上法人，母公司、全资子公司及其控股公司，在同一货物采购招标中同时投标的；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（5）被责令停业的；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（6）被暂停或取消投标资格的；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（7）财产被接管或冻结的；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（8）在最近三年内有骗取中标或严重违约或重大质量问题的，受到行政处罚的。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 有下列情形之一的，视为投标人串通投标，其投标无效：</w:t>
      </w:r>
    </w:p>
    <w:p>
      <w:pPr>
        <w:spacing w:line="360" w:lineRule="auto"/>
        <w:ind w:firstLine="540" w:firstLineChars="225"/>
        <w:rPr>
          <w:rFonts w:hint="eastAsia" w:ascii="仿宋" w:hAnsi="仿宋" w:eastAsia="仿宋" w:cs="仿宋"/>
          <w:sz w:val="24"/>
        </w:rPr>
      </w:pPr>
      <w:r>
        <w:rPr>
          <w:rFonts w:hint="eastAsia" w:ascii="仿宋" w:hAnsi="仿宋" w:eastAsia="仿宋" w:cs="仿宋"/>
          <w:sz w:val="24"/>
        </w:rPr>
        <w:t>（1）不同投标人的投标文件由同一单位或者个人编制。</w:t>
      </w:r>
    </w:p>
    <w:p>
      <w:pPr>
        <w:spacing w:line="360" w:lineRule="auto"/>
        <w:ind w:firstLine="540" w:firstLineChars="225"/>
        <w:rPr>
          <w:rFonts w:hint="eastAsia" w:ascii="仿宋" w:hAnsi="仿宋" w:eastAsia="仿宋" w:cs="仿宋"/>
          <w:sz w:val="24"/>
        </w:rPr>
      </w:pPr>
      <w:r>
        <w:rPr>
          <w:rFonts w:hint="eastAsia" w:ascii="仿宋" w:hAnsi="仿宋" w:eastAsia="仿宋" w:cs="仿宋"/>
          <w:sz w:val="24"/>
        </w:rPr>
        <w:t>（2）不同投标人委托同一单位或者个人办理投标事宜。</w:t>
      </w:r>
    </w:p>
    <w:p>
      <w:pPr>
        <w:spacing w:line="360" w:lineRule="auto"/>
        <w:ind w:firstLine="540" w:firstLineChars="225"/>
        <w:rPr>
          <w:rFonts w:hint="eastAsia" w:ascii="仿宋" w:hAnsi="仿宋" w:eastAsia="仿宋" w:cs="仿宋"/>
          <w:sz w:val="24"/>
        </w:rPr>
      </w:pPr>
      <w:r>
        <w:rPr>
          <w:rFonts w:hint="eastAsia" w:ascii="仿宋" w:hAnsi="仿宋" w:eastAsia="仿宋" w:cs="仿宋"/>
          <w:sz w:val="24"/>
        </w:rPr>
        <w:t>（3）不同投标人的投标文件载明的项目管理成员或者联系人员为同一人。</w:t>
      </w:r>
    </w:p>
    <w:p>
      <w:pPr>
        <w:spacing w:line="360" w:lineRule="auto"/>
        <w:ind w:firstLine="540" w:firstLineChars="225"/>
        <w:rPr>
          <w:rFonts w:hint="eastAsia" w:ascii="仿宋" w:hAnsi="仿宋" w:eastAsia="仿宋" w:cs="仿宋"/>
          <w:sz w:val="24"/>
        </w:rPr>
      </w:pPr>
      <w:r>
        <w:rPr>
          <w:rFonts w:hint="eastAsia" w:ascii="仿宋" w:hAnsi="仿宋" w:eastAsia="仿宋" w:cs="仿宋"/>
          <w:sz w:val="24"/>
        </w:rPr>
        <w:t>（4）不同投标人的投标文件异常一致或者投标报价呈规律性差异。</w:t>
      </w:r>
    </w:p>
    <w:p>
      <w:pPr>
        <w:spacing w:line="360" w:lineRule="auto"/>
        <w:ind w:firstLine="540" w:firstLineChars="225"/>
        <w:rPr>
          <w:rFonts w:hint="eastAsia" w:ascii="仿宋" w:hAnsi="仿宋" w:eastAsia="仿宋" w:cs="仿宋"/>
          <w:sz w:val="24"/>
        </w:rPr>
      </w:pPr>
      <w:r>
        <w:rPr>
          <w:rFonts w:hint="eastAsia" w:ascii="仿宋" w:hAnsi="仿宋" w:eastAsia="仿宋" w:cs="仿宋"/>
          <w:sz w:val="24"/>
        </w:rPr>
        <w:t>（5）不同投标人的投标文件相互混装。</w:t>
      </w:r>
    </w:p>
    <w:p>
      <w:pPr>
        <w:spacing w:line="360" w:lineRule="auto"/>
        <w:ind w:firstLine="540" w:firstLineChars="225"/>
        <w:rPr>
          <w:rFonts w:hint="eastAsia" w:ascii="仿宋" w:hAnsi="仿宋" w:eastAsia="仿宋" w:cs="仿宋"/>
          <w:sz w:val="24"/>
        </w:rPr>
      </w:pPr>
      <w:r>
        <w:rPr>
          <w:rFonts w:hint="eastAsia" w:ascii="仿宋" w:hAnsi="仿宋" w:eastAsia="仿宋" w:cs="仿宋"/>
          <w:sz w:val="24"/>
        </w:rPr>
        <w:t>（6）不同投标人的投标保证金从同一单位或者个人的账户转出。</w:t>
      </w:r>
    </w:p>
    <w:p>
      <w:pPr>
        <w:spacing w:line="360" w:lineRule="auto"/>
        <w:ind w:firstLine="566" w:firstLineChars="236"/>
        <w:rPr>
          <w:rFonts w:hint="eastAsia" w:ascii="仿宋" w:hAnsi="仿宋" w:eastAsia="仿宋" w:cs="仿宋"/>
          <w:sz w:val="24"/>
        </w:rPr>
      </w:pPr>
      <w:r>
        <w:rPr>
          <w:rFonts w:hint="eastAsia" w:ascii="仿宋" w:hAnsi="仿宋" w:eastAsia="仿宋" w:cs="仿宋"/>
          <w:sz w:val="24"/>
        </w:rPr>
        <w:t>（7）投标文件技术规格中的响应与事实不符或虚假投标的；</w:t>
      </w:r>
    </w:p>
    <w:p>
      <w:pPr>
        <w:spacing w:line="360" w:lineRule="auto"/>
        <w:ind w:firstLine="566" w:firstLineChars="236"/>
        <w:rPr>
          <w:rFonts w:hint="eastAsia" w:ascii="仿宋" w:hAnsi="仿宋" w:eastAsia="仿宋" w:cs="仿宋"/>
          <w:sz w:val="24"/>
        </w:rPr>
      </w:pPr>
      <w:r>
        <w:rPr>
          <w:rFonts w:hint="eastAsia" w:ascii="仿宋" w:hAnsi="仿宋" w:eastAsia="仿宋" w:cs="仿宋"/>
          <w:sz w:val="24"/>
        </w:rPr>
        <w:t>（8）投标文件符合招标文件中规定废标的其它技术条款；</w:t>
      </w:r>
    </w:p>
    <w:p>
      <w:pPr>
        <w:spacing w:line="360" w:lineRule="auto"/>
        <w:ind w:firstLine="566" w:firstLineChars="236"/>
        <w:rPr>
          <w:rFonts w:hint="eastAsia" w:ascii="仿宋" w:hAnsi="仿宋" w:eastAsia="仿宋" w:cs="仿宋"/>
          <w:sz w:val="24"/>
        </w:rPr>
      </w:pPr>
      <w:r>
        <w:rPr>
          <w:rFonts w:hint="eastAsia" w:ascii="仿宋" w:hAnsi="仿宋" w:eastAsia="仿宋" w:cs="仿宋"/>
          <w:sz w:val="24"/>
        </w:rPr>
        <w:t>（9）投标人拒绝修正错误的；</w:t>
      </w:r>
    </w:p>
    <w:p>
      <w:pPr>
        <w:spacing w:line="360" w:lineRule="auto"/>
        <w:ind w:firstLine="566" w:firstLineChars="236"/>
        <w:rPr>
          <w:rFonts w:hint="eastAsia" w:ascii="仿宋" w:hAnsi="仿宋" w:eastAsia="仿宋" w:cs="仿宋"/>
          <w:sz w:val="24"/>
        </w:rPr>
      </w:pPr>
      <w:r>
        <w:rPr>
          <w:rFonts w:hint="eastAsia" w:ascii="仿宋" w:hAnsi="仿宋" w:eastAsia="仿宋" w:cs="仿宋"/>
          <w:sz w:val="24"/>
        </w:rPr>
        <w:t>（10）其他违反相关法律法规规定的行为的；</w:t>
      </w:r>
    </w:p>
    <w:p>
      <w:pPr>
        <w:spacing w:line="360" w:lineRule="auto"/>
        <w:ind w:firstLine="540" w:firstLineChars="225"/>
        <w:rPr>
          <w:rFonts w:hint="eastAsia" w:ascii="仿宋" w:hAnsi="仿宋" w:eastAsia="仿宋" w:cs="仿宋"/>
          <w:sz w:val="24"/>
        </w:rPr>
      </w:pPr>
      <w:r>
        <w:rPr>
          <w:rFonts w:hint="eastAsia" w:ascii="仿宋" w:hAnsi="仿宋" w:eastAsia="仿宋" w:cs="仿宋"/>
          <w:sz w:val="24"/>
        </w:rPr>
        <w:t>（11）评标委员会认为是其他应当否决的投标。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5.投标人在本次招标活动中，必须遵守《中华人民共和国政府采购法》及相关法律法规的规定。</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6. 定义</w:t>
      </w:r>
    </w:p>
    <w:p>
      <w:pPr>
        <w:spacing w:line="360" w:lineRule="auto"/>
        <w:ind w:firstLine="482"/>
        <w:rPr>
          <w:rFonts w:hint="eastAsia" w:ascii="仿宋" w:hAnsi="仿宋" w:eastAsia="仿宋" w:cs="仿宋"/>
          <w:sz w:val="24"/>
        </w:rPr>
      </w:pPr>
      <w:r>
        <w:rPr>
          <w:rFonts w:hint="eastAsia" w:ascii="仿宋" w:hAnsi="仿宋" w:eastAsia="仿宋" w:cs="仿宋"/>
          <w:sz w:val="24"/>
        </w:rPr>
        <w:t>下列术语和缩写的定义为：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6.1  “采购人”是指依法进行政府采购的国家机关、事业单位、团体组织。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  “招标代理机构”系指</w:t>
      </w:r>
      <w:r>
        <w:rPr>
          <w:rFonts w:hint="eastAsia" w:ascii="仿宋" w:hAnsi="仿宋" w:eastAsia="仿宋" w:cs="仿宋"/>
          <w:sz w:val="24"/>
          <w:lang w:eastAsia="zh-CN"/>
        </w:rPr>
        <w:t>新疆卫中森工程管理服务有限公司</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6.3  “招标方”系指采购人和招标代理机构的统称。</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6.4  “投标人”是响应招标文件并且符合招标文件规定资格条件和参加投标竞争的法人、其他组织或者自然人。</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6.5　“投标人”是指向采购人提供货物、工程或者服务的法人、其他组织或者自然人。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6.6  “投标人代表”是指投标人法定代表人，或法定代表人指定的某一代表自己参与和处理与投标项目有关事宜的自然人。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6.7 “中标人”系指经评标委员会评定后由评标委员会推荐并由采购人确定的投标人。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6.8  “服务”指本招标文件中第四部分《采购需求》及指招标文件中规定投标人须承担的质保、技术协助、培训及其他类似的责任。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6.9  采购信息安全产品的，应当采购经国家认证的信息安全产品；供应货物中的相关产品，投标人应提供由中国信息安全认证中心按国家标准认证颁发的有效认证证书。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6.10 “节能产品”或者“环保产品”是指财政部发布的《节能产品政府采购品目清单》内并获得认证的产品及《环境标志产品政府采购品目清单》内并获得认证的产品。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6.11 “进口产品”是指通过中国海关报关验放进入中国境内且产自关境外的产品，详见《关于政府采购进口产品管理有关问题的通知》(财库[2007]119号)。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6.12 “响应”系指投标人根据招标代理机构发布的招标文件，编制投标文件并按规定投标的行为。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6.13  “标段（包、标项）”系指一个完整独立的投标项目。</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7. 投标费用</w:t>
      </w:r>
    </w:p>
    <w:p>
      <w:pPr>
        <w:spacing w:line="360" w:lineRule="auto"/>
        <w:ind w:firstLine="482"/>
        <w:rPr>
          <w:rFonts w:hint="eastAsia" w:ascii="仿宋" w:hAnsi="仿宋" w:eastAsia="仿宋" w:cs="仿宋"/>
          <w:sz w:val="24"/>
        </w:rPr>
      </w:pPr>
      <w:r>
        <w:rPr>
          <w:rFonts w:hint="eastAsia" w:ascii="仿宋" w:hAnsi="仿宋" w:eastAsia="仿宋" w:cs="仿宋"/>
          <w:sz w:val="24"/>
        </w:rPr>
        <w:t>7.1  无论投标结果如何，凡参与招标、投标活动有关的所有费用将由投标人自行承担。</w:t>
      </w:r>
    </w:p>
    <w:p>
      <w:pPr>
        <w:tabs>
          <w:tab w:val="left" w:pos="1185"/>
        </w:tabs>
        <w:spacing w:line="360" w:lineRule="auto"/>
        <w:ind w:firstLine="480" w:firstLineChars="200"/>
        <w:rPr>
          <w:rFonts w:hint="eastAsia" w:ascii="仿宋" w:hAnsi="仿宋" w:eastAsia="仿宋" w:cs="仿宋"/>
          <w:sz w:val="24"/>
        </w:rPr>
      </w:pPr>
      <w:r>
        <w:rPr>
          <w:rFonts w:hint="eastAsia" w:ascii="仿宋" w:hAnsi="仿宋" w:eastAsia="仿宋" w:cs="仿宋"/>
          <w:sz w:val="24"/>
        </w:rPr>
        <w:t>7.2  投标人被视为熟悉本招标项目的各种情况以及与履行合同有关的一切情况。</w:t>
      </w:r>
    </w:p>
    <w:p>
      <w:pPr>
        <w:tabs>
          <w:tab w:val="left" w:pos="1185"/>
        </w:tabs>
        <w:spacing w:line="360" w:lineRule="auto"/>
        <w:ind w:firstLine="480" w:firstLineChars="200"/>
        <w:rPr>
          <w:rFonts w:hint="eastAsia" w:ascii="仿宋" w:hAnsi="仿宋" w:eastAsia="仿宋" w:cs="仿宋"/>
          <w:sz w:val="24"/>
        </w:rPr>
      </w:pPr>
    </w:p>
    <w:p>
      <w:pPr>
        <w:pStyle w:val="12"/>
        <w:spacing w:line="360" w:lineRule="auto"/>
        <w:rPr>
          <w:rFonts w:hint="eastAsia" w:ascii="仿宋" w:hAnsi="仿宋" w:eastAsia="仿宋" w:cs="仿宋"/>
          <w:sz w:val="24"/>
        </w:rPr>
      </w:pPr>
    </w:p>
    <w:p>
      <w:pPr>
        <w:pStyle w:val="13"/>
        <w:spacing w:line="360" w:lineRule="auto"/>
        <w:rPr>
          <w:rFonts w:hint="eastAsia" w:ascii="仿宋" w:hAnsi="仿宋" w:eastAsia="仿宋" w:cs="仿宋"/>
        </w:rPr>
      </w:pPr>
    </w:p>
    <w:p>
      <w:pPr>
        <w:pStyle w:val="4"/>
        <w:bidi w:val="0"/>
        <w:spacing w:line="360" w:lineRule="auto"/>
        <w:rPr>
          <w:rFonts w:hint="eastAsia" w:ascii="仿宋" w:hAnsi="仿宋" w:eastAsia="仿宋" w:cs="仿宋"/>
          <w:lang w:eastAsia="zh-CN"/>
        </w:rPr>
      </w:pPr>
      <w:bookmarkStart w:id="32" w:name="_Toc10457"/>
      <w:bookmarkStart w:id="33" w:name="_Toc128152414"/>
      <w:bookmarkStart w:id="34" w:name="_Toc497239292"/>
      <w:r>
        <w:rPr>
          <w:rFonts w:hint="eastAsia" w:ascii="仿宋" w:hAnsi="仿宋" w:eastAsia="仿宋" w:cs="仿宋"/>
          <w:lang w:eastAsia="zh-CN"/>
        </w:rPr>
        <w:t>第三章</w:t>
      </w:r>
      <w:r>
        <w:rPr>
          <w:rFonts w:hint="eastAsia" w:ascii="仿宋" w:hAnsi="仿宋" w:eastAsia="仿宋" w:cs="仿宋"/>
          <w:lang w:val="en-US" w:eastAsia="zh-CN"/>
        </w:rPr>
        <w:t xml:space="preserve">  </w:t>
      </w:r>
      <w:r>
        <w:rPr>
          <w:rFonts w:hint="eastAsia" w:ascii="仿宋" w:hAnsi="仿宋" w:eastAsia="仿宋" w:cs="仿宋"/>
          <w:lang w:eastAsia="zh-CN"/>
        </w:rPr>
        <w:t>招标文件</w:t>
      </w:r>
      <w:bookmarkEnd w:id="32"/>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招标文件</w:t>
      </w:r>
      <w:r>
        <w:rPr>
          <w:rFonts w:hint="eastAsia" w:ascii="仿宋" w:hAnsi="仿宋" w:eastAsia="仿宋" w:cs="仿宋"/>
          <w:b/>
          <w:color w:val="auto"/>
          <w:sz w:val="24"/>
          <w:szCs w:val="24"/>
          <w:highlight w:val="none"/>
        </w:rPr>
        <w:t>的编制依据</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根据《中华人民共和国政府采购法》、《政府采购货物和服务招标投标管理办法》和《中华人民共和国合同法》</w:t>
      </w:r>
      <w:r>
        <w:rPr>
          <w:rFonts w:hint="eastAsia" w:ascii="仿宋" w:hAnsi="仿宋" w:eastAsia="仿宋" w:cs="仿宋"/>
          <w:color w:val="auto"/>
          <w:spacing w:val="-2"/>
          <w:sz w:val="24"/>
          <w:szCs w:val="24"/>
          <w:highlight w:val="none"/>
        </w:rPr>
        <w:t>等相关法律法规和规章及部、省、市级规范性文件的规定，编制本</w:t>
      </w:r>
      <w:r>
        <w:rPr>
          <w:rFonts w:hint="eastAsia" w:ascii="仿宋" w:hAnsi="仿宋" w:eastAsia="仿宋" w:cs="仿宋"/>
          <w:color w:val="auto"/>
          <w:spacing w:val="-2"/>
          <w:sz w:val="24"/>
          <w:szCs w:val="24"/>
          <w:highlight w:val="none"/>
          <w:lang w:eastAsia="zh-CN"/>
        </w:rPr>
        <w:t>招标文件</w:t>
      </w:r>
      <w:r>
        <w:rPr>
          <w:rFonts w:hint="eastAsia" w:ascii="仿宋" w:hAnsi="仿宋" w:eastAsia="仿宋" w:cs="仿宋"/>
          <w:color w:val="auto"/>
          <w:spacing w:val="-2"/>
          <w:sz w:val="24"/>
          <w:szCs w:val="24"/>
          <w:highlight w:val="none"/>
        </w:rPr>
        <w:t>。</w:t>
      </w:r>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招标文件</w:t>
      </w:r>
      <w:r>
        <w:rPr>
          <w:rFonts w:hint="eastAsia" w:ascii="仿宋" w:hAnsi="仿宋" w:eastAsia="仿宋" w:cs="仿宋"/>
          <w:b/>
          <w:color w:val="auto"/>
          <w:sz w:val="24"/>
          <w:szCs w:val="24"/>
          <w:highlight w:val="none"/>
        </w:rPr>
        <w:t>的组成</w:t>
      </w:r>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包括内容：</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招</w:t>
      </w:r>
      <w:r>
        <w:rPr>
          <w:rFonts w:hint="eastAsia" w:ascii="仿宋" w:hAnsi="仿宋" w:eastAsia="仿宋" w:cs="仿宋"/>
          <w:color w:val="auto"/>
          <w:sz w:val="24"/>
          <w:szCs w:val="24"/>
          <w:highlight w:val="none"/>
        </w:rPr>
        <w:t>标公告</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投标须知</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评标办法</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采购内容及技术要求</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合同条款及格式</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  投标文件格式文本</w:t>
      </w:r>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除</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.1内容外，招标答疑亦为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的组成部分，对招标人和投标人起约束作用。</w:t>
      </w:r>
    </w:p>
    <w:p>
      <w:pPr>
        <w:pStyle w:val="15"/>
        <w:shd w:val="clear" w:color="auto" w:fill="auto"/>
        <w:wordWrap w:val="0"/>
        <w:spacing w:line="360" w:lineRule="auto"/>
        <w:ind w:firstLine="240" w:firstLineChars="1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none" w:color="auto"/>
        </w:rPr>
        <w:t>投标人应仔细阅读和检查</w:t>
      </w:r>
      <w:r>
        <w:rPr>
          <w:rFonts w:hint="eastAsia" w:ascii="仿宋" w:hAnsi="仿宋" w:eastAsia="仿宋" w:cs="仿宋"/>
          <w:color w:val="auto"/>
          <w:sz w:val="24"/>
          <w:szCs w:val="24"/>
          <w:highlight w:val="none"/>
          <w:u w:val="none" w:color="auto"/>
          <w:lang w:eastAsia="zh-CN"/>
        </w:rPr>
        <w:t>招标文件</w:t>
      </w:r>
      <w:r>
        <w:rPr>
          <w:rFonts w:hint="eastAsia" w:ascii="仿宋" w:hAnsi="仿宋" w:eastAsia="仿宋" w:cs="仿宋"/>
          <w:color w:val="auto"/>
          <w:sz w:val="24"/>
          <w:szCs w:val="24"/>
          <w:highlight w:val="none"/>
          <w:u w:val="none" w:color="auto"/>
        </w:rPr>
        <w:t>的全部内容。如发现缺页或附件不全，应及时向招标人提出，以便补齐。如有疑问，投标人应在</w:t>
      </w:r>
      <w:r>
        <w:rPr>
          <w:rFonts w:hint="eastAsia" w:ascii="仿宋" w:hAnsi="仿宋" w:eastAsia="仿宋" w:cs="仿宋"/>
          <w:color w:val="auto"/>
          <w:sz w:val="24"/>
          <w:szCs w:val="24"/>
          <w:highlight w:val="none"/>
        </w:rPr>
        <w:t>以书面形式一次性向采购人和采购代理机构提出同一环节的质疑</w:t>
      </w:r>
      <w:r>
        <w:rPr>
          <w:rFonts w:hint="eastAsia" w:ascii="仿宋" w:hAnsi="仿宋" w:eastAsia="仿宋" w:cs="仿宋"/>
          <w:color w:val="auto"/>
          <w:sz w:val="24"/>
          <w:szCs w:val="24"/>
          <w:highlight w:val="none"/>
          <w:u w:val="none" w:color="auto"/>
        </w:rPr>
        <w:t>。</w:t>
      </w:r>
    </w:p>
    <w:p>
      <w:pPr>
        <w:shd w:val="clear" w:color="auto" w:fill="auto"/>
        <w:wordWrap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.4供应商认为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使自己的权益受到损害的，可以自收到</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之日（</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公告期限届满之前收到</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的，以完成获取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申请后下载</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的时间为准）或者</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政府采购网下载专区下载。</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的澄清将在</w:t>
      </w:r>
      <w:r>
        <w:rPr>
          <w:rFonts w:hint="eastAsia" w:ascii="仿宋" w:hAnsi="仿宋" w:eastAsia="仿宋" w:cs="仿宋"/>
          <w:color w:val="auto"/>
          <w:sz w:val="24"/>
          <w:szCs w:val="24"/>
          <w:highlight w:val="none"/>
          <w:lang w:eastAsia="zh-CN"/>
        </w:rPr>
        <w:t>政采云平台“更正公告”栏目予以公告</w:t>
      </w:r>
      <w:r>
        <w:rPr>
          <w:rFonts w:hint="eastAsia" w:ascii="仿宋" w:hAnsi="仿宋" w:eastAsia="仿宋" w:cs="仿宋"/>
          <w:color w:val="auto"/>
          <w:sz w:val="24"/>
          <w:szCs w:val="24"/>
          <w:highlight w:val="none"/>
        </w:rPr>
        <w:t>，但不指明澄清问题的来源。如果澄清内容影响投标文件编制的，将相应延长投标截止时间。</w:t>
      </w:r>
    </w:p>
    <w:p>
      <w:pPr>
        <w:shd w:val="clear" w:color="auto" w:fill="auto"/>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的修改、补充、解释</w:t>
      </w:r>
    </w:p>
    <w:p>
      <w:pPr>
        <w:shd w:val="clear" w:color="auto" w:fill="auto"/>
        <w:wordWrap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发出后，招标人在规定的投标截止时间前可对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进行必要的修改和补充，并以</w:t>
      </w:r>
      <w:r>
        <w:rPr>
          <w:rFonts w:hint="eastAsia" w:ascii="仿宋" w:hAnsi="仿宋" w:eastAsia="仿宋" w:cs="仿宋"/>
          <w:color w:val="auto"/>
          <w:sz w:val="24"/>
          <w:szCs w:val="24"/>
          <w:highlight w:val="none"/>
          <w:lang w:eastAsia="zh-CN"/>
        </w:rPr>
        <w:t>更正</w:t>
      </w:r>
      <w:r>
        <w:rPr>
          <w:rFonts w:hint="eastAsia" w:ascii="仿宋" w:hAnsi="仿宋" w:eastAsia="仿宋" w:cs="仿宋"/>
          <w:color w:val="auto"/>
          <w:sz w:val="24"/>
          <w:szCs w:val="24"/>
          <w:highlight w:val="none"/>
        </w:rPr>
        <w:t>公告形式在</w:t>
      </w:r>
      <w:r>
        <w:rPr>
          <w:rFonts w:hint="eastAsia" w:ascii="仿宋" w:hAnsi="仿宋" w:eastAsia="仿宋" w:cs="仿宋"/>
          <w:color w:val="auto"/>
          <w:sz w:val="24"/>
          <w:szCs w:val="24"/>
          <w:highlight w:val="none"/>
          <w:lang w:eastAsia="zh-CN"/>
        </w:rPr>
        <w:t>政采云平台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更正公告</w:t>
      </w:r>
      <w:r>
        <w:rPr>
          <w:rFonts w:hint="eastAsia" w:ascii="仿宋" w:hAnsi="仿宋" w:eastAsia="仿宋" w:cs="仿宋"/>
          <w:color w:val="auto"/>
          <w:sz w:val="24"/>
          <w:szCs w:val="24"/>
          <w:highlight w:val="none"/>
        </w:rPr>
        <w:t>”栏目予以公告，请各位投标人注意查看有关澄清内容，如不及时查看造成后果由投标人自负。</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的修改、补充等内容作为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的组成部分，具有约束作用。</w:t>
      </w:r>
    </w:p>
    <w:p>
      <w:pPr>
        <w:shd w:val="clear" w:color="auto" w:fill="auto"/>
        <w:wordWrap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采购代理机构可视采购具体情况对已发出的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进行必要的澄清、修改或者补充。澄清、修改或者补充的内容可能影响投标文件编制的，应当在投标截止时间至少15日前，在原公告发布媒体上发布澄清公告，澄清或者修改的内容为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 xml:space="preserve">的组成部分；不足15日的，应当顺延提交投标文件的截止时间。 </w:t>
      </w:r>
    </w:p>
    <w:p>
      <w:pPr>
        <w:shd w:val="clear" w:color="auto" w:fill="auto"/>
        <w:wordWrap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供应商在规定的时间内未对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提出疑问、质疑或要求澄清的，将视其为无异议。</w:t>
      </w:r>
    </w:p>
    <w:p>
      <w:pPr>
        <w:shd w:val="clear" w:color="auto" w:fill="auto"/>
        <w:spacing w:line="36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的解释</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由招标人（或其委托的招标代理机构）负责解释。</w:t>
      </w:r>
    </w:p>
    <w:p>
      <w:pPr>
        <w:pStyle w:val="4"/>
        <w:bidi w:val="0"/>
        <w:spacing w:line="360" w:lineRule="auto"/>
        <w:outlineLvl w:val="9"/>
        <w:rPr>
          <w:rFonts w:hint="eastAsia" w:ascii="仿宋" w:hAnsi="仿宋" w:eastAsia="仿宋" w:cs="仿宋"/>
          <w:lang w:eastAsia="zh-CN"/>
        </w:rPr>
      </w:pPr>
      <w:bookmarkStart w:id="35" w:name="_Toc469495726"/>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rPr>
      </w:pPr>
      <w:bookmarkStart w:id="36" w:name="_Toc6503"/>
      <w:r>
        <w:rPr>
          <w:rFonts w:hint="eastAsia" w:ascii="仿宋" w:hAnsi="仿宋" w:eastAsia="仿宋" w:cs="仿宋"/>
          <w:lang w:eastAsia="zh-CN"/>
        </w:rPr>
        <w:t>第四章</w:t>
      </w:r>
      <w:r>
        <w:rPr>
          <w:rFonts w:hint="eastAsia" w:ascii="仿宋" w:hAnsi="仿宋" w:eastAsia="仿宋" w:cs="仿宋"/>
          <w:lang w:val="en-US" w:eastAsia="zh-CN"/>
        </w:rPr>
        <w:t xml:space="preserve"> </w:t>
      </w:r>
      <w:r>
        <w:rPr>
          <w:rFonts w:hint="eastAsia" w:ascii="仿宋" w:hAnsi="仿宋" w:eastAsia="仿宋" w:cs="仿宋"/>
        </w:rPr>
        <w:t>投标文件的编制</w:t>
      </w:r>
      <w:bookmarkEnd w:id="35"/>
      <w:bookmarkEnd w:id="36"/>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投标的语言及度量衡单位</w:t>
      </w:r>
    </w:p>
    <w:p>
      <w:pPr>
        <w:shd w:val="clear" w:color="auto" w:fill="auto"/>
        <w:spacing w:line="360" w:lineRule="auto"/>
        <w:ind w:firstLine="324" w:firstLineChars="1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360" w:lineRule="auto"/>
        <w:ind w:firstLine="324" w:firstLineChars="1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.2除</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中另有规定外，投标书所使用的度量衡均须采用法定计量单位。</w:t>
      </w:r>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投标文件的组成</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资格证明文件和商务及技术文件两部分。</w:t>
      </w:r>
    </w:p>
    <w:p>
      <w:pPr>
        <w:shd w:val="clear" w:color="auto" w:fill="auto"/>
        <w:spacing w:line="360" w:lineRule="auto"/>
        <w:ind w:firstLine="354" w:firstLineChars="147"/>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.1资格证明文件</w:t>
      </w:r>
      <w:r>
        <w:rPr>
          <w:rFonts w:hint="eastAsia" w:ascii="仿宋" w:hAnsi="仿宋" w:eastAsia="仿宋" w:cs="仿宋"/>
          <w:b/>
          <w:color w:val="auto"/>
          <w:sz w:val="24"/>
          <w:szCs w:val="24"/>
          <w:highlight w:val="none"/>
          <w:lang w:eastAsia="zh-CN"/>
        </w:rPr>
        <w:t>（包括但不限于）</w:t>
      </w:r>
    </w:p>
    <w:p>
      <w:pPr>
        <w:shd w:val="clear" w:color="auto" w:fill="auto"/>
        <w:spacing w:line="360" w:lineRule="auto"/>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是证明投标人有资格参加投标和中标后有能力履行合同的文件，这些文件应能满足招标的要求，否则作无效投标处理。</w:t>
      </w:r>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开标一览表（见投标文件格式一）;</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法人或者非法人组织的营业执照等证明文件复印件（须加盖本单位章）或自然人的身份证明复印件;</w:t>
      </w:r>
    </w:p>
    <w:p>
      <w:pPr>
        <w:shd w:val="clear" w:color="auto" w:fill="auto"/>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法定代表人授权委托书（见投标文件格式二，自然人投标的无需提供）</w:t>
      </w:r>
      <w:r>
        <w:rPr>
          <w:rFonts w:hint="eastAsia" w:ascii="仿宋" w:hAnsi="仿宋" w:eastAsia="仿宋" w:cs="仿宋"/>
          <w:color w:val="auto"/>
          <w:sz w:val="24"/>
          <w:szCs w:val="24"/>
          <w:highlight w:val="none"/>
          <w:lang w:eastAsia="zh-CN"/>
        </w:rPr>
        <w:t>；</w:t>
      </w:r>
    </w:p>
    <w:p>
      <w:pPr>
        <w:shd w:val="clear" w:color="auto" w:fill="auto"/>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法定代表人授权书（见投标文件格式</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，自然人投标的无需提供）</w:t>
      </w:r>
      <w:r>
        <w:rPr>
          <w:rFonts w:hint="eastAsia" w:ascii="仿宋" w:hAnsi="仿宋" w:eastAsia="仿宋" w:cs="仿宋"/>
          <w:color w:val="auto"/>
          <w:sz w:val="24"/>
          <w:szCs w:val="24"/>
          <w:highlight w:val="none"/>
          <w:lang w:eastAsia="zh-CN"/>
        </w:rPr>
        <w:t>；</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具有良好的商业信誉和健全的财务会计制度的证明文件；</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投标保证金缴纳凭证或投标担保函；</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社</w:t>
      </w:r>
      <w:r>
        <w:rPr>
          <w:rFonts w:hint="eastAsia" w:ascii="仿宋" w:hAnsi="仿宋" w:eastAsia="仿宋" w:cs="仿宋"/>
          <w:color w:val="auto"/>
          <w:sz w:val="24"/>
          <w:szCs w:val="24"/>
          <w:highlight w:val="none"/>
          <w:lang w:eastAsia="zh-CN"/>
        </w:rPr>
        <w:t>保及纳税</w:t>
      </w:r>
      <w:r>
        <w:rPr>
          <w:rFonts w:hint="eastAsia" w:ascii="仿宋" w:hAnsi="仿宋" w:eastAsia="仿宋" w:cs="仿宋"/>
          <w:color w:val="auto"/>
          <w:sz w:val="24"/>
          <w:szCs w:val="24"/>
          <w:highlight w:val="none"/>
        </w:rPr>
        <w:t>的缴纳记录</w:t>
      </w:r>
      <w:r>
        <w:rPr>
          <w:rFonts w:hint="eastAsia" w:ascii="仿宋" w:hAnsi="仿宋" w:eastAsia="仿宋" w:cs="仿宋"/>
          <w:color w:val="auto"/>
          <w:sz w:val="24"/>
          <w:szCs w:val="24"/>
          <w:highlight w:val="none"/>
          <w:lang w:eastAsia="zh-CN"/>
        </w:rPr>
        <w:t>；</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参加政府采购活动前3年内在经营活动中没有重大违法记录的书面声明;</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投标人须知资料表要求的其他资格证明文件;</w:t>
      </w:r>
    </w:p>
    <w:p>
      <w:pPr>
        <w:shd w:val="clear" w:color="auto" w:fill="auto"/>
        <w:spacing w:line="360" w:lineRule="auto"/>
        <w:ind w:firstLine="354" w:firstLineChars="147"/>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 xml:space="preserve"> 商务及技术文件</w:t>
      </w:r>
      <w:r>
        <w:rPr>
          <w:rFonts w:hint="eastAsia" w:ascii="仿宋" w:hAnsi="仿宋" w:eastAsia="仿宋" w:cs="仿宋"/>
          <w:b/>
          <w:color w:val="auto"/>
          <w:sz w:val="24"/>
          <w:szCs w:val="24"/>
          <w:highlight w:val="none"/>
          <w:lang w:eastAsia="zh-CN"/>
        </w:rPr>
        <w:t>（包括但不限于）</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）投标书</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）投标服务报价表</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）技术规格偏离表</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）商务条款偏离表</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中小微企业声明函</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）投标人关联单位的说明（格式自拟）</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）评分标准和细则中商务部分证明材料（格式自拟）</w:t>
      </w:r>
    </w:p>
    <w:p>
      <w:pPr>
        <w:shd w:val="clear" w:color="auto" w:fill="auto"/>
        <w:spacing w:line="360" w:lineRule="auto"/>
        <w:ind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）评分标准和细则中技术部分证明材料（格式自拟）</w:t>
      </w:r>
    </w:p>
    <w:p>
      <w:pPr>
        <w:shd w:val="clear" w:color="auto" w:fill="auto"/>
        <w:spacing w:line="360" w:lineRule="auto"/>
        <w:ind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）投标人认为有必要提供的其他证明材料（格式自拟）</w:t>
      </w:r>
    </w:p>
    <w:p>
      <w:pPr>
        <w:shd w:val="clear" w:color="auto" w:fill="auto"/>
        <w:spacing w:line="360" w:lineRule="auto"/>
        <w:ind w:firstLine="479" w:firstLineChars="199"/>
        <w:rPr>
          <w:rFonts w:hint="eastAsia" w:ascii="仿宋" w:hAnsi="仿宋" w:eastAsia="仿宋" w:cs="仿宋"/>
          <w:color w:val="auto"/>
          <w:sz w:val="24"/>
          <w:szCs w:val="24"/>
          <w:highlight w:val="none"/>
          <w:lang w:eastAsia="zh-CN"/>
        </w:rPr>
      </w:pPr>
      <w:r>
        <w:rPr>
          <w:rFonts w:hint="eastAsia" w:ascii="仿宋" w:hAnsi="仿宋" w:eastAsia="仿宋" w:cs="仿宋"/>
          <w:b/>
          <w:color w:val="auto"/>
          <w:kern w:val="0"/>
          <w:sz w:val="24"/>
          <w:szCs w:val="24"/>
          <w:highlight w:val="none"/>
          <w:u w:val="single"/>
        </w:rPr>
        <w:t>注：以上材料须</w:t>
      </w:r>
      <w:r>
        <w:rPr>
          <w:rFonts w:hint="eastAsia" w:ascii="仿宋" w:hAnsi="仿宋" w:eastAsia="仿宋" w:cs="仿宋"/>
          <w:b/>
          <w:color w:val="auto"/>
          <w:kern w:val="0"/>
          <w:sz w:val="24"/>
          <w:szCs w:val="24"/>
          <w:highlight w:val="none"/>
          <w:u w:val="single"/>
          <w:lang w:eastAsia="zh-CN"/>
        </w:rPr>
        <w:t>逐页</w:t>
      </w:r>
      <w:r>
        <w:rPr>
          <w:rFonts w:hint="eastAsia" w:ascii="仿宋" w:hAnsi="仿宋" w:eastAsia="仿宋" w:cs="仿宋"/>
          <w:b/>
          <w:color w:val="auto"/>
          <w:kern w:val="0"/>
          <w:sz w:val="24"/>
          <w:szCs w:val="24"/>
          <w:highlight w:val="none"/>
          <w:u w:val="single"/>
        </w:rPr>
        <w:t>加盖单位公章</w:t>
      </w:r>
      <w:r>
        <w:rPr>
          <w:rFonts w:hint="eastAsia" w:ascii="仿宋" w:hAnsi="仿宋" w:eastAsia="仿宋" w:cs="仿宋"/>
          <w:b/>
          <w:color w:val="auto"/>
          <w:kern w:val="0"/>
          <w:sz w:val="24"/>
          <w:szCs w:val="24"/>
          <w:highlight w:val="none"/>
          <w:u w:val="single"/>
          <w:lang w:eastAsia="zh-CN"/>
        </w:rPr>
        <w:t>。</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投标文件的要求</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供应商应仔细阅读招标文件的所有内容，按照招标文件的要求详细编制投标文件，所提交的全部资料必须真实有效，并且要保证字迹清晰易于辨认。投标文件应对招标文件实质性内容作出响应，否则按无效标处理。</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）投标文件格式应按本招标文件第六章格式要求编制，不得对招标文件格式进行增删更改，否则按无效标处理。</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 xml:space="preserve">）对招标文件格式可更改的例外情况：招标文件第六章附件格式要求中明确规定表格中行数不够用时可按相同格式增加行数，其他一切内容和格式不得更改。 </w:t>
      </w:r>
    </w:p>
    <w:p>
      <w:pPr>
        <w:shd w:val="clear" w:color="auto" w:fill="auto"/>
        <w:spacing w:line="360" w:lineRule="auto"/>
        <w:ind w:firstLine="477" w:firstLineChars="1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）投标文件为电子投标文件，电子投标文件按“政采云供应商项目采购-电子招投标操作指南”及本招标文件要求制作、加密传输。</w:t>
      </w:r>
    </w:p>
    <w:p>
      <w:pPr>
        <w:shd w:val="clear" w:color="auto" w:fill="auto"/>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投标报价</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.1投标报价文件中的单价和总价全部采用人民币表示。</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22.2投标报价表上应清楚地标明投标人拟提供</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的名称、</w:t>
      </w:r>
      <w:r>
        <w:rPr>
          <w:rFonts w:hint="eastAsia" w:ascii="仿宋" w:hAnsi="仿宋" w:eastAsia="仿宋" w:cs="仿宋"/>
          <w:color w:val="auto"/>
          <w:sz w:val="24"/>
          <w:szCs w:val="24"/>
          <w:highlight w:val="none"/>
          <w:lang w:eastAsia="zh-CN"/>
        </w:rPr>
        <w:t>采购的内容</w:t>
      </w:r>
      <w:r>
        <w:rPr>
          <w:rFonts w:hint="eastAsia" w:ascii="仿宋" w:hAnsi="仿宋" w:eastAsia="仿宋" w:cs="仿宋"/>
          <w:color w:val="auto"/>
          <w:sz w:val="24"/>
          <w:szCs w:val="24"/>
          <w:highlight w:val="none"/>
        </w:rPr>
        <w:t>、数量、单价和总价。</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.3投标人只允许有一个方案、一个报价。</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.4投标人应按“采购内容及技术参数要求”综合单价包括：投标报价包括服务、税金、保险、人员、专用</w:t>
      </w:r>
      <w:r>
        <w:rPr>
          <w:rFonts w:hint="eastAsia" w:ascii="仿宋" w:hAnsi="仿宋" w:eastAsia="仿宋" w:cs="仿宋"/>
          <w:color w:val="auto"/>
          <w:sz w:val="24"/>
          <w:szCs w:val="24"/>
          <w:highlight w:val="none"/>
          <w:lang w:eastAsia="zh-CN"/>
        </w:rPr>
        <w:t>（工具）</w:t>
      </w:r>
      <w:r>
        <w:rPr>
          <w:rFonts w:hint="eastAsia" w:ascii="仿宋" w:hAnsi="仿宋" w:eastAsia="仿宋" w:cs="仿宋"/>
          <w:color w:val="auto"/>
          <w:sz w:val="24"/>
          <w:szCs w:val="24"/>
          <w:highlight w:val="none"/>
        </w:rPr>
        <w:t>、技术资料及政府管理部门收取的检验费用、</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期内</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相关技术服务费用等在内的一切费用及后期服务及国家对中标单位征收的各种税费等所有一切费用，综合单价今后将不作任何调整。</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.5投标报价的价格是</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交货地验收价格，其总价即为履行合同的固定总价。</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.6技术要求中规定的服务、税金、保险、人员、专用</w:t>
      </w:r>
      <w:r>
        <w:rPr>
          <w:rFonts w:hint="eastAsia" w:ascii="仿宋" w:hAnsi="仿宋" w:eastAsia="仿宋" w:cs="仿宋"/>
          <w:color w:val="auto"/>
          <w:sz w:val="24"/>
          <w:szCs w:val="24"/>
          <w:highlight w:val="none"/>
          <w:lang w:eastAsia="zh-CN"/>
        </w:rPr>
        <w:t>（工具）</w:t>
      </w:r>
      <w:r>
        <w:rPr>
          <w:rFonts w:hint="eastAsia" w:ascii="仿宋" w:hAnsi="仿宋" w:eastAsia="仿宋" w:cs="仿宋"/>
          <w:color w:val="auto"/>
          <w:sz w:val="24"/>
          <w:szCs w:val="24"/>
          <w:highlight w:val="none"/>
        </w:rPr>
        <w:t>、技术资料及政府管理部门收取的检验费用应包括在投标价格中。投标文件报价为含税价，招标人不再为此次招标支付任何费用。</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.7投标报价应由法定代表人或被授权人签署。</w:t>
      </w:r>
    </w:p>
    <w:p>
      <w:pPr>
        <w:shd w:val="clear" w:color="auto" w:fill="auto"/>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.8</w:t>
      </w:r>
      <w:r>
        <w:rPr>
          <w:rFonts w:hint="eastAsia" w:ascii="仿宋" w:hAnsi="仿宋" w:eastAsia="仿宋" w:cs="仿宋"/>
          <w:b/>
          <w:color w:val="auto"/>
          <w:sz w:val="24"/>
          <w:szCs w:val="24"/>
          <w:highlight w:val="none"/>
        </w:rPr>
        <w:t>投标人投标总报价，不得高于本次招标设置的最高限价，</w:t>
      </w:r>
      <w:r>
        <w:rPr>
          <w:rFonts w:hint="eastAsia" w:ascii="仿宋" w:hAnsi="仿宋" w:eastAsia="仿宋" w:cs="仿宋"/>
          <w:b/>
          <w:bCs/>
          <w:color w:val="auto"/>
          <w:sz w:val="24"/>
          <w:szCs w:val="24"/>
          <w:highlight w:val="none"/>
        </w:rPr>
        <w:t>否则将作为无效投标处理。</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.9如投标文件中未列明全面实现投标</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功能而必须配置的配套或辅助设施及相应技术措施的费用，这些费用将被视为已包含在总投标价中。</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.10总投标价中不得包含</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要求以外的内容，否则，在评标时不予核减，但在授予合同时，招标人有权将这部分价格从其中标价格中扣除。</w:t>
      </w:r>
    </w:p>
    <w:p>
      <w:pPr>
        <w:shd w:val="clear" w:color="auto" w:fill="auto"/>
        <w:spacing w:line="360" w:lineRule="auto"/>
        <w:ind w:firstLine="460" w:firstLineChars="19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.11总投标价中不得缺漏</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 w:val="24"/>
          <w:szCs w:val="24"/>
          <w:highlight w:val="none"/>
          <w:lang w:val="en-US" w:eastAsia="zh-CN"/>
        </w:rPr>
        <w:t xml:space="preserve">    </w:t>
      </w:r>
    </w:p>
    <w:p>
      <w:pPr>
        <w:shd w:val="clear" w:color="auto" w:fill="auto"/>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.12投标人不得对从第三方采购</w:t>
      </w:r>
      <w:r>
        <w:rPr>
          <w:rFonts w:hint="eastAsia" w:ascii="仿宋" w:hAnsi="仿宋" w:eastAsia="仿宋" w:cs="仿宋"/>
          <w:color w:val="auto"/>
          <w:sz w:val="24"/>
          <w:szCs w:val="24"/>
          <w:highlight w:val="none"/>
          <w:lang w:eastAsia="zh-CN"/>
        </w:rPr>
        <w:t>专用工具</w:t>
      </w:r>
      <w:r>
        <w:rPr>
          <w:rFonts w:hint="eastAsia" w:ascii="仿宋" w:hAnsi="仿宋" w:eastAsia="仿宋" w:cs="仿宋"/>
          <w:color w:val="auto"/>
          <w:sz w:val="24"/>
          <w:szCs w:val="24"/>
          <w:highlight w:val="none"/>
        </w:rPr>
        <w:t>的备品、备件另行收费，否则在计算评标价时这部分费用将不予扣除，在授予合同时将从中标价格中扣除该部分费用。</w:t>
      </w:r>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 投标有效期</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 除投标人须知前附表另有规定外，投标有效期为60天。</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.2在投标有效期内，投标人撤销或修改其投标文件的，应承担</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和法律规定的责任。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 投标保证金</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.2自中标通知书发出之日起5个工作日内退还未中标投标人的投标保证金，自政府采购合同签订之日起5个工作日内退还中标人的投标保证金。</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.3有下列情形之一的，投标保证金将不予退还： </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（1）投标人在规定的投标有效期内撤回或修改其投标文件；</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（2）中标通知书发出后三十天内，中标人无正当理由拒签合同协议书或未按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规定提交履约担保。</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（3）提供虚假材料谋取中标的；</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（4）经查实属于陪标、串通投标的等。</w:t>
      </w:r>
    </w:p>
    <w:p>
      <w:pPr>
        <w:shd w:val="clear" w:color="auto" w:fill="auto"/>
        <w:spacing w:line="360" w:lineRule="auto"/>
        <w:ind w:firstLine="480" w:firstLineChars="200"/>
        <w:rPr>
          <w:rFonts w:hint="eastAsia" w:ascii="仿宋" w:hAnsi="仿宋" w:eastAsia="仿宋" w:cs="仿宋"/>
          <w:color w:val="auto"/>
          <w:sz w:val="24"/>
          <w:szCs w:val="24"/>
          <w:highlight w:val="none"/>
        </w:rPr>
      </w:pPr>
      <w:bookmarkStart w:id="37" w:name="_Toc469495727"/>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.4投标保证金按</w:t>
      </w:r>
      <w:r>
        <w:rPr>
          <w:rFonts w:hint="eastAsia" w:ascii="仿宋" w:hAnsi="仿宋" w:eastAsia="仿宋" w:cs="仿宋"/>
          <w:color w:val="auto"/>
          <w:sz w:val="24"/>
          <w:szCs w:val="24"/>
          <w:highlight w:val="none"/>
          <w:lang w:eastAsia="zh-CN"/>
        </w:rPr>
        <w:t>投标人须知前附表第</w:t>
      </w:r>
      <w:r>
        <w:rPr>
          <w:rFonts w:hint="eastAsia" w:ascii="仿宋" w:hAnsi="仿宋" w:eastAsia="仿宋" w:cs="仿宋"/>
          <w:color w:val="auto"/>
          <w:sz w:val="24"/>
          <w:szCs w:val="24"/>
          <w:highlight w:val="none"/>
          <w:lang w:val="en-US" w:eastAsia="zh-CN"/>
        </w:rPr>
        <w:t>24条</w:t>
      </w:r>
      <w:r>
        <w:rPr>
          <w:rFonts w:hint="eastAsia" w:ascii="仿宋" w:hAnsi="仿宋" w:eastAsia="仿宋" w:cs="仿宋"/>
          <w:color w:val="auto"/>
          <w:sz w:val="24"/>
          <w:szCs w:val="24"/>
          <w:highlight w:val="none"/>
        </w:rPr>
        <w:t>规定执行。</w:t>
      </w:r>
    </w:p>
    <w:bookmarkEnd w:id="37"/>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rPr>
      </w:pPr>
      <w:bookmarkStart w:id="38" w:name="_Toc10871"/>
      <w:r>
        <w:rPr>
          <w:rFonts w:hint="eastAsia" w:ascii="仿宋" w:hAnsi="仿宋" w:eastAsia="仿宋" w:cs="仿宋"/>
          <w:lang w:eastAsia="zh-CN"/>
        </w:rPr>
        <w:t>第五章</w:t>
      </w:r>
      <w:r>
        <w:rPr>
          <w:rFonts w:hint="eastAsia" w:ascii="仿宋" w:hAnsi="仿宋" w:eastAsia="仿宋" w:cs="仿宋"/>
          <w:lang w:val="en-US" w:eastAsia="zh-CN"/>
        </w:rPr>
        <w:t xml:space="preserve">  </w:t>
      </w:r>
      <w:r>
        <w:rPr>
          <w:rFonts w:hint="eastAsia" w:ascii="仿宋" w:hAnsi="仿宋" w:eastAsia="仿宋" w:cs="仿宋"/>
        </w:rPr>
        <w:t>投标文件的制作、上传及递交要求</w:t>
      </w:r>
      <w:bookmarkEnd w:id="38"/>
    </w:p>
    <w:p>
      <w:pPr>
        <w:shd w:val="clear" w:color="auto" w:fill="auto"/>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投标文件的制作要求</w:t>
      </w:r>
    </w:p>
    <w:p>
      <w:pPr>
        <w:pStyle w:val="8"/>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8"/>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8"/>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w:t>
      </w:r>
      <w:r>
        <w:rPr>
          <w:rFonts w:hint="eastAsia" w:ascii="仿宋" w:hAnsi="仿宋" w:eastAsia="仿宋" w:cs="仿宋"/>
          <w:b w:val="0"/>
          <w:bCs/>
          <w:color w:val="auto"/>
          <w:sz w:val="24"/>
          <w:szCs w:val="24"/>
          <w:highlight w:val="none"/>
          <w:lang w:eastAsia="zh-CN"/>
        </w:rPr>
        <w:t>采购代理机构</w:t>
      </w:r>
      <w:r>
        <w:rPr>
          <w:rFonts w:hint="eastAsia" w:ascii="仿宋" w:hAnsi="仿宋" w:eastAsia="仿宋" w:cs="仿宋"/>
          <w:b w:val="0"/>
          <w:bCs/>
          <w:color w:val="auto"/>
          <w:sz w:val="24"/>
          <w:szCs w:val="24"/>
          <w:highlight w:val="none"/>
        </w:rPr>
        <w:t>就有关投标事宜的所有来往函电，均应以中文汉语书写。除签字、盖章、专用名称等特殊情形外，以中文汉语以外的文字表述的投标文件视同未提供。</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已有明确规定的，使用</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规定的计量单位；</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没有规定的，应采用中华人民共和国法定计量单位（货币单位：人民币元）。</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的要求提供资格审查材料，其风险由供应商自行承担。</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投标文件的上传</w:t>
      </w:r>
    </w:p>
    <w:p>
      <w:pPr>
        <w:pStyle w:val="8"/>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8"/>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8"/>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8"/>
        <w:shd w:val="clear" w:color="auto" w:fill="auto"/>
        <w:snapToGrid w:val="0"/>
        <w:spacing w:line="360" w:lineRule="auto"/>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8"/>
        <w:shd w:val="clear" w:color="auto" w:fill="auto"/>
        <w:snapToGrid w:val="0"/>
        <w:spacing w:line="360" w:lineRule="auto"/>
        <w:ind w:firstLine="600" w:firstLineChars="250"/>
        <w:rPr>
          <w:rFonts w:hint="eastAsia" w:ascii="仿宋" w:hAnsi="仿宋" w:eastAsia="仿宋" w:cs="仿宋"/>
          <w:color w:val="auto"/>
          <w:sz w:val="24"/>
          <w:szCs w:val="24"/>
          <w:highlight w:val="none"/>
          <w:u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a.供应商可以将备份投标文件打包压缩并加密，压缩包命名为“XX公司备份投标文件”，加密密码由供应商自行保管；送达时间以采购代理机构实际接收时间为准。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u w:val="none"/>
          <w:lang w:bidi="zh-CN"/>
        </w:rPr>
        <w:fldChar w:fldCharType="begin"/>
      </w:r>
      <w:r>
        <w:rPr>
          <w:rFonts w:hint="eastAsia" w:ascii="仿宋" w:hAnsi="仿宋" w:eastAsia="仿宋" w:cs="仿宋"/>
          <w:color w:val="auto"/>
          <w:sz w:val="24"/>
          <w:szCs w:val="24"/>
          <w:highlight w:val="none"/>
          <w:u w:val="non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none"/>
          <w:lang w:bidi="zh-CN"/>
        </w:rPr>
        <w:fldChar w:fldCharType="separate"/>
      </w:r>
      <w:r>
        <w:rPr>
          <w:rFonts w:hint="eastAsia" w:ascii="仿宋" w:hAnsi="仿宋" w:eastAsia="仿宋" w:cs="仿宋"/>
          <w:color w:val="auto"/>
          <w:sz w:val="24"/>
          <w:szCs w:val="24"/>
          <w:highlight w:val="none"/>
          <w:u w:val="none"/>
          <w:lang w:val="en-US" w:bidi="zh-CN"/>
        </w:rPr>
        <w:t>942281669@qq.com</w:t>
      </w:r>
      <w:r>
        <w:rPr>
          <w:rStyle w:val="30"/>
          <w:rFonts w:hint="eastAsia" w:ascii="仿宋" w:hAnsi="仿宋" w:eastAsia="仿宋" w:cs="仿宋"/>
          <w:color w:val="auto"/>
          <w:sz w:val="24"/>
          <w:szCs w:val="24"/>
          <w:highlight w:val="none"/>
          <w:u w:val="none"/>
          <w:lang w:bidi="zh-CN"/>
        </w:rPr>
        <w:t>，接收人：</w:t>
      </w:r>
      <w:r>
        <w:rPr>
          <w:rFonts w:hint="eastAsia" w:ascii="仿宋" w:hAnsi="仿宋" w:eastAsia="仿宋" w:cs="仿宋"/>
          <w:color w:val="auto"/>
          <w:sz w:val="24"/>
          <w:szCs w:val="24"/>
          <w:highlight w:val="none"/>
          <w:u w:val="none"/>
          <w:lang w:bidi="zh-CN"/>
        </w:rPr>
        <w:t>杨镕墁</w:t>
      </w:r>
      <w:r>
        <w:rPr>
          <w:rStyle w:val="30"/>
          <w:rFonts w:hint="eastAsia" w:ascii="仿宋" w:hAnsi="仿宋" w:eastAsia="仿宋" w:cs="仿宋"/>
          <w:color w:val="auto"/>
          <w:sz w:val="24"/>
          <w:szCs w:val="24"/>
          <w:highlight w:val="none"/>
          <w:u w:val="none"/>
          <w:lang w:bidi="zh-CN"/>
        </w:rPr>
        <w:t>，电话：</w:t>
      </w:r>
      <w:r>
        <w:rPr>
          <w:rFonts w:hint="eastAsia" w:ascii="仿宋" w:hAnsi="仿宋" w:eastAsia="仿宋" w:cs="仿宋"/>
          <w:color w:val="auto"/>
          <w:sz w:val="24"/>
          <w:szCs w:val="24"/>
          <w:highlight w:val="none"/>
          <w:u w:val="none"/>
          <w:lang w:val="en-US" w:bidi="zh-CN"/>
        </w:rPr>
        <w:t>1</w:t>
      </w:r>
      <w:r>
        <w:rPr>
          <w:rFonts w:hint="eastAsia" w:ascii="仿宋" w:hAnsi="仿宋" w:eastAsia="仿宋" w:cs="仿宋"/>
          <w:color w:val="auto"/>
          <w:sz w:val="24"/>
          <w:szCs w:val="24"/>
          <w:highlight w:val="none"/>
          <w:u w:val="none"/>
          <w:lang w:bidi="zh-CN"/>
        </w:rPr>
        <w:fldChar w:fldCharType="end"/>
      </w:r>
      <w:r>
        <w:rPr>
          <w:rFonts w:hint="eastAsia" w:ascii="仿宋" w:hAnsi="仿宋" w:eastAsia="仿宋" w:cs="仿宋"/>
          <w:color w:val="auto"/>
          <w:sz w:val="24"/>
          <w:szCs w:val="24"/>
          <w:highlight w:val="none"/>
          <w:u w:val="none"/>
          <w:lang w:val="en-US" w:bidi="zh-CN"/>
        </w:rPr>
        <w:t>3649965070</w:t>
      </w:r>
      <w:r>
        <w:rPr>
          <w:rFonts w:hint="eastAsia" w:ascii="仿宋" w:hAnsi="仿宋" w:eastAsia="仿宋" w:cs="仿宋"/>
          <w:color w:val="auto"/>
          <w:sz w:val="24"/>
          <w:szCs w:val="24"/>
          <w:highlight w:val="none"/>
          <w:u w:val="none"/>
          <w:lang w:bidi="zh-CN"/>
        </w:rPr>
        <w:t>）；</w:t>
      </w:r>
    </w:p>
    <w:p>
      <w:pPr>
        <w:pStyle w:val="8"/>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w:t>
      </w:r>
      <w:r>
        <w:rPr>
          <w:rFonts w:hint="eastAsia" w:ascii="仿宋" w:hAnsi="仿宋" w:eastAsia="仿宋" w:cs="仿宋"/>
          <w:b/>
          <w:bCs w:val="0"/>
          <w:color w:val="auto"/>
          <w:sz w:val="24"/>
          <w:szCs w:val="24"/>
          <w:highlight w:val="none"/>
          <w:lang w:bidi="zh-CN"/>
        </w:rPr>
        <w:t>投标截止时间前，投标单位仅递交了“备份投标文件”而未将“电子加密投标文件”成功上传至“政府采购云平台”的，投标无效</w:t>
      </w:r>
      <w:r>
        <w:rPr>
          <w:rFonts w:hint="eastAsia" w:ascii="仿宋" w:hAnsi="仿宋" w:eastAsia="仿宋" w:cs="仿宋"/>
          <w:b w:val="0"/>
          <w:bCs/>
          <w:color w:val="auto"/>
          <w:sz w:val="24"/>
          <w:szCs w:val="24"/>
          <w:highlight w:val="none"/>
          <w:lang w:bidi="zh-CN"/>
        </w:rPr>
        <w:t>。</w:t>
      </w:r>
    </w:p>
    <w:p>
      <w:pPr>
        <w:shd w:val="clear" w:color="auto" w:fill="auto"/>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延长截止时间和开标时间，</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和供应商的权利和义务将受到新的截止时间和开标时间的约束。</w:t>
      </w:r>
    </w:p>
    <w:p>
      <w:pPr>
        <w:shd w:val="clear" w:color="auto" w:fill="auto"/>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bookmarkStart w:id="39" w:name="_Toc469495728"/>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rPr>
      </w:pPr>
      <w:bookmarkStart w:id="40" w:name="_Toc27468"/>
      <w:r>
        <w:rPr>
          <w:rFonts w:hint="eastAsia" w:ascii="仿宋" w:hAnsi="仿宋" w:eastAsia="仿宋" w:cs="仿宋"/>
          <w:lang w:eastAsia="zh-CN"/>
        </w:rPr>
        <w:t>第六章</w:t>
      </w:r>
      <w:r>
        <w:rPr>
          <w:rFonts w:hint="eastAsia" w:ascii="仿宋" w:hAnsi="仿宋" w:eastAsia="仿宋" w:cs="仿宋"/>
          <w:lang w:val="en-US" w:eastAsia="zh-CN"/>
        </w:rPr>
        <w:t xml:space="preserve">  </w:t>
      </w:r>
      <w:r>
        <w:rPr>
          <w:rFonts w:hint="eastAsia" w:ascii="仿宋" w:hAnsi="仿宋" w:eastAsia="仿宋" w:cs="仿宋"/>
        </w:rPr>
        <w:t>开标、评标和定标</w:t>
      </w:r>
      <w:bookmarkEnd w:id="39"/>
      <w:bookmarkEnd w:id="40"/>
    </w:p>
    <w:p>
      <w:pPr>
        <w:shd w:val="clear" w:color="auto" w:fill="auto"/>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 开标</w:t>
      </w:r>
    </w:p>
    <w:p>
      <w:pPr>
        <w:shd w:val="clear" w:color="auto" w:fill="auto"/>
        <w:snapToGrid w:val="0"/>
        <w:spacing w:line="360" w:lineRule="auto"/>
        <w:ind w:firstLine="482" w:firstLineChars="200"/>
        <w:rPr>
          <w:rFonts w:hint="eastAsia" w:ascii="仿宋" w:hAnsi="仿宋" w:eastAsia="仿宋" w:cs="仿宋"/>
          <w:b/>
          <w:bCs/>
          <w:color w:val="auto"/>
          <w:sz w:val="24"/>
          <w:szCs w:val="24"/>
          <w:highlight w:val="none"/>
          <w:lang w:val="en-US" w:eastAsia="zh-CN"/>
        </w:rPr>
      </w:pPr>
      <w:bookmarkStart w:id="41" w:name="_Toc73975822"/>
      <w:r>
        <w:rPr>
          <w:rFonts w:hint="eastAsia" w:ascii="仿宋" w:hAnsi="仿宋" w:eastAsia="仿宋" w:cs="仿宋"/>
          <w:b/>
          <w:bCs/>
          <w:color w:val="auto"/>
          <w:sz w:val="24"/>
          <w:szCs w:val="24"/>
          <w:highlight w:val="none"/>
          <w:lang w:val="en-US" w:eastAsia="zh-CN"/>
        </w:rPr>
        <w:t>1.1开标邀请</w:t>
      </w:r>
      <w:bookmarkEnd w:id="41"/>
    </w:p>
    <w:p>
      <w:pPr>
        <w:pStyle w:val="15"/>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w:t>
      </w:r>
      <w:r>
        <w:rPr>
          <w:rFonts w:hint="eastAsia" w:ascii="仿宋" w:hAnsi="仿宋" w:eastAsia="仿宋" w:cs="仿宋"/>
          <w:b w:val="0"/>
          <w:bCs/>
          <w:color w:val="auto"/>
          <w:sz w:val="24"/>
          <w:szCs w:val="24"/>
          <w:highlight w:val="none"/>
          <w:lang w:eastAsia="zh-CN"/>
        </w:rPr>
        <w:t>采购代理机构</w:t>
      </w:r>
      <w:r>
        <w:rPr>
          <w:rFonts w:hint="eastAsia" w:ascii="仿宋" w:hAnsi="仿宋" w:eastAsia="仿宋" w:cs="仿宋"/>
          <w:b w:val="0"/>
          <w:bCs/>
          <w:color w:val="auto"/>
          <w:sz w:val="24"/>
          <w:szCs w:val="24"/>
          <w:highlight w:val="none"/>
        </w:rPr>
        <w:t>负责落实，开标过程由</w:t>
      </w:r>
      <w:r>
        <w:rPr>
          <w:rFonts w:hint="eastAsia" w:ascii="仿宋" w:hAnsi="仿宋" w:eastAsia="仿宋" w:cs="仿宋"/>
          <w:b w:val="0"/>
          <w:bCs/>
          <w:color w:val="auto"/>
          <w:sz w:val="24"/>
          <w:szCs w:val="24"/>
          <w:highlight w:val="none"/>
          <w:lang w:eastAsia="zh-CN"/>
        </w:rPr>
        <w:t>采购代理机构</w:t>
      </w:r>
      <w:r>
        <w:rPr>
          <w:rFonts w:hint="eastAsia" w:ascii="仿宋" w:hAnsi="仿宋" w:eastAsia="仿宋" w:cs="仿宋"/>
          <w:b w:val="0"/>
          <w:bCs/>
          <w:color w:val="auto"/>
          <w:sz w:val="24"/>
          <w:szCs w:val="24"/>
          <w:highlight w:val="none"/>
        </w:rPr>
        <w:t>负责记录；</w:t>
      </w:r>
    </w:p>
    <w:p>
      <w:pPr>
        <w:pStyle w:val="15"/>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5"/>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w:t>
      </w:r>
      <w:r>
        <w:rPr>
          <w:rFonts w:hint="eastAsia" w:ascii="仿宋" w:hAnsi="仿宋" w:eastAsia="仿宋" w:cs="仿宋"/>
          <w:b w:val="0"/>
          <w:color w:val="auto"/>
          <w:sz w:val="24"/>
          <w:szCs w:val="24"/>
          <w:highlight w:val="none"/>
          <w:lang w:eastAsia="zh-CN"/>
        </w:rPr>
        <w:t>采购代理机构</w:t>
      </w:r>
      <w:r>
        <w:rPr>
          <w:rFonts w:hint="eastAsia" w:ascii="仿宋" w:hAnsi="仿宋" w:eastAsia="仿宋" w:cs="仿宋"/>
          <w:b w:val="0"/>
          <w:color w:val="auto"/>
          <w:sz w:val="24"/>
          <w:szCs w:val="24"/>
          <w:highlight w:val="none"/>
        </w:rPr>
        <w:t>将按照</w:t>
      </w:r>
      <w:r>
        <w:rPr>
          <w:rFonts w:hint="eastAsia" w:ascii="仿宋" w:hAnsi="仿宋" w:eastAsia="仿宋" w:cs="仿宋"/>
          <w:b w:val="0"/>
          <w:color w:val="auto"/>
          <w:sz w:val="24"/>
          <w:szCs w:val="24"/>
          <w:highlight w:val="none"/>
          <w:lang w:eastAsia="zh-CN"/>
        </w:rPr>
        <w:t>招标文件</w:t>
      </w:r>
      <w:r>
        <w:rPr>
          <w:rFonts w:hint="eastAsia" w:ascii="仿宋" w:hAnsi="仿宋" w:eastAsia="仿宋" w:cs="仿宋"/>
          <w:b w:val="0"/>
          <w:color w:val="auto"/>
          <w:sz w:val="24"/>
          <w:szCs w:val="24"/>
          <w:highlight w:val="none"/>
        </w:rPr>
        <w:t>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政府采购云平台”组织开标、开启投标</w:t>
      </w:r>
      <w:r>
        <w:rPr>
          <w:rFonts w:hint="eastAsia" w:ascii="仿宋" w:hAnsi="仿宋" w:eastAsia="仿宋" w:cs="仿宋"/>
          <w:b w:val="0"/>
          <w:color w:val="auto"/>
          <w:sz w:val="24"/>
          <w:szCs w:val="24"/>
          <w:highlight w:val="none"/>
          <w:lang w:eastAsia="zh-CN"/>
        </w:rPr>
        <w:t>投标文件</w:t>
      </w:r>
      <w:r>
        <w:rPr>
          <w:rFonts w:hint="eastAsia" w:ascii="仿宋" w:hAnsi="仿宋" w:eastAsia="仿宋" w:cs="仿宋"/>
          <w:b w:val="0"/>
          <w:color w:val="auto"/>
          <w:sz w:val="24"/>
          <w:szCs w:val="24"/>
          <w:highlight w:val="none"/>
        </w:rPr>
        <w:t>，所有供应商均应当准时在线参加。</w:t>
      </w:r>
    </w:p>
    <w:p>
      <w:pPr>
        <w:pStyle w:val="15"/>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仿宋" w:hAnsi="仿宋" w:eastAsia="仿宋" w:cs="仿宋"/>
          <w:b w:val="0"/>
          <w:color w:val="auto"/>
          <w:sz w:val="24"/>
          <w:szCs w:val="24"/>
          <w:highlight w:val="none"/>
          <w:lang w:eastAsia="zh-CN"/>
        </w:rPr>
        <w:t>投标单位</w:t>
      </w:r>
      <w:r>
        <w:rPr>
          <w:rFonts w:hint="eastAsia" w:ascii="仿宋" w:hAnsi="仿宋" w:eastAsia="仿宋" w:cs="仿宋"/>
          <w:b w:val="0"/>
          <w:color w:val="auto"/>
          <w:sz w:val="24"/>
          <w:szCs w:val="24"/>
          <w:highlight w:val="none"/>
        </w:rPr>
        <w:t>因未在线参加开标而导致投标文件无法按时解密等一切后果由供应商自行承担。</w:t>
      </w:r>
    </w:p>
    <w:p>
      <w:pPr>
        <w:shd w:val="clear" w:color="auto" w:fill="auto"/>
        <w:snapToGrid w:val="0"/>
        <w:spacing w:line="360" w:lineRule="auto"/>
        <w:ind w:firstLine="482" w:firstLineChars="200"/>
        <w:outlineLvl w:val="2"/>
        <w:rPr>
          <w:rFonts w:hint="eastAsia" w:ascii="仿宋" w:hAnsi="仿宋" w:eastAsia="仿宋" w:cs="仿宋"/>
          <w:b/>
          <w:color w:val="auto"/>
          <w:sz w:val="24"/>
          <w:szCs w:val="24"/>
          <w:highlight w:val="none"/>
        </w:rPr>
      </w:pPr>
      <w:bookmarkStart w:id="42" w:name="_Toc73975823"/>
      <w:r>
        <w:rPr>
          <w:rFonts w:hint="eastAsia" w:ascii="仿宋" w:hAnsi="仿宋" w:eastAsia="仿宋" w:cs="仿宋"/>
          <w:b/>
          <w:color w:val="auto"/>
          <w:sz w:val="24"/>
          <w:szCs w:val="24"/>
          <w:highlight w:val="none"/>
          <w:lang w:val="en-US" w:eastAsia="zh-CN"/>
        </w:rPr>
        <w:t>1.2</w:t>
      </w:r>
      <w:r>
        <w:rPr>
          <w:rFonts w:hint="eastAsia" w:ascii="仿宋" w:hAnsi="仿宋" w:eastAsia="仿宋" w:cs="仿宋"/>
          <w:b/>
          <w:bCs/>
          <w:color w:val="auto"/>
          <w:sz w:val="24"/>
          <w:szCs w:val="24"/>
          <w:highlight w:val="none"/>
        </w:rPr>
        <w:t>开标程序（先资格、商务技术后报价）</w:t>
      </w:r>
      <w:bookmarkEnd w:id="42"/>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lang w:bidi="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的报价，公布开标一览表有关内容，</w:t>
      </w:r>
      <w:r>
        <w:rPr>
          <w:rFonts w:hint="eastAsia" w:ascii="仿宋" w:hAnsi="仿宋" w:eastAsia="仿宋" w:cs="仿宋"/>
          <w:color w:val="auto"/>
          <w:sz w:val="24"/>
          <w:szCs w:val="24"/>
          <w:highlight w:val="none"/>
          <w:lang w:bidi="zh-CN"/>
        </w:rPr>
        <w:t>并【开启签字时段】，供应商对开标纪录进行在线签字确认（不予确认的应说明理由，否则视为无异议）。</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文件、商务技术文件）。标书信息开启后，首先由采购人或采购代理机构依法对</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1.3</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资格审查”），审查结束公布</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名单和商务技术评审有效</w:t>
      </w:r>
      <w:r>
        <w:rPr>
          <w:rFonts w:hint="eastAsia" w:ascii="仿宋" w:hAnsi="仿宋" w:eastAsia="仿宋" w:cs="仿宋"/>
          <w:color w:val="auto"/>
          <w:kern w:val="0"/>
          <w:sz w:val="24"/>
          <w:szCs w:val="24"/>
          <w:highlight w:val="none"/>
          <w:lang w:eastAsia="zh-CN"/>
        </w:rPr>
        <w:t>投标单位</w:t>
      </w:r>
      <w:r>
        <w:rPr>
          <w:rFonts w:hint="eastAsia" w:ascii="仿宋" w:hAnsi="仿宋" w:eastAsia="仿宋" w:cs="仿宋"/>
          <w:color w:val="auto"/>
          <w:kern w:val="0"/>
          <w:sz w:val="24"/>
          <w:szCs w:val="24"/>
          <w:highlight w:val="none"/>
        </w:rPr>
        <w:t>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6"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6"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（2）开标过程中需要相关当事人进行签字或盖章确认的材料将通过“政府采购云平台”进行，若因“政府采购云平台”技术问题无法进行签字或盖章确认的，</w:t>
      </w:r>
      <w:r>
        <w:rPr>
          <w:rFonts w:hint="eastAsia" w:ascii="仿宋" w:hAnsi="仿宋" w:eastAsia="仿宋" w:cs="仿宋"/>
          <w:b/>
          <w:color w:val="auto"/>
          <w:kern w:val="0"/>
          <w:sz w:val="24"/>
          <w:szCs w:val="24"/>
          <w:highlight w:val="none"/>
          <w:lang w:eastAsia="zh-CN"/>
        </w:rPr>
        <w:t>采购代理机构</w:t>
      </w:r>
      <w:r>
        <w:rPr>
          <w:rFonts w:hint="eastAsia" w:ascii="仿宋" w:hAnsi="仿宋" w:eastAsia="仿宋" w:cs="仿宋"/>
          <w:b/>
          <w:color w:val="auto"/>
          <w:kern w:val="0"/>
          <w:sz w:val="24"/>
          <w:szCs w:val="24"/>
          <w:highlight w:val="none"/>
        </w:rPr>
        <w:t>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请供应商保证办理投标事宜人员电话畅通、网络在线，签字或盖章确认的时间为</w:t>
      </w:r>
      <w:r>
        <w:rPr>
          <w:rFonts w:hint="eastAsia" w:ascii="仿宋" w:hAnsi="仿宋" w:eastAsia="仿宋" w:cs="仿宋"/>
          <w:b/>
          <w:color w:val="auto"/>
          <w:kern w:val="0"/>
          <w:sz w:val="24"/>
          <w:szCs w:val="24"/>
          <w:highlight w:val="none"/>
          <w:u w:val="single"/>
          <w:lang w:val="en-US" w:eastAsia="zh-CN"/>
        </w:rPr>
        <w:t>3</w:t>
      </w:r>
      <w:r>
        <w:rPr>
          <w:rFonts w:hint="eastAsia" w:ascii="仿宋" w:hAnsi="仿宋" w:eastAsia="仿宋" w:cs="仿宋"/>
          <w:b/>
          <w:color w:val="auto"/>
          <w:kern w:val="0"/>
          <w:sz w:val="24"/>
          <w:szCs w:val="24"/>
          <w:highlight w:val="none"/>
          <w:u w:val="single"/>
        </w:rPr>
        <w:t>0分钟。如未及时签字或盖章确认的，视为无异议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1.3</w:t>
      </w:r>
      <w:r>
        <w:rPr>
          <w:rFonts w:hint="eastAsia" w:ascii="仿宋" w:hAnsi="仿宋" w:eastAsia="仿宋" w:cs="仿宋"/>
          <w:b/>
          <w:color w:val="auto"/>
          <w:kern w:val="0"/>
          <w:sz w:val="24"/>
          <w:szCs w:val="24"/>
          <w:highlight w:val="none"/>
        </w:rPr>
        <w:t xml:space="preserve"> </w:t>
      </w:r>
      <w:r>
        <w:rPr>
          <w:rFonts w:hint="eastAsia" w:ascii="仿宋" w:hAnsi="仿宋" w:eastAsia="仿宋" w:cs="仿宋"/>
          <w:b/>
          <w:color w:val="auto"/>
          <w:kern w:val="0"/>
          <w:sz w:val="24"/>
          <w:szCs w:val="24"/>
          <w:highlight w:val="none"/>
          <w:lang w:eastAsia="zh-CN"/>
        </w:rPr>
        <w:t>投标单位</w:t>
      </w:r>
      <w:r>
        <w:rPr>
          <w:rFonts w:hint="eastAsia" w:ascii="仿宋" w:hAnsi="仿宋" w:eastAsia="仿宋" w:cs="仿宋"/>
          <w:b/>
          <w:color w:val="auto"/>
          <w:kern w:val="0"/>
          <w:sz w:val="24"/>
          <w:szCs w:val="24"/>
          <w:highlight w:val="none"/>
        </w:rPr>
        <w:t>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开标（标书信息开启）后，采购人或采购代理机构首先依法对</w:t>
      </w:r>
      <w:r>
        <w:rPr>
          <w:rFonts w:hint="eastAsia" w:ascii="仿宋" w:hAnsi="仿宋" w:eastAsia="仿宋" w:cs="仿宋"/>
          <w:bCs/>
          <w:color w:val="auto"/>
          <w:kern w:val="0"/>
          <w:sz w:val="24"/>
          <w:szCs w:val="24"/>
          <w:highlight w:val="none"/>
          <w:lang w:eastAsia="zh-CN"/>
        </w:rPr>
        <w:t>投标单位</w:t>
      </w:r>
      <w:r>
        <w:rPr>
          <w:rFonts w:hint="eastAsia" w:ascii="仿宋" w:hAnsi="仿宋" w:eastAsia="仿宋" w:cs="仿宋"/>
          <w:bCs/>
          <w:color w:val="auto"/>
          <w:kern w:val="0"/>
          <w:sz w:val="24"/>
          <w:szCs w:val="24"/>
          <w:highlight w:val="none"/>
        </w:rPr>
        <w:t>的资格文件进行审查，审查各</w:t>
      </w:r>
      <w:r>
        <w:rPr>
          <w:rFonts w:hint="eastAsia" w:ascii="仿宋" w:hAnsi="仿宋" w:eastAsia="仿宋" w:cs="仿宋"/>
          <w:bCs/>
          <w:color w:val="auto"/>
          <w:kern w:val="0"/>
          <w:sz w:val="24"/>
          <w:szCs w:val="24"/>
          <w:highlight w:val="none"/>
          <w:lang w:eastAsia="zh-CN"/>
        </w:rPr>
        <w:t>投标单位</w:t>
      </w:r>
      <w:r>
        <w:rPr>
          <w:rFonts w:hint="eastAsia" w:ascii="仿宋" w:hAnsi="仿宋" w:eastAsia="仿宋" w:cs="仿宋"/>
          <w:bCs/>
          <w:color w:val="auto"/>
          <w:kern w:val="0"/>
          <w:sz w:val="24"/>
          <w:szCs w:val="24"/>
          <w:highlight w:val="none"/>
        </w:rPr>
        <w:t>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所提交的资格证明材料仅负审核的责任。如发现</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所提交的资格证明材料不合法或与事实不符，采购人可取消其中标资格并追究</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的法律责任。</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lang w:eastAsia="zh-CN"/>
        </w:rPr>
        <w:t>投标单位</w:t>
      </w:r>
      <w:r>
        <w:rPr>
          <w:rFonts w:hint="eastAsia" w:ascii="仿宋" w:hAnsi="仿宋" w:eastAsia="仿宋" w:cs="仿宋"/>
          <w:b w:val="0"/>
          <w:bCs/>
          <w:color w:val="auto"/>
          <w:sz w:val="24"/>
          <w:szCs w:val="24"/>
          <w:highlight w:val="none"/>
        </w:rPr>
        <w:t>提交的资格证明材料无法证明其符合</w:t>
      </w:r>
      <w:r>
        <w:rPr>
          <w:rFonts w:hint="eastAsia" w:ascii="仿宋" w:hAnsi="仿宋" w:eastAsia="仿宋" w:cs="仿宋"/>
          <w:b w:val="0"/>
          <w:bCs/>
          <w:color w:val="auto"/>
          <w:sz w:val="24"/>
          <w:szCs w:val="24"/>
          <w:highlight w:val="none"/>
          <w:lang w:eastAsia="zh-CN"/>
        </w:rPr>
        <w:t>招标文件</w:t>
      </w:r>
      <w:r>
        <w:rPr>
          <w:rFonts w:hint="eastAsia" w:ascii="仿宋" w:hAnsi="仿宋" w:eastAsia="仿宋" w:cs="仿宋"/>
          <w:b w:val="0"/>
          <w:bCs/>
          <w:color w:val="auto"/>
          <w:sz w:val="24"/>
          <w:szCs w:val="24"/>
          <w:highlight w:val="none"/>
        </w:rPr>
        <w:t>规定的“</w:t>
      </w:r>
      <w:r>
        <w:rPr>
          <w:rFonts w:hint="eastAsia" w:ascii="仿宋" w:hAnsi="仿宋" w:eastAsia="仿宋" w:cs="仿宋"/>
          <w:b w:val="0"/>
          <w:bCs/>
          <w:color w:val="auto"/>
          <w:sz w:val="24"/>
          <w:szCs w:val="24"/>
          <w:highlight w:val="none"/>
          <w:lang w:eastAsia="zh-CN"/>
        </w:rPr>
        <w:t>投标单位</w:t>
      </w:r>
      <w:r>
        <w:rPr>
          <w:rFonts w:hint="eastAsia" w:ascii="仿宋" w:hAnsi="仿宋" w:eastAsia="仿宋" w:cs="仿宋"/>
          <w:b w:val="0"/>
          <w:bCs/>
          <w:color w:val="auto"/>
          <w:sz w:val="24"/>
          <w:szCs w:val="24"/>
          <w:highlight w:val="none"/>
        </w:rPr>
        <w:t>资格要求”的，采购人或采购代理机构将对其作“资格审查不合格”处理（无效投标），并不再将其投标提交评标委员会进行后续评审。</w:t>
      </w:r>
    </w:p>
    <w:p>
      <w:pPr>
        <w:pStyle w:val="8"/>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评审工作的组织</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评标委员会的组建</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.2评审专家</w:t>
      </w:r>
      <w:r>
        <w:rPr>
          <w:rFonts w:hint="eastAsia" w:ascii="仿宋" w:hAnsi="仿宋" w:eastAsia="仿宋" w:cs="仿宋"/>
          <w:color w:val="auto"/>
          <w:sz w:val="24"/>
          <w:szCs w:val="24"/>
          <w:highlight w:val="none"/>
          <w:lang w:eastAsia="zh-CN"/>
        </w:rPr>
        <w:t>由招标人自行组建，</w:t>
      </w:r>
      <w:r>
        <w:rPr>
          <w:rFonts w:hint="eastAsia" w:ascii="仿宋" w:hAnsi="仿宋" w:eastAsia="仿宋" w:cs="仿宋"/>
          <w:color w:val="auto"/>
          <w:sz w:val="24"/>
          <w:szCs w:val="24"/>
          <w:highlight w:val="none"/>
          <w:lang w:val="en-US" w:eastAsia="zh-CN"/>
        </w:rPr>
        <w:t>从新疆政府采购网评审专家库名单中以随机</w:t>
      </w:r>
      <w:r>
        <w:rPr>
          <w:rFonts w:hint="eastAsia" w:ascii="仿宋" w:hAnsi="仿宋" w:eastAsia="仿宋" w:cs="仿宋"/>
          <w:color w:val="auto"/>
          <w:sz w:val="24"/>
          <w:szCs w:val="24"/>
          <w:highlight w:val="none"/>
        </w:rPr>
        <w:t>方式抽取产生。评标委员会成员名单在采购结果公告前保密。</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.评标委员会的职责</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.1审查、评价投标文件是否符合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的商务、技术等实质性要求。</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.2要求供应商对投标文件有关事项作出澄清或者说明。</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.3对投标文件进行比较和评价。</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.4确定中标候选人名单，以及根据采购人委托直接确定中标人。</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.5向采购人、采购代理机构或者有关部门报告评审中发现的违法行为。</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评标原则</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.1评标委员会将遵循公平、公正、科学的原则，对供应商提交的投标文件进行综合评审，评标委员会按照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规定的评标细则进行评分。</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.2客观公正对待所有供应商，对所有投标评价均采用相同的程序和标准。 </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规定的方式确定一个供应商获得中标人推荐资格，</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未规定的采取随机抽取方式确定，其他同品牌供应商不作为中标候选人。</w:t>
      </w:r>
    </w:p>
    <w:p>
      <w:pPr>
        <w:widowControl/>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 xml:space="preserve">中载明。多家供应商提供的核心产品品牌相同的，按前款规定处理。      </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评委纪律</w:t>
      </w:r>
    </w:p>
    <w:p>
      <w:pPr>
        <w:widowControl/>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评标委员会成员必须严格遵守保密规定，不得泄露评审的有关情况，任何单位和个人不得干扰、影响评标的正常进行，评标委员会成员不得私下与</w:t>
      </w:r>
      <w:r>
        <w:rPr>
          <w:rFonts w:hint="eastAsia" w:ascii="仿宋" w:hAnsi="仿宋" w:eastAsia="仿宋" w:cs="仿宋"/>
          <w:color w:val="auto"/>
          <w:sz w:val="24"/>
          <w:szCs w:val="24"/>
          <w:highlight w:val="none"/>
          <w:lang w:eastAsia="zh-CN"/>
        </w:rPr>
        <w:t>投标单位</w:t>
      </w:r>
      <w:r>
        <w:rPr>
          <w:rFonts w:hint="eastAsia" w:ascii="仿宋" w:hAnsi="仿宋" w:eastAsia="仿宋" w:cs="仿宋"/>
          <w:color w:val="auto"/>
          <w:sz w:val="24"/>
          <w:szCs w:val="24"/>
          <w:highlight w:val="none"/>
        </w:rPr>
        <w:t>接触，不得出现政府采购活动现场组织管理办法中规定的其他禁止行为。</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评标程序</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 在评审专家中推选评标委员会组长，采购人代表不得担任评标委员会组长。</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 评标委员会组长召集成员认真阅读</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3 评审人员对符合资格的供应商的投标文件的有效性、符合性、完整性和响应程度进行审查，确定是否对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作出实质性响应。</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4 评审人员按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规定的评审方法和评审标准，依法独立对供应商投标文件进行评估、比较，并给予评价或打分，不受任何单位和个人的干预。</w:t>
      </w:r>
    </w:p>
    <w:p>
      <w:pPr>
        <w:widowControl/>
        <w:shd w:val="clear" w:color="auto" w:fill="auto"/>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w:t>
      </w:r>
      <w:r>
        <w:rPr>
          <w:rFonts w:hint="eastAsia" w:ascii="仿宋" w:hAnsi="仿宋" w:eastAsia="仿宋" w:cs="仿宋"/>
          <w:color w:val="auto"/>
          <w:kern w:val="0"/>
          <w:sz w:val="24"/>
          <w:szCs w:val="24"/>
          <w:highlight w:val="none"/>
          <w:lang w:eastAsia="zh-CN"/>
        </w:rPr>
        <w:t>服务</w:t>
      </w:r>
      <w:r>
        <w:rPr>
          <w:rFonts w:hint="eastAsia" w:ascii="仿宋" w:hAnsi="仿宋" w:eastAsia="仿宋" w:cs="仿宋"/>
          <w:color w:val="auto"/>
          <w:kern w:val="0"/>
          <w:sz w:val="24"/>
          <w:szCs w:val="24"/>
          <w:highlight w:val="none"/>
        </w:rPr>
        <w:t>项目的价格分值占总分值的比重(即权值)为</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综合评分法中的价格分统一采用低价优先法计算，即满足</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文件要求且最后报价最低的供应商的价格为</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基准价，其价格分为满分。其他供应商的价格分统一按照下列公式计算：</w:t>
      </w:r>
    </w:p>
    <w:p>
      <w:pPr>
        <w:widowControl/>
        <w:shd w:val="clear" w:color="auto" w:fill="auto"/>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报价）×价格权值×100</w:t>
      </w:r>
    </w:p>
    <w:p>
      <w:pPr>
        <w:widowControl/>
        <w:shd w:val="clear" w:color="auto" w:fill="auto"/>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项目评审过程中，不得去掉最后报价中的最高报价和最低报价。</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7 评标委员会根据评审汇总情况和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规定确定中标候选供应商排序名单。</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8 起草评审报告，所有评审人员须在评审报告上签字确认，对自己的评审意见承担法律责任。 </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9 </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对评标委员会评审专家进行评价。</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10 修改评审结果</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评标结果汇总完成后，除下列情形外，任何人不得修改评标结果：</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pPr>
        <w:widowControl/>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7．澄清、说明或补正的形式</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7.1对于投标文件中含义不明确、同类问题表述不一致或者有明显文字和计算错误的内容，评标委员会将通过“政府采购云平台”在线询标的方式要求投标单位在规定的时间内作出必要的澄清、说明或者补正，</w:t>
      </w:r>
      <w:r>
        <w:rPr>
          <w:rFonts w:hint="eastAsia" w:ascii="仿宋" w:hAnsi="仿宋" w:eastAsia="仿宋" w:cs="仿宋"/>
          <w:b/>
          <w:bCs/>
          <w:color w:val="auto"/>
          <w:sz w:val="24"/>
          <w:szCs w:val="24"/>
          <w:highlight w:val="none"/>
          <w:lang w:val="en-US" w:eastAsia="zh-CN"/>
        </w:rPr>
        <w:t>投标单位澄清、说明或补正时间为20分钟</w:t>
      </w:r>
      <w:r>
        <w:rPr>
          <w:rFonts w:hint="eastAsia" w:ascii="仿宋" w:hAnsi="仿宋" w:eastAsia="仿宋" w:cs="仿宋"/>
          <w:b w:val="0"/>
          <w:bCs w:val="0"/>
          <w:color w:val="auto"/>
          <w:sz w:val="24"/>
          <w:szCs w:val="24"/>
          <w:highlight w:val="none"/>
          <w:lang w:val="en-US" w:eastAsia="zh-CN"/>
        </w:rPr>
        <w:t>。</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7.2投标单位的澄清、说明或者补正应当通过“政府采购云平台”在线答复的方式提交，并加盖公章（电子印章），或者由法定代表人（负责人）或其授权的代表签字。投标单位的澄清、说明或者补正不得超出投标文件的范围或者改变投标文件的实质性内容，不接受投标单位主动对投标文件的澄清、说明或者补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7.3上述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8．错误修正的原则</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投标文件报价出现前后不一致的，除招标文件另有规定外，按照下列规定修正：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 投标函中表述的内容与报价表中不一致的，以报价表为准；报价表中的内容与报价明细表不一致的，以报价表为准；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 投标文件中的大写金额和小写金额不一致的，以大写金额为准；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 单价金额小数点或者百分比有明显错位的，以开标一览表的总价为准，并修改单价；</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8.4 总价金额与按单价汇总金额不一致的，以单价金额计算结果为准；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8.5 若用文字表示的数值与用数字表示的数值不一致，以文字表示的数值为准；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8.6 如有多报（指数量超出招标文件需求）、重报（指重复报价），其投标总价在评标过程中不予调整，如其中标，其合同价按其投标单价予以调整；</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8.7 对不同文字文本投标文件的解释发生异议的，以中文文本为准；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9．无效投标文件</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有下列情形之一的，投标文件按无效标处理：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 报名的投标人与参加投标的投标人发生实质性变更的且未提供有效证明的；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9.2投标人提交两份或两份以上内容不同的投标文件，未声明哪一份有效的；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 投标文件非投标人法定代表人签署的，未提供或提供无效的法定代表人授权书；</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9.4 未按招标文件规定装订；</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 投标文件内容未按招标文件规定签字或盖章的；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9.6 投标文件组成漏项或未按规定的格式编制或投标文件正、副本份数不足或内容不全或内容字迹模糊辨认不清的等而导致评标活动无法正常进行；</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9.7 投标人未按招标文件变更通知更改投标文件的；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9.8 《开标一览表》和《投标分项报价表》内容不完整且不接受修正意见或字迹不能辨认的或未提供；</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9.9 标项投标报价超过招标文件规定的预算金额或最高限价</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9.10 因投标人原因编制错误造成经评标委员会修正后的报价达到或超过投标报价的0.5%；</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9.11 投标人的报价明显低于其他通过符合性审查投标人的报价，有可能影响产品质量或者不能诚信履约的，且在规定时间内不能合理说明原因并提供证明材料的；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9.12 未实质性响应招标文件中条款要求的投标文件；</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9.13 不符合招标范围、技术规格、技术标准的要求无法满足采购人使用要求；</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9.14 投标文件附有采购人不能接受的条款；</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9.15 投标文件中提供了赠品或者与本项目采购无关的其他商品、服务；</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9.16 投标文件中承诺的投标有效期少于招标文件中载明的投标有效期；</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9.17投标人串通投标，妨碍其他投标人的竞争行为，损害采购人或者其他投标人的合法权益；</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9.18违反国家及政府部门相关法律、法规、文件规定或经评标委员会认定的其他属于重大偏离；</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10．废标</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10.1 符合招标文件规定废标情形的；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10.2 出现影响采购公正的违法、违规行为的；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10.3 供应商的报价均超过了采购预算（或最高限价），采购人不能支付的;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10.4 因重大变故，采购任务取消的。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11．突发情况处理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11.1 采购过程中出现以下情形，导致电子交易平台无法正常运行，或者无法保证电子交易的公平、公正和安全时，采购代理机构可中止电子交易活动：</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（1）电子交易平台发生故障而无法登录访问的； </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（2）电子交易平台应用或数据库出现错误，不能进行正常操作的；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（3）电子交易平台发现严重安全漏洞，有潜在泄密危险的；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（4）病毒发作导致不能进行正常操作的； </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（5）其他无法保证电子交易的公平、公正和安全的情况。</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出现前款规定情形，不影响采购公平、公正性的，采购代理机构可以待上述情形消除后继续组织电子交易活动，也可以决定某些环节以纸质形式进行；影响或可能影响采购公平、公正性的，应当重新采购。</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11.2 采购代理机构或评审小组因不可抗力（不可抗力包括但不限于自然灾害、断电、传播疫病等）原因造成电子交易活动无法正常运行的，将采取以下措施：</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auto"/>
        <w:ind w:firstLine="42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 定标</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bookmarkStart w:id="43" w:name="_Toc469495729"/>
      <w:r>
        <w:rPr>
          <w:rFonts w:hint="eastAsia" w:ascii="仿宋" w:hAnsi="仿宋" w:eastAsia="仿宋" w:cs="仿宋"/>
          <w:b w:val="0"/>
          <w:bCs w:val="0"/>
          <w:color w:val="auto"/>
          <w:sz w:val="24"/>
          <w:szCs w:val="24"/>
          <w:highlight w:val="none"/>
          <w:lang w:val="en-US" w:eastAsia="zh-CN"/>
        </w:rPr>
        <w:t>12.1采购结果确认（确定中标单位）</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采购结果确认（确定中标单位）：本项目由采购人根据评标委员会提交的《评审报告》，通过“政府采购云平台”依法确认采购结果、确定中标单位。具体流程如下：</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（1）采购代理机构将在评审结束后2个工作日内将评审报告送采购人。</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（2）采购人将在收到评审报告之日起5个工作日内，在评审报告推荐的中标候选供应商名单中按顺序确定中标单位，并将确认意见以书面形式回复采购代理机构。 </w:t>
      </w:r>
    </w:p>
    <w:p>
      <w:pPr>
        <w:shd w:val="clear" w:color="auto" w:fill="auto"/>
        <w:spacing w:line="360" w:lineRule="auto"/>
        <w:ind w:firstLine="240" w:firstLineChars="1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12.2采购结果经采购人确认后2个工作日内，采购代理机构将在</w:t>
      </w:r>
      <w:r>
        <w:rPr>
          <w:rFonts w:hint="eastAsia" w:ascii="仿宋" w:hAnsi="仿宋" w:eastAsia="仿宋" w:cs="仿宋"/>
          <w:b/>
          <w:bCs/>
          <w:color w:val="auto"/>
          <w:sz w:val="24"/>
          <w:szCs w:val="24"/>
          <w:highlight w:val="none"/>
          <w:lang w:val="en-US" w:eastAsia="zh-CN"/>
        </w:rPr>
        <w:t>新疆政府采购网（www.zjzfcg.gov.cn）上公告采购结果，中标公告期限为1个工作日。</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 中标通知书</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通知书发出前，招标人将</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侯选人的情况在</w:t>
      </w:r>
      <w:r>
        <w:rPr>
          <w:rFonts w:hint="eastAsia" w:ascii="仿宋" w:hAnsi="仿宋" w:eastAsia="仿宋" w:cs="仿宋"/>
          <w:color w:val="auto"/>
          <w:sz w:val="24"/>
          <w:szCs w:val="24"/>
          <w:highlight w:val="none"/>
          <w:lang w:val="en-US" w:eastAsia="zh-CN"/>
        </w:rPr>
        <w:t>克州公共资源交易中心网、</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予以公示，</w:t>
      </w:r>
      <w:r>
        <w:rPr>
          <w:rFonts w:hint="eastAsia" w:ascii="仿宋" w:hAnsi="仿宋" w:eastAsia="仿宋" w:cs="仿宋"/>
          <w:b/>
          <w:bCs/>
          <w:color w:val="auto"/>
          <w:sz w:val="24"/>
          <w:szCs w:val="24"/>
          <w:highlight w:val="none"/>
        </w:rPr>
        <w:t>公示期为</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个工作日。</w:t>
      </w:r>
      <w:r>
        <w:rPr>
          <w:rFonts w:hint="eastAsia" w:ascii="仿宋" w:hAnsi="仿宋" w:eastAsia="仿宋" w:cs="仿宋"/>
          <w:b/>
          <w:bCs/>
          <w:color w:val="auto"/>
          <w:sz w:val="24"/>
          <w:szCs w:val="24"/>
          <w:highlight w:val="none"/>
          <w:lang w:eastAsia="zh-CN"/>
        </w:rPr>
        <w:t>待公示期结束后，</w:t>
      </w:r>
      <w:r>
        <w:rPr>
          <w:rFonts w:hint="eastAsia" w:ascii="仿宋" w:hAnsi="仿宋" w:eastAsia="仿宋" w:cs="仿宋"/>
          <w:b w:val="0"/>
          <w:bCs w:val="0"/>
          <w:color w:val="auto"/>
          <w:sz w:val="24"/>
          <w:szCs w:val="24"/>
          <w:highlight w:val="none"/>
          <w:lang w:val="en-US" w:eastAsia="zh-CN"/>
        </w:rPr>
        <w:t>采购代理机构向中标人发出中标通知书。</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13.2中标通知书作为签订合同的重要依据，对采购人和中标单位均具有法律效力。采购人改变中标结果或者中标单位放弃中标项目的都应承担法律责任。中标单位不得向他人转让中标项目，也不得将中标项目肢解后分别向他人转让。</w:t>
      </w:r>
    </w:p>
    <w:p>
      <w:pPr>
        <w:pStyle w:val="4"/>
        <w:bidi w:val="0"/>
        <w:spacing w:line="360" w:lineRule="auto"/>
        <w:jc w:val="center"/>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rPr>
      </w:pPr>
      <w:bookmarkStart w:id="44" w:name="_Toc14384"/>
      <w:r>
        <w:rPr>
          <w:rFonts w:hint="eastAsia" w:ascii="仿宋" w:hAnsi="仿宋" w:eastAsia="仿宋" w:cs="仿宋"/>
          <w:lang w:eastAsia="zh-CN"/>
        </w:rPr>
        <w:t>第七章</w:t>
      </w:r>
      <w:r>
        <w:rPr>
          <w:rFonts w:hint="eastAsia" w:ascii="仿宋" w:hAnsi="仿宋" w:eastAsia="仿宋" w:cs="仿宋"/>
          <w:lang w:val="en-US" w:eastAsia="zh-CN"/>
        </w:rPr>
        <w:t xml:space="preserve"> </w:t>
      </w:r>
      <w:r>
        <w:rPr>
          <w:rFonts w:hint="eastAsia" w:ascii="仿宋" w:hAnsi="仿宋" w:eastAsia="仿宋" w:cs="仿宋"/>
        </w:rPr>
        <w:t>合同的授予</w:t>
      </w:r>
      <w:bookmarkEnd w:id="43"/>
      <w:bookmarkEnd w:id="44"/>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bookmarkStart w:id="45" w:name="_Toc73975842"/>
      <w:bookmarkStart w:id="46" w:name="_Toc469495730"/>
      <w:r>
        <w:rPr>
          <w:rFonts w:hint="eastAsia" w:ascii="仿宋" w:hAnsi="仿宋" w:eastAsia="仿宋" w:cs="仿宋"/>
          <w:b w:val="0"/>
          <w:bCs w:val="0"/>
          <w:color w:val="auto"/>
          <w:sz w:val="24"/>
          <w:szCs w:val="24"/>
          <w:highlight w:val="none"/>
          <w:lang w:val="en-US" w:eastAsia="zh-CN"/>
        </w:rPr>
        <w:t>1．履约保证金</w:t>
      </w:r>
      <w:bookmarkEnd w:id="45"/>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 中标单位在签订合同后5个工作日内向采购人交纳不超过中标价10%的履约保证金（鼓励以银行、保险公司出具的履约保函形式提交；若以电汇、银行转账方式提交的，必须转到采购人的指定账户）。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 签订合同后，如中标单位不按合同约定履约的，履约保证金不予退还，履约保证金不足以赔偿损失的，按实际损失赔偿。</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 如果中标单位在建设期内没有涉及采购人的应付而未付金额或违约行为，采购人在项目验收合格后或提前终止合同后全额无息退还履约保证金。</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bookmarkStart w:id="47" w:name="_Toc73975843"/>
      <w:r>
        <w:rPr>
          <w:rFonts w:hint="eastAsia" w:ascii="仿宋" w:hAnsi="仿宋" w:eastAsia="仿宋" w:cs="仿宋"/>
          <w:b w:val="0"/>
          <w:bCs w:val="0"/>
          <w:color w:val="auto"/>
          <w:sz w:val="24"/>
          <w:szCs w:val="24"/>
          <w:highlight w:val="none"/>
          <w:lang w:val="en-US" w:eastAsia="zh-CN"/>
        </w:rPr>
        <w:t>2．签订合同及公告</w:t>
      </w:r>
      <w:bookmarkEnd w:id="47"/>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2.1采购人在中标通知书发出之日起30日内与中标单位签订合同。</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2.2中标单位拖延、拒签合同的,取消中标资格。</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 招标文件、中标单位的投标文件及评标过程中有关澄清文件等均作为签订合同的依据。所签订的合同不得对招标文件和中标单位的投标文件的内容作实质性修改。</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2.4采购人应当自政府采购合同签订之日起2个工作日内，在省级以上财政部门指定的政府采购信息发布媒体及相关网站上公告。</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2.5采购人应当自政府采购合同签订之日起7个工作日内，将政府采购合同副本报同级人民政府财政部门备案以及采购代理机构存档。</w:t>
      </w: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bidi w:val="0"/>
        <w:spacing w:line="360" w:lineRule="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rPr>
      </w:pPr>
      <w:bookmarkStart w:id="48" w:name="_Toc8458"/>
      <w:r>
        <w:rPr>
          <w:rFonts w:hint="eastAsia" w:ascii="仿宋" w:hAnsi="仿宋" w:eastAsia="仿宋" w:cs="仿宋"/>
          <w:lang w:eastAsia="zh-CN"/>
        </w:rPr>
        <w:t>第八章</w:t>
      </w:r>
      <w:r>
        <w:rPr>
          <w:rFonts w:hint="eastAsia" w:ascii="仿宋" w:hAnsi="仿宋" w:eastAsia="仿宋" w:cs="仿宋"/>
          <w:lang w:val="en-US" w:eastAsia="zh-CN"/>
        </w:rPr>
        <w:t xml:space="preserve">  </w:t>
      </w:r>
      <w:r>
        <w:rPr>
          <w:rFonts w:hint="eastAsia" w:ascii="仿宋" w:hAnsi="仿宋" w:eastAsia="仿宋" w:cs="仿宋"/>
        </w:rPr>
        <w:t>纪律和监督</w:t>
      </w:r>
      <w:bookmarkEnd w:id="46"/>
      <w:bookmarkEnd w:id="48"/>
    </w:p>
    <w:p>
      <w:pPr>
        <w:shd w:val="clear" w:color="auto" w:fill="auto"/>
        <w:spacing w:line="360" w:lineRule="auto"/>
        <w:ind w:firstLine="354"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xml:space="preserve">. 对招标人的纪律要求 </w:t>
      </w:r>
    </w:p>
    <w:p>
      <w:pPr>
        <w:shd w:val="clear" w:color="auto" w:fill="auto"/>
        <w:adjustRightInd w:val="0"/>
        <w:snapToGrid w:val="0"/>
        <w:spacing w:line="360" w:lineRule="auto"/>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1</w:t>
      </w:r>
      <w:r>
        <w:rPr>
          <w:rFonts w:hint="eastAsia" w:ascii="仿宋" w:hAnsi="仿宋" w:eastAsia="仿宋" w:cs="仿宋"/>
          <w:color w:val="auto"/>
          <w:kern w:val="10"/>
          <w:sz w:val="24"/>
          <w:szCs w:val="24"/>
          <w:highlight w:val="none"/>
        </w:rPr>
        <w:t xml:space="preserve">.1招标人不得泄漏招标投标活动中应当保密的情况和资料，不得与投标人串通损害国家利益，社会公共利益或者他人合法权益。 </w:t>
      </w:r>
    </w:p>
    <w:p>
      <w:pPr>
        <w:shd w:val="clear" w:color="auto" w:fill="auto"/>
        <w:spacing w:line="360" w:lineRule="auto"/>
        <w:ind w:firstLine="354"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xml:space="preserve">. 对投标人的纪律要求 </w:t>
      </w:r>
    </w:p>
    <w:p>
      <w:pPr>
        <w:shd w:val="clear" w:color="auto" w:fill="auto"/>
        <w:adjustRightInd w:val="0"/>
        <w:snapToGrid w:val="0"/>
        <w:spacing w:line="360" w:lineRule="auto"/>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2</w:t>
      </w:r>
      <w:r>
        <w:rPr>
          <w:rFonts w:hint="eastAsia" w:ascii="仿宋" w:hAnsi="仿宋" w:eastAsia="仿宋" w:cs="仿宋"/>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360" w:lineRule="auto"/>
        <w:ind w:firstLine="354"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 xml:space="preserve">. 对评标委员会成员的纪律要求 </w:t>
      </w:r>
    </w:p>
    <w:p>
      <w:pPr>
        <w:shd w:val="clear" w:color="auto" w:fill="auto"/>
        <w:adjustRightInd w:val="0"/>
        <w:snapToGrid w:val="0"/>
        <w:spacing w:line="360" w:lineRule="auto"/>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3</w:t>
      </w:r>
      <w:r>
        <w:rPr>
          <w:rFonts w:hint="eastAsia" w:ascii="仿宋" w:hAnsi="仿宋" w:eastAsia="仿宋" w:cs="仿宋"/>
          <w:color w:val="auto"/>
          <w:kern w:val="10"/>
          <w:sz w:val="24"/>
          <w:szCs w:val="24"/>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360" w:lineRule="auto"/>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3</w:t>
      </w:r>
      <w:r>
        <w:rPr>
          <w:rFonts w:hint="eastAsia" w:ascii="仿宋" w:hAnsi="仿宋" w:eastAsia="仿宋" w:cs="仿宋"/>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360" w:lineRule="auto"/>
        <w:ind w:firstLine="354"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 xml:space="preserve">. 对与评标活动有关的工作人员的纪律要求 </w:t>
      </w:r>
    </w:p>
    <w:p>
      <w:pPr>
        <w:shd w:val="clear" w:color="auto" w:fill="auto"/>
        <w:adjustRightInd w:val="0"/>
        <w:snapToGrid w:val="0"/>
        <w:spacing w:line="360" w:lineRule="auto"/>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4.1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lang w:eastAsia="zh-CN"/>
        </w:rPr>
      </w:pPr>
    </w:p>
    <w:p>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rPr>
      </w:pPr>
      <w:bookmarkStart w:id="49" w:name="_Toc16094"/>
      <w:r>
        <w:rPr>
          <w:rFonts w:hint="eastAsia" w:ascii="仿宋" w:hAnsi="仿宋" w:eastAsia="仿宋" w:cs="仿宋"/>
          <w:lang w:eastAsia="zh-CN"/>
        </w:rPr>
        <w:t>第九章</w:t>
      </w:r>
      <w:r>
        <w:rPr>
          <w:rFonts w:hint="eastAsia" w:ascii="仿宋" w:hAnsi="仿宋" w:eastAsia="仿宋" w:cs="仿宋"/>
          <w:lang w:val="en-US" w:eastAsia="zh-CN"/>
        </w:rPr>
        <w:t xml:space="preserve">  </w:t>
      </w:r>
      <w:r>
        <w:rPr>
          <w:rFonts w:hint="eastAsia" w:ascii="仿宋" w:hAnsi="仿宋" w:eastAsia="仿宋" w:cs="仿宋"/>
        </w:rPr>
        <w:t>质疑与投诉</w:t>
      </w:r>
      <w:bookmarkEnd w:id="49"/>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1．质疑和投诉</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供应商认为招标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（一）对可以质疑的招标文件提出质疑的，为收到招标文件之日或者招标文件公告期限届满之日；</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（二）对采购过程提出质疑的，为各采购程序环节结束之日；</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（三）对中标或者成交结果提出质疑的，为中标或者成交结果公告期限届满之日。</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1.5供应商有下列情形之一的，采购代理机构将报送阿合奇财政局，将其列入不良行为记录名单：</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（一）一年内三次以上质疑均查无实据的；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（二）捏造事实或者提供虚假质疑材料的。</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auto"/>
        <w:jc w:val="center"/>
        <w:rPr>
          <w:rFonts w:hint="eastAsia" w:ascii="仿宋" w:hAnsi="仿宋" w:eastAsia="仿宋" w:cs="仿宋"/>
          <w:color w:val="auto"/>
          <w:sz w:val="30"/>
          <w:szCs w:val="30"/>
          <w:highlight w:val="none"/>
        </w:rPr>
      </w:pPr>
    </w:p>
    <w:bookmarkEnd w:id="33"/>
    <w:bookmarkEnd w:id="34"/>
    <w:p>
      <w:pPr>
        <w:pStyle w:val="3"/>
        <w:numPr>
          <w:ilvl w:val="0"/>
          <w:numId w:val="3"/>
        </w:numPr>
        <w:bidi w:val="0"/>
        <w:spacing w:line="360" w:lineRule="auto"/>
        <w:rPr>
          <w:rFonts w:hint="eastAsia" w:ascii="仿宋" w:hAnsi="仿宋" w:eastAsia="仿宋" w:cs="仿宋"/>
          <w:color w:val="auto"/>
          <w:szCs w:val="21"/>
          <w:highlight w:val="none"/>
          <w:lang w:eastAsia="zh-CN" w:bidi="ar-SA"/>
        </w:rPr>
      </w:pPr>
      <w:bookmarkStart w:id="50" w:name="_Toc18286"/>
      <w:bookmarkStart w:id="51" w:name="_Toc497239297"/>
      <w:r>
        <w:rPr>
          <w:rFonts w:hint="eastAsia" w:ascii="仿宋" w:hAnsi="仿宋" w:eastAsia="仿宋" w:cs="仿宋"/>
          <w:color w:val="auto"/>
          <w:szCs w:val="21"/>
          <w:highlight w:val="none"/>
          <w:lang w:bidi="ar-SA"/>
        </w:rPr>
        <w:t>评标</w:t>
      </w:r>
      <w:r>
        <w:rPr>
          <w:rFonts w:hint="eastAsia" w:ascii="仿宋" w:hAnsi="仿宋" w:eastAsia="仿宋" w:cs="仿宋"/>
          <w:color w:val="auto"/>
          <w:szCs w:val="21"/>
          <w:highlight w:val="none"/>
          <w:lang w:eastAsia="zh-CN" w:bidi="ar-SA"/>
        </w:rPr>
        <w:t>办法</w:t>
      </w:r>
      <w:bookmarkEnd w:id="50"/>
    </w:p>
    <w:p>
      <w:pPr>
        <w:pStyle w:val="4"/>
        <w:bidi w:val="0"/>
        <w:spacing w:line="360" w:lineRule="auto"/>
        <w:jc w:val="left"/>
        <w:rPr>
          <w:rFonts w:hint="eastAsia" w:ascii="仿宋" w:hAnsi="仿宋" w:eastAsia="仿宋" w:cs="仿宋"/>
          <w:sz w:val="24"/>
          <w:szCs w:val="24"/>
          <w:lang w:eastAsia="zh-CN"/>
        </w:rPr>
      </w:pPr>
      <w:bookmarkStart w:id="52" w:name="_Toc1542"/>
      <w:r>
        <w:rPr>
          <w:rFonts w:hint="eastAsia" w:ascii="仿宋" w:hAnsi="仿宋" w:eastAsia="仿宋" w:cs="仿宋"/>
          <w:lang w:eastAsia="zh-CN"/>
        </w:rPr>
        <w:t>一</w:t>
      </w:r>
      <w:r>
        <w:rPr>
          <w:rFonts w:hint="eastAsia" w:ascii="仿宋" w:hAnsi="仿宋" w:eastAsia="仿宋" w:cs="仿宋"/>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评标程序</w:t>
      </w:r>
      <w:bookmarkEnd w:id="52"/>
    </w:p>
    <w:p>
      <w:pPr>
        <w:pStyle w:val="23"/>
        <w:shd w:val="clear" w:color="auto" w:fill="auto"/>
        <w:tabs>
          <w:tab w:val="left" w:pos="720"/>
          <w:tab w:val="clear" w:pos="0"/>
        </w:tabs>
        <w:spacing w:line="360" w:lineRule="auto"/>
        <w:ind w:firstLine="480" w:firstLineChars="200"/>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val="en-US" w:eastAsia="zh-CN" w:bidi="ar-SA"/>
        </w:rPr>
        <w:t>1.</w:t>
      </w:r>
      <w:r>
        <w:rPr>
          <w:rFonts w:hint="eastAsia" w:ascii="仿宋" w:hAnsi="仿宋" w:eastAsia="仿宋" w:cs="仿宋"/>
          <w:bCs/>
          <w:color w:val="auto"/>
          <w:sz w:val="24"/>
          <w:szCs w:val="24"/>
          <w:highlight w:val="none"/>
          <w:lang w:bidi="ar-SA"/>
        </w:rPr>
        <w:t>本次评标首先由</w:t>
      </w:r>
      <w:r>
        <w:rPr>
          <w:rFonts w:hint="eastAsia" w:ascii="仿宋" w:hAnsi="仿宋" w:eastAsia="仿宋" w:cs="仿宋"/>
          <w:bCs/>
          <w:color w:val="auto"/>
          <w:sz w:val="24"/>
          <w:szCs w:val="24"/>
          <w:highlight w:val="none"/>
          <w:lang w:eastAsia="zh-CN" w:bidi="ar-SA"/>
        </w:rPr>
        <w:t>招标人或招标大力机构</w:t>
      </w:r>
      <w:r>
        <w:rPr>
          <w:rFonts w:hint="eastAsia" w:ascii="仿宋" w:hAnsi="仿宋" w:eastAsia="仿宋" w:cs="仿宋"/>
          <w:bCs/>
          <w:color w:val="auto"/>
          <w:sz w:val="24"/>
          <w:szCs w:val="24"/>
          <w:highlight w:val="none"/>
          <w:lang w:bidi="ar-SA"/>
        </w:rPr>
        <w:t>对投标人的投标文件进行</w:t>
      </w:r>
      <w:r>
        <w:rPr>
          <w:rFonts w:hint="eastAsia" w:ascii="仿宋" w:hAnsi="仿宋" w:eastAsia="仿宋" w:cs="仿宋"/>
          <w:bCs/>
          <w:color w:val="auto"/>
          <w:sz w:val="24"/>
          <w:szCs w:val="24"/>
          <w:highlight w:val="none"/>
          <w:lang w:eastAsia="zh-CN" w:bidi="ar-SA"/>
        </w:rPr>
        <w:t>资格性审查</w:t>
      </w:r>
      <w:r>
        <w:rPr>
          <w:rFonts w:hint="eastAsia" w:ascii="仿宋" w:hAnsi="仿宋" w:eastAsia="仿宋" w:cs="仿宋"/>
          <w:bCs/>
          <w:color w:val="auto"/>
          <w:sz w:val="24"/>
          <w:szCs w:val="24"/>
          <w:highlight w:val="none"/>
          <w:lang w:bidi="ar-SA"/>
        </w:rPr>
        <w:t>，对未能通过</w:t>
      </w:r>
      <w:r>
        <w:rPr>
          <w:rFonts w:hint="eastAsia" w:ascii="仿宋" w:hAnsi="仿宋" w:eastAsia="仿宋" w:cs="仿宋"/>
          <w:bCs/>
          <w:color w:val="auto"/>
          <w:sz w:val="24"/>
          <w:szCs w:val="24"/>
          <w:highlight w:val="none"/>
          <w:lang w:eastAsia="zh-CN" w:bidi="ar-SA"/>
        </w:rPr>
        <w:t>资格性审查</w:t>
      </w:r>
      <w:r>
        <w:rPr>
          <w:rFonts w:hint="eastAsia" w:ascii="仿宋" w:hAnsi="仿宋" w:eastAsia="仿宋" w:cs="仿宋"/>
          <w:bCs/>
          <w:color w:val="auto"/>
          <w:sz w:val="24"/>
          <w:szCs w:val="24"/>
          <w:highlight w:val="none"/>
          <w:lang w:bidi="ar-SA"/>
        </w:rPr>
        <w:t>的投标文件作无效标处理；</w:t>
      </w:r>
    </w:p>
    <w:p>
      <w:pPr>
        <w:shd w:val="clear" w:color="auto" w:fill="auto"/>
        <w:tabs>
          <w:tab w:val="left" w:pos="720"/>
        </w:tabs>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对通过</w:t>
      </w:r>
      <w:r>
        <w:rPr>
          <w:rFonts w:hint="eastAsia" w:ascii="仿宋" w:hAnsi="仿宋" w:eastAsia="仿宋" w:cs="仿宋"/>
          <w:color w:val="auto"/>
          <w:sz w:val="24"/>
          <w:szCs w:val="24"/>
          <w:highlight w:val="none"/>
          <w:lang w:eastAsia="zh-CN" w:bidi="ar-SA"/>
        </w:rPr>
        <w:t>资格性审查</w:t>
      </w:r>
      <w:r>
        <w:rPr>
          <w:rFonts w:hint="eastAsia" w:ascii="仿宋" w:hAnsi="仿宋" w:eastAsia="仿宋" w:cs="仿宋"/>
          <w:color w:val="auto"/>
          <w:sz w:val="24"/>
          <w:szCs w:val="24"/>
          <w:highlight w:val="none"/>
          <w:lang w:bidi="ar-SA"/>
        </w:rPr>
        <w:t>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lang w:bidi="ar-SA"/>
        </w:rPr>
        <w:t>3</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依据评分标准以及各项权值，各位评委单独就每个投标人的</w:t>
      </w:r>
      <w:r>
        <w:rPr>
          <w:rFonts w:hint="eastAsia" w:ascii="仿宋" w:hAnsi="仿宋" w:eastAsia="仿宋" w:cs="仿宋"/>
          <w:color w:val="auto"/>
          <w:kern w:val="0"/>
          <w:sz w:val="24"/>
          <w:szCs w:val="24"/>
          <w:highlight w:val="none"/>
          <w:lang w:bidi="ar-SA"/>
        </w:rPr>
        <w:t>投标文件进行价格、技术、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pStyle w:val="4"/>
        <w:bidi w:val="0"/>
        <w:spacing w:line="360" w:lineRule="auto"/>
        <w:jc w:val="left"/>
        <w:rPr>
          <w:rFonts w:hint="eastAsia" w:ascii="仿宋" w:hAnsi="仿宋" w:eastAsia="仿宋" w:cs="仿宋"/>
          <w:sz w:val="24"/>
          <w:szCs w:val="24"/>
          <w:lang w:eastAsia="zh-CN"/>
        </w:rPr>
      </w:pPr>
      <w:bookmarkStart w:id="53" w:name="_Toc1556"/>
      <w:r>
        <w:rPr>
          <w:rFonts w:hint="eastAsia" w:ascii="仿宋" w:hAnsi="仿宋" w:eastAsia="仿宋" w:cs="仿宋"/>
          <w:sz w:val="24"/>
          <w:szCs w:val="24"/>
        </w:rPr>
        <w:t>二</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投标文件</w:t>
      </w:r>
      <w:r>
        <w:rPr>
          <w:rFonts w:hint="eastAsia" w:ascii="仿宋" w:hAnsi="仿宋" w:eastAsia="仿宋" w:cs="仿宋"/>
          <w:sz w:val="24"/>
          <w:szCs w:val="24"/>
          <w:lang w:eastAsia="zh-CN"/>
        </w:rPr>
        <w:t>审查</w:t>
      </w:r>
      <w:bookmarkEnd w:id="53"/>
    </w:p>
    <w:p>
      <w:pPr>
        <w:shd w:val="clear" w:color="auto" w:fill="auto"/>
        <w:spacing w:line="360" w:lineRule="auto"/>
        <w:ind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.资格性审查:</w:t>
      </w:r>
    </w:p>
    <w:tbl>
      <w:tblPr>
        <w:tblStyle w:val="26"/>
        <w:tblW w:w="95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6216"/>
        <w:gridCol w:w="717"/>
        <w:gridCol w:w="747"/>
        <w:gridCol w:w="747"/>
        <w:gridCol w:w="4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39" w:type="dxa"/>
            <w:gridSpan w:val="2"/>
            <w:vMerge w:val="restart"/>
            <w:tcBorders>
              <w:top w:val="single" w:color="auto" w:sz="12" w:space="0"/>
              <w:right w:val="single" w:color="auto" w:sz="4" w:space="0"/>
            </w:tcBorders>
            <w:noWrap w:val="0"/>
            <w:vAlign w:val="center"/>
          </w:tcPr>
          <w:p>
            <w:pPr>
              <w:spacing w:line="360" w:lineRule="auto"/>
              <w:ind w:firstLine="2666" w:firstLineChars="113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评审内容</w:t>
            </w:r>
          </w:p>
        </w:tc>
        <w:tc>
          <w:tcPr>
            <w:tcW w:w="2669" w:type="dxa"/>
            <w:gridSpan w:val="4"/>
            <w:tcBorders>
              <w:top w:val="single" w:color="auto" w:sz="12" w:space="0"/>
              <w:left w:val="single" w:color="auto" w:sz="4" w:space="0"/>
              <w:bottom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839" w:type="dxa"/>
            <w:gridSpan w:val="2"/>
            <w:vMerge w:val="continue"/>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717" w:type="dxa"/>
            <w:tcBorders>
              <w:top w:val="single" w:color="auto" w:sz="4" w:space="0"/>
              <w:left w:val="single" w:color="auto" w:sz="4" w:space="0"/>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w:t>
            </w:r>
          </w:p>
        </w:tc>
        <w:tc>
          <w:tcPr>
            <w:tcW w:w="747" w:type="dxa"/>
            <w:tcBorders>
              <w:top w:val="single" w:color="auto" w:sz="4" w:space="0"/>
              <w:lef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w:t>
            </w:r>
          </w:p>
        </w:tc>
        <w:tc>
          <w:tcPr>
            <w:tcW w:w="747" w:type="dxa"/>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w:t>
            </w:r>
          </w:p>
        </w:tc>
        <w:tc>
          <w:tcPr>
            <w:tcW w:w="458" w:type="dxa"/>
            <w:noWrap w:val="0"/>
            <w:vAlign w:val="center"/>
          </w:tcPr>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lang w:val="en-US" w:eastAsia="zh-CN"/>
              </w:rPr>
              <w:t>有效的工商营业执照、税务登记证、组织机构代码证或“三证合一”的营业执照；</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spacing w:val="-2"/>
                <w:kern w:val="2"/>
                <w:sz w:val="24"/>
                <w:szCs w:val="24"/>
                <w:highlight w:val="none"/>
                <w:lang w:val="en-US" w:eastAsia="zh-CN" w:bidi="ar-SA"/>
              </w:rPr>
            </w:pPr>
            <w:r>
              <w:rPr>
                <w:rFonts w:hint="eastAsia" w:ascii="仿宋" w:hAnsi="仿宋" w:eastAsia="仿宋" w:cs="仿宋"/>
                <w:color w:val="auto"/>
                <w:sz w:val="24"/>
                <w:szCs w:val="24"/>
                <w:lang w:val="en-US" w:eastAsia="zh-CN"/>
              </w:rPr>
              <w:t>法人代表或其委托代理人应携带本人身份证原件及复印件，委托代理人还应携带《法人代表授权委托书》；</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216" w:type="dxa"/>
            <w:tcBorders>
              <w:right w:val="single" w:color="auto" w:sz="4" w:space="0"/>
            </w:tcBorders>
            <w:noWrap w:val="0"/>
            <w:vAlign w:val="center"/>
          </w:tcPr>
          <w:p>
            <w:pPr>
              <w:pStyle w:val="41"/>
              <w:spacing w:line="360"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投标人需提供上一年度（2021年度）的财务审计报告或开标日前三个月内银行出具的资信证明。审计报告复印件至少应包括资产负债表、利润表、现金流量表加盖会计师事务所公章页；</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216" w:type="dxa"/>
            <w:tcBorders>
              <w:right w:val="single" w:color="auto" w:sz="4" w:space="0"/>
            </w:tcBorders>
            <w:noWrap w:val="0"/>
            <w:vAlign w:val="center"/>
          </w:tcPr>
          <w:p>
            <w:pPr>
              <w:pStyle w:val="41"/>
              <w:spacing w:line="360"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投标人需提供近六个月内（（2022年9月-2023年2月）任意一月份投标人社会保障资金缴纳有效票据凭证及税务缴纳有效票据凭证；</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投标人须提供通过“信用中国”网站（www.creditchina.gov.cn）和中国政府采购网（www.ccgp.gov.cn）渠道查询的本单位信用记录的网页，并加盖投标单位公章，被列入失信被执行人、重大税收违法案件当事人名单、政府采购严重违法失信行为记录名单的单位及其他不符合《中华人民共和国政府采购法》第二十二条规定条件的投标单位，将被拒绝参与本次政府采购活动；</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lang w:val="en-US" w:eastAsia="zh-CN"/>
              </w:rPr>
              <w:t>投标保证金凭证；</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提供反商业贿赂承诺书；</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2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216" w:type="dxa"/>
            <w:tcBorders>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城乡规划编制乙级（含）以上资质及测绘资质乙级（含）以上资质或土地规划乙级（含）以上资质及测绘资质乙级（含）以上资质证书</w:t>
            </w:r>
          </w:p>
        </w:tc>
        <w:tc>
          <w:tcPr>
            <w:tcW w:w="717" w:type="dxa"/>
            <w:tcBorders>
              <w:left w:val="single" w:color="auto" w:sz="4" w:space="0"/>
              <w:righ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tcBorders>
            <w:noWrap w:val="0"/>
            <w:vAlign w:val="center"/>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left w:val="single" w:color="auto" w:sz="4" w:space="0"/>
            </w:tcBorders>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39" w:type="dxa"/>
            <w:gridSpan w:val="2"/>
            <w:tcBorders>
              <w:bottom w:val="single" w:color="auto" w:sz="12" w:space="0"/>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结论：是否通过评审</w:t>
            </w:r>
          </w:p>
        </w:tc>
        <w:tc>
          <w:tcPr>
            <w:tcW w:w="717" w:type="dxa"/>
            <w:tcBorders>
              <w:left w:val="single" w:color="auto" w:sz="4" w:space="0"/>
              <w:bottom w:val="single" w:color="auto" w:sz="12" w:space="0"/>
              <w:right w:val="single" w:color="auto" w:sz="4"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left w:val="single" w:color="auto" w:sz="4" w:space="0"/>
              <w:bottom w:val="single" w:color="auto" w:sz="12"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747" w:type="dxa"/>
            <w:tcBorders>
              <w:bottom w:val="single" w:color="auto" w:sz="12" w:space="0"/>
            </w:tcBorders>
            <w:noWrap w:val="0"/>
            <w:vAlign w:val="top"/>
          </w:tcPr>
          <w:p>
            <w:pPr>
              <w:spacing w:line="360" w:lineRule="auto"/>
              <w:ind w:firstLine="424" w:firstLineChars="180"/>
              <w:rPr>
                <w:rFonts w:hint="eastAsia" w:ascii="仿宋" w:hAnsi="仿宋" w:eastAsia="仿宋" w:cs="仿宋"/>
                <w:color w:val="auto"/>
                <w:spacing w:val="-2"/>
                <w:sz w:val="24"/>
                <w:szCs w:val="24"/>
                <w:highlight w:val="none"/>
              </w:rPr>
            </w:pPr>
          </w:p>
        </w:tc>
        <w:tc>
          <w:tcPr>
            <w:tcW w:w="458" w:type="dxa"/>
            <w:tcBorders>
              <w:bottom w:val="single" w:color="auto" w:sz="12" w:space="0"/>
            </w:tcBorders>
            <w:noWrap w:val="0"/>
            <w:vAlign w:val="top"/>
          </w:tcPr>
          <w:p>
            <w:pPr>
              <w:spacing w:line="360" w:lineRule="auto"/>
              <w:rPr>
                <w:rFonts w:hint="eastAsia" w:ascii="仿宋" w:hAnsi="仿宋" w:eastAsia="仿宋" w:cs="仿宋"/>
                <w:color w:val="auto"/>
                <w:sz w:val="24"/>
                <w:szCs w:val="24"/>
                <w:highlight w:val="none"/>
              </w:rPr>
            </w:pPr>
          </w:p>
        </w:tc>
      </w:tr>
    </w:tbl>
    <w:p>
      <w:pPr>
        <w:shd w:val="clear" w:color="auto" w:fill="auto"/>
        <w:spacing w:before="156" w:beforeLines="50" w:line="360" w:lineRule="auto"/>
        <w:ind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.符合性审查</w:t>
      </w:r>
    </w:p>
    <w:tbl>
      <w:tblPr>
        <w:tblStyle w:val="26"/>
        <w:tblpPr w:leftFromText="180" w:rightFromText="180" w:vertAnchor="text" w:horzAnchor="page" w:tblpX="1353" w:tblpY="15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pPr>
              <w:shd w:val="clear" w:color="auto" w:fill="auto"/>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6832" w:type="dxa"/>
            <w:gridSpan w:val="2"/>
            <w:tcBorders>
              <w:bottom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482" w:type="dxa"/>
            <w:noWrap w:val="0"/>
            <w:vAlign w:val="center"/>
          </w:tcPr>
          <w:p>
            <w:pPr>
              <w:shd w:val="clear" w:color="auto" w:fill="auto"/>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78" w:type="dxa"/>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由政府立项核准、审批的采购项目, 报价高于设定的采购预算价的；</w:t>
            </w:r>
          </w:p>
        </w:tc>
        <w:tc>
          <w:tcPr>
            <w:tcW w:w="482" w:type="dxa"/>
            <w:tcBorders>
              <w:left w:val="single" w:color="auto" w:sz="4" w:space="0"/>
              <w:right w:val="single" w:color="auto" w:sz="4" w:space="0"/>
            </w:tcBorders>
            <w:noWrap w:val="0"/>
            <w:vAlign w:val="top"/>
          </w:tcPr>
          <w:p>
            <w:pPr>
              <w:shd w:val="clear" w:color="auto" w:fill="auto"/>
              <w:spacing w:line="360" w:lineRule="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spacing w:line="360" w:lineRule="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是否按招标文件格式要求提供单位盖章及法定代表人或法定代表人授权的代理人签字或盖章的；</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454"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378" w:type="dxa"/>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是否按规定的格式填写，内容不全或关键字迹模糊、无法辨认的；</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454" w:type="dxa"/>
            <w:tcBorders>
              <w:lef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378" w:type="dxa"/>
            <w:tcBorders>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投标文件是否按照招标文件要求编写；</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454" w:type="dxa"/>
            <w:tcBorders>
              <w:left w:val="single" w:color="auto" w:sz="4" w:space="0"/>
              <w:bottom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378" w:type="dxa"/>
            <w:tcBorders>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投标有效期是否满足招标文件要求的；</w:t>
            </w:r>
          </w:p>
        </w:tc>
        <w:tc>
          <w:tcPr>
            <w:tcW w:w="482" w:type="dxa"/>
            <w:tcBorders>
              <w:left w:val="single" w:color="auto" w:sz="4" w:space="0"/>
              <w:bottom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投标报价是否超过预算金额；</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454" w:type="dxa"/>
            <w:tcBorders>
              <w:top w:val="single" w:color="auto" w:sz="4" w:space="0"/>
              <w:lef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378" w:type="dxa"/>
            <w:tcBorders>
              <w:top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投标人所报服务期限是否满足招标文件规定期限的；</w:t>
            </w:r>
          </w:p>
        </w:tc>
        <w:tc>
          <w:tcPr>
            <w:tcW w:w="482" w:type="dxa"/>
            <w:tcBorders>
              <w:top w:val="single" w:color="auto" w:sz="4" w:space="0"/>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454" w:type="dxa"/>
            <w:tcBorders>
              <w:lef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378" w:type="dxa"/>
            <w:tcBorders>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投标文件是否附有招标人不能接受的条件；</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454" w:type="dxa"/>
            <w:tcBorders>
              <w:lef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378" w:type="dxa"/>
            <w:tcBorders>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是否有不符合招标文件中规定的其他实质性要求；</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spacing w:line="360" w:lineRule="auto"/>
              <w:rPr>
                <w:rFonts w:hint="eastAsia" w:ascii="仿宋" w:hAnsi="仿宋" w:eastAsia="仿宋" w:cs="仿宋"/>
                <w:color w:val="auto"/>
                <w:sz w:val="24"/>
                <w:szCs w:val="24"/>
                <w:highlight w:val="none"/>
              </w:rPr>
            </w:pPr>
          </w:p>
        </w:tc>
        <w:tc>
          <w:tcPr>
            <w:tcW w:w="454" w:type="dxa"/>
            <w:tcBorders>
              <w:lef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378" w:type="dxa"/>
            <w:tcBorders>
              <w:right w:val="single" w:color="auto" w:sz="4" w:space="0"/>
            </w:tcBorders>
            <w:noWrap w:val="0"/>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投标人是否有违法招标投标纪律的。</w:t>
            </w:r>
          </w:p>
        </w:tc>
        <w:tc>
          <w:tcPr>
            <w:tcW w:w="482" w:type="dxa"/>
            <w:tcBorders>
              <w:lef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spacing w:line="360" w:lineRule="auto"/>
              <w:rPr>
                <w:rFonts w:hint="eastAsia" w:ascii="仿宋" w:hAnsi="仿宋" w:eastAsia="仿宋" w:cs="仿宋"/>
                <w:color w:val="auto"/>
                <w:sz w:val="24"/>
                <w:szCs w:val="24"/>
                <w:highlight w:val="none"/>
              </w:rPr>
            </w:pPr>
          </w:p>
        </w:tc>
      </w:tr>
    </w:tbl>
    <w:p>
      <w:pPr>
        <w:shd w:val="clear" w:color="auto" w:fill="auto"/>
        <w:bidi w:val="0"/>
        <w:spacing w:line="360" w:lineRule="auto"/>
        <w:rPr>
          <w:rFonts w:hint="eastAsia" w:ascii="仿宋" w:hAnsi="仿宋" w:eastAsia="仿宋" w:cs="仿宋"/>
          <w:color w:val="auto"/>
          <w:sz w:val="24"/>
          <w:szCs w:val="24"/>
          <w:highlight w:val="none"/>
        </w:rPr>
      </w:pPr>
    </w:p>
    <w:p>
      <w:pPr>
        <w:shd w:val="clear" w:color="auto" w:fill="auto"/>
        <w:spacing w:line="360" w:lineRule="auto"/>
        <w:ind w:firstLine="578" w:firstLineChars="2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.2评委会判定投标文件的响应性只根据投标文件本身的内容，而不寻求外部的证据，但投标有不真实不正确的内容时除外。</w:t>
      </w:r>
    </w:p>
    <w:p>
      <w:pPr>
        <w:shd w:val="clear" w:color="auto" w:fill="auto"/>
        <w:spacing w:line="360" w:lineRule="auto"/>
        <w:ind w:firstLine="578" w:firstLineChars="2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.3如果投标文件实质上没有响应</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的要求，评委会将予以拒绝，投标人不得通过修正或撤销不符合要求的偏离或保留，而使其投标成为实质上响应的投标。</w:t>
      </w:r>
    </w:p>
    <w:p>
      <w:pPr>
        <w:shd w:val="clear" w:color="auto" w:fill="auto"/>
        <w:spacing w:line="360" w:lineRule="auto"/>
        <w:ind w:firstLine="578" w:firstLineChars="24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.4投标人可在现场20分钟内对评标委员会的评审结论提出异议，评标委员会根据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及有关规定对投标人的异议进行复议</w:t>
      </w:r>
      <w:r>
        <w:rPr>
          <w:rFonts w:hint="eastAsia" w:ascii="仿宋" w:hAnsi="仿宋" w:eastAsia="仿宋" w:cs="仿宋"/>
          <w:color w:val="auto"/>
          <w:sz w:val="24"/>
          <w:szCs w:val="24"/>
          <w:highlight w:val="none"/>
          <w:lang w:val="en-US" w:eastAsia="zh-CN"/>
        </w:rPr>
        <w:t>.</w:t>
      </w:r>
    </w:p>
    <w:p>
      <w:pPr>
        <w:shd w:val="clear" w:color="auto" w:fill="auto"/>
        <w:spacing w:line="360" w:lineRule="auto"/>
        <w:ind w:firstLine="578" w:firstLineChars="241"/>
        <w:rPr>
          <w:rFonts w:hint="eastAsia" w:ascii="仿宋" w:hAnsi="仿宋" w:eastAsia="仿宋" w:cs="仿宋"/>
          <w:color w:val="auto"/>
          <w:sz w:val="24"/>
          <w:szCs w:val="24"/>
          <w:highlight w:val="none"/>
        </w:rPr>
      </w:pPr>
      <w:bookmarkStart w:id="54" w:name="_Toc17501"/>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.5只有通过初审的投标人才能进入下一步评标程序。</w:t>
      </w:r>
      <w:bookmarkEnd w:id="54"/>
    </w:p>
    <w:p>
      <w:pPr>
        <w:pStyle w:val="4"/>
        <w:bidi w:val="0"/>
        <w:spacing w:line="360" w:lineRule="auto"/>
        <w:jc w:val="left"/>
        <w:rPr>
          <w:rFonts w:hint="eastAsia" w:ascii="仿宋" w:hAnsi="仿宋" w:eastAsia="仿宋" w:cs="仿宋"/>
          <w:sz w:val="24"/>
          <w:szCs w:val="24"/>
          <w:lang w:eastAsia="zh-CN"/>
        </w:rPr>
      </w:pPr>
      <w:bookmarkStart w:id="55" w:name="_Toc362983803"/>
      <w:bookmarkStart w:id="56" w:name="_Toc469495734"/>
      <w:bookmarkStart w:id="57" w:name="_Toc14420"/>
      <w:r>
        <w:rPr>
          <w:rFonts w:hint="eastAsia" w:ascii="仿宋" w:hAnsi="仿宋" w:eastAsia="仿宋" w:cs="仿宋"/>
          <w:sz w:val="24"/>
          <w:szCs w:val="24"/>
          <w:lang w:eastAsia="zh-CN"/>
        </w:rPr>
        <w:t>三</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投标文件的澄清和补正</w:t>
      </w:r>
      <w:bookmarkEnd w:id="55"/>
      <w:bookmarkEnd w:id="56"/>
      <w:bookmarkEnd w:id="57"/>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1．澄清、说明或补正的形式</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对于投标文件中含义不明确、同类问题表述不一致或者有明显文字和计算错误的内容，评标委员会将通过“政府采购云平台”在线询标的方式要求投标单位在规定的时间内作出必要的澄清、说明或者补正，投标单位澄清、说明或补正时间为20分钟。</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投标单位的澄清、说明或者补正应当通过“政府采购云平台”在线答复的方式提交，并加盖公章（电子印章），或者由法定代表人（负责人）或其授权的代表签字。投标单位的澄清、说明或者补正不得超出投标文件的范围或者改变投标文件的实质性内容，不接受投标单位主动对投标文件的澄清、说明或者补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2．错误修正的原则</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投标文件报价出现前后不一致的，除招标文件另有规定外，按照下列规定修正：</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 投标函中表述的内容与报价表中不一致的，以报价表为准；报价表中的内容与报价明细表不一致的，以报价表为准；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2.2 投标文件中的大写金额和小写金额不一致的，以大写金额为准；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 单价金额小数点或者百分比有明显错位的，以开标一览表的总价为准，并修改单价；</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 总价金额与按单价汇总金额不一致的，以单价金额计算结果为准；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2.5 若用文字表示的数值与用数字表示的数值不一致，以文字表示的数值为准；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2.6 如有多报（指数量超出招标文件需求）、重报（指同一货物重复报价），其投标总价在评标过程中不予调整，如其中标，其合同价按其投标单价予以调整；</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2.7 对不同文字文本投标文件的解释发生异议的，以中文文本为准；</w:t>
      </w:r>
    </w:p>
    <w:p>
      <w:pPr>
        <w:shd w:val="clear" w:color="auto" w:fill="auto"/>
        <w:spacing w:line="360" w:lineRule="auto"/>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360" w:lineRule="auto"/>
        <w:ind w:firstLine="403" w:firstLineChars="192"/>
        <w:rPr>
          <w:rFonts w:hint="eastAsia" w:ascii="仿宋" w:hAnsi="仿宋" w:eastAsia="仿宋" w:cs="仿宋"/>
          <w:color w:val="auto"/>
          <w:szCs w:val="21"/>
          <w:highlight w:val="none"/>
        </w:rPr>
      </w:pPr>
    </w:p>
    <w:p>
      <w:pPr>
        <w:pStyle w:val="4"/>
        <w:bidi w:val="0"/>
        <w:spacing w:line="360" w:lineRule="auto"/>
        <w:jc w:val="left"/>
        <w:rPr>
          <w:rFonts w:hint="eastAsia" w:ascii="仿宋" w:hAnsi="仿宋" w:eastAsia="仿宋" w:cs="仿宋"/>
          <w:sz w:val="24"/>
          <w:szCs w:val="24"/>
        </w:rPr>
      </w:pPr>
      <w:bookmarkStart w:id="58" w:name="_Toc469495735"/>
      <w:bookmarkStart w:id="59" w:name="_Toc20843"/>
      <w:r>
        <w:rPr>
          <w:rFonts w:hint="eastAsia" w:ascii="仿宋" w:hAnsi="仿宋" w:eastAsia="仿宋" w:cs="仿宋"/>
          <w:sz w:val="24"/>
          <w:szCs w:val="24"/>
        </w:rPr>
        <w:t>四 比较与评价</w:t>
      </w:r>
      <w:bookmarkEnd w:id="58"/>
      <w:bookmarkEnd w:id="59"/>
    </w:p>
    <w:p>
      <w:pPr>
        <w:shd w:val="clear" w:color="auto" w:fill="auto"/>
        <w:tabs>
          <w:tab w:val="left" w:pos="720"/>
        </w:tabs>
        <w:spacing w:line="360" w:lineRule="auto"/>
        <w:ind w:firstLine="612" w:firstLineChars="255"/>
        <w:rPr>
          <w:rFonts w:hint="eastAsia" w:ascii="仿宋" w:hAnsi="仿宋" w:eastAsia="仿宋" w:cs="仿宋"/>
          <w:color w:val="auto"/>
          <w:sz w:val="24"/>
          <w:szCs w:val="24"/>
          <w:highlight w:val="none"/>
          <w:lang w:bidi="ar-SA"/>
        </w:rPr>
      </w:pPr>
      <w:bookmarkStart w:id="60" w:name="_Toc362983805"/>
      <w:bookmarkStart w:id="61" w:name="_Toc469495736"/>
      <w:r>
        <w:rPr>
          <w:rFonts w:hint="eastAsia" w:ascii="仿宋" w:hAnsi="仿宋" w:eastAsia="仿宋" w:cs="仿宋"/>
          <w:color w:val="auto"/>
          <w:sz w:val="24"/>
          <w:szCs w:val="24"/>
          <w:highlight w:val="none"/>
          <w:lang w:val="en-US" w:eastAsia="zh-CN" w:bidi="ar-SA"/>
        </w:rPr>
        <w:t>1.1</w:t>
      </w:r>
      <w:r>
        <w:rPr>
          <w:rFonts w:hint="eastAsia" w:ascii="仿宋" w:hAnsi="仿宋" w:eastAsia="仿宋" w:cs="仿宋"/>
          <w:color w:val="auto"/>
          <w:sz w:val="24"/>
          <w:szCs w:val="24"/>
          <w:highlight w:val="none"/>
          <w:lang w:bidi="ar-SA"/>
        </w:rPr>
        <w:t>评标委员会按招标文件中规定的评标方法和标准，对资格性检查和符合性检查合格的投标文件进行商务和技术评估、综合比较与评价。</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1.2</w:t>
      </w:r>
      <w:r>
        <w:rPr>
          <w:rFonts w:hint="eastAsia" w:ascii="仿宋" w:hAnsi="仿宋" w:eastAsia="仿宋" w:cs="仿宋"/>
          <w:color w:val="auto"/>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360" w:lineRule="auto"/>
        <w:ind w:firstLine="616" w:firstLineChars="257"/>
        <w:rPr>
          <w:rFonts w:hint="eastAsia" w:ascii="仿宋" w:hAnsi="仿宋" w:eastAsia="仿宋" w:cs="仿宋"/>
          <w:bCs/>
          <w:color w:val="auto"/>
          <w:sz w:val="24"/>
          <w:szCs w:val="24"/>
          <w:highlight w:val="none"/>
          <w:lang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bCs/>
          <w:color w:val="auto"/>
          <w:sz w:val="24"/>
          <w:szCs w:val="24"/>
          <w:highlight w:val="none"/>
          <w:lang w:val="en-US" w:eastAsia="zh-CN" w:bidi="ar-SA"/>
        </w:rPr>
        <w:t>2.1</w:t>
      </w:r>
      <w:r>
        <w:rPr>
          <w:rFonts w:hint="eastAsia" w:ascii="仿宋" w:hAnsi="仿宋" w:eastAsia="仿宋" w:cs="仿宋"/>
          <w:bCs/>
          <w:color w:val="auto"/>
          <w:sz w:val="24"/>
          <w:szCs w:val="24"/>
          <w:highlight w:val="none"/>
          <w:lang w:bidi="ar-SA"/>
        </w:rPr>
        <w:t>评委打分办法</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bCs/>
          <w:color w:val="auto"/>
          <w:sz w:val="24"/>
          <w:szCs w:val="24"/>
          <w:highlight w:val="none"/>
          <w:lang w:bidi="ar-SA"/>
        </w:rPr>
        <w:t>（1）</w:t>
      </w:r>
      <w:r>
        <w:rPr>
          <w:rFonts w:hint="eastAsia" w:ascii="仿宋" w:hAnsi="仿宋" w:eastAsia="仿宋" w:cs="仿宋"/>
          <w:color w:val="auto"/>
          <w:sz w:val="24"/>
          <w:szCs w:val="24"/>
          <w:highlight w:val="none"/>
          <w:lang w:bidi="ar-SA"/>
        </w:rPr>
        <w:t>参加评分的评委应尽力体现客观、实事求是，避免学派偏见和个人偏好。</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（2）衡量、对比的依据，应以招标文件、投标文件、提供的正式试验数据、质询澄清中的文字为准，口头回答和收集的资料只作为参考。</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（3）评分主要是为比较各投标人的价格、商务和技术综合排序。</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（4）评委打分采取记名形式。</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（5）各评委根据提供的技术打分表独立自主打分，任何人不得要求评委统一打分或统一确定等次顺序。</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（6）对打分表中的每项条款，各评委应根据投标文件、澄清材料、招标文件要求，按满足的程度给投标人打分。</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（7）评分程序</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1)就投标人的投标文件对照整理出商务、技术评标因素对比表、偏差表，并在经过校核的基础上逐项打分。</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2)各评委独立完成打分后，将评分表交给代理机构，由代理机构组织进行分数统计。</w:t>
      </w:r>
    </w:p>
    <w:p>
      <w:pPr>
        <w:shd w:val="clear" w:color="auto" w:fill="auto"/>
        <w:spacing w:line="360" w:lineRule="auto"/>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3)最终汇总表中各投标人得分应为评委打分的算术平均值。</w:t>
      </w:r>
    </w:p>
    <w:p>
      <w:pPr>
        <w:numPr>
          <w:ilvl w:val="0"/>
          <w:numId w:val="0"/>
        </w:numPr>
        <w:shd w:val="clear" w:color="auto" w:fill="auto"/>
        <w:spacing w:line="360" w:lineRule="auto"/>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（8）评分标准和细则（综合评分法评分标准）</w:t>
      </w:r>
    </w:p>
    <w:p>
      <w:pPr>
        <w:pStyle w:val="12"/>
        <w:rPr>
          <w:rFonts w:hint="eastAsia" w:ascii="仿宋" w:hAnsi="仿宋" w:eastAsia="仿宋" w:cs="仿宋"/>
          <w:color w:val="auto"/>
          <w:sz w:val="24"/>
          <w:szCs w:val="24"/>
          <w:highlight w:val="none"/>
          <w:lang w:bidi="ar-SA"/>
        </w:rPr>
      </w:pPr>
    </w:p>
    <w:tbl>
      <w:tblPr>
        <w:tblStyle w:val="26"/>
        <w:tblpPr w:leftFromText="180" w:rightFromText="180" w:vertAnchor="text" w:horzAnchor="page" w:tblpX="1164" w:tblpY="-245"/>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27"/>
        <w:gridCol w:w="81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27" w:type="dxa"/>
            <w:gridSpan w:val="2"/>
            <w:noWrap w:val="0"/>
            <w:vAlign w:val="center"/>
          </w:tcPr>
          <w:p>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评审因素</w:t>
            </w:r>
          </w:p>
        </w:tc>
        <w:tc>
          <w:tcPr>
            <w:tcW w:w="818" w:type="dxa"/>
            <w:noWrap w:val="0"/>
            <w:vAlign w:val="center"/>
          </w:tcPr>
          <w:p>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6095" w:type="dxa"/>
            <w:noWrap w:val="0"/>
            <w:vAlign w:val="center"/>
          </w:tcPr>
          <w:p>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00" w:type="dxa"/>
            <w:vMerge w:val="restart"/>
            <w:noWrap w:val="0"/>
            <w:vAlign w:val="center"/>
          </w:tcPr>
          <w:p>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（一）商务部分</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分</w:t>
            </w:r>
          </w:p>
        </w:tc>
        <w:tc>
          <w:tcPr>
            <w:tcW w:w="1427" w:type="dxa"/>
            <w:noWrap w:val="0"/>
            <w:vAlign w:val="center"/>
          </w:tcPr>
          <w:p>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类似项目业绩</w:t>
            </w:r>
          </w:p>
        </w:tc>
        <w:tc>
          <w:tcPr>
            <w:tcW w:w="818" w:type="dxa"/>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6095" w:type="dxa"/>
            <w:noWrap w:val="0"/>
            <w:vAlign w:val="center"/>
          </w:tcPr>
          <w:p>
            <w:pPr>
              <w:widowControl/>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近三年（从投标截止日往前推算，以合同签订日期为准）承接过类似项目业绩的每提供 1 项得1.5分，最多得15分。</w:t>
            </w:r>
            <w:r>
              <w:rPr>
                <w:rFonts w:hint="eastAsia" w:ascii="仿宋" w:hAnsi="仿宋" w:eastAsia="仿宋" w:cs="仿宋"/>
                <w:b/>
                <w:bCs/>
                <w:color w:val="auto"/>
                <w:sz w:val="22"/>
                <w:szCs w:val="22"/>
                <w:highlight w:val="none"/>
                <w:lang w:val="en-US" w:eastAsia="zh-CN"/>
              </w:rPr>
              <w:t>注：须提供中标通知书（成交通知书或发包通知书）及采购合同复印件，加盖单位公章，未提供的不得分。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rPr>
            </w:pPr>
          </w:p>
        </w:tc>
        <w:tc>
          <w:tcPr>
            <w:tcW w:w="1427" w:type="dxa"/>
            <w:noWrap w:val="0"/>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项目专业人员配备及培训方案编制情况</w:t>
            </w:r>
          </w:p>
        </w:tc>
        <w:tc>
          <w:tcPr>
            <w:tcW w:w="818" w:type="dxa"/>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6095" w:type="dxa"/>
            <w:noWrap w:val="0"/>
            <w:vAlign w:val="center"/>
          </w:tcPr>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1、为满足规划编制项目团队质量，项目团队成员人数能达到20人以上的得5分，10-15人的得3分，10人以下得1分；</w:t>
            </w:r>
          </w:p>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2、项目团队成员有以下专业的：①城市（乡）规划、②土地、③园林、④国土空间规划、⑤测绘（以职称证或学历证专业为准），人员专业齐全的得5分，人员专业不全的每少1个减1分。</w:t>
            </w:r>
          </w:p>
          <w:p>
            <w:pPr>
              <w:widowControl/>
              <w:spacing w:line="360" w:lineRule="auto"/>
              <w:ind w:firstLine="442" w:firstLineChars="200"/>
              <w:jc w:val="left"/>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备注：须提供以上人员职称证书或资格证书复印件、近半年任意三个月社保证明文件。</w:t>
            </w:r>
          </w:p>
          <w:p>
            <w:pPr>
              <w:widowControl/>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3、针对本项目能够提供项目负责人及相关操作人员的培训方案，方案内容详细完整，根据实际情况细化制定，方案表述准确清晰、可操作性强得 3-5分；方案内容简单，没有根据项目内容要求细化制定，方案表述不清晰不准确，可操作性不强得1-2 分。没有提供方案不得分。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00" w:type="dxa"/>
            <w:vMerge w:val="restart"/>
            <w:noWrap w:val="0"/>
            <w:vAlign w:val="center"/>
          </w:tcPr>
          <w:p>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（二）技术部分</w:t>
            </w:r>
            <w:r>
              <w:rPr>
                <w:rFonts w:hint="eastAsia" w:ascii="仿宋" w:hAnsi="仿宋" w:eastAsia="仿宋" w:cs="仿宋"/>
                <w:color w:val="auto"/>
                <w:sz w:val="24"/>
                <w:szCs w:val="24"/>
                <w:lang w:val="en-US" w:eastAsia="zh-CN"/>
              </w:rPr>
              <w:t>60分</w:t>
            </w:r>
          </w:p>
        </w:tc>
        <w:tc>
          <w:tcPr>
            <w:tcW w:w="1427" w:type="dxa"/>
            <w:noWrap w:val="0"/>
            <w:vAlign w:val="center"/>
          </w:tcPr>
          <w:p>
            <w:pPr>
              <w:spacing w:line="360" w:lineRule="auto"/>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技术方案</w:t>
            </w:r>
          </w:p>
        </w:tc>
        <w:tc>
          <w:tcPr>
            <w:tcW w:w="818" w:type="dxa"/>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6095" w:type="dxa"/>
            <w:noWrap w:val="0"/>
            <w:vAlign w:val="center"/>
          </w:tcPr>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1、投标人提供的技术方案中对项目需求的理解程度深刻，规划编制技术路线清晰、全面、科学合理，提出的规划理念和内容以及制定的总体部署操作先进切实可行的得13-20分；</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2、投标人提供的技术方案中对项目需求的理解程度一般，规划编制技术路线较清晰、较全面、科学合理，提出的规划理念和内容以及制定的总体部署操作相对可行的得7-12分；</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3、投标人提供的技术方案中对项目需求的理解程度不足，规划编制技术路混乱、技术方案不全面、科学合理，提出的规划理念和内容以及制定的总体部署操作一般的得1-6分；</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4、投标人未提供技术方案的不得分</w:t>
            </w:r>
          </w:p>
          <w:p>
            <w:pPr>
              <w:keepNext w:val="0"/>
              <w:keepLines w:val="0"/>
              <w:widowControl/>
              <w:suppressLineNumbers w:val="0"/>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（评审依据：1、服务背景、定位和目标；2、技术服务内容及技术路线）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rPr>
            </w:pPr>
          </w:p>
        </w:tc>
        <w:tc>
          <w:tcPr>
            <w:tcW w:w="1427" w:type="dxa"/>
            <w:noWrap w:val="0"/>
            <w:vAlign w:val="center"/>
          </w:tcPr>
          <w:p>
            <w:pPr>
              <w:pStyle w:val="24"/>
              <w:keepNext w:val="0"/>
              <w:keepLines w:val="0"/>
              <w:pageBreakBefore w:val="0"/>
              <w:kinsoku/>
              <w:wordWrap/>
              <w:overflowPunct/>
              <w:bidi w:val="0"/>
              <w:adjustRightInd/>
              <w:spacing w:before="0" w:beforeAutospacing="0" w:after="0" w:afterAutospacing="0" w:line="240" w:lineRule="auto"/>
              <w:ind w:firstLine="0" w:firstLineChars="0"/>
              <w:jc w:val="center"/>
              <w:rPr>
                <w:rFonts w:hint="eastAsia"/>
                <w:lang w:eastAsia="zh-CN"/>
              </w:rPr>
            </w:pPr>
            <w:r>
              <w:rPr>
                <w:rFonts w:hint="eastAsia" w:ascii="仿宋" w:hAnsi="仿宋" w:eastAsia="仿宋" w:cs="仿宋"/>
                <w:color w:val="auto"/>
                <w:kern w:val="2"/>
                <w:sz w:val="24"/>
                <w:szCs w:val="24"/>
                <w:lang w:val="en-US" w:eastAsia="zh-CN" w:bidi="ar-SA"/>
              </w:rPr>
              <w:t>重点难点分析及建议</w:t>
            </w:r>
          </w:p>
        </w:tc>
        <w:tc>
          <w:tcPr>
            <w:tcW w:w="818" w:type="dxa"/>
            <w:noWrap w:val="0"/>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6095" w:type="dxa"/>
            <w:tcBorders>
              <w:bottom w:val="single" w:color="auto" w:sz="4" w:space="0"/>
            </w:tcBorders>
            <w:noWrap w:val="0"/>
            <w:vAlign w:val="top"/>
          </w:tcPr>
          <w:p>
            <w:pPr>
              <w:pStyle w:val="2"/>
              <w:keepNext w:val="0"/>
              <w:keepLines w:val="0"/>
              <w:pageBreakBefore w:val="0"/>
              <w:kinsoku/>
              <w:wordWrap/>
              <w:overflowPunct/>
              <w:bidi w:val="0"/>
              <w:adjustRightInd/>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投标人根据项目工作开展的重点难点并提出</w:t>
            </w:r>
            <w:r>
              <w:rPr>
                <w:rFonts w:hint="eastAsia" w:ascii="仿宋" w:hAnsi="仿宋" w:eastAsia="仿宋" w:cs="仿宋"/>
                <w:color w:val="auto"/>
                <w:kern w:val="2"/>
                <w:sz w:val="24"/>
                <w:szCs w:val="24"/>
                <w:lang w:val="zh-CN" w:eastAsia="zh-CN" w:bidi="ar-SA"/>
              </w:rPr>
              <w:t>切实可行</w:t>
            </w:r>
            <w:r>
              <w:rPr>
                <w:rFonts w:hint="eastAsia" w:ascii="仿宋" w:hAnsi="仿宋" w:eastAsia="仿宋" w:cs="仿宋"/>
                <w:color w:val="auto"/>
                <w:kern w:val="2"/>
                <w:sz w:val="24"/>
                <w:szCs w:val="24"/>
                <w:lang w:val="en-US" w:eastAsia="zh-CN" w:bidi="ar-SA"/>
              </w:rPr>
              <w:t>的建议的得6-10分；</w:t>
            </w:r>
          </w:p>
          <w:p>
            <w:pPr>
              <w:pStyle w:val="2"/>
              <w:keepNext w:val="0"/>
              <w:keepLines w:val="0"/>
              <w:pageBreakBefore w:val="0"/>
              <w:kinsoku/>
              <w:wordWrap/>
              <w:overflowPunct/>
              <w:bidi w:val="0"/>
              <w:adjustRightInd/>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投标人根据项目工作开展的重点难点并提出较为合理可行的建议的得1-5分；</w:t>
            </w:r>
          </w:p>
          <w:p>
            <w:pPr>
              <w:pStyle w:val="2"/>
              <w:keepNext w:val="0"/>
              <w:keepLines w:val="0"/>
              <w:pageBreakBefore w:val="0"/>
              <w:kinsoku/>
              <w:wordWrap/>
              <w:overflowPunct/>
              <w:bidi w:val="0"/>
              <w:adjustRightIn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投标人未提供重点难点分析及建议的不得分。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rPr>
            </w:pPr>
          </w:p>
        </w:tc>
        <w:tc>
          <w:tcPr>
            <w:tcW w:w="1427" w:type="dxa"/>
            <w:noWrap w:val="0"/>
            <w:vAlign w:val="center"/>
          </w:tcPr>
          <w:p>
            <w:pPr>
              <w:widowControl/>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val="zh-CN" w:eastAsia="zh-CN" w:bidi="ar-SA"/>
              </w:rPr>
              <w:t>工作进度安排</w:t>
            </w:r>
          </w:p>
        </w:tc>
        <w:tc>
          <w:tcPr>
            <w:tcW w:w="818" w:type="dxa"/>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6095" w:type="dxa"/>
            <w:tcBorders>
              <w:bottom w:val="single" w:color="auto" w:sz="4" w:space="0"/>
            </w:tcBorders>
            <w:noWrap w:val="0"/>
            <w:vAlign w:val="top"/>
          </w:tcPr>
          <w:p>
            <w:pPr>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对本项目的安排合理，划分有各个工作阶段，制定有如基础调查、成果编制和成果审核等关键时间点计划，项目进度控制合理的得8-12分；</w:t>
            </w:r>
          </w:p>
          <w:p>
            <w:pPr>
              <w:spacing w:line="360" w:lineRule="auto"/>
              <w:ind w:firstLine="480" w:firstLineChars="200"/>
              <w:jc w:val="left"/>
              <w:rPr>
                <w:rFonts w:hint="eastAsia"/>
                <w:lang w:val="en-US" w:eastAsia="zh-CN"/>
              </w:rPr>
            </w:pPr>
            <w:r>
              <w:rPr>
                <w:rFonts w:hint="eastAsia" w:ascii="仿宋" w:hAnsi="仿宋" w:eastAsia="仿宋" w:cs="仿宋"/>
                <w:color w:val="auto"/>
                <w:kern w:val="2"/>
                <w:sz w:val="24"/>
                <w:szCs w:val="24"/>
                <w:lang w:val="en-US" w:eastAsia="zh-CN" w:bidi="ar-SA"/>
              </w:rPr>
              <w:t>对本项目的安排相对合理，划分有各个工作阶段，制定有基础调查、成果编制和成果审核等关键时间点计划，项目进度控制良好的得4-8分；</w:t>
            </w:r>
          </w:p>
          <w:p>
            <w:pPr>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对本项目的安排相对合理，划分有各个工作阶段，制定有基础调查、成果编制和成果审核等关键时间点计划，项目进度控制一般的得1-4分；</w:t>
            </w:r>
          </w:p>
          <w:p>
            <w:pPr>
              <w:pStyle w:val="2"/>
              <w:keepNext w:val="0"/>
              <w:keepLines w:val="0"/>
              <w:pageBreakBefore w:val="0"/>
              <w:kinsoku/>
              <w:wordWrap/>
              <w:overflowPunct/>
              <w:bidi w:val="0"/>
              <w:adjustRightInd/>
              <w:spacing w:line="360" w:lineRule="auto"/>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对本项目的安排不合理，无工作阶段划分和时间点计划，项目进度控制较差的不得分。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rPr>
            </w:pPr>
          </w:p>
        </w:tc>
        <w:tc>
          <w:tcPr>
            <w:tcW w:w="1427" w:type="dxa"/>
            <w:noWrap w:val="0"/>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售后</w:t>
            </w:r>
            <w:r>
              <w:rPr>
                <w:rFonts w:hint="eastAsia" w:ascii="仿宋" w:hAnsi="仿宋" w:eastAsia="仿宋" w:cs="仿宋"/>
                <w:color w:val="auto"/>
                <w:sz w:val="24"/>
                <w:szCs w:val="24"/>
                <w:lang w:val="zh-CN"/>
              </w:rPr>
              <w:t>服务</w:t>
            </w:r>
            <w:r>
              <w:rPr>
                <w:rFonts w:hint="eastAsia" w:ascii="仿宋" w:hAnsi="仿宋" w:eastAsia="仿宋" w:cs="仿宋"/>
                <w:color w:val="auto"/>
                <w:sz w:val="24"/>
                <w:szCs w:val="24"/>
              </w:rPr>
              <w:t>方案</w:t>
            </w:r>
          </w:p>
          <w:p>
            <w:pPr>
              <w:spacing w:line="360" w:lineRule="auto"/>
              <w:jc w:val="center"/>
              <w:rPr>
                <w:rFonts w:hint="eastAsia" w:ascii="仿宋" w:hAnsi="仿宋" w:eastAsia="仿宋" w:cs="仿宋"/>
                <w:color w:val="auto"/>
                <w:sz w:val="24"/>
                <w:szCs w:val="24"/>
              </w:rPr>
            </w:pPr>
          </w:p>
        </w:tc>
        <w:tc>
          <w:tcPr>
            <w:tcW w:w="818" w:type="dxa"/>
            <w:noWrap w:val="0"/>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6095" w:type="dxa"/>
            <w:noWrap w:val="0"/>
            <w:vAlign w:val="center"/>
          </w:tcPr>
          <w:p>
            <w:pPr>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售后跟踪服务计划或方案，跟踪服务机构的设置、人员、配备情况完善的得</w:t>
            </w:r>
            <w:r>
              <w:rPr>
                <w:rFonts w:hint="eastAsia" w:ascii="仿宋" w:hAnsi="仿宋" w:eastAsia="仿宋" w:cs="仿宋"/>
                <w:color w:val="auto"/>
                <w:sz w:val="24"/>
                <w:szCs w:val="24"/>
                <w:lang w:val="en-US" w:eastAsia="zh-CN"/>
              </w:rPr>
              <w:t>4-7</w:t>
            </w:r>
            <w:r>
              <w:rPr>
                <w:rFonts w:hint="eastAsia" w:ascii="仿宋" w:hAnsi="仿宋" w:eastAsia="仿宋" w:cs="仿宋"/>
                <w:color w:val="auto"/>
                <w:sz w:val="24"/>
                <w:szCs w:val="24"/>
                <w:lang w:val="zh-CN"/>
              </w:rPr>
              <w:t>分；</w:t>
            </w:r>
          </w:p>
          <w:p>
            <w:pPr>
              <w:spacing w:line="360" w:lineRule="auto"/>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售后跟踪服务计划或方案，跟踪服务机构的设置、人员、配备情况一般的得</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val="zh-CN"/>
              </w:rPr>
              <w:t>分；</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zh-CN"/>
              </w:rPr>
              <w:t>售后跟踪服务计划或方案，跟踪服务机构的设置、人员、配备情况差的不得分。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00" w:type="dxa"/>
            <w:vMerge w:val="continue"/>
            <w:noWrap w:val="0"/>
            <w:vAlign w:val="center"/>
          </w:tcPr>
          <w:p>
            <w:pPr>
              <w:widowControl/>
              <w:spacing w:line="360" w:lineRule="auto"/>
              <w:jc w:val="center"/>
              <w:rPr>
                <w:rFonts w:hint="eastAsia" w:ascii="仿宋" w:hAnsi="仿宋" w:eastAsia="仿宋" w:cs="仿宋"/>
                <w:color w:val="auto"/>
                <w:sz w:val="24"/>
                <w:szCs w:val="24"/>
              </w:rPr>
            </w:pPr>
          </w:p>
        </w:tc>
        <w:tc>
          <w:tcPr>
            <w:tcW w:w="1427" w:type="dxa"/>
            <w:noWrap w:val="0"/>
            <w:vAlign w:val="center"/>
          </w:tcPr>
          <w:p>
            <w:pPr>
              <w:pStyle w:val="24"/>
              <w:keepNext w:val="0"/>
              <w:keepLines w:val="0"/>
              <w:pageBreakBefore w:val="0"/>
              <w:kinsoku/>
              <w:wordWrap/>
              <w:overflowPunct/>
              <w:bidi w:val="0"/>
              <w:adjustRightInd/>
              <w:spacing w:before="0" w:beforeAutospacing="0" w:after="0" w:afterAutospacing="0" w:line="240" w:lineRule="auto"/>
              <w:ind w:firstLine="0" w:firstLineChars="0"/>
              <w:jc w:val="center"/>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质量保证</w:t>
            </w:r>
            <w:r>
              <w:rPr>
                <w:rFonts w:hint="eastAsia" w:ascii="仿宋" w:hAnsi="仿宋" w:eastAsia="仿宋" w:cs="仿宋"/>
                <w:color w:val="auto"/>
                <w:kern w:val="2"/>
                <w:sz w:val="24"/>
                <w:szCs w:val="24"/>
                <w:lang w:val="en-US" w:eastAsia="zh-CN" w:bidi="ar-SA"/>
              </w:rPr>
              <w:t>措施</w:t>
            </w:r>
          </w:p>
        </w:tc>
        <w:tc>
          <w:tcPr>
            <w:tcW w:w="818" w:type="dxa"/>
            <w:noWrap w:val="0"/>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6095" w:type="dxa"/>
            <w:noWrap w:val="0"/>
            <w:vAlign w:val="top"/>
          </w:tcPr>
          <w:p>
            <w:pPr>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对投标文件中有关质量保证措施内容进行评比，评委依据措施的合理性、科学性，完备性在0-3分之间酌情打分。</w:t>
            </w:r>
          </w:p>
          <w:p>
            <w:pPr>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根据投标人的安全、保密等保障措施，评委依据措施的合理性、科学性，完备性在0-3分之间酌情打分。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00" w:type="dxa"/>
            <w:vMerge w:val="continue"/>
            <w:noWrap w:val="0"/>
            <w:vAlign w:val="center"/>
          </w:tcPr>
          <w:p>
            <w:pPr>
              <w:widowControl/>
              <w:spacing w:line="360" w:lineRule="auto"/>
              <w:jc w:val="center"/>
              <w:rPr>
                <w:rFonts w:hint="eastAsia" w:ascii="仿宋" w:hAnsi="仿宋" w:eastAsia="仿宋" w:cs="仿宋"/>
                <w:b w:val="0"/>
                <w:bCs w:val="0"/>
                <w:color w:val="auto"/>
                <w:sz w:val="24"/>
                <w:szCs w:val="24"/>
              </w:rPr>
            </w:pPr>
          </w:p>
        </w:tc>
        <w:tc>
          <w:tcPr>
            <w:tcW w:w="1427" w:type="dxa"/>
            <w:noWrap w:val="0"/>
            <w:vAlign w:val="center"/>
          </w:tcPr>
          <w:p>
            <w:pPr>
              <w:pStyle w:val="57"/>
              <w:keepNext w:val="0"/>
              <w:keepLines w:val="0"/>
              <w:pageBreakBefore w:val="0"/>
              <w:kinsoku/>
              <w:wordWrap/>
              <w:overflowPunct/>
              <w:bidi w:val="0"/>
              <w:adjustRightInd/>
              <w:spacing w:line="240" w:lineRule="auto"/>
              <w:ind w:right="151" w:righ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2"/>
                <w:sz w:val="24"/>
                <w:szCs w:val="24"/>
                <w:lang w:val="en-US" w:eastAsia="zh-CN" w:bidi="ar-SA"/>
              </w:rPr>
              <w:t>服务承诺</w:t>
            </w:r>
          </w:p>
        </w:tc>
        <w:tc>
          <w:tcPr>
            <w:tcW w:w="818" w:type="dxa"/>
            <w:noWrap w:val="0"/>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6095" w:type="dxa"/>
            <w:noWrap w:val="0"/>
            <w:vAlign w:val="center"/>
          </w:tcPr>
          <w:p>
            <w:pPr>
              <w:pStyle w:val="57"/>
              <w:keepNext w:val="0"/>
              <w:keepLines w:val="0"/>
              <w:pageBreakBefore w:val="0"/>
              <w:numPr>
                <w:ilvl w:val="0"/>
                <w:numId w:val="0"/>
              </w:numPr>
              <w:kinsoku/>
              <w:wordWrap/>
              <w:overflowPunct/>
              <w:bidi w:val="0"/>
              <w:adjustRightInd/>
              <w:spacing w:before="23" w:line="360" w:lineRule="auto"/>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1、投标人根据勘察情况和业主要求，进行全面细化的规划编制，能做到接到业主要求8小时到达现场及时响应的情况，评委根据承诺的合理性在1-3分之间进行打分。</w:t>
            </w:r>
          </w:p>
          <w:p>
            <w:pPr>
              <w:pStyle w:val="57"/>
              <w:keepNext w:val="0"/>
              <w:keepLines w:val="0"/>
              <w:pageBreakBefore w:val="0"/>
              <w:numPr>
                <w:ilvl w:val="0"/>
                <w:numId w:val="0"/>
              </w:numPr>
              <w:kinsoku/>
              <w:wordWrap/>
              <w:overflowPunct/>
              <w:bidi w:val="0"/>
              <w:adjustRightInd/>
              <w:spacing w:before="23" w:line="360" w:lineRule="auto"/>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2、投标人对项目配合后期修改，乡镇、村级部门衔接做出承诺，评委根据承诺的合理性在1-2分之间进行打分。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727" w:type="dxa"/>
            <w:gridSpan w:val="2"/>
            <w:noWrap w:val="0"/>
            <w:vAlign w:val="center"/>
          </w:tcPr>
          <w:p>
            <w:pPr>
              <w:widowControl/>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价格部分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10分</w:t>
            </w:r>
            <w:r>
              <w:rPr>
                <w:rFonts w:hint="eastAsia" w:ascii="仿宋" w:hAnsi="仿宋" w:eastAsia="仿宋" w:cs="仿宋"/>
                <w:color w:val="auto"/>
                <w:sz w:val="24"/>
                <w:szCs w:val="24"/>
                <w:lang w:eastAsia="zh-CN"/>
              </w:rPr>
              <w:t>）</w:t>
            </w:r>
          </w:p>
        </w:tc>
        <w:tc>
          <w:tcPr>
            <w:tcW w:w="818" w:type="dxa"/>
            <w:noWrap w:val="0"/>
            <w:vAlign w:val="center"/>
          </w:tcPr>
          <w:p>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6095" w:type="dxa"/>
            <w:noWrap w:val="0"/>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lang w:eastAsia="zh-CN"/>
              </w:rPr>
              <w:t>完全满足招标文件参数</w:t>
            </w:r>
            <w:r>
              <w:rPr>
                <w:rFonts w:hint="eastAsia" w:ascii="仿宋" w:hAnsi="仿宋" w:eastAsia="仿宋" w:cs="仿宋"/>
                <w:sz w:val="24"/>
                <w:szCs w:val="24"/>
              </w:rPr>
              <w:t>的投标报价中的最低价为评标基准价，按照下列公式计算每个投标人的投标价格得分。</w:t>
            </w:r>
          </w:p>
          <w:p>
            <w:pPr>
              <w:widowControl/>
              <w:spacing w:line="360" w:lineRule="auto"/>
              <w:jc w:val="left"/>
              <w:rPr>
                <w:rFonts w:hint="eastAsia" w:ascii="仿宋" w:hAnsi="仿宋" w:eastAsia="仿宋" w:cs="仿宋"/>
                <w:color w:val="auto"/>
                <w:sz w:val="24"/>
                <w:szCs w:val="24"/>
              </w:rPr>
            </w:pPr>
            <w:r>
              <w:rPr>
                <w:rFonts w:hint="eastAsia" w:ascii="仿宋" w:hAnsi="仿宋" w:eastAsia="仿宋" w:cs="仿宋"/>
                <w:sz w:val="24"/>
                <w:szCs w:val="24"/>
              </w:rPr>
              <w:t>投标报价得分＝（基准价/投标报价）×价格权重×100。</w:t>
            </w:r>
          </w:p>
        </w:tc>
      </w:tr>
    </w:tbl>
    <w:p>
      <w:pPr>
        <w:pStyle w:val="2"/>
        <w:spacing w:line="360" w:lineRule="auto"/>
        <w:rPr>
          <w:rFonts w:hint="eastAsia" w:ascii="仿宋" w:hAnsi="仿宋" w:eastAsia="仿宋" w:cs="仿宋"/>
        </w:rPr>
      </w:pPr>
    </w:p>
    <w:p>
      <w:pPr>
        <w:pStyle w:val="65"/>
        <w:shd w:val="clear" w:color="auto" w:fill="auto"/>
        <w:tabs>
          <w:tab w:val="left" w:pos="1701"/>
        </w:tabs>
        <w:spacing w:line="360" w:lineRule="auto"/>
        <w:ind w:left="0"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1.2.2</w:t>
      </w:r>
      <w:r>
        <w:rPr>
          <w:rFonts w:hint="eastAsia" w:ascii="仿宋" w:hAnsi="仿宋" w:eastAsia="仿宋" w:cs="仿宋"/>
          <w:color w:val="auto"/>
          <w:sz w:val="24"/>
          <w:szCs w:val="24"/>
          <w:highlight w:val="none"/>
          <w:lang w:bidi="ar-SA"/>
        </w:rPr>
        <w:t>价格评分方法</w:t>
      </w:r>
    </w:p>
    <w:p>
      <w:pPr>
        <w:shd w:val="clear" w:color="auto" w:fill="auto"/>
        <w:spacing w:line="360" w:lineRule="auto"/>
        <w:ind w:firstLine="616" w:firstLineChars="257"/>
        <w:jc w:val="left"/>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 w:val="24"/>
          <w:szCs w:val="24"/>
          <w:highlight w:val="none"/>
          <w:lang w:eastAsia="zh-CN" w:bidi="ar-SA"/>
        </w:rPr>
        <w:t>。</w:t>
      </w:r>
    </w:p>
    <w:p>
      <w:pPr>
        <w:pStyle w:val="4"/>
        <w:bidi w:val="0"/>
        <w:spacing w:line="360" w:lineRule="auto"/>
        <w:jc w:val="left"/>
        <w:rPr>
          <w:rFonts w:hint="eastAsia" w:ascii="仿宋" w:hAnsi="仿宋" w:eastAsia="仿宋" w:cs="仿宋"/>
          <w:sz w:val="24"/>
          <w:szCs w:val="24"/>
        </w:rPr>
      </w:pPr>
      <w:bookmarkStart w:id="62" w:name="_Toc25317"/>
      <w:r>
        <w:rPr>
          <w:rFonts w:hint="eastAsia" w:ascii="仿宋" w:hAnsi="仿宋" w:eastAsia="仿宋" w:cs="仿宋"/>
          <w:sz w:val="24"/>
          <w:szCs w:val="24"/>
        </w:rPr>
        <w:t>五  推荐中标候选人</w:t>
      </w:r>
      <w:bookmarkEnd w:id="60"/>
      <w:bookmarkEnd w:id="61"/>
      <w:bookmarkEnd w:id="62"/>
    </w:p>
    <w:p>
      <w:pPr>
        <w:shd w:val="clear" w:color="auto" w:fill="auto"/>
        <w:snapToGrid w:val="0"/>
        <w:spacing w:line="360" w:lineRule="auto"/>
        <w:ind w:firstLine="480" w:firstLineChars="200"/>
        <w:outlineLvl w:val="1"/>
        <w:rPr>
          <w:rFonts w:hint="eastAsia" w:ascii="仿宋" w:hAnsi="仿宋" w:eastAsia="仿宋" w:cs="仿宋"/>
          <w:color w:val="auto"/>
          <w:sz w:val="24"/>
          <w:szCs w:val="24"/>
          <w:highlight w:val="none"/>
        </w:rPr>
      </w:pPr>
      <w:bookmarkStart w:id="63" w:name="_Toc9515"/>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评标委员会推荐</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名中标候选人，并标明排序。</w:t>
      </w:r>
      <w:bookmarkEnd w:id="63"/>
    </w:p>
    <w:p>
      <w:pPr>
        <w:shd w:val="clear" w:color="auto" w:fill="auto"/>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如出现报价相同情况，则由招标人现场抽签确定中标候选人排名顺序。</w:t>
      </w:r>
    </w:p>
    <w:p>
      <w:pPr>
        <w:shd w:val="clear" w:color="auto" w:fill="auto"/>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无效投标条款</w:t>
      </w:r>
    </w:p>
    <w:p>
      <w:pPr>
        <w:shd w:val="clear" w:color="auto" w:fill="auto"/>
        <w:snapToGrid w:val="0"/>
        <w:spacing w:line="360" w:lineRule="auto"/>
        <w:ind w:firstLine="480" w:firstLineChars="200"/>
        <w:outlineLvl w:val="1"/>
        <w:rPr>
          <w:rFonts w:hint="eastAsia" w:ascii="仿宋" w:hAnsi="仿宋" w:eastAsia="仿宋" w:cs="仿宋"/>
          <w:color w:val="auto"/>
          <w:sz w:val="24"/>
          <w:szCs w:val="24"/>
          <w:highlight w:val="none"/>
        </w:rPr>
      </w:pPr>
      <w:bookmarkStart w:id="64" w:name="_Toc4971"/>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.1投标文件有下列情形之一的,其投标文件拒收:</w:t>
      </w:r>
      <w:bookmarkEnd w:id="64"/>
    </w:p>
    <w:p>
      <w:pPr>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(1) 未在开标截止时间前通过网上招标投标系统递交有效电子投标文件的，开标系统不予接收。</w:t>
      </w:r>
    </w:p>
    <w:p>
      <w:pPr>
        <w:shd w:val="clear" w:color="auto" w:fill="auto"/>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color w:val="auto"/>
          <w:sz w:val="24"/>
          <w:szCs w:val="24"/>
          <w:highlight w:val="none"/>
        </w:rPr>
        <w:t>所有投标人应在规定时间里完成投标文件的解密工作</w:t>
      </w:r>
      <w:r>
        <w:rPr>
          <w:rFonts w:hint="eastAsia" w:ascii="仿宋" w:hAnsi="仿宋" w:eastAsia="仿宋" w:cs="仿宋"/>
          <w:b/>
          <w:bCs/>
          <w:color w:val="auto"/>
          <w:sz w:val="24"/>
          <w:szCs w:val="24"/>
          <w:highlight w:val="none"/>
        </w:rPr>
        <w:t>【投标人</w:t>
      </w:r>
      <w:r>
        <w:rPr>
          <w:rFonts w:hint="eastAsia" w:ascii="仿宋" w:hAnsi="仿宋" w:eastAsia="仿宋" w:cs="仿宋"/>
          <w:b/>
          <w:bCs/>
          <w:color w:val="auto"/>
          <w:sz w:val="24"/>
          <w:szCs w:val="24"/>
          <w:highlight w:val="none"/>
          <w:lang w:eastAsia="zh-CN"/>
        </w:rPr>
        <w:t>使用</w:t>
      </w:r>
      <w:r>
        <w:rPr>
          <w:rFonts w:hint="eastAsia" w:ascii="仿宋" w:hAnsi="仿宋" w:eastAsia="仿宋" w:cs="仿宋"/>
          <w:b/>
          <w:bCs/>
          <w:color w:val="auto"/>
          <w:sz w:val="24"/>
          <w:szCs w:val="24"/>
          <w:highlight w:val="none"/>
        </w:rPr>
        <w:t>其有效加密锁（CA锁）</w:t>
      </w:r>
      <w:r>
        <w:rPr>
          <w:rFonts w:hint="eastAsia" w:ascii="仿宋" w:hAnsi="仿宋" w:eastAsia="仿宋" w:cs="仿宋"/>
          <w:b/>
          <w:bCs/>
          <w:color w:val="auto"/>
          <w:sz w:val="24"/>
          <w:szCs w:val="24"/>
          <w:highlight w:val="none"/>
          <w:lang w:eastAsia="zh-CN"/>
        </w:rPr>
        <w:t>进行</w:t>
      </w:r>
      <w:r>
        <w:rPr>
          <w:rFonts w:hint="eastAsia" w:ascii="仿宋" w:hAnsi="仿宋" w:eastAsia="仿宋" w:cs="仿宋"/>
          <w:b/>
          <w:bCs/>
          <w:color w:val="auto"/>
          <w:sz w:val="24"/>
          <w:szCs w:val="24"/>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 w:val="24"/>
          <w:szCs w:val="24"/>
          <w:highlight w:val="none"/>
        </w:rPr>
        <w:t>，因系统原因未能成功解密的投标文件，可导入</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也无法导入的，则投标文件被否决。</w:t>
      </w:r>
    </w:p>
    <w:p>
      <w:pPr>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.2投标人有下列情形之一的,资格审查后其投标作无效投标处理：</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(2)投标人为本项目提供招标代理服务的；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(3)投标人与在本项目代理机构存在相互任职或工作的；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(4)投标保证金未按规定要求缴纳的；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bCs/>
          <w:color w:val="auto"/>
          <w:sz w:val="24"/>
          <w:szCs w:val="24"/>
          <w:highlight w:val="none"/>
        </w:rPr>
        <w:t>评标专家无法查看并检验电子标书中相关资料的；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(6)投标人超出营业范围投标的；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(7)联合体投标未提交联合体协议的；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(8)被暂停营业的；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(9)被暂停或取消投标资格的；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(10)财产被接管或冻结的；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(11)投标人单位负责人为同一人或者存在控股、管理关系的不同单位的；</w:t>
      </w:r>
    </w:p>
    <w:p>
      <w:pPr>
        <w:shd w:val="clear" w:color="auto" w:fill="auto"/>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（12）投标人基本资格条件和特定资格条件中有一项及以上不符合要求的；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（13）投标人使用相同的MAC地址进行报名的；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（14）其它情形，经评标委员会委提出按无效投标处理，并经公共资源交易监督部门核准的；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（15）投标人使用相同IP地址报名的，一经发现，监管部门将进一步核实，查实后按串通投标处理；</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规定的其它无效投标情形。</w:t>
      </w:r>
    </w:p>
    <w:p>
      <w:pPr>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 投标人有下列情形之一的,符合性审查后其投标按无效投标处理：</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投标文件签字、盖章不全，经评标委员会一致认定对开评标内容有实质性影响并经监督部门核准的；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)未按规定的格式填写，实质性内容不全或关键字迹模糊、无法辨认; 经监督部门核准的；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(4)同一投标人提交两个以上不同的投标文件或者投标报价，但</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规定提交备选方案的除外；</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)投标文件没有对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的实质性要求和条件作出响应;</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)不按评标委员会要求澄清、说明或补正的，或者评标委员会根据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的规定对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的计算错误进行修正后，投标人不接受修正的投标报价的。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）其它情形，经评标委员会委提出按无效投标处理，并经公共资源交易监督部门核准的；</w:t>
      </w:r>
    </w:p>
    <w:p>
      <w:pPr>
        <w:widowControl/>
        <w:shd w:val="clear" w:color="auto" w:fill="auto"/>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未按照招标文件的规定提交投标保证金的；</w:t>
      </w:r>
    </w:p>
    <w:p>
      <w:pPr>
        <w:widowControl/>
        <w:shd w:val="clear" w:color="auto" w:fill="auto"/>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投标文件含有采购人不能接受的附加条件的;</w:t>
      </w:r>
    </w:p>
    <w:p>
      <w:pPr>
        <w:shd w:val="clear" w:color="auto" w:fill="auto"/>
        <w:tabs>
          <w:tab w:val="left" w:pos="1123"/>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规定的其它无效投标情形。</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 投标人有下列情形之一的, 详细评审后其投标按无效投标处理：</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(1)投标产品不符合必须强制执行的国家标准的；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(2)投标人有串通投标、弄虚作假、行贿等违法行为；</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（6）拒不确认评标委员会评审修正的投标无效；</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（7）其它情形，经评标委员会委提出按无效投标处理，并经公共资源交易监督部门核准的；</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规定的其它无效投标情</w:t>
      </w:r>
      <w:bookmarkStart w:id="65" w:name="_Toc469495737"/>
      <w:bookmarkStart w:id="66" w:name="OLE_LINK4"/>
    </w:p>
    <w:p>
      <w:pPr>
        <w:keepNext w:val="0"/>
        <w:keepLines w:val="0"/>
        <w:pageBreakBefore/>
        <w:widowControl w:val="0"/>
        <w:shd w:val="clear" w:color="auto" w:fill="auto"/>
        <w:kinsoku/>
        <w:wordWrap/>
        <w:overflowPunct/>
        <w:topLinePunct w:val="0"/>
        <w:autoSpaceDE/>
        <w:autoSpaceDN/>
        <w:bidi w:val="0"/>
        <w:adjustRightInd/>
        <w:snapToGrid/>
        <w:spacing w:before="313" w:beforeLines="100" w:line="360" w:lineRule="auto"/>
        <w:jc w:val="center"/>
        <w:textAlignment w:val="auto"/>
        <w:outlineLvl w:val="0"/>
        <w:rPr>
          <w:rFonts w:hint="eastAsia" w:ascii="仿宋" w:hAnsi="仿宋" w:eastAsia="仿宋" w:cs="仿宋"/>
          <w:b/>
          <w:color w:val="auto"/>
          <w:sz w:val="32"/>
          <w:szCs w:val="32"/>
          <w:highlight w:val="none"/>
        </w:rPr>
      </w:pPr>
      <w:bookmarkStart w:id="67" w:name="_Toc7651"/>
      <w:r>
        <w:rPr>
          <w:rFonts w:hint="eastAsia" w:ascii="仿宋" w:hAnsi="仿宋" w:eastAsia="仿宋" w:cs="仿宋"/>
          <w:b/>
          <w:color w:val="auto"/>
          <w:sz w:val="32"/>
          <w:szCs w:val="32"/>
          <w:highlight w:val="none"/>
        </w:rPr>
        <w:t>第四</w:t>
      </w:r>
      <w:r>
        <w:rPr>
          <w:rFonts w:hint="eastAsia" w:ascii="仿宋" w:hAnsi="仿宋" w:eastAsia="仿宋" w:cs="仿宋"/>
          <w:b/>
          <w:color w:val="auto"/>
          <w:sz w:val="32"/>
          <w:szCs w:val="32"/>
          <w:highlight w:val="none"/>
          <w:lang w:eastAsia="zh-CN"/>
        </w:rPr>
        <w:t>部分</w:t>
      </w:r>
      <w:r>
        <w:rPr>
          <w:rFonts w:hint="eastAsia" w:ascii="仿宋" w:hAnsi="仿宋" w:eastAsia="仿宋" w:cs="仿宋"/>
          <w:b/>
          <w:color w:val="auto"/>
          <w:sz w:val="32"/>
          <w:szCs w:val="32"/>
          <w:highlight w:val="none"/>
        </w:rPr>
        <w:t xml:space="preserve">  采购内容及技术要求</w:t>
      </w:r>
      <w:bookmarkEnd w:id="67"/>
    </w:p>
    <w:p>
      <w:pPr>
        <w:pStyle w:val="2"/>
        <w:rPr>
          <w:rFonts w:hint="eastAsia"/>
        </w:rPr>
      </w:pPr>
    </w:p>
    <w:bookmarkEnd w:id="65"/>
    <w:bookmarkEnd w:id="66"/>
    <w:p>
      <w:pPr>
        <w:shd w:val="clear" w:color="auto" w:fill="auto"/>
        <w:spacing w:line="360" w:lineRule="auto"/>
        <w:ind w:firstLine="600" w:firstLineChars="250"/>
        <w:rPr>
          <w:rFonts w:hint="eastAsia" w:ascii="仿宋" w:hAnsi="仿宋" w:eastAsia="仿宋" w:cs="仿宋"/>
          <w:color w:val="auto"/>
          <w:sz w:val="24"/>
          <w:szCs w:val="24"/>
          <w:highlight w:val="none"/>
          <w:lang w:val="en-US" w:eastAsia="zh-CN"/>
        </w:rPr>
      </w:pPr>
      <w:bookmarkStart w:id="68" w:name="_Toc469495740"/>
      <w:bookmarkStart w:id="69" w:name="_Toc24960"/>
      <w:r>
        <w:rPr>
          <w:rFonts w:hint="eastAsia" w:ascii="仿宋" w:hAnsi="仿宋" w:eastAsia="仿宋" w:cs="仿宋"/>
          <w:color w:val="auto"/>
          <w:sz w:val="24"/>
          <w:szCs w:val="24"/>
          <w:highlight w:val="none"/>
          <w:lang w:val="en-US" w:eastAsia="zh-CN"/>
        </w:rPr>
        <w:t>根据《中共中央国务院关于建立国土空间规划体系并监督实施的若干意见》（中发〔2019〕18号）、《关于印发新疆全面开展国土空间规划编制工作方案的通知》（新政办发〔2019〕92号）相关要求，开展和布克赛尔蒙古自治县乡镇国土空间规划、村庄规划编制。</w:t>
      </w:r>
    </w:p>
    <w:p>
      <w:pPr>
        <w:pStyle w:val="2"/>
        <w:rPr>
          <w:rFonts w:hint="eastAsia"/>
          <w:lang w:val="en-US" w:eastAsia="zh-CN"/>
        </w:rPr>
      </w:pP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规划内容：村庄规划按照《新疆维吾尔自治区村庄规划编制技术指南》进行村庄规划编制。主要内容包括村庄分类引导、发展目标与规模确定、空间布局与用途管制、乡村产业发展规划、居住用地布局、公共服务设施布局、道路交通规划、公用设施规划、历史文化保护与特色风貌引导、国土空间综合整治与生态修复、安全和综合防灾减灾、近期实施项目等内容。</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（二）规划依据</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1、《中华人民共和国土地管理法》（2019年修订版）；</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2、《中华人民共和国城乡规划法》（2019年修订版）；</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3、《中华人民共和国土地管理法实施条例》（国令第743号）；</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4、《基本农田保护条例（2011年修订版）》；</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5、《国土空间调查、规划、用途管制用地用海分类指南（试行）》；</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6、《社区生活圈规划技术指南》（TD/T1062-2021）；</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7、《国土空间规划城市设计指南》（TD/T1065-2021）；</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8、《关于加强村庄规划促进乡村振兴的通知》（自然资办发〔2019〕35号）;</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9、《关于进一步做好村庄规划工作的意见》（自然资办发〔2020〕57号）;</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10、《新疆维吾尔自治区城市规划管理技术规定》（XJJ013-2012）；</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11、《新疆维吾尔自治区村庄规划编制技术指南（试行）（2022年修订版）》；</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12、《和布克赛尔蒙古自治县国土空间总体规划（2021-2035年）》；</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13、《和布克赛尔蒙古自治县国民经济和社会发展第十四个五年规划和2035年远景目标纲要》；</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14、其他法律、法规、技术规范及相关文件；</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15、其他相关规划、其他资料。</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（三）规划期限：规划期限与上位规划期限一致，规划目标年为2035年，近期至2025年，远景观望至2050年。</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（四）规划范围：本次乡镇国土空间总体规划编制范围为各乡镇行政辖区范围内的全部国土空间，村庄规划编制范围为行政村范围内的全部国土空间。</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（五）规划地点：和什托洛盖镇、拉乌伦村、伊森托洛盖新村、夏孜盖村</w:t>
      </w:r>
    </w:p>
    <w:p>
      <w:pPr>
        <w:shd w:val="clear" w:color="auto" w:fill="auto"/>
        <w:spacing w:line="360" w:lineRule="auto"/>
        <w:ind w:firstLine="360" w:firstLineChars="1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（六）合同履约期限：</w:t>
      </w:r>
      <w:r>
        <w:rPr>
          <w:rFonts w:hint="eastAsia" w:ascii="仿宋" w:hAnsi="仿宋" w:eastAsia="仿宋" w:cs="仿宋"/>
          <w:b/>
          <w:bCs/>
          <w:color w:val="auto"/>
          <w:sz w:val="24"/>
          <w:szCs w:val="24"/>
          <w:highlight w:val="none"/>
          <w:lang w:val="en-US" w:eastAsia="zh-CN"/>
        </w:rPr>
        <w:t>合同签订后，3个月内提交初步成果</w:t>
      </w:r>
      <w:r>
        <w:rPr>
          <w:rFonts w:hint="eastAsia" w:ascii="仿宋" w:hAnsi="仿宋" w:eastAsia="仿宋" w:cs="仿宋"/>
          <w:color w:val="auto"/>
          <w:sz w:val="24"/>
          <w:szCs w:val="24"/>
          <w:highlight w:val="none"/>
          <w:lang w:eastAsia="zh-CN"/>
        </w:rPr>
        <w:t>。</w:t>
      </w:r>
    </w:p>
    <w:p>
      <w:pPr>
        <w:shd w:val="clear" w:color="auto" w:fill="auto"/>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（七）规划深度要求：按国家、新疆维吾尔自治区最新的相关文件要求和技术规程执行。达到乡镇国土空间总体规划和村庄规划编制深度要求，且通过县人民政府审查审批，满足规划管理使用及入库要求。</w:t>
      </w: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3"/>
        <w:bidi w:val="0"/>
        <w:spacing w:line="360" w:lineRule="auto"/>
        <w:rPr>
          <w:rFonts w:hint="eastAsia" w:ascii="仿宋" w:hAnsi="仿宋" w:eastAsia="仿宋" w:cs="仿宋"/>
        </w:rPr>
      </w:pPr>
      <w:r>
        <w:rPr>
          <w:rFonts w:hint="eastAsia" w:ascii="仿宋" w:hAnsi="仿宋" w:eastAsia="仿宋" w:cs="仿宋"/>
          <w:lang w:eastAsia="zh-CN"/>
        </w:rPr>
        <w:t>第五部分</w:t>
      </w:r>
      <w:r>
        <w:rPr>
          <w:rFonts w:hint="eastAsia" w:ascii="仿宋" w:hAnsi="仿宋" w:eastAsia="仿宋" w:cs="仿宋"/>
        </w:rPr>
        <w:t xml:space="preserve"> </w:t>
      </w:r>
      <w:bookmarkEnd w:id="68"/>
      <w:bookmarkStart w:id="70" w:name="_Toc30974"/>
      <w:bookmarkStart w:id="71" w:name="_Toc26076"/>
      <w:bookmarkStart w:id="72" w:name="_Toc20669"/>
      <w:r>
        <w:rPr>
          <w:rFonts w:hint="eastAsia" w:ascii="仿宋" w:hAnsi="仿宋" w:eastAsia="仿宋" w:cs="仿宋"/>
        </w:rPr>
        <w:t>政府采购合同条款及格式（仅供参考）</w:t>
      </w:r>
      <w:bookmarkEnd w:id="69"/>
      <w:bookmarkEnd w:id="70"/>
      <w:bookmarkEnd w:id="71"/>
    </w:p>
    <w:bookmarkEnd w:id="72"/>
    <w:p>
      <w:pPr>
        <w:pStyle w:val="12"/>
        <w:spacing w:line="360" w:lineRule="auto"/>
        <w:rPr>
          <w:rFonts w:hint="eastAsia" w:ascii="仿宋" w:hAnsi="仿宋" w:eastAsia="仿宋" w:cs="仿宋"/>
          <w:lang w:eastAsia="zh-CN"/>
        </w:rPr>
      </w:pPr>
      <w:bookmarkStart w:id="73" w:name="_Toc1246"/>
    </w:p>
    <w:p>
      <w:pPr>
        <w:pStyle w:val="13"/>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3"/>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17" w:leftChars="0"/>
        <w:jc w:val="center"/>
        <w:textAlignment w:val="auto"/>
        <w:outlineLvl w:val="1"/>
        <w:rPr>
          <w:rFonts w:hint="eastAsia" w:ascii="仿宋" w:hAnsi="仿宋" w:eastAsia="仿宋" w:cs="仿宋"/>
          <w:b/>
          <w:bCs/>
          <w:szCs w:val="32"/>
          <w:highlight w:val="none"/>
        </w:rPr>
      </w:pPr>
      <w:bookmarkStart w:id="74" w:name="_Toc1418"/>
      <w:r>
        <w:rPr>
          <w:rFonts w:hint="eastAsia" w:ascii="仿宋" w:hAnsi="仿宋" w:eastAsia="仿宋" w:cs="仿宋"/>
          <w:b/>
          <w:bCs/>
          <w:sz w:val="32"/>
          <w:szCs w:val="32"/>
          <w:highlight w:val="none"/>
          <w:lang w:eastAsia="zh-CN"/>
        </w:rPr>
        <w:t>一</w:t>
      </w:r>
      <w:r>
        <w:rPr>
          <w:rFonts w:hint="eastAsia" w:ascii="仿宋" w:hAnsi="仿宋" w:eastAsia="仿宋" w:cs="仿宋"/>
          <w:b/>
          <w:bCs/>
          <w:sz w:val="32"/>
          <w:szCs w:val="32"/>
          <w:highlight w:val="none"/>
        </w:rPr>
        <w:t>、</w:t>
      </w:r>
      <w:bookmarkStart w:id="75" w:name="_Toc518923128"/>
      <w:bookmarkStart w:id="76" w:name="_Toc23018"/>
      <w:r>
        <w:rPr>
          <w:rFonts w:hint="eastAsia" w:ascii="仿宋" w:hAnsi="仿宋" w:eastAsia="仿宋" w:cs="仿宋"/>
          <w:b/>
          <w:bCs/>
          <w:szCs w:val="32"/>
          <w:highlight w:val="none"/>
        </w:rPr>
        <w:t>政府采购合同</w:t>
      </w:r>
      <w:bookmarkEnd w:id="73"/>
      <w:bookmarkEnd w:id="74"/>
      <w:bookmarkEnd w:id="75"/>
      <w:bookmarkEnd w:id="76"/>
      <w:bookmarkStart w:id="77" w:name="_Hlt487972895"/>
      <w:bookmarkEnd w:id="77"/>
      <w:bookmarkStart w:id="78" w:name="_Toc216513788"/>
      <w:bookmarkStart w:id="79" w:name="_Toc487900382"/>
    </w:p>
    <w:bookmarkEnd w:id="78"/>
    <w:bookmarkEnd w:id="79"/>
    <w:p>
      <w:pPr>
        <w:pStyle w:val="8"/>
        <w:spacing w:line="360" w:lineRule="auto"/>
        <w:ind w:left="540" w:leftChars="257" w:hanging="540"/>
        <w:rPr>
          <w:rFonts w:hint="eastAsia" w:ascii="仿宋" w:hAnsi="仿宋" w:eastAsia="仿宋" w:cs="仿宋"/>
          <w:b/>
          <w:bCs/>
          <w:szCs w:val="24"/>
          <w:highlight w:val="none"/>
        </w:rPr>
      </w:pP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 xml:space="preserve">合同编号： </w:t>
      </w:r>
      <w:r>
        <w:rPr>
          <w:rFonts w:hint="eastAsia" w:ascii="仿宋" w:hAnsi="仿宋" w:eastAsia="仿宋" w:cs="仿宋"/>
          <w:sz w:val="24"/>
          <w:highlight w:val="none"/>
          <w:u w:val="single"/>
        </w:rPr>
        <w:t xml:space="preserve">          </w:t>
      </w:r>
    </w:p>
    <w:p>
      <w:pPr>
        <w:spacing w:line="360" w:lineRule="auto"/>
        <w:jc w:val="center"/>
        <w:rPr>
          <w:rFonts w:hint="eastAsia" w:ascii="仿宋" w:hAnsi="仿宋" w:eastAsia="仿宋" w:cs="仿宋"/>
          <w:b/>
          <w:sz w:val="24"/>
          <w:highlight w:val="none"/>
        </w:rPr>
      </w:pPr>
    </w:p>
    <w:p>
      <w:pPr>
        <w:spacing w:line="360" w:lineRule="auto"/>
        <w:jc w:val="center"/>
        <w:rPr>
          <w:rFonts w:hint="eastAsia" w:ascii="仿宋" w:hAnsi="仿宋" w:eastAsia="仿宋" w:cs="仿宋"/>
          <w:b/>
          <w:sz w:val="24"/>
          <w:highlight w:val="none"/>
        </w:rPr>
      </w:pPr>
    </w:p>
    <w:p>
      <w:pPr>
        <w:spacing w:line="360" w:lineRule="auto"/>
        <w:jc w:val="both"/>
        <w:rPr>
          <w:rFonts w:hint="eastAsia" w:ascii="仿宋" w:hAnsi="仿宋" w:eastAsia="仿宋" w:cs="仿宋"/>
          <w:b/>
          <w:sz w:val="24"/>
          <w:highlight w:val="none"/>
        </w:rPr>
      </w:pPr>
    </w:p>
    <w:p>
      <w:pPr>
        <w:spacing w:line="360" w:lineRule="auto"/>
        <w:jc w:val="center"/>
        <w:outlineLvl w:val="0"/>
        <w:rPr>
          <w:rFonts w:hint="eastAsia" w:ascii="仿宋" w:hAnsi="仿宋" w:eastAsia="仿宋" w:cs="仿宋"/>
          <w:b/>
          <w:sz w:val="24"/>
          <w:highlight w:val="none"/>
          <w:lang w:eastAsia="zh-CN"/>
        </w:rPr>
      </w:pPr>
      <w:bookmarkStart w:id="80" w:name="_Toc17659"/>
      <w:r>
        <w:rPr>
          <w:rFonts w:hint="eastAsia" w:ascii="仿宋" w:hAnsi="仿宋" w:eastAsia="仿宋" w:cs="仿宋"/>
          <w:b/>
          <w:sz w:val="24"/>
          <w:highlight w:val="none"/>
        </w:rPr>
        <w:t>政府采购合同参考范本</w:t>
      </w:r>
      <w:r>
        <w:rPr>
          <w:rFonts w:hint="eastAsia" w:ascii="仿宋" w:hAnsi="仿宋" w:eastAsia="仿宋" w:cs="仿宋"/>
          <w:b/>
          <w:sz w:val="24"/>
          <w:highlight w:val="none"/>
          <w:lang w:eastAsia="zh-CN"/>
        </w:rPr>
        <w:t>（仅供参考）</w:t>
      </w:r>
      <w:bookmarkEnd w:id="80"/>
    </w:p>
    <w:p>
      <w:pPr>
        <w:spacing w:line="360" w:lineRule="auto"/>
        <w:jc w:val="center"/>
        <w:rPr>
          <w:rFonts w:hint="eastAsia" w:ascii="仿宋" w:hAnsi="仿宋" w:eastAsia="仿宋" w:cs="仿宋"/>
          <w:szCs w:val="24"/>
          <w:highlight w:val="none"/>
        </w:rPr>
      </w:pPr>
      <w:r>
        <w:rPr>
          <w:rFonts w:hint="eastAsia" w:ascii="仿宋" w:hAnsi="仿宋" w:eastAsia="仿宋" w:cs="仿宋"/>
          <w:b/>
          <w:sz w:val="24"/>
          <w:highlight w:val="none"/>
        </w:rPr>
        <w:t>（服务类）</w:t>
      </w:r>
    </w:p>
    <w:p>
      <w:pPr>
        <w:pStyle w:val="67"/>
        <w:spacing w:line="360" w:lineRule="auto"/>
        <w:ind w:firstLine="0"/>
        <w:rPr>
          <w:rFonts w:hint="eastAsia" w:ascii="仿宋" w:hAnsi="仿宋" w:eastAsia="仿宋" w:cs="仿宋"/>
          <w:szCs w:val="24"/>
          <w:highlight w:val="none"/>
        </w:rPr>
      </w:pPr>
    </w:p>
    <w:p>
      <w:pPr>
        <w:pStyle w:val="67"/>
        <w:spacing w:line="360" w:lineRule="auto"/>
        <w:ind w:firstLine="0"/>
        <w:rPr>
          <w:rFonts w:hint="eastAsia" w:ascii="仿宋" w:hAnsi="仿宋" w:eastAsia="仿宋" w:cs="仿宋"/>
          <w:szCs w:val="24"/>
          <w:highlight w:val="none"/>
        </w:rPr>
      </w:pPr>
    </w:p>
    <w:p>
      <w:pPr>
        <w:pStyle w:val="67"/>
        <w:spacing w:line="360" w:lineRule="auto"/>
        <w:ind w:firstLine="0"/>
        <w:rPr>
          <w:rFonts w:hint="eastAsia" w:ascii="仿宋" w:hAnsi="仿宋" w:eastAsia="仿宋" w:cs="仿宋"/>
          <w:szCs w:val="24"/>
          <w:highlight w:val="none"/>
        </w:rPr>
      </w:pPr>
    </w:p>
    <w:p>
      <w:pPr>
        <w:pStyle w:val="67"/>
        <w:spacing w:line="360" w:lineRule="auto"/>
        <w:ind w:firstLine="0"/>
        <w:rPr>
          <w:rFonts w:hint="eastAsia" w:ascii="仿宋" w:hAnsi="仿宋" w:eastAsia="仿宋" w:cs="仿宋"/>
          <w:szCs w:val="24"/>
          <w:highlight w:val="none"/>
        </w:rPr>
      </w:pPr>
    </w:p>
    <w:p>
      <w:pPr>
        <w:pStyle w:val="67"/>
        <w:spacing w:line="360" w:lineRule="auto"/>
        <w:ind w:firstLine="0"/>
        <w:rPr>
          <w:rFonts w:hint="eastAsia" w:ascii="仿宋" w:hAnsi="仿宋" w:eastAsia="仿宋" w:cs="仿宋"/>
          <w:szCs w:val="24"/>
          <w:highlight w:val="none"/>
        </w:rPr>
      </w:pPr>
    </w:p>
    <w:p>
      <w:pPr>
        <w:pStyle w:val="67"/>
        <w:spacing w:line="360" w:lineRule="auto"/>
        <w:ind w:firstLine="0"/>
        <w:rPr>
          <w:rFonts w:hint="eastAsia" w:ascii="仿宋" w:hAnsi="仿宋" w:eastAsia="仿宋" w:cs="仿宋"/>
          <w:szCs w:val="24"/>
          <w:highlight w:val="none"/>
        </w:rPr>
      </w:pPr>
    </w:p>
    <w:p>
      <w:pPr>
        <w:pStyle w:val="67"/>
        <w:spacing w:line="360" w:lineRule="auto"/>
        <w:ind w:firstLine="0"/>
        <w:jc w:val="center"/>
        <w:outlineLvl w:val="0"/>
        <w:rPr>
          <w:rFonts w:hint="eastAsia" w:ascii="仿宋" w:hAnsi="仿宋" w:eastAsia="仿宋" w:cs="仿宋"/>
          <w:sz w:val="24"/>
          <w:highlight w:val="none"/>
        </w:rPr>
      </w:pPr>
      <w:bookmarkStart w:id="81" w:name="_Toc23402"/>
      <w:r>
        <w:rPr>
          <w:rFonts w:hint="eastAsia" w:ascii="仿宋" w:hAnsi="仿宋" w:eastAsia="仿宋" w:cs="仿宋"/>
          <w:b/>
          <w:szCs w:val="24"/>
          <w:highlight w:val="none"/>
        </w:rPr>
        <w:t>第一部分 合同书</w:t>
      </w:r>
      <w:bookmarkEnd w:id="81"/>
    </w:p>
    <w:p>
      <w:pPr>
        <w:spacing w:before="120" w:line="360" w:lineRule="auto"/>
        <w:ind w:left="960"/>
        <w:rPr>
          <w:rFonts w:hint="eastAsia" w:ascii="仿宋" w:hAnsi="仿宋" w:eastAsia="仿宋" w:cs="仿宋"/>
          <w:szCs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p>
      <w:pPr>
        <w:spacing w:line="360" w:lineRule="auto"/>
        <w:rPr>
          <w:rFonts w:hint="eastAsia" w:ascii="仿宋" w:hAnsi="仿宋" w:eastAsia="仿宋" w:cs="仿宋"/>
          <w:sz w:val="24"/>
          <w:highlight w:val="none"/>
        </w:rPr>
      </w:pPr>
    </w:p>
    <w:p>
      <w:pPr>
        <w:spacing w:before="120" w:line="360" w:lineRule="auto"/>
        <w:ind w:left="960"/>
        <w:rPr>
          <w:rFonts w:hint="eastAsia"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sz w:val="24"/>
          <w:highlight w:val="none"/>
          <w:u w:val="single"/>
        </w:rPr>
        <w:t xml:space="preserve">                                       </w:t>
      </w:r>
    </w:p>
    <w:p>
      <w:pPr>
        <w:spacing w:before="120" w:line="360" w:lineRule="auto"/>
        <w:rPr>
          <w:rFonts w:hint="eastAsia" w:ascii="仿宋" w:hAnsi="仿宋" w:eastAsia="仿宋" w:cs="仿宋"/>
          <w:sz w:val="24"/>
          <w:highlight w:val="none"/>
        </w:rPr>
      </w:pPr>
    </w:p>
    <w:p>
      <w:pPr>
        <w:spacing w:before="120" w:line="360" w:lineRule="auto"/>
        <w:ind w:left="960"/>
        <w:rPr>
          <w:rFonts w:hint="eastAsia"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p>
    <w:p>
      <w:pPr>
        <w:spacing w:before="120" w:line="360" w:lineRule="auto"/>
        <w:rPr>
          <w:rFonts w:hint="eastAsia" w:ascii="仿宋" w:hAnsi="仿宋" w:eastAsia="仿宋" w:cs="仿宋"/>
          <w:sz w:val="24"/>
          <w:highlight w:val="none"/>
        </w:rPr>
      </w:pPr>
    </w:p>
    <w:p>
      <w:pPr>
        <w:spacing w:before="120" w:line="360" w:lineRule="auto"/>
        <w:ind w:firstLine="960"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签订地：</w:t>
      </w:r>
      <w:r>
        <w:rPr>
          <w:rFonts w:hint="eastAsia" w:ascii="仿宋" w:hAnsi="仿宋" w:eastAsia="仿宋" w:cs="仿宋"/>
          <w:sz w:val="24"/>
          <w:highlight w:val="none"/>
          <w:u w:val="single"/>
        </w:rPr>
        <w:t xml:space="preserve">                                     </w:t>
      </w:r>
    </w:p>
    <w:p>
      <w:pPr>
        <w:spacing w:before="120" w:line="360" w:lineRule="auto"/>
        <w:rPr>
          <w:rFonts w:hint="eastAsia" w:ascii="仿宋" w:hAnsi="仿宋" w:eastAsia="仿宋" w:cs="仿宋"/>
          <w:sz w:val="24"/>
          <w:highlight w:val="none"/>
        </w:rPr>
      </w:pPr>
    </w:p>
    <w:p>
      <w:pPr>
        <w:spacing w:before="120" w:line="360" w:lineRule="auto"/>
        <w:ind w:firstLine="960" w:firstLineChars="400"/>
        <w:rPr>
          <w:rFonts w:hint="eastAsia" w:ascii="仿宋" w:hAnsi="仿宋" w:eastAsia="仿宋" w:cs="仿宋"/>
          <w:sz w:val="24"/>
          <w:highlight w:val="non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12"/>
        <w:spacing w:line="360" w:lineRule="auto"/>
        <w:rPr>
          <w:rFonts w:hint="eastAsia" w:ascii="仿宋" w:hAnsi="仿宋" w:eastAsia="仿宋" w:cs="仿宋"/>
          <w:sz w:val="24"/>
          <w:highlight w:val="none"/>
        </w:rPr>
      </w:pPr>
    </w:p>
    <w:p>
      <w:pPr>
        <w:pStyle w:val="13"/>
        <w:spacing w:line="360" w:lineRule="auto"/>
        <w:rPr>
          <w:rFonts w:hint="eastAsia" w:ascii="仿宋" w:hAnsi="仿宋" w:eastAsia="仿宋" w:cs="仿宋"/>
        </w:rPr>
      </w:pPr>
    </w:p>
    <w:p>
      <w:pPr>
        <w:spacing w:line="360" w:lineRule="auto"/>
        <w:rPr>
          <w:rFonts w:hint="eastAsia" w:ascii="仿宋" w:hAnsi="仿宋" w:eastAsia="仿宋" w:cs="仿宋"/>
          <w:sz w:val="24"/>
          <w:highlight w:val="none"/>
          <w:u w:val="single"/>
          <w:lang w:val="zh-CN"/>
        </w:rPr>
      </w:pP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rPr>
        <w:t>以</w:t>
      </w:r>
      <w:r>
        <w:rPr>
          <w:rFonts w:hint="eastAsia" w:ascii="仿宋" w:hAnsi="仿宋" w:eastAsia="仿宋" w:cs="仿宋"/>
          <w:sz w:val="24"/>
          <w:highlight w:val="none"/>
          <w:u w:val="single"/>
        </w:rPr>
        <w:t xml:space="preserve">   （政府采购方式）  </w:t>
      </w:r>
      <w:r>
        <w:rPr>
          <w:rFonts w:hint="eastAsia" w:ascii="仿宋" w:hAnsi="仿宋" w:eastAsia="仿宋" w:cs="仿宋"/>
          <w:sz w:val="24"/>
          <w:highlight w:val="none"/>
        </w:rPr>
        <w:t>对</w:t>
      </w:r>
      <w:r>
        <w:rPr>
          <w:rFonts w:hint="eastAsia" w:ascii="仿宋" w:hAnsi="仿宋" w:eastAsia="仿宋" w:cs="仿宋"/>
          <w:sz w:val="24"/>
          <w:highlight w:val="none"/>
          <w:u w:val="single"/>
        </w:rPr>
        <w:t xml:space="preserve">   （同前页项目名称）   </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 xml:space="preserve">   （相关评定主体名称）   </w:t>
      </w:r>
      <w:r>
        <w:rPr>
          <w:rFonts w:hint="eastAsia" w:ascii="仿宋" w:hAnsi="仿宋" w:eastAsia="仿宋" w:cs="仿宋"/>
          <w:sz w:val="24"/>
          <w:highlight w:val="none"/>
        </w:rPr>
        <w:t>评定，</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中标单位</w:t>
      </w:r>
      <w:r>
        <w:rPr>
          <w:rFonts w:hint="eastAsia" w:ascii="仿宋" w:hAnsi="仿宋" w:eastAsia="仿宋" w:cs="仿宋"/>
          <w:sz w:val="24"/>
          <w:highlight w:val="none"/>
          <w:u w:val="single"/>
        </w:rPr>
        <w:t xml:space="preserve">名称） </w:t>
      </w:r>
      <w:r>
        <w:rPr>
          <w:rFonts w:hint="eastAsia" w:ascii="仿宋" w:hAnsi="仿宋" w:eastAsia="仿宋" w:cs="仿宋"/>
          <w:sz w:val="24"/>
          <w:highlight w:val="none"/>
        </w:rPr>
        <w:t>为该项目</w:t>
      </w:r>
      <w:r>
        <w:rPr>
          <w:rFonts w:hint="eastAsia" w:ascii="仿宋" w:hAnsi="仿宋" w:eastAsia="仿宋" w:cs="仿宋"/>
          <w:sz w:val="24"/>
          <w:highlight w:val="none"/>
          <w:lang w:eastAsia="zh-CN"/>
        </w:rPr>
        <w:t>中标单位</w:t>
      </w:r>
      <w:r>
        <w:rPr>
          <w:rFonts w:hint="eastAsia" w:ascii="仿宋" w:hAnsi="仿宋" w:eastAsia="仿宋" w:cs="仿宋"/>
          <w:sz w:val="24"/>
          <w:highlight w:val="none"/>
        </w:rPr>
        <w:t>。现于中标通知书发出之日起三十日内，按照</w:t>
      </w:r>
      <w:r>
        <w:rPr>
          <w:rFonts w:hint="eastAsia" w:ascii="仿宋" w:hAnsi="仿宋" w:eastAsia="仿宋" w:cs="仿宋"/>
          <w:sz w:val="24"/>
          <w:highlight w:val="none"/>
          <w:lang w:eastAsia="zh-CN"/>
        </w:rPr>
        <w:t>招标文件</w:t>
      </w:r>
      <w:r>
        <w:rPr>
          <w:rFonts w:hint="eastAsia" w:ascii="仿宋" w:hAnsi="仿宋" w:eastAsia="仿宋" w:cs="仿宋"/>
          <w:sz w:val="24"/>
          <w:highlight w:val="none"/>
        </w:rPr>
        <w:t>确定的事项签订本合同。</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lang w:val="zh-CN"/>
        </w:rPr>
        <w:t>(以下简称：甲方)和</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中标单位</w:t>
      </w:r>
      <w:r>
        <w:rPr>
          <w:rFonts w:hint="eastAsia" w:ascii="仿宋" w:hAnsi="仿宋" w:eastAsia="仿宋" w:cs="仿宋"/>
          <w:sz w:val="24"/>
          <w:highlight w:val="none"/>
          <w:u w:val="single"/>
        </w:rPr>
        <w:t xml:space="preserve">名称）   </w:t>
      </w:r>
      <w:r>
        <w:rPr>
          <w:rFonts w:hint="eastAsia" w:ascii="仿宋" w:hAnsi="仿宋" w:eastAsia="仿宋" w:cs="仿宋"/>
          <w:sz w:val="24"/>
          <w:highlight w:val="none"/>
          <w:lang w:val="zh-CN"/>
        </w:rPr>
        <w:t>(以下简称：乙方)协商一致，约定以下合同</w:t>
      </w:r>
      <w:r>
        <w:rPr>
          <w:rFonts w:hint="eastAsia" w:ascii="仿宋" w:hAnsi="仿宋" w:eastAsia="仿宋" w:cs="仿宋"/>
          <w:sz w:val="24"/>
          <w:highlight w:val="none"/>
        </w:rPr>
        <w:t>条款，以兹共同遵守、全面履行。</w:t>
      </w:r>
    </w:p>
    <w:p>
      <w:pPr>
        <w:spacing w:line="360" w:lineRule="auto"/>
        <w:ind w:firstLine="482" w:firstLineChars="200"/>
        <w:outlineLvl w:val="1"/>
        <w:rPr>
          <w:rFonts w:hint="eastAsia" w:ascii="仿宋" w:hAnsi="仿宋" w:eastAsia="仿宋" w:cs="仿宋"/>
          <w:sz w:val="24"/>
          <w:highlight w:val="none"/>
        </w:rPr>
      </w:pPr>
      <w:bookmarkStart w:id="82" w:name="_Toc20421"/>
      <w:bookmarkStart w:id="83" w:name="_Toc15367"/>
      <w:bookmarkStart w:id="84" w:name="_Toc27046"/>
      <w:bookmarkStart w:id="85" w:name="_Toc21380"/>
      <w:bookmarkStart w:id="86" w:name="_Toc28855"/>
      <w:bookmarkStart w:id="87" w:name="_Toc19273"/>
      <w:r>
        <w:rPr>
          <w:rFonts w:hint="eastAsia" w:ascii="仿宋" w:hAnsi="仿宋" w:eastAsia="仿宋" w:cs="仿宋"/>
          <w:b/>
          <w:sz w:val="24"/>
          <w:highlight w:val="none"/>
        </w:rPr>
        <w:t>1.1 合同组成部分</w:t>
      </w:r>
      <w:bookmarkEnd w:id="82"/>
      <w:bookmarkEnd w:id="83"/>
      <w:bookmarkEnd w:id="84"/>
      <w:bookmarkEnd w:id="85"/>
      <w:bookmarkEnd w:id="86"/>
      <w:bookmarkEnd w:id="87"/>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w:t>
      </w:r>
      <w:r>
        <w:rPr>
          <w:rFonts w:hint="eastAsia" w:ascii="仿宋" w:hAnsi="仿宋" w:eastAsia="仿宋" w:cs="仿宋"/>
          <w:sz w:val="24"/>
          <w:highlight w:val="none"/>
          <w:lang w:eastAsia="zh-CN"/>
        </w:rPr>
        <w:t>招标文件</w:t>
      </w:r>
      <w:r>
        <w:rPr>
          <w:rFonts w:hint="eastAsia" w:ascii="仿宋" w:hAnsi="仿宋" w:eastAsia="仿宋" w:cs="仿宋"/>
          <w:sz w:val="24"/>
          <w:highlight w:val="none"/>
        </w:rPr>
        <w:t>确定的事项的前提下，组成本合同的多个文件的优先适用顺序如下：</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 中标通知书；</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1.1.3 投标文件（含澄清或者说明文件）；</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1.1.4 招标文件（含澄清或者修改文件）；</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1.1.5 其他相关</w:t>
      </w:r>
      <w:r>
        <w:rPr>
          <w:rFonts w:hint="eastAsia" w:ascii="仿宋" w:hAnsi="仿宋" w:eastAsia="仿宋" w:cs="仿宋"/>
          <w:sz w:val="24"/>
          <w:highlight w:val="none"/>
          <w:lang w:eastAsia="zh-CN"/>
        </w:rPr>
        <w:t>招标文件</w:t>
      </w:r>
      <w:r>
        <w:rPr>
          <w:rFonts w:hint="eastAsia" w:ascii="仿宋" w:hAnsi="仿宋" w:eastAsia="仿宋" w:cs="仿宋"/>
          <w:sz w:val="24"/>
          <w:highlight w:val="none"/>
        </w:rPr>
        <w:t>。</w:t>
      </w:r>
    </w:p>
    <w:p>
      <w:pPr>
        <w:spacing w:line="360" w:lineRule="auto"/>
        <w:ind w:firstLine="482" w:firstLineChars="200"/>
        <w:outlineLvl w:val="1"/>
        <w:rPr>
          <w:rFonts w:hint="eastAsia" w:ascii="仿宋" w:hAnsi="仿宋" w:eastAsia="仿宋" w:cs="仿宋"/>
          <w:b/>
          <w:sz w:val="24"/>
          <w:highlight w:val="none"/>
        </w:rPr>
      </w:pPr>
      <w:bookmarkStart w:id="88" w:name="_Toc6311"/>
      <w:bookmarkStart w:id="89" w:name="_Toc19439"/>
      <w:bookmarkStart w:id="90" w:name="_Toc26950"/>
      <w:bookmarkStart w:id="91" w:name="_Toc18585"/>
      <w:bookmarkStart w:id="92" w:name="_Toc6773"/>
      <w:bookmarkStart w:id="93" w:name="_Toc22185"/>
      <w:bookmarkStart w:id="94" w:name="_Toc2918"/>
      <w:r>
        <w:rPr>
          <w:rFonts w:hint="eastAsia" w:ascii="仿宋" w:hAnsi="仿宋" w:eastAsia="仿宋" w:cs="仿宋"/>
          <w:b/>
          <w:sz w:val="24"/>
          <w:highlight w:val="none"/>
        </w:rPr>
        <w:t>1.2 标的</w:t>
      </w:r>
      <w:bookmarkEnd w:id="88"/>
      <w:bookmarkEnd w:id="89"/>
      <w:bookmarkEnd w:id="90"/>
      <w:bookmarkEnd w:id="91"/>
      <w:bookmarkEnd w:id="92"/>
      <w:bookmarkEnd w:id="93"/>
      <w:bookmarkEnd w:id="94"/>
    </w:p>
    <w:p>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1.2.1 标的名称：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1.2.2 标的数量：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 标的质量：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pacing w:line="360" w:lineRule="auto"/>
        <w:ind w:firstLine="482" w:firstLineChars="200"/>
        <w:outlineLvl w:val="1"/>
        <w:rPr>
          <w:rFonts w:hint="eastAsia" w:ascii="仿宋" w:hAnsi="仿宋" w:eastAsia="仿宋" w:cs="仿宋"/>
          <w:b/>
          <w:sz w:val="24"/>
          <w:highlight w:val="none"/>
        </w:rPr>
      </w:pPr>
      <w:bookmarkStart w:id="95" w:name="_Toc13918"/>
      <w:bookmarkStart w:id="96" w:name="_Toc19183"/>
      <w:bookmarkStart w:id="97" w:name="_Toc1386"/>
      <w:bookmarkStart w:id="98" w:name="_Toc21124"/>
      <w:bookmarkStart w:id="99" w:name="_Toc18359"/>
      <w:bookmarkStart w:id="100" w:name="_Toc5635"/>
      <w:bookmarkStart w:id="101" w:name="_Toc4929"/>
      <w:r>
        <w:rPr>
          <w:rFonts w:hint="eastAsia" w:ascii="仿宋" w:hAnsi="仿宋" w:eastAsia="仿宋" w:cs="仿宋"/>
          <w:b/>
          <w:sz w:val="24"/>
          <w:highlight w:val="none"/>
        </w:rPr>
        <w:t>1.3 价款</w:t>
      </w:r>
      <w:bookmarkEnd w:id="95"/>
      <w:bookmarkEnd w:id="96"/>
      <w:bookmarkEnd w:id="97"/>
      <w:bookmarkEnd w:id="98"/>
      <w:bookmarkEnd w:id="99"/>
      <w:bookmarkEnd w:id="100"/>
      <w:bookmarkEnd w:id="101"/>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本合同总价为：￥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360" w:lineRule="auto"/>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序号</w:t>
            </w:r>
          </w:p>
        </w:tc>
        <w:tc>
          <w:tcPr>
            <w:tcW w:w="3402"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分项名称</w:t>
            </w:r>
          </w:p>
        </w:tc>
        <w:tc>
          <w:tcPr>
            <w:tcW w:w="2552" w:type="dxa"/>
            <w:noWrap w:val="0"/>
            <w:vAlign w:val="center"/>
          </w:tcPr>
          <w:p>
            <w:pPr>
              <w:pStyle w:val="69"/>
              <w:spacing w:line="360" w:lineRule="auto"/>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总价</w:t>
            </w:r>
          </w:p>
        </w:tc>
        <w:tc>
          <w:tcPr>
            <w:tcW w:w="2552" w:type="dxa"/>
            <w:noWrap w:val="0"/>
            <w:vAlign w:val="center"/>
          </w:tcPr>
          <w:p>
            <w:pPr>
              <w:pStyle w:val="69"/>
              <w:spacing w:line="360" w:lineRule="auto"/>
              <w:ind w:firstLine="200"/>
              <w:jc w:val="center"/>
              <w:rPr>
                <w:rFonts w:hint="eastAsia" w:ascii="仿宋" w:hAnsi="仿宋" w:eastAsia="仿宋" w:cs="仿宋"/>
                <w:kern w:val="2"/>
                <w:sz w:val="24"/>
                <w:szCs w:val="24"/>
                <w:highlight w:val="none"/>
                <w:lang w:val="en-US" w:eastAsia="zh-CN"/>
              </w:rPr>
            </w:pPr>
          </w:p>
        </w:tc>
      </w:tr>
    </w:tbl>
    <w:p>
      <w:pPr>
        <w:spacing w:line="360" w:lineRule="auto"/>
        <w:ind w:firstLine="482" w:firstLineChars="200"/>
        <w:outlineLvl w:val="1"/>
        <w:rPr>
          <w:rFonts w:hint="eastAsia" w:ascii="仿宋" w:hAnsi="仿宋" w:eastAsia="仿宋" w:cs="仿宋"/>
          <w:b/>
          <w:sz w:val="24"/>
          <w:highlight w:val="none"/>
        </w:rPr>
      </w:pPr>
      <w:bookmarkStart w:id="102" w:name="_Toc3654"/>
      <w:bookmarkStart w:id="103" w:name="_Toc26916"/>
      <w:bookmarkStart w:id="104" w:name="_Toc1291"/>
      <w:bookmarkStart w:id="105" w:name="_Toc30506"/>
      <w:bookmarkStart w:id="106" w:name="_Toc30158"/>
      <w:bookmarkStart w:id="107" w:name="_Toc14993"/>
      <w:bookmarkStart w:id="108" w:name="_Toc20407"/>
      <w:r>
        <w:rPr>
          <w:rFonts w:hint="eastAsia" w:ascii="仿宋" w:hAnsi="仿宋" w:eastAsia="仿宋" w:cs="仿宋"/>
          <w:b/>
          <w:sz w:val="24"/>
          <w:highlight w:val="none"/>
        </w:rPr>
        <w:t>1.4 付款方式和发票开具方式</w:t>
      </w:r>
      <w:bookmarkEnd w:id="102"/>
      <w:bookmarkEnd w:id="103"/>
      <w:bookmarkEnd w:id="104"/>
      <w:bookmarkEnd w:id="105"/>
      <w:bookmarkEnd w:id="106"/>
      <w:bookmarkEnd w:id="107"/>
      <w:bookmarkEnd w:id="108"/>
    </w:p>
    <w:p>
      <w:pPr>
        <w:spacing w:line="360" w:lineRule="auto"/>
        <w:ind w:firstLine="480" w:firstLineChars="200"/>
        <w:rPr>
          <w:rFonts w:hint="eastAsia" w:ascii="仿宋" w:hAnsi="仿宋" w:eastAsia="仿宋" w:cs="仿宋"/>
          <w:sz w:val="24"/>
          <w:highlight w:val="yellow"/>
        </w:rPr>
      </w:pPr>
      <w:r>
        <w:rPr>
          <w:rFonts w:hint="eastAsia" w:ascii="仿宋" w:hAnsi="仿宋" w:eastAsia="仿宋" w:cs="仿宋"/>
          <w:sz w:val="24"/>
          <w:highlight w:val="none"/>
        </w:rPr>
        <w:t>1.4.1付款方式：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 发票开具方式：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pacing w:line="360" w:lineRule="auto"/>
        <w:ind w:firstLine="482" w:firstLineChars="200"/>
        <w:outlineLvl w:val="1"/>
        <w:rPr>
          <w:rFonts w:hint="eastAsia" w:ascii="仿宋" w:hAnsi="仿宋" w:eastAsia="仿宋" w:cs="仿宋"/>
          <w:b/>
          <w:sz w:val="24"/>
          <w:highlight w:val="none"/>
        </w:rPr>
      </w:pPr>
      <w:bookmarkStart w:id="109" w:name="_Toc3625"/>
      <w:bookmarkStart w:id="110" w:name="_Toc31421"/>
      <w:bookmarkStart w:id="111" w:name="_Toc30563"/>
      <w:bookmarkStart w:id="112" w:name="_Toc4760"/>
      <w:bookmarkStart w:id="113" w:name="_Toc8772"/>
      <w:bookmarkStart w:id="114" w:name="_Toc11108"/>
      <w:bookmarkStart w:id="115" w:name="_Toc1631"/>
      <w:r>
        <w:rPr>
          <w:rFonts w:hint="eastAsia" w:ascii="仿宋" w:hAnsi="仿宋" w:eastAsia="仿宋" w:cs="仿宋"/>
          <w:b/>
          <w:sz w:val="24"/>
          <w:highlight w:val="none"/>
        </w:rPr>
        <w:t>1.5 履行期限、地点和方式</w:t>
      </w:r>
      <w:bookmarkEnd w:id="109"/>
      <w:bookmarkEnd w:id="110"/>
      <w:bookmarkEnd w:id="111"/>
      <w:bookmarkEnd w:id="112"/>
      <w:bookmarkEnd w:id="113"/>
      <w:bookmarkEnd w:id="114"/>
      <w:bookmarkEnd w:id="115"/>
    </w:p>
    <w:p>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1.5.1 履行期限：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履行地点：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 履行方式：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pacing w:line="360" w:lineRule="auto"/>
        <w:ind w:firstLine="482" w:firstLineChars="200"/>
        <w:outlineLvl w:val="1"/>
        <w:rPr>
          <w:rFonts w:hint="eastAsia" w:ascii="仿宋" w:hAnsi="仿宋" w:eastAsia="仿宋" w:cs="仿宋"/>
          <w:sz w:val="24"/>
          <w:highlight w:val="none"/>
          <w:u w:val="single"/>
        </w:rPr>
      </w:pPr>
      <w:bookmarkStart w:id="116" w:name="_Toc17542"/>
      <w:bookmarkStart w:id="117" w:name="_Toc8586"/>
      <w:bookmarkStart w:id="118" w:name="_Toc3079"/>
      <w:bookmarkStart w:id="119" w:name="_Toc5698"/>
      <w:bookmarkStart w:id="120" w:name="_Toc2375"/>
      <w:bookmarkStart w:id="121" w:name="_Toc24662"/>
      <w:bookmarkStart w:id="122" w:name="_Toc29795"/>
      <w:r>
        <w:rPr>
          <w:rFonts w:hint="eastAsia" w:ascii="仿宋" w:hAnsi="仿宋" w:eastAsia="仿宋" w:cs="仿宋"/>
          <w:b/>
          <w:sz w:val="24"/>
          <w:highlight w:val="none"/>
        </w:rPr>
        <w:t>1.6 违约责任</w:t>
      </w:r>
      <w:bookmarkEnd w:id="116"/>
      <w:bookmarkEnd w:id="117"/>
      <w:bookmarkEnd w:id="118"/>
      <w:bookmarkEnd w:id="119"/>
      <w:bookmarkEnd w:id="120"/>
      <w:bookmarkEnd w:id="121"/>
      <w:bookmarkEnd w:id="122"/>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 除不可抗力外，如果乙方没有按照本合同约定的期限、地点和方式履行，那么</w:t>
      </w:r>
    </w:p>
    <w:p>
      <w:pPr>
        <w:spacing w:line="360" w:lineRule="auto"/>
        <w:ind w:firstLine="480" w:firstLineChars="200"/>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甲方可要求乙方支付违约金，违约金按每迟延履行一日的应提供而未提供服务价格的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outlineLvl w:val="1"/>
        <w:rPr>
          <w:rFonts w:hint="eastAsia" w:ascii="仿宋" w:hAnsi="仿宋" w:eastAsia="仿宋" w:cs="仿宋"/>
          <w:b/>
          <w:sz w:val="24"/>
          <w:highlight w:val="none"/>
        </w:rPr>
      </w:pPr>
      <w:bookmarkStart w:id="123" w:name="_Toc26807"/>
      <w:bookmarkStart w:id="124" w:name="_Toc7687"/>
      <w:bookmarkStart w:id="125" w:name="_Toc30329"/>
      <w:bookmarkStart w:id="126" w:name="_Toc14995"/>
      <w:bookmarkStart w:id="127" w:name="_Toc32454"/>
      <w:bookmarkStart w:id="128" w:name="_Toc9497"/>
      <w:bookmarkStart w:id="129" w:name="_Toc18683"/>
      <w:r>
        <w:rPr>
          <w:rFonts w:hint="eastAsia" w:ascii="仿宋" w:hAnsi="仿宋" w:eastAsia="仿宋" w:cs="仿宋"/>
          <w:b/>
          <w:sz w:val="24"/>
          <w:highlight w:val="none"/>
        </w:rPr>
        <w:t>1.7 合同争议的解决</w:t>
      </w:r>
      <w:bookmarkEnd w:id="123"/>
      <w:bookmarkEnd w:id="124"/>
      <w:bookmarkEnd w:id="125"/>
      <w:bookmarkEnd w:id="126"/>
      <w:bookmarkEnd w:id="127"/>
      <w:bookmarkEnd w:id="128"/>
      <w:bookmarkEnd w:id="129"/>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种方式解决：</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1.7.1 将争议提交</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仲裁委员会依申请仲裁时其现行有效的仲裁规则裁决；</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1.7.2 向</w:t>
      </w:r>
      <w:r>
        <w:rPr>
          <w:rFonts w:hint="eastAsia" w:ascii="仿宋" w:hAnsi="仿宋" w:eastAsia="仿宋" w:cs="仿宋"/>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highlight w:val="none"/>
        </w:rPr>
        <w:t>人民法院起诉。</w:t>
      </w:r>
    </w:p>
    <w:p>
      <w:pPr>
        <w:spacing w:line="360" w:lineRule="auto"/>
        <w:ind w:firstLine="482" w:firstLineChars="200"/>
        <w:outlineLvl w:val="1"/>
        <w:rPr>
          <w:rFonts w:hint="eastAsia" w:ascii="仿宋" w:hAnsi="仿宋" w:eastAsia="仿宋" w:cs="仿宋"/>
          <w:b/>
          <w:sz w:val="24"/>
          <w:highlight w:val="none"/>
        </w:rPr>
      </w:pPr>
      <w:bookmarkStart w:id="130" w:name="_Toc23784"/>
      <w:bookmarkStart w:id="131" w:name="_Toc12273"/>
      <w:bookmarkStart w:id="132" w:name="_Toc1653"/>
      <w:bookmarkStart w:id="133" w:name="_Toc15827"/>
      <w:bookmarkStart w:id="134" w:name="_Toc26227"/>
      <w:bookmarkStart w:id="135" w:name="_Toc16417"/>
      <w:bookmarkStart w:id="136" w:name="_Toc9406"/>
      <w:r>
        <w:rPr>
          <w:rFonts w:hint="eastAsia" w:ascii="仿宋" w:hAnsi="仿宋" w:eastAsia="仿宋" w:cs="仿宋"/>
          <w:b/>
          <w:sz w:val="24"/>
          <w:highlight w:val="none"/>
        </w:rPr>
        <w:t>1.8 合同生效</w:t>
      </w:r>
      <w:bookmarkEnd w:id="130"/>
      <w:bookmarkEnd w:id="131"/>
      <w:bookmarkEnd w:id="132"/>
      <w:bookmarkEnd w:id="133"/>
      <w:bookmarkEnd w:id="134"/>
      <w:bookmarkEnd w:id="135"/>
      <w:bookmarkEnd w:id="136"/>
    </w:p>
    <w:p>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本合同自双方当事人盖章或者签字时生效。</w:t>
      </w:r>
    </w:p>
    <w:p>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 xml:space="preserve">：                             </w:t>
      </w:r>
      <w:r>
        <w:rPr>
          <w:rFonts w:hint="eastAsia" w:ascii="仿宋" w:hAnsi="仿宋" w:eastAsia="仿宋" w:cs="仿宋"/>
          <w:b/>
          <w:sz w:val="24"/>
          <w:highlight w:val="none"/>
          <w:lang w:val="zh-CN"/>
        </w:rPr>
        <w:t xml:space="preserve">      乙方</w:t>
      </w:r>
      <w:r>
        <w:rPr>
          <w:rFonts w:hint="eastAsia" w:ascii="仿宋" w:hAnsi="仿宋" w:eastAsia="仿宋" w:cs="仿宋"/>
          <w:sz w:val="24"/>
          <w:highlight w:val="none"/>
          <w:lang w:val="zh-CN"/>
        </w:rPr>
        <w:t>：</w:t>
      </w:r>
    </w:p>
    <w:p>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                        统一社会信用代码或身份证号码：</w:t>
      </w:r>
    </w:p>
    <w:p>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住所：                                   住所：</w:t>
      </w:r>
    </w:p>
    <w:p>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                             法定代表人</w:t>
      </w:r>
    </w:p>
    <w:p>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                        或授权代表（签字）: </w:t>
      </w:r>
    </w:p>
    <w:p>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                                 联系人：</w:t>
      </w:r>
    </w:p>
    <w:p>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                           约定送达地址：</w:t>
      </w:r>
    </w:p>
    <w:p>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                               邮政编码：</w:t>
      </w:r>
    </w:p>
    <w:p>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lang w:val="zh-CN"/>
        </w:rPr>
        <w:t>电子邮箱：                               电子邮箱：</w:t>
      </w:r>
    </w:p>
    <w:p>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开户名称：                               开户名称： </w:t>
      </w:r>
    </w:p>
    <w:p>
      <w:pPr>
        <w:pStyle w:val="15"/>
        <w:tabs>
          <w:tab w:val="left" w:pos="1050"/>
          <w:tab w:val="center" w:pos="4156"/>
        </w:tabs>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开户账号：</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开户账号：</w:t>
      </w:r>
    </w:p>
    <w:p>
      <w:pPr>
        <w:spacing w:line="360" w:lineRule="auto"/>
        <w:jc w:val="center"/>
        <w:rPr>
          <w:rFonts w:hint="eastAsia" w:ascii="仿宋" w:hAnsi="仿宋" w:eastAsia="仿宋" w:cs="仿宋"/>
          <w:b/>
          <w:bCs/>
          <w:sz w:val="36"/>
          <w:szCs w:val="36"/>
          <w:highlight w:val="none"/>
        </w:rPr>
      </w:pPr>
    </w:p>
    <w:p>
      <w:pPr>
        <w:spacing w:line="360" w:lineRule="auto"/>
        <w:jc w:val="center"/>
        <w:rPr>
          <w:rFonts w:hint="eastAsia" w:ascii="仿宋" w:hAnsi="仿宋" w:eastAsia="仿宋" w:cs="仿宋"/>
          <w:b/>
          <w:bCs/>
          <w:sz w:val="36"/>
          <w:szCs w:val="36"/>
          <w:highlight w:val="none"/>
        </w:rPr>
      </w:pPr>
    </w:p>
    <w:p>
      <w:pPr>
        <w:spacing w:line="360" w:lineRule="auto"/>
        <w:jc w:val="center"/>
        <w:rPr>
          <w:rFonts w:hint="eastAsia" w:ascii="仿宋" w:hAnsi="仿宋" w:eastAsia="仿宋" w:cs="仿宋"/>
          <w:b/>
          <w:bCs/>
          <w:sz w:val="36"/>
          <w:szCs w:val="36"/>
          <w:highlight w:val="none"/>
        </w:rPr>
      </w:pPr>
    </w:p>
    <w:p>
      <w:pPr>
        <w:pStyle w:val="2"/>
        <w:rPr>
          <w:rFonts w:hint="eastAsia"/>
        </w:rPr>
      </w:pPr>
    </w:p>
    <w:p>
      <w:pPr>
        <w:pStyle w:val="67"/>
        <w:spacing w:line="360" w:lineRule="auto"/>
        <w:ind w:left="0" w:leftChars="0" w:firstLine="0" w:firstLineChars="0"/>
        <w:jc w:val="both"/>
        <w:rPr>
          <w:rFonts w:hint="eastAsia" w:ascii="仿宋" w:hAnsi="仿宋" w:eastAsia="仿宋" w:cs="仿宋"/>
          <w:b/>
          <w:szCs w:val="24"/>
          <w:highlight w:val="none"/>
        </w:rPr>
      </w:pPr>
    </w:p>
    <w:p>
      <w:pPr>
        <w:pStyle w:val="67"/>
        <w:spacing w:line="360" w:lineRule="auto"/>
        <w:ind w:firstLine="200"/>
        <w:jc w:val="center"/>
        <w:rPr>
          <w:rFonts w:hint="eastAsia" w:ascii="仿宋" w:hAnsi="仿宋" w:eastAsia="仿宋" w:cs="仿宋"/>
          <w:b/>
          <w:szCs w:val="24"/>
          <w:highlight w:val="none"/>
          <w:lang w:eastAsia="zh-CN"/>
        </w:rPr>
      </w:pPr>
      <w:r>
        <w:rPr>
          <w:rFonts w:hint="eastAsia" w:ascii="仿宋" w:hAnsi="仿宋" w:eastAsia="仿宋" w:cs="仿宋"/>
          <w:b/>
          <w:szCs w:val="24"/>
          <w:highlight w:val="none"/>
        </w:rPr>
        <w:t>合同一般条款</w:t>
      </w:r>
      <w:r>
        <w:rPr>
          <w:rFonts w:hint="eastAsia" w:ascii="仿宋" w:hAnsi="仿宋" w:eastAsia="仿宋" w:cs="仿宋"/>
          <w:b/>
          <w:szCs w:val="24"/>
          <w:highlight w:val="none"/>
          <w:lang w:eastAsia="zh-CN"/>
        </w:rPr>
        <w:t>（仅供参考）</w:t>
      </w:r>
    </w:p>
    <w:p>
      <w:pPr>
        <w:spacing w:line="360" w:lineRule="auto"/>
        <w:ind w:firstLine="482" w:firstLineChars="200"/>
        <w:outlineLvl w:val="1"/>
        <w:rPr>
          <w:rFonts w:hint="eastAsia" w:ascii="仿宋" w:hAnsi="仿宋" w:eastAsia="仿宋" w:cs="仿宋"/>
          <w:b/>
          <w:sz w:val="24"/>
          <w:highlight w:val="none"/>
        </w:rPr>
      </w:pPr>
      <w:bookmarkStart w:id="137" w:name="_Ref467378463"/>
      <w:bookmarkStart w:id="138" w:name="_Ref467379109"/>
      <w:bookmarkStart w:id="139" w:name="_Toc5228"/>
      <w:bookmarkStart w:id="140" w:name="_Ref467379101"/>
      <w:bookmarkStart w:id="141" w:name="_Toc1863"/>
      <w:bookmarkStart w:id="142" w:name="_Ref467379094"/>
      <w:bookmarkStart w:id="143" w:name="_Toc259093669"/>
      <w:bookmarkStart w:id="144" w:name="_Ref467378404"/>
      <w:bookmarkStart w:id="145" w:name="_Ref467379205"/>
      <w:bookmarkStart w:id="146" w:name="_Toc279701240"/>
      <w:bookmarkStart w:id="147" w:name="_Ref467379195"/>
      <w:bookmarkStart w:id="148" w:name="_Ref467379225"/>
      <w:bookmarkStart w:id="149" w:name="_Toc487900349"/>
      <w:bookmarkStart w:id="150" w:name="_Toc19680"/>
      <w:bookmarkStart w:id="151" w:name="_Toc14021"/>
      <w:bookmarkStart w:id="152" w:name="_Toc25079"/>
      <w:bookmarkStart w:id="153" w:name="_Toc31297"/>
      <w:bookmarkStart w:id="154" w:name="_Ref467378499"/>
      <w:bookmarkStart w:id="155" w:name="_Ref467379214"/>
      <w:bookmarkStart w:id="156" w:name="_Toc10174"/>
      <w:r>
        <w:rPr>
          <w:rFonts w:hint="eastAsia" w:ascii="仿宋" w:hAnsi="仿宋" w:eastAsia="仿宋" w:cs="仿宋"/>
          <w:b/>
          <w:sz w:val="24"/>
          <w:highlight w:val="none"/>
        </w:rPr>
        <w:t>2.1 定义</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w:t>
      </w:r>
      <w:r>
        <w:rPr>
          <w:rFonts w:hint="eastAsia" w:ascii="仿宋" w:hAnsi="仿宋" w:eastAsia="仿宋" w:cs="仿宋"/>
          <w:sz w:val="24"/>
          <w:highlight w:val="none"/>
          <w:lang w:eastAsia="zh-CN"/>
        </w:rPr>
        <w:t>中标单位</w:t>
      </w:r>
      <w:r>
        <w:rPr>
          <w:rFonts w:hint="eastAsia" w:ascii="仿宋" w:hAnsi="仿宋" w:eastAsia="仿宋" w:cs="仿宋"/>
          <w:sz w:val="24"/>
          <w:highlight w:val="none"/>
        </w:rPr>
        <w:t>签订的载明双方当事人所达成的协议，并包括所有的附件、附录和构成合同的其他文件。</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w:t>
      </w:r>
      <w:r>
        <w:rPr>
          <w:rFonts w:hint="eastAsia" w:ascii="仿宋" w:hAnsi="仿宋" w:eastAsia="仿宋" w:cs="仿宋"/>
          <w:sz w:val="24"/>
          <w:highlight w:val="none"/>
          <w:lang w:eastAsia="zh-CN"/>
        </w:rPr>
        <w:t>中标单位</w:t>
      </w:r>
      <w:r>
        <w:rPr>
          <w:rFonts w:hint="eastAsia" w:ascii="仿宋" w:hAnsi="仿宋" w:eastAsia="仿宋" w:cs="仿宋"/>
          <w:sz w:val="24"/>
          <w:highlight w:val="none"/>
        </w:rPr>
        <w:t>在完全履行合同义务后，采购人应支付给</w:t>
      </w:r>
      <w:r>
        <w:rPr>
          <w:rFonts w:hint="eastAsia" w:ascii="仿宋" w:hAnsi="仿宋" w:eastAsia="仿宋" w:cs="仿宋"/>
          <w:sz w:val="24"/>
          <w:highlight w:val="none"/>
          <w:lang w:eastAsia="zh-CN"/>
        </w:rPr>
        <w:t>中标单位</w:t>
      </w:r>
      <w:r>
        <w:rPr>
          <w:rFonts w:hint="eastAsia" w:ascii="仿宋" w:hAnsi="仿宋" w:eastAsia="仿宋" w:cs="仿宋"/>
          <w:sz w:val="24"/>
          <w:highlight w:val="none"/>
        </w:rPr>
        <w:t>的价格。</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 “服务”系指</w:t>
      </w:r>
      <w:r>
        <w:rPr>
          <w:rFonts w:hint="eastAsia" w:ascii="仿宋" w:hAnsi="仿宋" w:eastAsia="仿宋" w:cs="仿宋"/>
          <w:sz w:val="24"/>
          <w:highlight w:val="none"/>
          <w:lang w:eastAsia="zh-CN"/>
        </w:rPr>
        <w:t>中标单位</w:t>
      </w:r>
      <w:r>
        <w:rPr>
          <w:rFonts w:hint="eastAsia" w:ascii="仿宋" w:hAnsi="仿宋" w:eastAsia="仿宋" w:cs="仿宋"/>
          <w:sz w:val="24"/>
          <w:highlight w:val="none"/>
        </w:rPr>
        <w:t>根据合同约定应向采购人履行的除货物和工程以外的其他政府采购对象，包括采购人自身需要的服务和向社会公众提供的公共服务。</w:t>
      </w:r>
    </w:p>
    <w:p>
      <w:pPr>
        <w:spacing w:line="360" w:lineRule="auto"/>
        <w:ind w:firstLine="480" w:firstLineChars="200"/>
        <w:rPr>
          <w:rFonts w:hint="eastAsia" w:ascii="仿宋" w:hAnsi="仿宋" w:eastAsia="仿宋" w:cs="仿宋"/>
          <w:sz w:val="24"/>
          <w:highlight w:val="none"/>
        </w:rPr>
      </w:pPr>
      <w:bookmarkStart w:id="157" w:name="_Ref467378840"/>
      <w:r>
        <w:rPr>
          <w:rFonts w:hint="eastAsia" w:ascii="仿宋" w:hAnsi="仿宋" w:eastAsia="仿宋" w:cs="仿宋"/>
          <w:sz w:val="24"/>
          <w:highlight w:val="none"/>
        </w:rPr>
        <w:t>2.1.4 “甲方”系指与</w:t>
      </w:r>
      <w:r>
        <w:rPr>
          <w:rFonts w:hint="eastAsia" w:ascii="仿宋" w:hAnsi="仿宋" w:eastAsia="仿宋" w:cs="仿宋"/>
          <w:sz w:val="24"/>
          <w:highlight w:val="none"/>
          <w:lang w:eastAsia="zh-CN"/>
        </w:rPr>
        <w:t>中标单位</w:t>
      </w:r>
      <w:r>
        <w:rPr>
          <w:rFonts w:hint="eastAsia" w:ascii="仿宋" w:hAnsi="仿宋" w:eastAsia="仿宋" w:cs="仿宋"/>
          <w:sz w:val="24"/>
          <w:highlight w:val="none"/>
        </w:rPr>
        <w:t>签署合同的采购人</w:t>
      </w:r>
      <w:bookmarkEnd w:id="157"/>
      <w:r>
        <w:rPr>
          <w:rFonts w:hint="eastAsia" w:ascii="仿宋" w:hAnsi="仿宋" w:eastAsia="仿宋" w:cs="仿宋"/>
          <w:sz w:val="24"/>
          <w:highlight w:val="none"/>
        </w:rPr>
        <w:t>；采购人委托采购代理机构代表其与乙方签订合同的，采购人的授权委托书作为合同附件。</w:t>
      </w:r>
    </w:p>
    <w:p>
      <w:pPr>
        <w:spacing w:line="360" w:lineRule="auto"/>
        <w:ind w:firstLine="480" w:firstLineChars="200"/>
        <w:rPr>
          <w:rFonts w:hint="eastAsia" w:ascii="仿宋" w:hAnsi="仿宋" w:eastAsia="仿宋" w:cs="仿宋"/>
          <w:sz w:val="24"/>
          <w:highlight w:val="none"/>
        </w:rPr>
      </w:pPr>
      <w:bookmarkStart w:id="158" w:name="_Ref467379400"/>
      <w:r>
        <w:rPr>
          <w:rFonts w:hint="eastAsia" w:ascii="仿宋" w:hAnsi="仿宋" w:eastAsia="仿宋" w:cs="仿宋"/>
          <w:sz w:val="24"/>
          <w:highlight w:val="none"/>
        </w:rPr>
        <w:t>2.1.5 “乙方”系指根据合同约定提供服务的</w:t>
      </w:r>
      <w:bookmarkEnd w:id="158"/>
      <w:r>
        <w:rPr>
          <w:rFonts w:hint="eastAsia" w:ascii="仿宋" w:hAnsi="仿宋" w:eastAsia="仿宋" w:cs="仿宋"/>
          <w:sz w:val="24"/>
          <w:highlight w:val="none"/>
          <w:lang w:eastAsia="zh-CN"/>
        </w:rPr>
        <w:t>中标单位</w:t>
      </w:r>
      <w:r>
        <w:rPr>
          <w:rFonts w:hint="eastAsia" w:ascii="仿宋" w:hAnsi="仿宋" w:eastAsia="仿宋" w:cs="仿宋"/>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 w:hAnsi="仿宋" w:eastAsia="仿宋" w:cs="仿宋"/>
          <w:sz w:val="24"/>
          <w:highlight w:val="none"/>
        </w:rPr>
      </w:pPr>
      <w:bookmarkStart w:id="159" w:name="_Ref467379436"/>
      <w:r>
        <w:rPr>
          <w:rFonts w:hint="eastAsia" w:ascii="仿宋" w:hAnsi="仿宋" w:eastAsia="仿宋" w:cs="仿宋"/>
          <w:sz w:val="24"/>
          <w:highlight w:val="none"/>
        </w:rPr>
        <w:t>2.1.6 “现场”系指合同约定提供服务的地点。</w:t>
      </w:r>
      <w:bookmarkEnd w:id="159"/>
    </w:p>
    <w:p>
      <w:pPr>
        <w:spacing w:line="360" w:lineRule="auto"/>
        <w:ind w:firstLine="482" w:firstLineChars="200"/>
        <w:outlineLvl w:val="1"/>
        <w:rPr>
          <w:rFonts w:hint="eastAsia" w:ascii="仿宋" w:hAnsi="仿宋" w:eastAsia="仿宋" w:cs="仿宋"/>
          <w:b/>
          <w:sz w:val="24"/>
          <w:highlight w:val="none"/>
        </w:rPr>
      </w:pPr>
      <w:bookmarkStart w:id="160" w:name="_Toc259093670"/>
      <w:bookmarkStart w:id="161" w:name="_Toc19539"/>
      <w:bookmarkStart w:id="162" w:name="_Toc31402"/>
      <w:bookmarkStart w:id="163" w:name="_Toc23289"/>
      <w:bookmarkStart w:id="164" w:name="_Toc3769"/>
      <w:bookmarkStart w:id="165" w:name="_Toc16752"/>
      <w:bookmarkStart w:id="166" w:name="_Toc279701241"/>
      <w:bookmarkStart w:id="167" w:name="_Toc19374"/>
      <w:bookmarkStart w:id="168" w:name="_Toc487900350"/>
      <w:bookmarkStart w:id="169" w:name="_Toc13097"/>
      <w:r>
        <w:rPr>
          <w:rFonts w:hint="eastAsia" w:ascii="仿宋" w:hAnsi="仿宋" w:eastAsia="仿宋" w:cs="仿宋"/>
          <w:b/>
          <w:sz w:val="24"/>
          <w:highlight w:val="none"/>
        </w:rPr>
        <w:t>2.2 技术规范</w:t>
      </w:r>
      <w:bookmarkEnd w:id="160"/>
      <w:bookmarkEnd w:id="161"/>
      <w:bookmarkEnd w:id="162"/>
      <w:bookmarkEnd w:id="163"/>
      <w:bookmarkEnd w:id="164"/>
      <w:bookmarkEnd w:id="165"/>
      <w:bookmarkEnd w:id="166"/>
      <w:bookmarkEnd w:id="167"/>
      <w:bookmarkEnd w:id="168"/>
      <w:bookmarkEnd w:id="169"/>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服务所应遵守的技术规范应与</w:t>
      </w:r>
      <w:r>
        <w:rPr>
          <w:rFonts w:hint="eastAsia" w:ascii="仿宋" w:hAnsi="仿宋" w:eastAsia="仿宋" w:cs="仿宋"/>
          <w:sz w:val="24"/>
          <w:highlight w:val="none"/>
          <w:lang w:eastAsia="zh-CN"/>
        </w:rPr>
        <w:t>招标文件</w:t>
      </w:r>
      <w:r>
        <w:rPr>
          <w:rFonts w:hint="eastAsia" w:ascii="仿宋" w:hAnsi="仿宋" w:eastAsia="仿宋" w:cs="仿宋"/>
          <w:sz w:val="24"/>
          <w:highlight w:val="none"/>
        </w:rPr>
        <w:t>规定的技术规范和技术规范附件(如果有的话)及其技术规范偏差表(如果被甲方接受的话)相一致；如果</w:t>
      </w:r>
      <w:r>
        <w:rPr>
          <w:rFonts w:hint="eastAsia" w:ascii="仿宋" w:hAnsi="仿宋" w:eastAsia="仿宋" w:cs="仿宋"/>
          <w:sz w:val="24"/>
          <w:highlight w:val="none"/>
          <w:lang w:eastAsia="zh-CN"/>
        </w:rPr>
        <w:t>招标文件</w:t>
      </w:r>
      <w:r>
        <w:rPr>
          <w:rFonts w:hint="eastAsia" w:ascii="仿宋" w:hAnsi="仿宋" w:eastAsia="仿宋" w:cs="仿宋"/>
          <w:sz w:val="24"/>
          <w:highlight w:val="none"/>
        </w:rPr>
        <w:t>中没有技术规范的相应说明，那么应以国家有关部门最新颁布的相应标准和规范为准。</w:t>
      </w:r>
    </w:p>
    <w:p>
      <w:pPr>
        <w:spacing w:line="360" w:lineRule="auto"/>
        <w:ind w:firstLine="482" w:firstLineChars="200"/>
        <w:outlineLvl w:val="1"/>
        <w:rPr>
          <w:rFonts w:hint="eastAsia" w:ascii="仿宋" w:hAnsi="仿宋" w:eastAsia="仿宋" w:cs="仿宋"/>
          <w:b/>
          <w:sz w:val="24"/>
          <w:highlight w:val="none"/>
        </w:rPr>
      </w:pPr>
      <w:bookmarkStart w:id="170" w:name="_Toc9161"/>
      <w:bookmarkStart w:id="171" w:name="_Toc2640"/>
      <w:bookmarkStart w:id="172" w:name="_Toc259093671"/>
      <w:bookmarkStart w:id="173" w:name="_Toc487900351"/>
      <w:bookmarkStart w:id="174" w:name="_Toc27945"/>
      <w:bookmarkStart w:id="175" w:name="_Toc12412"/>
      <w:bookmarkStart w:id="176" w:name="_Toc279701242"/>
      <w:bookmarkStart w:id="177" w:name="_Toc4133"/>
      <w:bookmarkStart w:id="178" w:name="_Toc13673"/>
      <w:bookmarkStart w:id="179" w:name="_Toc2261"/>
      <w:r>
        <w:rPr>
          <w:rFonts w:hint="eastAsia" w:ascii="仿宋" w:hAnsi="仿宋" w:eastAsia="仿宋" w:cs="仿宋"/>
          <w:b/>
          <w:sz w:val="24"/>
          <w:highlight w:val="none"/>
        </w:rPr>
        <w:t>2.3 知识产权</w:t>
      </w:r>
      <w:bookmarkEnd w:id="170"/>
      <w:bookmarkEnd w:id="171"/>
      <w:bookmarkEnd w:id="172"/>
      <w:bookmarkEnd w:id="173"/>
      <w:bookmarkEnd w:id="174"/>
      <w:bookmarkEnd w:id="175"/>
      <w:bookmarkEnd w:id="176"/>
      <w:bookmarkEnd w:id="177"/>
      <w:bookmarkEnd w:id="178"/>
      <w:bookmarkEnd w:id="179"/>
    </w:p>
    <w:p>
      <w:pPr>
        <w:pStyle w:val="4"/>
        <w:numPr>
          <w:ilvl w:val="0"/>
          <w:numId w:val="0"/>
        </w:numPr>
        <w:spacing w:line="360" w:lineRule="auto"/>
        <w:ind w:leftChars="0"/>
        <w:jc w:val="both"/>
        <w:rPr>
          <w:rFonts w:hint="eastAsia" w:ascii="仿宋" w:hAnsi="仿宋" w:eastAsia="仿宋" w:cs="仿宋"/>
          <w:sz w:val="24"/>
          <w:highlight w:val="none"/>
        </w:rPr>
      </w:pPr>
      <w:bookmarkStart w:id="180" w:name="_Toc16504"/>
      <w:r>
        <w:rPr>
          <w:rFonts w:hint="eastAsia" w:ascii="仿宋" w:hAnsi="仿宋" w:eastAsia="仿宋" w:cs="仿宋"/>
          <w:sz w:val="24"/>
          <w:highlight w:val="none"/>
        </w:rPr>
        <w:t xml:space="preserve">2.3.1 </w:t>
      </w:r>
      <w:r>
        <w:rPr>
          <w:rFonts w:hint="eastAsia" w:ascii="仿宋" w:hAnsi="仿宋" w:eastAsia="仿宋" w:cs="仿宋"/>
          <w:b w:val="0"/>
          <w:kern w:val="2"/>
          <w:sz w:val="24"/>
          <w:highlight w:val="none"/>
          <w:lang w:val="en-US" w:eastAsia="zh-CN" w:bidi="ar-SA"/>
        </w:rPr>
        <w:t>乙方应保证其提供的服务不受任何第三方提出的侵犯其著作权、商标权、专利权等知识产权方面的起诉；如果任何第三方提出侵权指控，那么乙方须与该第三方交涉并承担由此发生的一切责任、费用和赔偿；</w:t>
      </w:r>
      <w:bookmarkEnd w:id="180"/>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spacing w:line="360" w:lineRule="auto"/>
        <w:ind w:firstLine="482" w:firstLineChars="200"/>
        <w:outlineLvl w:val="1"/>
        <w:rPr>
          <w:rFonts w:hint="eastAsia" w:ascii="仿宋" w:hAnsi="仿宋" w:eastAsia="仿宋" w:cs="仿宋"/>
          <w:b/>
          <w:sz w:val="24"/>
          <w:highlight w:val="none"/>
        </w:rPr>
      </w:pPr>
      <w:bookmarkStart w:id="181" w:name="_Toc20039"/>
      <w:r>
        <w:rPr>
          <w:rFonts w:hint="eastAsia" w:ascii="仿宋" w:hAnsi="仿宋" w:eastAsia="仿宋" w:cs="仿宋"/>
          <w:b/>
          <w:sz w:val="24"/>
          <w:highlight w:val="none"/>
        </w:rPr>
        <w:t>2.4 履约检查和问题反馈</w:t>
      </w:r>
      <w:bookmarkEnd w:id="181"/>
    </w:p>
    <w:p>
      <w:pPr>
        <w:spacing w:line="360" w:lineRule="auto"/>
        <w:ind w:firstLine="480" w:firstLineChars="200"/>
        <w:rPr>
          <w:rFonts w:hint="eastAsia" w:ascii="仿宋" w:hAnsi="仿宋" w:eastAsia="仿宋" w:cs="仿宋"/>
          <w:sz w:val="24"/>
          <w:highlight w:val="none"/>
        </w:rPr>
      </w:pPr>
      <w:bookmarkStart w:id="182" w:name="_Ref467379657"/>
      <w:r>
        <w:rPr>
          <w:rFonts w:hint="eastAsia" w:ascii="仿宋" w:hAnsi="仿宋" w:eastAsia="仿宋" w:cs="仿宋"/>
          <w:sz w:val="24"/>
          <w:highlight w:val="none"/>
        </w:rPr>
        <w:t>2.4.1</w:t>
      </w:r>
      <w:bookmarkEnd w:id="182"/>
      <w:bookmarkStart w:id="183" w:name="_Toc186431854"/>
      <w:bookmarkStart w:id="184" w:name="_Toc279701247"/>
      <w:bookmarkStart w:id="185" w:name="_Toc487900357"/>
      <w:bookmarkStart w:id="186" w:name="_Ref467379793"/>
      <w:bookmarkStart w:id="187" w:name="_Toc259093676"/>
      <w:bookmarkStart w:id="188" w:name="_Ref467379807"/>
      <w:r>
        <w:rPr>
          <w:rFonts w:hint="eastAsia" w:ascii="仿宋" w:hAnsi="仿宋" w:eastAsia="仿宋" w:cs="仿宋"/>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合同履行期间，甲方有权将履行过程中出现的问题反馈给乙方，双方当事人应以书面形式约定需要完善和改进的内容</w:t>
      </w:r>
      <w:bookmarkEnd w:id="183"/>
      <w:bookmarkStart w:id="189" w:name="_Toc186431855"/>
      <w:r>
        <w:rPr>
          <w:rFonts w:hint="eastAsia" w:ascii="仿宋" w:hAnsi="仿宋" w:eastAsia="仿宋" w:cs="仿宋"/>
          <w:sz w:val="24"/>
          <w:highlight w:val="none"/>
        </w:rPr>
        <w:t>。</w:t>
      </w:r>
    </w:p>
    <w:bookmarkEnd w:id="189"/>
    <w:p>
      <w:pPr>
        <w:spacing w:line="360" w:lineRule="auto"/>
        <w:ind w:firstLine="482" w:firstLineChars="200"/>
        <w:outlineLvl w:val="1"/>
        <w:rPr>
          <w:rFonts w:hint="eastAsia" w:ascii="仿宋" w:hAnsi="仿宋" w:eastAsia="仿宋" w:cs="仿宋"/>
          <w:b/>
          <w:sz w:val="24"/>
          <w:highlight w:val="none"/>
        </w:rPr>
      </w:pPr>
      <w:bookmarkStart w:id="190" w:name="_Toc31233"/>
      <w:bookmarkStart w:id="191" w:name="_Toc15447"/>
      <w:bookmarkStart w:id="192" w:name="_Toc18835"/>
      <w:bookmarkStart w:id="193" w:name="_Toc26555"/>
      <w:bookmarkStart w:id="194" w:name="_Toc22011"/>
      <w:bookmarkStart w:id="195" w:name="_Toc10913"/>
      <w:r>
        <w:rPr>
          <w:rFonts w:hint="eastAsia" w:ascii="仿宋" w:hAnsi="仿宋" w:eastAsia="仿宋" w:cs="仿宋"/>
          <w:b/>
          <w:sz w:val="24"/>
          <w:highlight w:val="none"/>
        </w:rPr>
        <w:t>2.5 结算方式和付款条件</w:t>
      </w:r>
      <w:bookmarkEnd w:id="184"/>
      <w:bookmarkEnd w:id="185"/>
      <w:bookmarkEnd w:id="186"/>
      <w:bookmarkEnd w:id="187"/>
      <w:bookmarkEnd w:id="188"/>
      <w:bookmarkEnd w:id="190"/>
      <w:bookmarkEnd w:id="191"/>
      <w:bookmarkEnd w:id="192"/>
      <w:bookmarkEnd w:id="193"/>
      <w:bookmarkEnd w:id="194"/>
      <w:bookmarkEnd w:id="195"/>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spacing w:line="360" w:lineRule="auto"/>
        <w:ind w:firstLine="482" w:firstLineChars="200"/>
        <w:outlineLvl w:val="1"/>
        <w:rPr>
          <w:rFonts w:hint="eastAsia" w:ascii="仿宋" w:hAnsi="仿宋" w:eastAsia="仿宋" w:cs="仿宋"/>
          <w:b/>
          <w:sz w:val="24"/>
          <w:highlight w:val="none"/>
        </w:rPr>
      </w:pPr>
      <w:bookmarkStart w:id="196" w:name="_Ref467379852"/>
      <w:bookmarkStart w:id="197" w:name="_Toc259093677"/>
      <w:bookmarkStart w:id="198" w:name="_Toc487900358"/>
      <w:bookmarkStart w:id="199" w:name="_Ref467379863"/>
      <w:bookmarkStart w:id="200" w:name="_Ref467379923"/>
      <w:bookmarkStart w:id="201" w:name="_Toc279701248"/>
      <w:bookmarkStart w:id="202" w:name="_Toc13467"/>
      <w:bookmarkStart w:id="203" w:name="_Toc32322"/>
      <w:bookmarkStart w:id="204" w:name="_Toc18990"/>
      <w:bookmarkStart w:id="205" w:name="_Toc13154"/>
      <w:bookmarkStart w:id="206" w:name="_Toc30507"/>
      <w:bookmarkStart w:id="207" w:name="_Toc16163"/>
      <w:bookmarkStart w:id="208" w:name="_Toc22639"/>
      <w:r>
        <w:rPr>
          <w:rFonts w:hint="eastAsia" w:ascii="仿宋" w:hAnsi="仿宋" w:eastAsia="仿宋" w:cs="仿宋"/>
          <w:b/>
          <w:sz w:val="24"/>
          <w:highlight w:val="none"/>
        </w:rPr>
        <w:t>2.6 技术资料</w:t>
      </w:r>
      <w:bookmarkEnd w:id="196"/>
      <w:bookmarkEnd w:id="197"/>
      <w:bookmarkEnd w:id="198"/>
      <w:bookmarkEnd w:id="199"/>
      <w:bookmarkEnd w:id="200"/>
      <w:bookmarkEnd w:id="201"/>
      <w:r>
        <w:rPr>
          <w:rFonts w:hint="eastAsia" w:ascii="仿宋" w:hAnsi="仿宋" w:eastAsia="仿宋" w:cs="仿宋"/>
          <w:b/>
          <w:sz w:val="24"/>
          <w:highlight w:val="none"/>
        </w:rPr>
        <w:t>和保密义务</w:t>
      </w:r>
      <w:bookmarkEnd w:id="202"/>
      <w:bookmarkEnd w:id="203"/>
      <w:bookmarkEnd w:id="204"/>
      <w:bookmarkEnd w:id="205"/>
      <w:bookmarkEnd w:id="206"/>
      <w:bookmarkEnd w:id="207"/>
      <w:bookmarkEnd w:id="208"/>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1"/>
        <w:rPr>
          <w:rFonts w:hint="eastAsia" w:ascii="仿宋" w:hAnsi="仿宋" w:eastAsia="仿宋" w:cs="仿宋"/>
          <w:b/>
          <w:sz w:val="24"/>
          <w:highlight w:val="none"/>
        </w:rPr>
      </w:pPr>
      <w:bookmarkStart w:id="209" w:name="_Toc19069"/>
      <w:bookmarkStart w:id="210" w:name="_Toc7423"/>
      <w:bookmarkStart w:id="211" w:name="_Toc18918"/>
      <w:bookmarkStart w:id="212" w:name="_Toc487900362"/>
      <w:bookmarkStart w:id="213" w:name="_Toc279701252"/>
      <w:bookmarkStart w:id="214" w:name="_Toc259093681"/>
      <w:r>
        <w:rPr>
          <w:rFonts w:hint="eastAsia" w:ascii="仿宋" w:hAnsi="仿宋" w:eastAsia="仿宋" w:cs="仿宋"/>
          <w:b/>
          <w:sz w:val="24"/>
          <w:highlight w:val="none"/>
        </w:rPr>
        <w:t>2.7 质量保证</w:t>
      </w:r>
      <w:bookmarkEnd w:id="209"/>
      <w:bookmarkEnd w:id="210"/>
      <w:bookmarkEnd w:id="211"/>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pPr>
        <w:spacing w:line="360" w:lineRule="auto"/>
        <w:ind w:firstLine="482" w:firstLineChars="200"/>
        <w:outlineLvl w:val="1"/>
        <w:rPr>
          <w:rFonts w:hint="eastAsia" w:ascii="仿宋" w:hAnsi="仿宋" w:eastAsia="仿宋" w:cs="仿宋"/>
          <w:b/>
          <w:sz w:val="24"/>
          <w:highlight w:val="none"/>
        </w:rPr>
      </w:pPr>
      <w:bookmarkStart w:id="215" w:name="_Toc3546"/>
      <w:bookmarkStart w:id="216" w:name="_Toc22267"/>
      <w:bookmarkStart w:id="217" w:name="_Toc31371"/>
      <w:r>
        <w:rPr>
          <w:rFonts w:hint="eastAsia" w:ascii="仿宋" w:hAnsi="仿宋" w:eastAsia="仿宋" w:cs="仿宋"/>
          <w:b/>
          <w:sz w:val="24"/>
          <w:highlight w:val="none"/>
        </w:rPr>
        <w:t>2.8 延迟</w:t>
      </w:r>
      <w:bookmarkEnd w:id="212"/>
      <w:bookmarkEnd w:id="213"/>
      <w:bookmarkEnd w:id="214"/>
      <w:r>
        <w:rPr>
          <w:rFonts w:hint="eastAsia" w:ascii="仿宋" w:hAnsi="仿宋" w:eastAsia="仿宋" w:cs="仿宋"/>
          <w:b/>
          <w:sz w:val="24"/>
          <w:highlight w:val="none"/>
        </w:rPr>
        <w:t>履行</w:t>
      </w:r>
      <w:bookmarkEnd w:id="215"/>
      <w:bookmarkEnd w:id="216"/>
      <w:bookmarkEnd w:id="217"/>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82" w:firstLineChars="200"/>
        <w:outlineLvl w:val="1"/>
        <w:rPr>
          <w:rFonts w:hint="eastAsia" w:ascii="仿宋" w:hAnsi="仿宋" w:eastAsia="仿宋" w:cs="仿宋"/>
          <w:b/>
          <w:sz w:val="24"/>
          <w:highlight w:val="none"/>
        </w:rPr>
      </w:pPr>
      <w:bookmarkStart w:id="218" w:name="_Toc10611"/>
      <w:bookmarkStart w:id="219" w:name="_Toc2500"/>
      <w:bookmarkStart w:id="220" w:name="_Toc14444"/>
      <w:r>
        <w:rPr>
          <w:rFonts w:hint="eastAsia" w:ascii="仿宋" w:hAnsi="仿宋" w:eastAsia="仿宋" w:cs="仿宋"/>
          <w:b/>
          <w:sz w:val="24"/>
          <w:highlight w:val="none"/>
        </w:rPr>
        <w:t>2.9 合同变更</w:t>
      </w:r>
      <w:bookmarkEnd w:id="218"/>
      <w:bookmarkEnd w:id="219"/>
      <w:bookmarkEnd w:id="220"/>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2.9.1 双方当事人协商一致，可以签订书面补充合同的形式变更合同，但不得违背</w:t>
      </w:r>
      <w:r>
        <w:rPr>
          <w:rFonts w:hint="eastAsia" w:ascii="仿宋" w:hAnsi="仿宋" w:eastAsia="仿宋" w:cs="仿宋"/>
          <w:sz w:val="24"/>
          <w:highlight w:val="none"/>
          <w:lang w:eastAsia="zh-CN"/>
        </w:rPr>
        <w:t>招标文件</w:t>
      </w:r>
      <w:r>
        <w:rPr>
          <w:rFonts w:hint="eastAsia" w:ascii="仿宋" w:hAnsi="仿宋" w:eastAsia="仿宋" w:cs="仿宋"/>
          <w:sz w:val="24"/>
          <w:highlight w:val="none"/>
        </w:rPr>
        <w:t>确定的事项，且如果系追加与合同标的相同的服务的，那么所有补充合同的采购金额不得超过原合同价的10%；</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2.9.2 合同继续履行将损害国家利益和社会公共利益的，双方当事人应当以书面形式变更合同。有过错的一方应当承担赔偿责任，双方当事人都有过错的，各自承担相应的责任。</w:t>
      </w:r>
      <w:bookmarkStart w:id="221" w:name="_Toc487900369"/>
      <w:bookmarkStart w:id="222" w:name="_Toc259093688"/>
      <w:bookmarkStart w:id="223" w:name="_Toc279701259"/>
    </w:p>
    <w:p>
      <w:pPr>
        <w:spacing w:line="360" w:lineRule="auto"/>
        <w:ind w:firstLine="482" w:firstLineChars="200"/>
        <w:outlineLvl w:val="1"/>
        <w:rPr>
          <w:rFonts w:hint="eastAsia" w:ascii="仿宋" w:hAnsi="仿宋" w:eastAsia="仿宋" w:cs="仿宋"/>
          <w:b/>
          <w:sz w:val="24"/>
          <w:highlight w:val="none"/>
        </w:rPr>
      </w:pPr>
      <w:bookmarkStart w:id="224" w:name="_Toc42"/>
      <w:bookmarkStart w:id="225" w:name="_Toc21830"/>
      <w:bookmarkStart w:id="226" w:name="_Toc26689"/>
      <w:bookmarkStart w:id="227" w:name="_Toc10663"/>
      <w:bookmarkStart w:id="228" w:name="_Toc18821"/>
      <w:bookmarkStart w:id="229" w:name="_Toc23368"/>
      <w:bookmarkStart w:id="230" w:name="_Toc12940"/>
      <w:r>
        <w:rPr>
          <w:rFonts w:hint="eastAsia" w:ascii="仿宋" w:hAnsi="仿宋" w:eastAsia="仿宋" w:cs="仿宋"/>
          <w:b/>
          <w:sz w:val="24"/>
          <w:highlight w:val="none"/>
        </w:rPr>
        <w:t>2.10 合同转让</w:t>
      </w:r>
      <w:bookmarkEnd w:id="221"/>
      <w:bookmarkEnd w:id="222"/>
      <w:bookmarkEnd w:id="223"/>
      <w:r>
        <w:rPr>
          <w:rFonts w:hint="eastAsia" w:ascii="仿宋" w:hAnsi="仿宋" w:eastAsia="仿宋" w:cs="仿宋"/>
          <w:b/>
          <w:sz w:val="24"/>
          <w:highlight w:val="none"/>
        </w:rPr>
        <w:t>和分包</w:t>
      </w:r>
      <w:bookmarkEnd w:id="224"/>
      <w:bookmarkEnd w:id="225"/>
      <w:bookmarkEnd w:id="226"/>
      <w:bookmarkEnd w:id="227"/>
      <w:bookmarkEnd w:id="228"/>
      <w:bookmarkEnd w:id="229"/>
      <w:bookmarkEnd w:id="230"/>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2" w:firstLineChars="200"/>
        <w:outlineLvl w:val="1"/>
        <w:rPr>
          <w:rFonts w:hint="eastAsia" w:ascii="仿宋" w:hAnsi="仿宋" w:eastAsia="仿宋" w:cs="仿宋"/>
          <w:b/>
          <w:sz w:val="24"/>
          <w:highlight w:val="none"/>
        </w:rPr>
      </w:pPr>
      <w:bookmarkStart w:id="231" w:name="_Toc32494"/>
      <w:bookmarkStart w:id="232" w:name="_Toc25571"/>
      <w:bookmarkStart w:id="233" w:name="_Toc26633"/>
      <w:bookmarkStart w:id="234" w:name="_Toc14371"/>
      <w:bookmarkStart w:id="235" w:name="_Toc21236"/>
      <w:bookmarkStart w:id="236" w:name="_Toc4720"/>
      <w:bookmarkStart w:id="237" w:name="_Toc32596"/>
      <w:r>
        <w:rPr>
          <w:rFonts w:hint="eastAsia" w:ascii="仿宋" w:hAnsi="仿宋" w:eastAsia="仿宋" w:cs="仿宋"/>
          <w:b/>
          <w:sz w:val="24"/>
          <w:highlight w:val="none"/>
        </w:rPr>
        <w:t>2.11 不可抗力</w:t>
      </w:r>
      <w:bookmarkEnd w:id="231"/>
      <w:bookmarkEnd w:id="232"/>
      <w:bookmarkEnd w:id="233"/>
      <w:bookmarkEnd w:id="234"/>
      <w:bookmarkEnd w:id="235"/>
      <w:bookmarkEnd w:id="236"/>
      <w:bookmarkEnd w:id="237"/>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2.11.4受不可抗力影响的一方在不可抗力发生后，应在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pPr>
        <w:spacing w:line="360" w:lineRule="auto"/>
        <w:ind w:firstLine="482" w:firstLineChars="200"/>
        <w:outlineLvl w:val="1"/>
        <w:rPr>
          <w:rFonts w:hint="eastAsia" w:ascii="仿宋" w:hAnsi="仿宋" w:eastAsia="仿宋" w:cs="仿宋"/>
          <w:b/>
          <w:sz w:val="24"/>
          <w:highlight w:val="none"/>
        </w:rPr>
      </w:pPr>
      <w:bookmarkStart w:id="238" w:name="_Toc25783"/>
      <w:bookmarkStart w:id="239" w:name="_Toc279701255"/>
      <w:bookmarkStart w:id="240" w:name="_Toc23854"/>
      <w:bookmarkStart w:id="241" w:name="_Toc24465"/>
      <w:bookmarkStart w:id="242" w:name="_Toc259093684"/>
      <w:bookmarkStart w:id="243" w:name="_Toc3638"/>
      <w:bookmarkStart w:id="244" w:name="_Toc29440"/>
      <w:bookmarkStart w:id="245" w:name="_Toc487900365"/>
      <w:bookmarkStart w:id="246" w:name="_Toc14115"/>
      <w:bookmarkStart w:id="247" w:name="_Toc9270"/>
      <w:r>
        <w:rPr>
          <w:rFonts w:hint="eastAsia" w:ascii="仿宋" w:hAnsi="仿宋" w:eastAsia="仿宋" w:cs="仿宋"/>
          <w:b/>
          <w:sz w:val="24"/>
          <w:highlight w:val="none"/>
        </w:rPr>
        <w:t>2.12 税费</w:t>
      </w:r>
      <w:bookmarkEnd w:id="238"/>
      <w:bookmarkEnd w:id="239"/>
      <w:bookmarkEnd w:id="240"/>
      <w:bookmarkEnd w:id="241"/>
      <w:bookmarkEnd w:id="242"/>
      <w:bookmarkEnd w:id="243"/>
      <w:bookmarkEnd w:id="244"/>
      <w:bookmarkEnd w:id="245"/>
      <w:bookmarkEnd w:id="246"/>
      <w:bookmarkEnd w:id="247"/>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pPr>
        <w:spacing w:line="360" w:lineRule="auto"/>
        <w:ind w:firstLine="482" w:firstLineChars="200"/>
        <w:outlineLvl w:val="1"/>
        <w:rPr>
          <w:rFonts w:hint="eastAsia" w:ascii="仿宋" w:hAnsi="仿宋" w:eastAsia="仿宋" w:cs="仿宋"/>
          <w:b/>
          <w:sz w:val="24"/>
          <w:highlight w:val="none"/>
        </w:rPr>
      </w:pPr>
      <w:bookmarkStart w:id="248" w:name="_Toc7315"/>
      <w:bookmarkStart w:id="249" w:name="_Toc30105"/>
      <w:bookmarkStart w:id="250" w:name="_Toc26883"/>
      <w:bookmarkStart w:id="251" w:name="_Toc23174"/>
      <w:bookmarkStart w:id="252" w:name="_Toc14814"/>
      <w:bookmarkStart w:id="253" w:name="_Toc25525"/>
      <w:bookmarkStart w:id="254" w:name="_Toc279701258"/>
      <w:bookmarkStart w:id="255" w:name="_Toc487900368"/>
      <w:bookmarkStart w:id="256" w:name="_Toc259093687"/>
      <w:bookmarkStart w:id="257" w:name="_Toc7633"/>
      <w:r>
        <w:rPr>
          <w:rFonts w:hint="eastAsia" w:ascii="仿宋" w:hAnsi="仿宋" w:eastAsia="仿宋" w:cs="仿宋"/>
          <w:b/>
          <w:sz w:val="24"/>
          <w:highlight w:val="none"/>
        </w:rPr>
        <w:t>2.13 乙方破产</w:t>
      </w:r>
      <w:bookmarkEnd w:id="248"/>
      <w:bookmarkEnd w:id="249"/>
      <w:bookmarkEnd w:id="250"/>
      <w:bookmarkEnd w:id="251"/>
      <w:bookmarkEnd w:id="252"/>
      <w:bookmarkEnd w:id="253"/>
      <w:bookmarkEnd w:id="254"/>
      <w:bookmarkEnd w:id="255"/>
      <w:bookmarkEnd w:id="256"/>
      <w:bookmarkEnd w:id="257"/>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1"/>
        <w:rPr>
          <w:rFonts w:hint="eastAsia" w:ascii="仿宋" w:hAnsi="仿宋" w:eastAsia="仿宋" w:cs="仿宋"/>
          <w:b/>
          <w:sz w:val="24"/>
          <w:highlight w:val="none"/>
        </w:rPr>
      </w:pPr>
      <w:bookmarkStart w:id="258" w:name="_Toc23323"/>
      <w:bookmarkStart w:id="259" w:name="_Toc2016"/>
      <w:bookmarkStart w:id="260" w:name="_Toc5863"/>
      <w:bookmarkStart w:id="261" w:name="_Toc1123"/>
      <w:bookmarkStart w:id="262" w:name="_Toc6761"/>
      <w:r>
        <w:rPr>
          <w:rFonts w:hint="eastAsia" w:ascii="仿宋" w:hAnsi="仿宋" w:eastAsia="仿宋" w:cs="仿宋"/>
          <w:b/>
          <w:sz w:val="24"/>
          <w:highlight w:val="none"/>
        </w:rPr>
        <w:t>2.14 合同中止、终止</w:t>
      </w:r>
      <w:bookmarkEnd w:id="258"/>
      <w:bookmarkEnd w:id="259"/>
      <w:bookmarkEnd w:id="260"/>
      <w:bookmarkEnd w:id="261"/>
      <w:bookmarkEnd w:id="262"/>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outlineLvl w:val="1"/>
        <w:rPr>
          <w:rFonts w:hint="eastAsia" w:ascii="仿宋" w:hAnsi="仿宋" w:eastAsia="仿宋" w:cs="仿宋"/>
          <w:b/>
          <w:sz w:val="24"/>
          <w:highlight w:val="none"/>
        </w:rPr>
      </w:pPr>
      <w:bookmarkStart w:id="263" w:name="_Toc14525"/>
      <w:bookmarkStart w:id="264" w:name="_Toc17363"/>
      <w:bookmarkStart w:id="265" w:name="_Toc1969"/>
      <w:bookmarkStart w:id="266" w:name="_Toc27417"/>
      <w:bookmarkStart w:id="267" w:name="_Toc16859"/>
      <w:r>
        <w:rPr>
          <w:rFonts w:hint="eastAsia" w:ascii="仿宋" w:hAnsi="仿宋" w:eastAsia="仿宋" w:cs="仿宋"/>
          <w:b/>
          <w:sz w:val="24"/>
          <w:highlight w:val="none"/>
        </w:rPr>
        <w:t>2.15 检验和验收</w:t>
      </w:r>
      <w:bookmarkEnd w:id="263"/>
      <w:bookmarkEnd w:id="264"/>
      <w:bookmarkEnd w:id="265"/>
      <w:bookmarkEnd w:id="266"/>
      <w:bookmarkEnd w:id="267"/>
    </w:p>
    <w:p>
      <w:pPr>
        <w:tabs>
          <w:tab w:val="left" w:pos="360"/>
          <w:tab w:val="left" w:pos="540"/>
          <w:tab w:val="left" w:pos="108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2.15.1 乙方按照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的约定，定期提交服务报告，甲方按照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的约定进行定期验收；</w:t>
      </w:r>
    </w:p>
    <w:p>
      <w:pPr>
        <w:tabs>
          <w:tab w:val="left" w:pos="360"/>
          <w:tab w:val="left" w:pos="540"/>
          <w:tab w:val="left" w:pos="108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p>
      <w:pPr>
        <w:spacing w:line="360" w:lineRule="auto"/>
        <w:ind w:firstLine="482" w:firstLineChars="200"/>
        <w:outlineLvl w:val="1"/>
        <w:rPr>
          <w:rFonts w:hint="eastAsia" w:ascii="仿宋" w:hAnsi="仿宋" w:eastAsia="仿宋" w:cs="仿宋"/>
          <w:b/>
          <w:sz w:val="24"/>
          <w:highlight w:val="none"/>
        </w:rPr>
      </w:pPr>
      <w:bookmarkStart w:id="268" w:name="_Toc487900371"/>
      <w:bookmarkStart w:id="269" w:name="_Toc259093690"/>
      <w:bookmarkStart w:id="270" w:name="_Toc279701261"/>
      <w:bookmarkStart w:id="271" w:name="_Toc2308"/>
      <w:bookmarkStart w:id="272" w:name="_Toc25198"/>
      <w:bookmarkStart w:id="273" w:name="_Toc9808"/>
      <w:bookmarkStart w:id="274" w:name="_Toc31892"/>
      <w:bookmarkStart w:id="275" w:name="_Toc27628"/>
      <w:bookmarkStart w:id="276" w:name="_Toc12666"/>
      <w:bookmarkStart w:id="277" w:name="_Toc10121"/>
      <w:r>
        <w:rPr>
          <w:rFonts w:hint="eastAsia" w:ascii="仿宋" w:hAnsi="仿宋" w:eastAsia="仿宋" w:cs="仿宋"/>
          <w:b/>
          <w:sz w:val="24"/>
          <w:highlight w:val="none"/>
        </w:rPr>
        <w:t>2.16 通知</w:t>
      </w:r>
      <w:bookmarkEnd w:id="268"/>
      <w:bookmarkEnd w:id="269"/>
      <w:bookmarkEnd w:id="270"/>
      <w:r>
        <w:rPr>
          <w:rFonts w:hint="eastAsia" w:ascii="仿宋" w:hAnsi="仿宋" w:eastAsia="仿宋" w:cs="仿宋"/>
          <w:b/>
          <w:sz w:val="24"/>
          <w:highlight w:val="none"/>
        </w:rPr>
        <w:t>和送达</w:t>
      </w:r>
      <w:bookmarkEnd w:id="271"/>
      <w:bookmarkEnd w:id="272"/>
      <w:bookmarkEnd w:id="273"/>
      <w:bookmarkEnd w:id="274"/>
      <w:bookmarkEnd w:id="275"/>
      <w:bookmarkEnd w:id="276"/>
      <w:bookmarkEnd w:id="277"/>
    </w:p>
    <w:p>
      <w:pPr>
        <w:spacing w:line="360" w:lineRule="auto"/>
        <w:ind w:firstLine="480" w:firstLineChars="200"/>
        <w:rPr>
          <w:rFonts w:hint="eastAsia" w:ascii="仿宋" w:hAnsi="仿宋" w:eastAsia="仿宋" w:cs="仿宋"/>
          <w:sz w:val="24"/>
          <w:highlight w:val="none"/>
        </w:rPr>
      </w:pPr>
      <w:bookmarkStart w:id="278" w:name="_Toc29220"/>
      <w:bookmarkStart w:id="279" w:name="_Toc7073"/>
      <w:bookmarkStart w:id="280" w:name="_Toc279701262"/>
      <w:bookmarkStart w:id="281" w:name="_Toc259093691"/>
      <w:bookmarkStart w:id="282" w:name="_Toc487900372"/>
      <w:r>
        <w:rPr>
          <w:rFonts w:hint="eastAsia" w:ascii="仿宋" w:hAnsi="仿宋" w:eastAsia="仿宋" w:cs="仿宋"/>
          <w:sz w:val="24"/>
          <w:highlight w:val="none"/>
        </w:rPr>
        <w:t>2.16.1 任何一方因履行合同而以合同第一部分尾部所列明的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发出的所有通知、文件、材料，均视为已向对方当事人送达；任何一方变更上述送达方式或者地址的，应于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个工作日内书面通知对方当事人，在对方当事人收到有关变更通知之前，变更前的约定送达方式或者地址仍视为有效。</w:t>
      </w:r>
      <w:bookmarkEnd w:id="278"/>
      <w:bookmarkEnd w:id="279"/>
    </w:p>
    <w:p>
      <w:pPr>
        <w:spacing w:line="360" w:lineRule="auto"/>
        <w:ind w:firstLine="480" w:firstLineChars="200"/>
        <w:rPr>
          <w:rFonts w:hint="eastAsia" w:ascii="仿宋" w:hAnsi="仿宋" w:eastAsia="仿宋" w:cs="仿宋"/>
          <w:sz w:val="24"/>
          <w:highlight w:val="none"/>
        </w:rPr>
      </w:pPr>
      <w:bookmarkStart w:id="283" w:name="_Toc18401"/>
      <w:bookmarkStart w:id="284" w:name="_Toc27674"/>
      <w:r>
        <w:rPr>
          <w:rFonts w:hint="eastAsia" w:ascii="仿宋" w:hAnsi="仿宋" w:eastAsia="仿宋" w:cs="仿宋"/>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3"/>
      <w:bookmarkEnd w:id="284"/>
    </w:p>
    <w:bookmarkEnd w:id="280"/>
    <w:bookmarkEnd w:id="281"/>
    <w:bookmarkEnd w:id="282"/>
    <w:p>
      <w:pPr>
        <w:spacing w:line="360" w:lineRule="auto"/>
        <w:ind w:firstLine="482" w:firstLineChars="200"/>
        <w:outlineLvl w:val="1"/>
        <w:rPr>
          <w:rFonts w:hint="eastAsia" w:ascii="仿宋" w:hAnsi="仿宋" w:eastAsia="仿宋" w:cs="仿宋"/>
          <w:b/>
          <w:sz w:val="24"/>
          <w:highlight w:val="none"/>
        </w:rPr>
      </w:pPr>
      <w:bookmarkStart w:id="285" w:name="_Toc279701263"/>
      <w:bookmarkStart w:id="286" w:name="_Toc259093692"/>
      <w:bookmarkStart w:id="287" w:name="_Toc20808"/>
      <w:bookmarkStart w:id="288" w:name="_Toc25832"/>
      <w:bookmarkStart w:id="289" w:name="_Toc27644"/>
      <w:bookmarkStart w:id="290" w:name="_Toc28906"/>
      <w:bookmarkStart w:id="291" w:name="_Toc12254"/>
      <w:bookmarkStart w:id="292" w:name="_Toc5063"/>
      <w:bookmarkStart w:id="293" w:name="_Toc487900373"/>
      <w:bookmarkStart w:id="294" w:name="_Toc1887"/>
      <w:r>
        <w:rPr>
          <w:rFonts w:hint="eastAsia" w:ascii="仿宋" w:hAnsi="仿宋" w:eastAsia="仿宋" w:cs="仿宋"/>
          <w:b/>
          <w:sz w:val="24"/>
          <w:highlight w:val="none"/>
        </w:rPr>
        <w:t>2.17 合同使用的文字和适用的法律</w:t>
      </w:r>
      <w:bookmarkEnd w:id="285"/>
      <w:bookmarkEnd w:id="286"/>
      <w:bookmarkEnd w:id="287"/>
      <w:bookmarkEnd w:id="288"/>
      <w:bookmarkEnd w:id="289"/>
      <w:bookmarkEnd w:id="290"/>
      <w:bookmarkEnd w:id="291"/>
      <w:bookmarkEnd w:id="292"/>
      <w:bookmarkEnd w:id="293"/>
      <w:bookmarkEnd w:id="294"/>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.17.1 合同使用汉语书就、变更和解释；</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 合同适用中华人民共和国法律。</w:t>
      </w:r>
    </w:p>
    <w:p>
      <w:pPr>
        <w:spacing w:line="360" w:lineRule="auto"/>
        <w:ind w:firstLine="482" w:firstLineChars="200"/>
        <w:outlineLvl w:val="1"/>
        <w:rPr>
          <w:rFonts w:hint="eastAsia" w:ascii="仿宋" w:hAnsi="仿宋" w:eastAsia="仿宋" w:cs="仿宋"/>
          <w:b/>
          <w:sz w:val="24"/>
          <w:highlight w:val="none"/>
        </w:rPr>
      </w:pPr>
      <w:bookmarkStart w:id="295" w:name="_Toc259093693"/>
      <w:bookmarkStart w:id="296" w:name="_Toc27784"/>
      <w:bookmarkStart w:id="297" w:name="_Toc27403"/>
      <w:bookmarkStart w:id="298" w:name="_Toc22266"/>
      <w:bookmarkStart w:id="299" w:name="_Toc279701264"/>
      <w:bookmarkStart w:id="300" w:name="_Toc30096"/>
      <w:bookmarkStart w:id="301" w:name="_Toc27127"/>
      <w:bookmarkStart w:id="302" w:name="_Toc1492"/>
      <w:bookmarkStart w:id="303" w:name="_Toc1638"/>
      <w:bookmarkStart w:id="304" w:name="_Toc487900374"/>
      <w:r>
        <w:rPr>
          <w:rFonts w:hint="eastAsia" w:ascii="仿宋" w:hAnsi="仿宋" w:eastAsia="仿宋" w:cs="仿宋"/>
          <w:b/>
          <w:sz w:val="24"/>
          <w:highlight w:val="none"/>
        </w:rPr>
        <w:t>2.18 履约保证金</w:t>
      </w:r>
      <w:bookmarkEnd w:id="295"/>
      <w:bookmarkEnd w:id="296"/>
      <w:bookmarkEnd w:id="297"/>
      <w:bookmarkEnd w:id="298"/>
      <w:bookmarkEnd w:id="299"/>
      <w:bookmarkEnd w:id="300"/>
      <w:bookmarkEnd w:id="301"/>
      <w:bookmarkEnd w:id="302"/>
      <w:bookmarkEnd w:id="303"/>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2.18.1 </w:t>
      </w:r>
      <w:r>
        <w:rPr>
          <w:rFonts w:hint="eastAsia" w:ascii="仿宋" w:hAnsi="仿宋" w:eastAsia="仿宋" w:cs="仿宋"/>
          <w:sz w:val="24"/>
          <w:highlight w:val="none"/>
          <w:lang w:eastAsia="zh-CN"/>
        </w:rPr>
        <w:t>招标文件</w:t>
      </w:r>
      <w:r>
        <w:rPr>
          <w:rFonts w:hint="eastAsia" w:ascii="仿宋" w:hAnsi="仿宋" w:eastAsia="仿宋" w:cs="仿宋"/>
          <w:sz w:val="24"/>
          <w:highlight w:val="none"/>
        </w:rPr>
        <w:t>要求乙方提交履约保证金的，乙方应按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约定的方式，以支票、汇票、本票或者金融机构、担保机构出具的保函等非现金形式，提交不超过合同价10%的履约保证金；</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2.18.2 履约保证金在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约定期间内不予退还或者应完全有效，前述约定期间届满之日起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个工作日内，甲方应将履约保证金退还乙方；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04"/>
    <w:p>
      <w:pPr>
        <w:spacing w:line="360" w:lineRule="auto"/>
        <w:ind w:firstLine="482" w:firstLineChars="200"/>
        <w:outlineLvl w:val="1"/>
        <w:rPr>
          <w:rFonts w:hint="eastAsia" w:ascii="仿宋" w:hAnsi="仿宋" w:eastAsia="仿宋" w:cs="仿宋"/>
          <w:b/>
          <w:sz w:val="24"/>
          <w:highlight w:val="none"/>
        </w:rPr>
      </w:pPr>
      <w:bookmarkStart w:id="305" w:name="_Toc31273"/>
      <w:r>
        <w:rPr>
          <w:rFonts w:hint="eastAsia" w:ascii="仿宋" w:hAnsi="仿宋" w:eastAsia="仿宋" w:cs="仿宋"/>
          <w:b/>
          <w:sz w:val="24"/>
          <w:highlight w:val="none"/>
        </w:rPr>
        <w:t>2.19 合同份数</w:t>
      </w:r>
      <w:bookmarkEnd w:id="305"/>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合同份数按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规定，每份均具有同等法律效力。</w:t>
      </w:r>
    </w:p>
    <w:p>
      <w:pPr>
        <w:pStyle w:val="67"/>
        <w:spacing w:line="360" w:lineRule="auto"/>
        <w:ind w:firstLine="0"/>
        <w:jc w:val="both"/>
        <w:outlineLvl w:val="0"/>
        <w:rPr>
          <w:rFonts w:hint="eastAsia" w:ascii="仿宋" w:hAnsi="仿宋" w:eastAsia="仿宋" w:cs="仿宋"/>
          <w:b/>
          <w:szCs w:val="24"/>
          <w:highlight w:val="none"/>
        </w:rPr>
      </w:pPr>
      <w:bookmarkStart w:id="306" w:name="_Toc331685784"/>
      <w:bookmarkStart w:id="307" w:name="_Toc9995"/>
      <w:r>
        <w:rPr>
          <w:rFonts w:hint="eastAsia" w:ascii="仿宋" w:hAnsi="仿宋" w:eastAsia="仿宋" w:cs="仿宋"/>
          <w:b/>
          <w:szCs w:val="24"/>
          <w:highlight w:val="none"/>
        </w:rPr>
        <w:t>第三部分  合同专用条款</w:t>
      </w:r>
      <w:bookmarkEnd w:id="306"/>
      <w:bookmarkEnd w:id="307"/>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条款号</w:t>
            </w:r>
          </w:p>
        </w:tc>
        <w:tc>
          <w:tcPr>
            <w:tcW w:w="7633" w:type="dxa"/>
            <w:noWrap w:val="0"/>
            <w:vAlign w:val="center"/>
          </w:tcPr>
          <w:p>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sz w:val="24"/>
                <w:highlight w:val="none"/>
              </w:rPr>
            </w:pPr>
          </w:p>
        </w:tc>
        <w:tc>
          <w:tcPr>
            <w:tcW w:w="7633" w:type="dxa"/>
            <w:noWrap w:val="0"/>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sz w:val="24"/>
                <w:highlight w:val="none"/>
              </w:rPr>
            </w:pPr>
          </w:p>
        </w:tc>
        <w:tc>
          <w:tcPr>
            <w:tcW w:w="7633" w:type="dxa"/>
            <w:noWrap w:val="0"/>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sz w:val="24"/>
                <w:highlight w:val="none"/>
              </w:rPr>
            </w:pPr>
          </w:p>
        </w:tc>
        <w:tc>
          <w:tcPr>
            <w:tcW w:w="7633" w:type="dxa"/>
            <w:noWrap w:val="0"/>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sz w:val="24"/>
                <w:highlight w:val="none"/>
              </w:rPr>
            </w:pPr>
          </w:p>
        </w:tc>
        <w:tc>
          <w:tcPr>
            <w:tcW w:w="7633" w:type="dxa"/>
            <w:noWrap w:val="0"/>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sz w:val="24"/>
                <w:highlight w:val="none"/>
              </w:rPr>
            </w:pPr>
          </w:p>
        </w:tc>
        <w:tc>
          <w:tcPr>
            <w:tcW w:w="7633" w:type="dxa"/>
            <w:noWrap w:val="0"/>
            <w:vAlign w:val="center"/>
          </w:tcPr>
          <w:p>
            <w:pPr>
              <w:spacing w:line="360" w:lineRule="auto"/>
              <w:rPr>
                <w:rFonts w:hint="eastAsia" w:ascii="仿宋" w:hAnsi="仿宋" w:eastAsia="仿宋" w:cs="仿宋"/>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360" w:lineRule="auto"/>
              <w:rPr>
                <w:rFonts w:hint="eastAsia" w:ascii="仿宋" w:hAnsi="仿宋" w:eastAsia="仿宋" w:cs="仿宋"/>
                <w:sz w:val="24"/>
                <w:highlight w:val="none"/>
              </w:rPr>
            </w:pPr>
          </w:p>
        </w:tc>
        <w:tc>
          <w:tcPr>
            <w:tcW w:w="7633" w:type="dxa"/>
            <w:noWrap w:val="0"/>
            <w:vAlign w:val="center"/>
          </w:tcPr>
          <w:p>
            <w:pPr>
              <w:spacing w:line="360" w:lineRule="auto"/>
              <w:rPr>
                <w:rFonts w:hint="eastAsia" w:ascii="仿宋" w:hAnsi="仿宋" w:eastAsia="仿宋" w:cs="仿宋"/>
                <w:sz w:val="24"/>
                <w:highlight w:val="none"/>
              </w:rPr>
            </w:pPr>
          </w:p>
        </w:tc>
      </w:tr>
    </w:tbl>
    <w:p>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注：最终以与甲方签订合同为准。</w:t>
      </w:r>
    </w:p>
    <w:bookmarkEnd w:id="51"/>
    <w:p>
      <w:pPr>
        <w:spacing w:line="360" w:lineRule="auto"/>
        <w:jc w:val="center"/>
        <w:outlineLvl w:val="9"/>
        <w:rPr>
          <w:rFonts w:hint="eastAsia" w:ascii="仿宋" w:hAnsi="仿宋" w:eastAsia="仿宋" w:cs="仿宋"/>
          <w:b/>
          <w:sz w:val="36"/>
        </w:rPr>
      </w:pPr>
      <w:bookmarkStart w:id="308" w:name="_Toc128152419"/>
    </w:p>
    <w:p>
      <w:pPr>
        <w:spacing w:line="360" w:lineRule="auto"/>
        <w:jc w:val="center"/>
        <w:outlineLvl w:val="0"/>
        <w:rPr>
          <w:rFonts w:hint="eastAsia" w:ascii="仿宋" w:hAnsi="仿宋" w:eastAsia="仿宋" w:cs="仿宋"/>
          <w:b/>
          <w:sz w:val="36"/>
        </w:rPr>
      </w:pPr>
      <w:bookmarkStart w:id="309" w:name="_Toc14292"/>
      <w:r>
        <w:rPr>
          <w:rFonts w:hint="eastAsia" w:ascii="仿宋" w:hAnsi="仿宋" w:eastAsia="仿宋" w:cs="仿宋"/>
          <w:b/>
          <w:sz w:val="36"/>
        </w:rPr>
        <w:t>第六部分  投标文件格式</w:t>
      </w:r>
      <w:bookmarkEnd w:id="308"/>
      <w:bookmarkEnd w:id="309"/>
    </w:p>
    <w:p>
      <w:pPr>
        <w:pageBreakBefore/>
        <w:shd w:val="clear" w:color="auto" w:fill="auto"/>
        <w:spacing w:line="360" w:lineRule="auto"/>
        <w:jc w:val="center"/>
        <w:outlineLvl w:val="1"/>
        <w:rPr>
          <w:rFonts w:hint="eastAsia" w:ascii="仿宋" w:hAnsi="仿宋" w:eastAsia="仿宋" w:cs="仿宋"/>
          <w:b/>
          <w:color w:val="auto"/>
          <w:sz w:val="30"/>
          <w:szCs w:val="30"/>
          <w:highlight w:val="none"/>
        </w:rPr>
      </w:pPr>
      <w:bookmarkStart w:id="310" w:name="_Toc28509"/>
      <w:r>
        <w:rPr>
          <w:rFonts w:hint="eastAsia" w:ascii="仿宋" w:hAnsi="仿宋" w:eastAsia="仿宋" w:cs="仿宋"/>
          <w:b/>
          <w:color w:val="auto"/>
          <w:sz w:val="30"/>
          <w:szCs w:val="30"/>
          <w:highlight w:val="none"/>
        </w:rPr>
        <w:t>投标文件格式</w:t>
      </w:r>
      <w:bookmarkEnd w:id="310"/>
    </w:p>
    <w:p>
      <w:pPr>
        <w:shd w:val="clear" w:color="auto" w:fill="auto"/>
        <w:spacing w:line="360" w:lineRule="auto"/>
        <w:ind w:left="735" w:leftChars="350" w:firstLine="120" w:firstLineChars="50"/>
        <w:rPr>
          <w:rFonts w:hint="eastAsia" w:ascii="仿宋" w:hAnsi="仿宋" w:eastAsia="仿宋" w:cs="仿宋"/>
          <w:color w:val="auto"/>
          <w:sz w:val="24"/>
          <w:highlight w:val="none"/>
        </w:rPr>
      </w:pPr>
    </w:p>
    <w:p>
      <w:pPr>
        <w:pStyle w:val="4"/>
        <w:numPr>
          <w:ilvl w:val="0"/>
          <w:numId w:val="0"/>
        </w:numPr>
        <w:shd w:val="clear" w:color="auto" w:fill="auto"/>
        <w:spacing w:before="0" w:line="360" w:lineRule="auto"/>
        <w:jc w:val="left"/>
        <w:rPr>
          <w:rFonts w:hint="eastAsia" w:ascii="仿宋" w:hAnsi="仿宋" w:eastAsia="仿宋" w:cs="仿宋"/>
          <w:color w:val="auto"/>
          <w:sz w:val="24"/>
          <w:highlight w:val="none"/>
        </w:rPr>
      </w:pPr>
      <w:bookmarkStart w:id="311" w:name="_Toc18974"/>
      <w:bookmarkStart w:id="312" w:name="_Toc8919"/>
      <w:bookmarkStart w:id="313" w:name="_Toc515647803"/>
      <w:bookmarkStart w:id="314" w:name="_Toc18694"/>
      <w:bookmarkStart w:id="315" w:name="_Toc14981"/>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开标一览表及资格证明文件</w:t>
      </w:r>
      <w:bookmarkEnd w:id="311"/>
      <w:bookmarkEnd w:id="312"/>
      <w:bookmarkEnd w:id="313"/>
      <w:bookmarkEnd w:id="314"/>
      <w:bookmarkEnd w:id="315"/>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firstLine="424" w:firstLineChars="17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1、开标一览表（见投标文件格式一）;</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3、法定代表人资格证明书（见投标文件格式二，自然人投标的无需提供）;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法定代表人授权书（见投标文件格式</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、具有良好的商业信誉和健全的财务会计制度的证明文件；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6、投标保证金缴纳凭证或投标担保函；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、社会</w:t>
      </w:r>
      <w:r>
        <w:rPr>
          <w:rFonts w:hint="eastAsia" w:ascii="仿宋" w:hAnsi="仿宋" w:eastAsia="仿宋" w:cs="仿宋"/>
          <w:color w:val="auto"/>
          <w:sz w:val="24"/>
          <w:highlight w:val="none"/>
          <w:lang w:eastAsia="zh-CN"/>
        </w:rPr>
        <w:t>及纳税</w:t>
      </w:r>
      <w:r>
        <w:rPr>
          <w:rFonts w:hint="eastAsia" w:ascii="仿宋" w:hAnsi="仿宋" w:eastAsia="仿宋" w:cs="仿宋"/>
          <w:color w:val="auto"/>
          <w:sz w:val="24"/>
          <w:highlight w:val="none"/>
        </w:rPr>
        <w:t>的缴纳记录;</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、投标人须知资料表要求的其他资格证明文件;</w:t>
      </w: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ind w:left="1" w:firstLine="564" w:firstLineChars="235"/>
        <w:rPr>
          <w:rFonts w:hint="eastAsia" w:ascii="仿宋" w:hAnsi="仿宋" w:eastAsia="仿宋" w:cs="仿宋"/>
          <w:color w:val="auto"/>
          <w:sz w:val="24"/>
          <w:highlight w:val="none"/>
        </w:rPr>
      </w:pPr>
    </w:p>
    <w:p>
      <w:pPr>
        <w:shd w:val="clear" w:color="auto" w:fill="auto"/>
        <w:tabs>
          <w:tab w:val="left" w:pos="5580"/>
        </w:tabs>
        <w:spacing w:line="360" w:lineRule="auto"/>
        <w:rPr>
          <w:rFonts w:hint="eastAsia" w:ascii="仿宋" w:hAnsi="仿宋" w:eastAsia="仿宋" w:cs="仿宋"/>
          <w:color w:val="auto"/>
          <w:sz w:val="24"/>
          <w:highlight w:val="none"/>
        </w:rPr>
      </w:pPr>
      <w:bookmarkStart w:id="316" w:name="_Toc30524"/>
      <w:bookmarkStart w:id="317" w:name="_Toc19050"/>
      <w:bookmarkStart w:id="318" w:name="_Toc515647804"/>
      <w:bookmarkStart w:id="319" w:name="_Toc16568"/>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开标一览表（投标文件格式一）</w:t>
      </w:r>
      <w:bookmarkEnd w:id="316"/>
      <w:bookmarkEnd w:id="317"/>
      <w:bookmarkEnd w:id="318"/>
      <w:bookmarkEnd w:id="319"/>
    </w:p>
    <w:p>
      <w:pPr>
        <w:pStyle w:val="8"/>
        <w:shd w:val="clear" w:color="auto" w:fill="auto"/>
        <w:tabs>
          <w:tab w:val="left" w:pos="5580"/>
        </w:tabs>
        <w:spacing w:line="360" w:lineRule="auto"/>
        <w:ind w:firstLine="3350" w:firstLineChars="927"/>
        <w:jc w:val="both"/>
        <w:rPr>
          <w:rFonts w:hint="eastAsia" w:ascii="仿宋" w:hAnsi="仿宋" w:eastAsia="仿宋" w:cs="仿宋"/>
          <w:color w:val="auto"/>
          <w:highlight w:val="none"/>
        </w:rPr>
      </w:pPr>
      <w:bookmarkStart w:id="320" w:name="_Hlt520356241"/>
      <w:bookmarkEnd w:id="320"/>
      <w:bookmarkStart w:id="321" w:name="_Toc494296984"/>
      <w:bookmarkStart w:id="322" w:name="_Toc480942349"/>
      <w:bookmarkStart w:id="323" w:name="_Ref467988698"/>
      <w:bookmarkStart w:id="324" w:name="_Toc520356217"/>
      <w:bookmarkStart w:id="325" w:name="_Toc216582813"/>
      <w:r>
        <w:rPr>
          <w:rFonts w:hint="eastAsia" w:ascii="仿宋" w:hAnsi="仿宋" w:eastAsia="仿宋" w:cs="仿宋"/>
          <w:b/>
          <w:color w:val="auto"/>
          <w:sz w:val="36"/>
          <w:szCs w:val="24"/>
          <w:highlight w:val="none"/>
        </w:rPr>
        <w:t>开标一览表</w:t>
      </w:r>
      <w:bookmarkEnd w:id="321"/>
      <w:r>
        <w:rPr>
          <w:rFonts w:hint="eastAsia" w:ascii="仿宋" w:hAnsi="仿宋" w:eastAsia="仿宋" w:cs="仿宋"/>
          <w:b/>
          <w:color w:val="auto"/>
          <w:sz w:val="36"/>
          <w:szCs w:val="24"/>
          <w:highlight w:val="none"/>
        </w:rPr>
        <w:cr/>
      </w:r>
    </w:p>
    <w:p>
      <w:pPr>
        <w:shd w:val="clear" w:color="auto" w:fill="auto"/>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招标项目名称： </w:t>
      </w:r>
      <w:r>
        <w:rPr>
          <w:rFonts w:hint="eastAsia" w:ascii="仿宋" w:hAnsi="仿宋" w:eastAsia="仿宋" w:cs="仿宋"/>
          <w:color w:val="auto"/>
          <w:sz w:val="24"/>
          <w:szCs w:val="24"/>
          <w:highlight w:val="none"/>
          <w:u w:val="single"/>
        </w:rPr>
        <w:t xml:space="preserve">                         </w:t>
      </w:r>
    </w:p>
    <w:p>
      <w:pPr>
        <w:shd w:val="clear" w:color="auto" w:fill="auto"/>
        <w:adjustRightInd w:val="0"/>
        <w:snapToGrid w:val="0"/>
        <w:spacing w:line="360" w:lineRule="auto"/>
        <w:rPr>
          <w:rFonts w:hint="eastAsia" w:ascii="仿宋" w:hAnsi="仿宋" w:eastAsia="仿宋" w:cs="仿宋"/>
          <w:i/>
          <w:iCs/>
          <w:color w:val="auto"/>
          <w:sz w:val="24"/>
          <w:szCs w:val="24"/>
          <w:highlight w:val="none"/>
        </w:rPr>
      </w:pPr>
      <w:r>
        <w:rPr>
          <w:rFonts w:hint="eastAsia" w:ascii="仿宋" w:hAnsi="仿宋" w:eastAsia="仿宋" w:cs="仿宋"/>
          <w:color w:val="auto"/>
          <w:sz w:val="24"/>
          <w:szCs w:val="24"/>
          <w:highlight w:val="none"/>
        </w:rPr>
        <w:t>招标项目编号：</w:t>
      </w:r>
      <w:r>
        <w:rPr>
          <w:rFonts w:hint="eastAsia" w:ascii="仿宋" w:hAnsi="仿宋" w:eastAsia="仿宋" w:cs="仿宋"/>
          <w:i/>
          <w:iCs/>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单位：元（人民币）</w:t>
      </w:r>
    </w:p>
    <w:tbl>
      <w:tblPr>
        <w:tblStyle w:val="26"/>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投标项目名称</w:t>
            </w:r>
          </w:p>
        </w:tc>
        <w:tc>
          <w:tcPr>
            <w:tcW w:w="6185" w:type="dxa"/>
            <w:noWrap w:val="0"/>
            <w:vAlign w:val="center"/>
          </w:tcPr>
          <w:p>
            <w:pPr>
              <w:shd w:val="clear" w:color="auto" w:fill="auto"/>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服务期限</w:t>
            </w:r>
          </w:p>
        </w:tc>
        <w:tc>
          <w:tcPr>
            <w:tcW w:w="6185" w:type="dxa"/>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185" w:type="dxa"/>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总</w:t>
            </w:r>
            <w:r>
              <w:rPr>
                <w:rFonts w:hint="eastAsia" w:ascii="仿宋" w:hAnsi="仿宋" w:eastAsia="仿宋" w:cs="仿宋"/>
                <w:color w:val="auto"/>
                <w:sz w:val="24"/>
                <w:szCs w:val="24"/>
                <w:highlight w:val="none"/>
              </w:rPr>
              <w:t>报价</w:t>
            </w:r>
          </w:p>
          <w:p>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6185" w:type="dxa"/>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c>
          <w:tcPr>
            <w:tcW w:w="974" w:type="dxa"/>
            <w:tcBorders>
              <w:top w:val="single" w:color="auto" w:sz="4" w:space="0"/>
              <w:bottom w:val="single" w:color="auto" w:sz="4" w:space="0"/>
            </w:tcBorders>
            <w:noWrap w:val="0"/>
            <w:vAlign w:val="center"/>
          </w:tcPr>
          <w:p>
            <w:pPr>
              <w:widowControl/>
              <w:shd w:val="clear" w:color="auto" w:fill="auto"/>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大写</w:t>
            </w:r>
          </w:p>
        </w:tc>
        <w:tc>
          <w:tcPr>
            <w:tcW w:w="6185" w:type="dxa"/>
            <w:noWrap w:val="0"/>
            <w:vAlign w:val="center"/>
          </w:tcPr>
          <w:p>
            <w:pPr>
              <w:shd w:val="clear" w:color="auto" w:fill="auto"/>
              <w:spacing w:line="360" w:lineRule="auto"/>
              <w:jc w:val="center"/>
              <w:rPr>
                <w:rFonts w:hint="eastAsia" w:ascii="仿宋" w:hAnsi="仿宋" w:eastAsia="仿宋" w:cs="仿宋"/>
                <w:color w:val="auto"/>
                <w:sz w:val="24"/>
                <w:szCs w:val="24"/>
                <w:highlight w:val="none"/>
              </w:rPr>
            </w:pPr>
          </w:p>
        </w:tc>
      </w:tr>
    </w:tbl>
    <w:p>
      <w:pPr>
        <w:pageBreakBefore w:val="0"/>
        <w:kinsoku/>
        <w:wordWrap/>
        <w:overflowPunct/>
        <w:topLinePunct w:val="0"/>
        <w:bidi w:val="0"/>
        <w:spacing w:line="360" w:lineRule="auto"/>
        <w:ind w:hanging="360"/>
        <w:rPr>
          <w:rFonts w:hint="eastAsia" w:ascii="仿宋" w:hAnsi="仿宋" w:eastAsia="仿宋" w:cs="仿宋"/>
          <w:sz w:val="24"/>
          <w:szCs w:val="24"/>
          <w:highlight w:val="none"/>
        </w:rPr>
      </w:pPr>
      <w:bookmarkStart w:id="326" w:name="_Toc515647805"/>
      <w:bookmarkStart w:id="327" w:name="_Toc4844"/>
      <w:bookmarkStart w:id="328" w:name="_Toc17577"/>
      <w:bookmarkStart w:id="329" w:name="_Toc29899"/>
    </w:p>
    <w:p>
      <w:pPr>
        <w:pageBreakBefore w:val="0"/>
        <w:kinsoku/>
        <w:wordWrap/>
        <w:overflowPunct/>
        <w:topLinePunct w:val="0"/>
        <w:bidi w:val="0"/>
        <w:spacing w:line="360" w:lineRule="auto"/>
        <w:ind w:hanging="360"/>
        <w:rPr>
          <w:rFonts w:hint="eastAsia" w:ascii="仿宋" w:hAnsi="仿宋" w:eastAsia="仿宋" w:cs="仿宋"/>
          <w:sz w:val="24"/>
          <w:szCs w:val="24"/>
          <w:highlight w:val="none"/>
        </w:rPr>
      </w:pPr>
      <w:r>
        <w:rPr>
          <w:rFonts w:hint="eastAsia" w:ascii="仿宋" w:hAnsi="仿宋" w:eastAsia="仿宋" w:cs="仿宋"/>
          <w:sz w:val="24"/>
          <w:szCs w:val="24"/>
          <w:highlight w:val="none"/>
        </w:rPr>
        <w:t>注:  1、</w:t>
      </w:r>
      <w:r>
        <w:rPr>
          <w:rFonts w:hint="eastAsia" w:ascii="仿宋" w:hAnsi="仿宋" w:eastAsia="仿宋" w:cs="仿宋"/>
          <w:sz w:val="24"/>
          <w:szCs w:val="24"/>
          <w:highlight w:val="none"/>
          <w:lang w:eastAsia="zh-CN"/>
        </w:rPr>
        <w:t>投标文件必须包含本表</w:t>
      </w:r>
      <w:r>
        <w:rPr>
          <w:rFonts w:hint="eastAsia" w:ascii="仿宋" w:hAnsi="仿宋" w:eastAsia="仿宋" w:cs="仿宋"/>
          <w:sz w:val="24"/>
          <w:szCs w:val="24"/>
          <w:highlight w:val="none"/>
        </w:rPr>
        <w:t>，随同投标书一起</w:t>
      </w:r>
      <w:r>
        <w:rPr>
          <w:rFonts w:hint="eastAsia" w:ascii="仿宋" w:hAnsi="仿宋" w:eastAsia="仿宋" w:cs="仿宋"/>
          <w:sz w:val="24"/>
          <w:szCs w:val="24"/>
          <w:highlight w:val="none"/>
          <w:lang w:eastAsia="zh-CN"/>
        </w:rPr>
        <w:t>上传</w:t>
      </w:r>
      <w:r>
        <w:rPr>
          <w:rFonts w:hint="eastAsia" w:ascii="仿宋" w:hAnsi="仿宋" w:eastAsia="仿宋" w:cs="仿宋"/>
          <w:sz w:val="24"/>
          <w:szCs w:val="24"/>
          <w:highlight w:val="none"/>
        </w:rPr>
        <w:t>。</w:t>
      </w:r>
    </w:p>
    <w:p>
      <w:pPr>
        <w:pageBreakBefore w:val="0"/>
        <w:kinsoku/>
        <w:wordWrap/>
        <w:overflowPunct/>
        <w:topLinePunct w:val="0"/>
        <w:bidi w:val="0"/>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2、若本表与投标书格式其他部分在内容上有出入,以本表为准。</w:t>
      </w:r>
    </w:p>
    <w:p>
      <w:pPr>
        <w:pageBreakBefore w:val="0"/>
        <w:kinsoku/>
        <w:wordWrap/>
        <w:overflowPunct/>
        <w:topLinePunct w:val="0"/>
        <w:bidi w:val="0"/>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3、表中报价单位均为元，小数点后保留</w:t>
      </w:r>
      <w:r>
        <w:rPr>
          <w:rFonts w:hint="eastAsia" w:ascii="仿宋" w:hAnsi="仿宋" w:eastAsia="仿宋" w:cs="仿宋"/>
          <w:sz w:val="24"/>
          <w:szCs w:val="24"/>
          <w:highlight w:val="none"/>
          <w:lang w:eastAsia="zh-CN"/>
        </w:rPr>
        <w:t>两</w:t>
      </w:r>
      <w:r>
        <w:rPr>
          <w:rFonts w:hint="eastAsia" w:ascii="仿宋" w:hAnsi="仿宋" w:eastAsia="仿宋" w:cs="仿宋"/>
          <w:sz w:val="24"/>
          <w:szCs w:val="24"/>
          <w:highlight w:val="none"/>
        </w:rPr>
        <w:t>位有效数字。</w:t>
      </w:r>
    </w:p>
    <w:p>
      <w:pPr>
        <w:pageBreakBefore w:val="0"/>
        <w:kinsoku/>
        <w:wordWrap/>
        <w:overflowPunct/>
        <w:topLinePunct w:val="0"/>
        <w:bidi w:val="0"/>
        <w:spacing w:line="360" w:lineRule="auto"/>
        <w:rPr>
          <w:rFonts w:hint="eastAsia" w:ascii="仿宋" w:hAnsi="仿宋" w:eastAsia="仿宋" w:cs="仿宋"/>
          <w:sz w:val="24"/>
          <w:szCs w:val="24"/>
          <w:highlight w:val="none"/>
        </w:rPr>
      </w:pP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（加盖公章）  </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rPr>
        <w:t xml:space="preserve">       </w:t>
      </w:r>
    </w:p>
    <w:p>
      <w:pPr>
        <w:shd w:val="clear" w:color="auto" w:fill="auto"/>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ab/>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hd w:val="clear" w:color="auto" w:fill="auto"/>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签署日期：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1"/>
        <w:spacing w:line="360" w:lineRule="auto"/>
        <w:ind w:left="0" w:leftChars="0" w:firstLine="0" w:firstLineChars="0"/>
        <w:rPr>
          <w:rFonts w:hint="eastAsia" w:ascii="仿宋" w:hAnsi="仿宋" w:eastAsia="仿宋" w:cs="仿宋"/>
          <w:color w:val="auto"/>
          <w:sz w:val="24"/>
          <w:highlight w:val="none"/>
          <w:lang w:val="en-US" w:eastAsia="zh-CN"/>
        </w:rPr>
      </w:pPr>
    </w:p>
    <w:p>
      <w:pPr>
        <w:spacing w:line="360" w:lineRule="auto"/>
        <w:rPr>
          <w:rFonts w:hint="eastAsia" w:ascii="仿宋" w:hAnsi="仿宋" w:eastAsia="仿宋" w:cs="仿宋"/>
          <w:lang w:val="en-US" w:eastAsia="zh-CN"/>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360" w:lineRule="auto"/>
        <w:outlineLvl w:val="9"/>
        <w:rPr>
          <w:rFonts w:hint="eastAsia" w:ascii="仿宋" w:hAnsi="仿宋" w:eastAsia="仿宋" w:cs="仿宋"/>
          <w:color w:val="auto"/>
          <w:sz w:val="24"/>
          <w:highlight w:val="none"/>
          <w:lang w:val="en-US" w:eastAsia="zh-CN"/>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360" w:lineRule="auto"/>
        <w:outlineLvl w:val="9"/>
        <w:rPr>
          <w:rFonts w:hint="eastAsia" w:ascii="仿宋" w:hAnsi="仿宋" w:eastAsia="仿宋" w:cs="仿宋"/>
          <w:color w:val="auto"/>
          <w:sz w:val="24"/>
          <w:highlight w:val="none"/>
          <w:lang w:val="en-US" w:eastAsia="zh-CN"/>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360" w:lineRule="auto"/>
        <w:outlineLvl w:val="9"/>
        <w:rPr>
          <w:rFonts w:hint="eastAsia" w:ascii="仿宋" w:hAnsi="仿宋" w:eastAsia="仿宋" w:cs="仿宋"/>
          <w:color w:val="auto"/>
          <w:sz w:val="24"/>
          <w:highlight w:val="none"/>
          <w:lang w:val="en-US" w:eastAsia="zh-CN"/>
        </w:rPr>
      </w:pPr>
    </w:p>
    <w:p>
      <w:pPr>
        <w:spacing w:line="360" w:lineRule="auto"/>
        <w:rPr>
          <w:rFonts w:hint="eastAsia" w:ascii="仿宋" w:hAnsi="仿宋" w:eastAsia="仿宋" w:cs="仿宋"/>
          <w:lang w:val="en-US" w:eastAsia="zh-CN"/>
        </w:rPr>
      </w:pPr>
    </w:p>
    <w:p>
      <w:pPr>
        <w:pStyle w:val="2"/>
        <w:spacing w:line="360" w:lineRule="auto"/>
        <w:rPr>
          <w:rFonts w:hint="eastAsia" w:ascii="仿宋" w:hAnsi="仿宋" w:eastAsia="仿宋" w:cs="仿宋"/>
          <w:lang w:val="en-US" w:eastAsia="zh-CN"/>
        </w:rPr>
      </w:pPr>
    </w:p>
    <w:p>
      <w:pPr>
        <w:pStyle w:val="2"/>
        <w:spacing w:line="360" w:lineRule="auto"/>
        <w:rPr>
          <w:rFonts w:hint="eastAsia" w:ascii="仿宋" w:hAnsi="仿宋" w:eastAsia="仿宋" w:cs="仿宋"/>
          <w:lang w:val="en-US" w:eastAsia="zh-CN"/>
        </w:rPr>
      </w:pPr>
    </w:p>
    <w:p>
      <w:pPr>
        <w:pageBreakBefore w:val="0"/>
        <w:kinsoku/>
        <w:wordWrap/>
        <w:overflowPunct/>
        <w:topLinePunct w:val="0"/>
        <w:bidi w:val="0"/>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投标服务报价表</w:t>
      </w:r>
    </w:p>
    <w:p>
      <w:pPr>
        <w:pageBreakBefore w:val="0"/>
        <w:kinsoku/>
        <w:wordWrap/>
        <w:overflowPunct/>
        <w:topLinePunct w:val="0"/>
        <w:bidi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投标单位</w:t>
      </w:r>
      <w:r>
        <w:rPr>
          <w:rFonts w:hint="eastAsia" w:ascii="仿宋" w:hAnsi="仿宋" w:eastAsia="仿宋" w:cs="仿宋"/>
          <w:sz w:val="24"/>
          <w:szCs w:val="24"/>
          <w:highlight w:val="none"/>
        </w:rPr>
        <w:t xml:space="preserve">名称（盖章）：                                 </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编号：                                         货币单位：元（人民币）</w:t>
      </w:r>
    </w:p>
    <w:p>
      <w:pPr>
        <w:pageBreakBefore w:val="0"/>
        <w:kinsoku/>
        <w:wordWrap/>
        <w:overflowPunct/>
        <w:topLinePunct w:val="0"/>
        <w:bidi w:val="0"/>
        <w:spacing w:line="360" w:lineRule="auto"/>
        <w:rPr>
          <w:rFonts w:hint="eastAsia" w:ascii="仿宋" w:hAnsi="仿宋" w:eastAsia="仿宋" w:cs="仿宋"/>
          <w:sz w:val="24"/>
          <w:szCs w:val="24"/>
          <w:highlight w:val="none"/>
        </w:rPr>
      </w:pPr>
    </w:p>
    <w:tbl>
      <w:tblPr>
        <w:tblStyle w:val="26"/>
        <w:tblW w:w="0" w:type="auto"/>
        <w:tblInd w:w="-72" w:type="dxa"/>
        <w:tblLayout w:type="fixed"/>
        <w:tblCellMar>
          <w:top w:w="0" w:type="dxa"/>
          <w:left w:w="108" w:type="dxa"/>
          <w:bottom w:w="0" w:type="dxa"/>
          <w:right w:w="108" w:type="dxa"/>
        </w:tblCellMar>
      </w:tblPr>
      <w:tblGrid>
        <w:gridCol w:w="854"/>
        <w:gridCol w:w="1780"/>
        <w:gridCol w:w="1785"/>
        <w:gridCol w:w="2025"/>
        <w:gridCol w:w="1725"/>
        <w:gridCol w:w="1380"/>
      </w:tblGrid>
      <w:tr>
        <w:tblPrEx>
          <w:tblCellMar>
            <w:top w:w="0" w:type="dxa"/>
            <w:left w:w="108" w:type="dxa"/>
            <w:bottom w:w="0" w:type="dxa"/>
            <w:right w:w="108" w:type="dxa"/>
          </w:tblCellMar>
        </w:tblPrEx>
        <w:trPr>
          <w:trHeight w:val="817" w:hRule="atLeast"/>
        </w:trPr>
        <w:tc>
          <w:tcPr>
            <w:tcW w:w="85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1780"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服务名称</w:t>
            </w:r>
          </w:p>
        </w:tc>
        <w:tc>
          <w:tcPr>
            <w:tcW w:w="1785"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服务内容</w:t>
            </w:r>
          </w:p>
        </w:tc>
        <w:tc>
          <w:tcPr>
            <w:tcW w:w="2025"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投标总价</w:t>
            </w:r>
          </w:p>
        </w:tc>
        <w:tc>
          <w:tcPr>
            <w:tcW w:w="1725"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服务</w:t>
            </w:r>
            <w:r>
              <w:rPr>
                <w:rFonts w:hint="eastAsia" w:ascii="仿宋" w:hAnsi="仿宋" w:eastAsia="仿宋" w:cs="仿宋"/>
                <w:kern w:val="0"/>
                <w:sz w:val="24"/>
                <w:szCs w:val="24"/>
                <w:highlight w:val="none"/>
                <w:lang w:eastAsia="zh-CN"/>
              </w:rPr>
              <w:t>期限</w:t>
            </w:r>
          </w:p>
        </w:tc>
        <w:tc>
          <w:tcPr>
            <w:tcW w:w="1380"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tc>
      </w:tr>
      <w:tr>
        <w:tblPrEx>
          <w:tblCellMar>
            <w:top w:w="0" w:type="dxa"/>
            <w:left w:w="108" w:type="dxa"/>
            <w:bottom w:w="0" w:type="dxa"/>
            <w:right w:w="108" w:type="dxa"/>
          </w:tblCellMar>
        </w:tblPrEx>
        <w:trPr>
          <w:trHeight w:val="681"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r>
      <w:tr>
        <w:tblPrEx>
          <w:tblCellMar>
            <w:top w:w="0" w:type="dxa"/>
            <w:left w:w="108" w:type="dxa"/>
            <w:bottom w:w="0" w:type="dxa"/>
            <w:right w:w="108" w:type="dxa"/>
          </w:tblCellMar>
        </w:tblPrEx>
        <w:trPr>
          <w:trHeight w:val="681"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r>
      <w:tr>
        <w:tblPrEx>
          <w:tblCellMar>
            <w:top w:w="0" w:type="dxa"/>
            <w:left w:w="108" w:type="dxa"/>
            <w:bottom w:w="0" w:type="dxa"/>
            <w:right w:w="108" w:type="dxa"/>
          </w:tblCellMar>
        </w:tblPrEx>
        <w:trPr>
          <w:trHeight w:val="681"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r>
      <w:tr>
        <w:tblPrEx>
          <w:tblCellMar>
            <w:top w:w="0" w:type="dxa"/>
            <w:left w:w="108" w:type="dxa"/>
            <w:bottom w:w="0" w:type="dxa"/>
            <w:right w:w="108" w:type="dxa"/>
          </w:tblCellMar>
        </w:tblPrEx>
        <w:trPr>
          <w:trHeight w:val="681"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r>
      <w:tr>
        <w:tblPrEx>
          <w:tblCellMar>
            <w:top w:w="0" w:type="dxa"/>
            <w:left w:w="108" w:type="dxa"/>
            <w:bottom w:w="0" w:type="dxa"/>
            <w:right w:w="108" w:type="dxa"/>
          </w:tblCellMar>
        </w:tblPrEx>
        <w:trPr>
          <w:trHeight w:val="681"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r>
      <w:tr>
        <w:tblPrEx>
          <w:tblCellMar>
            <w:top w:w="0" w:type="dxa"/>
            <w:left w:w="108" w:type="dxa"/>
            <w:bottom w:w="0" w:type="dxa"/>
            <w:right w:w="108" w:type="dxa"/>
          </w:tblCellMar>
        </w:tblPrEx>
        <w:trPr>
          <w:trHeight w:val="809" w:hRule="atLeast"/>
        </w:trPr>
        <w:tc>
          <w:tcPr>
            <w:tcW w:w="854"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8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20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72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c>
          <w:tcPr>
            <w:tcW w:w="138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tc>
      </w:tr>
    </w:tbl>
    <w:p>
      <w:pPr>
        <w:pageBreakBefore w:val="0"/>
        <w:kinsoku/>
        <w:wordWrap/>
        <w:overflowPunct/>
        <w:topLinePunct w:val="0"/>
        <w:bidi w:val="0"/>
        <w:spacing w:line="360" w:lineRule="auto"/>
        <w:rPr>
          <w:rFonts w:hint="eastAsia" w:ascii="仿宋" w:hAnsi="仿宋" w:eastAsia="仿宋" w:cs="仿宋"/>
          <w:sz w:val="24"/>
          <w:szCs w:val="24"/>
          <w:highlight w:val="none"/>
        </w:rPr>
      </w:pPr>
    </w:p>
    <w:p>
      <w:pPr>
        <w:pageBreakBefore w:val="0"/>
        <w:kinsoku/>
        <w:wordWrap/>
        <w:overflowPunct/>
        <w:topLinePunct w:val="0"/>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投标人名称：    （加盖公章）            </w:t>
      </w:r>
    </w:p>
    <w:p>
      <w:pPr>
        <w:pageBreakBefore w:val="0"/>
        <w:kinsoku/>
        <w:wordWrap/>
        <w:overflowPunct/>
        <w:topLinePunct w:val="0"/>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法定代表人签字或盖章：</w:t>
      </w:r>
      <w:r>
        <w:rPr>
          <w:rFonts w:hint="eastAsia" w:ascii="仿宋" w:hAnsi="仿宋" w:eastAsia="仿宋" w:cs="仿宋"/>
          <w:sz w:val="24"/>
          <w:szCs w:val="24"/>
          <w:highlight w:val="none"/>
          <w:u w:val="single"/>
          <w:lang w:val="en-US" w:eastAsia="zh-CN"/>
        </w:rPr>
        <w:tab/>
      </w:r>
      <w:r>
        <w:rPr>
          <w:rFonts w:hint="eastAsia" w:ascii="仿宋" w:hAnsi="仿宋" w:eastAsia="仿宋" w:cs="仿宋"/>
          <w:sz w:val="24"/>
          <w:szCs w:val="24"/>
          <w:highlight w:val="none"/>
          <w:u w:val="single"/>
          <w:lang w:val="en-US" w:eastAsia="zh-CN"/>
        </w:rPr>
        <w:tab/>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ab/>
      </w:r>
      <w:r>
        <w:rPr>
          <w:rFonts w:hint="eastAsia" w:ascii="仿宋" w:hAnsi="仿宋" w:eastAsia="仿宋" w:cs="仿宋"/>
          <w:sz w:val="24"/>
          <w:szCs w:val="24"/>
          <w:highlight w:val="none"/>
          <w:u w:val="single"/>
          <w:lang w:val="en-US" w:eastAsia="zh-CN"/>
        </w:rPr>
        <w:tab/>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pPr>
        <w:pageBreakBefore w:val="0"/>
        <w:kinsoku/>
        <w:wordWrap/>
        <w:overflowPunct/>
        <w:topLinePunct w:val="0"/>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授权代表签字或盖章：</w:t>
      </w:r>
      <w:r>
        <w:rPr>
          <w:rFonts w:hint="eastAsia" w:ascii="仿宋" w:hAnsi="仿宋" w:eastAsia="仿宋" w:cs="仿宋"/>
          <w:sz w:val="24"/>
          <w:szCs w:val="24"/>
          <w:highlight w:val="none"/>
          <w:u w:val="single"/>
          <w:lang w:val="en-US" w:eastAsia="zh-CN"/>
        </w:rPr>
        <w:tab/>
      </w:r>
      <w:r>
        <w:rPr>
          <w:rFonts w:hint="eastAsia" w:ascii="仿宋" w:hAnsi="仿宋" w:eastAsia="仿宋" w:cs="仿宋"/>
          <w:sz w:val="24"/>
          <w:szCs w:val="24"/>
          <w:highlight w:val="none"/>
          <w:u w:val="single"/>
          <w:lang w:val="en-US" w:eastAsia="zh-CN"/>
        </w:rPr>
        <w:tab/>
      </w:r>
      <w:r>
        <w:rPr>
          <w:rFonts w:hint="eastAsia" w:ascii="仿宋" w:hAnsi="仿宋" w:eastAsia="仿宋" w:cs="仿宋"/>
          <w:sz w:val="24"/>
          <w:szCs w:val="24"/>
          <w:highlight w:val="none"/>
          <w:u w:val="single"/>
          <w:lang w:val="en-US" w:eastAsia="zh-CN"/>
        </w:rPr>
        <w:tab/>
      </w:r>
      <w:r>
        <w:rPr>
          <w:rFonts w:hint="eastAsia" w:ascii="仿宋" w:hAnsi="仿宋" w:eastAsia="仿宋" w:cs="仿宋"/>
          <w:sz w:val="24"/>
          <w:szCs w:val="24"/>
          <w:highlight w:val="none"/>
          <w:u w:val="single"/>
          <w:lang w:val="en-US" w:eastAsia="zh-CN"/>
        </w:rPr>
        <w:tab/>
      </w:r>
      <w:r>
        <w:rPr>
          <w:rFonts w:hint="eastAsia" w:ascii="仿宋" w:hAnsi="仿宋" w:eastAsia="仿宋" w:cs="仿宋"/>
          <w:sz w:val="24"/>
          <w:szCs w:val="24"/>
          <w:highlight w:val="none"/>
          <w:u w:val="single"/>
          <w:lang w:val="en-US" w:eastAsia="zh-CN"/>
        </w:rPr>
        <w:tab/>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pPr>
        <w:pageBreakBefore w:val="0"/>
        <w:kinsoku/>
        <w:wordWrap/>
        <w:overflowPunct/>
        <w:topLinePunct w:val="0"/>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签署日期：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pStyle w:val="8"/>
        <w:spacing w:line="360" w:lineRule="auto"/>
        <w:rPr>
          <w:rFonts w:hint="eastAsia" w:ascii="仿宋" w:hAnsi="仿宋" w:eastAsia="仿宋" w:cs="仿宋"/>
          <w:lang w:val="en-US" w:eastAsia="zh-CN"/>
        </w:rPr>
      </w:pPr>
    </w:p>
    <w:p>
      <w:pPr>
        <w:spacing w:line="360" w:lineRule="auto"/>
        <w:rPr>
          <w:rFonts w:hint="eastAsia" w:ascii="仿宋" w:hAnsi="仿宋" w:eastAsia="仿宋" w:cs="仿宋"/>
          <w:lang w:val="en-US" w:eastAsia="zh-CN"/>
        </w:rPr>
      </w:pPr>
    </w:p>
    <w:p>
      <w:pPr>
        <w:spacing w:line="360" w:lineRule="auto"/>
        <w:jc w:val="center"/>
        <w:rPr>
          <w:rFonts w:hint="eastAsia" w:ascii="仿宋" w:hAnsi="仿宋" w:eastAsia="仿宋" w:cs="仿宋"/>
          <w:b/>
          <w:bCs/>
          <w:sz w:val="32"/>
          <w:szCs w:val="32"/>
          <w:highlight w:val="none"/>
        </w:rPr>
      </w:pPr>
    </w:p>
    <w:p>
      <w:pPr>
        <w:spacing w:line="360" w:lineRule="auto"/>
        <w:jc w:val="center"/>
        <w:rPr>
          <w:rFonts w:hint="eastAsia" w:ascii="仿宋" w:hAnsi="仿宋" w:eastAsia="仿宋" w:cs="仿宋"/>
          <w:b/>
          <w:bCs/>
          <w:sz w:val="32"/>
          <w:szCs w:val="32"/>
          <w:highlight w:val="none"/>
        </w:rPr>
      </w:pPr>
    </w:p>
    <w:p>
      <w:pPr>
        <w:spacing w:line="360" w:lineRule="auto"/>
        <w:jc w:val="center"/>
        <w:rPr>
          <w:rFonts w:hint="eastAsia" w:ascii="仿宋" w:hAnsi="仿宋" w:eastAsia="仿宋" w:cs="仿宋"/>
          <w:b/>
          <w:bCs/>
          <w:sz w:val="32"/>
          <w:szCs w:val="32"/>
          <w:highlight w:val="none"/>
        </w:rPr>
      </w:pPr>
    </w:p>
    <w:p>
      <w:pPr>
        <w:spacing w:line="360" w:lineRule="auto"/>
        <w:jc w:val="center"/>
        <w:rPr>
          <w:rFonts w:hint="eastAsia" w:ascii="仿宋" w:hAnsi="仿宋" w:eastAsia="仿宋" w:cs="仿宋"/>
          <w:b/>
          <w:bCs/>
          <w:sz w:val="32"/>
          <w:szCs w:val="32"/>
          <w:highlight w:val="none"/>
        </w:rPr>
      </w:pPr>
    </w:p>
    <w:p>
      <w:pPr>
        <w:spacing w:line="360" w:lineRule="auto"/>
        <w:jc w:val="center"/>
        <w:rPr>
          <w:rFonts w:hint="eastAsia" w:ascii="仿宋" w:hAnsi="仿宋" w:eastAsia="仿宋" w:cs="仿宋"/>
          <w:b/>
          <w:bCs/>
          <w:sz w:val="32"/>
          <w:szCs w:val="32"/>
          <w:highlight w:val="none"/>
        </w:rPr>
      </w:pPr>
    </w:p>
    <w:p>
      <w:pPr>
        <w:pStyle w:val="2"/>
        <w:spacing w:line="360" w:lineRule="auto"/>
        <w:rPr>
          <w:rFonts w:hint="eastAsia" w:ascii="仿宋" w:hAnsi="仿宋" w:eastAsia="仿宋" w:cs="仿宋"/>
        </w:rPr>
      </w:pPr>
    </w:p>
    <w:p>
      <w:pPr>
        <w:spacing w:line="360" w:lineRule="auto"/>
        <w:jc w:val="both"/>
        <w:rPr>
          <w:rFonts w:hint="eastAsia" w:ascii="仿宋" w:hAnsi="仿宋" w:eastAsia="仿宋" w:cs="仿宋"/>
          <w:b/>
          <w:bCs/>
          <w:sz w:val="32"/>
          <w:szCs w:val="32"/>
          <w:highlight w:val="none"/>
        </w:rPr>
      </w:pPr>
    </w:p>
    <w:p>
      <w:pP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商务偏离表</w:t>
      </w:r>
    </w:p>
    <w:p>
      <w:p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投标单位</w:t>
      </w:r>
      <w:r>
        <w:rPr>
          <w:rFonts w:hint="eastAsia" w:ascii="仿宋" w:hAnsi="仿宋" w:eastAsia="仿宋" w:cs="仿宋"/>
          <w:sz w:val="24"/>
          <w:szCs w:val="24"/>
          <w:highlight w:val="none"/>
        </w:rPr>
        <w:t>名称（盖章）：                           招标编号：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855"/>
        <w:gridCol w:w="1855"/>
        <w:gridCol w:w="1855"/>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855" w:type="dxa"/>
            <w:noWrap w:val="0"/>
            <w:vAlign w:val="center"/>
          </w:tcPr>
          <w:p>
            <w:pPr>
              <w:pStyle w:val="2"/>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855" w:type="dxa"/>
            <w:noWrap w:val="0"/>
            <w:vAlign w:val="center"/>
          </w:tcPr>
          <w:p>
            <w:pPr>
              <w:pStyle w:val="2"/>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服务项目</w:t>
            </w:r>
          </w:p>
        </w:tc>
        <w:tc>
          <w:tcPr>
            <w:tcW w:w="1855" w:type="dxa"/>
            <w:noWrap w:val="0"/>
            <w:vAlign w:val="center"/>
          </w:tcPr>
          <w:p>
            <w:pPr>
              <w:pStyle w:val="2"/>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招标文件要求</w:t>
            </w:r>
          </w:p>
        </w:tc>
        <w:tc>
          <w:tcPr>
            <w:tcW w:w="1855" w:type="dxa"/>
            <w:noWrap w:val="0"/>
            <w:vAlign w:val="center"/>
          </w:tcPr>
          <w:p>
            <w:pPr>
              <w:pStyle w:val="2"/>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应答</w:t>
            </w:r>
          </w:p>
        </w:tc>
        <w:tc>
          <w:tcPr>
            <w:tcW w:w="1856" w:type="dxa"/>
            <w:noWrap w:val="0"/>
            <w:vAlign w:val="center"/>
          </w:tcPr>
          <w:p>
            <w:pPr>
              <w:pStyle w:val="2"/>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偏离说明（如有偏离，请说明偏离理由，不允许负偏离）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6" w:type="dxa"/>
            <w:noWrap w:val="0"/>
            <w:vAlign w:val="top"/>
          </w:tcPr>
          <w:p>
            <w:pPr>
              <w:pStyle w:val="2"/>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6" w:type="dxa"/>
            <w:noWrap w:val="0"/>
            <w:vAlign w:val="top"/>
          </w:tcPr>
          <w:p>
            <w:pPr>
              <w:pStyle w:val="2"/>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6" w:type="dxa"/>
            <w:noWrap w:val="0"/>
            <w:vAlign w:val="top"/>
          </w:tcPr>
          <w:p>
            <w:pPr>
              <w:pStyle w:val="2"/>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6" w:type="dxa"/>
            <w:noWrap w:val="0"/>
            <w:vAlign w:val="top"/>
          </w:tcPr>
          <w:p>
            <w:pPr>
              <w:pStyle w:val="2"/>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p>
            <w:pPr>
              <w:pStyle w:val="2"/>
              <w:spacing w:line="360" w:lineRule="auto"/>
              <w:rPr>
                <w:rFonts w:hint="eastAsia" w:ascii="仿宋" w:hAnsi="仿宋" w:eastAsia="仿宋" w:cs="仿宋"/>
                <w:sz w:val="24"/>
                <w:szCs w:val="24"/>
                <w:highlight w:val="none"/>
              </w:rPr>
            </w:pPr>
          </w:p>
        </w:tc>
        <w:tc>
          <w:tcPr>
            <w:tcW w:w="1855" w:type="dxa"/>
            <w:noWrap w:val="0"/>
            <w:vAlign w:val="top"/>
          </w:tcPr>
          <w:p>
            <w:pPr>
              <w:pStyle w:val="2"/>
              <w:spacing w:line="360" w:lineRule="auto"/>
              <w:rPr>
                <w:rFonts w:hint="eastAsia" w:ascii="仿宋" w:hAnsi="仿宋" w:eastAsia="仿宋" w:cs="仿宋"/>
                <w:sz w:val="24"/>
                <w:szCs w:val="24"/>
                <w:highlight w:val="none"/>
              </w:rPr>
            </w:pPr>
          </w:p>
        </w:tc>
        <w:tc>
          <w:tcPr>
            <w:tcW w:w="1856" w:type="dxa"/>
            <w:noWrap w:val="0"/>
            <w:vAlign w:val="top"/>
          </w:tcPr>
          <w:p>
            <w:pPr>
              <w:pStyle w:val="2"/>
              <w:spacing w:line="360" w:lineRule="auto"/>
              <w:rPr>
                <w:rFonts w:hint="eastAsia" w:ascii="仿宋" w:hAnsi="仿宋" w:eastAsia="仿宋" w:cs="仿宋"/>
                <w:sz w:val="24"/>
                <w:szCs w:val="24"/>
                <w:highlight w:val="none"/>
              </w:rPr>
            </w:pPr>
          </w:p>
        </w:tc>
      </w:tr>
    </w:tbl>
    <w:p>
      <w:pPr>
        <w:spacing w:line="360" w:lineRule="auto"/>
        <w:rPr>
          <w:rFonts w:hint="eastAsia" w:ascii="仿宋" w:hAnsi="仿宋" w:eastAsia="仿宋" w:cs="仿宋"/>
          <w:sz w:val="24"/>
          <w:szCs w:val="24"/>
          <w:highlight w:val="none"/>
        </w:rPr>
      </w:pPr>
    </w:p>
    <w:p>
      <w:pPr>
        <w:pageBreakBefore w:val="0"/>
        <w:kinsoku/>
        <w:wordWrap/>
        <w:overflowPunct/>
        <w:topLinePunct w:val="0"/>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投标人名称：    （加盖公章）            </w:t>
      </w:r>
    </w:p>
    <w:p>
      <w:pPr>
        <w:pageBreakBefore w:val="0"/>
        <w:kinsoku/>
        <w:wordWrap/>
        <w:overflowPunct/>
        <w:topLinePunct w:val="0"/>
        <w:bidi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法定代表人签字或盖章：</w:t>
      </w:r>
    </w:p>
    <w:p>
      <w:pPr>
        <w:pageBreakBefore w:val="0"/>
        <w:kinsoku/>
        <w:wordWrap/>
        <w:overflowPunct/>
        <w:topLinePunct w:val="0"/>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授权代表签字或盖章：                 </w:t>
      </w:r>
    </w:p>
    <w:p>
      <w:pPr>
        <w:pStyle w:val="8"/>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highlight w:val="none"/>
        </w:rPr>
        <w:t>签署日期：        年     月     日</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jc w:val="both"/>
        <w:textAlignment w:val="auto"/>
        <w:outlineLvl w:val="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2"/>
        <w:rPr>
          <w:rFonts w:hint="eastAsia" w:ascii="仿宋" w:hAnsi="仿宋" w:eastAsia="仿宋" w:cs="仿宋"/>
          <w:color w:val="auto"/>
          <w:sz w:val="24"/>
          <w:szCs w:val="24"/>
          <w:highlight w:val="none"/>
          <w:lang w:val="en-US" w:eastAsia="zh-CN"/>
        </w:rPr>
      </w:pPr>
    </w:p>
    <w:p>
      <w:pPr>
        <w:pStyle w:val="13"/>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2"/>
        <w:rPr>
          <w:rFonts w:hint="eastAsia" w:ascii="仿宋" w:hAnsi="仿宋" w:eastAsia="仿宋" w:cs="仿宋"/>
          <w:color w:val="auto"/>
          <w:sz w:val="24"/>
          <w:szCs w:val="24"/>
          <w:highlight w:val="none"/>
          <w:lang w:val="en-US" w:eastAsia="zh-CN"/>
        </w:rPr>
      </w:pPr>
    </w:p>
    <w:p>
      <w:pPr>
        <w:pStyle w:val="13"/>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2"/>
        <w:rPr>
          <w:rFonts w:hint="eastAsia" w:ascii="仿宋" w:hAnsi="仿宋" w:eastAsia="仿宋" w:cs="仿宋"/>
          <w:color w:val="auto"/>
          <w:sz w:val="24"/>
          <w:szCs w:val="24"/>
          <w:highlight w:val="none"/>
          <w:lang w:val="en-US" w:eastAsia="zh-CN"/>
        </w:rPr>
      </w:pPr>
    </w:p>
    <w:p>
      <w:pPr>
        <w:pStyle w:val="13"/>
        <w:rPr>
          <w:rFonts w:hint="eastAsia" w:ascii="仿宋" w:hAnsi="仿宋" w:eastAsia="仿宋" w:cs="仿宋"/>
          <w:color w:val="auto"/>
          <w:sz w:val="24"/>
          <w:szCs w:val="24"/>
          <w:highlight w:val="none"/>
          <w:lang w:val="en-US" w:eastAsia="zh-CN"/>
        </w:rPr>
      </w:pPr>
    </w:p>
    <w:p>
      <w:pPr>
        <w:rPr>
          <w:rFonts w:hint="eastAsia"/>
          <w:lang w:val="en-US" w:eastAsia="zh-CN"/>
        </w:rPr>
      </w:pP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jc w:val="both"/>
        <w:textAlignment w:val="auto"/>
        <w:rPr>
          <w:rFonts w:hint="eastAsia" w:ascii="仿宋" w:hAnsi="仿宋" w:eastAsia="仿宋" w:cs="仿宋"/>
          <w:color w:val="auto"/>
          <w:sz w:val="24"/>
          <w:szCs w:val="24"/>
          <w:highlight w:val="none"/>
        </w:rPr>
      </w:pPr>
      <w:bookmarkStart w:id="330" w:name="_Toc13691"/>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法人或者非法人组织的营业执照等证明文件</w:t>
      </w:r>
      <w:bookmarkEnd w:id="326"/>
      <w:bookmarkStart w:id="331" w:name="_Toc515647806"/>
      <w:r>
        <w:rPr>
          <w:rFonts w:hint="eastAsia" w:ascii="仿宋" w:hAnsi="仿宋" w:eastAsia="仿宋" w:cs="仿宋"/>
          <w:color w:val="auto"/>
          <w:sz w:val="24"/>
          <w:szCs w:val="24"/>
          <w:highlight w:val="none"/>
        </w:rPr>
        <w:t>或自然人的身份证明</w:t>
      </w:r>
      <w:bookmarkEnd w:id="327"/>
      <w:bookmarkEnd w:id="328"/>
      <w:bookmarkEnd w:id="329"/>
      <w:bookmarkEnd w:id="330"/>
      <w:bookmarkEnd w:id="331"/>
    </w:p>
    <w:p>
      <w:pPr>
        <w:pStyle w:val="15"/>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jc w:val="center"/>
        <w:rPr>
          <w:rFonts w:hint="eastAsia" w:ascii="仿宋" w:hAnsi="仿宋" w:eastAsia="仿宋" w:cs="仿宋"/>
          <w:b/>
          <w:color w:val="auto"/>
          <w:sz w:val="24"/>
          <w:szCs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b/>
          <w:color w:val="auto"/>
          <w:sz w:val="24"/>
          <w:szCs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b/>
          <w:color w:val="auto"/>
          <w:sz w:val="24"/>
          <w:szCs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说明：1.提供有效的营业执照等证明文件复印件，复印件上应加盖本单位章。</w:t>
      </w:r>
    </w:p>
    <w:p>
      <w:pPr>
        <w:pStyle w:val="15"/>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投标人为自然人的，应提供身份证明的复印件。</w:t>
      </w:r>
    </w:p>
    <w:p>
      <w:pPr>
        <w:pStyle w:val="15"/>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3.联合体投标应提供联合体各方满足以上要求的证明文件。</w:t>
      </w:r>
    </w:p>
    <w:p>
      <w:pPr>
        <w:pStyle w:val="15"/>
        <w:pageBreakBefore w:val="0"/>
        <w:widowControl w:val="0"/>
        <w:shd w:val="clear" w:color="auto" w:fill="auto"/>
        <w:tabs>
          <w:tab w:val="left" w:pos="5580"/>
        </w:tabs>
        <w:kinsoku/>
        <w:wordWrap/>
        <w:overflowPunct/>
        <w:topLinePunct w:val="0"/>
        <w:autoSpaceDE/>
        <w:autoSpaceDN/>
        <w:bidi w:val="0"/>
        <w:snapToGrid/>
        <w:spacing w:line="360" w:lineRule="auto"/>
        <w:ind w:left="1080" w:leftChars="257" w:hanging="540"/>
        <w:rPr>
          <w:rFonts w:hint="eastAsia" w:ascii="仿宋" w:hAnsi="仿宋" w:eastAsia="仿宋" w:cs="仿宋"/>
          <w:color w:val="auto"/>
          <w:sz w:val="24"/>
          <w:szCs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360" w:lineRule="auto"/>
        <w:rPr>
          <w:rFonts w:hint="eastAsia" w:ascii="仿宋" w:hAnsi="仿宋" w:eastAsia="仿宋" w:cs="仿宋"/>
          <w:color w:val="auto"/>
          <w:sz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360" w:lineRule="auto"/>
        <w:rPr>
          <w:rFonts w:hint="eastAsia" w:ascii="仿宋" w:hAnsi="仿宋" w:eastAsia="仿宋" w:cs="仿宋"/>
          <w:color w:val="auto"/>
          <w:sz w:val="24"/>
          <w:highlight w:val="none"/>
        </w:rPr>
      </w:pPr>
    </w:p>
    <w:p>
      <w:pPr>
        <w:pStyle w:val="15"/>
        <w:shd w:val="clear" w:color="auto" w:fill="auto"/>
        <w:tabs>
          <w:tab w:val="left" w:pos="5580"/>
        </w:tabs>
        <w:spacing w:line="360" w:lineRule="auto"/>
        <w:rPr>
          <w:rFonts w:hint="eastAsia" w:ascii="仿宋" w:hAnsi="仿宋" w:eastAsia="仿宋" w:cs="仿宋"/>
          <w:color w:val="auto"/>
          <w:sz w:val="24"/>
          <w:highlight w:val="none"/>
        </w:rPr>
      </w:pPr>
    </w:p>
    <w:p>
      <w:pPr>
        <w:pStyle w:val="15"/>
        <w:shd w:val="clear" w:color="auto" w:fill="auto"/>
        <w:tabs>
          <w:tab w:val="left" w:pos="5580"/>
        </w:tabs>
        <w:spacing w:line="360" w:lineRule="auto"/>
        <w:rPr>
          <w:rFonts w:hint="eastAsia" w:ascii="仿宋" w:hAnsi="仿宋" w:eastAsia="仿宋" w:cs="仿宋"/>
          <w:color w:val="auto"/>
          <w:sz w:val="24"/>
          <w:highlight w:val="none"/>
        </w:rPr>
      </w:pPr>
    </w:p>
    <w:p>
      <w:pPr>
        <w:pStyle w:val="15"/>
        <w:shd w:val="clear" w:color="auto" w:fill="auto"/>
        <w:tabs>
          <w:tab w:val="left" w:pos="5580"/>
        </w:tabs>
        <w:spacing w:line="360" w:lineRule="auto"/>
        <w:rPr>
          <w:rFonts w:hint="eastAsia" w:ascii="仿宋" w:hAnsi="仿宋" w:eastAsia="仿宋" w:cs="仿宋"/>
          <w:color w:val="auto"/>
          <w:sz w:val="24"/>
          <w:highlight w:val="none"/>
        </w:rPr>
      </w:pPr>
    </w:p>
    <w:p>
      <w:pPr>
        <w:pStyle w:val="15"/>
        <w:shd w:val="clear" w:color="auto" w:fill="auto"/>
        <w:tabs>
          <w:tab w:val="left" w:pos="5580"/>
        </w:tabs>
        <w:spacing w:line="360" w:lineRule="auto"/>
        <w:rPr>
          <w:rFonts w:hint="eastAsia" w:ascii="仿宋" w:hAnsi="仿宋" w:eastAsia="仿宋" w:cs="仿宋"/>
          <w:color w:val="auto"/>
          <w:sz w:val="24"/>
          <w:highlight w:val="none"/>
        </w:rPr>
      </w:pPr>
    </w:p>
    <w:p>
      <w:pPr>
        <w:pStyle w:val="15"/>
        <w:shd w:val="clear" w:color="auto" w:fill="auto"/>
        <w:tabs>
          <w:tab w:val="left" w:pos="5580"/>
        </w:tabs>
        <w:spacing w:line="360" w:lineRule="auto"/>
        <w:rPr>
          <w:rFonts w:hint="eastAsia" w:ascii="仿宋" w:hAnsi="仿宋" w:eastAsia="仿宋" w:cs="仿宋"/>
          <w:color w:val="auto"/>
          <w:sz w:val="24"/>
          <w:highlight w:val="none"/>
        </w:rPr>
      </w:pPr>
    </w:p>
    <w:p>
      <w:pPr>
        <w:pStyle w:val="15"/>
        <w:shd w:val="clear" w:color="auto" w:fill="auto"/>
        <w:tabs>
          <w:tab w:val="left" w:pos="5580"/>
        </w:tabs>
        <w:spacing w:line="360" w:lineRule="auto"/>
        <w:rPr>
          <w:rFonts w:hint="eastAsia" w:ascii="仿宋" w:hAnsi="仿宋" w:eastAsia="仿宋" w:cs="仿宋"/>
          <w:color w:val="auto"/>
          <w:sz w:val="24"/>
          <w:highlight w:val="none"/>
        </w:rPr>
      </w:pPr>
    </w:p>
    <w:p>
      <w:pPr>
        <w:pStyle w:val="15"/>
        <w:shd w:val="clear" w:color="auto" w:fill="auto"/>
        <w:tabs>
          <w:tab w:val="left" w:pos="5580"/>
        </w:tabs>
        <w:spacing w:line="360" w:lineRule="auto"/>
        <w:ind w:left="1080" w:leftChars="257" w:hanging="540"/>
        <w:jc w:val="center"/>
        <w:rPr>
          <w:rFonts w:hint="eastAsia" w:ascii="仿宋" w:hAnsi="仿宋" w:eastAsia="仿宋" w:cs="仿宋"/>
          <w:color w:val="auto"/>
          <w:sz w:val="24"/>
          <w:highlight w:val="none"/>
        </w:rPr>
      </w:pPr>
      <w:bookmarkStart w:id="332" w:name="_Toc515647808"/>
      <w:bookmarkStart w:id="333" w:name="_Toc32520"/>
      <w:bookmarkStart w:id="334" w:name="_Toc7039"/>
    </w:p>
    <w:p>
      <w:pPr>
        <w:pStyle w:val="4"/>
        <w:numPr>
          <w:ilvl w:val="0"/>
          <w:numId w:val="0"/>
        </w:numPr>
        <w:shd w:val="clear" w:color="auto" w:fill="auto"/>
        <w:spacing w:before="0" w:line="360" w:lineRule="auto"/>
        <w:ind w:leftChars="257"/>
        <w:outlineLvl w:val="9"/>
        <w:rPr>
          <w:rFonts w:hint="eastAsia" w:ascii="仿宋" w:hAnsi="仿宋" w:eastAsia="仿宋" w:cs="仿宋"/>
          <w:color w:val="auto"/>
          <w:sz w:val="24"/>
          <w:highlight w:val="none"/>
        </w:rPr>
      </w:pPr>
      <w:bookmarkStart w:id="335" w:name="_Toc22472"/>
      <w:bookmarkStart w:id="336" w:name="_Toc515647807"/>
      <w:bookmarkStart w:id="337" w:name="_Toc23503"/>
      <w:bookmarkStart w:id="338" w:name="_Toc1083"/>
    </w:p>
    <w:p>
      <w:pPr>
        <w:shd w:val="clear" w:color="auto" w:fill="auto"/>
        <w:spacing w:line="360" w:lineRule="auto"/>
        <w:rPr>
          <w:rFonts w:hint="eastAsia" w:ascii="仿宋" w:hAnsi="仿宋" w:eastAsia="仿宋" w:cs="仿宋"/>
          <w:color w:val="auto"/>
          <w:sz w:val="24"/>
          <w:highlight w:val="none"/>
        </w:rPr>
      </w:pPr>
    </w:p>
    <w:p>
      <w:pPr>
        <w:pStyle w:val="66"/>
        <w:shd w:val="clear" w:color="auto" w:fill="auto"/>
        <w:spacing w:line="360" w:lineRule="auto"/>
        <w:ind w:left="0" w:leftChars="0" w:firstLine="0" w:firstLineChars="0"/>
        <w:rPr>
          <w:rFonts w:hint="eastAsia" w:ascii="仿宋" w:hAnsi="仿宋" w:eastAsia="仿宋" w:cs="仿宋"/>
          <w:color w:val="auto"/>
          <w:sz w:val="24"/>
          <w:highlight w:val="none"/>
        </w:rPr>
      </w:pP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textAlignment w:val="auto"/>
        <w:outlineLvl w:val="9"/>
        <w:rPr>
          <w:rFonts w:hint="eastAsia" w:ascii="仿宋" w:hAnsi="仿宋" w:eastAsia="仿宋" w:cs="仿宋"/>
          <w:color w:val="auto"/>
          <w:sz w:val="24"/>
          <w:highlight w:val="none"/>
        </w:rPr>
      </w:pPr>
      <w:bookmarkStart w:id="339" w:name="_Toc30244"/>
    </w:p>
    <w:p>
      <w:pPr>
        <w:rPr>
          <w:rFonts w:hint="eastAsia" w:ascii="仿宋" w:hAnsi="仿宋" w:eastAsia="仿宋" w:cs="仿宋"/>
          <w:color w:val="auto"/>
          <w:sz w:val="24"/>
          <w:highlight w:val="none"/>
        </w:rPr>
      </w:pPr>
    </w:p>
    <w:p>
      <w:pPr>
        <w:pStyle w:val="12"/>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12"/>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12"/>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rPr>
          <w:rFonts w:hint="eastAsia"/>
        </w:rPr>
      </w:pP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jc w:val="both"/>
        <w:textAlignment w:val="auto"/>
        <w:rPr>
          <w:rFonts w:hint="eastAsia" w:ascii="仿宋" w:hAnsi="仿宋" w:eastAsia="仿宋" w:cs="仿宋"/>
          <w:color w:val="auto"/>
          <w:sz w:val="24"/>
          <w:highlight w:val="none"/>
        </w:rPr>
      </w:pPr>
      <w:bookmarkStart w:id="340" w:name="_Toc23102"/>
      <w:r>
        <w:rPr>
          <w:rFonts w:hint="eastAsia" w:ascii="仿宋" w:hAnsi="仿宋" w:eastAsia="仿宋" w:cs="仿宋"/>
          <w:color w:val="auto"/>
          <w:sz w:val="24"/>
          <w:highlight w:val="none"/>
        </w:rPr>
        <w:t xml:space="preserve">3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法定代表人资格证明书</w:t>
      </w:r>
      <w:bookmarkEnd w:id="340"/>
    </w:p>
    <w:p>
      <w:pPr>
        <w:spacing w:line="360" w:lineRule="auto"/>
        <w:rPr>
          <w:rFonts w:hint="eastAsia" w:ascii="仿宋" w:hAnsi="仿宋" w:eastAsia="仿宋" w:cs="仿宋"/>
          <w:color w:val="auto"/>
          <w:sz w:val="24"/>
          <w:highlight w:val="none"/>
        </w:rPr>
      </w:pPr>
    </w:p>
    <w:p>
      <w:pPr>
        <w:pStyle w:val="12"/>
        <w:spacing w:line="360" w:lineRule="auto"/>
        <w:rPr>
          <w:rFonts w:hint="eastAsia" w:ascii="仿宋" w:hAnsi="仿宋" w:eastAsia="仿宋" w:cs="仿宋"/>
        </w:rPr>
      </w:pP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投标单位名称：</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单位性质：</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地址：</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经营期限：</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姓名：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性别：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年龄：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职务：</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身份证号码：</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（投标单位名称）的法定代表人。</w:t>
      </w:r>
    </w:p>
    <w:p>
      <w:pPr>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pPr>
        <w:pStyle w:val="12"/>
        <w:kinsoku w:val="0"/>
        <w:overflowPunct w:val="0"/>
        <w:spacing w:before="0" w:beforeAutospacing="0" w:after="0" w:afterAutospacing="0" w:line="360" w:lineRule="auto"/>
        <w:rPr>
          <w:rFonts w:hint="eastAsia" w:ascii="仿宋" w:hAnsi="仿宋" w:eastAsia="仿宋" w:cs="仿宋"/>
          <w:color w:val="auto"/>
          <w:sz w:val="25"/>
          <w:szCs w:val="25"/>
          <w:highlight w:val="none"/>
        </w:rPr>
      </w:pPr>
    </w:p>
    <w:p>
      <w:pPr>
        <w:pStyle w:val="12"/>
        <w:kinsoku w:val="0"/>
        <w:overflowPunct w:val="0"/>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g">
            <w:drawing>
              <wp:inline distT="0" distB="0" distL="114300" distR="114300">
                <wp:extent cx="5136515" cy="1458595"/>
                <wp:effectExtent l="0" t="0" r="0" b="0"/>
                <wp:docPr id="17" name="组合 17"/>
                <wp:cNvGraphicFramePr/>
                <a:graphic xmlns:a="http://schemas.openxmlformats.org/drawingml/2006/main">
                  <a:graphicData uri="http://schemas.microsoft.com/office/word/2010/wordprocessingGroup">
                    <wpg:wgp>
                      <wpg:cNvGrpSpPr/>
                      <wpg:grpSpPr>
                        <a:xfrm>
                          <a:off x="0" y="0"/>
                          <a:ext cx="5136515" cy="1458595"/>
                          <a:chOff x="0" y="0"/>
                          <a:chExt cx="5136515" cy="1458595"/>
                        </a:xfrm>
                        <a:effectLst/>
                      </wpg:grpSpPr>
                      <wps:wsp>
                        <wps:cNvPr id="31" name="任意多边形 5"/>
                        <wps:cNvSpPr/>
                        <wps:spPr>
                          <a:xfrm>
                            <a:off x="0" y="0"/>
                            <a:ext cx="0" cy="0"/>
                          </a:xfrm>
                          <a:custGeom>
                            <a:avLst/>
                            <a:gdLst/>
                            <a:ahLst/>
                            <a:cxnLst/>
                            <a:pathLst>
                              <a:path w="8079" h="20">
                                <a:moveTo>
                                  <a:pt x="0" y="0"/>
                                </a:moveTo>
                                <a:lnTo>
                                  <a:pt x="8078" y="0"/>
                                </a:lnTo>
                              </a:path>
                            </a:pathLst>
                          </a:custGeom>
                          <a:noFill/>
                          <a:ln w="6096" cap="flat" cmpd="sng">
                            <a:solidFill>
                              <a:srgbClr val="000000"/>
                            </a:solidFill>
                            <a:prstDash val="solid"/>
                            <a:round/>
                            <a:headEnd type="none" w="med" len="med"/>
                            <a:tailEnd type="none" w="med" len="med"/>
                          </a:ln>
                          <a:effectLst/>
                        </wps:spPr>
                        <wps:bodyPr upright="1"/>
                      </wps:wsp>
                      <wps:wsp>
                        <wps:cNvPr id="32" name="任意多边形 6"/>
                        <wps:cNvSpPr/>
                        <wps:spPr>
                          <a:xfrm>
                            <a:off x="0" y="0"/>
                            <a:ext cx="0" cy="0"/>
                          </a:xfrm>
                          <a:custGeom>
                            <a:avLst/>
                            <a:gdLst/>
                            <a:ahLst/>
                            <a:cxnLst/>
                            <a:pathLst>
                              <a:path w="8041" h="20">
                                <a:moveTo>
                                  <a:pt x="0" y="0"/>
                                </a:moveTo>
                                <a:lnTo>
                                  <a:pt x="8040" y="0"/>
                                </a:lnTo>
                              </a:path>
                            </a:pathLst>
                          </a:custGeom>
                          <a:noFill/>
                          <a:ln w="6096" cap="flat" cmpd="sng">
                            <a:solidFill>
                              <a:srgbClr val="000000"/>
                            </a:solidFill>
                            <a:prstDash val="solid"/>
                            <a:round/>
                            <a:headEnd type="none" w="med" len="med"/>
                            <a:tailEnd type="none" w="med" len="med"/>
                          </a:ln>
                          <a:effectLst/>
                        </wps:spPr>
                        <wps:bodyPr upright="1"/>
                      </wps:wsp>
                      <wps:wsp>
                        <wps:cNvPr id="7" name="任意多边形 7"/>
                        <wps:cNvSpPr/>
                        <wps:spPr>
                          <a:xfrm>
                            <a:off x="0" y="0"/>
                            <a:ext cx="0" cy="0"/>
                          </a:xfrm>
                          <a:custGeom>
                            <a:avLst/>
                            <a:gdLst/>
                            <a:ahLst/>
                            <a:cxnLst/>
                            <a:pathLst>
                              <a:path w="8041" h="20">
                                <a:moveTo>
                                  <a:pt x="0" y="0"/>
                                </a:moveTo>
                                <a:lnTo>
                                  <a:pt x="8040" y="0"/>
                                </a:lnTo>
                              </a:path>
                            </a:pathLst>
                          </a:custGeom>
                          <a:noFill/>
                          <a:ln w="6096" cap="flat" cmpd="sng">
                            <a:solidFill>
                              <a:srgbClr val="000000"/>
                            </a:solidFill>
                            <a:prstDash val="solid"/>
                            <a:round/>
                            <a:headEnd type="none" w="med" len="med"/>
                            <a:tailEnd type="none" w="med" len="med"/>
                          </a:ln>
                          <a:effectLst/>
                        </wps:spPr>
                        <wps:bodyPr upright="1"/>
                      </wps:wsp>
                      <wps:wsp>
                        <wps:cNvPr id="33" name="任意多边形 8"/>
                        <wps:cNvSpPr/>
                        <wps:spPr>
                          <a:xfrm>
                            <a:off x="0" y="0"/>
                            <a:ext cx="0" cy="0"/>
                          </a:xfrm>
                          <a:custGeom>
                            <a:avLst/>
                            <a:gdLst/>
                            <a:ahLst/>
                            <a:cxnLst/>
                            <a:pathLst>
                              <a:path w="8079" h="20">
                                <a:moveTo>
                                  <a:pt x="0" y="0"/>
                                </a:moveTo>
                                <a:lnTo>
                                  <a:pt x="8078" y="0"/>
                                </a:lnTo>
                              </a:path>
                            </a:pathLst>
                          </a:custGeom>
                          <a:noFill/>
                          <a:ln w="6096" cap="flat" cmpd="sng">
                            <a:solidFill>
                              <a:srgbClr val="000000"/>
                            </a:solidFill>
                            <a:prstDash val="solid"/>
                            <a:round/>
                            <a:headEnd type="none" w="med" len="med"/>
                            <a:tailEnd type="none" w="med" len="med"/>
                          </a:ln>
                          <a:effectLst/>
                        </wps:spPr>
                        <wps:bodyPr upright="1"/>
                      </wps:wsp>
                      <wps:wsp>
                        <wps:cNvPr id="9" name="任意多边形 9"/>
                        <wps:cNvSpPr/>
                        <wps:spPr>
                          <a:xfrm>
                            <a:off x="0" y="0"/>
                            <a:ext cx="0" cy="0"/>
                          </a:xfrm>
                          <a:custGeom>
                            <a:avLst/>
                            <a:gdLst/>
                            <a:ahLst/>
                            <a:cxnLst/>
                            <a:pathLst>
                              <a:path w="20" h="2287">
                                <a:moveTo>
                                  <a:pt x="0" y="0"/>
                                </a:moveTo>
                                <a:lnTo>
                                  <a:pt x="0" y="2286"/>
                                </a:lnTo>
                              </a:path>
                            </a:pathLst>
                          </a:custGeom>
                          <a:noFill/>
                          <a:ln w="6096" cap="flat" cmpd="sng">
                            <a:solidFill>
                              <a:srgbClr val="000000"/>
                            </a:solidFill>
                            <a:prstDash val="solid"/>
                            <a:round/>
                            <a:headEnd type="none" w="med" len="med"/>
                            <a:tailEnd type="none" w="med" len="med"/>
                          </a:ln>
                          <a:effectLst/>
                        </wps:spPr>
                        <wps:bodyPr upright="1"/>
                      </wps:wsp>
                      <wps:wsp>
                        <wps:cNvPr id="34" name="任意多边形 10"/>
                        <wps:cNvSpPr/>
                        <wps:spPr>
                          <a:xfrm>
                            <a:off x="0" y="0"/>
                            <a:ext cx="0" cy="0"/>
                          </a:xfrm>
                          <a:custGeom>
                            <a:avLst/>
                            <a:gdLst/>
                            <a:ahLst/>
                            <a:cxnLst/>
                            <a:pathLst>
                              <a:path w="20" h="2249">
                                <a:moveTo>
                                  <a:pt x="0" y="0"/>
                                </a:moveTo>
                                <a:lnTo>
                                  <a:pt x="0" y="2248"/>
                                </a:lnTo>
                              </a:path>
                            </a:pathLst>
                          </a:custGeom>
                          <a:noFill/>
                          <a:ln w="6096" cap="flat" cmpd="sng">
                            <a:solidFill>
                              <a:srgbClr val="000000"/>
                            </a:solidFill>
                            <a:prstDash val="solid"/>
                            <a:round/>
                            <a:headEnd type="none" w="med" len="med"/>
                            <a:tailEnd type="none" w="med" len="med"/>
                          </a:ln>
                          <a:effectLst/>
                        </wps:spPr>
                        <wps:bodyPr upright="1"/>
                      </wps:wsp>
                      <wps:wsp>
                        <wps:cNvPr id="11" name="任意多边形 11"/>
                        <wps:cNvSpPr/>
                        <wps:spPr>
                          <a:xfrm>
                            <a:off x="0" y="0"/>
                            <a:ext cx="0" cy="0"/>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a:effectLst/>
                        </wps:spPr>
                        <wps:bodyPr upright="1"/>
                      </wps:wsp>
                      <wps:wsp>
                        <wps:cNvPr id="35" name="任意多边形 12"/>
                        <wps:cNvSpPr/>
                        <wps:spPr>
                          <a:xfrm>
                            <a:off x="0" y="0"/>
                            <a:ext cx="0" cy="0"/>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a:effectLst/>
                        </wps:spPr>
                        <wps:bodyPr upright="1"/>
                      </wps:wsp>
                      <wps:wsp>
                        <wps:cNvPr id="13" name="任意多边形 13"/>
                        <wps:cNvSpPr/>
                        <wps:spPr>
                          <a:xfrm>
                            <a:off x="0" y="0"/>
                            <a:ext cx="0" cy="0"/>
                          </a:xfrm>
                          <a:custGeom>
                            <a:avLst/>
                            <a:gdLst/>
                            <a:ahLst/>
                            <a:cxnLst/>
                            <a:pathLst>
                              <a:path w="20" h="2239">
                                <a:moveTo>
                                  <a:pt x="0" y="0"/>
                                </a:moveTo>
                                <a:lnTo>
                                  <a:pt x="0" y="2238"/>
                                </a:lnTo>
                              </a:path>
                            </a:pathLst>
                          </a:custGeom>
                          <a:noFill/>
                          <a:ln w="6096" cap="flat" cmpd="sng">
                            <a:solidFill>
                              <a:srgbClr val="000000"/>
                            </a:solidFill>
                            <a:prstDash val="solid"/>
                            <a:round/>
                            <a:headEnd type="none" w="med" len="med"/>
                            <a:tailEnd type="none" w="med" len="med"/>
                          </a:ln>
                          <a:effectLst/>
                        </wps:spPr>
                        <wps:bodyPr upright="1"/>
                      </wps:wsp>
                      <wps:wsp>
                        <wps:cNvPr id="14" name="任意多边形 14"/>
                        <wps:cNvSpPr/>
                        <wps:spPr>
                          <a:xfrm>
                            <a:off x="0" y="0"/>
                            <a:ext cx="0" cy="0"/>
                          </a:xfrm>
                          <a:custGeom>
                            <a:avLst/>
                            <a:gdLst/>
                            <a:ahLst/>
                            <a:cxnLst/>
                            <a:pathLst>
                              <a:path w="20" h="2278">
                                <a:moveTo>
                                  <a:pt x="0" y="0"/>
                                </a:moveTo>
                                <a:lnTo>
                                  <a:pt x="0" y="2277"/>
                                </a:lnTo>
                              </a:path>
                            </a:pathLst>
                          </a:custGeom>
                          <a:noFill/>
                          <a:ln w="6096" cap="flat" cmpd="sng">
                            <a:solidFill>
                              <a:srgbClr val="000000"/>
                            </a:solidFill>
                            <a:prstDash val="solid"/>
                            <a:round/>
                            <a:headEnd type="none" w="med" len="med"/>
                            <a:tailEnd type="none" w="med" len="med"/>
                          </a:ln>
                          <a:effectLst/>
                        </wps:spPr>
                        <wps:bodyPr upright="1"/>
                      </wps:wsp>
                      <wps:wsp>
                        <wps:cNvPr id="36" name="文本框 15"/>
                        <wps:cNvSpPr txBox="1"/>
                        <wps:spPr>
                          <a:xfrm>
                            <a:off x="0" y="0"/>
                            <a:ext cx="0" cy="0"/>
                          </a:xfrm>
                          <a:prstGeom prst="rect">
                            <a:avLst/>
                          </a:prstGeom>
                          <a:noFill/>
                          <a:ln>
                            <a:noFill/>
                          </a:ln>
                          <a:effectLst/>
                        </wps:spPr>
                        <wps:txbx>
                          <w:txbxContent>
                            <w:p>
                              <w:pPr>
                                <w:pStyle w:val="12"/>
                                <w:kinsoku w:val="0"/>
                                <w:overflowPunct w:val="0"/>
                                <w:spacing w:before="0"/>
                              </w:pPr>
                            </w:p>
                            <w:p>
                              <w:pPr>
                                <w:pStyle w:val="12"/>
                                <w:kinsoku w:val="0"/>
                                <w:overflowPunct w:val="0"/>
                                <w:spacing w:before="0"/>
                              </w:pPr>
                            </w:p>
                            <w:p>
                              <w:pPr>
                                <w:pStyle w:val="12"/>
                                <w:kinsoku w:val="0"/>
                                <w:overflowPunct w:val="0"/>
                                <w:spacing w:before="13"/>
                                <w:rPr>
                                  <w:sz w:val="28"/>
                                  <w:szCs w:val="28"/>
                                </w:rPr>
                              </w:pPr>
                            </w:p>
                            <w:p>
                              <w:pPr>
                                <w:pStyle w:val="12"/>
                                <w:kinsoku w:val="0"/>
                                <w:overflowPunct w:val="0"/>
                                <w:spacing w:before="0"/>
                                <w:ind w:left="107"/>
                              </w:pPr>
                              <w:r>
                                <w:rPr>
                                  <w:rFonts w:hint="eastAsia"/>
                                </w:rPr>
                                <w:t>法定代表人身份证复印件（正面）</w:t>
                              </w:r>
                            </w:p>
                          </w:txbxContent>
                        </wps:txbx>
                        <wps:bodyPr lIns="0" tIns="0" rIns="0" bIns="0" upright="1"/>
                      </wps:wsp>
                      <wps:wsp>
                        <wps:cNvPr id="16" name="文本框 16"/>
                        <wps:cNvSpPr txBox="1"/>
                        <wps:spPr>
                          <a:xfrm>
                            <a:off x="0" y="0"/>
                            <a:ext cx="0" cy="0"/>
                          </a:xfrm>
                          <a:prstGeom prst="rect">
                            <a:avLst/>
                          </a:prstGeom>
                          <a:noFill/>
                          <a:ln>
                            <a:noFill/>
                          </a:ln>
                          <a:effectLst/>
                        </wps:spPr>
                        <wps:txbx>
                          <w:txbxContent>
                            <w:p>
                              <w:pPr>
                                <w:pStyle w:val="12"/>
                                <w:kinsoku w:val="0"/>
                                <w:overflowPunct w:val="0"/>
                                <w:spacing w:before="0"/>
                              </w:pPr>
                            </w:p>
                            <w:p>
                              <w:pPr>
                                <w:pStyle w:val="12"/>
                                <w:kinsoku w:val="0"/>
                                <w:overflowPunct w:val="0"/>
                                <w:spacing w:before="0"/>
                              </w:pPr>
                            </w:p>
                            <w:p>
                              <w:pPr>
                                <w:pStyle w:val="12"/>
                                <w:kinsoku w:val="0"/>
                                <w:overflowPunct w:val="0"/>
                                <w:spacing w:before="13"/>
                                <w:rPr>
                                  <w:sz w:val="28"/>
                                  <w:szCs w:val="28"/>
                                </w:rPr>
                              </w:pPr>
                            </w:p>
                            <w:p>
                              <w:pPr>
                                <w:pStyle w:val="12"/>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5136515,1458595"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">
                <o:lock v:ext="edit" aspectratio="f"/>
                <v:shape id="任意多边形 5" o:spid="_x0000_s1026" o:spt="100" style="position:absolute;left:0;top:0;height:0;width:0;" filled="f" stroked="t" coordsize="8079,20" o:gfxdata="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XNs9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6" o:spid="_x0000_s1026" o:spt="100" style="position:absolute;left:0;top:0;height:0;width:0;" filled="f" stroked="t" coordsize="8041,20" o:gfxdata="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DBa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0;top:0;height:0;width:0;" filled="f" stroked="t" coordsize="8041,20" o:gfxdata="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aV2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8" o:spid="_x0000_s1026" o:spt="100" style="position:absolute;left:0;top:0;height:0;width:0;"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0;top:0;height:0;width:0;" filled="f" stroked="t" coordsize="20,2287" o:gfxdata="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q4cHb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任意多边形 10" o:spid="_x0000_s1026" o:spt="100" style="position:absolute;left:0;top:0;height:0;width:0;" filled="f" stroked="t" coordsize="20,2249" o:gfxdata="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1oTt&#10;wAAAANs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0;top:0;height:0;width:0;" filled="f" stroked="t" coordsize="20,2239" o:gfxdata="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iKBC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12" o:spid="_x0000_s1026" o:spt="100" style="position:absolute;left:0;top:0;height:0;width:0;" filled="f" stroked="t" coordsize="20,2239" o:gfxdata="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LHJzugAAANs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0;top:0;height:0;width:0;" filled="f" stroked="t" coordsize="20,2239" o:gfxdata="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TwT/L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0;top:0;height:0;width:0;" filled="f" stroked="t" coordsize="20,2278" o:gfxdata="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rJoa8AAAA&#10;2w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文本框 15" o:spid="_x0000_s1026" o:spt="202" type="#_x0000_t202" style="position:absolute;left:0;top:0;height:0;width: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12"/>
                          <w:kinsoku w:val="0"/>
                          <w:overflowPunct w:val="0"/>
                          <w:spacing w:before="0"/>
                        </w:pPr>
                      </w:p>
                      <w:p>
                        <w:pPr>
                          <w:pStyle w:val="12"/>
                          <w:kinsoku w:val="0"/>
                          <w:overflowPunct w:val="0"/>
                          <w:spacing w:before="0"/>
                        </w:pPr>
                      </w:p>
                      <w:p>
                        <w:pPr>
                          <w:pStyle w:val="12"/>
                          <w:kinsoku w:val="0"/>
                          <w:overflowPunct w:val="0"/>
                          <w:spacing w:before="13"/>
                          <w:rPr>
                            <w:sz w:val="28"/>
                            <w:szCs w:val="28"/>
                          </w:rPr>
                        </w:pPr>
                      </w:p>
                      <w:p>
                        <w:pPr>
                          <w:pStyle w:val="12"/>
                          <w:kinsoku w:val="0"/>
                          <w:overflowPunct w:val="0"/>
                          <w:spacing w:before="0"/>
                          <w:ind w:left="107"/>
                        </w:pPr>
                        <w:r>
                          <w:rPr>
                            <w:rFonts w:hint="eastAsia"/>
                          </w:rPr>
                          <w:t>法定代表人身份证复印件（正面）</w:t>
                        </w:r>
                      </w:p>
                    </w:txbxContent>
                  </v:textbox>
                </v:shape>
                <v:shape id="_x0000_s1026" o:spid="_x0000_s1026" o:spt="202" type="#_x0000_t202" style="position:absolute;left:0;top:0;height:0;width:0;"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12"/>
                          <w:kinsoku w:val="0"/>
                          <w:overflowPunct w:val="0"/>
                          <w:spacing w:before="0"/>
                        </w:pPr>
                      </w:p>
                      <w:p>
                        <w:pPr>
                          <w:pStyle w:val="12"/>
                          <w:kinsoku w:val="0"/>
                          <w:overflowPunct w:val="0"/>
                          <w:spacing w:before="0"/>
                        </w:pPr>
                      </w:p>
                      <w:p>
                        <w:pPr>
                          <w:pStyle w:val="12"/>
                          <w:kinsoku w:val="0"/>
                          <w:overflowPunct w:val="0"/>
                          <w:spacing w:before="13"/>
                          <w:rPr>
                            <w:sz w:val="28"/>
                            <w:szCs w:val="28"/>
                          </w:rPr>
                        </w:pPr>
                      </w:p>
                      <w:p>
                        <w:pPr>
                          <w:pStyle w:val="12"/>
                          <w:kinsoku w:val="0"/>
                          <w:overflowPunct w:val="0"/>
                          <w:spacing w:before="0"/>
                          <w:ind w:left="107"/>
                        </w:pPr>
                        <w:r>
                          <w:rPr>
                            <w:rFonts w:hint="eastAsia"/>
                          </w:rPr>
                          <w:t>法定代表人身份证复印件（反面）</w:t>
                        </w:r>
                      </w:p>
                    </w:txbxContent>
                  </v:textbox>
                </v:shape>
                <w10:wrap type="none"/>
                <w10:anchorlock/>
              </v:group>
            </w:pict>
          </mc:Fallback>
        </mc:AlternateContent>
      </w:r>
    </w:p>
    <w:p>
      <w:pPr>
        <w:wordWrap w:val="0"/>
        <w:spacing w:line="360" w:lineRule="auto"/>
        <w:ind w:firstLine="480" w:firstLineChars="200"/>
        <w:jc w:val="right"/>
        <w:rPr>
          <w:rFonts w:hint="eastAsia" w:ascii="仿宋" w:hAnsi="仿宋" w:eastAsia="仿宋" w:cs="仿宋"/>
          <w:color w:val="auto"/>
          <w:kern w:val="0"/>
          <w:sz w:val="24"/>
          <w:szCs w:val="24"/>
          <w:highlight w:val="none"/>
        </w:rPr>
      </w:pPr>
    </w:p>
    <w:p>
      <w:pPr>
        <w:spacing w:line="360" w:lineRule="auto"/>
        <w:ind w:firstLine="480" w:firstLineChars="200"/>
        <w:jc w:val="right"/>
        <w:rPr>
          <w:rFonts w:hint="eastAsia" w:ascii="仿宋" w:hAnsi="仿宋" w:eastAsia="仿宋" w:cs="仿宋"/>
          <w:color w:val="auto"/>
          <w:kern w:val="0"/>
          <w:sz w:val="24"/>
          <w:szCs w:val="24"/>
          <w:highlight w:val="none"/>
        </w:rPr>
      </w:pPr>
    </w:p>
    <w:p>
      <w:pPr>
        <w:spacing w:line="360" w:lineRule="auto"/>
        <w:ind w:firstLine="480" w:firstLineChars="20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w:t>
      </w:r>
      <w:r>
        <w:rPr>
          <w:rFonts w:hint="eastAsia" w:ascii="仿宋" w:hAnsi="仿宋" w:eastAsia="仿宋" w:cs="仿宋"/>
          <w:color w:val="auto"/>
          <w:kern w:val="0"/>
          <w:sz w:val="24"/>
          <w:szCs w:val="24"/>
          <w:highlight w:val="none"/>
          <w:lang w:eastAsia="zh-CN"/>
        </w:rPr>
        <w:t>单位</w:t>
      </w:r>
      <w:r>
        <w:rPr>
          <w:rFonts w:hint="eastAsia" w:ascii="仿宋" w:hAnsi="仿宋" w:eastAsia="仿宋" w:cs="仿宋"/>
          <w:color w:val="auto"/>
          <w:kern w:val="0"/>
          <w:sz w:val="24"/>
          <w:szCs w:val="24"/>
          <w:highlight w:val="none"/>
        </w:rPr>
        <w:t>：（公章）</w:t>
      </w:r>
    </w:p>
    <w:p>
      <w:pPr>
        <w:wordWrap w:val="0"/>
        <w:spacing w:line="360" w:lineRule="auto"/>
        <w:ind w:firstLine="480" w:firstLineChars="20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pPr>
        <w:shd w:val="clear" w:color="auto" w:fill="auto"/>
        <w:spacing w:line="360" w:lineRule="auto"/>
        <w:ind w:firstLine="480" w:firstLineChars="200"/>
        <w:jc w:val="left"/>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 xml:space="preserve"> </w:t>
      </w:r>
    </w:p>
    <w:p>
      <w:pPr>
        <w:spacing w:line="360" w:lineRule="auto"/>
        <w:jc w:val="center"/>
        <w:rPr>
          <w:rFonts w:hint="eastAsia" w:ascii="仿宋" w:hAnsi="仿宋" w:eastAsia="仿宋" w:cs="仿宋"/>
          <w:b/>
          <w:color w:val="auto"/>
          <w:sz w:val="28"/>
          <w:szCs w:val="28"/>
          <w:highlight w:val="none"/>
        </w:rPr>
      </w:pPr>
    </w:p>
    <w:p>
      <w:pPr>
        <w:pStyle w:val="66"/>
        <w:spacing w:line="360" w:lineRule="auto"/>
        <w:rPr>
          <w:rFonts w:hint="eastAsia" w:ascii="仿宋" w:hAnsi="仿宋" w:eastAsia="仿宋" w:cs="仿宋"/>
          <w:b/>
          <w:color w:val="auto"/>
          <w:sz w:val="28"/>
          <w:szCs w:val="28"/>
          <w:highlight w:val="none"/>
        </w:rPr>
      </w:pPr>
    </w:p>
    <w:p>
      <w:pPr>
        <w:pStyle w:val="66"/>
        <w:spacing w:line="360" w:lineRule="auto"/>
        <w:rPr>
          <w:rFonts w:hint="eastAsia" w:ascii="仿宋" w:hAnsi="仿宋" w:eastAsia="仿宋" w:cs="仿宋"/>
          <w:b/>
          <w:color w:val="auto"/>
          <w:sz w:val="28"/>
          <w:szCs w:val="28"/>
          <w:highlight w:val="none"/>
        </w:rPr>
      </w:pPr>
    </w:p>
    <w:p>
      <w:pPr>
        <w:pStyle w:val="66"/>
        <w:spacing w:line="360" w:lineRule="auto"/>
        <w:rPr>
          <w:rFonts w:hint="eastAsia" w:ascii="仿宋" w:hAnsi="仿宋" w:eastAsia="仿宋" w:cs="仿宋"/>
          <w:b/>
          <w:color w:val="auto"/>
          <w:sz w:val="28"/>
          <w:szCs w:val="28"/>
          <w:highlight w:val="none"/>
        </w:rPr>
      </w:pPr>
    </w:p>
    <w:p>
      <w:pPr>
        <w:spacing w:line="360" w:lineRule="auto"/>
        <w:jc w:val="center"/>
        <w:rPr>
          <w:rFonts w:hint="eastAsia" w:ascii="仿宋" w:hAnsi="仿宋" w:eastAsia="仿宋" w:cs="仿宋"/>
          <w:b/>
          <w:color w:val="auto"/>
          <w:sz w:val="28"/>
          <w:szCs w:val="28"/>
          <w:highlight w:val="none"/>
        </w:rPr>
      </w:pPr>
    </w:p>
    <w:p>
      <w:pPr>
        <w:spacing w:line="360" w:lineRule="auto"/>
        <w:jc w:val="both"/>
        <w:rPr>
          <w:rFonts w:hint="eastAsia" w:ascii="仿宋" w:hAnsi="仿宋" w:eastAsia="仿宋" w:cs="仿宋"/>
          <w:b/>
          <w:color w:val="auto"/>
          <w:sz w:val="28"/>
          <w:szCs w:val="28"/>
          <w:highlight w:val="none"/>
        </w:rPr>
      </w:pPr>
    </w:p>
    <w:p>
      <w:pPr>
        <w:pStyle w:val="4"/>
        <w:numPr>
          <w:ilvl w:val="0"/>
          <w:numId w:val="0"/>
        </w:numPr>
        <w:shd w:val="clear" w:color="auto" w:fill="auto"/>
        <w:spacing w:before="0" w:line="360" w:lineRule="auto"/>
        <w:jc w:val="both"/>
        <w:rPr>
          <w:rFonts w:hint="eastAsia" w:ascii="仿宋" w:hAnsi="仿宋" w:eastAsia="仿宋" w:cs="仿宋"/>
          <w:b w:val="0"/>
          <w:color w:val="auto"/>
          <w:sz w:val="24"/>
          <w:highlight w:val="none"/>
          <w:u w:val="single"/>
        </w:rPr>
      </w:pPr>
      <w:bookmarkStart w:id="341" w:name="_Toc27186"/>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法定代表人授权委托书(投标文件格式</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，自然人投标的无需提供)</w:t>
      </w:r>
      <w:bookmarkEnd w:id="335"/>
      <w:bookmarkEnd w:id="336"/>
      <w:bookmarkEnd w:id="337"/>
      <w:bookmarkEnd w:id="338"/>
      <w:bookmarkEnd w:id="339"/>
      <w:bookmarkEnd w:id="341"/>
    </w:p>
    <w:p>
      <w:pPr>
        <w:pStyle w:val="15"/>
        <w:shd w:val="clear" w:color="auto" w:fill="auto"/>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cr/>
      </w:r>
    </w:p>
    <w:p>
      <w:pPr>
        <w:pStyle w:val="15"/>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szCs w:val="20"/>
          <w:highlight w:val="none"/>
        </w:rPr>
        <w:t xml:space="preserve">   本授权书声明：注册于</w:t>
      </w:r>
      <w:r>
        <w:rPr>
          <w:rFonts w:hint="eastAsia" w:ascii="仿宋" w:hAnsi="仿宋" w:eastAsia="仿宋" w:cs="仿宋"/>
          <w:color w:val="auto"/>
          <w:sz w:val="24"/>
          <w:szCs w:val="20"/>
          <w:highlight w:val="none"/>
          <w:u w:val="single"/>
        </w:rPr>
        <w:t>（国家或地区的名称）</w:t>
      </w:r>
      <w:r>
        <w:rPr>
          <w:rFonts w:hint="eastAsia" w:ascii="仿宋" w:hAnsi="仿宋" w:eastAsia="仿宋" w:cs="仿宋"/>
          <w:color w:val="auto"/>
          <w:sz w:val="24"/>
          <w:szCs w:val="20"/>
          <w:highlight w:val="none"/>
        </w:rPr>
        <w:t>的（</w:t>
      </w:r>
      <w:r>
        <w:rPr>
          <w:rFonts w:hint="eastAsia" w:ascii="仿宋" w:hAnsi="仿宋" w:eastAsia="仿宋" w:cs="仿宋"/>
          <w:i/>
          <w:color w:val="auto"/>
          <w:sz w:val="24"/>
          <w:szCs w:val="20"/>
          <w:highlight w:val="none"/>
          <w:u w:val="single"/>
        </w:rPr>
        <w:t>投标人</w:t>
      </w:r>
      <w:r>
        <w:rPr>
          <w:rFonts w:hint="eastAsia" w:ascii="仿宋" w:hAnsi="仿宋" w:eastAsia="仿宋" w:cs="仿宋"/>
          <w:color w:val="auto"/>
          <w:sz w:val="24"/>
          <w:szCs w:val="20"/>
          <w:highlight w:val="none"/>
        </w:rPr>
        <w:t>）的在下面签字的（</w:t>
      </w:r>
      <w:r>
        <w:rPr>
          <w:rFonts w:hint="eastAsia" w:ascii="仿宋" w:hAnsi="仿宋" w:eastAsia="仿宋" w:cs="仿宋"/>
          <w:i/>
          <w:color w:val="auto"/>
          <w:sz w:val="24"/>
          <w:szCs w:val="20"/>
          <w:highlight w:val="none"/>
          <w:u w:val="single"/>
        </w:rPr>
        <w:t>法人代表姓名、职务</w:t>
      </w:r>
      <w:r>
        <w:rPr>
          <w:rFonts w:hint="eastAsia" w:ascii="仿宋" w:hAnsi="仿宋" w:eastAsia="仿宋" w:cs="仿宋"/>
          <w:color w:val="auto"/>
          <w:sz w:val="24"/>
          <w:szCs w:val="20"/>
          <w:highlight w:val="none"/>
        </w:rPr>
        <w:t>）代表我单位授权（</w:t>
      </w:r>
      <w:r>
        <w:rPr>
          <w:rFonts w:hint="eastAsia" w:ascii="仿宋" w:hAnsi="仿宋" w:eastAsia="仿宋" w:cs="仿宋"/>
          <w:i/>
          <w:color w:val="auto"/>
          <w:sz w:val="24"/>
          <w:szCs w:val="20"/>
          <w:highlight w:val="none"/>
          <w:u w:val="single"/>
        </w:rPr>
        <w:t>单位名称</w:t>
      </w:r>
      <w:r>
        <w:rPr>
          <w:rFonts w:hint="eastAsia" w:ascii="仿宋" w:hAnsi="仿宋" w:eastAsia="仿宋" w:cs="仿宋"/>
          <w:color w:val="auto"/>
          <w:sz w:val="24"/>
          <w:szCs w:val="20"/>
          <w:highlight w:val="none"/>
        </w:rPr>
        <w:t>）的在下面签字的（</w:t>
      </w:r>
      <w:r>
        <w:rPr>
          <w:rFonts w:hint="eastAsia" w:ascii="仿宋" w:hAnsi="仿宋" w:eastAsia="仿宋" w:cs="仿宋"/>
          <w:i/>
          <w:color w:val="auto"/>
          <w:sz w:val="24"/>
          <w:szCs w:val="20"/>
          <w:highlight w:val="none"/>
          <w:u w:val="single"/>
        </w:rPr>
        <w:t>被授权人的姓名、职务</w:t>
      </w:r>
      <w:r>
        <w:rPr>
          <w:rFonts w:hint="eastAsia" w:ascii="仿宋" w:hAnsi="仿宋" w:eastAsia="仿宋" w:cs="仿宋"/>
          <w:color w:val="auto"/>
          <w:sz w:val="24"/>
          <w:szCs w:val="20"/>
          <w:highlight w:val="none"/>
        </w:rPr>
        <w:t>）为我单位的合法代理人，就（</w:t>
      </w:r>
      <w:r>
        <w:rPr>
          <w:rFonts w:hint="eastAsia" w:ascii="仿宋" w:hAnsi="仿宋" w:eastAsia="仿宋" w:cs="仿宋"/>
          <w:i/>
          <w:color w:val="auto"/>
          <w:sz w:val="24"/>
          <w:szCs w:val="20"/>
          <w:highlight w:val="none"/>
          <w:u w:val="single"/>
        </w:rPr>
        <w:t>项目名称</w:t>
      </w:r>
      <w:r>
        <w:rPr>
          <w:rFonts w:hint="eastAsia" w:ascii="仿宋" w:hAnsi="仿宋" w:eastAsia="仿宋" w:cs="仿宋"/>
          <w:color w:val="auto"/>
          <w:sz w:val="24"/>
          <w:szCs w:val="20"/>
          <w:highlight w:val="none"/>
        </w:rPr>
        <w:t>）投标，以我单位名义处理一切与之有关的事务。</w:t>
      </w:r>
      <w:r>
        <w:rPr>
          <w:rFonts w:hint="eastAsia" w:ascii="仿宋" w:hAnsi="仿宋" w:eastAsia="仿宋" w:cs="仿宋"/>
          <w:color w:val="auto"/>
          <w:sz w:val="24"/>
          <w:szCs w:val="20"/>
          <w:highlight w:val="none"/>
        </w:rPr>
        <w:cr/>
      </w:r>
      <w:r>
        <w:rPr>
          <w:rFonts w:hint="eastAsia" w:ascii="仿宋" w:hAnsi="仿宋" w:eastAsia="仿宋" w:cs="仿宋"/>
          <w:color w:val="auto"/>
          <w:sz w:val="24"/>
          <w:szCs w:val="20"/>
          <w:highlight w:val="none"/>
        </w:rPr>
        <w:t>　　本授权书于</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年</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月</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日签字生效,特此声明。</w:t>
      </w:r>
      <w:r>
        <w:rPr>
          <w:rFonts w:hint="eastAsia" w:ascii="仿宋" w:hAnsi="仿宋" w:eastAsia="仿宋" w:cs="仿宋"/>
          <w:color w:val="auto"/>
          <w:sz w:val="24"/>
          <w:highlight w:val="none"/>
        </w:rPr>
        <w:cr/>
      </w:r>
    </w:p>
    <w:p>
      <w:pPr>
        <w:pStyle w:val="15"/>
        <w:shd w:val="clear" w:color="auto" w:fill="auto"/>
        <w:tabs>
          <w:tab w:val="left" w:pos="5580"/>
        </w:tabs>
        <w:spacing w:line="360" w:lineRule="auto"/>
        <w:ind w:left="-540" w:leftChars="-257" w:firstLine="900" w:firstLineChars="375"/>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pPr>
                              <w:rPr>
                                <w:rFonts w:hint="eastAsia" w:ascii="仿宋" w:hAnsi="仿宋" w:eastAsia="仿宋" w:cs="仿宋"/>
                              </w:rPr>
                            </w:pPr>
                            <w:r>
                              <w:rPr>
                                <w:rFonts w:hint="eastAsia" w:ascii="仿宋" w:hAnsi="仿宋" w:eastAsia="仿宋" w:cs="仿宋"/>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1312;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pPr>
                        <w:rPr>
                          <w:rFonts w:hint="eastAsia" w:ascii="仿宋" w:hAnsi="仿宋" w:eastAsia="仿宋" w:cs="仿宋"/>
                        </w:rPr>
                      </w:pPr>
                      <w:r>
                        <w:rPr>
                          <w:rFonts w:hint="eastAsia" w:ascii="仿宋" w:hAnsi="仿宋" w:eastAsia="仿宋" w:cs="仿宋"/>
                        </w:rPr>
                        <w:t>授权委托人身份证复印件反面</w:t>
                      </w:r>
                    </w:p>
                    <w:p/>
                  </w:txbxContent>
                </v:textbox>
              </v:round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28" name="流程图: 可选过程 28"/>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60288;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EjIw1gAAAAgBAAAPAAAAAAAAAAEAIAAAACIAAABkcnMvZG93bnJldi54bWxQ&#10;SwECFAAUAAAACACHTuJATJ6PNzICAABgBAAADgAAAAAAAAABACAAAAAlAQAAZHJzL2Uyb0RvYy54&#10;bWxQSwUGAAAAAAYABgBZAQAAyQ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授权委托人身份证复印件正面</w:t>
                      </w:r>
                    </w:p>
                  </w:txbxContent>
                </v:textbox>
              </v:shape>
            </w:pict>
          </mc:Fallback>
        </mc:AlternateContent>
      </w: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3018155</wp:posOffset>
                </wp:positionH>
                <wp:positionV relativeFrom="paragraph">
                  <wp:posOffset>53975</wp:posOffset>
                </wp:positionV>
                <wp:extent cx="2535555" cy="13341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3341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法人身份证复印件反面</w:t>
                            </w:r>
                          </w:p>
                          <w:p/>
                        </w:txbxContent>
                      </wps:txbx>
                      <wps:bodyPr upright="1"/>
                    </wps:wsp>
                  </a:graphicData>
                </a:graphic>
              </wp:anchor>
            </w:drawing>
          </mc:Choice>
          <mc:Fallback>
            <w:pict>
              <v:roundrect id="_x0000_s1026" o:spid="_x0000_s1026" o:spt="2" style="position:absolute;left:0pt;margin-left:237.65pt;margin-top:4.25pt;height:105.05pt;width:199.65pt;z-index:251663360;mso-width-relative:page;mso-height-relative:page;" fillcolor="#FFFFFF" filled="t" stroked="t" coordsize="21600,21600" arcsize="0.166666666666667" o:gfxdata="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GJMWdsAAAAJAQAADwAAAAAAAAABACAAAAAiAAAAZHJzL2Rvd25yZXYueG1sUEsB&#10;AhQAFAAAAAgAh07iQEbdEHUrAgAAZgQAAA4AAAAAAAAAAQAgAAAAKgEAAGRycy9lMm9Eb2MueG1s&#10;UEsFBgAAAAAGAAYAWQEAAMcFA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法人身份证复印件反面</w:t>
                      </w:r>
                    </w:p>
                    <w:p/>
                  </w:txbxContent>
                </v:textbox>
              </v:round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29845</wp:posOffset>
                </wp:positionV>
                <wp:extent cx="2555240" cy="1329055"/>
                <wp:effectExtent l="8255" t="7620" r="8255" b="15875"/>
                <wp:wrapNone/>
                <wp:docPr id="3" name="圆角矩形 3"/>
                <wp:cNvGraphicFramePr/>
                <a:graphic xmlns:a="http://schemas.openxmlformats.org/drawingml/2006/main">
                  <a:graphicData uri="http://schemas.microsoft.com/office/word/2010/wordprocessingShape">
                    <wps:wsp>
                      <wps:cNvSpPr/>
                      <wps:spPr>
                        <a:xfrm>
                          <a:off x="0" y="0"/>
                          <a:ext cx="2555240" cy="132905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法人身份证复印件正面</w:t>
                            </w:r>
                          </w:p>
                          <w:p/>
                        </w:txbxContent>
                      </wps:txbx>
                      <wps:bodyPr upright="1"/>
                    </wps:wsp>
                  </a:graphicData>
                </a:graphic>
              </wp:anchor>
            </w:drawing>
          </mc:Choice>
          <mc:Fallback>
            <w:pict>
              <v:roundrect id="_x0000_s1026" o:spid="_x0000_s1026" o:spt="2" style="position:absolute;left:0pt;margin-left:-0.85pt;margin-top:2.35pt;height:104.65pt;width:201.2pt;z-index:251662336;mso-width-relative:page;mso-height-relative:page;" fillcolor="#FFFFFF" filled="t" stroked="t" coordsize="21600,21600" arcsize="0.166666666666667" o:gfxdata="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Y7g22QAAAAgBAAAPAAAAAAAAAAEAIAAAACIAAABkcnMvZG93bnJldi54bWxQSwEC&#10;FAAUAAAACACHTuJAhebWnSwCAABmBAAADgAAAAAAAAABACAAAAAoAQAAZHJzL2Uyb0RvYy54bWxQ&#10;SwUGAAAAAAYABgBZAQAAxgU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法人身份证复印件正面</w:t>
                      </w:r>
                    </w:p>
                    <w:p/>
                  </w:txbxContent>
                </v:textbox>
              </v:roundrect>
            </w:pict>
          </mc:Fallback>
        </mc:AlternateContent>
      </w: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shd w:val="clear" w:color="auto" w:fill="auto"/>
        <w:spacing w:line="360" w:lineRule="auto"/>
        <w:ind w:firstLine="240" w:firstLineChars="100"/>
        <w:rPr>
          <w:rFonts w:hint="eastAsia" w:ascii="仿宋" w:hAnsi="仿宋" w:eastAsia="仿宋" w:cs="仿宋"/>
          <w:color w:val="auto"/>
          <w:sz w:val="24"/>
          <w:highlight w:val="none"/>
        </w:rPr>
      </w:pPr>
    </w:p>
    <w:p>
      <w:pPr>
        <w:pStyle w:val="15"/>
        <w:shd w:val="clear" w:color="auto" w:fill="auto"/>
        <w:tabs>
          <w:tab w:val="left" w:pos="5580"/>
        </w:tabs>
        <w:spacing w:line="360" w:lineRule="auto"/>
        <w:ind w:left="-540" w:leftChars="-257" w:firstLine="900" w:firstLineChars="375"/>
        <w:rPr>
          <w:rFonts w:hint="eastAsia" w:ascii="仿宋" w:hAnsi="仿宋" w:eastAsia="仿宋" w:cs="仿宋"/>
          <w:color w:val="auto"/>
          <w:sz w:val="24"/>
          <w:highlight w:val="none"/>
        </w:rPr>
      </w:pPr>
    </w:p>
    <w:p>
      <w:pPr>
        <w:pStyle w:val="15"/>
        <w:shd w:val="clear" w:color="auto" w:fill="auto"/>
        <w:tabs>
          <w:tab w:val="left" w:pos="5580"/>
        </w:tabs>
        <w:spacing w:line="360" w:lineRule="auto"/>
        <w:ind w:left="-540" w:leftChars="-257" w:firstLine="900" w:firstLineChars="375"/>
        <w:rPr>
          <w:rFonts w:hint="eastAsia" w:ascii="仿宋" w:hAnsi="仿宋" w:eastAsia="仿宋" w:cs="仿宋"/>
          <w:color w:val="auto"/>
          <w:sz w:val="24"/>
          <w:highlight w:val="none"/>
        </w:rPr>
      </w:pPr>
    </w:p>
    <w:p>
      <w:pPr>
        <w:pStyle w:val="15"/>
        <w:shd w:val="clear" w:color="auto" w:fill="auto"/>
        <w:tabs>
          <w:tab w:val="left" w:pos="5580"/>
        </w:tabs>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 xml:space="preserve">                           </w:t>
      </w:r>
    </w:p>
    <w:p>
      <w:pPr>
        <w:pStyle w:val="15"/>
        <w:shd w:val="clear" w:color="auto" w:fill="auto"/>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r>
        <w:rPr>
          <w:rFonts w:hint="eastAsia" w:ascii="仿宋" w:hAnsi="仿宋" w:eastAsia="仿宋" w:cs="仿宋"/>
          <w:color w:val="auto"/>
          <w:sz w:val="24"/>
          <w:highlight w:val="none"/>
          <w:u w:val="single"/>
        </w:rPr>
        <w:t xml:space="preserve">                     </w:t>
      </w:r>
    </w:p>
    <w:p>
      <w:pPr>
        <w:pStyle w:val="15"/>
        <w:shd w:val="clear" w:color="auto" w:fill="auto"/>
        <w:tabs>
          <w:tab w:val="left" w:pos="5580"/>
        </w:tabs>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p>
    <w:p>
      <w:pPr>
        <w:shd w:val="clear" w:color="auto" w:fill="auto"/>
        <w:spacing w:line="360" w:lineRule="auto"/>
        <w:ind w:firstLine="480" w:firstLineChars="200"/>
        <w:jc w:val="left"/>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 xml:space="preserve">年   月   日 </w:t>
      </w:r>
    </w:p>
    <w:p>
      <w:pPr>
        <w:pStyle w:val="4"/>
        <w:numPr>
          <w:ilvl w:val="0"/>
          <w:numId w:val="0"/>
        </w:numPr>
        <w:shd w:val="clear" w:color="auto" w:fill="auto"/>
        <w:spacing w:before="0" w:line="360" w:lineRule="auto"/>
        <w:ind w:leftChars="257"/>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342" w:name="_Toc26357"/>
    </w:p>
    <w:p>
      <w:pPr>
        <w:pStyle w:val="4"/>
        <w:numPr>
          <w:ilvl w:val="0"/>
          <w:numId w:val="0"/>
        </w:numPr>
        <w:shd w:val="clear" w:color="auto" w:fill="auto"/>
        <w:spacing w:before="0" w:line="360" w:lineRule="auto"/>
        <w:jc w:val="both"/>
        <w:rPr>
          <w:rFonts w:hint="eastAsia" w:ascii="仿宋" w:hAnsi="仿宋" w:eastAsia="仿宋" w:cs="仿宋"/>
          <w:color w:val="auto"/>
          <w:sz w:val="24"/>
          <w:szCs w:val="24"/>
          <w:highlight w:val="none"/>
        </w:rPr>
      </w:pPr>
      <w:bookmarkStart w:id="343" w:name="_Toc16909"/>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具有良好的商业信誉和健全的财务会计制度的证明文件</w:t>
      </w:r>
      <w:bookmarkEnd w:id="332"/>
      <w:bookmarkEnd w:id="333"/>
      <w:bookmarkEnd w:id="334"/>
      <w:bookmarkEnd w:id="342"/>
      <w:bookmarkEnd w:id="343"/>
    </w:p>
    <w:p>
      <w:pPr>
        <w:shd w:val="clear" w:color="auto" w:fill="auto"/>
        <w:tabs>
          <w:tab w:val="left" w:pos="5580"/>
        </w:tabs>
        <w:spacing w:line="360" w:lineRule="auto"/>
        <w:ind w:left="1080" w:leftChars="257" w:hanging="540"/>
        <w:jc w:val="center"/>
        <w:rPr>
          <w:rFonts w:hint="eastAsia" w:ascii="仿宋" w:hAnsi="仿宋" w:eastAsia="仿宋" w:cs="仿宋"/>
          <w:b/>
          <w:color w:val="auto"/>
          <w:sz w:val="24"/>
          <w:szCs w:val="24"/>
          <w:highlight w:val="none"/>
        </w:rPr>
      </w:pPr>
    </w:p>
    <w:p>
      <w:pPr>
        <w:shd w:val="clear" w:color="auto" w:fill="auto"/>
        <w:tabs>
          <w:tab w:val="left" w:pos="5580"/>
        </w:tabs>
        <w:spacing w:line="360" w:lineRule="auto"/>
        <w:ind w:left="1080" w:leftChars="257" w:hanging="540"/>
        <w:jc w:val="center"/>
        <w:rPr>
          <w:rFonts w:hint="eastAsia" w:ascii="仿宋" w:hAnsi="仿宋" w:eastAsia="仿宋" w:cs="仿宋"/>
          <w:b/>
          <w:color w:val="auto"/>
          <w:sz w:val="24"/>
          <w:szCs w:val="24"/>
          <w:highlight w:val="none"/>
        </w:rPr>
      </w:pPr>
    </w:p>
    <w:p>
      <w:pPr>
        <w:shd w:val="clear" w:color="auto" w:fill="auto"/>
        <w:tabs>
          <w:tab w:val="left" w:pos="3060"/>
          <w:tab w:val="left" w:pos="5580"/>
        </w:tabs>
        <w:spacing w:line="360" w:lineRule="auto"/>
        <w:ind w:left="1080" w:leftChars="257" w:hanging="540"/>
        <w:rPr>
          <w:rFonts w:hint="eastAsia" w:ascii="仿宋" w:hAnsi="仿宋" w:eastAsia="仿宋" w:cs="仿宋"/>
          <w:b/>
          <w:color w:val="auto"/>
          <w:sz w:val="24"/>
          <w:szCs w:val="24"/>
          <w:highlight w:val="none"/>
        </w:rPr>
      </w:pPr>
    </w:p>
    <w:p>
      <w:pPr>
        <w:shd w:val="clear" w:color="auto" w:fill="auto"/>
        <w:tabs>
          <w:tab w:val="left" w:pos="5580"/>
        </w:tabs>
        <w:spacing w:line="360" w:lineRule="auto"/>
        <w:ind w:left="1080" w:leftChars="257" w:hanging="540"/>
        <w:jc w:val="center"/>
        <w:rPr>
          <w:rFonts w:hint="eastAsia" w:ascii="仿宋" w:hAnsi="仿宋" w:eastAsia="仿宋" w:cs="仿宋"/>
          <w:b/>
          <w:color w:val="auto"/>
          <w:sz w:val="24"/>
          <w:szCs w:val="24"/>
          <w:highlight w:val="none"/>
        </w:rPr>
      </w:pPr>
    </w:p>
    <w:p>
      <w:pPr>
        <w:shd w:val="clear" w:color="auto" w:fill="auto"/>
        <w:tabs>
          <w:tab w:val="left" w:pos="558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shd w:val="clear" w:color="auto" w:fill="auto"/>
        <w:tabs>
          <w:tab w:val="left" w:pos="5580"/>
        </w:tabs>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1、如提供本单位上年度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2021年度或2022年度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经会计师事务所出具的审计报告复印件须加盖</w:t>
      </w:r>
      <w:r>
        <w:rPr>
          <w:rFonts w:hint="eastAsia" w:ascii="仿宋" w:hAnsi="仿宋" w:eastAsia="仿宋" w:cs="仿宋"/>
          <w:bCs/>
          <w:color w:val="auto"/>
          <w:sz w:val="24"/>
          <w:szCs w:val="24"/>
          <w:highlight w:val="none"/>
        </w:rPr>
        <w:t>本单位章。</w:t>
      </w:r>
    </w:p>
    <w:p>
      <w:pPr>
        <w:shd w:val="clear" w:color="auto" w:fill="auto"/>
        <w:tabs>
          <w:tab w:val="left" w:pos="558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360" w:lineRule="auto"/>
        <w:ind w:left="1080" w:leftChars="257" w:hanging="540"/>
        <w:rPr>
          <w:rFonts w:hint="eastAsia" w:ascii="仿宋" w:hAnsi="仿宋" w:eastAsia="仿宋" w:cs="仿宋"/>
          <w:color w:val="auto"/>
          <w:sz w:val="24"/>
          <w:szCs w:val="24"/>
          <w:highlight w:val="none"/>
        </w:rPr>
      </w:pPr>
    </w:p>
    <w:p>
      <w:pPr>
        <w:pStyle w:val="4"/>
        <w:numPr>
          <w:ilvl w:val="0"/>
          <w:numId w:val="0"/>
        </w:numPr>
        <w:shd w:val="clear" w:color="auto" w:fill="auto"/>
        <w:spacing w:before="0"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344" w:name="_Toc11047"/>
      <w:bookmarkStart w:id="345" w:name="_Toc4866"/>
      <w:bookmarkStart w:id="346" w:name="_Toc28445"/>
      <w:bookmarkStart w:id="347" w:name="_Toc515647809"/>
    </w:p>
    <w:p>
      <w:pPr>
        <w:pStyle w:val="4"/>
        <w:numPr>
          <w:ilvl w:val="0"/>
          <w:numId w:val="0"/>
        </w:numPr>
        <w:shd w:val="clear" w:color="auto" w:fill="auto"/>
        <w:spacing w:before="0" w:line="360" w:lineRule="auto"/>
        <w:rPr>
          <w:rFonts w:hint="eastAsia" w:ascii="仿宋" w:hAnsi="仿宋" w:eastAsia="仿宋" w:cs="仿宋"/>
          <w:color w:val="auto"/>
          <w:sz w:val="24"/>
          <w:highlight w:val="none"/>
        </w:rPr>
      </w:pPr>
      <w:bookmarkStart w:id="348" w:name="_Toc23560"/>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投标保证金缴纳凭证或投标担保函</w:t>
      </w:r>
      <w:bookmarkEnd w:id="344"/>
      <w:bookmarkEnd w:id="345"/>
      <w:bookmarkEnd w:id="346"/>
      <w:bookmarkEnd w:id="347"/>
      <w:bookmarkEnd w:id="348"/>
    </w:p>
    <w:p>
      <w:pPr>
        <w:shd w:val="clear" w:color="auto" w:fill="auto"/>
        <w:spacing w:line="360" w:lineRule="auto"/>
        <w:ind w:firstLine="480" w:firstLineChars="200"/>
        <w:rPr>
          <w:rFonts w:hint="eastAsia" w:ascii="仿宋" w:hAnsi="仿宋" w:eastAsia="仿宋" w:cs="仿宋"/>
          <w:color w:val="auto"/>
          <w:sz w:val="24"/>
          <w:highlight w:val="none"/>
        </w:rPr>
      </w:pPr>
      <w:bookmarkStart w:id="349" w:name="_Toc494296991"/>
      <w:bookmarkStart w:id="350" w:name="_Toc494296665"/>
    </w:p>
    <w:bookmarkEnd w:id="349"/>
    <w:bookmarkEnd w:id="350"/>
    <w:p>
      <w:pPr>
        <w:pStyle w:val="8"/>
        <w:shd w:val="clear" w:color="auto" w:fill="auto"/>
        <w:spacing w:line="360" w:lineRule="auto"/>
        <w:rPr>
          <w:rFonts w:hint="eastAsia" w:ascii="仿宋" w:hAnsi="仿宋" w:eastAsia="仿宋" w:cs="仿宋"/>
          <w:color w:val="auto"/>
          <w:highlight w:val="none"/>
        </w:rPr>
      </w:pPr>
    </w:p>
    <w:tbl>
      <w:tblPr>
        <w:tblStyle w:val="26"/>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center"/>
          </w:tcPr>
          <w:p>
            <w:pPr>
              <w:shd w:val="clear" w:color="auto" w:fill="auto"/>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投标保证金凭证</w:t>
            </w:r>
          </w:p>
        </w:tc>
      </w:tr>
    </w:tbl>
    <w:p>
      <w:pPr>
        <w:pStyle w:val="8"/>
        <w:shd w:val="clear" w:color="auto" w:fill="auto"/>
        <w:spacing w:line="360" w:lineRule="auto"/>
        <w:rPr>
          <w:rFonts w:hint="eastAsia" w:ascii="仿宋" w:hAnsi="仿宋" w:eastAsia="仿宋" w:cs="仿宋"/>
          <w:color w:val="auto"/>
          <w:highlight w:val="none"/>
        </w:rPr>
      </w:pPr>
    </w:p>
    <w:p>
      <w:pPr>
        <w:shd w:val="clear" w:color="auto" w:fill="auto"/>
        <w:spacing w:line="360" w:lineRule="auto"/>
        <w:ind w:left="1080" w:leftChars="257" w:hanging="540"/>
        <w:jc w:val="center"/>
        <w:rPr>
          <w:rFonts w:hint="eastAsia" w:ascii="仿宋" w:hAnsi="仿宋" w:eastAsia="仿宋" w:cs="仿宋"/>
          <w:color w:val="auto"/>
          <w:sz w:val="24"/>
          <w:highlight w:val="none"/>
        </w:rPr>
      </w:pPr>
    </w:p>
    <w:p>
      <w:pPr>
        <w:shd w:val="clear" w:color="auto" w:fill="auto"/>
        <w:spacing w:line="360" w:lineRule="auto"/>
        <w:rPr>
          <w:rFonts w:hint="eastAsia" w:ascii="仿宋" w:hAnsi="仿宋" w:eastAsia="仿宋" w:cs="仿宋"/>
          <w:color w:val="auto"/>
          <w:sz w:val="28"/>
          <w:szCs w:val="28"/>
          <w:highlight w:val="none"/>
        </w:rPr>
      </w:pPr>
    </w:p>
    <w:p>
      <w:pPr>
        <w:pStyle w:val="8"/>
        <w:shd w:val="clear" w:color="auto" w:fill="auto"/>
        <w:spacing w:line="360" w:lineRule="auto"/>
        <w:rPr>
          <w:rFonts w:hint="eastAsia" w:ascii="仿宋" w:hAnsi="仿宋" w:eastAsia="仿宋" w:cs="仿宋"/>
          <w:color w:val="auto"/>
          <w:highlight w:val="none"/>
        </w:rPr>
      </w:pPr>
    </w:p>
    <w:p>
      <w:pPr>
        <w:pStyle w:val="8"/>
        <w:shd w:val="clear" w:color="auto" w:fill="auto"/>
        <w:spacing w:line="360" w:lineRule="auto"/>
        <w:rPr>
          <w:rFonts w:hint="eastAsia" w:ascii="仿宋" w:hAnsi="仿宋" w:eastAsia="仿宋" w:cs="仿宋"/>
          <w:color w:val="auto"/>
          <w:highlight w:val="none"/>
        </w:rPr>
      </w:pPr>
    </w:p>
    <w:p>
      <w:pPr>
        <w:pStyle w:val="8"/>
        <w:shd w:val="clear" w:color="auto" w:fill="auto"/>
        <w:spacing w:line="360" w:lineRule="auto"/>
        <w:rPr>
          <w:rFonts w:hint="eastAsia" w:ascii="仿宋" w:hAnsi="仿宋" w:eastAsia="仿宋" w:cs="仿宋"/>
          <w:color w:val="auto"/>
          <w:highlight w:val="none"/>
        </w:rPr>
      </w:pPr>
    </w:p>
    <w:p>
      <w:pPr>
        <w:pStyle w:val="8"/>
        <w:shd w:val="clear" w:color="auto" w:fill="auto"/>
        <w:spacing w:line="360" w:lineRule="auto"/>
        <w:rPr>
          <w:rFonts w:hint="eastAsia" w:ascii="仿宋" w:hAnsi="仿宋" w:eastAsia="仿宋" w:cs="仿宋"/>
          <w:color w:val="auto"/>
          <w:highlight w:val="none"/>
        </w:rPr>
      </w:pPr>
    </w:p>
    <w:p>
      <w:pPr>
        <w:pStyle w:val="8"/>
        <w:shd w:val="clear" w:color="auto" w:fill="auto"/>
        <w:spacing w:line="360" w:lineRule="auto"/>
        <w:rPr>
          <w:rFonts w:hint="eastAsia" w:ascii="仿宋" w:hAnsi="仿宋" w:eastAsia="仿宋" w:cs="仿宋"/>
          <w:color w:val="auto"/>
          <w:highlight w:val="none"/>
        </w:rPr>
      </w:pPr>
    </w:p>
    <w:p>
      <w:pPr>
        <w:pStyle w:val="8"/>
        <w:shd w:val="clear" w:color="auto" w:fill="auto"/>
        <w:spacing w:line="360" w:lineRule="auto"/>
        <w:rPr>
          <w:rFonts w:hint="eastAsia" w:ascii="仿宋" w:hAnsi="仿宋" w:eastAsia="仿宋" w:cs="仿宋"/>
          <w:color w:val="auto"/>
          <w:highlight w:val="none"/>
        </w:rPr>
      </w:pPr>
    </w:p>
    <w:p>
      <w:pPr>
        <w:pStyle w:val="8"/>
        <w:shd w:val="clear" w:color="auto" w:fill="auto"/>
        <w:spacing w:line="360" w:lineRule="auto"/>
        <w:rPr>
          <w:rFonts w:hint="eastAsia" w:ascii="仿宋" w:hAnsi="仿宋" w:eastAsia="仿宋" w:cs="仿宋"/>
          <w:color w:val="auto"/>
          <w:highlight w:val="none"/>
        </w:rPr>
      </w:pPr>
    </w:p>
    <w:p>
      <w:pPr>
        <w:pStyle w:val="8"/>
        <w:shd w:val="clear" w:color="auto" w:fill="auto"/>
        <w:spacing w:line="360" w:lineRule="auto"/>
        <w:rPr>
          <w:rFonts w:hint="eastAsia" w:ascii="仿宋" w:hAnsi="仿宋" w:eastAsia="仿宋" w:cs="仿宋"/>
          <w:color w:val="auto"/>
          <w:highlight w:val="none"/>
        </w:rPr>
      </w:pPr>
    </w:p>
    <w:p>
      <w:pPr>
        <w:pStyle w:val="8"/>
        <w:shd w:val="clear" w:color="auto" w:fill="auto"/>
        <w:spacing w:line="360" w:lineRule="auto"/>
        <w:rPr>
          <w:rFonts w:hint="eastAsia" w:ascii="仿宋" w:hAnsi="仿宋" w:eastAsia="仿宋" w:cs="仿宋"/>
          <w:color w:val="auto"/>
          <w:highlight w:val="none"/>
        </w:rPr>
      </w:pPr>
    </w:p>
    <w:p>
      <w:pPr>
        <w:pStyle w:val="8"/>
        <w:shd w:val="clear" w:color="auto" w:fill="auto"/>
        <w:spacing w:line="360" w:lineRule="auto"/>
        <w:rPr>
          <w:rFonts w:hint="eastAsia" w:ascii="仿宋" w:hAnsi="仿宋" w:eastAsia="仿宋" w:cs="仿宋"/>
          <w:color w:val="auto"/>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p>
    <w:p>
      <w:pPr>
        <w:pStyle w:val="12"/>
        <w:rPr>
          <w:rFonts w:hint="eastAsia" w:ascii="仿宋" w:hAnsi="仿宋" w:eastAsia="仿宋" w:cs="仿宋"/>
          <w:color w:val="auto"/>
          <w:sz w:val="28"/>
          <w:szCs w:val="28"/>
          <w:highlight w:val="none"/>
        </w:rPr>
      </w:pPr>
    </w:p>
    <w:p>
      <w:pPr>
        <w:pStyle w:val="13"/>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12"/>
        <w:rPr>
          <w:rFonts w:hint="eastAsia"/>
        </w:rPr>
      </w:pPr>
    </w:p>
    <w:p>
      <w:pPr>
        <w:shd w:val="clear" w:color="auto" w:fill="auto"/>
        <w:spacing w:line="360" w:lineRule="auto"/>
        <w:jc w:val="center"/>
        <w:rPr>
          <w:rFonts w:hint="eastAsia" w:ascii="仿宋" w:hAnsi="仿宋" w:eastAsia="仿宋" w:cs="仿宋"/>
          <w:color w:val="auto"/>
          <w:sz w:val="28"/>
          <w:szCs w:val="28"/>
          <w:highlight w:val="none"/>
        </w:rPr>
      </w:pPr>
    </w:p>
    <w:p>
      <w:pPr>
        <w:shd w:val="clear" w:color="auto" w:fill="auto"/>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政府采购投标担保函（格式）</w:t>
      </w:r>
    </w:p>
    <w:p>
      <w:pPr>
        <w:shd w:val="clear" w:color="auto" w:fill="auto"/>
        <w:spacing w:line="360" w:lineRule="auto"/>
        <w:ind w:firstLine="6720" w:firstLineChars="3200"/>
        <w:rPr>
          <w:rFonts w:hint="eastAsia" w:ascii="仿宋" w:hAnsi="仿宋" w:eastAsia="仿宋" w:cs="仿宋"/>
          <w:color w:val="auto"/>
          <w:highlight w:val="none"/>
        </w:rPr>
      </w:pPr>
      <w:r>
        <w:rPr>
          <w:rFonts w:hint="eastAsia" w:ascii="仿宋" w:hAnsi="仿宋" w:eastAsia="仿宋" w:cs="仿宋"/>
          <w:color w:val="auto"/>
          <w:highlight w:val="none"/>
        </w:rPr>
        <w:t>编号：</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t xml:space="preserve"> </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（采购人或采购代理机构）：</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（以下简称“投标人”）拟参加编号为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1" w:name="_Toc16224"/>
      <w:r>
        <w:rPr>
          <w:rFonts w:hint="eastAsia" w:ascii="仿宋" w:hAnsi="仿宋" w:eastAsia="仿宋" w:cs="仿宋"/>
          <w:color w:val="auto"/>
          <w:sz w:val="24"/>
          <w:szCs w:val="24"/>
          <w:highlight w:val="none"/>
        </w:rPr>
        <w:t>一、保证责任的情形及保证金额</w:t>
      </w:r>
      <w:bookmarkEnd w:id="351"/>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（一）在投标人出现下列情形之一时，我方承担保证责任：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1．中标后投标人无正当理由不与采购人或者采购代理机构签订《政府采购合同》；</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2．招标文件规定的投标人应当缴纳保证金的其他情形。</w:t>
      </w:r>
    </w:p>
    <w:p>
      <w:pPr>
        <w:shd w:val="clear" w:color="auto" w:fill="auto"/>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（二）我方承担保证责任的最高金额为人民币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），即本项目的投标保证金金额。</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2" w:name="_Toc32683"/>
      <w:r>
        <w:rPr>
          <w:rFonts w:hint="eastAsia" w:ascii="仿宋" w:hAnsi="仿宋" w:eastAsia="仿宋" w:cs="仿宋"/>
          <w:color w:val="auto"/>
          <w:sz w:val="24"/>
          <w:szCs w:val="24"/>
          <w:highlight w:val="none"/>
        </w:rPr>
        <w:t>二、保证的方式及保证期间</w:t>
      </w:r>
      <w:bookmarkEnd w:id="352"/>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我方保证的方式为：连带责任保证。</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我方的保证期间为：自本保函生效之日起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个月止。</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3" w:name="_Toc17730"/>
      <w:r>
        <w:rPr>
          <w:rFonts w:hint="eastAsia" w:ascii="仿宋" w:hAnsi="仿宋" w:eastAsia="仿宋" w:cs="仿宋"/>
          <w:color w:val="auto"/>
          <w:sz w:val="24"/>
          <w:szCs w:val="24"/>
          <w:highlight w:val="none"/>
        </w:rPr>
        <w:t>三、承担保证责任的程序</w:t>
      </w:r>
      <w:bookmarkEnd w:id="353"/>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2．我方在收到索赔通知及相关证明材料后，在</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个工作日内进行审查，符合应承担保证责任情形的，我方应按照你方的要求代投标人向你方支付投标保证金。</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4" w:name="_Toc20677"/>
      <w:r>
        <w:rPr>
          <w:rFonts w:hint="eastAsia" w:ascii="仿宋" w:hAnsi="仿宋" w:eastAsia="仿宋" w:cs="仿宋"/>
          <w:color w:val="auto"/>
          <w:sz w:val="24"/>
          <w:szCs w:val="24"/>
          <w:highlight w:val="none"/>
        </w:rPr>
        <w:t>四、保证责任的终止</w:t>
      </w:r>
      <w:bookmarkEnd w:id="354"/>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1．保证期间届满你方未向我方书面主张保证责任的，自保证期间届满次日起，我方保证责任自动终止。</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2．我方按照本保函向你贵方履行了保证责任后，自我方向你贵方支付款项（支付款项从我方账户划出）之日起，保证责任终止。</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3．按照法律法规的规定或出现我方保证责任终止的其它情形的，我方在本保函项下的保证责任亦终止。</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5" w:name="_Toc2647"/>
      <w:r>
        <w:rPr>
          <w:rFonts w:hint="eastAsia" w:ascii="仿宋" w:hAnsi="仿宋" w:eastAsia="仿宋" w:cs="仿宋"/>
          <w:color w:val="auto"/>
          <w:sz w:val="24"/>
          <w:szCs w:val="24"/>
          <w:highlight w:val="none"/>
        </w:rPr>
        <w:t>五、免责条款</w:t>
      </w:r>
      <w:bookmarkEnd w:id="355"/>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1．依照法律规定或你方与投标人的另行约定，全部或者部分免除投标人投标保证金义务时，我方亦免除相应的保证责任。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2．因你方原因致使投标人发生本保函第一条第（一）款约定情形的，我方不承担保证责任。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3．因不可抗力造成投标人发生本保函第一条约定情形的，我方不承担保证责任。</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4．你方或其他有权机关对招标文件进行任何澄清或修改，加重我方保证责任的，我方对加重部分不承担保证责任，但该澄清或修改经我方事先书面同意的除外。</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6" w:name="_Toc13954"/>
      <w:r>
        <w:rPr>
          <w:rFonts w:hint="eastAsia" w:ascii="仿宋" w:hAnsi="仿宋" w:eastAsia="仿宋" w:cs="仿宋"/>
          <w:color w:val="auto"/>
          <w:sz w:val="24"/>
          <w:szCs w:val="24"/>
          <w:highlight w:val="none"/>
        </w:rPr>
        <w:t>六、争议的解决</w:t>
      </w:r>
      <w:bookmarkEnd w:id="356"/>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因本保函发生的纠纷，由你我双方协商解决，协商不成的，通过诉讼程序解决，诉讼管辖地法院为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法院。</w:t>
      </w:r>
    </w:p>
    <w:p>
      <w:pPr>
        <w:shd w:val="clear" w:color="auto" w:fill="auto"/>
        <w:spacing w:line="360" w:lineRule="auto"/>
        <w:ind w:firstLine="480" w:firstLineChars="200"/>
        <w:outlineLvl w:val="1"/>
        <w:rPr>
          <w:rFonts w:hint="eastAsia" w:ascii="仿宋" w:hAnsi="仿宋" w:eastAsia="仿宋" w:cs="仿宋"/>
          <w:color w:val="auto"/>
          <w:sz w:val="24"/>
          <w:szCs w:val="24"/>
          <w:highlight w:val="none"/>
        </w:rPr>
      </w:pPr>
      <w:bookmarkStart w:id="357" w:name="_Toc8135"/>
      <w:r>
        <w:rPr>
          <w:rFonts w:hint="eastAsia" w:ascii="仿宋" w:hAnsi="仿宋" w:eastAsia="仿宋" w:cs="仿宋"/>
          <w:color w:val="auto"/>
          <w:sz w:val="24"/>
          <w:szCs w:val="24"/>
          <w:highlight w:val="none"/>
        </w:rPr>
        <w:t>七、保函的生效</w:t>
      </w:r>
      <w:bookmarkEnd w:id="357"/>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本保函自我方加盖公章之日起生效。</w:t>
      </w:r>
    </w:p>
    <w:p>
      <w:pPr>
        <w:shd w:val="clear" w:color="auto" w:fill="auto"/>
        <w:spacing w:line="360" w:lineRule="auto"/>
        <w:ind w:firstLine="6360" w:firstLineChars="26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保证人：（公章）</w:t>
      </w:r>
    </w:p>
    <w:p>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hd w:val="clear" w:color="auto" w:fill="auto"/>
        <w:spacing w:line="360" w:lineRule="auto"/>
        <w:ind w:firstLine="6600" w:firstLineChars="2750"/>
        <w:rPr>
          <w:rFonts w:hint="eastAsia" w:ascii="仿宋" w:hAnsi="仿宋" w:eastAsia="仿宋" w:cs="仿宋"/>
          <w:color w:val="auto"/>
          <w:sz w:val="24"/>
          <w:szCs w:val="24"/>
          <w:highlight w:val="none"/>
          <w:lang w:eastAsia="zh-CN"/>
        </w:rPr>
        <w:sectPr>
          <w:footerReference r:id="rId5" w:type="default"/>
          <w:pgSz w:w="11905" w:h="16838"/>
          <w:pgMar w:top="1134" w:right="1134" w:bottom="1134" w:left="1417" w:header="567" w:footer="737" w:gutter="0"/>
          <w:pgNumType w:fmt="decimal"/>
          <w:cols w:space="720" w:num="1"/>
          <w:rtlGutter w:val="0"/>
          <w:docGrid w:linePitch="319" w:charSpace="0"/>
        </w:sectPr>
      </w:pPr>
      <w:r>
        <w:rPr>
          <w:rFonts w:hint="eastAsia" w:ascii="仿宋" w:hAnsi="仿宋" w:eastAsia="仿宋" w:cs="仿宋"/>
          <w:color w:val="auto"/>
          <w:sz w:val="24"/>
          <w:szCs w:val="24"/>
          <w:highlight w:val="none"/>
        </w:rPr>
        <w:t xml:space="preserve">年     月      </w:t>
      </w:r>
      <w:r>
        <w:rPr>
          <w:rFonts w:hint="eastAsia" w:ascii="仿宋" w:hAnsi="仿宋" w:eastAsia="仿宋" w:cs="仿宋"/>
          <w:color w:val="auto"/>
          <w:sz w:val="24"/>
          <w:szCs w:val="24"/>
          <w:highlight w:val="none"/>
          <w:lang w:eastAsia="zh-CN"/>
        </w:rPr>
        <w:t>日</w:t>
      </w:r>
    </w:p>
    <w:p>
      <w:pPr>
        <w:pStyle w:val="4"/>
        <w:numPr>
          <w:ilvl w:val="0"/>
          <w:numId w:val="4"/>
        </w:numPr>
        <w:shd w:val="clear" w:color="auto" w:fill="auto"/>
        <w:spacing w:before="0" w:line="360" w:lineRule="auto"/>
        <w:jc w:val="both"/>
        <w:rPr>
          <w:rFonts w:hint="eastAsia" w:ascii="仿宋" w:hAnsi="仿宋" w:eastAsia="仿宋" w:cs="仿宋"/>
          <w:color w:val="auto"/>
          <w:sz w:val="24"/>
          <w:highlight w:val="none"/>
          <w:lang w:val="en-US" w:eastAsia="zh-CN"/>
        </w:rPr>
      </w:pPr>
      <w:bookmarkStart w:id="358" w:name="_Toc29015"/>
      <w:bookmarkStart w:id="359" w:name="_Toc32670"/>
      <w:bookmarkStart w:id="360" w:name="_Toc24428"/>
      <w:bookmarkStart w:id="361" w:name="_Toc515647811"/>
      <w:bookmarkStart w:id="362" w:name="_Toc4937"/>
      <w:r>
        <w:rPr>
          <w:rFonts w:hint="eastAsia" w:ascii="仿宋" w:hAnsi="仿宋" w:eastAsia="仿宋" w:cs="仿宋"/>
          <w:color w:val="auto"/>
          <w:sz w:val="24"/>
          <w:highlight w:val="none"/>
          <w:lang w:val="en-US" w:eastAsia="zh-CN"/>
        </w:rPr>
        <w:t>社保及纳税的缴纳证明</w:t>
      </w:r>
      <w:bookmarkEnd w:id="358"/>
    </w:p>
    <w:p>
      <w:pPr>
        <w:pStyle w:val="15"/>
        <w:shd w:val="clear" w:color="auto" w:fill="auto"/>
        <w:tabs>
          <w:tab w:val="left" w:pos="5580"/>
        </w:tabs>
        <w:spacing w:line="360" w:lineRule="auto"/>
        <w:ind w:firstLine="480" w:firstLineChars="200"/>
        <w:jc w:val="left"/>
        <w:rPr>
          <w:rFonts w:hint="eastAsia" w:ascii="仿宋" w:hAnsi="仿宋" w:eastAsia="仿宋" w:cs="仿宋"/>
          <w:color w:val="auto"/>
          <w:sz w:val="24"/>
          <w:highlight w:val="none"/>
          <w:lang w:val="en-US" w:eastAsia="zh-CN"/>
        </w:rPr>
      </w:pPr>
      <w:bookmarkStart w:id="363" w:name="_Toc1882"/>
    </w:p>
    <w:p>
      <w:pPr>
        <w:pStyle w:val="15"/>
        <w:shd w:val="clear" w:color="auto" w:fill="auto"/>
        <w:tabs>
          <w:tab w:val="left" w:pos="5580"/>
        </w:tabs>
        <w:spacing w:line="360" w:lineRule="auto"/>
        <w:ind w:firstLine="480" w:firstLineChars="200"/>
        <w:jc w:val="left"/>
        <w:rPr>
          <w:rFonts w:hint="eastAsia" w:ascii="仿宋" w:hAnsi="仿宋" w:eastAsia="仿宋" w:cs="仿宋"/>
          <w:color w:val="auto"/>
          <w:sz w:val="24"/>
          <w:highlight w:val="none"/>
          <w:lang w:val="en-US" w:eastAsia="zh-CN"/>
        </w:rPr>
      </w:pPr>
    </w:p>
    <w:p>
      <w:pPr>
        <w:pStyle w:val="15"/>
        <w:shd w:val="clear" w:color="auto" w:fill="auto"/>
        <w:tabs>
          <w:tab w:val="left" w:pos="5580"/>
        </w:tabs>
        <w:spacing w:line="360" w:lineRule="auto"/>
        <w:ind w:firstLine="480" w:firstLineChars="200"/>
        <w:jc w:val="left"/>
        <w:rPr>
          <w:rFonts w:hint="eastAsia" w:ascii="仿宋" w:hAnsi="仿宋" w:eastAsia="仿宋" w:cs="仿宋"/>
          <w:color w:val="auto"/>
          <w:sz w:val="24"/>
          <w:highlight w:val="none"/>
          <w:lang w:val="en-US" w:eastAsia="zh-CN"/>
        </w:rPr>
      </w:pPr>
    </w:p>
    <w:p>
      <w:pPr>
        <w:pStyle w:val="15"/>
        <w:shd w:val="clear" w:color="auto" w:fill="auto"/>
        <w:tabs>
          <w:tab w:val="left" w:pos="5580"/>
        </w:tabs>
        <w:spacing w:line="360" w:lineRule="auto"/>
        <w:jc w:val="left"/>
        <w:rPr>
          <w:rFonts w:hint="eastAsia" w:ascii="仿宋" w:hAnsi="仿宋" w:eastAsia="仿宋" w:cs="仿宋"/>
          <w:color w:val="auto"/>
          <w:sz w:val="24"/>
          <w:highlight w:val="none"/>
          <w:lang w:val="en-US" w:eastAsia="zh-CN"/>
        </w:rPr>
      </w:pPr>
    </w:p>
    <w:p>
      <w:pPr>
        <w:pStyle w:val="15"/>
        <w:shd w:val="clear" w:color="auto" w:fill="auto"/>
        <w:tabs>
          <w:tab w:val="left" w:pos="5580"/>
        </w:tabs>
        <w:spacing w:line="360" w:lineRule="auto"/>
        <w:ind w:firstLine="480" w:firstLineChars="200"/>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说明：投标人需提供近六个月内（2022年9月-2023年2月）任意一月份投标人社会保障资金缴纳有效票据凭证及税务缴纳有效票据凭证</w:t>
      </w:r>
      <w:bookmarkEnd w:id="363"/>
      <w:r>
        <w:rPr>
          <w:rFonts w:hint="eastAsia" w:ascii="仿宋" w:hAnsi="仿宋" w:eastAsia="仿宋" w:cs="仿宋"/>
          <w:color w:val="auto"/>
          <w:sz w:val="24"/>
          <w:highlight w:val="none"/>
        </w:rPr>
        <w:t>。</w:t>
      </w:r>
    </w:p>
    <w:p>
      <w:pPr>
        <w:pStyle w:val="16"/>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pStyle w:val="13"/>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pStyle w:val="13"/>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pStyle w:val="13"/>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pStyle w:val="13"/>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pStyle w:val="13"/>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pStyle w:val="13"/>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pStyle w:val="13"/>
        <w:rPr>
          <w:rFonts w:hint="eastAsia" w:ascii="仿宋" w:hAnsi="仿宋" w:eastAsia="仿宋" w:cs="仿宋"/>
          <w:color w:val="auto"/>
          <w:sz w:val="24"/>
          <w:highlight w:val="none"/>
          <w:lang w:val="en-US" w:eastAsia="zh-CN"/>
        </w:rPr>
      </w:pPr>
    </w:p>
    <w:p>
      <w:pPr>
        <w:rPr>
          <w:rFonts w:hint="eastAsia" w:ascii="仿宋" w:hAnsi="仿宋" w:eastAsia="仿宋" w:cs="仿宋"/>
          <w:color w:val="auto"/>
          <w:sz w:val="24"/>
          <w:highlight w:val="none"/>
          <w:lang w:val="en-US" w:eastAsia="zh-CN"/>
        </w:rPr>
      </w:pPr>
    </w:p>
    <w:p>
      <w:pPr>
        <w:pStyle w:val="12"/>
        <w:rPr>
          <w:rFonts w:hint="eastAsia" w:ascii="仿宋" w:hAnsi="仿宋" w:eastAsia="仿宋" w:cs="仿宋"/>
          <w:color w:val="auto"/>
          <w:sz w:val="24"/>
          <w:highlight w:val="none"/>
          <w:lang w:val="en-US" w:eastAsia="zh-CN"/>
        </w:rPr>
      </w:pPr>
    </w:p>
    <w:p>
      <w:pPr>
        <w:pStyle w:val="13"/>
        <w:rPr>
          <w:rFonts w:hint="eastAsia"/>
          <w:lang w:val="en-US" w:eastAsia="zh-CN"/>
        </w:rPr>
      </w:pPr>
    </w:p>
    <w:p>
      <w:pPr>
        <w:pStyle w:val="12"/>
        <w:rPr>
          <w:rFonts w:hint="eastAsia"/>
          <w:lang w:val="en-US" w:eastAsia="zh-CN"/>
        </w:rPr>
      </w:pPr>
    </w:p>
    <w:p>
      <w:pPr>
        <w:pStyle w:val="4"/>
        <w:numPr>
          <w:ilvl w:val="0"/>
          <w:numId w:val="4"/>
        </w:numPr>
        <w:shd w:val="clear" w:color="auto" w:fill="auto"/>
        <w:spacing w:before="0" w:line="360" w:lineRule="auto"/>
        <w:jc w:val="both"/>
        <w:rPr>
          <w:rFonts w:hint="eastAsia" w:ascii="仿宋" w:hAnsi="仿宋" w:eastAsia="仿宋" w:cs="仿宋"/>
          <w:color w:val="auto"/>
          <w:sz w:val="24"/>
          <w:highlight w:val="none"/>
        </w:rPr>
      </w:pPr>
      <w:bookmarkStart w:id="364" w:name="_Toc4222"/>
      <w:r>
        <w:rPr>
          <w:rFonts w:hint="eastAsia" w:ascii="仿宋" w:hAnsi="仿宋" w:eastAsia="仿宋" w:cs="仿宋"/>
          <w:color w:val="auto"/>
          <w:sz w:val="24"/>
          <w:highlight w:val="none"/>
        </w:rPr>
        <w:t>参加政府采购活动前3年内</w:t>
      </w:r>
      <w:bookmarkEnd w:id="359"/>
      <w:bookmarkEnd w:id="360"/>
      <w:bookmarkEnd w:id="361"/>
      <w:bookmarkStart w:id="365" w:name="_Toc6008"/>
      <w:bookmarkStart w:id="366" w:name="_Toc515647812"/>
      <w:bookmarkStart w:id="367" w:name="_Toc1137"/>
      <w:r>
        <w:rPr>
          <w:rFonts w:hint="eastAsia" w:ascii="仿宋" w:hAnsi="仿宋" w:eastAsia="仿宋" w:cs="仿宋"/>
          <w:color w:val="auto"/>
          <w:sz w:val="24"/>
          <w:highlight w:val="none"/>
        </w:rPr>
        <w:t>在经营活动中没有重大违法记录的书面声明</w:t>
      </w:r>
      <w:bookmarkEnd w:id="362"/>
      <w:bookmarkEnd w:id="364"/>
      <w:bookmarkEnd w:id="365"/>
      <w:bookmarkEnd w:id="366"/>
      <w:bookmarkEnd w:id="367"/>
    </w:p>
    <w:p>
      <w:pPr>
        <w:pStyle w:val="15"/>
        <w:shd w:val="clear" w:color="auto" w:fill="auto"/>
        <w:tabs>
          <w:tab w:val="left" w:pos="5580"/>
        </w:tabs>
        <w:spacing w:line="360" w:lineRule="auto"/>
        <w:ind w:left="1080" w:leftChars="257" w:hanging="540"/>
        <w:jc w:val="center"/>
        <w:rPr>
          <w:rFonts w:hint="eastAsia" w:ascii="仿宋" w:hAnsi="仿宋" w:eastAsia="仿宋" w:cs="仿宋"/>
          <w:b/>
          <w:color w:val="auto"/>
          <w:sz w:val="24"/>
          <w:highlight w:val="none"/>
        </w:rPr>
      </w:pP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5"/>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p>
    <w:p>
      <w:pPr>
        <w:pStyle w:val="15"/>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2．按照招标文件的规定加盖单位章（自然人投标的无需盖章，需要签字）。</w:t>
      </w:r>
    </w:p>
    <w:p>
      <w:pPr>
        <w:pStyle w:val="15"/>
        <w:shd w:val="clear" w:color="auto" w:fill="auto"/>
        <w:tabs>
          <w:tab w:val="left" w:pos="55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3.（本项目不接受联合体）如果是联合体投标，联合体各方均需提供上述证明。</w:t>
      </w:r>
    </w:p>
    <w:p>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numPr>
          <w:ilvl w:val="0"/>
          <w:numId w:val="0"/>
        </w:numPr>
        <w:shd w:val="clear" w:color="auto" w:fill="auto"/>
        <w:spacing w:before="0" w:line="360" w:lineRule="auto"/>
        <w:jc w:val="both"/>
        <w:rPr>
          <w:rFonts w:hint="eastAsia" w:ascii="仿宋" w:hAnsi="仿宋" w:eastAsia="仿宋" w:cs="仿宋"/>
          <w:color w:val="auto"/>
          <w:sz w:val="24"/>
          <w:highlight w:val="none"/>
        </w:rPr>
      </w:pPr>
      <w:bookmarkStart w:id="368" w:name="_Toc29703"/>
      <w:bookmarkStart w:id="369" w:name="_Toc953"/>
      <w:bookmarkStart w:id="370" w:name="_Toc17207"/>
      <w:bookmarkStart w:id="371" w:name="_Toc515647813"/>
      <w:bookmarkStart w:id="372" w:name="_Toc5548"/>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投标人须知资料表要求的其他资格证明文件</w:t>
      </w:r>
      <w:bookmarkEnd w:id="368"/>
      <w:bookmarkEnd w:id="369"/>
      <w:bookmarkEnd w:id="370"/>
      <w:bookmarkEnd w:id="371"/>
      <w:bookmarkEnd w:id="372"/>
    </w:p>
    <w:p>
      <w:pPr>
        <w:shd w:val="clear" w:color="auto" w:fill="auto"/>
        <w:spacing w:line="360" w:lineRule="auto"/>
        <w:jc w:val="both"/>
        <w:rPr>
          <w:rFonts w:hint="eastAsia" w:ascii="仿宋" w:hAnsi="仿宋" w:eastAsia="仿宋" w:cs="仿宋"/>
          <w:b/>
          <w:bCs/>
          <w:color w:val="auto"/>
          <w:sz w:val="24"/>
          <w:highlight w:val="none"/>
        </w:rPr>
      </w:pP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pPr>
        <w:pStyle w:val="15"/>
        <w:shd w:val="clear" w:color="auto" w:fill="auto"/>
        <w:tabs>
          <w:tab w:val="left" w:pos="5580"/>
        </w:tabs>
        <w:spacing w:line="360" w:lineRule="auto"/>
        <w:ind w:firstLine="1200" w:firstLineChars="5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主要包括：</w:t>
      </w:r>
    </w:p>
    <w:p>
      <w:pPr>
        <w:pStyle w:val="15"/>
        <w:shd w:val="clear" w:color="auto" w:fill="auto"/>
        <w:tabs>
          <w:tab w:val="left" w:pos="5580"/>
        </w:tabs>
        <w:spacing w:line="360" w:lineRule="auto"/>
        <w:ind w:firstLine="1200" w:firstLineChars="5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（1）银行开户许可证或基本存款账户信息及；</w:t>
      </w:r>
    </w:p>
    <w:p>
      <w:pPr>
        <w:pStyle w:val="15"/>
        <w:shd w:val="clear" w:color="auto" w:fill="auto"/>
        <w:tabs>
          <w:tab w:val="left" w:pos="5580"/>
        </w:tabs>
        <w:spacing w:line="360" w:lineRule="auto"/>
        <w:ind w:firstLine="1200" w:firstLineChars="5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pPr>
        <w:pStyle w:val="15"/>
        <w:shd w:val="clear" w:color="auto" w:fill="auto"/>
        <w:tabs>
          <w:tab w:val="left" w:pos="5580"/>
        </w:tabs>
        <w:spacing w:line="360" w:lineRule="auto"/>
        <w:ind w:firstLine="1200" w:firstLineChars="500"/>
        <w:rPr>
          <w:rFonts w:hint="eastAsia"/>
          <w:lang w:val="en-US" w:eastAsia="zh-CN"/>
        </w:rPr>
      </w:pPr>
      <w:r>
        <w:rPr>
          <w:rFonts w:hint="eastAsia" w:ascii="仿宋" w:hAnsi="仿宋" w:eastAsia="仿宋" w:cs="仿宋"/>
          <w:color w:val="auto"/>
          <w:sz w:val="24"/>
          <w:highlight w:val="none"/>
          <w:lang w:val="en-US" w:eastAsia="zh-CN"/>
        </w:rPr>
        <w:t>（3）提供反商业贿赂承诺书；</w:t>
      </w:r>
    </w:p>
    <w:p>
      <w:pPr>
        <w:pStyle w:val="15"/>
        <w:shd w:val="clear" w:color="auto" w:fill="auto"/>
        <w:tabs>
          <w:tab w:val="left" w:pos="5580"/>
        </w:tabs>
        <w:spacing w:line="360" w:lineRule="auto"/>
        <w:ind w:firstLine="1200" w:firstLineChars="5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（4）城乡规划编制乙级（含）以上资质及测绘资质乙级（含）以上资质或土地规划乙级（含）以上资质及测绘资质乙级（含）以上资质；</w:t>
      </w:r>
    </w:p>
    <w:p>
      <w:pPr>
        <w:pStyle w:val="15"/>
        <w:shd w:val="clear" w:color="auto" w:fill="auto"/>
        <w:tabs>
          <w:tab w:val="left" w:pos="5580"/>
        </w:tabs>
        <w:spacing w:line="360" w:lineRule="auto"/>
        <w:ind w:firstLine="1200" w:firstLineChars="500"/>
        <w:rPr>
          <w:rFonts w:hint="eastAsia" w:ascii="仿宋" w:hAnsi="仿宋" w:eastAsia="仿宋" w:cs="仿宋"/>
          <w:color w:val="auto"/>
          <w:sz w:val="24"/>
          <w:highlight w:val="none"/>
          <w:lang w:eastAsia="zh-CN"/>
        </w:rPr>
      </w:pP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2.复印件上应加盖本单位章（自然人投标的无需盖章，需要签字）。</w:t>
      </w:r>
    </w:p>
    <w:p>
      <w:pPr>
        <w:pStyle w:val="15"/>
        <w:shd w:val="clear" w:color="auto" w:fill="auto"/>
        <w:tabs>
          <w:tab w:val="left" w:pos="5580"/>
        </w:tabs>
        <w:spacing w:line="360" w:lineRule="auto"/>
        <w:ind w:left="1260" w:leftChars="344" w:hanging="538"/>
        <w:rPr>
          <w:rFonts w:hint="eastAsia" w:ascii="仿宋" w:hAnsi="仿宋" w:eastAsia="仿宋" w:cs="仿宋"/>
          <w:color w:val="auto"/>
        </w:rPr>
      </w:pPr>
      <w:r>
        <w:rPr>
          <w:rFonts w:hint="eastAsia" w:ascii="仿宋" w:hAnsi="仿宋" w:eastAsia="仿宋" w:cs="仿宋"/>
          <w:color w:val="auto"/>
          <w:sz w:val="24"/>
          <w:highlight w:val="none"/>
        </w:rPr>
        <w:t xml:space="preserve">     </w:t>
      </w:r>
    </w:p>
    <w:p>
      <w:pPr>
        <w:pStyle w:val="4"/>
        <w:bidi w:val="0"/>
        <w:spacing w:line="360" w:lineRule="auto"/>
        <w:rPr>
          <w:rFonts w:hint="eastAsia" w:ascii="仿宋" w:hAnsi="仿宋" w:eastAsia="仿宋" w:cs="仿宋"/>
          <w:color w:val="auto"/>
        </w:rPr>
      </w:pPr>
      <w:r>
        <w:rPr>
          <w:rFonts w:hint="eastAsia" w:ascii="仿宋" w:hAnsi="仿宋" w:eastAsia="仿宋" w:cs="仿宋"/>
          <w:color w:val="auto"/>
        </w:rPr>
        <w:t>反商业贿赂承诺书</w:t>
      </w:r>
    </w:p>
    <w:p>
      <w:pPr>
        <w:pStyle w:val="13"/>
        <w:spacing w:after="0" w:line="360" w:lineRule="auto"/>
        <w:ind w:left="0" w:leftChars="0" w:firstLine="482"/>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我公司承诺在</w:t>
      </w:r>
      <w:r>
        <w:rPr>
          <w:rFonts w:hint="eastAsia" w:ascii="仿宋" w:hAnsi="仿宋" w:eastAsia="仿宋" w:cs="仿宋"/>
          <w:b w:val="0"/>
          <w:bCs/>
          <w:color w:val="auto"/>
          <w:sz w:val="24"/>
          <w:highlight w:val="none"/>
          <w:u w:val="single"/>
        </w:rPr>
        <w:t>（“项目名称”、项目编号）</w:t>
      </w:r>
      <w:r>
        <w:rPr>
          <w:rFonts w:hint="eastAsia" w:ascii="仿宋" w:hAnsi="仿宋" w:eastAsia="仿宋" w:cs="仿宋"/>
          <w:b w:val="0"/>
          <w:bCs/>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3"/>
        <w:spacing w:after="0" w:line="360" w:lineRule="auto"/>
        <w:ind w:left="0" w:leftChars="0" w:firstLine="482"/>
        <w:rPr>
          <w:rFonts w:hint="eastAsia" w:ascii="仿宋" w:hAnsi="仿宋" w:eastAsia="仿宋" w:cs="仿宋"/>
          <w:b w:val="0"/>
          <w:bCs/>
          <w:color w:val="auto"/>
          <w:sz w:val="24"/>
          <w:highlight w:val="none"/>
        </w:rPr>
      </w:pPr>
    </w:p>
    <w:p>
      <w:pPr>
        <w:pStyle w:val="13"/>
        <w:spacing w:after="0" w:line="360" w:lineRule="auto"/>
        <w:ind w:left="0" w:leftChars="0" w:firstLine="482"/>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投标人名称（公章）：　　　　　   </w:t>
      </w:r>
    </w:p>
    <w:p>
      <w:pPr>
        <w:pStyle w:val="13"/>
        <w:spacing w:after="0" w:line="360" w:lineRule="auto"/>
        <w:ind w:left="0" w:leftChars="0" w:firstLine="482"/>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公司法人代表签字或盖章：</w:t>
      </w:r>
    </w:p>
    <w:p>
      <w:pPr>
        <w:pStyle w:val="13"/>
        <w:spacing w:after="0" w:line="360" w:lineRule="auto"/>
        <w:ind w:left="0" w:leftChars="0" w:firstLine="482"/>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法人授权代表签字或盖章：</w:t>
      </w:r>
    </w:p>
    <w:p>
      <w:pPr>
        <w:pStyle w:val="15"/>
        <w:shd w:val="clear" w:color="auto" w:fill="auto"/>
        <w:tabs>
          <w:tab w:val="left" w:pos="558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日期：</w:t>
      </w: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6"/>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12"/>
        <w:rPr>
          <w:rFonts w:hint="eastAsia" w:ascii="仿宋" w:hAnsi="仿宋" w:eastAsia="仿宋" w:cs="仿宋"/>
          <w:color w:val="auto"/>
          <w:sz w:val="24"/>
          <w:highlight w:val="none"/>
        </w:rPr>
      </w:pPr>
    </w:p>
    <w:p>
      <w:pPr>
        <w:pStyle w:val="13"/>
        <w:rPr>
          <w:rFonts w:hint="eastAsia" w:ascii="仿宋" w:hAnsi="仿宋" w:eastAsia="仿宋" w:cs="仿宋"/>
          <w:color w:val="auto"/>
          <w:sz w:val="24"/>
          <w:highlight w:val="none"/>
        </w:rPr>
      </w:pPr>
    </w:p>
    <w:p>
      <w:pPr>
        <w:rPr>
          <w:rFonts w:hint="eastAsia"/>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360" w:lineRule="auto"/>
        <w:jc w:val="both"/>
        <w:textAlignment w:val="auto"/>
        <w:outlineLvl w:val="1"/>
        <w:rPr>
          <w:rFonts w:hint="eastAsia" w:ascii="仿宋" w:hAnsi="仿宋" w:eastAsia="仿宋" w:cs="仿宋"/>
          <w:color w:val="auto"/>
          <w:sz w:val="32"/>
          <w:szCs w:val="32"/>
          <w:highlight w:val="none"/>
        </w:rPr>
      </w:pPr>
      <w:bookmarkStart w:id="373" w:name="_Toc5695"/>
      <w:bookmarkStart w:id="374" w:name="_Toc11180"/>
      <w:bookmarkStart w:id="375" w:name="_Toc515647816"/>
      <w:bookmarkStart w:id="376" w:name="_Toc22967"/>
      <w:bookmarkStart w:id="377" w:name="_Toc21350"/>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商务及技术文件</w:t>
      </w:r>
      <w:bookmarkEnd w:id="373"/>
      <w:bookmarkEnd w:id="374"/>
      <w:bookmarkEnd w:id="375"/>
      <w:bookmarkEnd w:id="376"/>
      <w:bookmarkEnd w:id="377"/>
    </w:p>
    <w:p>
      <w:pPr>
        <w:pStyle w:val="15"/>
        <w:keepNext w:val="0"/>
        <w:keepLines w:val="0"/>
        <w:pageBreakBefore w:val="0"/>
        <w:widowControl w:val="0"/>
        <w:shd w:val="clear" w:color="auto" w:fill="auto"/>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1、投标书（投标文件格式五）</w:t>
      </w:r>
    </w:p>
    <w:p>
      <w:pPr>
        <w:pStyle w:val="15"/>
        <w:keepNext w:val="0"/>
        <w:keepLines w:val="0"/>
        <w:pageBreakBefore w:val="0"/>
        <w:widowControl w:val="0"/>
        <w:shd w:val="clear" w:color="auto" w:fill="auto"/>
        <w:kinsoku/>
        <w:wordWrap/>
        <w:overflowPunct/>
        <w:topLinePunct w:val="0"/>
        <w:autoSpaceDE/>
        <w:autoSpaceDN/>
        <w:bidi w:val="0"/>
        <w:adjustRightInd/>
        <w:snapToGrid/>
        <w:spacing w:line="360" w:lineRule="auto"/>
        <w:ind w:left="1060" w:leftChars="257" w:hanging="520" w:firstLineChars="0"/>
        <w:textAlignment w:val="auto"/>
        <w:rPr>
          <w:rFonts w:hint="eastAsia" w:ascii="仿宋" w:hAnsi="仿宋" w:eastAsia="仿宋" w:cs="仿宋"/>
          <w:color w:val="auto"/>
          <w:lang w:val="en-US" w:eastAsia="zh-CN"/>
        </w:rPr>
      </w:pPr>
      <w:r>
        <w:rPr>
          <w:rFonts w:hint="eastAsia" w:ascii="仿宋" w:hAnsi="仿宋" w:eastAsia="仿宋" w:cs="仿宋"/>
          <w:color w:val="auto"/>
          <w:sz w:val="24"/>
          <w:highlight w:val="none"/>
          <w:lang w:val="en-US" w:eastAsia="zh-CN"/>
        </w:rPr>
        <w:t>2、投标文件技术部分（包括服务方案、项目关键点及控制措施、安全、保密措施、服务承诺及服务质量保证措施、对本项目合理化建议等）</w:t>
      </w:r>
    </w:p>
    <w:p>
      <w:pPr>
        <w:pStyle w:val="15"/>
        <w:keepNext w:val="0"/>
        <w:keepLines w:val="0"/>
        <w:pageBreakBefore w:val="0"/>
        <w:widowControl w:val="0"/>
        <w:shd w:val="clear" w:color="auto" w:fill="auto"/>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投标文件商务部分（详见评分标准和细则）</w:t>
      </w:r>
    </w:p>
    <w:p>
      <w:pPr>
        <w:pStyle w:val="15"/>
        <w:keepNext w:val="0"/>
        <w:keepLines w:val="0"/>
        <w:pageBreakBefore w:val="0"/>
        <w:widowControl w:val="0"/>
        <w:shd w:val="clear" w:color="auto" w:fill="auto"/>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评分标准和细则中技术部分证明材料（格式自拟）</w:t>
      </w:r>
    </w:p>
    <w:p>
      <w:pPr>
        <w:pStyle w:val="15"/>
        <w:keepNext w:val="0"/>
        <w:keepLines w:val="0"/>
        <w:pageBreakBefore w:val="0"/>
        <w:widowControl w:val="0"/>
        <w:shd w:val="clear" w:color="auto" w:fill="auto"/>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投标人认为有必要提供的其他证明材料（格式自拟）</w:t>
      </w:r>
    </w:p>
    <w:p>
      <w:pPr>
        <w:pStyle w:val="16"/>
        <w:spacing w:line="360" w:lineRule="auto"/>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Style w:val="16"/>
        <w:spacing w:line="360" w:lineRule="auto"/>
        <w:ind w:left="0" w:leftChars="0" w:firstLine="0" w:firstLineChars="0"/>
        <w:rPr>
          <w:rFonts w:hint="eastAsia" w:ascii="仿宋" w:hAnsi="仿宋" w:eastAsia="仿宋" w:cs="仿宋"/>
          <w:color w:val="auto"/>
          <w:sz w:val="24"/>
          <w:highlight w:val="none"/>
          <w:lang w:val="en-US" w:eastAsia="zh-CN"/>
        </w:rPr>
      </w:pPr>
    </w:p>
    <w:p>
      <w:pPr>
        <w:pStyle w:val="16"/>
        <w:spacing w:line="360" w:lineRule="auto"/>
        <w:ind w:left="0" w:leftChars="0" w:firstLine="0" w:firstLineChars="0"/>
        <w:rPr>
          <w:rFonts w:hint="eastAsia" w:ascii="仿宋" w:hAnsi="仿宋" w:eastAsia="仿宋" w:cs="仿宋"/>
          <w:color w:val="auto"/>
          <w:sz w:val="24"/>
          <w:highlight w:val="none"/>
          <w:lang w:val="en-US" w:eastAsia="zh-CN"/>
        </w:rPr>
      </w:pPr>
    </w:p>
    <w:p>
      <w:pPr>
        <w:pStyle w:val="16"/>
        <w:spacing w:line="360" w:lineRule="auto"/>
        <w:ind w:left="0" w:leftChars="0" w:firstLine="0" w:firstLineChars="0"/>
        <w:rPr>
          <w:rFonts w:hint="eastAsia" w:ascii="仿宋" w:hAnsi="仿宋" w:eastAsia="仿宋" w:cs="仿宋"/>
          <w:color w:val="auto"/>
          <w:lang w:val="en-US" w:eastAsia="zh-CN"/>
        </w:rPr>
      </w:pPr>
      <w:r>
        <w:rPr>
          <w:rFonts w:hint="eastAsia" w:ascii="仿宋" w:hAnsi="仿宋" w:eastAsia="仿宋" w:cs="仿宋"/>
          <w:color w:val="auto"/>
          <w:sz w:val="24"/>
          <w:highlight w:val="none"/>
          <w:lang w:val="en-US" w:eastAsia="zh-CN"/>
        </w:rPr>
        <w:t>注：为方便专家评审，请投标单位在制作投标文件时自行设置目录及页码，方便评审专家进行评审。</w:t>
      </w:r>
    </w:p>
    <w:p>
      <w:pPr>
        <w:pStyle w:val="15"/>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561"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numPr>
          <w:ilvl w:val="0"/>
          <w:numId w:val="0"/>
        </w:numPr>
        <w:shd w:val="clear" w:color="auto" w:fill="auto"/>
        <w:spacing w:before="0" w:line="360" w:lineRule="auto"/>
        <w:rPr>
          <w:rFonts w:hint="eastAsia" w:ascii="仿宋" w:hAnsi="仿宋" w:eastAsia="仿宋" w:cs="仿宋"/>
          <w:b/>
          <w:bCs/>
          <w:color w:val="auto"/>
          <w:sz w:val="24"/>
          <w:highlight w:val="none"/>
        </w:rPr>
      </w:pPr>
      <w:bookmarkStart w:id="378" w:name="_Toc2041"/>
      <w:bookmarkStart w:id="379" w:name="_Toc14915"/>
      <w:bookmarkStart w:id="380" w:name="_Toc515647817"/>
      <w:bookmarkStart w:id="381" w:name="_Toc6695"/>
      <w:bookmarkStart w:id="382" w:name="_Toc22000"/>
      <w:r>
        <w:rPr>
          <w:rFonts w:hint="eastAsia" w:ascii="仿宋" w:hAnsi="仿宋" w:eastAsia="仿宋" w:cs="仿宋"/>
          <w:b/>
          <w:bCs/>
          <w:color w:val="auto"/>
          <w:sz w:val="24"/>
          <w:highlight w:val="none"/>
        </w:rPr>
        <w:t xml:space="preserve">1 </w:t>
      </w:r>
      <w:bookmarkStart w:id="383" w:name="_Hlt520355504"/>
      <w:bookmarkEnd w:id="383"/>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投标</w:t>
      </w:r>
      <w:bookmarkEnd w:id="322"/>
      <w:bookmarkEnd w:id="323"/>
      <w:r>
        <w:rPr>
          <w:rFonts w:hint="eastAsia" w:ascii="仿宋" w:hAnsi="仿宋" w:eastAsia="仿宋" w:cs="仿宋"/>
          <w:b/>
          <w:bCs/>
          <w:color w:val="auto"/>
          <w:sz w:val="24"/>
          <w:highlight w:val="none"/>
        </w:rPr>
        <w:t>书</w:t>
      </w:r>
      <w:bookmarkEnd w:id="324"/>
      <w:r>
        <w:rPr>
          <w:rFonts w:hint="eastAsia" w:ascii="仿宋" w:hAnsi="仿宋" w:eastAsia="仿宋" w:cs="仿宋"/>
          <w:b/>
          <w:bCs/>
          <w:color w:val="auto"/>
          <w:sz w:val="24"/>
          <w:highlight w:val="none"/>
        </w:rPr>
        <w:t>（投标文件格式五）</w:t>
      </w:r>
      <w:bookmarkEnd w:id="325"/>
      <w:bookmarkEnd w:id="378"/>
      <w:bookmarkEnd w:id="379"/>
      <w:bookmarkEnd w:id="380"/>
      <w:bookmarkEnd w:id="381"/>
      <w:bookmarkEnd w:id="382"/>
    </w:p>
    <w:p>
      <w:pPr>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shd w:val="clear" w:color="auto" w:fill="auto"/>
        <w:tabs>
          <w:tab w:val="left" w:pos="5580"/>
        </w:tabs>
        <w:spacing w:line="360" w:lineRule="auto"/>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5"/>
        <w:shd w:val="clear" w:color="auto" w:fill="auto"/>
        <w:tabs>
          <w:tab w:val="left" w:pos="5580"/>
        </w:tabs>
        <w:spacing w:line="360" w:lineRule="auto"/>
        <w:ind w:left="2" w:lef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项目的投标邀请(</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）提交下述文件正本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份及电子文档</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份，并出具的金额为人民币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元的投标保证金。</w:t>
      </w: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据此，签字代表宣布如下：</w:t>
      </w:r>
    </w:p>
    <w:p>
      <w:pPr>
        <w:pStyle w:val="15"/>
        <w:shd w:val="clear" w:color="auto" w:fill="auto"/>
        <w:tabs>
          <w:tab w:val="left" w:pos="720"/>
          <w:tab w:val="left" w:pos="900"/>
        </w:tabs>
        <w:spacing w:line="360" w:lineRule="auto"/>
        <w:ind w:left="769" w:leftChars="257" w:hanging="229"/>
        <w:rPr>
          <w:rFonts w:hint="eastAsia" w:ascii="仿宋" w:hAnsi="仿宋" w:eastAsia="仿宋" w:cs="仿宋"/>
          <w:color w:val="auto"/>
          <w:sz w:val="24"/>
          <w:highlight w:val="none"/>
        </w:rPr>
      </w:pPr>
      <w:r>
        <w:rPr>
          <w:rFonts w:hint="eastAsia" w:ascii="仿宋" w:hAnsi="仿宋" w:eastAsia="仿宋" w:cs="仿宋"/>
          <w:color w:val="auto"/>
          <w:sz w:val="24"/>
          <w:highlight w:val="none"/>
        </w:rPr>
        <w:t>（1）附投标书报价中规定的投标总价详见开标一览表，</w:t>
      </w:r>
      <w:r>
        <w:rPr>
          <w:rFonts w:hint="eastAsia" w:ascii="仿宋" w:hAnsi="仿宋" w:eastAsia="仿宋" w:cs="仿宋"/>
          <w:color w:val="auto"/>
          <w:sz w:val="24"/>
          <w:highlight w:val="none"/>
          <w:u w:val="single"/>
        </w:rPr>
        <w:t>其中由小型和</w:t>
      </w:r>
      <w:r>
        <w:rPr>
          <w:rFonts w:hint="eastAsia" w:ascii="仿宋" w:hAnsi="仿宋" w:eastAsia="仿宋" w:cs="仿宋"/>
          <w:color w:val="auto"/>
          <w:sz w:val="24"/>
          <w:highlight w:val="none"/>
        </w:rPr>
        <w:t>微型企业制造产品的价格为</w:t>
      </w:r>
      <w:r>
        <w:rPr>
          <w:rFonts w:hint="eastAsia" w:ascii="仿宋" w:hAnsi="仿宋" w:eastAsia="仿宋" w:cs="仿宋"/>
          <w:color w:val="auto"/>
          <w:sz w:val="24"/>
          <w:highlight w:val="none"/>
          <w:u w:val="single"/>
        </w:rPr>
        <w:t>　　  （用文字和数字表示），占投标价的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pPr>
        <w:pStyle w:val="15"/>
        <w:shd w:val="clear" w:color="auto" w:fill="auto"/>
        <w:tabs>
          <w:tab w:val="left" w:pos="720"/>
          <w:tab w:val="left" w:pos="900"/>
        </w:tabs>
        <w:spacing w:line="360" w:lineRule="auto"/>
        <w:ind w:left="769" w:leftChars="257" w:hanging="22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（2）本投标有效期为投标标截止之日起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存在、不存在）投资关系（如果是联合体的话）。</w:t>
      </w: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（4）已详细审查全部招标文件，包括所有补充通知（如果有的话），完全理解并同意放弃对这方面有不明、误解和质疑的权力。</w:t>
      </w: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（5）在规定的开标时间后，遵守招标文件中有关保证金的规定。</w:t>
      </w: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（6）我方不是为本项目提供整体设计、规范编制或者项目管理、监理、检测等服务的供应商，我方不是采购代理机构的附属机构。</w:t>
      </w: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（7）在领取中标通知书的同时按招标文件规定的形式，向贵方一次性支付中标服务费。</w:t>
      </w: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（9）按照招标文件的规定履行合同责任和义务。</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与本投标有关的一切正式往来信函请寄：</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投标人代表签字：</w:t>
      </w:r>
      <w:r>
        <w:rPr>
          <w:rFonts w:hint="eastAsia" w:ascii="仿宋" w:hAnsi="仿宋" w:eastAsia="仿宋" w:cs="仿宋"/>
          <w:color w:val="auto"/>
          <w:sz w:val="24"/>
          <w:highlight w:val="none"/>
          <w:u w:val="singl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（单位公章）</w:t>
      </w:r>
    </w:p>
    <w:p>
      <w:pPr>
        <w:pStyle w:val="15"/>
        <w:shd w:val="clear" w:color="auto" w:fill="auto"/>
        <w:tabs>
          <w:tab w:val="left" w:pos="5580"/>
        </w:tabs>
        <w:spacing w:line="360" w:lineRule="auto"/>
        <w:ind w:left="1080" w:leftChars="257" w:hanging="54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日</w:t>
      </w:r>
    </w:p>
    <w:p>
      <w:pPr>
        <w:keepNext w:val="0"/>
        <w:keepLines w:val="0"/>
        <w:pageBreakBefore w:val="0"/>
        <w:widowControl/>
        <w:kinsoku/>
        <w:wordWrap/>
        <w:overflowPunct/>
        <w:topLinePunct w:val="0"/>
        <w:autoSpaceDE/>
        <w:autoSpaceDN/>
        <w:bidi w:val="0"/>
        <w:adjustRightInd/>
        <w:snapToGrid/>
        <w:spacing w:before="161" w:beforeLines="50" w:line="360" w:lineRule="auto"/>
        <w:jc w:val="center"/>
        <w:textAlignment w:val="auto"/>
        <w:rPr>
          <w:rFonts w:hint="eastAsia" w:ascii="仿宋" w:hAnsi="仿宋" w:eastAsia="仿宋" w:cs="仿宋"/>
          <w:b/>
          <w:bCs w:val="0"/>
          <w:i w:val="0"/>
          <w:iCs w:val="0"/>
          <w:color w:val="000000"/>
          <w:kern w:val="0"/>
          <w:sz w:val="32"/>
          <w:szCs w:val="32"/>
          <w:lang w:bidi="ar"/>
        </w:rPr>
      </w:pPr>
    </w:p>
    <w:p>
      <w:pPr>
        <w:pStyle w:val="12"/>
        <w:spacing w:before="140"/>
        <w:ind w:left="198" w:right="219"/>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中小微企业声明函（工程、服务）</w:t>
      </w:r>
    </w:p>
    <w:p>
      <w:pPr>
        <w:pStyle w:val="12"/>
        <w:spacing w:before="6"/>
        <w:rPr>
          <w:sz w:val="34"/>
        </w:rPr>
      </w:pPr>
    </w:p>
    <w:p>
      <w:pPr>
        <w:pStyle w:val="12"/>
        <w:tabs>
          <w:tab w:val="left" w:pos="5972"/>
        </w:tabs>
        <w:spacing w:line="391" w:lineRule="auto"/>
        <w:ind w:left="452" w:right="352" w:firstLine="480"/>
        <w:rPr>
          <w:rFonts w:hint="eastAsia" w:ascii="仿宋" w:hAnsi="仿宋" w:eastAsia="仿宋" w:cs="仿宋"/>
          <w:sz w:val="24"/>
          <w:szCs w:val="24"/>
        </w:rPr>
      </w:pPr>
      <w:r>
        <w:rPr>
          <w:rFonts w:hint="eastAsia" w:ascii="仿宋" w:hAnsi="仿宋" w:eastAsia="仿宋" w:cs="仿宋"/>
          <w:sz w:val="24"/>
          <w:szCs w:val="24"/>
        </w:rPr>
        <w:t>本公司郑重声明，</w:t>
      </w:r>
      <w:r>
        <w:rPr>
          <w:rFonts w:hint="eastAsia" w:ascii="仿宋" w:hAnsi="仿宋" w:eastAsia="仿宋" w:cs="仿宋"/>
          <w:spacing w:val="-80"/>
          <w:sz w:val="24"/>
          <w:szCs w:val="24"/>
        </w:rPr>
        <w:t xml:space="preserve"> </w:t>
      </w:r>
      <w:r>
        <w:rPr>
          <w:rFonts w:hint="eastAsia" w:ascii="仿宋" w:hAnsi="仿宋" w:eastAsia="仿宋" w:cs="仿宋"/>
          <w:sz w:val="24"/>
          <w:szCs w:val="24"/>
        </w:rPr>
        <w:t>根</w:t>
      </w:r>
      <w:r>
        <w:rPr>
          <w:rFonts w:hint="eastAsia" w:ascii="仿宋" w:hAnsi="仿宋" w:eastAsia="仿宋" w:cs="仿宋"/>
          <w:spacing w:val="-80"/>
          <w:sz w:val="24"/>
          <w:szCs w:val="24"/>
        </w:rPr>
        <w:t>据</w:t>
      </w:r>
      <w:r>
        <w:rPr>
          <w:rFonts w:hint="eastAsia" w:ascii="仿宋" w:hAnsi="仿宋" w:eastAsia="仿宋" w:cs="仿宋"/>
          <w:spacing w:val="-3"/>
          <w:sz w:val="24"/>
          <w:szCs w:val="24"/>
        </w:rPr>
        <w:t>《</w:t>
      </w:r>
      <w:r>
        <w:rPr>
          <w:rFonts w:hint="eastAsia" w:ascii="仿宋" w:hAnsi="仿宋" w:eastAsia="仿宋" w:cs="仿宋"/>
          <w:sz w:val="24"/>
          <w:szCs w:val="24"/>
        </w:rPr>
        <w:t>政府采购促进中小企业发展管理办法</w:t>
      </w:r>
      <w:r>
        <w:rPr>
          <w:rFonts w:hint="eastAsia" w:ascii="仿宋" w:hAnsi="仿宋" w:eastAsia="仿宋" w:cs="仿宋"/>
          <w:spacing w:val="-159"/>
          <w:sz w:val="24"/>
          <w:szCs w:val="24"/>
        </w:rPr>
        <w:t>》</w:t>
      </w:r>
      <w:r>
        <w:rPr>
          <w:rFonts w:hint="eastAsia" w:ascii="仿宋" w:hAnsi="仿宋" w:eastAsia="仿宋" w:cs="仿宋"/>
          <w:spacing w:val="-3"/>
          <w:sz w:val="24"/>
          <w:szCs w:val="24"/>
        </w:rPr>
        <w:t>（</w:t>
      </w:r>
      <w:r>
        <w:rPr>
          <w:rFonts w:hint="eastAsia" w:ascii="仿宋" w:hAnsi="仿宋" w:eastAsia="仿宋" w:cs="仿宋"/>
          <w:sz w:val="24"/>
          <w:szCs w:val="24"/>
        </w:rPr>
        <w:t>财库﹝ 2020﹞ 46 号</w:t>
      </w:r>
      <w:r>
        <w:rPr>
          <w:rFonts w:hint="eastAsia" w:ascii="仿宋" w:hAnsi="仿宋" w:eastAsia="仿宋" w:cs="仿宋"/>
          <w:spacing w:val="-13"/>
          <w:sz w:val="24"/>
          <w:szCs w:val="24"/>
        </w:rPr>
        <w:t xml:space="preserve">） </w:t>
      </w:r>
      <w:r>
        <w:rPr>
          <w:rFonts w:hint="eastAsia" w:ascii="仿宋" w:hAnsi="仿宋" w:eastAsia="仿宋" w:cs="仿宋"/>
          <w:sz w:val="24"/>
          <w:szCs w:val="24"/>
        </w:rPr>
        <w:t>的规定，</w:t>
      </w:r>
      <w:r>
        <w:rPr>
          <w:rFonts w:hint="eastAsia" w:ascii="仿宋" w:hAnsi="仿宋" w:eastAsia="仿宋" w:cs="仿宋"/>
          <w:spacing w:val="-1"/>
          <w:sz w:val="24"/>
          <w:szCs w:val="24"/>
        </w:rPr>
        <w:t xml:space="preserve"> </w:t>
      </w:r>
      <w:r>
        <w:rPr>
          <w:rFonts w:hint="eastAsia" w:ascii="仿宋" w:hAnsi="仿宋" w:eastAsia="仿宋" w:cs="仿宋"/>
          <w:sz w:val="24"/>
          <w:szCs w:val="24"/>
        </w:rPr>
        <w:t>本公司参加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采购活动，</w:t>
      </w:r>
      <w:r>
        <w:rPr>
          <w:rFonts w:hint="eastAsia" w:ascii="仿宋" w:hAnsi="仿宋" w:eastAsia="仿宋" w:cs="仿宋"/>
          <w:sz w:val="24"/>
          <w:szCs w:val="24"/>
          <w:lang w:val="en-US" w:eastAsia="zh-CN"/>
        </w:rPr>
        <w:t>工程的施工单位全部为符合政策要求的中小企业（或者：服务全部由符合政策要求的中小企业承接）。相关企业（含联合体中的中小企业、签订分包意向协议的中小企业）的具体情况如下：</w:t>
      </w:r>
    </w:p>
    <w:p>
      <w:pPr>
        <w:pStyle w:val="41"/>
        <w:numPr>
          <w:ilvl w:val="1"/>
          <w:numId w:val="5"/>
        </w:numPr>
        <w:tabs>
          <w:tab w:val="left" w:pos="1250"/>
          <w:tab w:val="left" w:pos="3812"/>
          <w:tab w:val="left" w:pos="6572"/>
        </w:tabs>
        <w:spacing w:before="0" w:after="0" w:line="388" w:lineRule="auto"/>
        <w:ind w:left="452" w:right="352" w:firstLine="480"/>
        <w:jc w:val="left"/>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z w:val="24"/>
          <w:szCs w:val="24"/>
          <w:u w:val="single"/>
        </w:rPr>
        <w:t>标的名称）</w:t>
      </w:r>
      <w:r>
        <w:rPr>
          <w:rFonts w:hint="eastAsia" w:ascii="仿宋" w:hAnsi="仿宋" w:eastAsia="仿宋" w:cs="仿宋"/>
          <w:spacing w:val="-46"/>
          <w:sz w:val="24"/>
          <w:szCs w:val="24"/>
        </w:rPr>
        <w:t xml:space="preserve"> </w:t>
      </w:r>
      <w:r>
        <w:rPr>
          <w:rFonts w:hint="eastAsia" w:ascii="仿宋" w:hAnsi="仿宋" w:eastAsia="仿宋" w:cs="仿宋"/>
          <w:sz w:val="24"/>
          <w:szCs w:val="24"/>
        </w:rPr>
        <w:t>，</w:t>
      </w:r>
      <w:r>
        <w:rPr>
          <w:rFonts w:hint="eastAsia" w:ascii="仿宋" w:hAnsi="仿宋" w:eastAsia="仿宋" w:cs="仿宋"/>
          <w:spacing w:val="-46"/>
          <w:sz w:val="24"/>
          <w:szCs w:val="24"/>
        </w:rPr>
        <w:t xml:space="preserve"> </w:t>
      </w:r>
      <w:r>
        <w:rPr>
          <w:rFonts w:hint="eastAsia" w:ascii="仿宋" w:hAnsi="仿宋" w:eastAsia="仿宋" w:cs="仿宋"/>
          <w:sz w:val="24"/>
          <w:szCs w:val="24"/>
        </w:rPr>
        <w:t>属于</w:t>
      </w:r>
      <w:r>
        <w:rPr>
          <w:rFonts w:hint="eastAsia" w:ascii="仿宋" w:hAnsi="仿宋" w:eastAsia="仿宋" w:cs="仿宋"/>
          <w:spacing w:val="14"/>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其他未列明行业</w:t>
      </w:r>
      <w:r>
        <w:rPr>
          <w:rFonts w:hint="eastAsia" w:ascii="仿宋" w:hAnsi="仿宋" w:eastAsia="仿宋" w:cs="仿宋"/>
          <w:sz w:val="24"/>
          <w:szCs w:val="24"/>
          <w:u w:val="single"/>
        </w:rPr>
        <w:t>）</w:t>
      </w:r>
      <w:r>
        <w:rPr>
          <w:rFonts w:hint="eastAsia" w:ascii="仿宋" w:hAnsi="仿宋" w:eastAsia="仿宋" w:cs="仿宋"/>
          <w:spacing w:val="-46"/>
          <w:sz w:val="24"/>
          <w:szCs w:val="24"/>
        </w:rPr>
        <w:t xml:space="preserve"> </w:t>
      </w:r>
      <w:r>
        <w:rPr>
          <w:rFonts w:hint="eastAsia" w:ascii="仿宋" w:hAnsi="仿宋" w:eastAsia="仿宋" w:cs="仿宋"/>
          <w:sz w:val="24"/>
          <w:szCs w:val="24"/>
        </w:rPr>
        <w:t>；</w:t>
      </w:r>
      <w:r>
        <w:rPr>
          <w:rFonts w:hint="eastAsia" w:ascii="仿宋" w:hAnsi="仿宋" w:eastAsia="仿宋" w:cs="仿宋"/>
          <w:spacing w:val="-48"/>
          <w:sz w:val="24"/>
          <w:szCs w:val="24"/>
        </w:rPr>
        <w:t xml:space="preserve"> </w:t>
      </w:r>
      <w:r>
        <w:rPr>
          <w:rFonts w:hint="eastAsia" w:ascii="仿宋" w:hAnsi="仿宋" w:eastAsia="仿宋" w:cs="仿宋"/>
          <w:sz w:val="24"/>
          <w:szCs w:val="24"/>
        </w:rPr>
        <w:t>承接企业</w:t>
      </w:r>
      <w:r>
        <w:rPr>
          <w:rFonts w:hint="eastAsia" w:ascii="仿宋" w:hAnsi="仿宋" w:eastAsia="仿宋" w:cs="仿宋"/>
          <w:spacing w:val="-44"/>
          <w:sz w:val="24"/>
          <w:szCs w:val="24"/>
        </w:rPr>
        <w:t>为</w:t>
      </w:r>
      <w:r>
        <w:rPr>
          <w:rFonts w:hint="eastAsia" w:ascii="仿宋" w:hAnsi="仿宋" w:eastAsia="仿宋" w:cs="仿宋"/>
          <w:sz w:val="24"/>
          <w:szCs w:val="24"/>
        </w:rPr>
        <w:t>（</w:t>
      </w:r>
      <w:r>
        <w:rPr>
          <w:rFonts w:hint="eastAsia" w:ascii="仿宋" w:hAnsi="仿宋" w:eastAsia="仿宋" w:cs="仿宋"/>
          <w:spacing w:val="-3"/>
          <w:sz w:val="24"/>
          <w:szCs w:val="24"/>
        </w:rPr>
        <w:t xml:space="preserve"> </w:t>
      </w:r>
      <w:r>
        <w:rPr>
          <w:rFonts w:hint="eastAsia" w:ascii="仿宋" w:hAnsi="仿宋" w:eastAsia="仿宋" w:cs="仿宋"/>
          <w:sz w:val="24"/>
          <w:szCs w:val="24"/>
          <w:u w:val="single"/>
        </w:rPr>
        <w:t>企业名称</w:t>
      </w:r>
      <w:r>
        <w:rPr>
          <w:rFonts w:hint="eastAsia" w:ascii="仿宋" w:hAnsi="仿宋" w:eastAsia="仿宋" w:cs="仿宋"/>
          <w:spacing w:val="-126"/>
          <w:sz w:val="24"/>
          <w:szCs w:val="24"/>
          <w:u w:val="single"/>
        </w:rPr>
        <w:t>）</w:t>
      </w:r>
      <w:r>
        <w:rPr>
          <w:rFonts w:hint="eastAsia" w:ascii="仿宋" w:hAnsi="仿宋" w:eastAsia="仿宋" w:cs="仿宋"/>
          <w:spacing w:val="-6"/>
          <w:sz w:val="24"/>
          <w:szCs w:val="24"/>
        </w:rPr>
        <w:t>，</w:t>
      </w:r>
      <w:r>
        <w:rPr>
          <w:rFonts w:hint="eastAsia" w:ascii="仿宋" w:hAnsi="仿宋" w:eastAsia="仿宋" w:cs="仿宋"/>
          <w:sz w:val="24"/>
          <w:szCs w:val="24"/>
        </w:rPr>
        <w:t>从业人员人，</w:t>
      </w:r>
      <w:r>
        <w:rPr>
          <w:rFonts w:hint="eastAsia" w:ascii="仿宋" w:hAnsi="仿宋" w:eastAsia="仿宋" w:cs="仿宋"/>
          <w:spacing w:val="-1"/>
          <w:sz w:val="24"/>
          <w:szCs w:val="24"/>
        </w:rPr>
        <w:t xml:space="preserve"> </w:t>
      </w:r>
      <w:r>
        <w:rPr>
          <w:rFonts w:hint="eastAsia" w:ascii="仿宋" w:hAnsi="仿宋" w:eastAsia="仿宋" w:cs="仿宋"/>
          <w:sz w:val="24"/>
          <w:szCs w:val="24"/>
        </w:rPr>
        <w:t>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 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w:t>
      </w:r>
      <w:r>
        <w:rPr>
          <w:rFonts w:hint="eastAsia" w:ascii="仿宋" w:hAnsi="仿宋" w:eastAsia="仿宋" w:cs="仿宋"/>
          <w:spacing w:val="-60"/>
          <w:sz w:val="24"/>
          <w:szCs w:val="24"/>
        </w:rPr>
        <w:t xml:space="preserve"> </w:t>
      </w:r>
      <w:r>
        <w:rPr>
          <w:rFonts w:hint="eastAsia" w:ascii="仿宋" w:hAnsi="仿宋" w:eastAsia="仿宋" w:cs="仿宋"/>
          <w:position w:val="12"/>
          <w:sz w:val="24"/>
          <w:szCs w:val="24"/>
        </w:rPr>
        <w:t>1</w:t>
      </w:r>
      <w:r>
        <w:rPr>
          <w:rFonts w:hint="eastAsia" w:ascii="仿宋" w:hAnsi="仿宋" w:eastAsia="仿宋" w:cs="仿宋"/>
          <w:sz w:val="24"/>
          <w:szCs w:val="24"/>
        </w:rPr>
        <w:t>， 属于（</w:t>
      </w:r>
      <w:r>
        <w:rPr>
          <w:rFonts w:hint="eastAsia" w:ascii="仿宋" w:hAnsi="仿宋" w:eastAsia="仿宋" w:cs="仿宋"/>
          <w:sz w:val="24"/>
          <w:szCs w:val="24"/>
          <w:u w:val="single"/>
        </w:rPr>
        <w:t>中型企业、 小型</w:t>
      </w:r>
    </w:p>
    <w:p>
      <w:pPr>
        <w:pStyle w:val="12"/>
        <w:spacing w:line="306" w:lineRule="exact"/>
        <w:ind w:left="452"/>
        <w:rPr>
          <w:rFonts w:hint="eastAsia" w:ascii="仿宋" w:hAnsi="仿宋" w:eastAsia="仿宋" w:cs="仿宋"/>
          <w:sz w:val="24"/>
          <w:szCs w:val="24"/>
        </w:rPr>
      </w:pPr>
      <w:r>
        <w:rPr>
          <w:rFonts w:hint="eastAsia" w:ascii="仿宋" w:hAnsi="仿宋" w:eastAsia="仿宋" w:cs="仿宋"/>
          <w:sz w:val="24"/>
          <w:szCs w:val="24"/>
          <w:u w:val="single"/>
        </w:rPr>
        <w:t>企业、 微型企业</w:t>
      </w:r>
      <w:r>
        <w:rPr>
          <w:rFonts w:hint="eastAsia" w:ascii="仿宋" w:hAnsi="仿宋" w:eastAsia="仿宋" w:cs="仿宋"/>
          <w:sz w:val="24"/>
          <w:szCs w:val="24"/>
        </w:rPr>
        <w:t>）；</w:t>
      </w:r>
    </w:p>
    <w:p>
      <w:pPr>
        <w:pStyle w:val="12"/>
        <w:spacing w:before="191" w:line="388" w:lineRule="auto"/>
        <w:ind w:left="452" w:right="472" w:firstLine="480"/>
        <w:rPr>
          <w:rFonts w:hint="eastAsia" w:ascii="仿宋" w:hAnsi="仿宋" w:eastAsia="仿宋" w:cs="仿宋"/>
          <w:sz w:val="24"/>
          <w:szCs w:val="24"/>
        </w:rPr>
      </w:pPr>
      <w:r>
        <w:rPr>
          <w:rFonts w:hint="eastAsia" w:ascii="仿宋" w:hAnsi="仿宋" w:eastAsia="仿宋" w:cs="仿宋"/>
          <w:spacing w:val="-9"/>
          <w:sz w:val="24"/>
          <w:szCs w:val="24"/>
        </w:rPr>
        <w:t>以上企业， 不属于大企业的分支机构， 不存在控股股东为大企业的情形， 也不存在与</w:t>
      </w:r>
      <w:r>
        <w:rPr>
          <w:rFonts w:hint="eastAsia" w:ascii="仿宋" w:hAnsi="仿宋" w:eastAsia="仿宋" w:cs="仿宋"/>
          <w:sz w:val="24"/>
          <w:szCs w:val="24"/>
        </w:rPr>
        <w:t>大企业的负责人为同一人的情形。</w:t>
      </w:r>
    </w:p>
    <w:p>
      <w:pPr>
        <w:pStyle w:val="12"/>
        <w:spacing w:before="3"/>
        <w:ind w:left="932"/>
        <w:rPr>
          <w:rFonts w:hint="eastAsia" w:ascii="仿宋" w:hAnsi="仿宋" w:eastAsia="仿宋" w:cs="仿宋"/>
          <w:sz w:val="24"/>
          <w:szCs w:val="24"/>
        </w:rPr>
      </w:pPr>
      <w:r>
        <w:rPr>
          <w:rFonts w:hint="eastAsia" w:ascii="仿宋" w:hAnsi="仿宋" w:eastAsia="仿宋" w:cs="仿宋"/>
          <w:sz w:val="24"/>
          <w:szCs w:val="24"/>
        </w:rPr>
        <w:t>本企业对上述声明内容的真实性负责。 如有虚假， 将依法承担相应责任。</w:t>
      </w:r>
    </w:p>
    <w:p>
      <w:pPr>
        <w:pStyle w:val="12"/>
        <w:rPr>
          <w:rFonts w:hint="eastAsia" w:ascii="仿宋" w:hAnsi="仿宋" w:eastAsia="仿宋" w:cs="仿宋"/>
          <w:sz w:val="24"/>
          <w:szCs w:val="24"/>
        </w:rPr>
      </w:pPr>
    </w:p>
    <w:p>
      <w:pPr>
        <w:pStyle w:val="12"/>
        <w:spacing w:before="1"/>
        <w:rPr>
          <w:rFonts w:hint="eastAsia" w:ascii="仿宋" w:hAnsi="仿宋" w:eastAsia="仿宋" w:cs="仿宋"/>
          <w:sz w:val="24"/>
          <w:szCs w:val="24"/>
        </w:rPr>
      </w:pPr>
    </w:p>
    <w:p>
      <w:pPr>
        <w:pStyle w:val="12"/>
        <w:ind w:right="472"/>
        <w:jc w:val="right"/>
        <w:rPr>
          <w:rFonts w:hint="eastAsia" w:ascii="仿宋" w:hAnsi="仿宋" w:eastAsia="仿宋" w:cs="仿宋"/>
          <w:sz w:val="24"/>
          <w:szCs w:val="24"/>
        </w:rPr>
      </w:pPr>
      <w:r>
        <w:rPr>
          <w:rFonts w:hint="eastAsia" w:ascii="仿宋" w:hAnsi="仿宋" w:eastAsia="仿宋" w:cs="仿宋"/>
          <w:sz w:val="24"/>
          <w:szCs w:val="24"/>
        </w:rPr>
        <w:t>企业名称（盖章）：</w:t>
      </w:r>
    </w:p>
    <w:p>
      <w:pPr>
        <w:pStyle w:val="12"/>
        <w:spacing w:before="192"/>
        <w:ind w:left="5092"/>
        <w:jc w:val="right"/>
        <w:rPr>
          <w:rFonts w:hint="eastAsia" w:ascii="仿宋" w:hAnsi="仿宋" w:eastAsia="仿宋" w:cs="仿宋"/>
          <w:sz w:val="24"/>
          <w:szCs w:val="24"/>
        </w:rPr>
      </w:pPr>
      <w:r>
        <w:rPr>
          <w:rFonts w:hint="eastAsia" w:ascii="仿宋" w:hAnsi="仿宋" w:eastAsia="仿宋" w:cs="仿宋"/>
          <w:sz w:val="24"/>
          <w:szCs w:val="24"/>
        </w:rPr>
        <w:t>日 期：</w:t>
      </w:r>
    </w:p>
    <w:p>
      <w:pPr>
        <w:pStyle w:val="12"/>
        <w:spacing w:before="191" w:line="388" w:lineRule="auto"/>
        <w:ind w:left="452" w:right="470" w:firstLine="480"/>
        <w:rPr>
          <w:rFonts w:hint="eastAsia" w:ascii="仿宋" w:hAnsi="仿宋" w:eastAsia="仿宋" w:cs="仿宋"/>
          <w:sz w:val="24"/>
          <w:szCs w:val="24"/>
        </w:rPr>
      </w:pPr>
      <w:r>
        <w:rPr>
          <w:rFonts w:hint="eastAsia" w:ascii="仿宋" w:hAnsi="仿宋" w:eastAsia="仿宋" w:cs="仿宋"/>
          <w:position w:val="12"/>
          <w:sz w:val="24"/>
          <w:szCs w:val="24"/>
        </w:rPr>
        <w:t xml:space="preserve">1 </w:t>
      </w:r>
      <w:r>
        <w:rPr>
          <w:rFonts w:hint="eastAsia" w:ascii="仿宋" w:hAnsi="仿宋" w:eastAsia="仿宋" w:cs="仿宋"/>
          <w:sz w:val="24"/>
          <w:szCs w:val="24"/>
        </w:rPr>
        <w:t>从业人员、 营业收入、 资产总额填报上一年度数据， 无上一年度数据的新成立企业可不填报。</w:t>
      </w:r>
    </w:p>
    <w:p>
      <w:pPr>
        <w:pStyle w:val="12"/>
        <w:spacing w:before="2"/>
        <w:ind w:left="452" w:firstLine="240" w:firstLineChars="100"/>
        <w:rPr>
          <w:rFonts w:hint="eastAsia" w:ascii="仿宋" w:hAnsi="仿宋" w:eastAsia="仿宋" w:cs="仿宋"/>
          <w:sz w:val="24"/>
          <w:szCs w:val="24"/>
        </w:rPr>
      </w:pPr>
      <w:r>
        <w:rPr>
          <w:rFonts w:hint="eastAsia" w:ascii="仿宋" w:hAnsi="仿宋" w:eastAsia="仿宋" w:cs="仿宋"/>
          <w:sz w:val="24"/>
          <w:szCs w:val="24"/>
        </w:rPr>
        <w:t>（若投标文件中无上述中小企业声明函或不属于中小微企业，则不具备投标资格。）</w:t>
      </w:r>
    </w:p>
    <w:p>
      <w:pPr>
        <w:spacing w:after="0"/>
        <w:rPr>
          <w:rFonts w:hint="eastAsia" w:ascii="仿宋" w:hAnsi="仿宋" w:eastAsia="仿宋" w:cs="仿宋"/>
          <w:sz w:val="24"/>
          <w:szCs w:val="24"/>
        </w:rPr>
        <w:sectPr>
          <w:headerReference r:id="rId6" w:type="default"/>
          <w:pgSz w:w="11910" w:h="16840"/>
          <w:pgMar w:top="1100" w:right="660" w:bottom="1380" w:left="680" w:header="878" w:footer="1200" w:gutter="0"/>
          <w:pgNumType w:fmt="decimal"/>
          <w:cols w:space="720" w:num="1"/>
        </w:sectPr>
      </w:pPr>
    </w:p>
    <w:p>
      <w:pPr>
        <w:bidi w:val="0"/>
        <w:spacing w:line="360" w:lineRule="auto"/>
        <w:jc w:val="left"/>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lang w:eastAsia="zh-CN"/>
        </w:rPr>
        <w:t>评分标准和细则中商务部分证明材料（格式自拟）</w:t>
      </w: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5"/>
        <w:shd w:val="clear" w:color="auto" w:fill="auto"/>
        <w:tabs>
          <w:tab w:val="left" w:pos="5580"/>
        </w:tabs>
        <w:spacing w:line="360" w:lineRule="auto"/>
        <w:ind w:left="1080" w:leftChars="257" w:hanging="540"/>
        <w:rPr>
          <w:rFonts w:hint="eastAsia" w:ascii="仿宋" w:hAnsi="仿宋" w:eastAsia="仿宋" w:cs="仿宋"/>
          <w:color w:val="auto"/>
          <w:sz w:val="24"/>
          <w:highlight w:val="none"/>
        </w:rPr>
      </w:pPr>
    </w:p>
    <w:p>
      <w:pPr>
        <w:pStyle w:val="15"/>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（主要包括：类似业绩；项目负责人、项目组人员；投标企业信誉；服务方案、售后服务体系；培训计划等）</w:t>
      </w:r>
      <w:r>
        <w:rPr>
          <w:rFonts w:hint="eastAsia" w:ascii="仿宋" w:hAnsi="仿宋" w:eastAsia="仿宋" w:cs="仿宋"/>
          <w:color w:val="auto"/>
          <w:sz w:val="24"/>
          <w:highlight w:val="none"/>
        </w:rPr>
        <w:t>。</w:t>
      </w:r>
    </w:p>
    <w:p>
      <w:pPr>
        <w:pStyle w:val="15"/>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4"/>
        <w:numPr>
          <w:ilvl w:val="1"/>
          <w:numId w:val="0"/>
        </w:numPr>
        <w:shd w:val="clear" w:color="auto" w:fill="auto"/>
        <w:spacing w:before="0" w:line="360" w:lineRule="auto"/>
        <w:ind w:leftChars="257"/>
        <w:jc w:val="center"/>
        <w:outlineLvl w:val="9"/>
        <w:rPr>
          <w:rFonts w:hint="eastAsia" w:ascii="仿宋" w:hAnsi="仿宋" w:eastAsia="仿宋" w:cs="仿宋"/>
          <w:color w:val="auto"/>
          <w:sz w:val="24"/>
          <w:highlight w:val="none"/>
          <w:lang w:val="en-US" w:eastAsia="zh-CN"/>
        </w:rPr>
      </w:pPr>
    </w:p>
    <w:p>
      <w:pPr>
        <w:pStyle w:val="5"/>
        <w:shd w:val="clear" w:color="auto" w:fill="auto"/>
        <w:spacing w:line="360" w:lineRule="auto"/>
        <w:outlineLvl w:val="9"/>
        <w:rPr>
          <w:rFonts w:hint="eastAsia" w:ascii="仿宋" w:hAnsi="仿宋" w:eastAsia="仿宋" w:cs="仿宋"/>
          <w:color w:val="auto"/>
          <w:sz w:val="24"/>
          <w:highlight w:val="none"/>
          <w:lang w:val="en-US" w:eastAsia="zh-CN"/>
        </w:rPr>
      </w:pPr>
    </w:p>
    <w:p>
      <w:pPr>
        <w:shd w:val="clear" w:color="auto" w:fill="auto"/>
        <w:spacing w:line="360" w:lineRule="auto"/>
        <w:rPr>
          <w:rFonts w:hint="eastAsia" w:ascii="仿宋" w:hAnsi="仿宋" w:eastAsia="仿宋" w:cs="仿宋"/>
          <w:color w:val="auto"/>
          <w:highlight w:val="none"/>
          <w:lang w:val="en-US" w:eastAsia="zh-CN"/>
        </w:rPr>
      </w:pPr>
    </w:p>
    <w:p>
      <w:pPr>
        <w:pStyle w:val="4"/>
        <w:numPr>
          <w:ilvl w:val="1"/>
          <w:numId w:val="0"/>
        </w:numPr>
        <w:shd w:val="clear" w:color="auto" w:fill="auto"/>
        <w:spacing w:before="0" w:line="360" w:lineRule="auto"/>
        <w:ind w:leftChars="257"/>
        <w:jc w:val="center"/>
        <w:outlineLvl w:val="9"/>
        <w:rPr>
          <w:rFonts w:hint="eastAsia" w:ascii="仿宋" w:hAnsi="仿宋" w:eastAsia="仿宋" w:cs="仿宋"/>
          <w:color w:val="auto"/>
          <w:sz w:val="24"/>
          <w:highlight w:val="none"/>
          <w:lang w:val="en-US" w:eastAsia="zh-CN"/>
        </w:rPr>
      </w:pPr>
    </w:p>
    <w:p>
      <w:pPr>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66"/>
        <w:shd w:val="clear" w:color="auto" w:fill="auto"/>
        <w:spacing w:line="360" w:lineRule="auto"/>
        <w:rPr>
          <w:rFonts w:hint="eastAsia" w:ascii="仿宋" w:hAnsi="仿宋" w:eastAsia="仿宋" w:cs="仿宋"/>
          <w:color w:val="auto"/>
          <w:sz w:val="24"/>
          <w:highlight w:val="none"/>
          <w:lang w:val="en-US" w:eastAsia="zh-CN"/>
        </w:rPr>
      </w:pPr>
    </w:p>
    <w:p>
      <w:pPr>
        <w:pStyle w:val="4"/>
        <w:numPr>
          <w:ilvl w:val="1"/>
          <w:numId w:val="0"/>
        </w:numPr>
        <w:shd w:val="clear" w:color="auto" w:fill="auto"/>
        <w:spacing w:before="0" w:line="360" w:lineRule="auto"/>
        <w:jc w:val="left"/>
        <w:rPr>
          <w:rFonts w:hint="eastAsia" w:ascii="仿宋" w:hAnsi="仿宋" w:eastAsia="仿宋" w:cs="仿宋"/>
          <w:b/>
          <w:bCs/>
          <w:color w:val="auto"/>
          <w:sz w:val="24"/>
          <w:highlight w:val="none"/>
          <w:lang w:eastAsia="zh-CN"/>
        </w:rPr>
      </w:pPr>
      <w:bookmarkStart w:id="384" w:name="_Toc28814"/>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lang w:eastAsia="zh-CN"/>
        </w:rPr>
        <w:t>投标人认为有必要提供的其他证明材料（格式自拟）</w:t>
      </w:r>
      <w:bookmarkEnd w:id="384"/>
    </w:p>
    <w:p>
      <w:pPr>
        <w:shd w:val="clear" w:color="auto" w:fill="auto"/>
        <w:spacing w:line="360" w:lineRule="auto"/>
        <w:rPr>
          <w:rFonts w:hint="eastAsia" w:ascii="仿宋" w:hAnsi="仿宋" w:eastAsia="仿宋" w:cs="仿宋"/>
          <w:color w:val="auto"/>
          <w:highlight w:val="none"/>
        </w:rPr>
      </w:pPr>
    </w:p>
    <w:p>
      <w:pPr>
        <w:pStyle w:val="15"/>
        <w:shd w:val="clear" w:color="auto" w:fill="auto"/>
        <w:tabs>
          <w:tab w:val="left" w:pos="5580"/>
        </w:tabs>
        <w:spacing w:line="360" w:lineRule="auto"/>
        <w:ind w:firstLine="1200" w:firstLineChars="500"/>
        <w:rPr>
          <w:rFonts w:hint="eastAsia" w:ascii="仿宋" w:hAnsi="仿宋" w:eastAsia="仿宋" w:cs="仿宋"/>
          <w:color w:val="auto"/>
          <w:sz w:val="24"/>
          <w:highlight w:val="none"/>
        </w:rPr>
      </w:pPr>
    </w:p>
    <w:p>
      <w:pPr>
        <w:pStyle w:val="15"/>
        <w:shd w:val="clear" w:color="auto" w:fill="auto"/>
        <w:tabs>
          <w:tab w:val="left" w:pos="5580"/>
        </w:tabs>
        <w:spacing w:line="360" w:lineRule="auto"/>
        <w:ind w:firstLine="1200" w:firstLineChars="500"/>
        <w:rPr>
          <w:rFonts w:hint="eastAsia" w:ascii="仿宋" w:hAnsi="仿宋" w:eastAsia="仿宋" w:cs="仿宋"/>
          <w:color w:val="auto"/>
          <w:sz w:val="24"/>
          <w:highlight w:val="none"/>
        </w:rPr>
      </w:pPr>
    </w:p>
    <w:p>
      <w:pPr>
        <w:pStyle w:val="15"/>
        <w:shd w:val="clear" w:color="auto" w:fill="auto"/>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说明：1.复印件上应加盖本单位章（自然人投标的无需盖章，需要签字）。</w:t>
      </w:r>
    </w:p>
    <w:p>
      <w:pPr>
        <w:pStyle w:val="33"/>
        <w:spacing w:line="360" w:lineRule="auto"/>
        <w:rPr>
          <w:rFonts w:hint="eastAsia" w:ascii="仿宋" w:hAnsi="仿宋" w:eastAsia="仿宋" w:cs="仿宋"/>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DCB4B77-D750-46BA-8F36-FE9417A139A9}"/>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4DB9EE9-4518-40FB-A303-BDDBB3761B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20"/>
        <w:tab w:val="right" w:pos="864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B8CEF35B"/>
    <w:multiLevelType w:val="multilevel"/>
    <w:tmpl w:val="B8CEF35B"/>
    <w:lvl w:ilvl="0" w:tentative="0">
      <w:start w:val="1"/>
      <w:numFmt w:val="decimal"/>
      <w:lvlText w:val="%1"/>
      <w:lvlJc w:val="left"/>
      <w:pPr>
        <w:ind w:left="820" w:hanging="156"/>
        <w:jc w:val="left"/>
      </w:pPr>
      <w:rPr>
        <w:rFonts w:hint="default" w:ascii="Times New Roman" w:hAnsi="Times New Roman" w:eastAsia="Times New Roman" w:cs="Times New Roman"/>
        <w:w w:val="99"/>
        <w:sz w:val="21"/>
        <w:szCs w:val="21"/>
        <w:lang w:val="zh-CN" w:eastAsia="zh-CN" w:bidi="zh-CN"/>
      </w:rPr>
    </w:lvl>
    <w:lvl w:ilvl="1" w:tentative="0">
      <w:start w:val="1"/>
      <w:numFmt w:val="decimal"/>
      <w:lvlText w:val="%2."/>
      <w:lvlJc w:val="left"/>
      <w:pPr>
        <w:ind w:left="452" w:hanging="317"/>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1283" w:hanging="262"/>
        <w:jc w:val="right"/>
      </w:pPr>
      <w:rPr>
        <w:rFonts w:hint="default" w:ascii="Times New Roman" w:hAnsi="Times New Roman" w:eastAsia="Times New Roman" w:cs="Times New Roman"/>
        <w:spacing w:val="0"/>
        <w:w w:val="99"/>
        <w:sz w:val="21"/>
        <w:szCs w:val="21"/>
        <w:lang w:val="zh-CN" w:eastAsia="zh-CN" w:bidi="zh-CN"/>
      </w:rPr>
    </w:lvl>
    <w:lvl w:ilvl="3" w:tentative="0">
      <w:start w:val="0"/>
      <w:numFmt w:val="bullet"/>
      <w:lvlText w:val="•"/>
      <w:lvlJc w:val="left"/>
      <w:pPr>
        <w:ind w:left="7540" w:hanging="262"/>
      </w:pPr>
      <w:rPr>
        <w:rFonts w:hint="default"/>
        <w:lang w:val="zh-CN" w:eastAsia="zh-CN" w:bidi="zh-CN"/>
      </w:rPr>
    </w:lvl>
    <w:lvl w:ilvl="4" w:tentative="0">
      <w:start w:val="0"/>
      <w:numFmt w:val="bullet"/>
      <w:lvlText w:val="•"/>
      <w:lvlJc w:val="left"/>
      <w:pPr>
        <w:ind w:left="7972" w:hanging="262"/>
      </w:pPr>
      <w:rPr>
        <w:rFonts w:hint="default"/>
        <w:lang w:val="zh-CN" w:eastAsia="zh-CN" w:bidi="zh-CN"/>
      </w:rPr>
    </w:lvl>
    <w:lvl w:ilvl="5" w:tentative="0">
      <w:start w:val="0"/>
      <w:numFmt w:val="bullet"/>
      <w:lvlText w:val="•"/>
      <w:lvlJc w:val="left"/>
      <w:pPr>
        <w:ind w:left="8404" w:hanging="262"/>
      </w:pPr>
      <w:rPr>
        <w:rFonts w:hint="default"/>
        <w:lang w:val="zh-CN" w:eastAsia="zh-CN" w:bidi="zh-CN"/>
      </w:rPr>
    </w:lvl>
    <w:lvl w:ilvl="6" w:tentative="0">
      <w:start w:val="0"/>
      <w:numFmt w:val="bullet"/>
      <w:lvlText w:val="•"/>
      <w:lvlJc w:val="left"/>
      <w:pPr>
        <w:ind w:left="8836" w:hanging="262"/>
      </w:pPr>
      <w:rPr>
        <w:rFonts w:hint="default"/>
        <w:lang w:val="zh-CN" w:eastAsia="zh-CN" w:bidi="zh-CN"/>
      </w:rPr>
    </w:lvl>
    <w:lvl w:ilvl="7" w:tentative="0">
      <w:start w:val="0"/>
      <w:numFmt w:val="bullet"/>
      <w:lvlText w:val="•"/>
      <w:lvlJc w:val="left"/>
      <w:pPr>
        <w:ind w:left="9269" w:hanging="262"/>
      </w:pPr>
      <w:rPr>
        <w:rFonts w:hint="default"/>
        <w:lang w:val="zh-CN" w:eastAsia="zh-CN" w:bidi="zh-CN"/>
      </w:rPr>
    </w:lvl>
    <w:lvl w:ilvl="8" w:tentative="0">
      <w:start w:val="0"/>
      <w:numFmt w:val="bullet"/>
      <w:lvlText w:val="•"/>
      <w:lvlJc w:val="left"/>
      <w:pPr>
        <w:ind w:left="9701" w:hanging="262"/>
      </w:pPr>
      <w:rPr>
        <w:rFonts w:hint="default"/>
        <w:lang w:val="zh-CN" w:eastAsia="zh-CN" w:bidi="zh-CN"/>
      </w:rPr>
    </w:lvl>
  </w:abstractNum>
  <w:abstractNum w:abstractNumId="2">
    <w:nsid w:val="24E409BB"/>
    <w:multiLevelType w:val="multilevel"/>
    <w:tmpl w:val="24E409BB"/>
    <w:lvl w:ilvl="0" w:tentative="0">
      <w:start w:val="1"/>
      <w:numFmt w:val="decimal"/>
      <w:pStyle w:val="4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8445BA5"/>
    <w:multiLevelType w:val="singleLevel"/>
    <w:tmpl w:val="58445BA5"/>
    <w:lvl w:ilvl="0" w:tentative="0">
      <w:start w:val="7"/>
      <w:numFmt w:val="decimal"/>
      <w:suff w:val="nothing"/>
      <w:lvlText w:val="%1、"/>
      <w:lvlJc w:val="left"/>
    </w:lvl>
  </w:abstractNum>
  <w:abstractNum w:abstractNumId="4">
    <w:nsid w:val="6A9DBE2A"/>
    <w:multiLevelType w:val="singleLevel"/>
    <w:tmpl w:val="6A9DBE2A"/>
    <w:lvl w:ilvl="0" w:tentative="0">
      <w:start w:val="3"/>
      <w:numFmt w:val="chineseCounting"/>
      <w:suff w:val="space"/>
      <w:lvlText w:val="第%1部分"/>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YzZmNTlmODlmZTcxYjczNTRmYjIwMTEyZTUxMmMifQ=="/>
    <w:docVar w:name="KSO_WPS_MARK_KEY" w:val="96ae760e-8711-4ba8-8455-b5a3e47f1eab"/>
  </w:docVars>
  <w:rsids>
    <w:rsidRoot w:val="00BC7187"/>
    <w:rsid w:val="000E4BE0"/>
    <w:rsid w:val="00111DE7"/>
    <w:rsid w:val="00141DD0"/>
    <w:rsid w:val="00173F6B"/>
    <w:rsid w:val="001C62DA"/>
    <w:rsid w:val="0022196E"/>
    <w:rsid w:val="0023283F"/>
    <w:rsid w:val="002F6F22"/>
    <w:rsid w:val="003C2A22"/>
    <w:rsid w:val="004670CE"/>
    <w:rsid w:val="004743FE"/>
    <w:rsid w:val="00560A48"/>
    <w:rsid w:val="00560D9D"/>
    <w:rsid w:val="005E2466"/>
    <w:rsid w:val="00741CCC"/>
    <w:rsid w:val="00760E36"/>
    <w:rsid w:val="007C77FC"/>
    <w:rsid w:val="007D163F"/>
    <w:rsid w:val="007E189D"/>
    <w:rsid w:val="007F5C29"/>
    <w:rsid w:val="008613E5"/>
    <w:rsid w:val="008D4EB9"/>
    <w:rsid w:val="0091271A"/>
    <w:rsid w:val="00926EED"/>
    <w:rsid w:val="009A5D9C"/>
    <w:rsid w:val="009C2CF2"/>
    <w:rsid w:val="00A74D72"/>
    <w:rsid w:val="00AA3358"/>
    <w:rsid w:val="00B10A7A"/>
    <w:rsid w:val="00B22E55"/>
    <w:rsid w:val="00BC7187"/>
    <w:rsid w:val="00C0169E"/>
    <w:rsid w:val="00CB2F81"/>
    <w:rsid w:val="00CC7C22"/>
    <w:rsid w:val="00DD7466"/>
    <w:rsid w:val="00E21FB8"/>
    <w:rsid w:val="00E87603"/>
    <w:rsid w:val="00EB3CE4"/>
    <w:rsid w:val="00EF67CA"/>
    <w:rsid w:val="00F14F42"/>
    <w:rsid w:val="00FE7001"/>
    <w:rsid w:val="013A784D"/>
    <w:rsid w:val="019C1281"/>
    <w:rsid w:val="051D0709"/>
    <w:rsid w:val="055F3E27"/>
    <w:rsid w:val="07926EFD"/>
    <w:rsid w:val="08356BE1"/>
    <w:rsid w:val="09AA4BC3"/>
    <w:rsid w:val="0A35103B"/>
    <w:rsid w:val="0A6D238D"/>
    <w:rsid w:val="0AD67B29"/>
    <w:rsid w:val="0B5914C7"/>
    <w:rsid w:val="0B950CB0"/>
    <w:rsid w:val="0CD971C5"/>
    <w:rsid w:val="0D193875"/>
    <w:rsid w:val="0E892C07"/>
    <w:rsid w:val="0E910299"/>
    <w:rsid w:val="0EE505E5"/>
    <w:rsid w:val="0F061FEE"/>
    <w:rsid w:val="0FB104C7"/>
    <w:rsid w:val="101F1E06"/>
    <w:rsid w:val="10552F00"/>
    <w:rsid w:val="10E548CC"/>
    <w:rsid w:val="137141F5"/>
    <w:rsid w:val="139B668C"/>
    <w:rsid w:val="13F15336"/>
    <w:rsid w:val="17926285"/>
    <w:rsid w:val="17CE4122"/>
    <w:rsid w:val="18D00C0A"/>
    <w:rsid w:val="19713618"/>
    <w:rsid w:val="1A332204"/>
    <w:rsid w:val="1ACB068F"/>
    <w:rsid w:val="1BD367B0"/>
    <w:rsid w:val="1C534DE0"/>
    <w:rsid w:val="1D5A29FC"/>
    <w:rsid w:val="1F2C1918"/>
    <w:rsid w:val="1F322EFC"/>
    <w:rsid w:val="20116837"/>
    <w:rsid w:val="21F42BC1"/>
    <w:rsid w:val="220032E8"/>
    <w:rsid w:val="250F386E"/>
    <w:rsid w:val="253E444F"/>
    <w:rsid w:val="25801825"/>
    <w:rsid w:val="25BC2767"/>
    <w:rsid w:val="26C17CDD"/>
    <w:rsid w:val="26DE6D24"/>
    <w:rsid w:val="26F26B10"/>
    <w:rsid w:val="295E1526"/>
    <w:rsid w:val="2A7228D5"/>
    <w:rsid w:val="2ABF0594"/>
    <w:rsid w:val="2BE53C80"/>
    <w:rsid w:val="2C484235"/>
    <w:rsid w:val="2DBE339B"/>
    <w:rsid w:val="2F2D62BB"/>
    <w:rsid w:val="30401F81"/>
    <w:rsid w:val="304A1BBE"/>
    <w:rsid w:val="30901C44"/>
    <w:rsid w:val="313174BB"/>
    <w:rsid w:val="32BC5C85"/>
    <w:rsid w:val="335A3ACA"/>
    <w:rsid w:val="336416FE"/>
    <w:rsid w:val="33A92F09"/>
    <w:rsid w:val="35AA36A4"/>
    <w:rsid w:val="385B57F3"/>
    <w:rsid w:val="389268E7"/>
    <w:rsid w:val="392B2E1F"/>
    <w:rsid w:val="39A71E6F"/>
    <w:rsid w:val="39D30EB6"/>
    <w:rsid w:val="3B4209BF"/>
    <w:rsid w:val="3D0B1A51"/>
    <w:rsid w:val="416F1D11"/>
    <w:rsid w:val="4359242C"/>
    <w:rsid w:val="44AF350A"/>
    <w:rsid w:val="44B136B0"/>
    <w:rsid w:val="45BC5565"/>
    <w:rsid w:val="482D0C92"/>
    <w:rsid w:val="48484974"/>
    <w:rsid w:val="48545FB0"/>
    <w:rsid w:val="485D2FC1"/>
    <w:rsid w:val="49243367"/>
    <w:rsid w:val="4991258A"/>
    <w:rsid w:val="4A1F5589"/>
    <w:rsid w:val="4C7E4CB1"/>
    <w:rsid w:val="4CB65542"/>
    <w:rsid w:val="4FA90297"/>
    <w:rsid w:val="51DE5834"/>
    <w:rsid w:val="52462715"/>
    <w:rsid w:val="53566208"/>
    <w:rsid w:val="54171A67"/>
    <w:rsid w:val="58FE588D"/>
    <w:rsid w:val="597F2FE0"/>
    <w:rsid w:val="59C745E5"/>
    <w:rsid w:val="59F02D93"/>
    <w:rsid w:val="59FA62BF"/>
    <w:rsid w:val="5B51090B"/>
    <w:rsid w:val="5CC81B94"/>
    <w:rsid w:val="5D9856D2"/>
    <w:rsid w:val="5EEE3976"/>
    <w:rsid w:val="5FB406CD"/>
    <w:rsid w:val="5FC64031"/>
    <w:rsid w:val="611507C4"/>
    <w:rsid w:val="625A6949"/>
    <w:rsid w:val="63684DA7"/>
    <w:rsid w:val="637E1FBD"/>
    <w:rsid w:val="63A23524"/>
    <w:rsid w:val="645C7356"/>
    <w:rsid w:val="66EC2B68"/>
    <w:rsid w:val="67AA28D2"/>
    <w:rsid w:val="68DD4816"/>
    <w:rsid w:val="6C0808E2"/>
    <w:rsid w:val="6D963ECA"/>
    <w:rsid w:val="726A198D"/>
    <w:rsid w:val="72C63F42"/>
    <w:rsid w:val="73CA4520"/>
    <w:rsid w:val="7519217F"/>
    <w:rsid w:val="751C1D10"/>
    <w:rsid w:val="7525312D"/>
    <w:rsid w:val="79CA169F"/>
    <w:rsid w:val="7A637F93"/>
    <w:rsid w:val="7D38737D"/>
    <w:rsid w:val="7D637428"/>
    <w:rsid w:val="7EB22415"/>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heme="minorAscii" w:hAnsiTheme="minorAscii"/>
      <w:b/>
      <w:kern w:val="44"/>
      <w:sz w:val="32"/>
    </w:rPr>
  </w:style>
  <w:style w:type="paragraph" w:styleId="4">
    <w:name w:val="heading 2"/>
    <w:basedOn w:val="1"/>
    <w:next w:val="1"/>
    <w:link w:val="70"/>
    <w:unhideWhenUsed/>
    <w:qFormat/>
    <w:uiPriority w:val="0"/>
    <w:pPr>
      <w:keepNext/>
      <w:keepLines/>
      <w:spacing w:before="260" w:after="260" w:line="240" w:lineRule="auto"/>
      <w:jc w:val="center"/>
      <w:outlineLvl w:val="1"/>
    </w:pPr>
    <w:rPr>
      <w:rFonts w:ascii="Arial" w:hAnsi="Arial" w:eastAsia="宋体"/>
      <w:b/>
      <w:sz w:val="30"/>
    </w:rPr>
  </w:style>
  <w:style w:type="paragraph" w:styleId="5">
    <w:name w:val="heading 3"/>
    <w:basedOn w:val="1"/>
    <w:next w:val="1"/>
    <w:qFormat/>
    <w:uiPriority w:val="0"/>
    <w:pPr>
      <w:keepNext/>
      <w:keepLines/>
      <w:spacing w:before="260" w:after="260" w:line="416" w:lineRule="auto"/>
      <w:outlineLvl w:val="2"/>
    </w:pPr>
    <w:rPr>
      <w:b/>
      <w:kern w:val="0"/>
      <w:sz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pPr>
    <w:rPr>
      <w:rFonts w:ascii="Calibri" w:hAnsi="Calibri" w:eastAsia="宋体" w:cs="宋体"/>
      <w:sz w:val="18"/>
    </w:rPr>
  </w:style>
  <w:style w:type="paragraph" w:styleId="7">
    <w:name w:val="index 8"/>
    <w:basedOn w:val="1"/>
    <w:next w:val="1"/>
    <w:qFormat/>
    <w:uiPriority w:val="0"/>
    <w:pPr>
      <w:ind w:left="1400" w:leftChars="1400"/>
    </w:pPr>
  </w:style>
  <w:style w:type="paragraph" w:styleId="8">
    <w:name w:val="Normal Indent"/>
    <w:basedOn w:val="1"/>
    <w:next w:val="1"/>
    <w:qFormat/>
    <w:uiPriority w:val="99"/>
    <w:pPr>
      <w:ind w:firstLine="420" w:firstLineChars="200"/>
    </w:pPr>
    <w:rPr>
      <w:rFonts w:ascii="Times New Roman" w:hAnsi="Times New Roman" w:cs="Times New Roman"/>
      <w:kern w:val="0"/>
      <w:sz w:val="24"/>
      <w:szCs w:val="20"/>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link w:val="59"/>
    <w:qFormat/>
    <w:uiPriority w:val="0"/>
    <w:pPr>
      <w:jc w:val="left"/>
    </w:pPr>
  </w:style>
  <w:style w:type="paragraph" w:styleId="11">
    <w:name w:val="index 6"/>
    <w:basedOn w:val="1"/>
    <w:next w:val="1"/>
    <w:qFormat/>
    <w:uiPriority w:val="99"/>
    <w:pPr>
      <w:ind w:left="2100"/>
    </w:pPr>
  </w:style>
  <w:style w:type="paragraph" w:styleId="12">
    <w:name w:val="Body Text"/>
    <w:basedOn w:val="1"/>
    <w:next w:val="13"/>
    <w:qFormat/>
    <w:uiPriority w:val="0"/>
    <w:pPr>
      <w:spacing w:after="120"/>
    </w:pPr>
  </w:style>
  <w:style w:type="paragraph" w:styleId="13">
    <w:name w:val="Body Text Indent"/>
    <w:basedOn w:val="1"/>
    <w:next w:val="1"/>
    <w:qFormat/>
    <w:uiPriority w:val="0"/>
    <w:pPr>
      <w:spacing w:after="120"/>
      <w:ind w:left="420" w:leftChars="200"/>
    </w:pPr>
    <w:rPr>
      <w:kern w:val="0"/>
      <w:sz w:val="20"/>
    </w:rPr>
  </w:style>
  <w:style w:type="paragraph" w:styleId="14">
    <w:name w:val="toc 3"/>
    <w:basedOn w:val="1"/>
    <w:next w:val="1"/>
    <w:qFormat/>
    <w:uiPriority w:val="0"/>
    <w:pPr>
      <w:ind w:left="840" w:leftChars="400"/>
    </w:pPr>
  </w:style>
  <w:style w:type="paragraph" w:styleId="15">
    <w:name w:val="Plain Text"/>
    <w:basedOn w:val="1"/>
    <w:next w:val="16"/>
    <w:link w:val="62"/>
    <w:qFormat/>
    <w:uiPriority w:val="99"/>
    <w:rPr>
      <w:rFonts w:ascii="宋体" w:hAnsi="Courier New"/>
    </w:rPr>
  </w:style>
  <w:style w:type="paragraph" w:styleId="16">
    <w:name w:val="index 7"/>
    <w:basedOn w:val="1"/>
    <w:next w:val="1"/>
    <w:qFormat/>
    <w:uiPriority w:val="0"/>
    <w:pPr>
      <w:autoSpaceDE/>
      <w:autoSpaceDN/>
      <w:adjustRightInd/>
      <w:ind w:left="1200" w:leftChars="1200"/>
    </w:pPr>
    <w:rPr>
      <w:color w:val="auto"/>
      <w:kern w:val="2"/>
      <w:szCs w:val="24"/>
    </w:rPr>
  </w:style>
  <w:style w:type="paragraph" w:styleId="17">
    <w:name w:val="Balloon Text"/>
    <w:basedOn w:val="1"/>
    <w:link w:val="6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style>
  <w:style w:type="paragraph" w:styleId="21">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2">
    <w:name w:val="toc 2"/>
    <w:basedOn w:val="1"/>
    <w:next w:val="1"/>
    <w:qFormat/>
    <w:uiPriority w:val="39"/>
    <w:pPr>
      <w:ind w:left="42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unhideWhenUsed/>
    <w:qFormat/>
    <w:uiPriority w:val="0"/>
    <w:rPr>
      <w:sz w:val="24"/>
    </w:rPr>
  </w:style>
  <w:style w:type="paragraph" w:styleId="25">
    <w:name w:val="annotation subject"/>
    <w:basedOn w:val="10"/>
    <w:next w:val="10"/>
    <w:link w:val="60"/>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styleId="31">
    <w:name w:val="annotation reference"/>
    <w:basedOn w:val="28"/>
    <w:qFormat/>
    <w:uiPriority w:val="99"/>
    <w:rPr>
      <w:sz w:val="21"/>
      <w:szCs w:val="21"/>
    </w:rPr>
  </w:style>
  <w:style w:type="character" w:styleId="32">
    <w:name w:val="HTML Sample"/>
    <w:basedOn w:val="28"/>
    <w:unhideWhenUsed/>
    <w:qFormat/>
    <w:uiPriority w:val="99"/>
    <w:rPr>
      <w:rFonts w:ascii="Courier New" w:hAnsi="Courier New"/>
    </w:rPr>
  </w:style>
  <w:style w:type="paragraph" w:customStyle="1" w:styleId="33">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3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4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styleId="41">
    <w:name w:val="List Paragraph"/>
    <w:basedOn w:val="1"/>
    <w:qFormat/>
    <w:uiPriority w:val="34"/>
    <w:pPr>
      <w:ind w:firstLine="420" w:firstLineChars="200"/>
    </w:pPr>
  </w:style>
  <w:style w:type="paragraph" w:customStyle="1" w:styleId="42">
    <w:name w:val="表名称"/>
    <w:basedOn w:val="8"/>
    <w:qFormat/>
    <w:uiPriority w:val="0"/>
    <w:pPr>
      <w:numPr>
        <w:ilvl w:val="0"/>
        <w:numId w:val="1"/>
      </w:numPr>
      <w:ind w:firstLine="0" w:firstLineChars="0"/>
      <w:jc w:val="center"/>
    </w:pPr>
  </w:style>
  <w:style w:type="character" w:customStyle="1" w:styleId="43">
    <w:name w:val="font21"/>
    <w:basedOn w:val="28"/>
    <w:qFormat/>
    <w:uiPriority w:val="0"/>
    <w:rPr>
      <w:rFonts w:hint="eastAsia" w:ascii="宋体" w:hAnsi="宋体" w:eastAsia="宋体" w:cs="宋体"/>
      <w:b/>
      <w:bCs/>
      <w:color w:val="000000"/>
      <w:sz w:val="28"/>
      <w:szCs w:val="28"/>
      <w:u w:val="none"/>
    </w:rPr>
  </w:style>
  <w:style w:type="character" w:customStyle="1" w:styleId="44">
    <w:name w:val="font231"/>
    <w:basedOn w:val="28"/>
    <w:qFormat/>
    <w:uiPriority w:val="0"/>
    <w:rPr>
      <w:rFonts w:hint="eastAsia" w:ascii="宋体" w:hAnsi="宋体" w:eastAsia="宋体" w:cs="宋体"/>
      <w:b/>
      <w:bCs/>
      <w:color w:val="000000"/>
      <w:sz w:val="22"/>
      <w:szCs w:val="22"/>
      <w:u w:val="none"/>
    </w:rPr>
  </w:style>
  <w:style w:type="character" w:customStyle="1" w:styleId="45">
    <w:name w:val="font181"/>
    <w:basedOn w:val="28"/>
    <w:qFormat/>
    <w:uiPriority w:val="0"/>
    <w:rPr>
      <w:rFonts w:hint="eastAsia" w:ascii="宋体" w:hAnsi="宋体" w:eastAsia="宋体" w:cs="宋体"/>
      <w:b/>
      <w:bCs/>
      <w:color w:val="000000"/>
      <w:sz w:val="22"/>
      <w:szCs w:val="22"/>
      <w:u w:val="none"/>
    </w:rPr>
  </w:style>
  <w:style w:type="character" w:customStyle="1" w:styleId="46">
    <w:name w:val="font71"/>
    <w:basedOn w:val="28"/>
    <w:qFormat/>
    <w:uiPriority w:val="0"/>
    <w:rPr>
      <w:rFonts w:hint="eastAsia" w:ascii="宋体" w:hAnsi="宋体" w:eastAsia="宋体" w:cs="宋体"/>
      <w:color w:val="000000"/>
      <w:sz w:val="22"/>
      <w:szCs w:val="22"/>
      <w:u w:val="none"/>
    </w:rPr>
  </w:style>
  <w:style w:type="character" w:customStyle="1" w:styleId="47">
    <w:name w:val="font101"/>
    <w:basedOn w:val="28"/>
    <w:qFormat/>
    <w:uiPriority w:val="0"/>
    <w:rPr>
      <w:rFonts w:hint="eastAsia" w:ascii="宋体" w:hAnsi="宋体" w:eastAsia="宋体" w:cs="宋体"/>
      <w:color w:val="000000"/>
      <w:sz w:val="20"/>
      <w:szCs w:val="20"/>
      <w:u w:val="none"/>
    </w:rPr>
  </w:style>
  <w:style w:type="character" w:customStyle="1" w:styleId="48">
    <w:name w:val="font11"/>
    <w:basedOn w:val="28"/>
    <w:qFormat/>
    <w:uiPriority w:val="0"/>
    <w:rPr>
      <w:rFonts w:hint="default" w:ascii="Tahoma" w:hAnsi="Tahoma" w:eastAsia="Tahoma" w:cs="Tahoma"/>
      <w:color w:val="000000"/>
      <w:sz w:val="22"/>
      <w:szCs w:val="22"/>
      <w:u w:val="none"/>
    </w:rPr>
  </w:style>
  <w:style w:type="character" w:customStyle="1" w:styleId="49">
    <w:name w:val="font81"/>
    <w:basedOn w:val="28"/>
    <w:qFormat/>
    <w:uiPriority w:val="0"/>
    <w:rPr>
      <w:rFonts w:hint="eastAsia" w:ascii="宋体" w:hAnsi="宋体" w:eastAsia="宋体" w:cs="宋体"/>
      <w:color w:val="000000"/>
      <w:sz w:val="22"/>
      <w:szCs w:val="22"/>
      <w:u w:val="none"/>
    </w:rPr>
  </w:style>
  <w:style w:type="character" w:customStyle="1" w:styleId="50">
    <w:name w:val="font41"/>
    <w:basedOn w:val="28"/>
    <w:qFormat/>
    <w:uiPriority w:val="0"/>
    <w:rPr>
      <w:rFonts w:hint="eastAsia" w:ascii="宋体" w:hAnsi="宋体" w:eastAsia="宋体" w:cs="宋体"/>
      <w:b/>
      <w:bCs/>
      <w:color w:val="000000"/>
      <w:sz w:val="28"/>
      <w:szCs w:val="28"/>
      <w:u w:val="none"/>
    </w:rPr>
  </w:style>
  <w:style w:type="character" w:customStyle="1" w:styleId="51">
    <w:name w:val="font241"/>
    <w:basedOn w:val="28"/>
    <w:qFormat/>
    <w:uiPriority w:val="0"/>
    <w:rPr>
      <w:rFonts w:hint="eastAsia" w:ascii="宋体" w:hAnsi="宋体" w:eastAsia="宋体" w:cs="宋体"/>
      <w:b/>
      <w:bCs/>
      <w:color w:val="000000"/>
      <w:sz w:val="22"/>
      <w:szCs w:val="22"/>
      <w:u w:val="none"/>
    </w:rPr>
  </w:style>
  <w:style w:type="character" w:customStyle="1" w:styleId="52">
    <w:name w:val="font191"/>
    <w:basedOn w:val="28"/>
    <w:qFormat/>
    <w:uiPriority w:val="0"/>
    <w:rPr>
      <w:rFonts w:hint="eastAsia" w:ascii="宋体" w:hAnsi="宋体" w:eastAsia="宋体" w:cs="宋体"/>
      <w:b/>
      <w:bCs/>
      <w:color w:val="000000"/>
      <w:sz w:val="22"/>
      <w:szCs w:val="22"/>
      <w:u w:val="none"/>
    </w:rPr>
  </w:style>
  <w:style w:type="character" w:customStyle="1" w:styleId="53">
    <w:name w:val="font141"/>
    <w:basedOn w:val="28"/>
    <w:qFormat/>
    <w:uiPriority w:val="0"/>
    <w:rPr>
      <w:rFonts w:hint="eastAsia" w:ascii="宋体" w:hAnsi="宋体" w:eastAsia="宋体" w:cs="宋体"/>
      <w:b/>
      <w:bCs/>
      <w:color w:val="000000"/>
      <w:sz w:val="22"/>
      <w:szCs w:val="22"/>
      <w:u w:val="none"/>
    </w:r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纯文本_1"/>
    <w:basedOn w:val="1"/>
    <w:qFormat/>
    <w:uiPriority w:val="0"/>
    <w:pPr>
      <w:widowControl/>
      <w:jc w:val="left"/>
    </w:pPr>
    <w:rPr>
      <w:rFonts w:ascii="宋体" w:hAnsi="Courier New"/>
      <w:kern w:val="0"/>
      <w:sz w:val="20"/>
      <w:szCs w:val="21"/>
      <w:lang w:val="zh-CN"/>
    </w:rPr>
  </w:style>
  <w:style w:type="paragraph" w:customStyle="1" w:styleId="56">
    <w:name w:val="1_0"/>
    <w:basedOn w:val="1"/>
    <w:next w:val="55"/>
    <w:qFormat/>
    <w:uiPriority w:val="0"/>
    <w:rPr>
      <w:rFonts w:ascii="宋体" w:hAnsi="Courier New"/>
      <w:szCs w:val="20"/>
    </w:rPr>
  </w:style>
  <w:style w:type="paragraph" w:customStyle="1" w:styleId="57">
    <w:name w:val="Table Paragraph"/>
    <w:basedOn w:val="1"/>
    <w:qFormat/>
    <w:uiPriority w:val="1"/>
    <w:rPr>
      <w:rFonts w:ascii="宋体" w:hAnsi="宋体" w:cs="宋体"/>
      <w:lang w:val="zh-CN" w:bidi="zh-CN"/>
    </w:rPr>
  </w:style>
  <w:style w:type="paragraph" w:customStyle="1" w:styleId="5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59">
    <w:name w:val="批注文字 Char"/>
    <w:basedOn w:val="28"/>
    <w:link w:val="10"/>
    <w:qFormat/>
    <w:uiPriority w:val="0"/>
    <w:rPr>
      <w:rFonts w:asciiTheme="minorHAnsi" w:hAnsiTheme="minorHAnsi" w:eastAsiaTheme="minorEastAsia" w:cstheme="minorBidi"/>
      <w:kern w:val="2"/>
      <w:sz w:val="21"/>
      <w:szCs w:val="24"/>
    </w:rPr>
  </w:style>
  <w:style w:type="character" w:customStyle="1" w:styleId="60">
    <w:name w:val="批注主题 Char"/>
    <w:basedOn w:val="59"/>
    <w:link w:val="25"/>
    <w:qFormat/>
    <w:uiPriority w:val="0"/>
    <w:rPr>
      <w:rFonts w:asciiTheme="minorHAnsi" w:hAnsiTheme="minorHAnsi" w:eastAsiaTheme="minorEastAsia" w:cstheme="minorBidi"/>
      <w:b/>
      <w:bCs/>
      <w:kern w:val="2"/>
      <w:sz w:val="21"/>
      <w:szCs w:val="24"/>
    </w:rPr>
  </w:style>
  <w:style w:type="character" w:customStyle="1" w:styleId="61">
    <w:name w:val="批注框文本 Char"/>
    <w:basedOn w:val="28"/>
    <w:link w:val="17"/>
    <w:qFormat/>
    <w:uiPriority w:val="0"/>
    <w:rPr>
      <w:rFonts w:asciiTheme="minorHAnsi" w:hAnsiTheme="minorHAnsi" w:eastAsiaTheme="minorEastAsia" w:cstheme="minorBidi"/>
      <w:kern w:val="2"/>
      <w:sz w:val="18"/>
      <w:szCs w:val="18"/>
    </w:rPr>
  </w:style>
  <w:style w:type="character" w:customStyle="1" w:styleId="62">
    <w:name w:val="纯文本 Char"/>
    <w:link w:val="15"/>
    <w:qFormat/>
    <w:uiPriority w:val="0"/>
    <w:rPr>
      <w:rFonts w:ascii="宋体" w:hAnsi="Courier New" w:eastAsiaTheme="minorEastAsia" w:cstheme="minorBidi"/>
      <w:kern w:val="2"/>
      <w:sz w:val="21"/>
      <w:szCs w:val="24"/>
    </w:rPr>
  </w:style>
  <w:style w:type="paragraph" w:customStyle="1" w:styleId="63">
    <w:name w:val="图例"/>
    <w:basedOn w:val="1"/>
    <w:qFormat/>
    <w:uiPriority w:val="0"/>
    <w:pPr>
      <w:spacing w:before="120" w:beforeLines="0" w:after="120" w:afterLines="0" w:line="360" w:lineRule="auto"/>
      <w:jc w:val="center"/>
    </w:pPr>
    <w:rPr>
      <w:rFonts w:eastAsia="仿宋_GB2312"/>
      <w:b/>
      <w:sz w:val="24"/>
    </w:rPr>
  </w:style>
  <w:style w:type="paragraph" w:customStyle="1" w:styleId="64">
    <w:name w:val="WPS Plain"/>
    <w:qFormat/>
    <w:uiPriority w:val="0"/>
    <w:rPr>
      <w:rFonts w:ascii="Times New Roman" w:hAnsi="Times New Roman" w:eastAsia="宋体" w:cs="Times New Roman"/>
      <w:lang w:val="en-US" w:eastAsia="zh-CN" w:bidi="ar-SA"/>
    </w:rPr>
  </w:style>
  <w:style w:type="paragraph" w:customStyle="1" w:styleId="65">
    <w:name w:val="样式 左侧:  0 厘米 悬挂缩进: 2.5 字符"/>
    <w:basedOn w:val="1"/>
    <w:qFormat/>
    <w:uiPriority w:val="0"/>
    <w:pPr>
      <w:ind w:left="525" w:hanging="525" w:hangingChars="250"/>
    </w:pPr>
    <w:rPr>
      <w:szCs w:val="20"/>
    </w:rPr>
  </w:style>
  <w:style w:type="paragraph" w:customStyle="1" w:styleId="6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6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68">
    <w:name w:val="索引 11"/>
    <w:basedOn w:val="1"/>
    <w:next w:val="1"/>
    <w:qFormat/>
    <w:uiPriority w:val="0"/>
    <w:pPr>
      <w:spacing w:line="360" w:lineRule="auto"/>
    </w:pPr>
    <w:rPr>
      <w:rFonts w:ascii="仿宋_GB2312" w:eastAsia="仿宋_GB2312"/>
      <w:sz w:val="24"/>
      <w:szCs w:val="20"/>
    </w:rPr>
  </w:style>
  <w:style w:type="paragraph" w:customStyle="1" w:styleId="69">
    <w:name w:val="纯文本1"/>
    <w:basedOn w:val="1"/>
    <w:qFormat/>
    <w:uiPriority w:val="0"/>
    <w:rPr>
      <w:rFonts w:ascii="宋体" w:hAnsi="Courier New"/>
      <w:kern w:val="0"/>
      <w:sz w:val="20"/>
      <w:szCs w:val="20"/>
    </w:rPr>
  </w:style>
  <w:style w:type="character" w:customStyle="1" w:styleId="70">
    <w:name w:val="标题 2 Char"/>
    <w:link w:val="4"/>
    <w:qFormat/>
    <w:uiPriority w:val="0"/>
    <w:rPr>
      <w:rFonts w:ascii="Arial" w:hAnsi="Arial" w:eastAsia="宋体"/>
      <w:b/>
      <w:sz w:val="30"/>
    </w:rPr>
  </w:style>
  <w:style w:type="paragraph" w:customStyle="1" w:styleId="71">
    <w:name w:val="WPSOffice手动目录 1"/>
    <w:qFormat/>
    <w:uiPriority w:val="0"/>
    <w:pPr>
      <w:ind w:leftChars="0"/>
    </w:pPr>
    <w:rPr>
      <w:rFonts w:ascii="Times New Roman" w:hAnsi="Times New Roman" w:eastAsia="宋体" w:cs="Times New Roman"/>
      <w:sz w:val="20"/>
      <w:szCs w:val="20"/>
    </w:rPr>
  </w:style>
  <w:style w:type="paragraph" w:customStyle="1" w:styleId="7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34755</Words>
  <Characters>36481</Characters>
  <Lines>274</Lines>
  <Paragraphs>77</Paragraphs>
  <TotalTime>14</TotalTime>
  <ScaleCrop>false</ScaleCrop>
  <LinksUpToDate>false</LinksUpToDate>
  <CharactersWithSpaces>39062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2022-04-02T09:24:00Z</dcterms:created>
  <dc:creator>Administrator</dc:creator>
  <cp:lastModifiedBy>听见你的背影</cp:lastModifiedBy>
  <dcterms:modified xsi:type="dcterms:W3CDTF">2023-03-20T09:06:09Z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BF98B07BE1A74B4C909E7154025BD0B6</vt:lpwstr>
  </property>
</Properties>
</file>