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44"/>
          <w:szCs w:val="44"/>
          <w:highlight w:val="none"/>
          <w:shd w:val="clear" w:color="auto" w:fill="auto"/>
        </w:rPr>
      </w:pPr>
    </w:p>
    <w:p>
      <w:pPr>
        <w:ind w:firstLine="210"/>
        <w:rPr>
          <w:rFonts w:hint="default" w:ascii="宋体" w:hAnsi="宋体" w:eastAsia="宋体" w:cs="宋体"/>
          <w:color w:val="auto"/>
          <w:highlight w:val="none"/>
          <w:shd w:val="clear" w:color="auto" w:fill="auto"/>
        </w:rPr>
      </w:pPr>
    </w:p>
    <w:p>
      <w:pPr>
        <w:jc w:val="center"/>
        <w:rPr>
          <w:rFonts w:hint="default" w:ascii="宋体" w:hAnsi="宋体" w:cs="宋体"/>
          <w:b/>
          <w:bCs/>
          <w:color w:val="auto"/>
          <w:sz w:val="44"/>
          <w:szCs w:val="44"/>
          <w:highlight w:val="none"/>
          <w:shd w:val="clear" w:color="auto" w:fill="auto"/>
          <w:lang w:val="en-US" w:eastAsia="zh-CN"/>
        </w:rPr>
      </w:pPr>
      <w:r>
        <w:rPr>
          <w:rFonts w:hint="eastAsia" w:ascii="宋体" w:hAnsi="宋体" w:cs="宋体"/>
          <w:b/>
          <w:bCs/>
          <w:color w:val="auto"/>
          <w:sz w:val="44"/>
          <w:szCs w:val="44"/>
          <w:highlight w:val="none"/>
          <w:shd w:val="clear" w:color="auto" w:fill="auto"/>
          <w:lang w:val="en-US" w:eastAsia="zh-CN"/>
        </w:rPr>
        <w:t>乌鲁木齐市公安局天山区分局购买捕犬防护装备项目</w:t>
      </w:r>
    </w:p>
    <w:p>
      <w:pPr>
        <w:jc w:val="center"/>
        <w:rPr>
          <w:rFonts w:hint="default" w:ascii="宋体" w:hAnsi="宋体" w:cs="宋体"/>
          <w:color w:val="auto"/>
          <w:sz w:val="28"/>
          <w:szCs w:val="28"/>
          <w:highlight w:val="none"/>
          <w:shd w:val="clear" w:color="auto" w:fill="auto"/>
        </w:rPr>
      </w:pPr>
      <w:r>
        <w:rPr>
          <w:rFonts w:hint="eastAsia" w:ascii="宋体" w:hAnsi="宋体" w:cs="宋体"/>
          <w:b/>
          <w:bCs/>
          <w:color w:val="auto"/>
          <w:sz w:val="44"/>
          <w:szCs w:val="44"/>
          <w:highlight w:val="none"/>
          <w:shd w:val="clear" w:color="auto" w:fill="auto"/>
          <w:lang w:val="en-US" w:eastAsia="zh-CN"/>
        </w:rPr>
        <w:t>竞争性</w:t>
      </w:r>
      <w:r>
        <w:rPr>
          <w:rFonts w:hint="eastAsia" w:ascii="宋体" w:hAnsi="宋体" w:cs="宋体"/>
          <w:b/>
          <w:bCs/>
          <w:color w:val="auto"/>
          <w:sz w:val="44"/>
          <w:szCs w:val="44"/>
          <w:highlight w:val="none"/>
          <w:shd w:val="clear" w:color="auto" w:fill="auto"/>
        </w:rPr>
        <w:t>磋商文件</w:t>
      </w:r>
      <w:r>
        <w:rPr>
          <w:rFonts w:hint="eastAsia" w:ascii="宋体" w:hAnsi="宋体" w:cs="宋体"/>
          <w:color w:val="auto"/>
          <w:sz w:val="28"/>
          <w:szCs w:val="28"/>
          <w:highlight w:val="none"/>
          <w:shd w:val="clear" w:color="auto" w:fill="auto"/>
        </w:rPr>
        <w:t xml:space="preserve">                                </w:t>
      </w:r>
    </w:p>
    <w:p>
      <w:pPr>
        <w:ind w:firstLine="210"/>
        <w:rPr>
          <w:rFonts w:hint="default" w:ascii="宋体" w:hAnsi="宋体" w:eastAsia="宋体" w:cs="宋体"/>
          <w:color w:val="auto"/>
          <w:highlight w:val="none"/>
          <w:shd w:val="clear" w:color="auto" w:fill="auto"/>
        </w:rPr>
      </w:pPr>
    </w:p>
    <w:p>
      <w:pPr>
        <w:jc w:val="center"/>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u w:val="none"/>
          <w:shd w:val="clear" w:color="auto" w:fill="auto"/>
        </w:rPr>
        <w:t>项目编号：</w:t>
      </w:r>
      <w:r>
        <w:rPr>
          <w:rFonts w:hint="eastAsia" w:ascii="宋体" w:hAnsi="宋体" w:cs="宋体"/>
          <w:color w:val="auto"/>
          <w:sz w:val="28"/>
          <w:szCs w:val="28"/>
          <w:highlight w:val="none"/>
          <w:u w:val="none"/>
          <w:shd w:val="clear" w:color="auto" w:fill="auto"/>
          <w:lang w:eastAsia="zh-CN"/>
        </w:rPr>
        <w:t>0722-2023FE3312XJF</w:t>
      </w:r>
    </w:p>
    <w:p>
      <w:pPr>
        <w:ind w:left="0" w:leftChars="0" w:firstLine="0" w:firstLineChars="0"/>
        <w:rPr>
          <w:rFonts w:hint="default" w:ascii="宋体" w:hAnsi="宋体" w:eastAsia="宋体" w:cs="宋体"/>
          <w:color w:val="auto"/>
          <w:highlight w:val="none"/>
          <w:shd w:val="clear" w:color="auto" w:fill="auto"/>
        </w:rPr>
      </w:pPr>
    </w:p>
    <w:p>
      <w:pPr>
        <w:pStyle w:val="13"/>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招标人（盖章）：</w:t>
      </w:r>
      <w:r>
        <w:rPr>
          <w:rFonts w:hint="eastAsia" w:ascii="仿宋" w:hAnsi="仿宋" w:eastAsia="仿宋" w:cs="仿宋"/>
          <w:b/>
          <w:bCs/>
          <w:color w:val="auto"/>
          <w:sz w:val="28"/>
          <w:szCs w:val="28"/>
          <w:highlight w:val="none"/>
          <w:shd w:val="clear" w:color="auto" w:fill="auto"/>
          <w:lang w:eastAsia="zh-CN"/>
        </w:rPr>
        <w:t>乌鲁木齐市公安局天山区分局</w:t>
      </w:r>
    </w:p>
    <w:p>
      <w:pPr>
        <w:pStyle w:val="13"/>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w:t>
      </w:r>
      <w:r>
        <w:rPr>
          <w:rFonts w:hint="eastAsia" w:ascii="仿宋" w:hAnsi="仿宋" w:eastAsia="仿宋" w:cs="仿宋"/>
          <w:b/>
          <w:bCs/>
          <w:color w:val="auto"/>
          <w:sz w:val="28"/>
          <w:szCs w:val="28"/>
          <w:highlight w:val="none"/>
          <w:shd w:val="clear" w:color="auto" w:fill="auto"/>
          <w:lang w:val="en-US" w:eastAsia="zh-CN"/>
        </w:rPr>
        <w:t>汪斌</w:t>
      </w:r>
    </w:p>
    <w:p>
      <w:pPr>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联系电话：</w:t>
      </w:r>
      <w:r>
        <w:rPr>
          <w:rFonts w:hint="eastAsia" w:ascii="仿宋" w:hAnsi="仿宋" w:eastAsia="仿宋" w:cs="仿宋"/>
          <w:b/>
          <w:bCs/>
          <w:color w:val="auto"/>
          <w:sz w:val="28"/>
          <w:szCs w:val="28"/>
          <w:highlight w:val="none"/>
          <w:shd w:val="clear" w:color="auto" w:fill="auto"/>
          <w:lang w:eastAsia="zh-CN"/>
        </w:rPr>
        <w:t>0991-2505071</w:t>
      </w:r>
    </w:p>
    <w:p>
      <w:pPr>
        <w:pStyle w:val="13"/>
        <w:tabs>
          <w:tab w:val="left" w:pos="567"/>
        </w:tabs>
        <w:rPr>
          <w:rFonts w:hint="eastAsia" w:ascii="仿宋" w:hAnsi="仿宋" w:eastAsia="仿宋" w:cs="仿宋"/>
          <w:b/>
          <w:bCs/>
          <w:color w:val="auto"/>
          <w:sz w:val="28"/>
          <w:szCs w:val="28"/>
          <w:highlight w:val="none"/>
          <w:shd w:val="clear" w:color="auto" w:fill="auto"/>
        </w:rPr>
      </w:pPr>
    </w:p>
    <w:p>
      <w:pPr>
        <w:pStyle w:val="13"/>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招标代理机构：</w:t>
      </w:r>
      <w:r>
        <w:rPr>
          <w:rFonts w:hint="eastAsia" w:ascii="仿宋" w:hAnsi="仿宋" w:eastAsia="仿宋" w:cs="仿宋"/>
          <w:b/>
          <w:bCs/>
          <w:color w:val="auto"/>
          <w:sz w:val="28"/>
          <w:szCs w:val="28"/>
          <w:highlight w:val="none"/>
          <w:shd w:val="clear" w:color="auto" w:fill="auto"/>
          <w:lang w:eastAsia="zh-CN"/>
        </w:rPr>
        <w:t>中国远东国际招标有限公司</w:t>
      </w:r>
      <w:r>
        <w:rPr>
          <w:rFonts w:hint="eastAsia" w:ascii="仿宋" w:hAnsi="仿宋" w:eastAsia="仿宋" w:cs="仿宋"/>
          <w:b/>
          <w:bCs/>
          <w:color w:val="auto"/>
          <w:sz w:val="28"/>
          <w:szCs w:val="28"/>
          <w:highlight w:val="none"/>
          <w:shd w:val="clear" w:color="auto" w:fill="auto"/>
        </w:rPr>
        <w:t>（盖章）</w:t>
      </w:r>
    </w:p>
    <w:p>
      <w:pPr>
        <w:pStyle w:val="13"/>
        <w:tabs>
          <w:tab w:val="left" w:pos="567"/>
        </w:tabs>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法定代表人（签章）：</w:t>
      </w:r>
    </w:p>
    <w:p>
      <w:pPr>
        <w:pStyle w:val="13"/>
        <w:tabs>
          <w:tab w:val="left" w:pos="567"/>
        </w:tabs>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联系人：</w:t>
      </w:r>
      <w:r>
        <w:rPr>
          <w:rFonts w:hint="eastAsia" w:ascii="仿宋" w:hAnsi="仿宋" w:eastAsia="仿宋" w:cs="仿宋"/>
          <w:b/>
          <w:bCs/>
          <w:color w:val="auto"/>
          <w:sz w:val="28"/>
          <w:szCs w:val="28"/>
          <w:highlight w:val="none"/>
          <w:shd w:val="clear" w:color="auto" w:fill="auto"/>
          <w:lang w:val="en-US" w:eastAsia="zh-CN"/>
        </w:rPr>
        <w:t>李沙沙、汪汉桥、於震翱</w:t>
      </w:r>
    </w:p>
    <w:p>
      <w:pPr>
        <w:pStyle w:val="13"/>
        <w:tabs>
          <w:tab w:val="left" w:pos="567"/>
        </w:tabs>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联系电话：</w:t>
      </w:r>
      <w:r>
        <w:rPr>
          <w:rFonts w:hint="eastAsia" w:ascii="仿宋" w:hAnsi="仿宋" w:eastAsia="仿宋" w:cs="仿宋"/>
          <w:b/>
          <w:bCs/>
          <w:color w:val="auto"/>
          <w:sz w:val="28"/>
          <w:szCs w:val="28"/>
          <w:highlight w:val="none"/>
          <w:shd w:val="clear" w:color="auto" w:fill="auto"/>
          <w:lang w:val="en-US" w:eastAsia="zh-CN"/>
        </w:rPr>
        <w:t>13639931780、13309910312、0991-3708098</w:t>
      </w:r>
    </w:p>
    <w:p>
      <w:pPr>
        <w:rPr>
          <w:rFonts w:hint="default"/>
          <w:color w:val="auto"/>
          <w:highlight w:val="none"/>
          <w:lang w:val="en-US" w:eastAsia="zh-CN"/>
        </w:rPr>
      </w:pPr>
    </w:p>
    <w:p>
      <w:pPr>
        <w:ind w:firstLine="2008" w:firstLineChars="500"/>
        <w:jc w:val="both"/>
        <w:rPr>
          <w:rFonts w:hint="default" w:ascii="仿宋" w:hAnsi="仿宋" w:eastAsia="仿宋" w:cs="仿宋"/>
          <w:b/>
          <w:bCs/>
          <w:color w:val="auto"/>
          <w:sz w:val="40"/>
          <w:szCs w:val="40"/>
          <w:highlight w:val="none"/>
          <w:shd w:val="clear" w:color="auto" w:fill="auto"/>
          <w:lang w:val="en-US" w:eastAsia="zh-CN"/>
        </w:rPr>
      </w:pPr>
      <w:r>
        <w:rPr>
          <w:rFonts w:hint="eastAsia" w:ascii="仿宋" w:hAnsi="仿宋" w:eastAsia="仿宋" w:cs="仿宋"/>
          <w:b/>
          <w:bCs/>
          <w:color w:val="auto"/>
          <w:sz w:val="40"/>
          <w:szCs w:val="40"/>
          <w:highlight w:val="none"/>
          <w:shd w:val="clear" w:color="auto" w:fill="auto"/>
          <w:lang w:eastAsia="zh-CN"/>
        </w:rPr>
        <w:t>中国远东国际招标有限公司</w:t>
      </w:r>
    </w:p>
    <w:p>
      <w:pPr>
        <w:jc w:val="center"/>
        <w:rPr>
          <w:rFonts w:ascii="宋体" w:hAnsi="宋体" w:cs="宋体"/>
          <w:color w:val="auto"/>
          <w:sz w:val="24"/>
          <w:szCs w:val="24"/>
          <w:highlight w:val="none"/>
          <w:shd w:val="clear" w:color="auto" w:fill="auto"/>
        </w:rPr>
      </w:pPr>
      <w:r>
        <w:rPr>
          <w:rFonts w:hint="eastAsia" w:ascii="仿宋" w:hAnsi="仿宋" w:eastAsia="仿宋" w:cs="仿宋"/>
          <w:b/>
          <w:bCs/>
          <w:color w:val="auto"/>
          <w:sz w:val="32"/>
          <w:szCs w:val="32"/>
          <w:highlight w:val="none"/>
          <w:shd w:val="clear" w:color="auto" w:fill="auto"/>
        </w:rPr>
        <w:t>202</w:t>
      </w:r>
      <w:r>
        <w:rPr>
          <w:rFonts w:hint="eastAsia" w:ascii="仿宋" w:hAnsi="仿宋" w:eastAsia="仿宋" w:cs="仿宋"/>
          <w:b/>
          <w:bCs/>
          <w:color w:val="auto"/>
          <w:sz w:val="32"/>
          <w:szCs w:val="32"/>
          <w:highlight w:val="none"/>
          <w:shd w:val="clear" w:color="auto" w:fill="auto"/>
          <w:lang w:val="en-US" w:eastAsia="zh-CN"/>
        </w:rPr>
        <w:t>3</w:t>
      </w:r>
      <w:r>
        <w:rPr>
          <w:rFonts w:hint="eastAsia" w:ascii="仿宋" w:hAnsi="仿宋" w:eastAsia="仿宋" w:cs="仿宋"/>
          <w:b/>
          <w:bCs/>
          <w:color w:val="auto"/>
          <w:sz w:val="32"/>
          <w:szCs w:val="32"/>
          <w:highlight w:val="none"/>
          <w:shd w:val="clear" w:color="auto" w:fill="auto"/>
        </w:rPr>
        <w:t>年</w:t>
      </w:r>
      <w:r>
        <w:rPr>
          <w:rFonts w:hint="eastAsia" w:ascii="仿宋" w:hAnsi="仿宋" w:eastAsia="仿宋" w:cs="仿宋"/>
          <w:b/>
          <w:bCs/>
          <w:color w:val="auto"/>
          <w:sz w:val="32"/>
          <w:szCs w:val="32"/>
          <w:highlight w:val="none"/>
          <w:shd w:val="clear" w:color="auto" w:fill="auto"/>
          <w:lang w:val="en-US" w:eastAsia="zh-CN"/>
        </w:rPr>
        <w:t>3月</w:t>
      </w:r>
    </w:p>
    <w:p>
      <w:pPr>
        <w:rPr>
          <w:rFonts w:ascii="宋体" w:hAnsi="宋体" w:cs="宋体"/>
          <w:color w:val="auto"/>
          <w:sz w:val="24"/>
          <w:szCs w:val="24"/>
          <w:highlight w:val="none"/>
          <w:shd w:val="clear" w:color="auto" w:fill="auto"/>
        </w:rPr>
      </w:pPr>
    </w:p>
    <w:p>
      <w:pPr>
        <w:jc w:val="center"/>
        <w:rPr>
          <w:rFonts w:ascii="宋体" w:hAnsi="宋体" w:cs="宋体"/>
          <w:color w:val="auto"/>
          <w:highlight w:val="none"/>
          <w:shd w:val="clear" w:color="auto" w:fill="auto"/>
        </w:rPr>
        <w:sectPr>
          <w:headerReference r:id="rId3" w:type="default"/>
          <w:pgSz w:w="11906" w:h="16838"/>
          <w:pgMar w:top="1417" w:right="1587" w:bottom="1417" w:left="1587" w:header="851" w:footer="992" w:gutter="0"/>
          <w:pgBorders>
            <w:top w:val="none" w:sz="0" w:space="0"/>
            <w:left w:val="none" w:sz="0" w:space="0"/>
            <w:bottom w:val="none" w:sz="0" w:space="0"/>
            <w:right w:val="none" w:sz="0" w:space="0"/>
          </w:pgBorders>
          <w:cols w:space="0" w:num="1"/>
          <w:docGrid w:type="lines" w:linePitch="312" w:charSpace="0"/>
        </w:sectPr>
      </w:pPr>
    </w:p>
    <w:p>
      <w:pPr>
        <w:jc w:val="center"/>
        <w:rPr>
          <w:rFonts w:ascii="宋体" w:hAnsi="宋体" w:cs="宋体"/>
          <w:color w:val="auto"/>
          <w:highlight w:val="none"/>
          <w:shd w:val="clear" w:color="auto" w:fill="auto"/>
        </w:rPr>
      </w:pPr>
      <w:r>
        <w:rPr>
          <w:rFonts w:hint="eastAsia" w:ascii="宋体" w:hAnsi="宋体" w:cs="宋体"/>
          <w:color w:val="auto"/>
          <w:highlight w:val="none"/>
          <w:shd w:val="clear" w:color="auto" w:fill="auto"/>
        </w:rPr>
        <w:t>目录</w:t>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TOC \o "1-5" \h \u </w:instrText>
      </w:r>
      <w:r>
        <w:rPr>
          <w:rFonts w:hint="eastAsia" w:ascii="宋体" w:hAnsi="宋体" w:cs="宋体"/>
          <w:color w:val="auto"/>
          <w:highlight w:val="none"/>
          <w:shd w:val="clear" w:color="auto" w:fill="auto"/>
        </w:rPr>
        <w:fldChar w:fldCharType="separate"/>
      </w: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_Toc22407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lang w:val="en-US" w:eastAsia="zh-CN"/>
        </w:rPr>
        <w:t>第一章 乌鲁木齐市公安局天山区分局购买捕犬防护装备项目的竞争性磋商公告</w:t>
      </w:r>
      <w:r>
        <w:rPr>
          <w:color w:val="auto"/>
          <w:highlight w:val="none"/>
        </w:rPr>
        <w:tab/>
      </w:r>
      <w:r>
        <w:rPr>
          <w:color w:val="auto"/>
          <w:highlight w:val="none"/>
        </w:rPr>
        <w:fldChar w:fldCharType="begin"/>
      </w:r>
      <w:r>
        <w:rPr>
          <w:color w:val="auto"/>
          <w:highlight w:val="none"/>
        </w:rPr>
        <w:instrText xml:space="preserve"> PAGEREF _Toc22407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_Toc9074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第二章磋商须知</w:t>
      </w:r>
      <w:r>
        <w:rPr>
          <w:color w:val="auto"/>
          <w:highlight w:val="none"/>
        </w:rPr>
        <w:tab/>
      </w:r>
      <w:r>
        <w:rPr>
          <w:color w:val="auto"/>
          <w:highlight w:val="none"/>
        </w:rPr>
        <w:fldChar w:fldCharType="begin"/>
      </w:r>
      <w:r>
        <w:rPr>
          <w:color w:val="auto"/>
          <w:highlight w:val="none"/>
        </w:rPr>
        <w:instrText xml:space="preserve"> PAGEREF _Toc9074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_Toc18043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0"/>
          <w:highlight w:val="none"/>
          <w:shd w:val="clear" w:color="auto" w:fill="auto"/>
        </w:rPr>
        <w:t>磋商须知前附表</w:t>
      </w:r>
      <w:r>
        <w:rPr>
          <w:color w:val="auto"/>
          <w:highlight w:val="none"/>
        </w:rPr>
        <w:tab/>
      </w:r>
      <w:r>
        <w:rPr>
          <w:color w:val="auto"/>
          <w:highlight w:val="none"/>
        </w:rPr>
        <w:fldChar w:fldCharType="begin"/>
      </w:r>
      <w:r>
        <w:rPr>
          <w:color w:val="auto"/>
          <w:highlight w:val="none"/>
        </w:rPr>
        <w:instrText xml:space="preserve"> PAGEREF _Toc18043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_Toc15096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0"/>
          <w:highlight w:val="none"/>
          <w:shd w:val="clear" w:color="auto" w:fill="auto"/>
        </w:rPr>
        <w:t>磋商须知正文</w:t>
      </w:r>
      <w:r>
        <w:rPr>
          <w:color w:val="auto"/>
          <w:highlight w:val="none"/>
        </w:rPr>
        <w:tab/>
      </w:r>
      <w:r>
        <w:rPr>
          <w:color w:val="auto"/>
          <w:highlight w:val="none"/>
        </w:rPr>
        <w:fldChar w:fldCharType="begin"/>
      </w:r>
      <w:r>
        <w:rPr>
          <w:color w:val="auto"/>
          <w:highlight w:val="none"/>
        </w:rPr>
        <w:instrText xml:space="preserve"> PAGEREF _Toc15096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_Toc28230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第三章　评审方法及标准</w:t>
      </w:r>
      <w:r>
        <w:rPr>
          <w:color w:val="auto"/>
          <w:highlight w:val="none"/>
        </w:rPr>
        <w:tab/>
      </w:r>
      <w:r>
        <w:rPr>
          <w:color w:val="auto"/>
          <w:highlight w:val="none"/>
        </w:rPr>
        <w:fldChar w:fldCharType="begin"/>
      </w:r>
      <w:r>
        <w:rPr>
          <w:color w:val="auto"/>
          <w:highlight w:val="none"/>
        </w:rPr>
        <w:instrText xml:space="preserve"> PAGEREF _Toc28230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_Toc31098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第四章　合同条款</w:t>
      </w:r>
      <w:r>
        <w:rPr>
          <w:color w:val="auto"/>
          <w:highlight w:val="none"/>
        </w:rPr>
        <w:tab/>
      </w:r>
      <w:r>
        <w:rPr>
          <w:color w:val="auto"/>
          <w:highlight w:val="none"/>
        </w:rPr>
        <w:fldChar w:fldCharType="begin"/>
      </w:r>
      <w:r>
        <w:rPr>
          <w:color w:val="auto"/>
          <w:highlight w:val="none"/>
        </w:rPr>
        <w:instrText xml:space="preserve"> PAGEREF _Toc31098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_Toc4104 </w:instrText>
      </w:r>
      <w:r>
        <w:rPr>
          <w:rFonts w:hint="eastAsia" w:ascii="宋体" w:hAnsi="宋体" w:cs="宋体"/>
          <w:color w:val="auto"/>
          <w:highlight w:val="none"/>
          <w:shd w:val="clear" w:color="auto" w:fill="auto"/>
        </w:rPr>
        <w:fldChar w:fldCharType="separate"/>
      </w:r>
      <w:r>
        <w:rPr>
          <w:rFonts w:hint="eastAsia" w:ascii="宋体" w:hAnsi="宋体" w:cs="宋体"/>
          <w:color w:val="auto"/>
          <w:szCs w:val="28"/>
          <w:highlight w:val="none"/>
          <w:shd w:val="clear" w:color="auto" w:fill="auto"/>
        </w:rPr>
        <w:t>第五章　响应文件组成</w:t>
      </w:r>
      <w:r>
        <w:rPr>
          <w:color w:val="auto"/>
          <w:highlight w:val="none"/>
        </w:rPr>
        <w:tab/>
      </w:r>
      <w:r>
        <w:rPr>
          <w:color w:val="auto"/>
          <w:highlight w:val="none"/>
        </w:rPr>
        <w:fldChar w:fldCharType="begin"/>
      </w:r>
      <w:r>
        <w:rPr>
          <w:color w:val="auto"/>
          <w:highlight w:val="none"/>
        </w:rPr>
        <w:instrText xml:space="preserve"> PAGEREF _Toc4104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_Toc9421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附件1 响应函</w:t>
      </w:r>
      <w:r>
        <w:rPr>
          <w:color w:val="auto"/>
          <w:highlight w:val="none"/>
        </w:rPr>
        <w:tab/>
      </w:r>
      <w:r>
        <w:rPr>
          <w:color w:val="auto"/>
          <w:highlight w:val="none"/>
        </w:rPr>
        <w:fldChar w:fldCharType="begin"/>
      </w:r>
      <w:r>
        <w:rPr>
          <w:color w:val="auto"/>
          <w:highlight w:val="none"/>
        </w:rPr>
        <w:instrText xml:space="preserve"> PAGEREF _Toc9421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_Toc6755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附件2 响应报价一览表</w:t>
      </w:r>
      <w:r>
        <w:rPr>
          <w:color w:val="auto"/>
          <w:highlight w:val="none"/>
        </w:rPr>
        <w:tab/>
      </w:r>
      <w:r>
        <w:rPr>
          <w:color w:val="auto"/>
          <w:highlight w:val="none"/>
        </w:rPr>
        <w:fldChar w:fldCharType="begin"/>
      </w:r>
      <w:r>
        <w:rPr>
          <w:color w:val="auto"/>
          <w:highlight w:val="none"/>
        </w:rPr>
        <w:instrText xml:space="preserve"> PAGEREF _Toc6755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_Toc9819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附件3 响应分项报价表</w:t>
      </w:r>
      <w:r>
        <w:rPr>
          <w:color w:val="auto"/>
          <w:highlight w:val="none"/>
        </w:rPr>
        <w:tab/>
      </w:r>
      <w:r>
        <w:rPr>
          <w:color w:val="auto"/>
          <w:highlight w:val="none"/>
        </w:rPr>
        <w:fldChar w:fldCharType="begin"/>
      </w:r>
      <w:r>
        <w:rPr>
          <w:color w:val="auto"/>
          <w:highlight w:val="none"/>
        </w:rPr>
        <w:instrText xml:space="preserve"> PAGEREF _Toc9819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_Toc25335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szCs w:val="24"/>
          <w:highlight w:val="none"/>
          <w:shd w:val="clear" w:color="auto" w:fill="auto"/>
        </w:rPr>
        <w:t>附件4 技术需求偏离表</w:t>
      </w:r>
      <w:r>
        <w:rPr>
          <w:color w:val="auto"/>
          <w:highlight w:val="none"/>
        </w:rPr>
        <w:tab/>
      </w:r>
      <w:r>
        <w:rPr>
          <w:color w:val="auto"/>
          <w:highlight w:val="none"/>
        </w:rPr>
        <w:fldChar w:fldCharType="begin"/>
      </w:r>
      <w:r>
        <w:rPr>
          <w:color w:val="auto"/>
          <w:highlight w:val="none"/>
        </w:rPr>
        <w:instrText xml:space="preserve"> PAGEREF _Toc25335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_Toc22412 </w:instrText>
      </w:r>
      <w:r>
        <w:rPr>
          <w:rFonts w:hint="eastAsia" w:ascii="宋体" w:hAnsi="宋体" w:cs="宋体"/>
          <w:color w:val="auto"/>
          <w:highlight w:val="none"/>
          <w:shd w:val="clear" w:color="auto" w:fill="auto"/>
        </w:rPr>
        <w:fldChar w:fldCharType="separate"/>
      </w:r>
      <w:r>
        <w:rPr>
          <w:rFonts w:hint="eastAsia" w:ascii="宋体" w:hAnsi="宋体" w:eastAsia="宋体" w:cs="宋体"/>
          <w:bCs w:val="0"/>
          <w:color w:val="auto"/>
          <w:kern w:val="2"/>
          <w:szCs w:val="24"/>
          <w:highlight w:val="none"/>
          <w:shd w:val="clear" w:color="auto" w:fill="auto"/>
          <w:lang w:val="en-US" w:eastAsia="zh-CN" w:bidi="ar-SA"/>
        </w:rPr>
        <w:t>附件5 商务条款偏离表</w:t>
      </w:r>
      <w:r>
        <w:rPr>
          <w:color w:val="auto"/>
          <w:highlight w:val="none"/>
        </w:rPr>
        <w:tab/>
      </w:r>
      <w:r>
        <w:rPr>
          <w:color w:val="auto"/>
          <w:highlight w:val="none"/>
        </w:rPr>
        <w:fldChar w:fldCharType="begin"/>
      </w:r>
      <w:r>
        <w:rPr>
          <w:color w:val="auto"/>
          <w:highlight w:val="none"/>
        </w:rPr>
        <w:instrText xml:space="preserve"> PAGEREF _Toc22412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_Toc22209 </w:instrText>
      </w:r>
      <w:r>
        <w:rPr>
          <w:rFonts w:hint="eastAsia" w:ascii="宋体" w:hAnsi="宋体" w:cs="宋体"/>
          <w:color w:val="auto"/>
          <w:highlight w:val="none"/>
          <w:shd w:val="clear" w:color="auto" w:fill="auto"/>
        </w:rPr>
        <w:fldChar w:fldCharType="separate"/>
      </w:r>
      <w:r>
        <w:rPr>
          <w:rFonts w:hint="eastAsia" w:hAnsi="宋体" w:cs="宋体"/>
          <w:color w:val="auto"/>
          <w:szCs w:val="24"/>
          <w:highlight w:val="none"/>
          <w:shd w:val="clear" w:color="auto" w:fill="auto"/>
        </w:rPr>
        <w:t>附件6-1</w:t>
      </w:r>
      <w:r>
        <w:rPr>
          <w:rFonts w:hint="eastAsia"/>
          <w:color w:val="auto"/>
          <w:szCs w:val="24"/>
          <w:highlight w:val="none"/>
        </w:rPr>
        <w:t>具有独立承担民事责任的能力</w:t>
      </w:r>
      <w:r>
        <w:rPr>
          <w:color w:val="auto"/>
          <w:highlight w:val="none"/>
        </w:rPr>
        <w:tab/>
      </w:r>
      <w:r>
        <w:rPr>
          <w:color w:val="auto"/>
          <w:highlight w:val="none"/>
        </w:rPr>
        <w:fldChar w:fldCharType="begin"/>
      </w:r>
      <w:r>
        <w:rPr>
          <w:color w:val="auto"/>
          <w:highlight w:val="none"/>
        </w:rPr>
        <w:instrText xml:space="preserve"> PAGEREF _Toc22209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_Toc28086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附件6-2法人身份证明书及法定代表人授权书（格式）</w:t>
      </w:r>
      <w:r>
        <w:rPr>
          <w:color w:val="auto"/>
          <w:highlight w:val="none"/>
        </w:rPr>
        <w:tab/>
      </w:r>
      <w:r>
        <w:rPr>
          <w:color w:val="auto"/>
          <w:highlight w:val="none"/>
        </w:rPr>
        <w:fldChar w:fldCharType="begin"/>
      </w:r>
      <w:r>
        <w:rPr>
          <w:color w:val="auto"/>
          <w:highlight w:val="none"/>
        </w:rPr>
        <w:instrText xml:space="preserve"> PAGEREF _Toc28086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_Toc10444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附件6-3 具有良好的商业信誉和健全的财务会计制度（需提供202</w:t>
      </w:r>
      <w:r>
        <w:rPr>
          <w:rFonts w:hint="eastAsia" w:ascii="宋体" w:hAnsi="宋体" w:cs="宋体"/>
          <w:color w:val="auto"/>
          <w:kern w:val="2"/>
          <w:szCs w:val="24"/>
          <w:highlight w:val="none"/>
          <w:shd w:val="clear" w:color="auto" w:fill="auto"/>
          <w:lang w:val="en-US" w:eastAsia="zh-CN" w:bidi="ar-SA"/>
        </w:rPr>
        <w:t>1</w:t>
      </w:r>
      <w:r>
        <w:rPr>
          <w:rFonts w:hint="eastAsia" w:ascii="宋体" w:hAnsi="宋体" w:eastAsia="宋体" w:cs="宋体"/>
          <w:color w:val="auto"/>
          <w:kern w:val="2"/>
          <w:szCs w:val="24"/>
          <w:highlight w:val="none"/>
          <w:shd w:val="clear" w:color="auto" w:fill="auto"/>
          <w:lang w:val="en-US" w:eastAsia="zh-CN" w:bidi="ar-SA"/>
        </w:rPr>
        <w:t>年度经会计师事务所出具的财务审计报告或其基本开户银行出具的资信证明）；</w:t>
      </w:r>
      <w:r>
        <w:rPr>
          <w:color w:val="auto"/>
          <w:highlight w:val="none"/>
        </w:rPr>
        <w:tab/>
      </w:r>
      <w:r>
        <w:rPr>
          <w:color w:val="auto"/>
          <w:highlight w:val="none"/>
        </w:rPr>
        <w:fldChar w:fldCharType="begin"/>
      </w:r>
      <w:r>
        <w:rPr>
          <w:color w:val="auto"/>
          <w:highlight w:val="none"/>
        </w:rPr>
        <w:instrText xml:space="preserve"> PAGEREF _Toc10444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_Toc32412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r>
        <w:rPr>
          <w:color w:val="auto"/>
          <w:highlight w:val="none"/>
        </w:rPr>
        <w:tab/>
      </w:r>
      <w:r>
        <w:rPr>
          <w:color w:val="auto"/>
          <w:highlight w:val="none"/>
        </w:rPr>
        <w:fldChar w:fldCharType="begin"/>
      </w:r>
      <w:r>
        <w:rPr>
          <w:color w:val="auto"/>
          <w:highlight w:val="none"/>
        </w:rPr>
        <w:instrText xml:space="preserve"> PAGEREF _Toc32412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_Toc4904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附件6-5近三年内在经营活动中没有重大违法记录的声明</w:t>
      </w:r>
      <w:r>
        <w:rPr>
          <w:color w:val="auto"/>
          <w:highlight w:val="none"/>
        </w:rPr>
        <w:tab/>
      </w:r>
      <w:r>
        <w:rPr>
          <w:color w:val="auto"/>
          <w:highlight w:val="none"/>
        </w:rPr>
        <w:fldChar w:fldCharType="begin"/>
      </w:r>
      <w:r>
        <w:rPr>
          <w:color w:val="auto"/>
          <w:highlight w:val="none"/>
        </w:rPr>
        <w:instrText xml:space="preserve"> PAGEREF _Toc4904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_Toc20989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附件6-6具有履行合同所必需的设备及专业技术能力和供应保障能力（提供具有履行合同所必需的设备和专业技术能力相关证明材料或承诺书）</w:t>
      </w:r>
      <w:r>
        <w:rPr>
          <w:color w:val="auto"/>
          <w:highlight w:val="none"/>
        </w:rPr>
        <w:tab/>
      </w:r>
      <w:r>
        <w:rPr>
          <w:color w:val="auto"/>
          <w:highlight w:val="none"/>
        </w:rPr>
        <w:fldChar w:fldCharType="begin"/>
      </w:r>
      <w:r>
        <w:rPr>
          <w:color w:val="auto"/>
          <w:highlight w:val="none"/>
        </w:rPr>
        <w:instrText xml:space="preserve"> PAGEREF _Toc20989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_Toc9409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7</w:t>
      </w:r>
      <w:r>
        <w:rPr>
          <w:rFonts w:hint="eastAsia" w:ascii="宋体" w:hAnsi="宋体" w:eastAsia="宋体" w:cs="宋体"/>
          <w:color w:val="auto"/>
          <w:kern w:val="2"/>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r>
        <w:rPr>
          <w:color w:val="auto"/>
          <w:highlight w:val="none"/>
        </w:rPr>
        <w:tab/>
      </w:r>
      <w:r>
        <w:rPr>
          <w:color w:val="auto"/>
          <w:highlight w:val="none"/>
        </w:rPr>
        <w:fldChar w:fldCharType="begin"/>
      </w:r>
      <w:r>
        <w:rPr>
          <w:color w:val="auto"/>
          <w:highlight w:val="none"/>
        </w:rPr>
        <w:instrText xml:space="preserve"> PAGEREF _Toc9409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_Toc12441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8</w:t>
      </w:r>
      <w:r>
        <w:rPr>
          <w:rFonts w:hint="eastAsia" w:ascii="宋体" w:hAnsi="宋体" w:eastAsia="宋体" w:cs="宋体"/>
          <w:color w:val="auto"/>
          <w:kern w:val="2"/>
          <w:szCs w:val="24"/>
          <w:highlight w:val="none"/>
          <w:shd w:val="clear" w:color="auto" w:fill="auto"/>
          <w:lang w:val="en-US" w:eastAsia="zh-CN" w:bidi="ar-SA"/>
        </w:rPr>
        <w:t>保证金缴纳</w:t>
      </w:r>
      <w:r>
        <w:rPr>
          <w:rFonts w:hint="eastAsia" w:ascii="宋体" w:hAnsi="宋体" w:cs="宋体"/>
          <w:color w:val="auto"/>
          <w:kern w:val="2"/>
          <w:szCs w:val="24"/>
          <w:highlight w:val="none"/>
          <w:shd w:val="clear" w:color="auto" w:fill="auto"/>
          <w:lang w:val="en-US" w:eastAsia="zh-CN" w:bidi="ar-SA"/>
        </w:rPr>
        <w:t>缴纳凭证</w:t>
      </w:r>
      <w:r>
        <w:rPr>
          <w:rFonts w:hint="eastAsia" w:ascii="宋体" w:hAnsi="宋体" w:eastAsia="宋体" w:cs="宋体"/>
          <w:color w:val="auto"/>
          <w:kern w:val="2"/>
          <w:szCs w:val="24"/>
          <w:highlight w:val="none"/>
          <w:shd w:val="clear" w:color="auto" w:fill="auto"/>
          <w:lang w:val="en-US" w:eastAsia="zh-CN" w:bidi="ar-SA"/>
        </w:rPr>
        <w:t>（须加盖本单位公章）</w:t>
      </w:r>
      <w:r>
        <w:rPr>
          <w:color w:val="auto"/>
          <w:highlight w:val="none"/>
        </w:rPr>
        <w:tab/>
      </w:r>
      <w:r>
        <w:rPr>
          <w:color w:val="auto"/>
          <w:highlight w:val="none"/>
        </w:rPr>
        <w:fldChar w:fldCharType="begin"/>
      </w:r>
      <w:r>
        <w:rPr>
          <w:color w:val="auto"/>
          <w:highlight w:val="none"/>
        </w:rPr>
        <w:instrText xml:space="preserve"> PAGEREF _Toc12441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_Toc28545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kern w:val="2"/>
          <w:szCs w:val="24"/>
          <w:highlight w:val="none"/>
          <w:shd w:val="clear" w:color="auto" w:fill="auto"/>
          <w:lang w:val="en-US" w:eastAsia="zh-CN" w:bidi="ar-SA"/>
        </w:rPr>
        <w:t>附件6-</w:t>
      </w:r>
      <w:r>
        <w:rPr>
          <w:rFonts w:hint="eastAsia" w:ascii="宋体" w:hAnsi="宋体" w:cs="宋体"/>
          <w:color w:val="auto"/>
          <w:kern w:val="2"/>
          <w:szCs w:val="24"/>
          <w:highlight w:val="none"/>
          <w:shd w:val="clear" w:color="auto" w:fill="auto"/>
          <w:lang w:val="en-US" w:eastAsia="zh-CN" w:bidi="ar-SA"/>
        </w:rPr>
        <w:t>10</w:t>
      </w:r>
      <w:r>
        <w:rPr>
          <w:rFonts w:hint="eastAsia" w:ascii="宋体" w:hAnsi="宋体" w:eastAsia="宋体" w:cs="宋体"/>
          <w:color w:val="auto"/>
          <w:kern w:val="2"/>
          <w:szCs w:val="24"/>
          <w:highlight w:val="none"/>
          <w:shd w:val="clear" w:color="auto" w:fill="auto"/>
          <w:lang w:val="en-US" w:eastAsia="zh-CN" w:bidi="ar-SA"/>
        </w:rPr>
        <w:t>中小微企业、残疾人福利性单位及监狱企业的证明文件：</w:t>
      </w:r>
      <w:r>
        <w:rPr>
          <w:color w:val="auto"/>
          <w:highlight w:val="none"/>
        </w:rPr>
        <w:tab/>
      </w:r>
      <w:r>
        <w:rPr>
          <w:color w:val="auto"/>
          <w:highlight w:val="none"/>
        </w:rPr>
        <w:fldChar w:fldCharType="begin"/>
      </w:r>
      <w:r>
        <w:rPr>
          <w:color w:val="auto"/>
          <w:highlight w:val="none"/>
        </w:rPr>
        <w:instrText xml:space="preserve"> PAGEREF _Toc28545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_Toc21098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7</w:t>
      </w:r>
      <w:r>
        <w:rPr>
          <w:rFonts w:hint="eastAsia" w:ascii="宋体" w:hAnsi="宋体" w:eastAsia="宋体" w:cs="宋体"/>
          <w:color w:val="auto"/>
          <w:szCs w:val="24"/>
          <w:highlight w:val="none"/>
          <w:shd w:val="clear" w:color="auto" w:fill="auto"/>
          <w:lang w:val="en-US" w:eastAsia="zh-CN"/>
        </w:rPr>
        <w:t xml:space="preserve"> 竞争性磋商文件技术参数及要求中的证明材料</w:t>
      </w:r>
      <w:r>
        <w:rPr>
          <w:color w:val="auto"/>
          <w:highlight w:val="none"/>
        </w:rPr>
        <w:tab/>
      </w:r>
      <w:r>
        <w:rPr>
          <w:color w:val="auto"/>
          <w:highlight w:val="none"/>
        </w:rPr>
        <w:fldChar w:fldCharType="begin"/>
      </w:r>
      <w:r>
        <w:rPr>
          <w:color w:val="auto"/>
          <w:highlight w:val="none"/>
        </w:rPr>
        <w:instrText xml:space="preserve"> PAGEREF _Toc21098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_Toc17219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8</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rPr>
        <w:t>供应商</w:t>
      </w:r>
      <w:r>
        <w:rPr>
          <w:rFonts w:hint="eastAsia" w:ascii="宋体" w:hAnsi="宋体" w:eastAsia="宋体" w:cs="宋体"/>
          <w:color w:val="auto"/>
          <w:szCs w:val="24"/>
          <w:highlight w:val="none"/>
          <w:shd w:val="clear" w:color="auto" w:fill="auto"/>
          <w:lang w:eastAsia="zh-CN"/>
        </w:rPr>
        <w:t>基本情况（格式自拟）</w:t>
      </w:r>
      <w:r>
        <w:rPr>
          <w:color w:val="auto"/>
          <w:highlight w:val="none"/>
        </w:rPr>
        <w:tab/>
      </w:r>
      <w:r>
        <w:rPr>
          <w:color w:val="auto"/>
          <w:highlight w:val="none"/>
        </w:rPr>
        <w:fldChar w:fldCharType="begin"/>
      </w:r>
      <w:r>
        <w:rPr>
          <w:color w:val="auto"/>
          <w:highlight w:val="none"/>
        </w:rPr>
        <w:instrText xml:space="preserve"> PAGEREF _Toc17219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_Toc5550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cs="宋体"/>
          <w:color w:val="auto"/>
          <w:szCs w:val="24"/>
          <w:highlight w:val="none"/>
          <w:shd w:val="clear" w:color="auto" w:fill="auto"/>
          <w:lang w:val="en-US" w:eastAsia="zh-CN"/>
        </w:rPr>
        <w:t>9</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rPr>
        <w:t>供应商类似项目业绩一览表</w:t>
      </w:r>
      <w:r>
        <w:rPr>
          <w:color w:val="auto"/>
          <w:highlight w:val="none"/>
        </w:rPr>
        <w:tab/>
      </w:r>
      <w:r>
        <w:rPr>
          <w:color w:val="auto"/>
          <w:highlight w:val="none"/>
        </w:rPr>
        <w:fldChar w:fldCharType="begin"/>
      </w:r>
      <w:r>
        <w:rPr>
          <w:color w:val="auto"/>
          <w:highlight w:val="none"/>
        </w:rPr>
        <w:instrText xml:space="preserve"> PAGEREF _Toc5550 \h </w:instrText>
      </w:r>
      <w:r>
        <w:rPr>
          <w:color w:val="auto"/>
          <w:highlight w:val="none"/>
        </w:rPr>
        <w:fldChar w:fldCharType="separate"/>
      </w:r>
      <w:r>
        <w:rPr>
          <w:color w:val="auto"/>
          <w:highlight w:val="none"/>
        </w:rPr>
        <w:t>63</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_Toc6647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1"/>
          <w:highlight w:val="none"/>
          <w:shd w:val="clear" w:color="auto" w:fill="auto"/>
        </w:rPr>
        <w:t>附件</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项目服务方案</w:t>
      </w:r>
      <w:r>
        <w:rPr>
          <w:color w:val="auto"/>
          <w:highlight w:val="none"/>
        </w:rPr>
        <w:tab/>
      </w:r>
      <w:r>
        <w:rPr>
          <w:color w:val="auto"/>
          <w:highlight w:val="none"/>
        </w:rPr>
        <w:fldChar w:fldCharType="begin"/>
      </w:r>
      <w:r>
        <w:rPr>
          <w:color w:val="auto"/>
          <w:highlight w:val="none"/>
        </w:rPr>
        <w:instrText xml:space="preserve"> PAGEREF _Toc6647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_Toc6963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eastAsia="宋体" w:cs="宋体"/>
          <w:color w:val="auto"/>
          <w:szCs w:val="24"/>
          <w:highlight w:val="none"/>
          <w:shd w:val="clear" w:color="auto" w:fill="auto"/>
          <w:lang w:val="en-US" w:eastAsia="zh-CN"/>
        </w:rPr>
        <w:t>1</w:t>
      </w:r>
      <w:r>
        <w:rPr>
          <w:rFonts w:hint="eastAsia" w:ascii="宋体" w:hAnsi="宋体" w:cs="宋体"/>
          <w:color w:val="auto"/>
          <w:szCs w:val="24"/>
          <w:highlight w:val="none"/>
          <w:shd w:val="clear" w:color="auto" w:fill="auto"/>
          <w:lang w:val="en-US" w:eastAsia="zh-CN"/>
        </w:rPr>
        <w:t xml:space="preserve">1 </w:t>
      </w:r>
      <w:r>
        <w:rPr>
          <w:rFonts w:hint="eastAsia" w:ascii="宋体" w:hAnsi="宋体" w:eastAsia="宋体" w:cs="宋体"/>
          <w:color w:val="auto"/>
          <w:szCs w:val="24"/>
          <w:highlight w:val="none"/>
          <w:shd w:val="clear" w:color="auto" w:fill="auto"/>
        </w:rPr>
        <w:t>拟投入本项目</w:t>
      </w:r>
      <w:r>
        <w:rPr>
          <w:rFonts w:hint="eastAsia" w:ascii="宋体" w:hAnsi="宋体"/>
          <w:color w:val="auto"/>
          <w:szCs w:val="24"/>
          <w:highlight w:val="none"/>
        </w:rPr>
        <w:t>备品备件</w:t>
      </w:r>
      <w:r>
        <w:rPr>
          <w:color w:val="auto"/>
          <w:highlight w:val="none"/>
        </w:rPr>
        <w:tab/>
      </w:r>
      <w:r>
        <w:rPr>
          <w:color w:val="auto"/>
          <w:highlight w:val="none"/>
        </w:rPr>
        <w:fldChar w:fldCharType="begin"/>
      </w:r>
      <w:r>
        <w:rPr>
          <w:color w:val="auto"/>
          <w:highlight w:val="none"/>
        </w:rPr>
        <w:instrText xml:space="preserve"> PAGEREF _Toc6963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_Toc11049 </w:instrText>
      </w:r>
      <w:r>
        <w:rPr>
          <w:rFonts w:hint="eastAsia" w:ascii="宋体" w:hAnsi="宋体" w:cs="宋体"/>
          <w:color w:val="auto"/>
          <w:highlight w:val="none"/>
          <w:shd w:val="clear" w:color="auto" w:fill="auto"/>
        </w:rPr>
        <w:fldChar w:fldCharType="separate"/>
      </w:r>
      <w:r>
        <w:rPr>
          <w:rFonts w:hint="eastAsia" w:ascii="宋体" w:hAnsi="宋体" w:eastAsia="宋体" w:cs="宋体"/>
          <w:color w:val="auto"/>
          <w:szCs w:val="24"/>
          <w:highlight w:val="none"/>
          <w:shd w:val="clear" w:color="auto" w:fill="auto"/>
        </w:rPr>
        <w:t>附件</w:t>
      </w:r>
      <w:r>
        <w:rPr>
          <w:rFonts w:hint="eastAsia" w:ascii="宋体" w:hAnsi="宋体" w:eastAsia="宋体" w:cs="宋体"/>
          <w:color w:val="auto"/>
          <w:szCs w:val="24"/>
          <w:highlight w:val="none"/>
          <w:shd w:val="clear" w:color="auto" w:fill="auto"/>
          <w:lang w:val="en-US" w:eastAsia="zh-CN"/>
        </w:rPr>
        <w:t>1</w:t>
      </w:r>
      <w:r>
        <w:rPr>
          <w:rFonts w:hint="eastAsia" w:ascii="宋体" w:hAnsi="宋体" w:cs="宋体"/>
          <w:color w:val="auto"/>
          <w:szCs w:val="24"/>
          <w:highlight w:val="none"/>
          <w:shd w:val="clear" w:color="auto" w:fill="auto"/>
          <w:lang w:val="en-US" w:eastAsia="zh-CN"/>
        </w:rPr>
        <w:t>2</w:t>
      </w:r>
      <w:r>
        <w:rPr>
          <w:rFonts w:hint="eastAsia" w:ascii="宋体" w:hAnsi="宋体" w:eastAsia="宋体" w:cs="宋体"/>
          <w:color w:val="auto"/>
          <w:szCs w:val="24"/>
          <w:highlight w:val="none"/>
          <w:shd w:val="clear" w:color="auto" w:fill="auto"/>
          <w:lang w:val="en-US" w:eastAsia="zh-CN"/>
        </w:rPr>
        <w:t xml:space="preserve"> </w:t>
      </w:r>
      <w:r>
        <w:rPr>
          <w:rFonts w:hint="eastAsia" w:ascii="宋体" w:hAnsi="宋体" w:eastAsia="宋体" w:cs="宋体"/>
          <w:color w:val="auto"/>
          <w:szCs w:val="24"/>
          <w:highlight w:val="none"/>
          <w:shd w:val="clear" w:color="auto" w:fill="auto"/>
          <w:lang w:eastAsia="zh-CN"/>
        </w:rPr>
        <w:t>符合技术</w:t>
      </w:r>
      <w:r>
        <w:rPr>
          <w:rFonts w:hint="eastAsia" w:ascii="宋体" w:hAnsi="宋体" w:cs="宋体"/>
          <w:color w:val="auto"/>
          <w:szCs w:val="24"/>
          <w:highlight w:val="none"/>
          <w:shd w:val="clear" w:color="auto" w:fill="auto"/>
          <w:lang w:val="en-US" w:eastAsia="zh-CN"/>
        </w:rPr>
        <w:t>服务</w:t>
      </w:r>
      <w:r>
        <w:rPr>
          <w:rFonts w:hint="eastAsia" w:ascii="宋体" w:hAnsi="宋体" w:eastAsia="宋体" w:cs="宋体"/>
          <w:color w:val="auto"/>
          <w:szCs w:val="24"/>
          <w:highlight w:val="none"/>
          <w:shd w:val="clear" w:color="auto" w:fill="auto"/>
          <w:lang w:eastAsia="zh-CN"/>
        </w:rPr>
        <w:t>及要求的证明资料</w:t>
      </w:r>
      <w:r>
        <w:rPr>
          <w:color w:val="auto"/>
          <w:highlight w:val="none"/>
        </w:rPr>
        <w:tab/>
      </w:r>
      <w:r>
        <w:rPr>
          <w:color w:val="auto"/>
          <w:highlight w:val="none"/>
        </w:rPr>
        <w:fldChar w:fldCharType="begin"/>
      </w:r>
      <w:r>
        <w:rPr>
          <w:color w:val="auto"/>
          <w:highlight w:val="none"/>
        </w:rPr>
        <w:instrText xml:space="preserve"> PAGEREF _Toc11049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s="宋体"/>
          <w:color w:val="auto"/>
          <w:highlight w:val="none"/>
          <w:shd w:val="clear" w:color="auto" w:fill="auto"/>
        </w:rPr>
        <w:fldChar w:fldCharType="end"/>
      </w:r>
    </w:p>
    <w:p>
      <w:pPr>
        <w:pStyle w:val="27"/>
        <w:tabs>
          <w:tab w:val="right" w:leader="dot" w:pos="8306"/>
        </w:tabs>
        <w:rPr>
          <w:color w:val="auto"/>
          <w:highlight w:val="none"/>
        </w:rPr>
      </w:pPr>
      <w:r>
        <w:rPr>
          <w:rFonts w:hint="eastAsia" w:ascii="宋体" w:hAnsi="宋体" w:cs="宋体"/>
          <w:color w:val="auto"/>
          <w:highlight w:val="none"/>
          <w:shd w:val="clear" w:color="auto" w:fill="auto"/>
        </w:rPr>
        <w:fldChar w:fldCharType="begin"/>
      </w:r>
      <w:r>
        <w:rPr>
          <w:rFonts w:hint="eastAsia" w:ascii="宋体" w:hAnsi="宋体" w:cs="宋体"/>
          <w:color w:val="auto"/>
          <w:highlight w:val="none"/>
          <w:shd w:val="clear" w:color="auto" w:fill="auto"/>
        </w:rPr>
        <w:instrText xml:space="preserve"> HYPERLINK \l _Toc18035 </w:instrText>
      </w:r>
      <w:r>
        <w:rPr>
          <w:rFonts w:hint="eastAsia" w:ascii="宋体" w:hAnsi="宋体" w:cs="宋体"/>
          <w:color w:val="auto"/>
          <w:highlight w:val="none"/>
          <w:shd w:val="clear" w:color="auto" w:fill="auto"/>
        </w:rPr>
        <w:fldChar w:fldCharType="separate"/>
      </w:r>
      <w:r>
        <w:rPr>
          <w:rFonts w:hint="eastAsia" w:ascii="宋体" w:hAnsi="宋体" w:cs="宋体"/>
          <w:bCs/>
          <w:color w:val="auto"/>
          <w:szCs w:val="28"/>
          <w:highlight w:val="none"/>
          <w:shd w:val="clear" w:color="auto" w:fill="auto"/>
        </w:rPr>
        <w:t>第六章　项目采购需求</w:t>
      </w:r>
      <w:r>
        <w:rPr>
          <w:color w:val="auto"/>
          <w:highlight w:val="none"/>
        </w:rPr>
        <w:tab/>
      </w:r>
      <w:r>
        <w:rPr>
          <w:color w:val="auto"/>
          <w:highlight w:val="none"/>
        </w:rPr>
        <w:fldChar w:fldCharType="begin"/>
      </w:r>
      <w:r>
        <w:rPr>
          <w:color w:val="auto"/>
          <w:highlight w:val="none"/>
        </w:rPr>
        <w:instrText xml:space="preserve"> PAGEREF _Toc18035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shd w:val="clear" w:color="auto" w:fill="auto"/>
        </w:rPr>
        <w:fldChar w:fldCharType="end"/>
      </w:r>
    </w:p>
    <w:p>
      <w:pPr>
        <w:pStyle w:val="19"/>
        <w:tabs>
          <w:tab w:val="right" w:leader="dot" w:pos="8306"/>
        </w:tabs>
        <w:rPr>
          <w:color w:val="auto"/>
          <w:highlight w:val="none"/>
        </w:rPr>
      </w:pPr>
    </w:p>
    <w:p>
      <w:pPr>
        <w:rPr>
          <w:rFonts w:ascii="宋体" w:hAnsi="宋体" w:cs="宋体"/>
          <w:color w:val="auto"/>
          <w:highlight w:val="none"/>
          <w:shd w:val="clear" w:color="auto" w:fill="auto"/>
        </w:rPr>
      </w:pPr>
      <w:r>
        <w:rPr>
          <w:rFonts w:hint="eastAsia" w:ascii="宋体" w:hAnsi="宋体" w:cs="宋体"/>
          <w:color w:val="auto"/>
          <w:highlight w:val="none"/>
          <w:shd w:val="clear" w:color="auto" w:fill="auto"/>
        </w:rPr>
        <w:fldChar w:fldCharType="end"/>
      </w:r>
    </w:p>
    <w:p>
      <w:pPr>
        <w:keepNext/>
        <w:jc w:val="center"/>
        <w:outlineLvl w:val="0"/>
        <w:rPr>
          <w:rStyle w:val="54"/>
          <w:rFonts w:ascii="宋体" w:hAnsi="宋体" w:cs="宋体"/>
          <w:color w:val="auto"/>
          <w:sz w:val="28"/>
          <w:szCs w:val="28"/>
          <w:highlight w:val="none"/>
          <w:shd w:val="clear" w:color="auto" w:fill="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0" w:name="_Toc2668"/>
      <w:bookmarkStart w:id="1" w:name="_Toc30162"/>
    </w:p>
    <w:bookmarkEnd w:id="0"/>
    <w:bookmarkEnd w:id="1"/>
    <w:p>
      <w:pPr>
        <w:pStyle w:val="5"/>
        <w:numPr>
          <w:ilvl w:val="1"/>
          <w:numId w:val="0"/>
        </w:numPr>
        <w:jc w:val="center"/>
        <w:rPr>
          <w:rFonts w:hint="eastAsia" w:ascii="宋体" w:hAnsi="宋体" w:cs="宋体"/>
          <w:color w:val="auto"/>
          <w:sz w:val="28"/>
          <w:szCs w:val="28"/>
          <w:highlight w:val="none"/>
          <w:shd w:val="clear" w:color="auto" w:fill="auto"/>
          <w:lang w:val="en-US" w:eastAsia="zh-CN"/>
        </w:rPr>
      </w:pPr>
      <w:bookmarkStart w:id="2" w:name="_Toc22407"/>
      <w:bookmarkStart w:id="3" w:name="_Toc17422"/>
      <w:r>
        <w:rPr>
          <w:rFonts w:hint="eastAsia" w:ascii="宋体" w:hAnsi="宋体" w:cs="宋体"/>
          <w:color w:val="auto"/>
          <w:sz w:val="28"/>
          <w:szCs w:val="28"/>
          <w:highlight w:val="none"/>
          <w:shd w:val="clear" w:color="auto" w:fill="auto"/>
          <w:lang w:val="en-US" w:eastAsia="zh-CN"/>
        </w:rPr>
        <w:t>第一章 乌鲁木齐市公安局天山区分局购买捕犬防护装备项目的竞争性磋商公告</w:t>
      </w:r>
      <w:bookmarkEnd w:id="2"/>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bookmarkStart w:id="4" w:name="_Hlk85189405"/>
      <w:bookmarkStart w:id="5" w:name="_Hlk85192921"/>
      <w:r>
        <w:rPr>
          <w:rFonts w:hint="eastAsia" w:ascii="宋体" w:hAnsi="宋体" w:eastAsia="宋体" w:cs="宋体"/>
          <w:color w:val="auto"/>
          <w:kern w:val="0"/>
          <w:sz w:val="24"/>
          <w:szCs w:val="24"/>
          <w:highlight w:val="none"/>
          <w:lang w:val="en-US" w:eastAsia="zh-CN" w:bidi="ar"/>
        </w:rPr>
        <w:t>（招标编号：</w:t>
      </w:r>
      <w:r>
        <w:rPr>
          <w:rFonts w:hint="eastAsia" w:ascii="宋体" w:hAnsi="宋体" w:cs="宋体"/>
          <w:color w:val="auto"/>
          <w:kern w:val="0"/>
          <w:sz w:val="24"/>
          <w:szCs w:val="24"/>
          <w:highlight w:val="none"/>
          <w:lang w:val="en-US" w:eastAsia="zh-CN" w:bidi="ar"/>
        </w:rPr>
        <w:t>0722-2023FE3312XJF</w:t>
      </w:r>
      <w:r>
        <w:rPr>
          <w:rFonts w:hint="eastAsia" w:ascii="宋体" w:hAnsi="宋体" w:eastAsia="宋体" w:cs="宋体"/>
          <w:color w:val="auto"/>
          <w:kern w:val="0"/>
          <w:sz w:val="24"/>
          <w:szCs w:val="24"/>
          <w:highlight w:val="none"/>
          <w:lang w:val="en-US" w:eastAsia="zh-CN" w:bidi="ar"/>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pPr>
              <w:pStyle w:val="29"/>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pPr>
              <w:pStyle w:val="29"/>
              <w:widowControl/>
              <w:rPr>
                <w:rFonts w:hint="eastAsia" w:ascii="宋体" w:hAnsi="宋体" w:eastAsia="宋体" w:cs="宋体"/>
                <w:color w:val="auto"/>
                <w:sz w:val="22"/>
                <w:szCs w:val="22"/>
                <w:highlight w:val="none"/>
              </w:rPr>
            </w:pPr>
            <w:r>
              <w:rPr>
                <w:rFonts w:hint="eastAsia" w:ascii="宋体" w:hAnsi="宋体" w:cs="宋体"/>
                <w:color w:val="auto"/>
                <w:highlight w:val="none"/>
                <w:lang w:val="en-US" w:eastAsia="zh-CN"/>
              </w:rPr>
              <w:t>乌鲁木齐市公安局天山区分局购买捕犬防护装备项目 乌鲁木齐市公安局天山区分局救灾帐篷项目采购项目的潜在供应商应在新疆政府采购网-政采云平台（https://www.zcygov.cn）获取采购文件，并于2023年04月07日 10:30（北京时间）前提交响应文件。</w:t>
            </w:r>
          </w:p>
        </w:tc>
      </w:tr>
    </w:tbl>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一、项目基本情况</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项目名称：乌鲁木齐市公安局天山区分局购买捕犬防护装备项目</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项目编号：0722-2023FE3312XJF</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采购方式：竞争性磋商</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预算金额（元）：</w:t>
      </w:r>
      <w:r>
        <w:rPr>
          <w:rFonts w:hint="eastAsia" w:ascii="宋体" w:hAnsi="宋体" w:cs="宋体"/>
          <w:color w:val="auto"/>
          <w:kern w:val="0"/>
          <w:sz w:val="24"/>
          <w:highlight w:val="none"/>
          <w:lang w:val="en-US" w:eastAsia="zh-CN" w:bidi="ar"/>
        </w:rPr>
        <w:t>570600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最高限价（元）：</w:t>
      </w:r>
      <w:r>
        <w:rPr>
          <w:rFonts w:hint="eastAsia" w:ascii="宋体" w:hAnsi="宋体" w:cs="宋体"/>
          <w:color w:val="auto"/>
          <w:kern w:val="0"/>
          <w:sz w:val="24"/>
          <w:highlight w:val="none"/>
          <w:lang w:val="en-US" w:eastAsia="zh-CN" w:bidi="ar"/>
        </w:rPr>
        <w:t>570600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数量：</w:t>
      </w:r>
      <w:r>
        <w:rPr>
          <w:rFonts w:hint="eastAsia" w:ascii="宋体" w:hAnsi="宋体" w:cs="宋体"/>
          <w:color w:val="auto"/>
          <w:kern w:val="0"/>
          <w:sz w:val="24"/>
          <w:highlight w:val="none"/>
          <w:lang w:val="en-US" w:eastAsia="zh-CN" w:bidi="ar"/>
        </w:rPr>
        <w:t>批</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单位：</w:t>
      </w:r>
      <w:r>
        <w:rPr>
          <w:rFonts w:hint="eastAsia" w:ascii="宋体" w:hAnsi="宋体" w:cs="宋体"/>
          <w:color w:val="auto"/>
          <w:kern w:val="0"/>
          <w:sz w:val="24"/>
          <w:highlight w:val="none"/>
          <w:lang w:val="en-US" w:eastAsia="zh-CN" w:bidi="ar"/>
        </w:rPr>
        <w:t>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简要规格描述或项目基本概况介绍、用途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采购狗笼、捕狗网、防护手套</w:t>
      </w:r>
      <w:r>
        <w:rPr>
          <w:rFonts w:hint="eastAsia" w:ascii="宋体" w:hAnsi="宋体" w:cs="宋体"/>
          <w:color w:val="auto"/>
          <w:kern w:val="0"/>
          <w:sz w:val="24"/>
          <w:highlight w:val="none"/>
          <w:lang w:bidi="ar"/>
        </w:rPr>
        <w:t>（详见</w:t>
      </w:r>
      <w:r>
        <w:rPr>
          <w:rFonts w:hint="eastAsia" w:ascii="宋体" w:hAnsi="宋体" w:cs="宋体"/>
          <w:color w:val="auto"/>
          <w:kern w:val="0"/>
          <w:sz w:val="24"/>
          <w:highlight w:val="none"/>
          <w:lang w:eastAsia="zh-CN" w:bidi="ar"/>
        </w:rPr>
        <w:t>磋商文件</w:t>
      </w:r>
      <w:r>
        <w:rPr>
          <w:rFonts w:hint="eastAsia" w:ascii="宋体" w:hAnsi="宋体" w:cs="宋体"/>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合同履约期限：标项1：</w:t>
      </w:r>
      <w:r>
        <w:rPr>
          <w:rFonts w:hint="eastAsia" w:ascii="宋体" w:hAnsi="宋体" w:cs="宋体"/>
          <w:color w:val="auto"/>
          <w:sz w:val="24"/>
          <w:szCs w:val="24"/>
          <w:highlight w:val="none"/>
          <w:shd w:val="clear" w:color="auto" w:fill="auto"/>
          <w:lang w:val="en-US" w:eastAsia="zh-CN"/>
        </w:rPr>
        <w:t>合同签订之日起3日内交货</w:t>
      </w:r>
      <w:r>
        <w:rPr>
          <w:rFonts w:hint="eastAsia" w:ascii="宋体" w:hAnsi="宋体" w:cs="宋体"/>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本项目（否）接受联合体投标。</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二、申请人的资格要求：</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2.落实政府采购政策需满足的资格要求：标项1：供应商为中小企业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3.本项目的特定资格要求:</w:t>
      </w:r>
      <w:r>
        <w:rPr>
          <w:rFonts w:hint="eastAsia" w:ascii="宋体" w:hAnsi="宋体" w:cs="宋体"/>
          <w:color w:val="auto"/>
          <w:kern w:val="0"/>
          <w:sz w:val="24"/>
          <w:highlight w:val="none"/>
          <w:lang w:val="en-US" w:eastAsia="zh-CN" w:bidi="ar"/>
        </w:rPr>
        <w:t>无</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三、获取采购文件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时间：202</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3月28日</w:t>
      </w:r>
      <w:r>
        <w:rPr>
          <w:rFonts w:hint="eastAsia" w:ascii="宋体" w:hAnsi="宋体" w:cs="宋体"/>
          <w:color w:val="auto"/>
          <w:kern w:val="0"/>
          <w:sz w:val="24"/>
          <w:highlight w:val="none"/>
          <w:lang w:bidi="ar"/>
        </w:rPr>
        <w:t>至202</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日，每天上午00:00至</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:00，下午</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:00至23:59（北京时间，法定节假日除外）</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地点：政采云平台（https://www.zcygov.cn）</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方式：供应商登陆政采云账户（网址：https://www.zcygov.cn/）,在线申请获取磋商文件（登录政府采购云平台→项目采购→获取采购文件→申请，通过后可下载磋商文件，如有操作性问题，可与政采云在线客服进行咨询，咨询电话：95763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售价（元）：</w:t>
      </w:r>
      <w:r>
        <w:rPr>
          <w:rFonts w:hint="eastAsia" w:ascii="宋体" w:hAnsi="宋体" w:cs="宋体"/>
          <w:color w:val="auto"/>
          <w:kern w:val="0"/>
          <w:sz w:val="24"/>
          <w:highlight w:val="none"/>
          <w:lang w:val="en-US" w:eastAsia="zh-CN" w:bidi="ar"/>
        </w:rPr>
        <w:t>0</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四、响应文件提交</w:t>
      </w:r>
      <w:r>
        <w:rPr>
          <w:rFonts w:hint="eastAsia" w:ascii="宋体" w:hAnsi="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截止时间：</w:t>
      </w:r>
      <w:r>
        <w:rPr>
          <w:rFonts w:hint="eastAsia" w:ascii="宋体" w:hAnsi="宋体" w:cs="宋体"/>
          <w:color w:val="auto"/>
          <w:highlight w:val="none"/>
          <w:lang w:eastAsia="zh-CN"/>
        </w:rPr>
        <w:t>2023年04月</w:t>
      </w:r>
      <w:r>
        <w:rPr>
          <w:rFonts w:hint="eastAsia" w:ascii="宋体" w:hAnsi="宋体" w:cs="宋体"/>
          <w:color w:val="auto"/>
          <w:highlight w:val="none"/>
          <w:lang w:val="en-US" w:eastAsia="zh-CN"/>
        </w:rPr>
        <w:t>07</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ascii="宋体" w:hAnsi="宋体" w:cs="宋体"/>
          <w:color w:val="auto"/>
          <w:kern w:val="0"/>
          <w:sz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eastAsia="宋体" w:cs="宋体"/>
          <w:color w:val="auto"/>
          <w:highlight w:val="none"/>
        </w:rPr>
      </w:pPr>
      <w:r>
        <w:rPr>
          <w:rFonts w:hint="eastAsia" w:ascii="宋体" w:hAnsi="宋体" w:cs="宋体"/>
          <w:color w:val="auto"/>
          <w:kern w:val="0"/>
          <w:sz w:val="24"/>
          <w:highlight w:val="none"/>
          <w:lang w:val="en-US" w:eastAsia="zh-CN" w:bidi="ar"/>
        </w:rPr>
        <w:t xml:space="preserve">地点：将响应文件上传至政采云平台https：//www.zcygov.cn/对应位置（逾期未上传的或不符合规定的投标文件将被拒绝接收）。 </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auto"/>
          <w:highlight w:val="none"/>
        </w:rPr>
      </w:pPr>
      <w:r>
        <w:rPr>
          <w:rStyle w:val="34"/>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开启时间：</w:t>
      </w:r>
      <w:r>
        <w:rPr>
          <w:rFonts w:hint="eastAsia" w:ascii="宋体" w:hAnsi="宋体" w:cs="宋体"/>
          <w:color w:val="auto"/>
          <w:highlight w:val="none"/>
          <w:lang w:eastAsia="zh-CN"/>
        </w:rPr>
        <w:t>2023年04月</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ascii="宋体" w:hAnsi="宋体" w:cs="宋体"/>
          <w:color w:val="auto"/>
          <w:kern w:val="0"/>
          <w:sz w:val="24"/>
          <w:highlight w:val="none"/>
          <w:lang w:val="en-US" w:eastAsia="zh-CN" w:bidi="ar"/>
        </w:rPr>
        <w:t>（北京时间）</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地点：政采云平台https：//www.zcygov.cn/政采云不见面开标大厅 </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六、公告期限</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自本公告发布之日起5个工作日。</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七、其他补充事宜</w:t>
      </w:r>
      <w:r>
        <w:rPr>
          <w:rFonts w:hint="eastAsia" w:ascii="宋体" w:hAnsi="宋体" w:cs="宋体"/>
          <w:color w:val="auto"/>
          <w:highlight w:val="none"/>
        </w:rPr>
        <w:t> </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1、本项目实行网上投标，采用电子投标文件；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4、供应商应当在磋商截止时间前,将生成的“电子加密响应文件”上传递交至“政府采购云平台”,磋商截止时间以后上传递交的响应文件将被“政府采购云平台”拒收。</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6、供应商登录政采云平台，在磋商时间后30分钟内用“项目采购-开标评标”功能进行解密响应文件。若供应商在规定时间内（未按时解密的，视为无效磋商。解密与加密响应文件须使用同一个 CA。</w:t>
      </w:r>
    </w:p>
    <w:p>
      <w:pPr>
        <w:pStyle w:val="29"/>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cs="宋体"/>
          <w:color w:val="auto"/>
          <w:highlight w:val="none"/>
        </w:rPr>
      </w:pPr>
      <w:r>
        <w:rPr>
          <w:rStyle w:val="34"/>
          <w:rFonts w:hint="eastAsia" w:ascii="宋体" w:hAnsi="宋体" w:cs="宋体"/>
          <w:color w:val="auto"/>
          <w:highlight w:val="none"/>
        </w:rPr>
        <w:t>八、凡对本次招标提出询问，请按以下方式联系</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1.采购人信息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名 称：乌鲁木齐市公安局天山区分局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 址：乌鲁木齐市天山区团结路966号</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联系方式：0991-2505071</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2.采购代理机构信息</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名 称：中国远东国际招标有限公司</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 址：新疆乌鲁木齐经济技术开发区（头屯河区）喀纳斯湖北路455号新疆软件园创智大厦B座21层2103室</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联系方式：0991-3708098</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3.项目联系方式</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项目联系人：李沙沙、於震翱</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电 话： 0991-3708098、13639931780</w:t>
      </w:r>
    </w:p>
    <w:bookmarkEnd w:id="4"/>
    <w:bookmarkEnd w:id="5"/>
    <w:p>
      <w:pPr>
        <w:rPr>
          <w:color w:val="auto"/>
          <w:highlight w:val="none"/>
        </w:rPr>
      </w:pPr>
    </w:p>
    <w:p>
      <w:pPr>
        <w:widowControl/>
        <w:spacing w:line="360" w:lineRule="auto"/>
        <w:ind w:firstLine="560" w:firstLineChars="200"/>
        <w:jc w:val="left"/>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pStyle w:val="5"/>
        <w:numPr>
          <w:ilvl w:val="1"/>
          <w:numId w:val="0"/>
        </w:numPr>
        <w:jc w:val="center"/>
        <w:rPr>
          <w:rFonts w:hint="eastAsia" w:ascii="宋体" w:hAnsi="宋体" w:cs="宋体"/>
          <w:color w:val="auto"/>
          <w:sz w:val="28"/>
          <w:szCs w:val="28"/>
          <w:highlight w:val="none"/>
          <w:shd w:val="clear" w:color="auto" w:fill="auto"/>
        </w:rPr>
      </w:pPr>
      <w:bookmarkStart w:id="6" w:name="_Toc9074"/>
      <w:r>
        <w:rPr>
          <w:rFonts w:hint="eastAsia" w:ascii="宋体" w:hAnsi="宋体" w:cs="宋体"/>
          <w:color w:val="auto"/>
          <w:sz w:val="28"/>
          <w:szCs w:val="28"/>
          <w:highlight w:val="none"/>
          <w:shd w:val="clear" w:color="auto" w:fill="auto"/>
        </w:rPr>
        <w:t>第二章磋商须知</w:t>
      </w:r>
      <w:bookmarkEnd w:id="3"/>
      <w:bookmarkEnd w:id="6"/>
    </w:p>
    <w:p>
      <w:pPr>
        <w:pStyle w:val="6"/>
        <w:jc w:val="center"/>
        <w:rPr>
          <w:rFonts w:ascii="宋体" w:hAnsi="宋体" w:cs="宋体"/>
          <w:color w:val="auto"/>
          <w:sz w:val="24"/>
          <w:szCs w:val="20"/>
          <w:highlight w:val="none"/>
          <w:shd w:val="clear" w:color="auto" w:fill="auto"/>
        </w:rPr>
      </w:pPr>
      <w:bookmarkStart w:id="7" w:name="_Toc13365"/>
      <w:bookmarkStart w:id="8" w:name="_Toc18043"/>
      <w:r>
        <w:rPr>
          <w:rFonts w:hint="eastAsia" w:ascii="宋体" w:hAnsi="宋体" w:cs="宋体"/>
          <w:color w:val="auto"/>
          <w:sz w:val="24"/>
          <w:szCs w:val="20"/>
          <w:highlight w:val="none"/>
          <w:shd w:val="clear" w:color="auto" w:fill="auto"/>
        </w:rPr>
        <w:t>磋商须知前附表</w:t>
      </w:r>
      <w:bookmarkEnd w:id="7"/>
      <w:bookmarkEnd w:id="8"/>
    </w:p>
    <w:tbl>
      <w:tblPr>
        <w:tblStyle w:val="3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序号</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名称</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采购项目</w:t>
            </w:r>
          </w:p>
        </w:tc>
        <w:tc>
          <w:tcPr>
            <w:tcW w:w="6098" w:type="dxa"/>
            <w:vAlign w:val="center"/>
          </w:tcPr>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t>乌鲁木齐市公安局天山区分局购买捕犬防护装备项目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采购预算</w:t>
            </w:r>
          </w:p>
        </w:tc>
        <w:tc>
          <w:tcPr>
            <w:tcW w:w="6098" w:type="dxa"/>
            <w:vAlign w:val="center"/>
          </w:tcPr>
          <w:p>
            <w:pPr>
              <w:rPr>
                <w:rFonts w:hint="eastAsia"/>
                <w:color w:val="auto"/>
                <w:highlight w:val="none"/>
                <w:lang w:val="en-US" w:eastAsia="zh-CN"/>
              </w:rPr>
            </w:pPr>
            <w:r>
              <w:rPr>
                <w:rFonts w:hint="eastAsia"/>
                <w:color w:val="auto"/>
                <w:highlight w:val="none"/>
                <w:lang w:val="en-US" w:eastAsia="zh-CN"/>
              </w:rPr>
              <w:t>总价预算57.06万元，单价最高限价见下表（报价均不得超过预算，否则做否决应答处理），其中：</w:t>
            </w:r>
          </w:p>
          <w:p>
            <w:pPr>
              <w:pStyle w:val="13"/>
              <w:rPr>
                <w:rFonts w:hint="default"/>
                <w:color w:val="auto"/>
                <w:highlight w:val="none"/>
                <w:lang w:val="en-US" w:eastAsia="zh-CN"/>
              </w:rPr>
            </w:pPr>
            <w:r>
              <w:rPr>
                <w:color w:val="auto"/>
                <w:highlight w:val="none"/>
              </w:rPr>
              <w:drawing>
                <wp:inline distT="0" distB="0" distL="114300" distR="114300">
                  <wp:extent cx="3260725" cy="123634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rcRect l="7114" r="20694" b="6457"/>
                          <a:stretch>
                            <a:fillRect/>
                          </a:stretch>
                        </pic:blipFill>
                        <pic:spPr>
                          <a:xfrm>
                            <a:off x="0" y="0"/>
                            <a:ext cx="3260725" cy="12363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公告媒体</w:t>
            </w:r>
          </w:p>
        </w:tc>
        <w:tc>
          <w:tcPr>
            <w:tcW w:w="6098" w:type="dxa"/>
            <w:vAlign w:val="center"/>
          </w:tcPr>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采购人</w:t>
            </w:r>
          </w:p>
        </w:tc>
        <w:tc>
          <w:tcPr>
            <w:tcW w:w="6098"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采购单位：乌鲁木齐市公安局天山区分局 </w:t>
            </w:r>
          </w:p>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地址：乌鲁木齐市天山区团结路966号 </w:t>
            </w:r>
          </w:p>
          <w:p>
            <w:pPr>
              <w:rPr>
                <w:rFonts w:hint="default" w:ascii="宋体" w:hAnsi="宋体" w:cs="宋体"/>
                <w:color w:val="auto"/>
                <w:sz w:val="24"/>
                <w:szCs w:val="24"/>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联系人：</w:t>
            </w:r>
            <w:r>
              <w:rPr>
                <w:rFonts w:hint="eastAsia" w:ascii="宋体" w:hAnsi="宋体" w:cs="宋体"/>
                <w:color w:val="auto"/>
                <w:sz w:val="24"/>
                <w:szCs w:val="24"/>
                <w:highlight w:val="none"/>
                <w:shd w:val="clear" w:color="auto" w:fill="auto"/>
                <w:lang w:val="en-US" w:eastAsia="zh-CN"/>
              </w:rPr>
              <w:t>汪斌</w:t>
            </w:r>
          </w:p>
          <w:p>
            <w:pPr>
              <w:rPr>
                <w:rFonts w:hint="default" w:ascii="宋体" w:hAnsi="宋体" w:eastAsia="宋体" w:cs="宋体"/>
                <w:color w:val="auto"/>
                <w:highlight w:val="none"/>
                <w:shd w:val="clear" w:color="auto" w:fill="auto"/>
                <w:lang w:val="en-US" w:eastAsia="zh-CN"/>
              </w:rPr>
            </w:pPr>
            <w:r>
              <w:rPr>
                <w:rFonts w:hint="default" w:ascii="宋体" w:hAnsi="宋体" w:cs="宋体"/>
                <w:color w:val="auto"/>
                <w:sz w:val="24"/>
                <w:szCs w:val="24"/>
                <w:highlight w:val="none"/>
                <w:shd w:val="clear" w:color="auto" w:fill="auto"/>
                <w:lang w:val="en-US" w:eastAsia="zh-CN"/>
              </w:rPr>
              <w:t>联系电话：</w:t>
            </w:r>
            <w:r>
              <w:rPr>
                <w:rFonts w:hint="eastAsia" w:ascii="宋体" w:hAnsi="宋体" w:cs="宋体"/>
                <w:color w:val="auto"/>
                <w:sz w:val="24"/>
                <w:szCs w:val="24"/>
                <w:highlight w:val="none"/>
                <w:shd w:val="clear" w:color="auto" w:fill="auto"/>
                <w:lang w:val="en-US" w:eastAsia="zh-CN"/>
              </w:rPr>
              <w:t>0991-2505071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供应商产生方法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公告</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□供应商库抽取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供应商资格条件</w:t>
            </w:r>
          </w:p>
        </w:tc>
        <w:tc>
          <w:tcPr>
            <w:tcW w:w="6098" w:type="dxa"/>
            <w:vAlign w:val="center"/>
          </w:tcPr>
          <w:p>
            <w:pPr>
              <w:pStyle w:val="77"/>
              <w:spacing w:line="240" w:lineRule="auto"/>
              <w:rPr>
                <w:color w:val="auto"/>
                <w:sz w:val="24"/>
                <w:szCs w:val="24"/>
                <w:highlight w:val="none"/>
              </w:rPr>
            </w:pPr>
            <w:r>
              <w:rPr>
                <w:rFonts w:hint="eastAsia"/>
                <w:color w:val="auto"/>
                <w:sz w:val="24"/>
                <w:szCs w:val="24"/>
                <w:highlight w:val="none"/>
                <w:lang w:val="en-US" w:eastAsia="zh-CN"/>
              </w:rPr>
              <w:t>一、</w:t>
            </w:r>
            <w:r>
              <w:rPr>
                <w:rFonts w:hint="eastAsia"/>
                <w:color w:val="auto"/>
                <w:sz w:val="24"/>
                <w:szCs w:val="24"/>
                <w:highlight w:val="none"/>
              </w:rPr>
              <w:t>《中华人民共和国政府采购法》第二十二条应当具备的条件；并在响应文件中提供下列材料：</w:t>
            </w:r>
          </w:p>
          <w:p>
            <w:pPr>
              <w:numPr>
                <w:ilvl w:val="0"/>
                <w:numId w:val="6"/>
              </w:numPr>
              <w:spacing w:line="240" w:lineRule="auto"/>
              <w:rPr>
                <w:rFonts w:hint="eastAsia"/>
                <w:color w:val="auto"/>
                <w:sz w:val="24"/>
                <w:szCs w:val="24"/>
                <w:highlight w:val="none"/>
                <w:lang w:eastAsia="zh-CN"/>
              </w:rPr>
            </w:pPr>
            <w:r>
              <w:rPr>
                <w:rFonts w:hint="eastAsia"/>
                <w:color w:val="auto"/>
                <w:sz w:val="24"/>
                <w:szCs w:val="24"/>
                <w:highlight w:val="none"/>
              </w:rPr>
              <w:t>具有独立承担民事责任的能力</w:t>
            </w:r>
            <w:r>
              <w:rPr>
                <w:rFonts w:hint="eastAsia"/>
                <w:color w:val="auto"/>
                <w:sz w:val="24"/>
                <w:szCs w:val="24"/>
                <w:highlight w:val="none"/>
                <w:lang w:eastAsia="zh-CN"/>
              </w:rPr>
              <w:t>；</w:t>
            </w:r>
          </w:p>
          <w:p>
            <w:pPr>
              <w:numPr>
                <w:ilvl w:val="0"/>
                <w:numId w:val="0"/>
              </w:numPr>
              <w:spacing w:line="240" w:lineRule="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r>
              <w:rPr>
                <w:rFonts w:hint="eastAsia"/>
                <w:color w:val="auto"/>
                <w:sz w:val="24"/>
                <w:szCs w:val="24"/>
                <w:highlight w:val="none"/>
                <w:lang w:eastAsia="zh-CN"/>
              </w:rPr>
              <w:t>）</w:t>
            </w:r>
            <w:r>
              <w:rPr>
                <w:rFonts w:hint="eastAsia"/>
                <w:color w:val="auto"/>
                <w:sz w:val="24"/>
                <w:szCs w:val="24"/>
                <w:highlight w:val="none"/>
              </w:rPr>
              <w:t xml:space="preserve"> </w:t>
            </w:r>
          </w:p>
          <w:p>
            <w:pPr>
              <w:numPr>
                <w:ilvl w:val="0"/>
                <w:numId w:val="6"/>
              </w:numPr>
              <w:spacing w:line="240" w:lineRule="auto"/>
              <w:ind w:left="0" w:leftChars="0" w:firstLine="0" w:firstLineChars="0"/>
              <w:rPr>
                <w:rFonts w:hint="eastAsia"/>
                <w:color w:val="auto"/>
                <w:sz w:val="24"/>
                <w:szCs w:val="24"/>
                <w:highlight w:val="none"/>
              </w:rPr>
            </w:pPr>
            <w:r>
              <w:rPr>
                <w:rFonts w:hint="eastAsia"/>
                <w:color w:val="auto"/>
                <w:sz w:val="24"/>
                <w:szCs w:val="24"/>
                <w:highlight w:val="none"/>
              </w:rPr>
              <w:t>具有良好的商业信誉和健全的财务会计制度</w:t>
            </w:r>
            <w:r>
              <w:rPr>
                <w:rFonts w:hint="eastAsia"/>
                <w:color w:val="auto"/>
                <w:sz w:val="24"/>
                <w:szCs w:val="24"/>
                <w:highlight w:val="none"/>
                <w:lang w:eastAsia="zh-CN"/>
              </w:rPr>
              <w:t>；</w:t>
            </w:r>
          </w:p>
          <w:p>
            <w:pPr>
              <w:numPr>
                <w:ilvl w:val="0"/>
                <w:numId w:val="0"/>
              </w:numPr>
              <w:spacing w:line="240" w:lineRule="auto"/>
              <w:ind w:leftChars="0"/>
              <w:rPr>
                <w:rFonts w:hint="eastAsia"/>
                <w:color w:val="auto"/>
                <w:sz w:val="24"/>
                <w:szCs w:val="24"/>
                <w:highlight w:val="none"/>
              </w:rPr>
            </w:pPr>
            <w:r>
              <w:rPr>
                <w:rFonts w:hint="eastAsia"/>
                <w:color w:val="auto"/>
                <w:sz w:val="24"/>
                <w:szCs w:val="24"/>
                <w:highlight w:val="none"/>
              </w:rPr>
              <w:t>（需提供2021年度经会计师事务所出具的财务审计报告或其基本开户银行出具的资信证明）</w:t>
            </w:r>
          </w:p>
          <w:p>
            <w:pPr>
              <w:numPr>
                <w:ilvl w:val="0"/>
                <w:numId w:val="6"/>
              </w:numPr>
              <w:spacing w:line="240" w:lineRule="auto"/>
              <w:ind w:left="0" w:leftChars="0" w:firstLine="0" w:firstLineChars="0"/>
              <w:rPr>
                <w:rFonts w:hint="eastAsia"/>
                <w:color w:val="auto"/>
                <w:sz w:val="24"/>
                <w:szCs w:val="24"/>
                <w:highlight w:val="none"/>
              </w:rPr>
            </w:pPr>
            <w:r>
              <w:rPr>
                <w:rFonts w:hint="eastAsia"/>
                <w:color w:val="auto"/>
                <w:sz w:val="24"/>
                <w:szCs w:val="24"/>
                <w:highlight w:val="none"/>
              </w:rPr>
              <w:t>具有依法缴纳税收和社会保障资金的良好记录</w:t>
            </w:r>
          </w:p>
          <w:p>
            <w:pPr>
              <w:numPr>
                <w:ilvl w:val="0"/>
                <w:numId w:val="0"/>
              </w:numPr>
              <w:spacing w:line="240" w:lineRule="auto"/>
              <w:ind w:leftChars="0"/>
              <w:rPr>
                <w:rFonts w:hint="eastAsia"/>
                <w:color w:val="auto"/>
                <w:sz w:val="24"/>
                <w:szCs w:val="24"/>
                <w:highlight w:val="none"/>
              </w:rPr>
            </w:pPr>
            <w:r>
              <w:rPr>
                <w:rFonts w:hint="eastAsia"/>
                <w:color w:val="auto"/>
                <w:sz w:val="24"/>
                <w:szCs w:val="24"/>
                <w:highlight w:val="none"/>
              </w:rPr>
              <w:t>（需提供投标截止日前六个月内任一个月的企业纳税证明和社保缴费记录证明）；</w:t>
            </w:r>
          </w:p>
          <w:p>
            <w:pPr>
              <w:numPr>
                <w:ilvl w:val="0"/>
                <w:numId w:val="6"/>
              </w:numPr>
              <w:spacing w:line="240" w:lineRule="auto"/>
              <w:ind w:left="0" w:leftChars="0" w:firstLine="0" w:firstLineChars="0"/>
              <w:rPr>
                <w:rFonts w:hint="eastAsia"/>
                <w:color w:val="auto"/>
                <w:sz w:val="24"/>
                <w:szCs w:val="24"/>
                <w:highlight w:val="none"/>
              </w:rPr>
            </w:pPr>
            <w:r>
              <w:rPr>
                <w:rFonts w:hint="eastAsia"/>
                <w:color w:val="auto"/>
                <w:sz w:val="24"/>
                <w:szCs w:val="24"/>
                <w:highlight w:val="none"/>
              </w:rPr>
              <w:t>参加政府采购活动前三年内（成立不足三年的从成立之日起算），在经营活动中没有重大违法记录</w:t>
            </w:r>
          </w:p>
          <w:p>
            <w:pPr>
              <w:numPr>
                <w:ilvl w:val="0"/>
                <w:numId w:val="0"/>
              </w:numPr>
              <w:spacing w:line="240" w:lineRule="auto"/>
              <w:ind w:leftChars="0"/>
              <w:rPr>
                <w:rFonts w:hint="eastAsia"/>
                <w:color w:val="auto"/>
                <w:sz w:val="24"/>
                <w:szCs w:val="24"/>
                <w:highlight w:val="none"/>
              </w:rPr>
            </w:pPr>
            <w:r>
              <w:rPr>
                <w:rFonts w:hint="eastAsia"/>
                <w:color w:val="auto"/>
                <w:sz w:val="24"/>
                <w:szCs w:val="24"/>
                <w:highlight w:val="none"/>
              </w:rPr>
              <w:t xml:space="preserve">（需提供加盖公章的声明书）； </w:t>
            </w:r>
          </w:p>
          <w:p>
            <w:pPr>
              <w:numPr>
                <w:ilvl w:val="0"/>
                <w:numId w:val="6"/>
              </w:numPr>
              <w:spacing w:line="240" w:lineRule="auto"/>
              <w:ind w:left="0" w:leftChars="0" w:firstLine="0" w:firstLineChars="0"/>
              <w:rPr>
                <w:rFonts w:hint="eastAsia"/>
                <w:color w:val="auto"/>
                <w:sz w:val="24"/>
                <w:szCs w:val="24"/>
                <w:highlight w:val="none"/>
              </w:rPr>
            </w:pPr>
            <w:r>
              <w:rPr>
                <w:rFonts w:hint="eastAsia"/>
                <w:color w:val="auto"/>
                <w:sz w:val="24"/>
                <w:szCs w:val="24"/>
                <w:highlight w:val="none"/>
              </w:rPr>
              <w:t>具有履行合同所必需的设备及专业技术能力和供应保障能力</w:t>
            </w:r>
          </w:p>
          <w:p>
            <w:pPr>
              <w:numPr>
                <w:ilvl w:val="0"/>
                <w:numId w:val="0"/>
              </w:numPr>
              <w:spacing w:line="240" w:lineRule="auto"/>
              <w:ind w:leftChars="0"/>
              <w:rPr>
                <w:rFonts w:hint="eastAsia"/>
                <w:color w:val="auto"/>
                <w:sz w:val="24"/>
                <w:szCs w:val="24"/>
                <w:highlight w:val="none"/>
              </w:rPr>
            </w:pPr>
            <w:r>
              <w:rPr>
                <w:rFonts w:hint="eastAsia"/>
                <w:color w:val="auto"/>
                <w:sz w:val="24"/>
                <w:szCs w:val="24"/>
                <w:highlight w:val="none"/>
              </w:rPr>
              <w:t>（</w:t>
            </w:r>
            <w:r>
              <w:rPr>
                <w:color w:val="auto"/>
                <w:sz w:val="24"/>
                <w:szCs w:val="24"/>
                <w:highlight w:val="none"/>
              </w:rPr>
              <w:t>提供具有履行合同所必需的设备和专业技术能力相关证明材料或</w:t>
            </w:r>
            <w:r>
              <w:rPr>
                <w:rFonts w:hint="eastAsia"/>
                <w:color w:val="auto"/>
                <w:sz w:val="24"/>
                <w:szCs w:val="24"/>
                <w:highlight w:val="none"/>
                <w:lang w:val="en-US" w:eastAsia="zh-CN"/>
              </w:rPr>
              <w:t>承诺书</w:t>
            </w:r>
            <w:r>
              <w:rPr>
                <w:rFonts w:hint="eastAsia"/>
                <w:color w:val="auto"/>
                <w:sz w:val="24"/>
                <w:szCs w:val="24"/>
                <w:highlight w:val="none"/>
              </w:rPr>
              <w:t>）；</w:t>
            </w:r>
          </w:p>
          <w:p>
            <w:pPr>
              <w:spacing w:line="240" w:lineRule="auto"/>
              <w:rPr>
                <w:rFonts w:hint="eastAsia"/>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240" w:lineRule="auto"/>
              <w:rPr>
                <w:rFonts w:hint="eastAsia" w:cs="Times New Roman"/>
                <w:color w:val="auto"/>
                <w:sz w:val="24"/>
                <w:szCs w:val="24"/>
                <w:highlight w:val="none"/>
              </w:rPr>
            </w:pPr>
            <w:r>
              <w:rPr>
                <w:rFonts w:hint="eastAsia"/>
                <w:color w:val="auto"/>
                <w:sz w:val="24"/>
                <w:szCs w:val="24"/>
                <w:highlight w:val="none"/>
                <w:lang w:val="en-US" w:eastAsia="zh-CN"/>
              </w:rPr>
              <w:t>三、</w:t>
            </w:r>
            <w:r>
              <w:rPr>
                <w:rFonts w:hint="eastAsia" w:cs="Times New Roman"/>
                <w:color w:val="auto"/>
                <w:sz w:val="24"/>
                <w:szCs w:val="24"/>
                <w:highlight w:val="none"/>
              </w:rPr>
              <w:t>中、小企业声明函；</w:t>
            </w:r>
          </w:p>
          <w:p>
            <w:pPr>
              <w:spacing w:line="240" w:lineRule="auto"/>
              <w:rPr>
                <w:rFonts w:hint="eastAsia" w:cs="Times New Roman"/>
                <w:color w:val="auto"/>
                <w:sz w:val="24"/>
                <w:szCs w:val="24"/>
                <w:highlight w:val="none"/>
              </w:rPr>
            </w:pPr>
            <w:r>
              <w:rPr>
                <w:rFonts w:hint="eastAsia" w:cs="Times New Roman"/>
                <w:color w:val="auto"/>
                <w:sz w:val="24"/>
                <w:szCs w:val="24"/>
                <w:highlight w:val="none"/>
                <w:lang w:val="en-US" w:eastAsia="zh-CN"/>
              </w:rPr>
              <w:t>四、</w:t>
            </w:r>
            <w:r>
              <w:rPr>
                <w:rFonts w:hint="eastAsia" w:cs="Times New Roman"/>
                <w:color w:val="auto"/>
                <w:sz w:val="24"/>
                <w:szCs w:val="24"/>
                <w:highlight w:val="none"/>
              </w:rPr>
              <w:t>本项目不接受联合体投标</w:t>
            </w:r>
            <w:r>
              <w:rPr>
                <w:rFonts w:hint="eastAsia" w:cs="Times New Roman"/>
                <w:color w:val="auto"/>
                <w:sz w:val="24"/>
                <w:szCs w:val="24"/>
                <w:highlight w:val="none"/>
                <w:lang w:eastAsia="zh-CN"/>
              </w:rPr>
              <w:t>；</w:t>
            </w:r>
          </w:p>
          <w:p>
            <w:pPr>
              <w:spacing w:line="240" w:lineRule="auto"/>
              <w:rPr>
                <w:rFonts w:hint="eastAsia" w:eastAsia="宋体"/>
                <w:color w:val="auto"/>
                <w:sz w:val="24"/>
                <w:szCs w:val="24"/>
                <w:highlight w:val="none"/>
                <w:lang w:val="en-US" w:eastAsia="zh-CN"/>
              </w:rPr>
            </w:pPr>
            <w:r>
              <w:rPr>
                <w:rFonts w:hint="eastAsia" w:cs="Times New Roman"/>
                <w:color w:val="auto"/>
                <w:sz w:val="24"/>
                <w:szCs w:val="24"/>
                <w:highlight w:val="none"/>
                <w:lang w:val="en-US" w:eastAsia="zh-CN"/>
              </w:rPr>
              <w:t>五、磋商</w:t>
            </w:r>
            <w:r>
              <w:rPr>
                <w:rFonts w:hint="eastAsia" w:cs="Times New Roman"/>
                <w:color w:val="auto"/>
                <w:sz w:val="24"/>
                <w:szCs w:val="24"/>
                <w:highlight w:val="none"/>
              </w:rPr>
              <w:t>保证金</w:t>
            </w:r>
            <w:r>
              <w:rPr>
                <w:rFonts w:hint="eastAsia" w:cs="Times New Roman"/>
                <w:color w:val="auto"/>
                <w:sz w:val="24"/>
                <w:szCs w:val="24"/>
                <w:highlight w:val="none"/>
                <w:lang w:eastAsia="zh-CN"/>
              </w:rPr>
              <w:t>（</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规定要求交</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保证金的</w:t>
            </w:r>
            <w:r>
              <w:rPr>
                <w:rFonts w:hint="eastAsia"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项目现场勘察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不组织</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联合体</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不接受</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支持中小企业发展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专门面向中小企业采购项目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非专门面向中小企业采购项目(价格扣除)：</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①对小型和微型企业产品的价格给予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%的扣除，用扣除后的价格参与评审。本项目的扣除比例为：小型企业扣除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%，微型企业扣除</w:t>
            </w:r>
            <w:r>
              <w:rPr>
                <w:rFonts w:hint="eastAsia" w:ascii="宋体" w:hAnsi="宋体" w:cs="宋体"/>
                <w:b/>
                <w:bCs/>
                <w:color w:val="auto"/>
                <w:sz w:val="24"/>
                <w:szCs w:val="24"/>
                <w:highlight w:val="none"/>
                <w:u w:val="single"/>
                <w:shd w:val="clear" w:color="auto" w:fill="auto"/>
                <w:lang w:val="en-US" w:eastAsia="zh-CN"/>
              </w:rPr>
              <w:t xml:space="preserve"> 10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②本项目接受联合体投标的，若小型和微型企业的协议合同金额占到联合体协议合同总金额30%以上的，可给予联合体</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6</w:t>
            </w:r>
            <w:r>
              <w:rPr>
                <w:rFonts w:hint="eastAsia" w:ascii="宋体" w:hAnsi="宋体" w:cs="宋体"/>
                <w:color w:val="auto"/>
                <w:sz w:val="24"/>
                <w:szCs w:val="24"/>
                <w:highlight w:val="none"/>
                <w:shd w:val="clear" w:color="auto" w:fill="auto"/>
              </w:rPr>
              <w:t>%的扣除，用扣除后的价格参与评审。本项目的扣除比例为：</w:t>
            </w: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□非专门面向中小企业采购项目(其他优惠)：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支持监狱企业发展</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□专门面向监狱企业采购项目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非专门面向监狱采购项目(价格扣除)：监狱企业可视同小微企业在价格评审时给予</w:t>
            </w:r>
            <w:r>
              <w:rPr>
                <w:rFonts w:hint="eastAsia" w:ascii="宋体" w:hAnsi="宋体" w:cs="宋体"/>
                <w:color w:val="auto"/>
                <w:sz w:val="24"/>
                <w:szCs w:val="24"/>
                <w:highlight w:val="none"/>
                <w:shd w:val="clear" w:color="auto" w:fill="auto"/>
                <w:lang w:val="en-US" w:eastAsia="zh-CN"/>
              </w:rPr>
              <w:t>10</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20</w:t>
            </w:r>
            <w:r>
              <w:rPr>
                <w:rFonts w:hint="eastAsia" w:ascii="宋体" w:hAnsi="宋体" w:cs="宋体"/>
                <w:color w:val="auto"/>
                <w:sz w:val="24"/>
                <w:szCs w:val="24"/>
                <w:highlight w:val="none"/>
                <w:shd w:val="clear" w:color="auto" w:fill="auto"/>
              </w:rPr>
              <w:t>%的扣除，用扣除后的价格参与评审。本项目的扣除比例为：扣除</w:t>
            </w:r>
            <w:r>
              <w:rPr>
                <w:rFonts w:hint="eastAsia" w:ascii="宋体" w:hAnsi="宋体" w:cs="宋体"/>
                <w:b/>
                <w:bCs/>
                <w:color w:val="auto"/>
                <w:sz w:val="24"/>
                <w:szCs w:val="24"/>
                <w:highlight w:val="none"/>
                <w:u w:val="single"/>
                <w:shd w:val="clear" w:color="auto" w:fill="auto"/>
                <w:lang w:val="en-US" w:eastAsia="zh-CN"/>
              </w:rPr>
              <w:t xml:space="preserve"> / </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□非专门面向监狱采购项目(其他优惠)：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残疾人就业企业</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□专门面向残疾人就业采购项目</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fldChar w:fldCharType="begin"/>
            </w:r>
            <w:r>
              <w:rPr>
                <w:rFonts w:hint="eastAsia" w:ascii="宋体" w:hAnsi="宋体" w:cs="宋体"/>
                <w:color w:val="auto"/>
                <w:sz w:val="24"/>
                <w:szCs w:val="24"/>
                <w:highlight w:val="none"/>
                <w:shd w:val="clear" w:color="auto" w:fill="auto"/>
              </w:rPr>
              <w:instrText xml:space="preserve">eq \o\ac(□,√)</w:instrText>
            </w:r>
            <w:r>
              <w:rPr>
                <w:rFonts w:hint="eastAsia" w:ascii="宋体" w:hAnsi="宋体" w:cs="宋体"/>
                <w:color w:val="auto"/>
                <w:sz w:val="24"/>
                <w:szCs w:val="24"/>
                <w:highlight w:val="none"/>
                <w:shd w:val="clear" w:color="auto" w:fill="auto"/>
              </w:rPr>
              <w:fldChar w:fldCharType="end"/>
            </w:r>
            <w:r>
              <w:rPr>
                <w:rFonts w:hint="eastAsia" w:ascii="宋体" w:hAnsi="宋体" w:cs="宋体"/>
                <w:color w:val="auto"/>
                <w:sz w:val="24"/>
                <w:szCs w:val="24"/>
                <w:highlight w:val="none"/>
                <w:shd w:val="clear" w:color="auto" w:fill="auto"/>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4"/>
                <w:szCs w:val="24"/>
                <w:highlight w:val="none"/>
                <w:u w:val="single"/>
                <w:shd w:val="clear" w:color="auto" w:fill="auto"/>
                <w:lang w:val="en-US" w:eastAsia="zh-CN"/>
              </w:rPr>
              <w:t xml:space="preserve"> / </w:t>
            </w:r>
            <w:r>
              <w:rPr>
                <w:rFonts w:hint="eastAsia" w:ascii="宋体" w:hAnsi="宋体" w:cs="宋体"/>
                <w:color w:val="auto"/>
                <w:sz w:val="24"/>
                <w:szCs w:val="24"/>
                <w:highlight w:val="none"/>
                <w:u w:val="single"/>
                <w:shd w:val="clear" w:color="auto" w:fill="auto"/>
              </w:rPr>
              <w:t>%</w:t>
            </w:r>
            <w:r>
              <w:rPr>
                <w:rFonts w:hint="eastAsia" w:ascii="宋体" w:hAnsi="宋体" w:cs="宋体"/>
                <w:color w:val="auto"/>
                <w:sz w:val="24"/>
                <w:szCs w:val="24"/>
                <w:highlight w:val="none"/>
                <w:shd w:val="clear" w:color="auto" w:fill="auto"/>
              </w:rPr>
              <w:t>。</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残疾人福利性单位属于小型、微型企业的，不重复享受政策。</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□非专门面向残疾人就业采购项目(其他优惠)：______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其他法律法规强制性规定的</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供应商须提供的其他资料</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澄清或者修改时间</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提交响应文件截止时间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递交磋商响应文件的截止时间和地点</w:t>
            </w:r>
          </w:p>
        </w:tc>
        <w:tc>
          <w:tcPr>
            <w:tcW w:w="6098" w:type="dxa"/>
            <w:vAlign w:val="center"/>
          </w:tcPr>
          <w:p>
            <w:pP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color w:val="auto"/>
                <w:sz w:val="24"/>
                <w:szCs w:val="24"/>
                <w:highlight w:val="none"/>
              </w:rPr>
              <w:t>：</w:t>
            </w:r>
            <w:r>
              <w:rPr>
                <w:rFonts w:hint="eastAsia" w:ascii="宋体" w:hAnsi="宋体" w:cs="宋体"/>
                <w:color w:val="auto"/>
                <w:highlight w:val="none"/>
                <w:lang w:eastAsia="zh-CN"/>
              </w:rPr>
              <w:t>2023年04月</w:t>
            </w:r>
            <w:r>
              <w:rPr>
                <w:rFonts w:hint="eastAsia" w:ascii="宋体" w:hAnsi="宋体" w:cs="宋体"/>
                <w:color w:val="auto"/>
                <w:highlight w:val="none"/>
                <w:lang w:val="en-US" w:eastAsia="zh-CN"/>
              </w:rPr>
              <w:t>07</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ascii="宋体" w:hAnsi="宋体"/>
                <w:color w:val="auto"/>
                <w:sz w:val="24"/>
                <w:szCs w:val="24"/>
                <w:highlight w:val="none"/>
              </w:rPr>
              <w:t>（北京时间）</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地点：</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磋商响应文件的开启时间和地点</w:t>
            </w:r>
          </w:p>
        </w:tc>
        <w:tc>
          <w:tcPr>
            <w:tcW w:w="6098" w:type="dxa"/>
            <w:vAlign w:val="center"/>
          </w:tcPr>
          <w:p>
            <w:pPr>
              <w:pStyle w:val="78"/>
              <w:widowControl/>
              <w:spacing w:line="320" w:lineRule="exact"/>
              <w:rPr>
                <w:rFonts w:ascii="宋体" w:hAnsi="宋体"/>
                <w:b/>
                <w:color w:val="auto"/>
                <w:sz w:val="24"/>
                <w:szCs w:val="22"/>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不见面开标：</w:t>
            </w:r>
          </w:p>
          <w:p>
            <w:pPr>
              <w:pStyle w:val="78"/>
              <w:spacing w:line="360" w:lineRule="auto"/>
              <w:ind w:leftChars="-1" w:hanging="2" w:hangingChars="1"/>
              <w:rPr>
                <w:rFonts w:ascii="宋体" w:hAnsi="宋体" w:cs="宋体"/>
                <w:color w:val="auto"/>
                <w:kern w:val="2"/>
                <w:sz w:val="24"/>
                <w:szCs w:val="22"/>
                <w:highlight w:val="none"/>
              </w:rPr>
            </w:pPr>
            <w:r>
              <w:rPr>
                <w:rFonts w:hint="eastAsia" w:ascii="宋体" w:hAnsi="宋体" w:cs="宋体"/>
                <w:color w:val="auto"/>
                <w:sz w:val="24"/>
                <w:szCs w:val="24"/>
                <w:highlight w:val="none"/>
              </w:rPr>
              <w:t>响应文件提交时间：</w:t>
            </w:r>
            <w:r>
              <w:rPr>
                <w:rFonts w:hint="eastAsia" w:ascii="宋体" w:hAnsi="宋体" w:cs="宋体"/>
                <w:color w:val="auto"/>
                <w:kern w:val="2"/>
                <w:sz w:val="24"/>
                <w:szCs w:val="24"/>
                <w:highlight w:val="none"/>
              </w:rPr>
              <w:t>响应文件提交时间：</w:t>
            </w:r>
            <w:r>
              <w:rPr>
                <w:rFonts w:hint="eastAsia" w:ascii="宋体" w:hAnsi="宋体"/>
                <w:color w:val="auto"/>
                <w:kern w:val="2"/>
                <w:sz w:val="24"/>
                <w:szCs w:val="22"/>
                <w:highlight w:val="none"/>
              </w:rPr>
              <w:t>同投标截止时间</w:t>
            </w:r>
          </w:p>
          <w:p>
            <w:pPr>
              <w:pStyle w:val="78"/>
              <w:spacing w:line="360" w:lineRule="auto"/>
              <w:rPr>
                <w:rFonts w:ascii="宋体" w:hAnsi="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olor w:val="auto"/>
                <w:sz w:val="24"/>
                <w:szCs w:val="24"/>
                <w:highlight w:val="none"/>
              </w:rPr>
              <w:t>远程不见面开标大厅</w:t>
            </w:r>
          </w:p>
          <w:p>
            <w:pPr>
              <w:pStyle w:val="78"/>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不见面开标默认解密时长：</w:t>
            </w:r>
            <w:r>
              <w:rPr>
                <w:rFonts w:hint="eastAsia" w:ascii="宋体" w:hAnsi="宋体" w:cs="宋体"/>
                <w:bCs/>
                <w:color w:val="auto"/>
                <w:kern w:val="2"/>
                <w:sz w:val="24"/>
                <w:szCs w:val="24"/>
                <w:highlight w:val="none"/>
                <w:u w:val="single"/>
              </w:rPr>
              <w:t>30分钟</w:t>
            </w:r>
          </w:p>
          <w:p>
            <w:pPr>
              <w:pStyle w:val="78"/>
              <w:spacing w:line="360" w:lineRule="auto"/>
              <w:rPr>
                <w:rFonts w:hint="eastAsia" w:ascii="宋体" w:hAnsi="宋体"/>
                <w:color w:val="auto"/>
                <w:kern w:val="2"/>
                <w:sz w:val="24"/>
                <w:szCs w:val="22"/>
                <w:highlight w:val="none"/>
                <w:u w:val="single"/>
              </w:rPr>
            </w:pPr>
            <w:r>
              <w:rPr>
                <w:rFonts w:hint="eastAsia" w:ascii="宋体" w:hAnsi="宋体"/>
                <w:color w:val="auto"/>
                <w:kern w:val="2"/>
                <w:sz w:val="24"/>
                <w:szCs w:val="22"/>
                <w:highlight w:val="none"/>
              </w:rPr>
              <w:t>关于能否延长解密时间的约定：</w:t>
            </w:r>
            <w:r>
              <w:rPr>
                <w:rFonts w:hint="eastAsia" w:ascii="宋体" w:hAnsi="宋体"/>
                <w:color w:val="auto"/>
                <w:kern w:val="2"/>
                <w:sz w:val="24"/>
                <w:szCs w:val="22"/>
                <w:highlight w:val="none"/>
                <w:u w:val="single"/>
              </w:rPr>
              <w:t>开标现场若发现默认解密时长不足，由采购人决定是否延长解密时长。</w:t>
            </w:r>
          </w:p>
          <w:p>
            <w:pPr>
              <w:pStyle w:val="78"/>
              <w:spacing w:line="360" w:lineRule="auto"/>
              <w:rPr>
                <w:rFonts w:hint="eastAsia" w:ascii="宋体" w:hAnsi="宋体"/>
                <w:b/>
                <w:color w:val="auto"/>
                <w:sz w:val="24"/>
                <w:szCs w:val="24"/>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见面开标</w:t>
            </w:r>
          </w:p>
          <w:p>
            <w:pPr>
              <w:pStyle w:val="78"/>
              <w:spacing w:line="360" w:lineRule="auto"/>
              <w:rPr>
                <w:rFonts w:hint="eastAsia" w:ascii="宋体" w:hAnsi="宋体"/>
                <w:b/>
                <w:color w:val="auto"/>
                <w:sz w:val="24"/>
                <w:szCs w:val="22"/>
                <w:highlight w:val="none"/>
              </w:rPr>
            </w:pPr>
            <w:r>
              <w:rPr>
                <w:rFonts w:hint="eastAsia" w:ascii="宋体" w:hAnsi="宋体"/>
                <w:b/>
                <w:color w:val="auto"/>
                <w:sz w:val="24"/>
                <w:szCs w:val="22"/>
                <w:highlight w:val="none"/>
              </w:rPr>
              <w:t>响应文件提交及开启时间：</w:t>
            </w:r>
          </w:p>
          <w:p>
            <w:pPr>
              <w:rPr>
                <w:rFonts w:hint="default" w:ascii="宋体" w:hAnsi="宋体" w:eastAsia="宋体" w:cs="宋体"/>
                <w:color w:val="auto"/>
                <w:sz w:val="24"/>
                <w:szCs w:val="24"/>
                <w:highlight w:val="none"/>
                <w:shd w:val="clear" w:color="auto" w:fill="auto"/>
                <w:lang w:val="en-US" w:eastAsia="zh-CN"/>
              </w:rPr>
            </w:pPr>
            <w:r>
              <w:rPr>
                <w:rFonts w:hint="eastAsia" w:ascii="宋体" w:hAnsi="宋体"/>
                <w:b/>
                <w:color w:val="auto"/>
                <w:sz w:val="24"/>
                <w:szCs w:val="22"/>
                <w:highlight w:val="none"/>
              </w:rPr>
              <w:t>响应文件开启地点：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w:t>
            </w:r>
          </w:p>
        </w:tc>
        <w:tc>
          <w:tcPr>
            <w:tcW w:w="1701" w:type="dxa"/>
            <w:vMerge w:val="restart"/>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磋商保证金</w:t>
            </w:r>
          </w:p>
        </w:tc>
        <w:tc>
          <w:tcPr>
            <w:tcW w:w="6098" w:type="dxa"/>
            <w:vAlign w:val="center"/>
          </w:tcPr>
          <w:p>
            <w:pPr>
              <w:rPr>
                <w:color w:val="auto"/>
                <w:sz w:val="24"/>
                <w:szCs w:val="24"/>
                <w:highlight w:val="none"/>
              </w:rPr>
            </w:pPr>
            <w:r>
              <w:rPr>
                <w:rFonts w:hint="eastAsia"/>
                <w:color w:val="auto"/>
                <w:sz w:val="24"/>
                <w:szCs w:val="24"/>
                <w:highlight w:val="none"/>
              </w:rPr>
              <w:sym w:font="Wingdings 2" w:char="00A3"/>
            </w:r>
            <w:r>
              <w:rPr>
                <w:rFonts w:hint="eastAsia"/>
                <w:color w:val="auto"/>
                <w:sz w:val="24"/>
                <w:szCs w:val="24"/>
                <w:highlight w:val="none"/>
              </w:rPr>
              <w:t>不要求提供</w:t>
            </w:r>
          </w:p>
          <w:p>
            <w:pPr>
              <w:rPr>
                <w:rFonts w:hint="eastAsia"/>
                <w:color w:val="auto"/>
                <w:sz w:val="24"/>
                <w:szCs w:val="24"/>
                <w:highlight w:val="none"/>
              </w:rPr>
            </w:pPr>
            <w:r>
              <w:rPr>
                <w:rFonts w:hint="eastAsia"/>
                <w:color w:val="auto"/>
                <w:sz w:val="24"/>
                <w:szCs w:val="24"/>
                <w:highlight w:val="none"/>
              </w:rPr>
              <w:sym w:font="Wingdings 2" w:char="0052"/>
            </w:r>
            <w:r>
              <w:rPr>
                <w:rFonts w:hint="eastAsia"/>
                <w:color w:val="auto"/>
                <w:sz w:val="24"/>
                <w:szCs w:val="24"/>
                <w:highlight w:val="none"/>
              </w:rPr>
              <w:t>要求提供。</w:t>
            </w:r>
          </w:p>
          <w:p>
            <w:pPr>
              <w:rPr>
                <w:rFonts w:hint="eastAsia"/>
                <w:color w:val="auto"/>
                <w:sz w:val="24"/>
                <w:szCs w:val="24"/>
                <w:highlight w:val="none"/>
              </w:rPr>
            </w:pPr>
            <w:r>
              <w:rPr>
                <w:rFonts w:hint="eastAsia"/>
                <w:color w:val="auto"/>
                <w:sz w:val="24"/>
                <w:szCs w:val="24"/>
                <w:highlight w:val="none"/>
              </w:rPr>
              <w:t>（1）保证金金额：人民币</w:t>
            </w:r>
            <w:r>
              <w:rPr>
                <w:rFonts w:hint="eastAsia"/>
                <w:color w:val="auto"/>
                <w:sz w:val="24"/>
                <w:szCs w:val="24"/>
                <w:highlight w:val="none"/>
                <w:lang w:val="en-US" w:eastAsia="zh-CN"/>
              </w:rPr>
              <w:t>5700</w:t>
            </w:r>
            <w:r>
              <w:rPr>
                <w:rFonts w:hint="eastAsia"/>
                <w:color w:val="auto"/>
                <w:sz w:val="24"/>
                <w:szCs w:val="24"/>
                <w:highlight w:val="none"/>
              </w:rPr>
              <w:t>元。</w:t>
            </w:r>
          </w:p>
          <w:p>
            <w:pPr>
              <w:rPr>
                <w:rFonts w:hint="eastAsia"/>
                <w:color w:val="auto"/>
                <w:sz w:val="24"/>
                <w:szCs w:val="24"/>
                <w:highlight w:val="none"/>
              </w:rPr>
            </w:pPr>
            <w:r>
              <w:rPr>
                <w:rFonts w:hint="eastAsia"/>
                <w:color w:val="auto"/>
                <w:sz w:val="24"/>
                <w:szCs w:val="24"/>
                <w:highlight w:val="none"/>
              </w:rPr>
              <w:t>（2）供应商未按照竞争性磋商文件要求提交磋商保证金的，响应无效。</w:t>
            </w:r>
          </w:p>
          <w:p>
            <w:pPr>
              <w:rPr>
                <w:rFonts w:hint="eastAsia"/>
                <w:color w:val="auto"/>
                <w:sz w:val="24"/>
                <w:szCs w:val="24"/>
                <w:highlight w:val="none"/>
                <w:lang w:val="en-US" w:eastAsia="zh-CN"/>
              </w:rPr>
            </w:pPr>
            <w:r>
              <w:rPr>
                <w:rFonts w:hint="eastAsia"/>
                <w:color w:val="auto"/>
                <w:sz w:val="24"/>
                <w:szCs w:val="24"/>
                <w:highlight w:val="none"/>
                <w:lang w:val="en-US" w:eastAsia="zh-CN"/>
              </w:rPr>
              <w:t>磋商</w:t>
            </w:r>
            <w:r>
              <w:rPr>
                <w:rFonts w:hint="eastAsia"/>
                <w:color w:val="auto"/>
                <w:sz w:val="24"/>
                <w:szCs w:val="24"/>
                <w:highlight w:val="none"/>
              </w:rPr>
              <w:t>保证金的缴纳形式：投标保证金于</w:t>
            </w:r>
            <w:r>
              <w:rPr>
                <w:rFonts w:hint="eastAsia" w:ascii="宋体" w:hAnsi="宋体" w:cs="宋体"/>
                <w:color w:val="auto"/>
                <w:highlight w:val="none"/>
                <w:lang w:eastAsia="zh-CN"/>
              </w:rPr>
              <w:t>2023年04月</w:t>
            </w:r>
            <w:r>
              <w:rPr>
                <w:rFonts w:hint="eastAsia" w:ascii="宋体" w:hAnsi="宋体" w:cs="宋体"/>
                <w:color w:val="auto"/>
                <w:highlight w:val="none"/>
                <w:lang w:val="en-US" w:eastAsia="zh-CN"/>
              </w:rPr>
              <w:t>07</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w:t>
            </w:r>
            <w:r>
              <w:rPr>
                <w:rFonts w:hint="eastAsia"/>
                <w:color w:val="auto"/>
                <w:sz w:val="24"/>
                <w:szCs w:val="24"/>
                <w:highlight w:val="none"/>
              </w:rPr>
              <w:t>（北京时间，已到账时间为准）之前从供应商基本账户以支票、汇票、本票、网上银行形式汇至投标保证金账户，供应商提交投标保证金应充分考虑资金在途时间，供应商缴纳保证金时，采用网银形式提交的，在“用途栏”中只能注明“项目编号的</w:t>
            </w:r>
            <w:r>
              <w:rPr>
                <w:rFonts w:hint="eastAsia"/>
                <w:color w:val="auto"/>
                <w:sz w:val="24"/>
                <w:szCs w:val="24"/>
                <w:highlight w:val="none"/>
                <w:lang w:val="en-US" w:eastAsia="zh-CN"/>
              </w:rPr>
              <w:t>磋商</w:t>
            </w:r>
            <w:r>
              <w:rPr>
                <w:rFonts w:hint="eastAsia"/>
                <w:color w:val="auto"/>
                <w:sz w:val="24"/>
                <w:szCs w:val="24"/>
                <w:highlight w:val="none"/>
              </w:rPr>
              <w:t>保证金”字样。否则，会导致投标保证金接收方银行到账信息不准确，从而导致该单位投标保证金被拒绝。</w:t>
            </w:r>
          </w:p>
          <w:p>
            <w:pPr>
              <w:rPr>
                <w:rFonts w:hint="eastAsia"/>
                <w:color w:val="auto"/>
                <w:sz w:val="24"/>
                <w:szCs w:val="24"/>
                <w:highlight w:val="none"/>
              </w:rPr>
            </w:pPr>
            <w:r>
              <w:rPr>
                <w:rFonts w:hint="eastAsia"/>
                <w:color w:val="auto"/>
                <w:sz w:val="24"/>
                <w:szCs w:val="24"/>
                <w:highlight w:val="none"/>
                <w:lang w:val="en-US" w:eastAsia="zh-CN"/>
              </w:rPr>
              <w:t>磋商</w:t>
            </w:r>
            <w:r>
              <w:rPr>
                <w:rFonts w:hint="eastAsia"/>
                <w:color w:val="auto"/>
                <w:sz w:val="24"/>
                <w:szCs w:val="24"/>
                <w:highlight w:val="none"/>
              </w:rPr>
              <w:t>保证金有效期：投标截止时间后</w:t>
            </w:r>
            <w:r>
              <w:rPr>
                <w:rFonts w:hint="eastAsia"/>
                <w:color w:val="auto"/>
                <w:sz w:val="24"/>
                <w:szCs w:val="24"/>
                <w:highlight w:val="none"/>
                <w:lang w:val="en-US" w:eastAsia="zh-CN"/>
              </w:rPr>
              <w:t>90</w:t>
            </w:r>
            <w:r>
              <w:rPr>
                <w:rFonts w:hint="eastAsia"/>
                <w:color w:val="auto"/>
                <w:sz w:val="24"/>
                <w:szCs w:val="24"/>
                <w:highlight w:val="none"/>
              </w:rPr>
              <w:t>日历日。（注：“项目编号”为所投标段的项目编号）。</w:t>
            </w:r>
          </w:p>
          <w:p>
            <w:pPr>
              <w:rPr>
                <w:rFonts w:hint="eastAsia"/>
                <w:color w:val="auto"/>
                <w:sz w:val="24"/>
                <w:szCs w:val="24"/>
                <w:highlight w:val="none"/>
              </w:rPr>
            </w:pPr>
            <w:r>
              <w:rPr>
                <w:rFonts w:hint="eastAsia"/>
                <w:color w:val="auto"/>
                <w:sz w:val="24"/>
                <w:szCs w:val="24"/>
                <w:highlight w:val="none"/>
              </w:rPr>
              <w:t>注：换取投标保证金收据时须携带交款凭证原件及供应商基本账户开户许可证复印件。</w:t>
            </w:r>
          </w:p>
          <w:p>
            <w:pPr>
              <w:rPr>
                <w:color w:val="auto"/>
                <w:sz w:val="24"/>
                <w:szCs w:val="24"/>
                <w:highlight w:val="none"/>
              </w:rPr>
            </w:pPr>
            <w:r>
              <w:rPr>
                <w:rFonts w:hint="eastAsia"/>
                <w:color w:val="auto"/>
                <w:sz w:val="24"/>
                <w:szCs w:val="24"/>
                <w:highlight w:val="none"/>
              </w:rPr>
              <w:t>如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供应商没有及时提交上述资料而导致无法开具“增值税专用发票”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continue"/>
            <w:vAlign w:val="center"/>
          </w:tcPr>
          <w:p>
            <w:pPr>
              <w:jc w:val="center"/>
              <w:rPr>
                <w:rFonts w:hint="eastAsia" w:ascii="宋体" w:hAnsi="宋体" w:cs="宋体"/>
                <w:color w:val="auto"/>
                <w:sz w:val="24"/>
                <w:szCs w:val="24"/>
                <w:highlight w:val="none"/>
                <w:shd w:val="clear" w:color="auto" w:fill="auto"/>
              </w:rPr>
            </w:pPr>
          </w:p>
        </w:tc>
        <w:tc>
          <w:tcPr>
            <w:tcW w:w="1701" w:type="dxa"/>
            <w:vMerge w:val="continue"/>
            <w:vAlign w:val="center"/>
          </w:tcPr>
          <w:p>
            <w:pPr>
              <w:rPr>
                <w:rFonts w:hint="eastAsia" w:ascii="宋体" w:hAnsi="宋体" w:cs="宋体"/>
                <w:color w:val="auto"/>
                <w:sz w:val="24"/>
                <w:szCs w:val="24"/>
                <w:highlight w:val="none"/>
                <w:shd w:val="clear" w:color="auto" w:fill="auto"/>
              </w:rPr>
            </w:pPr>
          </w:p>
        </w:tc>
        <w:tc>
          <w:tcPr>
            <w:tcW w:w="6098" w:type="dxa"/>
            <w:vAlign w:val="center"/>
          </w:tcPr>
          <w:p>
            <w:pPr>
              <w:adjustRightInd w:val="0"/>
              <w:snapToGrid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磋商保证金银行账号：</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 xml:space="preserve">收款单位：中国远东国际招标有限公司  </w:t>
            </w:r>
          </w:p>
          <w:p>
            <w:pPr>
              <w:adjustRightInd w:val="0"/>
              <w:snapToGrid w:val="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开户银行：中国建设银行股份有限公司北京玉泉支行</w:t>
            </w:r>
          </w:p>
          <w:p>
            <w:pPr>
              <w:rPr>
                <w:rFonts w:hint="eastAsia" w:ascii="宋体" w:hAnsi="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账</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 xml:space="preserve">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号：6232810010000201022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磋商响应有效期</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响应文件份数</w:t>
            </w:r>
          </w:p>
        </w:tc>
        <w:tc>
          <w:tcPr>
            <w:tcW w:w="6098" w:type="dxa"/>
            <w:vAlign w:val="center"/>
          </w:tcPr>
          <w:p>
            <w:pPr>
              <w:pStyle w:val="78"/>
              <w:widowControl/>
              <w:autoSpaceDE w:val="0"/>
              <w:autoSpaceDN w:val="0"/>
              <w:spacing w:line="360" w:lineRule="exact"/>
              <w:rPr>
                <w:rFonts w:ascii="宋体" w:hAnsi="宋体" w:cs="宋体"/>
                <w:b/>
                <w:color w:val="auto"/>
                <w:kern w:val="2"/>
                <w:sz w:val="24"/>
                <w:szCs w:val="22"/>
                <w:highlight w:val="none"/>
              </w:rPr>
            </w:pPr>
            <w:r>
              <w:rPr>
                <w:rFonts w:hint="eastAsia" w:ascii="宋体" w:hAnsi="宋体"/>
                <w:color w:val="auto"/>
                <w:kern w:val="2"/>
                <w:sz w:val="24"/>
                <w:szCs w:val="22"/>
                <w:highlight w:val="none"/>
              </w:rPr>
              <w:t>☑</w:t>
            </w:r>
            <w:r>
              <w:rPr>
                <w:rFonts w:hint="eastAsia" w:ascii="宋体" w:hAnsi="宋体" w:cs="宋体"/>
                <w:b/>
                <w:color w:val="auto"/>
                <w:kern w:val="2"/>
                <w:sz w:val="24"/>
                <w:szCs w:val="24"/>
                <w:highlight w:val="none"/>
              </w:rPr>
              <w:t>采用不见面开标：</w:t>
            </w:r>
          </w:p>
          <w:p>
            <w:pPr>
              <w:pStyle w:val="79"/>
              <w:spacing w:line="500" w:lineRule="exact"/>
              <w:rPr>
                <w:rFonts w:ascii="宋体" w:hAnsi="宋体"/>
                <w:color w:val="auto"/>
                <w:sz w:val="21"/>
                <w:szCs w:val="21"/>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w:t>
            </w:r>
            <w:r>
              <w:rPr>
                <w:rFonts w:ascii="宋体" w:hAnsi="宋体" w:cs="宋体"/>
                <w:color w:val="auto"/>
                <w:kern w:val="2"/>
                <w:sz w:val="24"/>
                <w:szCs w:val="24"/>
                <w:highlight w:val="none"/>
              </w:rPr>
              <w:t>本项目采用不见面开标、投标人需要递交电子响应文件，</w:t>
            </w:r>
            <w:r>
              <w:rPr>
                <w:rFonts w:hint="eastAsia" w:ascii="宋体" w:hAnsi="宋体"/>
                <w:color w:val="auto"/>
                <w:sz w:val="24"/>
                <w:szCs w:val="24"/>
                <w:highlight w:val="none"/>
              </w:rPr>
              <w:t>加密的电子响应文件，在投标截止时间前通过政采云平台</w:t>
            </w:r>
            <w:r>
              <w:rPr>
                <w:rFonts w:ascii="宋体" w:hAnsi="宋体"/>
                <w:color w:val="auto"/>
                <w:sz w:val="24"/>
                <w:szCs w:val="24"/>
                <w:highlight w:val="none"/>
              </w:rPr>
              <w:t>（https://www.zcygov.cn/）</w:t>
            </w:r>
            <w:r>
              <w:rPr>
                <w:rFonts w:hint="eastAsia" w:ascii="宋体" w:hAnsi="宋体"/>
                <w:color w:val="auto"/>
                <w:sz w:val="24"/>
                <w:szCs w:val="24"/>
                <w:highlight w:val="none"/>
              </w:rPr>
              <w:t>上传到指定位置。</w:t>
            </w:r>
            <w:r>
              <w:rPr>
                <w:rFonts w:ascii="宋体" w:hAnsi="宋体" w:cs="宋体"/>
                <w:color w:val="auto"/>
                <w:kern w:val="2"/>
                <w:sz w:val="24"/>
                <w:szCs w:val="24"/>
                <w:highlight w:val="none"/>
              </w:rPr>
              <w:t>无需递交纸质文件。</w:t>
            </w:r>
          </w:p>
          <w:p>
            <w:pPr>
              <w:pStyle w:val="78"/>
              <w:spacing w:line="360" w:lineRule="auto"/>
              <w:rPr>
                <w:rFonts w:ascii="宋体" w:hAnsi="宋体"/>
                <w:color w:val="auto"/>
                <w:kern w:val="2"/>
                <w:sz w:val="24"/>
                <w:szCs w:val="22"/>
                <w:highlight w:val="none"/>
              </w:rPr>
            </w:pPr>
            <w:r>
              <w:rPr>
                <w:rFonts w:ascii="宋体" w:hAnsi="宋体" w:cs="宋体"/>
                <w:color w:val="auto"/>
                <w:kern w:val="2"/>
                <w:sz w:val="24"/>
                <w:szCs w:val="24"/>
                <w:highlight w:val="none"/>
              </w:rPr>
              <w:t>2.本项目采用远程不见面交易的模式。开标当日，投标人无需到达开标现场，仅需在任意地点通</w:t>
            </w:r>
            <w:r>
              <w:rPr>
                <w:rFonts w:hint="eastAsia" w:ascii="宋体" w:hAnsi="宋体" w:cs="宋体"/>
                <w:color w:val="auto"/>
                <w:kern w:val="2"/>
                <w:sz w:val="24"/>
                <w:szCs w:val="24"/>
                <w:highlight w:val="none"/>
              </w:rPr>
              <w:t>过</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color w:val="auto"/>
                <w:kern w:val="2"/>
                <w:sz w:val="24"/>
                <w:szCs w:val="24"/>
                <w:highlight w:val="none"/>
              </w:rPr>
              <w:t>采购</w:t>
            </w:r>
            <w:r>
              <w:rPr>
                <w:rFonts w:ascii="宋体" w:hAnsi="宋体" w:cs="宋体"/>
                <w:color w:val="auto"/>
                <w:kern w:val="2"/>
                <w:sz w:val="24"/>
                <w:szCs w:val="24"/>
                <w:highlight w:val="none"/>
              </w:rPr>
              <w:t>人原因或网上招投标平台发生故障，导致无法按时完成响应文件解密或开、评标工作无法进行的，可根据实际情况相应延迟解密时间或调整开、评标时间（友情提示：若投标人已领取副锁（含多把副锁）请注意正副锁的使用差别，</w:t>
            </w:r>
            <w:r>
              <w:rPr>
                <w:rFonts w:hint="eastAsia" w:ascii="宋体" w:hAnsi="宋体" w:cs="宋体"/>
                <w:color w:val="auto"/>
                <w:kern w:val="2"/>
                <w:sz w:val="24"/>
                <w:szCs w:val="24"/>
                <w:highlight w:val="none"/>
              </w:rPr>
              <w:t>务必使用生成响应文件的那把锁解密</w:t>
            </w:r>
            <w:r>
              <w:rPr>
                <w:rFonts w:ascii="宋体" w:hAnsi="宋体" w:cs="宋体"/>
                <w:color w:val="auto"/>
                <w:kern w:val="2"/>
                <w:sz w:val="24"/>
                <w:szCs w:val="24"/>
                <w:highlight w:val="none"/>
              </w:rPr>
              <w:t>）。</w:t>
            </w:r>
          </w:p>
          <w:p>
            <w:pPr>
              <w:pStyle w:val="79"/>
              <w:spacing w:line="360" w:lineRule="auto"/>
              <w:rPr>
                <w:rFonts w:ascii="宋体" w:hAnsi="宋体" w:cs="宋体"/>
                <w:color w:val="auto"/>
                <w:kern w:val="2"/>
                <w:sz w:val="24"/>
                <w:szCs w:val="24"/>
                <w:highlight w:val="none"/>
              </w:rPr>
            </w:pPr>
            <w:r>
              <w:rPr>
                <w:rFonts w:ascii="宋体" w:hAnsi="宋体" w:cs="宋体"/>
                <w:color w:val="auto"/>
                <w:kern w:val="2"/>
                <w:sz w:val="24"/>
                <w:szCs w:val="24"/>
                <w:highlight w:val="none"/>
              </w:rPr>
              <w:t>3.远程开标前，投标人务必在</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响应文件上传模块中使用“模拟解密”功能，验证本机远程自助解密环境</w:t>
            </w:r>
          </w:p>
          <w:p>
            <w:pPr>
              <w:pStyle w:val="80"/>
              <w:spacing w:line="360" w:lineRule="auto"/>
              <w:outlineLvl w:val="0"/>
              <w:rPr>
                <w:rFonts w:hint="eastAsia" w:ascii="宋体" w:hAnsi="宋体"/>
                <w:color w:val="auto"/>
                <w:sz w:val="24"/>
                <w:szCs w:val="24"/>
                <w:highlight w:val="none"/>
              </w:rPr>
            </w:pPr>
            <w:bookmarkStart w:id="9" w:name="_Toc29617"/>
            <w:r>
              <w:rPr>
                <w:rFonts w:hint="eastAsia" w:ascii="宋体" w:hAnsi="宋体"/>
                <w:color w:val="auto"/>
                <w:sz w:val="24"/>
                <w:szCs w:val="24"/>
                <w:highlight w:val="none"/>
              </w:rPr>
              <w:t>4、供应商应当在磋商截止时间前,将生成的“电子加密响应文件”上传递交至“政 府采购云平台”,磋商截止时间以后上传递交的响应文件将被“政府采购云平台”拒 收。</w:t>
            </w:r>
            <w:bookmarkEnd w:id="9"/>
          </w:p>
          <w:p>
            <w:pPr>
              <w:pStyle w:val="80"/>
              <w:spacing w:line="360" w:lineRule="auto"/>
              <w:outlineLvl w:val="0"/>
              <w:rPr>
                <w:rFonts w:hint="eastAsia" w:ascii="宋体" w:hAnsi="宋体"/>
                <w:color w:val="auto"/>
                <w:sz w:val="24"/>
                <w:szCs w:val="24"/>
                <w:highlight w:val="none"/>
              </w:rPr>
            </w:pPr>
            <w:bookmarkStart w:id="10" w:name="_Toc26897"/>
            <w:r>
              <w:rPr>
                <w:rFonts w:hint="eastAsia" w:ascii="宋体" w:hAnsi="宋体"/>
                <w:color w:val="auto"/>
                <w:sz w:val="24"/>
                <w:szCs w:val="24"/>
                <w:highlight w:val="none"/>
              </w:rPr>
              <w:t>5、供应商在磋商前须提前配置好电脑浏览器（建议使用360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10"/>
            <w:r>
              <w:rPr>
                <w:rFonts w:hint="eastAsia" w:ascii="宋体" w:hAnsi="宋体"/>
                <w:color w:val="auto"/>
                <w:sz w:val="24"/>
                <w:szCs w:val="24"/>
                <w:highlight w:val="none"/>
              </w:rPr>
              <w:t xml:space="preserve"> </w:t>
            </w:r>
          </w:p>
          <w:p>
            <w:pPr>
              <w:pStyle w:val="80"/>
              <w:spacing w:line="360" w:lineRule="auto"/>
              <w:outlineLvl w:val="0"/>
              <w:rPr>
                <w:rFonts w:hint="eastAsia" w:ascii="宋体" w:hAnsi="宋体"/>
                <w:color w:val="auto"/>
                <w:sz w:val="24"/>
                <w:szCs w:val="24"/>
                <w:highlight w:val="none"/>
              </w:rPr>
            </w:pPr>
            <w:bookmarkStart w:id="11" w:name="_Toc4633"/>
            <w:r>
              <w:rPr>
                <w:rFonts w:hint="eastAsia" w:ascii="宋体" w:hAnsi="宋体"/>
                <w:color w:val="auto"/>
                <w:sz w:val="24"/>
                <w:szCs w:val="24"/>
                <w:highlight w:val="none"/>
              </w:rPr>
              <w:t>6、供应商登录政采云平台，在磋商时间后 30 分钟内用“项目采购-开标评标”功能进行解密响应文件。若供应商在规定时间内未按时解密的，视为无效磋商。解密与加密响应文件须使用同一个 CA。</w:t>
            </w:r>
            <w:bookmarkEnd w:id="11"/>
            <w:r>
              <w:rPr>
                <w:rFonts w:hint="eastAsia" w:ascii="宋体" w:hAnsi="宋体"/>
                <w:color w:val="auto"/>
                <w:sz w:val="24"/>
                <w:szCs w:val="24"/>
                <w:highlight w:val="none"/>
              </w:rPr>
              <w:t xml:space="preserve"> </w:t>
            </w:r>
          </w:p>
          <w:p>
            <w:pPr>
              <w:pStyle w:val="79"/>
              <w:spacing w:line="360" w:lineRule="auto"/>
              <w:rPr>
                <w:rFonts w:hint="eastAsia" w:ascii="宋体" w:hAnsi="宋体" w:cs="宋体"/>
                <w:color w:val="auto"/>
                <w:kern w:val="2"/>
                <w:sz w:val="24"/>
                <w:szCs w:val="24"/>
                <w:highlight w:val="none"/>
              </w:rPr>
            </w:pPr>
            <w:r>
              <w:rPr>
                <w:rFonts w:hint="eastAsia" w:ascii="宋体" w:hAnsi="宋体"/>
                <w:color w:val="auto"/>
                <w:kern w:val="2"/>
                <w:sz w:val="24"/>
                <w:szCs w:val="22"/>
                <w:highlight w:val="none"/>
              </w:rPr>
              <w:t>□</w:t>
            </w:r>
            <w:r>
              <w:rPr>
                <w:rFonts w:hint="eastAsia" w:ascii="宋体" w:hAnsi="宋体" w:cs="宋体"/>
                <w:color w:val="auto"/>
                <w:kern w:val="2"/>
                <w:sz w:val="24"/>
                <w:szCs w:val="24"/>
                <w:highlight w:val="none"/>
              </w:rPr>
              <w:t>采用见面开标：</w:t>
            </w:r>
          </w:p>
          <w:p>
            <w:pPr>
              <w:pStyle w:val="79"/>
              <w:spacing w:line="360" w:lineRule="auto"/>
              <w:rPr>
                <w:rFonts w:hint="eastAsia" w:ascii="宋体" w:hAnsi="宋体" w:cs="宋体"/>
                <w:color w:val="auto"/>
                <w:kern w:val="2"/>
                <w:sz w:val="24"/>
                <w:szCs w:val="24"/>
                <w:highlight w:val="none"/>
              </w:rPr>
            </w:pPr>
            <w:r>
              <w:rPr>
                <w:rFonts w:ascii="宋体" w:hAnsi="宋体" w:cs="宋体"/>
                <w:color w:val="auto"/>
                <w:kern w:val="2"/>
                <w:sz w:val="24"/>
                <w:szCs w:val="24"/>
                <w:highlight w:val="none"/>
              </w:rPr>
              <w:t>本项目采用见面开标、投标人需要递交</w:t>
            </w:r>
            <w:r>
              <w:rPr>
                <w:rFonts w:hint="eastAsia" w:ascii="宋体" w:hAnsi="宋体" w:cs="宋体"/>
                <w:color w:val="auto"/>
                <w:kern w:val="2"/>
                <w:sz w:val="24"/>
                <w:szCs w:val="24"/>
                <w:highlight w:val="none"/>
              </w:rPr>
              <w:t>纸质版</w:t>
            </w:r>
            <w:r>
              <w:rPr>
                <w:rFonts w:ascii="宋体" w:hAnsi="宋体" w:cs="宋体"/>
                <w:color w:val="auto"/>
                <w:kern w:val="2"/>
                <w:sz w:val="24"/>
                <w:szCs w:val="24"/>
                <w:highlight w:val="none"/>
              </w:rPr>
              <w:t>响应文件</w:t>
            </w:r>
            <w:r>
              <w:rPr>
                <w:rFonts w:hint="eastAsia" w:ascii="宋体" w:hAnsi="宋体"/>
                <w:color w:val="auto"/>
                <w:sz w:val="24"/>
                <w:szCs w:val="24"/>
                <w:highlight w:val="none"/>
              </w:rPr>
              <w:t>以及电子响应文件，在投标截止时间前递交至响应文件开启地点。</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正本1份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副本</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份</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电子文件1份(</w:t>
            </w: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扫描件PDF，</w:t>
            </w: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 xml:space="preserve">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响应文件封套上应载明的信息</w:t>
            </w:r>
          </w:p>
        </w:tc>
        <w:tc>
          <w:tcPr>
            <w:tcW w:w="6098" w:type="dxa"/>
            <w:vAlign w:val="center"/>
          </w:tcPr>
          <w:p>
            <w:pPr>
              <w:pStyle w:val="79"/>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color w:val="auto"/>
                <w:kern w:val="2"/>
                <w:sz w:val="24"/>
                <w:szCs w:val="22"/>
                <w:highlight w:val="none"/>
              </w:rPr>
              <w:sym w:font="Wingdings 2" w:char="0052"/>
            </w:r>
            <w:r>
              <w:rPr>
                <w:rFonts w:hint="eastAsia" w:ascii="宋体" w:hAnsi="宋体" w:cs="宋体"/>
                <w:color w:val="auto"/>
                <w:kern w:val="2"/>
                <w:sz w:val="24"/>
                <w:szCs w:val="24"/>
                <w:highlight w:val="none"/>
              </w:rPr>
              <w:t>采用</w:t>
            </w:r>
            <w:r>
              <w:rPr>
                <w:rFonts w:hint="eastAsia" w:ascii="宋体" w:hAnsi="宋体" w:cs="宋体"/>
                <w:color w:val="auto"/>
                <w:kern w:val="2"/>
                <w:sz w:val="24"/>
                <w:szCs w:val="24"/>
                <w:highlight w:val="none"/>
                <w:lang w:val="en-US" w:eastAsia="zh-CN"/>
              </w:rPr>
              <w:t>不</w:t>
            </w:r>
            <w:r>
              <w:rPr>
                <w:rFonts w:hint="eastAsia" w:ascii="宋体" w:hAnsi="宋体" w:cs="宋体"/>
                <w:color w:val="auto"/>
                <w:kern w:val="2"/>
                <w:sz w:val="24"/>
                <w:szCs w:val="24"/>
                <w:highlight w:val="none"/>
              </w:rPr>
              <w:t>见面开标：</w:t>
            </w:r>
            <w:r>
              <w:rPr>
                <w:rFonts w:hint="eastAsia" w:ascii="宋体" w:hAnsi="宋体" w:cs="宋体"/>
                <w:color w:val="auto"/>
                <w:kern w:val="2"/>
                <w:sz w:val="24"/>
                <w:szCs w:val="24"/>
                <w:highlight w:val="none"/>
                <w:lang w:val="en-US" w:eastAsia="zh-CN"/>
              </w:rPr>
              <w:t>不涉及</w:t>
            </w:r>
          </w:p>
          <w:p>
            <w:pPr>
              <w:pStyle w:val="79"/>
              <w:spacing w:line="360" w:lineRule="auto"/>
              <w:rPr>
                <w:rFonts w:hint="eastAsia" w:ascii="宋体" w:hAnsi="宋体" w:cs="宋体"/>
                <w:color w:val="auto"/>
                <w:sz w:val="24"/>
                <w:szCs w:val="24"/>
                <w:highlight w:val="none"/>
                <w:shd w:val="clear" w:color="auto" w:fill="auto"/>
              </w:rPr>
            </w:pPr>
            <w:r>
              <w:rPr>
                <w:rFonts w:hint="eastAsia" w:ascii="宋体" w:hAnsi="宋体"/>
                <w:color w:val="auto"/>
                <w:kern w:val="2"/>
                <w:sz w:val="24"/>
                <w:szCs w:val="22"/>
                <w:highlight w:val="none"/>
              </w:rPr>
              <w:sym w:font="Wingdings 2" w:char="00A3"/>
            </w:r>
            <w:r>
              <w:rPr>
                <w:rFonts w:hint="eastAsia" w:ascii="宋体" w:hAnsi="宋体" w:cs="宋体"/>
                <w:color w:val="auto"/>
                <w:kern w:val="2"/>
                <w:sz w:val="24"/>
                <w:szCs w:val="24"/>
                <w:highlight w:val="none"/>
              </w:rPr>
              <w:t>采用见面开标：</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项目名称：</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项目编号：</w:t>
            </w:r>
          </w:p>
          <w:p>
            <w:pPr>
              <w:tabs>
                <w:tab w:val="left" w:pos="420"/>
              </w:tabs>
              <w:rPr>
                <w:rFonts w:ascii="宋体" w:hAnsi="宋体" w:cs="宋体"/>
                <w:color w:val="auto"/>
                <w:sz w:val="24"/>
                <w:szCs w:val="24"/>
                <w:highlight w:val="none"/>
                <w:shd w:val="clear" w:color="auto" w:fill="auto"/>
              </w:rPr>
            </w:pPr>
            <w:r>
              <w:rPr>
                <w:rFonts w:hint="eastAsia" w:ascii="仿宋" w:hAnsi="仿宋" w:eastAsia="仿宋" w:cs="仿宋"/>
                <w:color w:val="auto"/>
                <w:kern w:val="0"/>
                <w:sz w:val="24"/>
                <w:highlight w:val="none"/>
                <w:shd w:val="clear" w:color="auto" w:fill="auto"/>
              </w:rPr>
              <w:t>202</w:t>
            </w:r>
            <w:r>
              <w:rPr>
                <w:rFonts w:hint="eastAsia" w:ascii="仿宋" w:hAnsi="仿宋" w:eastAsia="仿宋" w:cs="仿宋"/>
                <w:color w:val="auto"/>
                <w:kern w:val="0"/>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年</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月</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日</w:t>
            </w:r>
            <w:r>
              <w:rPr>
                <w:rFonts w:hint="eastAsia" w:ascii="宋体" w:hAnsi="宋体" w:eastAsia="宋体" w:cs="宋体"/>
                <w:color w:val="auto"/>
                <w:sz w:val="24"/>
                <w:szCs w:val="24"/>
                <w:highlight w:val="none"/>
                <w:shd w:val="clear" w:color="auto" w:fill="auto"/>
                <w:lang w:eastAsia="zh-CN"/>
              </w:rPr>
              <w:t>11时00分前不得拆封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信用查询</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采购人或采购代理机构将通过“信用中国”网站</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(www.creditchina.gov.cn)、中国政府采购网</w:t>
            </w:r>
          </w:p>
          <w:p>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(www.ccgp.gov.cn)查询相关主体信用记录。本次查询的信用记录打印的网页版将留存在评标报告中。本项目信用记录查询截止时点为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w:t>
            </w:r>
          </w:p>
          <w:p>
            <w:pPr>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供应商自行查询上述记录，如实提供无不良信用记录承诺并加盖供应商公章。联合体参加投标的，所有联合体成员均须加盖公章。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18</w:t>
            </w:r>
          </w:p>
        </w:tc>
        <w:tc>
          <w:tcPr>
            <w:tcW w:w="1701" w:type="dxa"/>
            <w:vAlign w:val="center"/>
          </w:tcPr>
          <w:p>
            <w:pP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合同履约期限</w:t>
            </w:r>
          </w:p>
        </w:tc>
        <w:tc>
          <w:tcPr>
            <w:tcW w:w="6098" w:type="dxa"/>
            <w:vAlign w:val="center"/>
          </w:tcPr>
          <w:p>
            <w:pP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响应甲方要求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pPr>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19</w:t>
            </w:r>
          </w:p>
        </w:tc>
        <w:tc>
          <w:tcPr>
            <w:tcW w:w="1701" w:type="dxa"/>
            <w:vAlign w:val="center"/>
          </w:tcPr>
          <w:p>
            <w:pPr>
              <w:rPr>
                <w:rFonts w:hint="default" w:ascii="宋体" w:hAnsi="宋体" w:cs="宋体"/>
                <w:color w:val="auto"/>
                <w:sz w:val="24"/>
                <w:szCs w:val="24"/>
                <w:highlight w:val="none"/>
                <w:shd w:val="clear" w:color="auto" w:fill="auto"/>
                <w:lang w:val="en-US"/>
              </w:rPr>
            </w:pPr>
            <w:r>
              <w:rPr>
                <w:rFonts w:hint="eastAsia" w:ascii="宋体" w:hAnsi="宋体" w:cs="宋体"/>
                <w:color w:val="auto"/>
                <w:sz w:val="24"/>
                <w:szCs w:val="24"/>
                <w:highlight w:val="none"/>
                <w:shd w:val="clear" w:color="auto" w:fill="auto"/>
                <w:lang w:val="en-US" w:eastAsia="zh-CN"/>
              </w:rPr>
              <w:t>交付时间、地点</w:t>
            </w:r>
          </w:p>
        </w:tc>
        <w:tc>
          <w:tcPr>
            <w:tcW w:w="6098" w:type="dxa"/>
            <w:vAlign w:val="center"/>
          </w:tcPr>
          <w:p>
            <w:pPr>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合同签订之日起3日，甲方指定地点。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20</w:t>
            </w:r>
          </w:p>
        </w:tc>
        <w:tc>
          <w:tcPr>
            <w:tcW w:w="1701" w:type="dxa"/>
            <w:vAlign w:val="center"/>
          </w:tcPr>
          <w:p>
            <w:pPr>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质保期</w:t>
            </w:r>
          </w:p>
        </w:tc>
        <w:tc>
          <w:tcPr>
            <w:tcW w:w="6098" w:type="dxa"/>
            <w:vAlign w:val="center"/>
          </w:tcPr>
          <w:p>
            <w:pPr>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21</w:t>
            </w:r>
          </w:p>
        </w:tc>
        <w:tc>
          <w:tcPr>
            <w:tcW w:w="1701" w:type="dxa"/>
            <w:vAlign w:val="center"/>
          </w:tcPr>
          <w:p>
            <w:pP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rPr>
              <w:t>采购资金的支付方式</w:t>
            </w:r>
          </w:p>
        </w:tc>
        <w:tc>
          <w:tcPr>
            <w:tcW w:w="6098" w:type="dxa"/>
            <w:vAlign w:val="center"/>
          </w:tcPr>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付款方式为:根据甲方要求供货，货物送达甲方指定地点，经甲、乙双方共同验收合格后，甲方向乙方支付合同金额</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w:t>
            </w:r>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val="0"/>
                <w:bCs w:val="0"/>
                <w:color w:val="auto"/>
                <w:sz w:val="24"/>
                <w:szCs w:val="24"/>
                <w:highlight w:val="none"/>
              </w:rPr>
              <w:t>具体以甲方签订合同为准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18" w:type="dxa"/>
            <w:vMerge w:val="restart"/>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22</w:t>
            </w: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节能产品(非强制类)</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□对列入最新一期节能清单(非强制类)的产品在评审时予以价格扣除，用扣除后的价格参与评审，本项目的扣除比例为：__\__%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pPr>
              <w:jc w:val="center"/>
              <w:rPr>
                <w:rFonts w:ascii="宋体" w:hAnsi="宋体" w:cs="宋体"/>
                <w:color w:val="auto"/>
                <w:sz w:val="24"/>
                <w:szCs w:val="24"/>
                <w:highlight w:val="none"/>
                <w:shd w:val="clear" w:color="auto" w:fill="auto"/>
              </w:rPr>
            </w:pPr>
          </w:p>
        </w:tc>
        <w:tc>
          <w:tcPr>
            <w:tcW w:w="1701"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政府采购优先采购：</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环境标志产品</w:t>
            </w:r>
          </w:p>
        </w:tc>
        <w:tc>
          <w:tcPr>
            <w:tcW w:w="6098" w:type="dxa"/>
            <w:vAlign w:val="center"/>
          </w:tcPr>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产品：</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□对列入最新一期环境标志产品清单(非强制类)的产品在评审时予以加分，每项加__\__分</w:t>
            </w:r>
          </w:p>
          <w:p>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□对列入最新一期环境标志产品清单(非强制类)的产品在评审时予以价格扣除，用扣除后的价格参与评审，本项目的扣除比例为：__\__%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23</w:t>
            </w:r>
          </w:p>
        </w:tc>
        <w:tc>
          <w:tcPr>
            <w:tcW w:w="1701" w:type="dxa"/>
            <w:vAlign w:val="center"/>
          </w:tcPr>
          <w:p>
            <w:pPr>
              <w:pStyle w:val="79"/>
              <w:spacing w:line="360" w:lineRule="auto"/>
              <w:jc w:val="center"/>
              <w:rPr>
                <w:rFonts w:hint="eastAsia" w:ascii="宋体" w:hAnsi="宋体" w:eastAsia="宋体" w:cs="宋体"/>
                <w:color w:val="auto"/>
                <w:sz w:val="24"/>
                <w:szCs w:val="24"/>
                <w:highlight w:val="none"/>
                <w:shd w:val="clear" w:color="auto" w:fill="auto"/>
                <w:lang w:val="en-US" w:eastAsia="zh-CN" w:bidi="ar-SA"/>
              </w:rPr>
            </w:pPr>
            <w:r>
              <w:rPr>
                <w:rFonts w:hint="eastAsia" w:ascii="宋体" w:hAnsi="宋体"/>
                <w:b w:val="0"/>
                <w:bCs/>
                <w:color w:val="auto"/>
                <w:sz w:val="24"/>
                <w:szCs w:val="22"/>
                <w:highlight w:val="none"/>
              </w:rPr>
              <w:t>履约保证金</w:t>
            </w:r>
          </w:p>
        </w:tc>
        <w:tc>
          <w:tcPr>
            <w:tcW w:w="6098" w:type="dxa"/>
            <w:vAlign w:val="center"/>
          </w:tcPr>
          <w:p>
            <w:pPr>
              <w:pStyle w:val="79"/>
              <w:spacing w:line="360" w:lineRule="auto"/>
              <w:rPr>
                <w:rFonts w:ascii="宋体" w:hAnsi="宋体"/>
                <w:color w:val="auto"/>
                <w:sz w:val="24"/>
                <w:szCs w:val="24"/>
                <w:highlight w:val="none"/>
              </w:rPr>
            </w:pPr>
            <w:r>
              <w:rPr>
                <w:rFonts w:hint="eastAsia" w:ascii="宋体" w:hAnsi="宋体"/>
                <w:color w:val="auto"/>
                <w:kern w:val="2"/>
                <w:sz w:val="24"/>
                <w:szCs w:val="22"/>
                <w:highlight w:val="none"/>
              </w:rPr>
              <w:t>☑</w:t>
            </w:r>
            <w:r>
              <w:rPr>
                <w:rFonts w:hint="eastAsia" w:ascii="宋体" w:hAnsi="宋体"/>
                <w:color w:val="auto"/>
                <w:sz w:val="24"/>
                <w:szCs w:val="24"/>
                <w:highlight w:val="none"/>
              </w:rPr>
              <w:t>不交纳</w:t>
            </w:r>
          </w:p>
          <w:p>
            <w:pPr>
              <w:pStyle w:val="79"/>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□交纳</w:t>
            </w:r>
          </w:p>
          <w:p>
            <w:pPr>
              <w:pStyle w:val="79"/>
              <w:spacing w:line="360" w:lineRule="auto"/>
              <w:rPr>
                <w:rFonts w:hint="eastAsia" w:ascii="宋体" w:hAnsi="宋体" w:eastAsia="宋体" w:cs="宋体"/>
                <w:color w:val="auto"/>
                <w:sz w:val="24"/>
                <w:szCs w:val="24"/>
                <w:highlight w:val="none"/>
                <w:shd w:val="clear" w:color="auto" w:fill="auto"/>
                <w:lang w:val="en-US" w:eastAsia="zh-CN" w:bidi="ar-SA"/>
              </w:rPr>
            </w:pPr>
            <w:r>
              <w:rPr>
                <w:rFonts w:hint="eastAsia" w:ascii="宋体" w:hAnsi="宋体"/>
                <w:bCs/>
                <w:color w:val="auto"/>
                <w:sz w:val="24"/>
                <w:szCs w:val="24"/>
                <w:highlight w:val="none"/>
              </w:rPr>
              <w:t>履约保证金的交纳必须以公对公账户进行电汇或转账，否则不予认可。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pPr>
              <w:jc w:val="center"/>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24</w:t>
            </w:r>
          </w:p>
        </w:tc>
        <w:tc>
          <w:tcPr>
            <w:tcW w:w="1701" w:type="dxa"/>
            <w:vAlign w:val="center"/>
          </w:tcPr>
          <w:p>
            <w:pPr>
              <w:rPr>
                <w:rFonts w:hint="eastAsia" w:ascii="宋体" w:hAnsi="宋体" w:eastAsia="宋体" w:cs="Times New Roman"/>
                <w:b/>
                <w:color w:val="auto"/>
                <w:kern w:val="2"/>
                <w:sz w:val="24"/>
                <w:szCs w:val="22"/>
                <w:highlight w:val="none"/>
                <w:lang w:val="en-US" w:eastAsia="zh-CN" w:bidi="ar-SA"/>
              </w:rPr>
            </w:pPr>
            <w:r>
              <w:rPr>
                <w:rFonts w:hint="eastAsia" w:ascii="宋体" w:hAnsi="宋体" w:cs="宋体"/>
                <w:color w:val="auto"/>
                <w:sz w:val="24"/>
                <w:szCs w:val="24"/>
                <w:highlight w:val="none"/>
                <w:shd w:val="clear" w:color="auto" w:fill="auto"/>
                <w:lang w:val="en-US" w:eastAsia="zh-CN"/>
              </w:rPr>
              <w:t>成交服务费</w:t>
            </w:r>
          </w:p>
        </w:tc>
        <w:tc>
          <w:tcPr>
            <w:tcW w:w="6098" w:type="dxa"/>
            <w:vAlign w:val="center"/>
          </w:tcPr>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成交服务费为：依据国家计委印发的计价格[2002]1980号关于《招标代理机构服务费管理暂行办法》中规定标准取费，由成交人支付。</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成交服务费银行账号：</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收款单位：</w:t>
            </w:r>
            <w:r>
              <w:rPr>
                <w:rFonts w:hint="eastAsia" w:ascii="宋体" w:hAnsi="宋体" w:cs="宋体"/>
                <w:color w:val="auto"/>
                <w:sz w:val="24"/>
                <w:szCs w:val="24"/>
                <w:highlight w:val="none"/>
                <w:shd w:val="clear" w:color="auto" w:fill="auto"/>
                <w:lang w:eastAsia="zh-CN"/>
              </w:rPr>
              <w:t>中国远东国际招标有限公司</w:t>
            </w:r>
            <w:r>
              <w:rPr>
                <w:rFonts w:hint="eastAsia" w:ascii="宋体" w:hAnsi="宋体" w:cs="宋体"/>
                <w:color w:val="auto"/>
                <w:sz w:val="24"/>
                <w:szCs w:val="24"/>
                <w:highlight w:val="none"/>
                <w:shd w:val="clear" w:color="auto" w:fill="auto"/>
                <w:lang w:val="en-US" w:eastAsia="zh-CN"/>
              </w:rPr>
              <w:t>新疆分公司</w:t>
            </w:r>
            <w:r>
              <w:rPr>
                <w:rFonts w:hint="eastAsia" w:ascii="宋体" w:hAnsi="宋体" w:eastAsia="宋体" w:cs="宋体"/>
                <w:color w:val="auto"/>
                <w:sz w:val="24"/>
                <w:szCs w:val="24"/>
                <w:highlight w:val="none"/>
                <w:shd w:val="clear" w:color="auto" w:fill="auto"/>
              </w:rPr>
              <w:t xml:space="preserve">  </w:t>
            </w:r>
          </w:p>
          <w:p>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开户银行：中国工商银行股份有限公司乌鲁木齐澎湖路科技支行</w:t>
            </w:r>
          </w:p>
          <w:p>
            <w:pPr>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宋体"/>
                <w:color w:val="auto"/>
                <w:sz w:val="24"/>
                <w:szCs w:val="24"/>
                <w:highlight w:val="none"/>
                <w:shd w:val="clear" w:color="auto" w:fill="auto"/>
              </w:rPr>
              <w:t>账</w:t>
            </w:r>
            <w:r>
              <w:rPr>
                <w:rFonts w:hint="eastAsia" w:ascii="宋体" w:hAnsi="宋体" w:eastAsia="宋体" w:cs="宋体"/>
                <w:color w:val="auto"/>
                <w:sz w:val="24"/>
                <w:szCs w:val="24"/>
                <w:highlight w:val="none"/>
                <w:shd w:val="clear" w:color="auto" w:fill="auto"/>
              </w:rPr>
              <w:tab/>
            </w:r>
            <w:r>
              <w:rPr>
                <w:rFonts w:hint="eastAsia" w:ascii="宋体" w:hAnsi="宋体" w:eastAsia="宋体" w:cs="宋体"/>
                <w:color w:val="auto"/>
                <w:sz w:val="24"/>
                <w:szCs w:val="24"/>
                <w:highlight w:val="none"/>
                <w:shd w:val="clear" w:color="auto" w:fill="auto"/>
              </w:rPr>
              <w:t xml:space="preserve">   号：3002 0192 092 000 69062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restart"/>
            <w:vAlign w:val="top"/>
          </w:tcPr>
          <w:p>
            <w:pPr>
              <w:jc w:val="left"/>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25</w:t>
            </w:r>
          </w:p>
        </w:tc>
        <w:tc>
          <w:tcPr>
            <w:tcW w:w="1701" w:type="dxa"/>
            <w:vMerge w:val="restart"/>
            <w:vAlign w:val="center"/>
          </w:tcPr>
          <w:p>
            <w:pPr>
              <w:pStyle w:val="79"/>
              <w:autoSpaceDE w:val="0"/>
              <w:autoSpaceDN w:val="0"/>
              <w:adjustRightInd w:val="0"/>
              <w:spacing w:line="360" w:lineRule="auto"/>
              <w:jc w:val="center"/>
              <w:rPr>
                <w:rFonts w:hint="eastAsia" w:ascii="宋体" w:hAnsi="宋体"/>
                <w:b/>
                <w:color w:val="auto"/>
                <w:sz w:val="24"/>
                <w:szCs w:val="22"/>
                <w:highlight w:val="none"/>
              </w:rPr>
            </w:pPr>
            <w:r>
              <w:rPr>
                <w:rFonts w:hint="eastAsia" w:ascii="宋体" w:hAnsi="宋体"/>
                <w:color w:val="auto"/>
                <w:sz w:val="24"/>
                <w:szCs w:val="22"/>
                <w:highlight w:val="none"/>
                <w:lang w:val="en-US" w:eastAsia="zh-CN"/>
              </w:rPr>
              <w:t>采购</w:t>
            </w:r>
            <w:r>
              <w:rPr>
                <w:rFonts w:hint="eastAsia" w:ascii="宋体" w:hAnsi="宋体"/>
                <w:color w:val="auto"/>
                <w:sz w:val="24"/>
                <w:szCs w:val="22"/>
                <w:highlight w:val="none"/>
              </w:rPr>
              <w:t>人补充的其他内容</w:t>
            </w:r>
          </w:p>
        </w:tc>
        <w:tc>
          <w:tcPr>
            <w:tcW w:w="6098" w:type="dxa"/>
            <w:vAlign w:val="center"/>
          </w:tcPr>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lang w:eastAsia="zh-CN"/>
              </w:rPr>
              <w:t>成交人</w:t>
            </w:r>
            <w:r>
              <w:rPr>
                <w:rFonts w:hint="eastAsia" w:ascii="宋体" w:hAnsi="宋体"/>
                <w:color w:val="auto"/>
                <w:kern w:val="2"/>
                <w:sz w:val="24"/>
                <w:szCs w:val="22"/>
                <w:highlight w:val="none"/>
              </w:rPr>
              <w:t>：</w:t>
            </w:r>
          </w:p>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1、本次</w:t>
            </w:r>
            <w:r>
              <w:rPr>
                <w:rFonts w:hint="eastAsia" w:ascii="宋体" w:hAnsi="宋体"/>
                <w:color w:val="auto"/>
                <w:kern w:val="2"/>
                <w:sz w:val="24"/>
                <w:szCs w:val="22"/>
                <w:highlight w:val="none"/>
                <w:lang w:val="en-US" w:eastAsia="zh-CN"/>
              </w:rPr>
              <w:t>磋商</w:t>
            </w:r>
            <w:r>
              <w:rPr>
                <w:rFonts w:hint="eastAsia" w:ascii="宋体" w:hAnsi="宋体"/>
                <w:color w:val="auto"/>
                <w:kern w:val="2"/>
                <w:sz w:val="24"/>
                <w:szCs w:val="22"/>
                <w:highlight w:val="none"/>
              </w:rPr>
              <w:t>项目选1家中标单位。</w:t>
            </w:r>
          </w:p>
          <w:p>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2、合同价：按照中标单位的中标价作为执行合同的价格。</w:t>
            </w:r>
          </w:p>
          <w:p>
            <w:pPr>
              <w:pStyle w:val="79"/>
              <w:autoSpaceDE w:val="0"/>
              <w:autoSpaceDN w:val="0"/>
              <w:adjustRightInd w:val="0"/>
              <w:spacing w:line="360" w:lineRule="auto"/>
              <w:rPr>
                <w:rFonts w:hint="eastAsia" w:ascii="宋体" w:hAnsi="宋体"/>
                <w:bCs/>
                <w:color w:val="auto"/>
                <w:sz w:val="24"/>
                <w:szCs w:val="24"/>
                <w:highlight w:val="none"/>
              </w:rPr>
            </w:pPr>
            <w:r>
              <w:rPr>
                <w:rFonts w:hint="eastAsia" w:ascii="宋体" w:hAnsi="宋体"/>
                <w:b/>
                <w:color w:val="auto"/>
                <w:kern w:val="2"/>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top"/>
          </w:tcPr>
          <w:p>
            <w:pPr>
              <w:jc w:val="left"/>
              <w:rPr>
                <w:rFonts w:hint="eastAsia" w:ascii="宋体" w:hAnsi="宋体" w:cs="宋体"/>
                <w:color w:val="auto"/>
                <w:sz w:val="24"/>
                <w:szCs w:val="24"/>
                <w:highlight w:val="none"/>
                <w:shd w:val="clear" w:color="auto" w:fill="auto"/>
                <w:lang w:val="en-US" w:eastAsia="zh-CN"/>
              </w:rPr>
            </w:pPr>
          </w:p>
        </w:tc>
        <w:tc>
          <w:tcPr>
            <w:tcW w:w="1701" w:type="dxa"/>
            <w:vMerge w:val="continue"/>
            <w:vAlign w:val="center"/>
          </w:tcPr>
          <w:p>
            <w:pPr>
              <w:pStyle w:val="79"/>
              <w:autoSpaceDE w:val="0"/>
              <w:autoSpaceDN w:val="0"/>
              <w:adjustRightInd w:val="0"/>
              <w:spacing w:line="360" w:lineRule="auto"/>
              <w:jc w:val="center"/>
              <w:rPr>
                <w:rFonts w:hint="eastAsia" w:ascii="宋体" w:hAnsi="宋体"/>
                <w:color w:val="auto"/>
                <w:sz w:val="24"/>
                <w:szCs w:val="22"/>
                <w:highlight w:val="none"/>
                <w:lang w:val="en-US" w:eastAsia="zh-CN"/>
              </w:rPr>
            </w:pPr>
          </w:p>
        </w:tc>
        <w:tc>
          <w:tcPr>
            <w:tcW w:w="6098" w:type="dxa"/>
            <w:vAlign w:val="center"/>
          </w:tcPr>
          <w:p>
            <w:pPr>
              <w:pStyle w:val="79"/>
              <w:autoSpaceDE w:val="0"/>
              <w:autoSpaceDN w:val="0"/>
              <w:adjustRightInd w:val="0"/>
              <w:spacing w:line="360" w:lineRule="auto"/>
              <w:rPr>
                <w:rFonts w:hint="eastAsia"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样品：</w:t>
            </w:r>
          </w:p>
          <w:p>
            <w:pPr>
              <w:pStyle w:val="79"/>
              <w:numPr>
                <w:ilvl w:val="0"/>
                <w:numId w:val="7"/>
              </w:numPr>
              <w:autoSpaceDE w:val="0"/>
              <w:autoSpaceDN w:val="0"/>
              <w:adjustRightInd w:val="0"/>
              <w:spacing w:line="360" w:lineRule="auto"/>
              <w:rPr>
                <w:rFonts w:hint="eastAsia"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样品评审：拼装式狗笼子（1个），防护手套（1双）。未按要求提供样品或样品提供不齐全的，则该评分项得0分。</w:t>
            </w:r>
          </w:p>
          <w:p>
            <w:pPr>
              <w:pStyle w:val="79"/>
              <w:numPr>
                <w:ilvl w:val="0"/>
                <w:numId w:val="7"/>
              </w:numPr>
              <w:autoSpaceDE w:val="0"/>
              <w:autoSpaceDN w:val="0"/>
              <w:adjustRightInd w:val="0"/>
              <w:spacing w:line="360" w:lineRule="auto"/>
              <w:rPr>
                <w:rFonts w:hint="default"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样品准备要求：样品包装及表面不得标记任何反映单位信息的字样等信息。</w:t>
            </w:r>
          </w:p>
          <w:p>
            <w:pPr>
              <w:pStyle w:val="79"/>
              <w:autoSpaceDE w:val="0"/>
              <w:autoSpaceDN w:val="0"/>
              <w:adjustRightInd w:val="0"/>
              <w:spacing w:line="360" w:lineRule="auto"/>
              <w:rPr>
                <w:rFonts w:hint="eastAsia"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 xml:space="preserve">2、样品送达地点：新疆乌鲁木齐经济技术开发区（头屯河区）喀纳斯湖北路455号新疆软件园创智大厦B座21层2103室。            </w:t>
            </w:r>
          </w:p>
          <w:p>
            <w:pPr>
              <w:pStyle w:val="79"/>
              <w:autoSpaceDE w:val="0"/>
              <w:autoSpaceDN w:val="0"/>
              <w:adjustRightInd w:val="0"/>
              <w:spacing w:line="360" w:lineRule="auto"/>
              <w:rPr>
                <w:rFonts w:hint="eastAsia"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3.样品送达截止时间：同投标截止时间，样品递交人需出具法定代表人授权书，逾期送达不予接收。</w:t>
            </w:r>
          </w:p>
          <w:p>
            <w:pPr>
              <w:pStyle w:val="79"/>
              <w:autoSpaceDE w:val="0"/>
              <w:autoSpaceDN w:val="0"/>
              <w:adjustRightInd w:val="0"/>
              <w:spacing w:line="360" w:lineRule="auto"/>
              <w:rPr>
                <w:rFonts w:hint="eastAsia" w:ascii="宋体" w:hAnsi="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 xml:space="preserve">4.样品接收联系人：李沙沙            </w:t>
            </w:r>
          </w:p>
          <w:p>
            <w:pPr>
              <w:pStyle w:val="79"/>
              <w:autoSpaceDE w:val="0"/>
              <w:autoSpaceDN w:val="0"/>
              <w:adjustRightInd w:val="0"/>
              <w:spacing w:line="360" w:lineRule="auto"/>
              <w:rPr>
                <w:rFonts w:hint="default" w:ascii="宋体" w:hAnsi="宋体" w:eastAsia="宋体"/>
                <w:b/>
                <w:color w:val="auto"/>
                <w:kern w:val="2"/>
                <w:sz w:val="24"/>
                <w:szCs w:val="22"/>
                <w:highlight w:val="none"/>
                <w:lang w:val="en-US" w:eastAsia="zh-CN"/>
              </w:rPr>
            </w:pPr>
            <w:r>
              <w:rPr>
                <w:rFonts w:hint="eastAsia" w:ascii="宋体" w:hAnsi="宋体"/>
                <w:b/>
                <w:color w:val="auto"/>
                <w:kern w:val="2"/>
                <w:sz w:val="24"/>
                <w:szCs w:val="22"/>
                <w:highlight w:val="none"/>
                <w:lang w:val="en-US" w:eastAsia="zh-CN"/>
              </w:rPr>
              <w:t xml:space="preserve">电话：0991-3708098                        </w:t>
            </w:r>
          </w:p>
        </w:tc>
      </w:tr>
    </w:tbl>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br w:type="page"/>
      </w:r>
    </w:p>
    <w:p>
      <w:pPr>
        <w:pStyle w:val="6"/>
        <w:jc w:val="center"/>
        <w:rPr>
          <w:rFonts w:ascii="宋体" w:hAnsi="宋体" w:cs="宋体"/>
          <w:color w:val="auto"/>
          <w:sz w:val="24"/>
          <w:szCs w:val="20"/>
          <w:highlight w:val="none"/>
          <w:shd w:val="clear" w:color="auto" w:fill="auto"/>
        </w:rPr>
      </w:pPr>
      <w:bookmarkStart w:id="12" w:name="_Toc15096"/>
      <w:bookmarkStart w:id="13" w:name="_Toc30288"/>
      <w:r>
        <w:rPr>
          <w:rFonts w:hint="eastAsia" w:ascii="宋体" w:hAnsi="宋体" w:cs="宋体"/>
          <w:color w:val="auto"/>
          <w:sz w:val="24"/>
          <w:szCs w:val="20"/>
          <w:highlight w:val="none"/>
          <w:shd w:val="clear" w:color="auto" w:fill="auto"/>
        </w:rPr>
        <w:t>磋商须知正文</w:t>
      </w:r>
      <w:bookmarkEnd w:id="12"/>
      <w:bookmarkEnd w:id="13"/>
    </w:p>
    <w:p>
      <w:pPr>
        <w:spacing w:line="360" w:lineRule="auto"/>
        <w:ind w:firstLine="480" w:firstLineChars="200"/>
        <w:outlineLvl w:val="2"/>
        <w:rPr>
          <w:rFonts w:ascii="宋体" w:hAnsi="宋体" w:cs="宋体"/>
          <w:color w:val="auto"/>
          <w:sz w:val="24"/>
          <w:szCs w:val="24"/>
          <w:highlight w:val="none"/>
          <w:shd w:val="clear" w:color="auto" w:fill="auto"/>
        </w:rPr>
      </w:pPr>
      <w:bookmarkStart w:id="14" w:name="_Toc3711"/>
      <w:bookmarkStart w:id="15" w:name="_Toc28944"/>
      <w:bookmarkStart w:id="16" w:name="_Toc22061"/>
      <w:r>
        <w:rPr>
          <w:rFonts w:hint="eastAsia" w:ascii="宋体" w:hAnsi="宋体" w:cs="宋体"/>
          <w:color w:val="auto"/>
          <w:sz w:val="24"/>
          <w:szCs w:val="24"/>
          <w:highlight w:val="none"/>
          <w:shd w:val="clear" w:color="auto" w:fill="auto"/>
        </w:rPr>
        <w:t>一、总则</w:t>
      </w:r>
      <w:bookmarkEnd w:id="14"/>
      <w:bookmarkEnd w:id="15"/>
      <w:bookmarkEnd w:id="16"/>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1.定义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　“采购人”是指</w:t>
      </w:r>
      <w:r>
        <w:rPr>
          <w:rFonts w:hint="eastAsia" w:ascii="宋体" w:hAnsi="宋体" w:cs="宋体"/>
          <w:color w:val="auto"/>
          <w:sz w:val="24"/>
          <w:szCs w:val="24"/>
          <w:highlight w:val="none"/>
          <w:shd w:val="clear" w:color="auto" w:fill="auto"/>
          <w:lang w:eastAsia="zh-CN"/>
        </w:rPr>
        <w:t>乌鲁木齐市公安局天山区分局</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所述方式产生。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　“评审小组”是依据《政府采购磋商采购方式管理暂行办法》有关规定组建，依法履行磋商采购活动职责的3人以上单数的磋商成员。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1.4　“货物”是指各种形态和种类的物品，包括原材料、燃料、设备、产品等。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1.5　“服务”是指除货物和工程以外的其他政府采购对象。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1.6　“节能产品”或者“环保产品”是指国务院有关部门发布的《节能产品政府采购清单》或者《环境标志产品政府采购清单》的产品。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1.7　“进口产品”是指通过中国海关报关验放进入中国境内且产自关境外的产品。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2.采购项目预算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2.1　本项目采购资金已列入政府采购预算，预算金额见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3.供应商的资格要求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　供应商应当符合</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中规定的下列资格条件要求：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3.1.1　符合《政府采购法》第二十二条规定的供应商条件：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(1)具有独立承担民事责任的能力；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(2)具有良好的商业信誉和健全的财务会计制度；</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(3)具有履行合同所必需的设备和专业技术能力；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(4)有依法缴纳税收和社会保障资金的良好记录；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(5)参加政府采购活动前三年内，在经营活动中没有重大违法记录；</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(6)政府采购法律法规相关规定的其他条件。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3.1.2　政府强制采购资格条件。</w:t>
      </w:r>
    </w:p>
    <w:p>
      <w:pPr>
        <w:spacing w:line="360" w:lineRule="auto"/>
        <w:ind w:firstLine="480" w:firstLineChars="200"/>
        <w:rPr>
          <w:rFonts w:ascii="宋体" w:hAnsi="宋体" w:cs="宋体"/>
          <w:b/>
          <w:color w:val="auto"/>
          <w:sz w:val="24"/>
          <w:szCs w:val="24"/>
          <w:highlight w:val="none"/>
          <w:shd w:val="clear" w:color="auto" w:fill="auto"/>
        </w:rPr>
      </w:pPr>
      <w:r>
        <w:rPr>
          <w:rFonts w:hint="eastAsia" w:ascii="宋体" w:hAnsi="宋体" w:cs="宋体"/>
          <w:color w:val="auto"/>
          <w:sz w:val="24"/>
          <w:szCs w:val="24"/>
          <w:highlight w:val="none"/>
          <w:shd w:val="clear" w:color="auto" w:fill="auto"/>
        </w:rPr>
        <w:t>3.1.3　其他特定资格条件。</w:t>
      </w:r>
      <w:r>
        <w:rPr>
          <w:rFonts w:hint="eastAsia" w:ascii="宋体" w:hAnsi="宋体" w:cs="宋体"/>
          <w:b/>
          <w:color w:val="auto"/>
          <w:sz w:val="24"/>
          <w:szCs w:val="24"/>
          <w:highlight w:val="none"/>
          <w:shd w:val="clear" w:color="auto" w:fill="auto"/>
        </w:rPr>
        <w:t>(详见磋商须知前附表)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　供应商存在下列情形之一的不得参加磋商：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4.参与磋商的费用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4.1　无论磋商的结果如何，供应商应自行承担所有与磋商采购活动有关的全部费用。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5.授权委托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5.1　供应商代表为供应商法定代表人的，应</w:t>
      </w:r>
      <w:r>
        <w:rPr>
          <w:rFonts w:hint="eastAsia" w:ascii="宋体" w:hAnsi="宋体" w:cs="宋体"/>
          <w:color w:val="auto"/>
          <w:sz w:val="24"/>
          <w:szCs w:val="24"/>
          <w:highlight w:val="none"/>
          <w:shd w:val="clear" w:color="auto" w:fill="auto"/>
          <w:lang w:val="en-US" w:eastAsia="zh-CN"/>
        </w:rPr>
        <w:t>提供</w:t>
      </w:r>
      <w:r>
        <w:rPr>
          <w:rFonts w:hint="eastAsia" w:ascii="宋体" w:hAnsi="宋体" w:cs="宋体"/>
          <w:color w:val="auto"/>
          <w:sz w:val="24"/>
          <w:szCs w:val="24"/>
          <w:highlight w:val="none"/>
          <w:shd w:val="clear" w:color="auto" w:fill="auto"/>
        </w:rPr>
        <w:t>法定代表人身份证明。供应商代表不是供应商法定代表人的，应</w:t>
      </w:r>
      <w:r>
        <w:rPr>
          <w:rFonts w:hint="eastAsia" w:ascii="宋体" w:hAnsi="宋体" w:cs="宋体"/>
          <w:color w:val="auto"/>
          <w:sz w:val="24"/>
          <w:szCs w:val="24"/>
          <w:highlight w:val="none"/>
          <w:shd w:val="clear" w:color="auto" w:fill="auto"/>
          <w:lang w:val="en-US" w:eastAsia="zh-CN"/>
        </w:rPr>
        <w:t>提供</w:t>
      </w:r>
      <w:r>
        <w:rPr>
          <w:rFonts w:hint="eastAsia" w:ascii="宋体" w:hAnsi="宋体" w:cs="宋体"/>
          <w:color w:val="auto"/>
          <w:sz w:val="24"/>
          <w:szCs w:val="24"/>
          <w:highlight w:val="none"/>
          <w:shd w:val="clear" w:color="auto" w:fill="auto"/>
        </w:rPr>
        <w:t>法定代表人授权书，并附授权代表的身份证明。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6.联合体形式</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6.1　本项目是否接受联合体参与及相关要求见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　供应商为联合体形式的，应同时遵守以下规定：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(1)联合体各方必须签订联合体协议书，明确联合体牵头人和各方权利、义务及分工、合同工作量比例；</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(2)联合体各方均应当符合本章第3.1款规定的供应商基本资格条件；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中另有规定，联合体各方中至少有一方应当符合本章第3.1款规定的供应商特定资格条件；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(4)联合体中有同类资质的供应商按照联合体分工承担相同工作的，应当按照资质等级较低的供应商确定资质等级；</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(5)联合体各方不得再单独或与其他供应商组成新的联合体参加同一项目的采购活动。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7.项目现场勘察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7.1　本项目是否组织现场勘察见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7.2　供应商应按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中规定对采购项目现场和周围环境的现场考察。供应商未在指定时间进行勘察的，采购人不再另行组织。</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7.3　勘察现场的费用由供应商自己承担，勘察期间所发生的人身伤害及财产损失由供应商自己负责。</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7.4　采购人不对供应商据此而做出的推论、理解和结论负责。一旦成交，供应商不得以任何借口，提出额外补偿，或延长合同期限的要求。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8.政府采购政策支持与其他规定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8.4　其他法律法规强制性规定。本项目的详细要求见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outlineLvl w:val="2"/>
        <w:rPr>
          <w:rFonts w:ascii="宋体" w:hAnsi="宋体" w:cs="宋体"/>
          <w:color w:val="auto"/>
          <w:sz w:val="24"/>
          <w:szCs w:val="24"/>
          <w:highlight w:val="none"/>
          <w:shd w:val="clear" w:color="auto" w:fill="auto"/>
        </w:rPr>
      </w:pPr>
      <w:bookmarkStart w:id="17" w:name="_Toc10207"/>
      <w:bookmarkStart w:id="18" w:name="_Toc32606"/>
      <w:bookmarkStart w:id="19" w:name="_Toc32263"/>
      <w:r>
        <w:rPr>
          <w:rFonts w:hint="eastAsia" w:ascii="宋体" w:hAnsi="宋体" w:cs="宋体"/>
          <w:color w:val="auto"/>
          <w:sz w:val="24"/>
          <w:szCs w:val="24"/>
          <w:highlight w:val="none"/>
          <w:shd w:val="clear" w:color="auto" w:fill="auto"/>
        </w:rPr>
        <w:t>二、</w:t>
      </w:r>
      <w:bookmarkEnd w:id="17"/>
      <w:bookmarkEnd w:id="18"/>
      <w:r>
        <w:rPr>
          <w:rFonts w:hint="eastAsia" w:ascii="宋体" w:hAnsi="宋体" w:cs="宋体"/>
          <w:color w:val="auto"/>
          <w:sz w:val="24"/>
          <w:szCs w:val="24"/>
          <w:highlight w:val="none"/>
          <w:shd w:val="clear" w:color="auto" w:fill="auto"/>
        </w:rPr>
        <w:t>磋商文件</w:t>
      </w:r>
      <w:bookmarkEnd w:id="19"/>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9.磋商文件的组成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9.1　磋商文件由下列文件组成：</w:t>
      </w:r>
    </w:p>
    <w:p>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　第一章　</w:t>
      </w:r>
      <w:r>
        <w:rPr>
          <w:rFonts w:hint="eastAsia" w:ascii="宋体" w:hAnsi="宋体" w:cs="宋体"/>
          <w:color w:val="auto"/>
          <w:sz w:val="24"/>
          <w:szCs w:val="24"/>
          <w:highlight w:val="none"/>
          <w:shd w:val="clear" w:color="auto" w:fill="auto"/>
          <w:lang w:eastAsia="zh-CN"/>
        </w:rPr>
        <w:t>磋商公告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第二章　磋商须知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第三章　评审方法及标准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第四章　合同草案条款</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第五章　响应文件组成</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第六章　项目采购需求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规定的提交首次响应文件截止时间前，对磋商文件进行澄清或者修改的内容，为磋商文件的组成部分。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9.3　评审小组根据与供应商磋商情况可能实质性变动的内容，包括采购需求中的技术、服务要求以及合同草案条款，对磋商文件作出的实质性变动是磋商文件的有效组成部分。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9.4　供应商应仔细阅读磋商文件的全部内容，按照磋商文件要求编制响应文件。任何对磋商文件的忽略或误解不能作为响应文件存在缺陷或瑕疵的理由，其风险由供应商承担。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10.磋商文件的澄清或者修改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10.1　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规定的提交首次响应文件截止之日前，采购人、采购代理机构或者评审小组可以对已发出的磋商文件进行必要的澄清或者修改。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0</w:t>
      </w:r>
      <w:r>
        <w:rPr>
          <w:rFonts w:hint="eastAsia" w:ascii="宋体" w:hAnsi="宋体" w:cs="宋体"/>
          <w:color w:val="auto"/>
          <w:sz w:val="24"/>
          <w:szCs w:val="24"/>
          <w:highlight w:val="none"/>
          <w:shd w:val="clear" w:color="auto" w:fill="auto"/>
        </w:rPr>
        <w:t>.2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11.1　本条所称偏离为响应文件对磋商文件的偏离，即不满足或不响应磋商文件的要求。偏离分为实质性和非实质性要求条款偏离。</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11.2　除政府采购法律法规相关规定外，磋商文件中用“拒绝”“不接受”“无效”“不得”“必须”“应当”等文字规定或标注“★”符号的条款为实质性要求条款(即重要条款)，对其中任何一条的偏离，在评审时将其视为无效响应。</w:t>
      </w:r>
    </w:p>
    <w:p>
      <w:pPr>
        <w:spacing w:line="360" w:lineRule="auto"/>
        <w:ind w:firstLine="480" w:firstLineChars="200"/>
        <w:outlineLvl w:val="2"/>
        <w:rPr>
          <w:rFonts w:ascii="宋体" w:hAnsi="宋体" w:cs="宋体"/>
          <w:color w:val="auto"/>
          <w:sz w:val="24"/>
          <w:szCs w:val="24"/>
          <w:highlight w:val="none"/>
          <w:shd w:val="clear" w:color="auto" w:fill="auto"/>
        </w:rPr>
      </w:pPr>
      <w:bookmarkStart w:id="20" w:name="_Toc10553"/>
      <w:bookmarkStart w:id="21" w:name="_Toc32165"/>
      <w:bookmarkStart w:id="22" w:name="_Toc16757"/>
      <w:r>
        <w:rPr>
          <w:rFonts w:hint="eastAsia" w:ascii="宋体" w:hAnsi="宋体" w:cs="宋体"/>
          <w:color w:val="auto"/>
          <w:sz w:val="24"/>
          <w:szCs w:val="24"/>
          <w:highlight w:val="none"/>
          <w:shd w:val="clear" w:color="auto" w:fill="auto"/>
        </w:rPr>
        <w:t>三、响应文件</w:t>
      </w:r>
      <w:bookmarkEnd w:id="20"/>
      <w:bookmarkEnd w:id="21"/>
      <w:bookmarkEnd w:id="22"/>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12.一般要求</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12.1　供应商应仔细阅读磋商文件的所有内容，按磋商文件的要求编制响应文件，并保证所提供的全部资料的真实性，以使其响应文件对磋商文件做出实质性的响应。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12.2　</w:t>
      </w:r>
      <w:r>
        <w:rPr>
          <w:rFonts w:hint="eastAsia" w:ascii="宋体" w:hAnsi="宋体" w:cs="宋体"/>
          <w:b/>
          <w:color w:val="auto"/>
          <w:sz w:val="24"/>
          <w:szCs w:val="24"/>
          <w:highlight w:val="none"/>
          <w:shd w:val="clear" w:color="auto" w:fill="auto"/>
        </w:rPr>
        <w:t>供应商提交的响应文件及供应商与采购人或采购代理机构、评审小组就有关磋商的所有来往函电必须使用中文。供应商可以提交其他语言的资料，但应附中文注释，在有差异时以中文为准。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12.3　除技术要求另有规定外，本文件所要求使用的计量单位均采用国家法定的度、量、衡标准单位计量。未列明时亦默认为我国法定计量单位。</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12.4　供应商应按磋商文件中提供的响应文件格式填写。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12.5　磋商响应文件应采用</w:t>
      </w:r>
      <w:r>
        <w:rPr>
          <w:rFonts w:hint="eastAsia" w:ascii="宋体" w:hAnsi="宋体" w:eastAsia="宋体"/>
          <w:color w:val="auto"/>
          <w:kern w:val="2"/>
          <w:sz w:val="24"/>
          <w:szCs w:val="22"/>
          <w:highlight w:val="none"/>
        </w:rPr>
        <w:t>电子响应文件</w:t>
      </w:r>
      <w:r>
        <w:rPr>
          <w:rFonts w:hint="eastAsia" w:ascii="宋体" w:hAnsi="宋体" w:eastAsia="宋体"/>
          <w:color w:val="auto"/>
          <w:kern w:val="2"/>
          <w:sz w:val="24"/>
          <w:szCs w:val="22"/>
          <w:highlight w:val="none"/>
          <w:lang w:eastAsia="zh-CN"/>
        </w:rPr>
        <w:t>（</w:t>
      </w:r>
      <w:r>
        <w:rPr>
          <w:rFonts w:hint="eastAsia" w:ascii="宋体" w:hAnsi="宋体" w:eastAsia="宋体"/>
          <w:color w:val="auto"/>
          <w:kern w:val="2"/>
          <w:sz w:val="24"/>
          <w:szCs w:val="22"/>
          <w:highlight w:val="none"/>
        </w:rPr>
        <w:t>指利用政采云平台提供的“电子响应文件制作工具</w:t>
      </w:r>
      <w:r>
        <w:rPr>
          <w:rFonts w:ascii="宋体" w:hAnsi="宋体" w:eastAsia="宋体"/>
          <w:color w:val="auto"/>
          <w:kern w:val="2"/>
          <w:sz w:val="24"/>
          <w:szCs w:val="22"/>
          <w:highlight w:val="none"/>
        </w:rPr>
        <w:t>”</w:t>
      </w:r>
      <w:r>
        <w:rPr>
          <w:rFonts w:hint="eastAsia" w:ascii="宋体" w:hAnsi="宋体" w:eastAsia="宋体"/>
          <w:color w:val="auto"/>
          <w:kern w:val="2"/>
          <w:sz w:val="24"/>
          <w:szCs w:val="22"/>
          <w:highlight w:val="none"/>
        </w:rPr>
        <w:t>编制加密和未加密的响应文件</w:t>
      </w:r>
      <w:r>
        <w:rPr>
          <w:rFonts w:hint="eastAsia" w:ascii="宋体" w:hAnsi="宋体" w:eastAsia="宋体"/>
          <w:color w:val="auto"/>
          <w:kern w:val="2"/>
          <w:sz w:val="24"/>
          <w:szCs w:val="22"/>
          <w:highlight w:val="none"/>
          <w:lang w:eastAsia="zh-CN"/>
        </w:rPr>
        <w:t>）</w:t>
      </w:r>
      <w:r>
        <w:rPr>
          <w:rFonts w:hint="eastAsia" w:ascii="宋体" w:hAnsi="宋体" w:cs="宋体"/>
          <w:color w:val="auto"/>
          <w:sz w:val="24"/>
          <w:szCs w:val="24"/>
          <w:highlight w:val="none"/>
          <w:shd w:val="clear" w:color="auto" w:fill="auto"/>
        </w:rPr>
        <w:t>，磋商文件中要求提供电子版的，必须按要求提供。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13.响应文件的组成(采购人可根据实际情况对以下项目标注★)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13.1　响应文件应包括但不限于下列内容：</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w:t>
      </w:r>
      <w:r>
        <w:rPr>
          <w:rFonts w:hint="eastAsia"/>
          <w:color w:val="auto"/>
          <w:sz w:val="24"/>
          <w:szCs w:val="24"/>
          <w:highlight w:val="none"/>
        </w:rPr>
        <w:t>需提供2021年度经会计师事务所出具的财务审计报告或其基本开户银行出具的资信证明</w:t>
      </w:r>
      <w:r>
        <w:rPr>
          <w:rFonts w:hint="eastAsia" w:ascii="宋体" w:hAnsi="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w:t>
      </w:r>
      <w:r>
        <w:rPr>
          <w:rFonts w:hint="eastAsia" w:ascii="宋体" w:hAnsi="宋体" w:eastAsia="宋体" w:cs="宋体"/>
          <w:color w:val="auto"/>
          <w:sz w:val="24"/>
          <w:szCs w:val="24"/>
          <w:highlight w:val="none"/>
          <w:shd w:val="clear" w:color="auto" w:fill="auto"/>
          <w:lang w:val="en-US" w:eastAsia="zh-CN"/>
        </w:rPr>
        <w:t>良好记录（需提供投标截止日前六个月内任一个月的企业纳税证明和社保缴费记录证明，无需纳税或免税的需提供相应证明材料）；</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6-6具有履行合同所必需的设备及专业技术能力和供应保障能力（提供具有履行合同所必需的设备和专业技术能力相关证明材料或承诺书）</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保证金缴纳</w:t>
      </w:r>
      <w:r>
        <w:rPr>
          <w:rFonts w:hint="eastAsia" w:ascii="宋体" w:hAnsi="宋体" w:cs="宋体"/>
          <w:color w:val="auto"/>
          <w:sz w:val="24"/>
          <w:szCs w:val="24"/>
          <w:highlight w:val="none"/>
          <w:shd w:val="clear" w:color="auto" w:fill="auto"/>
          <w:lang w:val="en-US" w:eastAsia="zh-CN"/>
        </w:rPr>
        <w:t>凭证</w:t>
      </w:r>
      <w:r>
        <w:rPr>
          <w:rFonts w:hint="eastAsia" w:ascii="宋体" w:hAnsi="宋体" w:cs="宋体"/>
          <w:color w:val="auto"/>
          <w:sz w:val="24"/>
          <w:szCs w:val="24"/>
          <w:highlight w:val="none"/>
          <w:shd w:val="clear" w:color="auto" w:fill="auto"/>
        </w:rPr>
        <w:t>复印件（须加盖本单位公章）</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 xml:space="preserve">中小微企业及残疾人福利性单位等证明文件（如有） </w:t>
      </w:r>
    </w:p>
    <w:p>
      <w:pPr>
        <w:pStyle w:val="13"/>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6-10单位负责人为同一人或者存在直接控股、管理关系的不同供应商，不得参加同一合同项下的政府采购活动 </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shd w:val="clear" w:color="auto" w:fill="auto"/>
        </w:rPr>
        <w:t>竞争性磋商文件技术参数及要求中的证明材料</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highlight w:val="none"/>
        </w:rPr>
        <w:t>备品备件</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供应商提供的以上材料必须真实有效，任何一项的虚假将导致其响应被拒绝。</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.2　本项目是否要求提供样品的见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.3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规定供应商在磋商时提供样品的，供应商有以下情形之一的，在磋商时将其视为无效响应文件。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(1)未在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规定的提交时间、地点提交的；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(2)供应商提供的样品与响应文件中型号、规格不一致的。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.4　在磋商过程中，供应商根据评审小组要求提交的最后报价(或者重新提交的响应文件和最后报价)是响应文件的有效组成部分。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.5　磋商文件规定可能发生实质性变动的，供应商应当在《技术/商务响应与偏离表》中的对应内容处注明。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.6　供应商无论成交与否，其响应文件不予退还。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供应商应按磋商文件规定的供货及服务要求、责任范围和合同条件，以人民币进行报价。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供应商必须按报价一览表和分项价格表的内容和格式要求填写各项货物及服务的分项价格和总价。供应商在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规定的提交首次响应文件截止之日前修改报价一览表中的报价的，应同时修改其分项价格表中的报价。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供应商的最终报价不得超过采购项目预算。本次采购项目的预算见磋商须知前附表。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本项目是否交纳磋商保证金要求见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规定交纳磋商保证金的，应以支票、汇票、本票、网上银行或金融机构、担保机构出具的保函等非现金形式，在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规定的提交首次响应文件截止时间前，向采购人或采购代理机构交纳不超过采购项目预算</w:t>
      </w:r>
      <w:r>
        <w:rPr>
          <w:rFonts w:hint="eastAsia" w:ascii="宋体" w:hAnsi="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rPr>
        <w:t>%的谈判保证金(数额采用四舍五入，计算至元)。磋商保证金有效期应当与本章</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规定的磋商响应有效期一致。未按磋商文件规定提交保证金的，采购人或采购代理机构应当拒绝接收供应商的响应文件。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.3　供应商为联合体的，可以由联合体中的一方或者共同交纳保证金，其交纳的保证金，对联合体各方均具有约束力。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未成交供应商的保证金，在成交通知书发出后5个工作日内退还；成交供应商的保证金，在采购合同签订后5个工作日内退还，但因供应商自身原因导致无法及时退还的除外。</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.5　有下列情形之一的，保证金不予退还：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规定的提交首次响应文件截止时间后撤回响应文件的；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(2)供应商在响应文件中提供虚假材料的；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(3)除因不可抗力或磋商文件认可的情形以外，成交供应商不与采购人签订合同的；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(4)供应商与采购人、其他供应商或者采购代理机构恶意串通的；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(5)磋商文件规定的其他情形。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.磋商响应有效期</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磋商响应有效期见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，在此期间响应文件对供应商具有法律约束力。响应文件有效期从</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规定的提交首次响应文件截止时间之日起计算。磋商响应有效期不足的将被视为无效响应。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.响应文件的签署及规定</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1电子响应文件使用政采云平台提供的响应文件制作工具以及磋商文件要求进行制作编制。响应文件制作时，不同内容按标签提示制作导入，按照磋商文件中明确的响应文件目录和格式进行编制，保证目录清晰、内容完整。</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.2电子响应文件须使用投标人公章的电子签章以及法定代表人的电子签章。若无电子签章，则视为无效投标。</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3电子招响应文件具有法律效力，与其他形式的招响应文件在内容和格式上等同，若响应文件与磋商文件要求不一致，其内容影响中标结果时，责任由投标人自行承担。投标人递交的电子响应文件因投标人自身原因而导致无法导入电子辅助评标系统，该响应文件视为无效响应文件，将导致其投标被拒绝。</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17</w:t>
      </w:r>
      <w:r>
        <w:rPr>
          <w:rFonts w:hint="eastAsia" w:ascii="宋体" w:hAnsi="宋体" w:eastAsia="宋体"/>
          <w:color w:val="auto"/>
          <w:kern w:val="2"/>
          <w:sz w:val="24"/>
          <w:szCs w:val="22"/>
          <w:highlight w:val="none"/>
        </w:rPr>
        <w:t xml:space="preserve">.4电子响应文件制作工具在生成加密响应文件时，同时生成非加密响应文件一份。未加密的电子响应文件由投标人使用光盘制作（投标人须保证启用光盘时能正常读取）。 </w:t>
      </w:r>
    </w:p>
    <w:p>
      <w:pPr>
        <w:spacing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.响应文件的密封和标记</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.1</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应通过电子响应文件制作工具严格按磋商文件要求制作响应文件，在投标截止时间前完成上传经过数字证书电子签章并加密的响应文件（加密和解密须用同一把数字证书）。</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在投标截止时间前，可以对其所递交的响应文件进行修改并重新上传，但以投标截止时间前最后一次上传的响应文件为有效响应文件。</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rPr>
        <w:t>投标截止时间以政采云中心交易平台显示的时间为准，逾期系统将自动关闭，未完成上传的响应文件视为逾期送达，将被拒绝。</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.2未加密的电子响应文件光盘应封装在信封中。封口处加盖</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公章，封皮上注明项目编号、包号、项目名称、</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名称，并注明“未加密的电子响应文件”字样。</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认为有必要提交的其他资料请于投标截止时间前一并提交。</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.3如果</w:t>
      </w:r>
      <w:r>
        <w:rPr>
          <w:rFonts w:hint="eastAsia" w:ascii="宋体" w:hAnsi="宋体" w:eastAsia="宋体"/>
          <w:color w:val="auto"/>
          <w:kern w:val="2"/>
          <w:sz w:val="24"/>
          <w:szCs w:val="22"/>
          <w:highlight w:val="none"/>
          <w:lang w:val="en-US" w:eastAsia="zh-CN"/>
        </w:rPr>
        <w:t>供应商</w:t>
      </w:r>
      <w:r>
        <w:rPr>
          <w:rFonts w:hint="eastAsia" w:ascii="宋体" w:hAnsi="宋体" w:eastAsia="宋体"/>
          <w:color w:val="auto"/>
          <w:kern w:val="2"/>
          <w:sz w:val="24"/>
          <w:szCs w:val="22"/>
          <w:highlight w:val="none"/>
        </w:rPr>
        <w:t>未按上述要求密封及加写标记，采购代理机构对响应文件的误投和提前启封概不负责。对由此造成提前开封的响应文件，采购代理机构有权予以拒绝，并退回投标人。</w:t>
      </w:r>
    </w:p>
    <w:p>
      <w:pPr>
        <w:pStyle w:val="81"/>
        <w:spacing w:line="360" w:lineRule="auto"/>
        <w:ind w:firstLine="480" w:firstLineChars="200"/>
        <w:rPr>
          <w:rFonts w:hint="eastAsia" w:ascii="宋体" w:hAnsi="宋体" w:eastAsia="宋体"/>
          <w:color w:val="auto"/>
          <w:kern w:val="2"/>
          <w:sz w:val="24"/>
          <w:szCs w:val="22"/>
          <w:highlight w:val="none"/>
        </w:rPr>
      </w:pPr>
      <w:r>
        <w:rPr>
          <w:rFonts w:hint="eastAsia" w:ascii="宋体" w:hAnsi="宋体" w:eastAsia="宋体"/>
          <w:color w:val="auto"/>
          <w:kern w:val="2"/>
          <w:sz w:val="24"/>
          <w:szCs w:val="22"/>
          <w:highlight w:val="none"/>
          <w:lang w:val="en-US" w:eastAsia="zh-CN"/>
        </w:rPr>
        <w:t>18</w:t>
      </w:r>
      <w:r>
        <w:rPr>
          <w:rFonts w:hint="eastAsia" w:ascii="宋体" w:hAnsi="宋体" w:eastAsia="宋体"/>
          <w:color w:val="auto"/>
          <w:kern w:val="2"/>
          <w:sz w:val="24"/>
          <w:szCs w:val="22"/>
          <w:highlight w:val="none"/>
        </w:rPr>
        <w:t>.4是否采用不见面开标方式详见</w:t>
      </w:r>
      <w:r>
        <w:rPr>
          <w:rFonts w:hint="eastAsia" w:ascii="宋体" w:hAnsi="宋体" w:cs="宋体"/>
          <w:b/>
          <w:bCs/>
          <w:color w:val="auto"/>
          <w:sz w:val="24"/>
          <w:szCs w:val="24"/>
          <w:highlight w:val="none"/>
          <w:shd w:val="clear" w:color="auto" w:fill="auto"/>
        </w:rPr>
        <w:t>磋商须知前附表</w:t>
      </w:r>
      <w:r>
        <w:rPr>
          <w:rFonts w:hint="eastAsia" w:ascii="宋体" w:hAnsi="宋体" w:eastAsia="宋体"/>
          <w:color w:val="auto"/>
          <w:kern w:val="2"/>
          <w:sz w:val="24"/>
          <w:szCs w:val="22"/>
          <w:highlight w:val="none"/>
        </w:rPr>
        <w:t>，若本项目采用不见面开标，无需提供电子响应文件U盘、纸质响应文件。</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18.5</w:t>
      </w:r>
      <w:r>
        <w:rPr>
          <w:rFonts w:hint="eastAsia" w:ascii="宋体" w:hAnsi="宋体" w:eastAsia="宋体"/>
          <w:color w:val="auto"/>
          <w:kern w:val="2"/>
          <w:sz w:val="24"/>
          <w:szCs w:val="22"/>
          <w:highlight w:val="none"/>
        </w:rPr>
        <w:t>见面开标的响应性</w:t>
      </w:r>
      <w:r>
        <w:rPr>
          <w:rFonts w:ascii="宋体" w:hAnsi="宋体" w:eastAsia="宋体"/>
          <w:color w:val="auto"/>
          <w:kern w:val="2"/>
          <w:sz w:val="24"/>
          <w:szCs w:val="22"/>
          <w:highlight w:val="none"/>
        </w:rPr>
        <w:t>文件的签署规定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.1　响应文件按正本和副本包装，注明“正本”或“副本”，加贴封条，并在封套的封口处加盖供应商单位公章或由法定代表人或其授权代表签字。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.2　响应文件封套或外包装上应写明的内容见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18.5</w:t>
      </w:r>
      <w:r>
        <w:rPr>
          <w:rFonts w:hint="eastAsia" w:ascii="宋体" w:hAnsi="宋体" w:cs="宋体"/>
          <w:color w:val="auto"/>
          <w:sz w:val="24"/>
          <w:szCs w:val="24"/>
          <w:highlight w:val="none"/>
          <w:shd w:val="clear" w:color="auto" w:fill="auto"/>
        </w:rPr>
        <w:t>.3　响应文件如果未按上述规定密封和标记，采购人或采购代理机构应当拒绝接收。</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.响应文件的递交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.1　响应文件应在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规定的提交时间和指定地点提交。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19</w:t>
      </w:r>
      <w:r>
        <w:rPr>
          <w:rFonts w:hint="eastAsia" w:ascii="宋体" w:hAnsi="宋体" w:cs="宋体"/>
          <w:color w:val="auto"/>
          <w:sz w:val="24"/>
          <w:szCs w:val="24"/>
          <w:highlight w:val="none"/>
          <w:shd w:val="clear" w:color="auto" w:fill="auto"/>
        </w:rPr>
        <w:t>.2　在截止时间后送达的响应文件为无效文件，采购人、采购代理机构或评审小组应当拒收。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.响应文件的补充、修改或者撤回</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　供应商在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规定的提交首次响应文件截止时间前，可以对所提交的首次响应文件进行补充、修改或者撤回，并书面通知采购人或采购代理机构。该通知应有供应商法定代表人或其授权代表签字。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.2　补充、修改的内容与响应文件不一致时，以补充、修改的内容为准。</w:t>
      </w:r>
    </w:p>
    <w:p>
      <w:pPr>
        <w:spacing w:line="360" w:lineRule="auto"/>
        <w:ind w:firstLine="480" w:firstLineChars="200"/>
        <w:outlineLvl w:val="2"/>
        <w:rPr>
          <w:rFonts w:ascii="宋体" w:hAnsi="宋体" w:cs="宋体"/>
          <w:color w:val="auto"/>
          <w:sz w:val="24"/>
          <w:szCs w:val="24"/>
          <w:highlight w:val="none"/>
          <w:shd w:val="clear" w:color="auto" w:fill="auto"/>
        </w:rPr>
      </w:pPr>
      <w:bookmarkStart w:id="23" w:name="_Toc32659"/>
      <w:bookmarkStart w:id="24" w:name="_Toc20942"/>
      <w:bookmarkStart w:id="25" w:name="_Toc32149"/>
      <w:r>
        <w:rPr>
          <w:rFonts w:hint="eastAsia" w:ascii="宋体" w:hAnsi="宋体" w:cs="宋体"/>
          <w:color w:val="auto"/>
          <w:sz w:val="24"/>
          <w:szCs w:val="24"/>
          <w:highlight w:val="none"/>
          <w:shd w:val="clear" w:color="auto" w:fill="auto"/>
        </w:rPr>
        <w:t>四、磋商与评审</w:t>
      </w:r>
      <w:bookmarkEnd w:id="23"/>
      <w:bookmarkEnd w:id="24"/>
      <w:bookmarkEnd w:id="25"/>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.评审小组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　磋商与评审由依法组建的评审小组负责，评审小组由采购人代表和评审专家组成。</w:t>
      </w: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.★初步审查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(1)供应商未按照磋商文件规定提交磋商保证金的；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(2)未按照磋商文件规定要求密封、签署、盖章的；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(3)响应有效期不足的；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(4)供应商不满足磋商文件供应商资格条件或未按照磋商文件规定提供资格证明材料的；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(5)响应文件不满足磋商文件实质性条款的。响应文件是否实质性响应磋商文件，由评审小组依据磋商文件规定、供应商响应文件及磋商情况认定；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(6)供应商存在失信记录的：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（7）其他不符合法律、规章、规范性文件和磋商文件规定的。</w:t>
      </w:r>
    </w:p>
    <w:p>
      <w:pPr>
        <w:spacing w:line="440" w:lineRule="exact"/>
        <w:ind w:firstLine="482" w:firstLineChars="200"/>
        <w:rPr>
          <w:rFonts w:hint="eastAsia"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.2★资格审查一览表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vAlign w:val="center"/>
          </w:tcPr>
          <w:p>
            <w:pPr>
              <w:spacing w:line="26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序号</w:t>
            </w:r>
          </w:p>
        </w:tc>
        <w:tc>
          <w:tcPr>
            <w:tcW w:w="7893" w:type="dxa"/>
            <w:vAlign w:val="center"/>
          </w:tcPr>
          <w:p>
            <w:pPr>
              <w:spacing w:line="260" w:lineRule="exact"/>
              <w:jc w:val="center"/>
              <w:rPr>
                <w:rFonts w:hint="eastAsia"/>
                <w:color w:val="auto"/>
                <w:sz w:val="21"/>
                <w:szCs w:val="21"/>
                <w:highlight w:val="none"/>
                <w:lang w:val="en-US" w:eastAsia="zh-CN"/>
              </w:rPr>
            </w:pPr>
            <w:r>
              <w:rPr>
                <w:rFonts w:hint="eastAsia"/>
                <w:b/>
                <w:bCs/>
                <w:color w:val="auto"/>
                <w:sz w:val="21"/>
                <w:szCs w:val="21"/>
                <w:highlight w:val="no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eastAsia="宋体" w:cs="宋体"/>
                <w:color w:val="auto"/>
                <w:sz w:val="21"/>
                <w:szCs w:val="21"/>
                <w:highlight w:val="none"/>
                <w:shd w:val="clear" w:color="auto" w:fill="auto"/>
              </w:rPr>
              <w:t>1</w:t>
            </w:r>
          </w:p>
        </w:tc>
        <w:tc>
          <w:tcPr>
            <w:tcW w:w="7893" w:type="dxa"/>
            <w:vAlign w:val="center"/>
          </w:tcPr>
          <w:p>
            <w:pPr>
              <w:pStyle w:val="77"/>
              <w:spacing w:line="240" w:lineRule="auto"/>
              <w:rPr>
                <w:color w:val="auto"/>
                <w:sz w:val="21"/>
                <w:szCs w:val="21"/>
                <w:highlight w:val="none"/>
              </w:rPr>
            </w:pPr>
            <w:r>
              <w:rPr>
                <w:rFonts w:hint="eastAsia"/>
                <w:color w:val="auto"/>
                <w:sz w:val="21"/>
                <w:szCs w:val="21"/>
                <w:highlight w:val="none"/>
              </w:rPr>
              <w:t>《中华人民共和国政府采购法》第二十二条应当具备的条件；并在响应文件中提供下列材料：</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（1）具有独立承担民事责任的能力；</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 </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（2）具有良好的商业信誉和健全的财务会计制度；</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（需提供2021年度经会计师事务所出具的财务审计报告或其基本开户银行出具的资信证明）</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（3）具有依法缴纳税收和社会保障资金的良好记录</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（需提供投标截止日前六个月内任一个月的企业纳税证明和社保缴费记录证明，，无需纳税或免税的需提供相应证明材料）；</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（4）参加政府采购活动前三年内（成立不足三年的从成立之日起算），在经营活动中没有重大违法记录</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 xml:space="preserve">（需提供加盖公章的声明书）； </w:t>
            </w:r>
          </w:p>
          <w:p>
            <w:pPr>
              <w:spacing w:line="260" w:lineRule="exact"/>
              <w:rPr>
                <w:rFonts w:hint="eastAsia"/>
                <w:color w:val="auto"/>
                <w:sz w:val="21"/>
                <w:szCs w:val="21"/>
                <w:highlight w:val="none"/>
                <w:lang w:val="en-US" w:eastAsia="zh-CN"/>
              </w:rPr>
            </w:pPr>
            <w:r>
              <w:rPr>
                <w:rFonts w:hint="eastAsia"/>
                <w:color w:val="auto"/>
                <w:sz w:val="21"/>
                <w:szCs w:val="21"/>
                <w:highlight w:val="none"/>
                <w:lang w:val="en-US" w:eastAsia="zh-CN"/>
              </w:rPr>
              <w:t>（5）具有履行合同所必需的设备及专业技术能力和供应保障能力</w:t>
            </w:r>
          </w:p>
          <w:p>
            <w:pPr>
              <w:spacing w:line="260" w:lineRule="exact"/>
              <w:rPr>
                <w:rFonts w:hint="eastAsia" w:ascii="宋体" w:hAnsi="宋体" w:eastAsia="宋体" w:cs="宋体"/>
                <w:b/>
                <w:bCs/>
                <w:color w:val="auto"/>
                <w:sz w:val="21"/>
                <w:szCs w:val="21"/>
                <w:highlight w:val="none"/>
                <w:shd w:val="clear" w:color="auto" w:fill="auto"/>
              </w:rPr>
            </w:pPr>
            <w:r>
              <w:rPr>
                <w:rFonts w:hint="eastAsia"/>
                <w:color w:val="auto"/>
                <w:sz w:val="21"/>
                <w:szCs w:val="21"/>
                <w:highlight w:val="none"/>
                <w:lang w:val="en-US" w:eastAsia="zh-CN"/>
              </w:rPr>
              <w:t>（提供具有履行合同所必需的设备和专业技术能力相关证明材料或承诺书）；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2</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olor w:val="auto"/>
                <w:kern w:val="2"/>
                <w:sz w:val="21"/>
                <w:szCs w:val="21"/>
                <w:highlight w:val="none"/>
              </w:rPr>
              <w:t>法定代表人身份证明及授权委托书</w:t>
            </w:r>
            <w:r>
              <w:rPr>
                <w:rFonts w:ascii="宋体" w:hAnsi="宋体"/>
                <w:bCs/>
                <w:color w:val="auto"/>
                <w:sz w:val="21"/>
                <w:szCs w:val="21"/>
                <w:highlight w:val="none"/>
              </w:rPr>
              <w:t>（法人组织提供授权委托书、其他组织提供负责人授权书、自然人提供身份证明文件）</w:t>
            </w:r>
            <w:r>
              <w:rPr>
                <w:rFonts w:hint="eastAsia" w:ascii="宋体" w:hAnsi="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3</w:t>
            </w:r>
          </w:p>
        </w:tc>
        <w:tc>
          <w:tcPr>
            <w:tcW w:w="7893" w:type="dxa"/>
            <w:vAlign w:val="center"/>
          </w:tcPr>
          <w:p>
            <w:pPr>
              <w:tabs>
                <w:tab w:val="left" w:pos="5309"/>
              </w:tabs>
              <w:adjustRightInd w:val="0"/>
              <w:snapToGrid w:val="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4</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落实政府采购政策需满足的资格要求：本项目专门面向中小企业，应为中小微企业或监狱企业或残疾人福利性单位；投标人应按</w:t>
            </w:r>
            <w:r>
              <w:rPr>
                <w:rFonts w:hint="eastAsia" w:ascii="宋体" w:hAnsi="宋体" w:cs="宋体"/>
                <w:color w:val="auto"/>
                <w:sz w:val="21"/>
                <w:szCs w:val="21"/>
                <w:highlight w:val="none"/>
                <w:shd w:val="clear" w:color="auto" w:fill="auto"/>
                <w:lang w:eastAsia="zh-CN"/>
              </w:rPr>
              <w:t>磋商文件</w:t>
            </w:r>
            <w:r>
              <w:rPr>
                <w:rFonts w:hint="eastAsia" w:ascii="宋体" w:hAnsi="宋体" w:eastAsia="宋体" w:cs="宋体"/>
                <w:color w:val="auto"/>
                <w:sz w:val="21"/>
                <w:szCs w:val="21"/>
                <w:highlight w:val="none"/>
                <w:shd w:val="clear" w:color="auto" w:fill="auto"/>
                <w:lang w:eastAsia="zh-CN"/>
              </w:rPr>
              <w:t>要求提供《中小企业声明函》或《残疾人福利性单位声明函》或监狱企业证明材料；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5</w:t>
            </w:r>
          </w:p>
        </w:tc>
        <w:tc>
          <w:tcPr>
            <w:tcW w:w="7893" w:type="dxa"/>
            <w:vAlign w:val="center"/>
          </w:tcPr>
          <w:p>
            <w:pPr>
              <w:spacing w:line="240" w:lineRule="auto"/>
              <w:rPr>
                <w:rFonts w:hint="eastAsia" w:ascii="宋体" w:hAnsi="宋体" w:eastAsia="宋体" w:cs="宋体"/>
                <w:b/>
                <w:bCs/>
                <w:color w:val="auto"/>
                <w:sz w:val="21"/>
                <w:szCs w:val="21"/>
                <w:highlight w:val="none"/>
                <w:shd w:val="clear" w:color="auto" w:fill="auto"/>
              </w:rPr>
            </w:pPr>
            <w:r>
              <w:rPr>
                <w:rFonts w:hint="eastAsia" w:cs="Times New Roman"/>
                <w:color w:val="auto"/>
                <w:sz w:val="21"/>
                <w:szCs w:val="21"/>
                <w:highlight w:val="none"/>
              </w:rPr>
              <w:t>本项目不接受联合体投标</w:t>
            </w:r>
            <w:r>
              <w:rPr>
                <w:rFonts w:hint="eastAsia"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vAlign w:val="center"/>
          </w:tcPr>
          <w:p>
            <w:pPr>
              <w:spacing w:line="260" w:lineRule="exact"/>
              <w:jc w:val="center"/>
              <w:rPr>
                <w:rFonts w:hint="eastAsia"/>
                <w:color w:val="auto"/>
                <w:highlight w:val="none"/>
                <w:vertAlign w:val="baseline"/>
                <w:lang w:val="en-US" w:eastAsia="zh-CN"/>
              </w:rPr>
            </w:pPr>
            <w:r>
              <w:rPr>
                <w:rFonts w:hint="eastAsia" w:ascii="宋体" w:hAnsi="宋体" w:cs="宋体"/>
                <w:color w:val="auto"/>
                <w:sz w:val="21"/>
                <w:szCs w:val="21"/>
                <w:highlight w:val="none"/>
                <w:shd w:val="clear" w:color="auto" w:fill="auto"/>
                <w:lang w:val="en-US" w:eastAsia="zh-CN"/>
              </w:rPr>
              <w:t>6</w:t>
            </w:r>
          </w:p>
        </w:tc>
        <w:tc>
          <w:tcPr>
            <w:tcW w:w="7893" w:type="dxa"/>
            <w:vAlign w:val="center"/>
          </w:tcPr>
          <w:p>
            <w:pPr>
              <w:spacing w:line="260" w:lineRule="exact"/>
              <w:rPr>
                <w:rFonts w:hint="eastAsia" w:ascii="宋体" w:hAnsi="宋体" w:eastAsia="宋体" w:cs="宋体"/>
                <w:b/>
                <w:bCs/>
                <w:color w:val="auto"/>
                <w:sz w:val="21"/>
                <w:szCs w:val="21"/>
                <w:highlight w:val="none"/>
                <w:shd w:val="clear" w:color="auto" w:fill="auto"/>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规定要求交</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保证金</w:t>
            </w:r>
            <w:r>
              <w:rPr>
                <w:rFonts w:hint="eastAsia" w:ascii="宋体" w:hAnsi="宋体" w:cs="宋体"/>
                <w:color w:val="auto"/>
                <w:sz w:val="21"/>
                <w:szCs w:val="21"/>
                <w:highlight w:val="none"/>
                <w:lang w:eastAsia="zh-CN"/>
              </w:rPr>
              <w:t>。</w:t>
            </w:r>
          </w:p>
        </w:tc>
      </w:tr>
    </w:tbl>
    <w:p>
      <w:pPr>
        <w:spacing w:line="440" w:lineRule="exact"/>
        <w:jc w:val="left"/>
        <w:rPr>
          <w:rFonts w:hint="eastAsia" w:ascii="宋体" w:hAnsi="宋体" w:cs="宋体"/>
          <w:color w:val="auto"/>
          <w:sz w:val="24"/>
          <w:szCs w:val="24"/>
          <w:highlight w:val="none"/>
          <w:shd w:val="clear" w:color="auto" w:fill="auto"/>
        </w:rPr>
      </w:pPr>
    </w:p>
    <w:p>
      <w:pPr>
        <w:spacing w:line="440" w:lineRule="exact"/>
        <w:ind w:firstLine="480" w:firstLineChars="20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1.资格审查合格的打“√”，不合格的打“×”。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2.资格审查结果，通过打“√”，不通过的打“×”。</w:t>
      </w:r>
    </w:p>
    <w:p>
      <w:pPr>
        <w:spacing w:line="440" w:lineRule="exact"/>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3.请填写不通过资格审查的供应商的原因。</w:t>
      </w:r>
    </w:p>
    <w:p>
      <w:pPr>
        <w:pStyle w:val="41"/>
        <w:rPr>
          <w:rFonts w:hint="eastAsia" w:ascii="宋体" w:hAnsi="宋体" w:cs="宋体"/>
          <w:color w:val="auto"/>
          <w:sz w:val="24"/>
          <w:szCs w:val="24"/>
          <w:highlight w:val="none"/>
          <w:shd w:val="clear" w:color="auto" w:fill="auto"/>
        </w:rPr>
      </w:pPr>
    </w:p>
    <w:p>
      <w:pPr>
        <w:spacing w:line="360" w:lineRule="auto"/>
        <w:ind w:firstLine="482" w:firstLineChars="200"/>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2</w:t>
      </w:r>
      <w:r>
        <w:rPr>
          <w:rFonts w:ascii="宋体" w:hAnsi="宋体" w:cs="宋体"/>
          <w:b/>
          <w:bCs/>
          <w:color w:val="auto"/>
          <w:sz w:val="24"/>
          <w:szCs w:val="24"/>
          <w:highlight w:val="none"/>
          <w:shd w:val="clear" w:color="auto" w:fill="auto"/>
        </w:rPr>
        <w:t>2</w:t>
      </w:r>
      <w:r>
        <w:rPr>
          <w:rFonts w:hint="eastAsia" w:ascii="宋体" w:hAnsi="宋体" w:cs="宋体"/>
          <w:b/>
          <w:bCs/>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rPr>
        <w:t>符合性审查一览表</w:t>
      </w:r>
    </w:p>
    <w:tbl>
      <w:tblPr>
        <w:tblStyle w:val="31"/>
        <w:tblW w:w="403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66"/>
        <w:gridCol w:w="7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序号</w:t>
            </w:r>
          </w:p>
        </w:tc>
        <w:tc>
          <w:tcPr>
            <w:tcW w:w="4607" w:type="pct"/>
            <w:tcBorders>
              <w:top w:val="single" w:color="auto" w:sz="4" w:space="0"/>
              <w:left w:val="single" w:color="auto" w:sz="4" w:space="0"/>
              <w:bottom w:val="single" w:color="auto" w:sz="4" w:space="0"/>
            </w:tcBorders>
            <w:noWrap w:val="0"/>
            <w:vAlign w:val="center"/>
          </w:tcPr>
          <w:p>
            <w:pPr>
              <w:spacing w:line="280" w:lineRule="exact"/>
              <w:jc w:val="center"/>
              <w:rPr>
                <w:rFonts w:hint="eastAsia" w:ascii="仿宋" w:hAnsi="仿宋" w:eastAsia="仿宋" w:cs="仿宋"/>
                <w:b/>
                <w:bCs/>
                <w:color w:val="auto"/>
                <w:sz w:val="21"/>
                <w:szCs w:val="21"/>
                <w:highlight w:val="none"/>
                <w:shd w:val="clear" w:color="auto" w:fill="auto"/>
              </w:rPr>
            </w:pPr>
            <w:r>
              <w:rPr>
                <w:rFonts w:hint="eastAsia" w:ascii="仿宋" w:hAnsi="仿宋" w:eastAsia="仿宋" w:cs="仿宋"/>
                <w:b/>
                <w:bCs/>
                <w:color w:val="auto"/>
                <w:sz w:val="21"/>
                <w:szCs w:val="21"/>
                <w:highlight w:val="none"/>
                <w:shd w:val="clear" w:color="auto" w:fill="auto"/>
              </w:rPr>
              <w:t>审查内容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文件规定要求密封、签署、盖章的；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2</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按照磋商文件要求递交完整的响应文件</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有法定代表人(负责人)签字或盖章或签字人已有法定代表人(负责人)有效授权</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没有出现串通投标的情况</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实质性响应</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文件标示“★”符号的条款</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6</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报价没有缺漏项目</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7</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w:t>
            </w:r>
            <w:r>
              <w:rPr>
                <w:rFonts w:hint="eastAsia" w:ascii="宋体" w:hAnsi="宋体" w:cs="宋体"/>
                <w:color w:val="auto"/>
                <w:szCs w:val="21"/>
                <w:highlight w:val="none"/>
                <w:shd w:val="clear" w:color="auto" w:fill="auto"/>
                <w:lang w:val="en-US" w:eastAsia="zh-CN"/>
              </w:rPr>
              <w:t>未</w:t>
            </w:r>
            <w:r>
              <w:rPr>
                <w:rFonts w:hint="eastAsia" w:ascii="宋体" w:hAnsi="宋体" w:eastAsia="宋体" w:cs="宋体"/>
                <w:color w:val="auto"/>
                <w:szCs w:val="21"/>
                <w:highlight w:val="none"/>
                <w:shd w:val="clear" w:color="auto" w:fill="auto"/>
                <w:lang w:val="en-US" w:eastAsia="zh-CN"/>
              </w:rPr>
              <w:t>超过预算价或最高限价</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8</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无</w:t>
            </w:r>
            <w:r>
              <w:rPr>
                <w:rFonts w:hint="eastAsia" w:ascii="宋体" w:hAnsi="宋体" w:eastAsia="宋体" w:cs="宋体"/>
                <w:color w:val="auto"/>
                <w:szCs w:val="21"/>
                <w:highlight w:val="none"/>
                <w:shd w:val="clear" w:color="auto" w:fill="auto"/>
                <w:lang w:val="en-US" w:eastAsia="zh-CN"/>
              </w:rPr>
              <w:t>明显不符合</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文件关于对</w:t>
            </w:r>
            <w:r>
              <w:rPr>
                <w:rFonts w:hint="eastAsia" w:ascii="宋体" w:hAnsi="宋体" w:cs="宋体"/>
                <w:color w:val="auto"/>
                <w:szCs w:val="21"/>
                <w:highlight w:val="none"/>
                <w:shd w:val="clear" w:color="auto" w:fill="auto"/>
                <w:lang w:val="en-US" w:eastAsia="zh-CN"/>
              </w:rPr>
              <w:t>磋商服务</w:t>
            </w:r>
            <w:r>
              <w:rPr>
                <w:rFonts w:hint="eastAsia" w:ascii="宋体" w:hAnsi="宋体" w:eastAsia="宋体" w:cs="宋体"/>
                <w:color w:val="auto"/>
                <w:szCs w:val="21"/>
                <w:highlight w:val="none"/>
                <w:shd w:val="clear" w:color="auto" w:fill="auto"/>
                <w:lang w:val="en-US" w:eastAsia="zh-CN"/>
              </w:rPr>
              <w:t>技术规格和标准的要求</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9</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报价有效期为90个日历日</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10</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技术商务条款上没有存在重大偏离</w:t>
            </w:r>
            <w:r>
              <w:rPr>
                <w:rFonts w:hint="eastAsia" w:ascii="宋体" w:hAnsi="宋体" w:cs="宋体"/>
                <w:color w:val="auto"/>
                <w:szCs w:val="21"/>
                <w:highlight w:val="none"/>
                <w:shd w:val="clear" w:color="auto" w:fil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11</w:t>
            </w:r>
          </w:p>
        </w:tc>
        <w:tc>
          <w:tcPr>
            <w:tcW w:w="4607" w:type="pct"/>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符合法律、法规和</w:t>
            </w:r>
            <w:r>
              <w:rPr>
                <w:rFonts w:hint="eastAsia" w:ascii="宋体" w:hAnsi="宋体" w:cs="宋体"/>
                <w:color w:val="auto"/>
                <w:szCs w:val="21"/>
                <w:highlight w:val="none"/>
                <w:shd w:val="clear" w:color="auto" w:fill="auto"/>
                <w:lang w:val="en-US" w:eastAsia="zh-CN"/>
              </w:rPr>
              <w:t>磋商</w:t>
            </w:r>
            <w:r>
              <w:rPr>
                <w:rFonts w:hint="eastAsia" w:ascii="宋体" w:hAnsi="宋体" w:eastAsia="宋体" w:cs="宋体"/>
                <w:color w:val="auto"/>
                <w:szCs w:val="21"/>
                <w:highlight w:val="none"/>
                <w:shd w:val="clear" w:color="auto" w:fill="auto"/>
                <w:lang w:val="en-US" w:eastAsia="zh-CN"/>
              </w:rPr>
              <w:t>文件中规定的其他实质性要求</w:t>
            </w:r>
            <w:r>
              <w:rPr>
                <w:rFonts w:hint="eastAsia" w:ascii="宋体" w:hAnsi="宋体" w:cs="宋体"/>
                <w:color w:val="auto"/>
                <w:szCs w:val="21"/>
                <w:highlight w:val="none"/>
                <w:shd w:val="clear" w:color="auto" w:fill="auto"/>
                <w:lang w:val="en-US" w:eastAsia="zh-CN"/>
              </w:rPr>
              <w:t>。</w:t>
            </w:r>
          </w:p>
        </w:tc>
      </w:tr>
    </w:tbl>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1.符合性审查合格的打“√”，不合格的打“×”。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2.符合性审查结果，通过打“√”，不通过的打“×”。</w:t>
      </w:r>
    </w:p>
    <w:p>
      <w:pPr>
        <w:pStyle w:val="17"/>
        <w:spacing w:line="360" w:lineRule="auto"/>
        <w:ind w:firstLine="480" w:firstLineChars="200"/>
        <w:rPr>
          <w:rFonts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3.请填写不通过审查的供应商的原因。</w:t>
      </w:r>
    </w:p>
    <w:p>
      <w:pPr>
        <w:pStyle w:val="17"/>
        <w:spacing w:line="360" w:lineRule="auto"/>
        <w:ind w:firstLine="480" w:firstLineChars="200"/>
        <w:rPr>
          <w:rFonts w:hint="eastAsia" w:hAnsi="宋体" w:eastAsia="宋体" w:cs="宋体"/>
          <w:color w:val="auto"/>
          <w:sz w:val="24"/>
          <w:szCs w:val="24"/>
          <w:highlight w:val="none"/>
          <w:shd w:val="clear" w:color="auto" w:fill="auto"/>
          <w:lang w:eastAsia="zh-CN"/>
        </w:rPr>
      </w:pPr>
      <w:r>
        <w:rPr>
          <w:rFonts w:hint="eastAsia" w:hAnsi="宋体" w:cs="宋体"/>
          <w:color w:val="auto"/>
          <w:sz w:val="24"/>
          <w:szCs w:val="24"/>
          <w:highlight w:val="none"/>
          <w:shd w:val="clear" w:color="auto" w:fill="auto"/>
        </w:rPr>
        <w:t>4.符合性审查由评审小组进行审查</w:t>
      </w:r>
      <w:r>
        <w:rPr>
          <w:rFonts w:hint="eastAsia" w:hAnsi="宋体" w:cs="宋体"/>
          <w:color w:val="auto"/>
          <w:sz w:val="24"/>
          <w:szCs w:val="24"/>
          <w:highlight w:val="none"/>
          <w:shd w:val="clear" w:color="auto" w:fill="auto"/>
          <w:lang w:eastAsia="zh-CN"/>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.澄清</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　初审结束后，评审小组所有成员集中与单一供应商分别进行磋商，并给予所有参加磋商的供应商平等的磋商机会。供应商应派其法定代表人或授权代表参加磋商。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　在磋商过程中，评审小组可以根据磋商文件和磋商情况实质性变动采购需求中的技术、服务要求以及合同草案条款，但不得变动磋商文件中的其他内容。实质性变动的内容，须经采购人代表确认。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　对磋商文件作出的实质性变动是磋商文件的有效组成部分，评审小组应当及时以书面形式同时通知所有参加磋商的供应商。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.5　磋商文件不能详细列明采购标的技术、服务要求，需经磋商由供应商提供最终设计方案或解决方案的，磋商结束后，评审小组应当按照少数服从多数的原则投票推荐3家以上供应商的设计方案或者解决方案。</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.6　评审小组应当根据实际情况与供应商进行磋商，并确定磋商的轮次。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.7　已提交响应文件的供应商，在提交最后报价之前，可以根据磋商情况退出磋商。采购人或采购代理机构应当退还退出磋商的供应商的磋商保证金。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.8　磋商结束后，供应商按照评审小组要求重新提交的响应文件，不满足磋商文件及变动后的技术、服务要求以及合同草案条款的实质性要求的，将视为无效响应文件。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　磋商结束后，评审小组应当要求所有实质性响应的供应商在规定时间内提交最后报价，提交最后报价的供应商不得少于3家。</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25.3　最后报价是供应商响应文件的有效组成部分。如评审小组没有对磋商文件作实质性变动或增加新的需求，最后报价不得高于首轮报价。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.最后报价评审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　最后报价计算错误修正的原则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(1)最后报价的大写金额和小写金额不一致的，以大写金额为准。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(2)总价金额与按分项报价汇总金额不一致的，以分项报价金额计算结果为准。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(3)分项报价金额小数点有明显错位的，应以总价为准，并修改分项报价。</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(4)如果供应商不接受对其错误的更正，其最后报价将被视为无效报价或确定为无效响应。</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　最后报价的价格扣除原则</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(1)节能产品(视具体项目适用)：供应商所投产品中，如有符合政策的节能产品的，对节能产品在评审时按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的规定对其最终报价给予价格扣除或在评审时予以加分。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(3)对小型或微型企业以及监狱企业，在评审时按</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的规定对其最终报价给予价格扣除。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　价格得分：以供应商的最后报价作为价格评分依据。供应商的评审价为按上述条款修正并给予价格扣除优惠后的价格。</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价格评分统一采用低价优先法计算，即满足磋商文件要求且价格最低的评审价为评审基准价，其价格分为满分。其他供应商的价格分统一按照下列公式计算：</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价格评分＝(评审基准价/评审价)×价格分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.综合评审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　经磋商确定最终采购需求和提交最后报价的供应商后，由评审小组采用综合评分法对提交最后报价的供应商的响应文件和最后报价进行综合评分。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　评审办法及标准见第三章。</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　评审时，评审小组成员应当独立对每个有效响应的文件进行评价、打分，然后汇总每个供应商每项评分因素的得分。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.提出成交供应商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.2　评审得分相同的，按照最后报价由低到高的顺序推荐。评审得分且最后报价相同的，按照技术指标优劣顺序推荐。</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.1采购代理机构应当在评审结束之日起2个工作日内将评审报告送采购人确认。</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.2采购人应当在收到评审报告之日起5个工作日内，从评审报告提出的成交候选供应商中，按照排序由高到低的原则确定成交供应商，也可以书面授权评审小组直接确定成交供应商。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29</w:t>
      </w:r>
      <w:r>
        <w:rPr>
          <w:rFonts w:hint="eastAsia" w:ascii="宋体" w:hAnsi="宋体" w:cs="宋体"/>
          <w:color w:val="auto"/>
          <w:sz w:val="24"/>
          <w:szCs w:val="24"/>
          <w:highlight w:val="none"/>
          <w:shd w:val="clear" w:color="auto" w:fill="auto"/>
        </w:rPr>
        <w:t>.3采购人自行组织磋商的，应当在评审结束之日起5个工作日内确定成交供应商。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.磋商终止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.1出现下列情形之一的，采购人或者采购代理机构应当终止磋商采购活动，在财政部指定的媒体上发布项目终止公告并说明原因，重新开展采购活动：</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(1)因情况变化，不再符合规定的磋商采购方式适用情形的；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(2)出现影响采购公正的违法、违规行为的；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(4)因重大变故，采购任务取消的。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.1除资格性检查认定错误、分值汇总计算错误、分项评分超出评分标准范围、客观分评分不一致、经评审小组一致认定评分畸高、畸低的情形外，采购人或者采购代理机构不得以任何理由组织重新评审。</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.保密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.1评审小组成员以及与评审工作有关的人员不得泄露评审情况以及评审过程中获悉的国家秘密、商业秘密。</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.禁止行为</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.1供应商不得与采购人、采购代理机构、其他供应商恶意串通；不得向采购人、采购代理机构或者评审小组成员行贿或者提供其他不正当利益；不得提供虚假材料谋取成交；不得以任何方式干扰、影响采购工作。</w:t>
      </w:r>
    </w:p>
    <w:p>
      <w:pPr>
        <w:pStyle w:val="13"/>
        <w:ind w:firstLine="480" w:firstLineChars="200"/>
        <w:rPr>
          <w:rFonts w:ascii="宋体" w:hAnsi="宋体" w:eastAsia="宋体"/>
          <w:b/>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b/>
          <w:color w:val="auto"/>
          <w:kern w:val="2"/>
          <w:sz w:val="24"/>
          <w:szCs w:val="22"/>
          <w:highlight w:val="none"/>
        </w:rPr>
        <w:t>纪律</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.1投标人的投标行为应遵守中国的有关法律、法规和规章。</w:t>
      </w:r>
    </w:p>
    <w:p>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.2投标人不得相互串通投标报价，不得妨碍其他投标人的公平竞争，不得损害采购人或其他投标人的合法权益，投标人不得以向采购人、磋商小组成员行贿或者采取其他不正当手段谋取中标。</w:t>
      </w:r>
    </w:p>
    <w:p>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2.1有下列情形之一的，属于投标人相互串通投标：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投标人之间协商投标报价等响应文件的实质性内容；</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投标人之间约定中标人；</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投标人之间约定部分投标人放弃投标或者中标；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属于同一集团、协会、商会等组织成员的投标人按照该组织要求协同投标；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投标人之间为谋取中标或者排斥特定投标人而采取的其他联合行动。</w:t>
      </w:r>
    </w:p>
    <w:p>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w:t>
      </w: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有下列情形之一的，视为投标人相互串通投标：</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不同投标人的响应文件由同一单位或者个人编制；</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不同投标人委托同一单位或者个人办理投标事宜，或制作电子响应文件的文件制作机器码（mac地址）一致，或制作电子响应文件的文件创建标识码一致；</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不同投标人的响应文件载明的项目管理成员为同一人；</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不同投标人的响应文件异常一致或者投标报价呈规律性差异；</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不同投标人的响应文件相互混装；</w:t>
      </w:r>
    </w:p>
    <w:p>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(6)</w:t>
      </w:r>
      <w:r>
        <w:rPr>
          <w:rFonts w:hint="eastAsia" w:ascii="宋体" w:hAnsi="宋体" w:eastAsia="宋体"/>
          <w:b/>
          <w:bCs/>
          <w:color w:val="auto"/>
          <w:kern w:val="2"/>
          <w:sz w:val="24"/>
          <w:szCs w:val="22"/>
          <w:highlight w:val="none"/>
        </w:rPr>
        <w:t>不同投标人的投标保证金从同一单位或者个人的账户转出。</w:t>
      </w:r>
    </w:p>
    <w:p>
      <w:pPr>
        <w:spacing w:line="360" w:lineRule="auto"/>
        <w:ind w:firstLine="480" w:firstLineChars="200"/>
        <w:outlineLvl w:val="2"/>
        <w:rPr>
          <w:rFonts w:ascii="宋体" w:hAnsi="宋体" w:cs="宋体"/>
          <w:color w:val="auto"/>
          <w:sz w:val="24"/>
          <w:szCs w:val="24"/>
          <w:highlight w:val="none"/>
          <w:shd w:val="clear" w:color="auto" w:fill="auto"/>
        </w:rPr>
      </w:pPr>
      <w:bookmarkStart w:id="26" w:name="_Toc9654"/>
      <w:bookmarkStart w:id="27" w:name="_Toc30010"/>
      <w:bookmarkStart w:id="28" w:name="_Toc25152"/>
      <w:r>
        <w:rPr>
          <w:rFonts w:hint="eastAsia" w:ascii="宋体" w:hAnsi="宋体" w:cs="宋体"/>
          <w:color w:val="auto"/>
          <w:sz w:val="24"/>
          <w:szCs w:val="24"/>
          <w:highlight w:val="none"/>
          <w:shd w:val="clear" w:color="auto" w:fill="auto"/>
        </w:rPr>
        <w:t>五、成交结果信息公布与签订合同</w:t>
      </w:r>
      <w:bookmarkEnd w:id="26"/>
      <w:bookmarkEnd w:id="27"/>
      <w:bookmarkEnd w:id="28"/>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.成交信息的公布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.1成交供应商确定之日起2个工作日内，采购人或者采购代理机构应在磋商须知前附表中规定的公告媒体上公布成交结果信息。</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.2磋商文件随成交结果同时公告。但成交结果公告前磋商文件已公告的，不再重复公告。</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.3采用书面推荐供应商参加采购活动的，在公告结果同时公告采购人和评审专家的推荐意见。</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.成交通知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.1成交供应商确定后，采购人或采购代理机构在发布成交公告的同时以书面形式向成交供应商发出成交通知书。成交通知书对采购人和成交供应商具有同等法律效力。</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.履约保证金</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.1成交供应商按照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的规定，在签订采购合同前，向采购人提交履约保证金。联合体成交的，履约保证金以联合体各方或联合体中牵头人的名义提交。</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.2成交供应商没有按照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的规定提交履约保证金的，视为放弃成交资格，其磋商保证金不予退还。</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.签订合同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.1磋商文件、成交供应商的响应文件及补充文件等均为签订政府采购合同的依据。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.2成交供应商应当在成交通知书发出之日起30日内与采购人签订政府采购合同。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.4自政府采购合同签订之日起2个工作日内，本项目政府采购合同在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规定的媒体上公告，但政府采购合同中涉及国家秘密、商业秘密的内容除外。</w:t>
      </w:r>
    </w:p>
    <w:p>
      <w:pPr>
        <w:spacing w:line="360" w:lineRule="auto"/>
        <w:ind w:firstLine="480" w:firstLineChars="200"/>
        <w:outlineLvl w:val="2"/>
        <w:rPr>
          <w:rFonts w:ascii="宋体" w:hAnsi="宋体" w:cs="宋体"/>
          <w:color w:val="auto"/>
          <w:sz w:val="24"/>
          <w:szCs w:val="24"/>
          <w:highlight w:val="none"/>
          <w:shd w:val="clear" w:color="auto" w:fill="auto"/>
        </w:rPr>
      </w:pPr>
      <w:bookmarkStart w:id="29" w:name="_Toc21089"/>
      <w:bookmarkStart w:id="30" w:name="_Toc14408"/>
      <w:bookmarkStart w:id="31" w:name="_Toc11458"/>
      <w:r>
        <w:rPr>
          <w:rFonts w:hint="eastAsia" w:ascii="宋体" w:hAnsi="宋体" w:cs="宋体"/>
          <w:color w:val="auto"/>
          <w:sz w:val="24"/>
          <w:szCs w:val="24"/>
          <w:highlight w:val="none"/>
          <w:shd w:val="clear" w:color="auto" w:fill="auto"/>
        </w:rPr>
        <w:t>六、其他规定</w:t>
      </w:r>
      <w:bookmarkEnd w:id="29"/>
      <w:bookmarkEnd w:id="30"/>
      <w:bookmarkEnd w:id="31"/>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.采购代理服务费</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.1成交供应商是否交纳采购代理服务费及相关要求见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.询问、质疑、投诉</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.1供应商对政府采购活动事项有疑问的，可以向采购人提出询问，采购人应当及时作出答复，但答复的内容不得涉及商业秘密。</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.2供应商认为磋商文件、磋商过程和成交结果使自己的权益受到损害的，可以在知道或者应知其权益受到损害之日起7个工作日内，以书面形式向采购人提出质疑。</w:t>
      </w:r>
    </w:p>
    <w:p>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.3供应商对采购人或采购代理机构的答复不满意，或采购人或采购代理机构未在规定的期限作出答复的，可在答复期满后15个工作日内，按政府采购法律法规规定及程序，向财政部提出投诉。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.成交供应商有下列情形之一的，将被列入不良行为记录名单，在1～3年内禁止参加政府采购活动，并予以通报：</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(1)成交后无正当理由不与采购人签订合同的；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(2)未按照采购文件确定的事项签订政府采购合同，或者与采购人另行订立背离合同实质性内容的协议的；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(3)拒绝履行合同义务的；</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(4)《政府采购法》第七十七条和《政府采购法实施条例》第七十二条规定的其他情形；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(5)其他违反法律法规相关规定的情形。</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.其他规定</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.1磋商文件的其他规定见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.未尽事宜</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.1其他未尽事宜按政府采购法律法规的规定执行。</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.文件解释权</w:t>
      </w:r>
    </w:p>
    <w:p>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.1本磋商文件的解释权归采购人(或采购代理机构)所有。</w:t>
      </w:r>
    </w:p>
    <w:p>
      <w:pPr>
        <w:pStyle w:val="5"/>
        <w:numPr>
          <w:ilvl w:val="1"/>
          <w:numId w:val="0"/>
        </w:numPr>
        <w:jc w:val="center"/>
        <w:rPr>
          <w:rFonts w:ascii="宋体" w:hAnsi="宋体" w:cs="宋体"/>
          <w:color w:val="auto"/>
          <w:sz w:val="28"/>
          <w:szCs w:val="28"/>
          <w:highlight w:val="none"/>
          <w:shd w:val="clear" w:color="auto" w:fill="auto"/>
        </w:rPr>
      </w:pPr>
      <w:bookmarkStart w:id="32" w:name="_Toc12105"/>
      <w:bookmarkStart w:id="33" w:name="_Toc28230"/>
      <w:r>
        <w:rPr>
          <w:rFonts w:hint="eastAsia" w:ascii="宋体" w:hAnsi="宋体" w:cs="宋体"/>
          <w:color w:val="auto"/>
          <w:sz w:val="28"/>
          <w:szCs w:val="28"/>
          <w:highlight w:val="none"/>
          <w:shd w:val="clear" w:color="auto" w:fill="auto"/>
        </w:rPr>
        <w:t>第三章　评审方法及标准</w:t>
      </w:r>
      <w:bookmarkEnd w:id="32"/>
      <w:bookmarkEnd w:id="33"/>
    </w:p>
    <w:p>
      <w:pPr>
        <w:tabs>
          <w:tab w:val="left" w:pos="600"/>
        </w:tabs>
        <w:rPr>
          <w:rFonts w:ascii="宋体" w:hAnsi="宋体" w:cs="宋体"/>
          <w:color w:val="auto"/>
          <w:highlight w:val="none"/>
          <w:shd w:val="clear" w:color="auto" w:fill="auto"/>
        </w:rPr>
      </w:pPr>
    </w:p>
    <w:p>
      <w:pPr>
        <w:spacing w:line="360" w:lineRule="auto"/>
        <w:rPr>
          <w:rFonts w:hint="eastAsia" w:ascii="宋体" w:hAnsi="宋体" w:cs="宋体"/>
          <w:color w:val="auto"/>
          <w:sz w:val="24"/>
          <w:szCs w:val="24"/>
          <w:highlight w:val="none"/>
          <w:shd w:val="clear" w:color="auto" w:fill="auto"/>
        </w:rPr>
      </w:pPr>
      <w:bookmarkStart w:id="34" w:name="_Toc9615"/>
      <w:r>
        <w:rPr>
          <w:rFonts w:hint="eastAsia" w:ascii="宋体" w:hAnsi="宋体" w:cs="宋体"/>
          <w:color w:val="auto"/>
          <w:sz w:val="24"/>
          <w:szCs w:val="24"/>
          <w:highlight w:val="none"/>
          <w:shd w:val="clear" w:color="auto" w:fill="auto"/>
        </w:rPr>
        <w:t>一、评审方法</w:t>
      </w:r>
      <w:bookmarkEnd w:id="34"/>
    </w:p>
    <w:p>
      <w:pPr>
        <w:spacing w:line="360" w:lineRule="auto"/>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　评审方法：综合评分法，是指响应文件满足磋商文件全部实质性要求且按评审因素的量化指标评审得分最高的供应商为成交候选供应商的评审方法。</w:t>
      </w:r>
    </w:p>
    <w:tbl>
      <w:tblPr>
        <w:tblStyle w:val="31"/>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bookmarkStart w:id="35" w:name="_Toc20854"/>
            <w:r>
              <w:rPr>
                <w:rFonts w:hint="eastAsia" w:ascii="宋体" w:hAnsi="宋体" w:cs="宋体"/>
                <w:color w:val="auto"/>
                <w:sz w:val="24"/>
                <w:highlight w:val="none"/>
                <w:shd w:val="clear" w:color="auto" w:fill="auto"/>
              </w:rPr>
              <w:t>评分因素</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商务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技术</w:t>
            </w:r>
            <w:r>
              <w:rPr>
                <w:rFonts w:hint="eastAsia" w:ascii="宋体" w:hAnsi="宋体" w:cs="宋体"/>
                <w:color w:val="auto"/>
                <w:sz w:val="24"/>
                <w:highlight w:val="none"/>
                <w:shd w:val="clear" w:color="auto" w:fill="auto"/>
              </w:rPr>
              <w:t>部分</w:t>
            </w:r>
          </w:p>
        </w:tc>
        <w:tc>
          <w:tcPr>
            <w:tcW w:w="4502" w:type="dxa"/>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70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价格部分</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lang w:val="en-US" w:eastAsia="zh-CN"/>
              </w:rPr>
              <w:t>30</w:t>
            </w:r>
            <w:r>
              <w:rPr>
                <w:rFonts w:hint="eastAsia" w:ascii="宋体" w:hAnsi="宋体" w:cs="宋体"/>
                <w:color w:val="auto"/>
                <w:sz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合   计</w:t>
            </w:r>
          </w:p>
        </w:tc>
        <w:tc>
          <w:tcPr>
            <w:tcW w:w="4502" w:type="dxa"/>
            <w:noWrap w:val="0"/>
            <w:vAlign w:val="center"/>
          </w:tcPr>
          <w:p>
            <w:pPr>
              <w:spacing w:line="360" w:lineRule="auto"/>
              <w:jc w:val="center"/>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cs="宋体"/>
                <w:color w:val="auto"/>
                <w:sz w:val="24"/>
                <w:highlight w:val="none"/>
                <w:shd w:val="clear" w:color="auto" w:fill="auto"/>
              </w:rPr>
              <w:t>100分</w:t>
            </w:r>
          </w:p>
        </w:tc>
      </w:tr>
      <w:bookmarkEnd w:id="35"/>
    </w:tbl>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ascii="宋体" w:hAnsi="宋体" w:cs="宋体"/>
          <w:color w:val="auto"/>
          <w:sz w:val="24"/>
          <w:szCs w:val="24"/>
          <w:highlight w:val="none"/>
          <w:shd w:val="clear" w:color="auto" w:fill="auto"/>
        </w:rPr>
      </w:pPr>
    </w:p>
    <w:p>
      <w:pPr>
        <w:spacing w:line="360" w:lineRule="auto"/>
        <w:rPr>
          <w:rFonts w:hint="eastAsia"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  评分标准</w:t>
      </w:r>
    </w:p>
    <w:p>
      <w:pPr>
        <w:spacing w:line="360" w:lineRule="auto"/>
        <w:jc w:val="center"/>
        <w:rPr>
          <w:rFonts w:hint="default"/>
          <w:color w:val="auto"/>
          <w:highlight w:val="none"/>
          <w:lang w:val="en-US" w:eastAsia="zh-CN"/>
        </w:rPr>
      </w:pPr>
      <w:r>
        <w:rPr>
          <w:rFonts w:hint="eastAsia" w:ascii="宋体" w:hAnsi="宋体" w:cs="宋体"/>
          <w:b/>
          <w:color w:val="auto"/>
          <w:sz w:val="24"/>
          <w:szCs w:val="32"/>
          <w:highlight w:val="none"/>
          <w:shd w:val="clear" w:color="auto" w:fill="auto"/>
          <w:lang w:val="en-US" w:eastAsia="zh-CN"/>
        </w:rPr>
        <w:t>价格部分（30分）</w:t>
      </w:r>
    </w:p>
    <w:tbl>
      <w:tblPr>
        <w:tblStyle w:val="31"/>
        <w:tblW w:w="42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89"/>
        <w:gridCol w:w="650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61"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649"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评审项目</w:t>
            </w:r>
          </w:p>
        </w:tc>
        <w:tc>
          <w:tcPr>
            <w:tcW w:w="3547"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w:t>
            </w:r>
          </w:p>
        </w:tc>
        <w:tc>
          <w:tcPr>
            <w:tcW w:w="441" w:type="pct"/>
            <w:vAlign w:val="center"/>
          </w:tcPr>
          <w:p>
            <w:pPr>
              <w:widowControl/>
              <w:jc w:val="center"/>
              <w:textAlignment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361" w:type="pct"/>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49" w:type="pct"/>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价格部分</w:t>
            </w:r>
          </w:p>
        </w:tc>
        <w:tc>
          <w:tcPr>
            <w:tcW w:w="3547" w:type="pct"/>
            <w:vAlign w:val="center"/>
          </w:tcPr>
          <w:p>
            <w:pPr>
              <w:widowControl/>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根</w:t>
            </w:r>
            <w:r>
              <w:rPr>
                <w:rFonts w:hint="eastAsia" w:ascii="宋体" w:hAnsi="宋体" w:eastAsia="宋体" w:cs="宋体"/>
                <w:color w:val="auto"/>
                <w:kern w:val="0"/>
                <w:sz w:val="21"/>
                <w:szCs w:val="21"/>
                <w:highlight w:val="none"/>
              </w:rPr>
              <w:t>据财政部《中华人民共和国财政部令第87号--政府采购货物和服务磋商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kern w:val="0"/>
                <w:sz w:val="21"/>
                <w:szCs w:val="21"/>
                <w:highlight w:val="none"/>
                <w:lang w:val="en-US" w:eastAsia="zh-CN"/>
              </w:rPr>
              <w:t>30</w:t>
            </w:r>
          </w:p>
          <w:p>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本项目的价格权重为</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p>
        </w:tc>
        <w:tc>
          <w:tcPr>
            <w:tcW w:w="441" w:type="pct"/>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-30</w:t>
            </w:r>
          </w:p>
        </w:tc>
      </w:tr>
    </w:tbl>
    <w:p>
      <w:pPr>
        <w:spacing w:line="400" w:lineRule="exact"/>
        <w:jc w:val="center"/>
        <w:rPr>
          <w:rFonts w:hint="eastAsia" w:ascii="宋体" w:hAnsi="宋体" w:cs="宋体"/>
          <w:b/>
          <w:bCs/>
          <w:color w:val="auto"/>
          <w:sz w:val="24"/>
          <w:highlight w:val="none"/>
          <w:shd w:val="clear" w:color="auto" w:fill="auto"/>
          <w:lang w:val="en-US" w:eastAsia="zh-CN"/>
        </w:rPr>
      </w:pPr>
    </w:p>
    <w:p>
      <w:pPr>
        <w:spacing w:line="400" w:lineRule="exact"/>
        <w:jc w:val="center"/>
        <w:rPr>
          <w:rFonts w:hint="default" w:ascii="宋体" w:hAnsi="宋体" w:eastAsia="宋体" w:cs="宋体"/>
          <w:b/>
          <w:bCs/>
          <w:color w:val="auto"/>
          <w:sz w:val="24"/>
          <w:highlight w:val="none"/>
          <w:shd w:val="clear" w:color="auto" w:fill="auto"/>
          <w:lang w:val="en-US" w:eastAsia="zh-CN"/>
        </w:rPr>
      </w:pPr>
      <w:r>
        <w:rPr>
          <w:rFonts w:hint="eastAsia" w:ascii="宋体" w:hAnsi="宋体" w:cs="宋体"/>
          <w:b/>
          <w:bCs/>
          <w:color w:val="auto"/>
          <w:sz w:val="24"/>
          <w:highlight w:val="none"/>
          <w:shd w:val="clear" w:color="auto" w:fill="auto"/>
          <w:lang w:val="en-US" w:eastAsia="zh-CN"/>
        </w:rPr>
        <w:t>商务及技术部分（70分）</w:t>
      </w:r>
    </w:p>
    <w:tbl>
      <w:tblPr>
        <w:tblStyle w:val="31"/>
        <w:tblpPr w:leftFromText="180" w:rightFromText="180" w:vertAnchor="text" w:horzAnchor="page" w:tblpXSpec="center" w:tblpY="684"/>
        <w:tblW w:w="43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60"/>
        <w:gridCol w:w="1298"/>
        <w:gridCol w:w="712"/>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1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67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内容</w:t>
            </w:r>
          </w:p>
        </w:tc>
        <w:tc>
          <w:tcPr>
            <w:tcW w:w="69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3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412" w:type="pct"/>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671" w:type="pct"/>
            <w:vMerge w:val="restart"/>
            <w:tcBorders>
              <w:left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商务得分</w:t>
            </w:r>
          </w:p>
          <w:p>
            <w:pPr>
              <w:jc w:val="center"/>
              <w:rPr>
                <w:rFonts w:hint="eastAsia"/>
                <w:color w:val="auto"/>
                <w:highlight w:val="none"/>
              </w:rPr>
            </w:pPr>
            <w:r>
              <w:rPr>
                <w:rFonts w:hint="eastAsia"/>
                <w:color w:val="auto"/>
                <w:highlight w:val="none"/>
                <w:lang w:val="en-US" w:eastAsia="zh-CN"/>
              </w:rPr>
              <w:t>16</w:t>
            </w:r>
            <w:r>
              <w:rPr>
                <w:rFonts w:hint="eastAsia"/>
                <w:color w:val="auto"/>
                <w:highlight w:val="none"/>
              </w:rPr>
              <w:t>分</w:t>
            </w: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同类项目实施业绩</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近三年（20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年1月1日至今）的</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rPr>
              <w:t>项目业绩（提供合同复印件加盖单位公章）为依据，每提供1个有效业绩得</w:t>
            </w:r>
            <w:r>
              <w:rPr>
                <w:rFonts w:ascii="宋体" w:hAnsi="宋体" w:cs="宋体"/>
                <w:color w:val="auto"/>
                <w:sz w:val="21"/>
                <w:szCs w:val="21"/>
                <w:highlight w:val="none"/>
              </w:rPr>
              <w:t>1</w:t>
            </w:r>
            <w:r>
              <w:rPr>
                <w:rFonts w:hint="eastAsia" w:ascii="宋体" w:hAnsi="宋体" w:cs="宋体"/>
                <w:color w:val="auto"/>
                <w:sz w:val="21"/>
                <w:szCs w:val="21"/>
                <w:highlight w:val="none"/>
              </w:rPr>
              <w:t>分，最多得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注：提供的业绩证明文件应包括：合同，合同应包含合同首页、签字盖章页和主要内容页。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412"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企业认证</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供应商具有有效的</w:t>
            </w:r>
            <w:r>
              <w:rPr>
                <w:rFonts w:hint="eastAsia" w:ascii="宋体" w:hAnsi="宋体" w:cs="宋体"/>
                <w:color w:val="auto"/>
                <w:sz w:val="21"/>
                <w:szCs w:val="21"/>
                <w:highlight w:val="none"/>
              </w:rPr>
              <w:t>环境管理体系认证证书</w:t>
            </w:r>
            <w:r>
              <w:rPr>
                <w:rFonts w:hint="eastAsia" w:ascii="宋体" w:hAnsi="宋体" w:cs="宋体"/>
                <w:strike w:val="0"/>
                <w:dstrike w:val="0"/>
                <w:color w:val="auto"/>
                <w:sz w:val="21"/>
                <w:szCs w:val="21"/>
                <w:highlight w:val="none"/>
                <w:lang w:eastAsia="zh-CN"/>
              </w:rPr>
              <w:t>（</w:t>
            </w:r>
            <w:r>
              <w:rPr>
                <w:rFonts w:hint="eastAsia" w:ascii="宋体" w:hAnsi="宋体" w:cs="宋体"/>
                <w:strike w:val="0"/>
                <w:dstrike w:val="0"/>
                <w:color w:val="auto"/>
                <w:sz w:val="21"/>
                <w:szCs w:val="21"/>
                <w:highlight w:val="none"/>
                <w:lang w:val="en-US" w:eastAsia="zh-CN"/>
              </w:rPr>
              <w:t>GB/T4001）</w:t>
            </w:r>
            <w:r>
              <w:rPr>
                <w:rFonts w:hint="eastAsia" w:ascii="宋体" w:hAnsi="宋体" w:cs="宋体"/>
                <w:strike w:val="0"/>
                <w:color w:val="auto"/>
                <w:sz w:val="21"/>
                <w:szCs w:val="21"/>
                <w:highlight w:val="none"/>
                <w:lang w:eastAsia="zh-CN"/>
              </w:rPr>
              <w:t>、质量管理体系认证</w:t>
            </w:r>
            <w:r>
              <w:rPr>
                <w:rFonts w:hint="eastAsia" w:ascii="宋体" w:hAnsi="宋体" w:cs="宋体"/>
                <w:strike w:val="0"/>
                <w:color w:val="auto"/>
                <w:sz w:val="21"/>
                <w:szCs w:val="21"/>
                <w:highlight w:val="none"/>
                <w:lang w:val="en-US" w:eastAsia="zh-CN"/>
              </w:rPr>
              <w:t>证书(</w:t>
            </w:r>
            <w:r>
              <w:rPr>
                <w:rFonts w:hint="eastAsia" w:ascii="宋体" w:hAnsi="宋体" w:cs="宋体"/>
                <w:strike w:val="0"/>
                <w:dstrike w:val="0"/>
                <w:color w:val="auto"/>
                <w:sz w:val="21"/>
                <w:szCs w:val="21"/>
                <w:highlight w:val="none"/>
                <w:lang w:val="en-US" w:eastAsia="zh-CN"/>
              </w:rPr>
              <w:t>GB/T 19001</w:t>
            </w:r>
            <w:r>
              <w:rPr>
                <w:rFonts w:hint="eastAsia" w:ascii="宋体" w:hAnsi="宋体" w:cs="宋体"/>
                <w:strike w:val="0"/>
                <w:color w:val="auto"/>
                <w:sz w:val="21"/>
                <w:szCs w:val="21"/>
                <w:highlight w:val="none"/>
                <w:lang w:val="en-US" w:eastAsia="zh-CN"/>
              </w:rPr>
              <w:t>)、</w:t>
            </w:r>
            <w:r>
              <w:rPr>
                <w:rFonts w:hint="eastAsia" w:ascii="宋体" w:hAnsi="宋体" w:cs="宋体"/>
                <w:color w:val="auto"/>
                <w:sz w:val="21"/>
                <w:szCs w:val="21"/>
                <w:highlight w:val="none"/>
                <w:lang w:val="en-US" w:eastAsia="zh-CN"/>
              </w:rPr>
              <w:t>售后服务认证证书（GB/T27922-2011)， 同时具备得6分，具备其中一项得2分,未提供证书不得分。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412"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交货期</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因产品属于紧急采购，供应商须在中标后1日历天内签订合同，3日内将货物运送至甲方指定地点得3分，否则不得分。（供应商提供期限内交货承诺函，未提供不得分）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2"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left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1"/>
                <w:szCs w:val="21"/>
                <w:highlight w:val="none"/>
                <w:lang w:val="en-US" w:eastAsia="zh-CN"/>
              </w:rPr>
            </w:pPr>
            <w:r>
              <w:rPr>
                <w:rFonts w:hint="eastAsia" w:ascii="宋体" w:hAnsi="宋体" w:cs="宋体"/>
                <w:color w:val="auto"/>
                <w:sz w:val="21"/>
                <w:szCs w:val="21"/>
                <w:highlight w:val="none"/>
              </w:rPr>
              <w:t>履约承诺</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olor w:val="auto"/>
                <w:sz w:val="21"/>
                <w:szCs w:val="21"/>
                <w:highlight w:val="none"/>
                <w:lang w:val="en-US" w:eastAsia="zh-CN"/>
              </w:rPr>
            </w:pPr>
            <w:r>
              <w:rPr>
                <w:rFonts w:hint="eastAsia" w:ascii="宋体" w:hAnsi="宋体" w:cs="宋体"/>
                <w:color w:val="auto"/>
                <w:sz w:val="21"/>
                <w:szCs w:val="21"/>
                <w:highlight w:val="none"/>
              </w:rPr>
              <w:t>具有本地履约能力（自行承诺），在设备故障的情况下：能够在</w:t>
            </w:r>
            <w:r>
              <w:rPr>
                <w:rFonts w:hint="eastAsia" w:ascii="宋体" w:hAnsi="宋体" w:cs="宋体"/>
                <w:color w:val="auto"/>
                <w:sz w:val="21"/>
                <w:szCs w:val="21"/>
                <w:highlight w:val="none"/>
                <w:lang w:val="en-US" w:eastAsia="zh-CN"/>
              </w:rPr>
              <w:t>2小时</w:t>
            </w:r>
            <w:r>
              <w:rPr>
                <w:rFonts w:hint="eastAsia" w:ascii="宋体" w:hAnsi="宋体" w:cs="宋体"/>
                <w:color w:val="auto"/>
                <w:sz w:val="21"/>
                <w:szCs w:val="21"/>
                <w:highlight w:val="none"/>
              </w:rPr>
              <w:t>内响应，</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小时到达现场处理故障得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分；能够在</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小时内响应</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小时到达现场处理故障得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8" w:hRule="atLeast"/>
          <w:jc w:val="center"/>
        </w:trPr>
        <w:tc>
          <w:tcPr>
            <w:tcW w:w="412"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671"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技术得分</w:t>
            </w:r>
          </w:p>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54</w:t>
            </w:r>
            <w:r>
              <w:rPr>
                <w:rFonts w:hint="eastAsia" w:ascii="宋体" w:hAnsi="宋体" w:cs="宋体"/>
                <w:color w:val="auto"/>
                <w:sz w:val="21"/>
                <w:szCs w:val="21"/>
                <w:highlight w:val="none"/>
              </w:rPr>
              <w:t>分）</w:t>
            </w: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对</w:t>
            </w: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文件采购需求的响应程度</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所投产品参数“★为实质性参数，不满足则视为无效投标”（必须完全满足或优于技术指标（无负偏离或正偏离））。</w:t>
            </w:r>
          </w:p>
          <w:p>
            <w:pPr>
              <w:spacing w:line="360" w:lineRule="auto"/>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满足所有技术指标要求得3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分，每有一项★</w:t>
            </w:r>
            <w:r>
              <w:rPr>
                <w:rFonts w:hint="eastAsia" w:ascii="宋体" w:hAnsi="宋体" w:cs="宋体"/>
                <w:color w:val="auto"/>
                <w:sz w:val="21"/>
                <w:szCs w:val="21"/>
                <w:highlight w:val="none"/>
                <w:lang w:val="en-US" w:eastAsia="zh-CN"/>
              </w:rPr>
              <w:t>号以外的条款</w:t>
            </w:r>
            <w:r>
              <w:rPr>
                <w:rFonts w:hint="eastAsia" w:ascii="宋体" w:hAnsi="宋体" w:eastAsia="宋体" w:cs="宋体"/>
                <w:color w:val="auto"/>
                <w:sz w:val="21"/>
                <w:szCs w:val="21"/>
                <w:highlight w:val="none"/>
                <w:lang w:val="en-US" w:eastAsia="zh-CN"/>
              </w:rPr>
              <w:t>无响应或不满足扣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分，扣</w:t>
            </w:r>
            <w:r>
              <w:rPr>
                <w:rFonts w:hint="eastAsia" w:ascii="宋体" w:hAnsi="宋体" w:cs="宋体"/>
                <w:color w:val="auto"/>
                <w:sz w:val="21"/>
                <w:szCs w:val="21"/>
                <w:highlight w:val="none"/>
                <w:lang w:val="en-US" w:eastAsia="zh-CN"/>
              </w:rPr>
              <w:t>完为止。</w:t>
            </w:r>
          </w:p>
          <w:p>
            <w:pPr>
              <w:spacing w:line="360" w:lineRule="auto"/>
              <w:jc w:val="left"/>
              <w:rPr>
                <w:rFonts w:hint="eastAsia" w:ascii="宋体" w:hAnsi="宋体" w:cs="宋体"/>
                <w:color w:val="auto"/>
                <w:sz w:val="21"/>
                <w:szCs w:val="21"/>
                <w:highlight w:val="none"/>
              </w:rPr>
            </w:pPr>
            <w:r>
              <w:rPr>
                <w:rFonts w:hint="default" w:ascii="宋体" w:hAnsi="宋体" w:eastAsia="宋体" w:cs="宋体"/>
                <w:color w:val="auto"/>
                <w:sz w:val="21"/>
                <w:szCs w:val="21"/>
                <w:highlight w:val="none"/>
                <w:lang w:val="en-US" w:eastAsia="zh-CN"/>
              </w:rPr>
              <w:t>注：技术参数中要求提供相关证明材料的，须加盖公章，包含但不限于产品彩页或检测报告等。</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在响应技术参数要求时，应提供制造商公开发布的产品介绍信息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省级以上检测机构出具的检测报告，若制造商公开发布的产品介绍信息与检测机构出具的检测报告不一致，以检测机构出具的检测报告为准。如果</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不提供产品介绍信息或检测报告；产品介绍信息或检测报告出现与技术参数响应不一致；或无法体现</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技术参数响应的情况时，评标委员会有权不予以认可。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7" w:hRule="atLeast"/>
          <w:jc w:val="center"/>
        </w:trPr>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服务方案</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1.供应商</w:t>
            </w:r>
            <w:r>
              <w:rPr>
                <w:rFonts w:hint="eastAsia" w:ascii="宋体" w:hAnsi="宋体" w:eastAsia="宋体" w:cs="宋体"/>
                <w:color w:val="auto"/>
                <w:sz w:val="21"/>
                <w:szCs w:val="21"/>
                <w:highlight w:val="none"/>
              </w:rPr>
              <w:t>应有规范的经营管理措施，有完善的</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分装</w:t>
            </w:r>
            <w:r>
              <w:rPr>
                <w:rFonts w:hint="eastAsia" w:ascii="宋体" w:hAnsi="宋体" w:eastAsia="宋体" w:cs="宋体"/>
                <w:color w:val="auto"/>
                <w:sz w:val="21"/>
                <w:szCs w:val="21"/>
                <w:highlight w:val="none"/>
              </w:rPr>
              <w:t>配送、售后制度，</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个制度齐全者得满分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，1项制度得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未提供不得分</w:t>
            </w:r>
            <w:r>
              <w:rPr>
                <w:rFonts w:hint="eastAsia" w:ascii="宋体" w:hAnsi="宋体" w:eastAsia="宋体" w:cs="宋体"/>
                <w:color w:val="auto"/>
                <w:sz w:val="21"/>
                <w:szCs w:val="21"/>
                <w:highlight w:val="none"/>
              </w:rPr>
              <w:t>。</w:t>
            </w:r>
          </w:p>
          <w:p>
            <w:pPr>
              <w:spacing w:line="360" w:lineRule="auto"/>
              <w:jc w:val="left"/>
              <w:rPr>
                <w:rFonts w:hint="default" w:eastAsia="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.提供项目实施、供货计划、人员安排、质量保证措施，方案内容完整，可行性强得</w:t>
            </w:r>
            <w:r>
              <w:rPr>
                <w:rFonts w:hint="eastAsia" w:ascii="宋体" w:hAnsi="宋体" w:cs="宋体"/>
                <w:color w:val="auto"/>
                <w:sz w:val="21"/>
                <w:szCs w:val="21"/>
                <w:highlight w:val="none"/>
                <w:lang w:val="en-US" w:eastAsia="zh-CN"/>
              </w:rPr>
              <w:t>2（不含）-3</w:t>
            </w:r>
            <w:r>
              <w:rPr>
                <w:rFonts w:hint="eastAsia" w:ascii="宋体" w:hAnsi="宋体" w:eastAsia="宋体" w:cs="宋体"/>
                <w:color w:val="auto"/>
                <w:sz w:val="21"/>
                <w:szCs w:val="21"/>
                <w:highlight w:val="none"/>
                <w:lang w:val="en-US" w:eastAsia="zh-CN"/>
              </w:rPr>
              <w:t>分；方案内容完整，可行性一般得</w:t>
            </w:r>
            <w:r>
              <w:rPr>
                <w:rFonts w:hint="eastAsia" w:ascii="宋体" w:hAnsi="宋体" w:cs="宋体"/>
                <w:color w:val="auto"/>
                <w:sz w:val="21"/>
                <w:szCs w:val="21"/>
                <w:highlight w:val="none"/>
                <w:lang w:val="en-US" w:eastAsia="zh-CN"/>
              </w:rPr>
              <w:t>1（不含）-2分</w:t>
            </w:r>
            <w:r>
              <w:rPr>
                <w:rFonts w:hint="eastAsia" w:ascii="宋体" w:hAnsi="宋体" w:eastAsia="宋体" w:cs="宋体"/>
                <w:color w:val="auto"/>
                <w:sz w:val="21"/>
                <w:szCs w:val="21"/>
                <w:highlight w:val="none"/>
                <w:lang w:val="en-US" w:eastAsia="zh-CN"/>
              </w:rPr>
              <w:t>；方案内容简单，可行性差的0-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0" w:hRule="atLeast"/>
          <w:jc w:val="center"/>
        </w:trPr>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样品</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pStyle w:val="17"/>
              <w:spacing w:line="440" w:lineRule="exact"/>
              <w:jc w:val="left"/>
              <w:rPr>
                <w:rFonts w:hint="default"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评审专家组根据投标人提供的样品</w:t>
            </w:r>
            <w:r>
              <w:rPr>
                <w:rFonts w:hint="eastAsia" w:hAnsi="宋体" w:cs="Courier New"/>
                <w:color w:val="auto"/>
                <w:kern w:val="2"/>
                <w:sz w:val="21"/>
                <w:szCs w:val="21"/>
                <w:highlight w:val="none"/>
                <w:lang w:val="en-US" w:eastAsia="zh-CN" w:bidi="ar-SA"/>
              </w:rPr>
              <w:t>（拼装式狗笼子（1个），防护手套（1双））</w:t>
            </w:r>
            <w:r>
              <w:rPr>
                <w:rFonts w:hint="eastAsia" w:ascii="宋体" w:hAnsi="宋体" w:eastAsia="宋体" w:cs="Courier New"/>
                <w:color w:val="auto"/>
                <w:kern w:val="2"/>
                <w:sz w:val="21"/>
                <w:szCs w:val="21"/>
                <w:highlight w:val="none"/>
                <w:lang w:val="en-US" w:eastAsia="zh-CN" w:bidi="ar-SA"/>
              </w:rPr>
              <w:t>，进行现场评比，通过对样品款式、版型、材料及辅料质量，做工及质量</w:t>
            </w:r>
            <w:r>
              <w:rPr>
                <w:rFonts w:hint="eastAsia" w:hAnsi="宋体" w:cs="Courier New"/>
                <w:color w:val="auto"/>
                <w:kern w:val="2"/>
                <w:sz w:val="21"/>
                <w:szCs w:val="21"/>
                <w:highlight w:val="none"/>
                <w:lang w:val="en-US" w:eastAsia="zh-CN" w:bidi="ar-SA"/>
              </w:rPr>
              <w:t>，技术需求</w:t>
            </w:r>
            <w:r>
              <w:rPr>
                <w:rFonts w:hint="eastAsia" w:ascii="宋体" w:hAnsi="宋体" w:eastAsia="宋体" w:cs="Courier New"/>
                <w:color w:val="auto"/>
                <w:kern w:val="2"/>
                <w:sz w:val="21"/>
                <w:szCs w:val="21"/>
                <w:highlight w:val="none"/>
                <w:lang w:val="en-US" w:eastAsia="zh-CN" w:bidi="ar-SA"/>
              </w:rPr>
              <w:t>综合评定</w:t>
            </w:r>
            <w:r>
              <w:rPr>
                <w:rFonts w:hint="eastAsia" w:hAnsi="宋体" w:cs="Courier New"/>
                <w:color w:val="auto"/>
                <w:kern w:val="2"/>
                <w:sz w:val="21"/>
                <w:szCs w:val="21"/>
                <w:highlight w:val="none"/>
                <w:lang w:val="en-US" w:eastAsia="zh-CN" w:bidi="ar-SA"/>
              </w:rPr>
              <w:t>，每种样品分值6分，最终合计得分，最高得12分（</w:t>
            </w:r>
            <w:r>
              <w:rPr>
                <w:rFonts w:hint="eastAsia" w:ascii="宋体" w:hAnsi="宋体" w:eastAsia="宋体" w:cs="Courier New"/>
                <w:color w:val="auto"/>
                <w:kern w:val="2"/>
                <w:sz w:val="21"/>
                <w:szCs w:val="21"/>
                <w:highlight w:val="none"/>
                <w:lang w:val="en-US" w:eastAsia="zh-CN" w:bidi="ar-SA"/>
              </w:rPr>
              <w:t>未按要求提供样品或样品提供不齐全的得0分</w:t>
            </w:r>
            <w:r>
              <w:rPr>
                <w:rFonts w:hint="eastAsia" w:hAnsi="宋体" w:cs="Courier New"/>
                <w:color w:val="auto"/>
                <w:kern w:val="2"/>
                <w:sz w:val="21"/>
                <w:szCs w:val="21"/>
                <w:highlight w:val="none"/>
                <w:lang w:val="en-US" w:eastAsia="zh-CN" w:bidi="ar-SA"/>
              </w:rPr>
              <w:t>）：</w:t>
            </w:r>
          </w:p>
          <w:p>
            <w:pPr>
              <w:pStyle w:val="17"/>
              <w:numPr>
                <w:ilvl w:val="0"/>
                <w:numId w:val="8"/>
              </w:numPr>
              <w:spacing w:line="440" w:lineRule="exact"/>
              <w:jc w:val="left"/>
              <w:rPr>
                <w:rFonts w:hint="eastAsia" w:hAnsi="宋体" w:cs="Courier New"/>
                <w:b/>
                <w:bCs/>
                <w:color w:val="auto"/>
                <w:kern w:val="2"/>
                <w:sz w:val="21"/>
                <w:szCs w:val="21"/>
                <w:highlight w:val="none"/>
                <w:lang w:val="en-US" w:eastAsia="zh-CN" w:bidi="ar-SA"/>
              </w:rPr>
            </w:pPr>
            <w:r>
              <w:rPr>
                <w:rFonts w:hint="eastAsia" w:hAnsi="宋体" w:cs="Courier New"/>
                <w:b/>
                <w:bCs/>
                <w:color w:val="auto"/>
                <w:kern w:val="2"/>
                <w:sz w:val="21"/>
                <w:szCs w:val="21"/>
                <w:highlight w:val="none"/>
                <w:lang w:val="en-US" w:eastAsia="zh-CN" w:bidi="ar-SA"/>
              </w:rPr>
              <w:t>狗笼</w:t>
            </w:r>
          </w:p>
          <w:p>
            <w:pPr>
              <w:pStyle w:val="17"/>
              <w:numPr>
                <w:ilvl w:val="0"/>
                <w:numId w:val="0"/>
              </w:numPr>
              <w:spacing w:line="440" w:lineRule="exact"/>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w:t>
            </w:r>
            <w:r>
              <w:rPr>
                <w:rFonts w:hint="eastAsia"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款式、版型规整、材料辅料手感好、样品做工精细、质量优秀，</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w:t>
            </w:r>
            <w:r>
              <w:rPr>
                <w:rFonts w:hint="eastAsia" w:hAnsi="宋体" w:cs="Courier New"/>
                <w:color w:val="auto"/>
                <w:kern w:val="2"/>
                <w:sz w:val="21"/>
                <w:szCs w:val="21"/>
                <w:highlight w:val="none"/>
                <w:lang w:val="en-US" w:eastAsia="zh-CN" w:bidi="ar-SA"/>
              </w:rPr>
              <w:t>4</w:t>
            </w:r>
            <w:r>
              <w:rPr>
                <w:rFonts w:hint="eastAsia" w:ascii="宋体" w:hAnsi="宋体" w:eastAsia="宋体" w:cs="Courier New"/>
                <w:color w:val="auto"/>
                <w:kern w:val="2"/>
                <w:sz w:val="21"/>
                <w:szCs w:val="21"/>
                <w:highlight w:val="none"/>
                <w:lang w:val="en-US" w:eastAsia="zh-CN" w:bidi="ar-SA"/>
              </w:rPr>
              <w:t>-</w:t>
            </w:r>
            <w:r>
              <w:rPr>
                <w:rFonts w:hint="eastAsia" w:hAnsi="宋体" w:cs="Courier New"/>
                <w:color w:val="auto"/>
                <w:kern w:val="2"/>
                <w:sz w:val="21"/>
                <w:szCs w:val="21"/>
                <w:highlight w:val="none"/>
                <w:lang w:val="en-US" w:eastAsia="zh-CN" w:bidi="ar-SA"/>
              </w:rPr>
              <w:t>6</w:t>
            </w:r>
            <w:r>
              <w:rPr>
                <w:rFonts w:hint="eastAsia" w:ascii="宋体" w:hAnsi="宋体" w:eastAsia="宋体" w:cs="Courier New"/>
                <w:color w:val="auto"/>
                <w:kern w:val="2"/>
                <w:sz w:val="21"/>
                <w:szCs w:val="21"/>
                <w:highlight w:val="none"/>
                <w:lang w:val="en-US" w:eastAsia="zh-CN" w:bidi="ar-SA"/>
              </w:rPr>
              <w:t>]分；</w:t>
            </w:r>
          </w:p>
          <w:p>
            <w:pPr>
              <w:pStyle w:val="17"/>
              <w:spacing w:line="440" w:lineRule="exact"/>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2、款式、版型不规整、材料辅料手感一般、样品做工略显粗糙、质量一般，</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w:t>
            </w:r>
            <w:r>
              <w:rPr>
                <w:rFonts w:hint="eastAsia" w:hAnsi="宋体" w:cs="Courier New"/>
                <w:color w:val="auto"/>
                <w:kern w:val="2"/>
                <w:sz w:val="21"/>
                <w:szCs w:val="21"/>
                <w:highlight w:val="none"/>
                <w:lang w:val="en-US" w:eastAsia="zh-CN" w:bidi="ar-SA"/>
              </w:rPr>
              <w:t>3</w:t>
            </w:r>
            <w:r>
              <w:rPr>
                <w:rFonts w:hint="eastAsia" w:ascii="宋体" w:hAnsi="宋体" w:eastAsia="宋体" w:cs="Courier New"/>
                <w:color w:val="auto"/>
                <w:kern w:val="2"/>
                <w:sz w:val="21"/>
                <w:szCs w:val="21"/>
                <w:highlight w:val="none"/>
                <w:lang w:val="en-US" w:eastAsia="zh-CN" w:bidi="ar-SA"/>
              </w:rPr>
              <w:t>-</w:t>
            </w:r>
            <w:r>
              <w:rPr>
                <w:rFonts w:hint="eastAsia" w:hAnsi="宋体" w:cs="Courier New"/>
                <w:color w:val="auto"/>
                <w:kern w:val="2"/>
                <w:sz w:val="21"/>
                <w:szCs w:val="21"/>
                <w:highlight w:val="none"/>
                <w:lang w:val="en-US" w:eastAsia="zh-CN" w:bidi="ar-SA"/>
              </w:rPr>
              <w:t>4</w:t>
            </w:r>
            <w:r>
              <w:rPr>
                <w:rFonts w:hint="eastAsia" w:ascii="宋体" w:hAnsi="宋体" w:eastAsia="宋体" w:cs="Courier New"/>
                <w:color w:val="auto"/>
                <w:kern w:val="2"/>
                <w:sz w:val="21"/>
                <w:szCs w:val="21"/>
                <w:highlight w:val="none"/>
                <w:lang w:val="en-US" w:eastAsia="zh-CN" w:bidi="ar-SA"/>
              </w:rPr>
              <w:t>]分；</w:t>
            </w:r>
          </w:p>
          <w:p>
            <w:pPr>
              <w:pStyle w:val="17"/>
              <w:spacing w:line="440" w:lineRule="exact"/>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3、款式、版型差、材料辅料手感差、样品做工非常粗糙、质量略差，</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得（1－</w:t>
            </w:r>
            <w:r>
              <w:rPr>
                <w:rFonts w:hint="eastAsia" w:hAnsi="宋体" w:cs="Courier New"/>
                <w:color w:val="auto"/>
                <w:kern w:val="2"/>
                <w:sz w:val="21"/>
                <w:szCs w:val="21"/>
                <w:highlight w:val="none"/>
                <w:lang w:val="en-US" w:eastAsia="zh-CN" w:bidi="ar-SA"/>
              </w:rPr>
              <w:t>3</w:t>
            </w:r>
            <w:r>
              <w:rPr>
                <w:rFonts w:hint="eastAsia" w:ascii="宋体" w:hAnsi="宋体" w:eastAsia="宋体" w:cs="Courier New"/>
                <w:color w:val="auto"/>
                <w:kern w:val="2"/>
                <w:sz w:val="21"/>
                <w:szCs w:val="21"/>
                <w:highlight w:val="none"/>
                <w:lang w:val="en-US" w:eastAsia="zh-CN" w:bidi="ar-SA"/>
              </w:rPr>
              <w:t>]分。</w:t>
            </w:r>
          </w:p>
          <w:p>
            <w:pPr>
              <w:pStyle w:val="17"/>
              <w:spacing w:line="440" w:lineRule="exact"/>
              <w:jc w:val="left"/>
              <w:rPr>
                <w:rFonts w:hint="eastAsia" w:hAnsi="宋体" w:cs="Courier New"/>
                <w:b/>
                <w:bCs/>
                <w:color w:val="auto"/>
                <w:kern w:val="2"/>
                <w:sz w:val="21"/>
                <w:szCs w:val="21"/>
                <w:highlight w:val="none"/>
                <w:lang w:val="en-US" w:eastAsia="zh-CN" w:bidi="ar-SA"/>
              </w:rPr>
            </w:pPr>
            <w:r>
              <w:rPr>
                <w:rFonts w:hint="eastAsia" w:hAnsi="宋体" w:cs="Courier New"/>
                <w:b/>
                <w:bCs/>
                <w:color w:val="auto"/>
                <w:kern w:val="2"/>
                <w:sz w:val="21"/>
                <w:szCs w:val="21"/>
                <w:highlight w:val="none"/>
                <w:lang w:val="en-US" w:eastAsia="zh-CN" w:bidi="ar-SA"/>
              </w:rPr>
              <w:t>（2）防护手套：</w:t>
            </w:r>
          </w:p>
          <w:p>
            <w:pPr>
              <w:pStyle w:val="17"/>
              <w:numPr>
                <w:ilvl w:val="0"/>
                <w:numId w:val="0"/>
              </w:numPr>
              <w:spacing w:line="440" w:lineRule="exact"/>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w:t>
            </w:r>
            <w:r>
              <w:rPr>
                <w:rFonts w:hint="eastAsia"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款式、版型规整、材料辅料手感好、样品做工精细、质量优秀，</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w:t>
            </w:r>
            <w:r>
              <w:rPr>
                <w:rFonts w:hint="eastAsia" w:hAnsi="宋体" w:cs="Courier New"/>
                <w:color w:val="auto"/>
                <w:kern w:val="2"/>
                <w:sz w:val="21"/>
                <w:szCs w:val="21"/>
                <w:highlight w:val="none"/>
                <w:lang w:val="en-US" w:eastAsia="zh-CN" w:bidi="ar-SA"/>
              </w:rPr>
              <w:t>4</w:t>
            </w:r>
            <w:r>
              <w:rPr>
                <w:rFonts w:hint="eastAsia" w:ascii="宋体" w:hAnsi="宋体" w:eastAsia="宋体" w:cs="Courier New"/>
                <w:color w:val="auto"/>
                <w:kern w:val="2"/>
                <w:sz w:val="21"/>
                <w:szCs w:val="21"/>
                <w:highlight w:val="none"/>
                <w:lang w:val="en-US" w:eastAsia="zh-CN" w:bidi="ar-SA"/>
              </w:rPr>
              <w:t>-</w:t>
            </w:r>
            <w:r>
              <w:rPr>
                <w:rFonts w:hint="eastAsia" w:hAnsi="宋体" w:cs="Courier New"/>
                <w:color w:val="auto"/>
                <w:kern w:val="2"/>
                <w:sz w:val="21"/>
                <w:szCs w:val="21"/>
                <w:highlight w:val="none"/>
                <w:lang w:val="en-US" w:eastAsia="zh-CN" w:bidi="ar-SA"/>
              </w:rPr>
              <w:t>6</w:t>
            </w:r>
            <w:r>
              <w:rPr>
                <w:rFonts w:hint="eastAsia" w:ascii="宋体" w:hAnsi="宋体" w:eastAsia="宋体" w:cs="Courier New"/>
                <w:color w:val="auto"/>
                <w:kern w:val="2"/>
                <w:sz w:val="21"/>
                <w:szCs w:val="21"/>
                <w:highlight w:val="none"/>
                <w:lang w:val="en-US" w:eastAsia="zh-CN" w:bidi="ar-SA"/>
              </w:rPr>
              <w:t>]分；</w:t>
            </w:r>
          </w:p>
          <w:p>
            <w:pPr>
              <w:pStyle w:val="17"/>
              <w:spacing w:line="440" w:lineRule="exact"/>
              <w:jc w:val="left"/>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2、款式、版型不规整、材料辅料手感一般、样品做工略显粗糙、质量一般，</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w:t>
            </w:r>
            <w:r>
              <w:rPr>
                <w:rFonts w:hint="eastAsia" w:hAnsi="宋体" w:cs="Courier New"/>
                <w:color w:val="auto"/>
                <w:kern w:val="2"/>
                <w:sz w:val="21"/>
                <w:szCs w:val="21"/>
                <w:highlight w:val="none"/>
                <w:lang w:val="en-US" w:eastAsia="zh-CN" w:bidi="ar-SA"/>
              </w:rPr>
              <w:t>3</w:t>
            </w:r>
            <w:r>
              <w:rPr>
                <w:rFonts w:hint="eastAsia" w:ascii="宋体" w:hAnsi="宋体" w:eastAsia="宋体" w:cs="Courier New"/>
                <w:color w:val="auto"/>
                <w:kern w:val="2"/>
                <w:sz w:val="21"/>
                <w:szCs w:val="21"/>
                <w:highlight w:val="none"/>
                <w:lang w:val="en-US" w:eastAsia="zh-CN" w:bidi="ar-SA"/>
              </w:rPr>
              <w:t>-</w:t>
            </w:r>
            <w:r>
              <w:rPr>
                <w:rFonts w:hint="eastAsia" w:hAnsi="宋体" w:cs="Courier New"/>
                <w:color w:val="auto"/>
                <w:kern w:val="2"/>
                <w:sz w:val="21"/>
                <w:szCs w:val="21"/>
                <w:highlight w:val="none"/>
                <w:lang w:val="en-US" w:eastAsia="zh-CN" w:bidi="ar-SA"/>
              </w:rPr>
              <w:t>4</w:t>
            </w:r>
            <w:r>
              <w:rPr>
                <w:rFonts w:hint="eastAsia" w:ascii="宋体" w:hAnsi="宋体" w:eastAsia="宋体" w:cs="Courier New"/>
                <w:color w:val="auto"/>
                <w:kern w:val="2"/>
                <w:sz w:val="21"/>
                <w:szCs w:val="21"/>
                <w:highlight w:val="none"/>
                <w:lang w:val="en-US" w:eastAsia="zh-CN" w:bidi="ar-SA"/>
              </w:rPr>
              <w:t>]分；</w:t>
            </w:r>
          </w:p>
          <w:p>
            <w:pPr>
              <w:pStyle w:val="17"/>
              <w:spacing w:line="440" w:lineRule="exact"/>
              <w:jc w:val="left"/>
              <w:rPr>
                <w:rFonts w:hint="eastAsia" w:hAnsi="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3、款式、版型差、材料辅料手感差、样品做工非常粗糙、质量略差，</w:t>
            </w:r>
            <w:r>
              <w:rPr>
                <w:rFonts w:hint="eastAsia" w:hAnsi="宋体" w:cs="Courier New"/>
                <w:color w:val="auto"/>
                <w:kern w:val="2"/>
                <w:sz w:val="21"/>
                <w:szCs w:val="21"/>
                <w:highlight w:val="none"/>
                <w:lang w:val="en-US" w:eastAsia="zh-CN" w:bidi="ar-SA"/>
              </w:rPr>
              <w:t>符合技术需求</w:t>
            </w:r>
            <w:r>
              <w:rPr>
                <w:rFonts w:hint="eastAsia" w:ascii="宋体" w:hAnsi="宋体" w:eastAsia="宋体" w:cs="Courier New"/>
                <w:color w:val="auto"/>
                <w:kern w:val="2"/>
                <w:sz w:val="21"/>
                <w:szCs w:val="21"/>
                <w:highlight w:val="none"/>
                <w:lang w:val="en-US" w:eastAsia="zh-CN" w:bidi="ar-SA"/>
              </w:rPr>
              <w:t>得（1－</w:t>
            </w:r>
            <w:r>
              <w:rPr>
                <w:rFonts w:hint="eastAsia" w:hAnsi="宋体" w:cs="Courier New"/>
                <w:color w:val="auto"/>
                <w:kern w:val="2"/>
                <w:sz w:val="21"/>
                <w:szCs w:val="21"/>
                <w:highlight w:val="none"/>
                <w:lang w:val="en-US" w:eastAsia="zh-CN" w:bidi="ar-SA"/>
              </w:rPr>
              <w:t>3</w:t>
            </w:r>
            <w:r>
              <w:rPr>
                <w:rFonts w:hint="eastAsia" w:ascii="宋体" w:hAnsi="宋体" w:eastAsia="宋体" w:cs="Courier New"/>
                <w:color w:val="auto"/>
                <w:kern w:val="2"/>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备品备件</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针对各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的投标产品所能提供的易损易坏部件以及所提供的备品备件的品种、数量或其他优惠条件，满分为</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分，每少一项扣</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4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7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1"/>
                <w:szCs w:val="21"/>
                <w:highlight w:val="none"/>
              </w:rPr>
            </w:pPr>
          </w:p>
        </w:tc>
        <w:tc>
          <w:tcPr>
            <w:tcW w:w="69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耗材更换条件</w:t>
            </w:r>
          </w:p>
        </w:tc>
        <w:tc>
          <w:tcPr>
            <w:tcW w:w="37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84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 w:val="21"/>
                <w:szCs w:val="21"/>
                <w:highlight w:val="none"/>
              </w:rPr>
            </w:pPr>
            <w:bookmarkStart w:id="187" w:name="_GoBack"/>
            <w:r>
              <w:rPr>
                <w:rFonts w:hint="eastAsia" w:ascii="宋体" w:hAnsi="宋体" w:cs="宋体"/>
                <w:color w:val="auto"/>
                <w:sz w:val="21"/>
                <w:szCs w:val="21"/>
                <w:highlight w:val="none"/>
              </w:rPr>
              <w:t>售后服务承诺中，</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根据实际情况对哪些情况耗材免费更换进行说明，情况说明清晰、细致得</w:t>
            </w:r>
            <w:r>
              <w:rPr>
                <w:rFonts w:hint="eastAsia" w:ascii="宋体" w:hAnsi="宋体" w:cs="宋体"/>
                <w:color w:val="auto"/>
                <w:sz w:val="21"/>
                <w:szCs w:val="21"/>
                <w:highlight w:val="none"/>
                <w:lang w:val="en-US" w:eastAsia="zh-CN"/>
              </w:rPr>
              <w:t>0.5（不含）-1</w:t>
            </w:r>
            <w:r>
              <w:rPr>
                <w:rFonts w:hint="eastAsia" w:ascii="宋体" w:hAnsi="宋体" w:cs="宋体"/>
                <w:color w:val="auto"/>
                <w:sz w:val="21"/>
                <w:szCs w:val="21"/>
                <w:highlight w:val="none"/>
              </w:rPr>
              <w:t>分，情况说明内容一般得</w:t>
            </w:r>
            <w:r>
              <w:rPr>
                <w:rFonts w:hint="eastAsia" w:ascii="宋体" w:hAnsi="宋体" w:cs="宋体"/>
                <w:color w:val="auto"/>
                <w:sz w:val="21"/>
                <w:szCs w:val="21"/>
                <w:highlight w:val="none"/>
                <w:lang w:val="en-US" w:eastAsia="zh-CN"/>
              </w:rPr>
              <w:t>0-0.5</w:t>
            </w:r>
            <w:r>
              <w:rPr>
                <w:rFonts w:hint="eastAsia" w:ascii="宋体" w:hAnsi="宋体" w:cs="宋体"/>
                <w:color w:val="auto"/>
                <w:sz w:val="21"/>
                <w:szCs w:val="21"/>
                <w:highlight w:val="none"/>
              </w:rPr>
              <w:t>分，未进行具体说明的不得分。</w:t>
            </w:r>
            <w:bookmarkEnd w:id="187"/>
          </w:p>
        </w:tc>
      </w:tr>
    </w:tbl>
    <w:p>
      <w:pPr>
        <w:spacing w:line="400" w:lineRule="exact"/>
        <w:rPr>
          <w:rFonts w:hint="eastAsia" w:ascii="宋体" w:hAnsi="宋体" w:eastAsia="宋体" w:cs="宋体"/>
          <w:color w:val="auto"/>
          <w:sz w:val="24"/>
          <w:highlight w:val="none"/>
          <w:shd w:val="clear" w:color="auto" w:fill="auto"/>
        </w:rPr>
      </w:pPr>
    </w:p>
    <w:p>
      <w:pPr>
        <w:spacing w:line="400" w:lineRule="exact"/>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rPr>
        <w:t>1、根据财政部《中华人民共和国财政部令第87号--政府采购货物和服务</w:t>
      </w:r>
      <w:r>
        <w:rPr>
          <w:rFonts w:hint="eastAsia" w:ascii="宋体" w:hAnsi="宋体" w:eastAsia="宋体" w:cs="宋体"/>
          <w:color w:val="auto"/>
          <w:sz w:val="24"/>
          <w:highlight w:val="none"/>
          <w:shd w:val="clear" w:color="auto" w:fill="auto"/>
          <w:lang w:eastAsia="zh-CN"/>
        </w:rPr>
        <w:t>磋商</w:t>
      </w:r>
      <w:r>
        <w:rPr>
          <w:rFonts w:hint="eastAsia" w:ascii="宋体" w:hAnsi="宋体" w:eastAsia="宋体" w:cs="宋体"/>
          <w:color w:val="auto"/>
          <w:sz w:val="24"/>
          <w:highlight w:val="none"/>
          <w:shd w:val="clear" w:color="auto" w:fill="auto"/>
        </w:rPr>
        <w:t>投标管理办法》文件，综合评分法中的价格分统一采用低价优先法计算，即满足竞争性磋商文件要求且投标价格最低的投标报价为评标基准价，其价格分为满分。（保留小数点后两位）。其他投标人的价格分统一按照下列公式计算：投标报价得分=（评标基准价／投标报价）×</w:t>
      </w:r>
      <w:r>
        <w:rPr>
          <w:rFonts w:hint="eastAsia" w:ascii="宋体" w:hAnsi="宋体" w:cs="宋体"/>
          <w:color w:val="auto"/>
          <w:sz w:val="24"/>
          <w:highlight w:val="none"/>
          <w:shd w:val="clear" w:color="auto" w:fill="auto"/>
          <w:lang w:val="en-US" w:eastAsia="zh-CN"/>
        </w:rPr>
        <w:t>标准分</w:t>
      </w:r>
    </w:p>
    <w:p>
      <w:pPr>
        <w:spacing w:line="400" w:lineRule="exact"/>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2、政府采购优惠政策：</w:t>
      </w:r>
      <w:r>
        <w:rPr>
          <w:rFonts w:hint="eastAsia" w:ascii="宋体" w:hAnsi="宋体" w:cs="宋体"/>
          <w:color w:val="auto"/>
          <w:sz w:val="24"/>
          <w:highlight w:val="none"/>
          <w:shd w:val="clear" w:color="auto" w:fill="auto"/>
          <w:lang w:val="en-US" w:eastAsia="zh-CN"/>
        </w:rPr>
        <w:t>/</w:t>
      </w:r>
    </w:p>
    <w:p>
      <w:pPr>
        <w:pStyle w:val="13"/>
        <w:rPr>
          <w:rFonts w:ascii="宋体" w:hAnsi="宋体" w:cs="宋体"/>
          <w:color w:val="auto"/>
          <w:sz w:val="24"/>
          <w:szCs w:val="24"/>
          <w:highlight w:val="none"/>
          <w:shd w:val="clear" w:color="auto" w:fill="auto"/>
        </w:rPr>
      </w:pPr>
    </w:p>
    <w:p>
      <w:pPr>
        <w:spacing w:line="360" w:lineRule="auto"/>
        <w:rPr>
          <w:rFonts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shd w:val="clear" w:color="auto" w:fill="auto"/>
        </w:rPr>
        <w:t>政府采购政策执行标准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小微企业（</w:t>
      </w:r>
      <w:r>
        <w:rPr>
          <w:rFonts w:hint="eastAsia" w:ascii="宋体" w:hAnsi="宋体" w:cs="宋体"/>
          <w:color w:val="auto"/>
          <w:sz w:val="24"/>
          <w:szCs w:val="24"/>
          <w:highlight w:val="none"/>
        </w:rPr>
        <w:t>小型、微型企业</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%的扣除，用扣除后的价格参与价格分的评审。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进口产品不享受中小企业评审优惠。</w:t>
      </w:r>
    </w:p>
    <w:p>
      <w:pPr>
        <w:spacing w:line="360" w:lineRule="auto"/>
        <w:ind w:firstLine="480" w:firstLineChars="200"/>
        <w:rPr>
          <w:rFonts w:ascii="宋体" w:hAnsi="宋体" w:cs="宋体"/>
          <w:color w:val="auto"/>
          <w:sz w:val="24"/>
          <w:szCs w:val="24"/>
          <w:highlight w:val="none"/>
          <w:shd w:val="clear" w:color="auto" w:fill="auto"/>
        </w:rPr>
      </w:pPr>
    </w:p>
    <w:p>
      <w:pPr>
        <w:pStyle w:val="5"/>
        <w:numPr>
          <w:ilvl w:val="1"/>
          <w:numId w:val="0"/>
        </w:numPr>
        <w:jc w:val="center"/>
        <w:rPr>
          <w:rFonts w:ascii="宋体" w:hAnsi="宋体" w:cs="宋体"/>
          <w:color w:val="auto"/>
          <w:sz w:val="28"/>
          <w:szCs w:val="28"/>
          <w:highlight w:val="none"/>
          <w:shd w:val="clear" w:color="auto" w:fill="auto"/>
        </w:rPr>
      </w:pPr>
      <w:bookmarkStart w:id="36" w:name="_Toc31098"/>
      <w:bookmarkStart w:id="37" w:name="_Toc2237"/>
      <w:r>
        <w:rPr>
          <w:rFonts w:hint="eastAsia" w:ascii="宋体" w:hAnsi="宋体" w:cs="宋体"/>
          <w:color w:val="auto"/>
          <w:sz w:val="28"/>
          <w:szCs w:val="28"/>
          <w:highlight w:val="none"/>
          <w:shd w:val="clear" w:color="auto" w:fill="auto"/>
        </w:rPr>
        <w:t>第四章　合同条款</w:t>
      </w:r>
      <w:bookmarkEnd w:id="36"/>
      <w:bookmarkEnd w:id="37"/>
    </w:p>
    <w:p>
      <w:pPr>
        <w:rPr>
          <w:rFonts w:ascii="宋体" w:hAnsi="宋体" w:cs="宋体"/>
          <w:color w:val="auto"/>
          <w:sz w:val="24"/>
          <w:szCs w:val="24"/>
          <w:highlight w:val="none"/>
          <w:shd w:val="clear" w:color="auto" w:fill="auto"/>
        </w:rPr>
      </w:pPr>
    </w:p>
    <w:p>
      <w:pPr>
        <w:rPr>
          <w:rFonts w:ascii="宋体" w:hAnsi="宋体" w:cs="宋体"/>
          <w:color w:val="auto"/>
          <w:sz w:val="24"/>
          <w:szCs w:val="24"/>
          <w:highlight w:val="none"/>
          <w:shd w:val="clear" w:color="auto" w:fill="auto"/>
        </w:rPr>
      </w:pPr>
    </w:p>
    <w:p>
      <w:pPr>
        <w:pStyle w:val="29"/>
        <w:spacing w:before="75" w:beforeAutospacing="0" w:after="75" w:afterAutospacing="0"/>
        <w:jc w:val="center"/>
        <w:rPr>
          <w:rFonts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乌鲁木齐市公安局天山区分局购买捕犬防护装备项目</w:t>
      </w:r>
      <w:r>
        <w:rPr>
          <w:rFonts w:hint="eastAsia" w:ascii="宋体" w:hAnsi="宋体" w:eastAsia="宋体" w:cs="宋体"/>
          <w:b/>
          <w:color w:val="auto"/>
          <w:sz w:val="32"/>
          <w:szCs w:val="32"/>
          <w:highlight w:val="none"/>
        </w:rPr>
        <w:t>合同</w:t>
      </w:r>
    </w:p>
    <w:p>
      <w:pPr>
        <w:jc w:val="center"/>
        <w:rPr>
          <w:rFonts w:ascii="宋体" w:hAnsi="宋体" w:cs="宋体"/>
          <w:b/>
          <w:bCs/>
          <w:color w:val="auto"/>
          <w:sz w:val="36"/>
          <w:szCs w:val="24"/>
          <w:highlight w:val="none"/>
          <w:shd w:val="clear" w:color="auto" w:fill="auto"/>
        </w:rPr>
      </w:pPr>
    </w:p>
    <w:p>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（最终以实际签订合同为准）</w:t>
      </w:r>
    </w:p>
    <w:p>
      <w:pPr>
        <w:spacing w:line="360" w:lineRule="auto"/>
        <w:ind w:left="1080" w:leftChars="257" w:hanging="54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（货物类）</w:t>
      </w:r>
    </w:p>
    <w:p>
      <w:pPr>
        <w:pStyle w:val="2"/>
        <w:spacing w:line="360" w:lineRule="auto"/>
        <w:ind w:left="1080" w:leftChars="257" w:hanging="540"/>
        <w:rPr>
          <w:rFonts w:hint="eastAsia" w:hAnsi="宋体" w:cs="宋体"/>
          <w:color w:val="auto"/>
          <w:sz w:val="21"/>
          <w:szCs w:val="21"/>
          <w:highlight w:val="none"/>
        </w:rPr>
      </w:pPr>
    </w:p>
    <w:p>
      <w:pPr>
        <w:pStyle w:val="2"/>
        <w:spacing w:line="360" w:lineRule="auto"/>
        <w:ind w:left="1080" w:leftChars="257" w:hanging="540"/>
        <w:rPr>
          <w:rFonts w:hint="eastAsia" w:hAnsi="宋体" w:cs="宋体"/>
          <w:color w:val="auto"/>
          <w:sz w:val="21"/>
          <w:szCs w:val="21"/>
          <w:highlight w:val="none"/>
        </w:rPr>
      </w:pPr>
    </w:p>
    <w:p>
      <w:pPr>
        <w:spacing w:line="360" w:lineRule="auto"/>
        <w:ind w:left="1080" w:leftChars="257" w:hanging="540"/>
        <w:rPr>
          <w:rFonts w:hint="eastAsia" w:ascii="宋体" w:hAnsi="宋体" w:cs="宋体"/>
          <w:color w:val="auto"/>
          <w:szCs w:val="21"/>
          <w:highlight w:val="none"/>
        </w:rPr>
      </w:pPr>
      <w:bookmarkStart w:id="38" w:name="_Toc216513789"/>
      <w:r>
        <w:rPr>
          <w:rFonts w:hint="eastAsia" w:ascii="宋体" w:hAnsi="宋体" w:cs="宋体"/>
          <w:color w:val="auto"/>
          <w:szCs w:val="21"/>
          <w:highlight w:val="none"/>
        </w:rPr>
        <w:t>合同编号：</w:t>
      </w:r>
      <w:bookmarkEnd w:id="38"/>
      <w:r>
        <w:rPr>
          <w:rFonts w:hint="eastAsia" w:ascii="宋体" w:hAnsi="宋体" w:cs="宋体"/>
          <w:color w:val="auto"/>
          <w:szCs w:val="21"/>
          <w:highlight w:val="none"/>
        </w:rPr>
        <w:t xml:space="preserve">        </w:t>
      </w:r>
    </w:p>
    <w:p>
      <w:pPr>
        <w:pStyle w:val="2"/>
        <w:spacing w:line="360" w:lineRule="auto"/>
        <w:ind w:left="1080" w:leftChars="257" w:hanging="540"/>
        <w:rPr>
          <w:rFonts w:hint="eastAsia" w:hAnsi="宋体" w:cs="宋体"/>
          <w:color w:val="auto"/>
          <w:sz w:val="21"/>
          <w:szCs w:val="21"/>
          <w:highlight w:val="none"/>
        </w:rPr>
      </w:pP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货物名称：</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pStyle w:val="30"/>
        <w:ind w:left="1080" w:leftChars="257" w:hanging="540"/>
        <w:rPr>
          <w:rFonts w:hint="eastAsia" w:ascii="宋体" w:hAnsi="宋体" w:eastAsia="宋体" w:cs="宋体"/>
          <w:color w:val="auto"/>
          <w:sz w:val="21"/>
          <w:szCs w:val="21"/>
          <w:highlight w:val="none"/>
        </w:rPr>
      </w:pPr>
    </w:p>
    <w:p>
      <w:pPr>
        <w:pStyle w:val="30"/>
        <w:ind w:left="1080" w:leftChars="257" w:hanging="540"/>
        <w:rPr>
          <w:rFonts w:hint="eastAsia" w:ascii="宋体" w:hAnsi="宋体" w:eastAsia="宋体" w:cs="宋体"/>
          <w:color w:val="auto"/>
          <w:sz w:val="21"/>
          <w:szCs w:val="21"/>
          <w:highlight w:val="none"/>
        </w:rPr>
      </w:pP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买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卖　　方：</w:t>
      </w:r>
      <w:r>
        <w:rPr>
          <w:rFonts w:hint="eastAsia" w:ascii="宋体" w:hAnsi="宋体" w:cs="宋体"/>
          <w:color w:val="auto"/>
          <w:szCs w:val="21"/>
          <w:highlight w:val="none"/>
          <w:u w:val="single"/>
        </w:rPr>
        <w:t xml:space="preserve">                                    </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jc w:val="center"/>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u w:val="single"/>
        </w:rPr>
      </w:pPr>
      <w:r>
        <w:rPr>
          <w:rFonts w:hint="eastAsia" w:ascii="宋体" w:hAnsi="宋体" w:cs="宋体"/>
          <w:color w:val="auto"/>
          <w:szCs w:val="21"/>
          <w:highlight w:val="none"/>
        </w:rPr>
        <w:t>签署日期：</w:t>
      </w:r>
      <w:r>
        <w:rPr>
          <w:rFonts w:hint="eastAsia" w:ascii="宋体" w:hAnsi="宋体" w:cs="宋体"/>
          <w:color w:val="auto"/>
          <w:szCs w:val="21"/>
          <w:highlight w:val="none"/>
          <w:u w:val="single"/>
        </w:rPr>
        <w:t>　　　　　　　　　　　　　　　　　　　</w:t>
      </w:r>
    </w:p>
    <w:p>
      <w:pPr>
        <w:spacing w:line="360" w:lineRule="auto"/>
        <w:rPr>
          <w:rFonts w:hint="eastAsia" w:ascii="宋体" w:hAnsi="宋体" w:cs="宋体"/>
          <w:color w:val="auto"/>
          <w:szCs w:val="21"/>
          <w:highlight w:val="none"/>
        </w:rPr>
      </w:pPr>
      <w:bookmarkStart w:id="39" w:name="_Toc220229431"/>
      <w:bookmarkStart w:id="40" w:name="_Toc219175636"/>
      <w:bookmarkStart w:id="41" w:name="_Toc220229326"/>
      <w:bookmarkStart w:id="42" w:name="_Toc218935352"/>
    </w:p>
    <w:p>
      <w:pPr>
        <w:spacing w:line="360" w:lineRule="auto"/>
        <w:ind w:firstLine="422" w:firstLineChars="20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合　　　同　　　书</w:t>
      </w:r>
      <w:bookmarkEnd w:id="39"/>
      <w:bookmarkEnd w:id="40"/>
      <w:bookmarkEnd w:id="41"/>
      <w:bookmarkEnd w:id="42"/>
    </w:p>
    <w:p>
      <w:pPr>
        <w:spacing w:line="360" w:lineRule="auto"/>
        <w:ind w:left="1080" w:leftChars="257" w:hanging="540"/>
        <w:rPr>
          <w:rFonts w:hint="eastAsia" w:ascii="宋体" w:hAnsi="宋体" w:cs="宋体"/>
          <w:b/>
          <w:bCs/>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w:t>
      </w:r>
      <w:r>
        <w:rPr>
          <w:rFonts w:hint="eastAsia" w:ascii="宋体" w:hAnsi="宋体" w:cs="宋体"/>
          <w:color w:val="auto"/>
          <w:szCs w:val="21"/>
          <w:highlight w:val="none"/>
          <w:u w:val="single"/>
        </w:rPr>
        <w:t xml:space="preserve">   （名称）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中所需</w:t>
      </w:r>
      <w:r>
        <w:rPr>
          <w:rFonts w:hint="eastAsia" w:ascii="宋体" w:hAnsi="宋体" w:cs="宋体"/>
          <w:color w:val="auto"/>
          <w:szCs w:val="21"/>
          <w:highlight w:val="none"/>
          <w:u w:val="single"/>
        </w:rPr>
        <w:t xml:space="preserve">  (货物名称) </w:t>
      </w:r>
      <w:r>
        <w:rPr>
          <w:rFonts w:hint="eastAsia" w:ascii="宋体" w:hAnsi="宋体" w:cs="宋体"/>
          <w:color w:val="auto"/>
          <w:szCs w:val="21"/>
          <w:highlight w:val="none"/>
        </w:rPr>
        <w:t>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公司以</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在国内公开招标。经评定，卖方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为中标供应商。买、卖双方同意按照下面的条款和条件，签署本合同。</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1、合同文件</w:t>
      </w:r>
    </w:p>
    <w:p>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rPr>
        <w:tab/>
      </w:r>
      <w:r>
        <w:rPr>
          <w:rFonts w:hint="eastAsia" w:ascii="宋体" w:hAnsi="宋体" w:cs="宋体"/>
          <w:color w:val="auto"/>
          <w:szCs w:val="21"/>
          <w:highlight w:val="none"/>
        </w:rPr>
        <w:t>本合同书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rPr>
        <w:tab/>
      </w:r>
      <w:r>
        <w:rPr>
          <w:rFonts w:hint="eastAsia" w:ascii="宋体" w:hAnsi="宋体" w:cs="宋体"/>
          <w:color w:val="auto"/>
          <w:szCs w:val="21"/>
          <w:highlight w:val="none"/>
        </w:rPr>
        <w:t>中标通知书</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rPr>
        <w:tab/>
      </w:r>
      <w:r>
        <w:rPr>
          <w:rFonts w:hint="eastAsia" w:ascii="宋体" w:hAnsi="宋体" w:cs="宋体"/>
          <w:color w:val="auto"/>
          <w:szCs w:val="21"/>
          <w:highlight w:val="none"/>
        </w:rPr>
        <w:t>合同专用条款</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d.  合同通用条款</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rPr>
        <w:tab/>
      </w:r>
      <w:r>
        <w:rPr>
          <w:rFonts w:hint="eastAsia" w:ascii="宋体" w:hAnsi="宋体" w:cs="宋体"/>
          <w:color w:val="auto"/>
          <w:szCs w:val="21"/>
          <w:highlight w:val="none"/>
        </w:rPr>
        <w:t>投标文件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(含澄清文件)</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rPr>
        <w:tab/>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(含</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补充通知)</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2、货物</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本合同货物：</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3、合同总价</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本合同总价为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4、付款方式</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本合同的付款方式为：</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5、本合同货物的交货时间及交货地点</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交货时间：</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color w:val="auto"/>
          <w:szCs w:val="21"/>
          <w:highlight w:val="none"/>
        </w:rPr>
      </w:pPr>
      <w:r>
        <w:rPr>
          <w:rFonts w:hint="eastAsia" w:ascii="宋体" w:hAnsi="宋体" w:cs="宋体"/>
          <w:color w:val="auto"/>
          <w:szCs w:val="21"/>
          <w:highlight w:val="none"/>
        </w:rPr>
        <w:t>交货地点：</w:t>
      </w:r>
      <w:r>
        <w:rPr>
          <w:rFonts w:hint="eastAsia" w:ascii="宋体" w:hAnsi="宋体" w:cs="宋体"/>
          <w:color w:val="auto"/>
          <w:szCs w:val="21"/>
          <w:highlight w:val="none"/>
          <w:u w:val="single"/>
        </w:rPr>
        <w:t>　　　　　　　　　　　　　　　　</w:t>
      </w:r>
    </w:p>
    <w:p>
      <w:pPr>
        <w:spacing w:line="360" w:lineRule="auto"/>
        <w:ind w:left="1080" w:leftChars="257" w:hanging="540"/>
        <w:rPr>
          <w:rFonts w:hint="eastAsia" w:ascii="宋体" w:hAnsi="宋体" w:cs="宋体"/>
          <w:b/>
          <w:color w:val="auto"/>
          <w:szCs w:val="21"/>
          <w:highlight w:val="none"/>
        </w:rPr>
      </w:pPr>
      <w:r>
        <w:rPr>
          <w:rFonts w:hint="eastAsia" w:ascii="宋体" w:hAnsi="宋体" w:cs="宋体"/>
          <w:b/>
          <w:color w:val="auto"/>
          <w:szCs w:val="21"/>
          <w:highlight w:val="none"/>
        </w:rPr>
        <w:t>6合同的生效。</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本合同经双方全权代表签署、加盖单位印章后生效。</w:t>
      </w: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spacing w:line="360" w:lineRule="auto"/>
        <w:ind w:left="1080" w:leftChars="257" w:hanging="540"/>
        <w:rPr>
          <w:rFonts w:hint="eastAsia" w:ascii="宋体" w:hAnsi="宋体" w:cs="宋体"/>
          <w:color w:val="auto"/>
          <w:szCs w:val="21"/>
          <w:highlight w:val="none"/>
        </w:rPr>
      </w:pPr>
    </w:p>
    <w:p>
      <w:pPr>
        <w:spacing w:line="360" w:lineRule="auto"/>
        <w:ind w:left="975" w:leftChars="207" w:hanging="540"/>
        <w:rPr>
          <w:rFonts w:hint="eastAsia" w:ascii="宋体" w:hAnsi="宋体" w:cs="宋体"/>
          <w:color w:val="auto"/>
          <w:szCs w:val="21"/>
          <w:highlight w:val="none"/>
          <w:u w:val="single"/>
        </w:rPr>
      </w:pPr>
      <w:r>
        <w:rPr>
          <w:rFonts w:hint="eastAsia" w:ascii="宋体" w:hAnsi="宋体" w:cs="宋体"/>
          <w:color w:val="auto"/>
          <w:szCs w:val="21"/>
          <w:highlight w:val="none"/>
        </w:rPr>
        <w:t>　买  　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名　  称：(印章)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授权代表(签字)：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p>
    <w:p>
      <w:pPr>
        <w:spacing w:line="360" w:lineRule="auto"/>
        <w:ind w:left="569" w:leftChars="96"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608" w:leftChars="11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630" w:leftChars="125"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p>
    <w:p>
      <w:pPr>
        <w:spacing w:line="360" w:lineRule="auto"/>
        <w:ind w:firstLine="630" w:firstLineChars="300"/>
        <w:rPr>
          <w:rFonts w:hint="eastAsia" w:ascii="宋体" w:hAnsi="宋体" w:cs="宋体"/>
          <w:color w:val="auto"/>
          <w:szCs w:val="21"/>
          <w:highlight w:val="none"/>
          <w:u w:val="single"/>
        </w:rPr>
      </w:pPr>
    </w:p>
    <w:p>
      <w:pPr>
        <w:spacing w:line="360" w:lineRule="auto"/>
        <w:ind w:firstLine="630" w:firstLineChars="300"/>
        <w:rPr>
          <w:rFonts w:hint="eastAsia" w:ascii="宋体" w:hAnsi="宋体" w:cs="宋体"/>
          <w:color w:val="auto"/>
          <w:szCs w:val="21"/>
          <w:highlight w:val="none"/>
          <w:u w:val="single"/>
        </w:rPr>
      </w:pPr>
    </w:p>
    <w:p>
      <w:pPr>
        <w:spacing w:line="360" w:lineRule="auto"/>
        <w:ind w:left="1003" w:leftChars="32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rPr>
        <w:t xml:space="preserve"> 卖　  方：</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rPr>
      </w:pPr>
      <w:r>
        <w:rPr>
          <w:rFonts w:hint="eastAsia" w:ascii="宋体" w:hAnsi="宋体" w:cs="宋体"/>
          <w:color w:val="auto"/>
          <w:szCs w:val="21"/>
          <w:highlight w:val="none"/>
        </w:rPr>
        <w:t xml:space="preserve"> 名　  称：(印章)</w:t>
      </w:r>
      <w:r>
        <w:rPr>
          <w:rFonts w:hint="eastAsia" w:ascii="宋体" w:hAnsi="宋体" w:cs="宋体"/>
          <w:color w:val="auto"/>
          <w:szCs w:val="21"/>
          <w:highlight w:val="none"/>
          <w:u w:val="single"/>
        </w:rPr>
        <w:t xml:space="preserve">                              </w:t>
      </w:r>
    </w:p>
    <w:p>
      <w:pPr>
        <w:spacing w:line="360" w:lineRule="auto"/>
        <w:ind w:left="1026" w:leftChars="314" w:hanging="367" w:hangingChars="175"/>
        <w:rPr>
          <w:rFonts w:hint="eastAsia" w:ascii="宋体" w:hAnsi="宋体" w:cs="宋体"/>
          <w:color w:val="auto"/>
          <w:szCs w:val="21"/>
          <w:highlight w:val="none"/>
          <w:u w:val="singl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授权代表(签字)：</w:t>
      </w:r>
      <w:r>
        <w:rPr>
          <w:rFonts w:hint="eastAsia" w:ascii="宋体" w:hAnsi="宋体" w:cs="宋体"/>
          <w:color w:val="auto"/>
          <w:szCs w:val="21"/>
          <w:highlight w:val="none"/>
          <w:u w:val="single"/>
        </w:rPr>
        <w:t xml:space="preserve">                               </w:t>
      </w:r>
    </w:p>
    <w:p>
      <w:pPr>
        <w:spacing w:line="360" w:lineRule="auto"/>
        <w:ind w:left="680" w:leftChars="324"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720" w:leftChars="343"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741" w:leftChars="353" w:firstLine="52" w:firstLineChars="25"/>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spacing w:line="360" w:lineRule="auto"/>
        <w:ind w:left="1108" w:leftChars="37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ab/>
      </w:r>
      <w:r>
        <w:rPr>
          <w:rFonts w:hint="eastAsia" w:ascii="宋体" w:hAnsi="宋体" w:cs="宋体"/>
          <w:color w:val="auto"/>
          <w:szCs w:val="21"/>
          <w:highlight w:val="none"/>
        </w:rPr>
        <w:tab/>
      </w:r>
    </w:p>
    <w:p>
      <w:pPr>
        <w:spacing w:line="360" w:lineRule="auto"/>
        <w:ind w:left="1108" w:leftChars="371" w:hanging="329" w:hangingChars="157"/>
        <w:rPr>
          <w:rFonts w:hint="eastAsia" w:ascii="宋体" w:hAnsi="宋体" w:cs="宋体"/>
          <w:color w:val="auto"/>
          <w:szCs w:val="21"/>
          <w:highlight w:val="none"/>
          <w:u w:val="single"/>
        </w:rPr>
      </w:pPr>
    </w:p>
    <w:p>
      <w:pPr>
        <w:spacing w:line="360" w:lineRule="auto"/>
        <w:ind w:left="1108" w:leftChars="371" w:hanging="329" w:hangingChars="157"/>
        <w:rPr>
          <w:rFonts w:hint="eastAsia" w:ascii="宋体" w:hAnsi="宋体" w:cs="宋体"/>
          <w:color w:val="auto"/>
          <w:szCs w:val="21"/>
          <w:highlight w:val="none"/>
          <w:u w:val="single"/>
        </w:rPr>
      </w:pPr>
    </w:p>
    <w:p>
      <w:pPr>
        <w:spacing w:line="360" w:lineRule="auto"/>
        <w:ind w:left="1108" w:leftChars="371" w:hanging="329" w:hangingChars="157"/>
        <w:rPr>
          <w:rFonts w:hint="eastAsia" w:ascii="宋体" w:hAnsi="宋体" w:cs="宋体"/>
          <w:color w:val="auto"/>
          <w:szCs w:val="21"/>
          <w:highlight w:val="none"/>
          <w:u w:val="single"/>
        </w:rPr>
      </w:pPr>
    </w:p>
    <w:p>
      <w:pPr>
        <w:spacing w:line="360" w:lineRule="auto"/>
        <w:ind w:left="1108" w:leftChars="371" w:hanging="329" w:hangingChars="157"/>
        <w:rPr>
          <w:rFonts w:hint="eastAsia" w:ascii="宋体" w:hAnsi="宋体" w:cs="宋体"/>
          <w:color w:val="auto"/>
          <w:szCs w:val="21"/>
          <w:highlight w:val="none"/>
          <w:u w:val="single"/>
        </w:rPr>
      </w:pPr>
    </w:p>
    <w:p>
      <w:pPr>
        <w:spacing w:line="360" w:lineRule="auto"/>
        <w:ind w:left="1108" w:leftChars="371" w:hanging="329" w:hangingChars="157"/>
        <w:rPr>
          <w:rFonts w:hint="eastAsia" w:ascii="宋体" w:hAnsi="宋体" w:cs="宋体"/>
          <w:color w:val="auto"/>
          <w:szCs w:val="21"/>
          <w:highlight w:val="none"/>
          <w:u w:val="single"/>
        </w:rPr>
      </w:pPr>
    </w:p>
    <w:p>
      <w:pPr>
        <w:spacing w:line="360" w:lineRule="auto"/>
        <w:ind w:left="1108" w:leftChars="371" w:hanging="329" w:hangingChars="157"/>
        <w:rPr>
          <w:rFonts w:hint="eastAsia" w:ascii="宋体" w:hAnsi="宋体" w:cs="宋体"/>
          <w:color w:val="auto"/>
          <w:szCs w:val="21"/>
          <w:highlight w:val="none"/>
          <w:u w:val="single"/>
        </w:rPr>
      </w:pPr>
      <w:r>
        <w:rPr>
          <w:rFonts w:hint="eastAsia" w:ascii="宋体" w:hAnsi="宋体" w:cs="宋体"/>
          <w:color w:val="auto"/>
          <w:szCs w:val="21"/>
          <w:highlight w:val="none"/>
          <w:u w:val="single"/>
        </w:rPr>
        <w:br w:type="column"/>
      </w:r>
    </w:p>
    <w:p>
      <w:pPr>
        <w:jc w:val="center"/>
        <w:rPr>
          <w:rFonts w:hint="eastAsia" w:ascii="宋体" w:hAnsi="宋体" w:cs="宋体"/>
          <w:b/>
          <w:color w:val="auto"/>
          <w:szCs w:val="21"/>
          <w:highlight w:val="none"/>
        </w:rPr>
      </w:pPr>
      <w:bookmarkStart w:id="43" w:name="_Toc219175637"/>
      <w:bookmarkStart w:id="44" w:name="_Toc220229432"/>
      <w:bookmarkStart w:id="45" w:name="_Toc218935353"/>
      <w:r>
        <w:rPr>
          <w:rFonts w:hint="eastAsia" w:ascii="宋体" w:hAnsi="宋体" w:cs="宋体"/>
          <w:b/>
          <w:color w:val="auto"/>
          <w:szCs w:val="21"/>
          <w:highlight w:val="none"/>
        </w:rPr>
        <w:t>合同条款</w:t>
      </w:r>
      <w:bookmarkEnd w:id="43"/>
      <w:bookmarkEnd w:id="44"/>
      <w:bookmarkEnd w:id="45"/>
    </w:p>
    <w:p>
      <w:pPr>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日由</w:t>
      </w:r>
      <w:r>
        <w:rPr>
          <w:rFonts w:hint="eastAsia" w:ascii="宋体" w:hAnsi="宋体" w:cs="宋体"/>
          <w:color w:val="auto"/>
          <w:szCs w:val="21"/>
          <w:highlight w:val="none"/>
          <w:u w:val="single"/>
        </w:rPr>
        <w:t>乌鲁木齐市公安局天山区分局</w:t>
      </w:r>
      <w:r>
        <w:rPr>
          <w:rFonts w:hint="eastAsia" w:ascii="宋体" w:hAnsi="宋体" w:cs="宋体"/>
          <w:color w:val="auto"/>
          <w:szCs w:val="21"/>
          <w:highlight w:val="none"/>
        </w:rPr>
        <w:t xml:space="preserve">（以下简称“买方”）为一方和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（以下简称“卖方”）为另一方按下述条款和条件签署。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鉴于卖方在“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）”中中标，买方和卖方同意按照“</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（招标编号：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）”的有关内容以及下述条款和条件签署本招标采购合同（以下简称“合同”）: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买方名称：                      </w:t>
      </w:r>
    </w:p>
    <w:p>
      <w:pPr>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买方地址：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卖方名称：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卖方地址：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项目现场：指定地点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一、合同文件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所附下列文件是构成本合同不可分割的部分，并与本合同协议书一起阅读和解释，彼此相互解释、相互补充，一旦合同文件之间出现意思含混不清或矛盾之处，以签署在后的文件为准，但签署在后的文件不得实质性违反招投标时确定的原则和条件。如果组成合同的各部分之间出现任何含糊或冲突之处，则应以对卖方规定有最广泛、最严格和/或最繁重义务的要求并有利于买方的解释为准，并须由卖方予以遵守。买方有权向卖方发出其认为解决了含糊点或出入之处的指示，而且，在其如此做出指示之时，可以选择和决定何种要求或解释对卖方规定有最广泛，最严格和/或最繁重义务并因此应以其为准且须由卖方遵守发出指示。卖方无权因该等指示或就该等指示获得任何赔偿，而且，卖方放弃主张任何该等赔偿的一切和任何权利。</w:t>
      </w:r>
    </w:p>
    <w:p>
      <w:pPr>
        <w:pStyle w:val="13"/>
        <w:tabs>
          <w:tab w:val="left" w:pos="567"/>
        </w:tabs>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1.1合同及合同条款；</w:t>
      </w:r>
    </w:p>
    <w:p>
      <w:pPr>
        <w:pStyle w:val="13"/>
        <w:tabs>
          <w:tab w:val="left" w:pos="567"/>
        </w:tabs>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1.2</w:t>
      </w:r>
      <w:r>
        <w:rPr>
          <w:rFonts w:hint="eastAsia" w:cs="宋体"/>
          <w:color w:val="auto"/>
          <w:sz w:val="21"/>
          <w:szCs w:val="21"/>
          <w:highlight w:val="none"/>
          <w:lang w:eastAsia="zh-CN"/>
        </w:rPr>
        <w:t>磋商文件</w:t>
      </w:r>
      <w:r>
        <w:rPr>
          <w:rFonts w:hint="eastAsia" w:cs="宋体"/>
          <w:color w:val="auto"/>
          <w:sz w:val="21"/>
          <w:szCs w:val="21"/>
          <w:highlight w:val="none"/>
        </w:rPr>
        <w:t>；</w:t>
      </w:r>
    </w:p>
    <w:p>
      <w:pPr>
        <w:pStyle w:val="13"/>
        <w:tabs>
          <w:tab w:val="left" w:pos="567"/>
        </w:tabs>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1.3</w:t>
      </w:r>
      <w:r>
        <w:rPr>
          <w:rFonts w:hint="eastAsia" w:cs="宋体"/>
          <w:color w:val="auto"/>
          <w:sz w:val="21"/>
          <w:szCs w:val="21"/>
          <w:highlight w:val="none"/>
          <w:lang w:eastAsia="zh-CN"/>
        </w:rPr>
        <w:t>成交人</w:t>
      </w:r>
      <w:r>
        <w:rPr>
          <w:rFonts w:hint="eastAsia" w:cs="宋体"/>
          <w:color w:val="auto"/>
          <w:sz w:val="21"/>
          <w:szCs w:val="21"/>
          <w:highlight w:val="none"/>
        </w:rPr>
        <w:t>的投标文件及有关澄清资料；</w:t>
      </w:r>
    </w:p>
    <w:p>
      <w:pPr>
        <w:pStyle w:val="13"/>
        <w:tabs>
          <w:tab w:val="left" w:pos="567"/>
        </w:tabs>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1.4双方约定的其它补充条款。</w:t>
      </w:r>
    </w:p>
    <w:p>
      <w:pPr>
        <w:pStyle w:val="13"/>
        <w:tabs>
          <w:tab w:val="left" w:pos="567"/>
        </w:tabs>
        <w:spacing w:line="360" w:lineRule="auto"/>
        <w:ind w:firstLine="420" w:firstLineChars="200"/>
        <w:jc w:val="left"/>
        <w:rPr>
          <w:rFonts w:hint="eastAsia" w:cs="宋体"/>
          <w:color w:val="auto"/>
          <w:sz w:val="21"/>
          <w:szCs w:val="21"/>
          <w:highlight w:val="none"/>
        </w:rPr>
      </w:pPr>
    </w:p>
    <w:p>
      <w:pPr>
        <w:pStyle w:val="13"/>
        <w:tabs>
          <w:tab w:val="left" w:pos="567"/>
        </w:tabs>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二、合同范围和条件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除非另有约定，本合同的范围和条件与上述合同文件的规定相一致。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三、数量和技术要求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3.1数量和金额：</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057"/>
        <w:gridCol w:w="940"/>
        <w:gridCol w:w="2830"/>
        <w:gridCol w:w="889"/>
        <w:gridCol w:w="852"/>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产品名称</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型号</w:t>
            </w:r>
          </w:p>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和规格</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制造商</w:t>
            </w: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技术参数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p>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数量</w:t>
            </w:r>
          </w:p>
          <w:p>
            <w:pPr>
              <w:widowControl/>
              <w:jc w:val="center"/>
              <w:rPr>
                <w:rFonts w:hint="eastAsia" w:ascii="宋体" w:hAnsi="宋体" w:cs="宋体"/>
                <w:b/>
                <w:bCs/>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小计</w:t>
            </w:r>
          </w:p>
          <w:p>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Cs w:val="21"/>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b/>
                <w:bCs/>
                <w:color w:val="auto"/>
                <w:kern w:val="0"/>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33" w:type="dxa"/>
            <w:gridSpan w:val="7"/>
            <w:tcBorders>
              <w:top w:val="single" w:color="auto" w:sz="4" w:space="0"/>
              <w:left w:val="single" w:color="auto" w:sz="4" w:space="0"/>
              <w:bottom w:val="single" w:color="auto" w:sz="4" w:space="0"/>
              <w:right w:val="single" w:color="auto" w:sz="4" w:space="0"/>
            </w:tcBorders>
            <w:noWrap w:val="0"/>
            <w:vAlign w:val="center"/>
          </w:tcPr>
          <w:p>
            <w:pPr>
              <w:pStyle w:val="17"/>
              <w:spacing w:line="360" w:lineRule="auto"/>
              <w:ind w:firstLine="482"/>
              <w:rPr>
                <w:rFonts w:hint="eastAsia" w:hAnsi="宋体" w:cs="宋体"/>
                <w:color w:val="auto"/>
                <w:szCs w:val="21"/>
                <w:highlight w:val="none"/>
              </w:rPr>
            </w:pPr>
            <w:r>
              <w:rPr>
                <w:rFonts w:hint="eastAsia" w:hAnsi="宋体" w:cs="宋体"/>
                <w:b/>
                <w:bCs/>
                <w:color w:val="auto"/>
                <w:kern w:val="0"/>
                <w:szCs w:val="21"/>
                <w:highlight w:val="none"/>
              </w:rPr>
              <w:t>总计：</w:t>
            </w:r>
            <w:r>
              <w:rPr>
                <w:rFonts w:hint="eastAsia" w:hAnsi="宋体" w:cs="宋体"/>
                <w:color w:val="auto"/>
                <w:szCs w:val="21"/>
                <w:highlight w:val="none"/>
              </w:rPr>
              <w:t>人民币</w:t>
            </w:r>
            <w:r>
              <w:rPr>
                <w:rFonts w:hint="eastAsia" w:hAnsi="宋体" w:cs="宋体"/>
                <w:color w:val="auto"/>
                <w:szCs w:val="21"/>
                <w:highlight w:val="none"/>
                <w:u w:val="single"/>
              </w:rPr>
              <w:t xml:space="preserve">                            </w:t>
            </w: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3.2技术要求及质量标准：见</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的投标文件，其中技术参数中带★号的为必须满足项。</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四、合同金额和付款条件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4.1根据合同文件内容，合同的总金额为人民币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），经双方协商，合同总金额包含</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中规定的所有费用，包括本合同第3.1条所列产品、自签订合同之日起一年内因保修而产生的费用。</w:t>
      </w:r>
    </w:p>
    <w:p>
      <w:pPr>
        <w:spacing w:line="360" w:lineRule="auto"/>
        <w:ind w:left="420" w:firstLine="140"/>
        <w:rPr>
          <w:rFonts w:hint="eastAsia" w:ascii="宋体" w:hAnsi="宋体" w:cs="宋体"/>
          <w:color w:val="auto"/>
          <w:szCs w:val="21"/>
          <w:highlight w:val="none"/>
        </w:rPr>
      </w:pPr>
      <w:r>
        <w:rPr>
          <w:rFonts w:hint="eastAsia" w:ascii="宋体" w:hAnsi="宋体" w:cs="宋体"/>
          <w:color w:val="auto"/>
          <w:szCs w:val="21"/>
          <w:highlight w:val="none"/>
        </w:rPr>
        <w:t>4.2 上述第4.1条规定的合同总金额为项目现场交货价（买方指定交货地点），包含清关费（含在到货港所发生的所有费用）、至最终目的地的运输费、保险费、进口关税、增值税、消费税（如适用）、商检费等均由卖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4.3本合同项下所有费用使用人民币以银行转账或者支票方式付款。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据合同支付程序进行支付发生的费用，买方在银行发生的由买方负担，卖方在银行发生的由卖方负担。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卖方银行账户信息：</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开户行：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买方银行账户信息：</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开户行： </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4.4卖方应按照合同规定交货。交货后卖方应向买方提供下列单据：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4.4.1卖方向买方出具货物验收单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4.4.2制造厂家出具的质量检验证书；</w:t>
      </w:r>
    </w:p>
    <w:p>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4.5付款方式：</w:t>
      </w:r>
    </w:p>
    <w:p>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4.5.1本合同总价款为人民币元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4.5.2支付方式：本合同项下的全部合同价款将由买方按下述比例按月支付到卖方指定的银行账户。</w:t>
      </w:r>
    </w:p>
    <w:p>
      <w:pPr>
        <w:wordWrap w:val="0"/>
        <w:adjustRightInd w:val="0"/>
        <w:spacing w:line="360" w:lineRule="auto"/>
        <w:ind w:left="689" w:leftChars="228" w:hanging="210" w:hangingChars="100"/>
        <w:textAlignment w:val="baseline"/>
        <w:rPr>
          <w:rFonts w:ascii="宋体" w:hAnsi="宋体" w:cs="宋体"/>
          <w:color w:val="auto"/>
          <w:szCs w:val="21"/>
          <w:highlight w:val="none"/>
        </w:rPr>
      </w:pPr>
      <w:r>
        <w:rPr>
          <w:rFonts w:hint="eastAsia" w:ascii="宋体" w:hAnsi="宋体" w:cs="宋体"/>
          <w:color w:val="auto"/>
          <w:szCs w:val="21"/>
          <w:highlight w:val="none"/>
        </w:rPr>
        <w:t>4.5.3</w:t>
      </w:r>
      <w:r>
        <w:rPr>
          <w:rFonts w:ascii="宋体" w:hAnsi="宋体" w:cs="宋体"/>
          <w:bCs/>
          <w:color w:val="auto"/>
          <w:szCs w:val="21"/>
          <w:highlight w:val="none"/>
        </w:rPr>
        <w:t xml:space="preserve"> </w:t>
      </w:r>
      <w:r>
        <w:rPr>
          <w:rFonts w:hint="eastAsia" w:ascii="宋体" w:hAnsi="宋体" w:cs="宋体"/>
          <w:bCs/>
          <w:color w:val="auto"/>
          <w:szCs w:val="21"/>
          <w:highlight w:val="none"/>
        </w:rPr>
        <w:t>合同生效后，根据甲方要求供货，货物送达甲方指定地点，经甲、乙双方共同验收合格后，甲方向乙方支付合同金额</w:t>
      </w:r>
      <w:r>
        <w:rPr>
          <w:rFonts w:hint="eastAsia" w:ascii="宋体" w:hAnsi="宋体" w:cs="宋体"/>
          <w:bCs/>
          <w:color w:val="auto"/>
          <w:szCs w:val="21"/>
          <w:highlight w:val="none"/>
          <w:lang w:val="en-US" w:eastAsia="zh-CN"/>
        </w:rPr>
        <w:t>100</w:t>
      </w:r>
      <w:r>
        <w:rPr>
          <w:rFonts w:hint="eastAsia" w:ascii="宋体" w:hAnsi="宋体" w:cs="宋体"/>
          <w:bCs/>
          <w:color w:val="auto"/>
          <w:szCs w:val="21"/>
          <w:highlight w:val="none"/>
        </w:rPr>
        <w:t>%。</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五、验收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5.1验收时间和验收人：货到当日由买方指定的产品接收单位验收。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5.2验收手段：清点数量，进行内外包装检验。</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5.3验收标准：数量正确，内外包装无缺损，产品无质量问题，进口产品以关单证明件为准确认产品来源渠道正规。</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卖方不能按照投标报价表提供货物，应向买方来函说明，经买方书面同意，双方签订补充协议后，卖方可提供替代产品，且不得低于被替代产品的质量和技术标准，单价价格不得高于被替代产品。买方对此保留解除合同的权利，并追究卖方的违约责任。</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5.5产品验收合格后，卖方需要求买方在卖方出具的验收凭据上由具体验收人签署名字和验收合格日期。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5.6若买方或其指定的接收单位认为产品数量不符合合同约定或质量不符合</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 xml:space="preserve">的投标文件中规定的技术要求和质量标准，买方有权要求卖方在20个工作日内进行修理或更换，由此产生的一切费用及风险由卖方承担。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5.7买方或其指定的接收单位对产品的验收在任何情况下均不得视作买方放弃对验收后发现的产品缺陷或不符合</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成交人</w:t>
      </w:r>
      <w:r>
        <w:rPr>
          <w:rFonts w:hint="eastAsia" w:ascii="宋体" w:hAnsi="宋体" w:cs="宋体"/>
          <w:color w:val="auto"/>
          <w:szCs w:val="21"/>
          <w:highlight w:val="none"/>
        </w:rPr>
        <w:t>的投标文件中规定的技术要求和质量标准得以主张的任何权利和赔偿。</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六、包装要求及费用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6.1卖方负责将产品运至买方书面指定交货地点并承担包装和运输费用。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6.2包装应适应于远距离运输、防潮、防震、防锈和防野蛮装卸，确保产品安全无损运抵现场，由于包装不善所引起的产品损坏和损失均由卖方承担。</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七、质量保证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7.1卖方保证产品是全新、未使用过的正品，并完全符合合同文件中规定的质量、规格和性能的要求；卖方保证其产品在正常使用和保养条件下，在其使用寿命内应具有满意的性能。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7.2卖方应对由于设计、工艺或材料等因制造商造成的缺陷而发生的任何不足或故障负责，费用由卖方负担。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7.3在发货前，卖方应对产品的质量、规格、性能、数量进行准确而全面的检验，并出具产品检验合格证书。但证书中有关质量、规格、性能、数量的检验结果不视为买方对产品的验收。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7.4质量保证期：自买方指定的产品接收单位确认产品验收合格之日起的</w:t>
      </w:r>
      <w:r>
        <w:rPr>
          <w:rFonts w:hint="eastAsia" w:ascii="宋体" w:hAnsi="宋体" w:cs="宋体"/>
          <w:color w:val="auto"/>
          <w:szCs w:val="21"/>
          <w:highlight w:val="none"/>
          <w:lang w:val="en-US" w:eastAsia="zh-CN"/>
        </w:rPr>
        <w:t>二十四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）个月。但以下情况买方根据中华人民共和国相关法律、法规所享有的权利与救济不受上述质量保质期的限制：</w:t>
      </w:r>
    </w:p>
    <w:p>
      <w:pPr>
        <w:numPr>
          <w:ilvl w:val="0"/>
          <w:numId w:val="9"/>
        </w:numPr>
        <w:spacing w:line="360" w:lineRule="auto"/>
        <w:ind w:hanging="11"/>
        <w:rPr>
          <w:rFonts w:hint="eastAsia" w:ascii="宋体" w:hAnsi="宋体" w:cs="宋体"/>
          <w:color w:val="auto"/>
          <w:szCs w:val="21"/>
          <w:highlight w:val="none"/>
        </w:rPr>
      </w:pPr>
      <w:r>
        <w:rPr>
          <w:rFonts w:hint="eastAsia" w:ascii="宋体" w:hAnsi="宋体" w:cs="宋体"/>
          <w:color w:val="auto"/>
          <w:szCs w:val="21"/>
          <w:highlight w:val="none"/>
        </w:rPr>
        <w:t>卖方知道或者应当知道所提供商品不符合约定的；</w:t>
      </w:r>
    </w:p>
    <w:p>
      <w:pPr>
        <w:numPr>
          <w:ilvl w:val="0"/>
          <w:numId w:val="9"/>
        </w:numPr>
        <w:spacing w:line="360" w:lineRule="auto"/>
        <w:ind w:hanging="11"/>
        <w:rPr>
          <w:rFonts w:hint="eastAsia" w:ascii="宋体" w:hAnsi="宋体" w:cs="宋体"/>
          <w:color w:val="auto"/>
          <w:szCs w:val="21"/>
          <w:highlight w:val="none"/>
        </w:rPr>
      </w:pPr>
      <w:r>
        <w:rPr>
          <w:rFonts w:hint="eastAsia" w:ascii="宋体" w:hAnsi="宋体" w:cs="宋体"/>
          <w:color w:val="auto"/>
          <w:szCs w:val="21"/>
          <w:highlight w:val="none"/>
        </w:rPr>
        <w:t>产品存在潜在缺陷或使用不符合要求的材料的；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7.5产品验收后，在质量保证期内，卖方应对由于设计、工艺或材料的缺陷所发生的任何不足或故障负责，买方有权依据本合同第九条的规定要求卖方采取补救措施，由此产生的费用由卖方承担。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如果产品的质量和规格与合同不符，或在规定的质量保证期内证实产品是有缺陷的，买方应报请当地质检局或有关部门进行检查，买方有权凭质检证书向卖方依据本合同第九条的规定要求卖方采取补救措施并赔偿损失。</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八、知识产权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卖方应保证，买方在中华人民共和国使用该产品或产品的任何一部分时(包括与之相关的任何技术资料)，免受第三方提出的侵犯其专利权、商标权或其它知识产权的异议和起诉，否则，由此而引起的所有责任和费用（包括但不限于买方为此支付的诉讼费、评估费、公证费、律师费等）由卖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8.2如因卖方原因使买方在中华人民共和国使用该产品或产品的任何一部分时产生知识产权纠纷诉讼，且被司法机关裁定停止侵权而导致本合同终止所导致的买方的实际损失由卖方承担。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 买方永久享有卖方为本合同项下提供的产品、技术资料的使用权，无需交纳特许使用费（如有此类费用的话）。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8.4所有合同产品所含的全部知识产权均属于投标人所有，供货后允许买方为自身使用目的而免费使用。</w:t>
      </w:r>
    </w:p>
    <w:p>
      <w:pPr>
        <w:spacing w:line="360" w:lineRule="auto"/>
        <w:ind w:firstLine="420" w:firstLineChars="200"/>
        <w:rPr>
          <w:rFonts w:hint="eastAsia" w:ascii="宋体" w:hAnsi="宋体" w:cs="宋体"/>
          <w:color w:val="auto"/>
          <w:szCs w:val="21"/>
          <w:highlight w:val="none"/>
        </w:rPr>
      </w:pP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九、违约与赔偿</w:t>
      </w:r>
    </w:p>
    <w:p>
      <w:pPr>
        <w:spacing w:line="360" w:lineRule="auto"/>
        <w:ind w:firstLine="420" w:firstLineChars="200"/>
        <w:rPr>
          <w:rFonts w:hint="eastAsia" w:ascii="宋体" w:hAnsi="宋体" w:cs="宋体"/>
          <w:color w:val="auto"/>
          <w:spacing w:val="-2"/>
          <w:szCs w:val="21"/>
          <w:highlight w:val="none"/>
        </w:rPr>
      </w:pPr>
      <w:r>
        <w:rPr>
          <w:rFonts w:hint="eastAsia" w:ascii="宋体" w:hAnsi="宋体" w:cs="宋体"/>
          <w:bCs/>
          <w:color w:val="auto"/>
          <w:szCs w:val="21"/>
          <w:highlight w:val="none"/>
        </w:rPr>
        <w:t>9.1如卖方不按照本合同的规定准时交货，买方</w:t>
      </w:r>
      <w:r>
        <w:rPr>
          <w:rFonts w:hint="eastAsia" w:ascii="宋体" w:hAnsi="宋体" w:cs="宋体"/>
          <w:color w:val="auto"/>
          <w:spacing w:val="-2"/>
          <w:szCs w:val="21"/>
          <w:highlight w:val="none"/>
        </w:rPr>
        <w:t>应在不影响合同项下的其他补救措施的情况下，从合同价中扣除误期赔偿费。每延误一天的赔偿费按误期货物总金额的</w:t>
      </w:r>
      <w:r>
        <w:rPr>
          <w:rFonts w:hint="eastAsia" w:ascii="宋体" w:hAnsi="宋体" w:cs="宋体"/>
          <w:color w:val="auto"/>
          <w:spacing w:val="-2"/>
          <w:szCs w:val="21"/>
          <w:highlight w:val="none"/>
          <w:lang w:val="en-US" w:eastAsia="zh-CN"/>
        </w:rPr>
        <w:t>1</w:t>
      </w:r>
      <w:r>
        <w:rPr>
          <w:rFonts w:hint="eastAsia" w:ascii="宋体" w:hAnsi="宋体" w:cs="宋体"/>
          <w:color w:val="auto"/>
          <w:spacing w:val="-2"/>
          <w:szCs w:val="21"/>
          <w:highlight w:val="none"/>
        </w:rPr>
        <w:t>%计收，直至交货为止。累计不超过合同总金额的30 %</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rPr>
        <w:t>误期赔偿费的支付并不免除承包人实际交付。</w:t>
      </w:r>
    </w:p>
    <w:p>
      <w:pPr>
        <w:spacing w:line="360" w:lineRule="auto"/>
        <w:ind w:firstLine="412" w:firstLineChars="200"/>
        <w:rPr>
          <w:rFonts w:hint="eastAsia" w:ascii="宋体" w:hAnsi="宋体" w:cs="宋体"/>
          <w:color w:val="auto"/>
          <w:spacing w:val="-2"/>
          <w:szCs w:val="21"/>
          <w:highlight w:val="none"/>
          <w:lang w:eastAsia="zh-CN"/>
        </w:rPr>
      </w:pPr>
      <w:r>
        <w:rPr>
          <w:rFonts w:hint="eastAsia" w:ascii="宋体" w:hAnsi="宋体" w:cs="宋体"/>
          <w:color w:val="auto"/>
          <w:spacing w:val="-2"/>
          <w:szCs w:val="21"/>
          <w:highlight w:val="none"/>
        </w:rPr>
        <w:t>交货逾期超过三十（30）天，且未交货部分影响已交货部分正常使用或使已交货部分价值显受损害的，甲方有权解除合同，并要求乙方十（10）日相应产品的已支付价款，承担合同总金额 30%的违约责任，并赔偿甲方由此造成的损失</w:t>
      </w:r>
      <w:r>
        <w:rPr>
          <w:rFonts w:hint="eastAsia" w:ascii="宋体" w:hAnsi="宋体" w:cs="宋体"/>
          <w:color w:val="auto"/>
          <w:spacing w:val="-2"/>
          <w:szCs w:val="21"/>
          <w:highlight w:val="none"/>
          <w:lang w:eastAsia="zh-CN"/>
        </w:rPr>
        <w:t>。</w:t>
      </w:r>
    </w:p>
    <w:p>
      <w:pPr>
        <w:spacing w:line="360" w:lineRule="auto"/>
        <w:ind w:firstLine="412" w:firstLineChars="200"/>
        <w:rPr>
          <w:rFonts w:hint="eastAsia" w:ascii="宋体" w:hAnsi="宋体" w:cs="宋体"/>
          <w:color w:val="auto"/>
          <w:spacing w:val="-2"/>
          <w:szCs w:val="21"/>
          <w:highlight w:val="none"/>
          <w:lang w:eastAsia="zh-CN"/>
        </w:rPr>
      </w:pPr>
      <w:r>
        <w:rPr>
          <w:rFonts w:hint="eastAsia" w:ascii="宋体" w:hAnsi="宋体" w:cs="宋体"/>
          <w:color w:val="auto"/>
          <w:spacing w:val="-2"/>
          <w:szCs w:val="21"/>
          <w:highlight w:val="none"/>
          <w:lang w:eastAsia="zh-CN"/>
        </w:rPr>
        <w:t>其它违约责任违约方应就每一单项违约向对方支付合同总金额10%的违约金。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9.2在质量保证期内，如果卖方对买方提出的索赔和差异负有责任，卖方应按照买方同意的下列一种或多种方式解决索赔事宜。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9.2.1退货。经买方要求，卖方应以合同中规定的同种货币将货款退还给买方，并承担由此发生的一切损失和费用，包括但不限于利息、银行手续费、运费、保险费、检验费、仓储费、装卸费以及为保护拒收的产品所需的其它必要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9.2.2减少价款。根据产品的低劣程度、损坏程度以及买方所遭受损失的数额，经合同各方商定同意降低产品的价格，如协商未果，则买方有权要求终止合同并退货，具体参照9.2.1执行。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9.2.3更换。经买方要求，卖方应提供符合规定要求的新产品或以新零件、部件更换有缺陷的部分，卖方应承担一切费用和风险并负担买方所遭受的一切损失。</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9.2.4修理。经买方要求，卖方应在本合同第七条规定的质量保证期内予以免费保修。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质量保证期内卖方产品如发生缺陷或故障，卖方应在接到买方通知后二十四（24）小时内相应，并在10个工作日内给予解决并交付使用。如卖方未能按时修正，买方有权自行派有资质的人修理，并告知卖方，发生合理费用由卖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9.2.5如在买方发出索赔通知后二十（20）天内，卖方未作答复，索赔应视为已被卖方接受，卖方应按照本合同规定的相应方法解决索赔事宜。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卖方未作答复或未接受索赔要求，未能在买方提出索赔通知的二十（20）天内或买方同意的更长的时间内，按买方同意的上述任何一种方式处理索赔事宜，买方将从付款扣回索赔金额，同时保留进一步要求赔偿的权利。</w:t>
      </w:r>
    </w:p>
    <w:p>
      <w:pPr>
        <w:pStyle w:val="82"/>
        <w:spacing w:line="360" w:lineRule="auto"/>
        <w:ind w:firstLine="420"/>
        <w:rPr>
          <w:rFonts w:hint="eastAsia" w:cs="宋体"/>
          <w:color w:val="auto"/>
          <w:szCs w:val="21"/>
          <w:highlight w:val="none"/>
        </w:rPr>
      </w:pPr>
      <w:r>
        <w:rPr>
          <w:rFonts w:hint="eastAsia" w:cs="宋体"/>
          <w:color w:val="auto"/>
          <w:szCs w:val="21"/>
          <w:highlight w:val="none"/>
        </w:rPr>
        <w:t>9.3经买方、卖方约定，在卖方不能履行其合同项下任何一项义务而承担违约责任的情况下，买方有权追索违约金，且买方还享有就赔偿不足部分向卖方继续索赔的权利。</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十、交货时间、地点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10.1合同生效后7个工作日内，甲方提供</w:t>
      </w:r>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数据，自此开始计算供货起始时间。卖方按批次完成产品供货，各批次最迟供货时间以</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规定时间为准。具体交货时间和地点以买方通知为准。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10.2卖方应负责将产品交到买方指定的交货地点，由卖方负责产品交到交货地点前的一切费用，包括运输、中转、和装卸、仓储、保险、清关（若有）等费用。</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w:t>
      </w:r>
      <w:bookmarkStart w:id="46" w:name="_Toc180158882"/>
      <w:bookmarkStart w:id="47" w:name="_Toc180158880"/>
      <w:r>
        <w:rPr>
          <w:rFonts w:hint="eastAsia" w:ascii="宋体" w:hAnsi="宋体" w:cs="宋体"/>
          <w:color w:val="auto"/>
          <w:szCs w:val="21"/>
          <w:highlight w:val="none"/>
        </w:rPr>
        <w:t>售后服务及技术服务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卖方应提供产品使用的有关技术资料，包括使用说明书、合格证等。如果经双方确认，确为本合同项下产品正常使用所必需但合同又未作规定的且只有卖方才能提供的技术文件，卖方应根据买方书面要求及时向买方免费提供。</w:t>
      </w:r>
    </w:p>
    <w:p>
      <w:pPr>
        <w:pStyle w:val="82"/>
        <w:spacing w:line="360" w:lineRule="auto"/>
        <w:ind w:firstLine="420"/>
        <w:rPr>
          <w:rFonts w:hint="eastAsia" w:cs="宋体"/>
          <w:color w:val="auto"/>
          <w:szCs w:val="21"/>
          <w:highlight w:val="none"/>
        </w:rPr>
      </w:pPr>
      <w:r>
        <w:rPr>
          <w:rFonts w:hint="eastAsia" w:cs="宋体"/>
          <w:color w:val="auto"/>
          <w:szCs w:val="21"/>
          <w:highlight w:val="none"/>
        </w:rPr>
        <w:t>上述技术资料应编辑正确，组织合理，内容充实，容易理解，详尽描述所供产品的性能、原理、结构和尺寸，并包括部件的型号、规格、技术数据，以保证能够正确进行产品的安装、使用、检查、维修、维护。</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十二、不可抗力</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 不可抗力是指本合同生效后，发生不能预见并且对其发生和后果不能防止或避免的事件，如地震、台风、水灾、火灾、疫情、战争、政府政策、决定等，致使直接影响本合同的履行或不能按约定的条件履行。此种情形下受影响的一方不承担违约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12.2发生不可抗力的一方应立即通知合同另外两方，并在十五天内提供不可抗力的详情及有关证明文件。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12.3发生不可抗力事件时，合同各方应协商以寻找一个合理的解决方法，并尽一切努力减轻不可抗力产生的后果。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12.4如不可</w:t>
      </w:r>
      <w:r>
        <w:rPr>
          <w:rFonts w:hint="eastAsia" w:ascii="宋体" w:hAnsi="宋体" w:cs="宋体"/>
          <w:color w:val="auto"/>
          <w:szCs w:val="21"/>
          <w:highlight w:val="none"/>
        </w:rPr>
        <w:t>抗力事件持续三十天时，合同各方应友好协商解决本合同是否继续履行或终止的问题。</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十三、合同生效与终止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13.1本合同双方盖章并授权代表签字日期，即为本合同的生效日期。如双方盖章签字日期不一致时，以最后盖章签字方的日期为合同的生效日期。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13.2本合同的“采购物品”质量保质期届满的日期，即为本合同的终止日期。但保密义务、知识产权、争议解决和合同各方未了的债权和债务等后合同义务不受合同期满的影响，并且守约方有权提出索赔。</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十四、争议解决</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w:t>
      </w:r>
      <w:r>
        <w:rPr>
          <w:rFonts w:hint="eastAsia" w:ascii="宋体" w:hAnsi="宋体" w:cs="宋体"/>
          <w:color w:val="auto"/>
          <w:kern w:val="0"/>
          <w:szCs w:val="21"/>
          <w:highlight w:val="none"/>
        </w:rPr>
        <w:t>因本合同及其修订本、补充协议引起的或与本合同及其修订本、补充协议有关的任何争议，均受国际商会于争议发生时最新版本的《国际贸易术语解释通则》(Incoterms)与中华人民共和国法律管辖。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14.2由本合同及其修订本、补充协议所引起的或与本合同及</w:t>
      </w:r>
      <w:r>
        <w:rPr>
          <w:rFonts w:hint="eastAsia" w:ascii="宋体" w:hAnsi="宋体" w:cs="宋体"/>
          <w:color w:val="auto"/>
          <w:kern w:val="0"/>
          <w:szCs w:val="21"/>
          <w:highlight w:val="none"/>
        </w:rPr>
        <w:t>其修订本、补充协议相关的任何争议，合同各方应协商解决，协商不成的，合同各方同意提交项目所在地人民法院</w:t>
      </w:r>
      <w:r>
        <w:rPr>
          <w:rFonts w:hint="eastAsia" w:ascii="宋体" w:hAnsi="宋体" w:cs="宋体"/>
          <w:color w:val="auto"/>
          <w:szCs w:val="21"/>
          <w:highlight w:val="none"/>
        </w:rPr>
        <w:t>解决。</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14.3争议进行诉讼期间，除争议事项外，合同各方应继续履行本合同。</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十五、保密信息与保密义务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除非另有书面约定，一方（“接受方”）因为签署和履行本合同从另外一方（“披露方”）收到的所有的文件、材料和信息均属高度机密的资料（以下统称为“保密信息”）。接受方应当：（1）对保密信息予以保密；（2）不向任何人泄露保密信息，但事先经披露方书面同意披露或根据本合同披露的除外；及（3）除了为履行本合同项下义务或为本合同预期的目的使用外，不得为任何其他目的使用保密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 在本合同期限内且在为实现本合同目的的必要范围内，接受方可以在必要时将保密信息披露给其董事、高级管理人员、雇员、代理人或专业人士（此类人员合称“授权人员”，包括但不限于律师、会计师、咨询顾问、财务顾问及此类顾问的任何代表）、相关司法部门或政府部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接受方应促使知悉保密信息的授权人员认识到并遵守接受方的所有保密义务。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上述保密义务将不适用于以下保密信息：（1）在本合同签订日或签订日以后进入社会公众领域的信息，但由于接受方或其授权人员违反本合同而泄漏的信息除外；（2）接受方可以以合理的证据证明其在披露方向接受方披露信息前已经知道的信息；（3）接受方在本合同签订之后合法地自第三方获得的信息，且该第三方就该信息对披露方或任何其他第三方不负有任何保密义务；或（4）有管辖权的法院或政府机构依法要求透露的信息（在这种情况下，接受方应及时将该披露要求通知披露方，并应与披露方合作为因此披露的信息寻求保密措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15.5各方确认，任何一方或其授权人员未经事先书面许可泄漏或恶意泄漏保密信息，均构成对本合同的实质性违约。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15.6在本合同无效、失效、解除或终止后，双方仍负有本合同约定的保密义务。因违反该保密义务给对方造成的损失，违约方应承担相应的赔偿责任。</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十六、通知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本合同约定的合同义务出现任何障碍导致可能不能按期履行时，知悉此情形的一方，应当在三个工作日内通知对方，通知的形式为电话、传真、电子邮件、邮寄等形式，以本合同提供的联系方式为准。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16.2双方可通过电子方式进行沟通。在适用法律允许的范围内该等电子方式沟通可视同经各方签署的书面文件。在本合同项下发出的通知将在下列任一情况下视作被送达，以较早者为准：(1) 若通过专人递送或以电子方式发送，在接收日当日；(2) 若使用要求回执、预付邮资的当地邮政服务、挂号信，在邮寄日之后的第五（5）个工作日。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各方的联系方式以本条所列为准。任何一方改变联系方式的，应及时通知他方，否则因此收不到他方的书面通知的责任，自行承担。如因受收方拒收或因联络地址错误无法送达的，均按照付邮日（以邮局邮戳为准）视作通知方已依本合同给予了书面通知。</w:t>
      </w:r>
    </w:p>
    <w:p>
      <w:pPr>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十七、合同效力</w:t>
      </w:r>
    </w:p>
    <w:p>
      <w:pPr>
        <w:pStyle w:val="14"/>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本合同壹式两份，买卖双方各持壹份。</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 本合同所列附件与本合同具有同等法律效力。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本合同的修改、补充及/或变更，必须经各方共同协商同意作出，且以书面形式确认（需要合同各方盖章并授权代表签字）。任何书面的修改、补充及/或变更均是本合同的一部分，对于本合同各方，与本合同具有同等法律效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买方: 乌鲁木齐市公安局天山区分局    </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买方盖章：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授权代表签字:</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bookmarkEnd w:id="46"/>
      <w:bookmarkEnd w:id="47"/>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卖方盖章：</w:t>
      </w:r>
    </w:p>
    <w:p>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授权代表签字:   </w:t>
      </w:r>
    </w:p>
    <w:p>
      <w:pPr>
        <w:spacing w:line="560" w:lineRule="exact"/>
        <w:ind w:firstLine="420" w:firstLineChars="200"/>
        <w:rPr>
          <w:rFonts w:hint="eastAsia" w:ascii="宋体" w:hAnsi="宋体" w:cs="宋体"/>
          <w:color w:val="auto"/>
          <w:szCs w:val="21"/>
          <w:highlight w:val="none"/>
        </w:rPr>
        <w:sectPr>
          <w:pgSz w:w="11906" w:h="16838"/>
          <w:pgMar w:top="720" w:right="720" w:bottom="720" w:left="720" w:header="851" w:footer="992" w:gutter="0"/>
          <w:cols w:space="720" w:num="1"/>
          <w:docGrid w:type="lines" w:linePitch="312" w:charSpace="0"/>
        </w:sectPr>
      </w:pP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5"/>
        <w:numPr>
          <w:ilvl w:val="1"/>
          <w:numId w:val="0"/>
        </w:numPr>
        <w:jc w:val="center"/>
        <w:rPr>
          <w:rFonts w:ascii="宋体" w:hAnsi="宋体" w:cs="宋体"/>
          <w:color w:val="auto"/>
          <w:sz w:val="28"/>
          <w:szCs w:val="28"/>
          <w:highlight w:val="none"/>
          <w:shd w:val="clear" w:color="auto" w:fill="auto"/>
        </w:rPr>
      </w:pPr>
      <w:bookmarkStart w:id="48" w:name="_Toc5717"/>
      <w:bookmarkStart w:id="49" w:name="_Toc4104"/>
      <w:r>
        <w:rPr>
          <w:rFonts w:hint="eastAsia" w:ascii="宋体" w:hAnsi="宋体" w:cs="宋体"/>
          <w:color w:val="auto"/>
          <w:sz w:val="28"/>
          <w:szCs w:val="28"/>
          <w:highlight w:val="none"/>
          <w:shd w:val="clear" w:color="auto" w:fill="auto"/>
        </w:rPr>
        <w:t>第五章　响应文件组成</w:t>
      </w:r>
      <w:bookmarkEnd w:id="48"/>
      <w:bookmarkEnd w:id="49"/>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bookmarkStart w:id="50" w:name="_Toc15189"/>
      <w:r>
        <w:rPr>
          <w:rFonts w:hint="eastAsia" w:ascii="宋体" w:hAnsi="宋体" w:cs="宋体"/>
          <w:color w:val="auto"/>
          <w:sz w:val="24"/>
          <w:szCs w:val="24"/>
          <w:highlight w:val="none"/>
          <w:shd w:val="clear" w:color="auto" w:fill="auto"/>
          <w:lang w:val="en-US" w:eastAsia="zh-CN"/>
        </w:rPr>
        <w:t>目录</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1-响应函</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2-响应报价一览表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3-响应分项报价表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4-技术需求偏离表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5-商务条款偏离表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w:t>
      </w:r>
      <w:r>
        <w:rPr>
          <w:rFonts w:hint="eastAsia"/>
          <w:color w:val="auto"/>
          <w:sz w:val="24"/>
          <w:szCs w:val="24"/>
          <w:highlight w:val="none"/>
        </w:rPr>
        <w:t>需提供2021年度经会计师事务所出具的财务审计报告或其基本开户银行出具的资信证明</w:t>
      </w:r>
      <w:r>
        <w:rPr>
          <w:rFonts w:hint="eastAsia" w:ascii="宋体" w:hAnsi="宋体" w:cs="宋体"/>
          <w:color w:val="auto"/>
          <w:sz w:val="24"/>
          <w:szCs w:val="24"/>
          <w:highlight w:val="none"/>
          <w:shd w:val="clear" w:color="auto" w:fill="auto"/>
        </w:rPr>
        <w:t>）；</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w:t>
      </w:r>
      <w:r>
        <w:rPr>
          <w:rFonts w:hint="eastAsia" w:ascii="宋体" w:hAnsi="宋体" w:eastAsia="宋体" w:cs="宋体"/>
          <w:color w:val="auto"/>
          <w:sz w:val="24"/>
          <w:szCs w:val="24"/>
          <w:highlight w:val="none"/>
          <w:shd w:val="clear" w:color="auto" w:fill="auto"/>
          <w:lang w:val="en-US" w:eastAsia="zh-CN"/>
        </w:rPr>
        <w:t>良好记录（需提供投标截止日前六个月内任一个月的企业纳税证明和社保缴费记录证明，无需纳税或免税的需提供相应证明材料）；</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6-6具有履行合同所必需的设备及专业技术能力和供应保障能力（提供具有履行合同所必需的设备和专业技术能力相关证明材料或承诺书）</w:t>
      </w:r>
    </w:p>
    <w:p>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保证金缴纳</w:t>
      </w:r>
      <w:r>
        <w:rPr>
          <w:rFonts w:hint="eastAsia" w:ascii="宋体" w:hAnsi="宋体" w:cs="宋体"/>
          <w:color w:val="auto"/>
          <w:sz w:val="24"/>
          <w:szCs w:val="24"/>
          <w:highlight w:val="none"/>
          <w:shd w:val="clear" w:color="auto" w:fill="auto"/>
          <w:lang w:val="en-US" w:eastAsia="zh-CN"/>
        </w:rPr>
        <w:t>凭证</w:t>
      </w:r>
      <w:r>
        <w:rPr>
          <w:rFonts w:hint="eastAsia" w:ascii="宋体" w:hAnsi="宋体" w:cs="宋体"/>
          <w:color w:val="auto"/>
          <w:sz w:val="24"/>
          <w:szCs w:val="24"/>
          <w:highlight w:val="none"/>
          <w:shd w:val="clear" w:color="auto" w:fill="auto"/>
        </w:rPr>
        <w:t>复印件（须加盖本单位公章）</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 xml:space="preserve">中小微企业及残疾人福利性单位等证明文件（如有） </w:t>
      </w:r>
    </w:p>
    <w:p>
      <w:pPr>
        <w:pStyle w:val="13"/>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6-10单位负责人为同一人或者存在直接控股、管理关系的不同供应商，不得参加同一合同项下的政府采购活动 </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7-</w:t>
      </w:r>
      <w:r>
        <w:rPr>
          <w:rFonts w:hint="eastAsia" w:ascii="宋体" w:hAnsi="宋体" w:cs="宋体"/>
          <w:color w:val="auto"/>
          <w:sz w:val="24"/>
          <w:szCs w:val="24"/>
          <w:highlight w:val="none"/>
          <w:shd w:val="clear" w:color="auto" w:fill="auto"/>
        </w:rPr>
        <w:t>竞争性磋商文件技术参数及要求中的证明材料</w:t>
      </w:r>
    </w:p>
    <w:p>
      <w:pPr>
        <w:numPr>
          <w:ilvl w:val="0"/>
          <w:numId w:val="0"/>
        </w:num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8-</w:t>
      </w:r>
      <w:r>
        <w:rPr>
          <w:rFonts w:hint="eastAsia" w:ascii="宋体" w:hAnsi="宋体" w:cs="宋体"/>
          <w:color w:val="auto"/>
          <w:sz w:val="24"/>
          <w:szCs w:val="24"/>
          <w:highlight w:val="none"/>
          <w:shd w:val="clear" w:color="auto" w:fill="auto"/>
        </w:rPr>
        <w:t>供应商基本情况</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9-供应商类似项目业绩一览表</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10-项目</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方案</w:t>
      </w:r>
    </w:p>
    <w:p>
      <w:pPr>
        <w:spacing w:line="360" w:lineRule="auto"/>
        <w:ind w:firstLine="480" w:firstLineChars="200"/>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11-</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highlight w:val="none"/>
        </w:rPr>
        <w:t>备品备件</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12-</w:t>
      </w:r>
      <w:r>
        <w:rPr>
          <w:rFonts w:hint="eastAsia" w:ascii="宋体" w:hAnsi="宋体" w:cs="宋体"/>
          <w:color w:val="auto"/>
          <w:sz w:val="24"/>
          <w:szCs w:val="24"/>
          <w:highlight w:val="none"/>
          <w:shd w:val="clear" w:color="auto" w:fill="auto"/>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cs="宋体"/>
          <w:color w:val="auto"/>
          <w:sz w:val="24"/>
          <w:szCs w:val="24"/>
          <w:highlight w:val="none"/>
          <w:shd w:val="clear" w:color="auto" w:fill="auto"/>
        </w:rPr>
        <w:t>及要求的证明资料</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-供应商认为需要提供的其他</w:t>
      </w:r>
    </w:p>
    <w:p>
      <w:pPr>
        <w:pStyle w:val="10"/>
        <w:rPr>
          <w:color w:val="auto"/>
          <w:highlight w:val="none"/>
        </w:rPr>
      </w:pPr>
    </w:p>
    <w:p>
      <w:pPr>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br w:type="page"/>
      </w:r>
    </w:p>
    <w:p>
      <w:pPr>
        <w:jc w:val="center"/>
        <w:rPr>
          <w:rFonts w:ascii="宋体" w:hAnsi="宋体" w:cs="宋体"/>
          <w:b/>
          <w:bCs/>
          <w:color w:val="auto"/>
          <w:sz w:val="36"/>
          <w:szCs w:val="36"/>
          <w:highlight w:val="none"/>
          <w:shd w:val="clear" w:color="auto" w:fill="auto"/>
        </w:rPr>
      </w:pPr>
      <w:r>
        <w:rPr>
          <w:rFonts w:hint="eastAsia" w:ascii="宋体" w:hAnsi="宋体" w:cs="宋体"/>
          <w:b/>
          <w:bCs/>
          <w:color w:val="auto"/>
          <w:sz w:val="36"/>
          <w:szCs w:val="36"/>
          <w:highlight w:val="none"/>
          <w:shd w:val="clear" w:color="auto" w:fill="auto"/>
        </w:rPr>
        <w:t>磋商响应文件</w:t>
      </w:r>
    </w:p>
    <w:p>
      <w:pPr>
        <w:pStyle w:val="17"/>
        <w:ind w:firstLine="723" w:firstLineChars="200"/>
        <w:jc w:val="left"/>
        <w:rPr>
          <w:rFonts w:hAnsi="宋体" w:cs="宋体"/>
          <w:b/>
          <w:bCs/>
          <w:color w:val="auto"/>
          <w:sz w:val="36"/>
          <w:szCs w:val="36"/>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项目名称：</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项目编号：</w:t>
      </w: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jc w:val="center"/>
        <w:rPr>
          <w:rFonts w:ascii="宋体" w:hAnsi="宋体" w:cs="宋体"/>
          <w:color w:val="auto"/>
          <w:sz w:val="28"/>
          <w:szCs w:val="28"/>
          <w:highlight w:val="none"/>
          <w:shd w:val="clear" w:color="auto" w:fill="auto"/>
        </w:rPr>
      </w:pPr>
    </w:p>
    <w:p>
      <w:pPr>
        <w:ind w:firstLine="2240" w:firstLineChars="800"/>
        <w:rPr>
          <w:rFonts w:ascii="宋体" w:hAnsi="宋体" w:cs="宋体"/>
          <w:color w:val="auto"/>
          <w:sz w:val="28"/>
          <w:szCs w:val="28"/>
          <w:highlight w:val="none"/>
          <w:u w:val="single"/>
          <w:shd w:val="clear" w:color="auto" w:fill="auto"/>
        </w:rPr>
      </w:pPr>
      <w:r>
        <w:rPr>
          <w:rFonts w:hint="eastAsia" w:ascii="宋体" w:hAnsi="宋体" w:cs="宋体"/>
          <w:color w:val="auto"/>
          <w:sz w:val="28"/>
          <w:szCs w:val="28"/>
          <w:highlight w:val="none"/>
          <w:shd w:val="clear" w:color="auto" w:fill="auto"/>
        </w:rPr>
        <w:t>供应商名称</w:t>
      </w:r>
      <w:r>
        <w:rPr>
          <w:rFonts w:hint="eastAsia" w:ascii="宋体" w:hAnsi="宋体"/>
          <w:color w:val="auto"/>
          <w:sz w:val="28"/>
          <w:szCs w:val="28"/>
          <w:highlight w:val="none"/>
        </w:rPr>
        <w:t>（电子签章）</w:t>
      </w:r>
      <w:r>
        <w:rPr>
          <w:rFonts w:hint="eastAsia" w:ascii="宋体" w:hAnsi="宋体" w:cs="宋体"/>
          <w:color w:val="auto"/>
          <w:sz w:val="28"/>
          <w:szCs w:val="28"/>
          <w:highlight w:val="none"/>
          <w:shd w:val="clear" w:color="auto" w:fill="auto"/>
        </w:rPr>
        <w:t>：</w:t>
      </w:r>
    </w:p>
    <w:p>
      <w:pPr>
        <w:pStyle w:val="17"/>
        <w:spacing w:line="440" w:lineRule="exact"/>
        <w:ind w:firstLine="560" w:firstLineChars="200"/>
        <w:jc w:val="left"/>
        <w:rPr>
          <w:rFonts w:hAnsi="宋体" w:cs="宋体"/>
          <w:color w:val="auto"/>
          <w:sz w:val="28"/>
          <w:szCs w:val="28"/>
          <w:highlight w:val="none"/>
          <w:shd w:val="clear" w:color="auto" w:fill="auto"/>
        </w:rPr>
      </w:pPr>
    </w:p>
    <w:p>
      <w:pPr>
        <w:ind w:firstLine="4760" w:firstLineChars="1700"/>
        <w:jc w:val="left"/>
        <w:rPr>
          <w:rFonts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年  月  日</w:t>
      </w:r>
    </w:p>
    <w:p>
      <w:pPr>
        <w:rPr>
          <w:rFonts w:ascii="宋体" w:hAnsi="宋体" w:cs="宋体"/>
          <w:color w:val="auto"/>
          <w:sz w:val="24"/>
          <w:szCs w:val="24"/>
          <w:highlight w:val="none"/>
          <w:shd w:val="clear" w:color="auto" w:fill="auto"/>
        </w:rPr>
      </w:pPr>
      <w:r>
        <w:rPr>
          <w:rFonts w:hint="eastAsia" w:ascii="宋体" w:hAnsi="宋体" w:cs="宋体"/>
          <w:color w:val="auto"/>
          <w:sz w:val="28"/>
          <w:szCs w:val="28"/>
          <w:highlight w:val="none"/>
          <w:shd w:val="clear" w:color="auto" w:fill="auto"/>
        </w:rPr>
        <w:br w:type="page"/>
      </w:r>
      <w:bookmarkEnd w:id="50"/>
    </w:p>
    <w:p>
      <w:pPr>
        <w:tabs>
          <w:tab w:val="left" w:pos="840"/>
        </w:tabs>
        <w:outlineLvl w:val="2"/>
        <w:rPr>
          <w:rFonts w:hint="eastAsia" w:ascii="宋体" w:hAnsi="宋体" w:eastAsia="宋体" w:cs="宋体"/>
          <w:b/>
          <w:bCs w:val="0"/>
          <w:color w:val="auto"/>
          <w:sz w:val="24"/>
          <w:szCs w:val="24"/>
          <w:highlight w:val="none"/>
          <w:shd w:val="clear" w:color="auto" w:fill="auto"/>
        </w:rPr>
      </w:pPr>
      <w:bookmarkStart w:id="51" w:name="_Toc195842921"/>
      <w:bookmarkStart w:id="52" w:name="_Toc480316146"/>
      <w:bookmarkStart w:id="53" w:name="_Toc421042648"/>
      <w:bookmarkStart w:id="54" w:name="_Toc8829"/>
      <w:bookmarkStart w:id="55" w:name="_Toc9421"/>
      <w:bookmarkStart w:id="56" w:name="_Toc421032046"/>
      <w:r>
        <w:rPr>
          <w:rFonts w:hint="eastAsia" w:ascii="宋体" w:hAnsi="宋体" w:eastAsia="宋体" w:cs="宋体"/>
          <w:b/>
          <w:bCs w:val="0"/>
          <w:color w:val="auto"/>
          <w:sz w:val="24"/>
          <w:szCs w:val="24"/>
          <w:highlight w:val="none"/>
          <w:shd w:val="clear" w:color="auto" w:fill="auto"/>
        </w:rPr>
        <w:t xml:space="preserve">附件1 </w:t>
      </w:r>
      <w:bookmarkEnd w:id="51"/>
      <w:r>
        <w:rPr>
          <w:rFonts w:hint="eastAsia" w:ascii="宋体" w:hAnsi="宋体" w:eastAsia="宋体" w:cs="宋体"/>
          <w:b/>
          <w:bCs w:val="0"/>
          <w:color w:val="auto"/>
          <w:sz w:val="24"/>
          <w:szCs w:val="24"/>
          <w:highlight w:val="none"/>
          <w:shd w:val="clear" w:color="auto" w:fill="auto"/>
        </w:rPr>
        <w:t>响应函</w:t>
      </w:r>
      <w:bookmarkEnd w:id="52"/>
      <w:bookmarkEnd w:id="53"/>
      <w:bookmarkEnd w:id="54"/>
      <w:bookmarkEnd w:id="55"/>
      <w:bookmarkEnd w:id="56"/>
    </w:p>
    <w:p>
      <w:pPr>
        <w:pStyle w:val="66"/>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响应函</w:t>
      </w:r>
    </w:p>
    <w:p>
      <w:pPr>
        <w:tabs>
          <w:tab w:val="left" w:pos="5580"/>
        </w:tabs>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r>
        <w:rPr>
          <w:rFonts w:hint="eastAsia" w:ascii="宋体" w:hAnsi="宋体" w:cs="宋体"/>
          <w:color w:val="auto"/>
          <w:sz w:val="24"/>
          <w:szCs w:val="24"/>
          <w:highlight w:val="none"/>
          <w:u w:val="single"/>
          <w:shd w:val="clear" w:color="auto" w:fill="auto"/>
        </w:rPr>
        <w:t>（采购代理单位）</w:t>
      </w:r>
    </w:p>
    <w:p>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（供应商全称）</w:t>
      </w:r>
      <w:r>
        <w:rPr>
          <w:rFonts w:hint="eastAsia" w:ascii="宋体" w:hAnsi="宋体" w:cs="宋体"/>
          <w:color w:val="auto"/>
          <w:sz w:val="24"/>
          <w:szCs w:val="24"/>
          <w:highlight w:val="none"/>
          <w:shd w:val="clear" w:color="auto" w:fill="auto"/>
        </w:rPr>
        <w:t>授权</w:t>
      </w:r>
      <w:r>
        <w:rPr>
          <w:rFonts w:hint="eastAsia" w:ascii="宋体" w:hAnsi="宋体" w:cs="宋体"/>
          <w:color w:val="auto"/>
          <w:sz w:val="24"/>
          <w:szCs w:val="24"/>
          <w:highlight w:val="none"/>
          <w:u w:val="single"/>
          <w:shd w:val="clear" w:color="auto" w:fill="auto"/>
        </w:rPr>
        <w:t>（全权代表姓名、职务、职称）</w:t>
      </w:r>
      <w:r>
        <w:rPr>
          <w:rFonts w:hint="eastAsia" w:ascii="宋体" w:hAnsi="宋体" w:cs="宋体"/>
          <w:color w:val="auto"/>
          <w:sz w:val="24"/>
          <w:szCs w:val="24"/>
          <w:highlight w:val="none"/>
          <w:shd w:val="clear" w:color="auto" w:fill="auto"/>
        </w:rPr>
        <w:t>为全权代表，参加贵方组织的</w:t>
      </w:r>
      <w:r>
        <w:rPr>
          <w:rFonts w:hint="eastAsia" w:ascii="宋体" w:hAnsi="宋体" w:cs="宋体"/>
          <w:color w:val="auto"/>
          <w:sz w:val="24"/>
          <w:szCs w:val="24"/>
          <w:highlight w:val="none"/>
          <w:u w:val="single"/>
          <w:shd w:val="clear" w:color="auto" w:fill="auto"/>
        </w:rPr>
        <w:t xml:space="preserve">        （采购编号、项目名称）</w:t>
      </w:r>
      <w:r>
        <w:rPr>
          <w:rFonts w:hint="eastAsia" w:ascii="宋体" w:hAnsi="宋体" w:cs="宋体"/>
          <w:color w:val="auto"/>
          <w:sz w:val="24"/>
          <w:szCs w:val="24"/>
          <w:highlight w:val="none"/>
          <w:shd w:val="clear" w:color="auto" w:fill="auto"/>
        </w:rPr>
        <w:t>项目的磋商，为此：</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提供供应商须知规定的全部响应文件（响应报价一览表[  ]份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rPr>
        <w:t>正本[  ]份，副本[  ]份、电子版[  ]份）。</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提供按竞争性磋商文件要求的货物和服务的报价。（详见 附件2 响应报价一览表）。</w:t>
      </w:r>
    </w:p>
    <w:p>
      <w:pPr>
        <w:numPr>
          <w:ilvl w:val="0"/>
          <w:numId w:val="10"/>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一旦中标，我方将按竞争性磋商文件的规定履行全部责任和义务。</w:t>
      </w:r>
    </w:p>
    <w:p>
      <w:pPr>
        <w:numPr>
          <w:ilvl w:val="0"/>
          <w:numId w:val="10"/>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我方承诺已经竞争性磋商文件中规定的供应商应当具备的条件： </w:t>
      </w:r>
    </w:p>
    <w:p>
      <w:pPr>
        <w:numPr>
          <w:ilvl w:val="0"/>
          <w:numId w:val="11"/>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具有独立承担民事责任的能力；</w:t>
      </w:r>
    </w:p>
    <w:p>
      <w:pPr>
        <w:numPr>
          <w:ilvl w:val="0"/>
          <w:numId w:val="11"/>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具有良好的商业信誉和健全的财务会计制度；</w:t>
      </w:r>
    </w:p>
    <w:p>
      <w:pPr>
        <w:numPr>
          <w:ilvl w:val="0"/>
          <w:numId w:val="11"/>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具有履行合同所必需的设备和专业技术能力；</w:t>
      </w:r>
    </w:p>
    <w:p>
      <w:pPr>
        <w:numPr>
          <w:ilvl w:val="0"/>
          <w:numId w:val="11"/>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有依法缴纳税收和社会保障资金的良好记录；</w:t>
      </w:r>
    </w:p>
    <w:p>
      <w:pPr>
        <w:numPr>
          <w:ilvl w:val="0"/>
          <w:numId w:val="11"/>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参加政府采购活动近三年内，在经营活动中没有重大违法记录。</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我方已详细审查全部竞争性磋商文件，我们完全理解并同意放弃此后对竞争性磋商文件提出质疑及/或争议的权利。</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本项目响应有效期为自响应文件递交截止日起</w:t>
      </w:r>
      <w:r>
        <w:rPr>
          <w:rFonts w:hint="eastAsia" w:ascii="宋体" w:hAnsi="宋体" w:cs="宋体"/>
          <w:color w:val="auto"/>
          <w:sz w:val="24"/>
          <w:szCs w:val="24"/>
          <w:highlight w:val="none"/>
          <w:u w:val="single"/>
          <w:shd w:val="clear" w:color="auto" w:fill="auto"/>
          <w:lang w:val="en-US" w:eastAsia="zh-CN"/>
        </w:rPr>
        <w:t xml:space="preserve"> 90</w:t>
      </w:r>
      <w:r>
        <w:rPr>
          <w:rFonts w:hint="eastAsia" w:ascii="宋体" w:hAnsi="宋体" w:cs="宋体"/>
          <w:color w:val="auto"/>
          <w:sz w:val="24"/>
          <w:szCs w:val="24"/>
          <w:highlight w:val="none"/>
          <w:shd w:val="clear" w:color="auto" w:fill="auto"/>
        </w:rPr>
        <w:t>个日历日。</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如果在规定的递交响应文件递交截止时间后，我方在响应有效期内撤回磋商，我方同意磋商保证金将被贵方没收。</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我方愿意向贵方提供任何与该项磋商有关的数据、情况和技术资料，完全理解贵方不一定接受最低价的磋商或收到的任何磋商。</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pPr>
        <w:numPr>
          <w:ilvl w:val="0"/>
          <w:numId w:val="10"/>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若我方获得成交供应商，我方保证按有关规定向采购代理机构支付成交服务费。</w:t>
      </w:r>
    </w:p>
    <w:p>
      <w:pPr>
        <w:numPr>
          <w:ilvl w:val="0"/>
          <w:numId w:val="10"/>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与本应答有关的一切往来通讯请寄：</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地址_________________________     传真____________________________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电话_________________________     电子函件________________________</w:t>
      </w:r>
    </w:p>
    <w:p>
      <w:pPr>
        <w:tabs>
          <w:tab w:val="left" w:pos="5580"/>
        </w:tabs>
        <w:spacing w:line="360" w:lineRule="auto"/>
        <w:ind w:left="420"/>
        <w:rPr>
          <w:rFonts w:hint="eastAsia" w:ascii="宋体" w:hAnsi="宋体" w:cs="宋体"/>
          <w:color w:val="auto"/>
          <w:sz w:val="24"/>
          <w:szCs w:val="24"/>
          <w:highlight w:val="none"/>
          <w:shd w:val="clear" w:color="auto" w:fill="auto"/>
        </w:rPr>
      </w:pP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供应商名称</w:t>
      </w:r>
      <w:r>
        <w:rPr>
          <w:rFonts w:hint="eastAsia" w:ascii="宋体" w:hAnsi="宋体"/>
          <w:color w:val="auto"/>
          <w:sz w:val="24"/>
          <w:szCs w:val="24"/>
          <w:highlight w:val="none"/>
        </w:rPr>
        <w:t>（电子签章）</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lang w:val="en-US" w:eastAsia="zh-CN"/>
        </w:rPr>
      </w:pPr>
      <w:r>
        <w:rPr>
          <w:rFonts w:hint="eastAsia" w:ascii="宋体" w:hAnsi="宋体" w:cs="宋体"/>
          <w:color w:val="auto"/>
          <w:sz w:val="24"/>
          <w:szCs w:val="24"/>
          <w:highlight w:val="none"/>
          <w:shd w:val="clear" w:color="auto" w:fill="auto"/>
        </w:rPr>
        <w:t>法定代表人</w:t>
      </w:r>
      <w:r>
        <w:rPr>
          <w:rFonts w:hint="eastAsia" w:ascii="宋体" w:hAnsi="宋体"/>
          <w:color w:val="auto"/>
          <w:sz w:val="24"/>
          <w:szCs w:val="24"/>
          <w:highlight w:val="none"/>
        </w:rPr>
        <w:t>（电子签名）</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供应商开户银行（全称）</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供应商银行账号</w:t>
      </w:r>
      <w:r>
        <w:rPr>
          <w:rFonts w:hint="eastAsia" w:ascii="宋体" w:hAnsi="宋体" w:cs="宋体"/>
          <w:color w:val="auto"/>
          <w:sz w:val="24"/>
          <w:szCs w:val="24"/>
          <w:highlight w:val="none"/>
          <w:u w:val="single"/>
          <w:shd w:val="clear" w:color="auto" w:fill="auto"/>
        </w:rPr>
        <w:t xml:space="preserve">                      </w:t>
      </w:r>
    </w:p>
    <w:p>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 xml:space="preserve">日     期  </w:t>
      </w:r>
      <w:r>
        <w:rPr>
          <w:rFonts w:hint="eastAsia" w:ascii="宋体" w:hAnsi="宋体" w:cs="宋体"/>
          <w:color w:val="auto"/>
          <w:sz w:val="24"/>
          <w:szCs w:val="24"/>
          <w:highlight w:val="none"/>
          <w:u w:val="single"/>
          <w:shd w:val="clear" w:color="auto" w:fill="auto"/>
        </w:rPr>
        <w:t xml:space="preserve">                         </w:t>
      </w:r>
    </w:p>
    <w:p>
      <w:pPr>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u w:val="single"/>
          <w:shd w:val="clear" w:color="auto" w:fill="auto"/>
        </w:rPr>
        <w:br w:type="page"/>
      </w:r>
    </w:p>
    <w:p>
      <w:pPr>
        <w:pStyle w:val="66"/>
        <w:tabs>
          <w:tab w:val="left" w:pos="5580"/>
        </w:tabs>
        <w:jc w:val="left"/>
        <w:rPr>
          <w:rFonts w:hint="eastAsia" w:hAnsi="宋体" w:cs="宋体"/>
          <w:color w:val="auto"/>
          <w:sz w:val="24"/>
          <w:szCs w:val="24"/>
          <w:highlight w:val="none"/>
          <w:u w:val="single"/>
          <w:shd w:val="clear" w:color="auto" w:fill="auto"/>
        </w:rPr>
        <w:sectPr>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462" w:charSpace="0"/>
        </w:sectPr>
      </w:pPr>
    </w:p>
    <w:p>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57" w:name="_Toc480316147"/>
      <w:bookmarkStart w:id="58" w:name="_Toc23281"/>
      <w:bookmarkStart w:id="59" w:name="_Toc195842922"/>
      <w:bookmarkStart w:id="60" w:name="_Toc421042649"/>
      <w:bookmarkStart w:id="61" w:name="_Toc421032047"/>
      <w:bookmarkStart w:id="62" w:name="_Toc6755"/>
      <w:r>
        <w:rPr>
          <w:rFonts w:hint="eastAsia" w:ascii="宋体" w:hAnsi="宋体" w:eastAsia="宋体" w:cs="宋体"/>
          <w:b/>
          <w:bCs w:val="0"/>
          <w:color w:val="auto"/>
          <w:sz w:val="24"/>
          <w:szCs w:val="24"/>
          <w:highlight w:val="none"/>
          <w:shd w:val="clear" w:color="auto" w:fill="auto"/>
        </w:rPr>
        <w:t>附件2 响应报价一览表</w:t>
      </w:r>
      <w:bookmarkEnd w:id="57"/>
      <w:bookmarkEnd w:id="58"/>
      <w:bookmarkEnd w:id="59"/>
      <w:bookmarkEnd w:id="60"/>
      <w:bookmarkEnd w:id="61"/>
      <w:bookmarkEnd w:id="62"/>
    </w:p>
    <w:p>
      <w:pPr>
        <w:pStyle w:val="66"/>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响应报价一览表</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p>
      <w:pPr>
        <w:pStyle w:val="66"/>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项目名称：</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p>
      <w:pPr>
        <w:pStyle w:val="66"/>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项目编号：</w:t>
      </w:r>
    </w:p>
    <w:p>
      <w:pPr>
        <w:pStyle w:val="66"/>
        <w:jc w:val="left"/>
        <w:rPr>
          <w:rFonts w:hint="eastAsia" w:ascii="宋体" w:hAnsi="宋体" w:eastAsia="宋体" w:cs="宋体"/>
          <w:color w:val="auto"/>
          <w:kern w:val="0"/>
          <w:sz w:val="24"/>
          <w:szCs w:val="24"/>
          <w:highlight w:val="none"/>
          <w:shd w:val="clear" w:color="auto" w:fill="auto"/>
          <w:lang w:val="en-US" w:eastAsia="zh-CN" w:bidi="ar-SA"/>
        </w:rPr>
      </w:pPr>
    </w:p>
    <w:tbl>
      <w:tblPr>
        <w:tblStyle w:val="31"/>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35" w:hRule="atLeast"/>
        </w:trPr>
        <w:tc>
          <w:tcPr>
            <w:tcW w:w="2900" w:type="dxa"/>
            <w:noWrap w:val="0"/>
            <w:vAlign w:val="center"/>
          </w:tcPr>
          <w:p>
            <w:pPr>
              <w:tabs>
                <w:tab w:val="left" w:pos="5580"/>
              </w:tabs>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磋商总价</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合计人民币（小写）：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合计人民币（大写）：            </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磋商</w:t>
            </w:r>
            <w:r>
              <w:rPr>
                <w:rFonts w:hint="eastAsia" w:ascii="宋体" w:hAnsi="宋体" w:eastAsia="宋体" w:cs="宋体"/>
                <w:color w:val="auto"/>
                <w:sz w:val="21"/>
                <w:szCs w:val="21"/>
                <w:highlight w:val="none"/>
                <w:shd w:val="clear" w:color="auto" w:fill="auto"/>
              </w:rPr>
              <w:t>保证金</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有</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供货期</w:t>
            </w:r>
          </w:p>
        </w:tc>
        <w:tc>
          <w:tcPr>
            <w:tcW w:w="5819" w:type="dxa"/>
            <w:noWrap w:val="0"/>
            <w:vAlign w:val="center"/>
          </w:tcPr>
          <w:p>
            <w:pPr>
              <w:snapToGrid w:val="0"/>
              <w:spacing w:line="360" w:lineRule="auto"/>
              <w:ind w:right="18" w:firstLine="420" w:firstLineChars="200"/>
              <w:jc w:val="center"/>
              <w:textAlignment w:val="baseline"/>
              <w:rPr>
                <w:rFonts w:hint="eastAsia" w:ascii="宋体" w:hAnsi="宋体" w:eastAsia="宋体" w:cs="宋体"/>
                <w:color w:val="auto"/>
                <w:sz w:val="21"/>
                <w:szCs w:val="21"/>
                <w:highlight w:val="none"/>
                <w:shd w:val="clear" w:color="auto" w:fil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12" w:hRule="atLeast"/>
        </w:trPr>
        <w:tc>
          <w:tcPr>
            <w:tcW w:w="2900" w:type="dxa"/>
            <w:noWrap w:val="0"/>
            <w:vAlign w:val="center"/>
          </w:tcPr>
          <w:p>
            <w:pPr>
              <w:tabs>
                <w:tab w:val="left" w:pos="5580"/>
              </w:tabs>
              <w:jc w:val="center"/>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供货地点</w:t>
            </w:r>
          </w:p>
        </w:tc>
        <w:tc>
          <w:tcPr>
            <w:tcW w:w="5819" w:type="dxa"/>
            <w:noWrap w:val="0"/>
            <w:vAlign w:val="center"/>
          </w:tcPr>
          <w:p>
            <w:pPr>
              <w:snapToGrid w:val="0"/>
              <w:spacing w:line="360" w:lineRule="auto"/>
              <w:ind w:right="18" w:firstLine="420" w:firstLineChars="200"/>
              <w:jc w:val="center"/>
              <w:textAlignment w:val="baseline"/>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甲方指定地点</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c>
          <w:tcPr>
            <w:tcW w:w="5819" w:type="dxa"/>
            <w:noWrap w:val="0"/>
            <w:vAlign w:val="center"/>
          </w:tcPr>
          <w:p>
            <w:pPr>
              <w:tabs>
                <w:tab w:val="left" w:pos="5580"/>
              </w:tabs>
              <w:jc w:val="center"/>
              <w:rPr>
                <w:rFonts w:hint="eastAsia" w:ascii="宋体" w:hAnsi="宋体" w:eastAsia="宋体" w:cs="宋体"/>
                <w:color w:val="auto"/>
                <w:sz w:val="21"/>
                <w:szCs w:val="21"/>
                <w:highlight w:val="none"/>
                <w:shd w:val="clear" w:color="auto" w:fill="auto"/>
              </w:rPr>
            </w:pPr>
          </w:p>
        </w:tc>
      </w:tr>
    </w:tbl>
    <w:p>
      <w:pPr>
        <w:pStyle w:val="66"/>
        <w:jc w:val="center"/>
        <w:rPr>
          <w:rFonts w:hint="eastAsia" w:hAnsi="宋体" w:cs="宋体"/>
          <w:color w:val="auto"/>
          <w:sz w:val="24"/>
          <w:szCs w:val="24"/>
          <w:highlight w:val="none"/>
          <w:shd w:val="clear" w:color="auto" w:fill="auto"/>
        </w:rPr>
      </w:pPr>
    </w:p>
    <w:p>
      <w:pPr>
        <w:pStyle w:val="66"/>
        <w:tabs>
          <w:tab w:val="left" w:pos="5580"/>
        </w:tabs>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 xml:space="preserve">日    </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期：</w:t>
      </w:r>
      <w:r>
        <w:rPr>
          <w:rFonts w:hint="eastAsia" w:ascii="宋体" w:hAnsi="宋体" w:cs="宋体"/>
          <w:color w:val="auto"/>
          <w:szCs w:val="24"/>
          <w:highlight w:val="none"/>
          <w:u w:val="single"/>
          <w:shd w:val="clear" w:color="auto" w:fill="auto"/>
        </w:rPr>
        <w:t xml:space="preserve">                        </w:t>
      </w:r>
    </w:p>
    <w:p>
      <w:pPr>
        <w:pStyle w:val="66"/>
        <w:tabs>
          <w:tab w:val="left" w:pos="5580"/>
        </w:tabs>
        <w:ind w:left="630" w:hanging="630" w:hangingChars="300"/>
        <w:rPr>
          <w:rFonts w:hint="eastAsia" w:hAnsi="宋体" w:cs="宋体"/>
          <w:color w:val="auto"/>
          <w:highlight w:val="none"/>
          <w:shd w:val="clear" w:color="auto" w:fill="auto"/>
        </w:rPr>
      </w:pPr>
      <w:r>
        <w:rPr>
          <w:rFonts w:hint="eastAsia" w:hAnsi="宋体" w:cs="宋体"/>
          <w:color w:val="auto"/>
          <w:highlight w:val="none"/>
          <w:shd w:val="clear" w:color="auto" w:fill="auto"/>
        </w:rPr>
        <w:t>注：1、以上报价是供应商为完成本项目、满足竞争性磋商文件第</w:t>
      </w:r>
      <w:r>
        <w:rPr>
          <w:rFonts w:hint="eastAsia" w:hAnsi="宋体" w:cs="宋体"/>
          <w:color w:val="auto"/>
          <w:highlight w:val="none"/>
          <w:shd w:val="clear" w:color="auto" w:fill="auto"/>
          <w:lang w:val="en-US" w:eastAsia="zh-CN"/>
        </w:rPr>
        <w:t>六</w:t>
      </w:r>
      <w:r>
        <w:rPr>
          <w:rFonts w:hint="eastAsia" w:hAnsi="宋体" w:cs="宋体"/>
          <w:color w:val="auto"/>
          <w:highlight w:val="none"/>
          <w:shd w:val="clear" w:color="auto" w:fill="auto"/>
        </w:rPr>
        <w:t>章技术参数及要求的所有费用。</w:t>
      </w:r>
    </w:p>
    <w:p>
      <w:pPr>
        <w:pStyle w:val="66"/>
        <w:tabs>
          <w:tab w:val="left" w:pos="5580"/>
        </w:tabs>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2、此表中，响应报价应和附件3响应分项报价表中的总价相一致。</w:t>
      </w:r>
    </w:p>
    <w:p>
      <w:pPr>
        <w:pStyle w:val="66"/>
        <w:tabs>
          <w:tab w:val="left" w:pos="5580"/>
        </w:tabs>
        <w:ind w:firstLine="420" w:firstLineChars="200"/>
        <w:rPr>
          <w:rFonts w:hint="eastAsia" w:hAnsi="宋体" w:cs="宋体"/>
          <w:color w:val="auto"/>
          <w:sz w:val="24"/>
          <w:szCs w:val="24"/>
          <w:highlight w:val="none"/>
          <w:shd w:val="clear" w:color="auto" w:fill="auto"/>
        </w:rPr>
      </w:pPr>
      <w:r>
        <w:rPr>
          <w:rFonts w:hint="eastAsia" w:hAnsi="宋体" w:cs="宋体"/>
          <w:color w:val="auto"/>
          <w:highlight w:val="none"/>
          <w:shd w:val="clear" w:color="auto" w:fill="auto"/>
        </w:rPr>
        <w:t>3、此表应按供应商须知的规定密封标记并单独递交</w:t>
      </w:r>
      <w:r>
        <w:rPr>
          <w:rFonts w:hint="eastAsia" w:hAnsi="宋体" w:cs="宋体"/>
          <w:color w:val="auto"/>
          <w:highlight w:val="none"/>
          <w:shd w:val="clear" w:color="auto" w:fill="auto"/>
          <w:lang w:eastAsia="zh-CN"/>
        </w:rPr>
        <w:t>（</w:t>
      </w:r>
      <w:r>
        <w:rPr>
          <w:rFonts w:hint="eastAsia" w:hAnsi="宋体" w:cs="宋体"/>
          <w:color w:val="auto"/>
          <w:highlight w:val="none"/>
          <w:shd w:val="clear" w:color="auto" w:fill="auto"/>
          <w:lang w:val="en-US" w:eastAsia="zh-CN"/>
        </w:rPr>
        <w:t>如为不见面开标则无需提供</w:t>
      </w:r>
      <w:r>
        <w:rPr>
          <w:rFonts w:hint="eastAsia" w:hAnsi="宋体" w:cs="宋体"/>
          <w:color w:val="auto"/>
          <w:highlight w:val="none"/>
          <w:shd w:val="clear" w:color="auto" w:fill="auto"/>
          <w:lang w:eastAsia="zh-CN"/>
        </w:rPr>
        <w:t>）</w:t>
      </w:r>
      <w:r>
        <w:rPr>
          <w:rFonts w:hint="eastAsia" w:hAnsi="宋体" w:cs="宋体"/>
          <w:color w:val="auto"/>
          <w:highlight w:val="none"/>
          <w:shd w:val="clear" w:color="auto" w:fill="auto"/>
        </w:rPr>
        <w:t>。</w:t>
      </w:r>
    </w:p>
    <w:p>
      <w:pPr>
        <w:pStyle w:val="66"/>
        <w:tabs>
          <w:tab w:val="left" w:pos="5580"/>
        </w:tabs>
        <w:rPr>
          <w:rFonts w:hint="eastAsia" w:hAnsi="宋体" w:cs="宋体"/>
          <w:color w:val="auto"/>
          <w:sz w:val="24"/>
          <w:szCs w:val="24"/>
          <w:highlight w:val="none"/>
          <w:shd w:val="clear" w:color="auto" w:fill="auto"/>
        </w:rPr>
        <w:sectPr>
          <w:footerReference r:id="rId5"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12" w:charSpace="0"/>
        </w:sectPr>
      </w:pPr>
    </w:p>
    <w:p>
      <w:pPr>
        <w:pStyle w:val="6"/>
        <w:tabs>
          <w:tab w:val="left" w:pos="840"/>
        </w:tabs>
        <w:spacing w:before="0" w:line="360" w:lineRule="auto"/>
        <w:jc w:val="both"/>
        <w:outlineLvl w:val="2"/>
        <w:rPr>
          <w:rFonts w:hint="eastAsia" w:ascii="宋体" w:hAnsi="宋体" w:eastAsia="宋体" w:cs="宋体"/>
          <w:b w:val="0"/>
          <w:color w:val="auto"/>
          <w:sz w:val="24"/>
          <w:szCs w:val="24"/>
          <w:highlight w:val="none"/>
          <w:shd w:val="clear" w:color="auto" w:fill="auto"/>
        </w:rPr>
      </w:pPr>
      <w:bookmarkStart w:id="63" w:name="_Toc16238"/>
      <w:bookmarkStart w:id="64" w:name="_Toc9819"/>
      <w:bookmarkStart w:id="65" w:name="_Toc195842924"/>
      <w:bookmarkStart w:id="66" w:name="_Toc421042650"/>
      <w:bookmarkStart w:id="67" w:name="_Toc421032048"/>
      <w:bookmarkStart w:id="68" w:name="_Toc480316148"/>
      <w:r>
        <w:rPr>
          <w:rFonts w:hint="eastAsia" w:ascii="宋体" w:hAnsi="宋体" w:eastAsia="宋体" w:cs="宋体"/>
          <w:b/>
          <w:bCs w:val="0"/>
          <w:color w:val="auto"/>
          <w:sz w:val="24"/>
          <w:szCs w:val="24"/>
          <w:highlight w:val="none"/>
          <w:shd w:val="clear" w:color="auto" w:fill="auto"/>
        </w:rPr>
        <w:t>附件3 响应分项报价表</w:t>
      </w:r>
      <w:bookmarkEnd w:id="63"/>
      <w:bookmarkEnd w:id="64"/>
      <w:bookmarkEnd w:id="65"/>
      <w:bookmarkEnd w:id="66"/>
      <w:bookmarkEnd w:id="67"/>
      <w:bookmarkEnd w:id="68"/>
      <w:r>
        <w:rPr>
          <w:rFonts w:hint="eastAsia" w:ascii="宋体" w:hAnsi="宋体" w:eastAsia="宋体" w:cs="宋体"/>
          <w:b/>
          <w:bCs w:val="0"/>
          <w:color w:val="auto"/>
          <w:sz w:val="24"/>
          <w:szCs w:val="24"/>
          <w:highlight w:val="none"/>
          <w:shd w:val="clear" w:color="auto" w:fill="auto"/>
        </w:rPr>
        <w:t>　</w:t>
      </w:r>
      <w:r>
        <w:rPr>
          <w:rFonts w:hint="eastAsia" w:ascii="宋体" w:hAnsi="宋体" w:eastAsia="宋体" w:cs="宋体"/>
          <w:b w:val="0"/>
          <w:color w:val="auto"/>
          <w:sz w:val="24"/>
          <w:szCs w:val="24"/>
          <w:highlight w:val="none"/>
          <w:shd w:val="clear" w:color="auto" w:fill="auto"/>
        </w:rPr>
        <w:t>　</w:t>
      </w:r>
    </w:p>
    <w:p>
      <w:pPr>
        <w:pStyle w:val="66"/>
        <w:jc w:val="center"/>
        <w:rPr>
          <w:rFonts w:hint="eastAsia" w:hAnsi="宋体" w:eastAsia="宋体" w:cs="宋体"/>
          <w:b/>
          <w:color w:val="auto"/>
          <w:sz w:val="24"/>
          <w:szCs w:val="24"/>
          <w:highlight w:val="none"/>
          <w:shd w:val="clear" w:color="auto" w:fill="auto"/>
          <w:lang w:eastAsia="zh-CN"/>
        </w:rPr>
      </w:pPr>
      <w:r>
        <w:rPr>
          <w:rFonts w:hint="eastAsia" w:hAnsi="宋体" w:cs="宋体"/>
          <w:b/>
          <w:color w:val="auto"/>
          <w:sz w:val="24"/>
          <w:szCs w:val="24"/>
          <w:highlight w:val="none"/>
          <w:shd w:val="clear" w:color="auto" w:fill="auto"/>
        </w:rPr>
        <w:t>响应分项报价表</w:t>
      </w:r>
      <w:r>
        <w:rPr>
          <w:rFonts w:hint="eastAsia" w:hAnsi="宋体" w:cs="宋体"/>
          <w:b/>
          <w:color w:val="auto"/>
          <w:sz w:val="24"/>
          <w:szCs w:val="24"/>
          <w:highlight w:val="none"/>
          <w:shd w:val="clear" w:color="auto" w:fill="auto"/>
          <w:lang w:eastAsia="zh-CN"/>
        </w:rPr>
        <w:t>（</w:t>
      </w:r>
      <w:r>
        <w:rPr>
          <w:rFonts w:hint="eastAsia" w:hAnsi="宋体" w:cs="宋体"/>
          <w:b/>
          <w:color w:val="auto"/>
          <w:sz w:val="24"/>
          <w:szCs w:val="24"/>
          <w:highlight w:val="none"/>
          <w:shd w:val="clear" w:color="auto" w:fill="auto"/>
          <w:lang w:val="en-US" w:eastAsia="zh-CN"/>
        </w:rPr>
        <w:t>自行编制</w:t>
      </w:r>
      <w:r>
        <w:rPr>
          <w:rFonts w:hint="eastAsia" w:hAnsi="宋体" w:cs="宋体"/>
          <w:b/>
          <w:color w:val="auto"/>
          <w:sz w:val="24"/>
          <w:szCs w:val="24"/>
          <w:highlight w:val="none"/>
          <w:shd w:val="clear" w:color="auto" w:fill="auto"/>
          <w:lang w:eastAsia="zh-CN"/>
        </w:rPr>
        <w:t>）</w:t>
      </w:r>
    </w:p>
    <w:p>
      <w:pPr>
        <w:pStyle w:val="66"/>
        <w:jc w:val="center"/>
        <w:rPr>
          <w:rFonts w:hint="eastAsia" w:hAnsi="宋体" w:cs="宋体"/>
          <w:b/>
          <w:color w:val="auto"/>
          <w:sz w:val="24"/>
          <w:szCs w:val="24"/>
          <w:highlight w:val="none"/>
          <w:shd w:val="clear" w:color="auto" w:fill="auto"/>
        </w:rPr>
      </w:pPr>
    </w:p>
    <w:p>
      <w:pPr>
        <w:pStyle w:val="66"/>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588"/>
        <w:gridCol w:w="1943"/>
        <w:gridCol w:w="141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1932"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名称</w:t>
            </w:r>
          </w:p>
        </w:tc>
        <w:tc>
          <w:tcPr>
            <w:tcW w:w="1046"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单价</w:t>
            </w:r>
          </w:p>
        </w:tc>
        <w:tc>
          <w:tcPr>
            <w:tcW w:w="759"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总价</w:t>
            </w:r>
          </w:p>
        </w:tc>
        <w:tc>
          <w:tcPr>
            <w:tcW w:w="765" w:type="pct"/>
            <w:noWrap w:val="0"/>
            <w:vAlign w:val="center"/>
          </w:tcPr>
          <w:p>
            <w:pPr>
              <w:pStyle w:val="66"/>
              <w:spacing w:before="15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lang w:val="en-US" w:eastAsia="zh-CN"/>
              </w:rPr>
              <w:t xml:space="preserve"> </w:t>
            </w:r>
            <w:r>
              <w:rPr>
                <w:rFonts w:hint="eastAsia" w:hAnsi="宋体" w:cs="宋体"/>
                <w:color w:val="auto"/>
                <w:sz w:val="24"/>
                <w:szCs w:val="24"/>
                <w:highlight w:val="none"/>
                <w:shd w:val="clear" w:color="auto" w:fill="auto"/>
              </w:rPr>
              <w:t>1.</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2</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noWrap w:val="0"/>
            <w:vAlign w:val="center"/>
          </w:tcPr>
          <w:p>
            <w:pPr>
              <w:pStyle w:val="66"/>
              <w:spacing w:line="480" w:lineRule="auto"/>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3</w:t>
            </w:r>
          </w:p>
        </w:tc>
        <w:tc>
          <w:tcPr>
            <w:tcW w:w="1932" w:type="pct"/>
            <w:noWrap w:val="0"/>
            <w:vAlign w:val="center"/>
          </w:tcPr>
          <w:p>
            <w:pPr>
              <w:rPr>
                <w:rFonts w:hint="eastAsia" w:hAnsi="宋体" w:cs="宋体"/>
                <w:color w:val="auto"/>
                <w:sz w:val="24"/>
                <w:szCs w:val="24"/>
                <w:highlight w:val="none"/>
                <w:shd w:val="clear" w:color="auto" w:fill="auto"/>
              </w:rPr>
            </w:pPr>
          </w:p>
        </w:tc>
        <w:tc>
          <w:tcPr>
            <w:tcW w:w="1046"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59"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c>
          <w:tcPr>
            <w:tcW w:w="765" w:type="pct"/>
            <w:noWrap w:val="0"/>
            <w:vAlign w:val="center"/>
          </w:tcPr>
          <w:p>
            <w:pPr>
              <w:pStyle w:val="66"/>
              <w:spacing w:line="480" w:lineRule="auto"/>
              <w:jc w:val="center"/>
              <w:rPr>
                <w:rFonts w:hint="eastAsia" w:hAnsi="宋体" w:cs="宋体"/>
                <w:color w:val="auto"/>
                <w:sz w:val="24"/>
                <w:szCs w:val="24"/>
                <w:highlight w:val="none"/>
                <w:shd w:val="clear" w:color="auto" w:fill="auto"/>
              </w:rPr>
            </w:pPr>
          </w:p>
        </w:tc>
      </w:tr>
    </w:tbl>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bookmarkStart w:id="69" w:name="_Toc195842925"/>
      <w:bookmarkStart w:id="70" w:name="_Toc127151560"/>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1800"/>
          <w:tab w:val="left" w:pos="5580"/>
        </w:tabs>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注：1.本表中响应总价必须与响应报价一览表相一致。如果按单价计算的结果与总价不一致,以单价为准修正总价。</w:t>
      </w:r>
    </w:p>
    <w:p>
      <w:pPr>
        <w:tabs>
          <w:tab w:val="left" w:pos="1800"/>
          <w:tab w:val="left" w:pos="5580"/>
        </w:tabs>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2.如果不提供详细分项报价将视为没有实质性响应竞争性磋商文件。</w:t>
      </w:r>
    </w:p>
    <w:p>
      <w:pPr>
        <w:tabs>
          <w:tab w:val="left" w:pos="1800"/>
          <w:tab w:val="left" w:pos="5580"/>
        </w:tabs>
        <w:ind w:firstLine="315" w:firstLineChars="150"/>
        <w:rPr>
          <w:rFonts w:hint="eastAsia" w:ascii="宋体" w:hAnsi="宋体" w:cs="宋体"/>
          <w:color w:val="auto"/>
          <w:szCs w:val="24"/>
          <w:highlight w:val="none"/>
          <w:shd w:val="clear" w:color="auto" w:fill="auto"/>
        </w:rPr>
        <w:sectPr>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p>
    <w:bookmarkEnd w:id="69"/>
    <w:bookmarkEnd w:id="70"/>
    <w:p>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shd w:val="clear" w:color="auto" w:fill="auto"/>
        </w:rPr>
      </w:pPr>
      <w:bookmarkStart w:id="71" w:name="_Toc480316149"/>
      <w:bookmarkStart w:id="72" w:name="_Toc12513"/>
      <w:bookmarkStart w:id="73" w:name="_Toc421042652"/>
      <w:bookmarkStart w:id="74" w:name="_Toc25335"/>
      <w:bookmarkStart w:id="75" w:name="_Toc421032050"/>
      <w:bookmarkStart w:id="76" w:name="_Toc195842926"/>
      <w:r>
        <w:rPr>
          <w:rFonts w:hint="eastAsia" w:ascii="宋体" w:hAnsi="宋体" w:eastAsia="宋体" w:cs="宋体"/>
          <w:b/>
          <w:bCs w:val="0"/>
          <w:color w:val="auto"/>
          <w:sz w:val="24"/>
          <w:szCs w:val="24"/>
          <w:highlight w:val="none"/>
          <w:shd w:val="clear" w:color="auto" w:fill="auto"/>
        </w:rPr>
        <w:t>附件4 技术需求偏离表</w:t>
      </w:r>
      <w:bookmarkEnd w:id="71"/>
      <w:bookmarkEnd w:id="72"/>
      <w:bookmarkEnd w:id="73"/>
      <w:bookmarkEnd w:id="74"/>
      <w:bookmarkEnd w:id="75"/>
      <w:bookmarkEnd w:id="76"/>
    </w:p>
    <w:p>
      <w:pPr>
        <w:pStyle w:val="67"/>
        <w:ind w:right="420"/>
        <w:jc w:val="center"/>
        <w:rPr>
          <w:rFonts w:hint="eastAsia" w:ascii="宋体" w:hAnsi="宋体" w:cs="宋体"/>
          <w:b/>
          <w:color w:val="auto"/>
          <w:highlight w:val="none"/>
          <w:shd w:val="clear" w:color="auto" w:fill="auto"/>
        </w:rPr>
      </w:pPr>
      <w:r>
        <w:rPr>
          <w:rFonts w:hint="eastAsia" w:ascii="宋体" w:hAnsi="宋体" w:cs="宋体"/>
          <w:b/>
          <w:color w:val="auto"/>
          <w:highlight w:val="none"/>
          <w:shd w:val="clear" w:color="auto" w:fill="auto"/>
        </w:rPr>
        <w:t>技术需求偏离表</w:t>
      </w:r>
    </w:p>
    <w:p>
      <w:pPr>
        <w:pStyle w:val="67"/>
        <w:ind w:right="420"/>
        <w:rPr>
          <w:rFonts w:hint="eastAsia" w:ascii="宋体" w:hAnsi="宋体" w:cs="宋体"/>
          <w:b/>
          <w:color w:val="auto"/>
          <w:highlight w:val="none"/>
          <w:shd w:val="clear" w:color="auto" w:fill="auto"/>
        </w:rPr>
      </w:pPr>
      <w:r>
        <w:rPr>
          <w:rFonts w:hint="eastAsia" w:ascii="宋体" w:hAnsi="宋体" w:cs="宋体"/>
          <w:color w:val="auto"/>
          <w:szCs w:val="24"/>
          <w:highlight w:val="none"/>
          <w:shd w:val="clear" w:color="auto" w:fill="auto"/>
        </w:rPr>
        <w:t>项目名称:</w:t>
      </w:r>
      <w:r>
        <w:rPr>
          <w:rFonts w:hint="eastAsia" w:ascii="宋体" w:hAnsi="宋体" w:cs="宋体"/>
          <w:color w:val="auto"/>
          <w:szCs w:val="24"/>
          <w:highlight w:val="none"/>
          <w:u w:val="none"/>
          <w:shd w:val="clear" w:color="auto" w:fill="auto"/>
        </w:rPr>
        <w:t xml:space="preserve">                       </w:t>
      </w:r>
      <w:r>
        <w:rPr>
          <w:rFonts w:hint="eastAsia" w:ascii="宋体" w:hAnsi="宋体" w:cs="宋体"/>
          <w:color w:val="auto"/>
          <w:szCs w:val="24"/>
          <w:highlight w:val="none"/>
          <w:shd w:val="clear" w:color="auto" w:fill="auto"/>
        </w:rPr>
        <w:t>采购编号:</w:t>
      </w:r>
      <w:r>
        <w:rPr>
          <w:rFonts w:hint="eastAsia" w:ascii="宋体" w:hAnsi="宋体" w:cs="宋体"/>
          <w:color w:val="auto"/>
          <w:szCs w:val="24"/>
          <w:highlight w:val="none"/>
          <w:u w:val="none"/>
          <w:shd w:val="clear" w:color="auto" w:fill="auto"/>
        </w:rPr>
        <w:t xml:space="preserve">                     </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013"/>
        <w:gridCol w:w="1837"/>
        <w:gridCol w:w="1553"/>
        <w:gridCol w:w="1553"/>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084"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技术指标</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竞争性磋商文件规格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响应文件规格</w:t>
            </w:r>
          </w:p>
        </w:tc>
        <w:tc>
          <w:tcPr>
            <w:tcW w:w="836"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偏差内容</w:t>
            </w:r>
          </w:p>
        </w:tc>
        <w:tc>
          <w:tcPr>
            <w:tcW w:w="989" w:type="pct"/>
            <w:noWrap w:val="0"/>
            <w:vAlign w:val="center"/>
          </w:tcPr>
          <w:p>
            <w:pPr>
              <w:tabs>
                <w:tab w:val="left" w:pos="1337"/>
              </w:tabs>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6</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7</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8</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9</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bidi="ar"/>
              </w:rPr>
              <w:t>10</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11</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12</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13</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14</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noWrap w:val="0"/>
            <w:vAlign w:val="center"/>
          </w:tcPr>
          <w:p>
            <w:pPr>
              <w:widowControl/>
              <w:spacing w:line="480" w:lineRule="auto"/>
              <w:jc w:val="center"/>
              <w:textAlignment w:val="center"/>
              <w:rPr>
                <w:rFonts w:hint="eastAsia" w:ascii="宋体" w:hAnsi="宋体" w:cs="宋体"/>
                <w:color w:val="auto"/>
                <w:sz w:val="21"/>
                <w:szCs w:val="21"/>
                <w:highlight w:val="none"/>
                <w:shd w:val="clear" w:color="auto" w:fill="auto"/>
                <w:lang w:bidi="ar"/>
              </w:rPr>
            </w:pPr>
            <w:r>
              <w:rPr>
                <w:rFonts w:hint="eastAsia" w:ascii="宋体" w:hAnsi="宋体" w:cs="宋体"/>
                <w:color w:val="auto"/>
                <w:sz w:val="21"/>
                <w:szCs w:val="21"/>
                <w:highlight w:val="none"/>
                <w:shd w:val="clear" w:color="auto" w:fill="auto"/>
                <w:lang w:bidi="ar"/>
              </w:rPr>
              <w:t>15</w:t>
            </w:r>
          </w:p>
        </w:tc>
        <w:tc>
          <w:tcPr>
            <w:tcW w:w="1084" w:type="pct"/>
            <w:noWrap w:val="0"/>
            <w:vAlign w:val="top"/>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836"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c>
          <w:tcPr>
            <w:tcW w:w="989" w:type="pct"/>
            <w:noWrap w:val="0"/>
            <w:vAlign w:val="center"/>
          </w:tcPr>
          <w:p>
            <w:pPr>
              <w:tabs>
                <w:tab w:val="left" w:pos="1337"/>
              </w:tabs>
              <w:spacing w:line="480" w:lineRule="auto"/>
              <w:jc w:val="center"/>
              <w:rPr>
                <w:rFonts w:hint="eastAsia" w:ascii="宋体" w:hAnsi="宋体" w:cs="宋体"/>
                <w:color w:val="auto"/>
                <w:sz w:val="21"/>
                <w:szCs w:val="21"/>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tabs>
          <w:tab w:val="left" w:pos="5580"/>
        </w:tabs>
        <w:spacing w:line="480" w:lineRule="auto"/>
        <w:rPr>
          <w:rFonts w:hint="eastAsia" w:ascii="宋体" w:hAnsi="宋体" w:cs="宋体"/>
          <w:color w:val="auto"/>
          <w:szCs w:val="24"/>
          <w:highlight w:val="none"/>
          <w:shd w:val="clear" w:color="auto" w:fill="auto"/>
        </w:rPr>
      </w:pPr>
      <w:bookmarkStart w:id="77" w:name="_Toc195842927"/>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color w:val="auto"/>
          <w:szCs w:val="24"/>
          <w:highlight w:val="none"/>
          <w:u w:val="single"/>
          <w:shd w:val="clear" w:color="auto" w:fill="auto"/>
        </w:rPr>
      </w:pPr>
    </w:p>
    <w:p>
      <w:pPr>
        <w:tabs>
          <w:tab w:val="left" w:pos="5580"/>
        </w:tabs>
        <w:spacing w:line="480" w:lineRule="auto"/>
        <w:outlineLvl w:val="9"/>
        <w:rPr>
          <w:rFonts w:hint="eastAsia" w:ascii="宋体" w:hAnsi="宋体" w:cs="宋体"/>
          <w:b/>
          <w:color w:val="auto"/>
          <w:szCs w:val="24"/>
          <w:highlight w:val="none"/>
          <w:shd w:val="clear" w:color="auto" w:fill="auto"/>
        </w:rPr>
      </w:pPr>
      <w:r>
        <w:rPr>
          <w:rFonts w:hint="eastAsia" w:ascii="宋体" w:hAnsi="宋体" w:cs="宋体"/>
          <w:b/>
          <w:color w:val="auto"/>
          <w:szCs w:val="24"/>
          <w:highlight w:val="none"/>
          <w:shd w:val="clear" w:color="auto" w:fill="auto"/>
        </w:rPr>
        <w:br w:type="page"/>
      </w:r>
      <w:bookmarkStart w:id="78" w:name="_Toc26234"/>
      <w:bookmarkStart w:id="79" w:name="_Toc480316150"/>
      <w:bookmarkStart w:id="80" w:name="_Toc421042653"/>
      <w:bookmarkStart w:id="81" w:name="_Toc421032051"/>
    </w:p>
    <w:p>
      <w:pPr>
        <w:tabs>
          <w:tab w:val="left" w:pos="5580"/>
        </w:tabs>
        <w:spacing w:line="240" w:lineRule="auto"/>
        <w:outlineLvl w:val="2"/>
        <w:rPr>
          <w:rFonts w:hint="eastAsia" w:ascii="宋体" w:hAnsi="宋体" w:cs="宋体"/>
          <w:color w:val="auto"/>
          <w:szCs w:val="24"/>
          <w:highlight w:val="none"/>
          <w:shd w:val="clear" w:color="auto" w:fill="auto"/>
        </w:rPr>
      </w:pPr>
      <w:bookmarkStart w:id="82" w:name="_Toc22412"/>
      <w:r>
        <w:rPr>
          <w:rFonts w:hint="eastAsia" w:ascii="宋体" w:hAnsi="宋体" w:eastAsia="宋体" w:cs="宋体"/>
          <w:b/>
          <w:bCs w:val="0"/>
          <w:color w:val="auto"/>
          <w:kern w:val="2"/>
          <w:sz w:val="24"/>
          <w:szCs w:val="24"/>
          <w:highlight w:val="none"/>
          <w:shd w:val="clear" w:color="auto" w:fill="auto"/>
          <w:lang w:val="en-US" w:eastAsia="zh-CN" w:bidi="ar-SA"/>
        </w:rPr>
        <w:t>附件5 商务条款偏离表</w:t>
      </w:r>
      <w:bookmarkEnd w:id="77"/>
      <w:bookmarkEnd w:id="78"/>
      <w:bookmarkEnd w:id="79"/>
      <w:bookmarkEnd w:id="80"/>
      <w:bookmarkEnd w:id="81"/>
      <w:bookmarkEnd w:id="82"/>
    </w:p>
    <w:p>
      <w:pPr>
        <w:pStyle w:val="66"/>
        <w:rPr>
          <w:rFonts w:hint="eastAsia" w:hAnsi="宋体" w:cs="宋体"/>
          <w:color w:val="auto"/>
          <w:sz w:val="24"/>
          <w:szCs w:val="24"/>
          <w:highlight w:val="none"/>
          <w:shd w:val="clear" w:color="auto" w:fill="auto"/>
        </w:rPr>
      </w:pPr>
    </w:p>
    <w:p>
      <w:pPr>
        <w:pStyle w:val="68"/>
        <w:tabs>
          <w:tab w:val="left" w:pos="2775"/>
          <w:tab w:val="center" w:pos="4153"/>
        </w:tabs>
        <w:ind w:firstLine="480"/>
        <w:rPr>
          <w:rFonts w:hint="eastAsia" w:ascii="宋体" w:hAnsi="宋体" w:cs="宋体"/>
          <w:b/>
          <w:color w:val="auto"/>
          <w:szCs w:val="24"/>
          <w:highlight w:val="none"/>
          <w:shd w:val="clear" w:color="auto" w:fill="auto"/>
        </w:rPr>
      </w:pPr>
      <w:r>
        <w:rPr>
          <w:rFonts w:hint="eastAsia" w:ascii="宋体" w:hAnsi="宋体" w:cs="宋体"/>
          <w:color w:val="auto"/>
          <w:szCs w:val="24"/>
          <w:highlight w:val="none"/>
          <w:shd w:val="clear" w:color="auto" w:fill="auto"/>
        </w:rPr>
        <w:tab/>
      </w:r>
      <w:r>
        <w:rPr>
          <w:rFonts w:hint="eastAsia" w:ascii="宋体" w:hAnsi="宋体" w:cs="宋体"/>
          <w:b/>
          <w:color w:val="auto"/>
          <w:szCs w:val="24"/>
          <w:highlight w:val="none"/>
          <w:shd w:val="clear" w:color="auto" w:fill="auto"/>
        </w:rPr>
        <w:tab/>
      </w:r>
      <w:r>
        <w:rPr>
          <w:rFonts w:hint="eastAsia" w:ascii="宋体" w:hAnsi="宋体" w:cs="宋体"/>
          <w:b/>
          <w:color w:val="auto"/>
          <w:szCs w:val="24"/>
          <w:highlight w:val="none"/>
          <w:shd w:val="clear" w:color="auto" w:fill="auto"/>
        </w:rPr>
        <w:t>商务条款偏离表</w:t>
      </w:r>
    </w:p>
    <w:p>
      <w:pPr>
        <w:pStyle w:val="66"/>
        <w:rPr>
          <w:rFonts w:hint="eastAsia" w:hAnsi="宋体" w:cs="宋体"/>
          <w:color w:val="auto"/>
          <w:sz w:val="24"/>
          <w:szCs w:val="24"/>
          <w:highlight w:val="none"/>
          <w:shd w:val="clear" w:color="auto" w:fill="auto"/>
        </w:rPr>
      </w:pPr>
    </w:p>
    <w:p>
      <w:pPr>
        <w:pStyle w:val="66"/>
        <w:rPr>
          <w:rFonts w:hint="eastAsia" w:hAnsi="宋体" w:cs="宋体"/>
          <w:color w:val="auto"/>
          <w:sz w:val="24"/>
          <w:szCs w:val="24"/>
          <w:highlight w:val="none"/>
          <w:u w:val="single"/>
          <w:shd w:val="clear" w:color="auto" w:fill="auto"/>
        </w:rPr>
      </w:pPr>
      <w:r>
        <w:rPr>
          <w:rFonts w:hint="eastAsia" w:hAnsi="宋体" w:cs="宋体"/>
          <w:color w:val="auto"/>
          <w:sz w:val="24"/>
          <w:szCs w:val="24"/>
          <w:highlight w:val="none"/>
          <w:shd w:val="clear" w:color="auto" w:fill="auto"/>
        </w:rPr>
        <w:t>项目名称:</w:t>
      </w:r>
      <w:r>
        <w:rPr>
          <w:rFonts w:hint="eastAsia" w:hAnsi="宋体" w:cs="宋体"/>
          <w:color w:val="auto"/>
          <w:sz w:val="24"/>
          <w:szCs w:val="24"/>
          <w:highlight w:val="none"/>
          <w:u w:val="single"/>
          <w:shd w:val="clear" w:color="auto" w:fill="auto"/>
        </w:rPr>
        <w:t xml:space="preserve">                 </w:t>
      </w:r>
      <w:r>
        <w:rPr>
          <w:rFonts w:hint="eastAsia" w:hAnsi="宋体" w:cs="宋体"/>
          <w:color w:val="auto"/>
          <w:sz w:val="24"/>
          <w:szCs w:val="24"/>
          <w:highlight w:val="none"/>
          <w:shd w:val="clear" w:color="auto" w:fill="auto"/>
        </w:rPr>
        <w:t xml:space="preserve">            采购编号:</w:t>
      </w:r>
      <w:r>
        <w:rPr>
          <w:rFonts w:hint="eastAsia" w:hAnsi="宋体" w:cs="宋体"/>
          <w:color w:val="auto"/>
          <w:sz w:val="24"/>
          <w:szCs w:val="24"/>
          <w:highlight w:val="none"/>
          <w:u w:val="single"/>
          <w:shd w:val="clear" w:color="auto" w:fill="auto"/>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0"/>
        <w:gridCol w:w="2679"/>
        <w:gridCol w:w="2679"/>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序号</w:t>
            </w:r>
          </w:p>
        </w:tc>
        <w:tc>
          <w:tcPr>
            <w:tcW w:w="2170" w:type="dxa"/>
            <w:noWrap w:val="0"/>
            <w:vAlign w:val="center"/>
          </w:tcPr>
          <w:p>
            <w:pPr>
              <w:spacing w:line="240" w:lineRule="auto"/>
              <w:jc w:val="center"/>
              <w:rPr>
                <w:rFonts w:hint="eastAsia" w:hAnsi="宋体" w:cs="宋体"/>
                <w:color w:val="auto"/>
                <w:sz w:val="24"/>
                <w:szCs w:val="24"/>
                <w:highlight w:val="none"/>
                <w:shd w:val="clear" w:color="auto" w:fill="auto"/>
              </w:rPr>
            </w:pPr>
            <w:r>
              <w:rPr>
                <w:rFonts w:hint="eastAsia" w:ascii="宋体" w:hAnsi="宋体" w:cs="宋体"/>
                <w:color w:val="auto"/>
                <w:szCs w:val="24"/>
                <w:highlight w:val="none"/>
                <w:shd w:val="clear" w:color="auto" w:fill="auto"/>
              </w:rPr>
              <w:t>竞争性磋商文件条目号</w:t>
            </w:r>
            <w:r>
              <w:rPr>
                <w:rFonts w:hint="eastAsia" w:hAnsi="宋体" w:cs="宋体"/>
                <w:color w:val="auto"/>
                <w:sz w:val="24"/>
                <w:szCs w:val="24"/>
                <w:highlight w:val="none"/>
                <w:shd w:val="clear" w:color="auto" w:fill="auto"/>
              </w:rPr>
              <w:t>（页码）</w:t>
            </w:r>
          </w:p>
        </w:tc>
        <w:tc>
          <w:tcPr>
            <w:tcW w:w="2679"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竞争性磋商文件的商务条款</w:t>
            </w:r>
          </w:p>
        </w:tc>
        <w:tc>
          <w:tcPr>
            <w:tcW w:w="2679"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响应文件的商务条款</w:t>
            </w:r>
          </w:p>
        </w:tc>
        <w:tc>
          <w:tcPr>
            <w:tcW w:w="957" w:type="dxa"/>
            <w:noWrap w:val="0"/>
            <w:vAlign w:val="center"/>
          </w:tcPr>
          <w:p>
            <w:pPr>
              <w:pStyle w:val="66"/>
              <w:jc w:val="center"/>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jc w:val="center"/>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jc w:val="center"/>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03"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170"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2679" w:type="dxa"/>
            <w:noWrap w:val="0"/>
            <w:vAlign w:val="top"/>
          </w:tcPr>
          <w:p>
            <w:pPr>
              <w:pStyle w:val="66"/>
              <w:spacing w:line="480" w:lineRule="auto"/>
              <w:rPr>
                <w:rFonts w:hint="eastAsia" w:hAnsi="宋体" w:cs="宋体"/>
                <w:color w:val="auto"/>
                <w:sz w:val="24"/>
                <w:szCs w:val="24"/>
                <w:highlight w:val="none"/>
                <w:shd w:val="clear" w:color="auto" w:fill="auto"/>
              </w:rPr>
            </w:pPr>
          </w:p>
        </w:tc>
        <w:tc>
          <w:tcPr>
            <w:tcW w:w="957" w:type="dxa"/>
            <w:noWrap w:val="0"/>
            <w:vAlign w:val="top"/>
          </w:tcPr>
          <w:p>
            <w:pPr>
              <w:pStyle w:val="66"/>
              <w:spacing w:line="480" w:lineRule="auto"/>
              <w:rPr>
                <w:rFonts w:hint="eastAsia" w:hAnsi="宋体" w:cs="宋体"/>
                <w:color w:val="auto"/>
                <w:sz w:val="24"/>
                <w:szCs w:val="24"/>
                <w:highlight w:val="none"/>
                <w:shd w:val="clear" w:color="auto" w:fill="auto"/>
              </w:rPr>
            </w:pPr>
          </w:p>
        </w:tc>
      </w:tr>
    </w:tbl>
    <w:p>
      <w:pPr>
        <w:spacing w:line="560" w:lineRule="exact"/>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w:t>
      </w:r>
      <w:r>
        <w:rPr>
          <w:rFonts w:hint="eastAsia" w:ascii="宋体" w:hAnsi="宋体" w:eastAsia="宋体" w:cs="宋体"/>
          <w:color w:val="auto"/>
          <w:sz w:val="21"/>
          <w:szCs w:val="21"/>
          <w:highlight w:val="none"/>
          <w:shd w:val="clear" w:color="auto" w:fill="auto"/>
        </w:rPr>
        <w:t>如有偏离，则必须</w:t>
      </w:r>
      <w:r>
        <w:rPr>
          <w:rFonts w:hint="eastAsia" w:ascii="宋体" w:hAnsi="宋体" w:eastAsia="宋体" w:cs="宋体"/>
          <w:color w:val="auto"/>
          <w:sz w:val="21"/>
          <w:szCs w:val="21"/>
          <w:highlight w:val="none"/>
          <w:shd w:val="clear" w:color="auto" w:fill="auto"/>
          <w:lang w:eastAsia="zh-CN"/>
        </w:rPr>
        <w:t>逐项</w:t>
      </w:r>
      <w:r>
        <w:rPr>
          <w:rFonts w:hint="eastAsia" w:ascii="宋体" w:hAnsi="宋体" w:eastAsia="宋体" w:cs="宋体"/>
          <w:color w:val="auto"/>
          <w:sz w:val="21"/>
          <w:szCs w:val="21"/>
          <w:highlight w:val="none"/>
          <w:shd w:val="clear" w:color="auto" w:fill="auto"/>
        </w:rPr>
        <w:t>注明“偏离”；未注明偏离的，视为完全响应。</w:t>
      </w:r>
    </w:p>
    <w:p>
      <w:pPr>
        <w:pStyle w:val="66"/>
        <w:spacing w:line="360" w:lineRule="auto"/>
        <w:rPr>
          <w:rFonts w:hint="eastAsia" w:hAnsi="宋体" w:cs="宋体"/>
          <w:color w:val="auto"/>
          <w:sz w:val="24"/>
          <w:szCs w:val="24"/>
          <w:highlight w:val="none"/>
          <w:shd w:val="clear" w:color="auto" w:fill="auto"/>
        </w:rPr>
      </w:pPr>
    </w:p>
    <w:p>
      <w:pPr>
        <w:tabs>
          <w:tab w:val="left" w:pos="5580"/>
        </w:tabs>
        <w:spacing w:line="360" w:lineRule="auto"/>
        <w:rPr>
          <w:rFonts w:hint="eastAsia" w:ascii="宋体" w:hAnsi="宋体" w:cs="宋体"/>
          <w:color w:val="auto"/>
          <w:szCs w:val="24"/>
          <w:highlight w:val="none"/>
          <w:u w:val="single"/>
          <w:shd w:val="clear" w:color="auto" w:fill="auto"/>
        </w:rPr>
      </w:pPr>
      <w:bookmarkStart w:id="83" w:name="_Toc195842928"/>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pPr>
        <w:tabs>
          <w:tab w:val="left" w:pos="5580"/>
        </w:tabs>
        <w:spacing w:line="48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u w:val="single"/>
          <w:shd w:val="clear" w:color="auto" w:fill="auto"/>
        </w:rPr>
        <w:t xml:space="preserve"> </w:t>
      </w:r>
      <w:bookmarkStart w:id="84" w:name="_Toc421032052"/>
      <w:bookmarkStart w:id="85" w:name="_Toc480316151"/>
      <w:bookmarkStart w:id="86" w:name="_Toc195842929"/>
      <w:bookmarkStart w:id="87" w:name="_Toc421042654"/>
    </w:p>
    <w:p>
      <w:pPr>
        <w:pStyle w:val="66"/>
        <w:tabs>
          <w:tab w:val="left" w:pos="5580"/>
        </w:tabs>
        <w:rPr>
          <w:rFonts w:hint="eastAsia" w:hAnsi="宋体" w:cs="宋体"/>
          <w:b/>
          <w:color w:val="auto"/>
          <w:sz w:val="24"/>
          <w:szCs w:val="24"/>
          <w:highlight w:val="none"/>
          <w:shd w:val="clear" w:color="auto" w:fill="auto"/>
        </w:rPr>
      </w:pPr>
      <w:bookmarkStart w:id="88" w:name="_Toc7619"/>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rPr>
          <w:rFonts w:hint="eastAsia" w:hAnsi="宋体" w:cs="宋体"/>
          <w:b/>
          <w:bCs w:val="0"/>
          <w:color w:val="auto"/>
          <w:sz w:val="24"/>
          <w:szCs w:val="24"/>
          <w:highlight w:val="none"/>
          <w:shd w:val="clear" w:color="auto" w:fill="auto"/>
        </w:rPr>
      </w:pPr>
    </w:p>
    <w:p>
      <w:pPr>
        <w:pStyle w:val="66"/>
        <w:tabs>
          <w:tab w:val="left" w:pos="5580"/>
        </w:tabs>
        <w:outlineLvl w:val="9"/>
        <w:rPr>
          <w:rFonts w:hint="eastAsia" w:hAnsi="宋体" w:cs="宋体"/>
          <w:b/>
          <w:bCs w:val="0"/>
          <w:color w:val="auto"/>
          <w:sz w:val="24"/>
          <w:szCs w:val="24"/>
          <w:highlight w:val="none"/>
          <w:shd w:val="clear" w:color="auto" w:fill="auto"/>
        </w:rPr>
      </w:pPr>
    </w:p>
    <w:p>
      <w:pPr>
        <w:pStyle w:val="66"/>
        <w:tabs>
          <w:tab w:val="left" w:pos="5580"/>
        </w:tabs>
        <w:outlineLvl w:val="2"/>
        <w:rPr>
          <w:rFonts w:hint="eastAsia" w:hAnsi="宋体" w:cs="宋体"/>
          <w:color w:val="auto"/>
          <w:sz w:val="24"/>
          <w:szCs w:val="24"/>
          <w:highlight w:val="none"/>
          <w:shd w:val="clear" w:color="auto" w:fill="auto"/>
        </w:rPr>
      </w:pPr>
      <w:bookmarkStart w:id="89" w:name="_Toc22209"/>
      <w:r>
        <w:rPr>
          <w:rFonts w:hint="eastAsia" w:hAnsi="宋体" w:cs="宋体"/>
          <w:b/>
          <w:bCs w:val="0"/>
          <w:color w:val="auto"/>
          <w:sz w:val="24"/>
          <w:szCs w:val="24"/>
          <w:highlight w:val="none"/>
          <w:shd w:val="clear" w:color="auto" w:fill="auto"/>
        </w:rPr>
        <w:t>附件6</w:t>
      </w:r>
      <w:r>
        <w:rPr>
          <w:rFonts w:hint="eastAsia" w:hAnsi="宋体" w:cs="宋体"/>
          <w:b/>
          <w:bCs w:val="0"/>
          <w:color w:val="auto"/>
          <w:sz w:val="24"/>
          <w:szCs w:val="24"/>
          <w:highlight w:val="none"/>
          <w:shd w:val="clear" w:color="auto" w:fill="auto"/>
          <w:lang w:val="en-US" w:eastAsia="zh-CN"/>
        </w:rPr>
        <w:t xml:space="preserve"> </w:t>
      </w:r>
      <w:r>
        <w:rPr>
          <w:rFonts w:hint="eastAsia" w:hAnsi="宋体" w:cs="宋体"/>
          <w:b/>
          <w:bCs w:val="0"/>
          <w:color w:val="auto"/>
          <w:sz w:val="24"/>
          <w:szCs w:val="24"/>
          <w:highlight w:val="none"/>
          <w:shd w:val="clear" w:color="auto" w:fill="auto"/>
        </w:rPr>
        <w:t>资格证明文件</w:t>
      </w:r>
      <w:bookmarkEnd w:id="83"/>
      <w:bookmarkEnd w:id="84"/>
      <w:bookmarkEnd w:id="85"/>
      <w:bookmarkEnd w:id="86"/>
      <w:bookmarkEnd w:id="87"/>
      <w:r>
        <w:rPr>
          <w:rFonts w:hint="eastAsia" w:hAnsi="宋体" w:cs="宋体"/>
          <w:b/>
          <w:bCs w:val="0"/>
          <w:color w:val="auto"/>
          <w:sz w:val="24"/>
          <w:szCs w:val="24"/>
          <w:highlight w:val="none"/>
          <w:shd w:val="clear" w:color="auto" w:fill="auto"/>
        </w:rPr>
        <w:t>（格式自拟）</w:t>
      </w:r>
      <w:r>
        <w:rPr>
          <w:rFonts w:hint="eastAsia" w:hAnsi="宋体" w:cs="宋体"/>
          <w:b/>
          <w:color w:val="auto"/>
          <w:sz w:val="24"/>
          <w:szCs w:val="24"/>
          <w:highlight w:val="none"/>
          <w:shd w:val="clear" w:color="auto" w:fill="auto"/>
        </w:rPr>
        <w:cr/>
      </w:r>
      <w:bookmarkEnd w:id="88"/>
      <w:bookmarkStart w:id="90" w:name="_Toc195842930"/>
      <w:r>
        <w:rPr>
          <w:rFonts w:hint="eastAsia" w:hAnsi="宋体" w:cs="宋体"/>
          <w:color w:val="auto"/>
          <w:sz w:val="24"/>
          <w:szCs w:val="24"/>
          <w:highlight w:val="none"/>
          <w:shd w:val="clear" w:color="auto" w:fill="auto"/>
        </w:rPr>
        <w:t>附件6-1</w:t>
      </w:r>
      <w:bookmarkEnd w:id="90"/>
      <w:r>
        <w:rPr>
          <w:rFonts w:hint="eastAsia"/>
          <w:color w:val="auto"/>
          <w:sz w:val="24"/>
          <w:szCs w:val="24"/>
          <w:highlight w:val="none"/>
        </w:rPr>
        <w:t>具有独立承担民事责任的能力</w:t>
      </w:r>
      <w:bookmarkEnd w:id="89"/>
    </w:p>
    <w:p>
      <w:pPr>
        <w:bidi w:val="0"/>
        <w:rPr>
          <w:rFonts w:hint="eastAsia"/>
          <w:color w:val="auto"/>
          <w:sz w:val="24"/>
          <w:szCs w:val="28"/>
          <w:highlight w:val="none"/>
        </w:rPr>
      </w:pPr>
      <w:r>
        <w:rPr>
          <w:rFonts w:hint="eastAsia"/>
          <w:color w:val="auto"/>
          <w:sz w:val="24"/>
          <w:szCs w:val="28"/>
          <w:highlight w:val="none"/>
          <w:lang w:eastAsia="zh-CN"/>
        </w:rPr>
        <w:t>（</w:t>
      </w:r>
      <w:r>
        <w:rPr>
          <w:rFonts w:hint="eastAsia"/>
          <w:color w:val="auto"/>
          <w:sz w:val="24"/>
          <w:szCs w:val="28"/>
          <w:highlight w:val="none"/>
        </w:rPr>
        <w:t>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r>
        <w:rPr>
          <w:rFonts w:hint="eastAsia"/>
          <w:color w:val="auto"/>
          <w:sz w:val="24"/>
          <w:szCs w:val="28"/>
          <w:highlight w:val="none"/>
          <w:lang w:eastAsia="zh-CN"/>
        </w:rPr>
        <w:t>）</w:t>
      </w:r>
      <w:r>
        <w:rPr>
          <w:rFonts w:hint="eastAsia"/>
          <w:color w:val="auto"/>
          <w:sz w:val="24"/>
          <w:szCs w:val="28"/>
          <w:highlight w:val="none"/>
        </w:rPr>
        <w:t xml:space="preserve"> （加盖本单位公章，须在有效期内）</w:t>
      </w:r>
    </w:p>
    <w:p>
      <w:pPr>
        <w:numPr>
          <w:ilvl w:val="0"/>
          <w:numId w:val="0"/>
        </w:numPr>
        <w:spacing w:line="240" w:lineRule="auto"/>
        <w:rPr>
          <w:rFonts w:hint="eastAsia"/>
          <w:color w:val="auto"/>
          <w:sz w:val="24"/>
          <w:szCs w:val="24"/>
          <w:highlight w:val="none"/>
        </w:rPr>
      </w:pPr>
    </w:p>
    <w:p>
      <w:pPr>
        <w:pStyle w:val="66"/>
        <w:tabs>
          <w:tab w:val="left" w:pos="5580"/>
        </w:tabs>
        <w:outlineLvl w:val="9"/>
        <w:rPr>
          <w:rFonts w:hint="eastAsia" w:hAnsi="宋体" w:cs="宋体"/>
          <w:color w:val="auto"/>
          <w:sz w:val="24"/>
          <w:szCs w:val="24"/>
          <w:highlight w:val="none"/>
          <w:shd w:val="clear" w:color="auto" w:fill="auto"/>
        </w:rPr>
      </w:pPr>
    </w:p>
    <w:p>
      <w:pPr>
        <w:rPr>
          <w:rFonts w:hint="eastAsia" w:ascii="宋体" w:hAnsi="宋体" w:eastAsia="宋体" w:cs="宋体"/>
          <w:color w:val="auto"/>
          <w:kern w:val="2"/>
          <w:sz w:val="24"/>
          <w:szCs w:val="24"/>
          <w:highlight w:val="none"/>
          <w:shd w:val="clear" w:color="auto" w:fill="auto"/>
          <w:lang w:val="en-US" w:eastAsia="zh-CN" w:bidi="ar-SA"/>
        </w:rPr>
      </w:pPr>
      <w:bookmarkStart w:id="91" w:name="_Toc21908"/>
      <w:bookmarkStart w:id="92" w:name="_Toc195842932"/>
      <w:bookmarkStart w:id="93" w:name="_Toc195842933"/>
      <w:r>
        <w:rPr>
          <w:rFonts w:hint="eastAsia" w:ascii="宋体" w:hAnsi="宋体" w:eastAsia="宋体" w:cs="宋体"/>
          <w:color w:val="auto"/>
          <w:kern w:val="2"/>
          <w:sz w:val="24"/>
          <w:szCs w:val="24"/>
          <w:highlight w:val="none"/>
          <w:shd w:val="clear" w:color="auto" w:fill="auto"/>
          <w:lang w:val="en-US" w:eastAsia="zh-CN" w:bidi="ar-SA"/>
        </w:rPr>
        <w:br w:type="page"/>
      </w:r>
    </w:p>
    <w:p>
      <w:pPr>
        <w:spacing w:line="240" w:lineRule="auto"/>
        <w:ind w:firstLine="0" w:firstLineChars="0"/>
        <w:outlineLvl w:val="2"/>
        <w:rPr>
          <w:rFonts w:hint="eastAsia"/>
          <w:color w:val="auto"/>
          <w:highlight w:val="none"/>
          <w:shd w:val="clear" w:color="auto" w:fill="auto"/>
        </w:rPr>
      </w:pPr>
      <w:bookmarkStart w:id="94" w:name="_Toc28086"/>
      <w:r>
        <w:rPr>
          <w:rFonts w:hint="eastAsia" w:ascii="宋体" w:hAnsi="宋体" w:eastAsia="宋体" w:cs="宋体"/>
          <w:color w:val="auto"/>
          <w:kern w:val="2"/>
          <w:sz w:val="24"/>
          <w:szCs w:val="24"/>
          <w:highlight w:val="none"/>
          <w:shd w:val="clear" w:color="auto" w:fill="auto"/>
          <w:lang w:val="en-US" w:eastAsia="zh-CN" w:bidi="ar-SA"/>
        </w:rPr>
        <w:t>附件6-2法人身份证明书及法定代表人授权书（格式）</w:t>
      </w:r>
      <w:bookmarkEnd w:id="91"/>
      <w:bookmarkEnd w:id="92"/>
      <w:bookmarkEnd w:id="93"/>
      <w:bookmarkEnd w:id="94"/>
    </w:p>
    <w:p>
      <w:pPr>
        <w:pStyle w:val="68"/>
        <w:ind w:firstLine="0" w:firstLineChars="0"/>
        <w:outlineLvl w:val="9"/>
        <w:rPr>
          <w:rFonts w:hint="eastAsia" w:ascii="宋体" w:hAnsi="宋体" w:cs="宋体"/>
          <w:color w:val="auto"/>
          <w:highlight w:val="none"/>
          <w:shd w:val="clear" w:color="auto" w:fill="auto"/>
        </w:rPr>
      </w:pPr>
    </w:p>
    <w:p>
      <w:pPr>
        <w:ind w:firstLine="0" w:firstLineChars="0"/>
        <w:jc w:val="center"/>
        <w:outlineLvl w:val="9"/>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法定代表人身份证明书</w:t>
      </w: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
          <w:color w:val="auto"/>
          <w:szCs w:val="21"/>
          <w:highlight w:val="none"/>
          <w:shd w:val="clear" w:color="auto" w:fill="auto"/>
        </w:rPr>
      </w:pPr>
    </w:p>
    <w:p>
      <w:pPr>
        <w:jc w:val="center"/>
        <w:outlineLvl w:val="9"/>
        <w:rPr>
          <w:rFonts w:hint="eastAsia" w:ascii="宋体" w:hAnsi="宋体" w:cs="宋体"/>
          <w:bCs/>
          <w:color w:val="auto"/>
          <w:szCs w:val="21"/>
          <w:highlight w:val="none"/>
          <w:shd w:val="clear" w:color="auto" w:fill="auto"/>
        </w:rPr>
      </w:pP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单位名称：</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企业类型：</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地    址：</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营业期限：</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成立时间：</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姓名：</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性别：</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年龄：</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 xml:space="preserve"> 职务：</w:t>
      </w:r>
      <w:r>
        <w:rPr>
          <w:rFonts w:hint="eastAsia" w:ascii="宋体" w:hAnsi="宋体" w:cs="宋体"/>
          <w:bCs/>
          <w:color w:val="auto"/>
          <w:szCs w:val="21"/>
          <w:highlight w:val="none"/>
          <w:u w:val="single"/>
          <w:shd w:val="clear" w:color="auto" w:fill="auto"/>
        </w:rPr>
        <w:t xml:space="preserve">      </w:t>
      </w:r>
    </w:p>
    <w:p>
      <w:pPr>
        <w:spacing w:line="360" w:lineRule="auto"/>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 xml:space="preserve">系 </w:t>
      </w:r>
      <w:r>
        <w:rPr>
          <w:rFonts w:hint="eastAsia" w:ascii="宋体" w:hAnsi="宋体" w:cs="宋体"/>
          <w:bCs/>
          <w:color w:val="auto"/>
          <w:szCs w:val="21"/>
          <w:highlight w:val="none"/>
          <w:u w:val="single"/>
          <w:shd w:val="clear" w:color="auto" w:fill="auto"/>
        </w:rPr>
        <w:t xml:space="preserve">         （供应商单位名称）               </w:t>
      </w:r>
      <w:r>
        <w:rPr>
          <w:rFonts w:hint="eastAsia" w:ascii="宋体" w:hAnsi="宋体" w:cs="宋体"/>
          <w:bCs/>
          <w:color w:val="auto"/>
          <w:szCs w:val="21"/>
          <w:highlight w:val="none"/>
          <w:shd w:val="clear" w:color="auto" w:fill="auto"/>
        </w:rPr>
        <w:t>的法定代表人。</w:t>
      </w:r>
    </w:p>
    <w:p>
      <w:pPr>
        <w:outlineLvl w:val="9"/>
        <w:rPr>
          <w:rFonts w:hint="eastAsia" w:ascii="宋体" w:hAnsi="宋体" w:cs="宋体"/>
          <w:bCs/>
          <w:color w:val="auto"/>
          <w:szCs w:val="21"/>
          <w:highlight w:val="none"/>
          <w:shd w:val="clear" w:color="auto" w:fill="auto"/>
        </w:rPr>
      </w:pP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6"/>
              <w:tabs>
                <w:tab w:val="left" w:pos="5580"/>
              </w:tabs>
              <w:spacing w:line="360" w:lineRule="auto"/>
              <w:outlineLvl w:val="9"/>
              <w:rPr>
                <w:rFonts w:hint="eastAsia" w:hAnsi="宋体" w:cs="宋体"/>
                <w:color w:val="auto"/>
                <w:sz w:val="24"/>
                <w:szCs w:val="24"/>
                <w:highlight w:val="none"/>
                <w:shd w:val="clear" w:color="auto" w:fill="auto"/>
              </w:rPr>
            </w:pPr>
          </w:p>
          <w:p>
            <w:pPr>
              <w:pStyle w:val="66"/>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outlineLvl w:val="9"/>
        <w:rPr>
          <w:vanish/>
          <w:color w:val="auto"/>
          <w:highlight w:val="none"/>
          <w:shd w:val="clear" w:color="auto" w:fill="auto"/>
        </w:rPr>
      </w:pPr>
    </w:p>
    <w:tbl>
      <w:tblPr>
        <w:tblStyle w:val="31"/>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6"/>
              <w:tabs>
                <w:tab w:val="left" w:pos="5580"/>
              </w:tabs>
              <w:spacing w:line="360" w:lineRule="auto"/>
              <w:outlineLvl w:val="9"/>
              <w:rPr>
                <w:rFonts w:hint="eastAsia" w:hAnsi="宋体" w:cs="宋体"/>
                <w:color w:val="auto"/>
                <w:sz w:val="24"/>
                <w:szCs w:val="24"/>
                <w:highlight w:val="none"/>
                <w:shd w:val="clear" w:color="auto" w:fill="auto"/>
              </w:rPr>
            </w:pPr>
          </w:p>
          <w:p>
            <w:pPr>
              <w:pStyle w:val="66"/>
              <w:tabs>
                <w:tab w:val="left" w:pos="5580"/>
              </w:tabs>
              <w:spacing w:line="360" w:lineRule="auto"/>
              <w:outlineLvl w:val="9"/>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pStyle w:val="18"/>
        <w:ind w:left="1680" w:right="1680"/>
        <w:outlineLvl w:val="9"/>
        <w:rPr>
          <w:rFonts w:hint="eastAsia" w:ascii="宋体" w:hAnsi="宋体" w:cs="宋体"/>
          <w:color w:val="auto"/>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p>
    <w:p>
      <w:pPr>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特此证明。</w:t>
      </w:r>
    </w:p>
    <w:p>
      <w:pPr>
        <w:outlineLvl w:val="9"/>
        <w:rPr>
          <w:rFonts w:hint="eastAsia" w:ascii="宋体" w:hAnsi="宋体" w:cs="宋体"/>
          <w:bCs/>
          <w:color w:val="auto"/>
          <w:szCs w:val="21"/>
          <w:highlight w:val="none"/>
          <w:shd w:val="clear" w:color="auto" w:fill="auto"/>
        </w:rPr>
      </w:pPr>
    </w:p>
    <w:p>
      <w:pPr>
        <w:ind w:right="840"/>
        <w:outlineLvl w:val="9"/>
        <w:rPr>
          <w:rFonts w:hint="eastAsia" w:ascii="宋体" w:hAnsi="宋体" w:cs="宋体"/>
          <w:bCs/>
          <w:color w:val="auto"/>
          <w:szCs w:val="21"/>
          <w:highlight w:val="none"/>
          <w:u w:val="single"/>
          <w:shd w:val="clear" w:color="auto" w:fill="auto"/>
        </w:rPr>
      </w:pPr>
      <w:r>
        <w:rPr>
          <w:rFonts w:hint="eastAsia" w:ascii="宋体" w:hAnsi="宋体" w:cs="宋体"/>
          <w:bCs/>
          <w:color w:val="auto"/>
          <w:szCs w:val="21"/>
          <w:highlight w:val="none"/>
          <w:shd w:val="clear" w:color="auto" w:fill="auto"/>
        </w:rPr>
        <w:t>供应商：</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u w:val="single"/>
          <w:shd w:val="clear" w:color="auto" w:fill="auto"/>
          <w:lang w:val="en-US" w:eastAsia="zh-CN"/>
        </w:rPr>
        <w:t>电子签章</w:t>
      </w:r>
      <w:r>
        <w:rPr>
          <w:rFonts w:hint="eastAsia" w:ascii="宋体" w:hAnsi="宋体" w:cs="宋体"/>
          <w:bCs/>
          <w:color w:val="auto"/>
          <w:szCs w:val="21"/>
          <w:highlight w:val="none"/>
          <w:u w:val="single"/>
          <w:shd w:val="clear" w:color="auto" w:fill="auto"/>
        </w:rPr>
        <w:t>）</w:t>
      </w: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p>
    <w:p>
      <w:pPr>
        <w:jc w:val="right"/>
        <w:outlineLvl w:val="9"/>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日  期：</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年</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月</w:t>
      </w:r>
      <w:r>
        <w:rPr>
          <w:rFonts w:hint="eastAsia" w:ascii="宋体" w:hAnsi="宋体" w:cs="宋体"/>
          <w:bCs/>
          <w:color w:val="auto"/>
          <w:szCs w:val="21"/>
          <w:highlight w:val="none"/>
          <w:u w:val="single"/>
          <w:shd w:val="clear" w:color="auto" w:fill="auto"/>
        </w:rPr>
        <w:t xml:space="preserve">        </w:t>
      </w:r>
      <w:r>
        <w:rPr>
          <w:rFonts w:hint="eastAsia" w:ascii="宋体" w:hAnsi="宋体" w:cs="宋体"/>
          <w:bCs/>
          <w:color w:val="auto"/>
          <w:szCs w:val="21"/>
          <w:highlight w:val="none"/>
          <w:shd w:val="clear" w:color="auto" w:fill="auto"/>
        </w:rPr>
        <w:t>日</w:t>
      </w:r>
    </w:p>
    <w:p>
      <w:pPr>
        <w:pStyle w:val="66"/>
        <w:outlineLvl w:val="9"/>
        <w:rPr>
          <w:rFonts w:hint="eastAsia" w:hAnsi="宋体" w:cs="宋体"/>
          <w:color w:val="auto"/>
          <w:sz w:val="24"/>
          <w:szCs w:val="24"/>
          <w:highlight w:val="none"/>
          <w:shd w:val="clear" w:color="auto" w:fill="auto"/>
        </w:rPr>
      </w:pPr>
      <w:r>
        <w:rPr>
          <w:rFonts w:hint="eastAsia" w:hAnsi="宋体" w:cs="宋体"/>
          <w:bCs/>
          <w:color w:val="auto"/>
          <w:highlight w:val="none"/>
          <w:shd w:val="clear" w:color="auto" w:fill="auto"/>
        </w:rPr>
        <w:br w:type="page"/>
      </w:r>
    </w:p>
    <w:p>
      <w:pPr>
        <w:pStyle w:val="66"/>
        <w:tabs>
          <w:tab w:val="left" w:pos="5580"/>
        </w:tabs>
        <w:spacing w:line="360" w:lineRule="auto"/>
        <w:jc w:val="center"/>
        <w:rPr>
          <w:rFonts w:hint="eastAsia"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法定代表人授权书</w:t>
      </w:r>
    </w:p>
    <w:p>
      <w:pPr>
        <w:pStyle w:val="66"/>
        <w:tabs>
          <w:tab w:val="left" w:pos="5580"/>
        </w:tabs>
        <w:spacing w:line="360" w:lineRule="auto"/>
        <w:jc w:val="left"/>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xml:space="preserve">    本授权书声明：注册于</w:t>
      </w:r>
      <w:r>
        <w:rPr>
          <w:rFonts w:hint="eastAsia" w:hAnsi="宋体" w:cs="宋体"/>
          <w:color w:val="auto"/>
          <w:sz w:val="24"/>
          <w:szCs w:val="24"/>
          <w:highlight w:val="none"/>
          <w:u w:val="single"/>
          <w:shd w:val="clear" w:color="auto" w:fill="auto"/>
        </w:rPr>
        <w:t>（国家或地区的名称）</w:t>
      </w:r>
      <w:r>
        <w:rPr>
          <w:rFonts w:hint="eastAsia" w:hAnsi="宋体" w:cs="宋体"/>
          <w:color w:val="auto"/>
          <w:sz w:val="24"/>
          <w:szCs w:val="24"/>
          <w:highlight w:val="none"/>
          <w:shd w:val="clear" w:color="auto" w:fill="auto"/>
        </w:rPr>
        <w:t>的（</w:t>
      </w:r>
      <w:r>
        <w:rPr>
          <w:rFonts w:hint="eastAsia" w:hAnsi="宋体" w:cs="宋体"/>
          <w:color w:val="auto"/>
          <w:sz w:val="24"/>
          <w:szCs w:val="24"/>
          <w:highlight w:val="none"/>
          <w:u w:val="single"/>
          <w:shd w:val="clear" w:color="auto" w:fill="auto"/>
        </w:rPr>
        <w:t>公司名称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法定代表人姓名、职务</w:t>
      </w:r>
      <w:r>
        <w:rPr>
          <w:rFonts w:hint="eastAsia" w:hAnsi="宋体" w:cs="宋体"/>
          <w:color w:val="auto"/>
          <w:sz w:val="24"/>
          <w:szCs w:val="24"/>
          <w:highlight w:val="none"/>
          <w:shd w:val="clear" w:color="auto" w:fill="auto"/>
        </w:rPr>
        <w:t>）代表本公司授权（</w:t>
      </w:r>
      <w:r>
        <w:rPr>
          <w:rFonts w:hint="eastAsia" w:hAnsi="宋体" w:cs="宋体"/>
          <w:color w:val="auto"/>
          <w:sz w:val="24"/>
          <w:szCs w:val="24"/>
          <w:highlight w:val="none"/>
          <w:u w:val="single"/>
          <w:shd w:val="clear" w:color="auto" w:fill="auto"/>
        </w:rPr>
        <w:t>单位名称</w:t>
      </w:r>
      <w:r>
        <w:rPr>
          <w:rFonts w:hint="eastAsia" w:hAnsi="宋体" w:cs="宋体"/>
          <w:color w:val="auto"/>
          <w:sz w:val="24"/>
          <w:szCs w:val="24"/>
          <w:highlight w:val="none"/>
          <w:shd w:val="clear" w:color="auto" w:fill="auto"/>
        </w:rPr>
        <w:t>）的在下面签字的（</w:t>
      </w:r>
      <w:r>
        <w:rPr>
          <w:rFonts w:hint="eastAsia" w:hAnsi="宋体" w:cs="宋体"/>
          <w:color w:val="auto"/>
          <w:sz w:val="24"/>
          <w:szCs w:val="24"/>
          <w:highlight w:val="none"/>
          <w:u w:val="single"/>
          <w:shd w:val="clear" w:color="auto" w:fill="auto"/>
        </w:rPr>
        <w:t>被授权人的姓名、</w:t>
      </w:r>
      <w:r>
        <w:rPr>
          <w:rFonts w:hint="eastAsia" w:hAnsi="宋体" w:cs="宋体"/>
          <w:color w:val="auto"/>
          <w:sz w:val="24"/>
          <w:szCs w:val="24"/>
          <w:highlight w:val="none"/>
          <w:u w:val="none"/>
          <w:shd w:val="clear" w:color="auto" w:fill="auto"/>
          <w:lang w:val="en-US" w:eastAsia="zh-CN"/>
        </w:rPr>
        <w:t xml:space="preserve"> </w:t>
      </w:r>
      <w:r>
        <w:rPr>
          <w:rFonts w:hint="eastAsia" w:hAnsi="宋体" w:cs="宋体"/>
          <w:color w:val="auto"/>
          <w:sz w:val="24"/>
          <w:szCs w:val="24"/>
          <w:highlight w:val="none"/>
          <w:shd w:val="clear" w:color="auto" w:fill="auto"/>
        </w:rPr>
        <w:t>本公司名义处理一切与之有关的事务。</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t>　　</w:t>
      </w:r>
    </w:p>
    <w:p>
      <w:pPr>
        <w:pStyle w:val="83"/>
        <w:spacing w:line="500" w:lineRule="exact"/>
        <w:rPr>
          <w:rFonts w:ascii="宋体" w:hAnsi="宋体"/>
          <w:color w:val="auto"/>
          <w:sz w:val="24"/>
          <w:szCs w:val="24"/>
          <w:highlight w:val="none"/>
        </w:rPr>
      </w:pPr>
      <w:r>
        <w:rPr>
          <w:rFonts w:hint="eastAsia" w:hAnsi="宋体" w:cs="宋体"/>
          <w:color w:val="auto"/>
          <w:sz w:val="24"/>
          <w:szCs w:val="24"/>
          <w:highlight w:val="none"/>
          <w:shd w:val="clear" w:color="auto" w:fill="auto"/>
        </w:rPr>
        <w:t>本授权书于__________年_____月______日签字生效,特此声明。</w:t>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hAnsi="宋体" w:cs="宋体"/>
          <w:color w:val="auto"/>
          <w:sz w:val="24"/>
          <w:szCs w:val="24"/>
          <w:highlight w:val="none"/>
          <w:shd w:val="clear" w:color="auto" w:fill="auto"/>
        </w:rPr>
        <w:cr/>
      </w:r>
      <w:r>
        <w:rPr>
          <w:rFonts w:hint="eastAsia" w:ascii="宋体" w:hAnsi="宋体"/>
          <w:color w:val="auto"/>
          <w:sz w:val="24"/>
          <w:szCs w:val="24"/>
          <w:highlight w:val="none"/>
        </w:rPr>
        <w:t>投标人（电子签章）：</w:t>
      </w:r>
      <w:r>
        <w:rPr>
          <w:rFonts w:hint="eastAsia" w:ascii="宋体" w:hAnsi="宋体"/>
          <w:color w:val="auto"/>
          <w:sz w:val="24"/>
          <w:szCs w:val="24"/>
          <w:highlight w:val="none"/>
          <w:u w:val="single"/>
        </w:rPr>
        <w:t xml:space="preserve">               </w:t>
      </w:r>
    </w:p>
    <w:p>
      <w:pPr>
        <w:pStyle w:val="83"/>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法定代表人（电子签名）：</w:t>
      </w:r>
      <w:r>
        <w:rPr>
          <w:rFonts w:hint="eastAsia" w:ascii="宋体" w:hAnsi="宋体"/>
          <w:color w:val="auto"/>
          <w:sz w:val="24"/>
          <w:szCs w:val="24"/>
          <w:highlight w:val="none"/>
          <w:u w:val="single"/>
        </w:rPr>
        <w:t xml:space="preserve">           </w:t>
      </w:r>
    </w:p>
    <w:p>
      <w:pPr>
        <w:pStyle w:val="66"/>
        <w:tabs>
          <w:tab w:val="left" w:pos="5580"/>
        </w:tabs>
        <w:spacing w:line="360" w:lineRule="auto"/>
        <w:rPr>
          <w:rFonts w:hint="eastAsia" w:hAnsi="宋体" w:cs="宋体"/>
          <w:color w:val="auto"/>
          <w:sz w:val="24"/>
          <w:szCs w:val="24"/>
          <w:highlight w:val="none"/>
          <w:shd w:val="clear" w:color="auto" w:fill="auto"/>
        </w:rPr>
      </w:pP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842" w:type="dxa"/>
            <w:noWrap w:val="0"/>
            <w:vAlign w:val="top"/>
          </w:tcPr>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身份证正面</w:t>
            </w:r>
          </w:p>
        </w:tc>
      </w:tr>
    </w:tbl>
    <w:p>
      <w:pPr>
        <w:rPr>
          <w:vanish/>
          <w:color w:val="auto"/>
          <w:highlight w:val="none"/>
          <w:shd w:val="clear" w:color="auto" w:fill="auto"/>
        </w:rPr>
      </w:pPr>
    </w:p>
    <w:tbl>
      <w:tblPr>
        <w:tblStyle w:val="31"/>
        <w:tblpPr w:leftFromText="180" w:rightFromText="180" w:vertAnchor="text" w:horzAnchor="page" w:tblpX="5114"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630" w:type="dxa"/>
            <w:noWrap w:val="0"/>
            <w:vAlign w:val="top"/>
          </w:tcPr>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身份证背面</w:t>
            </w:r>
          </w:p>
        </w:tc>
      </w:tr>
    </w:tbl>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附：</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被授权人姓名：_____________________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职　　　　务：_____________________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详细通讯地址：_____________________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邮 政  编 码：_____________________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传　　　　真：_____________________</w:t>
      </w:r>
    </w:p>
    <w:p>
      <w:pPr>
        <w:pStyle w:val="66"/>
        <w:tabs>
          <w:tab w:val="left" w:pos="5580"/>
        </w:tabs>
        <w:spacing w:line="360" w:lineRule="auto"/>
        <w:rPr>
          <w:rFonts w:hint="eastAsia" w:hAnsi="宋体" w:cs="宋体"/>
          <w:color w:val="auto"/>
          <w:sz w:val="24"/>
          <w:szCs w:val="24"/>
          <w:highlight w:val="none"/>
          <w:shd w:val="clear" w:color="auto" w:fill="auto"/>
        </w:rPr>
      </w:pPr>
      <w:r>
        <w:rPr>
          <w:rFonts w:hint="eastAsia" w:hAnsi="宋体" w:cs="宋体"/>
          <w:color w:val="auto"/>
          <w:sz w:val="24"/>
          <w:szCs w:val="24"/>
          <w:highlight w:val="none"/>
          <w:shd w:val="clear" w:color="auto" w:fill="auto"/>
        </w:rPr>
        <w:t>电　　　　话：_____________________</w:t>
      </w:r>
    </w:p>
    <w:p>
      <w:pPr>
        <w:spacing w:line="360" w:lineRule="auto"/>
        <w:rPr>
          <w:rFonts w:hint="eastAsia" w:ascii="宋体" w:hAnsi="宋体" w:cs="宋体"/>
          <w:bCs/>
          <w:color w:val="auto"/>
          <w:szCs w:val="24"/>
          <w:highlight w:val="none"/>
          <w:shd w:val="clear" w:color="auto" w:fill="auto"/>
        </w:rPr>
      </w:pPr>
    </w:p>
    <w:p>
      <w:pPr>
        <w:tabs>
          <w:tab w:val="left" w:pos="5580"/>
        </w:tabs>
        <w:rPr>
          <w:rFonts w:hint="eastAsia" w:ascii="宋体" w:hAnsi="宋体" w:cs="宋体"/>
          <w:color w:val="auto"/>
          <w:szCs w:val="24"/>
          <w:highlight w:val="none"/>
          <w:shd w:val="clear" w:color="auto" w:fill="auto"/>
        </w:rPr>
      </w:pPr>
    </w:p>
    <w:p>
      <w:pPr>
        <w:snapToGrid w:val="0"/>
        <w:spacing w:line="360" w:lineRule="auto"/>
        <w:ind w:right="18" w:firstLine="420" w:firstLineChars="200"/>
        <w:textAlignment w:val="baseline"/>
        <w:outlineLvl w:val="2"/>
        <w:rPr>
          <w:rFonts w:hint="eastAsia" w:ascii="宋体" w:hAnsi="宋体" w:cs="宋体"/>
          <w:color w:val="auto"/>
          <w:highlight w:val="none"/>
          <w:shd w:val="clear" w:color="auto" w:fill="auto"/>
        </w:rPr>
      </w:pPr>
      <w:r>
        <w:rPr>
          <w:rFonts w:hint="eastAsia" w:ascii="宋体" w:hAnsi="宋体" w:cs="宋体"/>
          <w:color w:val="auto"/>
          <w:szCs w:val="24"/>
          <w:highlight w:val="none"/>
          <w:shd w:val="clear" w:color="auto" w:fill="auto"/>
        </w:rPr>
        <w:br w:type="page"/>
      </w:r>
      <w:bookmarkStart w:id="95" w:name="_Toc10444"/>
      <w:bookmarkStart w:id="96" w:name="OLE_LINK3"/>
      <w:bookmarkStart w:id="97" w:name="OLE_LINK2"/>
      <w:r>
        <w:rPr>
          <w:rFonts w:hint="eastAsia" w:ascii="宋体" w:hAnsi="宋体" w:eastAsia="宋体" w:cs="宋体"/>
          <w:color w:val="auto"/>
          <w:kern w:val="2"/>
          <w:sz w:val="24"/>
          <w:szCs w:val="24"/>
          <w:highlight w:val="none"/>
          <w:shd w:val="clear" w:color="auto" w:fill="auto"/>
          <w:lang w:val="en-US" w:eastAsia="zh-CN" w:bidi="ar-SA"/>
        </w:rPr>
        <w:t>附件6-3 具有良好的商业信誉和健全的财务会计制度（需提供202</w:t>
      </w:r>
      <w:r>
        <w:rPr>
          <w:rFonts w:hint="eastAsia" w:ascii="宋体" w:hAnsi="宋体" w:cs="宋体"/>
          <w:color w:val="auto"/>
          <w:kern w:val="2"/>
          <w:sz w:val="24"/>
          <w:szCs w:val="24"/>
          <w:highlight w:val="none"/>
          <w:shd w:val="clear" w:color="auto" w:fill="auto"/>
          <w:lang w:val="en-US" w:eastAsia="zh-CN" w:bidi="ar-SA"/>
        </w:rPr>
        <w:t>1</w:t>
      </w:r>
      <w:r>
        <w:rPr>
          <w:rFonts w:hint="eastAsia" w:ascii="宋体" w:hAnsi="宋体" w:eastAsia="宋体" w:cs="宋体"/>
          <w:color w:val="auto"/>
          <w:kern w:val="2"/>
          <w:sz w:val="24"/>
          <w:szCs w:val="24"/>
          <w:highlight w:val="none"/>
          <w:shd w:val="clear" w:color="auto" w:fill="auto"/>
          <w:lang w:val="en-US" w:eastAsia="zh-CN" w:bidi="ar-SA"/>
        </w:rPr>
        <w:t>年度经会计师事务所出具的财务审计报告或其基本开户银行出具的资信证明）；</w:t>
      </w:r>
      <w:bookmarkEnd w:id="95"/>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说明：</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1、</w:t>
      </w:r>
      <w:r>
        <w:rPr>
          <w:rFonts w:hint="eastAsia" w:ascii="仿宋" w:hAnsi="仿宋" w:eastAsia="仿宋" w:cs="仿宋"/>
          <w:color w:val="auto"/>
          <w:szCs w:val="21"/>
          <w:highlight w:val="none"/>
          <w:shd w:val="clear" w:color="auto" w:fill="auto"/>
          <w:lang w:val="en-US" w:eastAsia="zh-CN"/>
        </w:rPr>
        <w:t>供应商</w:t>
      </w:r>
      <w:r>
        <w:rPr>
          <w:rFonts w:hint="eastAsia" w:ascii="仿宋" w:hAnsi="仿宋" w:eastAsia="仿宋" w:cs="仿宋"/>
          <w:color w:val="auto"/>
          <w:szCs w:val="21"/>
          <w:highlight w:val="none"/>
          <w:shd w:val="clear" w:color="auto" w:fill="auto"/>
        </w:rPr>
        <w:t>在</w:t>
      </w:r>
      <w:r>
        <w:rPr>
          <w:rFonts w:hint="eastAsia" w:ascii="仿宋" w:hAnsi="仿宋" w:eastAsia="仿宋" w:cs="仿宋"/>
          <w:color w:val="auto"/>
          <w:szCs w:val="21"/>
          <w:highlight w:val="none"/>
          <w:shd w:val="clear" w:color="auto" w:fill="auto"/>
          <w:lang w:val="en-US" w:eastAsia="zh-CN"/>
        </w:rPr>
        <w:t>响应</w:t>
      </w:r>
      <w:r>
        <w:rPr>
          <w:rFonts w:hint="eastAsia" w:ascii="仿宋" w:hAnsi="仿宋" w:eastAsia="仿宋" w:cs="仿宋"/>
          <w:color w:val="auto"/>
          <w:szCs w:val="21"/>
          <w:highlight w:val="none"/>
          <w:shd w:val="clear" w:color="auto" w:fill="auto"/>
        </w:rPr>
        <w:t>文件中，应提供本单位202</w:t>
      </w:r>
      <w:r>
        <w:rPr>
          <w:rFonts w:hint="eastAsia" w:ascii="仿宋" w:hAnsi="仿宋" w:eastAsia="仿宋" w:cs="仿宋"/>
          <w:color w:val="auto"/>
          <w:szCs w:val="21"/>
          <w:highlight w:val="none"/>
          <w:shd w:val="clear" w:color="auto" w:fill="auto"/>
          <w:lang w:val="en-US" w:eastAsia="zh-CN"/>
        </w:rPr>
        <w:t>1</w:t>
      </w:r>
      <w:r>
        <w:rPr>
          <w:rFonts w:hint="eastAsia" w:ascii="仿宋" w:hAnsi="仿宋" w:eastAsia="仿宋" w:cs="仿宋"/>
          <w:color w:val="auto"/>
          <w:szCs w:val="21"/>
          <w:highlight w:val="none"/>
          <w:shd w:val="clear" w:color="auto" w:fill="auto"/>
        </w:rPr>
        <w:t>年度会计师事务所出具的审计报告复印件并加盖本单位公章。</w:t>
      </w:r>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2、如投标人无法提供上年度审计报告或新企业验资报告，则需提供开户银行在开标日前三个月内出具的资信证明（复印件加盖公章）。</w:t>
      </w:r>
    </w:p>
    <w:p>
      <w:pPr>
        <w:spacing w:line="360" w:lineRule="auto"/>
        <w:ind w:firstLine="420" w:firstLineChars="200"/>
        <w:rPr>
          <w:rFonts w:hint="eastAsia" w:ascii="宋体" w:hAnsi="宋体" w:cs="宋体"/>
          <w:color w:val="auto"/>
          <w:highlight w:val="none"/>
          <w:shd w:val="clear" w:color="auto" w:fill="auto"/>
        </w:rPr>
      </w:pPr>
      <w:r>
        <w:rPr>
          <w:rFonts w:hint="eastAsia" w:ascii="仿宋" w:hAnsi="仿宋" w:eastAsia="仿宋" w:cs="仿宋"/>
          <w:color w:val="auto"/>
          <w:szCs w:val="21"/>
          <w:highlight w:val="none"/>
          <w:shd w:val="clear" w:color="auto" w:fill="auto"/>
        </w:rPr>
        <w:t>3、银行资信证明应能说明该投标人与银行之间业务往来正常，企业信誉良好等。银行出具的存款证明不能替代银行资信证明。</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8" w:name="_Toc32412"/>
      <w:r>
        <w:rPr>
          <w:rFonts w:hint="eastAsia" w:ascii="宋体" w:hAnsi="宋体" w:eastAsia="宋体" w:cs="宋体"/>
          <w:color w:val="auto"/>
          <w:kern w:val="2"/>
          <w:sz w:val="24"/>
          <w:szCs w:val="24"/>
          <w:highlight w:val="none"/>
          <w:shd w:val="clear" w:color="auto" w:fill="auto"/>
          <w:lang w:val="en-US" w:eastAsia="zh-CN" w:bidi="ar-SA"/>
        </w:rPr>
        <w:t>附件6-4 具有依法缴纳税收和社会保障资金的良好记录（需提供投标截止日前六个月内任一个月的企业纳税证明和社保缴费记录证明）；</w:t>
      </w:r>
      <w:bookmarkEnd w:id="98"/>
    </w:p>
    <w:p>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 xml:space="preserve">说明： </w:t>
      </w:r>
    </w:p>
    <w:p>
      <w:pPr>
        <w:numPr>
          <w:ilvl w:val="0"/>
          <w:numId w:val="12"/>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lang w:val="en-US" w:eastAsia="zh-CN"/>
        </w:rPr>
        <w:t>供应商</w:t>
      </w:r>
      <w:r>
        <w:rPr>
          <w:rFonts w:hint="eastAsia" w:ascii="仿宋" w:hAnsi="仿宋" w:eastAsia="仿宋" w:cs="仿宋"/>
          <w:color w:val="auto"/>
          <w:szCs w:val="21"/>
          <w:highlight w:val="none"/>
          <w:shd w:val="clear" w:color="auto" w:fill="auto"/>
        </w:rPr>
        <w:t>应提供本单位近六个月任意一个月社会保障资金缴费凭证及企业纳税证明复印件</w:t>
      </w:r>
      <w:r>
        <w:rPr>
          <w:rFonts w:hint="eastAsia" w:ascii="仿宋" w:hAnsi="仿宋" w:eastAsia="仿宋" w:cs="仿宋"/>
          <w:color w:val="auto"/>
          <w:szCs w:val="21"/>
          <w:highlight w:val="none"/>
          <w:shd w:val="clear" w:color="auto" w:fill="auto"/>
          <w:lang w:eastAsia="zh-CN"/>
        </w:rPr>
        <w:t>。</w:t>
      </w:r>
    </w:p>
    <w:p>
      <w:pPr>
        <w:numPr>
          <w:ilvl w:val="0"/>
          <w:numId w:val="12"/>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lang w:eastAsia="zh-CN"/>
        </w:rPr>
        <w:t>无需纳税或免税的需提供相应证明材料。</w:t>
      </w:r>
    </w:p>
    <w:p>
      <w:pPr>
        <w:numPr>
          <w:ilvl w:val="0"/>
          <w:numId w:val="12"/>
        </w:num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复印件须加盖本单位公章。</w:t>
      </w:r>
    </w:p>
    <w:p>
      <w:pPr>
        <w:spacing w:line="360" w:lineRule="auto"/>
        <w:ind w:firstLine="420" w:firstLineChars="200"/>
        <w:rPr>
          <w:rFonts w:hint="eastAsia"/>
          <w:color w:val="auto"/>
          <w:highlight w:val="none"/>
          <w:shd w:val="clear" w:color="auto" w:fill="auto"/>
        </w:rPr>
      </w:pP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．评标委员会保留审核原件的权利。</w:t>
      </w:r>
    </w:p>
    <w:p>
      <w:pPr>
        <w:rPr>
          <w:rFonts w:hint="eastAsia" w:ascii="宋体" w:hAnsi="宋体" w:cs="宋体"/>
          <w:color w:val="auto"/>
          <w:highlight w:val="none"/>
          <w:shd w:val="clear" w:color="auto" w:fill="auto"/>
        </w:rPr>
      </w:pPr>
      <w:r>
        <w:rPr>
          <w:rFonts w:hint="eastAsia" w:ascii="宋体" w:hAnsi="宋体" w:cs="宋体"/>
          <w:color w:val="auto"/>
          <w:highlight w:val="none"/>
          <w:shd w:val="clear" w:color="auto" w:fill="auto"/>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99" w:name="_Toc4904"/>
      <w:r>
        <w:rPr>
          <w:rFonts w:hint="eastAsia" w:ascii="宋体" w:hAnsi="宋体" w:eastAsia="宋体" w:cs="宋体"/>
          <w:color w:val="auto"/>
          <w:kern w:val="2"/>
          <w:sz w:val="24"/>
          <w:szCs w:val="24"/>
          <w:highlight w:val="none"/>
          <w:shd w:val="clear" w:color="auto" w:fill="auto"/>
          <w:lang w:val="en-US" w:eastAsia="zh-CN" w:bidi="ar-SA"/>
        </w:rPr>
        <w:t>附件6-5近三年内在经营活动中没有重大违法记录的声明</w:t>
      </w:r>
      <w:bookmarkEnd w:id="99"/>
    </w:p>
    <w:p>
      <w:pPr>
        <w:rPr>
          <w:rFonts w:hint="eastAsia" w:ascii="宋体" w:hAnsi="宋体" w:cs="宋体"/>
          <w:color w:val="auto"/>
          <w:szCs w:val="24"/>
          <w:highlight w:val="none"/>
          <w:shd w:val="clear" w:color="auto" w:fill="auto"/>
        </w:rPr>
      </w:pPr>
    </w:p>
    <w:p>
      <w:pPr>
        <w:spacing w:line="360" w:lineRule="auto"/>
        <w:jc w:val="center"/>
        <w:rPr>
          <w:rFonts w:hint="eastAsia" w:ascii="宋体" w:hAnsi="宋体" w:cs="宋体"/>
          <w:color w:val="auto"/>
          <w:szCs w:val="24"/>
          <w:highlight w:val="none"/>
          <w:shd w:val="clear" w:color="auto" w:fill="auto"/>
        </w:rPr>
      </w:pPr>
      <w:r>
        <w:rPr>
          <w:rFonts w:hint="eastAsia" w:ascii="宋体" w:hAnsi="宋体" w:cs="宋体"/>
          <w:b/>
          <w:bCs/>
          <w:color w:val="auto"/>
          <w:szCs w:val="24"/>
          <w:highlight w:val="none"/>
          <w:shd w:val="clear" w:color="auto" w:fill="auto"/>
        </w:rPr>
        <w:t>近三年内在经营活动中没有重大违法记录的声明</w:t>
      </w:r>
    </w:p>
    <w:p>
      <w:pPr>
        <w:tabs>
          <w:tab w:val="left" w:pos="5580"/>
        </w:tabs>
        <w:spacing w:line="360" w:lineRule="auto"/>
        <w:rPr>
          <w:rFonts w:hint="eastAsia" w:ascii="宋体" w:hAnsi="宋体" w:cs="宋体"/>
          <w:color w:val="auto"/>
          <w:szCs w:val="24"/>
          <w:highlight w:val="none"/>
          <w:shd w:val="clear" w:color="auto" w:fill="auto"/>
        </w:rPr>
      </w:pPr>
    </w:p>
    <w:p>
      <w:pPr>
        <w:tabs>
          <w:tab w:val="left" w:pos="5580"/>
        </w:tabs>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致：</w:t>
      </w:r>
      <w:r>
        <w:rPr>
          <w:rFonts w:hint="eastAsia" w:ascii="宋体" w:hAnsi="宋体" w:cs="宋体"/>
          <w:color w:val="auto"/>
          <w:szCs w:val="24"/>
          <w:highlight w:val="none"/>
          <w:u w:val="single"/>
          <w:shd w:val="clear" w:color="auto" w:fill="auto"/>
        </w:rPr>
        <w:t xml:space="preserve">              (采购单位</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shd w:val="clear" w:color="auto" w:fill="auto"/>
        </w:rPr>
        <w:tab/>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我单位近三年内在经营活动中没有重大违法记录，暨没有因违法经营受到刑事处罚或者责令停产停业、吊销许可证或者执照、较大数额罚款等行政处罚，特此声明。</w:t>
      </w:r>
    </w:p>
    <w:p>
      <w:pPr>
        <w:spacing w:line="360" w:lineRule="auto"/>
        <w:ind w:firstLine="420" w:firstLineChars="200"/>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若采购单位在本项目采购过程中发现我单位近三年内在经营活动中有重大违法记录，我单位将无条件地退出本项目的磋商，并承担因此引起的一切后果。</w:t>
      </w:r>
    </w:p>
    <w:p>
      <w:pPr>
        <w:spacing w:line="360" w:lineRule="auto"/>
        <w:ind w:firstLine="420" w:firstLineChars="200"/>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spacing w:line="360" w:lineRule="auto"/>
        <w:rPr>
          <w:rFonts w:hint="eastAsia" w:ascii="宋体" w:hAnsi="宋体" w:cs="宋体"/>
          <w:color w:val="auto"/>
          <w:szCs w:val="24"/>
          <w:highlight w:val="none"/>
          <w:shd w:val="clear" w:color="auto" w:fill="auto"/>
        </w:rPr>
      </w:pPr>
    </w:p>
    <w:p>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法定代表人（电子签名）：</w:t>
      </w:r>
      <w:r>
        <w:rPr>
          <w:rFonts w:hint="eastAsia" w:ascii="宋体" w:hAnsi="宋体" w:cs="宋体"/>
          <w:color w:val="auto"/>
          <w:szCs w:val="24"/>
          <w:highlight w:val="none"/>
          <w:u w:val="single"/>
          <w:shd w:val="clear" w:color="auto" w:fill="auto"/>
          <w:lang w:val="en-US" w:eastAsia="zh-CN"/>
        </w:rPr>
        <w:t xml:space="preserve">             </w:t>
      </w:r>
    </w:p>
    <w:p>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供应商公章（电子签章）：</w:t>
      </w:r>
      <w:r>
        <w:rPr>
          <w:rFonts w:hint="eastAsia" w:ascii="宋体" w:hAnsi="宋体" w:cs="宋体"/>
          <w:color w:val="auto"/>
          <w:szCs w:val="24"/>
          <w:highlight w:val="none"/>
          <w:u w:val="single"/>
          <w:shd w:val="clear" w:color="auto" w:fill="auto"/>
          <w:lang w:val="en-US" w:eastAsia="zh-CN"/>
        </w:rPr>
        <w:t xml:space="preserve">              </w:t>
      </w:r>
    </w:p>
    <w:p>
      <w:pPr>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日期：_____年______月______日</w:t>
      </w:r>
    </w:p>
    <w:p>
      <w:pPr>
        <w:snapToGrid w:val="0"/>
        <w:spacing w:line="360" w:lineRule="auto"/>
        <w:ind w:right="18"/>
        <w:textAlignment w:val="baseline"/>
        <w:outlineLvl w:val="2"/>
        <w:rPr>
          <w:rFonts w:hint="eastAsia" w:ascii="宋体" w:hAnsi="宋体" w:cs="宋体"/>
          <w:color w:val="auto"/>
          <w:highlight w:val="none"/>
          <w:shd w:val="clear" w:color="auto" w:fill="auto"/>
        </w:rPr>
      </w:pPr>
      <w:r>
        <w:rPr>
          <w:rFonts w:hint="eastAsia" w:ascii="宋体" w:hAnsi="宋体" w:cs="宋体"/>
          <w:b/>
          <w:color w:val="auto"/>
          <w:szCs w:val="24"/>
          <w:highlight w:val="none"/>
          <w:u w:val="single"/>
          <w:shd w:val="clear" w:color="auto" w:fill="auto"/>
        </w:rPr>
        <w:br w:type="page"/>
      </w:r>
      <w:bookmarkEnd w:id="96"/>
      <w:bookmarkEnd w:id="97"/>
      <w:bookmarkStart w:id="100" w:name="_Toc20989"/>
      <w:bookmarkStart w:id="101" w:name="_Toc195842939"/>
      <w:r>
        <w:rPr>
          <w:rFonts w:hint="eastAsia" w:ascii="宋体" w:hAnsi="宋体" w:eastAsia="宋体" w:cs="宋体"/>
          <w:color w:val="auto"/>
          <w:kern w:val="2"/>
          <w:sz w:val="24"/>
          <w:szCs w:val="24"/>
          <w:highlight w:val="none"/>
          <w:shd w:val="clear" w:color="auto" w:fill="auto"/>
          <w:lang w:val="en-US" w:eastAsia="zh-CN" w:bidi="ar-SA"/>
        </w:rPr>
        <w:t>附件6-6具有履行合同所必需的设备及专业技术能力和供应保障能力（提供具有履行合同所必需的设备和专业技术能力相关证明材料或承诺书）</w:t>
      </w:r>
      <w:bookmarkEnd w:id="100"/>
    </w:p>
    <w:p>
      <w:pP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2" w:name="_Toc9409"/>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7</w:t>
      </w:r>
      <w:r>
        <w:rPr>
          <w:rFonts w:hint="eastAsia" w:ascii="宋体" w:hAnsi="宋体" w:eastAsia="宋体" w:cs="宋体"/>
          <w:color w:val="auto"/>
          <w:kern w:val="2"/>
          <w:sz w:val="24"/>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,同时对不良信用信息查询记录截图存档；(查询日期自招标公告发布之日后，提供网页打印件加盖公章)；</w:t>
      </w:r>
      <w:bookmarkEnd w:id="102"/>
    </w:p>
    <w:bookmarkEnd w:id="101"/>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3" w:name="_Toc12441"/>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8</w:t>
      </w:r>
      <w:r>
        <w:rPr>
          <w:rFonts w:hint="eastAsia" w:ascii="宋体" w:hAnsi="宋体" w:eastAsia="宋体" w:cs="宋体"/>
          <w:color w:val="auto"/>
          <w:kern w:val="2"/>
          <w:sz w:val="24"/>
          <w:szCs w:val="24"/>
          <w:highlight w:val="none"/>
          <w:shd w:val="clear" w:color="auto" w:fill="auto"/>
          <w:lang w:val="en-US" w:eastAsia="zh-CN" w:bidi="ar-SA"/>
        </w:rPr>
        <w:t>保证金缴纳</w:t>
      </w:r>
      <w:r>
        <w:rPr>
          <w:rFonts w:hint="eastAsia" w:ascii="宋体" w:hAnsi="宋体" w:cs="宋体"/>
          <w:color w:val="auto"/>
          <w:kern w:val="2"/>
          <w:sz w:val="24"/>
          <w:szCs w:val="24"/>
          <w:highlight w:val="none"/>
          <w:shd w:val="clear" w:color="auto" w:fill="auto"/>
          <w:lang w:val="en-US" w:eastAsia="zh-CN" w:bidi="ar-SA"/>
        </w:rPr>
        <w:t>缴纳凭证</w:t>
      </w:r>
      <w:r>
        <w:rPr>
          <w:rFonts w:hint="eastAsia" w:ascii="宋体" w:hAnsi="宋体" w:eastAsia="宋体" w:cs="宋体"/>
          <w:color w:val="auto"/>
          <w:kern w:val="2"/>
          <w:sz w:val="24"/>
          <w:szCs w:val="24"/>
          <w:highlight w:val="none"/>
          <w:shd w:val="clear" w:color="auto" w:fill="auto"/>
          <w:lang w:val="en-US" w:eastAsia="zh-CN" w:bidi="ar-SA"/>
        </w:rPr>
        <w:t>（须加盖本单位公章）</w:t>
      </w:r>
      <w:bookmarkEnd w:id="103"/>
    </w:p>
    <w:p>
      <w:pPr>
        <w:pStyle w:val="26"/>
        <w:spacing w:before="120" w:beforeLines="50" w:after="120" w:afterLines="50" w:line="360" w:lineRule="auto"/>
        <w:rPr>
          <w:rFonts w:hint="eastAsia" w:ascii="宋体" w:hAnsi="宋体" w:eastAsia="宋体" w:cs="宋体"/>
          <w:b w:val="0"/>
          <w:bCs w:val="0"/>
          <w:color w:val="auto"/>
          <w:kern w:val="2"/>
          <w:sz w:val="24"/>
          <w:szCs w:val="24"/>
          <w:highlight w:val="none"/>
          <w:shd w:val="clear" w:color="auto" w:fill="auto"/>
          <w:lang w:val="en-US" w:eastAsia="zh-CN" w:bidi="ar-SA"/>
        </w:rPr>
      </w:pPr>
      <w:bookmarkStart w:id="104" w:name="_Toc32200"/>
      <w:bookmarkStart w:id="105" w:name="_Toc32056"/>
      <w:bookmarkStart w:id="106" w:name="_Toc10963"/>
      <w:r>
        <w:rPr>
          <w:rFonts w:hint="eastAsia" w:ascii="宋体" w:hAnsi="宋体" w:eastAsia="宋体" w:cs="宋体"/>
          <w:b w:val="0"/>
          <w:bCs w:val="0"/>
          <w:color w:val="auto"/>
          <w:kern w:val="2"/>
          <w:sz w:val="24"/>
          <w:szCs w:val="24"/>
          <w:highlight w:val="none"/>
          <w:shd w:val="clear" w:color="auto" w:fill="auto"/>
          <w:lang w:val="en-US" w:eastAsia="zh-CN" w:bidi="ar-SA"/>
        </w:rPr>
        <w:t>附件6-9单位负责人为同一人或者存在直接控股、管理关系的不同供应商，不得参加同一合同项下的政府采购活动</w:t>
      </w:r>
      <w:bookmarkEnd w:id="104"/>
      <w:bookmarkEnd w:id="105"/>
      <w:bookmarkEnd w:id="106"/>
      <w:r>
        <w:rPr>
          <w:rFonts w:hint="eastAsia" w:ascii="宋体" w:hAnsi="宋体" w:eastAsia="宋体" w:cs="宋体"/>
          <w:b w:val="0"/>
          <w:bCs w:val="0"/>
          <w:color w:val="auto"/>
          <w:kern w:val="2"/>
          <w:sz w:val="24"/>
          <w:szCs w:val="24"/>
          <w:highlight w:val="none"/>
          <w:shd w:val="clear" w:color="auto" w:fill="auto"/>
          <w:lang w:val="en-US" w:eastAsia="zh-CN" w:bidi="ar-SA"/>
        </w:rPr>
        <w:t xml:space="preserve"> </w:t>
      </w:r>
    </w:p>
    <w:p>
      <w:pPr>
        <w:pStyle w:val="26"/>
        <w:spacing w:before="120" w:beforeLines="50" w:after="120" w:afterLines="50" w:line="360" w:lineRule="auto"/>
        <w:jc w:val="both"/>
        <w:outlineLvl w:val="9"/>
        <w:rPr>
          <w:rFonts w:hint="eastAsia" w:ascii="宋体" w:hAnsi="宋体" w:cs="宋体"/>
          <w:b w:val="0"/>
          <w:bCs w:val="0"/>
          <w:color w:val="auto"/>
          <w:sz w:val="24"/>
          <w:szCs w:val="24"/>
          <w:highlight w:val="none"/>
        </w:rPr>
      </w:pPr>
      <w:bookmarkStart w:id="107" w:name="_Toc16255"/>
      <w:bookmarkStart w:id="108" w:name="_Toc7258"/>
      <w:bookmarkStart w:id="109" w:name="_Toc12085"/>
      <w:bookmarkStart w:id="110" w:name="_Toc5488"/>
      <w:bookmarkStart w:id="111" w:name="_Toc22547"/>
      <w:bookmarkStart w:id="112" w:name="_Toc9297"/>
      <w:r>
        <w:rPr>
          <w:rFonts w:hint="eastAsia" w:ascii="宋体" w:hAnsi="宋体" w:cs="宋体"/>
          <w:b w:val="0"/>
          <w:bCs w:val="0"/>
          <w:color w:val="auto"/>
          <w:sz w:val="24"/>
          <w:szCs w:val="24"/>
          <w:highlight w:val="none"/>
        </w:rPr>
        <w:t>致：</w:t>
      </w:r>
      <w:bookmarkEnd w:id="107"/>
      <w:bookmarkEnd w:id="108"/>
      <w:bookmarkEnd w:id="109"/>
      <w:bookmarkEnd w:id="110"/>
      <w:bookmarkEnd w:id="111"/>
      <w:r>
        <w:rPr>
          <w:rFonts w:hint="eastAsia" w:ascii="宋体" w:hAnsi="宋体" w:cs="宋体"/>
          <w:b w:val="0"/>
          <w:bCs w:val="0"/>
          <w:color w:val="auto"/>
          <w:sz w:val="24"/>
          <w:szCs w:val="24"/>
          <w:highlight w:val="none"/>
        </w:rPr>
        <w:t>乌鲁木齐市公安局天山区分局</w:t>
      </w:r>
      <w:bookmarkEnd w:id="112"/>
    </w:p>
    <w:p>
      <w:pPr>
        <w:pStyle w:val="26"/>
        <w:spacing w:before="120" w:beforeLines="50" w:after="120" w:afterLines="50" w:line="360" w:lineRule="auto"/>
        <w:ind w:firstLine="480" w:firstLineChars="200"/>
        <w:jc w:val="both"/>
        <w:outlineLvl w:val="9"/>
        <w:rPr>
          <w:rFonts w:hint="eastAsia" w:ascii="宋体" w:hAnsi="宋体" w:cs="宋体"/>
          <w:b w:val="0"/>
          <w:bCs w:val="0"/>
          <w:color w:val="auto"/>
          <w:sz w:val="24"/>
          <w:szCs w:val="24"/>
          <w:highlight w:val="none"/>
        </w:rPr>
      </w:pPr>
      <w:bookmarkStart w:id="113" w:name="_Toc15858"/>
      <w:bookmarkStart w:id="114" w:name="_Toc545"/>
      <w:bookmarkStart w:id="115" w:name="_Toc23252"/>
      <w:bookmarkStart w:id="116" w:name="_Toc28611"/>
      <w:bookmarkStart w:id="117" w:name="_Toc10304"/>
      <w:bookmarkStart w:id="118" w:name="_Toc31494"/>
      <w:r>
        <w:rPr>
          <w:rFonts w:hint="eastAsia" w:ascii="宋体" w:hAnsi="宋体" w:cs="宋体"/>
          <w:b w:val="0"/>
          <w:bCs w:val="0"/>
          <w:color w:val="auto"/>
          <w:sz w:val="24"/>
          <w:szCs w:val="24"/>
          <w:highlight w:val="none"/>
        </w:rPr>
        <w:t>根据《中华人民共和国政府采购法实施条例》中“第十八条 单位负责人为同一人或者存在直接控股、管理关系的不同供应商，不得参加同一合同项下的政府采购活动。”</w:t>
      </w:r>
      <w:bookmarkEnd w:id="113"/>
      <w:bookmarkEnd w:id="114"/>
      <w:bookmarkEnd w:id="115"/>
      <w:bookmarkEnd w:id="116"/>
      <w:bookmarkEnd w:id="117"/>
      <w:bookmarkEnd w:id="118"/>
    </w:p>
    <w:p>
      <w:pPr>
        <w:pStyle w:val="26"/>
        <w:spacing w:before="120" w:beforeLines="50" w:after="120" w:afterLines="50" w:line="360" w:lineRule="auto"/>
        <w:ind w:firstLine="240" w:firstLineChars="100"/>
        <w:jc w:val="both"/>
        <w:outlineLvl w:val="9"/>
        <w:rPr>
          <w:rFonts w:hint="eastAsia" w:ascii="宋体" w:hAnsi="宋体" w:cs="宋体"/>
          <w:b w:val="0"/>
          <w:bCs w:val="0"/>
          <w:color w:val="auto"/>
          <w:sz w:val="24"/>
          <w:szCs w:val="24"/>
          <w:highlight w:val="none"/>
        </w:rPr>
      </w:pPr>
      <w:bookmarkStart w:id="119" w:name="_Toc11773"/>
      <w:bookmarkStart w:id="120" w:name="_Toc20849"/>
      <w:bookmarkStart w:id="121" w:name="_Toc31306"/>
      <w:bookmarkStart w:id="122" w:name="_Toc13630"/>
      <w:bookmarkStart w:id="123" w:name="_Toc12836"/>
      <w:bookmarkStart w:id="124" w:name="_Toc22651"/>
      <w:r>
        <w:rPr>
          <w:rFonts w:hint="eastAsia" w:ascii="宋体" w:hAnsi="宋体" w:cs="宋体"/>
          <w:b w:val="0"/>
          <w:bCs w:val="0"/>
          <w:color w:val="auto"/>
          <w:sz w:val="24"/>
          <w:szCs w:val="24"/>
          <w:highlight w:val="none"/>
        </w:rPr>
        <w:t> 我公司声明在参与本项目中不存在上述情况，如本声明与实际情况不符，由此产生的一切法律后果，均自行承担。</w:t>
      </w:r>
      <w:bookmarkEnd w:id="119"/>
      <w:bookmarkEnd w:id="120"/>
      <w:bookmarkEnd w:id="121"/>
      <w:bookmarkEnd w:id="122"/>
      <w:bookmarkEnd w:id="123"/>
      <w:bookmarkEnd w:id="124"/>
    </w:p>
    <w:p>
      <w:pPr>
        <w:pStyle w:val="26"/>
        <w:spacing w:before="120" w:beforeLines="50" w:after="120" w:afterLines="50" w:line="360" w:lineRule="auto"/>
        <w:jc w:val="both"/>
        <w:outlineLvl w:val="9"/>
        <w:rPr>
          <w:rFonts w:hint="eastAsia" w:ascii="宋体" w:hAnsi="宋体" w:cs="宋体"/>
          <w:b w:val="0"/>
          <w:bCs w:val="0"/>
          <w:color w:val="auto"/>
          <w:sz w:val="24"/>
          <w:szCs w:val="24"/>
          <w:highlight w:val="none"/>
        </w:rPr>
      </w:pPr>
      <w:bookmarkStart w:id="125" w:name="_Toc12270"/>
      <w:bookmarkStart w:id="126" w:name="_Toc16294"/>
      <w:bookmarkStart w:id="127" w:name="_Toc17126"/>
      <w:bookmarkStart w:id="128" w:name="_Toc19329"/>
      <w:bookmarkStart w:id="129" w:name="_Toc3675"/>
      <w:bookmarkStart w:id="130" w:name="_Toc28405"/>
      <w:r>
        <w:rPr>
          <w:rFonts w:hint="eastAsia" w:ascii="宋体" w:hAnsi="宋体" w:cs="宋体"/>
          <w:b w:val="0"/>
          <w:bCs w:val="0"/>
          <w:color w:val="auto"/>
          <w:sz w:val="24"/>
          <w:szCs w:val="24"/>
          <w:highlight w:val="none"/>
        </w:rPr>
        <w:t> </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特此声明。</w:t>
      </w:r>
      <w:bookmarkEnd w:id="125"/>
      <w:bookmarkEnd w:id="126"/>
      <w:bookmarkEnd w:id="127"/>
      <w:bookmarkEnd w:id="128"/>
      <w:bookmarkEnd w:id="129"/>
      <w:bookmarkEnd w:id="130"/>
    </w:p>
    <w:p>
      <w:pPr>
        <w:pStyle w:val="26"/>
        <w:spacing w:before="120" w:beforeLines="50" w:after="120" w:afterLines="50" w:line="360" w:lineRule="auto"/>
        <w:jc w:val="left"/>
        <w:outlineLvl w:val="9"/>
        <w:rPr>
          <w:rFonts w:hint="eastAsia" w:ascii="宋体" w:hAnsi="宋体" w:eastAsia="宋体" w:cs="宋体"/>
          <w:b w:val="0"/>
          <w:bCs w:val="0"/>
          <w:color w:val="auto"/>
          <w:sz w:val="24"/>
          <w:szCs w:val="24"/>
          <w:highlight w:val="none"/>
        </w:rPr>
      </w:pPr>
      <w:bookmarkStart w:id="131" w:name="_Toc20735"/>
      <w:bookmarkStart w:id="132" w:name="_Toc17816"/>
      <w:bookmarkStart w:id="133" w:name="_Toc17673"/>
      <w:bookmarkStart w:id="134" w:name="_Toc28063"/>
      <w:bookmarkStart w:id="135" w:name="_Toc15466"/>
    </w:p>
    <w:p>
      <w:pPr>
        <w:pStyle w:val="26"/>
        <w:spacing w:before="120" w:beforeLines="50" w:after="120" w:afterLines="50" w:line="360" w:lineRule="auto"/>
        <w:jc w:val="left"/>
        <w:outlineLvl w:val="9"/>
        <w:rPr>
          <w:rFonts w:hint="default" w:ascii="宋体" w:hAnsi="宋体" w:eastAsia="宋体" w:cs="宋体"/>
          <w:b w:val="0"/>
          <w:bCs w:val="0"/>
          <w:color w:val="auto"/>
          <w:sz w:val="24"/>
          <w:szCs w:val="24"/>
          <w:highlight w:val="none"/>
          <w:u w:val="single"/>
          <w:lang w:val="en-US" w:eastAsia="zh-CN"/>
        </w:rPr>
      </w:pPr>
      <w:bookmarkStart w:id="136" w:name="_Toc8005"/>
      <w:r>
        <w:rPr>
          <w:rFonts w:hint="eastAsia" w:ascii="宋体" w:hAnsi="宋体" w:eastAsia="宋体" w:cs="宋体"/>
          <w:b w:val="0"/>
          <w:bCs w:val="0"/>
          <w:color w:val="auto"/>
          <w:sz w:val="24"/>
          <w:szCs w:val="24"/>
          <w:highlight w:val="none"/>
          <w:lang w:val="en-US" w:eastAsia="zh-CN"/>
        </w:rPr>
        <w:t>法定代表人（</w:t>
      </w:r>
      <w:r>
        <w:rPr>
          <w:rFonts w:hint="eastAsia" w:ascii="宋体" w:hAnsi="宋体" w:eastAsia="宋体" w:cs="宋体"/>
          <w:b w:val="0"/>
          <w:bCs w:val="0"/>
          <w:color w:val="auto"/>
          <w:sz w:val="24"/>
          <w:szCs w:val="24"/>
          <w:highlight w:val="none"/>
        </w:rPr>
        <w:t>电子签</w:t>
      </w:r>
      <w:r>
        <w:rPr>
          <w:rFonts w:hint="eastAsia" w:ascii="宋体" w:hAnsi="宋体" w:eastAsia="宋体" w:cs="宋体"/>
          <w:b w:val="0"/>
          <w:bCs w:val="0"/>
          <w:color w:val="auto"/>
          <w:sz w:val="24"/>
          <w:szCs w:val="24"/>
          <w:highlight w:val="none"/>
          <w:lang w:val="en-US" w:eastAsia="zh-CN"/>
        </w:rPr>
        <w:t>名</w:t>
      </w:r>
      <w:r>
        <w:rPr>
          <w:rFonts w:hint="eastAsia" w:ascii="宋体" w:hAnsi="宋体" w:eastAsia="宋体" w:cs="宋体"/>
          <w:b w:val="0"/>
          <w:bCs w:val="0"/>
          <w:color w:val="auto"/>
          <w:sz w:val="24"/>
          <w:szCs w:val="24"/>
          <w:highlight w:val="none"/>
        </w:rPr>
        <w:t>）：</w:t>
      </w:r>
      <w:bookmarkEnd w:id="131"/>
      <w:bookmarkEnd w:id="132"/>
      <w:bookmarkEnd w:id="133"/>
      <w:bookmarkEnd w:id="134"/>
      <w:bookmarkEnd w:id="135"/>
      <w:bookmarkEnd w:id="136"/>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pPr>
        <w:pStyle w:val="26"/>
        <w:spacing w:before="120" w:beforeLines="50" w:after="120" w:afterLines="50" w:line="360" w:lineRule="auto"/>
        <w:jc w:val="left"/>
        <w:outlineLvl w:val="9"/>
        <w:rPr>
          <w:rFonts w:hint="default" w:ascii="宋体" w:hAnsi="宋体" w:eastAsia="宋体" w:cs="宋体"/>
          <w:b w:val="0"/>
          <w:bCs w:val="0"/>
          <w:color w:val="auto"/>
          <w:sz w:val="24"/>
          <w:szCs w:val="24"/>
          <w:highlight w:val="none"/>
          <w:u w:val="single"/>
          <w:lang w:val="en-US" w:eastAsia="zh-CN"/>
        </w:rPr>
      </w:pPr>
      <w:bookmarkStart w:id="137" w:name="_Toc28783"/>
      <w:bookmarkStart w:id="138" w:name="_Toc32041"/>
      <w:bookmarkStart w:id="139" w:name="_Toc19812"/>
      <w:bookmarkStart w:id="140" w:name="_Toc6498"/>
      <w:bookmarkStart w:id="141" w:name="_Toc18690"/>
      <w:bookmarkStart w:id="142" w:name="_Toc26744"/>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公章（电子签章）：</w:t>
      </w:r>
      <w:bookmarkEnd w:id="137"/>
      <w:bookmarkEnd w:id="138"/>
      <w:bookmarkEnd w:id="139"/>
      <w:bookmarkEnd w:id="140"/>
      <w:bookmarkEnd w:id="141"/>
      <w:bookmarkEnd w:id="142"/>
      <w:r>
        <w:rPr>
          <w:rFonts w:hint="eastAsia" w:ascii="宋体" w:hAnsi="宋体" w:eastAsia="宋体" w:cs="宋体"/>
          <w:b w:val="0"/>
          <w:bCs w:val="0"/>
          <w:color w:val="auto"/>
          <w:sz w:val="24"/>
          <w:szCs w:val="24"/>
          <w:highlight w:val="none"/>
          <w:u w:val="single"/>
          <w:lang w:val="en-US" w:eastAsia="zh-CN"/>
        </w:rPr>
        <w:t xml:space="preserve">               </w:t>
      </w:r>
    </w:p>
    <w:p>
      <w:pPr>
        <w:tabs>
          <w:tab w:val="left" w:pos="5580"/>
        </w:tabs>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pPr>
        <w:pStyle w:val="2"/>
        <w:ind w:left="0" w:leftChars="0" w:firstLine="0" w:firstLineChars="0"/>
        <w:rPr>
          <w:rFonts w:hint="eastAsia"/>
          <w:color w:val="auto"/>
          <w:sz w:val="24"/>
          <w:szCs w:val="24"/>
          <w:highlight w:val="none"/>
          <w:lang w:val="en-US" w:eastAsia="zh-CN"/>
        </w:rPr>
      </w:pPr>
    </w:p>
    <w:p>
      <w:pPr>
        <w:rPr>
          <w:rFonts w:hint="eastAsia" w:ascii="宋体" w:hAnsi="宋体" w:eastAsia="宋体" w:cs="宋体"/>
          <w:color w:val="auto"/>
          <w:highlight w:val="none"/>
          <w:shd w:val="clear" w:color="auto" w:fill="auto"/>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rPr>
          <w:rFonts w:hint="eastAsia" w:ascii="宋体" w:hAnsi="宋体" w:eastAsia="宋体" w:cs="宋体"/>
          <w:color w:val="auto"/>
          <w:kern w:val="2"/>
          <w:sz w:val="24"/>
          <w:szCs w:val="24"/>
          <w:highlight w:val="none"/>
          <w:shd w:val="clear" w:color="auto" w:fill="auto"/>
          <w:lang w:val="en-US" w:eastAsia="zh-CN" w:bidi="ar-SA"/>
        </w:rPr>
      </w:pPr>
      <w:bookmarkStart w:id="143" w:name="_Toc28545"/>
      <w:r>
        <w:rPr>
          <w:rFonts w:hint="eastAsia" w:ascii="宋体" w:hAnsi="宋体" w:eastAsia="宋体" w:cs="宋体"/>
          <w:color w:val="auto"/>
          <w:kern w:val="2"/>
          <w:sz w:val="24"/>
          <w:szCs w:val="24"/>
          <w:highlight w:val="none"/>
          <w:shd w:val="clear" w:color="auto" w:fill="auto"/>
          <w:lang w:val="en-US" w:eastAsia="zh-CN" w:bidi="ar-SA"/>
        </w:rPr>
        <w:br w:type="page"/>
      </w:r>
    </w:p>
    <w:p>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附件6-</w:t>
      </w:r>
      <w:r>
        <w:rPr>
          <w:rFonts w:hint="eastAsia" w:ascii="宋体" w:hAnsi="宋体" w:cs="宋体"/>
          <w:color w:val="auto"/>
          <w:kern w:val="2"/>
          <w:sz w:val="24"/>
          <w:szCs w:val="24"/>
          <w:highlight w:val="none"/>
          <w:shd w:val="clear" w:color="auto" w:fill="auto"/>
          <w:lang w:val="en-US" w:eastAsia="zh-CN" w:bidi="ar-SA"/>
        </w:rPr>
        <w:t>10</w:t>
      </w:r>
      <w:r>
        <w:rPr>
          <w:rFonts w:hint="eastAsia" w:ascii="宋体" w:hAnsi="宋体" w:eastAsia="宋体" w:cs="宋体"/>
          <w:color w:val="auto"/>
          <w:kern w:val="2"/>
          <w:sz w:val="24"/>
          <w:szCs w:val="24"/>
          <w:highlight w:val="none"/>
          <w:shd w:val="clear" w:color="auto" w:fill="auto"/>
          <w:lang w:val="en-US" w:eastAsia="zh-CN" w:bidi="ar-SA"/>
        </w:rPr>
        <w:t>中小微企业、残疾人福利性单位及监狱企业的证明文件：</w:t>
      </w:r>
      <w:bookmarkEnd w:id="143"/>
    </w:p>
    <w:p>
      <w:pPr>
        <w:spacing w:line="360" w:lineRule="auto"/>
        <w:jc w:val="center"/>
        <w:rPr>
          <w:rFonts w:hint="eastAsia" w:ascii="宋体" w:hAnsi="宋体" w:eastAsia="宋体" w:cs="宋体"/>
          <w:b/>
          <w:bCs/>
          <w:color w:val="auto"/>
          <w:szCs w:val="24"/>
          <w:highlight w:val="none"/>
          <w:shd w:val="clear" w:color="auto" w:fill="auto"/>
          <w:lang w:val="en-US" w:eastAsia="zh-CN"/>
        </w:rPr>
      </w:pPr>
    </w:p>
    <w:p>
      <w:pPr>
        <w:spacing w:line="360" w:lineRule="auto"/>
        <w:jc w:val="center"/>
        <w:rPr>
          <w:rFonts w:hint="eastAsia" w:ascii="宋体" w:hAnsi="宋体" w:eastAsia="宋体" w:cs="宋体"/>
          <w:b/>
          <w:bCs/>
          <w:color w:val="auto"/>
          <w:szCs w:val="24"/>
          <w:highlight w:val="none"/>
          <w:shd w:val="clear" w:color="auto" w:fill="auto"/>
        </w:rPr>
      </w:pPr>
      <w:r>
        <w:rPr>
          <w:rFonts w:hint="eastAsia" w:ascii="宋体" w:hAnsi="宋体" w:eastAsia="宋体" w:cs="宋体"/>
          <w:b/>
          <w:bCs/>
          <w:color w:val="auto"/>
          <w:szCs w:val="24"/>
          <w:highlight w:val="none"/>
          <w:shd w:val="clear" w:color="auto" w:fill="auto"/>
          <w:lang w:val="en-US" w:eastAsia="zh-CN"/>
        </w:rPr>
        <w:t>（1）中小微企业声明函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致：（采购人名称）</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4"/>
          <w:szCs w:val="24"/>
          <w:highlight w:val="none"/>
          <w:u w:val="single"/>
          <w:lang w:val="en-US" w:eastAsia="zh-CN"/>
        </w:rPr>
        <w:t>（联合体）</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val="en-US" w:eastAsia="zh-CN"/>
        </w:rPr>
        <w:t>（单位名称）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en-US" w:eastAsia="zh-CN"/>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 xml:space="preserve"> (标的名称）</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行业；制造商为（企业名称），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万元， 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(标的名称），属于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万元，属于（中型企业、小型企业、微型企业）；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以上企业，不属于大企业的分支机构，不存在控股股东为大企业的情形，也不存在与大企业的负责人为同一人的情形。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pPr>
        <w:pStyle w:val="26"/>
        <w:spacing w:before="120" w:beforeLines="50" w:after="120" w:afterLines="50" w:line="360" w:lineRule="auto"/>
        <w:jc w:val="center"/>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bookmarkStart w:id="144" w:name="_Toc21193"/>
      <w:r>
        <w:rPr>
          <w:rFonts w:hint="eastAsia" w:ascii="宋体" w:hAnsi="宋体" w:eastAsia="宋体" w:cs="宋体"/>
          <w:b w:val="0"/>
          <w:bCs w:val="0"/>
          <w:color w:val="auto"/>
          <w:sz w:val="24"/>
          <w:szCs w:val="24"/>
          <w:highlight w:val="none"/>
          <w:lang w:val="en-US" w:eastAsia="zh-CN"/>
        </w:rPr>
        <w:t>法定代表人（电子签名）：</w:t>
      </w:r>
      <w:bookmarkEnd w:id="144"/>
      <w:r>
        <w:rPr>
          <w:rFonts w:hint="eastAsia" w:ascii="宋体" w:hAnsi="宋体" w:eastAsia="宋体" w:cs="宋体"/>
          <w:b w:val="0"/>
          <w:bCs w:val="0"/>
          <w:color w:val="auto"/>
          <w:sz w:val="24"/>
          <w:szCs w:val="24"/>
          <w:highlight w:val="none"/>
          <w:lang w:val="en-US" w:eastAsia="zh-CN"/>
        </w:rPr>
        <w:t xml:space="preserve">             </w:t>
      </w:r>
    </w:p>
    <w:p>
      <w:pPr>
        <w:pStyle w:val="26"/>
        <w:spacing w:before="120" w:beforeLines="50" w:after="120" w:afterLines="50" w:line="360" w:lineRule="auto"/>
        <w:jc w:val="center"/>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bookmarkStart w:id="145" w:name="_Toc7909"/>
      <w:r>
        <w:rPr>
          <w:rFonts w:hint="eastAsia" w:ascii="宋体" w:hAnsi="宋体" w:eastAsia="宋体" w:cs="宋体"/>
          <w:b w:val="0"/>
          <w:bCs w:val="0"/>
          <w:color w:val="auto"/>
          <w:sz w:val="24"/>
          <w:szCs w:val="24"/>
          <w:highlight w:val="none"/>
          <w:lang w:val="en-US" w:eastAsia="zh-CN"/>
        </w:rPr>
        <w:t>供应商公章（电子签章）：</w:t>
      </w:r>
      <w:bookmarkEnd w:id="145"/>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000" w:firstLineChars="2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pPr>
        <w:spacing w:line="360" w:lineRule="auto"/>
        <w:rPr>
          <w:rFonts w:hint="eastAsia" w:ascii="宋体" w:hAnsi="宋体" w:eastAsia="宋体" w:cs="宋体"/>
          <w:b/>
          <w:bCs/>
          <w:color w:val="auto"/>
          <w:sz w:val="24"/>
          <w:szCs w:val="24"/>
          <w:highlight w:val="none"/>
          <w:lang w:val="en-US" w:eastAsia="zh-CN"/>
        </w:rPr>
      </w:pPr>
    </w:p>
    <w:p>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说明： </w:t>
      </w:r>
    </w:p>
    <w:p>
      <w:pPr>
        <w:spacing w:line="240" w:lineRule="auto"/>
        <w:rPr>
          <w:rFonts w:hint="eastAsia"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如所有货物均为中小微企业制造的，须提供《声明函》，声明函内容不实的，属于提供虚假材料谋取中标、成交，依照《中华人民共和国政府采购法》等国家有关规定追究相应责任。 </w:t>
      </w:r>
    </w:p>
    <w:p>
      <w:pPr>
        <w:spacing w:line="240" w:lineRule="auto"/>
        <w:rPr>
          <w:rFonts w:hint="eastAsia"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从业人员、营业收入、资产总额填报上一年度数据， 无上一年度数据的新成立企业可不填报。</w:t>
      </w:r>
    </w:p>
    <w:p>
      <w:pPr>
        <w:spacing w:line="360" w:lineRule="auto"/>
        <w:rPr>
          <w:rFonts w:hint="eastAsia" w:ascii="宋体" w:hAnsi="宋体" w:eastAsia="宋体" w:cs="宋体"/>
          <w:b/>
          <w:bCs/>
          <w:color w:val="auto"/>
          <w:sz w:val="22"/>
          <w:szCs w:val="18"/>
          <w:highlight w:val="none"/>
          <w:shd w:val="clear" w:color="auto" w:fill="auto"/>
        </w:rPr>
      </w:pPr>
      <w:r>
        <w:rPr>
          <w:rFonts w:hint="eastAsia" w:ascii="宋体" w:hAnsi="宋体" w:cs="宋体"/>
          <w:color w:val="auto"/>
          <w:sz w:val="21"/>
          <w:szCs w:val="21"/>
          <w:highlight w:val="none"/>
        </w:rPr>
        <w:br w:type="page"/>
      </w:r>
    </w:p>
    <w:p>
      <w:pPr>
        <w:rPr>
          <w:rFonts w:hint="eastAsia" w:ascii="宋体" w:hAnsi="宋体" w:eastAsia="宋体" w:cs="宋体"/>
          <w:color w:val="auto"/>
          <w:highlight w:val="none"/>
          <w:shd w:val="clear" w:color="auto" w:fill="auto"/>
        </w:rPr>
      </w:pPr>
      <w:r>
        <w:rPr>
          <w:rFonts w:hint="eastAsia" w:ascii="宋体" w:hAnsi="宋体" w:eastAsia="宋体" w:cs="宋体"/>
          <w:b/>
          <w:bCs/>
          <w:color w:val="auto"/>
          <w:highlight w:val="none"/>
          <w:shd w:val="clear" w:color="auto" w:fill="auto"/>
          <w:lang w:val="en-US" w:eastAsia="zh-CN"/>
        </w:rPr>
        <w:t>（2）残疾人福利性单位声明函（如有）</w:t>
      </w:r>
    </w:p>
    <w:p>
      <w:pPr>
        <w:tabs>
          <w:tab w:val="left" w:pos="851"/>
        </w:tabs>
        <w:spacing w:before="312" w:beforeLines="100" w:after="156" w:afterLines="50" w:line="360" w:lineRule="auto"/>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本单位郑重声明，根据《财政部民政部中国残疾人联合会关于促进残疾人就业政府采购政策的通知》（财库〔</w:t>
      </w:r>
      <w:r>
        <w:rPr>
          <w:rFonts w:hint="default" w:ascii="宋体" w:hAnsi="宋体" w:eastAsia="宋体" w:cs="宋体"/>
          <w:color w:val="auto"/>
          <w:sz w:val="21"/>
          <w:szCs w:val="21"/>
          <w:highlight w:val="none"/>
          <w:shd w:val="clear" w:color="auto" w:fill="auto"/>
          <w:lang w:val="en-US" w:eastAsia="zh-CN"/>
        </w:rPr>
        <w:t>2017</w:t>
      </w:r>
      <w:r>
        <w:rPr>
          <w:rFonts w:hint="eastAsia" w:ascii="宋体" w:hAnsi="宋体" w:eastAsia="宋体" w:cs="宋体"/>
          <w:color w:val="auto"/>
          <w:sz w:val="21"/>
          <w:szCs w:val="21"/>
          <w:highlight w:val="none"/>
          <w:shd w:val="clear" w:color="auto" w:fill="auto"/>
          <w:lang w:val="en-US" w:eastAsia="zh-CN"/>
        </w:rPr>
        <w:t xml:space="preserve">〕 </w:t>
      </w:r>
      <w:r>
        <w:rPr>
          <w:rFonts w:hint="default" w:ascii="宋体" w:hAnsi="宋体" w:eastAsia="宋体" w:cs="宋体"/>
          <w:color w:val="auto"/>
          <w:sz w:val="21"/>
          <w:szCs w:val="21"/>
          <w:highlight w:val="none"/>
          <w:shd w:val="clear" w:color="auto" w:fill="auto"/>
          <w:lang w:val="en-US" w:eastAsia="zh-CN"/>
        </w:rPr>
        <w:t xml:space="preserve">141 </w:t>
      </w:r>
      <w:r>
        <w:rPr>
          <w:rFonts w:hint="eastAsia" w:ascii="宋体" w:hAnsi="宋体" w:eastAsia="宋体" w:cs="宋体"/>
          <w:color w:val="auto"/>
          <w:sz w:val="21"/>
          <w:szCs w:val="21"/>
          <w:highlight w:val="none"/>
          <w:shd w:val="clear" w:color="auto" w:fill="auto"/>
          <w:lang w:val="en-US" w:eastAsia="zh-CN"/>
        </w:rPr>
        <w:t>号）的规定，本单位为符合条件的残疾人福利性单位，且本单位参加（采购人）单位的</w:t>
      </w:r>
      <w:r>
        <w:rPr>
          <w:rFonts w:hint="default" w:ascii="宋体" w:hAnsi="宋体" w:eastAsia="宋体" w:cs="宋体"/>
          <w:color w:val="auto"/>
          <w:sz w:val="21"/>
          <w:szCs w:val="21"/>
          <w:highlight w:val="none"/>
          <w:shd w:val="clear" w:color="auto" w:fill="auto"/>
          <w:lang w:val="en-US" w:eastAsia="zh-CN"/>
        </w:rPr>
        <w:t>______</w:t>
      </w:r>
      <w:r>
        <w:rPr>
          <w:rFonts w:hint="eastAsia" w:ascii="宋体" w:hAnsi="宋体" w:eastAsia="宋体" w:cs="宋体"/>
          <w:color w:val="auto"/>
          <w:sz w:val="21"/>
          <w:szCs w:val="21"/>
          <w:highlight w:val="none"/>
          <w:shd w:val="clear" w:color="auto" w:fill="auto"/>
          <w:lang w:val="en-US" w:eastAsia="zh-CN"/>
        </w:rPr>
        <w:t>项目采购活动提供本单位制造的货物（由本单位承担工程</w:t>
      </w:r>
      <w:r>
        <w:rPr>
          <w:rFonts w:hint="default"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 xml:space="preserve">提供服务），或者提供其他残疾人福利性单位制造的货物 （不包括使用非残疾人福利性单位注册商标的货物）。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本单位对上述声明的真实性负责。如有虚假，将依法承担相应责任。 </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法定代表人（电子签名）：</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供应商公章（电子签章）：</w:t>
      </w:r>
    </w:p>
    <w:p>
      <w:pPr>
        <w:tabs>
          <w:tab w:val="left" w:pos="851"/>
        </w:tabs>
        <w:spacing w:before="312" w:beforeLines="100" w:after="156" w:afterLines="50"/>
        <w:ind w:right="839"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日期： 年 月 日 </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rPr>
          <w:rFonts w:hint="eastAsia" w:ascii="宋体" w:hAnsi="宋体" w:eastAsia="宋体" w:cs="宋体"/>
          <w:b/>
          <w:bCs/>
          <w:color w:val="auto"/>
          <w:sz w:val="22"/>
          <w:szCs w:val="18"/>
          <w:highlight w:val="none"/>
          <w:shd w:val="clear" w:color="auto" w:fill="auto"/>
        </w:rPr>
      </w:pPr>
      <w:r>
        <w:rPr>
          <w:rFonts w:hint="eastAsia" w:ascii="宋体" w:hAnsi="宋体" w:eastAsia="宋体" w:cs="宋体"/>
          <w:b/>
          <w:bCs/>
          <w:color w:val="auto"/>
          <w:sz w:val="22"/>
          <w:szCs w:val="18"/>
          <w:highlight w:val="none"/>
          <w:shd w:val="clear" w:color="auto" w:fill="auto"/>
          <w:lang w:val="en-US" w:eastAsia="zh-CN"/>
        </w:rPr>
        <w:t>注：须提供证明材料（能反映出企业残疾人的占比等情况的材料及残疾人证等）。</w:t>
      </w:r>
    </w:p>
    <w:p>
      <w:pPr>
        <w:spacing w:line="360" w:lineRule="auto"/>
        <w:rPr>
          <w:rFonts w:hint="eastAsia" w:ascii="宋体" w:hAnsi="宋体" w:eastAsia="宋体" w:cs="宋体"/>
          <w:color w:val="auto"/>
          <w:highlight w:val="none"/>
          <w:shd w:val="clear" w:color="auto" w:fill="auto"/>
          <w:lang w:val="en-US" w:eastAsia="zh-CN"/>
        </w:rPr>
      </w:pPr>
    </w:p>
    <w:p>
      <w:pPr>
        <w:spacing w:line="360" w:lineRule="auto"/>
        <w:jc w:val="center"/>
        <w:rPr>
          <w:rFonts w:hint="eastAsia" w:ascii="宋体" w:hAnsi="宋体" w:eastAsia="宋体" w:cs="宋体"/>
          <w:b/>
          <w:bCs/>
          <w:color w:val="auto"/>
          <w:highlight w:val="none"/>
          <w:shd w:val="clear" w:color="auto" w:fill="auto"/>
          <w:lang w:val="en-US" w:eastAsia="zh-CN"/>
        </w:rPr>
      </w:pPr>
    </w:p>
    <w:p>
      <w:pP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br w:type="page"/>
      </w:r>
    </w:p>
    <w:p>
      <w:pPr>
        <w:spacing w:line="36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w:t>
      </w:r>
      <w:r>
        <w:rPr>
          <w:rFonts w:hint="default" w:ascii="宋体" w:hAnsi="宋体" w:eastAsia="宋体" w:cs="宋体"/>
          <w:b/>
          <w:bCs/>
          <w:color w:val="auto"/>
          <w:sz w:val="21"/>
          <w:szCs w:val="21"/>
          <w:highlight w:val="none"/>
          <w:shd w:val="clear" w:color="auto" w:fill="auto"/>
          <w:lang w:val="en-US" w:eastAsia="zh-CN"/>
        </w:rPr>
        <w:t>3</w:t>
      </w:r>
      <w:r>
        <w:rPr>
          <w:rFonts w:hint="eastAsia" w:ascii="宋体" w:hAnsi="宋体" w:eastAsia="宋体" w:cs="宋体"/>
          <w:b/>
          <w:bCs/>
          <w:color w:val="auto"/>
          <w:sz w:val="21"/>
          <w:szCs w:val="21"/>
          <w:highlight w:val="none"/>
          <w:shd w:val="clear" w:color="auto" w:fill="auto"/>
          <w:lang w:val="en-US" w:eastAsia="zh-CN"/>
        </w:rPr>
        <w:t>）监狱企业证明文件（如有）</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 监狱企业证明（如属于监狱企业，需提供由省级以上监狱管理局、戒毒管理局（含新疆生产建设兵团）出具的属于监狱企业的证明文件）； </w:t>
      </w:r>
    </w:p>
    <w:p>
      <w:pPr>
        <w:spacing w:line="36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2.证明材料加盖投标人公章。 </w:t>
      </w:r>
    </w:p>
    <w:p>
      <w:pPr>
        <w:pStyle w:val="6"/>
        <w:numPr>
          <w:ilvl w:val="0"/>
          <w:numId w:val="0"/>
        </w:numPr>
        <w:spacing w:before="0" w:line="360" w:lineRule="auto"/>
        <w:ind w:leftChars="0"/>
        <w:jc w:val="both"/>
        <w:outlineLvl w:val="2"/>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color w:val="auto"/>
          <w:szCs w:val="24"/>
          <w:highlight w:val="none"/>
          <w:shd w:val="clear" w:color="auto" w:fill="auto"/>
        </w:rPr>
        <w:br w:type="page"/>
      </w:r>
      <w:bookmarkStart w:id="146" w:name="_Toc21098"/>
      <w:bookmarkStart w:id="147" w:name="_Toc154977822"/>
      <w:bookmarkStart w:id="148" w:name="_Toc226309822"/>
      <w:bookmarkStart w:id="149" w:name="_Toc192577630"/>
      <w:bookmarkStart w:id="150" w:name="_Toc226965851"/>
      <w:bookmarkStart w:id="151" w:name="_Toc526406201"/>
      <w:bookmarkStart w:id="152" w:name="_Toc195842945"/>
      <w:bookmarkStart w:id="153" w:name="_Toc528053842"/>
      <w:bookmarkStart w:id="154" w:name="_Toc19077"/>
      <w:bookmarkStart w:id="155" w:name="_Toc181277035"/>
      <w:bookmarkStart w:id="156" w:name="_Toc421032054"/>
      <w:bookmarkStart w:id="157" w:name="_Toc480316152"/>
      <w:bookmarkStart w:id="158" w:name="_Toc528116401"/>
      <w:bookmarkStart w:id="159" w:name="_Toc192578397"/>
      <w:bookmarkStart w:id="160" w:name="_Toc421042655"/>
      <w:bookmarkStart w:id="161" w:name="_Toc226965768"/>
      <w:bookmarkStart w:id="162" w:name="_Toc226337274"/>
      <w:bookmarkStart w:id="163" w:name="_Toc194935697"/>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7</w:t>
      </w:r>
      <w:r>
        <w:rPr>
          <w:rFonts w:hint="eastAsia" w:ascii="宋体" w:hAnsi="宋体" w:eastAsia="宋体" w:cs="宋体"/>
          <w:b w:val="0"/>
          <w:color w:val="auto"/>
          <w:sz w:val="24"/>
          <w:szCs w:val="24"/>
          <w:highlight w:val="none"/>
          <w:shd w:val="clear" w:color="auto" w:fill="auto"/>
          <w:lang w:val="en-US" w:eastAsia="zh-CN"/>
        </w:rPr>
        <w:t xml:space="preserve"> 竞争性磋商文件技术参数及要求中的证明材料</w:t>
      </w:r>
      <w:bookmarkEnd w:id="146"/>
    </w:p>
    <w:p>
      <w:pPr>
        <w:pStyle w:val="6"/>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lang w:eastAsia="zh-CN"/>
        </w:rPr>
      </w:pPr>
      <w:bookmarkStart w:id="164" w:name="_Toc17219"/>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8</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w:t>
      </w:r>
      <w:r>
        <w:rPr>
          <w:rFonts w:hint="eastAsia" w:ascii="宋体" w:hAnsi="宋体" w:eastAsia="宋体" w:cs="宋体"/>
          <w:b w:val="0"/>
          <w:color w:val="auto"/>
          <w:sz w:val="24"/>
          <w:szCs w:val="24"/>
          <w:highlight w:val="none"/>
          <w:shd w:val="clear" w:color="auto" w:fill="auto"/>
          <w:lang w:eastAsia="zh-CN"/>
        </w:rPr>
        <w:t>基本情况（格式自拟）</w:t>
      </w:r>
      <w:bookmarkEnd w:id="164"/>
    </w:p>
    <w:tbl>
      <w:tblPr>
        <w:tblStyle w:val="31"/>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3"/>
        <w:gridCol w:w="645"/>
        <w:gridCol w:w="414"/>
        <w:gridCol w:w="1100"/>
        <w:gridCol w:w="43"/>
        <w:gridCol w:w="1031"/>
        <w:gridCol w:w="481"/>
        <w:gridCol w:w="1230"/>
        <w:gridCol w:w="318"/>
        <w:gridCol w:w="52"/>
        <w:gridCol w:w="570"/>
        <w:gridCol w:w="1003"/>
        <w:gridCol w:w="71"/>
        <w:gridCol w:w="14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8"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 xml:space="preserve">1．名称及概况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投标人名称</w:t>
            </w:r>
          </w:p>
        </w:tc>
        <w:tc>
          <w:tcPr>
            <w:tcW w:w="3953" w:type="pct"/>
            <w:gridSpan w:val="11"/>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邮编</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成立和注册日期</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主管部门</w:t>
            </w:r>
          </w:p>
        </w:tc>
        <w:tc>
          <w:tcPr>
            <w:tcW w:w="1690" w:type="pct"/>
            <w:gridSpan w:val="5"/>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企业性质</w:t>
            </w:r>
          </w:p>
        </w:tc>
        <w:tc>
          <w:tcPr>
            <w:tcW w:w="142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职员人数</w:t>
            </w:r>
          </w:p>
        </w:tc>
        <w:tc>
          <w:tcPr>
            <w:tcW w:w="875"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一般工人</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046" w:type="pct"/>
            <w:gridSpan w:val="3"/>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法人代表</w:t>
            </w:r>
          </w:p>
        </w:tc>
        <w:tc>
          <w:tcPr>
            <w:tcW w:w="142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3" w:type="pct"/>
            <w:gridSpan w:val="2"/>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75"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技术人员</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top w:val="single" w:color="auto" w:sz="2" w:space="0"/>
              <w:left w:val="single" w:color="auto" w:sz="8" w:space="0"/>
              <w:bottom w:val="single" w:color="auto" w:sz="2"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2．近期资产负债表 （到       年       月       日止）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top w:val="single" w:color="auto" w:sz="2" w:space="0"/>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固定资产</w:t>
            </w:r>
          </w:p>
        </w:tc>
        <w:tc>
          <w:tcPr>
            <w:tcW w:w="838" w:type="pct"/>
            <w:gridSpan w:val="3"/>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原值</w:t>
            </w:r>
          </w:p>
        </w:tc>
        <w:tc>
          <w:tcPr>
            <w:tcW w:w="814" w:type="pct"/>
            <w:gridSpan w:val="2"/>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tcBorders>
              <w:top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流动资金</w:t>
            </w:r>
          </w:p>
        </w:tc>
        <w:tc>
          <w:tcPr>
            <w:tcW w:w="1662" w:type="pct"/>
            <w:gridSpan w:val="4"/>
            <w:vMerge w:val="restart"/>
            <w:tcBorders>
              <w:top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净值</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662" w:type="pct"/>
            <w:gridSpan w:val="4"/>
            <w:vMerge w:val="continue"/>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长期负债</w:t>
            </w:r>
          </w:p>
        </w:tc>
        <w:tc>
          <w:tcPr>
            <w:tcW w:w="1652"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短期负债</w:t>
            </w:r>
          </w:p>
        </w:tc>
        <w:tc>
          <w:tcPr>
            <w:tcW w:w="1662" w:type="pct"/>
            <w:gridSpan w:val="4"/>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restar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资金来源</w:t>
            </w:r>
          </w:p>
        </w:tc>
        <w:tc>
          <w:tcPr>
            <w:tcW w:w="838"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自有资金</w:t>
            </w:r>
          </w:p>
        </w:tc>
        <w:tc>
          <w:tcPr>
            <w:tcW w:w="814"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restart"/>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资金类型</w:t>
            </w:r>
          </w:p>
        </w:tc>
        <w:tc>
          <w:tcPr>
            <w:tcW w:w="847" w:type="pct"/>
            <w:gridSpan w:val="2"/>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商业性</w:t>
            </w:r>
          </w:p>
        </w:tc>
        <w:tc>
          <w:tcPr>
            <w:tcW w:w="815" w:type="pct"/>
            <w:gridSpan w:val="2"/>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vMerge w:val="continue"/>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38"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银行贷款</w:t>
            </w:r>
          </w:p>
        </w:tc>
        <w:tc>
          <w:tcPr>
            <w:tcW w:w="814"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61" w:type="pct"/>
            <w:gridSpan w:val="3"/>
            <w:vMerge w:val="continue"/>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847" w:type="pct"/>
            <w:gridSpan w:val="2"/>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非商业性</w:t>
            </w:r>
          </w:p>
        </w:tc>
        <w:tc>
          <w:tcPr>
            <w:tcW w:w="815" w:type="pct"/>
            <w:gridSpan w:val="2"/>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3．最近三年的年度总营业额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年份</w:t>
            </w: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国内</w:t>
            </w: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出口</w:t>
            </w: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总额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23" w:type="pct"/>
            <w:gridSpan w:val="2"/>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93"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27"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356" w:type="pct"/>
            <w:gridSpan w:val="3"/>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5000" w:type="pct"/>
            <w:gridSpan w:val="14"/>
            <w:tcBorders>
              <w:left w:val="single" w:color="auto" w:sz="8" w:space="0"/>
              <w:right w:val="single" w:color="auto" w:sz="8" w:space="0"/>
            </w:tcBorders>
            <w:noWrap w:val="0"/>
            <w:vAlign w:val="center"/>
          </w:tcPr>
          <w:p>
            <w:pPr>
              <w:widowControl/>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4．最近三年投标</w:t>
            </w:r>
            <w:r>
              <w:rPr>
                <w:rFonts w:hint="eastAsia" w:ascii="宋体" w:hAnsi="宋体" w:eastAsia="宋体" w:cs="宋体"/>
                <w:b/>
                <w:bCs/>
                <w:color w:val="auto"/>
                <w:kern w:val="0"/>
                <w:sz w:val="21"/>
                <w:szCs w:val="21"/>
                <w:highlight w:val="none"/>
                <w:shd w:val="clear" w:color="auto" w:fill="auto"/>
                <w:lang w:val="en-US" w:eastAsia="zh-CN"/>
              </w:rPr>
              <w:t>服务</w:t>
            </w:r>
            <w:r>
              <w:rPr>
                <w:rFonts w:hint="eastAsia" w:ascii="宋体" w:hAnsi="宋体" w:eastAsia="宋体" w:cs="宋体"/>
                <w:b/>
                <w:bCs/>
                <w:color w:val="auto"/>
                <w:kern w:val="0"/>
                <w:sz w:val="21"/>
                <w:szCs w:val="21"/>
                <w:highlight w:val="none"/>
                <w:shd w:val="clear" w:color="auto" w:fill="auto"/>
              </w:rPr>
              <w:t>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序号</w:t>
            </w: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用户名称</w:t>
            </w: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地址</w:t>
            </w: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销售的项目</w:t>
            </w: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476" w:type="pct"/>
            <w:tcBorders>
              <w:left w:val="single" w:color="auto" w:sz="8" w:space="0"/>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162" w:type="pct"/>
            <w:gridSpan w:val="3"/>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499" w:type="pct"/>
            <w:gridSpan w:val="4"/>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1084" w:type="pct"/>
            <w:gridSpan w:val="5"/>
            <w:tcBorders>
              <w:bottom w:val="single" w:color="auto" w:sz="2"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c>
          <w:tcPr>
            <w:tcW w:w="776" w:type="pct"/>
            <w:tcBorders>
              <w:bottom w:val="single" w:color="auto" w:sz="2" w:space="0"/>
              <w:right w:val="single" w:color="auto" w:sz="8" w:space="0"/>
            </w:tcBorders>
            <w:noWrap w:val="0"/>
            <w:vAlign w:val="center"/>
          </w:tcPr>
          <w:p>
            <w:pPr>
              <w:widowControl/>
              <w:jc w:val="center"/>
              <w:rPr>
                <w:rFonts w:hint="eastAsia" w:ascii="宋体" w:hAnsi="宋体" w:eastAsia="宋体" w:cs="宋体"/>
                <w:color w:val="auto"/>
                <w:kern w:val="0"/>
                <w:sz w:val="21"/>
                <w:szCs w:val="21"/>
                <w:highlight w:val="none"/>
                <w:shd w:val="clear" w:color="auto" w:fill="auto"/>
              </w:rPr>
            </w:pPr>
          </w:p>
        </w:tc>
      </w:tr>
    </w:tbl>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兹证明上述声明是真实、正确的，并提供了全部能提供的资料和数据，我们同意</w:t>
      </w:r>
    </w:p>
    <w:p>
      <w:pPr>
        <w:tabs>
          <w:tab w:val="left" w:pos="5580"/>
        </w:tabs>
        <w:spacing w:before="120"/>
        <w:ind w:firstLine="454"/>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遵照贵方要求出示有关证明文件。</w:t>
      </w:r>
    </w:p>
    <w:p>
      <w:pPr>
        <w:pStyle w:val="13"/>
        <w:tabs>
          <w:tab w:val="left" w:pos="567"/>
        </w:tabs>
        <w:spacing w:before="0" w:line="240" w:lineRule="auto"/>
        <w:jc w:val="center"/>
        <w:rPr>
          <w:rFonts w:hint="eastAsia" w:ascii="宋体" w:hAnsi="宋体" w:eastAsia="宋体" w:cs="宋体"/>
          <w:b/>
          <w:color w:val="auto"/>
          <w:sz w:val="21"/>
          <w:szCs w:val="21"/>
          <w:highlight w:val="none"/>
          <w:shd w:val="clear" w:color="auto" w:fill="auto"/>
        </w:rPr>
      </w:pP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法定代表人（电子签名）：</w:t>
      </w: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供应商公章（电子签章）：</w:t>
      </w:r>
    </w:p>
    <w:p>
      <w:pPr>
        <w:tabs>
          <w:tab w:val="left" w:pos="4620"/>
        </w:tabs>
        <w:spacing w:before="12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日期：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rPr>
          <w:rFonts w:hint="eastAsia"/>
          <w:color w:val="auto"/>
          <w:highlight w:val="none"/>
          <w:shd w:val="clear" w:color="auto" w:fill="auto"/>
          <w:lang w:eastAsia="zh-CN"/>
        </w:rPr>
      </w:pPr>
    </w:p>
    <w:p>
      <w:pPr>
        <w:pStyle w:val="6"/>
        <w:keepNext/>
        <w:keepLines/>
        <w:pageBreakBefore/>
        <w:widowControl w:val="0"/>
        <w:numPr>
          <w:ilvl w:val="0"/>
          <w:numId w:val="0"/>
        </w:numPr>
        <w:kinsoku/>
        <w:wordWrap/>
        <w:overflowPunct/>
        <w:topLinePunct w:val="0"/>
        <w:autoSpaceDE/>
        <w:autoSpaceDN/>
        <w:bidi w:val="0"/>
        <w:adjustRightInd/>
        <w:snapToGrid/>
        <w:spacing w:before="0" w:line="360" w:lineRule="auto"/>
        <w:ind w:leftChars="0"/>
        <w:jc w:val="both"/>
        <w:textAlignment w:val="auto"/>
        <w:outlineLvl w:val="2"/>
        <w:rPr>
          <w:rFonts w:hint="eastAsia" w:ascii="宋体" w:hAnsi="宋体" w:eastAsia="宋体" w:cs="宋体"/>
          <w:b w:val="0"/>
          <w:color w:val="auto"/>
          <w:sz w:val="24"/>
          <w:szCs w:val="24"/>
          <w:highlight w:val="none"/>
          <w:shd w:val="clear" w:color="auto" w:fill="auto"/>
        </w:rPr>
      </w:pPr>
      <w:bookmarkStart w:id="165" w:name="_Toc5550"/>
      <w:r>
        <w:rPr>
          <w:rFonts w:hint="eastAsia" w:ascii="宋体" w:hAnsi="宋体" w:eastAsia="宋体" w:cs="宋体"/>
          <w:b w:val="0"/>
          <w:color w:val="auto"/>
          <w:sz w:val="24"/>
          <w:szCs w:val="24"/>
          <w:highlight w:val="none"/>
          <w:shd w:val="clear" w:color="auto" w:fill="auto"/>
        </w:rPr>
        <w:t>附件</w:t>
      </w:r>
      <w:r>
        <w:rPr>
          <w:rFonts w:hint="eastAsia" w:ascii="宋体" w:hAnsi="宋体" w:cs="宋体"/>
          <w:b w:val="0"/>
          <w:color w:val="auto"/>
          <w:sz w:val="24"/>
          <w:szCs w:val="24"/>
          <w:highlight w:val="none"/>
          <w:shd w:val="clear" w:color="auto" w:fill="auto"/>
          <w:lang w:val="en-US" w:eastAsia="zh-CN"/>
        </w:rPr>
        <w:t>9</w:t>
      </w: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供应商类似项目业绩一览表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5"/>
    </w:p>
    <w:p>
      <w:pPr>
        <w:pStyle w:val="66"/>
        <w:jc w:val="center"/>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供应商类似项目业绩一览表（20</w:t>
      </w:r>
      <w:r>
        <w:rPr>
          <w:rFonts w:hint="eastAsia" w:hAnsi="宋体" w:cs="宋体"/>
          <w:b/>
          <w:color w:val="auto"/>
          <w:sz w:val="24"/>
          <w:szCs w:val="24"/>
          <w:highlight w:val="none"/>
          <w:shd w:val="clear" w:color="auto" w:fill="auto"/>
          <w:lang w:val="en-US" w:eastAsia="zh-CN"/>
        </w:rPr>
        <w:t>20</w:t>
      </w:r>
      <w:r>
        <w:rPr>
          <w:rFonts w:hint="eastAsia" w:ascii="宋体" w:hAnsi="宋体" w:cs="宋体"/>
          <w:b/>
          <w:color w:val="auto"/>
          <w:sz w:val="24"/>
          <w:szCs w:val="24"/>
          <w:highlight w:val="none"/>
          <w:shd w:val="clear" w:color="auto" w:fill="auto"/>
        </w:rPr>
        <w:t>年1月1日至今）</w:t>
      </w:r>
    </w:p>
    <w:p>
      <w:pPr>
        <w:pStyle w:val="66"/>
        <w:jc w:val="center"/>
        <w:rPr>
          <w:rFonts w:hint="eastAsia" w:ascii="宋体" w:hAnsi="宋体" w:cs="宋体"/>
          <w:b/>
          <w:color w:val="auto"/>
          <w:sz w:val="24"/>
          <w:szCs w:val="24"/>
          <w:highlight w:val="none"/>
          <w:shd w:val="clear" w:color="auto" w:fill="auto"/>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序号</w:t>
            </w:r>
          </w:p>
        </w:tc>
        <w:tc>
          <w:tcPr>
            <w:tcW w:w="936"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名称</w:t>
            </w:r>
          </w:p>
        </w:tc>
        <w:tc>
          <w:tcPr>
            <w:tcW w:w="1581" w:type="dxa"/>
            <w:tcBorders>
              <w:bottom w:val="single" w:color="auto" w:sz="4" w:space="0"/>
            </w:tcBorders>
            <w:noWrap w:val="0"/>
            <w:vAlign w:val="center"/>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合同</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签订时间</w:t>
            </w:r>
          </w:p>
        </w:tc>
        <w:tc>
          <w:tcPr>
            <w:tcW w:w="1367" w:type="dxa"/>
            <w:tcBorders>
              <w:bottom w:val="single" w:color="auto" w:sz="4" w:space="0"/>
            </w:tcBorders>
            <w:noWrap w:val="0"/>
            <w:vAlign w:val="center"/>
          </w:tcPr>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pacing w:val="-20"/>
                <w:szCs w:val="24"/>
                <w:highlight w:val="none"/>
                <w:shd w:val="clear" w:color="auto" w:fill="auto"/>
              </w:rPr>
              <w:t>合同金额</w:t>
            </w:r>
          </w:p>
          <w:p>
            <w:pPr>
              <w:jc w:val="center"/>
              <w:rPr>
                <w:rFonts w:hint="eastAsia" w:ascii="宋体" w:hAnsi="宋体" w:cs="宋体"/>
                <w:color w:val="auto"/>
                <w:szCs w:val="24"/>
                <w:highlight w:val="none"/>
                <w:shd w:val="clear" w:color="auto" w:fill="auto"/>
              </w:rPr>
            </w:pPr>
            <w:r>
              <w:rPr>
                <w:rFonts w:hint="eastAsia" w:ascii="宋体" w:hAnsi="宋体" w:cs="宋体"/>
                <w:color w:val="auto"/>
                <w:spacing w:val="-20"/>
                <w:szCs w:val="24"/>
                <w:highlight w:val="none"/>
                <w:shd w:val="clear" w:color="auto" w:fill="auto"/>
              </w:rPr>
              <w:t>（元）</w:t>
            </w:r>
          </w:p>
        </w:tc>
        <w:tc>
          <w:tcPr>
            <w:tcW w:w="936"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单位</w:t>
            </w:r>
          </w:p>
        </w:tc>
        <w:tc>
          <w:tcPr>
            <w:tcW w:w="2064"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项目单位</w:t>
            </w:r>
          </w:p>
          <w:p>
            <w:pPr>
              <w:jc w:val="center"/>
              <w:rPr>
                <w:rFonts w:hint="eastAsia" w:ascii="宋体" w:hAnsi="宋体" w:cs="宋体"/>
                <w:color w:val="auto"/>
                <w:spacing w:val="-20"/>
                <w:szCs w:val="24"/>
                <w:highlight w:val="none"/>
                <w:shd w:val="clear" w:color="auto" w:fill="auto"/>
              </w:rPr>
            </w:pPr>
            <w:r>
              <w:rPr>
                <w:rFonts w:hint="eastAsia" w:ascii="宋体" w:hAnsi="宋体" w:cs="宋体"/>
                <w:color w:val="auto"/>
                <w:szCs w:val="24"/>
                <w:highlight w:val="none"/>
                <w:shd w:val="clear" w:color="auto" w:fill="auto"/>
              </w:rPr>
              <w:t>联系人/电话</w:t>
            </w:r>
          </w:p>
        </w:tc>
        <w:tc>
          <w:tcPr>
            <w:tcW w:w="1579" w:type="dxa"/>
            <w:tcBorders>
              <w:bottom w:val="single" w:color="auto" w:sz="4" w:space="0"/>
            </w:tcBorders>
            <w:noWrap w:val="0"/>
            <w:vAlign w:val="top"/>
          </w:tcPr>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项目内容</w:t>
            </w:r>
          </w:p>
          <w:p>
            <w:pPr>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1</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2</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w:t>
            </w: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widowControl/>
              <w:jc w:val="center"/>
              <w:rPr>
                <w:rFonts w:hint="eastAsia" w:ascii="宋体" w:hAnsi="宋体" w:cs="宋体"/>
                <w:color w:val="auto"/>
                <w:szCs w:val="24"/>
                <w:highlight w:val="none"/>
                <w:shd w:val="clear" w:color="auto" w:fill="auto"/>
              </w:rPr>
            </w:pPr>
          </w:p>
        </w:tc>
        <w:tc>
          <w:tcPr>
            <w:tcW w:w="936" w:type="dxa"/>
            <w:noWrap w:val="0"/>
            <w:vAlign w:val="center"/>
          </w:tcPr>
          <w:p>
            <w:pPr>
              <w:jc w:val="center"/>
              <w:rPr>
                <w:rFonts w:hint="eastAsia" w:ascii="宋体" w:hAnsi="宋体" w:cs="宋体"/>
                <w:color w:val="auto"/>
                <w:szCs w:val="24"/>
                <w:highlight w:val="none"/>
                <w:shd w:val="clear" w:color="auto" w:fill="auto"/>
              </w:rPr>
            </w:pPr>
          </w:p>
        </w:tc>
        <w:tc>
          <w:tcPr>
            <w:tcW w:w="1581" w:type="dxa"/>
            <w:noWrap w:val="0"/>
            <w:vAlign w:val="center"/>
          </w:tcPr>
          <w:p>
            <w:pPr>
              <w:jc w:val="center"/>
              <w:rPr>
                <w:rFonts w:hint="eastAsia" w:ascii="宋体" w:hAnsi="宋体" w:cs="宋体"/>
                <w:color w:val="auto"/>
                <w:szCs w:val="24"/>
                <w:highlight w:val="none"/>
                <w:shd w:val="clear" w:color="auto" w:fill="auto"/>
              </w:rPr>
            </w:pPr>
          </w:p>
        </w:tc>
        <w:tc>
          <w:tcPr>
            <w:tcW w:w="1367" w:type="dxa"/>
            <w:noWrap w:val="0"/>
            <w:vAlign w:val="center"/>
          </w:tcPr>
          <w:p>
            <w:pPr>
              <w:jc w:val="center"/>
              <w:rPr>
                <w:rFonts w:hint="eastAsia" w:ascii="宋体" w:hAnsi="宋体" w:cs="宋体"/>
                <w:color w:val="auto"/>
                <w:szCs w:val="24"/>
                <w:highlight w:val="none"/>
                <w:shd w:val="clear" w:color="auto" w:fill="auto"/>
              </w:rPr>
            </w:pPr>
          </w:p>
        </w:tc>
        <w:tc>
          <w:tcPr>
            <w:tcW w:w="936" w:type="dxa"/>
            <w:noWrap w:val="0"/>
            <w:vAlign w:val="top"/>
          </w:tcPr>
          <w:p>
            <w:pPr>
              <w:jc w:val="center"/>
              <w:rPr>
                <w:rFonts w:hint="eastAsia" w:ascii="宋体" w:hAnsi="宋体" w:cs="宋体"/>
                <w:color w:val="auto"/>
                <w:szCs w:val="24"/>
                <w:highlight w:val="none"/>
                <w:shd w:val="clear" w:color="auto" w:fill="auto"/>
              </w:rPr>
            </w:pPr>
          </w:p>
        </w:tc>
        <w:tc>
          <w:tcPr>
            <w:tcW w:w="2064" w:type="dxa"/>
            <w:noWrap w:val="0"/>
            <w:vAlign w:val="top"/>
          </w:tcPr>
          <w:p>
            <w:pPr>
              <w:jc w:val="center"/>
              <w:rPr>
                <w:rFonts w:hint="eastAsia" w:ascii="宋体" w:hAnsi="宋体" w:cs="宋体"/>
                <w:color w:val="auto"/>
                <w:szCs w:val="24"/>
                <w:highlight w:val="none"/>
                <w:shd w:val="clear" w:color="auto" w:fill="auto"/>
              </w:rPr>
            </w:pPr>
          </w:p>
        </w:tc>
        <w:tc>
          <w:tcPr>
            <w:tcW w:w="1579" w:type="dxa"/>
            <w:noWrap w:val="0"/>
            <w:vAlign w:val="top"/>
          </w:tcPr>
          <w:p>
            <w:pPr>
              <w:jc w:val="center"/>
              <w:rPr>
                <w:rFonts w:hint="eastAsia" w:ascii="宋体" w:hAnsi="宋体" w:cs="宋体"/>
                <w:color w:val="auto"/>
                <w:szCs w:val="24"/>
                <w:highlight w:val="none"/>
                <w:shd w:val="clear" w:color="auto" w:fill="auto"/>
              </w:rPr>
            </w:pPr>
          </w:p>
        </w:tc>
      </w:tr>
    </w:tbl>
    <w:p>
      <w:pPr>
        <w:pStyle w:val="66"/>
        <w:rPr>
          <w:rFonts w:hint="eastAsia" w:hAnsi="宋体" w:cs="宋体"/>
          <w:color w:val="auto"/>
          <w:highlight w:val="none"/>
          <w:shd w:val="clear" w:color="auto" w:fill="auto"/>
        </w:rPr>
      </w:pPr>
      <w:r>
        <w:rPr>
          <w:rFonts w:hint="eastAsia" w:hAnsi="宋体" w:cs="宋体"/>
          <w:color w:val="auto"/>
          <w:highlight w:val="none"/>
          <w:shd w:val="clear" w:color="auto" w:fill="auto"/>
        </w:rPr>
        <w:t>注：1）须随本表附有效证明材料需提供合同复印件资料，业绩证明材料须提供复印件并加盖本单位公章，内容清晰。未提供有效证明材料的项目业绩在评审时将不予认可。</w:t>
      </w:r>
    </w:p>
    <w:p>
      <w:pPr>
        <w:pStyle w:val="66"/>
        <w:spacing w:line="360" w:lineRule="auto"/>
        <w:ind w:firstLine="420" w:firstLineChars="200"/>
        <w:rPr>
          <w:rFonts w:hint="eastAsia" w:hAnsi="宋体" w:cs="宋体"/>
          <w:color w:val="auto"/>
          <w:highlight w:val="none"/>
          <w:shd w:val="clear" w:color="auto" w:fill="auto"/>
        </w:rPr>
      </w:pPr>
      <w:r>
        <w:rPr>
          <w:rFonts w:hint="eastAsia" w:hAnsi="宋体" w:cs="宋体"/>
          <w:color w:val="auto"/>
          <w:highlight w:val="none"/>
          <w:shd w:val="clear" w:color="auto" w:fill="auto"/>
        </w:rPr>
        <w:t>2）本表中信息如有虚假，一经查实将导致其响应文件被拒绝，</w:t>
      </w:r>
      <w:r>
        <w:rPr>
          <w:rFonts w:hAnsi="宋体" w:cs="宋体"/>
          <w:color w:val="auto"/>
          <w:highlight w:val="none"/>
          <w:shd w:val="clear" w:color="auto" w:fill="auto"/>
        </w:rPr>
        <w:t>并将其</w:t>
      </w:r>
      <w:r>
        <w:rPr>
          <w:rFonts w:hint="eastAsia" w:hAnsi="宋体" w:cs="宋体"/>
          <w:color w:val="auto"/>
          <w:highlight w:val="none"/>
          <w:shd w:val="clear" w:color="auto" w:fill="auto"/>
        </w:rPr>
        <w:t>告知</w:t>
      </w:r>
      <w:r>
        <w:rPr>
          <w:rFonts w:hAnsi="宋体" w:cs="宋体"/>
          <w:color w:val="auto"/>
          <w:highlight w:val="none"/>
          <w:shd w:val="clear" w:color="auto" w:fill="auto"/>
        </w:rPr>
        <w:t>相关部门</w:t>
      </w:r>
      <w:r>
        <w:rPr>
          <w:rFonts w:hint="eastAsia" w:hAnsi="宋体" w:cs="宋体"/>
          <w:color w:val="auto"/>
          <w:highlight w:val="none"/>
          <w:shd w:val="clear" w:color="auto" w:fill="auto"/>
        </w:rPr>
        <w:t>。</w:t>
      </w:r>
    </w:p>
    <w:p>
      <w:pPr>
        <w:pStyle w:val="66"/>
        <w:spacing w:line="360" w:lineRule="auto"/>
        <w:rPr>
          <w:rFonts w:hint="eastAsia" w:hAnsi="宋体" w:cs="宋体"/>
          <w:color w:val="auto"/>
          <w:sz w:val="24"/>
          <w:szCs w:val="24"/>
          <w:highlight w:val="none"/>
          <w:shd w:val="clear" w:color="auto" w:fill="auto"/>
        </w:rPr>
      </w:pPr>
    </w:p>
    <w:p>
      <w:pPr>
        <w:tabs>
          <w:tab w:val="center" w:pos="5192"/>
        </w:tabs>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法定代表人（电子签名）：</w:t>
      </w:r>
    </w:p>
    <w:p>
      <w:pPr>
        <w:tabs>
          <w:tab w:val="center" w:pos="5192"/>
        </w:tabs>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供应商公章（电子签章）：</w:t>
      </w:r>
      <w:r>
        <w:rPr>
          <w:rFonts w:hint="eastAsia" w:ascii="宋体" w:hAnsi="宋体" w:eastAsia="宋体" w:cs="宋体"/>
          <w:color w:val="auto"/>
          <w:sz w:val="24"/>
          <w:szCs w:val="24"/>
          <w:highlight w:val="none"/>
          <w:shd w:val="clear" w:color="auto" w:fill="auto"/>
        </w:rPr>
        <w:br w:type="page"/>
      </w:r>
      <w:bookmarkStart w:id="166" w:name="_Toc226337271"/>
      <w:bookmarkStart w:id="167" w:name="_Toc226965765"/>
      <w:bookmarkStart w:id="168" w:name="_Toc150774774"/>
      <w:bookmarkStart w:id="169" w:name="_Toc226309819"/>
      <w:bookmarkStart w:id="170" w:name="_Toc195842940"/>
      <w:bookmarkStart w:id="171" w:name="_Toc226965848"/>
      <w:bookmarkStart w:id="172" w:name="_Toc151193961"/>
      <w:bookmarkStart w:id="173" w:name="_Toc480316153"/>
      <w:bookmarkStart w:id="174" w:name="_Toc421032053"/>
      <w:bookmarkStart w:id="175" w:name="_Toc421042656"/>
      <w:bookmarkStart w:id="176" w:name="_Toc23924"/>
    </w:p>
    <w:p>
      <w:pPr>
        <w:tabs>
          <w:tab w:val="center" w:pos="5192"/>
        </w:tabs>
        <w:spacing w:line="360" w:lineRule="auto"/>
        <w:outlineLvl w:val="2"/>
        <w:rPr>
          <w:rFonts w:hint="eastAsia" w:ascii="宋体" w:hAnsi="宋体" w:cs="宋体"/>
          <w:color w:val="auto"/>
          <w:sz w:val="21"/>
          <w:szCs w:val="21"/>
          <w:highlight w:val="none"/>
          <w:shd w:val="clear" w:color="auto" w:fill="auto"/>
        </w:rPr>
      </w:pPr>
      <w:bookmarkStart w:id="177" w:name="_Toc6647"/>
      <w:r>
        <w:rPr>
          <w:rFonts w:hint="eastAsia" w:ascii="宋体" w:hAnsi="宋体" w:eastAsia="宋体" w:cs="宋体"/>
          <w:b w:val="0"/>
          <w:color w:val="auto"/>
          <w:sz w:val="21"/>
          <w:szCs w:val="21"/>
          <w:highlight w:val="none"/>
          <w:shd w:val="clear" w:color="auto" w:fill="auto"/>
        </w:rPr>
        <w:t>附件</w:t>
      </w:r>
      <w:bookmarkEnd w:id="166"/>
      <w:bookmarkEnd w:id="167"/>
      <w:bookmarkEnd w:id="168"/>
      <w:bookmarkEnd w:id="169"/>
      <w:bookmarkEnd w:id="170"/>
      <w:bookmarkEnd w:id="171"/>
      <w:bookmarkEnd w:id="172"/>
      <w:r>
        <w:rPr>
          <w:rFonts w:hint="eastAsia" w:ascii="宋体" w:hAnsi="宋体" w:cs="宋体"/>
          <w:b w:val="0"/>
          <w:color w:val="auto"/>
          <w:sz w:val="21"/>
          <w:szCs w:val="21"/>
          <w:highlight w:val="none"/>
          <w:shd w:val="clear" w:color="auto" w:fill="auto"/>
          <w:lang w:val="en-US" w:eastAsia="zh-CN"/>
        </w:rPr>
        <w:t>10</w:t>
      </w:r>
      <w:r>
        <w:rPr>
          <w:rFonts w:hint="eastAsia" w:ascii="宋体" w:hAnsi="宋体" w:eastAsia="宋体" w:cs="宋体"/>
          <w:b w:val="0"/>
          <w:color w:val="auto"/>
          <w:sz w:val="21"/>
          <w:szCs w:val="21"/>
          <w:highlight w:val="none"/>
          <w:shd w:val="clear" w:color="auto" w:fill="auto"/>
          <w:lang w:val="en-US" w:eastAsia="zh-CN"/>
        </w:rPr>
        <w:t xml:space="preserve"> </w:t>
      </w:r>
      <w:r>
        <w:rPr>
          <w:rFonts w:hint="eastAsia" w:ascii="宋体" w:hAnsi="宋体" w:eastAsia="宋体" w:cs="宋体"/>
          <w:b w:val="0"/>
          <w:color w:val="auto"/>
          <w:sz w:val="21"/>
          <w:szCs w:val="21"/>
          <w:highlight w:val="none"/>
          <w:shd w:val="clear" w:color="auto" w:fill="auto"/>
        </w:rPr>
        <w:t>项目</w:t>
      </w:r>
      <w:bookmarkEnd w:id="173"/>
      <w:bookmarkEnd w:id="174"/>
      <w:bookmarkEnd w:id="175"/>
      <w:bookmarkEnd w:id="176"/>
      <w:r>
        <w:rPr>
          <w:rFonts w:hint="eastAsia" w:ascii="宋体" w:hAnsi="宋体" w:eastAsia="宋体" w:cs="宋体"/>
          <w:b w:val="0"/>
          <w:color w:val="auto"/>
          <w:sz w:val="21"/>
          <w:szCs w:val="21"/>
          <w:highlight w:val="none"/>
          <w:shd w:val="clear" w:color="auto" w:fill="auto"/>
        </w:rPr>
        <w:t>服务方案</w:t>
      </w:r>
      <w:bookmarkEnd w:id="177"/>
    </w:p>
    <w:p>
      <w:pPr>
        <w:pStyle w:val="65"/>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供应商应根据竞争性磋商文件技术需求及服务的要求，详细叙述拟提供产品（服务）的技术情况</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不限于如下内容：</w:t>
      </w:r>
    </w:p>
    <w:p>
      <w:pPr>
        <w:pStyle w:val="65"/>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1、经营管理措施</w:t>
      </w:r>
    </w:p>
    <w:p>
      <w:pPr>
        <w:pStyle w:val="65"/>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2、项目实施、供货计划、人员安排、质量保证措施</w:t>
      </w:r>
    </w:p>
    <w:p>
      <w:pPr>
        <w:pStyle w:val="65"/>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3、履约承诺</w:t>
      </w:r>
    </w:p>
    <w:p>
      <w:pPr>
        <w:pStyle w:val="65"/>
        <w:spacing w:line="360" w:lineRule="auto"/>
        <w:ind w:firstLine="420" w:firstLineChars="2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耗材更换条件</w:t>
      </w:r>
    </w:p>
    <w:p>
      <w:pPr>
        <w:pStyle w:val="65"/>
        <w:numPr>
          <w:ilvl w:val="0"/>
          <w:numId w:val="0"/>
        </w:numPr>
        <w:spacing w:line="360" w:lineRule="auto"/>
        <w:ind w:firstLine="420" w:firstLineChars="200"/>
        <w:rPr>
          <w:rFonts w:hint="default" w:ascii="宋体" w:hAnsi="宋体" w:eastAsia="宋体" w:cs="宋体"/>
          <w:color w:val="auto"/>
          <w:sz w:val="21"/>
          <w:szCs w:val="21"/>
          <w:highlight w:val="none"/>
          <w:shd w:val="clear" w:color="auto" w:fill="auto"/>
          <w:lang w:val="en-US"/>
        </w:rPr>
      </w:pPr>
      <w:r>
        <w:rPr>
          <w:rFonts w:hint="eastAsia" w:ascii="宋体" w:hAnsi="宋体" w:cs="宋体"/>
          <w:color w:val="auto"/>
          <w:sz w:val="21"/>
          <w:szCs w:val="21"/>
          <w:highlight w:val="none"/>
          <w:shd w:val="clear" w:color="auto" w:fill="auto"/>
          <w:lang w:val="en-US" w:eastAsia="zh-CN"/>
        </w:rPr>
        <w:t>......</w:t>
      </w:r>
    </w:p>
    <w:p>
      <w:pP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br w:type="page"/>
      </w:r>
    </w:p>
    <w:p>
      <w:pPr>
        <w:tabs>
          <w:tab w:val="center" w:pos="5192"/>
        </w:tabs>
        <w:spacing w:line="360" w:lineRule="auto"/>
        <w:outlineLvl w:val="2"/>
        <w:rPr>
          <w:rFonts w:hint="eastAsia" w:ascii="宋体" w:hAnsi="宋体" w:eastAsia="宋体" w:cs="宋体"/>
          <w:b w:val="0"/>
          <w:color w:val="auto"/>
          <w:sz w:val="24"/>
          <w:szCs w:val="24"/>
          <w:highlight w:val="none"/>
          <w:shd w:val="clear" w:color="auto" w:fill="auto"/>
        </w:rPr>
      </w:pPr>
      <w:bookmarkStart w:id="178" w:name="_Toc6963"/>
      <w:r>
        <w:rPr>
          <w:rFonts w:hint="eastAsia" w:ascii="宋体" w:hAnsi="宋体" w:eastAsia="宋体" w:cs="宋体"/>
          <w:b w:val="0"/>
          <w:color w:val="auto"/>
          <w:sz w:val="24"/>
          <w:szCs w:val="24"/>
          <w:highlight w:val="none"/>
          <w:shd w:val="clear" w:color="auto" w:fill="auto"/>
        </w:rPr>
        <w:t>附件</w:t>
      </w:r>
      <w:r>
        <w:rPr>
          <w:rFonts w:hint="eastAsia" w:ascii="宋体" w:hAnsi="宋体" w:eastAsia="宋体" w:cs="宋体"/>
          <w:b w:val="0"/>
          <w:color w:val="auto"/>
          <w:sz w:val="24"/>
          <w:szCs w:val="24"/>
          <w:highlight w:val="none"/>
          <w:shd w:val="clear" w:color="auto" w:fill="auto"/>
          <w:lang w:val="en-US" w:eastAsia="zh-CN"/>
        </w:rPr>
        <w:t>1</w:t>
      </w:r>
      <w:r>
        <w:rPr>
          <w:rFonts w:hint="eastAsia" w:ascii="宋体" w:hAnsi="宋体" w:cs="宋体"/>
          <w:b w:val="0"/>
          <w:color w:val="auto"/>
          <w:sz w:val="24"/>
          <w:szCs w:val="24"/>
          <w:highlight w:val="none"/>
          <w:shd w:val="clear" w:color="auto" w:fill="auto"/>
          <w:lang w:val="en-US" w:eastAsia="zh-CN"/>
        </w:rPr>
        <w:t xml:space="preserve">1 </w:t>
      </w:r>
      <w:r>
        <w:rPr>
          <w:rFonts w:hint="eastAsia" w:ascii="宋体" w:hAnsi="宋体" w:eastAsia="宋体" w:cs="宋体"/>
          <w:b w:val="0"/>
          <w:color w:val="auto"/>
          <w:sz w:val="24"/>
          <w:szCs w:val="24"/>
          <w:highlight w:val="none"/>
          <w:shd w:val="clear" w:color="auto" w:fill="auto"/>
        </w:rPr>
        <w:t>拟投入本项目</w:t>
      </w:r>
      <w:r>
        <w:rPr>
          <w:rFonts w:hint="eastAsia" w:ascii="宋体" w:hAnsi="宋体"/>
          <w:color w:val="auto"/>
          <w:sz w:val="24"/>
          <w:szCs w:val="24"/>
          <w:highlight w:val="none"/>
        </w:rPr>
        <w:t>备品备件</w:t>
      </w:r>
      <w:bookmarkEnd w:id="178"/>
    </w:p>
    <w:p>
      <w:pPr>
        <w:spacing w:line="440" w:lineRule="exact"/>
        <w:ind w:firstLine="422" w:firstLineChars="200"/>
        <w:jc w:val="center"/>
        <w:rPr>
          <w:rFonts w:hint="default" w:ascii="宋体" w:hAnsi="宋体"/>
          <w:b/>
          <w:bCs/>
          <w:color w:val="auto"/>
          <w:highlight w:val="none"/>
          <w:lang w:val="en-US"/>
        </w:rPr>
      </w:pPr>
      <w:r>
        <w:rPr>
          <w:rFonts w:hint="eastAsia" w:ascii="宋体" w:hAnsi="宋体" w:cs="宋体"/>
          <w:b/>
          <w:bCs/>
          <w:color w:val="auto"/>
          <w:kern w:val="2"/>
          <w:sz w:val="21"/>
          <w:szCs w:val="21"/>
          <w:highlight w:val="none"/>
          <w:shd w:val="clear" w:color="auto" w:fill="auto"/>
          <w:lang w:val="en-US" w:eastAsia="zh-CN" w:bidi="ar-SA"/>
        </w:rPr>
        <w:t>备品备件情况表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9"/>
        <w:gridCol w:w="2160"/>
        <w:gridCol w:w="2159"/>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项号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名称</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型号</w:t>
            </w:r>
          </w:p>
        </w:tc>
        <w:tc>
          <w:tcPr>
            <w:tcW w:w="2159"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数量</w:t>
            </w:r>
          </w:p>
        </w:tc>
        <w:tc>
          <w:tcPr>
            <w:tcW w:w="2160" w:type="dxa"/>
            <w:noWrap w:val="0"/>
            <w:vAlign w:val="center"/>
          </w:tcPr>
          <w:p>
            <w:pPr>
              <w:spacing w:line="440" w:lineRule="exact"/>
              <w:jc w:val="center"/>
              <w:rPr>
                <w:rFonts w:ascii="宋体" w:hAnsi="宋体"/>
                <w:color w:val="auto"/>
                <w:highlight w:val="none"/>
              </w:rPr>
            </w:pPr>
            <w:r>
              <w:rPr>
                <w:rFonts w:hint="eastAsia" w:ascii="宋体" w:hAnsi="宋体"/>
                <w:color w:val="auto"/>
                <w:highlight w:val="none"/>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c>
          <w:tcPr>
            <w:tcW w:w="2159" w:type="dxa"/>
            <w:noWrap w:val="0"/>
            <w:vAlign w:val="top"/>
          </w:tcPr>
          <w:p>
            <w:pPr>
              <w:spacing w:line="440" w:lineRule="exact"/>
              <w:rPr>
                <w:rFonts w:ascii="宋体" w:hAnsi="宋体"/>
                <w:color w:val="auto"/>
                <w:highlight w:val="none"/>
              </w:rPr>
            </w:pPr>
          </w:p>
        </w:tc>
        <w:tc>
          <w:tcPr>
            <w:tcW w:w="2160" w:type="dxa"/>
            <w:noWrap w:val="0"/>
            <w:vAlign w:val="top"/>
          </w:tcPr>
          <w:p>
            <w:pPr>
              <w:spacing w:line="440" w:lineRule="exact"/>
              <w:rPr>
                <w:rFonts w:ascii="宋体" w:hAnsi="宋体"/>
                <w:color w:val="auto"/>
                <w:highlight w:val="none"/>
              </w:rPr>
            </w:pPr>
          </w:p>
        </w:tc>
      </w:tr>
    </w:tbl>
    <w:p>
      <w:pPr>
        <w:autoSpaceDE w:val="0"/>
        <w:autoSpaceDN w:val="0"/>
        <w:adjustRightInd w:val="0"/>
        <w:spacing w:line="360" w:lineRule="atLeast"/>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p>
      <w:pPr>
        <w:spacing w:line="400" w:lineRule="atLeast"/>
        <w:jc w:val="center"/>
        <w:rPr>
          <w:rFonts w:ascii="宋体" w:hAnsi="宋体" w:cs="Arial"/>
          <w:color w:val="auto"/>
          <w:sz w:val="24"/>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pStyle w:val="72"/>
        <w:rPr>
          <w:color w:val="auto"/>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snapToGrid w:val="0"/>
        <w:spacing w:line="360" w:lineRule="auto"/>
        <w:rPr>
          <w:rFonts w:ascii="宋体" w:hAnsi="宋体"/>
          <w:b/>
          <w:color w:val="auto"/>
          <w:sz w:val="30"/>
          <w:szCs w:val="30"/>
          <w:highlight w:val="none"/>
          <w:shd w:val="clear" w:color="auto" w:fill="auto"/>
        </w:rPr>
      </w:pPr>
    </w:p>
    <w:p>
      <w:pPr>
        <w:jc w:val="center"/>
        <w:outlineLvl w:val="9"/>
        <w:rPr>
          <w:rFonts w:hint="eastAsia" w:ascii="宋体" w:hAnsi="宋体" w:eastAsia="宋体" w:cs="宋体"/>
          <w:b/>
          <w:bCs/>
          <w:color w:val="auto"/>
          <w:kern w:val="2"/>
          <w:sz w:val="24"/>
          <w:szCs w:val="24"/>
          <w:highlight w:val="none"/>
          <w:shd w:val="clear" w:color="auto" w:fill="auto"/>
          <w:lang w:val="en-US" w:eastAsia="zh-CN" w:bidi="ar-SA"/>
        </w:rPr>
      </w:pPr>
      <w:bookmarkStart w:id="179" w:name="_Toc13020"/>
      <w:r>
        <w:rPr>
          <w:rFonts w:hint="eastAsia" w:ascii="宋体" w:hAnsi="宋体" w:eastAsia="宋体" w:cs="宋体"/>
          <w:b/>
          <w:bCs/>
          <w:color w:val="auto"/>
          <w:kern w:val="2"/>
          <w:sz w:val="24"/>
          <w:szCs w:val="24"/>
          <w:highlight w:val="none"/>
          <w:shd w:val="clear" w:color="auto" w:fill="auto"/>
          <w:lang w:val="en-US" w:eastAsia="zh-CN" w:bidi="ar-SA"/>
        </w:rPr>
        <w:br w:type="page"/>
      </w:r>
      <w:r>
        <w:rPr>
          <w:rFonts w:hint="eastAsia" w:ascii="宋体" w:hAnsi="宋体" w:eastAsia="宋体" w:cs="宋体"/>
          <w:b/>
          <w:bCs/>
          <w:color w:val="auto"/>
          <w:kern w:val="2"/>
          <w:sz w:val="24"/>
          <w:szCs w:val="24"/>
          <w:highlight w:val="none"/>
          <w:shd w:val="clear" w:color="auto" w:fill="auto"/>
          <w:lang w:val="en-US" w:eastAsia="zh-CN" w:bidi="ar-SA"/>
        </w:rPr>
        <w:t>拟派团队成员一览表</w:t>
      </w:r>
      <w:bookmarkEnd w:id="179"/>
    </w:p>
    <w:tbl>
      <w:tblPr>
        <w:tblStyle w:val="31"/>
        <w:tblpPr w:leftFromText="180" w:rightFromText="180" w:vertAnchor="text" w:horzAnchor="page" w:tblpX="1805" w:tblpY="865"/>
        <w:tblOverlap w:val="never"/>
        <w:tblW w:w="8583" w:type="dxa"/>
        <w:tblInd w:w="0" w:type="dxa"/>
        <w:tblLayout w:type="fixed"/>
        <w:tblCellMar>
          <w:top w:w="0" w:type="dxa"/>
          <w:left w:w="108" w:type="dxa"/>
          <w:bottom w:w="0" w:type="dxa"/>
          <w:right w:w="108" w:type="dxa"/>
        </w:tblCellMar>
      </w:tblPr>
      <w:tblGrid>
        <w:gridCol w:w="726"/>
        <w:gridCol w:w="954"/>
        <w:gridCol w:w="807"/>
        <w:gridCol w:w="1203"/>
        <w:gridCol w:w="825"/>
        <w:gridCol w:w="1680"/>
        <w:gridCol w:w="1566"/>
        <w:gridCol w:w="822"/>
      </w:tblGrid>
      <w:tr>
        <w:tblPrEx>
          <w:tblCellMar>
            <w:top w:w="0" w:type="dxa"/>
            <w:left w:w="108" w:type="dxa"/>
            <w:bottom w:w="0" w:type="dxa"/>
            <w:right w:w="108" w:type="dxa"/>
          </w:tblCellMar>
        </w:tblPrEx>
        <w:trPr>
          <w:trHeight w:val="94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序号</w:t>
            </w: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姓名</w:t>
            </w: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性别</w:t>
            </w: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出生年月</w:t>
            </w: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学历</w:t>
            </w: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具有的相关从业资格证书</w:t>
            </w: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在本项目</w:t>
            </w:r>
            <w:r>
              <w:rPr>
                <w:rFonts w:hint="eastAsia" w:ascii="宋体" w:hAnsi="宋体" w:eastAsia="宋体" w:cs="宋体"/>
                <w:color w:val="auto"/>
                <w:sz w:val="21"/>
                <w:szCs w:val="21"/>
                <w:highlight w:val="none"/>
                <w:shd w:val="clear" w:color="auto" w:fill="auto"/>
              </w:rPr>
              <w:t>中</w:t>
            </w:r>
            <w:r>
              <w:rPr>
                <w:rFonts w:hint="eastAsia" w:ascii="宋体" w:hAnsi="宋体" w:eastAsia="宋体" w:cs="宋体"/>
                <w:color w:val="auto"/>
                <w:sz w:val="21"/>
                <w:szCs w:val="21"/>
                <w:highlight w:val="none"/>
                <w:shd w:val="clear" w:color="auto" w:fill="auto"/>
                <w:lang w:val="zh-CN"/>
              </w:rPr>
              <w:t>担任职务</w:t>
            </w: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主要经历</w:t>
            </w: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68"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0"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r>
        <w:tblPrEx>
          <w:tblCellMar>
            <w:top w:w="0" w:type="dxa"/>
            <w:left w:w="108" w:type="dxa"/>
            <w:bottom w:w="0" w:type="dxa"/>
            <w:right w:w="108" w:type="dxa"/>
          </w:tblCellMar>
        </w:tblPrEx>
        <w:trPr>
          <w:trHeight w:val="473" w:hRule="atLeast"/>
        </w:trPr>
        <w:tc>
          <w:tcPr>
            <w:tcW w:w="72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0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20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6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156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360" w:lineRule="atLeast"/>
              <w:jc w:val="center"/>
              <w:rPr>
                <w:rFonts w:ascii="宋体" w:hAnsi="宋体" w:eastAsia="宋体" w:cs="宋体"/>
                <w:color w:val="auto"/>
                <w:sz w:val="21"/>
                <w:szCs w:val="21"/>
                <w:highlight w:val="none"/>
                <w:shd w:val="clear" w:color="auto" w:fill="auto"/>
              </w:rPr>
            </w:pPr>
          </w:p>
        </w:tc>
      </w:tr>
    </w:tbl>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 xml:space="preserve">项目名称： </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注：</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zh-CN"/>
        </w:rPr>
        <w:t>凡表中所列人员必须参与项目的实施；</w:t>
      </w:r>
      <w:r>
        <w:rPr>
          <w:rFonts w:hint="eastAsia" w:ascii="宋体" w:hAnsi="宋体" w:eastAsia="宋体" w:cs="宋体"/>
          <w:color w:val="auto"/>
          <w:sz w:val="21"/>
          <w:szCs w:val="21"/>
          <w:highlight w:val="none"/>
          <w:shd w:val="clear" w:color="auto" w:fill="auto"/>
        </w:rPr>
        <w:t xml:space="preserve"> </w:t>
      </w:r>
    </w:p>
    <w:p>
      <w:pPr>
        <w:autoSpaceDE w:val="0"/>
        <w:autoSpaceDN w:val="0"/>
        <w:adjustRightInd w:val="0"/>
        <w:spacing w:line="360" w:lineRule="atLeast"/>
        <w:rPr>
          <w:rFonts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zh-CN"/>
        </w:rPr>
        <w:t>在本项目担任职务指项目负责人、技术负责人、项目成员等；</w:t>
      </w:r>
    </w:p>
    <w:p>
      <w:pPr>
        <w:autoSpaceDE w:val="0"/>
        <w:autoSpaceDN w:val="0"/>
        <w:adjustRightInd w:val="0"/>
        <w:spacing w:line="360" w:lineRule="atLeast"/>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zh-CN"/>
        </w:rPr>
        <w:t>3．应同时提</w:t>
      </w:r>
      <w:r>
        <w:rPr>
          <w:rFonts w:hint="eastAsia" w:ascii="宋体" w:hAnsi="宋体" w:eastAsia="宋体" w:cs="宋体"/>
          <w:color w:val="auto"/>
          <w:sz w:val="21"/>
          <w:szCs w:val="21"/>
          <w:highlight w:val="none"/>
          <w:shd w:val="clear" w:color="auto" w:fill="auto"/>
        </w:rPr>
        <w:t>交</w:t>
      </w:r>
      <w:r>
        <w:rPr>
          <w:rFonts w:hint="eastAsia" w:ascii="宋体" w:hAnsi="宋体" w:eastAsia="宋体" w:cs="宋体"/>
          <w:color w:val="auto"/>
          <w:sz w:val="21"/>
          <w:szCs w:val="21"/>
          <w:highlight w:val="none"/>
          <w:shd w:val="clear" w:color="auto" w:fill="auto"/>
          <w:lang w:val="zh-CN"/>
        </w:rPr>
        <w:t>项目成员</w:t>
      </w:r>
      <w:r>
        <w:rPr>
          <w:rFonts w:hint="eastAsia" w:ascii="宋体" w:hAnsi="宋体" w:eastAsia="宋体" w:cs="宋体"/>
          <w:color w:val="auto"/>
          <w:sz w:val="21"/>
          <w:szCs w:val="21"/>
          <w:highlight w:val="none"/>
          <w:shd w:val="clear" w:color="auto" w:fill="auto"/>
        </w:rPr>
        <w:t>相关资质的证明材料：如身份证复印件、经历等。</w:t>
      </w:r>
    </w:p>
    <w:p>
      <w:pPr>
        <w:snapToGrid w:val="0"/>
        <w:spacing w:line="480" w:lineRule="auto"/>
        <w:ind w:right="105" w:rightChars="50"/>
        <w:rPr>
          <w:rFonts w:ascii="宋体" w:hAnsi="宋体"/>
          <w:color w:val="auto"/>
          <w:sz w:val="21"/>
          <w:szCs w:val="21"/>
          <w:highlight w:val="none"/>
          <w:shd w:val="clear" w:color="auto" w:fill="auto"/>
        </w:rPr>
      </w:pPr>
    </w:p>
    <w:p>
      <w:pPr>
        <w:snapToGrid w:val="0"/>
        <w:spacing w:line="480" w:lineRule="auto"/>
        <w:ind w:right="105" w:rightChars="50"/>
        <w:rPr>
          <w:rFonts w:ascii="宋体" w:hAnsi="宋体"/>
          <w:color w:val="auto"/>
          <w:sz w:val="21"/>
          <w:szCs w:val="21"/>
          <w:highlight w:val="none"/>
          <w:shd w:val="clear" w:color="auto" w:fill="auto"/>
        </w:rPr>
      </w:pPr>
    </w:p>
    <w:p>
      <w:pPr>
        <w:widowControl/>
        <w:autoSpaceDE w:val="0"/>
        <w:autoSpaceDN w:val="0"/>
        <w:adjustRightInd w:val="0"/>
        <w:spacing w:line="360" w:lineRule="auto"/>
        <w:jc w:val="left"/>
        <w:rPr>
          <w:rFonts w:ascii="宋体" w:hAnsi="宋体"/>
          <w:color w:val="auto"/>
          <w:kern w:val="0"/>
          <w:sz w:val="21"/>
          <w:szCs w:val="21"/>
          <w:highlight w:val="none"/>
          <w:shd w:val="clear" w:color="auto" w:fill="auto"/>
        </w:rPr>
      </w:pPr>
    </w:p>
    <w:p>
      <w:pPr>
        <w:snapToGrid w:val="0"/>
        <w:spacing w:line="360" w:lineRule="auto"/>
        <w:rPr>
          <w:rFonts w:ascii="宋体" w:hAnsi="宋体"/>
          <w:b/>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pStyle w:val="72"/>
        <w:rPr>
          <w:color w:val="auto"/>
          <w:sz w:val="21"/>
          <w:szCs w:val="21"/>
          <w:highlight w:val="none"/>
          <w:shd w:val="clear" w:color="auto" w:fill="auto"/>
        </w:rPr>
      </w:pPr>
    </w:p>
    <w:p>
      <w:pPr>
        <w:jc w:val="center"/>
        <w:rPr>
          <w:rFonts w:hint="eastAsia" w:ascii="宋体" w:hAnsi="宋体" w:eastAsia="宋体" w:cs="宋体"/>
          <w:b/>
          <w:bCs/>
          <w:color w:val="auto"/>
          <w:sz w:val="28"/>
          <w:szCs w:val="32"/>
          <w:highlight w:val="none"/>
          <w:shd w:val="clear" w:color="auto" w:fill="auto"/>
          <w:lang w:eastAsia="zh-CN"/>
        </w:rPr>
      </w:pPr>
      <w:r>
        <w:rPr>
          <w:rFonts w:hint="eastAsia" w:ascii="宋体" w:hAnsi="宋体" w:eastAsia="宋体" w:cs="宋体"/>
          <w:b/>
          <w:bCs/>
          <w:color w:val="auto"/>
          <w:sz w:val="21"/>
          <w:szCs w:val="21"/>
          <w:highlight w:val="none"/>
          <w:shd w:val="clear" w:color="auto" w:fill="auto"/>
        </w:rPr>
        <w:br w:type="page"/>
      </w:r>
      <w:r>
        <w:rPr>
          <w:rFonts w:hint="eastAsia" w:ascii="宋体" w:hAnsi="宋体" w:eastAsia="宋体" w:cs="宋体"/>
          <w:b/>
          <w:bCs/>
          <w:color w:val="auto"/>
          <w:sz w:val="24"/>
          <w:highlight w:val="none"/>
          <w:shd w:val="clear" w:color="auto" w:fill="auto"/>
        </w:rPr>
        <w:t>拟派服务团队经验业绩表</w:t>
      </w:r>
      <w:r>
        <w:rPr>
          <w:rFonts w:hint="eastAsia" w:ascii="宋体" w:hAnsi="宋体" w:cs="宋体"/>
          <w:b/>
          <w:bCs/>
          <w:color w:val="auto"/>
          <w:sz w:val="24"/>
          <w:highlight w:val="none"/>
          <w:shd w:val="clear" w:color="auto" w:fill="auto"/>
          <w:lang w:eastAsia="zh-CN"/>
        </w:rPr>
        <w:t>（</w:t>
      </w:r>
      <w:r>
        <w:rPr>
          <w:rFonts w:hint="eastAsia" w:ascii="宋体" w:hAnsi="宋体" w:cs="宋体"/>
          <w:b/>
          <w:bCs/>
          <w:color w:val="auto"/>
          <w:sz w:val="24"/>
          <w:highlight w:val="none"/>
          <w:shd w:val="clear" w:color="auto" w:fill="auto"/>
          <w:lang w:val="en-US" w:eastAsia="zh-CN"/>
        </w:rPr>
        <w:t>如有</w:t>
      </w:r>
      <w:r>
        <w:rPr>
          <w:rFonts w:hint="eastAsia" w:ascii="宋体" w:hAnsi="宋体" w:cs="宋体"/>
          <w:b/>
          <w:bCs/>
          <w:color w:val="auto"/>
          <w:sz w:val="24"/>
          <w:highlight w:val="none"/>
          <w:shd w:val="clear" w:color="auto" w:fill="auto"/>
          <w:lang w:eastAsia="zh-CN"/>
        </w:rPr>
        <w:t>）</w:t>
      </w:r>
    </w:p>
    <w:p>
      <w:pPr>
        <w:rPr>
          <w:rFonts w:ascii="宋体" w:hAnsi="宋体" w:eastAsia="宋体" w:cs="宋体"/>
          <w:color w:val="auto"/>
          <w:sz w:val="24"/>
          <w:highlight w:val="none"/>
          <w:shd w:val="clear" w:color="auto" w:fill="auto"/>
        </w:rPr>
      </w:pPr>
    </w:p>
    <w:p>
      <w:pPr>
        <w:rPr>
          <w:rFonts w:ascii="宋体" w:hAnsi="宋体" w:eastAsia="宋体" w:cs="宋体"/>
          <w:color w:val="auto"/>
          <w:sz w:val="24"/>
          <w:highlight w:val="none"/>
          <w:shd w:val="clear" w:color="auto" w:fill="auto"/>
        </w:rPr>
      </w:pPr>
    </w:p>
    <w:tbl>
      <w:tblPr>
        <w:tblStyle w:val="31"/>
        <w:tblpPr w:leftFromText="180" w:rightFromText="180" w:vertAnchor="text" w:horzAnchor="page" w:tblpX="1122" w:tblpY="302"/>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412"/>
        <w:gridCol w:w="3657"/>
        <w:gridCol w:w="139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412"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　区</w:t>
            </w:r>
          </w:p>
        </w:tc>
        <w:tc>
          <w:tcPr>
            <w:tcW w:w="3657"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1396"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金　额</w:t>
            </w:r>
          </w:p>
        </w:tc>
        <w:tc>
          <w:tcPr>
            <w:tcW w:w="1444" w:type="dxa"/>
            <w:noWrap w:val="0"/>
            <w:vAlign w:val="center"/>
          </w:tcPr>
          <w:p>
            <w:pPr>
              <w:jc w:val="center"/>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16" w:type="dxa"/>
            <w:noWrap w:val="0"/>
            <w:vAlign w:val="center"/>
          </w:tcPr>
          <w:p>
            <w:pPr>
              <w:jc w:val="center"/>
              <w:rPr>
                <w:rFonts w:ascii="宋体" w:hAnsi="宋体" w:eastAsia="宋体" w:cs="宋体"/>
                <w:color w:val="auto"/>
                <w:sz w:val="21"/>
                <w:szCs w:val="21"/>
                <w:highlight w:val="none"/>
                <w:shd w:val="clear" w:color="auto" w:fill="auto"/>
              </w:rPr>
            </w:pPr>
          </w:p>
        </w:tc>
        <w:tc>
          <w:tcPr>
            <w:tcW w:w="1412" w:type="dxa"/>
            <w:noWrap w:val="0"/>
            <w:vAlign w:val="center"/>
          </w:tcPr>
          <w:p>
            <w:pPr>
              <w:jc w:val="center"/>
              <w:rPr>
                <w:rFonts w:ascii="宋体" w:hAnsi="宋体" w:eastAsia="宋体" w:cs="宋体"/>
                <w:color w:val="auto"/>
                <w:sz w:val="21"/>
                <w:szCs w:val="21"/>
                <w:highlight w:val="none"/>
                <w:shd w:val="clear" w:color="auto" w:fill="auto"/>
              </w:rPr>
            </w:pPr>
          </w:p>
        </w:tc>
        <w:tc>
          <w:tcPr>
            <w:tcW w:w="3657" w:type="dxa"/>
            <w:noWrap w:val="0"/>
            <w:vAlign w:val="center"/>
          </w:tcPr>
          <w:p>
            <w:pPr>
              <w:jc w:val="center"/>
              <w:rPr>
                <w:rFonts w:ascii="宋体" w:hAnsi="宋体" w:eastAsia="宋体" w:cs="宋体"/>
                <w:color w:val="auto"/>
                <w:sz w:val="21"/>
                <w:szCs w:val="21"/>
                <w:highlight w:val="none"/>
                <w:shd w:val="clear" w:color="auto" w:fill="auto"/>
              </w:rPr>
            </w:pPr>
          </w:p>
        </w:tc>
        <w:tc>
          <w:tcPr>
            <w:tcW w:w="1396" w:type="dxa"/>
            <w:noWrap w:val="0"/>
            <w:vAlign w:val="center"/>
          </w:tcPr>
          <w:p>
            <w:pPr>
              <w:jc w:val="center"/>
              <w:rPr>
                <w:rFonts w:ascii="宋体" w:hAnsi="宋体" w:eastAsia="宋体" w:cs="宋体"/>
                <w:color w:val="auto"/>
                <w:sz w:val="21"/>
                <w:szCs w:val="21"/>
                <w:highlight w:val="none"/>
                <w:shd w:val="clear" w:color="auto" w:fill="auto"/>
              </w:rPr>
            </w:pPr>
          </w:p>
        </w:tc>
        <w:tc>
          <w:tcPr>
            <w:tcW w:w="1444" w:type="dxa"/>
            <w:noWrap w:val="0"/>
            <w:vAlign w:val="center"/>
          </w:tcPr>
          <w:p>
            <w:pPr>
              <w:jc w:val="center"/>
              <w:rPr>
                <w:rFonts w:ascii="宋体" w:hAnsi="宋体" w:eastAsia="宋体" w:cs="宋体"/>
                <w:color w:val="auto"/>
                <w:sz w:val="21"/>
                <w:szCs w:val="21"/>
                <w:highlight w:val="none"/>
                <w:shd w:val="clear" w:color="auto" w:fill="auto"/>
              </w:rPr>
            </w:pPr>
          </w:p>
        </w:tc>
      </w:tr>
    </w:tbl>
    <w:p>
      <w:pPr>
        <w:rPr>
          <w:rFonts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投标人名称（公章）：</w:t>
      </w:r>
      <w:r>
        <w:rPr>
          <w:rFonts w:hint="eastAsia" w:ascii="宋体" w:hAnsi="宋体" w:eastAsia="宋体" w:cs="宋体"/>
          <w:color w:val="auto"/>
          <w:sz w:val="21"/>
          <w:szCs w:val="21"/>
          <w:highlight w:val="none"/>
          <w:u w:val="single"/>
          <w:shd w:val="clear" w:color="auto" w:fill="auto"/>
        </w:rPr>
        <w:t xml:space="preserve">         　　　　　  </w:t>
      </w:r>
    </w:p>
    <w:p>
      <w:pPr>
        <w:snapToGrid w:val="0"/>
        <w:spacing w:line="480" w:lineRule="auto"/>
        <w:ind w:right="105" w:rightChars="50"/>
        <w:jc w:val="center"/>
        <w:rPr>
          <w:rFonts w:ascii="宋体" w:hAnsi="宋体"/>
          <w:color w:val="auto"/>
          <w:spacing w:val="-2"/>
          <w:sz w:val="24"/>
          <w:szCs w:val="24"/>
          <w:highlight w:val="none"/>
          <w:shd w:val="clear" w:color="auto" w:fill="auto"/>
        </w:rPr>
      </w:pPr>
    </w:p>
    <w:p>
      <w:pPr>
        <w:pStyle w:val="13"/>
        <w:tabs>
          <w:tab w:val="left" w:pos="567"/>
        </w:tabs>
        <w:rPr>
          <w:rFonts w:hint="eastAsia" w:ascii="仿宋" w:hAnsi="仿宋" w:eastAsia="仿宋" w:cs="仿宋"/>
          <w:color w:val="auto"/>
          <w:highlight w:val="none"/>
          <w:shd w:val="clear" w:color="auto" w:fill="auto"/>
        </w:rPr>
      </w:pPr>
    </w:p>
    <w:p>
      <w:pPr>
        <w:pStyle w:val="13"/>
        <w:tabs>
          <w:tab w:val="left" w:pos="567"/>
        </w:tabs>
        <w:rPr>
          <w:rFonts w:hint="eastAsia" w:ascii="仿宋" w:hAnsi="仿宋" w:eastAsia="仿宋" w:cs="仿宋"/>
          <w:color w:val="auto"/>
          <w:highlight w:val="none"/>
          <w:shd w:val="clear" w:color="auto" w:fill="auto"/>
        </w:rPr>
      </w:pPr>
    </w:p>
    <w:p>
      <w:pPr>
        <w:spacing w:line="360" w:lineRule="auto"/>
        <w:rPr>
          <w:rFonts w:hint="eastAsia" w:ascii="仿宋" w:hAnsi="仿宋" w:eastAsia="仿宋" w:cs="仿宋"/>
          <w:color w:val="auto"/>
          <w:szCs w:val="21"/>
          <w:highlight w:val="none"/>
          <w:shd w:val="clear" w:color="auto" w:fill="auto"/>
        </w:rPr>
      </w:pPr>
      <w:r>
        <w:rPr>
          <w:rFonts w:hint="eastAsia" w:ascii="仿宋" w:hAnsi="仿宋" w:eastAsia="仿宋" w:cs="仿宋"/>
          <w:b/>
          <w:bCs/>
          <w:color w:val="auto"/>
          <w:szCs w:val="21"/>
          <w:highlight w:val="none"/>
          <w:shd w:val="clear" w:color="auto" w:fill="auto"/>
        </w:rPr>
        <w:br w:type="page"/>
      </w:r>
    </w:p>
    <w:p>
      <w:pPr>
        <w:numPr>
          <w:ilvl w:val="0"/>
          <w:numId w:val="0"/>
        </w:numPr>
        <w:adjustRightInd/>
        <w:spacing w:line="360" w:lineRule="auto"/>
        <w:jc w:val="both"/>
        <w:textAlignment w:val="auto"/>
        <w:rPr>
          <w:rFonts w:hint="eastAsia" w:ascii="宋体" w:hAnsi="宋体" w:cs="宋体"/>
          <w:color w:val="auto"/>
          <w:szCs w:val="24"/>
          <w:highlight w:val="none"/>
          <w:u w:val="single"/>
          <w:shd w:val="clear" w:color="auto" w:fill="auto"/>
        </w:rPr>
      </w:pPr>
      <w:r>
        <w:rPr>
          <w:rFonts w:hint="eastAsia" w:ascii="宋体" w:hAnsi="宋体" w:eastAsia="宋体" w:cs="宋体"/>
          <w:color w:val="auto"/>
          <w:sz w:val="24"/>
          <w:szCs w:val="24"/>
          <w:highlight w:val="none"/>
          <w:shd w:val="clear" w:color="auto" w:fill="auto"/>
        </w:rPr>
        <w:t>其他竞争性磋商文件要求的或供应商认为有必要提供的技术方案性文件。</w:t>
      </w: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41"/>
        <w:rPr>
          <w:rFonts w:hint="eastAsia"/>
          <w:color w:val="auto"/>
          <w:highlight w:val="none"/>
          <w:shd w:val="clear" w:color="auto" w:fill="auto"/>
        </w:rPr>
      </w:pPr>
    </w:p>
    <w:p>
      <w:pPr>
        <w:pStyle w:val="2"/>
        <w:ind w:left="0" w:leftChars="0" w:firstLine="0" w:firstLineChars="0"/>
        <w:rPr>
          <w:rFonts w:hint="eastAsia" w:hAnsi="宋体" w:cs="宋体"/>
          <w:color w:val="auto"/>
          <w:sz w:val="24"/>
          <w:highlight w:val="none"/>
          <w:shd w:val="clear" w:color="auto" w:fill="auto"/>
        </w:rPr>
      </w:pPr>
      <w:bookmarkStart w:id="180" w:name="_Hlt151190216"/>
      <w:bookmarkEnd w:id="180"/>
      <w:bookmarkStart w:id="181" w:name="_Toc480316162"/>
      <w:bookmarkStart w:id="182" w:name="_Toc32426"/>
    </w:p>
    <w:bookmarkEnd w:id="181"/>
    <w:bookmarkEnd w:id="182"/>
    <w:p>
      <w:pPr>
        <w:tabs>
          <w:tab w:val="left" w:pos="5580"/>
        </w:tabs>
        <w:spacing w:line="360" w:lineRule="auto"/>
        <w:outlineLvl w:val="2"/>
        <w:rPr>
          <w:rFonts w:hint="eastAsia" w:ascii="宋体" w:hAnsi="宋体" w:cs="宋体"/>
          <w:color w:val="auto"/>
          <w:szCs w:val="24"/>
          <w:highlight w:val="none"/>
          <w:shd w:val="clear" w:color="auto" w:fill="auto"/>
          <w:lang w:val="en-US" w:eastAsia="zh-CN"/>
        </w:rPr>
      </w:pPr>
      <w:bookmarkStart w:id="183" w:name="_Toc11049"/>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符合技术</w:t>
      </w:r>
      <w:r>
        <w:rPr>
          <w:rFonts w:hint="eastAsia" w:ascii="宋体" w:hAnsi="宋体" w:cs="宋体"/>
          <w:color w:val="auto"/>
          <w:sz w:val="24"/>
          <w:szCs w:val="24"/>
          <w:highlight w:val="none"/>
          <w:shd w:val="clear" w:color="auto" w:fill="auto"/>
          <w:lang w:val="en-US" w:eastAsia="zh-CN"/>
        </w:rPr>
        <w:t>服务</w:t>
      </w:r>
      <w:r>
        <w:rPr>
          <w:rFonts w:hint="eastAsia" w:ascii="宋体" w:hAnsi="宋体" w:eastAsia="宋体" w:cs="宋体"/>
          <w:color w:val="auto"/>
          <w:sz w:val="24"/>
          <w:szCs w:val="24"/>
          <w:highlight w:val="none"/>
          <w:shd w:val="clear" w:color="auto" w:fill="auto"/>
          <w:lang w:eastAsia="zh-CN"/>
        </w:rPr>
        <w:t>及要求的证明资料</w:t>
      </w:r>
      <w:bookmarkEnd w:id="183"/>
      <w:r>
        <w:rPr>
          <w:rFonts w:hint="eastAsia" w:ascii="宋体" w:hAnsi="宋体" w:cs="宋体"/>
          <w:color w:val="auto"/>
          <w:szCs w:val="24"/>
          <w:highlight w:val="none"/>
          <w:shd w:val="clear" w:color="auto" w:fill="auto"/>
          <w:lang w:val="en-US" w:eastAsia="zh-CN"/>
        </w:rPr>
        <w:t xml:space="preserve"> </w:t>
      </w: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eastAsia" w:ascii="宋体" w:hAnsi="宋体" w:eastAsia="宋体" w:cs="宋体"/>
          <w:color w:val="auto"/>
          <w:sz w:val="24"/>
          <w:szCs w:val="24"/>
          <w:highlight w:val="none"/>
          <w:shd w:val="clear" w:color="auto" w:fill="auto"/>
        </w:rPr>
      </w:pPr>
    </w:p>
    <w:p>
      <w:pPr>
        <w:rPr>
          <w:rFonts w:hint="default" w:ascii="宋体" w:hAnsi="宋体" w:eastAsia="宋体" w:cs="宋体"/>
          <w:color w:val="auto"/>
          <w:sz w:val="24"/>
          <w:szCs w:val="24"/>
          <w:highlight w:val="none"/>
          <w:shd w:val="clear" w:color="auto" w:fill="auto"/>
          <w:lang w:val="en-US"/>
        </w:rPr>
        <w:sectPr>
          <w:headerReference r:id="rId6" w:type="default"/>
          <w:pgSz w:w="11907" w:h="16840"/>
          <w:pgMar w:top="1440" w:right="1134" w:bottom="1440" w:left="1701" w:header="850" w:footer="992" w:gutter="0"/>
          <w:pgBorders>
            <w:top w:val="none" w:sz="0" w:space="0"/>
            <w:left w:val="none" w:sz="0" w:space="0"/>
            <w:bottom w:val="none" w:sz="0" w:space="0"/>
            <w:right w:val="none" w:sz="0" w:space="0"/>
          </w:pgBorders>
          <w:cols w:space="720" w:num="1"/>
          <w:docGrid w:linePitch="326" w:charSpace="0"/>
        </w:sectPr>
      </w:pPr>
      <w:r>
        <w:rPr>
          <w:rFonts w:hint="eastAsia" w:ascii="宋体" w:hAnsi="宋体" w:eastAsia="宋体" w:cs="宋体"/>
          <w:color w:val="auto"/>
          <w:sz w:val="24"/>
          <w:szCs w:val="24"/>
          <w:highlight w:val="none"/>
          <w:shd w:val="clear" w:color="auto" w:fill="auto"/>
        </w:rPr>
        <w:t>附件</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cs="宋体"/>
          <w:color w:val="auto"/>
          <w:sz w:val="24"/>
          <w:szCs w:val="24"/>
          <w:highlight w:val="none"/>
          <w:shd w:val="clear" w:color="auto" w:fill="auto"/>
          <w:lang w:val="en-US" w:eastAsia="zh-CN"/>
        </w:rPr>
        <w:t xml:space="preserve">3 </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shd w:val="clear" w:color="auto" w:fill="auto"/>
          <w:lang w:eastAsia="zh-CN"/>
        </w:rPr>
        <w:t>认为需要提供的其他</w:t>
      </w:r>
      <w:r>
        <w:rPr>
          <w:rFonts w:hint="eastAsia" w:ascii="宋体" w:hAnsi="宋体" w:cs="宋体"/>
          <w:color w:val="auto"/>
          <w:sz w:val="24"/>
          <w:szCs w:val="24"/>
          <w:highlight w:val="none"/>
          <w:shd w:val="clear" w:color="auto" w:fill="auto"/>
          <w:lang w:val="en-US" w:eastAsia="zh-CN"/>
        </w:rPr>
        <w:t>材料</w:t>
      </w:r>
    </w:p>
    <w:p>
      <w:pPr>
        <w:tabs>
          <w:tab w:val="left" w:pos="2756"/>
        </w:tabs>
        <w:jc w:val="center"/>
        <w:outlineLvl w:val="1"/>
        <w:rPr>
          <w:rFonts w:hint="eastAsia" w:ascii="宋体" w:hAnsi="宋体" w:cs="宋体"/>
          <w:b/>
          <w:bCs/>
          <w:color w:val="auto"/>
          <w:sz w:val="28"/>
          <w:szCs w:val="28"/>
          <w:highlight w:val="none"/>
          <w:shd w:val="clear" w:color="auto" w:fill="auto"/>
        </w:rPr>
      </w:pPr>
      <w:bookmarkStart w:id="184" w:name="_Toc14958"/>
      <w:bookmarkStart w:id="185" w:name="_Toc19763"/>
      <w:bookmarkStart w:id="186" w:name="_Toc18035"/>
      <w:r>
        <w:rPr>
          <w:rFonts w:hint="eastAsia" w:ascii="宋体" w:hAnsi="宋体" w:cs="宋体"/>
          <w:b/>
          <w:bCs/>
          <w:color w:val="auto"/>
          <w:sz w:val="28"/>
          <w:szCs w:val="28"/>
          <w:highlight w:val="none"/>
          <w:shd w:val="clear" w:color="auto" w:fill="auto"/>
        </w:rPr>
        <w:t>第六章　项目采购需求</w:t>
      </w:r>
      <w:bookmarkEnd w:id="184"/>
      <w:bookmarkEnd w:id="185"/>
      <w:bookmarkEnd w:id="186"/>
    </w:p>
    <w:p>
      <w:pPr>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1、货物一览表</w:t>
      </w:r>
    </w:p>
    <w:tbl>
      <w:tblPr>
        <w:tblStyle w:val="31"/>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0"/>
        <w:gridCol w:w="1985"/>
        <w:gridCol w:w="1012"/>
        <w:gridCol w:w="915"/>
        <w:gridCol w:w="1800"/>
        <w:gridCol w:w="1321"/>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jc w:val="center"/>
        </w:trPr>
        <w:tc>
          <w:tcPr>
            <w:tcW w:w="1230"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标项序号</w:t>
            </w:r>
          </w:p>
        </w:tc>
        <w:tc>
          <w:tcPr>
            <w:tcW w:w="1985"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标项名称</w:t>
            </w:r>
          </w:p>
        </w:tc>
        <w:tc>
          <w:tcPr>
            <w:tcW w:w="1012"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数量</w:t>
            </w:r>
          </w:p>
        </w:tc>
        <w:tc>
          <w:tcPr>
            <w:tcW w:w="915"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单位</w:t>
            </w:r>
          </w:p>
        </w:tc>
        <w:tc>
          <w:tcPr>
            <w:tcW w:w="1800"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预算</w:t>
            </w:r>
            <w:r>
              <w:rPr>
                <w:rFonts w:hint="eastAsia" w:ascii="宋体" w:hAnsi="宋体" w:cs="宋体"/>
                <w:color w:val="auto"/>
                <w:kern w:val="0"/>
                <w:sz w:val="21"/>
                <w:szCs w:val="21"/>
                <w:highlight w:val="none"/>
                <w:lang w:val="en-US" w:eastAsia="zh-CN" w:bidi="ar"/>
              </w:rPr>
              <w:t>单价</w:t>
            </w:r>
            <w:r>
              <w:rPr>
                <w:rFonts w:hint="eastAsia" w:ascii="宋体" w:hAnsi="宋体" w:cs="宋体"/>
                <w:color w:val="auto"/>
                <w:kern w:val="0"/>
                <w:sz w:val="21"/>
                <w:szCs w:val="21"/>
                <w:highlight w:val="none"/>
                <w:lang w:bidi="ar"/>
              </w:rPr>
              <w:t>金额</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最高限价</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(元)</w:t>
            </w:r>
          </w:p>
        </w:tc>
        <w:tc>
          <w:tcPr>
            <w:tcW w:w="1321" w:type="dxa"/>
            <w:noWrap w:val="0"/>
            <w:tcMar>
              <w:top w:w="75" w:type="dxa"/>
              <w:left w:w="150" w:type="dxa"/>
              <w:bottom w:w="75" w:type="dxa"/>
              <w:right w:w="150" w:type="dxa"/>
            </w:tcMar>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技术需求</w:t>
            </w:r>
          </w:p>
        </w:tc>
        <w:tc>
          <w:tcPr>
            <w:tcW w:w="774"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4" w:hRule="atLeast"/>
          <w:jc w:val="center"/>
        </w:trPr>
        <w:tc>
          <w:tcPr>
            <w:tcW w:w="1230"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1985" w:type="dxa"/>
            <w:noWrap w:val="0"/>
            <w:tcMar>
              <w:top w:w="75" w:type="dxa"/>
              <w:left w:w="150" w:type="dxa"/>
              <w:bottom w:w="75" w:type="dxa"/>
              <w:right w:w="150" w:type="dxa"/>
            </w:tcMar>
            <w:vAlign w:val="center"/>
          </w:tcPr>
          <w:p>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拼装式狗笼子</w:t>
            </w:r>
          </w:p>
        </w:tc>
        <w:tc>
          <w:tcPr>
            <w:tcW w:w="1012" w:type="dxa"/>
            <w:noWrap w:val="0"/>
            <w:tcMar>
              <w:top w:w="75" w:type="dxa"/>
              <w:left w:w="150" w:type="dxa"/>
              <w:bottom w:w="75" w:type="dxa"/>
              <w:right w:w="150" w:type="dxa"/>
            </w:tcMar>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502</w:t>
            </w:r>
          </w:p>
        </w:tc>
        <w:tc>
          <w:tcPr>
            <w:tcW w:w="915" w:type="dxa"/>
            <w:noWrap w:val="0"/>
            <w:tcMar>
              <w:top w:w="75" w:type="dxa"/>
              <w:left w:w="150" w:type="dxa"/>
              <w:bottom w:w="75" w:type="dxa"/>
              <w:right w:w="150" w:type="dxa"/>
            </w:tcMar>
            <w:vAlign w:val="center"/>
          </w:tcPr>
          <w:p>
            <w:pPr>
              <w:widowControl/>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1800"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460</w:t>
            </w:r>
          </w:p>
        </w:tc>
        <w:tc>
          <w:tcPr>
            <w:tcW w:w="1321"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详见</w:t>
            </w:r>
            <w:r>
              <w:rPr>
                <w:rFonts w:hint="eastAsia" w:ascii="宋体" w:hAnsi="宋体" w:cs="宋体"/>
                <w:color w:val="auto"/>
                <w:kern w:val="0"/>
                <w:sz w:val="21"/>
                <w:szCs w:val="21"/>
                <w:highlight w:val="none"/>
                <w:lang w:val="en-US" w:eastAsia="zh-CN" w:bidi="ar"/>
              </w:rPr>
              <w:t>文件</w:t>
            </w:r>
          </w:p>
        </w:tc>
        <w:tc>
          <w:tcPr>
            <w:tcW w:w="774"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4" w:hRule="atLeast"/>
          <w:jc w:val="center"/>
        </w:trPr>
        <w:tc>
          <w:tcPr>
            <w:tcW w:w="1230" w:type="dxa"/>
            <w:noWrap w:val="0"/>
            <w:tcMar>
              <w:top w:w="75" w:type="dxa"/>
              <w:left w:w="150" w:type="dxa"/>
              <w:bottom w:w="75" w:type="dxa"/>
              <w:right w:w="150" w:type="dxa"/>
            </w:tcMar>
            <w:vAlign w:val="center"/>
          </w:tcPr>
          <w:p>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1985" w:type="dxa"/>
            <w:noWrap w:val="0"/>
            <w:tcMar>
              <w:top w:w="75" w:type="dxa"/>
              <w:left w:w="150" w:type="dxa"/>
              <w:bottom w:w="75" w:type="dxa"/>
              <w:right w:w="150" w:type="dxa"/>
            </w:tcMar>
            <w:vAlign w:val="center"/>
          </w:tcPr>
          <w:p>
            <w:pPr>
              <w:widowControl/>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伸缩抓捕网</w:t>
            </w:r>
          </w:p>
        </w:tc>
        <w:tc>
          <w:tcPr>
            <w:tcW w:w="1012" w:type="dxa"/>
            <w:noWrap w:val="0"/>
            <w:tcMar>
              <w:top w:w="75" w:type="dxa"/>
              <w:left w:w="150" w:type="dxa"/>
              <w:bottom w:w="75" w:type="dxa"/>
              <w:right w:w="150" w:type="dxa"/>
            </w:tcMar>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506</w:t>
            </w:r>
          </w:p>
        </w:tc>
        <w:tc>
          <w:tcPr>
            <w:tcW w:w="915" w:type="dxa"/>
            <w:noWrap w:val="0"/>
            <w:tcMar>
              <w:top w:w="75" w:type="dxa"/>
              <w:left w:w="150" w:type="dxa"/>
              <w:bottom w:w="75" w:type="dxa"/>
              <w:right w:w="150" w:type="dxa"/>
            </w:tcMar>
            <w:vAlign w:val="center"/>
          </w:tcPr>
          <w:p>
            <w:pPr>
              <w:widowControl/>
              <w:jc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个</w:t>
            </w:r>
          </w:p>
        </w:tc>
        <w:tc>
          <w:tcPr>
            <w:tcW w:w="1800"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380</w:t>
            </w:r>
          </w:p>
        </w:tc>
        <w:tc>
          <w:tcPr>
            <w:tcW w:w="1321" w:type="dxa"/>
            <w:noWrap w:val="0"/>
            <w:tcMar>
              <w:top w:w="75" w:type="dxa"/>
              <w:left w:w="150" w:type="dxa"/>
              <w:bottom w:w="75" w:type="dxa"/>
              <w:right w:w="150" w:type="dxa"/>
            </w:tcMar>
            <w:vAlign w:val="center"/>
          </w:tcPr>
          <w:p>
            <w:pPr>
              <w:widowControl/>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详见</w:t>
            </w:r>
            <w:r>
              <w:rPr>
                <w:rFonts w:hint="eastAsia" w:ascii="宋体" w:hAnsi="宋体" w:cs="宋体"/>
                <w:color w:val="auto"/>
                <w:kern w:val="0"/>
                <w:sz w:val="21"/>
                <w:szCs w:val="21"/>
                <w:highlight w:val="none"/>
                <w:lang w:val="en-US" w:eastAsia="zh-CN" w:bidi="ar"/>
              </w:rPr>
              <w:t>文件</w:t>
            </w:r>
          </w:p>
        </w:tc>
        <w:tc>
          <w:tcPr>
            <w:tcW w:w="774"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0" w:hRule="atLeast"/>
          <w:jc w:val="center"/>
        </w:trPr>
        <w:tc>
          <w:tcPr>
            <w:tcW w:w="1230" w:type="dxa"/>
            <w:noWrap w:val="0"/>
            <w:tcMar>
              <w:top w:w="75" w:type="dxa"/>
              <w:left w:w="150" w:type="dxa"/>
              <w:bottom w:w="75" w:type="dxa"/>
              <w:right w:w="150" w:type="dxa"/>
            </w:tcMar>
            <w:vAlign w:val="center"/>
          </w:tcPr>
          <w:p>
            <w:pPr>
              <w:widowControl/>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1985" w:type="dxa"/>
            <w:noWrap w:val="0"/>
            <w:tcMar>
              <w:top w:w="75" w:type="dxa"/>
              <w:left w:w="150" w:type="dxa"/>
              <w:bottom w:w="75" w:type="dxa"/>
              <w:right w:w="150" w:type="dxa"/>
            </w:tcMar>
            <w:vAlign w:val="center"/>
          </w:tcPr>
          <w:p>
            <w:pPr>
              <w:widowControl/>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防护手套</w:t>
            </w:r>
          </w:p>
        </w:tc>
        <w:tc>
          <w:tcPr>
            <w:tcW w:w="1012" w:type="dxa"/>
            <w:noWrap w:val="0"/>
            <w:tcMar>
              <w:top w:w="75" w:type="dxa"/>
              <w:left w:w="150" w:type="dxa"/>
              <w:bottom w:w="75" w:type="dxa"/>
              <w:right w:w="150" w:type="dxa"/>
            </w:tcMar>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508</w:t>
            </w:r>
          </w:p>
        </w:tc>
        <w:tc>
          <w:tcPr>
            <w:tcW w:w="915" w:type="dxa"/>
            <w:noWrap w:val="0"/>
            <w:tcMar>
              <w:top w:w="75" w:type="dxa"/>
              <w:left w:w="150" w:type="dxa"/>
              <w:bottom w:w="75" w:type="dxa"/>
              <w:right w:w="150" w:type="dxa"/>
            </w:tcMar>
            <w:vAlign w:val="center"/>
          </w:tcPr>
          <w:p>
            <w:pPr>
              <w:widowControl/>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双</w:t>
            </w:r>
          </w:p>
        </w:tc>
        <w:tc>
          <w:tcPr>
            <w:tcW w:w="1800"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290</w:t>
            </w:r>
          </w:p>
        </w:tc>
        <w:tc>
          <w:tcPr>
            <w:tcW w:w="1321" w:type="dxa"/>
            <w:noWrap w:val="0"/>
            <w:tcMar>
              <w:top w:w="75" w:type="dxa"/>
              <w:left w:w="150" w:type="dxa"/>
              <w:bottom w:w="75" w:type="dxa"/>
              <w:right w:w="150" w:type="dxa"/>
            </w:tcMar>
            <w:vAlign w:val="center"/>
          </w:tcPr>
          <w:p>
            <w:pPr>
              <w:widowControl/>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详见</w:t>
            </w:r>
            <w:r>
              <w:rPr>
                <w:rFonts w:hint="eastAsia" w:ascii="宋体" w:hAnsi="宋体" w:cs="宋体"/>
                <w:color w:val="auto"/>
                <w:kern w:val="0"/>
                <w:sz w:val="21"/>
                <w:szCs w:val="21"/>
                <w:highlight w:val="none"/>
                <w:lang w:val="en-US" w:eastAsia="zh-CN" w:bidi="ar"/>
              </w:rPr>
              <w:t>文件</w:t>
            </w:r>
          </w:p>
        </w:tc>
        <w:tc>
          <w:tcPr>
            <w:tcW w:w="774" w:type="dxa"/>
            <w:noWrap w:val="0"/>
            <w:tcMar>
              <w:top w:w="75" w:type="dxa"/>
              <w:left w:w="150" w:type="dxa"/>
              <w:bottom w:w="75" w:type="dxa"/>
              <w:right w:w="150" w:type="dxa"/>
            </w:tcMar>
            <w:vAlign w:val="center"/>
          </w:tcPr>
          <w:p>
            <w:pPr>
              <w:widowControl/>
              <w:jc w:val="center"/>
              <w:rPr>
                <w:rFonts w:hint="eastAsia" w:ascii="宋体" w:hAnsi="宋体" w:cs="宋体"/>
                <w:color w:val="auto"/>
                <w:sz w:val="21"/>
                <w:szCs w:val="21"/>
                <w:highlight w:val="none"/>
              </w:rPr>
            </w:pPr>
          </w:p>
        </w:tc>
      </w:tr>
    </w:tbl>
    <w:p>
      <w:pPr>
        <w:rPr>
          <w:color w:val="auto"/>
          <w:highlight w:val="none"/>
        </w:rPr>
      </w:pP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二、服务要求和设备参数</w:t>
      </w:r>
    </w:p>
    <w:tbl>
      <w:tblPr>
        <w:tblStyle w:val="31"/>
        <w:tblpPr w:leftFromText="180" w:rightFromText="180" w:vertAnchor="text" w:horzAnchor="page" w:tblpX="1927" w:tblpY="479"/>
        <w:tblOverlap w:val="never"/>
        <w:tblW w:w="48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785"/>
        <w:gridCol w:w="6892"/>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5" w:type="pct"/>
            <w:noWrap w:val="0"/>
            <w:vAlign w:val="center"/>
          </w:tcPr>
          <w:p>
            <w:pPr>
              <w:pStyle w:val="84"/>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序号</w:t>
            </w:r>
          </w:p>
        </w:tc>
        <w:tc>
          <w:tcPr>
            <w:tcW w:w="445" w:type="pct"/>
            <w:noWrap w:val="0"/>
            <w:vAlign w:val="center"/>
          </w:tcPr>
          <w:p>
            <w:pPr>
              <w:pStyle w:val="84"/>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产品名称</w:t>
            </w:r>
          </w:p>
        </w:tc>
        <w:tc>
          <w:tcPr>
            <w:tcW w:w="3909" w:type="pct"/>
            <w:noWrap w:val="0"/>
            <w:vAlign w:val="center"/>
          </w:tcPr>
          <w:p>
            <w:pPr>
              <w:pStyle w:val="84"/>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技术参数</w:t>
            </w:r>
          </w:p>
        </w:tc>
        <w:tc>
          <w:tcPr>
            <w:tcW w:w="389" w:type="pct"/>
            <w:noWrap w:val="0"/>
            <w:vAlign w:val="center"/>
          </w:tcPr>
          <w:p>
            <w:pPr>
              <w:pStyle w:val="84"/>
              <w:widowControl/>
              <w:jc w:val="center"/>
              <w:textAlignment w:val="center"/>
              <w:rPr>
                <w:rFonts w:hint="default"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trPr>
        <w:tc>
          <w:tcPr>
            <w:tcW w:w="255" w:type="pct"/>
            <w:noWrap w:val="0"/>
            <w:vAlign w:val="center"/>
          </w:tcPr>
          <w:p>
            <w:pPr>
              <w:pStyle w:val="84"/>
              <w:widowControl/>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p>
        </w:tc>
        <w:tc>
          <w:tcPr>
            <w:tcW w:w="445" w:type="pct"/>
            <w:noWrap w:val="0"/>
            <w:vAlign w:val="center"/>
          </w:tcPr>
          <w:p>
            <w:pPr>
              <w:pStyle w:val="84"/>
              <w:numPr>
                <w:ilvl w:val="0"/>
                <w:numId w:val="13"/>
              </w:numPr>
              <w:ind w:left="0" w:leftChars="0" w:firstLine="0" w:firstLine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狗笼子</w:t>
            </w:r>
          </w:p>
        </w:tc>
        <w:tc>
          <w:tcPr>
            <w:tcW w:w="3909" w:type="pct"/>
            <w:noWrap w:val="0"/>
            <w:vAlign w:val="center"/>
          </w:tcPr>
          <w:p>
            <w:pPr>
              <w:pStyle w:val="84"/>
              <w:numPr>
                <w:ilvl w:val="0"/>
                <w:numId w:val="0"/>
              </w:numPr>
              <w:ind w:left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宋体" w:hAnsi="宋体" w:eastAsia="宋体" w:cs="宋体"/>
                <w:color w:val="auto"/>
                <w:kern w:val="2"/>
                <w:sz w:val="21"/>
                <w:szCs w:val="21"/>
                <w:highlight w:val="none"/>
                <w:lang w:val="en-US" w:eastAsia="zh-CN" w:bidi="ar-SA"/>
              </w:rPr>
              <w:t>△</w:t>
            </w:r>
            <w:r>
              <w:rPr>
                <w:rFonts w:hint="eastAsia" w:ascii="Times New Roman" w:hAnsi="Times New Roman" w:eastAsia="宋体" w:cs="Times New Roman"/>
                <w:color w:val="auto"/>
                <w:highlight w:val="none"/>
                <w:lang w:val="en-US" w:eastAsia="zh-CN"/>
              </w:rPr>
              <w:t>颜色：黑色</w:t>
            </w:r>
          </w:p>
          <w:p>
            <w:pPr>
              <w:pStyle w:val="84"/>
              <w:numPr>
                <w:ilvl w:val="0"/>
                <w:numId w:val="13"/>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Times New Roman" w:hAnsi="Times New Roman" w:eastAsia="宋体" w:cs="Times New Roman"/>
                <w:color w:val="auto"/>
                <w:highlight w:val="none"/>
                <w:lang w:val="en-US" w:eastAsia="zh-CN"/>
              </w:rPr>
              <w:t>结构：拼装式狗笼，包括笼体，为顶部天窗式设计，侧面带喂食门，防漏托盘，底部带四个制动万向轮。</w:t>
            </w:r>
          </w:p>
          <w:p>
            <w:pPr>
              <w:pStyle w:val="84"/>
              <w:numPr>
                <w:ilvl w:val="0"/>
                <w:numId w:val="13"/>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△前片规格：主体材料≤15mm*≤15mm方管不得少于9根，</w:t>
            </w:r>
          </w:p>
          <w:p>
            <w:pPr>
              <w:pStyle w:val="84"/>
              <w:numPr>
                <w:ilvl w:val="0"/>
                <w:numId w:val="0"/>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≤10mm*≤10mm方管不得少于16根</w:t>
            </w:r>
          </w:p>
          <w:p>
            <w:pPr>
              <w:pStyle w:val="84"/>
              <w:numPr>
                <w:ilvl w:val="0"/>
                <w:numId w:val="13"/>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△后片规格：主体材料≤15mm*≤15mm方管不得少于4根，</w:t>
            </w:r>
          </w:p>
          <w:p>
            <w:pPr>
              <w:pStyle w:val="84"/>
              <w:numPr>
                <w:ilvl w:val="0"/>
                <w:numId w:val="0"/>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≤10mm*≤10mm方管不得少于19根</w:t>
            </w:r>
          </w:p>
          <w:p>
            <w:pPr>
              <w:pStyle w:val="84"/>
              <w:numPr>
                <w:ilvl w:val="0"/>
                <w:numId w:val="13"/>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△左右片规格：主体材料≤15mm*≤15mm方管不得少于8根，</w:t>
            </w:r>
          </w:p>
          <w:p>
            <w:pPr>
              <w:pStyle w:val="84"/>
              <w:numPr>
                <w:ilvl w:val="0"/>
                <w:numId w:val="0"/>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≤10mm*≤10mm方管不得少于24根</w:t>
            </w:r>
          </w:p>
          <w:p>
            <w:pPr>
              <w:pStyle w:val="84"/>
              <w:numPr>
                <w:ilvl w:val="0"/>
                <w:numId w:val="13"/>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△顶盖规格：主体材料≤15mm*≤15mm方管不得少于4根，</w:t>
            </w:r>
          </w:p>
          <w:p>
            <w:pPr>
              <w:pStyle w:val="84"/>
              <w:numPr>
                <w:ilvl w:val="0"/>
                <w:numId w:val="0"/>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 ≤10mm*≤10mm方管不得少于14根</w:t>
            </w:r>
          </w:p>
          <w:p>
            <w:pPr>
              <w:pStyle w:val="84"/>
              <w:numPr>
                <w:ilvl w:val="0"/>
                <w:numId w:val="13"/>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△底部规格：主体材料≤15mm*≤15mm方管不得少于4根，</w:t>
            </w:r>
          </w:p>
          <w:p>
            <w:pPr>
              <w:pStyle w:val="84"/>
              <w:numPr>
                <w:ilvl w:val="0"/>
                <w:numId w:val="0"/>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≤10mm*≤20mm方管不得少于24根</w:t>
            </w:r>
          </w:p>
          <w:p>
            <w:pPr>
              <w:pStyle w:val="84"/>
              <w:numPr>
                <w:ilvl w:val="0"/>
                <w:numId w:val="13"/>
              </w:numPr>
              <w:ind w:left="630" w:leftChars="0" w:hanging="630" w:hangingChars="3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△底座规格：主体材料≤15mm*≤15mm方管不得少于2根。</w:t>
            </w:r>
          </w:p>
          <w:p>
            <w:pPr>
              <w:pStyle w:val="84"/>
              <w:numPr>
                <w:ilvl w:val="0"/>
                <w:numId w:val="13"/>
              </w:numPr>
              <w:ind w:left="630" w:leftChars="0" w:hanging="630" w:hangingChars="3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★防锈工艺：整体工艺需进行喷塑处理，喷塑材料需提供检测报告。</w:t>
            </w:r>
          </w:p>
          <w:p>
            <w:pPr>
              <w:pStyle w:val="85"/>
              <w:rPr>
                <w:rFonts w:hint="default"/>
                <w:color w:val="auto"/>
                <w:highlight w:val="none"/>
                <w:lang w:val="en-US" w:eastAsia="zh-CN"/>
              </w:rPr>
            </w:pPr>
            <w:r>
              <w:rPr>
                <w:rFonts w:hint="eastAsia" w:ascii="Times New Roman" w:hAnsi="Times New Roman" w:eastAsia="宋体" w:cs="Times New Roman"/>
                <w:color w:val="auto"/>
                <w:highlight w:val="none"/>
                <w:lang w:val="en-US" w:eastAsia="zh-CN"/>
              </w:rPr>
              <w:t>10.</w:t>
            </w:r>
            <w:r>
              <w:rPr>
                <w:rFonts w:hint="eastAsia" w:ascii="宋体" w:hAnsi="宋体" w:eastAsia="宋体" w:cs="宋体"/>
                <w:color w:val="auto"/>
                <w:kern w:val="2"/>
                <w:sz w:val="21"/>
                <w:szCs w:val="21"/>
                <w:highlight w:val="none"/>
                <w:lang w:val="en-US" w:eastAsia="zh-CN" w:bidi="ar-SA"/>
              </w:rPr>
              <w:t>▲</w:t>
            </w:r>
            <w:r>
              <w:rPr>
                <w:rFonts w:hint="eastAsia" w:ascii="Times New Roman" w:hAnsi="Times New Roman" w:eastAsia="宋体" w:cs="Times New Roman"/>
                <w:color w:val="auto"/>
                <w:highlight w:val="none"/>
                <w:lang w:val="en-US" w:eastAsia="zh-CN"/>
              </w:rPr>
              <w:t>尺寸：≤125cm*≤93cm*≤105cm</w:t>
            </w:r>
          </w:p>
          <w:p>
            <w:pPr>
              <w:pStyle w:val="84"/>
              <w:numPr>
                <w:ilvl w:val="0"/>
                <w:numId w:val="0"/>
              </w:numPr>
              <w:ind w:leftChars="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11★切割方法：铁笼主体材料需进行激光切割。</w:t>
            </w:r>
          </w:p>
          <w:p>
            <w:pPr>
              <w:pStyle w:val="84"/>
              <w:numPr>
                <w:ilvl w:val="0"/>
                <w:numId w:val="0"/>
              </w:numPr>
              <w:ind w:left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12★焊接工艺：铁笼整体焊接需激光焊接。</w:t>
            </w:r>
          </w:p>
        </w:tc>
        <w:tc>
          <w:tcPr>
            <w:tcW w:w="389" w:type="pct"/>
            <w:noWrap w:val="0"/>
            <w:vAlign w:val="center"/>
          </w:tcPr>
          <w:p>
            <w:pPr>
              <w:pStyle w:val="84"/>
              <w:numPr>
                <w:ilvl w:val="0"/>
                <w:numId w:val="0"/>
              </w:numPr>
              <w:ind w:leftChars="0"/>
              <w:rPr>
                <w:rFonts w:hint="default"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255" w:type="pct"/>
            <w:noWrap w:val="0"/>
            <w:vAlign w:val="center"/>
          </w:tcPr>
          <w:p>
            <w:pPr>
              <w:pStyle w:val="84"/>
              <w:widowControl/>
              <w:jc w:val="center"/>
              <w:textAlignment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p>
        </w:tc>
        <w:tc>
          <w:tcPr>
            <w:tcW w:w="445" w:type="pct"/>
            <w:noWrap w:val="0"/>
            <w:vAlign w:val="center"/>
          </w:tcPr>
          <w:p>
            <w:pPr>
              <w:pStyle w:val="84"/>
              <w:widowControl/>
              <w:spacing w:line="360" w:lineRule="auto"/>
              <w:jc w:val="center"/>
              <w:textAlignment w:val="center"/>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伸缩抓捕网</w:t>
            </w:r>
          </w:p>
        </w:tc>
        <w:tc>
          <w:tcPr>
            <w:tcW w:w="3909" w:type="pct"/>
            <w:noWrap w:val="0"/>
            <w:vAlign w:val="center"/>
          </w:tcPr>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材质：不锈钢</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伸缩：1700mm±50mm 展开：2300mm±50mm</w:t>
            </w:r>
          </w:p>
          <w:p>
            <w:pPr>
              <w:spacing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前端圆弧直径：62cm±</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cm</w:t>
            </w:r>
          </w:p>
          <w:p>
            <w:pPr>
              <w:spacing w:line="360" w:lineRule="auto"/>
              <w:rPr>
                <w:rFonts w:hint="default"/>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重量：2900g±</w:t>
            </w:r>
            <w:r>
              <w:rPr>
                <w:rFonts w:hint="eastAsia" w:ascii="宋体" w:hAnsi="宋体" w:cs="Times New Roman"/>
                <w:color w:val="auto"/>
                <w:kern w:val="2"/>
                <w:sz w:val="21"/>
                <w:szCs w:val="21"/>
                <w:highlight w:val="none"/>
                <w:lang w:val="en-US" w:eastAsia="zh-CN" w:bidi="ar-SA"/>
              </w:rPr>
              <w:t>10g</w:t>
            </w:r>
          </w:p>
        </w:tc>
        <w:tc>
          <w:tcPr>
            <w:tcW w:w="389" w:type="pct"/>
            <w:noWrap w:val="0"/>
            <w:vAlign w:val="center"/>
          </w:tcPr>
          <w:p>
            <w:pPr>
              <w:pStyle w:val="84"/>
              <w:rPr>
                <w:rFonts w:hint="default"/>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4" w:hRule="atLeast"/>
        </w:trPr>
        <w:tc>
          <w:tcPr>
            <w:tcW w:w="255" w:type="pct"/>
            <w:noWrap w:val="0"/>
            <w:vAlign w:val="center"/>
          </w:tcPr>
          <w:p>
            <w:pPr>
              <w:pStyle w:val="84"/>
              <w:widowControl/>
              <w:jc w:val="center"/>
              <w:textAlignment w:val="center"/>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p>
        </w:tc>
        <w:tc>
          <w:tcPr>
            <w:tcW w:w="445" w:type="pct"/>
            <w:noWrap w:val="0"/>
            <w:vAlign w:val="center"/>
          </w:tcPr>
          <w:p>
            <w:pPr>
              <w:pStyle w:val="84"/>
              <w:widowControl/>
              <w:jc w:val="center"/>
              <w:textAlignment w:val="center"/>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防护手套</w:t>
            </w:r>
          </w:p>
        </w:tc>
        <w:tc>
          <w:tcPr>
            <w:tcW w:w="3909" w:type="pct"/>
            <w:noWrap w:val="0"/>
            <w:vAlign w:val="center"/>
          </w:tcPr>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微软雅黑" w:hAnsi="微软雅黑" w:eastAsia="微软雅黑" w:cs="微软雅黑"/>
                <w:color w:val="auto"/>
                <w:highlight w:val="none"/>
                <w:lang w:val="en-US" w:eastAsia="zh-CN"/>
              </w:rPr>
              <w:t>组成：▲</w:t>
            </w:r>
            <w:r>
              <w:rPr>
                <w:rFonts w:hint="eastAsia" w:ascii="宋体" w:hAnsi="宋体" w:eastAsia="宋体" w:cs="宋体"/>
                <w:color w:val="auto"/>
                <w:kern w:val="0"/>
                <w:sz w:val="21"/>
                <w:szCs w:val="21"/>
                <w:highlight w:val="none"/>
                <w:lang w:val="en-US" w:eastAsia="zh-CN" w:bidi="ar"/>
              </w:rPr>
              <w:t>防扑咬手套由一双头层牛皮手套及一双护盾和一只加厚扑咬盾组成为一套</w:t>
            </w:r>
            <w:r>
              <w:rPr>
                <w:rFonts w:hint="eastAsia" w:ascii="宋体" w:hAnsi="宋体" w:cs="宋体"/>
                <w:color w:val="auto"/>
                <w:kern w:val="0"/>
                <w:sz w:val="21"/>
                <w:szCs w:val="21"/>
                <w:highlight w:val="none"/>
                <w:lang w:val="en-US" w:eastAsia="zh-CN" w:bidi="ar"/>
              </w:rPr>
              <w:t>(双）</w:t>
            </w:r>
          </w:p>
          <w:p>
            <w:pPr>
              <w:keepNext w:val="0"/>
              <w:keepLines w:val="0"/>
              <w:widowControl/>
              <w:suppressLineNumbers w:val="0"/>
              <w:jc w:val="left"/>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手套主体</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▲进口头层皮双层加强款防撕咬手套60cm</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cm</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产品颜色：灰色</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▲产品材质：进口头层牛皮</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毛重</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0.9kg</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款式：分指手套</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▲单层厚度：1.8-2.1（mm)</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▲层数：整体2层；手背，掌心，虎口三层；</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缝制线：双排加固尼龙线</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▲耐穿刺性：性能等级为1及检测报告需体现</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▲耐撕裂性：性能等级为1及检测报告需体现</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头层皮通用护盾（配件）</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产品颜色：灰色</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▲产品材质：进口头层牛皮</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▲产品长度：22cm</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cm</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毛重：2</w:t>
            </w:r>
            <w:r>
              <w:rPr>
                <w:rFonts w:hint="eastAsia" w:ascii="宋体" w:hAnsi="宋体" w:cs="宋体"/>
                <w:color w:val="auto"/>
                <w:kern w:val="0"/>
                <w:sz w:val="21"/>
                <w:szCs w:val="21"/>
                <w:highlight w:val="none"/>
                <w:lang w:val="en-US" w:eastAsia="zh-CN" w:bidi="ar"/>
              </w:rPr>
              <w:t>00</w:t>
            </w:r>
            <w:r>
              <w:rPr>
                <w:rFonts w:hint="eastAsia" w:ascii="宋体" w:hAnsi="宋体" w:eastAsia="宋体" w:cs="宋体"/>
                <w:color w:val="auto"/>
                <w:kern w:val="0"/>
                <w:sz w:val="21"/>
                <w:szCs w:val="21"/>
                <w:highlight w:val="none"/>
                <w:lang w:val="en-US" w:eastAsia="zh-CN" w:bidi="ar"/>
              </w:rPr>
              <w:t>g</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5g</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款式：分指手套配件</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▲单层厚度：1.8-2.1（mm)</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缝制线：加固尼龙线</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加厚扑咬盾（配件，单只装）</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产品颜色：灰色</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▲产品材质：进口头层牛皮</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▲产品长度：50cm</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cm</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毛重：45</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g</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5g</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款式：配件</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▲单层厚度：1.8-2.1（mm)</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▲层数：整体2层；局部三层；</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缝制线：双排加固尼龙线，魔术粘+铆钉加固、</w:t>
            </w:r>
          </w:p>
          <w:p>
            <w:pPr>
              <w:keepNext w:val="0"/>
              <w:keepLines w:val="0"/>
              <w:widowControl/>
              <w:suppressLineNumbers w:val="0"/>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
              </w:rPr>
              <w:t xml:space="preserve">投标企业需提供中国或国际互认检测中心出具的检测报告。 </w:t>
            </w:r>
          </w:p>
        </w:tc>
        <w:tc>
          <w:tcPr>
            <w:tcW w:w="389" w:type="pct"/>
            <w:noWrap w:val="0"/>
            <w:vAlign w:val="center"/>
          </w:tcPr>
          <w:p>
            <w:pPr>
              <w:pStyle w:val="84"/>
              <w:rPr>
                <w:rFonts w:hint="default"/>
                <w:color w:val="auto"/>
                <w:highlight w:val="none"/>
                <w:lang w:val="en-US" w:eastAsia="zh-CN"/>
              </w:rPr>
            </w:pPr>
          </w:p>
        </w:tc>
      </w:tr>
    </w:tbl>
    <w:p>
      <w:pPr>
        <w:bidi w:val="0"/>
        <w:ind w:firstLine="212" w:firstLineChars="0"/>
        <w:jc w:val="left"/>
        <w:rPr>
          <w:color w:val="auto"/>
          <w:highlight w:val="none"/>
        </w:rPr>
      </w:pPr>
    </w:p>
    <w:p>
      <w:pPr>
        <w:pStyle w:val="2"/>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★为实质性参数，不满足则视为无效投标。</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val="en-US" w:eastAsia="zh-CN" w:bidi="ar"/>
        </w:rPr>
        <w:t>、货物要求</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1、为原制造商制造的全新产品，整机无污染，无侵权行为、表面无划损、无任何缺陷隐患，在中国境内可依常规安全合法使用。</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2、验收标准依次序对照适用标准为：①符合中华人民共和国国家安全质量标准、环保标准或行业标准；②符合采购文件和响应承诺中甲方认可的合理最佳配置、参数及各项要求；③货物来源国官方标准。</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3、产品必须具备原产地证明及合法进货渠道证明。</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4、为原厂商未启封全新包装，具出厂合格证，序列号、包装箱号与出厂批号一致，并可追索查阅。</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5、应将设备的用户手册、保修手册、有关单证资料及配备件、随机工具等交付给甲方，使用操作及安全须知等重要资料应附有中文说明。</w:t>
      </w:r>
    </w:p>
    <w:p>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、交货安装与调试</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1、交货期：自合同签订生效之日起3个日历天内完成交货。</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2、交货方式：按招标人要求一次性交付。</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3、交货地点：招标人指定地点。</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4、调试：中标人必须按照招标人要求，配合招标人将设备调试至正常运行的最佳状态。</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5、安装：中标人在施工安装设备期间出现任何问题由中标人自行承担。</w:t>
      </w:r>
    </w:p>
    <w:p>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五</w:t>
      </w:r>
      <w:r>
        <w:rPr>
          <w:rFonts w:hint="eastAsia" w:ascii="宋体" w:hAnsi="宋体" w:eastAsia="宋体" w:cs="宋体"/>
          <w:b/>
          <w:bCs/>
          <w:color w:val="auto"/>
          <w:kern w:val="0"/>
          <w:sz w:val="21"/>
          <w:szCs w:val="21"/>
          <w:highlight w:val="none"/>
          <w:lang w:val="en-US" w:eastAsia="zh-CN" w:bidi="ar"/>
        </w:rPr>
        <w:t>、验收</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交货、调试完成交付使用后，由招标人组织验收，验收要求、验收标准及方法如下：</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1、货物若有国家标准按照国家标准验收，若无国家标准按行业标准验收，为原制造商制造的全新产品，整机无污染，无侵权行为、表面无划损、无任何缺陷隐患，在中国境内可依常规安全合法使用。</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2、货物为原厂商未启封全新包装，具出厂合格证，序列号、包装箱号与出厂批号一致，并可追索查阅。所有随设备的附件必须齐全。</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招标人组成验收小组按国家有关规定、规范进行验收，必要时邀请相关的专业人员或机构参与验收。因货物质量问题发生争议时，由本地质量技术监督部门鉴定。货物符合质量技术标准的，鉴定费由招标人承担；否则鉴定费由中标人承担。</w:t>
      </w:r>
    </w:p>
    <w:p>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六、质保期及售后服务要求</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质保期：除技术规格性能要求中的设备有特殊规定外，其余产品质保期为24个月，（若国家和/或生产厂家对本项目所涉及货物的质量保证期的规定高于本项目的要求，应按国家和/或生产厂家的规定执行；技术规格性能要求的质保期长于24个月的，以期限长的计算。）质保期内中标人必须免费上门服务；在质保期外发生的质量问题，由中标人负责解决，采购单位应支付相应的费用；在任何时候，中标人均不能免除因货物本身的缺陷所应付的责任。质保期自中标人和使用单位双方代表在验收单上签字之日起计算。</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可通过电话或书面方式解答产品使用方面的疑问，必要时派驻技术人员专门服务。在质保期内对用户提出的质量问题及维修要求，中标人应2小时内响应，4小时内到达现场，并在到达现场后8小时内解决问题；中标人若8小时内不能排除故障，需在12小时内提供相同规格的产品或部件作代用品，以保证设备能正常运作。</w:t>
      </w:r>
    </w:p>
    <w:p>
      <w:pPr>
        <w:keepNext w:val="0"/>
        <w:keepLines w:val="0"/>
        <w:widowControl/>
        <w:suppressLineNumbers w:val="0"/>
        <w:jc w:val="left"/>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3、维修及保养服务：中标人须承诺终生以优惠价格[优惠率（实际供应价/市场价）不高于85%]供应设备正常使用所必须的配件等，提供修复时间、关键配件备用方案等资料。免费保修期内，对因货物质量、设计制造或技术影响设备正常操作的应免费更换新设备。</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upright="1">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RW/rCAQAAkAMAAA4AAABkcnMvZTJvRG9jLnhtbK1TTa7TMBDeI3EH&#10;y3uatEioipo+IVUPISF40oMDuI7TWPKfZtwmvQDcgBUb9pyr52DsJC08Nm/BJpkZO9983zeTzd1g&#10;DTspQO1dzZeLkjPlpG+0O9T8y+f7V2vOMArXCOOdqvlZIb/bvnyx6UOlVr7zplHACMRh1YeadzGG&#10;qihQdsoKXPigHB22HqyIlMKhaED0hG5NsSrLN0XvoQngpUKk6m485BMiPAfQt62Waufl0SoXR1RQ&#10;RkSShJ0OyLeZbdsqGT+1LarITM1JacxPakLxPj2L7UZUBxCh03KiIJ5D4YkmK7SjpleonYiCHUH/&#10;A2W1BI++jQvpbTEKyY6QimX5xJvHTgSVtZDVGK6m4/+DlR9PD8B0U/MVZ05YGvjl+7fLj1+Xn1/Z&#10;6+xPH7Cia4/hAcitlCGFSezQgk1vksGG7On56qkaIpNUXK5X63VJdks6mxPCKW6fB8D4TnnLUlBz&#10;oKFlL8XpA8bx6nwldXP+XhuTB2fcXwXCTJXixjFFcdgPE/G9b84kt6d519zRenNm3juyM63GHMAc&#10;7OfgGEAfOqK2zLwwvD1GIpG5pQ4j7NSYBpXVTUuVNuHPPN+6/U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2kVv6wgEAAJADAAAOAAAAAAAAAAEAIAAAAB8BAABkcnMvZTJvRG9jLnhtbFBL&#10;BQYAAAAABgAGAFkBAABTBQAAAAA=&#10;">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eastAsia="宋体"/>
        <w:lang w:eastAsia="zh-CN"/>
      </w:rPr>
    </w:pPr>
    <w:r>
      <w:rPr>
        <w:rFonts w:hint="eastAsia"/>
        <w:lang w:val="en-US" w:eastAsia="zh-CN"/>
      </w:rPr>
      <w:t xml:space="preserve">乌鲁木齐市公安局天山区分局购买捕犬防护装备项目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lang w:eastAsia="zh-CN"/>
      </w:rPr>
    </w:pPr>
    <w:r>
      <w:rPr>
        <w:rFonts w:hint="eastAsia"/>
        <w:lang w:eastAsia="zh-CN"/>
      </w:rPr>
      <w:t>乌鲁木齐市公安局天山区分局购买捕犬防护装备项目</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5860D"/>
    <w:multiLevelType w:val="singleLevel"/>
    <w:tmpl w:val="CD75860D"/>
    <w:lvl w:ilvl="0" w:tentative="0">
      <w:start w:val="1"/>
      <w:numFmt w:val="decimal"/>
      <w:suff w:val="nothing"/>
      <w:lvlText w:val="（%1）"/>
      <w:lvlJc w:val="left"/>
    </w:lvl>
  </w:abstractNum>
  <w:abstractNum w:abstractNumId="1">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DF7EC734"/>
    <w:multiLevelType w:val="singleLevel"/>
    <w:tmpl w:val="DF7EC734"/>
    <w:lvl w:ilvl="0" w:tentative="0">
      <w:start w:val="1"/>
      <w:numFmt w:val="decimal"/>
      <w:suff w:val="nothing"/>
      <w:lvlText w:val="%1．"/>
      <w:lvlJc w:val="left"/>
    </w:lvl>
  </w:abstractNum>
  <w:abstractNum w:abstractNumId="3">
    <w:nsid w:val="00000003"/>
    <w:multiLevelType w:val="multilevel"/>
    <w:tmpl w:val="00000003"/>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4">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70"/>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5">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71"/>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6">
    <w:nsid w:val="0000001B"/>
    <w:multiLevelType w:val="multilevel"/>
    <w:tmpl w:val="0000001B"/>
    <w:lvl w:ilvl="0" w:tentative="0">
      <w:start w:val="0"/>
      <w:numFmt w:val="decimal"/>
      <w:pStyle w:val="69"/>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002C"/>
    <w:multiLevelType w:val="multilevel"/>
    <w:tmpl w:val="0000002C"/>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1C3D440"/>
    <w:multiLevelType w:val="singleLevel"/>
    <w:tmpl w:val="21C3D440"/>
    <w:lvl w:ilvl="0" w:tentative="0">
      <w:start w:val="1"/>
      <w:numFmt w:val="decimal"/>
      <w:lvlText w:val="%1."/>
      <w:lvlJc w:val="left"/>
      <w:pPr>
        <w:tabs>
          <w:tab w:val="left" w:pos="312"/>
        </w:tabs>
      </w:pPr>
    </w:lvl>
  </w:abstractNum>
  <w:abstractNum w:abstractNumId="9">
    <w:nsid w:val="24E409BB"/>
    <w:multiLevelType w:val="multilevel"/>
    <w:tmpl w:val="24E409BB"/>
    <w:lvl w:ilvl="0" w:tentative="0">
      <w:start w:val="1"/>
      <w:numFmt w:val="decimal"/>
      <w:pStyle w:val="4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400112D"/>
    <w:multiLevelType w:val="multilevel"/>
    <w:tmpl w:val="3400112D"/>
    <w:lvl w:ilvl="0" w:tentative="0">
      <w:start w:val="1"/>
      <w:numFmt w:val="lowerLetter"/>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66CB8EA"/>
    <w:multiLevelType w:val="singleLevel"/>
    <w:tmpl w:val="366CB8EA"/>
    <w:lvl w:ilvl="0" w:tentative="0">
      <w:start w:val="1"/>
      <w:numFmt w:val="decimal"/>
      <w:suff w:val="nothing"/>
      <w:lvlText w:val="（%1）"/>
      <w:lvlJc w:val="left"/>
    </w:lvl>
  </w:abstractNum>
  <w:abstractNum w:abstractNumId="12">
    <w:nsid w:val="5DDE8DEA"/>
    <w:multiLevelType w:val="singleLevel"/>
    <w:tmpl w:val="5DDE8DEA"/>
    <w:lvl w:ilvl="0" w:tentative="0">
      <w:start w:val="1"/>
      <w:numFmt w:val="decimal"/>
      <w:lvlText w:val="%1."/>
      <w:lvlJc w:val="left"/>
      <w:pPr>
        <w:tabs>
          <w:tab w:val="left" w:pos="312"/>
        </w:tabs>
      </w:pPr>
    </w:lvl>
  </w:abstractNum>
  <w:num w:numId="1">
    <w:abstractNumId w:val="1"/>
  </w:num>
  <w:num w:numId="2">
    <w:abstractNumId w:val="9"/>
  </w:num>
  <w:num w:numId="3">
    <w:abstractNumId w:val="6"/>
  </w:num>
  <w:num w:numId="4">
    <w:abstractNumId w:val="4"/>
  </w:num>
  <w:num w:numId="5">
    <w:abstractNumId w:val="5"/>
  </w:num>
  <w:num w:numId="6">
    <w:abstractNumId w:val="11"/>
  </w:num>
  <w:num w:numId="7">
    <w:abstractNumId w:val="8"/>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7EC75607"/>
    <w:rsid w:val="00001D97"/>
    <w:rsid w:val="00005402"/>
    <w:rsid w:val="000068E9"/>
    <w:rsid w:val="000170ED"/>
    <w:rsid w:val="0006319D"/>
    <w:rsid w:val="00070C90"/>
    <w:rsid w:val="000E070D"/>
    <w:rsid w:val="00140DB1"/>
    <w:rsid w:val="00152FF1"/>
    <w:rsid w:val="00160E17"/>
    <w:rsid w:val="00166580"/>
    <w:rsid w:val="00190E1D"/>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87B85"/>
    <w:rsid w:val="004B086C"/>
    <w:rsid w:val="004E2611"/>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95688"/>
    <w:rsid w:val="009B0BF5"/>
    <w:rsid w:val="009D0240"/>
    <w:rsid w:val="009E34A0"/>
    <w:rsid w:val="009E3887"/>
    <w:rsid w:val="00A7592B"/>
    <w:rsid w:val="00A8171A"/>
    <w:rsid w:val="00B174A9"/>
    <w:rsid w:val="00B572E8"/>
    <w:rsid w:val="00B57A88"/>
    <w:rsid w:val="00B57FC2"/>
    <w:rsid w:val="00BA372B"/>
    <w:rsid w:val="00BB388D"/>
    <w:rsid w:val="00CA0BC5"/>
    <w:rsid w:val="00CA100D"/>
    <w:rsid w:val="00CA73E5"/>
    <w:rsid w:val="00CC1B04"/>
    <w:rsid w:val="00D02654"/>
    <w:rsid w:val="00D06B71"/>
    <w:rsid w:val="00D0789B"/>
    <w:rsid w:val="00D348F7"/>
    <w:rsid w:val="00D54B46"/>
    <w:rsid w:val="00D570F8"/>
    <w:rsid w:val="00D7751E"/>
    <w:rsid w:val="00D80567"/>
    <w:rsid w:val="00D95FD6"/>
    <w:rsid w:val="00DA434D"/>
    <w:rsid w:val="00DF3C15"/>
    <w:rsid w:val="00E136DE"/>
    <w:rsid w:val="00E3044A"/>
    <w:rsid w:val="00EB6C31"/>
    <w:rsid w:val="00ED3AF3"/>
    <w:rsid w:val="00F041E8"/>
    <w:rsid w:val="00F114EB"/>
    <w:rsid w:val="00F63CF1"/>
    <w:rsid w:val="00F85A0B"/>
    <w:rsid w:val="00F9432B"/>
    <w:rsid w:val="00FA1766"/>
    <w:rsid w:val="00FC6D6A"/>
    <w:rsid w:val="00FD785F"/>
    <w:rsid w:val="00FE1083"/>
    <w:rsid w:val="00FF4D0C"/>
    <w:rsid w:val="01603707"/>
    <w:rsid w:val="0172444B"/>
    <w:rsid w:val="01890182"/>
    <w:rsid w:val="019E3125"/>
    <w:rsid w:val="01BA09DB"/>
    <w:rsid w:val="01BF560D"/>
    <w:rsid w:val="01E0373D"/>
    <w:rsid w:val="027E622C"/>
    <w:rsid w:val="02D565B4"/>
    <w:rsid w:val="031139AA"/>
    <w:rsid w:val="03314DFF"/>
    <w:rsid w:val="036722AC"/>
    <w:rsid w:val="036D12F1"/>
    <w:rsid w:val="03A314FC"/>
    <w:rsid w:val="03AA58F1"/>
    <w:rsid w:val="03E64F7F"/>
    <w:rsid w:val="0441744C"/>
    <w:rsid w:val="045215CE"/>
    <w:rsid w:val="04EA5465"/>
    <w:rsid w:val="058C1C12"/>
    <w:rsid w:val="059E36F3"/>
    <w:rsid w:val="05F45108"/>
    <w:rsid w:val="06A235C6"/>
    <w:rsid w:val="06BD0A50"/>
    <w:rsid w:val="06E17305"/>
    <w:rsid w:val="0749121A"/>
    <w:rsid w:val="0769685E"/>
    <w:rsid w:val="079B6B46"/>
    <w:rsid w:val="07AD4E6E"/>
    <w:rsid w:val="07C973DF"/>
    <w:rsid w:val="07E56C70"/>
    <w:rsid w:val="07F20008"/>
    <w:rsid w:val="082B5AD2"/>
    <w:rsid w:val="08EC377D"/>
    <w:rsid w:val="09137F54"/>
    <w:rsid w:val="09180412"/>
    <w:rsid w:val="091C082C"/>
    <w:rsid w:val="093F1B9D"/>
    <w:rsid w:val="09864BCA"/>
    <w:rsid w:val="099F5C8C"/>
    <w:rsid w:val="09AB3567"/>
    <w:rsid w:val="09CB4CD3"/>
    <w:rsid w:val="09F820B1"/>
    <w:rsid w:val="0A1361CA"/>
    <w:rsid w:val="0A4967F5"/>
    <w:rsid w:val="0A503A39"/>
    <w:rsid w:val="0AAF40E0"/>
    <w:rsid w:val="0AB05FE3"/>
    <w:rsid w:val="0ABA10A0"/>
    <w:rsid w:val="0B095AB3"/>
    <w:rsid w:val="0B0E4E77"/>
    <w:rsid w:val="0B187AA4"/>
    <w:rsid w:val="0B356B78"/>
    <w:rsid w:val="0B4A076E"/>
    <w:rsid w:val="0BA878DC"/>
    <w:rsid w:val="0BBE064B"/>
    <w:rsid w:val="0BD51E39"/>
    <w:rsid w:val="0BEC4CD3"/>
    <w:rsid w:val="0BEF4CA9"/>
    <w:rsid w:val="0C03622F"/>
    <w:rsid w:val="0C1E10EA"/>
    <w:rsid w:val="0C564D28"/>
    <w:rsid w:val="0CD10852"/>
    <w:rsid w:val="0CD65E68"/>
    <w:rsid w:val="0CDE5920"/>
    <w:rsid w:val="0CE42333"/>
    <w:rsid w:val="0DA073B6"/>
    <w:rsid w:val="0DB66863"/>
    <w:rsid w:val="0DC82829"/>
    <w:rsid w:val="0E342E47"/>
    <w:rsid w:val="0E5C239D"/>
    <w:rsid w:val="0EDD5107"/>
    <w:rsid w:val="0EDF0CE6"/>
    <w:rsid w:val="0EF72A79"/>
    <w:rsid w:val="0F803E6A"/>
    <w:rsid w:val="0F825E34"/>
    <w:rsid w:val="10044A9B"/>
    <w:rsid w:val="104751E4"/>
    <w:rsid w:val="10547A7A"/>
    <w:rsid w:val="10631193"/>
    <w:rsid w:val="10777431"/>
    <w:rsid w:val="107E2A9F"/>
    <w:rsid w:val="109A6788"/>
    <w:rsid w:val="10B45F0A"/>
    <w:rsid w:val="10C26B01"/>
    <w:rsid w:val="11054E6C"/>
    <w:rsid w:val="11132A37"/>
    <w:rsid w:val="115F642C"/>
    <w:rsid w:val="1178129C"/>
    <w:rsid w:val="11877EBF"/>
    <w:rsid w:val="11944935"/>
    <w:rsid w:val="11BB01AE"/>
    <w:rsid w:val="12016853"/>
    <w:rsid w:val="120C23B0"/>
    <w:rsid w:val="120E648C"/>
    <w:rsid w:val="12606EB6"/>
    <w:rsid w:val="127D2EC1"/>
    <w:rsid w:val="12BE53D5"/>
    <w:rsid w:val="12CB18A0"/>
    <w:rsid w:val="13453400"/>
    <w:rsid w:val="1351655A"/>
    <w:rsid w:val="136631EB"/>
    <w:rsid w:val="13871C6A"/>
    <w:rsid w:val="138E17D4"/>
    <w:rsid w:val="13912AE9"/>
    <w:rsid w:val="13B1042D"/>
    <w:rsid w:val="13B36E6C"/>
    <w:rsid w:val="13B92EA7"/>
    <w:rsid w:val="140E4069"/>
    <w:rsid w:val="146D7867"/>
    <w:rsid w:val="148C2ED4"/>
    <w:rsid w:val="14DA1330"/>
    <w:rsid w:val="14DE1D5E"/>
    <w:rsid w:val="14E91E90"/>
    <w:rsid w:val="151C19D4"/>
    <w:rsid w:val="158F4E06"/>
    <w:rsid w:val="15BB6609"/>
    <w:rsid w:val="15BD0FB0"/>
    <w:rsid w:val="15BF4397"/>
    <w:rsid w:val="15EA4A25"/>
    <w:rsid w:val="15EE408F"/>
    <w:rsid w:val="15F555B1"/>
    <w:rsid w:val="15FB3C01"/>
    <w:rsid w:val="163C1ACA"/>
    <w:rsid w:val="16695FD9"/>
    <w:rsid w:val="169721C5"/>
    <w:rsid w:val="16A44394"/>
    <w:rsid w:val="16B54D41"/>
    <w:rsid w:val="16BF171B"/>
    <w:rsid w:val="16C82DCF"/>
    <w:rsid w:val="17140A03"/>
    <w:rsid w:val="17486409"/>
    <w:rsid w:val="17A82E8F"/>
    <w:rsid w:val="1800630B"/>
    <w:rsid w:val="181E79E6"/>
    <w:rsid w:val="183F772B"/>
    <w:rsid w:val="18460D6C"/>
    <w:rsid w:val="185F4F64"/>
    <w:rsid w:val="18E76624"/>
    <w:rsid w:val="191C2E55"/>
    <w:rsid w:val="19650358"/>
    <w:rsid w:val="19866577"/>
    <w:rsid w:val="19935666"/>
    <w:rsid w:val="19E26CEE"/>
    <w:rsid w:val="1A0C111B"/>
    <w:rsid w:val="1A165BC1"/>
    <w:rsid w:val="1A2110E5"/>
    <w:rsid w:val="1A40176C"/>
    <w:rsid w:val="1A55661F"/>
    <w:rsid w:val="1A945545"/>
    <w:rsid w:val="1AE758C7"/>
    <w:rsid w:val="1B107A6D"/>
    <w:rsid w:val="1B2A4429"/>
    <w:rsid w:val="1B35746B"/>
    <w:rsid w:val="1B4D3B04"/>
    <w:rsid w:val="1B613075"/>
    <w:rsid w:val="1BCC0B62"/>
    <w:rsid w:val="1BDA636C"/>
    <w:rsid w:val="1BDF0F71"/>
    <w:rsid w:val="1C212AA4"/>
    <w:rsid w:val="1C7843FB"/>
    <w:rsid w:val="1CA67605"/>
    <w:rsid w:val="1CB83BC2"/>
    <w:rsid w:val="1CBF5FD1"/>
    <w:rsid w:val="1D1B05CB"/>
    <w:rsid w:val="1D383FD6"/>
    <w:rsid w:val="1D3B0805"/>
    <w:rsid w:val="1D4E65BF"/>
    <w:rsid w:val="1D5801D4"/>
    <w:rsid w:val="1D65301C"/>
    <w:rsid w:val="1DD44A27"/>
    <w:rsid w:val="1E347080"/>
    <w:rsid w:val="1E526037"/>
    <w:rsid w:val="1E5A34F1"/>
    <w:rsid w:val="1E5C1A74"/>
    <w:rsid w:val="1E623426"/>
    <w:rsid w:val="1EA83BBB"/>
    <w:rsid w:val="1EAB2C47"/>
    <w:rsid w:val="1EB202F4"/>
    <w:rsid w:val="1ECF3B30"/>
    <w:rsid w:val="1F462D4C"/>
    <w:rsid w:val="1F6F14B9"/>
    <w:rsid w:val="1F885DB6"/>
    <w:rsid w:val="1FD2426D"/>
    <w:rsid w:val="1FD3558C"/>
    <w:rsid w:val="1FE330E4"/>
    <w:rsid w:val="1FE60A16"/>
    <w:rsid w:val="1FED279A"/>
    <w:rsid w:val="1FEE18BA"/>
    <w:rsid w:val="200D4BBF"/>
    <w:rsid w:val="20174C48"/>
    <w:rsid w:val="20217476"/>
    <w:rsid w:val="203C1889"/>
    <w:rsid w:val="20E77931"/>
    <w:rsid w:val="20F0563A"/>
    <w:rsid w:val="211713A2"/>
    <w:rsid w:val="21295C53"/>
    <w:rsid w:val="21384ECC"/>
    <w:rsid w:val="215505FD"/>
    <w:rsid w:val="21701A71"/>
    <w:rsid w:val="21744B75"/>
    <w:rsid w:val="21B555FC"/>
    <w:rsid w:val="21C743EB"/>
    <w:rsid w:val="21D818E3"/>
    <w:rsid w:val="21F25534"/>
    <w:rsid w:val="21FD1DF2"/>
    <w:rsid w:val="222005DC"/>
    <w:rsid w:val="223D4809"/>
    <w:rsid w:val="22DB78DD"/>
    <w:rsid w:val="22DF222A"/>
    <w:rsid w:val="22F666C3"/>
    <w:rsid w:val="22F8223D"/>
    <w:rsid w:val="2309269C"/>
    <w:rsid w:val="230A261F"/>
    <w:rsid w:val="235C53DE"/>
    <w:rsid w:val="23675615"/>
    <w:rsid w:val="23780224"/>
    <w:rsid w:val="23C91E2B"/>
    <w:rsid w:val="23DA7B95"/>
    <w:rsid w:val="23F8626D"/>
    <w:rsid w:val="241035B6"/>
    <w:rsid w:val="2417554D"/>
    <w:rsid w:val="24B11E6F"/>
    <w:rsid w:val="24CE17FE"/>
    <w:rsid w:val="25317C88"/>
    <w:rsid w:val="254B04FE"/>
    <w:rsid w:val="2555547B"/>
    <w:rsid w:val="255B6AB3"/>
    <w:rsid w:val="255F47F5"/>
    <w:rsid w:val="25A718F0"/>
    <w:rsid w:val="261C5F05"/>
    <w:rsid w:val="263F224F"/>
    <w:rsid w:val="26543C2E"/>
    <w:rsid w:val="2658308D"/>
    <w:rsid w:val="26AA7CF2"/>
    <w:rsid w:val="26DF211B"/>
    <w:rsid w:val="26F41639"/>
    <w:rsid w:val="2762237B"/>
    <w:rsid w:val="278164F0"/>
    <w:rsid w:val="279F498D"/>
    <w:rsid w:val="27C66CB0"/>
    <w:rsid w:val="27D12358"/>
    <w:rsid w:val="285D45A5"/>
    <w:rsid w:val="285F436A"/>
    <w:rsid w:val="286E6AFD"/>
    <w:rsid w:val="287C121A"/>
    <w:rsid w:val="28F90570"/>
    <w:rsid w:val="298712A2"/>
    <w:rsid w:val="29A3217A"/>
    <w:rsid w:val="29DA76F2"/>
    <w:rsid w:val="29DF13C6"/>
    <w:rsid w:val="2A063491"/>
    <w:rsid w:val="2A522B7B"/>
    <w:rsid w:val="2A765BB8"/>
    <w:rsid w:val="2A8F3D55"/>
    <w:rsid w:val="2A912A38"/>
    <w:rsid w:val="2AA51A53"/>
    <w:rsid w:val="2AE71263"/>
    <w:rsid w:val="2AF3717A"/>
    <w:rsid w:val="2AFB5F56"/>
    <w:rsid w:val="2B571A83"/>
    <w:rsid w:val="2B661BA8"/>
    <w:rsid w:val="2B9D58E1"/>
    <w:rsid w:val="2BB138DB"/>
    <w:rsid w:val="2BC17ADD"/>
    <w:rsid w:val="2C28298A"/>
    <w:rsid w:val="2C84168E"/>
    <w:rsid w:val="2CC03FA8"/>
    <w:rsid w:val="2D5A1436"/>
    <w:rsid w:val="2D821B00"/>
    <w:rsid w:val="2DB31788"/>
    <w:rsid w:val="2DD218DC"/>
    <w:rsid w:val="2DFC588E"/>
    <w:rsid w:val="2E12144A"/>
    <w:rsid w:val="2E28132A"/>
    <w:rsid w:val="2E2A1718"/>
    <w:rsid w:val="2E2E0121"/>
    <w:rsid w:val="2E422F06"/>
    <w:rsid w:val="2EA15E7F"/>
    <w:rsid w:val="2ED95618"/>
    <w:rsid w:val="2F3236BE"/>
    <w:rsid w:val="2F3B05C0"/>
    <w:rsid w:val="2F3C2E82"/>
    <w:rsid w:val="2F5303D2"/>
    <w:rsid w:val="2F967065"/>
    <w:rsid w:val="30073ABF"/>
    <w:rsid w:val="30876590"/>
    <w:rsid w:val="309B5975"/>
    <w:rsid w:val="30A05CC2"/>
    <w:rsid w:val="30BF5DE6"/>
    <w:rsid w:val="313975EA"/>
    <w:rsid w:val="31B32C44"/>
    <w:rsid w:val="31CD22C8"/>
    <w:rsid w:val="31D037FA"/>
    <w:rsid w:val="31E6316C"/>
    <w:rsid w:val="32303E3B"/>
    <w:rsid w:val="32422BA6"/>
    <w:rsid w:val="32CE536F"/>
    <w:rsid w:val="32D16607"/>
    <w:rsid w:val="32F653FF"/>
    <w:rsid w:val="33010C9A"/>
    <w:rsid w:val="330B0B94"/>
    <w:rsid w:val="335214F5"/>
    <w:rsid w:val="33BE302F"/>
    <w:rsid w:val="33C649E0"/>
    <w:rsid w:val="33CF0D98"/>
    <w:rsid w:val="33D070A8"/>
    <w:rsid w:val="343C77C0"/>
    <w:rsid w:val="34963664"/>
    <w:rsid w:val="34AF5EB4"/>
    <w:rsid w:val="3505323F"/>
    <w:rsid w:val="350E3B42"/>
    <w:rsid w:val="351647A5"/>
    <w:rsid w:val="351B1DBB"/>
    <w:rsid w:val="352275ED"/>
    <w:rsid w:val="35567338"/>
    <w:rsid w:val="357B3E78"/>
    <w:rsid w:val="35B32950"/>
    <w:rsid w:val="35DA3712"/>
    <w:rsid w:val="35FA5E74"/>
    <w:rsid w:val="36027A71"/>
    <w:rsid w:val="360B06E6"/>
    <w:rsid w:val="360F14DB"/>
    <w:rsid w:val="361707D4"/>
    <w:rsid w:val="36C8461D"/>
    <w:rsid w:val="36DF2417"/>
    <w:rsid w:val="36F0206A"/>
    <w:rsid w:val="36F124CE"/>
    <w:rsid w:val="36F450B5"/>
    <w:rsid w:val="375D66BB"/>
    <w:rsid w:val="37680D4E"/>
    <w:rsid w:val="37755CB2"/>
    <w:rsid w:val="37922808"/>
    <w:rsid w:val="37A32D00"/>
    <w:rsid w:val="37B153D4"/>
    <w:rsid w:val="37D20747"/>
    <w:rsid w:val="380A4A95"/>
    <w:rsid w:val="384A1159"/>
    <w:rsid w:val="386B26D2"/>
    <w:rsid w:val="38BF03FF"/>
    <w:rsid w:val="38D92682"/>
    <w:rsid w:val="392712B7"/>
    <w:rsid w:val="39573E6D"/>
    <w:rsid w:val="39761CB6"/>
    <w:rsid w:val="399403F3"/>
    <w:rsid w:val="39947640"/>
    <w:rsid w:val="39A9208B"/>
    <w:rsid w:val="39DA5936"/>
    <w:rsid w:val="39E5744E"/>
    <w:rsid w:val="39FB6389"/>
    <w:rsid w:val="3A236AA3"/>
    <w:rsid w:val="3A334C68"/>
    <w:rsid w:val="3A9F44E0"/>
    <w:rsid w:val="3ABB02C8"/>
    <w:rsid w:val="3AC46792"/>
    <w:rsid w:val="3ACF5B21"/>
    <w:rsid w:val="3B14789F"/>
    <w:rsid w:val="3BA50622"/>
    <w:rsid w:val="3BBE7599"/>
    <w:rsid w:val="3BCD5CE5"/>
    <w:rsid w:val="3BFA6BCE"/>
    <w:rsid w:val="3BFC75B4"/>
    <w:rsid w:val="3C035854"/>
    <w:rsid w:val="3C246655"/>
    <w:rsid w:val="3C6334A6"/>
    <w:rsid w:val="3C95210F"/>
    <w:rsid w:val="3C9C5ED7"/>
    <w:rsid w:val="3CAD7431"/>
    <w:rsid w:val="3D344362"/>
    <w:rsid w:val="3D3E13A0"/>
    <w:rsid w:val="3DD376D7"/>
    <w:rsid w:val="3DF862C0"/>
    <w:rsid w:val="3E3E6725"/>
    <w:rsid w:val="3E43485C"/>
    <w:rsid w:val="3E8B4D92"/>
    <w:rsid w:val="3ED565C6"/>
    <w:rsid w:val="3F0833B0"/>
    <w:rsid w:val="3F6902F3"/>
    <w:rsid w:val="3FAC2C09"/>
    <w:rsid w:val="3FEF7CE9"/>
    <w:rsid w:val="404529F6"/>
    <w:rsid w:val="40471332"/>
    <w:rsid w:val="4050500F"/>
    <w:rsid w:val="40632F94"/>
    <w:rsid w:val="40886CFA"/>
    <w:rsid w:val="408B6285"/>
    <w:rsid w:val="40A06BCA"/>
    <w:rsid w:val="40BC2C3C"/>
    <w:rsid w:val="40BC6B48"/>
    <w:rsid w:val="40C23701"/>
    <w:rsid w:val="40D55C0E"/>
    <w:rsid w:val="40D81943"/>
    <w:rsid w:val="40DD16CF"/>
    <w:rsid w:val="4114560B"/>
    <w:rsid w:val="4131552A"/>
    <w:rsid w:val="413626A3"/>
    <w:rsid w:val="4140560B"/>
    <w:rsid w:val="41517CE2"/>
    <w:rsid w:val="416B57BF"/>
    <w:rsid w:val="416C6F04"/>
    <w:rsid w:val="418D09FA"/>
    <w:rsid w:val="41B11D95"/>
    <w:rsid w:val="41DF45EA"/>
    <w:rsid w:val="41E30EB8"/>
    <w:rsid w:val="422163A4"/>
    <w:rsid w:val="42277FF1"/>
    <w:rsid w:val="42A13B5E"/>
    <w:rsid w:val="42F02370"/>
    <w:rsid w:val="430C1CA9"/>
    <w:rsid w:val="43216778"/>
    <w:rsid w:val="437D62C0"/>
    <w:rsid w:val="43964F8A"/>
    <w:rsid w:val="43AE5E05"/>
    <w:rsid w:val="43ED0DC6"/>
    <w:rsid w:val="445B70D3"/>
    <w:rsid w:val="44AB306B"/>
    <w:rsid w:val="44FB3403"/>
    <w:rsid w:val="45556CDB"/>
    <w:rsid w:val="45857508"/>
    <w:rsid w:val="45D1274E"/>
    <w:rsid w:val="46082ECA"/>
    <w:rsid w:val="460F4936"/>
    <w:rsid w:val="46113492"/>
    <w:rsid w:val="46264A7E"/>
    <w:rsid w:val="464E2A77"/>
    <w:rsid w:val="469B0FAE"/>
    <w:rsid w:val="47470344"/>
    <w:rsid w:val="476F4F18"/>
    <w:rsid w:val="477469E0"/>
    <w:rsid w:val="477C27D8"/>
    <w:rsid w:val="48B625A6"/>
    <w:rsid w:val="48D013E2"/>
    <w:rsid w:val="48D04F3E"/>
    <w:rsid w:val="48DB1090"/>
    <w:rsid w:val="48E91B04"/>
    <w:rsid w:val="494476DB"/>
    <w:rsid w:val="49797C69"/>
    <w:rsid w:val="49B77F7F"/>
    <w:rsid w:val="4A1D2868"/>
    <w:rsid w:val="4A437992"/>
    <w:rsid w:val="4A4B3824"/>
    <w:rsid w:val="4A5B1180"/>
    <w:rsid w:val="4AD52CE0"/>
    <w:rsid w:val="4B375F98"/>
    <w:rsid w:val="4BD86CAD"/>
    <w:rsid w:val="4BDA5490"/>
    <w:rsid w:val="4C0D0258"/>
    <w:rsid w:val="4C5C4D3B"/>
    <w:rsid w:val="4CF232FC"/>
    <w:rsid w:val="4D1F6494"/>
    <w:rsid w:val="4D2E0486"/>
    <w:rsid w:val="4DA70135"/>
    <w:rsid w:val="4DAC4ACA"/>
    <w:rsid w:val="4DE60D60"/>
    <w:rsid w:val="4DF845ED"/>
    <w:rsid w:val="4DFA1777"/>
    <w:rsid w:val="4E0833C0"/>
    <w:rsid w:val="4E0D081F"/>
    <w:rsid w:val="4E1E499E"/>
    <w:rsid w:val="4E8A5B90"/>
    <w:rsid w:val="4EC616BE"/>
    <w:rsid w:val="4F4421E2"/>
    <w:rsid w:val="4F4526C4"/>
    <w:rsid w:val="4F5F701C"/>
    <w:rsid w:val="4FAC0FDD"/>
    <w:rsid w:val="4FC54E10"/>
    <w:rsid w:val="4FD55FA1"/>
    <w:rsid w:val="50025C42"/>
    <w:rsid w:val="501767E3"/>
    <w:rsid w:val="50230208"/>
    <w:rsid w:val="505657B2"/>
    <w:rsid w:val="507C775A"/>
    <w:rsid w:val="507F5687"/>
    <w:rsid w:val="508B3E41"/>
    <w:rsid w:val="5094139B"/>
    <w:rsid w:val="50B36976"/>
    <w:rsid w:val="50EB07B4"/>
    <w:rsid w:val="50EF43D0"/>
    <w:rsid w:val="51043FA7"/>
    <w:rsid w:val="510D74A7"/>
    <w:rsid w:val="511856D5"/>
    <w:rsid w:val="51832518"/>
    <w:rsid w:val="51F95A6F"/>
    <w:rsid w:val="52F831CA"/>
    <w:rsid w:val="53035F10"/>
    <w:rsid w:val="533F1BD4"/>
    <w:rsid w:val="538958BB"/>
    <w:rsid w:val="53AD13B3"/>
    <w:rsid w:val="53B650DD"/>
    <w:rsid w:val="53CE651E"/>
    <w:rsid w:val="54013F49"/>
    <w:rsid w:val="540D70DA"/>
    <w:rsid w:val="544459C2"/>
    <w:rsid w:val="54695E8C"/>
    <w:rsid w:val="549F610D"/>
    <w:rsid w:val="54A761C8"/>
    <w:rsid w:val="54D77655"/>
    <w:rsid w:val="54DA3E73"/>
    <w:rsid w:val="554D0A92"/>
    <w:rsid w:val="55C27986"/>
    <w:rsid w:val="560C24BC"/>
    <w:rsid w:val="56263C7C"/>
    <w:rsid w:val="562A56C8"/>
    <w:rsid w:val="56372D41"/>
    <w:rsid w:val="56486896"/>
    <w:rsid w:val="5664316A"/>
    <w:rsid w:val="568850AA"/>
    <w:rsid w:val="568D0936"/>
    <w:rsid w:val="56C50EAF"/>
    <w:rsid w:val="56D46542"/>
    <w:rsid w:val="56DE4CCA"/>
    <w:rsid w:val="56ED7751"/>
    <w:rsid w:val="56FF2E93"/>
    <w:rsid w:val="576F2F50"/>
    <w:rsid w:val="57B313FC"/>
    <w:rsid w:val="57C3022A"/>
    <w:rsid w:val="57DE6F4C"/>
    <w:rsid w:val="57F56770"/>
    <w:rsid w:val="582A423E"/>
    <w:rsid w:val="582B03E3"/>
    <w:rsid w:val="5836643A"/>
    <w:rsid w:val="583A3465"/>
    <w:rsid w:val="5877283E"/>
    <w:rsid w:val="591C7D2C"/>
    <w:rsid w:val="59351F0C"/>
    <w:rsid w:val="593B5D04"/>
    <w:rsid w:val="59496D19"/>
    <w:rsid w:val="599E51F3"/>
    <w:rsid w:val="59FF38D6"/>
    <w:rsid w:val="5A2C267B"/>
    <w:rsid w:val="5A2D695C"/>
    <w:rsid w:val="5AAC50E0"/>
    <w:rsid w:val="5AB02F76"/>
    <w:rsid w:val="5AB72E09"/>
    <w:rsid w:val="5AE66CB5"/>
    <w:rsid w:val="5AFF1383"/>
    <w:rsid w:val="5B0E62D9"/>
    <w:rsid w:val="5B0F4D90"/>
    <w:rsid w:val="5B3255E5"/>
    <w:rsid w:val="5B62055C"/>
    <w:rsid w:val="5BBD57F6"/>
    <w:rsid w:val="5C052CF9"/>
    <w:rsid w:val="5C08267F"/>
    <w:rsid w:val="5C1B219A"/>
    <w:rsid w:val="5C425CFC"/>
    <w:rsid w:val="5C631A76"/>
    <w:rsid w:val="5C697769"/>
    <w:rsid w:val="5D212B93"/>
    <w:rsid w:val="5DB06C95"/>
    <w:rsid w:val="5DDE62D0"/>
    <w:rsid w:val="5DF474C9"/>
    <w:rsid w:val="5DFA1598"/>
    <w:rsid w:val="5E3653EC"/>
    <w:rsid w:val="5E437BF5"/>
    <w:rsid w:val="5E5D0BCB"/>
    <w:rsid w:val="5E5E4DB4"/>
    <w:rsid w:val="5E994F2E"/>
    <w:rsid w:val="5EAB646A"/>
    <w:rsid w:val="5EB36A3D"/>
    <w:rsid w:val="5EE51874"/>
    <w:rsid w:val="5EFD6EAF"/>
    <w:rsid w:val="5F683CCB"/>
    <w:rsid w:val="5F6F2875"/>
    <w:rsid w:val="5FA13C40"/>
    <w:rsid w:val="5FA151ED"/>
    <w:rsid w:val="5FDB331E"/>
    <w:rsid w:val="5FE347C2"/>
    <w:rsid w:val="60291BBF"/>
    <w:rsid w:val="60E1069B"/>
    <w:rsid w:val="60FB0B6F"/>
    <w:rsid w:val="60FE6AAE"/>
    <w:rsid w:val="611C2FBF"/>
    <w:rsid w:val="61524D43"/>
    <w:rsid w:val="61881A4F"/>
    <w:rsid w:val="621A2902"/>
    <w:rsid w:val="621F7F2F"/>
    <w:rsid w:val="62586279"/>
    <w:rsid w:val="6268093C"/>
    <w:rsid w:val="627452ED"/>
    <w:rsid w:val="628D3A49"/>
    <w:rsid w:val="62970423"/>
    <w:rsid w:val="62C21B3E"/>
    <w:rsid w:val="62D85CBE"/>
    <w:rsid w:val="62E42362"/>
    <w:rsid w:val="62FE7030"/>
    <w:rsid w:val="634F3F7F"/>
    <w:rsid w:val="636F6D21"/>
    <w:rsid w:val="63711A65"/>
    <w:rsid w:val="637A12E1"/>
    <w:rsid w:val="63952BB5"/>
    <w:rsid w:val="63BC7A5C"/>
    <w:rsid w:val="63C33CD5"/>
    <w:rsid w:val="63CB083A"/>
    <w:rsid w:val="63CE4F4E"/>
    <w:rsid w:val="63D86C95"/>
    <w:rsid w:val="642C4348"/>
    <w:rsid w:val="64771354"/>
    <w:rsid w:val="64B14184"/>
    <w:rsid w:val="64EA7169"/>
    <w:rsid w:val="6520152C"/>
    <w:rsid w:val="65232F5F"/>
    <w:rsid w:val="652C7549"/>
    <w:rsid w:val="653F2BE4"/>
    <w:rsid w:val="65757142"/>
    <w:rsid w:val="658E3D60"/>
    <w:rsid w:val="659F78B6"/>
    <w:rsid w:val="660F635C"/>
    <w:rsid w:val="663E284A"/>
    <w:rsid w:val="66BC16F8"/>
    <w:rsid w:val="67000C8D"/>
    <w:rsid w:val="67956695"/>
    <w:rsid w:val="67B32FF1"/>
    <w:rsid w:val="67F87706"/>
    <w:rsid w:val="680D3979"/>
    <w:rsid w:val="688B19F9"/>
    <w:rsid w:val="68D532AB"/>
    <w:rsid w:val="68E13B71"/>
    <w:rsid w:val="690E0D0B"/>
    <w:rsid w:val="694E3F32"/>
    <w:rsid w:val="696247E8"/>
    <w:rsid w:val="698D790B"/>
    <w:rsid w:val="69BA4602"/>
    <w:rsid w:val="69BE3E37"/>
    <w:rsid w:val="69F525FF"/>
    <w:rsid w:val="6A0F3288"/>
    <w:rsid w:val="6A4F3918"/>
    <w:rsid w:val="6A8B2F63"/>
    <w:rsid w:val="6A9B6319"/>
    <w:rsid w:val="6AC215B6"/>
    <w:rsid w:val="6ADF0BB9"/>
    <w:rsid w:val="6AE6019A"/>
    <w:rsid w:val="6AEB6D85"/>
    <w:rsid w:val="6B1B3E0E"/>
    <w:rsid w:val="6B310774"/>
    <w:rsid w:val="6B6A2B79"/>
    <w:rsid w:val="6B7632CC"/>
    <w:rsid w:val="6BF012D0"/>
    <w:rsid w:val="6C256AA0"/>
    <w:rsid w:val="6C430059"/>
    <w:rsid w:val="6C484F9F"/>
    <w:rsid w:val="6CAB390B"/>
    <w:rsid w:val="6CC72BF8"/>
    <w:rsid w:val="6CCB3AEB"/>
    <w:rsid w:val="6CDE381E"/>
    <w:rsid w:val="6CF21078"/>
    <w:rsid w:val="6D0A1AA4"/>
    <w:rsid w:val="6D437DD8"/>
    <w:rsid w:val="6D441AFB"/>
    <w:rsid w:val="6D66613A"/>
    <w:rsid w:val="6DA2484C"/>
    <w:rsid w:val="6DB37A58"/>
    <w:rsid w:val="6E0251AB"/>
    <w:rsid w:val="6E0E5A3E"/>
    <w:rsid w:val="6E111767"/>
    <w:rsid w:val="6EC01AD9"/>
    <w:rsid w:val="6F0754E8"/>
    <w:rsid w:val="6F4A6F49"/>
    <w:rsid w:val="6F7A7103"/>
    <w:rsid w:val="6F7B02E7"/>
    <w:rsid w:val="6F930023"/>
    <w:rsid w:val="6FA4289A"/>
    <w:rsid w:val="6FB20204"/>
    <w:rsid w:val="6FCB441A"/>
    <w:rsid w:val="70180EAF"/>
    <w:rsid w:val="705B3F40"/>
    <w:rsid w:val="70617357"/>
    <w:rsid w:val="70633312"/>
    <w:rsid w:val="708859CE"/>
    <w:rsid w:val="70B7060E"/>
    <w:rsid w:val="70F7302B"/>
    <w:rsid w:val="711139F4"/>
    <w:rsid w:val="71440DC2"/>
    <w:rsid w:val="717914A0"/>
    <w:rsid w:val="7186546F"/>
    <w:rsid w:val="71E86768"/>
    <w:rsid w:val="71FD6B26"/>
    <w:rsid w:val="723A5769"/>
    <w:rsid w:val="726A31D8"/>
    <w:rsid w:val="72CE3897"/>
    <w:rsid w:val="72FA0013"/>
    <w:rsid w:val="730C2343"/>
    <w:rsid w:val="735E63CF"/>
    <w:rsid w:val="738663C7"/>
    <w:rsid w:val="7394161F"/>
    <w:rsid w:val="73E536E4"/>
    <w:rsid w:val="73E8484B"/>
    <w:rsid w:val="744A79EB"/>
    <w:rsid w:val="74592601"/>
    <w:rsid w:val="747E1443"/>
    <w:rsid w:val="747E2794"/>
    <w:rsid w:val="74851CF8"/>
    <w:rsid w:val="748E26AE"/>
    <w:rsid w:val="74A92964"/>
    <w:rsid w:val="74B5050D"/>
    <w:rsid w:val="74C21339"/>
    <w:rsid w:val="75357D54"/>
    <w:rsid w:val="754A24AE"/>
    <w:rsid w:val="758377D8"/>
    <w:rsid w:val="75C259EF"/>
    <w:rsid w:val="75C8417F"/>
    <w:rsid w:val="75CA7437"/>
    <w:rsid w:val="75CF246A"/>
    <w:rsid w:val="762F7D55"/>
    <w:rsid w:val="7682521B"/>
    <w:rsid w:val="76A41635"/>
    <w:rsid w:val="76AC74B5"/>
    <w:rsid w:val="76C010FB"/>
    <w:rsid w:val="76D213A2"/>
    <w:rsid w:val="7701040A"/>
    <w:rsid w:val="7734690C"/>
    <w:rsid w:val="77C065E0"/>
    <w:rsid w:val="77CF5A6E"/>
    <w:rsid w:val="780879A1"/>
    <w:rsid w:val="78177BE5"/>
    <w:rsid w:val="783C7F10"/>
    <w:rsid w:val="784634C2"/>
    <w:rsid w:val="787843BA"/>
    <w:rsid w:val="78AC038D"/>
    <w:rsid w:val="78B83176"/>
    <w:rsid w:val="78D32017"/>
    <w:rsid w:val="78FB7E97"/>
    <w:rsid w:val="790E41C6"/>
    <w:rsid w:val="79254369"/>
    <w:rsid w:val="792D6716"/>
    <w:rsid w:val="79304716"/>
    <w:rsid w:val="795409C4"/>
    <w:rsid w:val="79654FF6"/>
    <w:rsid w:val="79B02B0B"/>
    <w:rsid w:val="79D57D57"/>
    <w:rsid w:val="79D73ACF"/>
    <w:rsid w:val="79DD74B7"/>
    <w:rsid w:val="7A2D1941"/>
    <w:rsid w:val="7A5732BB"/>
    <w:rsid w:val="7A635363"/>
    <w:rsid w:val="7A770C5F"/>
    <w:rsid w:val="7A8D30C7"/>
    <w:rsid w:val="7AAA2F92"/>
    <w:rsid w:val="7ABA1862"/>
    <w:rsid w:val="7B187EFC"/>
    <w:rsid w:val="7B2C39A7"/>
    <w:rsid w:val="7B566C76"/>
    <w:rsid w:val="7B710D2F"/>
    <w:rsid w:val="7BB66BC0"/>
    <w:rsid w:val="7BFA1CBD"/>
    <w:rsid w:val="7BFF2E69"/>
    <w:rsid w:val="7C06069C"/>
    <w:rsid w:val="7C0D30D4"/>
    <w:rsid w:val="7C3B311B"/>
    <w:rsid w:val="7C4179AA"/>
    <w:rsid w:val="7C524205"/>
    <w:rsid w:val="7C770E31"/>
    <w:rsid w:val="7CA33FDD"/>
    <w:rsid w:val="7CD17F3A"/>
    <w:rsid w:val="7D7A5519"/>
    <w:rsid w:val="7D9F12D9"/>
    <w:rsid w:val="7DA17533"/>
    <w:rsid w:val="7DA57A41"/>
    <w:rsid w:val="7DA737B9"/>
    <w:rsid w:val="7DA95783"/>
    <w:rsid w:val="7E10135E"/>
    <w:rsid w:val="7E431733"/>
    <w:rsid w:val="7E4D25B2"/>
    <w:rsid w:val="7E5513A0"/>
    <w:rsid w:val="7E605C69"/>
    <w:rsid w:val="7E6D6A80"/>
    <w:rsid w:val="7EC75607"/>
    <w:rsid w:val="7ECE75C9"/>
    <w:rsid w:val="7ED00AED"/>
    <w:rsid w:val="7F0F58D8"/>
    <w:rsid w:val="7F2C666B"/>
    <w:rsid w:val="7F6F53AE"/>
    <w:rsid w:val="7F791E0A"/>
    <w:rsid w:val="7FD20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54"/>
    <w:qFormat/>
    <w:uiPriority w:val="9"/>
    <w:pPr>
      <w:keepNext/>
      <w:spacing w:before="240" w:after="60"/>
      <w:outlineLvl w:val="0"/>
    </w:pPr>
    <w:rPr>
      <w:rFonts w:ascii="Cambria" w:hAnsi="Cambria"/>
      <w:kern w:val="32"/>
      <w:sz w:val="32"/>
      <w:szCs w:val="32"/>
    </w:rPr>
  </w:style>
  <w:style w:type="paragraph" w:styleId="5">
    <w:name w:val="heading 2"/>
    <w:basedOn w:val="1"/>
    <w:next w:val="1"/>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6">
    <w:name w:val="heading 3"/>
    <w:basedOn w:val="1"/>
    <w:next w:val="1"/>
    <w:qFormat/>
    <w:uiPriority w:val="99"/>
    <w:pPr>
      <w:keepNext/>
      <w:keepLines/>
      <w:spacing w:before="260" w:after="26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qFormat/>
    <w:uiPriority w:val="99"/>
    <w:pPr>
      <w:keepNext/>
      <w:keepLines/>
      <w:spacing w:before="240" w:after="64" w:line="320" w:lineRule="auto"/>
      <w:outlineLvl w:val="6"/>
    </w:pPr>
    <w:rPr>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0">
    <w:name w:val="toa heading"/>
    <w:basedOn w:val="1"/>
    <w:next w:val="1"/>
    <w:qFormat/>
    <w:uiPriority w:val="0"/>
    <w:pPr>
      <w:spacing w:before="120"/>
    </w:pPr>
    <w:rPr>
      <w:rFonts w:ascii="Arial" w:hAnsi="Arial" w:eastAsia="仿宋" w:cs="Times New Roman"/>
      <w:sz w:val="24"/>
      <w:szCs w:val="20"/>
    </w:rPr>
  </w:style>
  <w:style w:type="paragraph" w:styleId="11">
    <w:name w:val="annotation text"/>
    <w:basedOn w:val="1"/>
    <w:qFormat/>
    <w:uiPriority w:val="0"/>
    <w:pPr>
      <w:jc w:val="left"/>
    </w:pPr>
  </w:style>
  <w:style w:type="paragraph" w:styleId="12">
    <w:name w:val="index 6"/>
    <w:basedOn w:val="1"/>
    <w:next w:val="1"/>
    <w:qFormat/>
    <w:uiPriority w:val="0"/>
    <w:pPr>
      <w:ind w:left="2100"/>
    </w:pPr>
    <w:rPr>
      <w:rFonts w:ascii="Times New Roman" w:hAnsi="Times New Roman" w:eastAsia="宋体" w:cs="Times New Roman"/>
    </w:rPr>
  </w:style>
  <w:style w:type="paragraph" w:styleId="13">
    <w:name w:val="Body Text"/>
    <w:basedOn w:val="1"/>
    <w:next w:val="1"/>
    <w:qFormat/>
    <w:uiPriority w:val="0"/>
    <w:pPr>
      <w:spacing w:after="120"/>
    </w:pPr>
  </w:style>
  <w:style w:type="paragraph" w:styleId="14">
    <w:name w:val="Body Text Indent"/>
    <w:basedOn w:val="1"/>
    <w:next w:val="15"/>
    <w:qFormat/>
    <w:uiPriority w:val="0"/>
    <w:pPr>
      <w:spacing w:after="120" w:afterLines="0"/>
      <w:ind w:left="420" w:leftChars="200"/>
    </w:pPr>
  </w:style>
  <w:style w:type="paragraph" w:styleId="15">
    <w:name w:val="Body Text First Indent 2"/>
    <w:basedOn w:val="14"/>
    <w:next w:val="1"/>
    <w:qFormat/>
    <w:uiPriority w:val="0"/>
    <w:pPr>
      <w:ind w:firstLine="420" w:firstLineChars="200"/>
    </w:pPr>
  </w:style>
  <w:style w:type="paragraph" w:styleId="16">
    <w:name w:val="List 2"/>
    <w:basedOn w:val="1"/>
    <w:next w:val="17"/>
    <w:unhideWhenUsed/>
    <w:qFormat/>
    <w:uiPriority w:val="0"/>
    <w:pPr>
      <w:adjustRightInd w:val="0"/>
      <w:spacing w:line="312" w:lineRule="atLeast"/>
      <w:ind w:left="100" w:leftChars="200" w:hanging="200" w:hangingChars="200"/>
    </w:pPr>
    <w:rPr>
      <w:rFonts w:ascii="Calibri" w:hAnsi="Calibri" w:eastAsia="仿宋"/>
      <w:kern w:val="0"/>
      <w:sz w:val="32"/>
    </w:rPr>
  </w:style>
  <w:style w:type="paragraph" w:styleId="17">
    <w:name w:val="Plain Text"/>
    <w:basedOn w:val="1"/>
    <w:link w:val="64"/>
    <w:qFormat/>
    <w:uiPriority w:val="99"/>
    <w:rPr>
      <w:rFonts w:ascii="宋体" w:hAnsi="Courier New"/>
      <w:szCs w:val="21"/>
    </w:rPr>
  </w:style>
  <w:style w:type="paragraph" w:styleId="18">
    <w:name w:val="Block Text"/>
    <w:basedOn w:val="1"/>
    <w:qFormat/>
    <w:uiPriority w:val="0"/>
    <w:pPr>
      <w:adjustRightInd/>
      <w:spacing w:after="120" w:afterLines="0" w:line="240" w:lineRule="auto"/>
      <w:ind w:left="1440" w:leftChars="700" w:right="1440" w:rightChars="700"/>
      <w:jc w:val="both"/>
      <w:textAlignment w:val="auto"/>
    </w:pPr>
    <w:rPr>
      <w:rFonts w:ascii="Calibri" w:hAnsi="Calibri"/>
      <w:kern w:val="2"/>
      <w:sz w:val="21"/>
      <w:szCs w:val="24"/>
    </w:rPr>
  </w:style>
  <w:style w:type="paragraph" w:styleId="19">
    <w:name w:val="toc 3"/>
    <w:basedOn w:val="1"/>
    <w:next w:val="1"/>
    <w:qFormat/>
    <w:uiPriority w:val="0"/>
    <w:pPr>
      <w:ind w:left="840" w:leftChars="400"/>
    </w:pPr>
  </w:style>
  <w:style w:type="paragraph" w:styleId="20">
    <w:name w:val="Body Text Indent 2"/>
    <w:basedOn w:val="1"/>
    <w:qFormat/>
    <w:uiPriority w:val="99"/>
    <w:pPr>
      <w:ind w:firstLine="480"/>
    </w:pPr>
    <w:rPr>
      <w:rFonts w:asciiTheme="minorHAnsi" w:hAnsiTheme="minorHAnsi" w:eastAsiaTheme="minorEastAsia" w:cstheme="minorBidi"/>
    </w:rPr>
  </w:style>
  <w:style w:type="paragraph" w:styleId="21">
    <w:name w:val="Balloon Text"/>
    <w:basedOn w:val="1"/>
    <w:link w:val="63"/>
    <w:qFormat/>
    <w:uiPriority w:val="0"/>
    <w:rPr>
      <w:sz w:val="18"/>
      <w:szCs w:val="18"/>
    </w:rPr>
  </w:style>
  <w:style w:type="paragraph" w:styleId="22">
    <w:name w:val="footer"/>
    <w:basedOn w:val="1"/>
    <w:qFormat/>
    <w:uiPriority w:val="99"/>
    <w:pPr>
      <w:tabs>
        <w:tab w:val="center" w:pos="4153"/>
        <w:tab w:val="right" w:pos="8306"/>
      </w:tabs>
      <w:snapToGrid w:val="0"/>
    </w:pPr>
    <w:rPr>
      <w:rFonts w:ascii="Times New Roman" w:hAnsi="Times New Roman"/>
      <w:sz w:val="18"/>
      <w:szCs w:val="18"/>
    </w:rPr>
  </w:style>
  <w:style w:type="paragraph" w:styleId="23">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7">
    <w:name w:val="toc 2"/>
    <w:basedOn w:val="1"/>
    <w:next w:val="1"/>
    <w:qFormat/>
    <w:uiPriority w:val="0"/>
    <w:pPr>
      <w:ind w:left="420" w:leftChars="200"/>
    </w:pPr>
  </w:style>
  <w:style w:type="paragraph" w:styleId="28">
    <w:name w:val="Message Header"/>
    <w:basedOn w:val="1"/>
    <w:next w:val="17"/>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29">
    <w:name w:val="Normal (Web)"/>
    <w:basedOn w:val="1"/>
    <w:qFormat/>
    <w:uiPriority w:val="0"/>
    <w:pPr>
      <w:spacing w:beforeAutospacing="1" w:afterAutospacing="1"/>
      <w:jc w:val="left"/>
    </w:pPr>
    <w:rPr>
      <w:kern w:val="0"/>
      <w:sz w:val="24"/>
    </w:rPr>
  </w:style>
  <w:style w:type="paragraph" w:styleId="30">
    <w:name w:val="index 1"/>
    <w:basedOn w:val="1"/>
    <w:next w:val="1"/>
    <w:qFormat/>
    <w:uiPriority w:val="0"/>
    <w:pPr>
      <w:spacing w:line="360" w:lineRule="auto"/>
    </w:pPr>
    <w:rPr>
      <w:rFonts w:ascii="仿宋_GB2312" w:eastAsia="仿宋_GB2312"/>
      <w:sz w:val="24"/>
      <w:szCs w:val="20"/>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rFonts w:hint="eastAsia" w:ascii="微软雅黑" w:hAnsi="微软雅黑" w:eastAsia="微软雅黑" w:cs="微软雅黑"/>
      <w:color w:val="02396F"/>
      <w:u w:val="single"/>
    </w:rPr>
  </w:style>
  <w:style w:type="character" w:styleId="37">
    <w:name w:val="Emphasis"/>
    <w:basedOn w:val="33"/>
    <w:qFormat/>
    <w:uiPriority w:val="0"/>
    <w:rPr>
      <w:i/>
    </w:rPr>
  </w:style>
  <w:style w:type="character" w:styleId="38">
    <w:name w:val="Hyperlink"/>
    <w:basedOn w:val="33"/>
    <w:qFormat/>
    <w:uiPriority w:val="0"/>
    <w:rPr>
      <w:rFonts w:hint="eastAsia" w:ascii="微软雅黑" w:hAnsi="微软雅黑" w:eastAsia="微软雅黑" w:cs="微软雅黑"/>
      <w:color w:val="02396F"/>
      <w:u w:val="single"/>
    </w:rPr>
  </w:style>
  <w:style w:type="character" w:styleId="39">
    <w:name w:val="HTML Sample"/>
    <w:qFormat/>
    <w:uiPriority w:val="0"/>
    <w:rPr>
      <w:rFonts w:ascii="Courier New" w:hAnsi="Courier New"/>
    </w:rPr>
  </w:style>
  <w:style w:type="paragraph" w:customStyle="1" w:styleId="40">
    <w:name w:val="表名称"/>
    <w:basedOn w:val="2"/>
    <w:qFormat/>
    <w:uiPriority w:val="0"/>
    <w:pPr>
      <w:numPr>
        <w:ilvl w:val="0"/>
        <w:numId w:val="2"/>
      </w:numPr>
      <w:ind w:firstLine="0" w:firstLineChars="0"/>
      <w:jc w:val="center"/>
    </w:pPr>
  </w:style>
  <w:style w:type="paragraph" w:styleId="4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2">
    <w:name w:val="Body Text First Indent1"/>
    <w:basedOn w:val="13"/>
    <w:qFormat/>
    <w:uiPriority w:val="0"/>
    <w:pPr>
      <w:tabs>
        <w:tab w:val="left" w:pos="567"/>
      </w:tabs>
      <w:ind w:firstLine="420" w:firstLineChars="100"/>
    </w:pPr>
    <w:rPr>
      <w:kern w:val="2"/>
      <w:sz w:val="21"/>
      <w:lang w:val="en-US" w:eastAsia="zh-CN"/>
    </w:rPr>
  </w:style>
  <w:style w:type="paragraph" w:customStyle="1" w:styleId="43">
    <w:name w:val="Default"/>
    <w:basedOn w:val="4"/>
    <w:next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4">
    <w:name w:val="prev"/>
    <w:qFormat/>
    <w:uiPriority w:val="0"/>
    <w:rPr>
      <w:rFonts w:ascii="微软雅黑" w:hAnsi="微软雅黑" w:eastAsia="微软雅黑" w:cs="微软雅黑"/>
      <w:sz w:val="21"/>
      <w:szCs w:val="21"/>
    </w:rPr>
  </w:style>
  <w:style w:type="character" w:customStyle="1" w:styleId="45">
    <w:name w:val="prev1"/>
    <w:qFormat/>
    <w:uiPriority w:val="0"/>
    <w:rPr>
      <w:color w:val="888888"/>
    </w:rPr>
  </w:style>
  <w:style w:type="character" w:customStyle="1" w:styleId="46">
    <w:name w:val="gjfg"/>
    <w:basedOn w:val="33"/>
    <w:qFormat/>
    <w:uiPriority w:val="0"/>
  </w:style>
  <w:style w:type="character" w:customStyle="1" w:styleId="47">
    <w:name w:val="next2"/>
    <w:qFormat/>
    <w:uiPriority w:val="0"/>
    <w:rPr>
      <w:rFonts w:hint="eastAsia" w:ascii="微软雅黑" w:hAnsi="微软雅黑" w:eastAsia="微软雅黑" w:cs="微软雅黑"/>
      <w:sz w:val="21"/>
      <w:szCs w:val="21"/>
    </w:rPr>
  </w:style>
  <w:style w:type="character" w:customStyle="1" w:styleId="48">
    <w:name w:val="next3"/>
    <w:qFormat/>
    <w:uiPriority w:val="0"/>
    <w:rPr>
      <w:color w:val="888888"/>
    </w:rPr>
  </w:style>
  <w:style w:type="character" w:customStyle="1" w:styleId="49">
    <w:name w:val="displayarti"/>
    <w:qFormat/>
    <w:uiPriority w:val="0"/>
    <w:rPr>
      <w:color w:val="FFFFFF"/>
      <w:shd w:val="clear" w:color="auto" w:fill="A00000"/>
    </w:rPr>
  </w:style>
  <w:style w:type="character" w:customStyle="1" w:styleId="50">
    <w:name w:val="redfilefwwh"/>
    <w:qFormat/>
    <w:uiPriority w:val="0"/>
    <w:rPr>
      <w:color w:val="BA2636"/>
      <w:sz w:val="18"/>
      <w:szCs w:val="18"/>
    </w:rPr>
  </w:style>
  <w:style w:type="character" w:customStyle="1" w:styleId="51">
    <w:name w:val="redfilenumber"/>
    <w:qFormat/>
    <w:uiPriority w:val="0"/>
    <w:rPr>
      <w:color w:val="BA2636"/>
      <w:sz w:val="18"/>
      <w:szCs w:val="18"/>
    </w:rPr>
  </w:style>
  <w:style w:type="character" w:customStyle="1" w:styleId="52">
    <w:name w:val="cfdate"/>
    <w:qFormat/>
    <w:uiPriority w:val="0"/>
    <w:rPr>
      <w:color w:val="333333"/>
      <w:sz w:val="18"/>
      <w:szCs w:val="18"/>
    </w:rPr>
  </w:style>
  <w:style w:type="character" w:customStyle="1" w:styleId="53">
    <w:name w:val="qxdate"/>
    <w:qFormat/>
    <w:uiPriority w:val="0"/>
    <w:rPr>
      <w:color w:val="333333"/>
      <w:sz w:val="18"/>
      <w:szCs w:val="18"/>
    </w:rPr>
  </w:style>
  <w:style w:type="character" w:customStyle="1" w:styleId="54">
    <w:name w:val="标题 1 Char"/>
    <w:link w:val="3"/>
    <w:qFormat/>
    <w:uiPriority w:val="9"/>
    <w:rPr>
      <w:rFonts w:ascii="Cambria" w:hAnsi="Cambria"/>
      <w:b/>
      <w:bCs/>
      <w:kern w:val="32"/>
      <w:sz w:val="32"/>
      <w:szCs w:val="32"/>
    </w:rPr>
  </w:style>
  <w:style w:type="character" w:customStyle="1" w:styleId="55">
    <w:name w:val="prev2"/>
    <w:qFormat/>
    <w:uiPriority w:val="0"/>
    <w:rPr>
      <w:rFonts w:ascii="微软雅黑" w:hAnsi="微软雅黑" w:eastAsia="微软雅黑" w:cs="微软雅黑"/>
      <w:sz w:val="21"/>
      <w:szCs w:val="21"/>
    </w:rPr>
  </w:style>
  <w:style w:type="character" w:customStyle="1" w:styleId="56">
    <w:name w:val="next"/>
    <w:qFormat/>
    <w:uiPriority w:val="0"/>
    <w:rPr>
      <w:rFonts w:hint="eastAsia" w:ascii="微软雅黑" w:hAnsi="微软雅黑" w:eastAsia="微软雅黑" w:cs="微软雅黑"/>
      <w:sz w:val="21"/>
      <w:szCs w:val="21"/>
    </w:rPr>
  </w:style>
  <w:style w:type="character" w:customStyle="1" w:styleId="57">
    <w:name w:val="next1"/>
    <w:qFormat/>
    <w:uiPriority w:val="0"/>
    <w:rPr>
      <w:color w:val="888888"/>
    </w:rPr>
  </w:style>
  <w:style w:type="character" w:customStyle="1" w:styleId="58">
    <w:name w:val="prev3"/>
    <w:qFormat/>
    <w:uiPriority w:val="0"/>
    <w:rPr>
      <w:rFonts w:ascii="微软雅黑" w:hAnsi="微软雅黑" w:eastAsia="微软雅黑" w:cs="微软雅黑"/>
      <w:sz w:val="21"/>
      <w:szCs w:val="21"/>
    </w:rPr>
  </w:style>
  <w:style w:type="paragraph" w:customStyle="1" w:styleId="59">
    <w:name w:val="my正文"/>
    <w:basedOn w:val="1"/>
    <w:qFormat/>
    <w:uiPriority w:val="0"/>
    <w:pPr>
      <w:spacing w:line="360" w:lineRule="auto"/>
      <w:ind w:firstLine="480" w:firstLineChars="200"/>
    </w:pPr>
    <w:rPr>
      <w:rFonts w:ascii="宋体" w:hAnsi="宋体"/>
      <w:sz w:val="24"/>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批注框文本 Char"/>
    <w:link w:val="21"/>
    <w:qFormat/>
    <w:uiPriority w:val="0"/>
    <w:rPr>
      <w:rFonts w:ascii="Calibri" w:hAnsi="Calibri"/>
      <w:kern w:val="2"/>
      <w:sz w:val="18"/>
      <w:szCs w:val="18"/>
    </w:rPr>
  </w:style>
  <w:style w:type="character" w:customStyle="1" w:styleId="64">
    <w:name w:val="纯文本 Char"/>
    <w:link w:val="17"/>
    <w:qFormat/>
    <w:locked/>
    <w:uiPriority w:val="99"/>
    <w:rPr>
      <w:rFonts w:ascii="宋体" w:hAnsi="Courier New" w:cs="Courier New"/>
      <w:kern w:val="2"/>
      <w:sz w:val="21"/>
      <w:szCs w:val="21"/>
    </w:rPr>
  </w:style>
  <w:style w:type="paragraph" w:styleId="65">
    <w:name w:val="List Paragraph"/>
    <w:basedOn w:val="1"/>
    <w:unhideWhenUsed/>
    <w:qFormat/>
    <w:uiPriority w:val="34"/>
    <w:pPr>
      <w:ind w:firstLine="420"/>
    </w:pPr>
    <w:rPr>
      <w:rFonts w:hint="eastAsia" w:ascii="Calibri" w:hAnsi="Calibri"/>
      <w:color w:val="000000"/>
      <w:kern w:val="1"/>
      <w:sz w:val="21"/>
      <w:szCs w:val="24"/>
    </w:rPr>
  </w:style>
  <w:style w:type="paragraph" w:customStyle="1" w:styleId="66">
    <w:name w:val="Plain Text"/>
    <w:basedOn w:val="1"/>
    <w:qFormat/>
    <w:uiPriority w:val="0"/>
    <w:pPr>
      <w:adjustRightInd/>
      <w:spacing w:line="240" w:lineRule="auto"/>
      <w:jc w:val="both"/>
      <w:textAlignment w:val="auto"/>
    </w:pPr>
    <w:rPr>
      <w:rFonts w:ascii="宋体" w:hAnsi="Courier New"/>
      <w:kern w:val="2"/>
      <w:sz w:val="21"/>
      <w:szCs w:val="21"/>
    </w:rPr>
  </w:style>
  <w:style w:type="paragraph" w:customStyle="1" w:styleId="6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8">
    <w:name w:val="Normal Indent"/>
    <w:basedOn w:val="1"/>
    <w:qFormat/>
    <w:uiPriority w:val="0"/>
    <w:pPr>
      <w:ind w:firstLine="420" w:firstLineChars="200"/>
    </w:pPr>
  </w:style>
  <w:style w:type="paragraph" w:customStyle="1" w:styleId="69">
    <w:name w:val="样式1"/>
    <w:basedOn w:val="1"/>
    <w:qFormat/>
    <w:uiPriority w:val="0"/>
    <w:pPr>
      <w:numPr>
        <w:ilvl w:val="0"/>
        <w:numId w:val="3"/>
      </w:numPr>
      <w:spacing w:line="240" w:lineRule="auto"/>
      <w:jc w:val="both"/>
    </w:pPr>
    <w:rPr>
      <w:rFonts w:ascii="宋体" w:hAnsi="宋体"/>
      <w:sz w:val="21"/>
      <w:szCs w:val="21"/>
    </w:rPr>
  </w:style>
  <w:style w:type="paragraph" w:customStyle="1" w:styleId="70">
    <w:name w:val="Level 2"/>
    <w:basedOn w:val="1"/>
    <w:next w:val="1"/>
    <w:qFormat/>
    <w:uiPriority w:val="0"/>
    <w:pPr>
      <w:numPr>
        <w:ilvl w:val="1"/>
        <w:numId w:val="4"/>
      </w:numPr>
      <w:adjustRightInd/>
      <w:spacing w:line="360" w:lineRule="auto"/>
      <w:textAlignment w:val="auto"/>
      <w:outlineLvl w:val="1"/>
    </w:pPr>
    <w:rPr>
      <w:rFonts w:ascii="Arial" w:hAnsi="Arial"/>
      <w:w w:val="105"/>
      <w:kern w:val="20"/>
      <w:sz w:val="24"/>
      <w:lang w:val="en-GB" w:eastAsia="en-US"/>
    </w:rPr>
  </w:style>
  <w:style w:type="paragraph" w:customStyle="1" w:styleId="71">
    <w:name w:val="FWB_L4"/>
    <w:basedOn w:val="1"/>
    <w:qFormat/>
    <w:uiPriority w:val="0"/>
    <w:pPr>
      <w:widowControl/>
      <w:numPr>
        <w:ilvl w:val="3"/>
        <w:numId w:val="5"/>
      </w:numPr>
      <w:tabs>
        <w:tab w:val="left" w:pos="360"/>
        <w:tab w:val="clear" w:pos="1440"/>
      </w:tabs>
      <w:adjustRightInd/>
      <w:spacing w:after="240" w:afterLines="0" w:line="240" w:lineRule="auto"/>
      <w:textAlignment w:val="auto"/>
    </w:pPr>
    <w:rPr>
      <w:smallCaps/>
      <w:sz w:val="24"/>
      <w:lang w:val="en-GB" w:eastAsia="en-US"/>
    </w:rPr>
  </w:style>
  <w:style w:type="paragraph" w:customStyle="1" w:styleId="72">
    <w:name w:val="样式 首行缩进:  2 字符"/>
    <w:basedOn w:val="1"/>
    <w:qFormat/>
    <w:uiPriority w:val="99"/>
    <w:pPr>
      <w:ind w:firstLine="560"/>
    </w:pPr>
  </w:style>
  <w:style w:type="paragraph" w:customStyle="1" w:styleId="73">
    <w:name w:val="Body Text First Indent"/>
    <w:basedOn w:val="13"/>
    <w:qFormat/>
    <w:uiPriority w:val="0"/>
    <w:pPr>
      <w:tabs>
        <w:tab w:val="left" w:pos="567"/>
      </w:tabs>
      <w:ind w:firstLine="420" w:firstLineChars="100"/>
    </w:pPr>
    <w:rPr>
      <w:kern w:val="2"/>
      <w:sz w:val="21"/>
      <w:lang w:val="en-US" w:eastAsia="zh-CN"/>
    </w:rPr>
  </w:style>
  <w:style w:type="character" w:customStyle="1" w:styleId="74">
    <w:name w:val="15"/>
    <w:basedOn w:val="33"/>
    <w:qFormat/>
    <w:uiPriority w:val="0"/>
    <w:rPr>
      <w:rFonts w:hint="default" w:ascii="Tahoma" w:hAnsi="Tahoma" w:eastAsia="宋体" w:cs="Tahoma"/>
      <w:sz w:val="24"/>
      <w:szCs w:val="24"/>
    </w:rPr>
  </w:style>
  <w:style w:type="character" w:customStyle="1" w:styleId="75">
    <w:name w:val="font31"/>
    <w:basedOn w:val="33"/>
    <w:qFormat/>
    <w:uiPriority w:val="0"/>
    <w:rPr>
      <w:rFonts w:hint="eastAsia" w:ascii="宋体" w:hAnsi="宋体" w:eastAsia="宋体" w:cs="宋体"/>
      <w:color w:val="000000"/>
      <w:sz w:val="21"/>
      <w:szCs w:val="21"/>
      <w:u w:val="none"/>
    </w:rPr>
  </w:style>
  <w:style w:type="paragraph" w:customStyle="1" w:styleId="76">
    <w:name w:val="Table Paragraph"/>
    <w:basedOn w:val="1"/>
    <w:qFormat/>
    <w:uiPriority w:val="1"/>
    <w:rPr>
      <w:rFonts w:ascii="宋体" w:hAnsi="宋体" w:cs="宋体"/>
      <w:lang w:val="zh-CN" w:bidi="zh-CN"/>
    </w:rPr>
  </w:style>
  <w:style w:type="paragraph" w:customStyle="1" w:styleId="77">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8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样式9"/>
    <w:basedOn w:val="1"/>
    <w:qFormat/>
    <w:uiPriority w:val="0"/>
    <w:pPr>
      <w:spacing w:line="480" w:lineRule="exact"/>
      <w:ind w:firstLine="480" w:firstLineChars="200"/>
    </w:pPr>
    <w:rPr>
      <w:rFonts w:ascii="宋体" w:hAnsi="宋体"/>
      <w:szCs w:val="24"/>
    </w:rPr>
  </w:style>
  <w:style w:type="paragraph" w:customStyle="1" w:styleId="8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4">
    <w:name w:val="正文_1"/>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文本_0"/>
    <w:basedOn w:val="84"/>
    <w:next w:val="84"/>
    <w:qFormat/>
    <w:uiPriority w:val="0"/>
    <w:pPr>
      <w:spacing w:after="120"/>
    </w:pPr>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72</Pages>
  <Words>34260</Words>
  <Characters>36840</Characters>
  <Lines>240</Lines>
  <Paragraphs>67</Paragraphs>
  <TotalTime>47</TotalTime>
  <ScaleCrop>false</ScaleCrop>
  <LinksUpToDate>false</LinksUpToDate>
  <CharactersWithSpaces>39676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y1瓶超人丶</cp:lastModifiedBy>
  <dcterms:modified xsi:type="dcterms:W3CDTF">2023-03-28T09:05:27Z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1164DD17D1324F50B71917F3085A4E30</vt:lpwstr>
  </property>
</Properties>
</file>