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right"/>
        <w:rPr>
          <w:rFonts w:ascii="宋体" w:hAnsi="宋体" w:cs="宋体"/>
          <w:b/>
          <w:sz w:val="24"/>
          <w:szCs w:val="24"/>
        </w:rPr>
      </w:pPr>
      <w:r>
        <w:rPr>
          <w:rFonts w:hint="eastAsia" w:ascii="宋体" w:hAnsi="宋体" w:cs="宋体"/>
          <w:b/>
          <w:sz w:val="24"/>
          <w:szCs w:val="24"/>
        </w:rPr>
        <w:t xml:space="preserve"> 项目编码：XJLD-2023-050</w:t>
      </w:r>
    </w:p>
    <w:p>
      <w:pPr>
        <w:pStyle w:val="28"/>
        <w:ind w:firstLine="210"/>
      </w:pPr>
    </w:p>
    <w:p>
      <w:pPr>
        <w:spacing w:line="480" w:lineRule="auto"/>
        <w:jc w:val="center"/>
        <w:rPr>
          <w:rFonts w:ascii="宋体"/>
          <w:b/>
          <w:sz w:val="52"/>
          <w:szCs w:val="52"/>
        </w:rPr>
      </w:pPr>
      <w:r>
        <w:rPr>
          <w:rFonts w:hint="eastAsia" w:ascii="宋体"/>
          <w:b/>
          <w:sz w:val="52"/>
          <w:szCs w:val="52"/>
        </w:rPr>
        <w:t>伊犁哈萨克自治州妇幼保健院2023年第一批维修保养服务项目</w:t>
      </w:r>
    </w:p>
    <w:p>
      <w:pPr>
        <w:pStyle w:val="34"/>
        <w:spacing w:line="360" w:lineRule="auto"/>
        <w:ind w:firstLine="0" w:firstLineChars="0"/>
        <w:rPr>
          <w:rFonts w:ascii="宋体"/>
          <w:b/>
          <w:sz w:val="36"/>
          <w:szCs w:val="36"/>
          <w:lang w:val="en-US"/>
        </w:rPr>
      </w:pPr>
    </w:p>
    <w:p>
      <w:pPr>
        <w:autoSpaceDE w:val="0"/>
        <w:autoSpaceDN w:val="0"/>
        <w:adjustRightInd w:val="0"/>
        <w:spacing w:line="360" w:lineRule="auto"/>
        <w:jc w:val="center"/>
        <w:rPr>
          <w:rFonts w:ascii="宋体" w:cs="宋体"/>
          <w:b/>
          <w:sz w:val="84"/>
          <w:szCs w:val="84"/>
        </w:rPr>
      </w:pPr>
      <w:r>
        <w:rPr>
          <w:rFonts w:hint="eastAsia" w:ascii="宋体" w:hAnsi="宋体" w:cs="宋体"/>
          <w:b/>
          <w:sz w:val="84"/>
          <w:szCs w:val="84"/>
        </w:rPr>
        <w:t>招标文件</w:t>
      </w:r>
    </w:p>
    <w:p>
      <w:pPr>
        <w:pStyle w:val="34"/>
        <w:ind w:firstLine="0" w:firstLineChars="0"/>
        <w:rPr>
          <w:rFonts w:ascii="宋体" w:cs="宋体"/>
          <w:b/>
          <w:sz w:val="84"/>
          <w:szCs w:val="84"/>
        </w:rPr>
      </w:pPr>
    </w:p>
    <w:p>
      <w:pPr>
        <w:autoSpaceDN w:val="0"/>
        <w:spacing w:beforeAutospacing="1" w:afterAutospacing="1" w:line="360" w:lineRule="auto"/>
        <w:ind w:firstLine="643" w:firstLineChars="200"/>
        <w:rPr>
          <w:rFonts w:ascii="宋体" w:hAnsi="宋体"/>
          <w:b/>
          <w:sz w:val="32"/>
          <w:szCs w:val="32"/>
          <w:u w:val="single"/>
        </w:rPr>
      </w:pPr>
      <w:r>
        <w:rPr>
          <w:rFonts w:hint="eastAsia"/>
          <w:b/>
          <w:sz w:val="32"/>
          <w:szCs w:val="32"/>
        </w:rPr>
        <w:t>采购</w:t>
      </w:r>
      <w:r>
        <w:rPr>
          <w:rFonts w:hint="eastAsia" w:ascii="宋体" w:hAnsi="宋体"/>
          <w:b/>
          <w:sz w:val="32"/>
          <w:szCs w:val="32"/>
        </w:rPr>
        <w:t>人:</w:t>
      </w:r>
      <w:r>
        <w:rPr>
          <w:rFonts w:hint="eastAsia" w:ascii="宋体" w:hAnsi="宋体"/>
          <w:b/>
          <w:sz w:val="32"/>
          <w:szCs w:val="32"/>
          <w:u w:val="single"/>
        </w:rPr>
        <w:t xml:space="preserve">伊犁哈萨克自治州妇幼保健院  </w:t>
      </w:r>
      <w:r>
        <w:rPr>
          <w:rFonts w:hint="eastAsia" w:ascii="宋体" w:hAnsi="宋体"/>
          <w:b/>
          <w:sz w:val="32"/>
          <w:szCs w:val="32"/>
        </w:rPr>
        <w:t>（盖章）</w:t>
      </w:r>
    </w:p>
    <w:p>
      <w:pPr>
        <w:autoSpaceDN w:val="0"/>
        <w:spacing w:beforeAutospacing="1" w:afterAutospacing="1" w:line="360" w:lineRule="auto"/>
        <w:ind w:firstLine="643" w:firstLineChars="200"/>
        <w:rPr>
          <w:b/>
          <w:sz w:val="32"/>
          <w:szCs w:val="32"/>
          <w:u w:val="thick"/>
        </w:rPr>
      </w:pPr>
      <w:r>
        <w:rPr>
          <w:rFonts w:hint="eastAsia" w:ascii="宋体" w:hAnsi="宋体"/>
          <w:b/>
          <w:sz w:val="32"/>
          <w:szCs w:val="32"/>
        </w:rPr>
        <w:t>联系人：</w:t>
      </w:r>
      <w:r>
        <w:rPr>
          <w:rFonts w:hint="eastAsia" w:ascii="宋体" w:hAnsi="宋体"/>
          <w:b/>
          <w:sz w:val="32"/>
          <w:szCs w:val="32"/>
          <w:u w:val="single"/>
        </w:rPr>
        <w:t>霍女士</w:t>
      </w:r>
      <w:r>
        <w:rPr>
          <w:rFonts w:hint="eastAsia" w:ascii="宋体" w:hAnsi="宋体"/>
          <w:b/>
          <w:sz w:val="32"/>
          <w:szCs w:val="32"/>
          <w:u w:val="single"/>
          <w:lang w:val="en-US" w:eastAsia="zh-CN"/>
        </w:rPr>
        <w:t xml:space="preserve"> </w:t>
      </w:r>
      <w:r>
        <w:rPr>
          <w:rFonts w:hint="eastAsia" w:ascii="宋体" w:hAnsi="宋体"/>
          <w:b/>
          <w:sz w:val="32"/>
          <w:szCs w:val="32"/>
          <w:u w:val="none"/>
          <w:lang w:val="en-US" w:eastAsia="zh-CN"/>
        </w:rPr>
        <w:t xml:space="preserve">    </w:t>
      </w:r>
      <w:r>
        <w:rPr>
          <w:rFonts w:hint="eastAsia" w:ascii="宋体" w:hAnsi="宋体"/>
          <w:b/>
          <w:sz w:val="32"/>
          <w:szCs w:val="32"/>
        </w:rPr>
        <w:t>联系电话：</w:t>
      </w:r>
      <w:r>
        <w:rPr>
          <w:rFonts w:hint="eastAsia" w:ascii="宋体" w:hAnsi="宋体"/>
          <w:b/>
          <w:sz w:val="32"/>
          <w:szCs w:val="32"/>
          <w:u w:val="single"/>
        </w:rPr>
        <w:t>13031364836</w:t>
      </w:r>
    </w:p>
    <w:p>
      <w:pPr>
        <w:autoSpaceDN w:val="0"/>
        <w:spacing w:beforeAutospacing="1" w:afterAutospacing="1" w:line="360" w:lineRule="auto"/>
        <w:ind w:firstLine="643" w:firstLineChars="200"/>
        <w:rPr>
          <w:rFonts w:ascii="宋体" w:hAnsi="宋体"/>
          <w:b/>
          <w:sz w:val="32"/>
          <w:szCs w:val="32"/>
          <w:u w:val="thick"/>
        </w:rPr>
      </w:pPr>
      <w:r>
        <w:rPr>
          <w:rFonts w:hint="eastAsia"/>
          <w:b/>
          <w:sz w:val="32"/>
          <w:szCs w:val="32"/>
        </w:rPr>
        <w:t>采购</w:t>
      </w:r>
      <w:r>
        <w:rPr>
          <w:rFonts w:hint="eastAsia" w:ascii="宋体" w:hAnsi="宋体"/>
          <w:b/>
          <w:sz w:val="32"/>
          <w:szCs w:val="32"/>
        </w:rPr>
        <w:t>代理机构:</w:t>
      </w:r>
      <w:r>
        <w:rPr>
          <w:rFonts w:hint="eastAsia" w:ascii="宋体" w:hAnsi="宋体"/>
          <w:b/>
          <w:sz w:val="32"/>
          <w:szCs w:val="32"/>
          <w:u w:val="single"/>
        </w:rPr>
        <w:t>新疆霖鼎工程管理服务有限公司</w:t>
      </w:r>
      <w:r>
        <w:rPr>
          <w:rFonts w:hint="eastAsia" w:ascii="宋体" w:hAnsi="宋体"/>
          <w:b/>
          <w:sz w:val="32"/>
          <w:szCs w:val="32"/>
          <w:u w:val="single"/>
          <w:lang w:val="en-US" w:eastAsia="zh-CN"/>
        </w:rPr>
        <w:t xml:space="preserve"> </w:t>
      </w:r>
      <w:r>
        <w:rPr>
          <w:rFonts w:hint="eastAsia" w:ascii="宋体" w:hAnsi="宋体"/>
          <w:b/>
          <w:sz w:val="32"/>
          <w:szCs w:val="32"/>
          <w:u w:val="none"/>
        </w:rPr>
        <w:t>（</w:t>
      </w:r>
      <w:r>
        <w:rPr>
          <w:rFonts w:hint="eastAsia" w:ascii="宋体" w:hAnsi="宋体"/>
          <w:b/>
          <w:sz w:val="32"/>
          <w:szCs w:val="32"/>
        </w:rPr>
        <w:t>盖章）</w:t>
      </w:r>
    </w:p>
    <w:p>
      <w:pPr>
        <w:pStyle w:val="14"/>
        <w:spacing w:line="360" w:lineRule="auto"/>
        <w:ind w:firstLine="643" w:firstLineChars="200"/>
        <w:rPr>
          <w:rFonts w:hAnsi="宋体"/>
          <w:b/>
          <w:sz w:val="32"/>
          <w:szCs w:val="32"/>
          <w:u w:val="thick"/>
        </w:rPr>
      </w:pPr>
      <w:r>
        <w:rPr>
          <w:rFonts w:hint="eastAsia"/>
          <w:b/>
          <w:sz w:val="32"/>
          <w:szCs w:val="32"/>
        </w:rPr>
        <w:t>联系人</w:t>
      </w:r>
      <w:r>
        <w:rPr>
          <w:rFonts w:hint="eastAsia" w:hAnsi="宋体"/>
          <w:b/>
          <w:sz w:val="32"/>
          <w:szCs w:val="32"/>
        </w:rPr>
        <w:t>：</w:t>
      </w:r>
      <w:r>
        <w:rPr>
          <w:rFonts w:hint="eastAsia" w:hAnsi="宋体"/>
          <w:b/>
          <w:sz w:val="32"/>
          <w:szCs w:val="32"/>
          <w:u w:val="single"/>
        </w:rPr>
        <w:t xml:space="preserve">马丝云、谢培丹  </w:t>
      </w:r>
    </w:p>
    <w:p>
      <w:pPr>
        <w:autoSpaceDN w:val="0"/>
        <w:spacing w:beforeAutospacing="1" w:afterAutospacing="1" w:line="360" w:lineRule="auto"/>
        <w:ind w:firstLine="643" w:firstLineChars="200"/>
        <w:rPr>
          <w:b/>
          <w:sz w:val="32"/>
          <w:szCs w:val="32"/>
          <w:u w:val="single"/>
        </w:rPr>
      </w:pPr>
      <w:r>
        <w:rPr>
          <w:rFonts w:hint="eastAsia" w:ascii="宋体" w:hAnsi="宋体"/>
          <w:b/>
          <w:sz w:val="32"/>
          <w:szCs w:val="32"/>
        </w:rPr>
        <w:t>联系电话：</w:t>
      </w:r>
      <w:r>
        <w:rPr>
          <w:rFonts w:hint="eastAsia" w:ascii="宋体" w:hAnsi="宋体"/>
          <w:b/>
          <w:sz w:val="32"/>
          <w:szCs w:val="32"/>
          <w:u w:val="single"/>
        </w:rPr>
        <w:t>18399303267、18699399882</w:t>
      </w:r>
    </w:p>
    <w:p>
      <w:pPr>
        <w:pStyle w:val="14"/>
        <w:jc w:val="center"/>
        <w:rPr>
          <w:b/>
          <w:sz w:val="36"/>
          <w:szCs w:val="36"/>
        </w:rPr>
      </w:pPr>
    </w:p>
    <w:p>
      <w:pPr>
        <w:pStyle w:val="14"/>
        <w:jc w:val="center"/>
        <w:rPr>
          <w:b/>
          <w:sz w:val="36"/>
          <w:szCs w:val="36"/>
        </w:rPr>
      </w:pPr>
    </w:p>
    <w:p>
      <w:pPr>
        <w:pStyle w:val="14"/>
        <w:jc w:val="center"/>
        <w:rPr>
          <w:b/>
          <w:lang w:val="zh-CN"/>
        </w:rPr>
      </w:pPr>
      <w:r>
        <w:rPr>
          <w:rFonts w:hint="eastAsia"/>
          <w:b/>
          <w:sz w:val="36"/>
          <w:szCs w:val="36"/>
        </w:rPr>
        <w:t>2023年03月</w:t>
      </w:r>
    </w:p>
    <w:p>
      <w:pPr>
        <w:pStyle w:val="59"/>
        <w:adjustRightInd w:val="0"/>
        <w:snapToGrid w:val="0"/>
        <w:jc w:val="center"/>
        <w:rPr>
          <w:b/>
          <w:color w:val="auto"/>
        </w:rPr>
      </w:pPr>
      <w:r>
        <w:rPr>
          <w:b/>
          <w:color w:val="auto"/>
          <w:lang w:val="zh-CN"/>
        </w:rPr>
        <w:t>目录</w:t>
      </w:r>
    </w:p>
    <w:p>
      <w:pPr>
        <w:pStyle w:val="19"/>
        <w:tabs>
          <w:tab w:val="right" w:leader="dot" w:pos="9073"/>
          <w:tab w:val="clear" w:pos="9628"/>
        </w:tabs>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"_Toc6720" </w:instrText>
      </w:r>
      <w:r>
        <w:fldChar w:fldCharType="separate"/>
      </w:r>
      <w:r>
        <w:rPr>
          <w:rFonts w:ascii="仿宋" w:hAnsi="仿宋" w:eastAsia="仿宋"/>
          <w:bCs/>
          <w:kern w:val="0"/>
          <w:szCs w:val="32"/>
        </w:rPr>
        <w:t xml:space="preserve">第一章 </w:t>
      </w:r>
      <w:r>
        <w:rPr>
          <w:rFonts w:hint="eastAsia" w:ascii="仿宋" w:hAnsi="仿宋" w:eastAsia="仿宋" w:cs="仿宋"/>
          <w:bCs/>
          <w:kern w:val="0"/>
          <w:szCs w:val="32"/>
        </w:rPr>
        <w:t>招标公告</w:t>
      </w:r>
      <w:r>
        <w:tab/>
      </w:r>
      <w:r>
        <w:fldChar w:fldCharType="begin"/>
      </w:r>
      <w:r>
        <w:instrText xml:space="preserve"> PAGEREF _Toc6720 \h </w:instrText>
      </w:r>
      <w:r>
        <w:fldChar w:fldCharType="separate"/>
      </w:r>
      <w:r>
        <w:t>3</w:t>
      </w:r>
      <w:r>
        <w:fldChar w:fldCharType="end"/>
      </w:r>
      <w:r>
        <w:fldChar w:fldCharType="end"/>
      </w:r>
    </w:p>
    <w:p>
      <w:pPr>
        <w:pStyle w:val="19"/>
        <w:tabs>
          <w:tab w:val="right" w:leader="dot" w:pos="9073"/>
          <w:tab w:val="clear" w:pos="9628"/>
        </w:tabs>
      </w:pPr>
      <w:r>
        <w:fldChar w:fldCharType="begin"/>
      </w:r>
      <w:r>
        <w:instrText xml:space="preserve"> HYPERLINK \l "_Toc9775" </w:instrText>
      </w:r>
      <w:r>
        <w:fldChar w:fldCharType="separate"/>
      </w:r>
      <w:r>
        <w:rPr>
          <w:rFonts w:hint="eastAsia" w:ascii="仿宋" w:hAnsi="仿宋" w:eastAsia="仿宋" w:cs="仿宋"/>
          <w:szCs w:val="32"/>
        </w:rPr>
        <w:t>第二章 投标须知前附表</w:t>
      </w:r>
      <w:r>
        <w:tab/>
      </w:r>
      <w:r>
        <w:fldChar w:fldCharType="begin"/>
      </w:r>
      <w:r>
        <w:instrText xml:space="preserve"> PAGEREF _Toc9775 \h </w:instrText>
      </w:r>
      <w:r>
        <w:fldChar w:fldCharType="separate"/>
      </w:r>
      <w:r>
        <w:t>8</w:t>
      </w:r>
      <w:r>
        <w:fldChar w:fldCharType="end"/>
      </w:r>
      <w:r>
        <w:fldChar w:fldCharType="end"/>
      </w:r>
    </w:p>
    <w:p>
      <w:pPr>
        <w:pStyle w:val="19"/>
        <w:tabs>
          <w:tab w:val="right" w:leader="dot" w:pos="9073"/>
          <w:tab w:val="clear" w:pos="9628"/>
        </w:tabs>
      </w:pPr>
      <w:r>
        <w:fldChar w:fldCharType="begin"/>
      </w:r>
      <w:r>
        <w:instrText xml:space="preserve"> HYPERLINK \l "_Toc8089" </w:instrText>
      </w:r>
      <w:r>
        <w:fldChar w:fldCharType="separate"/>
      </w:r>
      <w:r>
        <w:rPr>
          <w:rFonts w:hint="eastAsia" w:ascii="仿宋" w:hAnsi="仿宋" w:eastAsia="仿宋" w:cs="仿宋"/>
          <w:kern w:val="44"/>
          <w:szCs w:val="32"/>
        </w:rPr>
        <w:t>第三章投标人须知</w:t>
      </w:r>
      <w:r>
        <w:tab/>
      </w:r>
      <w:r>
        <w:fldChar w:fldCharType="begin"/>
      </w:r>
      <w:r>
        <w:instrText xml:space="preserve"> PAGEREF _Toc8089 \h </w:instrText>
      </w:r>
      <w:r>
        <w:fldChar w:fldCharType="separate"/>
      </w:r>
      <w:r>
        <w:t>16</w:t>
      </w:r>
      <w:r>
        <w:fldChar w:fldCharType="end"/>
      </w:r>
      <w:r>
        <w:fldChar w:fldCharType="end"/>
      </w:r>
    </w:p>
    <w:p>
      <w:pPr>
        <w:pStyle w:val="19"/>
        <w:tabs>
          <w:tab w:val="right" w:leader="dot" w:pos="9073"/>
          <w:tab w:val="clear" w:pos="9628"/>
        </w:tabs>
      </w:pPr>
      <w:r>
        <w:fldChar w:fldCharType="begin"/>
      </w:r>
      <w:r>
        <w:instrText xml:space="preserve"> HYPERLINK \l "_Toc646" </w:instrText>
      </w:r>
      <w:r>
        <w:fldChar w:fldCharType="separate"/>
      </w:r>
      <w:r>
        <w:rPr>
          <w:rFonts w:hint="eastAsia" w:ascii="仿宋" w:hAnsi="仿宋" w:eastAsia="仿宋" w:cs="仿宋"/>
          <w:bCs/>
          <w:kern w:val="44"/>
          <w:szCs w:val="30"/>
        </w:rPr>
        <w:t>第四章 合同格式</w:t>
      </w:r>
      <w:r>
        <w:tab/>
      </w:r>
      <w:r>
        <w:fldChar w:fldCharType="begin"/>
      </w:r>
      <w:r>
        <w:instrText xml:space="preserve"> PAGEREF _Toc646 \h </w:instrText>
      </w:r>
      <w:r>
        <w:fldChar w:fldCharType="separate"/>
      </w:r>
      <w:r>
        <w:t>57</w:t>
      </w:r>
      <w:r>
        <w:fldChar w:fldCharType="end"/>
      </w:r>
      <w:r>
        <w:fldChar w:fldCharType="end"/>
      </w:r>
    </w:p>
    <w:p>
      <w:pPr>
        <w:pStyle w:val="19"/>
        <w:tabs>
          <w:tab w:val="right" w:leader="dot" w:pos="9073"/>
          <w:tab w:val="clear" w:pos="9628"/>
        </w:tabs>
      </w:pPr>
      <w:r>
        <w:fldChar w:fldCharType="begin"/>
      </w:r>
      <w:r>
        <w:instrText xml:space="preserve"> HYPERLINK \l "_Toc6497" </w:instrText>
      </w:r>
      <w:r>
        <w:fldChar w:fldCharType="separate"/>
      </w:r>
      <w:r>
        <w:rPr>
          <w:rFonts w:hint="eastAsia" w:ascii="仿宋" w:hAnsi="仿宋" w:eastAsia="仿宋" w:cs="仿宋"/>
          <w:szCs w:val="30"/>
        </w:rPr>
        <w:t>第五章 采购需求</w:t>
      </w:r>
      <w:r>
        <w:tab/>
      </w:r>
      <w:r>
        <w:fldChar w:fldCharType="begin"/>
      </w:r>
      <w:r>
        <w:instrText xml:space="preserve"> PAGEREF _Toc6497 \h </w:instrText>
      </w:r>
      <w:r>
        <w:fldChar w:fldCharType="separate"/>
      </w:r>
      <w:r>
        <w:t>68</w:t>
      </w:r>
      <w:r>
        <w:fldChar w:fldCharType="end"/>
      </w:r>
      <w:r>
        <w:fldChar w:fldCharType="end"/>
      </w:r>
    </w:p>
    <w:p>
      <w:pPr>
        <w:pStyle w:val="19"/>
        <w:tabs>
          <w:tab w:val="right" w:leader="dot" w:pos="9073"/>
          <w:tab w:val="clear" w:pos="9628"/>
        </w:tabs>
        <w:rPr>
          <w:rFonts w:asciiTheme="minorEastAsia" w:hAnsiTheme="minorEastAsia" w:cstheme="minorEastAsia"/>
          <w:sz w:val="28"/>
          <w:szCs w:val="28"/>
          <w:highlight w:val="yellow"/>
        </w:rPr>
      </w:pPr>
      <w:r>
        <w:fldChar w:fldCharType="begin"/>
      </w:r>
      <w:r>
        <w:instrText xml:space="preserve"> HYPERLINK \l "_Toc14947" </w:instrText>
      </w:r>
      <w:r>
        <w:fldChar w:fldCharType="separate"/>
      </w:r>
      <w:r>
        <w:rPr>
          <w:rFonts w:hint="eastAsia" w:ascii="仿宋" w:hAnsi="仿宋" w:eastAsia="仿宋" w:cs="仿宋"/>
          <w:szCs w:val="30"/>
        </w:rPr>
        <w:t>第六章 投标文件部分格式</w:t>
      </w:r>
      <w:r>
        <w:tab/>
      </w:r>
      <w:r>
        <w:fldChar w:fldCharType="begin"/>
      </w:r>
      <w:r>
        <w:instrText xml:space="preserve"> PAGEREF _Toc14947 \h </w:instrText>
      </w:r>
      <w:r>
        <w:fldChar w:fldCharType="separate"/>
      </w:r>
      <w:r>
        <w:t>105</w:t>
      </w:r>
      <w:r>
        <w:fldChar w:fldCharType="end"/>
      </w:r>
      <w:r>
        <w:fldChar w:fldCharType="end"/>
      </w:r>
      <w:r>
        <w:rPr>
          <w:rFonts w:hint="eastAsia" w:asciiTheme="minorEastAsia" w:hAnsiTheme="minorEastAsia" w:cstheme="minorEastAsia"/>
          <w:szCs w:val="28"/>
        </w:rPr>
        <w:fldChar w:fldCharType="end"/>
      </w:r>
    </w:p>
    <w:p>
      <w:pPr>
        <w:rPr>
          <w:highlight w:val="yellow"/>
        </w:rPr>
      </w:pPr>
    </w:p>
    <w:p>
      <w:pPr>
        <w:rPr>
          <w:highlight w:val="yellow"/>
        </w:rPr>
      </w:pPr>
    </w:p>
    <w:p>
      <w:pPr>
        <w:rPr>
          <w:highlight w:val="yellow"/>
        </w:rPr>
      </w:pPr>
    </w:p>
    <w:p>
      <w:pPr>
        <w:rPr>
          <w:rFonts w:asciiTheme="minorEastAsia" w:hAnsiTheme="minorEastAsia" w:cstheme="minorEastAsia"/>
          <w:sz w:val="28"/>
          <w:szCs w:val="28"/>
          <w:highlight w:val="yellow"/>
        </w:rPr>
      </w:pPr>
    </w:p>
    <w:p>
      <w:pPr>
        <w:pStyle w:val="34"/>
        <w:ind w:firstLine="560"/>
        <w:rPr>
          <w:rFonts w:asciiTheme="minorEastAsia" w:hAnsiTheme="minorEastAsia" w:cstheme="minorEastAsia"/>
          <w:sz w:val="28"/>
          <w:szCs w:val="28"/>
          <w:highlight w:val="yellow"/>
        </w:rPr>
      </w:pPr>
    </w:p>
    <w:p>
      <w:pPr>
        <w:pStyle w:val="34"/>
        <w:ind w:firstLine="560"/>
        <w:rPr>
          <w:rFonts w:asciiTheme="minorEastAsia" w:hAnsiTheme="minorEastAsia" w:cstheme="minorEastAsia"/>
          <w:sz w:val="28"/>
          <w:szCs w:val="28"/>
          <w:highlight w:val="yellow"/>
        </w:rPr>
      </w:pPr>
    </w:p>
    <w:p>
      <w:pPr>
        <w:pStyle w:val="34"/>
        <w:ind w:firstLine="560"/>
        <w:rPr>
          <w:rFonts w:asciiTheme="minorEastAsia" w:hAnsiTheme="minorEastAsia" w:cstheme="minorEastAsia"/>
          <w:sz w:val="28"/>
          <w:szCs w:val="28"/>
          <w:highlight w:val="yellow"/>
        </w:rPr>
      </w:pPr>
    </w:p>
    <w:p>
      <w:pPr>
        <w:pStyle w:val="34"/>
        <w:ind w:firstLine="560"/>
        <w:rPr>
          <w:rFonts w:asciiTheme="minorEastAsia" w:hAnsiTheme="minorEastAsia" w:cstheme="minorEastAsia"/>
          <w:sz w:val="28"/>
          <w:szCs w:val="28"/>
          <w:highlight w:val="yellow"/>
        </w:rPr>
      </w:pPr>
    </w:p>
    <w:p>
      <w:pPr>
        <w:pStyle w:val="34"/>
        <w:ind w:firstLine="560"/>
        <w:rPr>
          <w:rFonts w:asciiTheme="minorEastAsia" w:hAnsiTheme="minorEastAsia" w:cstheme="minorEastAsia"/>
          <w:sz w:val="28"/>
          <w:szCs w:val="28"/>
          <w:highlight w:val="yellow"/>
        </w:rPr>
      </w:pPr>
    </w:p>
    <w:p>
      <w:pPr>
        <w:pStyle w:val="34"/>
        <w:ind w:firstLine="560"/>
        <w:rPr>
          <w:rFonts w:asciiTheme="minorEastAsia" w:hAnsiTheme="minorEastAsia" w:cstheme="minorEastAsia"/>
          <w:sz w:val="28"/>
          <w:szCs w:val="28"/>
          <w:highlight w:val="yellow"/>
        </w:rPr>
      </w:pPr>
    </w:p>
    <w:p>
      <w:pPr>
        <w:pStyle w:val="34"/>
        <w:ind w:firstLine="560"/>
        <w:rPr>
          <w:rFonts w:asciiTheme="minorEastAsia" w:hAnsiTheme="minorEastAsia" w:cstheme="minorEastAsia"/>
          <w:sz w:val="28"/>
          <w:szCs w:val="28"/>
          <w:highlight w:val="yellow"/>
        </w:rPr>
      </w:pPr>
    </w:p>
    <w:p>
      <w:pPr>
        <w:pStyle w:val="34"/>
        <w:ind w:firstLine="560"/>
        <w:rPr>
          <w:rFonts w:asciiTheme="minorEastAsia" w:hAnsiTheme="minorEastAsia" w:cstheme="minorEastAsia"/>
          <w:sz w:val="28"/>
          <w:szCs w:val="28"/>
          <w:highlight w:val="yellow"/>
        </w:rPr>
      </w:pPr>
    </w:p>
    <w:p>
      <w:pPr>
        <w:pStyle w:val="34"/>
        <w:ind w:firstLine="560"/>
        <w:rPr>
          <w:rFonts w:asciiTheme="minorEastAsia" w:hAnsiTheme="minorEastAsia" w:cstheme="minorEastAsia"/>
          <w:sz w:val="28"/>
          <w:szCs w:val="28"/>
          <w:highlight w:val="yellow"/>
        </w:rPr>
      </w:pPr>
    </w:p>
    <w:p>
      <w:pPr>
        <w:pStyle w:val="34"/>
        <w:ind w:firstLine="560"/>
        <w:rPr>
          <w:rFonts w:asciiTheme="minorEastAsia" w:hAnsiTheme="minorEastAsia" w:cstheme="minorEastAsia"/>
          <w:sz w:val="28"/>
          <w:szCs w:val="28"/>
          <w:highlight w:val="yellow"/>
        </w:rPr>
      </w:pPr>
    </w:p>
    <w:p>
      <w:pPr>
        <w:pStyle w:val="34"/>
        <w:ind w:firstLine="560"/>
        <w:rPr>
          <w:rFonts w:asciiTheme="minorEastAsia" w:hAnsiTheme="minorEastAsia" w:cstheme="minorEastAsia"/>
          <w:sz w:val="28"/>
          <w:szCs w:val="28"/>
          <w:highlight w:val="yellow"/>
        </w:rPr>
      </w:pPr>
    </w:p>
    <w:p>
      <w:pPr>
        <w:pStyle w:val="34"/>
        <w:ind w:firstLine="560"/>
        <w:rPr>
          <w:rFonts w:asciiTheme="minorEastAsia" w:hAnsiTheme="minorEastAsia" w:cstheme="minorEastAsia"/>
          <w:sz w:val="28"/>
          <w:szCs w:val="28"/>
          <w:highlight w:val="yellow"/>
        </w:rPr>
      </w:pPr>
    </w:p>
    <w:p>
      <w:pPr>
        <w:pStyle w:val="34"/>
        <w:ind w:firstLine="560"/>
        <w:rPr>
          <w:rFonts w:asciiTheme="minorEastAsia" w:hAnsiTheme="minorEastAsia" w:cstheme="minorEastAsia"/>
          <w:sz w:val="28"/>
          <w:szCs w:val="28"/>
          <w:highlight w:val="yellow"/>
        </w:rPr>
      </w:pPr>
    </w:p>
    <w:p>
      <w:pPr>
        <w:pStyle w:val="21"/>
        <w:rPr>
          <w:szCs w:val="44"/>
          <w:highlight w:val="yellow"/>
        </w:rPr>
      </w:pPr>
    </w:p>
    <w:p>
      <w:pPr>
        <w:pStyle w:val="21"/>
        <w:rPr>
          <w:szCs w:val="44"/>
          <w:highlight w:val="yellow"/>
        </w:rPr>
      </w:pPr>
    </w:p>
    <w:p>
      <w:pPr>
        <w:pStyle w:val="21"/>
        <w:rPr>
          <w:szCs w:val="44"/>
          <w:highlight w:val="yellow"/>
        </w:rPr>
      </w:pPr>
    </w:p>
    <w:p>
      <w:pPr>
        <w:pStyle w:val="21"/>
        <w:rPr>
          <w:szCs w:val="44"/>
          <w:highlight w:val="yellow"/>
        </w:rPr>
      </w:pPr>
    </w:p>
    <w:p>
      <w:pPr>
        <w:pStyle w:val="21"/>
        <w:rPr>
          <w:szCs w:val="44"/>
          <w:highlight w:val="yellow"/>
        </w:rPr>
      </w:pPr>
    </w:p>
    <w:p>
      <w:pPr>
        <w:pStyle w:val="21"/>
        <w:rPr>
          <w:szCs w:val="44"/>
          <w:highlight w:val="yellow"/>
        </w:rPr>
      </w:pPr>
    </w:p>
    <w:p>
      <w:pPr>
        <w:pStyle w:val="21"/>
        <w:rPr>
          <w:szCs w:val="44"/>
          <w:highlight w:val="yellow"/>
        </w:rPr>
      </w:pPr>
    </w:p>
    <w:p>
      <w:pPr>
        <w:pStyle w:val="21"/>
        <w:rPr>
          <w:szCs w:val="44"/>
          <w:highlight w:val="yellow"/>
        </w:rPr>
      </w:pPr>
    </w:p>
    <w:p>
      <w:pPr>
        <w:rPr>
          <w:highlight w:val="yellow"/>
        </w:rPr>
      </w:pPr>
    </w:p>
    <w:p>
      <w:pPr>
        <w:rPr>
          <w:szCs w:val="44"/>
          <w:highlight w:val="yellow"/>
        </w:rPr>
      </w:pPr>
    </w:p>
    <w:p>
      <w:pPr>
        <w:pStyle w:val="28"/>
        <w:ind w:firstLine="210"/>
        <w:rPr>
          <w:highlight w:val="yellow"/>
        </w:rPr>
      </w:pPr>
    </w:p>
    <w:p>
      <w:pPr>
        <w:pStyle w:val="34"/>
        <w:ind w:firstLine="420"/>
        <w:rPr>
          <w:szCs w:val="44"/>
          <w:highlight w:val="yellow"/>
        </w:rPr>
      </w:pPr>
    </w:p>
    <w:p>
      <w:pPr>
        <w:pStyle w:val="34"/>
        <w:ind w:firstLine="420"/>
        <w:rPr>
          <w:szCs w:val="44"/>
          <w:highlight w:val="yellow"/>
        </w:rPr>
      </w:pPr>
    </w:p>
    <w:p>
      <w:pPr>
        <w:pStyle w:val="34"/>
        <w:ind w:firstLine="420"/>
        <w:rPr>
          <w:szCs w:val="44"/>
          <w:highlight w:val="yellow"/>
        </w:rPr>
      </w:pPr>
    </w:p>
    <w:p>
      <w:pPr>
        <w:pStyle w:val="34"/>
        <w:ind w:firstLine="420"/>
        <w:rPr>
          <w:szCs w:val="44"/>
          <w:highlight w:val="yellow"/>
        </w:rPr>
      </w:pPr>
    </w:p>
    <w:p>
      <w:pPr>
        <w:pStyle w:val="34"/>
        <w:ind w:firstLine="420"/>
        <w:rPr>
          <w:szCs w:val="44"/>
          <w:highlight w:val="yellow"/>
        </w:rPr>
      </w:pPr>
    </w:p>
    <w:p>
      <w:pPr>
        <w:pStyle w:val="34"/>
        <w:ind w:firstLine="420"/>
        <w:rPr>
          <w:szCs w:val="44"/>
          <w:highlight w:val="yellow"/>
        </w:rPr>
      </w:pPr>
    </w:p>
    <w:p>
      <w:pPr>
        <w:numPr>
          <w:ilvl w:val="0"/>
          <w:numId w:val="1"/>
        </w:numPr>
        <w:snapToGrid w:val="0"/>
        <w:spacing w:beforeLines="100" w:afterLines="50"/>
        <w:jc w:val="center"/>
        <w:textAlignment w:val="baseline"/>
        <w:outlineLvl w:val="0"/>
        <w:rPr>
          <w:rFonts w:ascii="仿宋" w:hAnsi="仿宋" w:eastAsia="仿宋" w:cs="仿宋"/>
          <w:b/>
          <w:bCs/>
          <w:kern w:val="0"/>
          <w:sz w:val="32"/>
          <w:szCs w:val="32"/>
          <w:u w:color="000000"/>
        </w:rPr>
      </w:pPr>
      <w:bookmarkStart w:id="0" w:name="_Toc6720"/>
      <w:r>
        <w:rPr>
          <w:rFonts w:hint="eastAsia" w:ascii="仿宋" w:hAnsi="仿宋" w:eastAsia="仿宋" w:cs="仿宋"/>
          <w:b/>
          <w:bCs/>
          <w:kern w:val="0"/>
          <w:sz w:val="32"/>
          <w:szCs w:val="32"/>
          <w:u w:color="000000"/>
        </w:rPr>
        <w:t>招标公告</w:t>
      </w:r>
      <w:bookmarkEnd w:id="0"/>
    </w:p>
    <w:tbl>
      <w:tblPr>
        <w:tblStyle w:val="30"/>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8540" w:type="dxa"/>
            <w:noWrap/>
          </w:tcPr>
          <w:p>
            <w:pPr>
              <w:pStyle w:val="25"/>
              <w:widowControl w:val="0"/>
              <w:spacing w:before="60" w:after="120"/>
            </w:pPr>
            <w:r>
              <w:rPr>
                <w:rFonts w:hint="eastAsia"/>
              </w:rPr>
              <w:t>项目概况</w:t>
            </w:r>
          </w:p>
          <w:p>
            <w:pPr>
              <w:pStyle w:val="25"/>
              <w:widowControl w:val="0"/>
              <w:spacing w:before="60" w:after="120"/>
              <w:ind w:firstLine="480" w:firstLineChars="200"/>
            </w:pPr>
            <w:r>
              <w:rPr>
                <w:rFonts w:hint="eastAsia"/>
                <w:u w:val="single"/>
              </w:rPr>
              <w:t>伊犁哈萨克自治州妇幼保健院2023年第一批维修保养服务项目</w:t>
            </w:r>
            <w:r>
              <w:rPr>
                <w:rFonts w:hint="eastAsia"/>
              </w:rPr>
              <w:t>的潜在供应商应在</w:t>
            </w:r>
            <w:r>
              <w:rPr>
                <w:rFonts w:hint="eastAsia"/>
                <w:u w:val="single"/>
              </w:rPr>
              <w:t>政府采购云平台（https://www.zcygov.cn/）</w:t>
            </w:r>
            <w:r>
              <w:rPr>
                <w:rFonts w:hint="eastAsia"/>
              </w:rPr>
              <w:t>获取采购文件，并于</w:t>
            </w:r>
            <w:r>
              <w:rPr>
                <w:rFonts w:hint="eastAsia"/>
                <w:u w:val="single"/>
              </w:rPr>
              <w:t>2023</w:t>
            </w:r>
            <w:r>
              <w:rPr>
                <w:rFonts w:hint="eastAsia"/>
              </w:rPr>
              <w:t>年</w:t>
            </w:r>
            <w:r>
              <w:rPr>
                <w:rFonts w:hint="eastAsia"/>
                <w:highlight w:val="none"/>
                <w:u w:val="single"/>
              </w:rPr>
              <w:t>04</w:t>
            </w:r>
            <w:r>
              <w:rPr>
                <w:rFonts w:hint="eastAsia"/>
                <w:highlight w:val="none"/>
              </w:rPr>
              <w:t>月</w:t>
            </w:r>
            <w:r>
              <w:rPr>
                <w:rFonts w:hint="eastAsia"/>
                <w:highlight w:val="none"/>
                <w:u w:val="single"/>
                <w:lang w:val="en-US" w:eastAsia="zh-CN"/>
              </w:rPr>
              <w:t>10</w:t>
            </w:r>
            <w:r>
              <w:rPr>
                <w:rFonts w:hint="eastAsia"/>
                <w:highlight w:val="none"/>
                <w:u w:val="single"/>
              </w:rPr>
              <w:t xml:space="preserve"> </w:t>
            </w:r>
            <w:r>
              <w:rPr>
                <w:rFonts w:hint="eastAsia"/>
                <w:highlight w:val="none"/>
              </w:rPr>
              <w:t>日</w:t>
            </w:r>
            <w:r>
              <w:rPr>
                <w:rFonts w:hint="eastAsia"/>
                <w:u w:val="single"/>
              </w:rPr>
              <w:t>11:00</w:t>
            </w:r>
            <w:r>
              <w:rPr>
                <w:rFonts w:hint="eastAsia"/>
              </w:rPr>
              <w:t xml:space="preserve">（北京时间）前提交响应文件。    </w:t>
            </w:r>
          </w:p>
        </w:tc>
      </w:tr>
    </w:tbl>
    <w:p>
      <w:pPr>
        <w:pStyle w:val="25"/>
        <w:spacing w:before="204" w:after="204"/>
        <w:ind w:firstLine="480" w:firstLineChars="200"/>
        <w:jc w:val="both"/>
        <w:rPr>
          <w:rStyle w:val="32"/>
          <w:rFonts w:ascii="宋体" w:hAnsi="宋体" w:cs="宋体"/>
        </w:rPr>
      </w:pPr>
      <w:r>
        <w:rPr>
          <w:rStyle w:val="32"/>
          <w:rFonts w:hint="eastAsia" w:ascii="宋体" w:hAnsi="宋体" w:cs="宋体"/>
          <w:b w:val="0"/>
        </w:rPr>
        <w:t>一、</w:t>
      </w:r>
      <w:r>
        <w:rPr>
          <w:rStyle w:val="32"/>
          <w:rFonts w:hint="eastAsia" w:ascii="宋体" w:hAnsi="宋体" w:cs="宋体"/>
        </w:rPr>
        <w:t>项目基本情况</w:t>
      </w:r>
    </w:p>
    <w:p>
      <w:pPr>
        <w:pStyle w:val="25"/>
        <w:spacing w:before="60" w:after="60"/>
        <w:ind w:firstLine="480" w:firstLineChars="200"/>
      </w:pPr>
      <w:r>
        <w:rPr>
          <w:rFonts w:hint="eastAsia"/>
        </w:rPr>
        <w:t>项目编号：XJLD-2023-050；</w:t>
      </w:r>
    </w:p>
    <w:p>
      <w:pPr>
        <w:pStyle w:val="25"/>
        <w:spacing w:before="60" w:after="60"/>
        <w:ind w:firstLine="480" w:firstLineChars="200"/>
      </w:pPr>
      <w:r>
        <w:rPr>
          <w:rFonts w:hint="eastAsia"/>
        </w:rPr>
        <w:t>项目名称：伊犁哈萨克自治州妇幼保健院2023年第一批维修保养服务项目； </w:t>
      </w:r>
    </w:p>
    <w:p>
      <w:pPr>
        <w:pStyle w:val="25"/>
        <w:spacing w:before="60" w:after="60"/>
        <w:ind w:firstLine="480" w:firstLineChars="200"/>
      </w:pPr>
      <w:r>
        <w:rPr>
          <w:rFonts w:hint="eastAsia"/>
        </w:rPr>
        <w:t>采购方式：公开招标；</w:t>
      </w:r>
    </w:p>
    <w:p>
      <w:pPr>
        <w:pStyle w:val="25"/>
        <w:spacing w:before="60" w:after="60"/>
        <w:ind w:firstLine="480" w:firstLineChars="200"/>
      </w:pPr>
      <w:r>
        <w:rPr>
          <w:rFonts w:hint="eastAsia"/>
        </w:rPr>
        <w:t>预算金额（元）：2490000.00； </w:t>
      </w:r>
    </w:p>
    <w:p>
      <w:pPr>
        <w:pStyle w:val="25"/>
        <w:spacing w:before="60" w:beforeAutospacing="0" w:after="60" w:afterAutospacing="0" w:line="240" w:lineRule="atLeast"/>
        <w:ind w:left="479" w:leftChars="228"/>
      </w:pPr>
      <w:r>
        <w:rPr>
          <w:rFonts w:hint="eastAsia"/>
        </w:rPr>
        <w:t>最高限价（元）：</w:t>
      </w:r>
      <w:r>
        <w:rPr>
          <w:rFonts w:hint="eastAsia"/>
          <w:color w:val="000000"/>
        </w:rPr>
        <w:t>250000.00；200000.00；250000.00；270000.00；250000.00；80000.00；85000.00；45000.00；1060000.00；</w:t>
      </w:r>
    </w:p>
    <w:p>
      <w:pPr>
        <w:pStyle w:val="25"/>
        <w:spacing w:before="60" w:after="60"/>
        <w:ind w:firstLine="480" w:firstLineChars="200"/>
      </w:pPr>
      <w:r>
        <w:rPr>
          <w:rFonts w:hint="eastAsia"/>
        </w:rPr>
        <w:t>采购需求：</w:t>
      </w:r>
    </w:p>
    <w:p>
      <w:pPr>
        <w:pStyle w:val="25"/>
        <w:spacing w:before="60" w:beforeAutospacing="0" w:after="60" w:afterAutospacing="0" w:line="240" w:lineRule="atLeast"/>
        <w:rPr>
          <w:color w:val="000000"/>
        </w:rPr>
      </w:pPr>
      <w:r>
        <w:rPr>
          <w:rFonts w:hint="eastAsia"/>
          <w:color w:val="000000"/>
        </w:rPr>
        <w:t>标项一</w:t>
      </w:r>
    </w:p>
    <w:p>
      <w:pPr>
        <w:pStyle w:val="25"/>
        <w:spacing w:before="60" w:beforeAutospacing="0" w:after="60" w:afterAutospacing="0" w:line="240" w:lineRule="atLeast"/>
        <w:ind w:firstLine="480" w:firstLineChars="200"/>
        <w:rPr>
          <w:color w:val="000000"/>
        </w:rPr>
      </w:pPr>
      <w:r>
        <w:rPr>
          <w:rFonts w:hint="eastAsia"/>
          <w:color w:val="000000"/>
        </w:rPr>
        <w:t>标项名称：医用分子筛中心制氧系统维保服务项目；</w:t>
      </w:r>
    </w:p>
    <w:p>
      <w:pPr>
        <w:pStyle w:val="26"/>
        <w:ind w:left="0" w:firstLine="480" w:firstLineChars="200"/>
        <w:rPr>
          <w:rFonts w:ascii="宋体" w:hAnsi="宋体" w:cs="宋体"/>
          <w:color w:val="000000"/>
          <w:sz w:val="24"/>
          <w:szCs w:val="24"/>
        </w:rPr>
      </w:pPr>
      <w:r>
        <w:rPr>
          <w:rFonts w:hint="eastAsia" w:ascii="宋体" w:hAnsi="宋体" w:cs="宋体"/>
          <w:color w:val="000000"/>
          <w:sz w:val="24"/>
          <w:szCs w:val="24"/>
        </w:rPr>
        <w:t>标项编号：</w:t>
      </w:r>
      <w:r>
        <w:rPr>
          <w:rFonts w:hint="eastAsia" w:ascii="宋体" w:hAnsi="宋体" w:cs="宋体"/>
          <w:sz w:val="24"/>
          <w:szCs w:val="24"/>
        </w:rPr>
        <w:t>XJLD-2023-050-01；</w:t>
      </w:r>
    </w:p>
    <w:p>
      <w:pPr>
        <w:pStyle w:val="25"/>
        <w:spacing w:before="60" w:beforeAutospacing="0" w:after="60" w:afterAutospacing="0" w:line="240" w:lineRule="atLeast"/>
        <w:ind w:firstLine="480" w:firstLineChars="200"/>
      </w:pPr>
      <w:r>
        <w:rPr>
          <w:rFonts w:hint="eastAsia"/>
          <w:color w:val="000000"/>
        </w:rPr>
        <w:t>预算金额（元）：250000.00；</w:t>
      </w:r>
    </w:p>
    <w:p>
      <w:pPr>
        <w:pStyle w:val="25"/>
        <w:spacing w:before="60" w:beforeAutospacing="0" w:after="60" w:afterAutospacing="0" w:line="240" w:lineRule="atLeast"/>
        <w:ind w:firstLine="480" w:firstLineChars="200"/>
        <w:rPr>
          <w:color w:val="000000"/>
        </w:rPr>
      </w:pPr>
      <w:r>
        <w:rPr>
          <w:rFonts w:hint="eastAsia"/>
          <w:color w:val="000000"/>
        </w:rPr>
        <w:t>简要规格描述或项目基本概况介绍、用途：购买医用分子筛中心制氧系统维保服务2年（具体内容详见采购文件）；</w:t>
      </w:r>
    </w:p>
    <w:p>
      <w:pPr>
        <w:pStyle w:val="25"/>
        <w:spacing w:before="60" w:beforeAutospacing="0" w:after="60" w:afterAutospacing="0" w:line="240" w:lineRule="atLeast"/>
        <w:rPr>
          <w:color w:val="000000"/>
        </w:rPr>
      </w:pPr>
      <w:r>
        <w:rPr>
          <w:rFonts w:hint="eastAsia"/>
          <w:color w:val="000000"/>
        </w:rPr>
        <w:t>标项二</w:t>
      </w:r>
    </w:p>
    <w:p>
      <w:pPr>
        <w:pStyle w:val="25"/>
        <w:spacing w:before="60" w:beforeAutospacing="0" w:after="60" w:afterAutospacing="0" w:line="240" w:lineRule="atLeast"/>
        <w:ind w:firstLine="480" w:firstLineChars="200"/>
        <w:rPr>
          <w:color w:val="000000"/>
        </w:rPr>
      </w:pPr>
      <w:r>
        <w:rPr>
          <w:rFonts w:hint="eastAsia"/>
          <w:color w:val="000000"/>
        </w:rPr>
        <w:t>标项名称：医疗废物追溯系统在线维保服务项目；</w:t>
      </w:r>
    </w:p>
    <w:p>
      <w:pPr>
        <w:pStyle w:val="26"/>
        <w:ind w:left="0" w:firstLine="480" w:firstLineChars="200"/>
        <w:rPr>
          <w:rFonts w:ascii="宋体" w:hAnsi="宋体" w:cs="宋体"/>
          <w:color w:val="000000"/>
          <w:sz w:val="24"/>
          <w:szCs w:val="24"/>
        </w:rPr>
      </w:pPr>
      <w:r>
        <w:rPr>
          <w:rFonts w:hint="eastAsia" w:ascii="宋体" w:hAnsi="宋体" w:cs="宋体"/>
          <w:color w:val="000000"/>
          <w:sz w:val="24"/>
          <w:szCs w:val="24"/>
        </w:rPr>
        <w:t>标项编号：</w:t>
      </w:r>
      <w:r>
        <w:rPr>
          <w:rFonts w:hint="eastAsia" w:ascii="宋体" w:hAnsi="宋体" w:cs="宋体"/>
          <w:sz w:val="24"/>
          <w:szCs w:val="24"/>
        </w:rPr>
        <w:t>XJLD-2023-050-02；</w:t>
      </w:r>
    </w:p>
    <w:p>
      <w:pPr>
        <w:pStyle w:val="25"/>
        <w:spacing w:before="60" w:beforeAutospacing="0" w:after="60" w:afterAutospacing="0" w:line="240" w:lineRule="atLeast"/>
        <w:ind w:firstLine="480" w:firstLineChars="200"/>
        <w:rPr>
          <w:color w:val="000000"/>
        </w:rPr>
      </w:pPr>
      <w:r>
        <w:rPr>
          <w:rFonts w:hint="eastAsia"/>
          <w:color w:val="000000"/>
        </w:rPr>
        <w:t>预算金额（元）：200000.00；</w:t>
      </w:r>
    </w:p>
    <w:p>
      <w:pPr>
        <w:pStyle w:val="25"/>
        <w:spacing w:before="60" w:beforeAutospacing="0" w:after="60" w:afterAutospacing="0" w:line="240" w:lineRule="atLeast"/>
        <w:ind w:firstLine="480" w:firstLineChars="200"/>
        <w:rPr>
          <w:color w:val="000000"/>
        </w:rPr>
      </w:pPr>
      <w:r>
        <w:rPr>
          <w:rFonts w:hint="eastAsia"/>
          <w:color w:val="000000"/>
        </w:rPr>
        <w:t>简要规格描述或项目基本概况介绍、用途：购买医疗废物追溯系统在线维保服务2年（具体内容详见采购文件）；</w:t>
      </w:r>
    </w:p>
    <w:p>
      <w:pPr>
        <w:pStyle w:val="25"/>
        <w:spacing w:before="60" w:beforeAutospacing="0" w:after="60" w:afterAutospacing="0" w:line="240" w:lineRule="atLeast"/>
      </w:pPr>
      <w:r>
        <w:rPr>
          <w:rFonts w:hint="eastAsia"/>
        </w:rPr>
        <w:t>标项三</w:t>
      </w:r>
    </w:p>
    <w:p>
      <w:pPr>
        <w:pStyle w:val="25"/>
        <w:spacing w:before="60" w:beforeAutospacing="0" w:after="60" w:afterAutospacing="0" w:line="240" w:lineRule="atLeast"/>
        <w:ind w:firstLine="480" w:firstLineChars="200"/>
        <w:rPr>
          <w:color w:val="000000"/>
        </w:rPr>
      </w:pPr>
      <w:r>
        <w:rPr>
          <w:rFonts w:hint="eastAsia"/>
          <w:color w:val="000000"/>
        </w:rPr>
        <w:t>标项名称：污水在线检测运行维保服务项目；</w:t>
      </w:r>
    </w:p>
    <w:p>
      <w:pPr>
        <w:pStyle w:val="26"/>
        <w:ind w:left="0" w:firstLine="480" w:firstLineChars="200"/>
        <w:rPr>
          <w:rFonts w:ascii="宋体" w:hAnsi="宋体" w:cs="宋体"/>
          <w:sz w:val="24"/>
          <w:szCs w:val="24"/>
        </w:rPr>
      </w:pPr>
      <w:r>
        <w:rPr>
          <w:rFonts w:hint="eastAsia" w:ascii="宋体" w:hAnsi="宋体" w:cs="宋体"/>
          <w:color w:val="000000"/>
          <w:sz w:val="24"/>
          <w:szCs w:val="24"/>
        </w:rPr>
        <w:t>标项编号：</w:t>
      </w:r>
      <w:r>
        <w:rPr>
          <w:rFonts w:hint="eastAsia" w:ascii="宋体" w:hAnsi="宋体" w:cs="宋体"/>
          <w:sz w:val="24"/>
          <w:szCs w:val="24"/>
        </w:rPr>
        <w:t>XJLD-2023-050-03；</w:t>
      </w:r>
      <w:r>
        <w:rPr>
          <w:rFonts w:hint="eastAsia" w:ascii="宋体" w:hAnsi="宋体" w:cs="宋体"/>
          <w:color w:val="000000"/>
          <w:sz w:val="24"/>
          <w:szCs w:val="24"/>
        </w:rPr>
        <w:t> </w:t>
      </w:r>
    </w:p>
    <w:p>
      <w:pPr>
        <w:pStyle w:val="25"/>
        <w:spacing w:before="60" w:beforeAutospacing="0" w:after="60" w:afterAutospacing="0" w:line="240" w:lineRule="atLeast"/>
        <w:ind w:firstLine="480" w:firstLineChars="200"/>
      </w:pPr>
      <w:r>
        <w:rPr>
          <w:rFonts w:hint="eastAsia"/>
          <w:color w:val="000000"/>
        </w:rPr>
        <w:t>预算金额（元）：250000.00；</w:t>
      </w:r>
    </w:p>
    <w:p>
      <w:pPr>
        <w:pStyle w:val="25"/>
        <w:spacing w:before="60" w:beforeAutospacing="0" w:after="60" w:afterAutospacing="0" w:line="240" w:lineRule="atLeast"/>
        <w:ind w:firstLine="480" w:firstLineChars="200"/>
        <w:rPr>
          <w:color w:val="000000"/>
        </w:rPr>
      </w:pPr>
      <w:r>
        <w:rPr>
          <w:rFonts w:hint="eastAsia"/>
          <w:color w:val="000000"/>
        </w:rPr>
        <w:t>简要规格描述或项目基本概况介绍、用途：购买污水在线检测运行维保服务2年（具体内容详见采购文件）；</w:t>
      </w:r>
    </w:p>
    <w:p>
      <w:pPr>
        <w:pStyle w:val="25"/>
        <w:spacing w:before="60" w:beforeAutospacing="0" w:after="60" w:afterAutospacing="0" w:line="240" w:lineRule="atLeast"/>
        <w:rPr>
          <w:color w:val="000000"/>
        </w:rPr>
      </w:pPr>
      <w:r>
        <w:rPr>
          <w:rFonts w:hint="eastAsia"/>
          <w:color w:val="000000"/>
        </w:rPr>
        <w:t>标项四</w:t>
      </w:r>
    </w:p>
    <w:p>
      <w:pPr>
        <w:pStyle w:val="26"/>
        <w:ind w:left="0" w:firstLine="480" w:firstLineChars="200"/>
        <w:rPr>
          <w:rFonts w:ascii="宋体" w:hAnsi="宋体" w:cs="宋体"/>
          <w:color w:val="000000"/>
          <w:sz w:val="24"/>
          <w:szCs w:val="24"/>
        </w:rPr>
      </w:pPr>
      <w:r>
        <w:rPr>
          <w:rFonts w:hint="eastAsia" w:ascii="宋体" w:hAnsi="宋体" w:cs="宋体"/>
          <w:color w:val="000000"/>
          <w:sz w:val="24"/>
          <w:szCs w:val="24"/>
        </w:rPr>
        <w:t>标项名称：消防设施维保及检测服务项目；</w:t>
      </w:r>
    </w:p>
    <w:p>
      <w:pPr>
        <w:pStyle w:val="26"/>
        <w:ind w:left="0" w:firstLine="480" w:firstLineChars="200"/>
        <w:rPr>
          <w:rFonts w:ascii="宋体" w:hAnsi="宋体" w:cs="宋体"/>
          <w:sz w:val="24"/>
          <w:szCs w:val="24"/>
        </w:rPr>
      </w:pPr>
      <w:r>
        <w:rPr>
          <w:rFonts w:hint="eastAsia" w:ascii="宋体" w:hAnsi="宋体" w:cs="宋体"/>
          <w:color w:val="000000"/>
          <w:sz w:val="24"/>
          <w:szCs w:val="24"/>
        </w:rPr>
        <w:t>标项编号：</w:t>
      </w:r>
      <w:r>
        <w:rPr>
          <w:rFonts w:hint="eastAsia" w:ascii="宋体" w:hAnsi="宋体" w:cs="宋体"/>
          <w:sz w:val="24"/>
          <w:szCs w:val="24"/>
        </w:rPr>
        <w:t>XJLD-2023-050-04；</w:t>
      </w:r>
    </w:p>
    <w:p>
      <w:pPr>
        <w:pStyle w:val="25"/>
        <w:spacing w:before="60" w:beforeAutospacing="0" w:after="60" w:afterAutospacing="0" w:line="240" w:lineRule="atLeast"/>
        <w:ind w:firstLine="480" w:firstLineChars="200"/>
      </w:pPr>
      <w:r>
        <w:rPr>
          <w:rFonts w:hint="eastAsia"/>
          <w:color w:val="000000"/>
        </w:rPr>
        <w:t>预算金额（元）：270000.00；</w:t>
      </w:r>
    </w:p>
    <w:p>
      <w:pPr>
        <w:pStyle w:val="26"/>
        <w:ind w:left="0" w:firstLine="480" w:firstLineChars="200"/>
        <w:rPr>
          <w:rFonts w:ascii="宋体" w:hAnsi="宋体" w:cs="宋体"/>
          <w:color w:val="000000"/>
          <w:sz w:val="24"/>
          <w:szCs w:val="24"/>
        </w:rPr>
      </w:pPr>
      <w:r>
        <w:rPr>
          <w:rFonts w:hint="eastAsia" w:ascii="宋体" w:hAnsi="宋体" w:cs="宋体"/>
          <w:color w:val="000000"/>
          <w:sz w:val="24"/>
          <w:szCs w:val="24"/>
        </w:rPr>
        <w:t>简要规格描述或项目基本概况介绍、用途：购买消防设施维保及检测服务2年（具体内容详见采购文件）；</w:t>
      </w:r>
    </w:p>
    <w:p>
      <w:pPr>
        <w:pStyle w:val="25"/>
        <w:spacing w:before="60" w:beforeAutospacing="0" w:after="60" w:afterAutospacing="0" w:line="240" w:lineRule="atLeast"/>
        <w:rPr>
          <w:color w:val="000000"/>
        </w:rPr>
      </w:pPr>
      <w:r>
        <w:rPr>
          <w:rFonts w:hint="eastAsia"/>
          <w:color w:val="000000"/>
        </w:rPr>
        <w:t>标项五</w:t>
      </w:r>
    </w:p>
    <w:p>
      <w:pPr>
        <w:pStyle w:val="25"/>
        <w:spacing w:before="60" w:beforeAutospacing="0" w:after="60" w:afterAutospacing="0" w:line="240" w:lineRule="atLeast"/>
        <w:ind w:firstLine="480" w:firstLineChars="200"/>
        <w:rPr>
          <w:color w:val="000000"/>
        </w:rPr>
      </w:pPr>
      <w:r>
        <w:rPr>
          <w:rFonts w:hint="eastAsia"/>
          <w:color w:val="000000"/>
        </w:rPr>
        <w:t>标项名称：太阳能维保服务项目；</w:t>
      </w:r>
    </w:p>
    <w:p>
      <w:pPr>
        <w:pStyle w:val="26"/>
        <w:ind w:left="0" w:firstLine="480" w:firstLineChars="200"/>
        <w:rPr>
          <w:rFonts w:ascii="宋体" w:hAnsi="宋体" w:cs="宋体"/>
          <w:sz w:val="24"/>
          <w:szCs w:val="24"/>
        </w:rPr>
      </w:pPr>
      <w:r>
        <w:rPr>
          <w:rFonts w:hint="eastAsia" w:ascii="宋体" w:hAnsi="宋体" w:cs="宋体"/>
          <w:color w:val="000000"/>
          <w:sz w:val="24"/>
          <w:szCs w:val="24"/>
        </w:rPr>
        <w:t>标项编号：</w:t>
      </w:r>
      <w:r>
        <w:rPr>
          <w:rFonts w:hint="eastAsia" w:ascii="宋体" w:hAnsi="宋体" w:cs="宋体"/>
          <w:sz w:val="24"/>
          <w:szCs w:val="24"/>
        </w:rPr>
        <w:t>XJLD-2023-050-05；</w:t>
      </w:r>
      <w:r>
        <w:rPr>
          <w:rFonts w:hint="eastAsia" w:ascii="宋体" w:hAnsi="宋体" w:cs="宋体"/>
          <w:color w:val="000000"/>
          <w:sz w:val="24"/>
          <w:szCs w:val="24"/>
        </w:rPr>
        <w:t> </w:t>
      </w:r>
    </w:p>
    <w:p>
      <w:pPr>
        <w:pStyle w:val="25"/>
        <w:spacing w:before="60" w:beforeAutospacing="0" w:after="60" w:afterAutospacing="0" w:line="240" w:lineRule="atLeast"/>
        <w:ind w:firstLine="480" w:firstLineChars="200"/>
      </w:pPr>
      <w:r>
        <w:rPr>
          <w:rFonts w:hint="eastAsia"/>
          <w:color w:val="000000"/>
        </w:rPr>
        <w:t>预算金额（元）：250000.00；</w:t>
      </w:r>
    </w:p>
    <w:p>
      <w:pPr>
        <w:pStyle w:val="25"/>
        <w:spacing w:before="60" w:beforeAutospacing="0" w:after="60" w:afterAutospacing="0" w:line="240" w:lineRule="atLeast"/>
        <w:ind w:firstLine="480" w:firstLineChars="200"/>
        <w:rPr>
          <w:color w:val="000000"/>
        </w:rPr>
      </w:pPr>
      <w:r>
        <w:rPr>
          <w:rFonts w:hint="eastAsia"/>
          <w:color w:val="000000"/>
        </w:rPr>
        <w:t>简要规格描述或项目基本概况介绍、用途：购买太阳能维保服务2年（具体内容详见采购文件）；</w:t>
      </w:r>
    </w:p>
    <w:p>
      <w:pPr>
        <w:pStyle w:val="25"/>
        <w:spacing w:before="60" w:beforeAutospacing="0" w:after="60" w:afterAutospacing="0" w:line="240" w:lineRule="atLeast"/>
        <w:rPr>
          <w:color w:val="000000"/>
        </w:rPr>
      </w:pPr>
      <w:r>
        <w:rPr>
          <w:rFonts w:hint="eastAsia"/>
          <w:color w:val="000000"/>
        </w:rPr>
        <w:t>标项六</w:t>
      </w:r>
    </w:p>
    <w:p>
      <w:pPr>
        <w:pStyle w:val="25"/>
        <w:spacing w:before="60" w:beforeAutospacing="0" w:after="60" w:afterAutospacing="0" w:line="240" w:lineRule="atLeast"/>
        <w:ind w:firstLine="480" w:firstLineChars="200"/>
      </w:pPr>
      <w:r>
        <w:rPr>
          <w:rFonts w:hint="eastAsia"/>
          <w:color w:val="000000"/>
        </w:rPr>
        <w:t>标项名称：监控维保服务项目；   </w:t>
      </w:r>
    </w:p>
    <w:p>
      <w:pPr>
        <w:pStyle w:val="26"/>
        <w:ind w:left="0" w:firstLine="480" w:firstLineChars="200"/>
        <w:rPr>
          <w:rFonts w:ascii="宋体" w:hAnsi="宋体" w:cs="宋体"/>
          <w:color w:val="000000"/>
          <w:sz w:val="24"/>
          <w:szCs w:val="24"/>
        </w:rPr>
      </w:pPr>
      <w:r>
        <w:rPr>
          <w:rFonts w:hint="eastAsia" w:ascii="宋体" w:hAnsi="宋体" w:cs="宋体"/>
          <w:color w:val="000000"/>
          <w:sz w:val="24"/>
          <w:szCs w:val="24"/>
        </w:rPr>
        <w:t>标项编号：</w:t>
      </w:r>
      <w:r>
        <w:rPr>
          <w:rFonts w:hint="eastAsia" w:ascii="宋体" w:hAnsi="宋体" w:cs="宋体"/>
          <w:sz w:val="24"/>
          <w:szCs w:val="24"/>
        </w:rPr>
        <w:t>XJLD-2023-050-06；</w:t>
      </w:r>
    </w:p>
    <w:p>
      <w:pPr>
        <w:pStyle w:val="25"/>
        <w:spacing w:before="60" w:beforeAutospacing="0" w:after="60" w:afterAutospacing="0" w:line="240" w:lineRule="atLeast"/>
        <w:ind w:firstLine="480" w:firstLineChars="200"/>
      </w:pPr>
      <w:r>
        <w:rPr>
          <w:rFonts w:hint="eastAsia"/>
          <w:color w:val="000000"/>
        </w:rPr>
        <w:t>预算金额（元）：80000.00；</w:t>
      </w:r>
    </w:p>
    <w:p>
      <w:pPr>
        <w:pStyle w:val="25"/>
        <w:spacing w:before="60" w:beforeAutospacing="0" w:after="60" w:afterAutospacing="0" w:line="240" w:lineRule="atLeast"/>
        <w:ind w:firstLine="480" w:firstLineChars="200"/>
      </w:pPr>
      <w:r>
        <w:rPr>
          <w:rFonts w:hint="eastAsia"/>
          <w:color w:val="000000"/>
        </w:rPr>
        <w:t>简要规格描述或项目基本概况介绍、用途：购买监控维保服务2年（具体内容详见采购文件）；</w:t>
      </w:r>
    </w:p>
    <w:p>
      <w:pPr>
        <w:pStyle w:val="25"/>
        <w:spacing w:before="60" w:beforeAutospacing="0" w:after="60" w:afterAutospacing="0" w:line="240" w:lineRule="atLeast"/>
        <w:rPr>
          <w:color w:val="000000"/>
        </w:rPr>
      </w:pPr>
      <w:r>
        <w:rPr>
          <w:rFonts w:hint="eastAsia"/>
          <w:color w:val="000000"/>
        </w:rPr>
        <w:t>标项七</w:t>
      </w:r>
    </w:p>
    <w:p>
      <w:pPr>
        <w:pStyle w:val="25"/>
        <w:spacing w:before="60" w:beforeAutospacing="0" w:after="60" w:afterAutospacing="0" w:line="240" w:lineRule="atLeast"/>
        <w:ind w:firstLine="480" w:firstLineChars="200"/>
      </w:pPr>
      <w:r>
        <w:rPr>
          <w:rFonts w:hint="eastAsia"/>
          <w:color w:val="000000"/>
        </w:rPr>
        <w:t>标项名称：电梯维保服务项目；  </w:t>
      </w:r>
    </w:p>
    <w:p>
      <w:pPr>
        <w:pStyle w:val="26"/>
        <w:ind w:left="0" w:firstLine="480" w:firstLineChars="200"/>
        <w:rPr>
          <w:rFonts w:ascii="宋体" w:hAnsi="宋体" w:cs="宋体"/>
          <w:color w:val="000000"/>
          <w:sz w:val="24"/>
          <w:szCs w:val="24"/>
        </w:rPr>
      </w:pPr>
      <w:r>
        <w:rPr>
          <w:rFonts w:hint="eastAsia" w:ascii="宋体" w:hAnsi="宋体" w:cs="宋体"/>
          <w:color w:val="000000"/>
          <w:sz w:val="24"/>
          <w:szCs w:val="24"/>
        </w:rPr>
        <w:t>标项编号：</w:t>
      </w:r>
      <w:r>
        <w:rPr>
          <w:rFonts w:hint="eastAsia" w:ascii="宋体" w:hAnsi="宋体" w:cs="宋体"/>
          <w:sz w:val="24"/>
          <w:szCs w:val="24"/>
        </w:rPr>
        <w:t>XJLD-2023-050-07；</w:t>
      </w:r>
    </w:p>
    <w:p>
      <w:pPr>
        <w:pStyle w:val="25"/>
        <w:spacing w:before="60" w:beforeAutospacing="0" w:after="60" w:afterAutospacing="0" w:line="240" w:lineRule="atLeast"/>
        <w:ind w:firstLine="480" w:firstLineChars="200"/>
      </w:pPr>
      <w:r>
        <w:rPr>
          <w:rFonts w:hint="eastAsia"/>
          <w:color w:val="000000"/>
        </w:rPr>
        <w:t>预算金额（元）：85000.00；</w:t>
      </w:r>
    </w:p>
    <w:p>
      <w:pPr>
        <w:pStyle w:val="26"/>
        <w:ind w:left="0" w:firstLine="480" w:firstLineChars="200"/>
        <w:rPr>
          <w:rFonts w:ascii="宋体" w:hAnsi="宋体" w:cs="宋体"/>
          <w:color w:val="000000"/>
          <w:sz w:val="24"/>
          <w:szCs w:val="24"/>
        </w:rPr>
      </w:pPr>
      <w:r>
        <w:rPr>
          <w:rFonts w:hint="eastAsia" w:ascii="宋体" w:hAnsi="宋体" w:cs="宋体"/>
          <w:color w:val="000000"/>
          <w:sz w:val="24"/>
          <w:szCs w:val="24"/>
        </w:rPr>
        <w:t>简要规格描述或项目基本概况介绍、用途：购买电梯维保服务2年（具体内容详见采购文件）；</w:t>
      </w:r>
    </w:p>
    <w:p>
      <w:pPr>
        <w:pStyle w:val="25"/>
        <w:spacing w:before="60" w:beforeAutospacing="0" w:after="60" w:afterAutospacing="0" w:line="240" w:lineRule="atLeast"/>
        <w:rPr>
          <w:color w:val="000000"/>
        </w:rPr>
      </w:pPr>
      <w:r>
        <w:rPr>
          <w:rFonts w:hint="eastAsia"/>
          <w:color w:val="000000"/>
        </w:rPr>
        <w:t>标项八</w:t>
      </w:r>
    </w:p>
    <w:p>
      <w:pPr>
        <w:pStyle w:val="25"/>
        <w:spacing w:before="60" w:beforeAutospacing="0" w:after="60" w:afterAutospacing="0" w:line="240" w:lineRule="atLeast"/>
        <w:ind w:firstLine="480" w:firstLineChars="200"/>
      </w:pPr>
      <w:r>
        <w:rPr>
          <w:rFonts w:hint="eastAsia"/>
          <w:color w:val="000000"/>
        </w:rPr>
        <w:t>标项名称：智慧电气火灾云监控系统维保服务项目；  </w:t>
      </w:r>
    </w:p>
    <w:p>
      <w:pPr>
        <w:pStyle w:val="26"/>
        <w:ind w:left="0" w:firstLine="480" w:firstLineChars="200"/>
        <w:rPr>
          <w:rFonts w:ascii="宋体" w:hAnsi="宋体" w:cs="宋体"/>
          <w:color w:val="000000"/>
          <w:sz w:val="24"/>
          <w:szCs w:val="24"/>
        </w:rPr>
      </w:pPr>
      <w:r>
        <w:rPr>
          <w:rFonts w:hint="eastAsia" w:ascii="宋体" w:hAnsi="宋体" w:cs="宋体"/>
          <w:color w:val="000000"/>
          <w:sz w:val="24"/>
          <w:szCs w:val="24"/>
        </w:rPr>
        <w:t>标项编号：</w:t>
      </w:r>
      <w:r>
        <w:rPr>
          <w:rFonts w:hint="eastAsia" w:ascii="宋体" w:hAnsi="宋体" w:cs="宋体"/>
          <w:sz w:val="24"/>
          <w:szCs w:val="24"/>
        </w:rPr>
        <w:t>XJLD-2023-050-08；</w:t>
      </w:r>
    </w:p>
    <w:p>
      <w:pPr>
        <w:pStyle w:val="25"/>
        <w:spacing w:before="60" w:beforeAutospacing="0" w:after="60" w:afterAutospacing="0" w:line="240" w:lineRule="atLeast"/>
        <w:ind w:firstLine="480" w:firstLineChars="200"/>
      </w:pPr>
      <w:r>
        <w:rPr>
          <w:rFonts w:hint="eastAsia"/>
          <w:color w:val="000000"/>
        </w:rPr>
        <w:t>预算金额（元）：45000.00；</w:t>
      </w:r>
    </w:p>
    <w:p>
      <w:pPr>
        <w:ind w:firstLine="480" w:firstLineChars="200"/>
        <w:rPr>
          <w:rFonts w:ascii="宋体" w:hAnsi="宋体" w:cs="宋体"/>
          <w:color w:val="000000"/>
          <w:sz w:val="24"/>
          <w:szCs w:val="24"/>
        </w:rPr>
      </w:pPr>
      <w:r>
        <w:rPr>
          <w:rFonts w:hint="eastAsia" w:ascii="宋体" w:hAnsi="宋体" w:cs="宋体"/>
          <w:color w:val="000000"/>
          <w:sz w:val="24"/>
          <w:szCs w:val="24"/>
        </w:rPr>
        <w:t>简要规格描述或项目基本概况介绍、用途：购买智慧电气火灾云监控系统维保服务2年（具体内容详见采购文件）；</w:t>
      </w:r>
    </w:p>
    <w:p>
      <w:pPr>
        <w:pStyle w:val="25"/>
        <w:spacing w:before="60" w:beforeAutospacing="0" w:after="60" w:afterAutospacing="0" w:line="240" w:lineRule="atLeast"/>
        <w:rPr>
          <w:color w:val="000000"/>
        </w:rPr>
      </w:pPr>
      <w:r>
        <w:rPr>
          <w:rFonts w:hint="eastAsia"/>
          <w:color w:val="000000"/>
        </w:rPr>
        <w:t>标项九</w:t>
      </w:r>
    </w:p>
    <w:p>
      <w:pPr>
        <w:pStyle w:val="25"/>
        <w:spacing w:before="60" w:beforeAutospacing="0" w:after="60" w:afterAutospacing="0" w:line="240" w:lineRule="atLeast"/>
        <w:ind w:firstLine="480" w:firstLineChars="200"/>
      </w:pPr>
      <w:r>
        <w:rPr>
          <w:rFonts w:hint="eastAsia"/>
          <w:color w:val="000000"/>
        </w:rPr>
        <w:t>标项名称：层流设备、负压产房病房、中央空调维保服务及发热门诊新风机组通风换气设备更换、住院楼层流机组维修项目；  </w:t>
      </w:r>
    </w:p>
    <w:p>
      <w:pPr>
        <w:pStyle w:val="26"/>
        <w:ind w:left="0" w:firstLine="480" w:firstLineChars="200"/>
        <w:rPr>
          <w:rFonts w:ascii="宋体" w:hAnsi="宋体" w:cs="宋体"/>
          <w:color w:val="000000"/>
          <w:sz w:val="24"/>
          <w:szCs w:val="24"/>
        </w:rPr>
      </w:pPr>
      <w:r>
        <w:rPr>
          <w:rFonts w:hint="eastAsia" w:ascii="宋体" w:hAnsi="宋体" w:cs="宋体"/>
          <w:color w:val="000000"/>
          <w:sz w:val="24"/>
          <w:szCs w:val="24"/>
        </w:rPr>
        <w:t>标项编号：</w:t>
      </w:r>
      <w:r>
        <w:rPr>
          <w:rFonts w:hint="eastAsia" w:ascii="宋体" w:hAnsi="宋体" w:cs="宋体"/>
          <w:sz w:val="24"/>
          <w:szCs w:val="24"/>
        </w:rPr>
        <w:t>XJLD-2023-050-09；</w:t>
      </w:r>
    </w:p>
    <w:p>
      <w:pPr>
        <w:pStyle w:val="25"/>
        <w:spacing w:before="60" w:beforeAutospacing="0" w:after="60" w:afterAutospacing="0" w:line="240" w:lineRule="atLeast"/>
        <w:ind w:firstLine="480" w:firstLineChars="200"/>
      </w:pPr>
      <w:r>
        <w:rPr>
          <w:rFonts w:hint="eastAsia"/>
          <w:color w:val="000000"/>
        </w:rPr>
        <w:t>预算金额（元）：1060000.00；</w:t>
      </w:r>
    </w:p>
    <w:p>
      <w:pPr>
        <w:pStyle w:val="10"/>
        <w:ind w:firstLine="480" w:firstLineChars="200"/>
        <w:rPr>
          <w:rFonts w:ascii="宋体" w:hAnsi="宋体" w:cs="宋体"/>
          <w:color w:val="000000"/>
          <w:sz w:val="24"/>
        </w:rPr>
      </w:pPr>
      <w:r>
        <w:rPr>
          <w:rFonts w:hint="eastAsia" w:ascii="宋体" w:hAnsi="宋体" w:cs="宋体"/>
          <w:color w:val="000000"/>
          <w:sz w:val="24"/>
        </w:rPr>
        <w:t>简要规格描述或项目基本概况介绍、用途：购买层流设备、负压产房病房、中央空调维保服务及发热门诊新风机组通风换气设备更换、住院楼层流机组维修服务2年（具体内容详见采购文件）；</w:t>
      </w:r>
    </w:p>
    <w:p>
      <w:pPr>
        <w:pStyle w:val="10"/>
        <w:ind w:firstLine="480" w:firstLineChars="200"/>
        <w:rPr>
          <w:rFonts w:ascii="宋体" w:hAnsi="宋体" w:cs="宋体"/>
          <w:sz w:val="24"/>
        </w:rPr>
      </w:pPr>
      <w:r>
        <w:rPr>
          <w:rFonts w:hint="eastAsia" w:ascii="宋体" w:hAnsi="宋体" w:cs="宋体"/>
          <w:kern w:val="0"/>
          <w:sz w:val="24"/>
        </w:rPr>
        <w:t>合同履约期限：2年</w:t>
      </w:r>
      <w:r>
        <w:rPr>
          <w:rFonts w:hint="eastAsia" w:hAnsi="宋体" w:cs="宋体"/>
          <w:kern w:val="0"/>
          <w:sz w:val="24"/>
        </w:rPr>
        <w:t>（</w:t>
      </w:r>
      <w:r>
        <w:rPr>
          <w:rFonts w:hint="eastAsia" w:ascii="宋体" w:hAnsi="宋体" w:cs="宋体"/>
          <w:kern w:val="0"/>
          <w:sz w:val="24"/>
        </w:rPr>
        <w:t>标项一、二、三、四、五、六、七、八、九</w:t>
      </w:r>
      <w:r>
        <w:rPr>
          <w:rFonts w:hint="eastAsia" w:hAnsi="宋体" w:cs="宋体"/>
          <w:kern w:val="0"/>
          <w:sz w:val="24"/>
        </w:rPr>
        <w:t>）</w:t>
      </w:r>
      <w:r>
        <w:rPr>
          <w:rFonts w:hint="eastAsia" w:ascii="宋体" w:hAnsi="宋体" w:cs="宋体"/>
          <w:kern w:val="0"/>
          <w:sz w:val="24"/>
        </w:rPr>
        <w:t>；</w:t>
      </w:r>
      <w:r>
        <w:rPr>
          <w:rFonts w:hint="eastAsia" w:ascii="宋体" w:hAnsi="宋体" w:cs="宋体"/>
          <w:sz w:val="24"/>
        </w:rPr>
        <w:t> </w:t>
      </w:r>
    </w:p>
    <w:p>
      <w:pPr>
        <w:pStyle w:val="10"/>
        <w:ind w:firstLine="480" w:firstLineChars="200"/>
        <w:rPr>
          <w:rFonts w:ascii="宋体" w:hAnsi="宋体" w:cs="宋体"/>
          <w:sz w:val="24"/>
        </w:rPr>
      </w:pPr>
      <w:r>
        <w:rPr>
          <w:rFonts w:hint="eastAsia" w:ascii="宋体" w:hAnsi="宋体" w:cs="宋体"/>
          <w:sz w:val="24"/>
        </w:rPr>
        <w:t>本项目（否）接受联合体投标。  </w:t>
      </w:r>
    </w:p>
    <w:p>
      <w:pPr>
        <w:pStyle w:val="25"/>
        <w:spacing w:before="60" w:after="60"/>
        <w:ind w:firstLine="482" w:firstLineChars="200"/>
      </w:pPr>
      <w:r>
        <w:rPr>
          <w:rStyle w:val="32"/>
          <w:rFonts w:hint="eastAsia" w:ascii="宋体" w:hAnsi="宋体" w:cs="宋体"/>
        </w:rPr>
        <w:t>二、申请人的资格要求</w:t>
      </w:r>
    </w:p>
    <w:p>
      <w:pPr>
        <w:spacing w:line="320" w:lineRule="exact"/>
        <w:ind w:firstLine="480" w:firstLineChars="200"/>
        <w:rPr>
          <w:rFonts w:ascii="宋体" w:hAnsi="宋体" w:cs="宋体"/>
          <w:sz w:val="24"/>
          <w:szCs w:val="24"/>
        </w:rPr>
      </w:pPr>
      <w:r>
        <w:rPr>
          <w:rFonts w:hint="eastAsia" w:ascii="宋体" w:hAnsi="宋体" w:cs="宋体"/>
          <w:sz w:val="24"/>
          <w:szCs w:val="24"/>
        </w:rPr>
        <w:t>1.符合《中华人民共和国政府采购法》第二十二条的相关规定； </w:t>
      </w:r>
    </w:p>
    <w:p>
      <w:pPr>
        <w:spacing w:line="320" w:lineRule="exact"/>
        <w:ind w:firstLine="480" w:firstLineChars="200"/>
        <w:rPr>
          <w:rFonts w:ascii="宋体" w:hAnsi="宋体" w:cs="宋体"/>
          <w:sz w:val="24"/>
          <w:szCs w:val="24"/>
        </w:rPr>
      </w:pPr>
      <w:r>
        <w:rPr>
          <w:rFonts w:hint="eastAsia" w:ascii="宋体" w:hAnsi="宋体" w:cs="宋体"/>
          <w:sz w:val="24"/>
          <w:szCs w:val="24"/>
        </w:rPr>
        <w:t>2.落实政府采购政策需满足的资格要求：</w:t>
      </w:r>
      <w:r>
        <w:rPr>
          <w:rFonts w:hint="eastAsia" w:ascii="宋体" w:hAnsi="宋体" w:cs="宋体"/>
          <w:kern w:val="0"/>
          <w:sz w:val="24"/>
          <w:szCs w:val="24"/>
        </w:rPr>
        <w:t>标项一、二、三、四、五、六、七、八、九供应商为中小企业；</w:t>
      </w:r>
    </w:p>
    <w:p>
      <w:pPr>
        <w:spacing w:line="320" w:lineRule="exact"/>
        <w:ind w:firstLine="480" w:firstLineChars="200"/>
        <w:rPr>
          <w:rFonts w:ascii="宋体" w:hAnsi="宋体" w:cs="宋体"/>
          <w:sz w:val="24"/>
          <w:szCs w:val="24"/>
        </w:rPr>
      </w:pPr>
      <w:r>
        <w:rPr>
          <w:rFonts w:hint="eastAsia" w:ascii="宋体" w:hAnsi="宋体" w:cs="宋体"/>
          <w:sz w:val="24"/>
          <w:szCs w:val="24"/>
        </w:rPr>
        <w:t>3.本项目的特定资格要求：</w:t>
      </w:r>
    </w:p>
    <w:p>
      <w:pPr>
        <w:spacing w:line="320" w:lineRule="exact"/>
        <w:ind w:firstLine="480" w:firstLineChars="200"/>
        <w:rPr>
          <w:rFonts w:ascii="宋体" w:hAnsi="宋体" w:cs="宋体"/>
          <w:sz w:val="24"/>
          <w:szCs w:val="24"/>
        </w:rPr>
      </w:pPr>
      <w:r>
        <w:rPr>
          <w:rFonts w:hint="eastAsia" w:ascii="宋体" w:hAnsi="宋体" w:cs="宋体"/>
          <w:sz w:val="24"/>
          <w:szCs w:val="24"/>
        </w:rPr>
        <w:t>标项一：(1)具备有效的营业执照；(2)供应商具有医疗器械生产许可证或医疗器械经营许可证；(3)供应商具有《特种设备安装改造维修许可证》（压力管道安装GC2级及以上或《特种设备生产许可证》（承压特种设备安装、修理、改造,工业管道安装GC2级及以上；(4)供应商未列入失信被执行人、重大税收违法失信主体、政府采购严重违法失信行为记录名单（财库[2016]125号）；</w:t>
      </w:r>
    </w:p>
    <w:p>
      <w:pPr>
        <w:spacing w:line="320" w:lineRule="exact"/>
        <w:ind w:firstLine="480" w:firstLineChars="200"/>
        <w:rPr>
          <w:rFonts w:ascii="宋体" w:hAnsi="宋体" w:cs="宋体"/>
          <w:sz w:val="24"/>
          <w:szCs w:val="24"/>
        </w:rPr>
      </w:pPr>
      <w:r>
        <w:rPr>
          <w:rFonts w:hint="eastAsia" w:ascii="宋体" w:hAnsi="宋体" w:cs="宋体"/>
          <w:sz w:val="24"/>
          <w:szCs w:val="24"/>
        </w:rPr>
        <w:t>标项二、三、六、八：(1)具备有效的营业执照；（2）供应商未列入失信被执行人、重大税收违法失信主体、政府采购严重违法失信行为记录名单（财库[2016]125号)；</w:t>
      </w:r>
    </w:p>
    <w:p>
      <w:pPr>
        <w:spacing w:line="320" w:lineRule="exact"/>
        <w:ind w:firstLine="480" w:firstLineChars="200"/>
        <w:rPr>
          <w:rFonts w:ascii="宋体" w:hAnsi="宋体" w:cs="宋体"/>
          <w:sz w:val="24"/>
          <w:szCs w:val="24"/>
        </w:rPr>
      </w:pPr>
      <w:r>
        <w:rPr>
          <w:rFonts w:hint="eastAsia" w:ascii="宋体" w:hAnsi="宋体" w:cs="宋体"/>
          <w:sz w:val="24"/>
          <w:szCs w:val="24"/>
        </w:rPr>
        <w:t>标项四：(1)具备有效的营业执照；(2)消防设施维护保养检测二级及以上资质；(3)消防维保操作技术人员须取得中级技能等级及以上建（构）筑物消防员资格证书。(4)供应商未列入失信被执行人、重大税收违法失信主体、政府采购严重违法失信行为记录名单（财库[2016]125号）；</w:t>
      </w:r>
    </w:p>
    <w:p>
      <w:pPr>
        <w:spacing w:line="320" w:lineRule="exact"/>
        <w:ind w:firstLine="480" w:firstLineChars="200"/>
        <w:rPr>
          <w:rFonts w:ascii="宋体" w:hAnsi="宋体" w:cs="宋体"/>
          <w:sz w:val="24"/>
          <w:szCs w:val="24"/>
        </w:rPr>
      </w:pPr>
      <w:r>
        <w:rPr>
          <w:rFonts w:hint="eastAsia" w:ascii="宋体" w:hAnsi="宋体" w:cs="宋体"/>
          <w:sz w:val="24"/>
          <w:szCs w:val="24"/>
        </w:rPr>
        <w:t>标项五：(1)具备有效的营业执照；(2)供应商具有建筑机电安装工程专业承包叁级及以上资质，具有有效的安全生产许可证且配有相应的专业技术人员。(3)供应商未列入失信被执行人、重大税收违法失信主体、政府采购严重违法失信行为记录名单（财库[2016]125号)；</w:t>
      </w:r>
    </w:p>
    <w:p>
      <w:pPr>
        <w:spacing w:line="320" w:lineRule="exact"/>
        <w:ind w:firstLine="480" w:firstLineChars="200"/>
        <w:rPr>
          <w:rFonts w:ascii="宋体" w:hAnsi="宋体" w:cs="宋体"/>
          <w:sz w:val="24"/>
          <w:szCs w:val="24"/>
        </w:rPr>
      </w:pPr>
      <w:r>
        <w:rPr>
          <w:rFonts w:hint="eastAsia" w:ascii="宋体" w:hAnsi="宋体" w:cs="宋体"/>
          <w:sz w:val="24"/>
          <w:szCs w:val="24"/>
        </w:rPr>
        <w:t>标项七：(1)具备有效的营业执照；(2)具有《中华人民共和国特种设备安装改造维修许可证》电梯安装、维修资质B级及以上资质或《中华人民共和国特种设备生产许可证》电梯安装（含修理）曳引驱动乘客电梯(含消防员电梯)资质。(3)供应商未列入失信被执行人、重大税收违法失信主体、政府采购严重违法失信行为记录名单（财库[2016]125号)；</w:t>
      </w:r>
    </w:p>
    <w:p>
      <w:pPr>
        <w:spacing w:line="320" w:lineRule="exact"/>
        <w:ind w:firstLine="480" w:firstLineChars="200"/>
        <w:rPr>
          <w:rFonts w:ascii="宋体" w:hAnsi="宋体" w:cs="宋体"/>
          <w:sz w:val="24"/>
          <w:szCs w:val="24"/>
        </w:rPr>
      </w:pPr>
      <w:r>
        <w:rPr>
          <w:rFonts w:hint="eastAsia" w:ascii="宋体" w:hAnsi="宋体" w:cs="宋体"/>
          <w:sz w:val="24"/>
          <w:szCs w:val="24"/>
        </w:rPr>
        <w:t>标项九：(1)具备有效的营业执照；(2)供应商具有建筑机电安装工程专业承包叁级及以上资质，具有有效的安全生产许可证且配有相应的专业技术人员。(3)技术负责人需具备（机电工程）贰级注册建造师执业资格；(4)供应商未列入失信被执行人、重大税收违法失信主体、政府采购严重违法失信行为记录名单（财库[2016]125号)。</w:t>
      </w:r>
    </w:p>
    <w:p>
      <w:pPr>
        <w:pStyle w:val="25"/>
        <w:spacing w:before="60" w:after="60"/>
        <w:ind w:firstLine="482" w:firstLineChars="200"/>
      </w:pPr>
      <w:r>
        <w:rPr>
          <w:rStyle w:val="32"/>
          <w:rFonts w:hint="eastAsia" w:ascii="宋体" w:hAnsi="宋体" w:cs="宋体"/>
        </w:rPr>
        <w:t>三、获取采购文件</w:t>
      </w:r>
    </w:p>
    <w:p>
      <w:pPr>
        <w:pStyle w:val="25"/>
        <w:spacing w:before="60" w:after="60" w:line="320" w:lineRule="exact"/>
        <w:rPr>
          <w:kern w:val="2"/>
        </w:rPr>
      </w:pPr>
      <w:r>
        <w:rPr>
          <w:rFonts w:hint="eastAsia"/>
          <w:kern w:val="2"/>
        </w:rPr>
        <w:t>时间：</w:t>
      </w:r>
      <w:r>
        <w:rPr>
          <w:rFonts w:hint="eastAsia"/>
          <w:kern w:val="2"/>
          <w:highlight w:val="none"/>
        </w:rPr>
        <w:t>2023年03月</w:t>
      </w:r>
      <w:r>
        <w:rPr>
          <w:rFonts w:hint="eastAsia"/>
          <w:kern w:val="2"/>
          <w:highlight w:val="none"/>
          <w:lang w:val="en-US" w:eastAsia="zh-CN"/>
        </w:rPr>
        <w:t>20</w:t>
      </w:r>
      <w:r>
        <w:rPr>
          <w:rFonts w:hint="eastAsia"/>
          <w:kern w:val="2"/>
          <w:highlight w:val="none"/>
        </w:rPr>
        <w:t>日至2023年03月</w:t>
      </w:r>
      <w:r>
        <w:rPr>
          <w:rFonts w:hint="eastAsia"/>
          <w:kern w:val="2"/>
          <w:highlight w:val="none"/>
          <w:lang w:val="en-US" w:eastAsia="zh-CN"/>
        </w:rPr>
        <w:t>27</w:t>
      </w:r>
      <w:r>
        <w:rPr>
          <w:rFonts w:hint="eastAsia"/>
          <w:kern w:val="2"/>
          <w:highlight w:val="none"/>
        </w:rPr>
        <w:t>日</w:t>
      </w:r>
      <w:r>
        <w:rPr>
          <w:rFonts w:hint="eastAsia"/>
          <w:kern w:val="2"/>
        </w:rPr>
        <w:t>，每天上午10:00至14:00，下午15:30至19:30（北京时间，法定节假日除外）；</w:t>
      </w:r>
    </w:p>
    <w:p>
      <w:pPr>
        <w:pStyle w:val="25"/>
        <w:spacing w:before="60" w:after="60" w:line="320" w:lineRule="exact"/>
        <w:ind w:firstLine="480" w:firstLineChars="200"/>
        <w:rPr>
          <w:kern w:val="2"/>
        </w:rPr>
      </w:pPr>
      <w:r>
        <w:rPr>
          <w:rFonts w:hint="eastAsia"/>
          <w:kern w:val="2"/>
        </w:rPr>
        <w:t>地点：政府采购云平台线上获取； </w:t>
      </w:r>
    </w:p>
    <w:p>
      <w:pPr>
        <w:pStyle w:val="25"/>
        <w:spacing w:before="60" w:after="60" w:line="320" w:lineRule="exact"/>
        <w:ind w:firstLine="480" w:firstLineChars="200"/>
        <w:rPr>
          <w:kern w:val="2"/>
        </w:rPr>
      </w:pPr>
      <w:r>
        <w:rPr>
          <w:rFonts w:hint="eastAsia"/>
          <w:kern w:val="2"/>
        </w:rPr>
        <w:t>方式：（1）供应商登录政府采购云平台（https://www.zcygov.cn/）在线申请获取采购文件（登录政府采购云平台 → 项目采购 → 获取招标文件→申请，审核通过后可下载招标文件，如有操作性问题，可与政采云在线客服进行咨询）；</w:t>
      </w:r>
    </w:p>
    <w:p>
      <w:pPr>
        <w:pStyle w:val="25"/>
        <w:spacing w:before="60" w:after="60" w:line="320" w:lineRule="exact"/>
        <w:rPr>
          <w:kern w:val="2"/>
        </w:rPr>
      </w:pPr>
      <w:r>
        <w:rPr>
          <w:rFonts w:hint="eastAsia"/>
          <w:kern w:val="2"/>
        </w:rPr>
        <w:t>（2）供应商获取采购文件前应注册成为政府采购云平台正式供应商；   </w:t>
      </w:r>
    </w:p>
    <w:p>
      <w:pPr>
        <w:pStyle w:val="25"/>
        <w:spacing w:before="60" w:after="60" w:line="320" w:lineRule="exact"/>
        <w:ind w:firstLine="480" w:firstLineChars="200"/>
        <w:rPr>
          <w:kern w:val="2"/>
        </w:rPr>
      </w:pPr>
      <w:r>
        <w:rPr>
          <w:rFonts w:hint="eastAsia"/>
          <w:kern w:val="2"/>
        </w:rPr>
        <w:t>售价（元）：0。 </w:t>
      </w:r>
    </w:p>
    <w:p>
      <w:pPr>
        <w:pStyle w:val="25"/>
        <w:spacing w:before="0" w:beforeAutospacing="0" w:after="0" w:afterAutospacing="0" w:line="360" w:lineRule="auto"/>
        <w:ind w:firstLine="482" w:firstLineChars="200"/>
        <w:rPr>
          <w:b/>
          <w:bCs/>
        </w:rPr>
      </w:pPr>
      <w:r>
        <w:rPr>
          <w:rFonts w:hint="eastAsia"/>
          <w:b/>
          <w:bCs/>
        </w:rPr>
        <w:t>四、提交投标文件截止时间、开标时间和地点</w:t>
      </w:r>
    </w:p>
    <w:p>
      <w:pPr>
        <w:pStyle w:val="25"/>
        <w:spacing w:before="60" w:after="60" w:line="320" w:lineRule="exact"/>
        <w:ind w:firstLine="480" w:firstLineChars="200"/>
        <w:rPr>
          <w:kern w:val="2"/>
          <w:highlight w:val="none"/>
        </w:rPr>
      </w:pPr>
      <w:r>
        <w:rPr>
          <w:rFonts w:hint="eastAsia"/>
          <w:kern w:val="2"/>
          <w:highlight w:val="none"/>
        </w:rPr>
        <w:t>提交投标文件截止时间：2023年04月</w:t>
      </w:r>
      <w:r>
        <w:rPr>
          <w:rFonts w:hint="eastAsia"/>
          <w:kern w:val="2"/>
          <w:highlight w:val="none"/>
          <w:lang w:val="en-US" w:eastAsia="zh-CN"/>
        </w:rPr>
        <w:t>10</w:t>
      </w:r>
      <w:r>
        <w:rPr>
          <w:rFonts w:hint="eastAsia"/>
          <w:kern w:val="2"/>
          <w:highlight w:val="none"/>
        </w:rPr>
        <w:t>日 11:00（北京时间）</w:t>
      </w:r>
    </w:p>
    <w:p>
      <w:pPr>
        <w:pStyle w:val="25"/>
        <w:spacing w:before="60" w:after="60" w:line="320" w:lineRule="exact"/>
        <w:ind w:firstLine="480" w:firstLineChars="200"/>
        <w:rPr>
          <w:kern w:val="2"/>
        </w:rPr>
      </w:pPr>
      <w:r>
        <w:rPr>
          <w:rFonts w:hint="eastAsia"/>
          <w:kern w:val="2"/>
        </w:rPr>
        <w:t>投标地点：政府采购云平台（https://www.zcygov.cn/）</w:t>
      </w:r>
    </w:p>
    <w:p>
      <w:pPr>
        <w:pStyle w:val="25"/>
        <w:spacing w:before="60" w:after="60" w:line="320" w:lineRule="exact"/>
        <w:ind w:firstLine="480" w:firstLineChars="200"/>
        <w:rPr>
          <w:kern w:val="2"/>
          <w:highlight w:val="none"/>
        </w:rPr>
      </w:pPr>
      <w:r>
        <w:rPr>
          <w:rFonts w:hint="eastAsia"/>
          <w:kern w:val="2"/>
          <w:highlight w:val="none"/>
        </w:rPr>
        <w:t>开标时间：2023年04月</w:t>
      </w:r>
      <w:r>
        <w:rPr>
          <w:rFonts w:hint="eastAsia"/>
          <w:kern w:val="2"/>
          <w:highlight w:val="none"/>
          <w:lang w:val="en-US" w:eastAsia="zh-CN"/>
        </w:rPr>
        <w:t>10</w:t>
      </w:r>
      <w:r>
        <w:rPr>
          <w:rFonts w:hint="eastAsia"/>
          <w:kern w:val="2"/>
          <w:highlight w:val="none"/>
        </w:rPr>
        <w:t>日 11:00（北京时间）</w:t>
      </w:r>
    </w:p>
    <w:p>
      <w:pPr>
        <w:pStyle w:val="25"/>
        <w:spacing w:before="60" w:after="60" w:line="320" w:lineRule="exact"/>
        <w:ind w:firstLine="480" w:firstLineChars="200"/>
        <w:rPr>
          <w:kern w:val="2"/>
        </w:rPr>
      </w:pPr>
      <w:r>
        <w:rPr>
          <w:rFonts w:hint="eastAsia"/>
          <w:kern w:val="2"/>
        </w:rPr>
        <w:t>开标地点：政府采购云平台（https://www.zcygov.cn/）</w:t>
      </w:r>
    </w:p>
    <w:p>
      <w:pPr>
        <w:pStyle w:val="25"/>
        <w:spacing w:before="60" w:after="60"/>
        <w:ind w:firstLine="482" w:firstLineChars="200"/>
        <w:rPr>
          <w:rStyle w:val="32"/>
          <w:rFonts w:ascii="宋体" w:hAnsi="宋体" w:cs="宋体"/>
        </w:rPr>
      </w:pPr>
      <w:r>
        <w:rPr>
          <w:rFonts w:hint="eastAsia"/>
          <w:b/>
          <w:bCs/>
        </w:rPr>
        <w:t>五</w:t>
      </w:r>
      <w:r>
        <w:rPr>
          <w:rStyle w:val="32"/>
          <w:rFonts w:hint="eastAsia" w:ascii="宋体" w:hAnsi="宋体" w:cs="宋体"/>
        </w:rPr>
        <w:t>、公告期限</w:t>
      </w:r>
    </w:p>
    <w:p>
      <w:pPr>
        <w:pStyle w:val="25"/>
        <w:spacing w:before="204" w:after="204"/>
        <w:ind w:firstLine="480" w:firstLineChars="200"/>
        <w:jc w:val="both"/>
      </w:pPr>
      <w:r>
        <w:rPr>
          <w:rFonts w:hint="eastAsia"/>
        </w:rPr>
        <w:t>自本公告发布之日起5个工作日。</w:t>
      </w:r>
    </w:p>
    <w:p>
      <w:pPr>
        <w:pStyle w:val="25"/>
        <w:spacing w:before="204" w:after="204"/>
        <w:ind w:firstLine="482" w:firstLineChars="200"/>
        <w:jc w:val="both"/>
      </w:pPr>
      <w:r>
        <w:rPr>
          <w:rStyle w:val="32"/>
          <w:rFonts w:hint="eastAsia" w:ascii="宋体" w:hAnsi="宋体" w:cs="宋体"/>
        </w:rPr>
        <w:t>六、其他补充事宜</w:t>
      </w:r>
      <w:r>
        <w:rPr>
          <w:rFonts w:hint="eastAsia"/>
        </w:rPr>
        <w:t> </w:t>
      </w:r>
    </w:p>
    <w:p>
      <w:pPr>
        <w:spacing w:line="320" w:lineRule="exact"/>
        <w:ind w:firstLine="480" w:firstLineChars="200"/>
        <w:rPr>
          <w:rFonts w:ascii="宋体" w:hAnsi="宋体" w:cs="宋体"/>
          <w:sz w:val="24"/>
          <w:szCs w:val="24"/>
        </w:rPr>
      </w:pPr>
      <w:r>
        <w:rPr>
          <w:rFonts w:hint="eastAsia" w:ascii="宋体" w:hAnsi="宋体" w:cs="宋体"/>
          <w:sz w:val="24"/>
          <w:szCs w:val="24"/>
        </w:rPr>
        <w:t>1.本项目采用全流程不见面电子开评标，投标供应商需要使用CA加密设备，供应商可通过新疆数字证书认证中心官网（https://www.xjca.com.cn/）或下载“新疆政务通”APP自行进行申领。</w:t>
      </w:r>
    </w:p>
    <w:p>
      <w:pPr>
        <w:spacing w:line="320" w:lineRule="exact"/>
        <w:ind w:firstLine="480" w:firstLineChars="200"/>
        <w:rPr>
          <w:rFonts w:ascii="宋体" w:hAnsi="宋体" w:cs="宋体"/>
          <w:sz w:val="24"/>
          <w:szCs w:val="24"/>
        </w:rPr>
      </w:pPr>
      <w:r>
        <w:rPr>
          <w:rFonts w:hint="eastAsia" w:ascii="宋体" w:hAnsi="宋体" w:cs="宋体"/>
          <w:sz w:val="24"/>
          <w:szCs w:val="24"/>
        </w:rPr>
        <w:t>2.本项目实行网上投标，采用加密电子投标文件(供应商须使用CA加密设备通过政采云电子投标客户端制作投标文件)。若供应商参与投标，自行承担投标一切费用。</w:t>
      </w:r>
    </w:p>
    <w:p>
      <w:pPr>
        <w:spacing w:line="320" w:lineRule="exact"/>
        <w:ind w:firstLine="480" w:firstLineChars="200"/>
        <w:rPr>
          <w:rFonts w:ascii="宋体" w:hAnsi="宋体" w:cs="宋体"/>
          <w:sz w:val="24"/>
          <w:szCs w:val="24"/>
        </w:rPr>
      </w:pPr>
      <w:r>
        <w:rPr>
          <w:rFonts w:hint="eastAsia" w:ascii="宋体" w:hAnsi="宋体" w:cs="宋体"/>
          <w:sz w:val="24"/>
          <w:szCs w:val="24"/>
        </w:rPr>
        <w:t>3.各供应商在开标前应确保成为新疆维吾尔自治区政府采购网正式注册入库供应商（已在政府采购云平台其他省份入驻的供应商无须重复注册），并完成CA数字证书申领。因未注册入库、未办理CA数字证书等原因造成无法投标或投标失败等后果由供应商自行承担。</w:t>
      </w:r>
    </w:p>
    <w:p>
      <w:pPr>
        <w:spacing w:line="320" w:lineRule="exact"/>
        <w:ind w:firstLine="480" w:firstLineChars="200"/>
        <w:rPr>
          <w:rFonts w:ascii="宋体" w:hAnsi="宋体" w:cs="宋体"/>
          <w:sz w:val="24"/>
          <w:szCs w:val="24"/>
        </w:rPr>
      </w:pPr>
      <w:r>
        <w:rPr>
          <w:rFonts w:hint="eastAsia" w:ascii="宋体" w:hAnsi="宋体" w:cs="宋体"/>
          <w:sz w:val="24"/>
          <w:szCs w:val="24"/>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w:t>
      </w:r>
    </w:p>
    <w:p>
      <w:pPr>
        <w:spacing w:line="320" w:lineRule="exact"/>
        <w:ind w:firstLine="480" w:firstLineChars="200"/>
        <w:rPr>
          <w:rFonts w:ascii="宋体" w:hAnsi="宋体" w:cs="宋体"/>
          <w:sz w:val="24"/>
          <w:szCs w:val="24"/>
        </w:rPr>
      </w:pPr>
      <w:r>
        <w:rPr>
          <w:rFonts w:hint="eastAsia" w:ascii="宋体" w:hAnsi="宋体" w:cs="宋体"/>
          <w:sz w:val="24"/>
          <w:szCs w:val="24"/>
        </w:rPr>
        <w:t>5.供应商在开标时须使用制作加密电子投标文件所使用的CA锁及电脑，电脑须提前配置好浏览器（建议使用谷歌浏览器），以便开标时解锁。</w:t>
      </w:r>
    </w:p>
    <w:p>
      <w:pPr>
        <w:spacing w:line="320" w:lineRule="exact"/>
        <w:ind w:firstLine="480" w:firstLineChars="200"/>
        <w:rPr>
          <w:rFonts w:ascii="宋体" w:hAnsi="宋体" w:cs="宋体"/>
          <w:sz w:val="24"/>
          <w:szCs w:val="24"/>
        </w:rPr>
      </w:pPr>
      <w:r>
        <w:rPr>
          <w:rFonts w:hint="eastAsia" w:ascii="宋体" w:hAnsi="宋体" w:cs="宋体"/>
          <w:sz w:val="24"/>
          <w:szCs w:val="24"/>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spacing w:line="320" w:lineRule="exact"/>
        <w:ind w:firstLine="480" w:firstLineChars="200"/>
        <w:rPr>
          <w:rFonts w:ascii="宋体" w:hAnsi="宋体" w:cs="宋体"/>
          <w:sz w:val="24"/>
          <w:szCs w:val="24"/>
        </w:rPr>
      </w:pPr>
      <w:r>
        <w:rPr>
          <w:rFonts w:hint="eastAsia" w:ascii="宋体" w:hAnsi="宋体" w:cs="宋体"/>
          <w:sz w:val="24"/>
          <w:szCs w:val="24"/>
        </w:rPr>
        <w:t>7.为了保证开评标顺利进行，政采云线上开标功能完全实现，供应商开标所使用的电脑设备须具有视频及语音功能。</w:t>
      </w:r>
    </w:p>
    <w:p>
      <w:pPr>
        <w:ind w:firstLine="482" w:firstLineChars="200"/>
        <w:jc w:val="left"/>
        <w:rPr>
          <w:rFonts w:ascii="宋体" w:hAnsi="宋体" w:cs="宋体"/>
          <w:b/>
          <w:bCs/>
          <w:sz w:val="24"/>
          <w:szCs w:val="24"/>
        </w:rPr>
      </w:pPr>
      <w:r>
        <w:rPr>
          <w:rFonts w:hint="eastAsia" w:ascii="宋体" w:hAnsi="宋体" w:cs="宋体"/>
          <w:b/>
          <w:bCs/>
          <w:sz w:val="24"/>
          <w:szCs w:val="24"/>
        </w:rPr>
        <w:t>特别提示：</w:t>
      </w:r>
    </w:p>
    <w:p>
      <w:pPr>
        <w:ind w:firstLine="482" w:firstLineChars="200"/>
        <w:rPr>
          <w:rFonts w:ascii="宋体" w:hAnsi="宋体" w:cs="宋体"/>
          <w:b/>
          <w:bCs/>
          <w:sz w:val="24"/>
          <w:szCs w:val="24"/>
        </w:rPr>
      </w:pPr>
      <w:r>
        <w:rPr>
          <w:rFonts w:hint="eastAsia" w:ascii="宋体" w:hAnsi="宋体" w:cs="宋体"/>
          <w:b/>
          <w:bCs/>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ind w:firstLine="482" w:firstLineChars="200"/>
        <w:rPr>
          <w:rFonts w:ascii="宋体" w:hAnsi="宋体" w:cs="宋体"/>
          <w:b/>
          <w:bCs/>
          <w:sz w:val="24"/>
          <w:szCs w:val="24"/>
        </w:rPr>
      </w:pPr>
      <w:r>
        <w:rPr>
          <w:rFonts w:hint="eastAsia" w:ascii="宋体" w:hAnsi="宋体" w:cs="宋体"/>
          <w:b/>
          <w:bCs/>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ind w:firstLine="482" w:firstLineChars="200"/>
        <w:rPr>
          <w:rFonts w:ascii="宋体" w:hAnsi="宋体" w:cs="宋体"/>
          <w:b/>
          <w:bCs/>
          <w:sz w:val="24"/>
          <w:szCs w:val="24"/>
        </w:rPr>
      </w:pPr>
      <w:r>
        <w:rPr>
          <w:rFonts w:hint="eastAsia" w:ascii="宋体" w:hAnsi="宋体" w:cs="宋体"/>
          <w:b/>
          <w:bCs/>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5"/>
        <w:spacing w:before="204" w:after="204"/>
        <w:ind w:firstLine="482" w:firstLineChars="200"/>
        <w:jc w:val="both"/>
      </w:pPr>
      <w:r>
        <w:rPr>
          <w:rStyle w:val="32"/>
          <w:rFonts w:hint="eastAsia" w:ascii="宋体" w:hAnsi="宋体" w:cs="宋体"/>
        </w:rPr>
        <w:t>七、凡对本次招标提出询问，请按以下方式联系</w:t>
      </w:r>
    </w:p>
    <w:p>
      <w:pPr>
        <w:pStyle w:val="25"/>
        <w:spacing w:before="60" w:after="60" w:line="320" w:lineRule="exact"/>
        <w:ind w:firstLine="420"/>
      </w:pPr>
      <w:r>
        <w:rPr>
          <w:rFonts w:hint="eastAsia"/>
        </w:rPr>
        <w:t>1.采购人信息</w:t>
      </w:r>
    </w:p>
    <w:p>
      <w:pPr>
        <w:pStyle w:val="25"/>
        <w:spacing w:before="60" w:after="60" w:line="320" w:lineRule="exact"/>
        <w:ind w:firstLine="420"/>
      </w:pPr>
      <w:r>
        <w:rPr>
          <w:rFonts w:hint="eastAsia"/>
        </w:rPr>
        <w:t>名 称：</w:t>
      </w:r>
      <w:r>
        <w:rPr>
          <w:rFonts w:hint="eastAsia"/>
          <w:color w:val="000000"/>
        </w:rPr>
        <w:t>伊犁哈萨克自治州妇幼保健院</w:t>
      </w:r>
    </w:p>
    <w:p>
      <w:pPr>
        <w:pStyle w:val="25"/>
        <w:spacing w:before="60" w:after="60" w:line="320" w:lineRule="exact"/>
        <w:ind w:firstLine="420"/>
      </w:pPr>
      <w:r>
        <w:rPr>
          <w:rFonts w:hint="eastAsia"/>
        </w:rPr>
        <w:t>地 址：伊宁市开发区四川路295号</w:t>
      </w:r>
    </w:p>
    <w:p>
      <w:pPr>
        <w:pStyle w:val="25"/>
        <w:spacing w:before="60" w:after="60" w:line="320" w:lineRule="exact"/>
        <w:ind w:firstLine="420"/>
      </w:pPr>
      <w:r>
        <w:rPr>
          <w:rFonts w:hint="eastAsia"/>
        </w:rPr>
        <w:t>联</w:t>
      </w:r>
      <w:r>
        <w:rPr>
          <w:rFonts w:hint="eastAsia"/>
          <w:color w:val="000000"/>
        </w:rPr>
        <w:t>系方式：13031364836</w:t>
      </w:r>
    </w:p>
    <w:p>
      <w:pPr>
        <w:pStyle w:val="25"/>
        <w:spacing w:before="60" w:after="60" w:line="320" w:lineRule="exact"/>
        <w:ind w:firstLine="420"/>
      </w:pPr>
      <w:r>
        <w:rPr>
          <w:rFonts w:hint="eastAsia"/>
        </w:rPr>
        <w:t>2.采购代理机构信息</w:t>
      </w:r>
    </w:p>
    <w:p>
      <w:pPr>
        <w:pStyle w:val="25"/>
        <w:spacing w:before="60" w:after="60" w:line="320" w:lineRule="exact"/>
        <w:ind w:firstLine="420"/>
      </w:pPr>
      <w:r>
        <w:rPr>
          <w:rFonts w:hint="eastAsia"/>
        </w:rPr>
        <w:t>名 称：新疆霖鼎工程管理服务有限公司</w:t>
      </w:r>
    </w:p>
    <w:p>
      <w:pPr>
        <w:pStyle w:val="25"/>
        <w:spacing w:before="60" w:after="60" w:line="320" w:lineRule="exact"/>
        <w:ind w:firstLine="420"/>
      </w:pPr>
      <w:r>
        <w:rPr>
          <w:rFonts w:hint="eastAsia"/>
        </w:rPr>
        <w:t>地 址：新疆伊犁州伊宁市经济合作区313线以西、新华西路以北西城天街A-E#商业楼C405室</w:t>
      </w:r>
    </w:p>
    <w:p>
      <w:pPr>
        <w:pStyle w:val="25"/>
        <w:spacing w:before="60" w:after="60" w:line="320" w:lineRule="exact"/>
        <w:ind w:firstLine="420"/>
      </w:pPr>
      <w:r>
        <w:rPr>
          <w:rFonts w:hint="eastAsia"/>
        </w:rPr>
        <w:t>3.项目联系方式</w:t>
      </w:r>
    </w:p>
    <w:p>
      <w:pPr>
        <w:spacing w:line="320" w:lineRule="exact"/>
        <w:ind w:firstLine="480" w:firstLineChars="200"/>
        <w:rPr>
          <w:rFonts w:ascii="宋体" w:hAnsi="宋体" w:cs="宋体"/>
          <w:sz w:val="24"/>
          <w:szCs w:val="24"/>
        </w:rPr>
      </w:pPr>
      <w:r>
        <w:rPr>
          <w:rFonts w:hint="eastAsia" w:ascii="宋体" w:hAnsi="宋体" w:cs="宋体"/>
          <w:sz w:val="24"/>
          <w:szCs w:val="24"/>
        </w:rPr>
        <w:t xml:space="preserve">项目联系人：马丝云、谢培丹        </w:t>
      </w:r>
    </w:p>
    <w:p>
      <w:pPr>
        <w:pStyle w:val="25"/>
        <w:spacing w:before="60" w:after="60" w:line="240" w:lineRule="exact"/>
        <w:ind w:firstLine="420"/>
      </w:pPr>
      <w:r>
        <w:rPr>
          <w:rFonts w:hint="eastAsia"/>
          <w:kern w:val="2"/>
        </w:rPr>
        <w:t>电 话：18399303267、18699399882、0</w:t>
      </w:r>
      <w:r>
        <w:rPr>
          <w:rFonts w:hint="eastAsia"/>
        </w:rPr>
        <w:t>999-8888337</w:t>
      </w:r>
    </w:p>
    <w:p>
      <w:pPr>
        <w:pStyle w:val="26"/>
        <w:rPr>
          <w:rFonts w:ascii="宋体" w:hAnsi="宋体" w:cs="宋体"/>
          <w:sz w:val="24"/>
          <w:szCs w:val="24"/>
          <w:highlight w:val="yellow"/>
        </w:rPr>
      </w:pPr>
    </w:p>
    <w:p>
      <w:pPr>
        <w:pStyle w:val="27"/>
        <w:jc w:val="both"/>
        <w:rPr>
          <w:rFonts w:ascii="仿宋" w:hAnsi="仿宋" w:eastAsia="仿宋" w:cs="仿宋"/>
          <w:sz w:val="32"/>
          <w:szCs w:val="32"/>
          <w:highlight w:val="yellow"/>
        </w:rPr>
      </w:pPr>
      <w:bookmarkStart w:id="1" w:name="_Toc9775"/>
    </w:p>
    <w:p>
      <w:pPr>
        <w:pStyle w:val="27"/>
        <w:rPr>
          <w:rFonts w:hint="eastAsia" w:ascii="仿宋" w:hAnsi="仿宋" w:eastAsia="仿宋" w:cs="仿宋"/>
          <w:sz w:val="32"/>
          <w:szCs w:val="32"/>
        </w:rPr>
      </w:pPr>
    </w:p>
    <w:p>
      <w:pPr>
        <w:pStyle w:val="27"/>
        <w:rPr>
          <w:rFonts w:hint="eastAsia" w:ascii="仿宋" w:hAnsi="仿宋" w:eastAsia="仿宋" w:cs="仿宋"/>
          <w:sz w:val="32"/>
          <w:szCs w:val="32"/>
        </w:rPr>
      </w:pPr>
    </w:p>
    <w:p>
      <w:pPr>
        <w:pStyle w:val="27"/>
        <w:rPr>
          <w:rFonts w:ascii="仿宋" w:hAnsi="仿宋" w:eastAsia="仿宋" w:cs="仿宋"/>
          <w:sz w:val="32"/>
          <w:szCs w:val="32"/>
        </w:rPr>
      </w:pPr>
      <w:r>
        <w:rPr>
          <w:rFonts w:hint="eastAsia" w:ascii="仿宋" w:hAnsi="仿宋" w:eastAsia="仿宋" w:cs="仿宋"/>
          <w:sz w:val="32"/>
          <w:szCs w:val="32"/>
        </w:rPr>
        <w:t xml:space="preserve">第二章 </w:t>
      </w:r>
      <w:bookmarkStart w:id="2" w:name="_Toc5345_WPSOffice_Level1"/>
      <w:r>
        <w:rPr>
          <w:rFonts w:hint="eastAsia" w:ascii="仿宋" w:hAnsi="仿宋" w:eastAsia="仿宋" w:cs="仿宋"/>
          <w:sz w:val="32"/>
          <w:szCs w:val="32"/>
        </w:rPr>
        <w:t>投标须知前附表</w:t>
      </w:r>
      <w:bookmarkEnd w:id="1"/>
      <w:bookmarkEnd w:id="2"/>
    </w:p>
    <w:tbl>
      <w:tblPr>
        <w:tblStyle w:val="29"/>
        <w:tblW w:w="10533" w:type="dxa"/>
        <w:tblInd w:w="-73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32"/>
        <w:gridCol w:w="1664"/>
        <w:gridCol w:w="1293"/>
        <w:gridCol w:w="454"/>
        <w:gridCol w:w="2204"/>
        <w:gridCol w:w="186"/>
        <w:gridCol w:w="1703"/>
        <w:gridCol w:w="24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532" w:type="dxa"/>
            <w:vAlign w:val="center"/>
          </w:tcPr>
          <w:p>
            <w:pPr>
              <w:autoSpaceDE w:val="0"/>
              <w:autoSpaceDN w:val="0"/>
              <w:adjustRightInd w:val="0"/>
              <w:snapToGrid w:val="0"/>
              <w:spacing w:line="360" w:lineRule="auto"/>
              <w:jc w:val="center"/>
              <w:rPr>
                <w:rFonts w:ascii="宋体" w:hAnsi="宋体" w:cs="宋体"/>
                <w:b/>
                <w:bCs/>
                <w:kern w:val="0"/>
                <w:sz w:val="24"/>
                <w:szCs w:val="24"/>
              </w:rPr>
            </w:pPr>
            <w:r>
              <w:rPr>
                <w:rFonts w:hint="eastAsia" w:ascii="宋体" w:hAnsi="宋体" w:cs="宋体"/>
                <w:b/>
                <w:bCs/>
                <w:kern w:val="0"/>
                <w:sz w:val="24"/>
                <w:szCs w:val="24"/>
              </w:rPr>
              <w:t>序号</w:t>
            </w:r>
          </w:p>
        </w:tc>
        <w:tc>
          <w:tcPr>
            <w:tcW w:w="1664" w:type="dxa"/>
            <w:vAlign w:val="center"/>
          </w:tcPr>
          <w:p>
            <w:pPr>
              <w:autoSpaceDE w:val="0"/>
              <w:autoSpaceDN w:val="0"/>
              <w:adjustRightInd w:val="0"/>
              <w:snapToGrid w:val="0"/>
              <w:spacing w:line="360" w:lineRule="auto"/>
              <w:jc w:val="center"/>
              <w:rPr>
                <w:rFonts w:ascii="宋体" w:hAnsi="宋体" w:cs="宋体"/>
                <w:b/>
                <w:bCs/>
                <w:kern w:val="0"/>
                <w:sz w:val="24"/>
                <w:szCs w:val="24"/>
              </w:rPr>
            </w:pPr>
            <w:r>
              <w:rPr>
                <w:rFonts w:hint="eastAsia" w:ascii="宋体" w:hAnsi="宋体" w:cs="宋体"/>
                <w:b/>
                <w:bCs/>
                <w:kern w:val="0"/>
                <w:sz w:val="24"/>
                <w:szCs w:val="24"/>
              </w:rPr>
              <w:t>条款名称</w:t>
            </w:r>
          </w:p>
        </w:tc>
        <w:tc>
          <w:tcPr>
            <w:tcW w:w="8337" w:type="dxa"/>
            <w:gridSpan w:val="6"/>
            <w:tcBorders>
              <w:bottom w:val="single" w:color="auto" w:sz="4" w:space="0"/>
            </w:tcBorders>
            <w:vAlign w:val="center"/>
          </w:tcPr>
          <w:p>
            <w:pPr>
              <w:autoSpaceDE w:val="0"/>
              <w:autoSpaceDN w:val="0"/>
              <w:adjustRightInd w:val="0"/>
              <w:snapToGrid w:val="0"/>
              <w:spacing w:line="360" w:lineRule="auto"/>
              <w:jc w:val="center"/>
              <w:rPr>
                <w:rFonts w:ascii="宋体" w:hAnsi="宋体" w:cs="宋体"/>
                <w:b/>
                <w:bCs/>
                <w:kern w:val="0"/>
                <w:sz w:val="24"/>
                <w:szCs w:val="24"/>
                <w:highlight w:val="yellow"/>
              </w:rPr>
            </w:pPr>
            <w:r>
              <w:rPr>
                <w:rFonts w:hint="eastAsia" w:ascii="宋体" w:hAnsi="宋体" w:cs="宋体"/>
                <w:b/>
                <w:bCs/>
                <w:kern w:val="0"/>
                <w:sz w:val="24"/>
                <w:szCs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restart"/>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1</w:t>
            </w:r>
          </w:p>
        </w:tc>
        <w:tc>
          <w:tcPr>
            <w:tcW w:w="1664" w:type="dxa"/>
            <w:vMerge w:val="restart"/>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项目概况</w:t>
            </w:r>
          </w:p>
        </w:tc>
        <w:tc>
          <w:tcPr>
            <w:tcW w:w="1293"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
                <w:sz w:val="24"/>
                <w:szCs w:val="24"/>
              </w:rPr>
            </w:pPr>
            <w:r>
              <w:rPr>
                <w:rFonts w:hint="eastAsia" w:ascii="宋体" w:hAnsi="宋体" w:cs="宋体"/>
                <w:b/>
                <w:sz w:val="24"/>
                <w:szCs w:val="24"/>
              </w:rPr>
              <w:t>项目名称</w:t>
            </w:r>
          </w:p>
        </w:tc>
        <w:tc>
          <w:tcPr>
            <w:tcW w:w="7044" w:type="dxa"/>
            <w:gridSpan w:val="5"/>
            <w:tcBorders>
              <w:top w:val="single" w:color="auto" w:sz="4" w:space="0"/>
              <w:left w:val="single" w:color="auto" w:sz="4" w:space="0"/>
              <w:bottom w:val="single" w:color="auto" w:sz="4" w:space="0"/>
            </w:tcBorders>
            <w:vAlign w:val="center"/>
          </w:tcPr>
          <w:p>
            <w:pPr>
              <w:spacing w:line="370" w:lineRule="exact"/>
              <w:rPr>
                <w:rFonts w:ascii="宋体" w:hAnsi="宋体" w:cs="宋体"/>
                <w:b/>
                <w:sz w:val="24"/>
                <w:szCs w:val="24"/>
              </w:rPr>
            </w:pPr>
            <w:r>
              <w:rPr>
                <w:rFonts w:hint="eastAsia" w:ascii="宋体" w:hAnsi="宋体" w:cs="宋体"/>
                <w:sz w:val="24"/>
                <w:szCs w:val="24"/>
              </w:rPr>
              <w:t>伊犁哈萨克自治州妇幼保健院2023年第一批维修保养服务项目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continue"/>
            <w:vAlign w:val="center"/>
          </w:tcPr>
          <w:p>
            <w:pPr>
              <w:autoSpaceDE w:val="0"/>
              <w:autoSpaceDN w:val="0"/>
              <w:adjustRightInd w:val="0"/>
              <w:snapToGrid w:val="0"/>
              <w:spacing w:line="360" w:lineRule="auto"/>
              <w:jc w:val="center"/>
              <w:rPr>
                <w:rFonts w:ascii="宋体" w:hAnsi="宋体" w:cs="宋体"/>
                <w:b/>
                <w:kern w:val="0"/>
                <w:sz w:val="24"/>
                <w:szCs w:val="24"/>
                <w:highlight w:val="yellow"/>
              </w:rPr>
            </w:pPr>
          </w:p>
        </w:tc>
        <w:tc>
          <w:tcPr>
            <w:tcW w:w="1664" w:type="dxa"/>
            <w:vMerge w:val="continue"/>
            <w:vAlign w:val="center"/>
          </w:tcPr>
          <w:p>
            <w:pPr>
              <w:autoSpaceDE w:val="0"/>
              <w:autoSpaceDN w:val="0"/>
              <w:adjustRightInd w:val="0"/>
              <w:snapToGrid w:val="0"/>
              <w:spacing w:line="360" w:lineRule="auto"/>
              <w:jc w:val="center"/>
              <w:rPr>
                <w:rFonts w:ascii="宋体" w:hAnsi="宋体" w:cs="宋体"/>
                <w:b/>
                <w:kern w:val="0"/>
                <w:sz w:val="24"/>
                <w:szCs w:val="24"/>
                <w:highlight w:val="yellow"/>
              </w:rPr>
            </w:pPr>
          </w:p>
        </w:tc>
        <w:tc>
          <w:tcPr>
            <w:tcW w:w="1293"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
                <w:sz w:val="24"/>
                <w:szCs w:val="24"/>
                <w:highlight w:val="yellow"/>
              </w:rPr>
            </w:pPr>
            <w:r>
              <w:rPr>
                <w:rFonts w:hint="eastAsia" w:ascii="宋体" w:hAnsi="宋体" w:cs="宋体"/>
                <w:b/>
                <w:sz w:val="24"/>
                <w:szCs w:val="24"/>
              </w:rPr>
              <w:t>标项名称</w:t>
            </w:r>
          </w:p>
        </w:tc>
        <w:tc>
          <w:tcPr>
            <w:tcW w:w="7044" w:type="dxa"/>
            <w:gridSpan w:val="5"/>
            <w:tcBorders>
              <w:top w:val="single" w:color="auto" w:sz="4" w:space="0"/>
              <w:left w:val="single" w:color="auto" w:sz="4" w:space="0"/>
              <w:bottom w:val="single" w:color="auto" w:sz="4" w:space="0"/>
            </w:tcBorders>
            <w:vAlign w:val="center"/>
          </w:tcPr>
          <w:p>
            <w:pPr>
              <w:spacing w:line="370" w:lineRule="exact"/>
              <w:rPr>
                <w:rFonts w:ascii="宋体" w:hAnsi="宋体" w:cs="宋体"/>
                <w:sz w:val="24"/>
                <w:szCs w:val="24"/>
                <w:highlight w:val="yellow"/>
              </w:rPr>
            </w:pPr>
            <w:r>
              <w:rPr>
                <w:rFonts w:hint="eastAsia" w:ascii="宋体" w:hAnsi="宋体" w:cs="宋体"/>
                <w:sz w:val="24"/>
                <w:szCs w:val="24"/>
              </w:rPr>
              <w:t>标项一：医用分子筛中心制氧系统维保服务项目、标项二：医疗废物追溯系统在线维保服务项目、标项三：污水在线检测运行维保服务项目、标项四：消防设施维保及检测服务项目、标项五：太阳能维保服务项目、标项六：监控维保服务项目、标项七：电梯维保服务项目、标项八：智慧电气火灾云监控系统维保服务项目、标项九：层流设备、负压产房病房、中央空调维保服务及发热门诊新风机组通风换气设备更换、住院楼层流机组维修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continue"/>
            <w:vAlign w:val="center"/>
          </w:tcPr>
          <w:p>
            <w:pPr>
              <w:autoSpaceDE w:val="0"/>
              <w:autoSpaceDN w:val="0"/>
              <w:adjustRightInd w:val="0"/>
              <w:snapToGrid w:val="0"/>
              <w:spacing w:line="360" w:lineRule="auto"/>
              <w:jc w:val="center"/>
              <w:rPr>
                <w:rFonts w:ascii="宋体" w:hAnsi="宋体" w:cs="宋体"/>
                <w:b/>
                <w:kern w:val="0"/>
                <w:sz w:val="24"/>
                <w:szCs w:val="24"/>
                <w:highlight w:val="yellow"/>
              </w:rPr>
            </w:pPr>
          </w:p>
        </w:tc>
        <w:tc>
          <w:tcPr>
            <w:tcW w:w="1664" w:type="dxa"/>
            <w:vMerge w:val="continue"/>
            <w:vAlign w:val="center"/>
          </w:tcPr>
          <w:p>
            <w:pPr>
              <w:autoSpaceDE w:val="0"/>
              <w:autoSpaceDN w:val="0"/>
              <w:adjustRightInd w:val="0"/>
              <w:snapToGrid w:val="0"/>
              <w:spacing w:line="360" w:lineRule="auto"/>
              <w:jc w:val="center"/>
              <w:rPr>
                <w:rFonts w:ascii="宋体" w:hAnsi="宋体" w:cs="宋体"/>
                <w:b/>
                <w:kern w:val="0"/>
                <w:sz w:val="24"/>
                <w:szCs w:val="24"/>
                <w:highlight w:val="yellow"/>
              </w:rPr>
            </w:pPr>
          </w:p>
        </w:tc>
        <w:tc>
          <w:tcPr>
            <w:tcW w:w="1293" w:type="dxa"/>
            <w:tcBorders>
              <w:top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
                <w:sz w:val="24"/>
                <w:szCs w:val="24"/>
              </w:rPr>
            </w:pPr>
            <w:r>
              <w:rPr>
                <w:rFonts w:hint="eastAsia" w:ascii="宋体" w:hAnsi="宋体" w:cs="宋体"/>
                <w:b/>
                <w:sz w:val="24"/>
                <w:szCs w:val="24"/>
              </w:rPr>
              <w:t>项目编号</w:t>
            </w:r>
          </w:p>
        </w:tc>
        <w:tc>
          <w:tcPr>
            <w:tcW w:w="7044" w:type="dxa"/>
            <w:gridSpan w:val="5"/>
            <w:tcBorders>
              <w:top w:val="single" w:color="auto" w:sz="4" w:space="0"/>
              <w:left w:val="single" w:color="auto" w:sz="4" w:space="0"/>
            </w:tcBorders>
            <w:vAlign w:val="center"/>
          </w:tcPr>
          <w:p>
            <w:pPr>
              <w:autoSpaceDE w:val="0"/>
              <w:autoSpaceDN w:val="0"/>
              <w:adjustRightInd w:val="0"/>
              <w:spacing w:line="360" w:lineRule="auto"/>
              <w:jc w:val="left"/>
              <w:rPr>
                <w:rFonts w:ascii="宋体" w:hAnsi="宋体" w:cs="宋体"/>
                <w:b/>
                <w:sz w:val="24"/>
                <w:szCs w:val="24"/>
              </w:rPr>
            </w:pPr>
            <w:r>
              <w:rPr>
                <w:rFonts w:hint="eastAsia" w:ascii="宋体" w:hAnsi="宋体" w:cs="宋体"/>
                <w:sz w:val="24"/>
                <w:szCs w:val="24"/>
              </w:rPr>
              <w:t>XJLD-2023-050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restart"/>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2</w:t>
            </w:r>
          </w:p>
        </w:tc>
        <w:tc>
          <w:tcPr>
            <w:tcW w:w="1664" w:type="dxa"/>
            <w:vMerge w:val="restart"/>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采购人</w:t>
            </w:r>
          </w:p>
        </w:tc>
        <w:tc>
          <w:tcPr>
            <w:tcW w:w="1293" w:type="dxa"/>
            <w:tcBorders>
              <w:bottom w:val="single" w:color="auto" w:sz="4" w:space="0"/>
              <w:right w:val="single" w:color="auto" w:sz="4"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名称</w:t>
            </w:r>
          </w:p>
        </w:tc>
        <w:tc>
          <w:tcPr>
            <w:tcW w:w="7044" w:type="dxa"/>
            <w:gridSpan w:val="5"/>
            <w:tcBorders>
              <w:left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伊犁哈萨克自治州妇幼保健院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continue"/>
            <w:vAlign w:val="center"/>
          </w:tcPr>
          <w:p>
            <w:pPr>
              <w:autoSpaceDE w:val="0"/>
              <w:autoSpaceDN w:val="0"/>
              <w:adjustRightInd w:val="0"/>
              <w:snapToGrid w:val="0"/>
              <w:spacing w:line="360" w:lineRule="auto"/>
              <w:jc w:val="center"/>
              <w:rPr>
                <w:rFonts w:ascii="宋体" w:hAnsi="宋体" w:cs="宋体"/>
                <w:b/>
                <w:kern w:val="0"/>
                <w:sz w:val="24"/>
                <w:szCs w:val="24"/>
              </w:rPr>
            </w:pPr>
          </w:p>
        </w:tc>
        <w:tc>
          <w:tcPr>
            <w:tcW w:w="1664" w:type="dxa"/>
            <w:vMerge w:val="continue"/>
            <w:vAlign w:val="center"/>
          </w:tcPr>
          <w:p>
            <w:pPr>
              <w:autoSpaceDE w:val="0"/>
              <w:autoSpaceDN w:val="0"/>
              <w:adjustRightInd w:val="0"/>
              <w:snapToGrid w:val="0"/>
              <w:spacing w:line="360" w:lineRule="auto"/>
              <w:jc w:val="center"/>
              <w:rPr>
                <w:rFonts w:ascii="宋体" w:hAnsi="宋体" w:cs="宋体"/>
                <w:b/>
                <w:kern w:val="0"/>
                <w:sz w:val="24"/>
                <w:szCs w:val="24"/>
              </w:rPr>
            </w:pPr>
          </w:p>
        </w:tc>
        <w:tc>
          <w:tcPr>
            <w:tcW w:w="1293" w:type="dxa"/>
            <w:tcBorders>
              <w:top w:val="single" w:color="auto" w:sz="4" w:space="0"/>
              <w:bottom w:val="single" w:color="auto" w:sz="4" w:space="0"/>
              <w:right w:val="single" w:color="auto" w:sz="4"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联系人</w:t>
            </w:r>
          </w:p>
        </w:tc>
        <w:tc>
          <w:tcPr>
            <w:tcW w:w="265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szCs w:val="24"/>
              </w:rPr>
            </w:pPr>
            <w:r>
              <w:rPr>
                <w:rFonts w:hint="eastAsia" w:ascii="宋体" w:hAnsi="宋体" w:cs="宋体"/>
                <w:bCs/>
                <w:sz w:val="24"/>
                <w:szCs w:val="24"/>
              </w:rPr>
              <w:t>霍女士</w:t>
            </w:r>
          </w:p>
        </w:tc>
        <w:tc>
          <w:tcPr>
            <w:tcW w:w="188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联系电话</w:t>
            </w:r>
          </w:p>
        </w:tc>
        <w:tc>
          <w:tcPr>
            <w:tcW w:w="2497" w:type="dxa"/>
            <w:tcBorders>
              <w:top w:val="single" w:color="auto" w:sz="4" w:space="0"/>
              <w:left w:val="single" w:color="auto" w:sz="4" w:space="0"/>
              <w:bottom w:val="single" w:color="auto" w:sz="4" w:space="0"/>
            </w:tcBorders>
            <w:vAlign w:val="center"/>
          </w:tcPr>
          <w:p>
            <w:pPr>
              <w:spacing w:line="360" w:lineRule="auto"/>
              <w:jc w:val="center"/>
              <w:rPr>
                <w:rFonts w:ascii="宋体" w:hAnsi="宋体" w:cs="宋体"/>
                <w:b/>
                <w:sz w:val="24"/>
                <w:szCs w:val="24"/>
              </w:rPr>
            </w:pPr>
            <w:r>
              <w:rPr>
                <w:rFonts w:hint="eastAsia" w:ascii="宋体" w:hAnsi="宋体" w:cs="宋体"/>
                <w:color w:val="000000"/>
                <w:sz w:val="24"/>
                <w:szCs w:val="24"/>
              </w:rPr>
              <w:t>13031364836</w:t>
            </w:r>
            <w:r>
              <w:rPr>
                <w:rFonts w:hint="eastAsia" w:ascii="宋体" w:hAnsi="宋体" w:cs="宋体"/>
                <w:sz w:val="24"/>
                <w:szCs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continue"/>
            <w:vAlign w:val="center"/>
          </w:tcPr>
          <w:p>
            <w:pPr>
              <w:autoSpaceDE w:val="0"/>
              <w:autoSpaceDN w:val="0"/>
              <w:adjustRightInd w:val="0"/>
              <w:snapToGrid w:val="0"/>
              <w:spacing w:line="360" w:lineRule="auto"/>
              <w:jc w:val="center"/>
              <w:rPr>
                <w:rFonts w:ascii="宋体" w:hAnsi="宋体" w:cs="宋体"/>
                <w:b/>
                <w:kern w:val="0"/>
                <w:sz w:val="24"/>
                <w:szCs w:val="24"/>
              </w:rPr>
            </w:pPr>
          </w:p>
        </w:tc>
        <w:tc>
          <w:tcPr>
            <w:tcW w:w="1664" w:type="dxa"/>
            <w:vMerge w:val="continue"/>
            <w:vAlign w:val="center"/>
          </w:tcPr>
          <w:p>
            <w:pPr>
              <w:autoSpaceDE w:val="0"/>
              <w:autoSpaceDN w:val="0"/>
              <w:adjustRightInd w:val="0"/>
              <w:snapToGrid w:val="0"/>
              <w:spacing w:line="360" w:lineRule="auto"/>
              <w:jc w:val="center"/>
              <w:rPr>
                <w:rFonts w:ascii="宋体" w:hAnsi="宋体" w:cs="宋体"/>
                <w:b/>
                <w:kern w:val="0"/>
                <w:sz w:val="24"/>
                <w:szCs w:val="24"/>
              </w:rPr>
            </w:pPr>
          </w:p>
        </w:tc>
        <w:tc>
          <w:tcPr>
            <w:tcW w:w="1293" w:type="dxa"/>
            <w:tcBorders>
              <w:top w:val="single" w:color="auto" w:sz="4" w:space="0"/>
              <w:right w:val="single" w:color="auto" w:sz="4"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地址</w:t>
            </w:r>
          </w:p>
        </w:tc>
        <w:tc>
          <w:tcPr>
            <w:tcW w:w="7044" w:type="dxa"/>
            <w:gridSpan w:val="5"/>
            <w:tcBorders>
              <w:top w:val="single" w:color="auto" w:sz="4" w:space="0"/>
              <w:left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lang w:val="zh-CN"/>
              </w:rPr>
              <w:t>伊宁市开发区四川路295号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restart"/>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3</w:t>
            </w:r>
          </w:p>
        </w:tc>
        <w:tc>
          <w:tcPr>
            <w:tcW w:w="1664" w:type="dxa"/>
            <w:vMerge w:val="restart"/>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采购代理机构</w:t>
            </w:r>
          </w:p>
        </w:tc>
        <w:tc>
          <w:tcPr>
            <w:tcW w:w="1293" w:type="dxa"/>
            <w:tcBorders>
              <w:bottom w:val="single" w:color="auto" w:sz="4" w:space="0"/>
              <w:right w:val="single" w:color="auto" w:sz="4"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名称</w:t>
            </w:r>
          </w:p>
        </w:tc>
        <w:tc>
          <w:tcPr>
            <w:tcW w:w="7044" w:type="dxa"/>
            <w:gridSpan w:val="5"/>
            <w:tcBorders>
              <w:left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lang w:val="zh-CN"/>
              </w:rPr>
              <w:t>新疆霖鼎工程管理服务有限公司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continue"/>
            <w:vAlign w:val="center"/>
          </w:tcPr>
          <w:p>
            <w:pPr>
              <w:autoSpaceDE w:val="0"/>
              <w:autoSpaceDN w:val="0"/>
              <w:adjustRightInd w:val="0"/>
              <w:snapToGrid w:val="0"/>
              <w:spacing w:line="360" w:lineRule="auto"/>
              <w:jc w:val="center"/>
              <w:rPr>
                <w:rFonts w:ascii="宋体" w:hAnsi="宋体" w:cs="宋体"/>
                <w:b/>
                <w:kern w:val="0"/>
                <w:sz w:val="24"/>
                <w:szCs w:val="24"/>
                <w:highlight w:val="yellow"/>
              </w:rPr>
            </w:pPr>
          </w:p>
        </w:tc>
        <w:tc>
          <w:tcPr>
            <w:tcW w:w="1664" w:type="dxa"/>
            <w:vMerge w:val="continue"/>
            <w:vAlign w:val="center"/>
          </w:tcPr>
          <w:p>
            <w:pPr>
              <w:autoSpaceDE w:val="0"/>
              <w:autoSpaceDN w:val="0"/>
              <w:adjustRightInd w:val="0"/>
              <w:snapToGrid w:val="0"/>
              <w:spacing w:line="360" w:lineRule="auto"/>
              <w:jc w:val="center"/>
              <w:rPr>
                <w:rFonts w:ascii="宋体" w:hAnsi="宋体" w:cs="宋体"/>
                <w:b/>
                <w:kern w:val="0"/>
                <w:sz w:val="24"/>
                <w:szCs w:val="24"/>
                <w:highlight w:val="yellow"/>
              </w:rPr>
            </w:pPr>
          </w:p>
        </w:tc>
        <w:tc>
          <w:tcPr>
            <w:tcW w:w="1293" w:type="dxa"/>
            <w:tcBorders>
              <w:top w:val="single" w:color="auto" w:sz="4" w:space="0"/>
              <w:bottom w:val="single" w:color="auto" w:sz="4" w:space="0"/>
              <w:right w:val="single" w:color="auto" w:sz="4"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联系人</w:t>
            </w:r>
          </w:p>
        </w:tc>
        <w:tc>
          <w:tcPr>
            <w:tcW w:w="265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马丝云、谢培丹</w:t>
            </w:r>
          </w:p>
        </w:tc>
        <w:tc>
          <w:tcPr>
            <w:tcW w:w="188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联系电话</w:t>
            </w:r>
          </w:p>
        </w:tc>
        <w:tc>
          <w:tcPr>
            <w:tcW w:w="2497" w:type="dxa"/>
            <w:tcBorders>
              <w:top w:val="single" w:color="auto" w:sz="4" w:space="0"/>
              <w:left w:val="single" w:color="auto" w:sz="4" w:space="0"/>
              <w:bottom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18399303267</w:t>
            </w:r>
          </w:p>
          <w:p>
            <w:pPr>
              <w:spacing w:line="360" w:lineRule="auto"/>
              <w:jc w:val="center"/>
              <w:rPr>
                <w:rFonts w:ascii="宋体" w:hAnsi="宋体" w:cs="宋体"/>
                <w:sz w:val="24"/>
                <w:szCs w:val="24"/>
              </w:rPr>
            </w:pPr>
            <w:r>
              <w:rPr>
                <w:rFonts w:hint="eastAsia" w:ascii="宋体" w:hAnsi="宋体" w:cs="宋体"/>
                <w:sz w:val="24"/>
                <w:szCs w:val="24"/>
              </w:rPr>
              <w:t>18699399882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532" w:type="dxa"/>
            <w:vMerge w:val="continue"/>
            <w:vAlign w:val="center"/>
          </w:tcPr>
          <w:p>
            <w:pPr>
              <w:autoSpaceDE w:val="0"/>
              <w:autoSpaceDN w:val="0"/>
              <w:adjustRightInd w:val="0"/>
              <w:snapToGrid w:val="0"/>
              <w:spacing w:line="360" w:lineRule="auto"/>
              <w:jc w:val="center"/>
              <w:rPr>
                <w:rFonts w:ascii="宋体" w:hAnsi="宋体" w:cs="宋体"/>
                <w:b/>
                <w:kern w:val="0"/>
                <w:sz w:val="24"/>
                <w:szCs w:val="24"/>
                <w:highlight w:val="yellow"/>
              </w:rPr>
            </w:pPr>
          </w:p>
        </w:tc>
        <w:tc>
          <w:tcPr>
            <w:tcW w:w="1664" w:type="dxa"/>
            <w:vMerge w:val="continue"/>
            <w:vAlign w:val="center"/>
          </w:tcPr>
          <w:p>
            <w:pPr>
              <w:autoSpaceDE w:val="0"/>
              <w:autoSpaceDN w:val="0"/>
              <w:adjustRightInd w:val="0"/>
              <w:snapToGrid w:val="0"/>
              <w:spacing w:line="360" w:lineRule="auto"/>
              <w:jc w:val="center"/>
              <w:rPr>
                <w:rFonts w:ascii="宋体" w:hAnsi="宋体" w:cs="宋体"/>
                <w:b/>
                <w:kern w:val="0"/>
                <w:sz w:val="24"/>
                <w:szCs w:val="24"/>
                <w:highlight w:val="yellow"/>
              </w:rPr>
            </w:pPr>
          </w:p>
        </w:tc>
        <w:tc>
          <w:tcPr>
            <w:tcW w:w="1293" w:type="dxa"/>
            <w:tcBorders>
              <w:top w:val="single" w:color="auto" w:sz="4" w:space="0"/>
              <w:right w:val="single" w:color="auto" w:sz="4"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地址</w:t>
            </w:r>
          </w:p>
        </w:tc>
        <w:tc>
          <w:tcPr>
            <w:tcW w:w="7044" w:type="dxa"/>
            <w:gridSpan w:val="5"/>
            <w:tcBorders>
              <w:top w:val="single" w:color="auto" w:sz="4" w:space="0"/>
              <w:left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新疆伊犁州伊宁市经济合作区313线以西、新华西路以北西城天街A-E#商业楼C405室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4</w:t>
            </w:r>
          </w:p>
        </w:tc>
        <w:tc>
          <w:tcPr>
            <w:tcW w:w="1664"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采购内容</w:t>
            </w:r>
          </w:p>
        </w:tc>
        <w:tc>
          <w:tcPr>
            <w:tcW w:w="8337" w:type="dxa"/>
            <w:gridSpan w:val="6"/>
            <w:vAlign w:val="center"/>
          </w:tcPr>
          <w:p>
            <w:pPr>
              <w:spacing w:line="370" w:lineRule="exact"/>
              <w:rPr>
                <w:rFonts w:ascii="宋体" w:hAnsi="宋体" w:cs="宋体"/>
                <w:sz w:val="24"/>
                <w:szCs w:val="24"/>
              </w:rPr>
            </w:pPr>
            <w:r>
              <w:rPr>
                <w:rFonts w:hint="eastAsia" w:ascii="宋体" w:hAnsi="宋体" w:cs="宋体"/>
                <w:sz w:val="24"/>
                <w:szCs w:val="24"/>
              </w:rPr>
              <w:t>标项一：购买医用分子筛中心制氧系统维保服务2年（具体内容详见采购文件）;标项二：购买医疗废物追溯系统在线维保服务2年（具体内容详见采购文件）;标项三：购买污水在线检测运行维保服务2年（具体内容详见采购文件）;</w:t>
            </w:r>
          </w:p>
          <w:p>
            <w:pPr>
              <w:spacing w:line="370" w:lineRule="exact"/>
              <w:rPr>
                <w:rFonts w:ascii="宋体" w:hAnsi="宋体" w:cs="宋体"/>
                <w:sz w:val="24"/>
                <w:szCs w:val="24"/>
              </w:rPr>
            </w:pPr>
            <w:r>
              <w:rPr>
                <w:rFonts w:hint="eastAsia" w:ascii="宋体" w:hAnsi="宋体" w:cs="宋体"/>
                <w:sz w:val="24"/>
                <w:szCs w:val="24"/>
              </w:rPr>
              <w:t>标项四：购买消防设施维保及检测服务2年（具体内容详见采购文件）;</w:t>
            </w:r>
          </w:p>
          <w:p>
            <w:pPr>
              <w:spacing w:line="370" w:lineRule="exact"/>
              <w:rPr>
                <w:rFonts w:ascii="宋体" w:hAnsi="宋体" w:cs="宋体"/>
                <w:sz w:val="24"/>
                <w:szCs w:val="24"/>
              </w:rPr>
            </w:pPr>
            <w:r>
              <w:rPr>
                <w:rFonts w:hint="eastAsia" w:ascii="宋体" w:hAnsi="宋体" w:cs="宋体"/>
                <w:sz w:val="24"/>
                <w:szCs w:val="24"/>
              </w:rPr>
              <w:t>标项五：购买太阳能维保服务2年（具体内容详见采购文件）;</w:t>
            </w:r>
          </w:p>
          <w:p>
            <w:pPr>
              <w:pStyle w:val="25"/>
              <w:spacing w:before="60" w:beforeAutospacing="0" w:after="60" w:afterAutospacing="0" w:line="240" w:lineRule="atLeast"/>
            </w:pPr>
            <w:r>
              <w:rPr>
                <w:rFonts w:hint="eastAsia"/>
              </w:rPr>
              <w:t>标项六：</w:t>
            </w:r>
            <w:r>
              <w:rPr>
                <w:rFonts w:hint="eastAsia"/>
                <w:kern w:val="2"/>
              </w:rPr>
              <w:t>购买监控维保服务2年（具体内容详见采购文件）</w:t>
            </w:r>
            <w:r>
              <w:rPr>
                <w:rFonts w:hint="eastAsia"/>
              </w:rPr>
              <w:t>;</w:t>
            </w:r>
          </w:p>
          <w:p>
            <w:pPr>
              <w:spacing w:line="370" w:lineRule="exact"/>
              <w:rPr>
                <w:rFonts w:ascii="宋体" w:hAnsi="宋体" w:cs="宋体"/>
                <w:sz w:val="24"/>
                <w:szCs w:val="24"/>
              </w:rPr>
            </w:pPr>
            <w:r>
              <w:rPr>
                <w:rFonts w:hint="eastAsia" w:ascii="宋体" w:hAnsi="宋体" w:cs="宋体"/>
                <w:sz w:val="24"/>
                <w:szCs w:val="24"/>
              </w:rPr>
              <w:t>标项七：购买电梯维保服务2年（具体内容详见采购文件）;</w:t>
            </w:r>
          </w:p>
          <w:p>
            <w:pPr>
              <w:spacing w:line="370" w:lineRule="exact"/>
              <w:rPr>
                <w:rFonts w:ascii="宋体" w:hAnsi="宋体" w:cs="宋体"/>
                <w:sz w:val="24"/>
                <w:szCs w:val="24"/>
              </w:rPr>
            </w:pPr>
            <w:r>
              <w:rPr>
                <w:rFonts w:hint="eastAsia" w:ascii="宋体" w:hAnsi="宋体" w:cs="宋体"/>
                <w:sz w:val="24"/>
                <w:szCs w:val="24"/>
              </w:rPr>
              <w:t>标项八：购买智慧电气火灾云监控系统维保服务2年（具体内容详见采购文件）;</w:t>
            </w:r>
          </w:p>
          <w:p>
            <w:pPr>
              <w:spacing w:line="370" w:lineRule="exact"/>
              <w:rPr>
                <w:rFonts w:ascii="宋体" w:hAnsi="宋体" w:cs="宋体"/>
                <w:b/>
                <w:sz w:val="24"/>
                <w:szCs w:val="24"/>
                <w:highlight w:val="yellow"/>
              </w:rPr>
            </w:pPr>
            <w:r>
              <w:rPr>
                <w:rFonts w:hint="eastAsia" w:ascii="宋体" w:hAnsi="宋体" w:cs="宋体"/>
                <w:sz w:val="24"/>
                <w:szCs w:val="24"/>
              </w:rPr>
              <w:t>标项九：购买层流设备、负压产房病房、中央空调维保服务及发热门诊新风机组通风换气设备更换、住院楼层流机组维修服务2年（具体内容详见采购文件）。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532" w:type="dxa"/>
            <w:vMerge w:val="restart"/>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5</w:t>
            </w:r>
          </w:p>
        </w:tc>
        <w:tc>
          <w:tcPr>
            <w:tcW w:w="1664" w:type="dxa"/>
            <w:vMerge w:val="restart"/>
            <w:vAlign w:val="center"/>
          </w:tcPr>
          <w:p>
            <w:pPr>
              <w:widowControl/>
              <w:adjustRightInd w:val="0"/>
              <w:snapToGrid w:val="0"/>
              <w:spacing w:before="100" w:beforeAutospacing="1" w:after="100" w:afterAutospacing="1" w:line="360" w:lineRule="auto"/>
              <w:jc w:val="center"/>
              <w:rPr>
                <w:rFonts w:ascii="宋体" w:hAnsi="宋体" w:cs="宋体"/>
                <w:b/>
                <w:kern w:val="0"/>
                <w:sz w:val="24"/>
                <w:szCs w:val="24"/>
              </w:rPr>
            </w:pPr>
            <w:r>
              <w:rPr>
                <w:rFonts w:hint="eastAsia" w:ascii="宋体" w:hAnsi="宋体" w:cs="宋体"/>
                <w:b/>
                <w:kern w:val="0"/>
                <w:sz w:val="24"/>
                <w:szCs w:val="24"/>
              </w:rPr>
              <w:t>采购预算金额</w:t>
            </w:r>
          </w:p>
        </w:tc>
        <w:tc>
          <w:tcPr>
            <w:tcW w:w="4137" w:type="dxa"/>
            <w:gridSpan w:val="4"/>
            <w:tcBorders>
              <w:bottom w:val="single" w:color="auto" w:sz="4" w:space="0"/>
              <w:right w:val="single" w:color="auto" w:sz="4" w:space="0"/>
            </w:tcBorders>
            <w:vAlign w:val="center"/>
          </w:tcPr>
          <w:p>
            <w:pPr>
              <w:spacing w:line="370" w:lineRule="exact"/>
              <w:rPr>
                <w:rFonts w:ascii="宋体" w:hAnsi="宋体" w:cs="宋体"/>
                <w:sz w:val="24"/>
                <w:szCs w:val="24"/>
              </w:rPr>
            </w:pPr>
            <w:r>
              <w:rPr>
                <w:rFonts w:hint="eastAsia" w:ascii="宋体" w:hAnsi="宋体" w:cs="宋体"/>
                <w:sz w:val="24"/>
                <w:szCs w:val="24"/>
              </w:rPr>
              <w:t>标项一：250000.00元、</w:t>
            </w:r>
          </w:p>
          <w:p>
            <w:pPr>
              <w:spacing w:line="370" w:lineRule="exact"/>
              <w:rPr>
                <w:rFonts w:ascii="宋体" w:hAnsi="宋体" w:cs="宋体"/>
                <w:sz w:val="24"/>
                <w:szCs w:val="24"/>
              </w:rPr>
            </w:pPr>
            <w:r>
              <w:rPr>
                <w:rFonts w:hint="eastAsia" w:ascii="宋体" w:hAnsi="宋体" w:cs="宋体"/>
                <w:sz w:val="24"/>
                <w:szCs w:val="24"/>
              </w:rPr>
              <w:t>标项二：200000.00元、</w:t>
            </w:r>
          </w:p>
          <w:p>
            <w:pPr>
              <w:spacing w:line="370" w:lineRule="exact"/>
              <w:rPr>
                <w:rFonts w:ascii="宋体" w:hAnsi="宋体" w:cs="宋体"/>
                <w:sz w:val="24"/>
                <w:szCs w:val="24"/>
              </w:rPr>
            </w:pPr>
            <w:r>
              <w:rPr>
                <w:rFonts w:hint="eastAsia" w:ascii="宋体" w:hAnsi="宋体" w:cs="宋体"/>
                <w:sz w:val="24"/>
                <w:szCs w:val="24"/>
              </w:rPr>
              <w:t>标项三：250000.00元、</w:t>
            </w:r>
          </w:p>
          <w:p>
            <w:pPr>
              <w:spacing w:line="370" w:lineRule="exact"/>
              <w:rPr>
                <w:rFonts w:ascii="宋体" w:hAnsi="宋体" w:cs="宋体"/>
                <w:sz w:val="24"/>
                <w:szCs w:val="24"/>
              </w:rPr>
            </w:pPr>
            <w:r>
              <w:rPr>
                <w:rFonts w:hint="eastAsia" w:ascii="宋体" w:hAnsi="宋体" w:cs="宋体"/>
                <w:sz w:val="24"/>
                <w:szCs w:val="24"/>
              </w:rPr>
              <w:t>标项四：270000.00元、</w:t>
            </w:r>
          </w:p>
          <w:p>
            <w:pPr>
              <w:spacing w:line="370" w:lineRule="exact"/>
              <w:rPr>
                <w:rFonts w:ascii="宋体" w:hAnsi="宋体" w:cs="宋体"/>
                <w:sz w:val="24"/>
                <w:szCs w:val="24"/>
              </w:rPr>
            </w:pPr>
            <w:r>
              <w:rPr>
                <w:rFonts w:hint="eastAsia" w:ascii="宋体" w:hAnsi="宋体" w:cs="宋体"/>
                <w:sz w:val="24"/>
                <w:szCs w:val="24"/>
              </w:rPr>
              <w:t>标项五：250000.00元、</w:t>
            </w:r>
          </w:p>
          <w:p>
            <w:pPr>
              <w:spacing w:line="370" w:lineRule="exact"/>
              <w:rPr>
                <w:rFonts w:ascii="宋体" w:hAnsi="宋体" w:cs="宋体"/>
                <w:sz w:val="24"/>
                <w:szCs w:val="24"/>
              </w:rPr>
            </w:pPr>
            <w:r>
              <w:rPr>
                <w:rFonts w:hint="eastAsia" w:ascii="宋体" w:hAnsi="宋体" w:cs="宋体"/>
                <w:sz w:val="24"/>
                <w:szCs w:val="24"/>
              </w:rPr>
              <w:t>标项六：80000.00元、</w:t>
            </w:r>
          </w:p>
          <w:p>
            <w:pPr>
              <w:spacing w:line="370" w:lineRule="exact"/>
              <w:rPr>
                <w:rFonts w:ascii="宋体" w:hAnsi="宋体" w:cs="宋体"/>
                <w:sz w:val="24"/>
                <w:szCs w:val="24"/>
              </w:rPr>
            </w:pPr>
            <w:r>
              <w:rPr>
                <w:rFonts w:hint="eastAsia" w:ascii="宋体" w:hAnsi="宋体" w:cs="宋体"/>
                <w:sz w:val="24"/>
                <w:szCs w:val="24"/>
              </w:rPr>
              <w:t>标项七：85000.00元、</w:t>
            </w:r>
          </w:p>
          <w:p>
            <w:pPr>
              <w:spacing w:line="370" w:lineRule="exact"/>
              <w:rPr>
                <w:rFonts w:ascii="宋体" w:hAnsi="宋体" w:cs="宋体"/>
                <w:sz w:val="24"/>
                <w:szCs w:val="24"/>
              </w:rPr>
            </w:pPr>
            <w:r>
              <w:rPr>
                <w:rFonts w:hint="eastAsia" w:ascii="宋体" w:hAnsi="宋体" w:cs="宋体"/>
                <w:sz w:val="24"/>
                <w:szCs w:val="24"/>
              </w:rPr>
              <w:t>标项八：45000.00元、</w:t>
            </w:r>
          </w:p>
          <w:p>
            <w:pPr>
              <w:spacing w:line="370" w:lineRule="exact"/>
              <w:rPr>
                <w:rFonts w:ascii="宋体" w:hAnsi="宋体" w:cs="宋体"/>
                <w:kern w:val="0"/>
                <w:sz w:val="24"/>
                <w:szCs w:val="24"/>
              </w:rPr>
            </w:pPr>
            <w:r>
              <w:rPr>
                <w:rFonts w:hint="eastAsia" w:ascii="宋体" w:hAnsi="宋体" w:cs="宋体"/>
                <w:sz w:val="24"/>
                <w:szCs w:val="24"/>
              </w:rPr>
              <w:t>标项九：1060000.00元</w:t>
            </w:r>
          </w:p>
        </w:tc>
        <w:tc>
          <w:tcPr>
            <w:tcW w:w="4200" w:type="dxa"/>
            <w:gridSpan w:val="2"/>
            <w:tcBorders>
              <w:left w:val="single" w:color="auto" w:sz="4" w:space="0"/>
              <w:bottom w:val="single" w:color="auto" w:sz="4" w:space="0"/>
            </w:tcBorders>
            <w:vAlign w:val="center"/>
          </w:tcPr>
          <w:p>
            <w:pPr>
              <w:spacing w:line="370" w:lineRule="exact"/>
              <w:rPr>
                <w:rFonts w:ascii="宋体" w:hAnsi="宋体" w:cs="宋体"/>
                <w:sz w:val="24"/>
                <w:szCs w:val="24"/>
              </w:rPr>
            </w:pPr>
            <w:r>
              <w:rPr>
                <w:rFonts w:hint="eastAsia" w:ascii="宋体" w:hAnsi="宋体" w:cs="宋体"/>
                <w:sz w:val="24"/>
                <w:szCs w:val="24"/>
              </w:rPr>
              <w:t>标项一：贰拾伍万元整、</w:t>
            </w:r>
          </w:p>
          <w:p>
            <w:pPr>
              <w:spacing w:line="370" w:lineRule="exact"/>
              <w:rPr>
                <w:rFonts w:ascii="宋体" w:hAnsi="宋体" w:cs="宋体"/>
                <w:sz w:val="24"/>
                <w:szCs w:val="24"/>
              </w:rPr>
            </w:pPr>
            <w:r>
              <w:rPr>
                <w:rFonts w:hint="eastAsia" w:ascii="宋体" w:hAnsi="宋体" w:cs="宋体"/>
                <w:sz w:val="24"/>
                <w:szCs w:val="24"/>
              </w:rPr>
              <w:t>标项二：贰拾万元整、</w:t>
            </w:r>
          </w:p>
          <w:p>
            <w:pPr>
              <w:spacing w:line="370" w:lineRule="exact"/>
              <w:rPr>
                <w:rFonts w:ascii="宋体" w:hAnsi="宋体" w:cs="宋体"/>
                <w:sz w:val="24"/>
                <w:szCs w:val="24"/>
              </w:rPr>
            </w:pPr>
            <w:r>
              <w:rPr>
                <w:rFonts w:hint="eastAsia" w:ascii="宋体" w:hAnsi="宋体" w:cs="宋体"/>
                <w:sz w:val="24"/>
                <w:szCs w:val="24"/>
              </w:rPr>
              <w:t>标项三：贰拾伍万元整、</w:t>
            </w:r>
          </w:p>
          <w:p>
            <w:pPr>
              <w:spacing w:line="370" w:lineRule="exact"/>
              <w:rPr>
                <w:rFonts w:ascii="宋体" w:hAnsi="宋体" w:cs="宋体"/>
                <w:sz w:val="24"/>
                <w:szCs w:val="24"/>
              </w:rPr>
            </w:pPr>
            <w:r>
              <w:rPr>
                <w:rFonts w:hint="eastAsia" w:ascii="宋体" w:hAnsi="宋体" w:cs="宋体"/>
                <w:sz w:val="24"/>
                <w:szCs w:val="24"/>
              </w:rPr>
              <w:t>标项四：贰拾柒万元整、</w:t>
            </w:r>
          </w:p>
          <w:p>
            <w:pPr>
              <w:spacing w:line="370" w:lineRule="exact"/>
              <w:rPr>
                <w:rFonts w:ascii="宋体" w:hAnsi="宋体" w:cs="宋体"/>
                <w:sz w:val="24"/>
                <w:szCs w:val="24"/>
              </w:rPr>
            </w:pPr>
            <w:r>
              <w:rPr>
                <w:rFonts w:hint="eastAsia" w:ascii="宋体" w:hAnsi="宋体" w:cs="宋体"/>
                <w:sz w:val="24"/>
                <w:szCs w:val="24"/>
              </w:rPr>
              <w:t>标项五：贰拾伍万元整、</w:t>
            </w:r>
          </w:p>
          <w:p>
            <w:pPr>
              <w:spacing w:line="370" w:lineRule="exact"/>
              <w:rPr>
                <w:rFonts w:ascii="宋体" w:hAnsi="宋体" w:cs="宋体"/>
                <w:sz w:val="24"/>
                <w:szCs w:val="24"/>
              </w:rPr>
            </w:pPr>
            <w:r>
              <w:rPr>
                <w:rFonts w:hint="eastAsia" w:ascii="宋体" w:hAnsi="宋体" w:cs="宋体"/>
                <w:sz w:val="24"/>
                <w:szCs w:val="24"/>
              </w:rPr>
              <w:t>标项六：捌万元整、</w:t>
            </w:r>
          </w:p>
          <w:p>
            <w:pPr>
              <w:spacing w:line="370" w:lineRule="exact"/>
              <w:rPr>
                <w:rFonts w:ascii="宋体" w:hAnsi="宋体" w:cs="宋体"/>
                <w:sz w:val="24"/>
                <w:szCs w:val="24"/>
              </w:rPr>
            </w:pPr>
            <w:r>
              <w:rPr>
                <w:rFonts w:hint="eastAsia" w:ascii="宋体" w:hAnsi="宋体" w:cs="宋体"/>
                <w:sz w:val="24"/>
                <w:szCs w:val="24"/>
              </w:rPr>
              <w:t>标项七：捌万伍仟元整、</w:t>
            </w:r>
          </w:p>
          <w:p>
            <w:pPr>
              <w:spacing w:line="370" w:lineRule="exact"/>
              <w:rPr>
                <w:rFonts w:ascii="宋体" w:hAnsi="宋体" w:cs="宋体"/>
                <w:sz w:val="24"/>
                <w:szCs w:val="24"/>
              </w:rPr>
            </w:pPr>
            <w:r>
              <w:rPr>
                <w:rFonts w:hint="eastAsia" w:ascii="宋体" w:hAnsi="宋体" w:cs="宋体"/>
                <w:sz w:val="24"/>
                <w:szCs w:val="24"/>
              </w:rPr>
              <w:t>标项八：肆万伍仟元整、</w:t>
            </w:r>
          </w:p>
          <w:p>
            <w:pPr>
              <w:spacing w:line="370" w:lineRule="exact"/>
              <w:rPr>
                <w:rFonts w:ascii="宋体" w:hAnsi="宋体" w:cs="宋体"/>
                <w:kern w:val="0"/>
                <w:sz w:val="24"/>
                <w:szCs w:val="24"/>
              </w:rPr>
            </w:pPr>
            <w:r>
              <w:rPr>
                <w:rFonts w:hint="eastAsia" w:ascii="宋体" w:hAnsi="宋体" w:cs="宋体"/>
                <w:sz w:val="24"/>
                <w:szCs w:val="24"/>
              </w:rPr>
              <w:t>标项九：壹佰零陆万元整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532" w:type="dxa"/>
            <w:vMerge w:val="continue"/>
            <w:vAlign w:val="center"/>
          </w:tcPr>
          <w:p>
            <w:pPr>
              <w:autoSpaceDE w:val="0"/>
              <w:autoSpaceDN w:val="0"/>
              <w:adjustRightInd w:val="0"/>
              <w:snapToGrid w:val="0"/>
              <w:spacing w:line="360" w:lineRule="auto"/>
              <w:jc w:val="center"/>
              <w:rPr>
                <w:rFonts w:ascii="宋体" w:hAnsi="宋体" w:cs="宋体"/>
                <w:b/>
                <w:kern w:val="0"/>
                <w:sz w:val="24"/>
                <w:szCs w:val="24"/>
                <w:highlight w:val="yellow"/>
              </w:rPr>
            </w:pPr>
          </w:p>
        </w:tc>
        <w:tc>
          <w:tcPr>
            <w:tcW w:w="1664" w:type="dxa"/>
            <w:vMerge w:val="continue"/>
            <w:vAlign w:val="center"/>
          </w:tcPr>
          <w:p>
            <w:pPr>
              <w:widowControl/>
              <w:adjustRightInd w:val="0"/>
              <w:snapToGrid w:val="0"/>
              <w:spacing w:before="100" w:beforeAutospacing="1" w:after="100" w:afterAutospacing="1" w:line="360" w:lineRule="auto"/>
              <w:jc w:val="center"/>
              <w:rPr>
                <w:rFonts w:ascii="宋体" w:hAnsi="宋体" w:cs="宋体"/>
                <w:b/>
                <w:kern w:val="0"/>
                <w:sz w:val="24"/>
                <w:szCs w:val="24"/>
                <w:highlight w:val="yellow"/>
              </w:rPr>
            </w:pPr>
          </w:p>
        </w:tc>
        <w:tc>
          <w:tcPr>
            <w:tcW w:w="8337" w:type="dxa"/>
            <w:gridSpan w:val="6"/>
            <w:tcBorders>
              <w:top w:val="single" w:color="auto" w:sz="4" w:space="0"/>
            </w:tcBorders>
            <w:vAlign w:val="center"/>
          </w:tcPr>
          <w:p>
            <w:pPr>
              <w:adjustRightInd w:val="0"/>
              <w:snapToGrid w:val="0"/>
              <w:spacing w:before="100" w:beforeAutospacing="1" w:after="100" w:afterAutospacing="1" w:line="360" w:lineRule="auto"/>
              <w:jc w:val="left"/>
              <w:rPr>
                <w:rFonts w:ascii="宋体" w:hAnsi="宋体" w:cs="宋体"/>
                <w:sz w:val="24"/>
                <w:szCs w:val="24"/>
                <w:highlight w:val="yellow"/>
              </w:rPr>
            </w:pPr>
            <w:r>
              <w:rPr>
                <w:rFonts w:hint="eastAsia" w:ascii="宋体" w:hAnsi="宋体" w:cs="宋体"/>
                <w:sz w:val="24"/>
                <w:szCs w:val="24"/>
              </w:rPr>
              <w:t>各投标人的投标总报价不得高于采购预算，否则将否决其投标。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6</w:t>
            </w:r>
          </w:p>
        </w:tc>
        <w:tc>
          <w:tcPr>
            <w:tcW w:w="1664" w:type="dxa"/>
            <w:vAlign w:val="center"/>
          </w:tcPr>
          <w:p>
            <w:pPr>
              <w:autoSpaceDE w:val="0"/>
              <w:autoSpaceDN w:val="0"/>
              <w:adjustRightInd w:val="0"/>
              <w:snapToGrid w:val="0"/>
              <w:spacing w:line="360" w:lineRule="auto"/>
              <w:jc w:val="center"/>
              <w:rPr>
                <w:rFonts w:ascii="宋体" w:hAnsi="宋体" w:cs="宋体"/>
                <w:b/>
                <w:kern w:val="0"/>
                <w:sz w:val="24"/>
                <w:szCs w:val="24"/>
                <w:shd w:val="clear" w:color="auto" w:fill="FFFFFF"/>
              </w:rPr>
            </w:pPr>
            <w:r>
              <w:rPr>
                <w:rFonts w:hint="eastAsia" w:ascii="宋体" w:hAnsi="宋体" w:cs="宋体"/>
                <w:b/>
                <w:kern w:val="0"/>
                <w:sz w:val="24"/>
                <w:szCs w:val="24"/>
                <w:shd w:val="clear" w:color="auto" w:fill="FFFFFF"/>
              </w:rPr>
              <w:t>资金来源</w:t>
            </w:r>
          </w:p>
        </w:tc>
        <w:tc>
          <w:tcPr>
            <w:tcW w:w="8337" w:type="dxa"/>
            <w:gridSpan w:val="6"/>
            <w:vAlign w:val="center"/>
          </w:tcPr>
          <w:p>
            <w:pPr>
              <w:tabs>
                <w:tab w:val="left" w:pos="4980"/>
                <w:tab w:val="right" w:pos="9000"/>
              </w:tabs>
              <w:spacing w:line="360" w:lineRule="auto"/>
              <w:jc w:val="left"/>
              <w:rPr>
                <w:rFonts w:ascii="宋体" w:hAnsi="宋体" w:cs="宋体"/>
                <w:b/>
                <w:bCs/>
                <w:sz w:val="24"/>
                <w:szCs w:val="24"/>
              </w:rPr>
            </w:pPr>
            <w:r>
              <w:rPr>
                <w:rFonts w:hint="eastAsia" w:ascii="宋体" w:hAnsi="宋体" w:cs="宋体"/>
                <w:sz w:val="24"/>
                <w:szCs w:val="24"/>
              </w:rPr>
              <w:t>单位自筹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7</w:t>
            </w:r>
          </w:p>
        </w:tc>
        <w:tc>
          <w:tcPr>
            <w:tcW w:w="1664" w:type="dxa"/>
            <w:vAlign w:val="center"/>
          </w:tcPr>
          <w:p>
            <w:pPr>
              <w:autoSpaceDE w:val="0"/>
              <w:autoSpaceDN w:val="0"/>
              <w:adjustRightInd w:val="0"/>
              <w:snapToGrid w:val="0"/>
              <w:spacing w:line="360" w:lineRule="auto"/>
              <w:jc w:val="center"/>
              <w:rPr>
                <w:rFonts w:ascii="宋体" w:hAnsi="宋体" w:cs="宋体"/>
                <w:b/>
                <w:kern w:val="0"/>
                <w:sz w:val="24"/>
                <w:szCs w:val="24"/>
                <w:shd w:val="clear" w:color="auto" w:fill="FFFFFF"/>
              </w:rPr>
            </w:pPr>
            <w:r>
              <w:rPr>
                <w:rFonts w:hint="eastAsia" w:ascii="宋体" w:hAnsi="宋体" w:cs="宋体"/>
                <w:b/>
                <w:kern w:val="0"/>
                <w:sz w:val="24"/>
                <w:szCs w:val="24"/>
                <w:shd w:val="clear" w:color="auto" w:fill="FFFFFF"/>
              </w:rPr>
              <w:t>采购方式</w:t>
            </w:r>
          </w:p>
        </w:tc>
        <w:tc>
          <w:tcPr>
            <w:tcW w:w="8337" w:type="dxa"/>
            <w:gridSpan w:val="6"/>
            <w:vAlign w:val="center"/>
          </w:tcPr>
          <w:p>
            <w:pPr>
              <w:tabs>
                <w:tab w:val="left" w:pos="4980"/>
                <w:tab w:val="right" w:pos="9000"/>
              </w:tabs>
              <w:spacing w:line="360" w:lineRule="auto"/>
              <w:jc w:val="left"/>
              <w:rPr>
                <w:rFonts w:ascii="宋体" w:hAnsi="宋体" w:cs="宋体"/>
                <w:b/>
                <w:bCs/>
                <w:sz w:val="24"/>
                <w:szCs w:val="24"/>
              </w:rPr>
            </w:pPr>
            <w:r>
              <w:rPr>
                <w:rFonts w:hint="eastAsia" w:ascii="宋体" w:hAnsi="宋体" w:cs="宋体"/>
                <w:b/>
                <w:bCs/>
                <w:sz w:val="24"/>
                <w:szCs w:val="24"/>
              </w:rPr>
              <w:t>公开招标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8</w:t>
            </w:r>
          </w:p>
        </w:tc>
        <w:tc>
          <w:tcPr>
            <w:tcW w:w="1664"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shd w:val="clear" w:color="auto" w:fill="FFFFFF"/>
              </w:rPr>
              <w:t>合同履行期限</w:t>
            </w:r>
          </w:p>
        </w:tc>
        <w:tc>
          <w:tcPr>
            <w:tcW w:w="8337" w:type="dxa"/>
            <w:gridSpan w:val="6"/>
            <w:vAlign w:val="center"/>
          </w:tcPr>
          <w:p>
            <w:pPr>
              <w:tabs>
                <w:tab w:val="left" w:pos="4980"/>
                <w:tab w:val="right" w:pos="9000"/>
              </w:tabs>
              <w:spacing w:line="360" w:lineRule="auto"/>
              <w:jc w:val="left"/>
              <w:rPr>
                <w:rFonts w:ascii="宋体" w:hAnsi="宋体" w:cs="宋体"/>
                <w:b/>
                <w:bCs/>
                <w:sz w:val="24"/>
                <w:szCs w:val="24"/>
              </w:rPr>
            </w:pPr>
            <w:r>
              <w:rPr>
                <w:rFonts w:hint="eastAsia" w:ascii="宋体" w:hAnsi="宋体" w:cs="宋体"/>
                <w:b/>
                <w:bCs/>
                <w:sz w:val="24"/>
                <w:szCs w:val="24"/>
              </w:rPr>
              <w:t>2年。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9</w:t>
            </w:r>
          </w:p>
        </w:tc>
        <w:tc>
          <w:tcPr>
            <w:tcW w:w="1664"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服务地点</w:t>
            </w:r>
          </w:p>
        </w:tc>
        <w:tc>
          <w:tcPr>
            <w:tcW w:w="8337" w:type="dxa"/>
            <w:gridSpan w:val="6"/>
            <w:vAlign w:val="center"/>
          </w:tcPr>
          <w:p>
            <w:pPr>
              <w:spacing w:line="360" w:lineRule="auto"/>
              <w:jc w:val="left"/>
              <w:rPr>
                <w:rFonts w:ascii="宋体" w:hAnsi="宋体" w:cs="宋体"/>
                <w:sz w:val="24"/>
                <w:szCs w:val="24"/>
              </w:rPr>
            </w:pPr>
            <w:r>
              <w:rPr>
                <w:rFonts w:hint="eastAsia" w:ascii="宋体" w:hAnsi="宋体" w:cs="宋体"/>
                <w:sz w:val="24"/>
                <w:szCs w:val="24"/>
              </w:rPr>
              <w:t>采购人指定地点。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10</w:t>
            </w:r>
          </w:p>
        </w:tc>
        <w:tc>
          <w:tcPr>
            <w:tcW w:w="1664"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付款方式</w:t>
            </w:r>
          </w:p>
        </w:tc>
        <w:tc>
          <w:tcPr>
            <w:tcW w:w="8337" w:type="dxa"/>
            <w:gridSpan w:val="6"/>
            <w:vAlign w:val="center"/>
          </w:tcPr>
          <w:p>
            <w:pPr>
              <w:spacing w:line="4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自筹集中支付。按年度服务周期付款，</w:t>
            </w:r>
            <w:r>
              <w:rPr>
                <w:rFonts w:hint="eastAsia" w:asciiTheme="minorEastAsia" w:hAnsiTheme="minorEastAsia" w:eastAsiaTheme="minorEastAsia"/>
                <w:sz w:val="24"/>
                <w:szCs w:val="24"/>
              </w:rPr>
              <w:t>满6个月验收合格后付年度服务周期60%的款项；</w:t>
            </w:r>
            <w:r>
              <w:rPr>
                <w:rFonts w:hint="eastAsia" w:cs="宋体" w:asciiTheme="minorEastAsia" w:hAnsiTheme="minorEastAsia" w:eastAsiaTheme="minorEastAsia"/>
                <w:sz w:val="24"/>
                <w:szCs w:val="24"/>
              </w:rPr>
              <w:t>年度维保服务期结束验收合格及相关上级部门督查未发现问题，付年度服务周期40%的款项。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11</w:t>
            </w:r>
          </w:p>
        </w:tc>
        <w:tc>
          <w:tcPr>
            <w:tcW w:w="1664"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售后要求</w:t>
            </w:r>
          </w:p>
        </w:tc>
        <w:tc>
          <w:tcPr>
            <w:tcW w:w="8337" w:type="dxa"/>
            <w:gridSpan w:val="6"/>
            <w:vAlign w:val="center"/>
          </w:tcPr>
          <w:p>
            <w:pPr>
              <w:widowControl/>
              <w:spacing w:line="360" w:lineRule="auto"/>
              <w:ind w:hanging="10"/>
              <w:jc w:val="left"/>
              <w:textAlignment w:val="center"/>
              <w:rPr>
                <w:rFonts w:ascii="宋体" w:hAnsi="宋体" w:cs="宋体"/>
                <w:b/>
                <w:sz w:val="24"/>
                <w:szCs w:val="24"/>
              </w:rPr>
            </w:pPr>
            <w:r>
              <w:rPr>
                <w:rFonts w:hint="eastAsia" w:ascii="宋体" w:hAnsi="宋体" w:cs="宋体"/>
                <w:b/>
                <w:sz w:val="24"/>
                <w:szCs w:val="24"/>
              </w:rPr>
              <w:t>具体详见第五章采购需求。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12</w:t>
            </w:r>
          </w:p>
        </w:tc>
        <w:tc>
          <w:tcPr>
            <w:tcW w:w="1664"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投标人资格</w:t>
            </w:r>
          </w:p>
        </w:tc>
        <w:tc>
          <w:tcPr>
            <w:tcW w:w="8337" w:type="dxa"/>
            <w:gridSpan w:val="6"/>
            <w:vAlign w:val="center"/>
          </w:tcPr>
          <w:p>
            <w:pPr>
              <w:spacing w:line="360" w:lineRule="auto"/>
              <w:rPr>
                <w:rFonts w:ascii="宋体" w:hAnsi="宋体" w:cs="宋体"/>
                <w:sz w:val="24"/>
                <w:szCs w:val="24"/>
              </w:rPr>
            </w:pPr>
            <w:r>
              <w:rPr>
                <w:rFonts w:hint="eastAsia" w:ascii="宋体" w:hAnsi="宋体" w:cs="宋体"/>
                <w:sz w:val="24"/>
                <w:szCs w:val="24"/>
              </w:rPr>
              <w:t>详见第一章 采购公告，第二条申请人的资格要求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29"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p>
        </w:tc>
        <w:tc>
          <w:tcPr>
            <w:tcW w:w="1664" w:type="dxa"/>
            <w:vAlign w:val="center"/>
          </w:tcPr>
          <w:p>
            <w:pPr>
              <w:autoSpaceDE w:val="0"/>
              <w:autoSpaceDN w:val="0"/>
              <w:adjustRightInd w:val="0"/>
              <w:snapToGrid w:val="0"/>
              <w:spacing w:line="360" w:lineRule="auto"/>
              <w:jc w:val="center"/>
              <w:rPr>
                <w:rFonts w:ascii="宋体" w:hAnsi="宋体" w:cs="宋体"/>
                <w:b/>
                <w:kern w:val="0"/>
                <w:sz w:val="24"/>
                <w:szCs w:val="24"/>
              </w:rPr>
            </w:pPr>
          </w:p>
        </w:tc>
        <w:tc>
          <w:tcPr>
            <w:tcW w:w="8337" w:type="dxa"/>
            <w:gridSpan w:val="6"/>
            <w:tcBorders>
              <w:top w:val="single" w:color="auto" w:sz="4" w:space="0"/>
            </w:tcBorders>
            <w:vAlign w:val="center"/>
          </w:tcPr>
          <w:p>
            <w:pPr>
              <w:snapToGrid w:val="0"/>
              <w:spacing w:line="360" w:lineRule="auto"/>
              <w:rPr>
                <w:rFonts w:ascii="宋体" w:hAnsi="宋体" w:cs="宋体"/>
                <w:bCs/>
                <w:sz w:val="24"/>
                <w:szCs w:val="24"/>
              </w:rPr>
            </w:pPr>
            <w:r>
              <w:rPr>
                <w:rFonts w:hint="eastAsia" w:ascii="宋体" w:hAnsi="宋体" w:cs="宋体"/>
                <w:sz w:val="24"/>
                <w:szCs w:val="24"/>
              </w:rPr>
              <w:t>投标保证金的金额：</w:t>
            </w:r>
            <w:r>
              <w:rPr>
                <w:rFonts w:hint="eastAsia" w:ascii="宋体" w:hAnsi="宋体" w:cs="宋体"/>
                <w:bCs/>
                <w:sz w:val="24"/>
                <w:szCs w:val="24"/>
              </w:rPr>
              <w:t>标项一：4000.00元人民币（肆仟元整）、</w:t>
            </w:r>
          </w:p>
          <w:p>
            <w:pPr>
              <w:snapToGrid w:val="0"/>
              <w:spacing w:line="360" w:lineRule="auto"/>
              <w:rPr>
                <w:rFonts w:ascii="宋体" w:hAnsi="宋体" w:cs="宋体"/>
                <w:bCs/>
                <w:sz w:val="24"/>
                <w:szCs w:val="24"/>
              </w:rPr>
            </w:pPr>
            <w:r>
              <w:rPr>
                <w:rFonts w:hint="eastAsia" w:ascii="宋体" w:hAnsi="宋体" w:cs="宋体"/>
                <w:bCs/>
                <w:sz w:val="24"/>
                <w:szCs w:val="24"/>
              </w:rPr>
              <w:t>标项二：3000.00元人民币（叁仟元整）、</w:t>
            </w:r>
          </w:p>
          <w:p>
            <w:pPr>
              <w:snapToGrid w:val="0"/>
              <w:spacing w:line="360" w:lineRule="auto"/>
              <w:rPr>
                <w:rFonts w:ascii="宋体" w:hAnsi="宋体" w:cs="宋体"/>
                <w:bCs/>
                <w:sz w:val="24"/>
                <w:szCs w:val="24"/>
              </w:rPr>
            </w:pPr>
            <w:r>
              <w:rPr>
                <w:rFonts w:hint="eastAsia" w:ascii="宋体" w:hAnsi="宋体" w:cs="宋体"/>
                <w:bCs/>
                <w:sz w:val="24"/>
                <w:szCs w:val="24"/>
              </w:rPr>
              <w:t>标项三：4000.00元人民币（肆仟元整）、</w:t>
            </w:r>
          </w:p>
          <w:p>
            <w:pPr>
              <w:snapToGrid w:val="0"/>
              <w:spacing w:line="360" w:lineRule="auto"/>
              <w:rPr>
                <w:rFonts w:ascii="宋体" w:hAnsi="宋体" w:cs="宋体"/>
                <w:bCs/>
                <w:sz w:val="24"/>
                <w:szCs w:val="24"/>
              </w:rPr>
            </w:pPr>
            <w:r>
              <w:rPr>
                <w:rFonts w:hint="eastAsia" w:ascii="宋体" w:hAnsi="宋体" w:cs="宋体"/>
                <w:bCs/>
                <w:sz w:val="24"/>
                <w:szCs w:val="24"/>
              </w:rPr>
              <w:t>标项四：5000.00元人民币（伍仟元整）、</w:t>
            </w:r>
          </w:p>
          <w:p>
            <w:pPr>
              <w:snapToGrid w:val="0"/>
              <w:spacing w:line="360" w:lineRule="auto"/>
              <w:rPr>
                <w:rFonts w:ascii="宋体" w:hAnsi="宋体" w:cs="宋体"/>
                <w:bCs/>
                <w:sz w:val="24"/>
                <w:szCs w:val="24"/>
              </w:rPr>
            </w:pPr>
            <w:r>
              <w:rPr>
                <w:rFonts w:hint="eastAsia" w:ascii="宋体" w:hAnsi="宋体" w:cs="宋体"/>
                <w:bCs/>
                <w:sz w:val="24"/>
                <w:szCs w:val="24"/>
              </w:rPr>
              <w:t>标项五：4000.00元人民币（肆仟元整）、</w:t>
            </w:r>
          </w:p>
          <w:p>
            <w:pPr>
              <w:snapToGrid w:val="0"/>
              <w:spacing w:line="360" w:lineRule="auto"/>
              <w:rPr>
                <w:rFonts w:ascii="宋体" w:hAnsi="宋体" w:cs="宋体"/>
                <w:bCs/>
                <w:sz w:val="24"/>
                <w:szCs w:val="24"/>
              </w:rPr>
            </w:pPr>
            <w:r>
              <w:rPr>
                <w:rFonts w:hint="eastAsia" w:ascii="宋体" w:hAnsi="宋体" w:cs="宋体"/>
                <w:bCs/>
                <w:sz w:val="24"/>
                <w:szCs w:val="24"/>
              </w:rPr>
              <w:t>标项六：1500.00元人民币（壹仟伍佰元整）、</w:t>
            </w:r>
          </w:p>
          <w:p>
            <w:pPr>
              <w:snapToGrid w:val="0"/>
              <w:spacing w:line="360" w:lineRule="auto"/>
              <w:rPr>
                <w:rFonts w:ascii="宋体" w:hAnsi="宋体" w:cs="宋体"/>
                <w:bCs/>
                <w:sz w:val="24"/>
                <w:szCs w:val="24"/>
              </w:rPr>
            </w:pPr>
            <w:r>
              <w:rPr>
                <w:rFonts w:hint="eastAsia" w:ascii="宋体" w:hAnsi="宋体" w:cs="宋体"/>
                <w:bCs/>
                <w:sz w:val="24"/>
                <w:szCs w:val="24"/>
              </w:rPr>
              <w:t>标项七：1500.00元人民币（壹仟伍佰元整）、</w:t>
            </w:r>
            <w:bookmarkStart w:id="537" w:name="_GoBack"/>
            <w:bookmarkEnd w:id="537"/>
          </w:p>
          <w:p>
            <w:pPr>
              <w:snapToGrid w:val="0"/>
              <w:spacing w:line="360" w:lineRule="auto"/>
              <w:rPr>
                <w:rFonts w:ascii="宋体" w:hAnsi="宋体" w:cs="宋体"/>
                <w:bCs/>
                <w:sz w:val="24"/>
                <w:szCs w:val="24"/>
              </w:rPr>
            </w:pPr>
            <w:r>
              <w:rPr>
                <w:rFonts w:hint="eastAsia" w:ascii="宋体" w:hAnsi="宋体" w:cs="宋体"/>
                <w:bCs/>
                <w:sz w:val="24"/>
                <w:szCs w:val="24"/>
              </w:rPr>
              <w:t>标项八：900.00元人民币（玖佰元整）、</w:t>
            </w:r>
          </w:p>
          <w:p>
            <w:pPr>
              <w:snapToGrid w:val="0"/>
              <w:spacing w:line="360" w:lineRule="auto"/>
              <w:rPr>
                <w:rFonts w:ascii="宋体" w:hAnsi="宋体" w:cs="宋体"/>
                <w:bCs/>
                <w:sz w:val="24"/>
                <w:szCs w:val="24"/>
              </w:rPr>
            </w:pPr>
            <w:r>
              <w:rPr>
                <w:rFonts w:hint="eastAsia" w:ascii="宋体" w:hAnsi="宋体" w:cs="宋体"/>
                <w:bCs/>
                <w:sz w:val="24"/>
                <w:szCs w:val="24"/>
              </w:rPr>
              <w:t>标项九：16000.00元人民币（壹万陆仟元整）</w:t>
            </w:r>
          </w:p>
          <w:p>
            <w:pPr>
              <w:snapToGrid w:val="0"/>
              <w:spacing w:line="360" w:lineRule="auto"/>
              <w:rPr>
                <w:rFonts w:ascii="宋体" w:hAnsi="宋体" w:cs="宋体"/>
                <w:sz w:val="24"/>
                <w:szCs w:val="24"/>
              </w:rPr>
            </w:pPr>
            <w:r>
              <w:rPr>
                <w:rFonts w:hint="eastAsia" w:ascii="宋体" w:hAnsi="宋体" w:cs="宋体"/>
                <w:sz w:val="24"/>
                <w:szCs w:val="24"/>
              </w:rPr>
              <w:t>缴纳方式：投标保证金应当以支票、汇票、本票或者金融机构、担保机构出具的保函等非现金形式提交。投标人未按照招标文件要求提交投标保证金的，投标无效。</w:t>
            </w:r>
          </w:p>
          <w:p>
            <w:pPr>
              <w:snapToGrid w:val="0"/>
              <w:spacing w:line="360" w:lineRule="auto"/>
              <w:rPr>
                <w:rFonts w:ascii="宋体" w:hAnsi="宋体" w:cs="宋体"/>
                <w:bCs/>
                <w:color w:val="000000" w:themeColor="text1"/>
                <w:sz w:val="24"/>
                <w:szCs w:val="24"/>
                <w14:textFill>
                  <w14:solidFill>
                    <w14:schemeClr w14:val="tx1"/>
                  </w14:solidFill>
                </w14:textFill>
              </w:rPr>
            </w:pPr>
            <w:r>
              <w:rPr>
                <w:rFonts w:hint="eastAsia" w:ascii="宋体" w:hAnsi="宋体" w:cs="宋体"/>
                <w:sz w:val="24"/>
                <w:szCs w:val="24"/>
              </w:rPr>
              <w:t>说明：在递交投标文件截止时间前从单位基本账户支付至新疆霖鼎工程管理服</w:t>
            </w:r>
            <w:r>
              <w:rPr>
                <w:rFonts w:hint="eastAsia" w:ascii="宋体" w:hAnsi="宋体" w:cs="宋体"/>
                <w:bCs/>
                <w:color w:val="000000" w:themeColor="text1"/>
                <w:sz w:val="24"/>
                <w:szCs w:val="24"/>
                <w14:textFill>
                  <w14:solidFill>
                    <w14:schemeClr w14:val="tx1"/>
                  </w14:solidFill>
                </w14:textFill>
              </w:rPr>
              <w:t>务有限公司账户上；</w:t>
            </w:r>
          </w:p>
          <w:p>
            <w:pPr>
              <w:snapToGrid w:val="0"/>
              <w:spacing w:line="360" w:lineRule="auto"/>
              <w:rPr>
                <w:rFonts w:ascii="宋体" w:hAnsi="宋体" w:cs="宋体"/>
                <w:bCs/>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u w:val="single"/>
                <w14:textFill>
                  <w14:solidFill>
                    <w14:schemeClr w14:val="tx1"/>
                  </w14:solidFill>
                </w14:textFill>
              </w:rPr>
              <w:t>账户名称：新疆霖鼎工程管理服务有限公司</w:t>
            </w:r>
          </w:p>
          <w:p>
            <w:pPr>
              <w:snapToGrid w:val="0"/>
              <w:spacing w:line="360" w:lineRule="auto"/>
              <w:rPr>
                <w:rFonts w:ascii="宋体" w:hAnsi="宋体" w:cs="宋体"/>
                <w:bCs/>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u w:val="single"/>
                <w14:textFill>
                  <w14:solidFill>
                    <w14:schemeClr w14:val="tx1"/>
                  </w14:solidFill>
                </w14:textFill>
              </w:rPr>
              <w:t>开户行：中国工商银行股份有限公司伊宁新华中路支行</w:t>
            </w:r>
          </w:p>
          <w:p>
            <w:pPr>
              <w:snapToGrid w:val="0"/>
              <w:spacing w:line="360" w:lineRule="auto"/>
              <w:rPr>
                <w:rFonts w:ascii="宋体" w:hAnsi="宋体" w:cs="宋体"/>
                <w:bCs/>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u w:val="single"/>
                <w14:textFill>
                  <w14:solidFill>
                    <w14:schemeClr w14:val="tx1"/>
                  </w14:solidFill>
                </w14:textFill>
              </w:rPr>
              <w:t>账号：3006 0223 0920 0056 029</w:t>
            </w:r>
          </w:p>
          <w:p>
            <w:pPr>
              <w:snapToGrid w:val="0"/>
              <w:spacing w:line="360" w:lineRule="auto"/>
              <w:rPr>
                <w:rFonts w:ascii="宋体" w:hAnsi="宋体" w:cs="宋体"/>
                <w:bCs/>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u w:val="single"/>
                <w14:textFill>
                  <w14:solidFill>
                    <w14:schemeClr w14:val="tx1"/>
                  </w14:solidFill>
                </w14:textFill>
              </w:rPr>
              <w:t>行号：102898002230</w:t>
            </w:r>
          </w:p>
          <w:p>
            <w:pPr>
              <w:autoSpaceDE w:val="0"/>
              <w:autoSpaceDN w:val="0"/>
              <w:adjustRightInd w:val="0"/>
              <w:snapToGrid w:val="0"/>
              <w:spacing w:line="360" w:lineRule="auto"/>
              <w:jc w:val="left"/>
              <w:rPr>
                <w:rFonts w:ascii="宋体" w:hAnsi="宋体" w:cs="宋体"/>
                <w:b w:val="0"/>
                <w:bCs w:val="0"/>
                <w:kern w:val="0"/>
                <w:sz w:val="24"/>
                <w:szCs w:val="24"/>
              </w:rPr>
            </w:pPr>
            <w:r>
              <w:rPr>
                <w:rFonts w:hint="eastAsia" w:ascii="宋体" w:hAnsi="宋体" w:cs="宋体"/>
                <w:kern w:val="0"/>
                <w:sz w:val="24"/>
                <w:szCs w:val="24"/>
              </w:rPr>
              <w:t>递交时间：投标截止时间之前（</w:t>
            </w:r>
            <w:r>
              <w:rPr>
                <w:rFonts w:hint="eastAsia" w:ascii="宋体" w:hAnsi="宋体" w:cs="宋体"/>
                <w:b w:val="0"/>
                <w:bCs w:val="0"/>
                <w:kern w:val="0"/>
                <w:sz w:val="24"/>
                <w:szCs w:val="24"/>
              </w:rPr>
              <w:t>提交投标保证金应充分考虑资金在途时间、跨行等因素导致的延迟到账情况，</w:t>
            </w:r>
            <w:r>
              <w:rPr>
                <w:rFonts w:hint="eastAsia" w:ascii="宋体" w:hAnsi="宋体" w:cs="宋体"/>
                <w:b w:val="0"/>
                <w:bCs w:val="0"/>
                <w:kern w:val="0"/>
                <w:sz w:val="24"/>
                <w:szCs w:val="24"/>
                <w:lang w:val="zh-CN"/>
              </w:rPr>
              <w:t>由此导致的保证金不能按时到账其责任由投标人单位自行承担。</w:t>
            </w:r>
            <w:r>
              <w:rPr>
                <w:rFonts w:hint="eastAsia" w:ascii="宋体" w:hAnsi="宋体" w:cs="宋体"/>
                <w:b w:val="0"/>
                <w:bCs w:val="0"/>
                <w:kern w:val="0"/>
                <w:sz w:val="24"/>
                <w:szCs w:val="24"/>
              </w:rPr>
              <w:t>各投标人缴纳投标保证金时</w:t>
            </w:r>
            <w:r>
              <w:rPr>
                <w:rFonts w:hint="eastAsia" w:ascii="宋体" w:hAnsi="宋体" w:cs="宋体"/>
                <w:b w:val="0"/>
                <w:bCs w:val="0"/>
                <w:kern w:val="0"/>
                <w:sz w:val="24"/>
                <w:szCs w:val="24"/>
                <w:lang w:val="en-US" w:eastAsia="zh-CN"/>
              </w:rPr>
              <w:t>必须</w:t>
            </w:r>
            <w:r>
              <w:rPr>
                <w:rFonts w:hint="eastAsia" w:ascii="宋体" w:hAnsi="宋体" w:cs="宋体"/>
                <w:b w:val="0"/>
                <w:bCs w:val="0"/>
                <w:kern w:val="0"/>
                <w:sz w:val="24"/>
                <w:szCs w:val="24"/>
              </w:rPr>
              <w:t>在附加信息及用途栏内注明</w:t>
            </w:r>
            <w:r>
              <w:rPr>
                <w:rFonts w:hint="eastAsia" w:ascii="宋体" w:hAnsi="宋体" w:cs="宋体"/>
                <w:b w:val="0"/>
                <w:bCs w:val="0"/>
                <w:kern w:val="0"/>
                <w:sz w:val="24"/>
                <w:szCs w:val="24"/>
                <w:highlight w:val="yellow"/>
              </w:rPr>
              <w:t>“投标保证金、</w:t>
            </w:r>
            <w:r>
              <w:rPr>
                <w:rFonts w:hint="eastAsia" w:ascii="宋体" w:hAnsi="宋体" w:cs="宋体"/>
                <w:b w:val="0"/>
                <w:bCs w:val="0"/>
                <w:kern w:val="0"/>
                <w:sz w:val="24"/>
                <w:szCs w:val="24"/>
                <w:highlight w:val="yellow"/>
                <w:lang w:val="en-US" w:eastAsia="zh-CN"/>
              </w:rPr>
              <w:t>标项</w:t>
            </w:r>
            <w:r>
              <w:rPr>
                <w:rFonts w:hint="eastAsia" w:ascii="宋体" w:hAnsi="宋体" w:cs="宋体"/>
                <w:b w:val="0"/>
                <w:bCs w:val="0"/>
                <w:kern w:val="0"/>
                <w:sz w:val="24"/>
                <w:szCs w:val="24"/>
                <w:highlight w:val="yellow"/>
              </w:rPr>
              <w:t>名称”</w:t>
            </w:r>
            <w:r>
              <w:rPr>
                <w:rFonts w:hint="eastAsia" w:ascii="宋体" w:hAnsi="宋体" w:cs="宋体"/>
                <w:b w:val="0"/>
                <w:bCs w:val="0"/>
                <w:kern w:val="0"/>
                <w:sz w:val="24"/>
                <w:szCs w:val="24"/>
              </w:rPr>
              <w:t>，以投标保证金接收方银行到账信息为准）</w:t>
            </w:r>
          </w:p>
          <w:p>
            <w:pPr>
              <w:autoSpaceDE w:val="0"/>
              <w:autoSpaceDN w:val="0"/>
              <w:adjustRightInd w:val="0"/>
              <w:snapToGrid w:val="0"/>
              <w:spacing w:line="360" w:lineRule="auto"/>
              <w:jc w:val="left"/>
              <w:rPr>
                <w:rFonts w:ascii="宋体" w:hAnsi="宋体" w:cs="宋体"/>
                <w:b/>
                <w:kern w:val="0"/>
                <w:sz w:val="24"/>
                <w:szCs w:val="24"/>
                <w:u w:val="single"/>
              </w:rPr>
            </w:pPr>
            <w:r>
              <w:rPr>
                <w:rFonts w:hint="eastAsia" w:ascii="宋体" w:hAnsi="宋体" w:cs="宋体"/>
                <w:b/>
                <w:bCs/>
                <w:kern w:val="0"/>
                <w:sz w:val="24"/>
                <w:szCs w:val="24"/>
              </w:rPr>
              <w:t>友情提示：银行法定节假日不办理公对公账户电汇业务，请提前办理。投标保证金是否在规定截止时间前到户的风险由投标单位承担，投标保证金在银行的划转需要一定时间，望投标单位尽早缴纳！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01"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14</w:t>
            </w:r>
          </w:p>
        </w:tc>
        <w:tc>
          <w:tcPr>
            <w:tcW w:w="1664"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投标保证金</w:t>
            </w:r>
          </w:p>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退付</w:t>
            </w:r>
          </w:p>
        </w:tc>
        <w:tc>
          <w:tcPr>
            <w:tcW w:w="8337" w:type="dxa"/>
            <w:gridSpan w:val="6"/>
            <w:tcBorders>
              <w:top w:val="single" w:color="auto" w:sz="4" w:space="0"/>
            </w:tcBorders>
            <w:vAlign w:val="center"/>
          </w:tcPr>
          <w:p>
            <w:pPr>
              <w:snapToGrid w:val="0"/>
              <w:spacing w:line="360" w:lineRule="auto"/>
              <w:rPr>
                <w:rFonts w:ascii="宋体" w:hAnsi="宋体" w:cs="宋体"/>
                <w:sz w:val="24"/>
                <w:szCs w:val="24"/>
              </w:rPr>
            </w:pPr>
            <w:r>
              <w:rPr>
                <w:rFonts w:hint="eastAsia" w:ascii="宋体" w:hAnsi="宋体" w:cs="宋体"/>
                <w:sz w:val="24"/>
                <w:szCs w:val="24"/>
              </w:rPr>
              <w:t>1.未中标投标人在中标（成交）通知书发出后5个工作日退还；</w:t>
            </w:r>
          </w:p>
          <w:p>
            <w:pPr>
              <w:snapToGrid w:val="0"/>
              <w:spacing w:line="360" w:lineRule="auto"/>
              <w:rPr>
                <w:rFonts w:ascii="宋体" w:hAnsi="宋体" w:cs="宋体"/>
                <w:sz w:val="24"/>
                <w:szCs w:val="24"/>
              </w:rPr>
            </w:pPr>
            <w:r>
              <w:rPr>
                <w:rFonts w:hint="eastAsia" w:ascii="宋体" w:hAnsi="宋体" w:cs="宋体"/>
                <w:sz w:val="24"/>
                <w:szCs w:val="24"/>
              </w:rPr>
              <w:t>2.中标投标人在合同签订后5个工作日退还；</w:t>
            </w:r>
          </w:p>
          <w:p>
            <w:pPr>
              <w:snapToGrid w:val="0"/>
              <w:spacing w:line="360" w:lineRule="auto"/>
              <w:rPr>
                <w:rFonts w:ascii="宋体" w:hAnsi="宋体" w:cs="宋体"/>
                <w:b/>
                <w:sz w:val="24"/>
                <w:szCs w:val="24"/>
              </w:rPr>
            </w:pPr>
            <w:r>
              <w:rPr>
                <w:rFonts w:hint="eastAsia" w:ascii="宋体" w:hAnsi="宋体" w:cs="宋体"/>
                <w:b/>
                <w:sz w:val="24"/>
                <w:szCs w:val="24"/>
              </w:rPr>
              <w:t>保证金退付须提交资料详见附件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15</w:t>
            </w:r>
          </w:p>
        </w:tc>
        <w:tc>
          <w:tcPr>
            <w:tcW w:w="1664"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投标有</w:t>
            </w:r>
          </w:p>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效期</w:t>
            </w:r>
          </w:p>
        </w:tc>
        <w:tc>
          <w:tcPr>
            <w:tcW w:w="8337" w:type="dxa"/>
            <w:gridSpan w:val="6"/>
            <w:vAlign w:val="center"/>
          </w:tcPr>
          <w:p>
            <w:pPr>
              <w:autoSpaceDE w:val="0"/>
              <w:autoSpaceDN w:val="0"/>
              <w:adjustRightInd w:val="0"/>
              <w:snapToGrid w:val="0"/>
              <w:spacing w:line="360" w:lineRule="auto"/>
              <w:jc w:val="left"/>
              <w:rPr>
                <w:rFonts w:ascii="宋体" w:hAnsi="宋体" w:cs="宋体"/>
                <w:kern w:val="0"/>
                <w:sz w:val="24"/>
                <w:szCs w:val="24"/>
              </w:rPr>
            </w:pPr>
            <w:r>
              <w:rPr>
                <w:rFonts w:hint="eastAsia" w:ascii="宋体" w:hAnsi="宋体" w:cs="宋体"/>
                <w:kern w:val="0"/>
                <w:sz w:val="24"/>
                <w:szCs w:val="24"/>
              </w:rPr>
              <w:t>90日历日（自投标截止时间起开始计算）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16</w:t>
            </w:r>
          </w:p>
        </w:tc>
        <w:tc>
          <w:tcPr>
            <w:tcW w:w="1664"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评标办法</w:t>
            </w:r>
          </w:p>
        </w:tc>
        <w:tc>
          <w:tcPr>
            <w:tcW w:w="8337" w:type="dxa"/>
            <w:gridSpan w:val="6"/>
            <w:vAlign w:val="center"/>
          </w:tcPr>
          <w:p>
            <w:pPr>
              <w:autoSpaceDE w:val="0"/>
              <w:autoSpaceDN w:val="0"/>
              <w:adjustRightInd w:val="0"/>
              <w:snapToGrid w:val="0"/>
              <w:spacing w:line="360" w:lineRule="auto"/>
              <w:rPr>
                <w:rFonts w:ascii="宋体" w:hAnsi="宋体" w:cs="宋体"/>
                <w:kern w:val="0"/>
                <w:sz w:val="24"/>
                <w:szCs w:val="24"/>
              </w:rPr>
            </w:pPr>
            <w:r>
              <w:rPr>
                <w:rFonts w:hint="eastAsia" w:ascii="宋体" w:hAnsi="宋体" w:cs="宋体"/>
                <w:b/>
                <w:kern w:val="0"/>
                <w:sz w:val="24"/>
                <w:szCs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62"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17</w:t>
            </w:r>
          </w:p>
        </w:tc>
        <w:tc>
          <w:tcPr>
            <w:tcW w:w="1664"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投标文件份数</w:t>
            </w:r>
          </w:p>
        </w:tc>
        <w:tc>
          <w:tcPr>
            <w:tcW w:w="8337" w:type="dxa"/>
            <w:gridSpan w:val="6"/>
            <w:vAlign w:val="center"/>
          </w:tcPr>
          <w:p>
            <w:pPr>
              <w:autoSpaceDE w:val="0"/>
              <w:autoSpaceDN w:val="0"/>
              <w:adjustRightInd w:val="0"/>
              <w:snapToGrid w:val="0"/>
              <w:spacing w:line="360" w:lineRule="auto"/>
              <w:jc w:val="left"/>
              <w:rPr>
                <w:rFonts w:ascii="宋体" w:hAnsi="宋体" w:cs="宋体"/>
                <w:kern w:val="0"/>
                <w:sz w:val="24"/>
                <w:szCs w:val="24"/>
              </w:rPr>
            </w:pPr>
            <w:r>
              <w:rPr>
                <w:rFonts w:hint="eastAsia" w:ascii="宋体" w:hAnsi="宋体" w:cs="宋体"/>
                <w:kern w:val="0"/>
                <w:sz w:val="24"/>
                <w:szCs w:val="24"/>
              </w:rPr>
              <w:t>加密的电子投标文件壹份(.jmbs格式)在新疆政府采购网指定位置上传。</w:t>
            </w:r>
          </w:p>
          <w:p>
            <w:pPr>
              <w:autoSpaceDE w:val="0"/>
              <w:autoSpaceDN w:val="0"/>
              <w:adjustRightInd w:val="0"/>
              <w:snapToGrid w:val="0"/>
              <w:spacing w:line="360" w:lineRule="auto"/>
              <w:jc w:val="left"/>
              <w:rPr>
                <w:rFonts w:ascii="宋体" w:hAnsi="宋体" w:cs="宋体"/>
                <w:kern w:val="0"/>
                <w:sz w:val="24"/>
                <w:szCs w:val="24"/>
              </w:rPr>
            </w:pPr>
            <w:r>
              <w:rPr>
                <w:rFonts w:hint="eastAsia" w:ascii="宋体" w:hAnsi="宋体" w:cs="宋体"/>
                <w:kern w:val="0"/>
                <w:sz w:val="24"/>
                <w:szCs w:val="24"/>
              </w:rPr>
              <w:t>投标人中标后需在中标结果公告发布后7日内向代理机构提供叁套纸质胶装版投标文件；并提交电子版投标文件贰份（U盘贰个，纸质版投标文件内容需与投标时电子版一致）。递交地址：新疆伊犁州伊宁市经济合作区313线以西、新华西路以北西城天街A-E#商业楼C405室。收件人：马丝云、谢培丹，电话：18399303267、18699399882 ，费用自行承担。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02"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18</w:t>
            </w:r>
          </w:p>
        </w:tc>
        <w:tc>
          <w:tcPr>
            <w:tcW w:w="1664" w:type="dxa"/>
            <w:vAlign w:val="center"/>
          </w:tcPr>
          <w:p>
            <w:pPr>
              <w:overflowPunct w:val="0"/>
              <w:spacing w:line="360" w:lineRule="auto"/>
              <w:rPr>
                <w:rFonts w:ascii="宋体" w:hAnsi="宋体" w:cs="宋体"/>
                <w:b/>
                <w:sz w:val="24"/>
                <w:szCs w:val="24"/>
              </w:rPr>
            </w:pPr>
            <w:r>
              <w:rPr>
                <w:rFonts w:hint="eastAsia" w:ascii="宋体" w:hAnsi="宋体" w:cs="宋体"/>
                <w:b/>
                <w:kern w:val="0"/>
                <w:sz w:val="24"/>
                <w:szCs w:val="24"/>
              </w:rPr>
              <w:t>政府采购政策</w:t>
            </w:r>
          </w:p>
        </w:tc>
        <w:tc>
          <w:tcPr>
            <w:tcW w:w="8337" w:type="dxa"/>
            <w:gridSpan w:val="6"/>
            <w:vAlign w:val="center"/>
          </w:tcPr>
          <w:p>
            <w:pPr>
              <w:adjustRightInd w:val="0"/>
              <w:snapToGrid w:val="0"/>
              <w:spacing w:line="440" w:lineRule="exact"/>
              <w:rPr>
                <w:rFonts w:ascii="宋体" w:hAnsi="宋体" w:cs="宋体"/>
                <w:sz w:val="24"/>
                <w:szCs w:val="24"/>
              </w:rPr>
            </w:pPr>
            <w:r>
              <w:rPr>
                <w:rFonts w:hint="eastAsia" w:ascii="宋体" w:hAnsi="宋体" w:cs="宋体"/>
                <w:sz w:val="24"/>
                <w:szCs w:val="24"/>
              </w:rPr>
              <w:t>1、执行促进中小型企业发展相关政策（</w:t>
            </w:r>
            <w:r>
              <w:rPr>
                <w:rFonts w:hint="eastAsia" w:ascii="宋体" w:hAnsi="宋体" w:cs="宋体"/>
                <w:sz w:val="24"/>
                <w:szCs w:val="24"/>
              </w:rPr>
              <w:sym w:font="Wingdings" w:char="F0FE"/>
            </w:r>
            <w:r>
              <w:rPr>
                <w:rFonts w:hint="eastAsia" w:ascii="宋体" w:hAnsi="宋体" w:cs="宋体"/>
                <w:sz w:val="24"/>
                <w:szCs w:val="24"/>
              </w:rPr>
              <w:t>是/</w:t>
            </w:r>
            <w:r>
              <w:rPr>
                <w:rFonts w:hint="eastAsia" w:ascii="宋体" w:hAnsi="宋体" w:cs="宋体"/>
                <w:sz w:val="24"/>
                <w:szCs w:val="24"/>
              </w:rPr>
              <w:sym w:font="Wingdings" w:char="F06F"/>
            </w:r>
            <w:r>
              <w:rPr>
                <w:rFonts w:hint="eastAsia" w:ascii="宋体" w:hAnsi="宋体" w:cs="宋体"/>
                <w:sz w:val="24"/>
                <w:szCs w:val="24"/>
              </w:rPr>
              <w:t>否），投标价格给予10%的折扣；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19</w:t>
            </w:r>
          </w:p>
        </w:tc>
        <w:tc>
          <w:tcPr>
            <w:tcW w:w="1664"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评标小组组成</w:t>
            </w:r>
          </w:p>
        </w:tc>
        <w:tc>
          <w:tcPr>
            <w:tcW w:w="8337" w:type="dxa"/>
            <w:gridSpan w:val="6"/>
            <w:vAlign w:val="center"/>
          </w:tcPr>
          <w:p>
            <w:pPr>
              <w:autoSpaceDE w:val="0"/>
              <w:autoSpaceDN w:val="0"/>
              <w:adjustRightInd w:val="0"/>
              <w:snapToGrid w:val="0"/>
              <w:spacing w:line="360" w:lineRule="auto"/>
              <w:jc w:val="left"/>
              <w:rPr>
                <w:rFonts w:ascii="宋体" w:hAnsi="宋体" w:cs="宋体"/>
                <w:kern w:val="0"/>
                <w:sz w:val="24"/>
                <w:szCs w:val="24"/>
              </w:rPr>
            </w:pPr>
            <w:r>
              <w:rPr>
                <w:rFonts w:hint="eastAsia" w:ascii="宋体" w:hAnsi="宋体" w:cs="宋体"/>
                <w:kern w:val="0"/>
                <w:sz w:val="24"/>
                <w:szCs w:val="24"/>
              </w:rPr>
              <w:t>小组成员由</w:t>
            </w:r>
            <w:r>
              <w:rPr>
                <w:rFonts w:hint="eastAsia" w:ascii="宋体" w:hAnsi="宋体" w:cs="宋体"/>
                <w:b/>
                <w:kern w:val="0"/>
                <w:sz w:val="24"/>
                <w:szCs w:val="24"/>
                <w:u w:val="single"/>
              </w:rPr>
              <w:t xml:space="preserve"> 5  </w:t>
            </w:r>
            <w:r>
              <w:rPr>
                <w:rFonts w:hint="eastAsia" w:ascii="宋体" w:hAnsi="宋体" w:cs="宋体"/>
                <w:kern w:val="0"/>
                <w:sz w:val="24"/>
                <w:szCs w:val="24"/>
              </w:rPr>
              <w:t>人组成，其中采购方代表</w:t>
            </w:r>
            <w:r>
              <w:rPr>
                <w:rFonts w:hint="eastAsia" w:ascii="宋体" w:hAnsi="宋体" w:cs="宋体"/>
                <w:b/>
                <w:kern w:val="0"/>
                <w:sz w:val="24"/>
                <w:szCs w:val="24"/>
                <w:u w:val="single"/>
              </w:rPr>
              <w:t xml:space="preserve">  1 </w:t>
            </w:r>
            <w:r>
              <w:rPr>
                <w:rFonts w:hint="eastAsia" w:ascii="宋体" w:hAnsi="宋体" w:cs="宋体"/>
                <w:kern w:val="0"/>
                <w:sz w:val="24"/>
                <w:szCs w:val="24"/>
              </w:rPr>
              <w:t>人，从新疆政采云专家库中随机抽取的方式确定</w:t>
            </w:r>
            <w:r>
              <w:rPr>
                <w:rFonts w:hint="eastAsia" w:ascii="宋体" w:hAnsi="宋体" w:cs="宋体"/>
                <w:b/>
                <w:kern w:val="0"/>
                <w:sz w:val="24"/>
                <w:szCs w:val="24"/>
                <w:u w:val="single"/>
              </w:rPr>
              <w:t xml:space="preserve">  4  </w:t>
            </w:r>
            <w:r>
              <w:rPr>
                <w:rFonts w:hint="eastAsia" w:ascii="宋体" w:hAnsi="宋体" w:cs="宋体"/>
                <w:kern w:val="0"/>
                <w:sz w:val="24"/>
                <w:szCs w:val="24"/>
              </w:rPr>
              <w:t>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532" w:type="dxa"/>
            <w:vMerge w:val="restart"/>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20</w:t>
            </w:r>
          </w:p>
        </w:tc>
        <w:tc>
          <w:tcPr>
            <w:tcW w:w="3411" w:type="dxa"/>
            <w:gridSpan w:val="3"/>
            <w:vMerge w:val="restart"/>
            <w:tcBorders>
              <w:right w:val="single" w:color="auto" w:sz="4" w:space="0"/>
            </w:tcBorders>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投标截止（开标）时间及地点</w:t>
            </w:r>
          </w:p>
        </w:tc>
        <w:tc>
          <w:tcPr>
            <w:tcW w:w="6590" w:type="dxa"/>
            <w:gridSpan w:val="4"/>
            <w:tcBorders>
              <w:left w:val="single" w:color="auto" w:sz="4" w:space="0"/>
              <w:bottom w:val="single" w:color="auto" w:sz="4" w:space="0"/>
            </w:tcBorders>
            <w:vAlign w:val="center"/>
          </w:tcPr>
          <w:p>
            <w:pPr>
              <w:autoSpaceDE w:val="0"/>
              <w:autoSpaceDN w:val="0"/>
              <w:adjustRightInd w:val="0"/>
              <w:snapToGrid w:val="0"/>
              <w:spacing w:line="360" w:lineRule="auto"/>
              <w:jc w:val="left"/>
              <w:rPr>
                <w:rFonts w:ascii="宋体" w:hAnsi="宋体" w:cs="宋体"/>
                <w:kern w:val="0"/>
                <w:sz w:val="24"/>
                <w:szCs w:val="24"/>
              </w:rPr>
            </w:pPr>
            <w:r>
              <w:rPr>
                <w:rFonts w:hint="eastAsia" w:ascii="宋体" w:hAnsi="宋体" w:cs="宋体"/>
                <w:b/>
                <w:kern w:val="0"/>
                <w:sz w:val="24"/>
                <w:szCs w:val="24"/>
              </w:rPr>
              <w:t>投标截止（开标）时间：</w:t>
            </w:r>
            <w:r>
              <w:rPr>
                <w:rFonts w:hint="eastAsia" w:ascii="宋体" w:hAnsi="宋体" w:cs="宋体"/>
                <w:b/>
                <w:kern w:val="0"/>
                <w:sz w:val="24"/>
                <w:szCs w:val="24"/>
                <w:highlight w:val="none"/>
              </w:rPr>
              <w:t>2023年04月</w:t>
            </w:r>
            <w:r>
              <w:rPr>
                <w:rFonts w:hint="eastAsia" w:ascii="宋体" w:hAnsi="宋体" w:cs="宋体"/>
                <w:b/>
                <w:kern w:val="0"/>
                <w:sz w:val="24"/>
                <w:szCs w:val="24"/>
                <w:highlight w:val="none"/>
                <w:lang w:val="en-US" w:eastAsia="zh-CN"/>
              </w:rPr>
              <w:t>10</w:t>
            </w:r>
            <w:r>
              <w:rPr>
                <w:rFonts w:hint="eastAsia" w:ascii="宋体" w:hAnsi="宋体" w:cs="宋体"/>
                <w:b/>
                <w:kern w:val="0"/>
                <w:sz w:val="24"/>
                <w:szCs w:val="24"/>
                <w:highlight w:val="none"/>
              </w:rPr>
              <w:t>日11:00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532" w:type="dxa"/>
            <w:vMerge w:val="continue"/>
            <w:vAlign w:val="center"/>
          </w:tcPr>
          <w:p>
            <w:pPr>
              <w:autoSpaceDE w:val="0"/>
              <w:autoSpaceDN w:val="0"/>
              <w:adjustRightInd w:val="0"/>
              <w:snapToGrid w:val="0"/>
              <w:spacing w:line="360" w:lineRule="auto"/>
              <w:jc w:val="center"/>
              <w:rPr>
                <w:rFonts w:ascii="宋体" w:hAnsi="宋体" w:cs="宋体"/>
                <w:b/>
                <w:kern w:val="0"/>
                <w:sz w:val="24"/>
                <w:szCs w:val="24"/>
              </w:rPr>
            </w:pPr>
          </w:p>
        </w:tc>
        <w:tc>
          <w:tcPr>
            <w:tcW w:w="3411" w:type="dxa"/>
            <w:gridSpan w:val="3"/>
            <w:vMerge w:val="continue"/>
            <w:tcBorders>
              <w:right w:val="single" w:color="auto" w:sz="4" w:space="0"/>
            </w:tcBorders>
            <w:vAlign w:val="center"/>
          </w:tcPr>
          <w:p>
            <w:pPr>
              <w:autoSpaceDE w:val="0"/>
              <w:autoSpaceDN w:val="0"/>
              <w:adjustRightInd w:val="0"/>
              <w:snapToGrid w:val="0"/>
              <w:spacing w:line="360" w:lineRule="auto"/>
              <w:jc w:val="center"/>
              <w:rPr>
                <w:rFonts w:ascii="宋体" w:hAnsi="宋体" w:cs="宋体"/>
                <w:b/>
                <w:kern w:val="0"/>
                <w:sz w:val="24"/>
                <w:szCs w:val="24"/>
              </w:rPr>
            </w:pPr>
          </w:p>
        </w:tc>
        <w:tc>
          <w:tcPr>
            <w:tcW w:w="6590" w:type="dxa"/>
            <w:gridSpan w:val="4"/>
            <w:tcBorders>
              <w:top w:val="single" w:color="auto" w:sz="4" w:space="0"/>
              <w:left w:val="single" w:color="auto" w:sz="4" w:space="0"/>
            </w:tcBorders>
            <w:vAlign w:val="center"/>
          </w:tcPr>
          <w:p>
            <w:pPr>
              <w:autoSpaceDE w:val="0"/>
              <w:autoSpaceDN w:val="0"/>
              <w:adjustRightInd w:val="0"/>
              <w:snapToGrid w:val="0"/>
              <w:spacing w:line="360" w:lineRule="auto"/>
              <w:jc w:val="left"/>
              <w:rPr>
                <w:rFonts w:ascii="宋体" w:hAnsi="宋体" w:cs="宋体"/>
                <w:b/>
                <w:kern w:val="0"/>
                <w:sz w:val="24"/>
                <w:szCs w:val="24"/>
              </w:rPr>
            </w:pPr>
            <w:r>
              <w:rPr>
                <w:rFonts w:hint="eastAsia" w:ascii="宋体" w:hAnsi="宋体" w:cs="宋体"/>
                <w:b/>
                <w:kern w:val="0"/>
                <w:sz w:val="24"/>
                <w:szCs w:val="24"/>
              </w:rPr>
              <w:t>地点:</w:t>
            </w:r>
            <w:r>
              <w:rPr>
                <w:rFonts w:hint="eastAsia" w:ascii="宋体" w:hAnsi="宋体" w:cs="宋体"/>
                <w:color w:val="000000"/>
                <w:sz w:val="24"/>
                <w:szCs w:val="24"/>
              </w:rPr>
              <w:t>请登录政采云投标客户端，在截止时间前将加密的电子响应文件（.jmbs）上传到新疆政府采购网对应的位置（逾期上传或者未上传指定地点的响应文件，采购人不予受理）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417"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21</w:t>
            </w:r>
          </w:p>
        </w:tc>
        <w:tc>
          <w:tcPr>
            <w:tcW w:w="1664" w:type="dxa"/>
            <w:tcBorders>
              <w:right w:val="single" w:color="auto" w:sz="4" w:space="0"/>
            </w:tcBorders>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资格审查证件</w:t>
            </w:r>
          </w:p>
        </w:tc>
        <w:tc>
          <w:tcPr>
            <w:tcW w:w="8337" w:type="dxa"/>
            <w:gridSpan w:val="6"/>
            <w:tcBorders>
              <w:left w:val="single" w:color="auto" w:sz="4" w:space="0"/>
            </w:tcBorders>
            <w:vAlign w:val="center"/>
          </w:tcPr>
          <w:p>
            <w:pPr>
              <w:pStyle w:val="25"/>
              <w:shd w:val="clear" w:color="auto" w:fill="FFFFFF"/>
              <w:spacing w:before="0" w:beforeAutospacing="0" w:after="0" w:afterAutospacing="0" w:line="336" w:lineRule="auto"/>
              <w:jc w:val="both"/>
              <w:rPr>
                <w:b/>
                <w:bCs/>
              </w:rPr>
            </w:pPr>
            <w:r>
              <w:rPr>
                <w:rFonts w:hint="eastAsia"/>
                <w:b/>
                <w:bCs/>
              </w:rPr>
              <w:t>标项一：</w:t>
            </w:r>
          </w:p>
          <w:p>
            <w:pPr>
              <w:pStyle w:val="25"/>
              <w:shd w:val="clear" w:color="auto" w:fill="FFFFFF"/>
              <w:spacing w:before="0" w:beforeAutospacing="0" w:after="0" w:afterAutospacing="0" w:line="336" w:lineRule="auto"/>
              <w:jc w:val="both"/>
            </w:pPr>
            <w:r>
              <w:rPr>
                <w:rFonts w:hint="eastAsia"/>
              </w:rPr>
              <w:t>（1）具有有效的营业执照；</w:t>
            </w:r>
          </w:p>
          <w:p>
            <w:pPr>
              <w:pStyle w:val="25"/>
              <w:shd w:val="clear" w:color="auto" w:fill="FFFFFF"/>
              <w:spacing w:before="0" w:beforeAutospacing="0" w:after="0" w:afterAutospacing="0" w:line="336" w:lineRule="auto"/>
              <w:jc w:val="both"/>
            </w:pPr>
            <w:r>
              <w:rPr>
                <w:rFonts w:hint="eastAsia"/>
              </w:rPr>
              <w:t>（2）法定代表人授权委托书及被委托人身份证（法定代表人参加投标时提供本人身份证）；</w:t>
            </w:r>
          </w:p>
          <w:p>
            <w:pPr>
              <w:pStyle w:val="25"/>
              <w:shd w:val="clear" w:color="auto" w:fill="FFFFFF"/>
              <w:spacing w:before="0" w:beforeAutospacing="0" w:after="0" w:afterAutospacing="0" w:line="336" w:lineRule="auto"/>
              <w:jc w:val="both"/>
            </w:pPr>
            <w:r>
              <w:rPr>
                <w:rFonts w:hint="eastAsia"/>
              </w:rPr>
              <w:t>（3）供应商具有医疗器械生产许可证或医疗器械经营许可证；</w:t>
            </w:r>
          </w:p>
          <w:p>
            <w:pPr>
              <w:pStyle w:val="25"/>
              <w:shd w:val="clear" w:color="auto" w:fill="FFFFFF"/>
              <w:spacing w:before="0" w:beforeAutospacing="0" w:after="0" w:afterAutospacing="0" w:line="336" w:lineRule="auto"/>
              <w:jc w:val="both"/>
            </w:pPr>
            <w:r>
              <w:rPr>
                <w:rFonts w:hint="eastAsia"/>
              </w:rPr>
              <w:t>（4）供应商具有《特种设备安装改造维修许可证》（压力管道安装GC2级及以上或《特种设备生产许可证》（承压特种设备安装、修理、改造,工业管道安装GC2级及以上；</w:t>
            </w:r>
          </w:p>
          <w:p>
            <w:pPr>
              <w:pStyle w:val="25"/>
              <w:shd w:val="clear" w:color="auto" w:fill="FFFFFF"/>
              <w:spacing w:before="0" w:beforeAutospacing="0" w:after="0" w:afterAutospacing="0" w:line="336" w:lineRule="auto"/>
              <w:jc w:val="both"/>
            </w:pPr>
            <w:r>
              <w:rPr>
                <w:rFonts w:hint="eastAsia"/>
              </w:rPr>
              <w:t>（5）在“信用中国”网站（www.creditchina.gov.cn）、中国政府采购网（www.ccgp.gov.cn）未被列入失信被执行人、重大税收违法失信主体、政府采购严重违法失信行为记录名单查询结果截图（采购公告发布之日起至投标截止时间内从上述网站中打印并加盖企业公章）。</w:t>
            </w:r>
          </w:p>
          <w:p>
            <w:pPr>
              <w:pStyle w:val="25"/>
              <w:shd w:val="clear" w:color="auto" w:fill="FFFFFF"/>
              <w:spacing w:before="0" w:beforeAutospacing="0" w:after="0" w:afterAutospacing="0" w:line="336" w:lineRule="auto"/>
              <w:jc w:val="both"/>
            </w:pPr>
            <w:r>
              <w:rPr>
                <w:rFonts w:hint="eastAsia"/>
              </w:rPr>
              <w:t>（6）请根据“落实政府采购政策需满足的资格要求”，上传对应的资格文件，格式以采购文件要求为准（中小企业声明函）；</w:t>
            </w:r>
          </w:p>
          <w:p>
            <w:pPr>
              <w:pStyle w:val="26"/>
              <w:ind w:left="0"/>
              <w:rPr>
                <w:rFonts w:ascii="宋体" w:hAnsi="宋体" w:cs="宋体"/>
                <w:sz w:val="24"/>
                <w:szCs w:val="24"/>
              </w:rPr>
            </w:pPr>
            <w:r>
              <w:rPr>
                <w:rFonts w:hint="eastAsia" w:ascii="宋体" w:hAnsi="宋体" w:cs="宋体"/>
                <w:sz w:val="24"/>
                <w:szCs w:val="24"/>
              </w:rPr>
              <w:t>（7）保证金缴纳凭证或投标保函。</w:t>
            </w:r>
          </w:p>
          <w:p>
            <w:pPr>
              <w:pStyle w:val="25"/>
              <w:shd w:val="clear" w:color="auto" w:fill="FFFFFF"/>
              <w:spacing w:before="0" w:beforeAutospacing="0" w:after="0" w:afterAutospacing="0" w:line="336" w:lineRule="auto"/>
              <w:jc w:val="both"/>
              <w:rPr>
                <w:b/>
                <w:bCs/>
              </w:rPr>
            </w:pPr>
            <w:r>
              <w:rPr>
                <w:rFonts w:hint="eastAsia"/>
                <w:b/>
                <w:bCs/>
              </w:rPr>
              <w:t>注：请供应商在相应位置上传相关材料扫描件，无法提供以上资料的投标人为无效投标人，其投标文件不参与评审。</w:t>
            </w:r>
          </w:p>
          <w:p>
            <w:pPr>
              <w:pStyle w:val="26"/>
              <w:ind w:left="0"/>
              <w:jc w:val="left"/>
              <w:rPr>
                <w:rFonts w:ascii="宋体" w:hAnsi="宋体" w:cs="宋体"/>
                <w:b/>
                <w:bCs/>
                <w:sz w:val="24"/>
                <w:szCs w:val="24"/>
              </w:rPr>
            </w:pPr>
            <w:r>
              <w:rPr>
                <w:rFonts w:hint="eastAsia" w:ascii="宋体" w:hAnsi="宋体" w:cs="宋体"/>
                <w:b/>
                <w:bCs/>
                <w:sz w:val="24"/>
                <w:szCs w:val="24"/>
              </w:rPr>
              <w:t>标项二、三、六、八：</w:t>
            </w:r>
          </w:p>
          <w:p>
            <w:pPr>
              <w:pStyle w:val="25"/>
              <w:numPr>
                <w:ilvl w:val="0"/>
                <w:numId w:val="2"/>
              </w:numPr>
              <w:shd w:val="clear" w:color="auto" w:fill="FFFFFF"/>
              <w:spacing w:before="0" w:beforeAutospacing="0" w:after="0" w:afterAutospacing="0" w:line="336" w:lineRule="auto"/>
              <w:jc w:val="both"/>
            </w:pPr>
            <w:r>
              <w:rPr>
                <w:rFonts w:hint="eastAsia"/>
              </w:rPr>
              <w:t>具有有效的营业执照；</w:t>
            </w:r>
          </w:p>
          <w:p>
            <w:pPr>
              <w:pStyle w:val="25"/>
              <w:numPr>
                <w:ilvl w:val="0"/>
                <w:numId w:val="2"/>
              </w:numPr>
              <w:shd w:val="clear" w:color="auto" w:fill="FFFFFF"/>
              <w:spacing w:before="0" w:beforeAutospacing="0" w:after="0" w:afterAutospacing="0" w:line="336" w:lineRule="auto"/>
              <w:jc w:val="both"/>
            </w:pPr>
            <w:r>
              <w:rPr>
                <w:rFonts w:hint="eastAsia"/>
              </w:rPr>
              <w:t>法定代表人授权委托书及被委托人身份证（法定代表人参加投标时提供本人身份证）；</w:t>
            </w:r>
          </w:p>
          <w:p>
            <w:pPr>
              <w:pStyle w:val="25"/>
              <w:numPr>
                <w:ilvl w:val="0"/>
                <w:numId w:val="2"/>
              </w:numPr>
              <w:shd w:val="clear" w:color="auto" w:fill="FFFFFF"/>
              <w:spacing w:before="0" w:beforeAutospacing="0" w:after="0" w:afterAutospacing="0" w:line="336" w:lineRule="auto"/>
              <w:jc w:val="both"/>
            </w:pPr>
            <w:r>
              <w:rPr>
                <w:rFonts w:hint="eastAsia"/>
              </w:rPr>
              <w:t>在“信用中国”网站（www.creditchina.gov.cn）、中国政府采购网（www.ccgp.gov.cn）未被列入失信被执行人、重大税收违法失信主体、政府采购严重违法失信行为记录名单查询结果截图（采购公告发布之日起至投标截止时间内从上述网站中打印并加盖企业公章）；</w:t>
            </w:r>
          </w:p>
          <w:p>
            <w:pPr>
              <w:pStyle w:val="25"/>
              <w:numPr>
                <w:ilvl w:val="0"/>
                <w:numId w:val="2"/>
              </w:numPr>
              <w:shd w:val="clear" w:color="auto" w:fill="FFFFFF"/>
              <w:spacing w:before="0" w:beforeAutospacing="0" w:after="0" w:afterAutospacing="0" w:line="336" w:lineRule="auto"/>
              <w:jc w:val="both"/>
            </w:pPr>
            <w:r>
              <w:rPr>
                <w:rFonts w:hint="eastAsia"/>
              </w:rPr>
              <w:t>请根据“落实政府采购政策需满足的资格要求”，上传对应的资格文件，格式以采购文件要求为准（中小企业声明函）；</w:t>
            </w:r>
          </w:p>
          <w:p>
            <w:pPr>
              <w:pStyle w:val="25"/>
              <w:numPr>
                <w:ilvl w:val="0"/>
                <w:numId w:val="2"/>
              </w:numPr>
              <w:shd w:val="clear" w:color="auto" w:fill="FFFFFF"/>
              <w:spacing w:before="0" w:beforeAutospacing="0" w:after="0" w:afterAutospacing="0" w:line="336" w:lineRule="auto"/>
              <w:jc w:val="both"/>
            </w:pPr>
            <w:r>
              <w:rPr>
                <w:rFonts w:hint="eastAsia"/>
              </w:rPr>
              <w:t>保证金缴纳凭证或投标保函。</w:t>
            </w:r>
          </w:p>
          <w:p>
            <w:pPr>
              <w:pStyle w:val="25"/>
              <w:shd w:val="clear" w:color="auto" w:fill="FFFFFF"/>
              <w:spacing w:before="0" w:beforeAutospacing="0" w:after="0" w:afterAutospacing="0" w:line="336" w:lineRule="auto"/>
              <w:jc w:val="both"/>
              <w:rPr>
                <w:b/>
                <w:bCs/>
              </w:rPr>
            </w:pPr>
            <w:r>
              <w:rPr>
                <w:rFonts w:hint="eastAsia"/>
                <w:b/>
                <w:bCs/>
              </w:rPr>
              <w:t>注：请供应商在相应位置上传相关材料扫描件，无法提供以上资料的投标人为无效投标人，其投标文件不参与评审。</w:t>
            </w:r>
          </w:p>
          <w:p>
            <w:pPr>
              <w:pStyle w:val="25"/>
              <w:shd w:val="clear" w:color="auto" w:fill="FFFFFF"/>
              <w:spacing w:before="0" w:beforeAutospacing="0" w:after="0" w:afterAutospacing="0" w:line="336" w:lineRule="auto"/>
              <w:jc w:val="both"/>
              <w:rPr>
                <w:b/>
                <w:bCs/>
              </w:rPr>
            </w:pPr>
            <w:r>
              <w:rPr>
                <w:rFonts w:hint="eastAsia"/>
                <w:b/>
                <w:bCs/>
              </w:rPr>
              <w:t>标项四：</w:t>
            </w:r>
          </w:p>
          <w:p>
            <w:pPr>
              <w:pStyle w:val="25"/>
              <w:shd w:val="clear" w:color="auto" w:fill="FFFFFF"/>
              <w:spacing w:before="0" w:beforeAutospacing="0" w:after="0" w:afterAutospacing="0" w:line="336" w:lineRule="auto"/>
              <w:jc w:val="both"/>
            </w:pPr>
            <w:r>
              <w:rPr>
                <w:rFonts w:hint="eastAsia"/>
              </w:rPr>
              <w:t>（1）具有有效的营业执照；</w:t>
            </w:r>
          </w:p>
          <w:p>
            <w:pPr>
              <w:pStyle w:val="25"/>
              <w:shd w:val="clear" w:color="auto" w:fill="FFFFFF"/>
              <w:spacing w:before="0" w:beforeAutospacing="0" w:after="0" w:afterAutospacing="0" w:line="336" w:lineRule="auto"/>
              <w:jc w:val="both"/>
            </w:pPr>
            <w:r>
              <w:rPr>
                <w:rFonts w:hint="eastAsia"/>
              </w:rPr>
              <w:t>（2）法定代表人授权委托书及被委托人身份证（法定代表人参加投标时提供本人身份证）；</w:t>
            </w:r>
          </w:p>
          <w:p>
            <w:pPr>
              <w:pStyle w:val="25"/>
              <w:shd w:val="clear" w:color="auto" w:fill="FFFFFF"/>
              <w:spacing w:before="0" w:beforeAutospacing="0" w:after="0" w:afterAutospacing="0" w:line="336" w:lineRule="auto"/>
              <w:jc w:val="both"/>
            </w:pPr>
            <w:r>
              <w:rPr>
                <w:rFonts w:hint="eastAsia"/>
              </w:rPr>
              <w:t>（3）消防设施维护保养检测二级及以上资质；</w:t>
            </w:r>
          </w:p>
          <w:p>
            <w:pPr>
              <w:pStyle w:val="25"/>
              <w:shd w:val="clear" w:color="auto" w:fill="FFFFFF"/>
              <w:spacing w:before="0" w:beforeAutospacing="0" w:after="0" w:afterAutospacing="0" w:line="336" w:lineRule="auto"/>
              <w:jc w:val="both"/>
            </w:pPr>
            <w:r>
              <w:rPr>
                <w:rFonts w:hint="eastAsia"/>
              </w:rPr>
              <w:t>（4）消防维保操作技术人员须取得中级技能等级及以上建（构）筑物消防员资格证书；</w:t>
            </w:r>
          </w:p>
          <w:p>
            <w:pPr>
              <w:pStyle w:val="25"/>
              <w:shd w:val="clear" w:color="auto" w:fill="FFFFFF"/>
              <w:spacing w:before="0" w:beforeAutospacing="0" w:after="0" w:afterAutospacing="0" w:line="336" w:lineRule="auto"/>
              <w:jc w:val="both"/>
            </w:pPr>
            <w:r>
              <w:rPr>
                <w:rFonts w:hint="eastAsia"/>
              </w:rPr>
              <w:t>（5）在“信用中国”网站（www.creditchina.gov.cn）、中国政府采购网（www.ccgp.gov.cn）未被列入失信被执行人、重大税收违法失信主体、政府采购严重违法失信行为记录名单查询结果截图（采购公告发布之日起至投标截止时间内从上述网站中打印并加盖企业公章）；</w:t>
            </w:r>
          </w:p>
          <w:p>
            <w:pPr>
              <w:pStyle w:val="25"/>
              <w:shd w:val="clear" w:color="auto" w:fill="FFFFFF"/>
              <w:spacing w:before="0" w:beforeAutospacing="0" w:after="0" w:afterAutospacing="0" w:line="336" w:lineRule="auto"/>
              <w:jc w:val="both"/>
            </w:pPr>
            <w:r>
              <w:rPr>
                <w:rFonts w:hint="eastAsia"/>
              </w:rPr>
              <w:t>（6）请根据“落实政府采购政策需满足的资格要求”，上传对应的资格文件，格式以采购文件要求为准（中小企业声明函）；</w:t>
            </w:r>
          </w:p>
          <w:p>
            <w:pPr>
              <w:pStyle w:val="25"/>
              <w:shd w:val="clear" w:color="auto" w:fill="FFFFFF"/>
              <w:spacing w:before="0" w:beforeAutospacing="0" w:after="0" w:afterAutospacing="0" w:line="336" w:lineRule="auto"/>
              <w:jc w:val="both"/>
            </w:pPr>
            <w:r>
              <w:rPr>
                <w:rFonts w:hint="eastAsia"/>
              </w:rPr>
              <w:t>（7）保证金缴纳凭证或投标保函。</w:t>
            </w:r>
          </w:p>
          <w:p>
            <w:pPr>
              <w:pStyle w:val="25"/>
              <w:shd w:val="clear" w:color="auto" w:fill="FFFFFF"/>
              <w:spacing w:before="0" w:beforeAutospacing="0" w:after="0" w:afterAutospacing="0" w:line="336" w:lineRule="auto"/>
              <w:jc w:val="both"/>
              <w:rPr>
                <w:b/>
                <w:bCs/>
              </w:rPr>
            </w:pPr>
            <w:r>
              <w:rPr>
                <w:rFonts w:hint="eastAsia"/>
                <w:b/>
                <w:bCs/>
              </w:rPr>
              <w:t>注：请供应商在相应位置上传相关材料扫描件，无法提供以上资料的投标人为无效投标人，其投标文件不参与评审。</w:t>
            </w:r>
          </w:p>
          <w:p>
            <w:pPr>
              <w:pStyle w:val="25"/>
              <w:shd w:val="clear" w:color="auto" w:fill="FFFFFF"/>
              <w:spacing w:before="0" w:beforeAutospacing="0" w:after="0" w:afterAutospacing="0" w:line="336" w:lineRule="auto"/>
              <w:jc w:val="both"/>
              <w:rPr>
                <w:b/>
                <w:bCs/>
              </w:rPr>
            </w:pPr>
            <w:r>
              <w:rPr>
                <w:rFonts w:hint="eastAsia"/>
                <w:b/>
                <w:bCs/>
              </w:rPr>
              <w:t>标项五：</w:t>
            </w:r>
          </w:p>
          <w:p>
            <w:pPr>
              <w:pStyle w:val="25"/>
              <w:shd w:val="clear" w:color="auto" w:fill="FFFFFF"/>
              <w:spacing w:before="0" w:beforeAutospacing="0" w:after="0" w:afterAutospacing="0" w:line="336" w:lineRule="auto"/>
              <w:jc w:val="both"/>
            </w:pPr>
            <w:r>
              <w:rPr>
                <w:rFonts w:hint="eastAsia"/>
              </w:rPr>
              <w:t>（1）具有有效的营业执照；</w:t>
            </w:r>
          </w:p>
          <w:p>
            <w:pPr>
              <w:pStyle w:val="25"/>
              <w:shd w:val="clear" w:color="auto" w:fill="FFFFFF"/>
              <w:spacing w:before="0" w:beforeAutospacing="0" w:after="0" w:afterAutospacing="0" w:line="336" w:lineRule="auto"/>
              <w:jc w:val="both"/>
            </w:pPr>
            <w:r>
              <w:rPr>
                <w:rFonts w:hint="eastAsia"/>
              </w:rPr>
              <w:t>（2）法定代表人授权委托书及被委托人身份证（法定代表人参加投标时提供本人身份证）；</w:t>
            </w:r>
          </w:p>
          <w:p>
            <w:pPr>
              <w:pStyle w:val="25"/>
              <w:shd w:val="clear" w:color="auto" w:fill="FFFFFF"/>
              <w:spacing w:before="0" w:beforeAutospacing="0" w:after="0" w:afterAutospacing="0" w:line="336" w:lineRule="auto"/>
              <w:jc w:val="both"/>
            </w:pPr>
            <w:r>
              <w:rPr>
                <w:rFonts w:hint="eastAsia"/>
              </w:rPr>
              <w:t>（3）供应商具有建筑机电安装工程专业承包叁级及以上资质，具有有效的安全生产许可证且配有相应的专业技术人员；</w:t>
            </w:r>
          </w:p>
          <w:p>
            <w:pPr>
              <w:pStyle w:val="25"/>
              <w:shd w:val="clear" w:color="auto" w:fill="FFFFFF"/>
              <w:spacing w:before="0" w:beforeAutospacing="0" w:after="0" w:afterAutospacing="0" w:line="336" w:lineRule="auto"/>
              <w:jc w:val="both"/>
            </w:pPr>
            <w:r>
              <w:rPr>
                <w:rFonts w:hint="eastAsia"/>
              </w:rPr>
              <w:t>（4）在“信用中国”网站（www.creditchina.gov.cn）、中国政府采购网（www.ccgp.gov.cn）未被列入失信被执行人、重大税收违法失信主体、政府采购严重违法失信行为记录名单查询结果截图（采购公告发布之日起至投标截止时间内从上述网站中打印并加盖企业公章）；</w:t>
            </w:r>
          </w:p>
          <w:p>
            <w:pPr>
              <w:pStyle w:val="25"/>
              <w:shd w:val="clear" w:color="auto" w:fill="FFFFFF"/>
              <w:spacing w:before="0" w:beforeAutospacing="0" w:after="0" w:afterAutospacing="0" w:line="336" w:lineRule="auto"/>
              <w:jc w:val="both"/>
            </w:pPr>
            <w:r>
              <w:rPr>
                <w:rFonts w:hint="eastAsia"/>
              </w:rPr>
              <w:t>（5）请根据“落实政府采购政策需满足的资格要求”，上传对应的资格文件，格式以采购文件要求为准（中小企业声明函）；</w:t>
            </w:r>
          </w:p>
          <w:p>
            <w:pPr>
              <w:pStyle w:val="25"/>
              <w:shd w:val="clear" w:color="auto" w:fill="FFFFFF"/>
              <w:spacing w:before="0" w:beforeAutospacing="0" w:after="0" w:afterAutospacing="0" w:line="336" w:lineRule="auto"/>
              <w:jc w:val="both"/>
            </w:pPr>
            <w:r>
              <w:rPr>
                <w:rFonts w:hint="eastAsia"/>
              </w:rPr>
              <w:t>（6）保证金缴纳凭证或投标保函。</w:t>
            </w:r>
          </w:p>
          <w:p>
            <w:pPr>
              <w:pStyle w:val="25"/>
              <w:shd w:val="clear" w:color="auto" w:fill="FFFFFF"/>
              <w:spacing w:before="0" w:beforeAutospacing="0" w:after="0" w:afterAutospacing="0" w:line="336" w:lineRule="auto"/>
              <w:jc w:val="both"/>
              <w:rPr>
                <w:b/>
                <w:bCs/>
              </w:rPr>
            </w:pPr>
            <w:r>
              <w:rPr>
                <w:rFonts w:hint="eastAsia"/>
                <w:b/>
                <w:bCs/>
              </w:rPr>
              <w:t>注：请供应商在相应位置上传相关材料扫描件，无法提供以上资料的投标人为无效投标人，其投标文件不参与评审。</w:t>
            </w:r>
          </w:p>
          <w:p>
            <w:pPr>
              <w:pStyle w:val="25"/>
              <w:shd w:val="clear" w:color="auto" w:fill="FFFFFF"/>
              <w:spacing w:before="0" w:beforeAutospacing="0" w:after="0" w:afterAutospacing="0" w:line="336" w:lineRule="auto"/>
              <w:jc w:val="both"/>
              <w:rPr>
                <w:b/>
                <w:bCs/>
              </w:rPr>
            </w:pPr>
            <w:r>
              <w:rPr>
                <w:rFonts w:hint="eastAsia"/>
                <w:b/>
                <w:bCs/>
              </w:rPr>
              <w:t>标项七：</w:t>
            </w:r>
          </w:p>
          <w:p>
            <w:pPr>
              <w:pStyle w:val="25"/>
              <w:shd w:val="clear" w:color="auto" w:fill="FFFFFF"/>
              <w:spacing w:before="0" w:beforeAutospacing="0" w:after="0" w:afterAutospacing="0" w:line="336" w:lineRule="auto"/>
              <w:jc w:val="both"/>
              <w:rPr>
                <w:color w:val="000000"/>
                <w:kern w:val="2"/>
              </w:rPr>
            </w:pPr>
            <w:r>
              <w:rPr>
                <w:rFonts w:hint="eastAsia"/>
                <w:color w:val="000000"/>
                <w:kern w:val="2"/>
              </w:rPr>
              <w:t>（1）具有有效的营业执照；</w:t>
            </w:r>
          </w:p>
          <w:p>
            <w:pPr>
              <w:pStyle w:val="25"/>
              <w:shd w:val="clear" w:color="auto" w:fill="FFFFFF"/>
              <w:spacing w:before="0" w:beforeAutospacing="0" w:after="0" w:afterAutospacing="0" w:line="336" w:lineRule="auto"/>
              <w:jc w:val="both"/>
              <w:rPr>
                <w:color w:val="000000"/>
                <w:kern w:val="2"/>
              </w:rPr>
            </w:pPr>
            <w:r>
              <w:rPr>
                <w:rFonts w:hint="eastAsia"/>
                <w:color w:val="000000"/>
                <w:kern w:val="2"/>
              </w:rPr>
              <w:t>（2）具有《中华人民共和国特种设备安装改造维修许可证》电梯安装、维修资质B级及以上资质或《中华人民共和国特种设备生产许可证》电梯安装（含修理）曳引驱动乘客电梯(含消防员电梯)资质；</w:t>
            </w:r>
          </w:p>
          <w:p>
            <w:pPr>
              <w:pStyle w:val="25"/>
              <w:shd w:val="clear" w:color="auto" w:fill="FFFFFF"/>
              <w:spacing w:before="0" w:beforeAutospacing="0" w:after="0" w:afterAutospacing="0" w:line="336" w:lineRule="auto"/>
              <w:jc w:val="both"/>
              <w:rPr>
                <w:color w:val="000000"/>
                <w:kern w:val="2"/>
              </w:rPr>
            </w:pPr>
            <w:r>
              <w:rPr>
                <w:rFonts w:hint="eastAsia"/>
                <w:color w:val="000000"/>
                <w:kern w:val="2"/>
              </w:rPr>
              <w:t>（3）法定代表人授权委托书及被委托人身份证(法定代表人参加投标时提供本人身份证) ；</w:t>
            </w:r>
          </w:p>
          <w:p>
            <w:pPr>
              <w:pStyle w:val="25"/>
              <w:shd w:val="clear" w:color="auto" w:fill="FFFFFF"/>
              <w:spacing w:before="0" w:beforeAutospacing="0" w:after="0" w:afterAutospacing="0" w:line="336" w:lineRule="auto"/>
              <w:jc w:val="both"/>
              <w:rPr>
                <w:color w:val="000000"/>
                <w:kern w:val="2"/>
              </w:rPr>
            </w:pPr>
            <w:r>
              <w:rPr>
                <w:rFonts w:hint="eastAsia"/>
                <w:color w:val="000000"/>
                <w:kern w:val="2"/>
              </w:rPr>
              <w:t>（4）在“信用中国”网站（www.creditchina.gov.cn）、中国政府采购网（www.ccgp.gov.cn）未被列入失信被执行人、重大税收违法失信主体、政府采购严重违法失信行为记录名单查询结果截图（采购公告发布之日起至投标截止时间内从上述网站中打印并加盖企业公章）；</w:t>
            </w:r>
          </w:p>
          <w:p>
            <w:pPr>
              <w:pStyle w:val="25"/>
              <w:shd w:val="clear" w:color="auto" w:fill="FFFFFF"/>
              <w:spacing w:before="0" w:beforeAutospacing="0" w:after="0" w:afterAutospacing="0" w:line="336" w:lineRule="auto"/>
              <w:jc w:val="both"/>
              <w:rPr>
                <w:color w:val="000000"/>
                <w:kern w:val="2"/>
              </w:rPr>
            </w:pPr>
            <w:r>
              <w:rPr>
                <w:rFonts w:hint="eastAsia"/>
                <w:color w:val="000000"/>
                <w:kern w:val="2"/>
              </w:rPr>
              <w:t>（5）请根据“落实政府采购政策需满足的资格要求”，上传对应的资格文件，格式以采购文件要求为准 (中小企业声明函) ；</w:t>
            </w:r>
          </w:p>
          <w:p>
            <w:pPr>
              <w:pStyle w:val="25"/>
              <w:shd w:val="clear" w:color="auto" w:fill="FFFFFF"/>
              <w:spacing w:before="0" w:beforeAutospacing="0" w:after="0" w:afterAutospacing="0" w:line="336" w:lineRule="auto"/>
              <w:jc w:val="both"/>
              <w:rPr>
                <w:color w:val="000000"/>
                <w:kern w:val="2"/>
              </w:rPr>
            </w:pPr>
            <w:r>
              <w:rPr>
                <w:rFonts w:hint="eastAsia"/>
                <w:color w:val="000000"/>
                <w:kern w:val="2"/>
              </w:rPr>
              <w:t>（6） 保证金缴纳凭证或投标保函。</w:t>
            </w:r>
          </w:p>
          <w:p>
            <w:pPr>
              <w:pStyle w:val="26"/>
              <w:ind w:left="0"/>
            </w:pPr>
            <w:r>
              <w:rPr>
                <w:rFonts w:hint="eastAsia" w:ascii="宋体" w:hAnsi="宋体" w:cs="宋体"/>
                <w:b/>
                <w:bCs/>
                <w:sz w:val="24"/>
                <w:szCs w:val="24"/>
              </w:rPr>
              <w:t>注: 请供应商在相应位置上传相关材料扫描件，无法提供以上资料的投标人为无效投标人，其投标文件不参与评审。</w:t>
            </w:r>
          </w:p>
          <w:p>
            <w:pPr>
              <w:pStyle w:val="25"/>
              <w:shd w:val="clear" w:color="auto" w:fill="FFFFFF"/>
              <w:spacing w:before="0" w:beforeAutospacing="0" w:after="0" w:afterAutospacing="0" w:line="336" w:lineRule="auto"/>
              <w:jc w:val="both"/>
              <w:rPr>
                <w:b/>
                <w:bCs/>
              </w:rPr>
            </w:pPr>
            <w:r>
              <w:rPr>
                <w:rFonts w:hint="eastAsia"/>
                <w:b/>
                <w:bCs/>
              </w:rPr>
              <w:t>标项九：</w:t>
            </w:r>
          </w:p>
          <w:p>
            <w:pPr>
              <w:pStyle w:val="25"/>
              <w:shd w:val="clear" w:color="auto" w:fill="FFFFFF"/>
              <w:spacing w:before="0" w:beforeAutospacing="0" w:after="0" w:afterAutospacing="0" w:line="336" w:lineRule="auto"/>
              <w:jc w:val="both"/>
              <w:rPr>
                <w:color w:val="000000"/>
                <w:kern w:val="2"/>
              </w:rPr>
            </w:pPr>
            <w:r>
              <w:rPr>
                <w:rFonts w:hint="eastAsia"/>
                <w:color w:val="000000"/>
                <w:kern w:val="2"/>
              </w:rPr>
              <w:t>（1）具有有效的营业执照；</w:t>
            </w:r>
          </w:p>
          <w:p>
            <w:pPr>
              <w:pStyle w:val="25"/>
              <w:shd w:val="clear" w:color="auto" w:fill="FFFFFF"/>
              <w:spacing w:before="0" w:beforeAutospacing="0" w:after="0" w:afterAutospacing="0" w:line="336" w:lineRule="auto"/>
              <w:jc w:val="both"/>
              <w:rPr>
                <w:color w:val="000000"/>
                <w:kern w:val="2"/>
              </w:rPr>
            </w:pPr>
            <w:r>
              <w:rPr>
                <w:rFonts w:hint="eastAsia"/>
                <w:color w:val="000000"/>
                <w:kern w:val="2"/>
              </w:rPr>
              <w:t>（2）法定代表人授权委托书及被委托人身份证（法定代表人参加投标时提供本人身份证）；</w:t>
            </w:r>
          </w:p>
          <w:p>
            <w:pPr>
              <w:pStyle w:val="25"/>
              <w:shd w:val="clear" w:color="auto" w:fill="FFFFFF"/>
              <w:spacing w:before="0" w:beforeAutospacing="0" w:after="0" w:afterAutospacing="0" w:line="336" w:lineRule="auto"/>
              <w:jc w:val="both"/>
              <w:rPr>
                <w:color w:val="000000"/>
                <w:kern w:val="2"/>
              </w:rPr>
            </w:pPr>
            <w:r>
              <w:rPr>
                <w:rFonts w:hint="eastAsia"/>
                <w:color w:val="000000"/>
                <w:kern w:val="2"/>
              </w:rPr>
              <w:t>（3）供应商具有建筑机电安装工程专业承包叁级及以上资质，具有有效的安全生产许可证且配有相应的专业技术人员；</w:t>
            </w:r>
          </w:p>
          <w:p>
            <w:pPr>
              <w:pStyle w:val="25"/>
              <w:shd w:val="clear" w:color="auto" w:fill="FFFFFF"/>
              <w:spacing w:before="0" w:beforeAutospacing="0" w:after="0" w:afterAutospacing="0" w:line="336" w:lineRule="auto"/>
              <w:jc w:val="both"/>
              <w:rPr>
                <w:color w:val="000000"/>
                <w:kern w:val="2"/>
              </w:rPr>
            </w:pPr>
            <w:r>
              <w:rPr>
                <w:rFonts w:hint="eastAsia"/>
                <w:color w:val="000000"/>
                <w:kern w:val="2"/>
              </w:rPr>
              <w:t>（4）技术负责人需具备（机电工程）贰级注册建造师执业资格；</w:t>
            </w:r>
          </w:p>
          <w:p>
            <w:pPr>
              <w:pStyle w:val="25"/>
              <w:shd w:val="clear" w:color="auto" w:fill="FFFFFF"/>
              <w:spacing w:before="0" w:beforeAutospacing="0" w:after="0" w:afterAutospacing="0" w:line="336" w:lineRule="auto"/>
              <w:jc w:val="both"/>
              <w:rPr>
                <w:color w:val="000000"/>
                <w:kern w:val="2"/>
              </w:rPr>
            </w:pPr>
            <w:r>
              <w:rPr>
                <w:rFonts w:hint="eastAsia"/>
                <w:color w:val="000000"/>
                <w:kern w:val="2"/>
              </w:rPr>
              <w:t>（5）在“信用中国”网站（www.creditchina.gov.cn）、中国政府采购网（www.ccgp.gov.cn）未被列入失信被执行人、重大税收违法失信主体、政府采购严重违法失信行为记录名单查询结果截图（采购公告发布之日起至投标截止时间内从上述网站中打印并加盖企业公章）；</w:t>
            </w:r>
          </w:p>
          <w:p>
            <w:pPr>
              <w:pStyle w:val="25"/>
              <w:shd w:val="clear" w:color="auto" w:fill="FFFFFF"/>
              <w:spacing w:before="0" w:beforeAutospacing="0" w:after="0" w:afterAutospacing="0" w:line="336" w:lineRule="auto"/>
              <w:jc w:val="both"/>
              <w:rPr>
                <w:color w:val="000000"/>
                <w:kern w:val="2"/>
              </w:rPr>
            </w:pPr>
            <w:r>
              <w:rPr>
                <w:rFonts w:hint="eastAsia"/>
                <w:color w:val="000000"/>
                <w:kern w:val="2"/>
              </w:rPr>
              <w:t>（6）请根据“落实政府采购政策需满足的资格要求”，上传对应的资格文件，格式以采购文件要求为准（中小企业声明函）；</w:t>
            </w:r>
          </w:p>
          <w:p>
            <w:pPr>
              <w:pStyle w:val="25"/>
              <w:shd w:val="clear" w:color="auto" w:fill="FFFFFF"/>
              <w:spacing w:before="0" w:beforeAutospacing="0" w:after="0" w:afterAutospacing="0" w:line="336" w:lineRule="auto"/>
              <w:jc w:val="both"/>
              <w:rPr>
                <w:color w:val="000000"/>
                <w:kern w:val="2"/>
              </w:rPr>
            </w:pPr>
            <w:r>
              <w:rPr>
                <w:rFonts w:hint="eastAsia"/>
                <w:color w:val="000000"/>
                <w:kern w:val="2"/>
              </w:rPr>
              <w:t>（7）保证金缴纳凭证或投标保函。</w:t>
            </w:r>
          </w:p>
          <w:p>
            <w:pPr>
              <w:pStyle w:val="26"/>
              <w:ind w:left="0"/>
              <w:rPr>
                <w:rFonts w:ascii="宋体" w:hAnsi="宋体" w:cs="宋体"/>
                <w:sz w:val="24"/>
                <w:szCs w:val="24"/>
                <w:highlight w:val="yellow"/>
              </w:rPr>
            </w:pPr>
            <w:r>
              <w:rPr>
                <w:rFonts w:hint="eastAsia" w:ascii="宋体" w:hAnsi="宋体" w:cs="宋体"/>
                <w:b/>
                <w:bCs/>
                <w:sz w:val="24"/>
                <w:szCs w:val="24"/>
              </w:rPr>
              <w:t>注：请供应商在相应位置上传相关材料扫描件，无法提供以上资料的投标人为无效投标人，其投标文件不参与评审。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532" w:type="dxa"/>
            <w:vMerge w:val="restart"/>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22</w:t>
            </w:r>
          </w:p>
        </w:tc>
        <w:tc>
          <w:tcPr>
            <w:tcW w:w="1664" w:type="dxa"/>
            <w:vMerge w:val="restart"/>
            <w:tcBorders>
              <w:right w:val="single" w:color="auto" w:sz="4" w:space="0"/>
            </w:tcBorders>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公告及成交公示发布媒介</w:t>
            </w:r>
          </w:p>
        </w:tc>
        <w:tc>
          <w:tcPr>
            <w:tcW w:w="8337" w:type="dxa"/>
            <w:gridSpan w:val="6"/>
            <w:tcBorders>
              <w:left w:val="single" w:color="auto" w:sz="4" w:space="0"/>
              <w:bottom w:val="single" w:color="auto" w:sz="4" w:space="0"/>
            </w:tcBorders>
            <w:vAlign w:val="center"/>
          </w:tcPr>
          <w:p>
            <w:pPr>
              <w:autoSpaceDE w:val="0"/>
              <w:autoSpaceDN w:val="0"/>
              <w:adjustRightInd w:val="0"/>
              <w:snapToGrid w:val="0"/>
              <w:spacing w:line="360" w:lineRule="auto"/>
              <w:jc w:val="left"/>
              <w:rPr>
                <w:rFonts w:ascii="宋体" w:hAnsi="宋体" w:cs="宋体"/>
                <w:kern w:val="0"/>
                <w:sz w:val="24"/>
                <w:szCs w:val="24"/>
                <w:highlight w:val="yellow"/>
              </w:rPr>
            </w:pPr>
            <w:r>
              <w:rPr>
                <w:rFonts w:hint="eastAsia" w:ascii="宋体" w:hAnsi="宋体" w:cs="宋体"/>
                <w:b/>
                <w:kern w:val="0"/>
                <w:sz w:val="24"/>
                <w:szCs w:val="24"/>
              </w:rPr>
              <w:t>新疆政府采购网http://www.ccgp-xinjiang.gov.cn/伊犁州公共资源交易平台http://ggzy.xjyl.gov.cn/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532" w:type="dxa"/>
            <w:vMerge w:val="continue"/>
            <w:vAlign w:val="center"/>
          </w:tcPr>
          <w:p>
            <w:pPr>
              <w:autoSpaceDE w:val="0"/>
              <w:autoSpaceDN w:val="0"/>
              <w:adjustRightInd w:val="0"/>
              <w:snapToGrid w:val="0"/>
              <w:spacing w:line="360" w:lineRule="auto"/>
              <w:jc w:val="center"/>
              <w:rPr>
                <w:rFonts w:ascii="宋体" w:hAnsi="宋体" w:cs="宋体"/>
                <w:b/>
                <w:kern w:val="0"/>
                <w:sz w:val="24"/>
                <w:szCs w:val="24"/>
                <w:highlight w:val="yellow"/>
              </w:rPr>
            </w:pPr>
          </w:p>
        </w:tc>
        <w:tc>
          <w:tcPr>
            <w:tcW w:w="1664" w:type="dxa"/>
            <w:vMerge w:val="continue"/>
            <w:tcBorders>
              <w:right w:val="single" w:color="auto" w:sz="4" w:space="0"/>
            </w:tcBorders>
            <w:vAlign w:val="center"/>
          </w:tcPr>
          <w:p>
            <w:pPr>
              <w:autoSpaceDE w:val="0"/>
              <w:autoSpaceDN w:val="0"/>
              <w:adjustRightInd w:val="0"/>
              <w:snapToGrid w:val="0"/>
              <w:spacing w:line="360" w:lineRule="auto"/>
              <w:jc w:val="center"/>
              <w:rPr>
                <w:rFonts w:ascii="宋体" w:hAnsi="宋体" w:cs="宋体"/>
                <w:b/>
                <w:kern w:val="0"/>
                <w:sz w:val="24"/>
                <w:szCs w:val="24"/>
                <w:highlight w:val="yellow"/>
              </w:rPr>
            </w:pPr>
          </w:p>
        </w:tc>
        <w:tc>
          <w:tcPr>
            <w:tcW w:w="8337" w:type="dxa"/>
            <w:gridSpan w:val="6"/>
            <w:tcBorders>
              <w:top w:val="single" w:color="auto" w:sz="4" w:space="0"/>
              <w:left w:val="single" w:color="auto" w:sz="4" w:space="0"/>
            </w:tcBorders>
            <w:vAlign w:val="center"/>
          </w:tcPr>
          <w:p>
            <w:pPr>
              <w:autoSpaceDE w:val="0"/>
              <w:autoSpaceDN w:val="0"/>
              <w:adjustRightInd w:val="0"/>
              <w:snapToGrid w:val="0"/>
              <w:spacing w:line="360" w:lineRule="auto"/>
              <w:jc w:val="left"/>
              <w:rPr>
                <w:rFonts w:ascii="宋体" w:hAnsi="宋体" w:cs="宋体"/>
                <w:kern w:val="0"/>
                <w:sz w:val="24"/>
                <w:szCs w:val="24"/>
                <w:highlight w:val="yellow"/>
              </w:rPr>
            </w:pPr>
            <w:r>
              <w:rPr>
                <w:rFonts w:hint="eastAsia" w:ascii="宋体" w:hAnsi="宋体" w:cs="宋体"/>
                <w:kern w:val="0"/>
                <w:sz w:val="24"/>
                <w:szCs w:val="24"/>
              </w:rPr>
              <w:t>公示期不少于1工作日，公示期内无异议将向第一中标候选人发出成交通知书。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23</w:t>
            </w:r>
          </w:p>
        </w:tc>
        <w:tc>
          <w:tcPr>
            <w:tcW w:w="1664" w:type="dxa"/>
            <w:vAlign w:val="center"/>
          </w:tcPr>
          <w:p>
            <w:pPr>
              <w:overflowPunct w:val="0"/>
              <w:spacing w:line="360" w:lineRule="auto"/>
              <w:jc w:val="center"/>
              <w:rPr>
                <w:rFonts w:ascii="宋体" w:hAnsi="宋体" w:cs="宋体"/>
                <w:b/>
                <w:sz w:val="24"/>
                <w:szCs w:val="24"/>
              </w:rPr>
            </w:pPr>
            <w:r>
              <w:rPr>
                <w:rFonts w:hint="eastAsia" w:ascii="宋体" w:hAnsi="宋体" w:cs="宋体"/>
                <w:b/>
                <w:sz w:val="24"/>
                <w:szCs w:val="24"/>
              </w:rPr>
              <w:t>中标</w:t>
            </w:r>
          </w:p>
          <w:p>
            <w:pPr>
              <w:overflowPunct w:val="0"/>
              <w:spacing w:line="360" w:lineRule="auto"/>
              <w:jc w:val="center"/>
              <w:rPr>
                <w:rFonts w:ascii="宋体" w:hAnsi="宋体" w:cs="宋体"/>
                <w:b/>
                <w:sz w:val="24"/>
                <w:szCs w:val="24"/>
              </w:rPr>
            </w:pPr>
            <w:r>
              <w:rPr>
                <w:rFonts w:hint="eastAsia" w:ascii="宋体" w:hAnsi="宋体" w:cs="宋体"/>
                <w:b/>
                <w:sz w:val="24"/>
                <w:szCs w:val="24"/>
              </w:rPr>
              <w:t>通知书</w:t>
            </w:r>
          </w:p>
        </w:tc>
        <w:tc>
          <w:tcPr>
            <w:tcW w:w="8337" w:type="dxa"/>
            <w:gridSpan w:val="6"/>
            <w:vAlign w:val="center"/>
          </w:tcPr>
          <w:p>
            <w:pPr>
              <w:widowControl/>
              <w:spacing w:line="360" w:lineRule="auto"/>
              <w:ind w:left="14" w:leftChars="-45" w:hanging="108" w:hangingChars="45"/>
              <w:jc w:val="left"/>
              <w:rPr>
                <w:rFonts w:ascii="宋体" w:hAnsi="宋体" w:cs="宋体"/>
                <w:sz w:val="24"/>
                <w:szCs w:val="24"/>
              </w:rPr>
            </w:pPr>
            <w:r>
              <w:rPr>
                <w:rFonts w:hint="eastAsia" w:ascii="宋体" w:hAnsi="宋体" w:cs="宋体"/>
                <w:sz w:val="24"/>
                <w:szCs w:val="24"/>
              </w:rPr>
              <w:t>中标公示</w:t>
            </w:r>
            <w:r>
              <w:rPr>
                <w:rFonts w:hint="eastAsia" w:ascii="宋体" w:hAnsi="宋体" w:cs="宋体"/>
                <w:b/>
                <w:sz w:val="24"/>
                <w:szCs w:val="24"/>
              </w:rPr>
              <w:t>1</w:t>
            </w:r>
            <w:r>
              <w:rPr>
                <w:rFonts w:hint="eastAsia" w:ascii="宋体" w:hAnsi="宋体" w:cs="宋体"/>
                <w:sz w:val="24"/>
                <w:szCs w:val="24"/>
              </w:rPr>
              <w:t>工作日无异议后发放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24</w:t>
            </w:r>
          </w:p>
        </w:tc>
        <w:tc>
          <w:tcPr>
            <w:tcW w:w="1664" w:type="dxa"/>
            <w:vAlign w:val="center"/>
          </w:tcPr>
          <w:p>
            <w:pPr>
              <w:overflowPunct w:val="0"/>
              <w:spacing w:line="360" w:lineRule="auto"/>
              <w:jc w:val="center"/>
              <w:rPr>
                <w:rFonts w:ascii="宋体" w:hAnsi="宋体" w:cs="宋体"/>
                <w:b/>
                <w:sz w:val="24"/>
                <w:szCs w:val="24"/>
              </w:rPr>
            </w:pPr>
            <w:r>
              <w:rPr>
                <w:rFonts w:hint="eastAsia" w:ascii="宋体" w:hAnsi="宋体" w:cs="宋体"/>
                <w:b/>
                <w:sz w:val="24"/>
                <w:szCs w:val="24"/>
              </w:rPr>
              <w:t>签订合同时间</w:t>
            </w:r>
          </w:p>
        </w:tc>
        <w:tc>
          <w:tcPr>
            <w:tcW w:w="8337" w:type="dxa"/>
            <w:gridSpan w:val="6"/>
            <w:vAlign w:val="center"/>
          </w:tcPr>
          <w:p>
            <w:pPr>
              <w:widowControl/>
              <w:spacing w:line="360" w:lineRule="auto"/>
              <w:ind w:left="14" w:leftChars="-45" w:hanging="108" w:hangingChars="45"/>
              <w:jc w:val="left"/>
              <w:rPr>
                <w:rFonts w:ascii="宋体" w:hAnsi="宋体" w:cs="宋体"/>
                <w:sz w:val="24"/>
                <w:szCs w:val="24"/>
              </w:rPr>
            </w:pPr>
            <w:r>
              <w:rPr>
                <w:rFonts w:hint="eastAsia" w:ascii="宋体" w:hAnsi="宋体" w:cs="宋体"/>
                <w:sz w:val="24"/>
                <w:szCs w:val="24"/>
              </w:rPr>
              <w:t>成交通知书发出之日起</w:t>
            </w:r>
            <w:r>
              <w:rPr>
                <w:rFonts w:hint="eastAsia" w:ascii="宋体" w:hAnsi="宋体" w:cs="宋体"/>
                <w:b/>
                <w:sz w:val="24"/>
                <w:szCs w:val="24"/>
              </w:rPr>
              <w:t>30</w:t>
            </w:r>
            <w:r>
              <w:rPr>
                <w:rFonts w:hint="eastAsia" w:ascii="宋体" w:hAnsi="宋体" w:cs="宋体"/>
                <w:sz w:val="24"/>
                <w:szCs w:val="24"/>
              </w:rPr>
              <w:t>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25</w:t>
            </w:r>
          </w:p>
        </w:tc>
        <w:tc>
          <w:tcPr>
            <w:tcW w:w="1664" w:type="dxa"/>
            <w:vAlign w:val="center"/>
          </w:tcPr>
          <w:p>
            <w:pPr>
              <w:overflowPunct w:val="0"/>
              <w:spacing w:line="360" w:lineRule="auto"/>
              <w:jc w:val="center"/>
              <w:rPr>
                <w:rFonts w:ascii="宋体" w:hAnsi="宋体" w:cs="宋体"/>
                <w:b/>
                <w:sz w:val="24"/>
                <w:szCs w:val="24"/>
              </w:rPr>
            </w:pPr>
            <w:r>
              <w:rPr>
                <w:rFonts w:hint="eastAsia" w:ascii="宋体" w:hAnsi="宋体" w:cs="宋体"/>
                <w:b/>
                <w:sz w:val="24"/>
                <w:szCs w:val="24"/>
              </w:rPr>
              <w:t>代理</w:t>
            </w:r>
          </w:p>
          <w:p>
            <w:pPr>
              <w:overflowPunct w:val="0"/>
              <w:spacing w:line="360" w:lineRule="auto"/>
              <w:jc w:val="center"/>
              <w:rPr>
                <w:rFonts w:ascii="宋体" w:hAnsi="宋体" w:cs="宋体"/>
                <w:b/>
                <w:sz w:val="24"/>
                <w:szCs w:val="24"/>
              </w:rPr>
            </w:pPr>
            <w:r>
              <w:rPr>
                <w:rFonts w:hint="eastAsia" w:ascii="宋体" w:hAnsi="宋体" w:cs="宋体"/>
                <w:b/>
                <w:sz w:val="24"/>
                <w:szCs w:val="24"/>
              </w:rPr>
              <w:t>服务费</w:t>
            </w:r>
          </w:p>
        </w:tc>
        <w:tc>
          <w:tcPr>
            <w:tcW w:w="8337" w:type="dxa"/>
            <w:gridSpan w:val="6"/>
            <w:vAlign w:val="center"/>
          </w:tcPr>
          <w:p>
            <w:pPr>
              <w:widowControl/>
              <w:spacing w:line="360" w:lineRule="auto"/>
              <w:ind w:left="14" w:leftChars="-45" w:hanging="108" w:hangingChars="45"/>
              <w:jc w:val="left"/>
              <w:rPr>
                <w:rFonts w:ascii="宋体" w:hAnsi="宋体" w:cs="宋体"/>
                <w:sz w:val="24"/>
                <w:szCs w:val="24"/>
              </w:rPr>
            </w:pPr>
            <w:r>
              <w:rPr>
                <w:rFonts w:hint="eastAsia" w:ascii="宋体" w:hAnsi="宋体" w:cs="宋体"/>
                <w:sz w:val="24"/>
                <w:szCs w:val="24"/>
              </w:rPr>
              <w:t>参照国家发改价格[2011]534号文件的规定，由中标人支付。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26</w:t>
            </w:r>
          </w:p>
        </w:tc>
        <w:tc>
          <w:tcPr>
            <w:tcW w:w="1664" w:type="dxa"/>
            <w:vAlign w:val="center"/>
          </w:tcPr>
          <w:p>
            <w:pPr>
              <w:overflowPunct w:val="0"/>
              <w:spacing w:line="360" w:lineRule="auto"/>
              <w:jc w:val="center"/>
              <w:rPr>
                <w:rFonts w:ascii="宋体" w:hAnsi="宋体" w:cs="宋体"/>
                <w:b/>
                <w:sz w:val="24"/>
                <w:szCs w:val="24"/>
              </w:rPr>
            </w:pPr>
            <w:r>
              <w:rPr>
                <w:rFonts w:hint="eastAsia" w:ascii="宋体" w:hAnsi="宋体" w:cs="宋体"/>
                <w:b/>
                <w:sz w:val="24"/>
                <w:szCs w:val="24"/>
              </w:rPr>
              <w:t>文件</w:t>
            </w:r>
          </w:p>
          <w:p>
            <w:pPr>
              <w:overflowPunct w:val="0"/>
              <w:spacing w:line="360" w:lineRule="auto"/>
              <w:jc w:val="center"/>
              <w:rPr>
                <w:rFonts w:ascii="宋体" w:hAnsi="宋体" w:cs="宋体"/>
                <w:b/>
                <w:sz w:val="24"/>
                <w:szCs w:val="24"/>
              </w:rPr>
            </w:pPr>
            <w:r>
              <w:rPr>
                <w:rFonts w:hint="eastAsia" w:ascii="宋体" w:hAnsi="宋体" w:cs="宋体"/>
                <w:b/>
                <w:sz w:val="24"/>
                <w:szCs w:val="24"/>
              </w:rPr>
              <w:t>解释权</w:t>
            </w:r>
          </w:p>
        </w:tc>
        <w:tc>
          <w:tcPr>
            <w:tcW w:w="8337" w:type="dxa"/>
            <w:gridSpan w:val="6"/>
            <w:vAlign w:val="center"/>
          </w:tcPr>
          <w:p>
            <w:pPr>
              <w:widowControl/>
              <w:spacing w:line="360" w:lineRule="auto"/>
              <w:ind w:left="14" w:leftChars="-45" w:hanging="108" w:hangingChars="45"/>
              <w:jc w:val="left"/>
              <w:rPr>
                <w:rFonts w:ascii="宋体" w:hAnsi="宋体" w:cs="宋体"/>
                <w:sz w:val="24"/>
                <w:szCs w:val="24"/>
              </w:rPr>
            </w:pPr>
            <w:r>
              <w:rPr>
                <w:rFonts w:hint="eastAsia" w:ascii="宋体" w:hAnsi="宋体" w:cs="宋体"/>
                <w:sz w:val="24"/>
                <w:szCs w:val="24"/>
              </w:rPr>
              <w:t>本招标文件的解释权归</w:t>
            </w:r>
            <w:r>
              <w:rPr>
                <w:rFonts w:hint="eastAsia" w:ascii="宋体" w:hAnsi="宋体" w:cs="宋体"/>
                <w:b/>
                <w:sz w:val="24"/>
                <w:szCs w:val="24"/>
              </w:rPr>
              <w:t>伊犁哈萨克自治州妇幼保健院。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74"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27</w:t>
            </w:r>
          </w:p>
        </w:tc>
        <w:tc>
          <w:tcPr>
            <w:tcW w:w="1664" w:type="dxa"/>
            <w:vAlign w:val="center"/>
          </w:tcPr>
          <w:p>
            <w:pPr>
              <w:overflowPunct w:val="0"/>
              <w:spacing w:line="360" w:lineRule="auto"/>
              <w:jc w:val="center"/>
              <w:rPr>
                <w:rFonts w:ascii="宋体" w:hAnsi="宋体" w:cs="宋体"/>
                <w:b/>
                <w:sz w:val="24"/>
                <w:szCs w:val="24"/>
              </w:rPr>
            </w:pPr>
            <w:r>
              <w:rPr>
                <w:rFonts w:hint="eastAsia" w:ascii="宋体" w:hAnsi="宋体" w:cs="宋体"/>
                <w:b/>
                <w:sz w:val="24"/>
                <w:szCs w:val="24"/>
              </w:rPr>
              <w:t>其他要求</w:t>
            </w:r>
          </w:p>
        </w:tc>
        <w:tc>
          <w:tcPr>
            <w:tcW w:w="8337" w:type="dxa"/>
            <w:gridSpan w:val="6"/>
            <w:vAlign w:val="center"/>
          </w:tcPr>
          <w:p>
            <w:pPr>
              <w:widowControl/>
              <w:spacing w:line="360" w:lineRule="auto"/>
              <w:ind w:left="14" w:leftChars="-45" w:hanging="108" w:hangingChars="45"/>
              <w:jc w:val="left"/>
              <w:rPr>
                <w:rFonts w:ascii="宋体" w:hAnsi="宋体" w:cs="宋体"/>
                <w:sz w:val="24"/>
                <w:szCs w:val="24"/>
              </w:rPr>
            </w:pPr>
            <w:r>
              <w:rPr>
                <w:rFonts w:hint="eastAsia" w:ascii="宋体" w:hAnsi="宋体" w:cs="宋体"/>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的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14"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28</w:t>
            </w:r>
          </w:p>
        </w:tc>
        <w:tc>
          <w:tcPr>
            <w:tcW w:w="1664" w:type="dxa"/>
            <w:vAlign w:val="center"/>
          </w:tcPr>
          <w:p>
            <w:pPr>
              <w:overflowPunct w:val="0"/>
              <w:spacing w:line="360" w:lineRule="auto"/>
              <w:jc w:val="center"/>
              <w:rPr>
                <w:rFonts w:ascii="宋体" w:hAnsi="宋体" w:cs="宋体"/>
                <w:b/>
                <w:sz w:val="24"/>
                <w:szCs w:val="24"/>
              </w:rPr>
            </w:pPr>
            <w:r>
              <w:rPr>
                <w:rFonts w:hint="eastAsia" w:ascii="宋体" w:hAnsi="宋体" w:cs="宋体"/>
                <w:b/>
                <w:sz w:val="24"/>
                <w:szCs w:val="24"/>
              </w:rPr>
              <w:t>补充说明</w:t>
            </w:r>
          </w:p>
        </w:tc>
        <w:tc>
          <w:tcPr>
            <w:tcW w:w="8337" w:type="dxa"/>
            <w:gridSpan w:val="6"/>
            <w:vAlign w:val="center"/>
          </w:tcPr>
          <w:p>
            <w:pPr>
              <w:spacing w:line="440" w:lineRule="exact"/>
              <w:ind w:right="105" w:rightChars="50"/>
              <w:rPr>
                <w:rFonts w:ascii="宋体" w:hAnsi="宋体" w:cs="宋体"/>
                <w:sz w:val="24"/>
                <w:szCs w:val="24"/>
              </w:rPr>
            </w:pPr>
            <w:r>
              <w:rPr>
                <w:rFonts w:hint="eastAsia" w:ascii="宋体" w:hAnsi="宋体" w:cs="宋体"/>
                <w:sz w:val="24"/>
                <w:szCs w:val="24"/>
              </w:rPr>
              <w:t>本项目采用电子招标投标：1、投标文件解密时间：投标文件解密时间30分钟，开标前需投标单位用CA证书登录政采云平台开标大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pPr>
              <w:numPr>
                <w:ilvl w:val="0"/>
                <w:numId w:val="3"/>
              </w:numPr>
              <w:spacing w:line="440" w:lineRule="exact"/>
              <w:ind w:right="105" w:rightChars="50"/>
              <w:rPr>
                <w:rFonts w:ascii="宋体" w:hAnsi="宋体" w:cs="宋体"/>
                <w:sz w:val="24"/>
                <w:szCs w:val="24"/>
              </w:rPr>
            </w:pPr>
            <w:r>
              <w:rPr>
                <w:rFonts w:hint="eastAsia" w:ascii="宋体" w:hAnsi="宋体" w:cs="宋体"/>
                <w:sz w:val="24"/>
                <w:szCs w:val="24"/>
              </w:rPr>
              <w:t>供应商报价CA签字确认：报价文件开启后将开启签字时段，供应商须在20分钟内用CA证书对报价进行签字确认。</w:t>
            </w:r>
          </w:p>
          <w:p>
            <w:pPr>
              <w:spacing w:line="440" w:lineRule="exact"/>
              <w:ind w:right="105" w:rightChars="50"/>
              <w:rPr>
                <w:rFonts w:ascii="宋体" w:hAnsi="宋体" w:cs="宋体"/>
                <w:sz w:val="24"/>
                <w:szCs w:val="24"/>
              </w:rPr>
            </w:pPr>
            <w:r>
              <w:rPr>
                <w:rFonts w:hint="eastAsia" w:ascii="宋体" w:hAnsi="宋体" w:cs="宋体"/>
                <w:sz w:val="24"/>
                <w:szCs w:val="24"/>
              </w:rPr>
              <w:t>备注：1、本次采购采用电子交易方式，电子交易平台为“</w:t>
            </w:r>
            <w:r>
              <w:rPr>
                <w:rFonts w:hint="eastAsia" w:ascii="宋体" w:hAnsi="宋体" w:cs="宋体"/>
                <w:color w:val="000000"/>
                <w:sz w:val="24"/>
                <w:szCs w:val="24"/>
              </w:rPr>
              <w:t>政府采购云平台（www.zcygov.cn）</w:t>
            </w:r>
            <w:r>
              <w:rPr>
                <w:rFonts w:hint="eastAsia" w:ascii="宋体" w:hAnsi="宋体" w:cs="宋体"/>
                <w:sz w:val="24"/>
                <w:szCs w:val="24"/>
              </w:rPr>
              <w:t>”。供应商参与本项目电子交易活动前，应注册成为</w:t>
            </w:r>
            <w:r>
              <w:rPr>
                <w:rFonts w:hint="eastAsia" w:ascii="宋体" w:hAnsi="宋体" w:cs="宋体"/>
                <w:color w:val="000000"/>
                <w:sz w:val="24"/>
                <w:szCs w:val="24"/>
              </w:rPr>
              <w:t>政府采购云平台供应商</w:t>
            </w:r>
            <w:r>
              <w:rPr>
                <w:rFonts w:hint="eastAsia" w:ascii="宋体" w:hAnsi="宋体" w:cs="宋体"/>
                <w:sz w:val="24"/>
                <w:szCs w:val="24"/>
              </w:rPr>
              <w:t>。编制电子投标文件前还需申领CA证书并绑定帐号。供应商应充分考虑完成平台注册、申领CA证书等所需的时间。因未注册入库、未办理CA数字证书等原因造成无法投标或投标失败等后果由供应商自行承担。</w:t>
            </w:r>
          </w:p>
          <w:p>
            <w:pPr>
              <w:spacing w:line="440" w:lineRule="exact"/>
              <w:ind w:right="105" w:rightChars="50"/>
              <w:rPr>
                <w:rFonts w:ascii="宋体" w:hAnsi="宋体" w:cs="宋体"/>
                <w:sz w:val="24"/>
                <w:szCs w:val="24"/>
              </w:rPr>
            </w:pPr>
            <w:r>
              <w:rPr>
                <w:rFonts w:hint="eastAsia" w:ascii="宋体" w:hAnsi="宋体" w:cs="宋体"/>
                <w:sz w:val="24"/>
                <w:szCs w:val="24"/>
              </w:rPr>
              <w:t>2、供应商须在在投标截止时间前通过CA在政采云平台上传加密的电子投标文件。供应商在开标时须使用制作加密电子投标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pPr>
              <w:pStyle w:val="25"/>
              <w:shd w:val="clear" w:color="auto" w:fill="FFFFFF"/>
              <w:spacing w:before="0" w:beforeAutospacing="0" w:after="0" w:afterAutospacing="0" w:line="440" w:lineRule="exact"/>
            </w:pPr>
            <w:r>
              <w:rPr>
                <w:rFonts w:hint="eastAsia"/>
              </w:rPr>
              <w:t>3、</w:t>
            </w:r>
            <w:r>
              <w:rPr>
                <w:rFonts w:hint="eastAsia"/>
                <w:kern w:val="2"/>
              </w:rPr>
              <w:t>各供应商对不见面开评标系统的技术操作咨询，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w:t>
            </w:r>
            <w:r>
              <w:rPr>
                <w:rFonts w:hint="eastAsia"/>
                <w:color w:val="000000"/>
              </w:rPr>
              <w:t>95763</w:t>
            </w:r>
            <w:r>
              <w:rPr>
                <w:rFonts w:hint="eastAsia"/>
                <w:kern w:val="2"/>
              </w:rPr>
              <w:t>（工作时间：工作日08:00~20：00）   。</w:t>
            </w:r>
          </w:p>
          <w:p>
            <w:pPr>
              <w:spacing w:line="440" w:lineRule="exact"/>
              <w:ind w:right="105" w:rightChars="50"/>
              <w:rPr>
                <w:rFonts w:ascii="宋体" w:hAnsi="宋体" w:cs="宋体"/>
                <w:sz w:val="24"/>
                <w:szCs w:val="24"/>
              </w:rPr>
            </w:pPr>
            <w:r>
              <w:rPr>
                <w:rFonts w:hint="eastAsia" w:ascii="宋体" w:hAnsi="宋体" w:cs="宋体"/>
                <w:sz w:val="24"/>
                <w:szCs w:val="24"/>
              </w:rPr>
              <w:t>4、按评标办法提供材料。</w:t>
            </w:r>
          </w:p>
          <w:p>
            <w:pPr>
              <w:widowControl/>
              <w:spacing w:line="360" w:lineRule="auto"/>
              <w:jc w:val="left"/>
              <w:rPr>
                <w:rFonts w:ascii="宋体" w:hAnsi="宋体" w:cs="宋体"/>
                <w:sz w:val="24"/>
                <w:szCs w:val="24"/>
              </w:rPr>
            </w:pPr>
            <w:r>
              <w:rPr>
                <w:rFonts w:hint="eastAsia" w:ascii="宋体" w:hAnsi="宋体" w:cs="宋体"/>
                <w:sz w:val="24"/>
                <w:szCs w:val="24"/>
              </w:rPr>
              <w:t>5、须知前附表与正文描述不一致时，以须知前附表中为主。</w:t>
            </w:r>
          </w:p>
        </w:tc>
      </w:tr>
    </w:tbl>
    <w:p>
      <w:pPr>
        <w:pStyle w:val="21"/>
        <w:rPr>
          <w:highlight w:val="yellow"/>
        </w:rPr>
      </w:pPr>
    </w:p>
    <w:p>
      <w:pPr>
        <w:pStyle w:val="17"/>
        <w:rPr>
          <w:sz w:val="32"/>
          <w:szCs w:val="32"/>
          <w:highlight w:val="yellow"/>
        </w:rPr>
      </w:pPr>
    </w:p>
    <w:p>
      <w:pPr>
        <w:pStyle w:val="17"/>
        <w:rPr>
          <w:sz w:val="32"/>
          <w:szCs w:val="32"/>
          <w:highlight w:val="yellow"/>
        </w:rPr>
      </w:pPr>
    </w:p>
    <w:p>
      <w:pPr>
        <w:pStyle w:val="17"/>
        <w:rPr>
          <w:sz w:val="32"/>
          <w:szCs w:val="32"/>
          <w:highlight w:val="yellow"/>
        </w:rPr>
      </w:pPr>
    </w:p>
    <w:p>
      <w:pPr>
        <w:pStyle w:val="17"/>
        <w:rPr>
          <w:sz w:val="32"/>
          <w:szCs w:val="32"/>
          <w:highlight w:val="yellow"/>
        </w:rPr>
      </w:pPr>
    </w:p>
    <w:p>
      <w:pPr>
        <w:pStyle w:val="17"/>
        <w:rPr>
          <w:sz w:val="32"/>
          <w:szCs w:val="32"/>
          <w:highlight w:val="yellow"/>
        </w:rPr>
      </w:pPr>
    </w:p>
    <w:p>
      <w:pPr>
        <w:pStyle w:val="17"/>
        <w:rPr>
          <w:sz w:val="32"/>
          <w:szCs w:val="32"/>
          <w:highlight w:val="yellow"/>
        </w:rPr>
      </w:pPr>
    </w:p>
    <w:p>
      <w:pPr>
        <w:pStyle w:val="17"/>
        <w:rPr>
          <w:sz w:val="32"/>
          <w:szCs w:val="32"/>
          <w:highlight w:val="yellow"/>
        </w:rPr>
      </w:pPr>
    </w:p>
    <w:p>
      <w:pPr>
        <w:pStyle w:val="17"/>
        <w:rPr>
          <w:sz w:val="32"/>
          <w:szCs w:val="32"/>
          <w:highlight w:val="yellow"/>
        </w:rPr>
      </w:pPr>
    </w:p>
    <w:p>
      <w:pPr>
        <w:pStyle w:val="17"/>
        <w:rPr>
          <w:sz w:val="32"/>
          <w:szCs w:val="32"/>
          <w:highlight w:val="yellow"/>
        </w:rPr>
      </w:pPr>
    </w:p>
    <w:p>
      <w:pPr>
        <w:pStyle w:val="17"/>
        <w:rPr>
          <w:sz w:val="32"/>
          <w:szCs w:val="32"/>
          <w:highlight w:val="yellow"/>
        </w:rPr>
      </w:pPr>
    </w:p>
    <w:p>
      <w:pPr>
        <w:pStyle w:val="17"/>
        <w:rPr>
          <w:sz w:val="32"/>
          <w:szCs w:val="32"/>
          <w:highlight w:val="yellow"/>
        </w:rPr>
      </w:pPr>
    </w:p>
    <w:p>
      <w:pPr>
        <w:pStyle w:val="17"/>
        <w:rPr>
          <w:sz w:val="32"/>
          <w:szCs w:val="32"/>
          <w:highlight w:val="yellow"/>
        </w:rPr>
      </w:pPr>
    </w:p>
    <w:p>
      <w:pPr>
        <w:pStyle w:val="17"/>
        <w:rPr>
          <w:sz w:val="32"/>
          <w:szCs w:val="32"/>
          <w:highlight w:val="yellow"/>
        </w:rPr>
      </w:pPr>
    </w:p>
    <w:p>
      <w:pPr>
        <w:pStyle w:val="17"/>
        <w:rPr>
          <w:sz w:val="32"/>
          <w:szCs w:val="32"/>
          <w:highlight w:val="yellow"/>
        </w:rPr>
      </w:pPr>
    </w:p>
    <w:p>
      <w:pPr>
        <w:pStyle w:val="2"/>
        <w:rPr>
          <w:highlight w:val="yellow"/>
        </w:rPr>
      </w:pPr>
      <w:bookmarkStart w:id="3" w:name="_Toc8089"/>
    </w:p>
    <w:p>
      <w:pPr>
        <w:spacing w:line="360" w:lineRule="auto"/>
        <w:jc w:val="center"/>
        <w:outlineLvl w:val="0"/>
        <w:rPr>
          <w:rFonts w:ascii="仿宋" w:hAnsi="仿宋" w:eastAsia="仿宋" w:cs="仿宋"/>
          <w:b/>
          <w:kern w:val="44"/>
          <w:sz w:val="32"/>
          <w:szCs w:val="32"/>
        </w:rPr>
      </w:pPr>
      <w:r>
        <w:rPr>
          <w:rFonts w:hint="eastAsia" w:ascii="仿宋" w:hAnsi="仿宋" w:eastAsia="仿宋" w:cs="仿宋"/>
          <w:b/>
          <w:kern w:val="44"/>
          <w:sz w:val="32"/>
          <w:szCs w:val="32"/>
        </w:rPr>
        <w:t>第三章　投标人须知</w:t>
      </w:r>
      <w:bookmarkEnd w:id="3"/>
    </w:p>
    <w:p>
      <w:pPr>
        <w:spacing w:line="360" w:lineRule="auto"/>
        <w:jc w:val="center"/>
        <w:outlineLvl w:val="1"/>
        <w:rPr>
          <w:rFonts w:ascii="仿宋" w:hAnsi="仿宋" w:eastAsia="仿宋" w:cs="仿宋"/>
          <w:b/>
          <w:sz w:val="24"/>
          <w:szCs w:val="24"/>
        </w:rPr>
      </w:pPr>
      <w:bookmarkStart w:id="4" w:name="_Toc737"/>
      <w:bookmarkStart w:id="5" w:name="_Toc15914"/>
      <w:bookmarkStart w:id="6" w:name="_Toc18475"/>
      <w:r>
        <w:rPr>
          <w:rFonts w:hint="eastAsia" w:ascii="仿宋" w:hAnsi="仿宋" w:eastAsia="仿宋" w:cs="仿宋"/>
          <w:b/>
          <w:sz w:val="24"/>
          <w:szCs w:val="24"/>
        </w:rPr>
        <w:t>一、说明</w:t>
      </w:r>
      <w:bookmarkEnd w:id="4"/>
      <w:bookmarkEnd w:id="5"/>
      <w:bookmarkEnd w:id="6"/>
    </w:p>
    <w:p>
      <w:pPr>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7" w:name="_Toc19092"/>
      <w:bookmarkStart w:id="8" w:name="_Toc28947"/>
      <w:bookmarkStart w:id="9" w:name="_Toc23227"/>
      <w:bookmarkStart w:id="10" w:name="_Toc11143"/>
      <w:bookmarkStart w:id="11" w:name="_Toc32718"/>
      <w:r>
        <w:rPr>
          <w:rFonts w:hint="eastAsia" w:ascii="仿宋" w:hAnsi="仿宋" w:eastAsia="仿宋" w:cs="仿宋"/>
          <w:b/>
          <w:bCs/>
          <w:kern w:val="44"/>
          <w:sz w:val="24"/>
          <w:szCs w:val="24"/>
        </w:rPr>
        <w:t>说明：本招标文件使用的词语有如下定义</w:t>
      </w:r>
      <w:bookmarkEnd w:id="7"/>
      <w:bookmarkEnd w:id="8"/>
      <w:bookmarkEnd w:id="9"/>
      <w:bookmarkEnd w:id="10"/>
      <w:bookmarkEnd w:id="11"/>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 xml:space="preserve">“采购人”系指依法进行政府采购的国家机关、事业单位、团体组织。系指： </w:t>
      </w:r>
      <w:r>
        <w:rPr>
          <w:rFonts w:hint="eastAsia" w:ascii="仿宋" w:hAnsi="仿宋" w:eastAsia="仿宋" w:cs="仿宋"/>
          <w:sz w:val="24"/>
          <w:szCs w:val="24"/>
          <w:u w:val="single"/>
          <w:lang w:val="zh-CN"/>
        </w:rPr>
        <w:t xml:space="preserve">伊犁哈萨克自治州妇幼保健院 </w:t>
      </w:r>
      <w:r>
        <w:rPr>
          <w:rFonts w:hint="eastAsia" w:ascii="仿宋" w:hAnsi="仿宋" w:eastAsia="仿宋" w:cs="仿宋"/>
          <w:sz w:val="24"/>
          <w:szCs w:val="24"/>
          <w:lang w:val="zh-CN"/>
        </w:rPr>
        <w:t>。</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 xml:space="preserve">“采购代理机构”系指： </w:t>
      </w:r>
      <w:r>
        <w:rPr>
          <w:rFonts w:hint="eastAsia" w:ascii="仿宋" w:hAnsi="仿宋" w:eastAsia="仿宋" w:cs="仿宋"/>
          <w:sz w:val="24"/>
          <w:szCs w:val="24"/>
          <w:u w:val="single"/>
          <w:lang w:val="zh-CN"/>
        </w:rPr>
        <w:t>新疆霖鼎工程管理服务有限公司</w:t>
      </w:r>
      <w:r>
        <w:rPr>
          <w:rFonts w:hint="eastAsia" w:ascii="仿宋" w:hAnsi="仿宋" w:eastAsia="仿宋" w:cs="仿宋"/>
          <w:sz w:val="24"/>
          <w:szCs w:val="24"/>
          <w:lang w:val="zh-CN"/>
        </w:rPr>
        <w:t>。</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“投标人”系指响应采购、参加投标竞争的当事人。</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“成交人”系指由评标小组评审推荐，经法定程序确定获得本项目中标资格的投标人。</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“评标小组” 系指依法组建，负责本次采购的评标工作机构。</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“甲方”系指在合同条款中指明的采购人。</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“乙方”系指在合同条款中指明的本合同项下提供服务的公司或实体。</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“招标文件”系指由采购代理机构发出的本招标文件，包括全部章节和附件。</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“投标文件”系指投标人根据本招标文件向采购代理机构提交的全部文件。</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“书面函件” 系指手写、打字或印刷的函件，包括电传、电报和传真。</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“合同” 系指由本次采购所产生的合同或合约文件。</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“日期”系指公历日。</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“时间”系指北京时间。</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“货物”系指投标人须向采购人提供的符合招标文件要求的货。</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“服务”系指投标人须向采购人提供的符合招标文件要求的服务。</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“实质性响应”系指符合招标文件的所有要求、条款、条件和规定，且没有不利于项目实施质量效果和服务保障的重大偏离或保留。</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“重大偏离或保留”系指影响到招标文件规定的范围、质量和性能或限制了采购人的权力和投标人义务的规定，而纠正这些偏离将影响到其它投标人的公平竞争地位。</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盖章：一般情况指盖投标人的法定公章，除招标文件特别说明外，使用财务专用章、合同章、投标专用章等非公章的盖章，均作无效盖章处理。</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签署：一般情况指亲笔签字或使用盖私章方式，除招标文件特别说明外，其他方式均作无效签署处理。</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12" w:name="_Toc55778675"/>
      <w:bookmarkStart w:id="13" w:name="_Toc10541"/>
      <w:bookmarkStart w:id="14" w:name="_Toc4651"/>
      <w:bookmarkStart w:id="15" w:name="_Toc30404"/>
      <w:bookmarkStart w:id="16" w:name="_Toc2235"/>
      <w:bookmarkStart w:id="17" w:name="_Toc19223"/>
      <w:r>
        <w:rPr>
          <w:rFonts w:hint="eastAsia" w:ascii="仿宋" w:hAnsi="仿宋" w:eastAsia="仿宋" w:cs="仿宋"/>
          <w:b/>
          <w:bCs/>
          <w:kern w:val="44"/>
          <w:sz w:val="24"/>
          <w:szCs w:val="24"/>
        </w:rPr>
        <w:t>合格的投标人</w:t>
      </w:r>
      <w:bookmarkEnd w:id="12"/>
      <w:bookmarkEnd w:id="13"/>
      <w:bookmarkEnd w:id="14"/>
      <w:bookmarkEnd w:id="15"/>
      <w:bookmarkEnd w:id="16"/>
      <w:bookmarkEnd w:id="17"/>
    </w:p>
    <w:p>
      <w:pPr>
        <w:numPr>
          <w:ilvl w:val="1"/>
          <w:numId w:val="6"/>
        </w:numPr>
        <w:spacing w:line="360" w:lineRule="auto"/>
        <w:rPr>
          <w:rFonts w:ascii="仿宋" w:hAnsi="仿宋" w:eastAsia="仿宋" w:cs="仿宋"/>
          <w:sz w:val="24"/>
          <w:szCs w:val="24"/>
        </w:rPr>
      </w:pPr>
      <w:r>
        <w:rPr>
          <w:rFonts w:hint="eastAsia" w:ascii="仿宋" w:hAnsi="仿宋" w:eastAsia="仿宋" w:cs="仿宋"/>
          <w:sz w:val="24"/>
          <w:szCs w:val="24"/>
        </w:rPr>
        <w:t>除非另有规定，凡是在中华人民共和国境内注册且为人民币流通区域内的供货人均可投标。</w:t>
      </w:r>
    </w:p>
    <w:p>
      <w:pPr>
        <w:numPr>
          <w:ilvl w:val="1"/>
          <w:numId w:val="6"/>
        </w:numPr>
        <w:spacing w:line="360" w:lineRule="auto"/>
        <w:rPr>
          <w:rFonts w:ascii="仿宋" w:hAnsi="仿宋" w:eastAsia="仿宋" w:cs="仿宋"/>
          <w:sz w:val="24"/>
          <w:szCs w:val="24"/>
        </w:rPr>
      </w:pPr>
      <w:r>
        <w:rPr>
          <w:rFonts w:hint="eastAsia" w:ascii="仿宋" w:hAnsi="仿宋" w:eastAsia="仿宋" w:cs="仿宋"/>
          <w:sz w:val="24"/>
          <w:szCs w:val="24"/>
        </w:rPr>
        <w:t>投标人符合《中华人民共和国政府采购法》第22条和《中华人民共和国政府采购法实施条例》第17条规定的条件。</w:t>
      </w:r>
    </w:p>
    <w:p>
      <w:pPr>
        <w:numPr>
          <w:ilvl w:val="1"/>
          <w:numId w:val="6"/>
        </w:numPr>
        <w:spacing w:line="360" w:lineRule="auto"/>
        <w:rPr>
          <w:rFonts w:ascii="仿宋" w:hAnsi="仿宋" w:eastAsia="仿宋" w:cs="仿宋"/>
          <w:sz w:val="24"/>
          <w:szCs w:val="24"/>
        </w:rPr>
      </w:pPr>
      <w:r>
        <w:rPr>
          <w:rFonts w:hint="eastAsia" w:ascii="仿宋" w:hAnsi="仿宋" w:eastAsia="仿宋" w:cs="仿宋"/>
          <w:sz w:val="24"/>
          <w:szCs w:val="24"/>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numPr>
          <w:ilvl w:val="1"/>
          <w:numId w:val="6"/>
        </w:numPr>
        <w:spacing w:line="360" w:lineRule="auto"/>
        <w:rPr>
          <w:rFonts w:ascii="仿宋" w:hAnsi="仿宋" w:eastAsia="仿宋" w:cs="仿宋"/>
          <w:sz w:val="24"/>
          <w:szCs w:val="24"/>
        </w:rPr>
      </w:pPr>
      <w:r>
        <w:rPr>
          <w:rFonts w:hint="eastAsia" w:ascii="仿宋" w:hAnsi="仿宋" w:eastAsia="仿宋" w:cs="仿宋"/>
          <w:sz w:val="24"/>
          <w:szCs w:val="24"/>
        </w:rPr>
        <w:t>与采购人存在利害关系可能影响公正性的法人或其他组织或自然人不得参加投标。</w:t>
      </w:r>
    </w:p>
    <w:p>
      <w:pPr>
        <w:numPr>
          <w:ilvl w:val="1"/>
          <w:numId w:val="6"/>
        </w:numPr>
        <w:spacing w:line="360" w:lineRule="auto"/>
        <w:rPr>
          <w:rFonts w:ascii="仿宋" w:hAnsi="仿宋" w:eastAsia="仿宋" w:cs="仿宋"/>
          <w:sz w:val="24"/>
          <w:szCs w:val="24"/>
        </w:rPr>
      </w:pPr>
      <w:r>
        <w:rPr>
          <w:rFonts w:hint="eastAsia" w:ascii="仿宋" w:hAnsi="仿宋" w:eastAsia="仿宋" w:cs="仿宋"/>
          <w:sz w:val="24"/>
          <w:szCs w:val="24"/>
        </w:rPr>
        <w:t>招标文件要求的其他条件。</w:t>
      </w:r>
    </w:p>
    <w:p>
      <w:pPr>
        <w:pStyle w:val="3"/>
        <w:numPr>
          <w:ilvl w:val="0"/>
          <w:numId w:val="4"/>
        </w:numPr>
        <w:tabs>
          <w:tab w:val="left" w:pos="900"/>
          <w:tab w:val="clear" w:pos="425"/>
        </w:tabs>
        <w:spacing w:before="0" w:after="0" w:line="360" w:lineRule="auto"/>
        <w:ind w:left="924" w:hanging="924"/>
        <w:rPr>
          <w:rStyle w:val="54"/>
          <w:rFonts w:ascii="仿宋" w:hAnsi="仿宋" w:eastAsia="仿宋" w:cs="仿宋"/>
          <w:bCs/>
          <w:sz w:val="24"/>
          <w:szCs w:val="24"/>
        </w:rPr>
      </w:pPr>
      <w:bookmarkStart w:id="18" w:name="_Toc28554"/>
      <w:bookmarkStart w:id="19" w:name="_Toc20782"/>
      <w:bookmarkStart w:id="20" w:name="_Toc8868"/>
      <w:bookmarkStart w:id="21" w:name="_Toc55778677"/>
      <w:bookmarkStart w:id="22" w:name="_Toc2653"/>
      <w:bookmarkStart w:id="23" w:name="_Toc25107"/>
      <w:bookmarkStart w:id="24" w:name="_Toc15216"/>
      <w:r>
        <w:rPr>
          <w:rStyle w:val="54"/>
          <w:rFonts w:hint="eastAsia" w:ascii="仿宋" w:hAnsi="仿宋" w:eastAsia="仿宋" w:cs="仿宋"/>
          <w:bCs/>
          <w:sz w:val="24"/>
          <w:szCs w:val="24"/>
        </w:rPr>
        <w:t>投标费用</w:t>
      </w:r>
      <w:bookmarkEnd w:id="18"/>
      <w:bookmarkEnd w:id="19"/>
      <w:bookmarkEnd w:id="20"/>
      <w:bookmarkEnd w:id="21"/>
      <w:bookmarkEnd w:id="22"/>
      <w:bookmarkEnd w:id="23"/>
      <w:bookmarkEnd w:id="24"/>
    </w:p>
    <w:p>
      <w:pPr>
        <w:pStyle w:val="57"/>
        <w:numPr>
          <w:ilvl w:val="0"/>
          <w:numId w:val="7"/>
        </w:numPr>
        <w:spacing w:line="360" w:lineRule="auto"/>
        <w:ind w:firstLineChars="0"/>
        <w:rPr>
          <w:rFonts w:ascii="仿宋" w:hAnsi="仿宋" w:eastAsia="仿宋" w:cs="仿宋"/>
          <w:sz w:val="24"/>
          <w:szCs w:val="24"/>
        </w:rPr>
      </w:pPr>
      <w:r>
        <w:rPr>
          <w:rFonts w:hint="eastAsia" w:ascii="仿宋" w:hAnsi="仿宋" w:eastAsia="仿宋" w:cs="仿宋"/>
          <w:sz w:val="24"/>
          <w:szCs w:val="24"/>
        </w:rPr>
        <w:t>投标人应承担所有与准备和参加投标有关的费用。不论投标的结果如何，采购代理机构和采购人均无义务和责任承担这些费用。</w:t>
      </w:r>
    </w:p>
    <w:p>
      <w:pPr>
        <w:pStyle w:val="3"/>
        <w:numPr>
          <w:ilvl w:val="0"/>
          <w:numId w:val="4"/>
        </w:numPr>
        <w:tabs>
          <w:tab w:val="left" w:pos="900"/>
          <w:tab w:val="clear" w:pos="425"/>
        </w:tabs>
        <w:spacing w:before="0" w:after="0" w:line="360" w:lineRule="auto"/>
        <w:ind w:left="924" w:hanging="924"/>
        <w:rPr>
          <w:rFonts w:ascii="仿宋" w:hAnsi="仿宋" w:eastAsia="仿宋" w:cs="仿宋"/>
          <w:sz w:val="24"/>
          <w:szCs w:val="24"/>
        </w:rPr>
      </w:pPr>
      <w:bookmarkStart w:id="25" w:name="_Toc9407"/>
      <w:bookmarkStart w:id="26" w:name="_Toc14265"/>
      <w:bookmarkStart w:id="27" w:name="_Toc29258"/>
      <w:bookmarkStart w:id="28" w:name="_Toc2722"/>
      <w:bookmarkStart w:id="29" w:name="_Toc19746"/>
      <w:bookmarkStart w:id="30" w:name="_Toc55778678"/>
      <w:r>
        <w:rPr>
          <w:rStyle w:val="54"/>
          <w:rFonts w:hint="eastAsia" w:ascii="仿宋" w:hAnsi="仿宋" w:eastAsia="仿宋" w:cs="仿宋"/>
          <w:bCs w:val="0"/>
          <w:sz w:val="24"/>
          <w:szCs w:val="24"/>
        </w:rPr>
        <w:t>现场考察或者召开开标前答疑会</w:t>
      </w:r>
      <w:bookmarkEnd w:id="25"/>
      <w:bookmarkEnd w:id="26"/>
      <w:bookmarkEnd w:id="27"/>
      <w:bookmarkEnd w:id="28"/>
      <w:bookmarkEnd w:id="29"/>
      <w:bookmarkEnd w:id="30"/>
    </w:p>
    <w:p>
      <w:pPr>
        <w:numPr>
          <w:ilvl w:val="1"/>
          <w:numId w:val="8"/>
        </w:numPr>
        <w:spacing w:line="360" w:lineRule="auto"/>
        <w:rPr>
          <w:rFonts w:ascii="仿宋" w:hAnsi="仿宋" w:eastAsia="仿宋" w:cs="仿宋"/>
          <w:sz w:val="24"/>
          <w:szCs w:val="24"/>
        </w:rPr>
      </w:pPr>
      <w:bookmarkStart w:id="31" w:name="_Ref179620557"/>
      <w:r>
        <w:rPr>
          <w:rFonts w:hint="eastAsia" w:ascii="仿宋" w:hAnsi="仿宋" w:eastAsia="仿宋" w:cs="仿宋"/>
          <w:sz w:val="24"/>
          <w:szCs w:val="24"/>
        </w:rPr>
        <w:t>除非另有规定，不举行项目现场考察或者召开开标前答疑会，如举行现场考察或者召开开标前答疑会的，则按以下规定</w:t>
      </w:r>
      <w:bookmarkEnd w:id="31"/>
      <w:r>
        <w:rPr>
          <w:rFonts w:hint="eastAsia" w:ascii="仿宋" w:hAnsi="仿宋" w:eastAsia="仿宋" w:cs="仿宋"/>
          <w:sz w:val="24"/>
          <w:szCs w:val="24"/>
        </w:rPr>
        <w:t>：</w:t>
      </w:r>
    </w:p>
    <w:p>
      <w:pPr>
        <w:numPr>
          <w:ilvl w:val="0"/>
          <w:numId w:val="9"/>
        </w:numPr>
        <w:spacing w:line="360" w:lineRule="auto"/>
        <w:rPr>
          <w:rFonts w:ascii="仿宋" w:hAnsi="仿宋" w:eastAsia="仿宋" w:cs="仿宋"/>
          <w:sz w:val="24"/>
          <w:szCs w:val="24"/>
        </w:rPr>
      </w:pPr>
      <w:r>
        <w:rPr>
          <w:rFonts w:hint="eastAsia" w:ascii="仿宋" w:hAnsi="仿宋" w:eastAsia="仿宋" w:cs="仿宋"/>
          <w:sz w:val="24"/>
          <w:szCs w:val="24"/>
        </w:rPr>
        <w:t>在《投标须知前附表》中规定的日期、时间和地点组织现场考察或者召开开标前答疑会，以便投标人获取须自己负责的有关编制投标文件和签署合同所需的所有资料。踏勘现场所发生的费用由投标人自己承担</w:t>
      </w:r>
    </w:p>
    <w:p>
      <w:pPr>
        <w:numPr>
          <w:ilvl w:val="0"/>
          <w:numId w:val="9"/>
        </w:numPr>
        <w:spacing w:line="360" w:lineRule="auto"/>
        <w:rPr>
          <w:rFonts w:ascii="仿宋" w:hAnsi="仿宋" w:eastAsia="仿宋" w:cs="仿宋"/>
          <w:sz w:val="24"/>
          <w:szCs w:val="24"/>
        </w:rPr>
      </w:pPr>
      <w:r>
        <w:rPr>
          <w:rFonts w:hint="eastAsia" w:ascii="仿宋" w:hAnsi="仿宋" w:eastAsia="仿宋" w:cs="仿宋"/>
          <w:sz w:val="24"/>
          <w:szCs w:val="24"/>
        </w:rPr>
        <w:t>投标人对本项目提出的疑问，可在现场考察或者召开开标前答疑会召开日前至少一个工作日将问题清单以书面形式（加盖公章）提交至采购代理机构。</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32" w:name="_Toc16839"/>
      <w:bookmarkStart w:id="33" w:name="_Toc15619"/>
      <w:bookmarkStart w:id="34" w:name="_Toc20440"/>
      <w:bookmarkStart w:id="35" w:name="_Toc55778679"/>
      <w:bookmarkStart w:id="36" w:name="_Toc10763"/>
      <w:bookmarkStart w:id="37" w:name="_Toc27748"/>
      <w:r>
        <w:rPr>
          <w:rFonts w:hint="eastAsia" w:ascii="仿宋" w:hAnsi="仿宋" w:eastAsia="仿宋" w:cs="仿宋"/>
          <w:b/>
          <w:bCs/>
          <w:kern w:val="44"/>
          <w:sz w:val="24"/>
          <w:szCs w:val="24"/>
        </w:rPr>
        <w:t>开标的资质要求、时间及地点</w:t>
      </w:r>
      <w:bookmarkEnd w:id="32"/>
      <w:bookmarkEnd w:id="33"/>
      <w:bookmarkEnd w:id="34"/>
      <w:bookmarkEnd w:id="35"/>
      <w:bookmarkEnd w:id="36"/>
      <w:bookmarkEnd w:id="37"/>
    </w:p>
    <w:p>
      <w:pPr>
        <w:numPr>
          <w:ilvl w:val="1"/>
          <w:numId w:val="4"/>
        </w:numPr>
        <w:tabs>
          <w:tab w:val="left" w:pos="907"/>
          <w:tab w:val="clear" w:pos="992"/>
        </w:tabs>
        <w:spacing w:line="360" w:lineRule="auto"/>
        <w:rPr>
          <w:rFonts w:ascii="仿宋" w:hAnsi="仿宋" w:eastAsia="仿宋" w:cs="仿宋"/>
          <w:sz w:val="24"/>
          <w:szCs w:val="24"/>
        </w:rPr>
      </w:pPr>
      <w:bookmarkStart w:id="38" w:name="_Toc55778680"/>
      <w:r>
        <w:rPr>
          <w:rFonts w:hint="eastAsia" w:ascii="仿宋" w:hAnsi="仿宋" w:eastAsia="仿宋" w:cs="仿宋"/>
          <w:sz w:val="24"/>
          <w:szCs w:val="24"/>
        </w:rPr>
        <w:t xml:space="preserve"> 本项目开标的时间、地点已在第二章《投标须知前附表》列清。</w:t>
      </w:r>
    </w:p>
    <w:p>
      <w:pPr>
        <w:numPr>
          <w:ilvl w:val="1"/>
          <w:numId w:val="4"/>
        </w:numPr>
        <w:tabs>
          <w:tab w:val="left" w:pos="907"/>
          <w:tab w:val="clear" w:pos="992"/>
        </w:tabs>
        <w:spacing w:line="360" w:lineRule="auto"/>
        <w:rPr>
          <w:rFonts w:ascii="仿宋" w:hAnsi="仿宋" w:eastAsia="仿宋" w:cs="仿宋"/>
          <w:sz w:val="24"/>
          <w:szCs w:val="24"/>
        </w:rPr>
      </w:pPr>
      <w:r>
        <w:rPr>
          <w:rFonts w:hint="eastAsia" w:ascii="仿宋" w:hAnsi="仿宋" w:eastAsia="仿宋" w:cs="仿宋"/>
          <w:sz w:val="24"/>
          <w:szCs w:val="24"/>
        </w:rPr>
        <w:t xml:space="preserve"> 本项目采用不见面开标，投标人需要递交电子投标文件。加密的电子投标文件，在投标截止时间前通过政采云平台上传到指定位置，无需递交纸质文件。开标当日，投标人无需到达开标现场，仅需通过政采云系统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政采云平台发生故障，导致无法按时完成响应文件解密或开、评标工作无法进行的，可根据实际情况相应延迟解密时间或调整开、评标时间。</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39" w:name="_Toc8863"/>
      <w:bookmarkStart w:id="40" w:name="_Toc12859"/>
      <w:bookmarkStart w:id="41" w:name="_Toc18733"/>
      <w:bookmarkStart w:id="42" w:name="_Toc23617"/>
      <w:bookmarkStart w:id="43" w:name="_Toc2052"/>
      <w:r>
        <w:rPr>
          <w:rFonts w:hint="eastAsia" w:ascii="仿宋" w:hAnsi="仿宋" w:eastAsia="仿宋" w:cs="仿宋"/>
          <w:b/>
          <w:bCs/>
          <w:kern w:val="44"/>
          <w:sz w:val="24"/>
          <w:szCs w:val="24"/>
        </w:rPr>
        <w:t>纪律与保密事项</w:t>
      </w:r>
      <w:bookmarkEnd w:id="38"/>
      <w:bookmarkEnd w:id="39"/>
      <w:bookmarkEnd w:id="40"/>
      <w:bookmarkEnd w:id="41"/>
      <w:bookmarkEnd w:id="42"/>
      <w:bookmarkEnd w:id="43"/>
    </w:p>
    <w:p>
      <w:pPr>
        <w:numPr>
          <w:ilvl w:val="1"/>
          <w:numId w:val="10"/>
        </w:numPr>
        <w:spacing w:line="360" w:lineRule="auto"/>
        <w:rPr>
          <w:rFonts w:ascii="仿宋" w:hAnsi="仿宋" w:eastAsia="仿宋" w:cs="仿宋"/>
          <w:sz w:val="24"/>
          <w:szCs w:val="24"/>
        </w:rPr>
      </w:pPr>
      <w:r>
        <w:rPr>
          <w:rFonts w:hint="eastAsia" w:ascii="仿宋" w:hAnsi="仿宋" w:eastAsia="仿宋" w:cs="仿宋"/>
          <w:sz w:val="24"/>
          <w:szCs w:val="24"/>
        </w:rPr>
        <w:t>凡参与招标工作的有关人员均应自觉接受有关主管部门的监督，不得向他人透露已获得招标文件的潜在投标人的名称、数量以及可能影响公平竞争的有关招标投标的其他情况。</w:t>
      </w:r>
    </w:p>
    <w:p>
      <w:pPr>
        <w:numPr>
          <w:ilvl w:val="1"/>
          <w:numId w:val="10"/>
        </w:numPr>
        <w:spacing w:line="360" w:lineRule="auto"/>
        <w:rPr>
          <w:rFonts w:ascii="仿宋" w:hAnsi="仿宋" w:eastAsia="仿宋" w:cs="仿宋"/>
          <w:sz w:val="24"/>
          <w:szCs w:val="24"/>
        </w:rPr>
      </w:pPr>
      <w:r>
        <w:rPr>
          <w:rFonts w:hint="eastAsia" w:ascii="仿宋" w:hAnsi="仿宋" w:eastAsia="仿宋" w:cs="仿宋"/>
          <w:sz w:val="24"/>
          <w:szCs w:val="24"/>
        </w:rPr>
        <w:t>开标后，直至向中标的投标人发出《中标通知书》时止，凡与审查、澄清、评价和比较投标的有关资料以及授标意见等，均不得向投标人及与评标无关的其他人透露。</w:t>
      </w:r>
    </w:p>
    <w:p>
      <w:pPr>
        <w:numPr>
          <w:ilvl w:val="1"/>
          <w:numId w:val="10"/>
        </w:numPr>
        <w:spacing w:line="360" w:lineRule="auto"/>
        <w:rPr>
          <w:rFonts w:ascii="仿宋" w:hAnsi="仿宋" w:eastAsia="仿宋" w:cs="仿宋"/>
          <w:sz w:val="24"/>
          <w:szCs w:val="24"/>
        </w:rPr>
      </w:pPr>
      <w:r>
        <w:rPr>
          <w:rFonts w:hint="eastAsia" w:ascii="仿宋" w:hAnsi="仿宋" w:eastAsia="仿宋" w:cs="仿宋"/>
          <w:sz w:val="24"/>
          <w:szCs w:val="24"/>
        </w:rPr>
        <w:t>除投标人被要求对投标文件进行澄清外，从开标至签订合同期间，投标人不得就与其投标文件有关的事项主动与评标小组、采购代理机构以及采购人联系。</w:t>
      </w:r>
    </w:p>
    <w:p>
      <w:pPr>
        <w:numPr>
          <w:ilvl w:val="1"/>
          <w:numId w:val="10"/>
        </w:numPr>
        <w:spacing w:line="360" w:lineRule="auto"/>
        <w:rPr>
          <w:rFonts w:ascii="仿宋" w:hAnsi="仿宋" w:eastAsia="仿宋" w:cs="仿宋"/>
          <w:sz w:val="24"/>
          <w:szCs w:val="24"/>
        </w:rPr>
      </w:pPr>
      <w:r>
        <w:rPr>
          <w:rFonts w:hint="eastAsia" w:ascii="仿宋" w:hAnsi="仿宋" w:eastAsia="仿宋" w:cs="仿宋"/>
          <w:sz w:val="24"/>
          <w:szCs w:val="24"/>
        </w:rPr>
        <w:t>从开标至签订合同期间，投标人试图在投标文件审查、澄清、比较和评价时对评标小组和招标机构施加任何影响或对采购人的比较及授予合同的决定进行影响，都可能导致其投标文件被拒绝。</w:t>
      </w:r>
    </w:p>
    <w:p>
      <w:pPr>
        <w:numPr>
          <w:ilvl w:val="1"/>
          <w:numId w:val="10"/>
        </w:numPr>
        <w:spacing w:line="360" w:lineRule="auto"/>
        <w:rPr>
          <w:rFonts w:ascii="仿宋" w:hAnsi="仿宋" w:eastAsia="仿宋" w:cs="仿宋"/>
          <w:sz w:val="24"/>
          <w:szCs w:val="24"/>
        </w:rPr>
      </w:pPr>
      <w:r>
        <w:rPr>
          <w:rFonts w:hint="eastAsia" w:ascii="仿宋" w:hAnsi="仿宋" w:eastAsia="仿宋" w:cs="仿宋"/>
          <w:sz w:val="24"/>
          <w:szCs w:val="24"/>
        </w:rPr>
        <w:t>投标人不得串通作弊，以不正当的手段妨碍、排挤其他投标人，扰乱招标市场，破坏公平竞争原则。</w:t>
      </w:r>
    </w:p>
    <w:p>
      <w:pPr>
        <w:numPr>
          <w:ilvl w:val="1"/>
          <w:numId w:val="10"/>
        </w:numPr>
        <w:spacing w:line="360" w:lineRule="auto"/>
        <w:rPr>
          <w:rFonts w:ascii="仿宋" w:hAnsi="仿宋" w:eastAsia="仿宋" w:cs="仿宋"/>
          <w:sz w:val="24"/>
          <w:szCs w:val="24"/>
        </w:rPr>
      </w:pPr>
      <w:r>
        <w:rPr>
          <w:rFonts w:hint="eastAsia" w:ascii="仿宋" w:hAnsi="仿宋" w:eastAsia="仿宋" w:cs="仿宋"/>
          <w:sz w:val="24"/>
          <w:szCs w:val="24"/>
        </w:rPr>
        <w:t>获得本招标文件者，应对文件进行保密，不得用作本次投标以外的任何用途。若有要求，开标后，投标人应归还招标文件中的保密的文件和资料。</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44" w:name="_Toc20462"/>
      <w:bookmarkStart w:id="45" w:name="_Toc17472"/>
      <w:bookmarkStart w:id="46" w:name="_Toc55778681"/>
      <w:bookmarkStart w:id="47" w:name="_Toc20913"/>
      <w:bookmarkStart w:id="48" w:name="_Toc13606"/>
      <w:bookmarkStart w:id="49" w:name="_Toc5873"/>
      <w:r>
        <w:rPr>
          <w:rFonts w:hint="eastAsia" w:ascii="仿宋" w:hAnsi="仿宋" w:eastAsia="仿宋" w:cs="仿宋"/>
          <w:b/>
          <w:bCs/>
          <w:kern w:val="44"/>
          <w:sz w:val="24"/>
          <w:szCs w:val="24"/>
        </w:rPr>
        <w:t>保证</w:t>
      </w:r>
      <w:bookmarkEnd w:id="44"/>
      <w:bookmarkEnd w:id="45"/>
      <w:bookmarkEnd w:id="46"/>
      <w:bookmarkEnd w:id="47"/>
      <w:bookmarkEnd w:id="48"/>
      <w:bookmarkEnd w:id="49"/>
    </w:p>
    <w:p>
      <w:pPr>
        <w:numPr>
          <w:ilvl w:val="1"/>
          <w:numId w:val="11"/>
        </w:numPr>
        <w:spacing w:line="360" w:lineRule="auto"/>
        <w:rPr>
          <w:rFonts w:ascii="仿宋" w:hAnsi="仿宋" w:eastAsia="仿宋" w:cs="仿宋"/>
          <w:sz w:val="24"/>
          <w:szCs w:val="24"/>
        </w:rPr>
      </w:pPr>
      <w:r>
        <w:rPr>
          <w:rFonts w:hint="eastAsia" w:ascii="仿宋" w:hAnsi="仿宋" w:eastAsia="仿宋" w:cs="仿宋"/>
          <w:sz w:val="24"/>
          <w:szCs w:val="24"/>
        </w:rPr>
        <w:t>投标人必须保证所提交给采购代理机构、采购人的资料和数据是真实的，并承担相应的法律责任。</w:t>
      </w:r>
    </w:p>
    <w:p>
      <w:pPr>
        <w:pStyle w:val="17"/>
        <w:jc w:val="center"/>
        <w:rPr>
          <w:rFonts w:ascii="仿宋" w:hAnsi="仿宋" w:eastAsia="仿宋" w:cs="仿宋"/>
          <w:b/>
          <w:bCs/>
          <w:sz w:val="24"/>
          <w:szCs w:val="24"/>
        </w:rPr>
      </w:pPr>
      <w:bookmarkStart w:id="50" w:name="_Toc30778"/>
      <w:bookmarkStart w:id="51" w:name="_Toc55778682"/>
      <w:r>
        <w:rPr>
          <w:rFonts w:hint="eastAsia" w:ascii="仿宋" w:hAnsi="仿宋" w:eastAsia="仿宋" w:cs="仿宋"/>
          <w:b/>
          <w:bCs/>
          <w:sz w:val="24"/>
          <w:szCs w:val="24"/>
        </w:rPr>
        <w:t>二、招标文件</w:t>
      </w:r>
      <w:bookmarkEnd w:id="50"/>
      <w:bookmarkEnd w:id="51"/>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52" w:name="_Toc13680"/>
      <w:bookmarkStart w:id="53" w:name="_Toc6842"/>
      <w:bookmarkStart w:id="54" w:name="_Toc55778683"/>
      <w:bookmarkStart w:id="55" w:name="_Toc5513"/>
      <w:bookmarkStart w:id="56" w:name="_Toc7611"/>
      <w:bookmarkStart w:id="57" w:name="_Toc6970"/>
      <w:bookmarkStart w:id="58" w:name="_Toc25851"/>
      <w:r>
        <w:rPr>
          <w:rFonts w:hint="eastAsia" w:ascii="仿宋" w:hAnsi="仿宋" w:eastAsia="仿宋" w:cs="仿宋"/>
          <w:b/>
          <w:bCs/>
          <w:kern w:val="44"/>
          <w:sz w:val="24"/>
          <w:szCs w:val="24"/>
        </w:rPr>
        <w:t>招标文件的编制依据与构成</w:t>
      </w:r>
      <w:bookmarkEnd w:id="52"/>
      <w:bookmarkEnd w:id="53"/>
      <w:bookmarkEnd w:id="54"/>
      <w:bookmarkEnd w:id="55"/>
      <w:bookmarkEnd w:id="56"/>
      <w:bookmarkEnd w:id="57"/>
      <w:bookmarkEnd w:id="58"/>
    </w:p>
    <w:p>
      <w:pPr>
        <w:tabs>
          <w:tab w:val="left" w:pos="907"/>
        </w:tabs>
        <w:spacing w:line="360" w:lineRule="auto"/>
        <w:ind w:left="720" w:hanging="720" w:hangingChars="300"/>
        <w:rPr>
          <w:rFonts w:ascii="仿宋" w:hAnsi="仿宋" w:eastAsia="仿宋" w:cs="仿宋"/>
          <w:sz w:val="24"/>
          <w:szCs w:val="24"/>
        </w:rPr>
      </w:pPr>
      <w:r>
        <w:rPr>
          <w:rFonts w:hint="eastAsia" w:ascii="仿宋" w:hAnsi="仿宋" w:eastAsia="仿宋" w:cs="仿宋"/>
          <w:sz w:val="24"/>
          <w:szCs w:val="24"/>
        </w:rPr>
        <w:t>8.1   本招标文件的编制依据是《中华人民共和国政府采购法》、《中华人民共和国政府采购法实施条例》、《政府采购货物和服务招标投标管理办法》及其配套的法规、规章、政策等。</w:t>
      </w:r>
    </w:p>
    <w:p>
      <w:pPr>
        <w:tabs>
          <w:tab w:val="left" w:pos="907"/>
        </w:tabs>
        <w:spacing w:line="360" w:lineRule="auto"/>
        <w:ind w:left="720" w:hanging="720" w:hangingChars="300"/>
        <w:rPr>
          <w:rFonts w:ascii="仿宋" w:hAnsi="仿宋" w:eastAsia="仿宋" w:cs="仿宋"/>
          <w:sz w:val="24"/>
          <w:szCs w:val="24"/>
        </w:rPr>
      </w:pPr>
      <w:r>
        <w:rPr>
          <w:rFonts w:hint="eastAsia" w:ascii="仿宋" w:hAnsi="仿宋" w:eastAsia="仿宋" w:cs="仿宋"/>
          <w:sz w:val="24"/>
          <w:szCs w:val="24"/>
        </w:rPr>
        <w:t>8.2   招标文件以中文文字编写。招标文件共六章。招标文件由下列文件以及在招标过程中发出的澄清、修改和补充文件组成，内容如下：</w:t>
      </w:r>
    </w:p>
    <w:p>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第一章 招标公告</w:t>
      </w:r>
    </w:p>
    <w:p>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第二章 投标须知前附表</w:t>
      </w:r>
    </w:p>
    <w:p>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第三章 投标人须知</w:t>
      </w:r>
    </w:p>
    <w:p>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第四章 合同格式</w:t>
      </w:r>
    </w:p>
    <w:p>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第五章 采购需求</w:t>
      </w:r>
    </w:p>
    <w:p>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第六章 投标文件格式</w:t>
      </w:r>
    </w:p>
    <w:p>
      <w:pPr>
        <w:tabs>
          <w:tab w:val="left" w:pos="907"/>
        </w:tabs>
        <w:spacing w:line="360" w:lineRule="auto"/>
        <w:ind w:left="720" w:hanging="720" w:hangingChars="300"/>
        <w:rPr>
          <w:rFonts w:ascii="仿宋" w:hAnsi="仿宋" w:eastAsia="仿宋" w:cs="仿宋"/>
          <w:sz w:val="24"/>
          <w:szCs w:val="24"/>
        </w:rPr>
      </w:pPr>
      <w:r>
        <w:rPr>
          <w:rFonts w:hint="eastAsia" w:ascii="仿宋" w:hAnsi="仿宋" w:eastAsia="仿宋" w:cs="仿宋"/>
          <w:sz w:val="24"/>
          <w:szCs w:val="24"/>
        </w:rPr>
        <w:t>8.3   投标人应仔细阅读招标文件的全部内容，按照招标文件要求编制投标文件。任何对招标文件的忽略或误解不能作为投标文件存在缺陷或瑕疵的理由，其风险由投标人承担。投标人对招标文件有疑问的请以书面形式向采购人、采购代理机构提出,提出后，请投标人及时通过新疆政采云平台查看答疑文件或澄清文件。投标人应及时注意新疆政采云发布的澄清或修改通知并下载，因投标人原因未及时获知澄清、修改或补充内容而导致的任何后果将由投标人自行承担。</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59" w:name="_Toc28706"/>
      <w:bookmarkStart w:id="60" w:name="_Toc22484"/>
      <w:bookmarkStart w:id="61" w:name="_Toc18515"/>
      <w:bookmarkStart w:id="62" w:name="_Toc55778684"/>
      <w:bookmarkStart w:id="63" w:name="_Toc17320"/>
      <w:bookmarkStart w:id="64" w:name="_Toc24522"/>
      <w:r>
        <w:rPr>
          <w:rFonts w:hint="eastAsia" w:ascii="仿宋" w:hAnsi="仿宋" w:eastAsia="仿宋" w:cs="仿宋"/>
          <w:b/>
          <w:kern w:val="44"/>
          <w:sz w:val="24"/>
          <w:szCs w:val="24"/>
        </w:rPr>
        <w:t>招标文件的澄清或修改</w:t>
      </w:r>
      <w:bookmarkEnd w:id="59"/>
      <w:bookmarkEnd w:id="60"/>
      <w:bookmarkEnd w:id="61"/>
      <w:bookmarkEnd w:id="62"/>
      <w:bookmarkEnd w:id="63"/>
      <w:bookmarkEnd w:id="64"/>
    </w:p>
    <w:p>
      <w:pPr>
        <w:tabs>
          <w:tab w:val="left" w:pos="907"/>
        </w:tabs>
        <w:spacing w:line="360" w:lineRule="auto"/>
        <w:ind w:left="720" w:hanging="720" w:hangingChars="300"/>
        <w:rPr>
          <w:rFonts w:ascii="仿宋" w:hAnsi="仿宋" w:eastAsia="仿宋" w:cs="仿宋"/>
          <w:sz w:val="24"/>
          <w:szCs w:val="24"/>
        </w:rPr>
      </w:pPr>
      <w:r>
        <w:rPr>
          <w:rFonts w:hint="eastAsia" w:ascii="仿宋" w:hAnsi="仿宋" w:eastAsia="仿宋" w:cs="仿宋"/>
          <w:sz w:val="24"/>
          <w:szCs w:val="24"/>
        </w:rPr>
        <w:t>9.1　投标人应仔细阅读和检查招标文件的全部内容。投标人若对招标文件有任何疑问，应按照招标文件第二章“投标人须知前附表”第26项规定向采购代理机构提出。提出后，请投标人及时通过新疆政采云平台查看答疑文件或澄清文件。必要时，采购代理机构将组织相关专家召开答疑会，如召开，答疑会安排另行通知。并在新疆政采云平台发布更正公告。投标人在规定的时间内未对招标文件提出疑问或要求澄清的，采购代理机构将视其为同意，对在“答疑接受时间”后就招标文件内容提出的疑问及澄清要求将不予受理。</w:t>
      </w:r>
    </w:p>
    <w:p>
      <w:pPr>
        <w:tabs>
          <w:tab w:val="left" w:pos="907"/>
        </w:tabs>
        <w:spacing w:line="360" w:lineRule="auto"/>
        <w:ind w:left="720" w:hanging="720" w:hangingChars="300"/>
        <w:rPr>
          <w:rFonts w:ascii="仿宋" w:hAnsi="仿宋" w:eastAsia="仿宋" w:cs="仿宋"/>
          <w:sz w:val="24"/>
          <w:szCs w:val="24"/>
        </w:rPr>
      </w:pPr>
      <w:r>
        <w:rPr>
          <w:rFonts w:hint="eastAsia" w:ascii="仿宋" w:hAnsi="仿宋" w:eastAsia="仿宋" w:cs="仿宋"/>
          <w:sz w:val="24"/>
          <w:szCs w:val="24"/>
        </w:rPr>
        <w:t>9.2　如果澄清或者修改时间距本章投标人须知前附表规定的投标截止时间不足15日，将相应顺延提交投标文件的截止时间，澄清或者修改时间具体见投标人须知前附表。</w:t>
      </w:r>
    </w:p>
    <w:p>
      <w:pPr>
        <w:tabs>
          <w:tab w:val="left" w:pos="907"/>
        </w:tabs>
        <w:spacing w:line="360" w:lineRule="auto"/>
        <w:ind w:left="720" w:hanging="720" w:hangingChars="300"/>
        <w:rPr>
          <w:rFonts w:ascii="仿宋" w:hAnsi="仿宋" w:eastAsia="仿宋" w:cs="仿宋"/>
          <w:sz w:val="24"/>
          <w:szCs w:val="24"/>
        </w:rPr>
      </w:pPr>
      <w:r>
        <w:rPr>
          <w:rFonts w:hint="eastAsia" w:ascii="仿宋" w:hAnsi="仿宋" w:eastAsia="仿宋" w:cs="仿宋"/>
          <w:sz w:val="24"/>
          <w:szCs w:val="24"/>
        </w:rPr>
        <w:t>9.3　澄清或者修改内容为招标文件的组成部分，对所有领取了招标文件的潜在投标人均具有约束力。</w:t>
      </w:r>
    </w:p>
    <w:p>
      <w:pPr>
        <w:tabs>
          <w:tab w:val="left" w:pos="907"/>
        </w:tabs>
        <w:spacing w:line="360" w:lineRule="auto"/>
        <w:ind w:left="720" w:hanging="720" w:hangingChars="300"/>
        <w:rPr>
          <w:rFonts w:ascii="仿宋" w:hAnsi="仿宋" w:eastAsia="仿宋" w:cs="仿宋"/>
          <w:sz w:val="24"/>
          <w:szCs w:val="24"/>
        </w:rPr>
      </w:pPr>
      <w:r>
        <w:rPr>
          <w:rFonts w:hint="eastAsia" w:ascii="仿宋" w:hAnsi="仿宋" w:eastAsia="仿宋" w:cs="仿宋"/>
          <w:sz w:val="24"/>
          <w:szCs w:val="24"/>
        </w:rPr>
        <w:t>9.4  投标人应注意及时新疆政采云发布的澄清或修改通知并下载，因投标人原因未及时获知澄清、修改或补充内容而导致的任何后果将由投标人自行承担。</w:t>
      </w:r>
    </w:p>
    <w:p>
      <w:pPr>
        <w:tabs>
          <w:tab w:val="left" w:pos="907"/>
        </w:tabs>
        <w:spacing w:line="360" w:lineRule="auto"/>
        <w:ind w:left="720" w:hanging="720" w:hangingChars="300"/>
        <w:rPr>
          <w:rFonts w:ascii="仿宋" w:hAnsi="仿宋" w:eastAsia="仿宋" w:cs="仿宋"/>
          <w:sz w:val="24"/>
          <w:szCs w:val="24"/>
          <w:highlight w:val="yellow"/>
        </w:rPr>
      </w:pPr>
    </w:p>
    <w:p>
      <w:pPr>
        <w:pStyle w:val="4"/>
        <w:spacing w:before="0" w:after="0" w:line="360" w:lineRule="auto"/>
        <w:jc w:val="center"/>
        <w:rPr>
          <w:rFonts w:ascii="仿宋" w:hAnsi="仿宋" w:eastAsia="仿宋" w:cs="仿宋"/>
          <w:sz w:val="24"/>
          <w:szCs w:val="24"/>
        </w:rPr>
      </w:pPr>
      <w:bookmarkStart w:id="65" w:name="_Toc55778685"/>
      <w:bookmarkStart w:id="66" w:name="_Toc1964"/>
      <w:r>
        <w:rPr>
          <w:rFonts w:hint="eastAsia" w:ascii="仿宋" w:hAnsi="仿宋" w:eastAsia="仿宋" w:cs="仿宋"/>
          <w:sz w:val="24"/>
          <w:szCs w:val="24"/>
        </w:rPr>
        <w:t>三、投标文件的编制</w:t>
      </w:r>
      <w:bookmarkEnd w:id="65"/>
      <w:bookmarkEnd w:id="66"/>
    </w:p>
    <w:p>
      <w:pPr>
        <w:pStyle w:val="3"/>
        <w:numPr>
          <w:ilvl w:val="0"/>
          <w:numId w:val="4"/>
        </w:numPr>
        <w:tabs>
          <w:tab w:val="left" w:pos="900"/>
          <w:tab w:val="clear" w:pos="425"/>
        </w:tabs>
        <w:spacing w:before="0" w:after="0" w:line="360" w:lineRule="auto"/>
        <w:ind w:left="924" w:hanging="924"/>
        <w:rPr>
          <w:rStyle w:val="54"/>
          <w:rFonts w:ascii="仿宋" w:hAnsi="仿宋" w:eastAsia="仿宋" w:cs="仿宋"/>
          <w:bCs/>
          <w:sz w:val="24"/>
          <w:szCs w:val="24"/>
        </w:rPr>
      </w:pPr>
      <w:bookmarkStart w:id="67" w:name="_Toc25330"/>
      <w:bookmarkStart w:id="68" w:name="_Toc4795"/>
      <w:bookmarkStart w:id="69" w:name="_Toc887"/>
      <w:bookmarkStart w:id="70" w:name="_Toc19464"/>
      <w:bookmarkStart w:id="71" w:name="_Toc55778686"/>
      <w:bookmarkStart w:id="72" w:name="_Toc23495"/>
      <w:r>
        <w:rPr>
          <w:rStyle w:val="54"/>
          <w:rFonts w:hint="eastAsia" w:ascii="仿宋" w:hAnsi="仿宋" w:eastAsia="仿宋" w:cs="仿宋"/>
          <w:bCs/>
          <w:sz w:val="24"/>
          <w:szCs w:val="24"/>
        </w:rPr>
        <w:t>投标的语言</w:t>
      </w:r>
      <w:bookmarkEnd w:id="67"/>
      <w:bookmarkEnd w:id="68"/>
      <w:bookmarkEnd w:id="69"/>
      <w:bookmarkEnd w:id="70"/>
      <w:bookmarkEnd w:id="71"/>
      <w:bookmarkEnd w:id="72"/>
    </w:p>
    <w:p>
      <w:pPr>
        <w:numPr>
          <w:ilvl w:val="1"/>
          <w:numId w:val="12"/>
        </w:numPr>
        <w:spacing w:line="360" w:lineRule="auto"/>
        <w:rPr>
          <w:rFonts w:ascii="仿宋" w:hAnsi="仿宋" w:eastAsia="仿宋" w:cs="仿宋"/>
          <w:sz w:val="24"/>
          <w:szCs w:val="24"/>
        </w:rPr>
      </w:pPr>
      <w:bookmarkStart w:id="73" w:name="_Ref179620571"/>
      <w:r>
        <w:rPr>
          <w:rFonts w:hint="eastAsia" w:ascii="仿宋" w:hAnsi="仿宋" w:eastAsia="仿宋" w:cs="仿宋"/>
          <w:sz w:val="24"/>
          <w:szCs w:val="24"/>
        </w:rPr>
        <w:t>投标人提交的投标文件以及投标人与采购代理机构和采购人就有关投标的所有来往函电均应使用</w:t>
      </w:r>
      <w:r>
        <w:rPr>
          <w:rFonts w:hint="eastAsia" w:ascii="仿宋" w:hAnsi="仿宋" w:eastAsia="仿宋" w:cs="仿宋"/>
          <w:bCs/>
          <w:sz w:val="24"/>
          <w:szCs w:val="24"/>
        </w:rPr>
        <w:t>中文书写。投标人提交的支持文件或印刷的资料可以用另一种语言，但相应内容应附有中文翻译本</w:t>
      </w:r>
      <w:r>
        <w:rPr>
          <w:rFonts w:hint="eastAsia" w:ascii="仿宋" w:hAnsi="仿宋" w:eastAsia="仿宋" w:cs="仿宋"/>
          <w:sz w:val="24"/>
          <w:szCs w:val="24"/>
        </w:rPr>
        <w:t>，在解释投标文件时以翻译本为准。</w:t>
      </w:r>
      <w:bookmarkEnd w:id="73"/>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74" w:name="_Toc31342"/>
      <w:bookmarkStart w:id="75" w:name="_Toc21704"/>
      <w:bookmarkStart w:id="76" w:name="_Toc23086"/>
      <w:bookmarkStart w:id="77" w:name="_Toc15173"/>
      <w:bookmarkStart w:id="78" w:name="_Toc55778688"/>
      <w:bookmarkStart w:id="79" w:name="_Toc2079"/>
      <w:r>
        <w:rPr>
          <w:rFonts w:hint="eastAsia" w:ascii="仿宋" w:hAnsi="仿宋" w:eastAsia="仿宋" w:cs="仿宋"/>
          <w:b/>
          <w:bCs/>
          <w:kern w:val="44"/>
          <w:sz w:val="24"/>
          <w:szCs w:val="24"/>
        </w:rPr>
        <w:t>投标文件的构成</w:t>
      </w:r>
      <w:bookmarkEnd w:id="74"/>
      <w:bookmarkEnd w:id="75"/>
      <w:bookmarkEnd w:id="76"/>
      <w:bookmarkEnd w:id="77"/>
      <w:bookmarkEnd w:id="78"/>
      <w:bookmarkEnd w:id="79"/>
    </w:p>
    <w:p>
      <w:pPr>
        <w:numPr>
          <w:ilvl w:val="1"/>
          <w:numId w:val="13"/>
        </w:numPr>
        <w:spacing w:line="360" w:lineRule="auto"/>
        <w:rPr>
          <w:rFonts w:ascii="仿宋" w:hAnsi="仿宋" w:eastAsia="仿宋" w:cs="仿宋"/>
          <w:sz w:val="24"/>
          <w:szCs w:val="24"/>
        </w:rPr>
      </w:pPr>
      <w:r>
        <w:rPr>
          <w:rFonts w:hint="eastAsia" w:ascii="仿宋" w:hAnsi="仿宋" w:eastAsia="仿宋" w:cs="仿宋"/>
          <w:sz w:val="24"/>
          <w:szCs w:val="24"/>
        </w:rPr>
        <w:t>详见招标文件第六章《投标文件格式》</w:t>
      </w:r>
    </w:p>
    <w:p>
      <w:pPr>
        <w:numPr>
          <w:ilvl w:val="1"/>
          <w:numId w:val="13"/>
        </w:numPr>
        <w:spacing w:line="360" w:lineRule="auto"/>
        <w:rPr>
          <w:rFonts w:ascii="仿宋" w:hAnsi="仿宋" w:eastAsia="仿宋" w:cs="仿宋"/>
          <w:sz w:val="24"/>
          <w:szCs w:val="24"/>
        </w:rPr>
      </w:pPr>
      <w:r>
        <w:rPr>
          <w:rFonts w:hint="eastAsia" w:ascii="仿宋" w:hAnsi="仿宋" w:eastAsia="仿宋" w:cs="仿宋"/>
          <w:sz w:val="24"/>
          <w:szCs w:val="24"/>
        </w:rPr>
        <w:t>投标人有义务按照以上构成要求将投标文件编上唯一的页码并装订成册，不可出现缺页或重页的现象。</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80" w:name="_Toc23426"/>
      <w:bookmarkStart w:id="81" w:name="_Toc55778689"/>
      <w:bookmarkStart w:id="82" w:name="_Toc6980"/>
      <w:bookmarkStart w:id="83" w:name="_Toc24782"/>
      <w:bookmarkStart w:id="84" w:name="_Toc24925"/>
      <w:bookmarkStart w:id="85" w:name="_Toc30134"/>
      <w:r>
        <w:rPr>
          <w:rFonts w:hint="eastAsia" w:ascii="仿宋" w:hAnsi="仿宋" w:eastAsia="仿宋" w:cs="仿宋"/>
          <w:b/>
          <w:bCs/>
          <w:kern w:val="44"/>
          <w:sz w:val="24"/>
          <w:szCs w:val="24"/>
        </w:rPr>
        <w:t>投标文件电子文档</w:t>
      </w:r>
      <w:bookmarkEnd w:id="80"/>
      <w:bookmarkEnd w:id="81"/>
      <w:bookmarkEnd w:id="82"/>
      <w:bookmarkEnd w:id="83"/>
      <w:bookmarkEnd w:id="84"/>
      <w:bookmarkEnd w:id="85"/>
    </w:p>
    <w:p>
      <w:pPr>
        <w:numPr>
          <w:ilvl w:val="1"/>
          <w:numId w:val="14"/>
        </w:numPr>
        <w:spacing w:line="360" w:lineRule="auto"/>
        <w:rPr>
          <w:rFonts w:ascii="仿宋" w:hAnsi="仿宋" w:eastAsia="仿宋" w:cs="仿宋"/>
          <w:kern w:val="0"/>
          <w:sz w:val="24"/>
          <w:szCs w:val="24"/>
        </w:rPr>
      </w:pPr>
      <w:bookmarkStart w:id="86" w:name="_Toc55778690"/>
      <w:bookmarkStart w:id="87" w:name="_Toc22266"/>
      <w:r>
        <w:rPr>
          <w:rFonts w:hint="eastAsia" w:ascii="仿宋" w:hAnsi="仿宋" w:eastAsia="仿宋" w:cs="仿宋"/>
          <w:sz w:val="24"/>
          <w:szCs w:val="24"/>
        </w:rPr>
        <w:t>投标文件应采用电子形式</w:t>
      </w:r>
      <w:r>
        <w:rPr>
          <w:rFonts w:hint="eastAsia" w:ascii="仿宋" w:hAnsi="仿宋" w:eastAsia="仿宋" w:cs="仿宋"/>
          <w:color w:val="000000"/>
          <w:sz w:val="24"/>
          <w:szCs w:val="24"/>
        </w:rPr>
        <w:t>。</w:t>
      </w:r>
    </w:p>
    <w:p>
      <w:pPr>
        <w:numPr>
          <w:ilvl w:val="1"/>
          <w:numId w:val="14"/>
        </w:numPr>
        <w:spacing w:line="360" w:lineRule="auto"/>
        <w:rPr>
          <w:rFonts w:ascii="仿宋" w:hAnsi="仿宋" w:eastAsia="仿宋" w:cs="仿宋"/>
          <w:kern w:val="0"/>
          <w:sz w:val="24"/>
          <w:szCs w:val="24"/>
        </w:rPr>
      </w:pPr>
      <w:r>
        <w:rPr>
          <w:rFonts w:hint="eastAsia" w:ascii="仿宋" w:hAnsi="仿宋" w:eastAsia="仿宋" w:cs="仿宋"/>
          <w:kern w:val="0"/>
          <w:sz w:val="24"/>
          <w:szCs w:val="24"/>
        </w:rPr>
        <w:t>电子投标文件制作时，应按照统一的“投标文件制作工具”和招标文件中明确的投标文件目录和投标技术规格、参数及相关要求格式进行编制，保证目录清晰、内容完整。</w:t>
      </w:r>
    </w:p>
    <w:p>
      <w:pPr>
        <w:numPr>
          <w:ilvl w:val="1"/>
          <w:numId w:val="14"/>
        </w:numPr>
        <w:spacing w:line="360" w:lineRule="auto"/>
        <w:rPr>
          <w:rFonts w:ascii="仿宋" w:hAnsi="仿宋" w:eastAsia="仿宋" w:cs="仿宋"/>
          <w:kern w:val="0"/>
          <w:sz w:val="24"/>
          <w:szCs w:val="24"/>
        </w:rPr>
      </w:pPr>
      <w:r>
        <w:rPr>
          <w:rFonts w:hint="eastAsia" w:ascii="仿宋" w:hAnsi="仿宋" w:eastAsia="仿宋" w:cs="仿宋"/>
          <w:kern w:val="0"/>
          <w:sz w:val="24"/>
          <w:szCs w:val="24"/>
        </w:rPr>
        <w:t xml:space="preserve">投标人因自身原因导致电子投标文件无法导入电子评标系统的，该投标文件视为无效文件。 </w:t>
      </w:r>
    </w:p>
    <w:p>
      <w:pPr>
        <w:numPr>
          <w:ilvl w:val="1"/>
          <w:numId w:val="14"/>
        </w:numPr>
        <w:spacing w:line="360" w:lineRule="auto"/>
        <w:rPr>
          <w:rFonts w:ascii="仿宋" w:hAnsi="仿宋" w:eastAsia="仿宋" w:cs="仿宋"/>
          <w:kern w:val="0"/>
          <w:sz w:val="24"/>
          <w:szCs w:val="24"/>
        </w:rPr>
      </w:pPr>
      <w:r>
        <w:rPr>
          <w:rFonts w:hint="eastAsia" w:ascii="仿宋" w:hAnsi="仿宋" w:eastAsia="仿宋" w:cs="仿宋"/>
          <w:kern w:val="0"/>
          <w:sz w:val="24"/>
          <w:szCs w:val="24"/>
        </w:rPr>
        <w:t xml:space="preserve">电子投标文件具有法律效力,与其他形式的投标文件在内容和格式上等同，若投标文件与招标文件要求不一致，其内容影响成交结果时，责任由投标人自行承担。 </w:t>
      </w:r>
    </w:p>
    <w:p>
      <w:pPr>
        <w:numPr>
          <w:ilvl w:val="1"/>
          <w:numId w:val="14"/>
        </w:numPr>
        <w:spacing w:line="360" w:lineRule="auto"/>
        <w:rPr>
          <w:rFonts w:ascii="仿宋" w:hAnsi="仿宋" w:eastAsia="仿宋" w:cs="仿宋"/>
          <w:kern w:val="0"/>
          <w:sz w:val="24"/>
          <w:szCs w:val="24"/>
        </w:rPr>
      </w:pPr>
      <w:r>
        <w:rPr>
          <w:rFonts w:hint="eastAsia" w:ascii="仿宋" w:hAnsi="仿宋" w:eastAsia="仿宋" w:cs="仿宋"/>
          <w:kern w:val="0"/>
          <w:sz w:val="24"/>
          <w:szCs w:val="24"/>
        </w:rPr>
        <w:t>为了保证电子标书的合法性、安全性和完整性，电子投标文件应在规定区域加盖单位和法定代表人CA印章。电子投标文件若无 CA电子签章，则视为无效文件。</w:t>
      </w:r>
    </w:p>
    <w:p>
      <w:pPr>
        <w:numPr>
          <w:ilvl w:val="1"/>
          <w:numId w:val="14"/>
        </w:numPr>
        <w:spacing w:line="360" w:lineRule="auto"/>
        <w:rPr>
          <w:rFonts w:ascii="仿宋" w:hAnsi="仿宋" w:eastAsia="仿宋" w:cs="仿宋"/>
          <w:kern w:val="0"/>
          <w:sz w:val="24"/>
          <w:szCs w:val="24"/>
        </w:rPr>
      </w:pPr>
      <w:r>
        <w:rPr>
          <w:rFonts w:hint="eastAsia" w:ascii="仿宋" w:hAnsi="仿宋" w:eastAsia="仿宋" w:cs="仿宋"/>
          <w:kern w:val="0"/>
          <w:sz w:val="24"/>
          <w:szCs w:val="24"/>
        </w:rPr>
        <w:t xml:space="preserve">投标人应完整地填写招标文件中提供的《投标承诺书》、《报价一览表》、《报价一览明细表》等招标文件中规定的所有内容。 </w:t>
      </w:r>
    </w:p>
    <w:p>
      <w:pPr>
        <w:numPr>
          <w:ilvl w:val="1"/>
          <w:numId w:val="14"/>
        </w:numPr>
        <w:spacing w:line="360" w:lineRule="auto"/>
        <w:rPr>
          <w:rFonts w:ascii="宋体" w:hAnsi="宋体"/>
          <w:kern w:val="0"/>
          <w:sz w:val="24"/>
          <w:szCs w:val="24"/>
        </w:rPr>
      </w:pPr>
      <w:r>
        <w:rPr>
          <w:rFonts w:hint="eastAsia" w:ascii="仿宋" w:hAnsi="仿宋" w:eastAsia="仿宋" w:cs="仿宋"/>
          <w:kern w:val="0"/>
          <w:sz w:val="24"/>
          <w:szCs w:val="24"/>
        </w:rPr>
        <w:t xml:space="preserve">投标人必须保证投标人文件所提供的全部资料真实可靠，并接受采购单位对其中任何资料进一步核实的要求。 </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88" w:name="_Toc30931"/>
      <w:bookmarkStart w:id="89" w:name="_Toc17013"/>
      <w:bookmarkStart w:id="90" w:name="_Toc6486"/>
      <w:bookmarkStart w:id="91" w:name="_Toc16689"/>
      <w:r>
        <w:rPr>
          <w:rFonts w:hint="eastAsia" w:ascii="仿宋" w:hAnsi="仿宋" w:eastAsia="仿宋" w:cs="仿宋"/>
          <w:b/>
          <w:bCs/>
          <w:kern w:val="44"/>
          <w:sz w:val="24"/>
          <w:szCs w:val="24"/>
        </w:rPr>
        <w:t>投标文件的编写</w:t>
      </w:r>
      <w:bookmarkEnd w:id="86"/>
      <w:bookmarkEnd w:id="87"/>
      <w:bookmarkEnd w:id="88"/>
      <w:bookmarkEnd w:id="89"/>
      <w:bookmarkEnd w:id="90"/>
      <w:bookmarkEnd w:id="91"/>
    </w:p>
    <w:p>
      <w:pPr>
        <w:numPr>
          <w:ilvl w:val="1"/>
          <w:numId w:val="15"/>
        </w:numPr>
        <w:spacing w:line="360" w:lineRule="auto"/>
        <w:rPr>
          <w:rFonts w:ascii="仿宋" w:hAnsi="仿宋" w:eastAsia="仿宋" w:cs="仿宋"/>
          <w:sz w:val="24"/>
          <w:szCs w:val="24"/>
        </w:rPr>
      </w:pPr>
      <w:r>
        <w:rPr>
          <w:rFonts w:hint="eastAsia" w:ascii="仿宋" w:hAnsi="仿宋" w:eastAsia="仿宋" w:cs="仿宋"/>
          <w:sz w:val="24"/>
          <w:szCs w:val="24"/>
        </w:rPr>
        <w:t>投标人应按招标文件的规定，及附件要求的内容和格式完整地填写和提供资料，并保证所提供的全部资料的真实性。</w:t>
      </w:r>
    </w:p>
    <w:p>
      <w:pPr>
        <w:numPr>
          <w:ilvl w:val="1"/>
          <w:numId w:val="15"/>
        </w:numPr>
        <w:spacing w:line="360" w:lineRule="auto"/>
        <w:rPr>
          <w:rFonts w:ascii="仿宋" w:hAnsi="仿宋" w:eastAsia="仿宋" w:cs="仿宋"/>
          <w:sz w:val="24"/>
          <w:szCs w:val="24"/>
        </w:rPr>
      </w:pPr>
      <w:r>
        <w:rPr>
          <w:rFonts w:hint="eastAsia" w:ascii="仿宋" w:hAnsi="仿宋" w:eastAsia="仿宋" w:cs="仿宋"/>
          <w:sz w:val="24"/>
          <w:szCs w:val="24"/>
        </w:rPr>
        <w:t>投标人应当按照招标文件要求编制投标文件，并根据自已的商务能力、技术水平等对招标文件提出的要求和条件作出真实的响应。</w:t>
      </w:r>
    </w:p>
    <w:p>
      <w:pPr>
        <w:numPr>
          <w:ilvl w:val="1"/>
          <w:numId w:val="15"/>
        </w:numPr>
        <w:spacing w:line="360" w:lineRule="auto"/>
        <w:rPr>
          <w:rFonts w:ascii="仿宋" w:hAnsi="仿宋" w:eastAsia="仿宋" w:cs="仿宋"/>
          <w:sz w:val="24"/>
          <w:szCs w:val="24"/>
        </w:rPr>
      </w:pPr>
      <w:r>
        <w:rPr>
          <w:rFonts w:hint="eastAsia" w:ascii="仿宋" w:hAnsi="仿宋" w:eastAsia="仿宋" w:cs="仿宋"/>
          <w:sz w:val="24"/>
          <w:szCs w:val="24"/>
        </w:rPr>
        <w:t>本项目只允许投标人提供一个投标方案，否则，其投标将被拒绝。</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92" w:name="_Toc11544"/>
      <w:bookmarkStart w:id="93" w:name="_Toc3854"/>
      <w:bookmarkStart w:id="94" w:name="_Toc15231"/>
      <w:bookmarkStart w:id="95" w:name="_Toc14480"/>
      <w:bookmarkStart w:id="96" w:name="_Toc55778691"/>
      <w:bookmarkStart w:id="97" w:name="_Toc22427"/>
      <w:r>
        <w:rPr>
          <w:rFonts w:hint="eastAsia" w:ascii="仿宋" w:hAnsi="仿宋" w:eastAsia="仿宋" w:cs="仿宋"/>
          <w:b/>
          <w:bCs/>
          <w:kern w:val="44"/>
          <w:sz w:val="24"/>
          <w:szCs w:val="24"/>
        </w:rPr>
        <w:t>投标报价</w:t>
      </w:r>
      <w:bookmarkEnd w:id="92"/>
      <w:bookmarkEnd w:id="93"/>
      <w:bookmarkEnd w:id="94"/>
      <w:bookmarkEnd w:id="95"/>
      <w:bookmarkEnd w:id="96"/>
      <w:bookmarkEnd w:id="97"/>
    </w:p>
    <w:p>
      <w:pPr>
        <w:numPr>
          <w:ilvl w:val="1"/>
          <w:numId w:val="16"/>
        </w:numPr>
        <w:spacing w:line="360" w:lineRule="auto"/>
        <w:rPr>
          <w:rFonts w:ascii="仿宋" w:hAnsi="仿宋" w:eastAsia="仿宋" w:cs="仿宋"/>
          <w:sz w:val="24"/>
          <w:szCs w:val="24"/>
        </w:rPr>
      </w:pPr>
      <w:r>
        <w:rPr>
          <w:rFonts w:hint="eastAsia" w:ascii="仿宋" w:hAnsi="仿宋" w:eastAsia="仿宋" w:cs="仿宋"/>
          <w:sz w:val="24"/>
          <w:szCs w:val="24"/>
        </w:rPr>
        <w:t>投标人的投标报价应符合《中华人民共和国价格法》的有关规定。</w:t>
      </w:r>
    </w:p>
    <w:p>
      <w:pPr>
        <w:numPr>
          <w:ilvl w:val="1"/>
          <w:numId w:val="16"/>
        </w:numPr>
        <w:spacing w:line="360" w:lineRule="auto"/>
        <w:rPr>
          <w:rFonts w:ascii="仿宋" w:hAnsi="仿宋" w:eastAsia="仿宋" w:cs="仿宋"/>
          <w:sz w:val="24"/>
          <w:szCs w:val="24"/>
        </w:rPr>
      </w:pPr>
      <w:bookmarkStart w:id="98" w:name="_Ref179619251"/>
      <w:r>
        <w:rPr>
          <w:rFonts w:hint="eastAsia" w:ascii="仿宋" w:hAnsi="仿宋" w:eastAsia="仿宋" w:cs="仿宋"/>
          <w:sz w:val="24"/>
          <w:szCs w:val="24"/>
        </w:rPr>
        <w:t>投标人应按照“采购内容”中要求规定的内容、责任范围进行报价。投标价格应包括投标人为完成本合同所约定的《招标及合同文件》规定的全部责任和义务所发生的各种开支。并认为此项费用已包含在投标报价中并按《报价一览表》及《报价一览明细表》（如适用）的要求报出总价和分项价格。投标总价中不得包含招标文件要求以外的内容，否则，在评标时不予核减。投标总价中也不得缺漏招标文件所要求的内容，否则，被视为包含在投标报价中。</w:t>
      </w:r>
    </w:p>
    <w:p>
      <w:pPr>
        <w:numPr>
          <w:ilvl w:val="1"/>
          <w:numId w:val="16"/>
        </w:numPr>
        <w:spacing w:line="360" w:lineRule="auto"/>
        <w:rPr>
          <w:rFonts w:ascii="仿宋" w:hAnsi="仿宋" w:eastAsia="仿宋" w:cs="仿宋"/>
          <w:sz w:val="24"/>
          <w:szCs w:val="24"/>
        </w:rPr>
      </w:pPr>
      <w:r>
        <w:rPr>
          <w:rFonts w:hint="eastAsia" w:ascii="仿宋" w:hAnsi="仿宋" w:eastAsia="仿宋" w:cs="仿宋"/>
          <w:sz w:val="24"/>
          <w:szCs w:val="24"/>
        </w:rPr>
        <w:t>投标明细报价表内容应包含：</w:t>
      </w:r>
    </w:p>
    <w:p>
      <w:pPr>
        <w:numPr>
          <w:ilvl w:val="2"/>
          <w:numId w:val="16"/>
        </w:numPr>
        <w:spacing w:line="360" w:lineRule="auto"/>
        <w:rPr>
          <w:rFonts w:ascii="仿宋" w:hAnsi="仿宋" w:eastAsia="仿宋" w:cs="仿宋"/>
          <w:sz w:val="24"/>
          <w:szCs w:val="24"/>
        </w:rPr>
      </w:pPr>
      <w:r>
        <w:rPr>
          <w:rFonts w:hint="eastAsia" w:ascii="仿宋" w:hAnsi="仿宋" w:eastAsia="仿宋" w:cs="仿宋"/>
          <w:sz w:val="24"/>
          <w:szCs w:val="24"/>
        </w:rPr>
        <w:t>按招标文件的要求全部服务内容所需的所有费用；</w:t>
      </w:r>
    </w:p>
    <w:p>
      <w:pPr>
        <w:numPr>
          <w:ilvl w:val="2"/>
          <w:numId w:val="16"/>
        </w:numPr>
        <w:spacing w:line="360" w:lineRule="auto"/>
        <w:rPr>
          <w:rFonts w:ascii="仿宋" w:hAnsi="仿宋" w:eastAsia="仿宋" w:cs="仿宋"/>
          <w:sz w:val="24"/>
          <w:szCs w:val="24"/>
        </w:rPr>
      </w:pPr>
      <w:r>
        <w:rPr>
          <w:rFonts w:hint="eastAsia" w:ascii="仿宋" w:hAnsi="仿宋" w:eastAsia="仿宋" w:cs="仿宋"/>
          <w:sz w:val="24"/>
          <w:szCs w:val="24"/>
        </w:rPr>
        <w:t>对于报价免费的内容须标明“免费”；</w:t>
      </w:r>
    </w:p>
    <w:p>
      <w:pPr>
        <w:numPr>
          <w:ilvl w:val="2"/>
          <w:numId w:val="16"/>
        </w:numPr>
        <w:spacing w:line="360" w:lineRule="auto"/>
        <w:rPr>
          <w:rFonts w:ascii="仿宋" w:hAnsi="仿宋" w:eastAsia="仿宋" w:cs="仿宋"/>
          <w:sz w:val="24"/>
          <w:szCs w:val="24"/>
        </w:rPr>
      </w:pPr>
      <w:r>
        <w:rPr>
          <w:rFonts w:hint="eastAsia" w:ascii="仿宋" w:hAnsi="仿宋" w:eastAsia="仿宋" w:cs="仿宋"/>
          <w:sz w:val="24"/>
          <w:szCs w:val="24"/>
        </w:rPr>
        <w:t>投标报价均应包含所有的税费；</w:t>
      </w:r>
    </w:p>
    <w:p>
      <w:pPr>
        <w:numPr>
          <w:ilvl w:val="2"/>
          <w:numId w:val="16"/>
        </w:numPr>
        <w:spacing w:line="360" w:lineRule="auto"/>
        <w:rPr>
          <w:rFonts w:ascii="仿宋" w:hAnsi="仿宋" w:eastAsia="仿宋" w:cs="仿宋"/>
          <w:sz w:val="24"/>
          <w:szCs w:val="24"/>
        </w:rPr>
      </w:pPr>
      <w:r>
        <w:rPr>
          <w:rFonts w:hint="eastAsia" w:ascii="仿宋" w:hAnsi="仿宋" w:eastAsia="仿宋" w:cs="仿宋"/>
          <w:sz w:val="24"/>
          <w:szCs w:val="24"/>
        </w:rPr>
        <w:t>其他一切隐含及不可预见的费用。</w:t>
      </w:r>
    </w:p>
    <w:p>
      <w:pPr>
        <w:numPr>
          <w:ilvl w:val="1"/>
          <w:numId w:val="16"/>
        </w:numPr>
        <w:spacing w:line="360" w:lineRule="auto"/>
        <w:rPr>
          <w:rFonts w:ascii="仿宋" w:hAnsi="仿宋" w:eastAsia="仿宋" w:cs="仿宋"/>
          <w:sz w:val="24"/>
          <w:szCs w:val="24"/>
        </w:rPr>
      </w:pPr>
      <w:r>
        <w:rPr>
          <w:rFonts w:hint="eastAsia" w:ascii="仿宋" w:hAnsi="仿宋" w:eastAsia="仿宋" w:cs="仿宋"/>
          <w:sz w:val="24"/>
          <w:szCs w:val="24"/>
        </w:rPr>
        <w:t>除</w:t>
      </w:r>
      <w:r>
        <w:rPr>
          <w:rFonts w:hint="eastAsia" w:ascii="仿宋" w:hAnsi="仿宋" w:eastAsia="仿宋" w:cs="仿宋"/>
          <w:b/>
          <w:bCs/>
          <w:sz w:val="24"/>
          <w:szCs w:val="24"/>
        </w:rPr>
        <w:t>招标文件</w:t>
      </w:r>
      <w:r>
        <w:rPr>
          <w:rFonts w:hint="eastAsia" w:ascii="仿宋" w:hAnsi="仿宋" w:eastAsia="仿宋" w:cs="仿宋"/>
          <w:sz w:val="24"/>
          <w:szCs w:val="24"/>
        </w:rPr>
        <w:t>另有规定，投标人所报的投标价在合同执行过程中是固定不变的，不得以任何理由予以变更。任何包含价格调整要求的投标被认为是非实质性响应投标而予以拒绝。</w:t>
      </w:r>
    </w:p>
    <w:p>
      <w:pPr>
        <w:numPr>
          <w:ilvl w:val="1"/>
          <w:numId w:val="16"/>
        </w:numPr>
        <w:spacing w:line="360" w:lineRule="auto"/>
        <w:rPr>
          <w:rFonts w:ascii="仿宋" w:hAnsi="仿宋" w:eastAsia="仿宋" w:cs="仿宋"/>
          <w:sz w:val="24"/>
          <w:szCs w:val="24"/>
        </w:rPr>
      </w:pPr>
      <w:r>
        <w:rPr>
          <w:rFonts w:hint="eastAsia" w:ascii="仿宋" w:hAnsi="仿宋" w:eastAsia="仿宋" w:cs="仿宋"/>
          <w:sz w:val="24"/>
          <w:szCs w:val="24"/>
        </w:rPr>
        <w:t>投标文件中的总价金额与单价计算出的结果不一致的，以单价金额为准修正总价，但单价金额小数点有明显错误的除外。</w:t>
      </w:r>
    </w:p>
    <w:bookmarkEnd w:id="98"/>
    <w:p>
      <w:pPr>
        <w:numPr>
          <w:ilvl w:val="1"/>
          <w:numId w:val="16"/>
        </w:numPr>
        <w:spacing w:line="360" w:lineRule="auto"/>
        <w:rPr>
          <w:rFonts w:ascii="仿宋" w:hAnsi="仿宋" w:eastAsia="仿宋" w:cs="仿宋"/>
          <w:sz w:val="24"/>
          <w:szCs w:val="24"/>
        </w:rPr>
      </w:pPr>
      <w:bookmarkStart w:id="99" w:name="_Ref179620595"/>
      <w:r>
        <w:rPr>
          <w:rFonts w:hint="eastAsia" w:ascii="仿宋" w:hAnsi="仿宋" w:eastAsia="仿宋" w:cs="仿宋"/>
          <w:sz w:val="24"/>
          <w:szCs w:val="24"/>
        </w:rPr>
        <w:t>除</w:t>
      </w:r>
      <w:r>
        <w:rPr>
          <w:rFonts w:hint="eastAsia" w:ascii="仿宋" w:hAnsi="仿宋" w:eastAsia="仿宋" w:cs="仿宋"/>
          <w:b/>
          <w:bCs/>
          <w:sz w:val="24"/>
          <w:szCs w:val="24"/>
        </w:rPr>
        <w:t>招标文件</w:t>
      </w:r>
      <w:r>
        <w:rPr>
          <w:rFonts w:hint="eastAsia" w:ascii="仿宋" w:hAnsi="仿宋" w:eastAsia="仿宋" w:cs="仿宋"/>
          <w:sz w:val="24"/>
          <w:szCs w:val="24"/>
        </w:rPr>
        <w:t>允许有备选方案外，本次招标不接受选择性报价，否则将被视为无效投标。</w:t>
      </w:r>
      <w:bookmarkEnd w:id="99"/>
    </w:p>
    <w:p>
      <w:pPr>
        <w:numPr>
          <w:ilvl w:val="1"/>
          <w:numId w:val="16"/>
        </w:numPr>
        <w:spacing w:line="360" w:lineRule="auto"/>
        <w:rPr>
          <w:rFonts w:ascii="仿宋" w:hAnsi="仿宋" w:eastAsia="仿宋" w:cs="仿宋"/>
          <w:sz w:val="24"/>
          <w:szCs w:val="24"/>
        </w:rPr>
      </w:pPr>
      <w:r>
        <w:rPr>
          <w:rFonts w:hint="eastAsia" w:ascii="仿宋" w:hAnsi="仿宋" w:eastAsia="仿宋" w:cs="仿宋"/>
          <w:sz w:val="24"/>
          <w:szCs w:val="24"/>
        </w:rPr>
        <w:t>除</w:t>
      </w:r>
      <w:r>
        <w:rPr>
          <w:rFonts w:hint="eastAsia" w:ascii="仿宋" w:hAnsi="仿宋" w:eastAsia="仿宋" w:cs="仿宋"/>
          <w:b/>
          <w:bCs/>
          <w:sz w:val="24"/>
          <w:szCs w:val="24"/>
        </w:rPr>
        <w:t>招标文件</w:t>
      </w:r>
      <w:r>
        <w:rPr>
          <w:rFonts w:hint="eastAsia" w:ascii="仿宋" w:hAnsi="仿宋" w:eastAsia="仿宋" w:cs="仿宋"/>
          <w:sz w:val="24"/>
          <w:szCs w:val="24"/>
        </w:rPr>
        <w:t xml:space="preserve">另有规定外，本次招标不接受具有附加条件的报价，否则将被视为无效投标。 </w:t>
      </w:r>
    </w:p>
    <w:p>
      <w:pPr>
        <w:numPr>
          <w:ilvl w:val="1"/>
          <w:numId w:val="16"/>
        </w:numPr>
        <w:spacing w:line="360" w:lineRule="auto"/>
        <w:rPr>
          <w:rFonts w:ascii="仿宋" w:hAnsi="仿宋" w:eastAsia="仿宋" w:cs="仿宋"/>
          <w:sz w:val="24"/>
          <w:szCs w:val="24"/>
        </w:rPr>
      </w:pPr>
      <w:r>
        <w:rPr>
          <w:rFonts w:hint="eastAsia" w:ascii="仿宋" w:hAnsi="仿宋" w:eastAsia="仿宋" w:cs="仿宋"/>
          <w:sz w:val="24"/>
          <w:szCs w:val="24"/>
        </w:rPr>
        <w:t>投标人应以人民币为单位进行报价。</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100" w:name="_Toc7425"/>
      <w:bookmarkStart w:id="101" w:name="_Toc14790"/>
      <w:bookmarkStart w:id="102" w:name="_Toc55778694"/>
      <w:bookmarkStart w:id="103" w:name="_Toc22983"/>
      <w:bookmarkStart w:id="104" w:name="_Toc24908"/>
      <w:bookmarkStart w:id="105" w:name="_Toc10724"/>
      <w:r>
        <w:rPr>
          <w:rFonts w:hint="eastAsia" w:ascii="仿宋" w:hAnsi="仿宋" w:eastAsia="仿宋" w:cs="仿宋"/>
          <w:b/>
          <w:bCs/>
          <w:kern w:val="44"/>
          <w:sz w:val="24"/>
          <w:szCs w:val="24"/>
        </w:rPr>
        <w:t>投标保证金</w:t>
      </w:r>
      <w:bookmarkEnd w:id="100"/>
      <w:bookmarkEnd w:id="101"/>
      <w:bookmarkEnd w:id="102"/>
      <w:bookmarkEnd w:id="103"/>
      <w:bookmarkEnd w:id="104"/>
      <w:bookmarkEnd w:id="105"/>
    </w:p>
    <w:p>
      <w:pPr>
        <w:numPr>
          <w:ilvl w:val="1"/>
          <w:numId w:val="17"/>
        </w:numPr>
        <w:spacing w:line="360" w:lineRule="auto"/>
        <w:rPr>
          <w:rFonts w:ascii="仿宋" w:hAnsi="仿宋" w:eastAsia="仿宋" w:cs="仿宋"/>
          <w:sz w:val="24"/>
          <w:szCs w:val="24"/>
        </w:rPr>
      </w:pPr>
      <w:bookmarkStart w:id="106" w:name="_Ref179619405"/>
      <w:r>
        <w:rPr>
          <w:rFonts w:hint="eastAsia" w:ascii="仿宋" w:hAnsi="仿宋" w:eastAsia="仿宋" w:cs="仿宋"/>
          <w:sz w:val="24"/>
          <w:szCs w:val="24"/>
        </w:rPr>
        <w:t>投标人必须按招标文件的规定缴纳投标保证金，并作为其投标文件的组成部分。</w:t>
      </w:r>
      <w:bookmarkEnd w:id="106"/>
    </w:p>
    <w:p>
      <w:pPr>
        <w:numPr>
          <w:ilvl w:val="1"/>
          <w:numId w:val="17"/>
        </w:numPr>
        <w:spacing w:line="360" w:lineRule="auto"/>
        <w:rPr>
          <w:rFonts w:ascii="仿宋" w:hAnsi="仿宋" w:eastAsia="仿宋" w:cs="仿宋"/>
          <w:sz w:val="24"/>
          <w:szCs w:val="24"/>
        </w:rPr>
      </w:pPr>
      <w:r>
        <w:rPr>
          <w:rFonts w:hint="eastAsia" w:ascii="仿宋" w:hAnsi="仿宋" w:eastAsia="仿宋" w:cs="仿宋"/>
          <w:sz w:val="24"/>
          <w:szCs w:val="24"/>
        </w:rPr>
        <w:t>投标保证金是为了保护采购代理机构和采购人免遭因投标人的行为而蒙受损失。采购代理机构和采购人在因投标人的行为受到损害时可根据本须知的规定没收投标人的投标保证金。</w:t>
      </w:r>
    </w:p>
    <w:p>
      <w:pPr>
        <w:numPr>
          <w:ilvl w:val="1"/>
          <w:numId w:val="17"/>
        </w:numPr>
        <w:spacing w:line="360" w:lineRule="auto"/>
        <w:rPr>
          <w:rFonts w:ascii="仿宋" w:hAnsi="仿宋" w:eastAsia="仿宋" w:cs="仿宋"/>
          <w:sz w:val="24"/>
          <w:szCs w:val="24"/>
        </w:rPr>
      </w:pPr>
      <w:r>
        <w:rPr>
          <w:rFonts w:hint="eastAsia" w:ascii="仿宋" w:hAnsi="仿宋" w:eastAsia="仿宋" w:cs="仿宋"/>
          <w:sz w:val="24"/>
          <w:szCs w:val="24"/>
        </w:rPr>
        <w:t>投标保证金必须以投标人名义汇出，同时满足下列规定：</w:t>
      </w:r>
    </w:p>
    <w:p>
      <w:pPr>
        <w:spacing w:line="360" w:lineRule="auto"/>
        <w:ind w:left="840" w:leftChars="400"/>
        <w:jc w:val="left"/>
        <w:rPr>
          <w:rFonts w:ascii="仿宋" w:hAnsi="仿宋" w:eastAsia="仿宋" w:cs="仿宋"/>
          <w:sz w:val="24"/>
          <w:szCs w:val="24"/>
        </w:rPr>
      </w:pPr>
      <w:r>
        <w:rPr>
          <w:rFonts w:hint="eastAsia" w:ascii="仿宋" w:hAnsi="仿宋" w:eastAsia="仿宋" w:cs="仿宋"/>
          <w:b/>
          <w:sz w:val="24"/>
          <w:szCs w:val="24"/>
        </w:rPr>
        <w:t>为保证本采购工作的顺利进行，各投标人应向采购人缴纳不少于</w:t>
      </w:r>
      <w:r>
        <w:rPr>
          <w:rFonts w:hint="eastAsia" w:ascii="仿宋" w:hAnsi="仿宋" w:eastAsia="仿宋" w:cs="仿宋"/>
          <w:b/>
          <w:bCs/>
          <w:sz w:val="24"/>
          <w:szCs w:val="24"/>
        </w:rPr>
        <w:t>第二章《投标须知前附表》</w:t>
      </w:r>
      <w:r>
        <w:rPr>
          <w:rFonts w:hint="eastAsia" w:ascii="仿宋" w:hAnsi="仿宋" w:eastAsia="仿宋" w:cs="仿宋"/>
          <w:b/>
          <w:sz w:val="24"/>
          <w:szCs w:val="24"/>
        </w:rPr>
        <w:t>规定数额的保证金，保证金金额及缴纳方式详见</w:t>
      </w:r>
      <w:r>
        <w:rPr>
          <w:rFonts w:hint="eastAsia" w:ascii="仿宋" w:hAnsi="仿宋" w:eastAsia="仿宋" w:cs="仿宋"/>
          <w:b/>
          <w:bCs/>
          <w:sz w:val="24"/>
          <w:szCs w:val="24"/>
        </w:rPr>
        <w:t>第二章《投标须知前附表》</w:t>
      </w:r>
      <w:r>
        <w:rPr>
          <w:rFonts w:hint="eastAsia" w:ascii="仿宋" w:hAnsi="仿宋" w:eastAsia="仿宋" w:cs="仿宋"/>
          <w:b/>
          <w:sz w:val="24"/>
          <w:szCs w:val="24"/>
        </w:rPr>
        <w:t>序号13（缴纳投标保证金）</w:t>
      </w:r>
    </w:p>
    <w:p>
      <w:pPr>
        <w:numPr>
          <w:ilvl w:val="1"/>
          <w:numId w:val="17"/>
        </w:numPr>
        <w:spacing w:line="360" w:lineRule="auto"/>
        <w:rPr>
          <w:rFonts w:ascii="仿宋" w:hAnsi="仿宋" w:eastAsia="仿宋" w:cs="仿宋"/>
          <w:sz w:val="24"/>
          <w:szCs w:val="24"/>
        </w:rPr>
      </w:pPr>
      <w:r>
        <w:rPr>
          <w:rFonts w:hint="eastAsia" w:ascii="仿宋" w:hAnsi="仿宋" w:eastAsia="仿宋" w:cs="仿宋"/>
          <w:sz w:val="24"/>
          <w:szCs w:val="24"/>
        </w:rPr>
        <w:t>凡没有按照招标文件要求提交有效的投标保证金的投标，将视为非响应性投标予以拒绝。</w:t>
      </w:r>
    </w:p>
    <w:p>
      <w:pPr>
        <w:numPr>
          <w:ilvl w:val="1"/>
          <w:numId w:val="17"/>
        </w:numPr>
        <w:spacing w:line="360" w:lineRule="auto"/>
        <w:rPr>
          <w:rFonts w:ascii="仿宋" w:hAnsi="仿宋" w:eastAsia="仿宋" w:cs="仿宋"/>
          <w:sz w:val="24"/>
          <w:szCs w:val="24"/>
        </w:rPr>
      </w:pPr>
      <w:r>
        <w:rPr>
          <w:rFonts w:hint="eastAsia" w:ascii="仿宋" w:hAnsi="仿宋" w:eastAsia="仿宋" w:cs="仿宋"/>
          <w:sz w:val="24"/>
          <w:szCs w:val="24"/>
        </w:rPr>
        <w:t>凡投标人在投标截止时间前撤回已提交的投标文件的，自收到投标人书面撤回通知之日起5个工作日内，退还已收取的投标保证金，但因投标人自身原因导致无法及时退还的除外。</w:t>
      </w:r>
    </w:p>
    <w:p>
      <w:pPr>
        <w:numPr>
          <w:ilvl w:val="1"/>
          <w:numId w:val="17"/>
        </w:numPr>
        <w:spacing w:line="360" w:lineRule="auto"/>
        <w:rPr>
          <w:rFonts w:ascii="仿宋" w:hAnsi="仿宋" w:eastAsia="仿宋" w:cs="仿宋"/>
          <w:sz w:val="24"/>
          <w:szCs w:val="24"/>
        </w:rPr>
      </w:pPr>
      <w:r>
        <w:rPr>
          <w:rFonts w:hint="eastAsia" w:ascii="仿宋" w:hAnsi="仿宋" w:eastAsia="仿宋" w:cs="仿宋"/>
          <w:sz w:val="24"/>
          <w:szCs w:val="24"/>
        </w:rPr>
        <w:t>自中标通知书发出之日起5个工作日内退还未中标人的投标保证金，但因投标人自身原因导致无法及时退还的除外。</w:t>
      </w:r>
    </w:p>
    <w:p>
      <w:pPr>
        <w:numPr>
          <w:ilvl w:val="1"/>
          <w:numId w:val="17"/>
        </w:numPr>
        <w:spacing w:line="360" w:lineRule="auto"/>
        <w:rPr>
          <w:rFonts w:ascii="仿宋" w:hAnsi="仿宋" w:eastAsia="仿宋" w:cs="仿宋"/>
          <w:sz w:val="24"/>
          <w:szCs w:val="24"/>
        </w:rPr>
      </w:pPr>
      <w:r>
        <w:rPr>
          <w:rFonts w:hint="eastAsia" w:ascii="仿宋" w:hAnsi="仿宋" w:eastAsia="仿宋" w:cs="仿宋"/>
          <w:sz w:val="24"/>
          <w:szCs w:val="24"/>
        </w:rPr>
        <w:t>中标人的投标保证金的退还必须同时满足以下要求（但因中标人自身原因导致无法及时退还的除外）：</w:t>
      </w:r>
    </w:p>
    <w:p>
      <w:pPr>
        <w:numPr>
          <w:ilvl w:val="2"/>
          <w:numId w:val="17"/>
        </w:numPr>
        <w:spacing w:line="360" w:lineRule="auto"/>
        <w:rPr>
          <w:rFonts w:ascii="仿宋" w:hAnsi="仿宋" w:eastAsia="仿宋" w:cs="仿宋"/>
          <w:sz w:val="24"/>
          <w:szCs w:val="24"/>
        </w:rPr>
      </w:pPr>
      <w:r>
        <w:rPr>
          <w:rFonts w:hint="eastAsia" w:ascii="仿宋" w:hAnsi="仿宋" w:eastAsia="仿宋" w:cs="仿宋"/>
          <w:sz w:val="24"/>
          <w:szCs w:val="24"/>
        </w:rPr>
        <w:t>中标人按</w:t>
      </w:r>
      <w:bookmarkStart w:id="107" w:name="_Hlt507937599"/>
      <w:bookmarkEnd w:id="107"/>
      <w:r>
        <w:rPr>
          <w:rFonts w:hint="eastAsia" w:ascii="仿宋" w:hAnsi="仿宋" w:eastAsia="仿宋" w:cs="仿宋"/>
          <w:sz w:val="24"/>
          <w:szCs w:val="24"/>
        </w:rPr>
        <w:t>《投标人须知前附表》规定签订合同的，自合同上传自</w:t>
      </w:r>
      <w:r>
        <w:rPr>
          <w:rFonts w:hint="eastAsia" w:ascii="仿宋" w:hAnsi="仿宋" w:eastAsia="仿宋" w:cs="仿宋"/>
          <w:b/>
          <w:sz w:val="24"/>
          <w:szCs w:val="24"/>
          <w:u w:val="single"/>
        </w:rPr>
        <w:t>新疆政府采购网http://www.ccgp-xinjiang.gov.cn</w:t>
      </w:r>
      <w:r>
        <w:rPr>
          <w:rFonts w:hint="eastAsia" w:ascii="仿宋" w:hAnsi="仿宋" w:eastAsia="仿宋" w:cs="仿宋"/>
          <w:sz w:val="24"/>
          <w:szCs w:val="24"/>
        </w:rPr>
        <w:t>起5个工作日内退还</w:t>
      </w:r>
    </w:p>
    <w:p>
      <w:pPr>
        <w:numPr>
          <w:ilvl w:val="1"/>
          <w:numId w:val="17"/>
        </w:numPr>
        <w:spacing w:line="360" w:lineRule="auto"/>
        <w:rPr>
          <w:rFonts w:ascii="仿宋" w:hAnsi="仿宋" w:eastAsia="仿宋" w:cs="仿宋"/>
          <w:sz w:val="24"/>
          <w:szCs w:val="24"/>
        </w:rPr>
      </w:pPr>
      <w:bookmarkStart w:id="108" w:name="_Ref179619371"/>
      <w:r>
        <w:rPr>
          <w:rFonts w:hint="eastAsia" w:ascii="仿宋" w:hAnsi="仿宋" w:eastAsia="仿宋" w:cs="仿宋"/>
          <w:sz w:val="24"/>
          <w:szCs w:val="24"/>
        </w:rPr>
        <w:t>下列任何情况发生时，投标保证金将被没收：</w:t>
      </w:r>
      <w:bookmarkEnd w:id="108"/>
    </w:p>
    <w:p>
      <w:pPr>
        <w:numPr>
          <w:ilvl w:val="2"/>
          <w:numId w:val="17"/>
        </w:numPr>
        <w:spacing w:line="360" w:lineRule="auto"/>
        <w:rPr>
          <w:rFonts w:ascii="仿宋" w:hAnsi="仿宋" w:eastAsia="仿宋" w:cs="仿宋"/>
          <w:sz w:val="24"/>
          <w:szCs w:val="24"/>
        </w:rPr>
      </w:pPr>
      <w:r>
        <w:rPr>
          <w:rFonts w:hint="eastAsia" w:ascii="仿宋" w:hAnsi="仿宋" w:eastAsia="仿宋" w:cs="仿宋"/>
          <w:sz w:val="24"/>
          <w:szCs w:val="24"/>
        </w:rPr>
        <w:t>投标人在招标文件中规定的投标有效期内撤销其投标文件；</w:t>
      </w:r>
    </w:p>
    <w:p>
      <w:pPr>
        <w:numPr>
          <w:ilvl w:val="2"/>
          <w:numId w:val="17"/>
        </w:numPr>
        <w:spacing w:line="360" w:lineRule="auto"/>
        <w:rPr>
          <w:rFonts w:ascii="仿宋" w:hAnsi="仿宋" w:eastAsia="仿宋" w:cs="仿宋"/>
          <w:sz w:val="24"/>
          <w:szCs w:val="24"/>
        </w:rPr>
      </w:pPr>
      <w:r>
        <w:rPr>
          <w:rFonts w:hint="eastAsia" w:ascii="仿宋" w:hAnsi="仿宋" w:eastAsia="仿宋" w:cs="仿宋"/>
          <w:sz w:val="24"/>
          <w:szCs w:val="24"/>
        </w:rPr>
        <w:t>中标后无正当理由放弃中标或中标人拒绝与采购人签订合同；</w:t>
      </w:r>
    </w:p>
    <w:p>
      <w:pPr>
        <w:numPr>
          <w:ilvl w:val="2"/>
          <w:numId w:val="17"/>
        </w:numPr>
        <w:spacing w:line="360" w:lineRule="auto"/>
        <w:rPr>
          <w:rFonts w:ascii="仿宋" w:hAnsi="仿宋" w:eastAsia="仿宋" w:cs="仿宋"/>
          <w:sz w:val="24"/>
          <w:szCs w:val="24"/>
        </w:rPr>
      </w:pPr>
      <w:r>
        <w:rPr>
          <w:rFonts w:hint="eastAsia" w:ascii="仿宋" w:hAnsi="仿宋" w:eastAsia="仿宋" w:cs="仿宋"/>
          <w:sz w:val="24"/>
          <w:szCs w:val="24"/>
        </w:rPr>
        <w:t>中标人在规定期限内未能根据本须知规定签订合同；</w:t>
      </w:r>
    </w:p>
    <w:p>
      <w:pPr>
        <w:numPr>
          <w:ilvl w:val="2"/>
          <w:numId w:val="17"/>
        </w:numPr>
        <w:spacing w:line="360" w:lineRule="auto"/>
        <w:rPr>
          <w:rFonts w:ascii="仿宋" w:hAnsi="仿宋" w:eastAsia="仿宋" w:cs="仿宋"/>
          <w:sz w:val="24"/>
          <w:szCs w:val="24"/>
        </w:rPr>
      </w:pPr>
      <w:r>
        <w:rPr>
          <w:rFonts w:hint="eastAsia" w:ascii="仿宋" w:hAnsi="仿宋" w:eastAsia="仿宋" w:cs="仿宋"/>
          <w:sz w:val="24"/>
          <w:szCs w:val="24"/>
        </w:rPr>
        <w:t>依法取消中标资格；</w:t>
      </w:r>
    </w:p>
    <w:p>
      <w:pPr>
        <w:numPr>
          <w:ilvl w:val="2"/>
          <w:numId w:val="17"/>
        </w:numPr>
        <w:spacing w:line="360" w:lineRule="auto"/>
        <w:rPr>
          <w:rFonts w:ascii="仿宋" w:hAnsi="仿宋" w:eastAsia="仿宋" w:cs="仿宋"/>
          <w:sz w:val="24"/>
          <w:szCs w:val="24"/>
        </w:rPr>
      </w:pPr>
      <w:r>
        <w:rPr>
          <w:rFonts w:hint="eastAsia" w:ascii="仿宋" w:hAnsi="仿宋" w:eastAsia="仿宋" w:cs="仿宋"/>
          <w:sz w:val="24"/>
          <w:szCs w:val="24"/>
        </w:rPr>
        <w:t>法律法规规定的其它情况；</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109" w:name="_Toc15876"/>
      <w:bookmarkStart w:id="110" w:name="_Toc10359"/>
      <w:bookmarkStart w:id="111" w:name="_Toc32410"/>
      <w:bookmarkStart w:id="112" w:name="_Toc1720"/>
      <w:bookmarkStart w:id="113" w:name="_Toc2453"/>
      <w:bookmarkStart w:id="114" w:name="_Toc55778695"/>
      <w:r>
        <w:rPr>
          <w:rFonts w:hint="eastAsia" w:ascii="仿宋" w:hAnsi="仿宋" w:eastAsia="仿宋" w:cs="仿宋"/>
          <w:b/>
          <w:bCs/>
          <w:kern w:val="44"/>
          <w:sz w:val="24"/>
          <w:szCs w:val="24"/>
        </w:rPr>
        <w:t>投标有效期</w:t>
      </w:r>
      <w:bookmarkEnd w:id="109"/>
      <w:bookmarkEnd w:id="110"/>
      <w:bookmarkEnd w:id="111"/>
      <w:bookmarkEnd w:id="112"/>
      <w:bookmarkEnd w:id="113"/>
      <w:bookmarkEnd w:id="114"/>
    </w:p>
    <w:p>
      <w:pPr>
        <w:numPr>
          <w:ilvl w:val="1"/>
          <w:numId w:val="18"/>
        </w:numPr>
        <w:spacing w:line="360" w:lineRule="auto"/>
        <w:rPr>
          <w:rFonts w:ascii="仿宋" w:hAnsi="仿宋" w:eastAsia="仿宋" w:cs="仿宋"/>
          <w:sz w:val="24"/>
          <w:szCs w:val="24"/>
        </w:rPr>
      </w:pPr>
      <w:bookmarkStart w:id="115" w:name="_Ref179620893"/>
      <w:r>
        <w:rPr>
          <w:rFonts w:hint="eastAsia" w:ascii="仿宋" w:hAnsi="仿宋" w:eastAsia="仿宋" w:cs="仿宋"/>
          <w:b/>
          <w:bCs/>
          <w:sz w:val="24"/>
          <w:szCs w:val="24"/>
        </w:rPr>
        <w:t>投标文件应在投标截止日后90日历天内保持有效。</w:t>
      </w:r>
    </w:p>
    <w:p>
      <w:pPr>
        <w:numPr>
          <w:ilvl w:val="1"/>
          <w:numId w:val="18"/>
        </w:numPr>
        <w:spacing w:line="360" w:lineRule="auto"/>
        <w:rPr>
          <w:rFonts w:ascii="仿宋" w:hAnsi="仿宋" w:eastAsia="仿宋" w:cs="仿宋"/>
          <w:sz w:val="24"/>
          <w:szCs w:val="24"/>
        </w:rPr>
      </w:pPr>
      <w:r>
        <w:rPr>
          <w:rFonts w:hint="eastAsia" w:ascii="仿宋" w:hAnsi="仿宋" w:eastAsia="仿宋" w:cs="仿宋"/>
          <w:sz w:val="24"/>
          <w:szCs w:val="24"/>
        </w:rPr>
        <w:t>中标人投标有效期则顺延至项目完成验收之日，在此有效期内未经采购人同意，投标文件的一切内容和补充承诺均为持续有效且不予改变。</w:t>
      </w:r>
      <w:bookmarkEnd w:id="115"/>
    </w:p>
    <w:p>
      <w:pPr>
        <w:numPr>
          <w:ilvl w:val="1"/>
          <w:numId w:val="18"/>
        </w:numPr>
        <w:spacing w:line="360" w:lineRule="auto"/>
        <w:rPr>
          <w:rFonts w:ascii="仿宋" w:hAnsi="仿宋" w:eastAsia="仿宋" w:cs="仿宋"/>
          <w:sz w:val="24"/>
          <w:szCs w:val="24"/>
        </w:rPr>
      </w:pPr>
      <w:r>
        <w:rPr>
          <w:rFonts w:hint="eastAsia" w:ascii="仿宋" w:hAnsi="仿宋" w:eastAsia="仿宋" w:cs="仿宋"/>
          <w:b/>
          <w:sz w:val="24"/>
          <w:szCs w:val="24"/>
        </w:rPr>
        <w:t>投标有效期从提交投标文件的截止之日起算</w:t>
      </w:r>
      <w:r>
        <w:rPr>
          <w:rFonts w:hint="eastAsia" w:ascii="仿宋" w:hAnsi="仿宋" w:eastAsia="仿宋" w:cs="仿宋"/>
          <w:sz w:val="24"/>
          <w:szCs w:val="24"/>
        </w:rPr>
        <w:t>。投标文件中承诺的投标有效期应当不少于招标文件中载明的投标有效期。投标有效期不足的投标将被视为非实质性响应，视为无效投标。</w:t>
      </w:r>
    </w:p>
    <w:p>
      <w:pPr>
        <w:numPr>
          <w:ilvl w:val="1"/>
          <w:numId w:val="18"/>
        </w:numPr>
        <w:spacing w:line="360" w:lineRule="auto"/>
        <w:rPr>
          <w:rFonts w:ascii="仿宋" w:hAnsi="仿宋" w:eastAsia="仿宋" w:cs="仿宋"/>
          <w:sz w:val="24"/>
          <w:szCs w:val="24"/>
        </w:rPr>
      </w:pPr>
      <w:r>
        <w:rPr>
          <w:rFonts w:hint="eastAsia" w:ascii="仿宋" w:hAnsi="仿宋" w:eastAsia="仿宋" w:cs="仿宋"/>
          <w:sz w:val="24"/>
          <w:szCs w:val="24"/>
        </w:rPr>
        <w:t>特殊情况下，在原投标有效期截止之前，采购代理机构可要求投标人延长投标有效期。这种要求与答复均应以书面形式提交。投标人可拒绝采购代理机构的这种要求，其投标保证金将予以退还，但其投标在原投标有效期期满后将不再有效。同意延长投标有效期的投标人将不会被要求和允许修正其投标，而只会被要求相应地延长其投标保证金的有效期。在这种情况下，本须知有关投标保证金的退还和没收的规定将在延长了的有效期内继续有效。</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116" w:name="_Toc30820"/>
      <w:bookmarkStart w:id="117" w:name="_Toc8626"/>
      <w:bookmarkStart w:id="118" w:name="_Toc29158"/>
      <w:bookmarkStart w:id="119" w:name="_Toc55778696"/>
      <w:bookmarkStart w:id="120" w:name="_Toc32144"/>
      <w:r>
        <w:rPr>
          <w:rFonts w:hint="eastAsia" w:ascii="仿宋" w:hAnsi="仿宋" w:eastAsia="仿宋" w:cs="仿宋"/>
          <w:b/>
          <w:bCs/>
          <w:kern w:val="44"/>
          <w:sz w:val="24"/>
          <w:szCs w:val="24"/>
        </w:rPr>
        <w:t>投标文件的式样和签署、密封</w:t>
      </w:r>
      <w:bookmarkEnd w:id="116"/>
      <w:bookmarkEnd w:id="117"/>
      <w:bookmarkEnd w:id="118"/>
      <w:bookmarkEnd w:id="119"/>
      <w:bookmarkEnd w:id="120"/>
    </w:p>
    <w:p>
      <w:pPr>
        <w:numPr>
          <w:ilvl w:val="1"/>
          <w:numId w:val="19"/>
        </w:numPr>
        <w:spacing w:line="360" w:lineRule="auto"/>
        <w:rPr>
          <w:rFonts w:ascii="仿宋" w:hAnsi="仿宋" w:eastAsia="仿宋" w:cs="仿宋"/>
          <w:sz w:val="24"/>
          <w:szCs w:val="24"/>
        </w:rPr>
      </w:pPr>
      <w:r>
        <w:rPr>
          <w:rFonts w:hint="eastAsia" w:ascii="仿宋" w:hAnsi="仿宋" w:eastAsia="仿宋" w:cs="仿宋"/>
          <w:color w:val="000000"/>
          <w:sz w:val="24"/>
          <w:szCs w:val="24"/>
        </w:rPr>
        <w:t>投标人应根据投标人须知前附表规定提交投标文件</w:t>
      </w:r>
    </w:p>
    <w:p>
      <w:pPr>
        <w:numPr>
          <w:ilvl w:val="1"/>
          <w:numId w:val="19"/>
        </w:numPr>
        <w:spacing w:line="360" w:lineRule="auto"/>
        <w:rPr>
          <w:rFonts w:ascii="仿宋" w:hAnsi="仿宋" w:eastAsia="仿宋" w:cs="仿宋"/>
          <w:sz w:val="24"/>
          <w:szCs w:val="24"/>
        </w:rPr>
      </w:pPr>
      <w:r>
        <w:rPr>
          <w:rFonts w:hint="eastAsia" w:ascii="仿宋" w:hAnsi="仿宋" w:eastAsia="仿宋" w:cs="仿宋"/>
          <w:sz w:val="24"/>
          <w:szCs w:val="24"/>
        </w:rPr>
        <w:t>投标人应根据投标人须知前附表规定提交投标文件。</w:t>
      </w:r>
      <w:r>
        <w:rPr>
          <w:rFonts w:hint="eastAsia" w:ascii="仿宋" w:hAnsi="仿宋" w:eastAsia="仿宋" w:cs="仿宋"/>
          <w:kern w:val="0"/>
          <w:sz w:val="24"/>
          <w:szCs w:val="24"/>
        </w:rPr>
        <w:t>为了保证电子标书的合法性、安全性和完整性，电子投标文件应在规定区域加盖单位和法定代表人CA印章。电子投标文件若无 CA电子签章，则视为无效文件。</w:t>
      </w:r>
    </w:p>
    <w:p>
      <w:pPr>
        <w:numPr>
          <w:ilvl w:val="1"/>
          <w:numId w:val="19"/>
        </w:numPr>
        <w:spacing w:line="360" w:lineRule="auto"/>
        <w:rPr>
          <w:rFonts w:ascii="仿宋" w:hAnsi="仿宋" w:eastAsia="仿宋" w:cs="仿宋"/>
          <w:sz w:val="24"/>
          <w:szCs w:val="24"/>
        </w:rPr>
      </w:pPr>
      <w:r>
        <w:rPr>
          <w:rFonts w:hint="eastAsia" w:ascii="仿宋" w:hAnsi="仿宋" w:eastAsia="仿宋" w:cs="仿宋"/>
          <w:sz w:val="24"/>
          <w:szCs w:val="24"/>
        </w:rPr>
        <w:t>电子投标文件的内容通过数字证书进行加密并签章。未按要求加密和数字证书认证的投标文件，电子评标系统将无法接受,采购单位不予受理。</w:t>
      </w:r>
    </w:p>
    <w:p>
      <w:pPr>
        <w:pStyle w:val="3"/>
        <w:jc w:val="center"/>
        <w:rPr>
          <w:rFonts w:ascii="仿宋" w:hAnsi="仿宋" w:eastAsia="仿宋" w:cs="仿宋"/>
          <w:sz w:val="24"/>
          <w:szCs w:val="24"/>
        </w:rPr>
      </w:pPr>
      <w:bookmarkStart w:id="121" w:name="_Toc19381"/>
      <w:r>
        <w:rPr>
          <w:rFonts w:hint="eastAsia" w:ascii="仿宋" w:hAnsi="仿宋" w:eastAsia="仿宋" w:cs="仿宋"/>
          <w:sz w:val="24"/>
          <w:szCs w:val="24"/>
        </w:rPr>
        <w:t>四、投标文件的递交</w:t>
      </w:r>
      <w:bookmarkEnd w:id="121"/>
    </w:p>
    <w:p>
      <w:pPr>
        <w:keepNext/>
        <w:keepLines/>
        <w:numPr>
          <w:ilvl w:val="0"/>
          <w:numId w:val="4"/>
        </w:numPr>
        <w:tabs>
          <w:tab w:val="left" w:pos="900"/>
        </w:tabs>
        <w:spacing w:line="360" w:lineRule="auto"/>
        <w:ind w:left="924" w:hanging="924"/>
        <w:outlineLvl w:val="0"/>
        <w:rPr>
          <w:rFonts w:ascii="仿宋" w:hAnsi="仿宋" w:eastAsia="仿宋" w:cs="仿宋"/>
          <w:b/>
          <w:kern w:val="44"/>
          <w:sz w:val="24"/>
          <w:szCs w:val="24"/>
        </w:rPr>
      </w:pPr>
      <w:bookmarkStart w:id="122" w:name="_Toc24917"/>
      <w:bookmarkStart w:id="123" w:name="_Toc28503"/>
      <w:bookmarkStart w:id="124" w:name="_Toc55778697"/>
      <w:bookmarkStart w:id="125" w:name="_Toc5633"/>
      <w:bookmarkStart w:id="126" w:name="_Toc2542"/>
      <w:r>
        <w:rPr>
          <w:rFonts w:hint="eastAsia" w:ascii="仿宋" w:hAnsi="仿宋" w:eastAsia="仿宋" w:cs="仿宋"/>
          <w:b/>
          <w:kern w:val="44"/>
          <w:sz w:val="24"/>
          <w:szCs w:val="24"/>
        </w:rPr>
        <w:t>投标文件递交</w:t>
      </w:r>
      <w:bookmarkEnd w:id="122"/>
      <w:bookmarkEnd w:id="123"/>
      <w:bookmarkEnd w:id="124"/>
      <w:bookmarkEnd w:id="125"/>
      <w:bookmarkEnd w:id="126"/>
    </w:p>
    <w:p>
      <w:pPr>
        <w:numPr>
          <w:ilvl w:val="1"/>
          <w:numId w:val="20"/>
        </w:numPr>
        <w:spacing w:line="360" w:lineRule="auto"/>
        <w:rPr>
          <w:rFonts w:ascii="仿宋" w:hAnsi="仿宋" w:eastAsia="仿宋" w:cs="仿宋"/>
          <w:sz w:val="24"/>
          <w:szCs w:val="24"/>
        </w:rPr>
      </w:pPr>
      <w:bookmarkStart w:id="127" w:name="_Toc55778698"/>
      <w:bookmarkStart w:id="128" w:name="_Toc20929"/>
      <w:r>
        <w:rPr>
          <w:rFonts w:hint="eastAsia" w:ascii="仿宋" w:hAnsi="仿宋" w:eastAsia="仿宋" w:cs="仿宋"/>
          <w:sz w:val="24"/>
          <w:szCs w:val="24"/>
        </w:rPr>
        <w:t>本项目采用不见面开标、投标人需要递交电子响应文件，加密的电子响应文件，在投标截止时间前通过政采云平台上传到指定位置，无需递交纸质文件。</w:t>
      </w:r>
    </w:p>
    <w:p>
      <w:pPr>
        <w:keepNext/>
        <w:keepLines/>
        <w:numPr>
          <w:ilvl w:val="0"/>
          <w:numId w:val="4"/>
        </w:numPr>
        <w:tabs>
          <w:tab w:val="left" w:pos="900"/>
        </w:tabs>
        <w:spacing w:line="360" w:lineRule="auto"/>
        <w:ind w:left="924" w:hanging="924"/>
        <w:outlineLvl w:val="0"/>
        <w:rPr>
          <w:rFonts w:ascii="仿宋" w:hAnsi="仿宋" w:eastAsia="仿宋" w:cs="仿宋"/>
          <w:b/>
          <w:kern w:val="44"/>
          <w:sz w:val="24"/>
          <w:szCs w:val="24"/>
        </w:rPr>
      </w:pPr>
      <w:bookmarkStart w:id="129" w:name="_Toc31985"/>
      <w:bookmarkStart w:id="130" w:name="_Toc4909"/>
      <w:bookmarkStart w:id="131" w:name="_Toc20702"/>
      <w:bookmarkStart w:id="132" w:name="_Toc12495"/>
      <w:r>
        <w:rPr>
          <w:rFonts w:hint="eastAsia" w:ascii="仿宋" w:hAnsi="仿宋" w:eastAsia="仿宋" w:cs="仿宋"/>
          <w:b/>
          <w:kern w:val="44"/>
          <w:sz w:val="24"/>
          <w:szCs w:val="24"/>
        </w:rPr>
        <w:t>投标截止时间</w:t>
      </w:r>
      <w:bookmarkEnd w:id="127"/>
      <w:bookmarkEnd w:id="129"/>
      <w:bookmarkEnd w:id="130"/>
      <w:bookmarkEnd w:id="131"/>
      <w:bookmarkEnd w:id="132"/>
    </w:p>
    <w:p>
      <w:pPr>
        <w:keepNext/>
        <w:keepLines/>
        <w:numPr>
          <w:ilvl w:val="0"/>
          <w:numId w:val="21"/>
        </w:numPr>
        <w:tabs>
          <w:tab w:val="left" w:pos="900"/>
          <w:tab w:val="clear" w:pos="907"/>
        </w:tabs>
        <w:spacing w:line="360" w:lineRule="auto"/>
        <w:outlineLvl w:val="0"/>
        <w:rPr>
          <w:rFonts w:ascii="仿宋" w:hAnsi="仿宋" w:eastAsia="仿宋" w:cs="仿宋"/>
          <w:kern w:val="44"/>
          <w:sz w:val="24"/>
          <w:szCs w:val="24"/>
        </w:rPr>
      </w:pPr>
      <w:bookmarkStart w:id="133" w:name="_Toc30090"/>
      <w:bookmarkStart w:id="134" w:name="_Toc1932"/>
      <w:bookmarkStart w:id="135" w:name="_Toc55778699"/>
      <w:bookmarkStart w:id="136" w:name="_Toc5154"/>
      <w:bookmarkStart w:id="137" w:name="_Toc10314"/>
      <w:r>
        <w:rPr>
          <w:rFonts w:hint="eastAsia" w:ascii="仿宋" w:hAnsi="仿宋" w:eastAsia="仿宋" w:cs="仿宋"/>
          <w:kern w:val="44"/>
          <w:sz w:val="24"/>
          <w:szCs w:val="24"/>
        </w:rPr>
        <w:t>本次招标的投标截止时间见第二章《投标须知前附表》的规定。</w:t>
      </w:r>
      <w:bookmarkEnd w:id="133"/>
      <w:bookmarkEnd w:id="134"/>
      <w:bookmarkEnd w:id="135"/>
      <w:bookmarkEnd w:id="136"/>
      <w:bookmarkEnd w:id="137"/>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138" w:name="_Toc55778700"/>
      <w:bookmarkStart w:id="139" w:name="_Toc1876"/>
      <w:bookmarkStart w:id="140" w:name="_Toc28929"/>
      <w:bookmarkStart w:id="141" w:name="_Toc9155"/>
      <w:bookmarkStart w:id="142" w:name="_Toc14001"/>
      <w:r>
        <w:rPr>
          <w:rFonts w:hint="eastAsia" w:ascii="仿宋" w:hAnsi="仿宋" w:eastAsia="仿宋" w:cs="仿宋"/>
          <w:b/>
          <w:kern w:val="44"/>
          <w:sz w:val="24"/>
          <w:szCs w:val="24"/>
        </w:rPr>
        <w:t>迟交的投标文件</w:t>
      </w:r>
      <w:bookmarkEnd w:id="138"/>
      <w:bookmarkEnd w:id="139"/>
      <w:bookmarkEnd w:id="140"/>
      <w:bookmarkEnd w:id="141"/>
      <w:bookmarkEnd w:id="142"/>
    </w:p>
    <w:p>
      <w:pPr>
        <w:keepNext/>
        <w:keepLines/>
        <w:numPr>
          <w:ilvl w:val="0"/>
          <w:numId w:val="22"/>
        </w:numPr>
        <w:tabs>
          <w:tab w:val="left" w:pos="900"/>
          <w:tab w:val="clear" w:pos="907"/>
        </w:tabs>
        <w:spacing w:line="360" w:lineRule="auto"/>
        <w:outlineLvl w:val="0"/>
        <w:rPr>
          <w:rFonts w:ascii="仿宋" w:hAnsi="仿宋" w:eastAsia="仿宋" w:cs="仿宋"/>
          <w:kern w:val="44"/>
          <w:sz w:val="24"/>
          <w:szCs w:val="24"/>
        </w:rPr>
      </w:pPr>
      <w:bookmarkStart w:id="143" w:name="_Toc16592"/>
      <w:bookmarkStart w:id="144" w:name="_Toc7900"/>
      <w:bookmarkStart w:id="145" w:name="_Toc55778701"/>
      <w:bookmarkStart w:id="146" w:name="_Toc24301"/>
      <w:bookmarkStart w:id="147" w:name="_Toc94"/>
      <w:r>
        <w:rPr>
          <w:rFonts w:hint="eastAsia" w:ascii="仿宋" w:hAnsi="仿宋" w:eastAsia="仿宋" w:cs="仿宋"/>
          <w:kern w:val="44"/>
          <w:sz w:val="24"/>
          <w:szCs w:val="24"/>
        </w:rPr>
        <w:t>采购代理机构将拒绝并原封退回在其规定的投标截止时刻后收到的任何投标文件（包括相关的原件资料）。</w:t>
      </w:r>
      <w:bookmarkEnd w:id="143"/>
      <w:bookmarkEnd w:id="144"/>
      <w:bookmarkEnd w:id="145"/>
      <w:bookmarkEnd w:id="146"/>
      <w:bookmarkEnd w:id="147"/>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148" w:name="_Toc55778702"/>
      <w:bookmarkStart w:id="149" w:name="_Toc3709"/>
      <w:bookmarkStart w:id="150" w:name="_Toc27265"/>
      <w:bookmarkStart w:id="151" w:name="_Toc21101"/>
      <w:bookmarkStart w:id="152" w:name="_Toc19255"/>
      <w:r>
        <w:rPr>
          <w:rFonts w:hint="eastAsia" w:ascii="仿宋" w:hAnsi="仿宋" w:eastAsia="仿宋" w:cs="仿宋"/>
          <w:b/>
          <w:bCs/>
          <w:kern w:val="44"/>
          <w:sz w:val="24"/>
          <w:szCs w:val="24"/>
        </w:rPr>
        <w:t>投</w:t>
      </w:r>
      <w:bookmarkEnd w:id="128"/>
      <w:r>
        <w:rPr>
          <w:rFonts w:hint="eastAsia" w:ascii="仿宋" w:hAnsi="仿宋" w:eastAsia="仿宋" w:cs="仿宋"/>
          <w:b/>
          <w:bCs/>
          <w:kern w:val="44"/>
          <w:sz w:val="24"/>
          <w:szCs w:val="24"/>
        </w:rPr>
        <w:t>标文件的修改和撤回、撤销</w:t>
      </w:r>
      <w:bookmarkEnd w:id="148"/>
      <w:bookmarkEnd w:id="149"/>
      <w:bookmarkEnd w:id="150"/>
      <w:bookmarkEnd w:id="151"/>
      <w:bookmarkEnd w:id="152"/>
    </w:p>
    <w:p>
      <w:pPr>
        <w:numPr>
          <w:ilvl w:val="1"/>
          <w:numId w:val="23"/>
        </w:numPr>
        <w:spacing w:line="360" w:lineRule="auto"/>
        <w:rPr>
          <w:rFonts w:ascii="仿宋" w:hAnsi="仿宋" w:eastAsia="仿宋" w:cs="仿宋"/>
          <w:sz w:val="24"/>
          <w:szCs w:val="24"/>
        </w:rPr>
      </w:pPr>
      <w:r>
        <w:rPr>
          <w:rFonts w:hint="eastAsia" w:ascii="仿宋" w:hAnsi="仿宋" w:eastAsia="仿宋" w:cs="仿宋"/>
          <w:sz w:val="24"/>
          <w:szCs w:val="24"/>
        </w:rPr>
        <w:t>投标人在投标截止时间前，可以对所递交的投标文件进行补充、修改或者撤回，并书面通知采购代理机构。补充、修改的内容应当按招标文件要求签署、盖章、密封后，并作为投标文件的组成部分。在投标截止时间之后，投标人不得对其投标文件做任何修改和补充。</w:t>
      </w:r>
    </w:p>
    <w:p>
      <w:pPr>
        <w:numPr>
          <w:ilvl w:val="1"/>
          <w:numId w:val="23"/>
        </w:numPr>
        <w:spacing w:line="360" w:lineRule="auto"/>
        <w:rPr>
          <w:rFonts w:ascii="仿宋" w:hAnsi="仿宋" w:eastAsia="仿宋" w:cs="仿宋"/>
          <w:sz w:val="24"/>
          <w:szCs w:val="24"/>
        </w:rPr>
      </w:pPr>
      <w:r>
        <w:rPr>
          <w:rFonts w:hint="eastAsia" w:ascii="仿宋" w:hAnsi="仿宋" w:eastAsia="仿宋" w:cs="仿宋"/>
          <w:sz w:val="24"/>
          <w:szCs w:val="24"/>
        </w:rPr>
        <w:t>除非招标文件另有规定或说明，投标人所提交的投标文件在评标结束后，无论中标与否都不退还。</w:t>
      </w:r>
    </w:p>
    <w:p>
      <w:pPr>
        <w:numPr>
          <w:ilvl w:val="1"/>
          <w:numId w:val="23"/>
        </w:numPr>
        <w:spacing w:line="360" w:lineRule="auto"/>
        <w:rPr>
          <w:rFonts w:ascii="仿宋" w:hAnsi="仿宋" w:eastAsia="仿宋" w:cs="仿宋"/>
          <w:sz w:val="24"/>
          <w:szCs w:val="24"/>
        </w:rPr>
      </w:pPr>
      <w:r>
        <w:rPr>
          <w:rFonts w:hint="eastAsia" w:ascii="仿宋" w:hAnsi="仿宋" w:eastAsia="仿宋" w:cs="仿宋"/>
          <w:sz w:val="24"/>
          <w:szCs w:val="24"/>
        </w:rPr>
        <w:t>投标截止后，投标人不得撤销其投标，否则其投标保证金将按照本须知规定被没收。</w:t>
      </w:r>
    </w:p>
    <w:p>
      <w:pPr>
        <w:keepNext/>
        <w:keepLines/>
        <w:spacing w:line="360" w:lineRule="auto"/>
        <w:jc w:val="center"/>
        <w:outlineLvl w:val="1"/>
        <w:rPr>
          <w:rFonts w:ascii="仿宋" w:hAnsi="仿宋" w:eastAsia="仿宋" w:cs="仿宋"/>
          <w:b/>
          <w:bCs/>
          <w:sz w:val="24"/>
          <w:szCs w:val="24"/>
        </w:rPr>
      </w:pPr>
      <w:bookmarkStart w:id="153" w:name="_Toc2377"/>
      <w:bookmarkStart w:id="154" w:name="_Toc55778703"/>
      <w:bookmarkStart w:id="155" w:name="_Toc14523"/>
      <w:r>
        <w:rPr>
          <w:rFonts w:hint="eastAsia" w:ascii="仿宋" w:hAnsi="仿宋" w:eastAsia="仿宋" w:cs="仿宋"/>
          <w:b/>
          <w:bCs/>
          <w:sz w:val="24"/>
          <w:szCs w:val="24"/>
        </w:rPr>
        <w:t>五、开标与评标</w:t>
      </w:r>
      <w:bookmarkEnd w:id="153"/>
      <w:bookmarkEnd w:id="154"/>
      <w:bookmarkEnd w:id="155"/>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156" w:name="_Toc4602"/>
      <w:bookmarkStart w:id="157" w:name="_Toc55778704"/>
      <w:bookmarkStart w:id="158" w:name="_Toc13720"/>
      <w:bookmarkStart w:id="159" w:name="_Toc930"/>
      <w:bookmarkStart w:id="160" w:name="_Toc21732"/>
      <w:bookmarkStart w:id="161" w:name="_Toc26238"/>
      <w:r>
        <w:rPr>
          <w:rFonts w:hint="eastAsia" w:ascii="仿宋" w:hAnsi="仿宋" w:eastAsia="仿宋" w:cs="仿宋"/>
          <w:b/>
          <w:bCs/>
          <w:kern w:val="44"/>
          <w:sz w:val="24"/>
          <w:szCs w:val="24"/>
        </w:rPr>
        <w:t>开标</w:t>
      </w:r>
      <w:bookmarkEnd w:id="156"/>
      <w:bookmarkEnd w:id="157"/>
      <w:bookmarkEnd w:id="158"/>
      <w:bookmarkEnd w:id="159"/>
      <w:bookmarkEnd w:id="160"/>
      <w:bookmarkEnd w:id="161"/>
    </w:p>
    <w:p>
      <w:pPr>
        <w:numPr>
          <w:ilvl w:val="0"/>
          <w:numId w:val="24"/>
        </w:numPr>
        <w:spacing w:line="360" w:lineRule="auto"/>
        <w:rPr>
          <w:rFonts w:ascii="仿宋" w:hAnsi="仿宋" w:eastAsia="仿宋" w:cs="仿宋"/>
          <w:vanish/>
          <w:sz w:val="24"/>
          <w:szCs w:val="24"/>
          <w:highlight w:val="yellow"/>
        </w:rPr>
      </w:pPr>
    </w:p>
    <w:p>
      <w:pPr>
        <w:numPr>
          <w:ilvl w:val="1"/>
          <w:numId w:val="24"/>
        </w:numPr>
        <w:spacing w:line="360" w:lineRule="auto"/>
        <w:rPr>
          <w:rFonts w:ascii="仿宋" w:hAnsi="仿宋" w:eastAsia="仿宋" w:cs="仿宋"/>
          <w:sz w:val="24"/>
          <w:szCs w:val="24"/>
        </w:rPr>
      </w:pPr>
      <w:bookmarkStart w:id="162" w:name="_Toc55778705"/>
      <w:bookmarkStart w:id="163" w:name="_Toc17344"/>
      <w:r>
        <w:rPr>
          <w:rFonts w:hint="eastAsia" w:ascii="仿宋" w:hAnsi="仿宋" w:eastAsia="仿宋" w:cs="仿宋"/>
          <w:sz w:val="24"/>
          <w:szCs w:val="24"/>
        </w:rPr>
        <w:t>采购人或采购代理机构在投标人须知前附表规定的开标时间和开标地点组织公开开标，邀请投标人参加。评标委员会成员不得参加开标活动。投标人不足3家的，不得开标。</w:t>
      </w:r>
    </w:p>
    <w:p>
      <w:pPr>
        <w:numPr>
          <w:ilvl w:val="1"/>
          <w:numId w:val="24"/>
        </w:numPr>
        <w:spacing w:line="360" w:lineRule="auto"/>
        <w:rPr>
          <w:rFonts w:ascii="仿宋" w:hAnsi="仿宋" w:eastAsia="仿宋" w:cs="仿宋"/>
          <w:sz w:val="24"/>
          <w:szCs w:val="24"/>
        </w:rPr>
      </w:pPr>
      <w:r>
        <w:rPr>
          <w:rFonts w:hint="eastAsia" w:ascii="仿宋" w:hAnsi="仿宋" w:eastAsia="仿宋" w:cs="仿宋"/>
          <w:bCs/>
          <w:color w:val="000000"/>
          <w:kern w:val="0"/>
          <w:sz w:val="24"/>
          <w:szCs w:val="24"/>
        </w:rPr>
        <w:t>投标文件以电子形式递交至: 新疆政采云平台；</w:t>
      </w:r>
      <w:r>
        <w:rPr>
          <w:rFonts w:hint="eastAsia" w:ascii="仿宋" w:hAnsi="仿宋" w:eastAsia="仿宋" w:cs="仿宋"/>
          <w:bCs/>
          <w:color w:val="000000"/>
          <w:kern w:val="0"/>
          <w:sz w:val="24"/>
          <w:szCs w:val="24"/>
          <w:highlight w:val="none"/>
        </w:rPr>
        <w:t>投标人应于2023年04月</w:t>
      </w:r>
      <w:r>
        <w:rPr>
          <w:rFonts w:hint="eastAsia" w:ascii="仿宋" w:hAnsi="仿宋" w:eastAsia="仿宋" w:cs="仿宋"/>
          <w:bCs/>
          <w:color w:val="000000"/>
          <w:kern w:val="0"/>
          <w:sz w:val="24"/>
          <w:szCs w:val="24"/>
          <w:highlight w:val="none"/>
          <w:lang w:val="en-US" w:eastAsia="zh-CN"/>
        </w:rPr>
        <w:t>10</w:t>
      </w:r>
      <w:r>
        <w:rPr>
          <w:rFonts w:hint="eastAsia" w:ascii="仿宋" w:hAnsi="仿宋" w:eastAsia="仿宋" w:cs="仿宋"/>
          <w:bCs/>
          <w:color w:val="000000"/>
          <w:kern w:val="0"/>
          <w:sz w:val="24"/>
          <w:szCs w:val="24"/>
        </w:rPr>
        <w:t>日11: 00(北京时间) 之前将电子投标文件上传到“政采云”平台。开标时间后30分钟内供应商登录“政采云”平台，用“项目采购-开标评标”功能进行解密投标文件。若供应商在规定时间内未按时解密的，视为无效投标。(解密时间开始时政采云平台将以短信形式向供应商在政采云平台预留的手机号发送短信通知，请供应商及时关注。)</w:t>
      </w:r>
    </w:p>
    <w:p>
      <w:pPr>
        <w:numPr>
          <w:ilvl w:val="1"/>
          <w:numId w:val="24"/>
        </w:numPr>
        <w:spacing w:line="360" w:lineRule="auto"/>
        <w:rPr>
          <w:rFonts w:ascii="仿宋" w:hAnsi="仿宋" w:eastAsia="仿宋" w:cs="仿宋"/>
          <w:sz w:val="24"/>
          <w:szCs w:val="24"/>
        </w:rPr>
      </w:pPr>
      <w:r>
        <w:rPr>
          <w:rFonts w:hint="eastAsia" w:ascii="仿宋" w:hAnsi="仿宋" w:eastAsia="仿宋" w:cs="仿宋"/>
          <w:sz w:val="24"/>
          <w:szCs w:val="24"/>
        </w:rPr>
        <w:t>解密成功后由采购人或者采购代理机构工作人员唱电子标，宣布投标人名称、投标价格和招标文件规定的需要宣布的其他内容。</w:t>
      </w:r>
    </w:p>
    <w:p>
      <w:pPr>
        <w:numPr>
          <w:ilvl w:val="1"/>
          <w:numId w:val="24"/>
        </w:numPr>
        <w:spacing w:line="360" w:lineRule="auto"/>
        <w:rPr>
          <w:rFonts w:ascii="仿宋" w:hAnsi="仿宋" w:eastAsia="仿宋" w:cs="仿宋"/>
          <w:sz w:val="24"/>
          <w:szCs w:val="24"/>
        </w:rPr>
      </w:pPr>
      <w:r>
        <w:rPr>
          <w:rFonts w:hint="eastAsia" w:ascii="仿宋" w:hAnsi="仿宋" w:eastAsia="仿宋" w:cs="仿宋"/>
          <w:sz w:val="24"/>
          <w:szCs w:val="24"/>
        </w:rPr>
        <w:t>开标过程应当由采购人或者采购代理机构负责记录，由参加开标的各投标人代表和相关工作人员签字确认。</w:t>
      </w:r>
    </w:p>
    <w:p>
      <w:pPr>
        <w:numPr>
          <w:ilvl w:val="1"/>
          <w:numId w:val="24"/>
        </w:numPr>
        <w:spacing w:line="360" w:lineRule="auto"/>
        <w:rPr>
          <w:rFonts w:ascii="仿宋" w:hAnsi="仿宋" w:eastAsia="仿宋" w:cs="仿宋"/>
          <w:b/>
          <w:bCs/>
          <w:kern w:val="44"/>
          <w:sz w:val="24"/>
          <w:szCs w:val="24"/>
        </w:rPr>
      </w:pPr>
      <w:r>
        <w:rPr>
          <w:rFonts w:hint="eastAsia" w:ascii="仿宋" w:hAnsi="仿宋" w:eastAsia="仿宋" w:cs="仿宋"/>
          <w:sz w:val="24"/>
          <w:szCs w:val="24"/>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numPr>
          <w:ilvl w:val="1"/>
          <w:numId w:val="24"/>
        </w:numPr>
        <w:spacing w:line="360" w:lineRule="auto"/>
        <w:rPr>
          <w:rFonts w:ascii="仿宋" w:hAnsi="仿宋" w:eastAsia="仿宋" w:cs="仿宋"/>
          <w:b/>
          <w:bCs/>
          <w:kern w:val="44"/>
          <w:sz w:val="24"/>
          <w:szCs w:val="24"/>
        </w:rPr>
      </w:pPr>
      <w:r>
        <w:rPr>
          <w:rFonts w:hint="eastAsia" w:ascii="仿宋" w:hAnsi="仿宋" w:eastAsia="仿宋" w:cs="仿宋"/>
          <w:sz w:val="24"/>
          <w:szCs w:val="24"/>
        </w:rPr>
        <w:t>投标人未参加开标的，视同认可开标结果。</w:t>
      </w:r>
      <w:bookmarkStart w:id="164" w:name="_Toc1994"/>
      <w:bookmarkStart w:id="165" w:name="_Toc11631"/>
      <w:bookmarkStart w:id="166" w:name="_Toc24182"/>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167" w:name="_Toc16898"/>
      <w:r>
        <w:rPr>
          <w:rFonts w:hint="eastAsia" w:ascii="仿宋" w:hAnsi="仿宋" w:eastAsia="仿宋" w:cs="仿宋"/>
          <w:b/>
          <w:kern w:val="44"/>
          <w:sz w:val="24"/>
          <w:szCs w:val="24"/>
        </w:rPr>
        <w:t>公开招标失败后的处理</w:t>
      </w:r>
      <w:bookmarkEnd w:id="162"/>
      <w:bookmarkEnd w:id="164"/>
      <w:bookmarkEnd w:id="165"/>
      <w:bookmarkEnd w:id="166"/>
      <w:bookmarkEnd w:id="167"/>
    </w:p>
    <w:p>
      <w:pPr>
        <w:numPr>
          <w:ilvl w:val="1"/>
          <w:numId w:val="25"/>
        </w:numPr>
        <w:spacing w:line="360" w:lineRule="auto"/>
        <w:rPr>
          <w:rFonts w:ascii="仿宋" w:hAnsi="仿宋" w:eastAsia="仿宋" w:cs="仿宋"/>
          <w:sz w:val="24"/>
          <w:szCs w:val="24"/>
        </w:rPr>
      </w:pPr>
      <w:r>
        <w:rPr>
          <w:rFonts w:hint="eastAsia" w:ascii="仿宋" w:hAnsi="仿宋" w:eastAsia="仿宋" w:cs="仿宋"/>
          <w:sz w:val="24"/>
          <w:szCs w:val="24"/>
        </w:rPr>
        <w:t>如果开标当天，投标截止后投标人不足3家或者通过资格审查或符合性审查的投标人不足3家的，除特殊情况外，本项目作废标处理。废标后，除采购任务取消情形外，按照以下方式处理：</w:t>
      </w:r>
    </w:p>
    <w:p>
      <w:pPr>
        <w:numPr>
          <w:ilvl w:val="0"/>
          <w:numId w:val="26"/>
        </w:numPr>
        <w:spacing w:line="360" w:lineRule="auto"/>
        <w:rPr>
          <w:rFonts w:ascii="仿宋" w:hAnsi="仿宋" w:eastAsia="仿宋" w:cs="仿宋"/>
          <w:sz w:val="24"/>
          <w:szCs w:val="24"/>
        </w:rPr>
      </w:pPr>
      <w:r>
        <w:rPr>
          <w:rFonts w:hint="eastAsia" w:ascii="仿宋" w:hAnsi="仿宋" w:eastAsia="仿宋" w:cs="仿宋"/>
          <w:sz w:val="24"/>
          <w:szCs w:val="24"/>
        </w:rPr>
        <w:t>招标文件存在不合理条款或者招标程序不符合规定的，采购人、采购代理机构改正后依法重新招标。</w:t>
      </w:r>
    </w:p>
    <w:p>
      <w:pPr>
        <w:numPr>
          <w:ilvl w:val="0"/>
          <w:numId w:val="26"/>
        </w:numPr>
        <w:spacing w:line="360" w:lineRule="auto"/>
        <w:rPr>
          <w:rFonts w:ascii="仿宋" w:hAnsi="仿宋" w:eastAsia="仿宋" w:cs="仿宋"/>
          <w:sz w:val="24"/>
          <w:szCs w:val="24"/>
        </w:rPr>
      </w:pPr>
      <w:r>
        <w:rPr>
          <w:rFonts w:hint="eastAsia" w:ascii="仿宋" w:hAnsi="仿宋" w:eastAsia="仿宋" w:cs="仿宋"/>
          <w:sz w:val="24"/>
          <w:szCs w:val="24"/>
        </w:rPr>
        <w:t>招标文件没有不合理条款、招标程序符合规定，采购人需要采用其他采购方式采购的，经财政部门同意后可依法转换采购方式进行。</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168" w:name="_Toc55778706"/>
      <w:bookmarkStart w:id="169" w:name="_Toc29298"/>
      <w:r>
        <w:rPr>
          <w:rFonts w:hint="eastAsia" w:ascii="仿宋" w:hAnsi="仿宋" w:eastAsia="仿宋" w:cs="仿宋"/>
          <w:b/>
          <w:bCs/>
          <w:kern w:val="44"/>
          <w:sz w:val="24"/>
          <w:szCs w:val="24"/>
        </w:rPr>
        <w:t>评标小组</w:t>
      </w:r>
      <w:bookmarkEnd w:id="163"/>
      <w:bookmarkEnd w:id="168"/>
      <w:bookmarkEnd w:id="169"/>
    </w:p>
    <w:p>
      <w:pPr>
        <w:numPr>
          <w:ilvl w:val="1"/>
          <w:numId w:val="27"/>
        </w:numPr>
        <w:spacing w:line="360" w:lineRule="auto"/>
        <w:rPr>
          <w:rFonts w:ascii="仿宋" w:hAnsi="仿宋" w:eastAsia="仿宋" w:cs="仿宋"/>
          <w:sz w:val="24"/>
          <w:szCs w:val="24"/>
        </w:rPr>
      </w:pPr>
      <w:bookmarkStart w:id="170" w:name="_Ref179621079"/>
      <w:r>
        <w:rPr>
          <w:rFonts w:hint="eastAsia" w:ascii="仿宋" w:hAnsi="仿宋" w:eastAsia="仿宋" w:cs="仿宋"/>
          <w:sz w:val="24"/>
          <w:szCs w:val="24"/>
        </w:rPr>
        <w:t>本次招标依《中华人民共和国政府采购法》、实施条例及有关法律法规组建评标小组，评标小组由采购人代表和有关技术、经济等方面的专家组成，采购人代表人数、专家人数及专业构成按政府采购规定确定。评标小组成员依法从</w:t>
      </w:r>
      <w:r>
        <w:rPr>
          <w:rFonts w:hint="eastAsia" w:ascii="仿宋" w:hAnsi="仿宋" w:eastAsia="仿宋" w:cs="仿宋"/>
          <w:b/>
          <w:bCs/>
          <w:sz w:val="24"/>
          <w:szCs w:val="24"/>
          <w:u w:val="single"/>
        </w:rPr>
        <w:t>新疆政采云平台</w:t>
      </w:r>
      <w:r>
        <w:rPr>
          <w:rFonts w:hint="eastAsia" w:ascii="仿宋" w:hAnsi="仿宋" w:eastAsia="仿宋" w:cs="仿宋"/>
          <w:sz w:val="24"/>
          <w:szCs w:val="24"/>
        </w:rPr>
        <w:t>评审专家库中随机抽取产生。对技术复杂、专业性强的采购项目，通过随机方式难以确定合适评审专家的，经主管预算单位同意，采购人可以自行选定相应专业领域的评审专家。</w:t>
      </w:r>
    </w:p>
    <w:p>
      <w:pPr>
        <w:numPr>
          <w:ilvl w:val="1"/>
          <w:numId w:val="27"/>
        </w:numPr>
        <w:spacing w:line="360" w:lineRule="auto"/>
        <w:rPr>
          <w:rFonts w:ascii="仿宋" w:hAnsi="仿宋" w:eastAsia="仿宋" w:cs="仿宋"/>
          <w:sz w:val="24"/>
          <w:szCs w:val="24"/>
        </w:rPr>
      </w:pPr>
      <w:r>
        <w:rPr>
          <w:rFonts w:hint="eastAsia" w:ascii="仿宋" w:hAnsi="仿宋" w:eastAsia="仿宋" w:cs="仿宋"/>
          <w:sz w:val="24"/>
          <w:szCs w:val="24"/>
        </w:rPr>
        <w:t>评标小组应当按照招标文件中规定的评标方法和标准，对符合性审查合格的投标文件进行商务和技术评估，综合比较与评价，提交评标报告并推荐中标候选人。</w:t>
      </w:r>
    </w:p>
    <w:p>
      <w:pPr>
        <w:numPr>
          <w:ilvl w:val="1"/>
          <w:numId w:val="27"/>
        </w:numPr>
        <w:spacing w:line="360" w:lineRule="auto"/>
        <w:rPr>
          <w:rFonts w:ascii="仿宋" w:hAnsi="仿宋" w:eastAsia="仿宋" w:cs="仿宋"/>
          <w:sz w:val="24"/>
          <w:szCs w:val="24"/>
        </w:rPr>
      </w:pPr>
      <w:r>
        <w:rPr>
          <w:rFonts w:hint="eastAsia" w:ascii="仿宋" w:hAnsi="仿宋" w:eastAsia="仿宋" w:cs="仿宋"/>
          <w:sz w:val="24"/>
          <w:szCs w:val="24"/>
        </w:rPr>
        <w:t>评标中因评标小组成员缺席、回避或者健康等特殊原因导致评标小组组成不符合法律法规规定的，采购人或者采购代理机构将依法补足后继续评标。被更换的评标小组成员所作出的评标意见无效。无法及时补足评标小组成员的，采购人或者采购代理机构将停止评标活动，封存所有投标文件和开标、评标资料，依法重新组建评标小组进行评标。原评标小组所作出的评标意见无效。采购人或者采购代理机构会将变更、重新组建评标小组的情况予以记录，并随招标文件一并存档。</w:t>
      </w:r>
    </w:p>
    <w:p>
      <w:pPr>
        <w:numPr>
          <w:ilvl w:val="1"/>
          <w:numId w:val="27"/>
        </w:numPr>
        <w:spacing w:line="360" w:lineRule="auto"/>
        <w:rPr>
          <w:rFonts w:ascii="仿宋" w:hAnsi="仿宋" w:eastAsia="仿宋" w:cs="仿宋"/>
          <w:sz w:val="24"/>
          <w:szCs w:val="24"/>
        </w:rPr>
      </w:pPr>
      <w:r>
        <w:rPr>
          <w:rFonts w:hint="eastAsia" w:ascii="仿宋" w:hAnsi="仿宋" w:eastAsia="仿宋" w:cs="仿宋"/>
          <w:sz w:val="24"/>
          <w:szCs w:val="24"/>
        </w:rPr>
        <w:t>评标小组成员名单在评标结果公告前严格保密。评审专家有下列情形之一的，受到邀请应主动提出回避，采购当事人也可以要求该评审专家回避：</w:t>
      </w:r>
    </w:p>
    <w:p>
      <w:pPr>
        <w:numPr>
          <w:ilvl w:val="0"/>
          <w:numId w:val="28"/>
        </w:numPr>
        <w:spacing w:line="360" w:lineRule="auto"/>
        <w:rPr>
          <w:rFonts w:ascii="仿宋" w:hAnsi="仿宋" w:eastAsia="仿宋" w:cs="仿宋"/>
          <w:sz w:val="24"/>
          <w:szCs w:val="24"/>
        </w:rPr>
      </w:pPr>
      <w:r>
        <w:rPr>
          <w:rFonts w:hint="eastAsia" w:ascii="仿宋" w:hAnsi="仿宋" w:eastAsia="仿宋" w:cs="仿宋"/>
          <w:sz w:val="24"/>
          <w:szCs w:val="24"/>
        </w:rPr>
        <w:t>参加采购活动前3年内与投标人存在劳动关系；</w:t>
      </w:r>
    </w:p>
    <w:p>
      <w:pPr>
        <w:numPr>
          <w:ilvl w:val="0"/>
          <w:numId w:val="28"/>
        </w:numPr>
        <w:spacing w:line="360" w:lineRule="auto"/>
        <w:rPr>
          <w:rFonts w:ascii="仿宋" w:hAnsi="仿宋" w:eastAsia="仿宋" w:cs="仿宋"/>
          <w:sz w:val="24"/>
          <w:szCs w:val="24"/>
        </w:rPr>
      </w:pPr>
      <w:r>
        <w:rPr>
          <w:rFonts w:hint="eastAsia" w:ascii="仿宋" w:hAnsi="仿宋" w:eastAsia="仿宋" w:cs="仿宋"/>
          <w:sz w:val="24"/>
          <w:szCs w:val="24"/>
        </w:rPr>
        <w:t>参加采购活动前3年内担任投标人的董事、监事；</w:t>
      </w:r>
    </w:p>
    <w:p>
      <w:pPr>
        <w:numPr>
          <w:ilvl w:val="0"/>
          <w:numId w:val="28"/>
        </w:numPr>
        <w:spacing w:line="360" w:lineRule="auto"/>
        <w:rPr>
          <w:rFonts w:ascii="仿宋" w:hAnsi="仿宋" w:eastAsia="仿宋" w:cs="仿宋"/>
          <w:sz w:val="24"/>
          <w:szCs w:val="24"/>
        </w:rPr>
      </w:pPr>
      <w:r>
        <w:rPr>
          <w:rFonts w:hint="eastAsia" w:ascii="仿宋" w:hAnsi="仿宋" w:eastAsia="仿宋" w:cs="仿宋"/>
          <w:sz w:val="24"/>
          <w:szCs w:val="24"/>
        </w:rPr>
        <w:t>参加采购活动前3年内是投标人的控股股东或者实际控制人；</w:t>
      </w:r>
    </w:p>
    <w:p>
      <w:pPr>
        <w:numPr>
          <w:ilvl w:val="0"/>
          <w:numId w:val="28"/>
        </w:numPr>
        <w:spacing w:line="360" w:lineRule="auto"/>
        <w:rPr>
          <w:rFonts w:ascii="仿宋" w:hAnsi="仿宋" w:eastAsia="仿宋" w:cs="仿宋"/>
          <w:sz w:val="24"/>
          <w:szCs w:val="24"/>
        </w:rPr>
      </w:pPr>
      <w:r>
        <w:rPr>
          <w:rFonts w:hint="eastAsia" w:ascii="仿宋" w:hAnsi="仿宋" w:eastAsia="仿宋" w:cs="仿宋"/>
          <w:sz w:val="24"/>
          <w:szCs w:val="24"/>
        </w:rPr>
        <w:t xml:space="preserve"> 与投标人的法定代表人或者负责人有夫妻、直系血亲、三代以内旁系血          </w:t>
      </w:r>
    </w:p>
    <w:p>
      <w:pPr>
        <w:spacing w:line="360" w:lineRule="auto"/>
        <w:ind w:left="425" w:firstLine="480" w:firstLineChars="200"/>
        <w:rPr>
          <w:rFonts w:ascii="仿宋" w:hAnsi="仿宋" w:eastAsia="仿宋" w:cs="仿宋"/>
          <w:sz w:val="24"/>
          <w:szCs w:val="24"/>
        </w:rPr>
      </w:pPr>
      <w:r>
        <w:rPr>
          <w:rFonts w:hint="eastAsia" w:ascii="仿宋" w:hAnsi="仿宋" w:eastAsia="仿宋" w:cs="仿宋"/>
          <w:sz w:val="24"/>
          <w:szCs w:val="24"/>
        </w:rPr>
        <w:t>亲或者近姻亲关系；</w:t>
      </w:r>
    </w:p>
    <w:p>
      <w:pPr>
        <w:numPr>
          <w:ilvl w:val="0"/>
          <w:numId w:val="28"/>
        </w:numPr>
        <w:spacing w:line="360" w:lineRule="auto"/>
        <w:rPr>
          <w:rFonts w:ascii="仿宋" w:hAnsi="仿宋" w:eastAsia="仿宋" w:cs="仿宋"/>
          <w:sz w:val="24"/>
          <w:szCs w:val="24"/>
        </w:rPr>
      </w:pPr>
      <w:r>
        <w:rPr>
          <w:rFonts w:hint="eastAsia" w:ascii="仿宋" w:hAnsi="仿宋" w:eastAsia="仿宋" w:cs="仿宋"/>
          <w:sz w:val="24"/>
          <w:szCs w:val="24"/>
        </w:rPr>
        <w:t>与投标人有其他可能影响政府采购活动公平、公正进行的关系。</w:t>
      </w:r>
    </w:p>
    <w:p>
      <w:pPr>
        <w:numPr>
          <w:ilvl w:val="1"/>
          <w:numId w:val="27"/>
        </w:numPr>
        <w:spacing w:line="360" w:lineRule="auto"/>
        <w:rPr>
          <w:rFonts w:ascii="仿宋" w:hAnsi="仿宋" w:eastAsia="仿宋" w:cs="仿宋"/>
          <w:sz w:val="24"/>
          <w:szCs w:val="24"/>
        </w:rPr>
      </w:pPr>
      <w:r>
        <w:rPr>
          <w:rFonts w:hint="eastAsia" w:ascii="仿宋" w:hAnsi="仿宋" w:eastAsia="仿宋" w:cs="仿宋"/>
          <w:sz w:val="24"/>
          <w:szCs w:val="24"/>
        </w:rPr>
        <w:t>评标小组将按综合评分法进行评审，即最大限度地满足招标文件实质性要求前提下，按照招标文件中规定的各项因素进行综合评审后，以评标总得分最高的投标人作为中标候选人。</w:t>
      </w:r>
      <w:bookmarkEnd w:id="170"/>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171" w:name="_Toc14456"/>
      <w:bookmarkStart w:id="172" w:name="_Toc780"/>
      <w:bookmarkStart w:id="173" w:name="_Toc26294"/>
      <w:bookmarkStart w:id="174" w:name="_Toc28109"/>
      <w:bookmarkStart w:id="175" w:name="_Toc55778707"/>
      <w:r>
        <w:rPr>
          <w:rFonts w:hint="eastAsia" w:ascii="仿宋" w:hAnsi="仿宋" w:eastAsia="仿宋" w:cs="仿宋"/>
          <w:b/>
          <w:kern w:val="44"/>
          <w:sz w:val="24"/>
          <w:szCs w:val="24"/>
        </w:rPr>
        <w:t>评标原则及评标方法</w:t>
      </w:r>
      <w:bookmarkEnd w:id="171"/>
      <w:bookmarkEnd w:id="172"/>
      <w:bookmarkEnd w:id="173"/>
      <w:bookmarkEnd w:id="174"/>
      <w:bookmarkEnd w:id="175"/>
    </w:p>
    <w:p>
      <w:pPr>
        <w:numPr>
          <w:ilvl w:val="1"/>
          <w:numId w:val="29"/>
        </w:numPr>
        <w:spacing w:line="360" w:lineRule="auto"/>
        <w:rPr>
          <w:rFonts w:ascii="仿宋" w:hAnsi="仿宋" w:eastAsia="仿宋" w:cs="仿宋"/>
          <w:sz w:val="24"/>
          <w:szCs w:val="24"/>
        </w:rPr>
      </w:pPr>
      <w:r>
        <w:rPr>
          <w:rFonts w:hint="eastAsia" w:ascii="仿宋" w:hAnsi="仿宋" w:eastAsia="仿宋" w:cs="仿宋"/>
          <w:sz w:val="24"/>
          <w:szCs w:val="24"/>
        </w:rPr>
        <w:t>评标基本原则：评标工作应依据《中华人民共和国政府采购法》、实施条例以及国家和地方政府有关政府采购的有关法规，遵循“公开透明原则、公平竞争原则、公正原则和诚实信用原则”进行。</w:t>
      </w:r>
    </w:p>
    <w:p>
      <w:pPr>
        <w:numPr>
          <w:ilvl w:val="1"/>
          <w:numId w:val="29"/>
        </w:numPr>
        <w:spacing w:line="360" w:lineRule="auto"/>
        <w:rPr>
          <w:rFonts w:ascii="仿宋" w:hAnsi="仿宋" w:eastAsia="仿宋" w:cs="仿宋"/>
          <w:sz w:val="24"/>
          <w:szCs w:val="24"/>
        </w:rPr>
      </w:pPr>
      <w:r>
        <w:rPr>
          <w:rFonts w:hint="eastAsia" w:ascii="仿宋" w:hAnsi="仿宋" w:eastAsia="仿宋" w:cs="仿宋"/>
          <w:sz w:val="24"/>
          <w:szCs w:val="24"/>
        </w:rPr>
        <w:t>本项目以投标人递交的电子投标文件作为评审依据。</w:t>
      </w:r>
    </w:p>
    <w:p>
      <w:pPr>
        <w:numPr>
          <w:ilvl w:val="1"/>
          <w:numId w:val="29"/>
        </w:numPr>
        <w:spacing w:line="360" w:lineRule="auto"/>
        <w:rPr>
          <w:rFonts w:ascii="仿宋" w:hAnsi="仿宋" w:eastAsia="仿宋" w:cs="仿宋"/>
          <w:sz w:val="24"/>
          <w:szCs w:val="24"/>
        </w:rPr>
      </w:pPr>
      <w:r>
        <w:rPr>
          <w:rFonts w:hint="eastAsia" w:ascii="仿宋" w:hAnsi="仿宋" w:eastAsia="仿宋" w:cs="仿宋"/>
          <w:sz w:val="24"/>
          <w:szCs w:val="24"/>
        </w:rPr>
        <w:t>评标步骤及定标规定：第一阶段：先进行投标人资格性审查。第二阶段：进行投标人符合性审查。第三阶段：对通过资格性审查、符合性审查的投标人按照评标办法进行详细评审（包括：技术商务评审）。</w:t>
      </w:r>
    </w:p>
    <w:p>
      <w:pPr>
        <w:numPr>
          <w:ilvl w:val="1"/>
          <w:numId w:val="29"/>
        </w:numPr>
        <w:spacing w:line="360" w:lineRule="auto"/>
        <w:rPr>
          <w:rFonts w:ascii="仿宋" w:hAnsi="仿宋" w:eastAsia="仿宋" w:cs="仿宋"/>
          <w:sz w:val="24"/>
          <w:szCs w:val="24"/>
        </w:rPr>
      </w:pPr>
      <w:r>
        <w:rPr>
          <w:rFonts w:hint="eastAsia" w:ascii="仿宋" w:hAnsi="仿宋" w:eastAsia="仿宋" w:cs="仿宋"/>
          <w:b/>
          <w:bCs/>
          <w:sz w:val="24"/>
          <w:szCs w:val="24"/>
        </w:rPr>
        <w:t>评标办法：本次招标的评标方式为综合评分法，评审意见不一致时采用少数服从多数的评标方式，详细评审采用百分制综合评分法，分数按四舍五入原则计至小数点后两位</w:t>
      </w:r>
      <w:r>
        <w:rPr>
          <w:rFonts w:hint="eastAsia" w:ascii="仿宋" w:hAnsi="仿宋" w:eastAsia="仿宋" w:cs="仿宋"/>
          <w:sz w:val="24"/>
          <w:szCs w:val="24"/>
        </w:rPr>
        <w:t>。</w:t>
      </w:r>
    </w:p>
    <w:p>
      <w:pPr>
        <w:numPr>
          <w:ilvl w:val="1"/>
          <w:numId w:val="29"/>
        </w:numPr>
        <w:spacing w:line="360" w:lineRule="auto"/>
        <w:rPr>
          <w:rFonts w:ascii="仿宋" w:hAnsi="仿宋" w:eastAsia="仿宋" w:cs="仿宋"/>
          <w:sz w:val="24"/>
          <w:szCs w:val="24"/>
        </w:rPr>
      </w:pPr>
      <w:r>
        <w:rPr>
          <w:rFonts w:hint="eastAsia" w:ascii="仿宋" w:hAnsi="仿宋" w:eastAsia="仿宋" w:cs="仿宋"/>
          <w:b/>
          <w:bCs/>
          <w:sz w:val="24"/>
          <w:szCs w:val="24"/>
        </w:rPr>
        <w:t>评标小组成员对需要共同认定的事项存在争议的，应当按照少数服从多数的原则作出结论。持不同意见的评标小组成员应当在评标报告上签署不同意见及理由，否则视为同意评标报告</w:t>
      </w:r>
      <w:r>
        <w:rPr>
          <w:rFonts w:hint="eastAsia" w:ascii="仿宋" w:hAnsi="仿宋" w:eastAsia="仿宋" w:cs="仿宋"/>
          <w:sz w:val="24"/>
          <w:szCs w:val="24"/>
        </w:rPr>
        <w:t>。</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176" w:name="_Toc29632"/>
      <w:bookmarkStart w:id="177" w:name="_Toc55778708"/>
      <w:bookmarkStart w:id="178" w:name="_Toc17065"/>
      <w:bookmarkStart w:id="179" w:name="_Toc24483"/>
      <w:bookmarkStart w:id="180" w:name="_Toc3188"/>
      <w:r>
        <w:rPr>
          <w:rFonts w:hint="eastAsia" w:ascii="仿宋" w:hAnsi="仿宋" w:eastAsia="仿宋" w:cs="仿宋"/>
          <w:b/>
          <w:kern w:val="44"/>
          <w:sz w:val="24"/>
          <w:szCs w:val="24"/>
        </w:rPr>
        <w:t>初步评审</w:t>
      </w:r>
      <w:bookmarkEnd w:id="176"/>
      <w:bookmarkEnd w:id="177"/>
      <w:bookmarkEnd w:id="178"/>
      <w:bookmarkEnd w:id="179"/>
      <w:bookmarkEnd w:id="180"/>
    </w:p>
    <w:p>
      <w:pPr>
        <w:numPr>
          <w:ilvl w:val="1"/>
          <w:numId w:val="30"/>
        </w:numPr>
        <w:spacing w:line="360" w:lineRule="auto"/>
        <w:rPr>
          <w:rFonts w:ascii="仿宋" w:hAnsi="仿宋" w:eastAsia="仿宋" w:cs="仿宋"/>
          <w:sz w:val="24"/>
          <w:szCs w:val="24"/>
        </w:rPr>
      </w:pPr>
      <w:r>
        <w:rPr>
          <w:rFonts w:hint="eastAsia" w:ascii="仿宋" w:hAnsi="仿宋" w:eastAsia="仿宋" w:cs="仿宋"/>
          <w:sz w:val="24"/>
          <w:szCs w:val="24"/>
        </w:rPr>
        <w:t>资格性审查：开标结束后，采购人依法对投标人的资格进行审查，资格性审查内容详见《初步评审审查表》。对初步被认定为资格性审查不合格的可实行告知投标当事人。未通过资格性审查的投标人，不进入符合性审查。若通过资格性审查的投标人不足3家的，不得进行下一阶段评标。</w:t>
      </w:r>
    </w:p>
    <w:p>
      <w:pPr>
        <w:numPr>
          <w:ilvl w:val="2"/>
          <w:numId w:val="31"/>
        </w:numPr>
        <w:spacing w:line="360" w:lineRule="auto"/>
        <w:rPr>
          <w:rFonts w:ascii="仿宋" w:hAnsi="仿宋" w:eastAsia="仿宋" w:cs="仿宋"/>
          <w:sz w:val="24"/>
          <w:szCs w:val="24"/>
        </w:rPr>
      </w:pPr>
      <w:r>
        <w:rPr>
          <w:rFonts w:hint="eastAsia" w:ascii="仿宋" w:hAnsi="仿宋" w:eastAsia="仿宋" w:cs="仿宋"/>
          <w:sz w:val="24"/>
          <w:szCs w:val="24"/>
        </w:rPr>
        <w:t>投标人存在下列情况之一的，投标无效：</w:t>
      </w:r>
    </w:p>
    <w:p>
      <w:pPr>
        <w:spacing w:line="360" w:lineRule="auto"/>
        <w:ind w:firstLine="960" w:firstLineChars="400"/>
        <w:rPr>
          <w:rFonts w:ascii="仿宋" w:hAnsi="仿宋" w:eastAsia="仿宋" w:cs="仿宋"/>
          <w:sz w:val="24"/>
          <w:szCs w:val="24"/>
        </w:rPr>
      </w:pPr>
      <w:r>
        <w:rPr>
          <w:rFonts w:hint="eastAsia" w:ascii="仿宋" w:hAnsi="仿宋" w:eastAsia="仿宋" w:cs="仿宋"/>
          <w:sz w:val="24"/>
          <w:szCs w:val="24"/>
        </w:rPr>
        <w:t>不具备招标文件中规定的投标人资格要求的</w:t>
      </w:r>
    </w:p>
    <w:p>
      <w:pPr>
        <w:numPr>
          <w:ilvl w:val="1"/>
          <w:numId w:val="30"/>
        </w:numPr>
        <w:spacing w:line="360" w:lineRule="auto"/>
        <w:rPr>
          <w:rFonts w:ascii="仿宋" w:hAnsi="仿宋" w:eastAsia="仿宋" w:cs="仿宋"/>
          <w:sz w:val="24"/>
          <w:szCs w:val="24"/>
        </w:rPr>
      </w:pPr>
      <w:r>
        <w:rPr>
          <w:rFonts w:hint="eastAsia" w:ascii="仿宋" w:hAnsi="仿宋" w:eastAsia="仿宋" w:cs="仿宋"/>
          <w:sz w:val="24"/>
          <w:szCs w:val="24"/>
        </w:rPr>
        <w:t>符合性审查：详见《初步评审审查表》，以确定其是否满足招标文件的实质性要求。评标小组对初步被认定为符合性审查不合格或无效投标者可实行告知投标当事人。未通过符合性审查的投标人，不进入技术、商务和价格评审。</w:t>
      </w:r>
    </w:p>
    <w:p>
      <w:pPr>
        <w:numPr>
          <w:ilvl w:val="1"/>
          <w:numId w:val="30"/>
        </w:numPr>
        <w:spacing w:line="360" w:lineRule="auto"/>
        <w:rPr>
          <w:rFonts w:ascii="仿宋" w:hAnsi="仿宋" w:eastAsia="仿宋" w:cs="仿宋"/>
          <w:sz w:val="24"/>
          <w:szCs w:val="24"/>
        </w:rPr>
      </w:pPr>
      <w:r>
        <w:rPr>
          <w:rFonts w:hint="eastAsia" w:ascii="仿宋" w:hAnsi="仿宋" w:eastAsia="仿宋" w:cs="仿宋"/>
          <w:sz w:val="24"/>
          <w:szCs w:val="24"/>
        </w:rPr>
        <w:t>评标小组决定投标文件的响应程度指依据投标文件本身的真实无误的内容，而不依据外部的证据。但投标文件有不真实、不正确内容的除外。</w:t>
      </w:r>
    </w:p>
    <w:p>
      <w:pPr>
        <w:pStyle w:val="3"/>
        <w:keepNext w:val="0"/>
        <w:keepLines w:val="0"/>
        <w:rPr>
          <w:rFonts w:ascii="仿宋" w:hAnsi="仿宋" w:eastAsia="仿宋" w:cs="仿宋"/>
          <w:sz w:val="24"/>
          <w:szCs w:val="24"/>
        </w:rPr>
      </w:pPr>
      <w:r>
        <w:rPr>
          <w:rFonts w:hint="eastAsia" w:ascii="仿宋" w:hAnsi="仿宋" w:eastAsia="仿宋" w:cs="仿宋"/>
          <w:sz w:val="24"/>
          <w:szCs w:val="24"/>
        </w:rPr>
        <w:t>标项一：初步评审标准表</w:t>
      </w:r>
    </w:p>
    <w:tbl>
      <w:tblPr>
        <w:tblStyle w:val="29"/>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472"/>
        <w:gridCol w:w="6889"/>
        <w:gridCol w:w="799"/>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517" w:type="dxa"/>
            <w:vMerge w:val="restart"/>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项目</w:t>
            </w:r>
          </w:p>
        </w:tc>
        <w:tc>
          <w:tcPr>
            <w:tcW w:w="472" w:type="dxa"/>
            <w:vMerge w:val="restart"/>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序号</w:t>
            </w:r>
          </w:p>
        </w:tc>
        <w:tc>
          <w:tcPr>
            <w:tcW w:w="6889" w:type="dxa"/>
            <w:vMerge w:val="restart"/>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评审内容</w:t>
            </w:r>
          </w:p>
        </w:tc>
        <w:tc>
          <w:tcPr>
            <w:tcW w:w="1681" w:type="dxa"/>
            <w:gridSpan w:val="2"/>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517" w:type="dxa"/>
            <w:vMerge w:val="continue"/>
            <w:vAlign w:val="center"/>
          </w:tcPr>
          <w:p>
            <w:pPr>
              <w:autoSpaceDE w:val="0"/>
              <w:autoSpaceDN w:val="0"/>
              <w:spacing w:line="240" w:lineRule="exact"/>
              <w:jc w:val="center"/>
              <w:rPr>
                <w:rFonts w:ascii="宋体" w:hAnsi="宋体" w:cs="宋体"/>
                <w:sz w:val="24"/>
                <w:szCs w:val="24"/>
              </w:rPr>
            </w:pPr>
          </w:p>
        </w:tc>
        <w:tc>
          <w:tcPr>
            <w:tcW w:w="472" w:type="dxa"/>
            <w:vMerge w:val="continue"/>
            <w:vAlign w:val="center"/>
          </w:tcPr>
          <w:p>
            <w:pPr>
              <w:autoSpaceDE w:val="0"/>
              <w:autoSpaceDN w:val="0"/>
              <w:spacing w:line="240" w:lineRule="exact"/>
              <w:jc w:val="center"/>
              <w:rPr>
                <w:rFonts w:ascii="宋体" w:hAnsi="宋体" w:cs="宋体"/>
                <w:sz w:val="24"/>
                <w:szCs w:val="24"/>
              </w:rPr>
            </w:pPr>
          </w:p>
        </w:tc>
        <w:tc>
          <w:tcPr>
            <w:tcW w:w="6889" w:type="dxa"/>
            <w:vMerge w:val="continue"/>
            <w:vAlign w:val="center"/>
          </w:tcPr>
          <w:p>
            <w:pPr>
              <w:autoSpaceDE w:val="0"/>
              <w:autoSpaceDN w:val="0"/>
              <w:spacing w:line="240" w:lineRule="exact"/>
              <w:rPr>
                <w:rFonts w:ascii="宋体" w:hAnsi="宋体" w:cs="宋体"/>
                <w:sz w:val="24"/>
                <w:szCs w:val="24"/>
              </w:rPr>
            </w:pPr>
          </w:p>
        </w:tc>
        <w:tc>
          <w:tcPr>
            <w:tcW w:w="799" w:type="dxa"/>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通过</w:t>
            </w:r>
          </w:p>
        </w:tc>
        <w:tc>
          <w:tcPr>
            <w:tcW w:w="882" w:type="dxa"/>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17" w:type="dxa"/>
            <w:vMerge w:val="restart"/>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资格审查</w:t>
            </w: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1</w:t>
            </w:r>
          </w:p>
        </w:tc>
        <w:tc>
          <w:tcPr>
            <w:tcW w:w="6889" w:type="dxa"/>
            <w:vAlign w:val="center"/>
          </w:tcPr>
          <w:p>
            <w:pPr>
              <w:jc w:val="left"/>
              <w:rPr>
                <w:rFonts w:ascii="宋体" w:hAnsi="宋体" w:cs="宋体"/>
                <w:kern w:val="0"/>
                <w:sz w:val="24"/>
                <w:szCs w:val="24"/>
              </w:rPr>
            </w:pPr>
            <w:r>
              <w:rPr>
                <w:rFonts w:hint="eastAsia" w:ascii="宋体" w:hAnsi="宋体" w:cs="宋体"/>
                <w:kern w:val="0"/>
                <w:sz w:val="24"/>
                <w:szCs w:val="24"/>
              </w:rPr>
              <w:t>具有有效的营业执照;</w:t>
            </w:r>
          </w:p>
        </w:tc>
        <w:tc>
          <w:tcPr>
            <w:tcW w:w="799" w:type="dxa"/>
          </w:tcPr>
          <w:p>
            <w:pPr>
              <w:autoSpaceDE w:val="0"/>
              <w:autoSpaceDN w:val="0"/>
              <w:spacing w:line="340" w:lineRule="exact"/>
              <w:jc w:val="left"/>
              <w:rPr>
                <w:rFonts w:ascii="宋体" w:hAnsi="宋体" w:cs="宋体"/>
                <w:sz w:val="24"/>
                <w:szCs w:val="24"/>
              </w:rPr>
            </w:pPr>
          </w:p>
        </w:tc>
        <w:tc>
          <w:tcPr>
            <w:tcW w:w="882" w:type="dxa"/>
          </w:tcPr>
          <w:p>
            <w:pPr>
              <w:autoSpaceDE w:val="0"/>
              <w:autoSpaceDN w:val="0"/>
              <w:spacing w:line="340" w:lineRule="exact"/>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2</w:t>
            </w:r>
          </w:p>
        </w:tc>
        <w:tc>
          <w:tcPr>
            <w:tcW w:w="6889" w:type="dxa"/>
            <w:vAlign w:val="center"/>
          </w:tcPr>
          <w:p>
            <w:pPr>
              <w:pStyle w:val="25"/>
              <w:shd w:val="clear" w:color="auto" w:fill="FFFFFF"/>
              <w:spacing w:before="0" w:beforeAutospacing="0" w:after="0" w:afterAutospacing="0"/>
              <w:jc w:val="both"/>
            </w:pPr>
            <w:r>
              <w:rPr>
                <w:rFonts w:hint="eastAsia" w:ascii="宋体" w:hAnsi="宋体" w:cs="宋体"/>
                <w:bCs/>
                <w:sz w:val="24"/>
                <w:szCs w:val="24"/>
              </w:rPr>
              <w:t>法定代表人授权委托书及被委托人身份证（法定代表人参加投标时提供本人身份证）；</w:t>
            </w:r>
          </w:p>
        </w:tc>
        <w:tc>
          <w:tcPr>
            <w:tcW w:w="799" w:type="dxa"/>
          </w:tcPr>
          <w:p>
            <w:pPr>
              <w:autoSpaceDE w:val="0"/>
              <w:autoSpaceDN w:val="0"/>
              <w:spacing w:line="340" w:lineRule="exact"/>
              <w:jc w:val="left"/>
              <w:rPr>
                <w:rFonts w:ascii="宋体" w:hAnsi="宋体" w:cs="宋体"/>
                <w:sz w:val="24"/>
                <w:szCs w:val="24"/>
              </w:rPr>
            </w:pPr>
          </w:p>
        </w:tc>
        <w:tc>
          <w:tcPr>
            <w:tcW w:w="882" w:type="dxa"/>
          </w:tcPr>
          <w:p>
            <w:pPr>
              <w:autoSpaceDE w:val="0"/>
              <w:autoSpaceDN w:val="0"/>
              <w:spacing w:line="340" w:lineRule="exact"/>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3</w:t>
            </w:r>
          </w:p>
        </w:tc>
        <w:tc>
          <w:tcPr>
            <w:tcW w:w="6889" w:type="dxa"/>
            <w:vAlign w:val="center"/>
          </w:tcPr>
          <w:p>
            <w:pPr>
              <w:pStyle w:val="25"/>
              <w:shd w:val="clear" w:color="auto" w:fill="FFFFFF"/>
              <w:spacing w:before="0" w:beforeAutospacing="0" w:after="0" w:afterAutospacing="0"/>
              <w:jc w:val="both"/>
              <w:rPr>
                <w:shd w:val="clear" w:color="auto" w:fill="FFFFFF"/>
              </w:rPr>
            </w:pPr>
            <w:r>
              <w:rPr>
                <w:rFonts w:hint="eastAsia"/>
              </w:rPr>
              <w:t>供应商具有医疗器械生产许可证或医疗器械经营许可证；</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4</w:t>
            </w:r>
          </w:p>
        </w:tc>
        <w:tc>
          <w:tcPr>
            <w:tcW w:w="6889" w:type="dxa"/>
            <w:vAlign w:val="center"/>
          </w:tcPr>
          <w:p>
            <w:pPr>
              <w:pStyle w:val="25"/>
              <w:shd w:val="clear" w:color="auto" w:fill="FFFFFF"/>
              <w:spacing w:before="0" w:beforeAutospacing="0" w:after="0" w:afterAutospacing="0" w:line="336" w:lineRule="auto"/>
              <w:jc w:val="both"/>
              <w:rPr>
                <w:shd w:val="clear" w:color="auto" w:fill="FFFFFF"/>
              </w:rPr>
            </w:pPr>
            <w:r>
              <w:rPr>
                <w:rFonts w:hint="eastAsia"/>
              </w:rPr>
              <w:t>供应商具有《特种设备安装改造维修许可证》（压力管道安装GC2级及以上或《特种设备生产许可证》（承压特种设备安装、修理、改造,工业管道安装GC2级及以上；</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8"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5</w:t>
            </w:r>
          </w:p>
        </w:tc>
        <w:tc>
          <w:tcPr>
            <w:tcW w:w="6889" w:type="dxa"/>
            <w:vAlign w:val="center"/>
          </w:tcPr>
          <w:p>
            <w:pPr>
              <w:pStyle w:val="25"/>
              <w:shd w:val="clear" w:color="auto" w:fill="FFFFFF"/>
              <w:spacing w:before="0" w:beforeAutospacing="0" w:after="0" w:afterAutospacing="0" w:line="336" w:lineRule="auto"/>
              <w:jc w:val="both"/>
            </w:pPr>
            <w:r>
              <w:rPr>
                <w:rFonts w:hint="eastAsia"/>
                <w:shd w:val="clear" w:color="auto" w:fill="FFFFFF"/>
              </w:rPr>
              <w:t>在“信用中国”网站（www.creditchina.gov.cn）、中国政府采购网（www.ccgp.gov.cn）未被列入失信被执行人、重大税收违法失信主体、政府采购严重违法失信行为记录名单查询结果截图（采购公告发布之日起至投标截止时间内从上述网站中打印并加盖企业公章）。</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6</w:t>
            </w:r>
          </w:p>
        </w:tc>
        <w:tc>
          <w:tcPr>
            <w:tcW w:w="6889" w:type="dxa"/>
            <w:vAlign w:val="center"/>
          </w:tcPr>
          <w:p>
            <w:pPr>
              <w:pStyle w:val="25"/>
              <w:shd w:val="clear" w:color="auto" w:fill="FFFFFF"/>
              <w:spacing w:before="0" w:beforeAutospacing="0" w:after="0" w:afterAutospacing="0" w:line="336" w:lineRule="auto"/>
              <w:jc w:val="both"/>
              <w:rPr>
                <w:shd w:val="clear" w:color="auto" w:fill="FFFFFF"/>
              </w:rPr>
            </w:pPr>
            <w:r>
              <w:rPr>
                <w:rFonts w:hint="eastAsia"/>
                <w:shd w:val="clear" w:color="auto" w:fill="FFFFFF"/>
              </w:rPr>
              <w:t>请根据“落实政府采购政策需满足的资格要求”，上传对应的资格文件，格式以采购文件要求为准</w:t>
            </w:r>
            <w:r>
              <w:rPr>
                <w:rFonts w:hint="eastAsia"/>
              </w:rPr>
              <w:t>（中小企业声明函）</w:t>
            </w:r>
            <w:r>
              <w:rPr>
                <w:rFonts w:hint="eastAsia"/>
                <w:shd w:val="clear" w:color="auto" w:fill="FFFFFF"/>
              </w:rPr>
              <w:t>；</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spacing w:line="340" w:lineRule="exact"/>
              <w:jc w:val="center"/>
              <w:rPr>
                <w:rFonts w:ascii="宋体" w:hAnsi="宋体" w:cs="宋体"/>
                <w:sz w:val="24"/>
                <w:szCs w:val="24"/>
              </w:rPr>
            </w:pPr>
            <w:r>
              <w:rPr>
                <w:rFonts w:hint="eastAsia" w:ascii="宋体" w:hAnsi="宋体" w:cs="宋体"/>
                <w:sz w:val="24"/>
                <w:szCs w:val="24"/>
              </w:rPr>
              <w:t>7</w:t>
            </w:r>
          </w:p>
        </w:tc>
        <w:tc>
          <w:tcPr>
            <w:tcW w:w="6889" w:type="dxa"/>
            <w:vAlign w:val="center"/>
          </w:tcPr>
          <w:p>
            <w:pPr>
              <w:jc w:val="left"/>
              <w:rPr>
                <w:rFonts w:ascii="宋体" w:hAnsi="宋体" w:cs="宋体"/>
                <w:sz w:val="24"/>
                <w:szCs w:val="24"/>
              </w:rPr>
            </w:pPr>
            <w:r>
              <w:rPr>
                <w:rFonts w:hint="eastAsia" w:ascii="宋体" w:hAnsi="宋体" w:cs="宋体"/>
                <w:bCs/>
                <w:sz w:val="24"/>
                <w:szCs w:val="24"/>
              </w:rPr>
              <w:t>保证金缴纳凭证或投标保函。</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517" w:type="dxa"/>
            <w:vMerge w:val="restart"/>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响应</w:t>
            </w:r>
          </w:p>
          <w:p>
            <w:pPr>
              <w:autoSpaceDE w:val="0"/>
              <w:autoSpaceDN w:val="0"/>
              <w:spacing w:line="340" w:lineRule="exact"/>
              <w:jc w:val="center"/>
              <w:rPr>
                <w:rFonts w:ascii="宋体" w:hAnsi="宋体" w:cs="宋体"/>
                <w:sz w:val="24"/>
                <w:szCs w:val="24"/>
                <w:highlight w:val="yellow"/>
              </w:rPr>
            </w:pPr>
            <w:r>
              <w:rPr>
                <w:rFonts w:hint="eastAsia" w:ascii="宋体" w:hAnsi="宋体" w:cs="宋体"/>
                <w:sz w:val="24"/>
                <w:szCs w:val="24"/>
              </w:rPr>
              <w:t>评审</w:t>
            </w: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1</w:t>
            </w:r>
          </w:p>
        </w:tc>
        <w:tc>
          <w:tcPr>
            <w:tcW w:w="6889" w:type="dxa"/>
            <w:vAlign w:val="center"/>
          </w:tcPr>
          <w:p>
            <w:pPr>
              <w:jc w:val="left"/>
              <w:rPr>
                <w:rFonts w:ascii="宋体" w:hAnsi="宋体" w:cs="宋体"/>
                <w:sz w:val="24"/>
                <w:szCs w:val="24"/>
              </w:rPr>
            </w:pPr>
            <w:r>
              <w:rPr>
                <w:rFonts w:hint="eastAsia" w:ascii="宋体" w:hAnsi="宋体" w:cs="宋体"/>
                <w:sz w:val="24"/>
                <w:szCs w:val="24"/>
              </w:rPr>
              <w:t>投标文件是否有投标单位法定代表人或其委托代理人（签字或签章）和加盖了投标单位的盖章，投标文件的装订是否符合招标文件要求；</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517" w:type="dxa"/>
            <w:vMerge w:val="continue"/>
            <w:vAlign w:val="center"/>
          </w:tcPr>
          <w:p>
            <w:pPr>
              <w:widowControl/>
              <w:spacing w:line="340" w:lineRule="exact"/>
              <w:jc w:val="left"/>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2</w:t>
            </w:r>
          </w:p>
        </w:tc>
        <w:tc>
          <w:tcPr>
            <w:tcW w:w="6889" w:type="dxa"/>
            <w:vAlign w:val="center"/>
          </w:tcPr>
          <w:p>
            <w:pPr>
              <w:jc w:val="left"/>
              <w:rPr>
                <w:rFonts w:ascii="宋体" w:hAnsi="宋体" w:cs="宋体"/>
                <w:sz w:val="24"/>
                <w:szCs w:val="24"/>
              </w:rPr>
            </w:pPr>
            <w:r>
              <w:rPr>
                <w:rFonts w:hint="eastAsia" w:ascii="宋体" w:hAnsi="宋体" w:cs="宋体"/>
                <w:sz w:val="24"/>
                <w:szCs w:val="24"/>
              </w:rPr>
              <w:t>投标人是否对同一招标项目做出两个以上报价而未明确效力；</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17" w:type="dxa"/>
            <w:vMerge w:val="continue"/>
            <w:vAlign w:val="center"/>
          </w:tcPr>
          <w:p>
            <w:pPr>
              <w:widowControl/>
              <w:spacing w:line="340" w:lineRule="exact"/>
              <w:jc w:val="left"/>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3</w:t>
            </w:r>
          </w:p>
        </w:tc>
        <w:tc>
          <w:tcPr>
            <w:tcW w:w="6889" w:type="dxa"/>
            <w:vAlign w:val="center"/>
          </w:tcPr>
          <w:p>
            <w:pPr>
              <w:jc w:val="left"/>
              <w:rPr>
                <w:rFonts w:ascii="宋体" w:hAnsi="宋体" w:cs="宋体"/>
                <w:sz w:val="24"/>
                <w:szCs w:val="24"/>
              </w:rPr>
            </w:pPr>
            <w:r>
              <w:rPr>
                <w:rFonts w:hint="eastAsia" w:ascii="宋体" w:hAnsi="宋体" w:cs="宋体"/>
                <w:sz w:val="24"/>
                <w:szCs w:val="24"/>
              </w:rPr>
              <w:t>服务期限是否符合招标文件要求；</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517" w:type="dxa"/>
            <w:vMerge w:val="continue"/>
            <w:vAlign w:val="center"/>
          </w:tcPr>
          <w:p>
            <w:pPr>
              <w:widowControl/>
              <w:spacing w:line="340" w:lineRule="exact"/>
              <w:jc w:val="left"/>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highlight w:val="yellow"/>
              </w:rPr>
            </w:pPr>
            <w:r>
              <w:rPr>
                <w:rFonts w:hint="eastAsia" w:ascii="宋体" w:hAnsi="宋体" w:cs="宋体"/>
                <w:sz w:val="24"/>
                <w:szCs w:val="24"/>
              </w:rPr>
              <w:t>4</w:t>
            </w:r>
          </w:p>
        </w:tc>
        <w:tc>
          <w:tcPr>
            <w:tcW w:w="6889" w:type="dxa"/>
            <w:vAlign w:val="center"/>
          </w:tcPr>
          <w:p>
            <w:pPr>
              <w:jc w:val="left"/>
              <w:rPr>
                <w:rFonts w:ascii="宋体" w:hAnsi="宋体" w:cs="宋体"/>
                <w:sz w:val="24"/>
                <w:szCs w:val="24"/>
                <w:highlight w:val="yellow"/>
              </w:rPr>
            </w:pPr>
            <w:r>
              <w:rPr>
                <w:rFonts w:hint="eastAsia" w:ascii="宋体" w:hAnsi="宋体" w:cs="宋体"/>
                <w:sz w:val="24"/>
                <w:szCs w:val="24"/>
              </w:rPr>
              <w:t>投标人投标总价是否超出最高限价；</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517" w:type="dxa"/>
            <w:vMerge w:val="continue"/>
            <w:vAlign w:val="center"/>
          </w:tcPr>
          <w:p>
            <w:pPr>
              <w:widowControl/>
              <w:spacing w:line="340" w:lineRule="exact"/>
              <w:jc w:val="left"/>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5</w:t>
            </w:r>
          </w:p>
        </w:tc>
        <w:tc>
          <w:tcPr>
            <w:tcW w:w="6889" w:type="dxa"/>
            <w:vAlign w:val="center"/>
          </w:tcPr>
          <w:p>
            <w:pPr>
              <w:jc w:val="left"/>
              <w:rPr>
                <w:rFonts w:ascii="宋体" w:hAnsi="宋体" w:cs="宋体"/>
                <w:sz w:val="24"/>
                <w:szCs w:val="24"/>
              </w:rPr>
            </w:pPr>
            <w:r>
              <w:rPr>
                <w:rFonts w:hint="eastAsia" w:ascii="宋体" w:hAnsi="宋体" w:cs="宋体"/>
                <w:sz w:val="24"/>
                <w:szCs w:val="24"/>
              </w:rPr>
              <w:t>投标文件是否附有采购人不能接受的条件。</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9559" w:type="dxa"/>
            <w:gridSpan w:val="5"/>
            <w:vAlign w:val="center"/>
          </w:tcPr>
          <w:p>
            <w:pPr>
              <w:autoSpaceDE w:val="0"/>
              <w:autoSpaceDN w:val="0"/>
              <w:spacing w:line="240" w:lineRule="atLeast"/>
              <w:jc w:val="center"/>
              <w:rPr>
                <w:rFonts w:ascii="宋体" w:hAnsi="宋体" w:cs="宋体"/>
                <w:b/>
                <w:sz w:val="24"/>
                <w:szCs w:val="24"/>
                <w:highlight w:val="yellow"/>
              </w:rPr>
            </w:pPr>
            <w:r>
              <w:rPr>
                <w:rFonts w:hint="eastAsia" w:ascii="宋体" w:hAnsi="宋体" w:cs="宋体"/>
                <w:b/>
                <w:sz w:val="24"/>
                <w:szCs w:val="24"/>
              </w:rPr>
              <w:t>以上有一项未通过的投标人不得进入下阶段评审</w:t>
            </w:r>
          </w:p>
        </w:tc>
      </w:tr>
    </w:tbl>
    <w:p>
      <w:pPr>
        <w:pStyle w:val="20"/>
        <w:rPr>
          <w:rFonts w:ascii="仿宋" w:hAnsi="仿宋" w:eastAsia="仿宋" w:cs="仿宋"/>
          <w:b/>
          <w:bCs/>
          <w:sz w:val="24"/>
          <w:szCs w:val="24"/>
          <w:highlight w:val="yellow"/>
        </w:rPr>
      </w:pPr>
    </w:p>
    <w:p>
      <w:pPr>
        <w:pStyle w:val="3"/>
        <w:keepNext w:val="0"/>
        <w:keepLines w:val="0"/>
        <w:rPr>
          <w:rFonts w:ascii="仿宋" w:hAnsi="仿宋" w:eastAsia="仿宋" w:cs="仿宋"/>
          <w:sz w:val="24"/>
          <w:szCs w:val="24"/>
        </w:rPr>
      </w:pPr>
      <w:r>
        <w:rPr>
          <w:rFonts w:hint="eastAsia" w:ascii="仿宋" w:hAnsi="仿宋" w:eastAsia="仿宋" w:cs="仿宋"/>
          <w:sz w:val="24"/>
          <w:szCs w:val="24"/>
        </w:rPr>
        <w:t>标项二、三、六、八：初步评审标准表</w:t>
      </w:r>
    </w:p>
    <w:tbl>
      <w:tblPr>
        <w:tblStyle w:val="29"/>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472"/>
        <w:gridCol w:w="6889"/>
        <w:gridCol w:w="799"/>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517" w:type="dxa"/>
            <w:vMerge w:val="restart"/>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项目</w:t>
            </w:r>
          </w:p>
        </w:tc>
        <w:tc>
          <w:tcPr>
            <w:tcW w:w="472" w:type="dxa"/>
            <w:vMerge w:val="restart"/>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序号</w:t>
            </w:r>
          </w:p>
        </w:tc>
        <w:tc>
          <w:tcPr>
            <w:tcW w:w="6889" w:type="dxa"/>
            <w:vMerge w:val="restart"/>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评审内容</w:t>
            </w:r>
          </w:p>
        </w:tc>
        <w:tc>
          <w:tcPr>
            <w:tcW w:w="1681" w:type="dxa"/>
            <w:gridSpan w:val="2"/>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517" w:type="dxa"/>
            <w:vMerge w:val="continue"/>
            <w:vAlign w:val="center"/>
          </w:tcPr>
          <w:p>
            <w:pPr>
              <w:autoSpaceDE w:val="0"/>
              <w:autoSpaceDN w:val="0"/>
              <w:spacing w:line="240" w:lineRule="exact"/>
              <w:jc w:val="center"/>
              <w:rPr>
                <w:rFonts w:ascii="宋体" w:hAnsi="宋体" w:cs="宋体"/>
                <w:sz w:val="24"/>
                <w:szCs w:val="24"/>
              </w:rPr>
            </w:pPr>
          </w:p>
        </w:tc>
        <w:tc>
          <w:tcPr>
            <w:tcW w:w="472" w:type="dxa"/>
            <w:vMerge w:val="continue"/>
            <w:vAlign w:val="center"/>
          </w:tcPr>
          <w:p>
            <w:pPr>
              <w:autoSpaceDE w:val="0"/>
              <w:autoSpaceDN w:val="0"/>
              <w:spacing w:line="240" w:lineRule="exact"/>
              <w:jc w:val="center"/>
              <w:rPr>
                <w:rFonts w:ascii="宋体" w:hAnsi="宋体" w:cs="宋体"/>
                <w:sz w:val="24"/>
                <w:szCs w:val="24"/>
              </w:rPr>
            </w:pPr>
          </w:p>
        </w:tc>
        <w:tc>
          <w:tcPr>
            <w:tcW w:w="6889" w:type="dxa"/>
            <w:vMerge w:val="continue"/>
            <w:vAlign w:val="center"/>
          </w:tcPr>
          <w:p>
            <w:pPr>
              <w:autoSpaceDE w:val="0"/>
              <w:autoSpaceDN w:val="0"/>
              <w:spacing w:line="240" w:lineRule="exact"/>
              <w:rPr>
                <w:rFonts w:ascii="宋体" w:hAnsi="宋体" w:cs="宋体"/>
                <w:sz w:val="24"/>
                <w:szCs w:val="24"/>
              </w:rPr>
            </w:pPr>
          </w:p>
        </w:tc>
        <w:tc>
          <w:tcPr>
            <w:tcW w:w="799" w:type="dxa"/>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通过</w:t>
            </w:r>
          </w:p>
        </w:tc>
        <w:tc>
          <w:tcPr>
            <w:tcW w:w="882" w:type="dxa"/>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517" w:type="dxa"/>
            <w:vMerge w:val="restart"/>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资格审查</w:t>
            </w: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1</w:t>
            </w:r>
          </w:p>
        </w:tc>
        <w:tc>
          <w:tcPr>
            <w:tcW w:w="6889" w:type="dxa"/>
            <w:vAlign w:val="center"/>
          </w:tcPr>
          <w:p>
            <w:pPr>
              <w:jc w:val="left"/>
              <w:rPr>
                <w:rFonts w:ascii="宋体" w:hAnsi="宋体" w:cs="宋体"/>
                <w:kern w:val="0"/>
                <w:sz w:val="24"/>
                <w:szCs w:val="24"/>
              </w:rPr>
            </w:pPr>
            <w:r>
              <w:rPr>
                <w:rFonts w:hint="eastAsia" w:ascii="宋体" w:hAnsi="宋体" w:cs="宋体"/>
                <w:kern w:val="0"/>
                <w:sz w:val="24"/>
                <w:szCs w:val="24"/>
              </w:rPr>
              <w:t>具有有效的营业执照;</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2</w:t>
            </w:r>
          </w:p>
        </w:tc>
        <w:tc>
          <w:tcPr>
            <w:tcW w:w="6889" w:type="dxa"/>
            <w:vAlign w:val="center"/>
          </w:tcPr>
          <w:p>
            <w:pPr>
              <w:pStyle w:val="25"/>
              <w:shd w:val="clear" w:color="auto" w:fill="FFFFFF"/>
              <w:spacing w:before="0" w:beforeAutospacing="0" w:after="0" w:afterAutospacing="0"/>
              <w:jc w:val="both"/>
            </w:pPr>
            <w:r>
              <w:rPr>
                <w:rFonts w:hint="eastAsia" w:ascii="宋体" w:hAnsi="宋体" w:cs="宋体"/>
                <w:bCs/>
                <w:sz w:val="24"/>
                <w:szCs w:val="24"/>
              </w:rPr>
              <w:t>法定代表人授权委托书及被委托人身份证（法定代表人参加投标时提供本人身份证）;</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2"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3</w:t>
            </w:r>
          </w:p>
        </w:tc>
        <w:tc>
          <w:tcPr>
            <w:tcW w:w="6889" w:type="dxa"/>
            <w:vAlign w:val="center"/>
          </w:tcPr>
          <w:p>
            <w:pPr>
              <w:jc w:val="left"/>
              <w:rPr>
                <w:rFonts w:ascii="宋体" w:hAnsi="宋体" w:cs="宋体"/>
                <w:sz w:val="24"/>
                <w:szCs w:val="24"/>
              </w:rPr>
            </w:pPr>
            <w:r>
              <w:rPr>
                <w:rFonts w:hint="eastAsia" w:ascii="宋体" w:hAnsi="宋体" w:cs="宋体"/>
                <w:sz w:val="24"/>
                <w:szCs w:val="24"/>
              </w:rPr>
              <w:t>在“信用中国”网站（www.creditchina.gov.cn）、中国政府采购网（www.ccgp.gov.cn）未被列入失信被执行人、重大税收违法失信主体、政府采购严重违法失信行为记录名单查询结果截图（采购公告发布之日起至投标截止时间内从上述网站中打印并加盖企业公章）；</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4</w:t>
            </w:r>
          </w:p>
        </w:tc>
        <w:tc>
          <w:tcPr>
            <w:tcW w:w="6889" w:type="dxa"/>
            <w:vAlign w:val="center"/>
          </w:tcPr>
          <w:p>
            <w:pPr>
              <w:pStyle w:val="25"/>
              <w:shd w:val="clear" w:color="auto" w:fill="FFFFFF"/>
              <w:spacing w:before="0" w:beforeAutospacing="0" w:after="0" w:afterAutospacing="0"/>
              <w:jc w:val="both"/>
              <w:rPr>
                <w:shd w:val="clear" w:color="auto" w:fill="FFFFFF"/>
              </w:rPr>
            </w:pPr>
            <w:r>
              <w:rPr>
                <w:rFonts w:hint="eastAsia"/>
                <w:kern w:val="2"/>
              </w:rPr>
              <w:t>请根据“落实政府采购政策需满足的资格要求”，上传对应的资格文件，格式以采购文件要求为准</w:t>
            </w:r>
            <w:r>
              <w:rPr>
                <w:rFonts w:hint="eastAsia"/>
              </w:rPr>
              <w:t>（中小企业声明函）</w:t>
            </w:r>
            <w:r>
              <w:rPr>
                <w:rFonts w:hint="eastAsia"/>
                <w:kern w:val="2"/>
              </w:rPr>
              <w:t>;</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spacing w:line="340" w:lineRule="exact"/>
              <w:jc w:val="center"/>
              <w:rPr>
                <w:rFonts w:ascii="宋体" w:hAnsi="宋体" w:cs="宋体"/>
                <w:sz w:val="24"/>
                <w:szCs w:val="24"/>
              </w:rPr>
            </w:pPr>
            <w:r>
              <w:rPr>
                <w:rFonts w:hint="eastAsia" w:ascii="宋体" w:hAnsi="宋体" w:cs="宋体"/>
                <w:sz w:val="24"/>
                <w:szCs w:val="24"/>
              </w:rPr>
              <w:t>5</w:t>
            </w:r>
          </w:p>
        </w:tc>
        <w:tc>
          <w:tcPr>
            <w:tcW w:w="6889" w:type="dxa"/>
            <w:vAlign w:val="center"/>
          </w:tcPr>
          <w:p>
            <w:pPr>
              <w:jc w:val="left"/>
              <w:rPr>
                <w:rFonts w:ascii="宋体" w:hAnsi="宋体" w:cs="宋体"/>
                <w:sz w:val="24"/>
                <w:szCs w:val="24"/>
              </w:rPr>
            </w:pPr>
            <w:r>
              <w:rPr>
                <w:rFonts w:hint="eastAsia" w:ascii="宋体" w:hAnsi="宋体" w:cs="宋体"/>
                <w:sz w:val="24"/>
                <w:szCs w:val="24"/>
              </w:rPr>
              <w:t>保证金缴纳凭证或投标保函。</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517" w:type="dxa"/>
            <w:vMerge w:val="restart"/>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响应</w:t>
            </w:r>
          </w:p>
          <w:p>
            <w:pPr>
              <w:autoSpaceDE w:val="0"/>
              <w:autoSpaceDN w:val="0"/>
              <w:spacing w:line="340" w:lineRule="exact"/>
              <w:jc w:val="center"/>
              <w:rPr>
                <w:rFonts w:ascii="宋体" w:hAnsi="宋体" w:cs="宋体"/>
                <w:sz w:val="24"/>
                <w:szCs w:val="24"/>
                <w:highlight w:val="yellow"/>
              </w:rPr>
            </w:pPr>
            <w:r>
              <w:rPr>
                <w:rFonts w:hint="eastAsia" w:ascii="宋体" w:hAnsi="宋体" w:cs="宋体"/>
                <w:sz w:val="24"/>
                <w:szCs w:val="24"/>
              </w:rPr>
              <w:t>评审</w:t>
            </w: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1</w:t>
            </w:r>
          </w:p>
        </w:tc>
        <w:tc>
          <w:tcPr>
            <w:tcW w:w="6889" w:type="dxa"/>
            <w:vAlign w:val="center"/>
          </w:tcPr>
          <w:p>
            <w:pPr>
              <w:jc w:val="left"/>
              <w:rPr>
                <w:rFonts w:ascii="宋体" w:hAnsi="宋体" w:cs="宋体"/>
                <w:sz w:val="24"/>
                <w:szCs w:val="24"/>
              </w:rPr>
            </w:pPr>
            <w:r>
              <w:rPr>
                <w:rFonts w:hint="eastAsia" w:ascii="宋体" w:hAnsi="宋体" w:cs="宋体"/>
                <w:sz w:val="24"/>
                <w:szCs w:val="24"/>
              </w:rPr>
              <w:t>投标文件是否有投标单位法定代表人或其委托代理人（签字或签章）和加盖了投标单位的盖章，投标文件的装订是否符合招标文件要求；</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517" w:type="dxa"/>
            <w:vMerge w:val="continue"/>
            <w:vAlign w:val="center"/>
          </w:tcPr>
          <w:p>
            <w:pPr>
              <w:widowControl/>
              <w:spacing w:line="340" w:lineRule="exact"/>
              <w:jc w:val="left"/>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2</w:t>
            </w:r>
          </w:p>
        </w:tc>
        <w:tc>
          <w:tcPr>
            <w:tcW w:w="6889" w:type="dxa"/>
            <w:vAlign w:val="center"/>
          </w:tcPr>
          <w:p>
            <w:pPr>
              <w:jc w:val="left"/>
              <w:rPr>
                <w:rFonts w:ascii="宋体" w:hAnsi="宋体" w:cs="宋体"/>
                <w:sz w:val="24"/>
                <w:szCs w:val="24"/>
              </w:rPr>
            </w:pPr>
            <w:r>
              <w:rPr>
                <w:rFonts w:hint="eastAsia" w:ascii="宋体" w:hAnsi="宋体" w:cs="宋体"/>
                <w:sz w:val="24"/>
                <w:szCs w:val="24"/>
              </w:rPr>
              <w:t>投标人是否对同一招标项目做出两个以上报价而未明确效力；</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517" w:type="dxa"/>
            <w:vMerge w:val="continue"/>
            <w:vAlign w:val="center"/>
          </w:tcPr>
          <w:p>
            <w:pPr>
              <w:widowControl/>
              <w:spacing w:line="340" w:lineRule="exact"/>
              <w:jc w:val="left"/>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3</w:t>
            </w:r>
          </w:p>
        </w:tc>
        <w:tc>
          <w:tcPr>
            <w:tcW w:w="6889" w:type="dxa"/>
            <w:vAlign w:val="center"/>
          </w:tcPr>
          <w:p>
            <w:pPr>
              <w:jc w:val="left"/>
              <w:rPr>
                <w:rFonts w:ascii="宋体" w:hAnsi="宋体" w:cs="宋体"/>
                <w:sz w:val="24"/>
                <w:szCs w:val="24"/>
              </w:rPr>
            </w:pPr>
            <w:r>
              <w:rPr>
                <w:rFonts w:hint="eastAsia" w:ascii="宋体" w:hAnsi="宋体" w:cs="宋体"/>
                <w:sz w:val="24"/>
                <w:szCs w:val="24"/>
              </w:rPr>
              <w:t>服务期限是否符合招标文件要求；</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517" w:type="dxa"/>
            <w:vMerge w:val="continue"/>
            <w:vAlign w:val="center"/>
          </w:tcPr>
          <w:p>
            <w:pPr>
              <w:widowControl/>
              <w:spacing w:line="340" w:lineRule="exact"/>
              <w:jc w:val="left"/>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4</w:t>
            </w:r>
          </w:p>
        </w:tc>
        <w:tc>
          <w:tcPr>
            <w:tcW w:w="6889" w:type="dxa"/>
            <w:vAlign w:val="center"/>
          </w:tcPr>
          <w:p>
            <w:pPr>
              <w:jc w:val="left"/>
              <w:rPr>
                <w:rFonts w:ascii="宋体" w:hAnsi="宋体" w:cs="宋体"/>
                <w:sz w:val="24"/>
                <w:szCs w:val="24"/>
              </w:rPr>
            </w:pPr>
            <w:r>
              <w:rPr>
                <w:rFonts w:hint="eastAsia" w:ascii="宋体" w:hAnsi="宋体" w:cs="宋体"/>
                <w:sz w:val="24"/>
                <w:szCs w:val="24"/>
              </w:rPr>
              <w:t>投标人投标总价是否超出最高限价；</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517" w:type="dxa"/>
            <w:vMerge w:val="continue"/>
            <w:vAlign w:val="center"/>
          </w:tcPr>
          <w:p>
            <w:pPr>
              <w:widowControl/>
              <w:spacing w:line="340" w:lineRule="exact"/>
              <w:jc w:val="left"/>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5</w:t>
            </w:r>
          </w:p>
        </w:tc>
        <w:tc>
          <w:tcPr>
            <w:tcW w:w="6889" w:type="dxa"/>
            <w:vAlign w:val="center"/>
          </w:tcPr>
          <w:p>
            <w:pPr>
              <w:jc w:val="left"/>
              <w:rPr>
                <w:rFonts w:ascii="宋体" w:hAnsi="宋体" w:cs="宋体"/>
                <w:sz w:val="24"/>
                <w:szCs w:val="24"/>
              </w:rPr>
            </w:pPr>
            <w:r>
              <w:rPr>
                <w:rFonts w:hint="eastAsia" w:ascii="宋体" w:hAnsi="宋体" w:cs="宋体"/>
                <w:sz w:val="24"/>
                <w:szCs w:val="24"/>
              </w:rPr>
              <w:t>投标文件是否附有采购人不能接受的条件。</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9559" w:type="dxa"/>
            <w:gridSpan w:val="5"/>
            <w:vAlign w:val="center"/>
          </w:tcPr>
          <w:p>
            <w:pPr>
              <w:autoSpaceDE w:val="0"/>
              <w:autoSpaceDN w:val="0"/>
              <w:spacing w:line="240" w:lineRule="atLeast"/>
              <w:jc w:val="center"/>
              <w:rPr>
                <w:rFonts w:ascii="宋体" w:hAnsi="宋体" w:cs="宋体"/>
                <w:b/>
                <w:sz w:val="24"/>
                <w:szCs w:val="24"/>
              </w:rPr>
            </w:pPr>
            <w:r>
              <w:rPr>
                <w:rFonts w:hint="eastAsia" w:ascii="宋体" w:hAnsi="宋体" w:cs="宋体"/>
                <w:b/>
                <w:sz w:val="24"/>
                <w:szCs w:val="24"/>
              </w:rPr>
              <w:t>以上有一项未通过的投标人不得进入下阶段评审</w:t>
            </w:r>
          </w:p>
        </w:tc>
      </w:tr>
    </w:tbl>
    <w:p>
      <w:pPr>
        <w:pStyle w:val="20"/>
        <w:rPr>
          <w:highlight w:val="yellow"/>
        </w:rPr>
      </w:pPr>
    </w:p>
    <w:p>
      <w:pPr>
        <w:pStyle w:val="20"/>
        <w:rPr>
          <w:rFonts w:ascii="仿宋" w:hAnsi="仿宋" w:eastAsia="仿宋" w:cs="仿宋"/>
          <w:b/>
          <w:bCs/>
          <w:sz w:val="24"/>
          <w:szCs w:val="24"/>
          <w:highlight w:val="yellow"/>
        </w:rPr>
      </w:pPr>
    </w:p>
    <w:p>
      <w:pPr>
        <w:pStyle w:val="3"/>
        <w:keepNext w:val="0"/>
        <w:keepLines w:val="0"/>
        <w:jc w:val="left"/>
        <w:rPr>
          <w:rFonts w:ascii="仿宋" w:hAnsi="仿宋" w:eastAsia="仿宋" w:cs="仿宋"/>
          <w:sz w:val="24"/>
          <w:szCs w:val="24"/>
        </w:rPr>
      </w:pPr>
      <w:r>
        <w:rPr>
          <w:rFonts w:hint="eastAsia" w:ascii="仿宋" w:hAnsi="仿宋" w:eastAsia="仿宋" w:cs="仿宋"/>
          <w:sz w:val="24"/>
          <w:szCs w:val="24"/>
        </w:rPr>
        <w:t>标项四：初步评审标准表</w:t>
      </w:r>
    </w:p>
    <w:tbl>
      <w:tblPr>
        <w:tblStyle w:val="29"/>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472"/>
        <w:gridCol w:w="6889"/>
        <w:gridCol w:w="799"/>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517" w:type="dxa"/>
            <w:vMerge w:val="restart"/>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项目</w:t>
            </w:r>
          </w:p>
        </w:tc>
        <w:tc>
          <w:tcPr>
            <w:tcW w:w="472" w:type="dxa"/>
            <w:vMerge w:val="restart"/>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序号</w:t>
            </w:r>
          </w:p>
        </w:tc>
        <w:tc>
          <w:tcPr>
            <w:tcW w:w="6889" w:type="dxa"/>
            <w:vMerge w:val="restart"/>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评审内容</w:t>
            </w:r>
          </w:p>
        </w:tc>
        <w:tc>
          <w:tcPr>
            <w:tcW w:w="1681" w:type="dxa"/>
            <w:gridSpan w:val="2"/>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517" w:type="dxa"/>
            <w:vMerge w:val="continue"/>
            <w:vAlign w:val="center"/>
          </w:tcPr>
          <w:p>
            <w:pPr>
              <w:autoSpaceDE w:val="0"/>
              <w:autoSpaceDN w:val="0"/>
              <w:spacing w:line="240" w:lineRule="exact"/>
              <w:jc w:val="center"/>
              <w:rPr>
                <w:rFonts w:ascii="宋体" w:hAnsi="宋体" w:cs="宋体"/>
                <w:sz w:val="24"/>
                <w:szCs w:val="24"/>
              </w:rPr>
            </w:pPr>
          </w:p>
        </w:tc>
        <w:tc>
          <w:tcPr>
            <w:tcW w:w="472" w:type="dxa"/>
            <w:vMerge w:val="continue"/>
            <w:vAlign w:val="center"/>
          </w:tcPr>
          <w:p>
            <w:pPr>
              <w:autoSpaceDE w:val="0"/>
              <w:autoSpaceDN w:val="0"/>
              <w:spacing w:line="240" w:lineRule="exact"/>
              <w:jc w:val="center"/>
              <w:rPr>
                <w:rFonts w:ascii="宋体" w:hAnsi="宋体" w:cs="宋体"/>
                <w:sz w:val="24"/>
                <w:szCs w:val="24"/>
              </w:rPr>
            </w:pPr>
          </w:p>
        </w:tc>
        <w:tc>
          <w:tcPr>
            <w:tcW w:w="6889" w:type="dxa"/>
            <w:vMerge w:val="continue"/>
            <w:vAlign w:val="center"/>
          </w:tcPr>
          <w:p>
            <w:pPr>
              <w:autoSpaceDE w:val="0"/>
              <w:autoSpaceDN w:val="0"/>
              <w:spacing w:line="240" w:lineRule="exact"/>
              <w:rPr>
                <w:rFonts w:ascii="宋体" w:hAnsi="宋体" w:cs="宋体"/>
                <w:sz w:val="24"/>
                <w:szCs w:val="24"/>
              </w:rPr>
            </w:pPr>
          </w:p>
        </w:tc>
        <w:tc>
          <w:tcPr>
            <w:tcW w:w="799" w:type="dxa"/>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通过</w:t>
            </w:r>
          </w:p>
        </w:tc>
        <w:tc>
          <w:tcPr>
            <w:tcW w:w="882" w:type="dxa"/>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517" w:type="dxa"/>
            <w:vMerge w:val="restart"/>
            <w:vAlign w:val="center"/>
          </w:tcPr>
          <w:p>
            <w:pPr>
              <w:autoSpaceDE w:val="0"/>
              <w:autoSpaceDN w:val="0"/>
              <w:spacing w:line="340" w:lineRule="exact"/>
              <w:jc w:val="center"/>
              <w:rPr>
                <w:rFonts w:ascii="宋体" w:hAnsi="宋体" w:cs="宋体"/>
                <w:sz w:val="24"/>
                <w:szCs w:val="24"/>
                <w:highlight w:val="yellow"/>
              </w:rPr>
            </w:pPr>
            <w:r>
              <w:rPr>
                <w:rFonts w:hint="eastAsia" w:ascii="宋体" w:hAnsi="宋体" w:cs="宋体"/>
                <w:sz w:val="24"/>
                <w:szCs w:val="24"/>
              </w:rPr>
              <w:t>资格审查</w:t>
            </w: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1</w:t>
            </w:r>
          </w:p>
        </w:tc>
        <w:tc>
          <w:tcPr>
            <w:tcW w:w="6889" w:type="dxa"/>
            <w:vAlign w:val="center"/>
          </w:tcPr>
          <w:p>
            <w:pPr>
              <w:jc w:val="left"/>
              <w:rPr>
                <w:rFonts w:ascii="宋体" w:hAnsi="宋体" w:cs="宋体"/>
                <w:sz w:val="24"/>
                <w:szCs w:val="24"/>
              </w:rPr>
            </w:pPr>
            <w:r>
              <w:rPr>
                <w:rFonts w:hint="eastAsia" w:ascii="宋体" w:hAnsi="宋体" w:cs="宋体"/>
                <w:sz w:val="24"/>
                <w:szCs w:val="24"/>
              </w:rPr>
              <w:t>具有有效的营业执照；</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2</w:t>
            </w:r>
          </w:p>
        </w:tc>
        <w:tc>
          <w:tcPr>
            <w:tcW w:w="6889" w:type="dxa"/>
            <w:vAlign w:val="center"/>
          </w:tcPr>
          <w:p>
            <w:pPr>
              <w:jc w:val="left"/>
              <w:rPr>
                <w:rFonts w:ascii="宋体" w:hAnsi="宋体" w:cs="宋体"/>
                <w:sz w:val="24"/>
                <w:szCs w:val="24"/>
              </w:rPr>
            </w:pPr>
            <w:r>
              <w:rPr>
                <w:rFonts w:hint="eastAsia" w:ascii="宋体" w:hAnsi="宋体" w:cs="宋体"/>
                <w:sz w:val="24"/>
                <w:szCs w:val="24"/>
              </w:rPr>
              <w:t>法定代表人授权委托书及被委托人身份证（法定代表人参加投标时提供本人身份证）；</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3</w:t>
            </w:r>
          </w:p>
        </w:tc>
        <w:tc>
          <w:tcPr>
            <w:tcW w:w="6889" w:type="dxa"/>
            <w:vAlign w:val="center"/>
          </w:tcPr>
          <w:p>
            <w:pPr>
              <w:jc w:val="left"/>
              <w:rPr>
                <w:rFonts w:ascii="宋体" w:hAnsi="宋体" w:cs="宋体"/>
                <w:sz w:val="24"/>
                <w:szCs w:val="24"/>
              </w:rPr>
            </w:pPr>
            <w:r>
              <w:rPr>
                <w:rFonts w:hint="eastAsia" w:ascii="宋体" w:hAnsi="宋体" w:cs="宋体"/>
                <w:sz w:val="24"/>
                <w:szCs w:val="24"/>
              </w:rPr>
              <w:t>消防设施维护保养检测二级及以上资质；</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4</w:t>
            </w:r>
          </w:p>
        </w:tc>
        <w:tc>
          <w:tcPr>
            <w:tcW w:w="6889" w:type="dxa"/>
            <w:vAlign w:val="center"/>
          </w:tcPr>
          <w:p>
            <w:pPr>
              <w:jc w:val="left"/>
              <w:rPr>
                <w:rFonts w:ascii="宋体" w:hAnsi="宋体" w:cs="宋体"/>
                <w:sz w:val="24"/>
                <w:szCs w:val="24"/>
              </w:rPr>
            </w:pPr>
            <w:r>
              <w:rPr>
                <w:rFonts w:hint="eastAsia" w:ascii="宋体" w:hAnsi="宋体" w:cs="宋体"/>
                <w:sz w:val="24"/>
                <w:szCs w:val="24"/>
              </w:rPr>
              <w:t>消防维保操作技术人员须取得中级技能等级及以上建（构）筑物消防员资格证书；</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5</w:t>
            </w:r>
          </w:p>
        </w:tc>
        <w:tc>
          <w:tcPr>
            <w:tcW w:w="6889" w:type="dxa"/>
            <w:vAlign w:val="center"/>
          </w:tcPr>
          <w:p>
            <w:pPr>
              <w:jc w:val="left"/>
              <w:rPr>
                <w:rFonts w:ascii="宋体" w:hAnsi="宋体" w:cs="宋体"/>
                <w:sz w:val="24"/>
                <w:szCs w:val="24"/>
              </w:rPr>
            </w:pPr>
            <w:r>
              <w:rPr>
                <w:rFonts w:hint="eastAsia" w:ascii="宋体" w:hAnsi="宋体" w:cs="宋体"/>
                <w:sz w:val="24"/>
                <w:szCs w:val="24"/>
              </w:rPr>
              <w:t>在“信用中国”网站（www.creditchina.gov.cn）、中国政府采购网（www.ccgp.gov.cn）未被列入失信被执行人、重大税收违法失信主体、政府采购严重违法失信行为记录名单查询结果截图（采购公告发布之日起至投标截止时间内从上述网站中打印并加盖企业公章）；</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spacing w:line="340" w:lineRule="exact"/>
              <w:jc w:val="center"/>
              <w:rPr>
                <w:rFonts w:ascii="宋体" w:hAnsi="宋体" w:cs="宋体"/>
                <w:sz w:val="24"/>
                <w:szCs w:val="24"/>
              </w:rPr>
            </w:pPr>
            <w:r>
              <w:rPr>
                <w:rFonts w:hint="eastAsia" w:ascii="宋体" w:hAnsi="宋体" w:cs="宋体"/>
                <w:sz w:val="24"/>
                <w:szCs w:val="24"/>
              </w:rPr>
              <w:t>6</w:t>
            </w:r>
          </w:p>
        </w:tc>
        <w:tc>
          <w:tcPr>
            <w:tcW w:w="6889" w:type="dxa"/>
            <w:vAlign w:val="center"/>
          </w:tcPr>
          <w:p>
            <w:pPr>
              <w:jc w:val="left"/>
              <w:rPr>
                <w:rFonts w:ascii="宋体" w:hAnsi="宋体" w:cs="宋体"/>
                <w:sz w:val="24"/>
                <w:szCs w:val="24"/>
              </w:rPr>
            </w:pPr>
            <w:r>
              <w:rPr>
                <w:rFonts w:hint="eastAsia" w:ascii="宋体" w:hAnsi="宋体" w:cs="宋体"/>
                <w:sz w:val="24"/>
                <w:szCs w:val="24"/>
              </w:rPr>
              <w:t>请根据“落实政府采购政策需满足的资格要求”，上传对应的资格文件，格式以采购文件要求为准</w:t>
            </w:r>
            <w:r>
              <w:rPr>
                <w:rFonts w:hint="eastAsia" w:ascii="宋体" w:hAnsi="宋体" w:cs="宋体"/>
                <w:color w:val="000000"/>
                <w:sz w:val="24"/>
                <w:szCs w:val="24"/>
              </w:rPr>
              <w:t>（中小企业声明函）</w:t>
            </w:r>
            <w:r>
              <w:rPr>
                <w:rFonts w:hint="eastAsia" w:ascii="宋体" w:hAnsi="宋体" w:cs="宋体"/>
                <w:sz w:val="24"/>
                <w:szCs w:val="24"/>
              </w:rPr>
              <w:t>；</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spacing w:line="340" w:lineRule="exact"/>
              <w:jc w:val="center"/>
              <w:rPr>
                <w:rFonts w:ascii="宋体" w:hAnsi="宋体" w:cs="宋体"/>
                <w:sz w:val="24"/>
                <w:szCs w:val="24"/>
              </w:rPr>
            </w:pPr>
            <w:r>
              <w:rPr>
                <w:rFonts w:hint="eastAsia" w:ascii="宋体" w:hAnsi="宋体" w:cs="宋体"/>
                <w:sz w:val="24"/>
                <w:szCs w:val="24"/>
              </w:rPr>
              <w:t>7</w:t>
            </w:r>
          </w:p>
        </w:tc>
        <w:tc>
          <w:tcPr>
            <w:tcW w:w="6889" w:type="dxa"/>
            <w:vAlign w:val="center"/>
          </w:tcPr>
          <w:p>
            <w:pPr>
              <w:jc w:val="left"/>
              <w:rPr>
                <w:rFonts w:ascii="宋体" w:hAnsi="宋体" w:cs="宋体"/>
                <w:sz w:val="24"/>
                <w:szCs w:val="24"/>
              </w:rPr>
            </w:pPr>
            <w:r>
              <w:rPr>
                <w:rFonts w:hint="eastAsia" w:ascii="宋体" w:hAnsi="宋体" w:cs="宋体"/>
                <w:color w:val="000000"/>
                <w:sz w:val="24"/>
                <w:szCs w:val="24"/>
              </w:rPr>
              <w:t>保证金缴纳凭证或投标保函。</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517" w:type="dxa"/>
            <w:vMerge w:val="restart"/>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响应</w:t>
            </w:r>
          </w:p>
          <w:p>
            <w:pPr>
              <w:autoSpaceDE w:val="0"/>
              <w:autoSpaceDN w:val="0"/>
              <w:spacing w:line="340" w:lineRule="exact"/>
              <w:jc w:val="center"/>
              <w:rPr>
                <w:rFonts w:ascii="宋体" w:hAnsi="宋体" w:cs="宋体"/>
                <w:sz w:val="24"/>
                <w:szCs w:val="24"/>
                <w:highlight w:val="yellow"/>
              </w:rPr>
            </w:pPr>
            <w:r>
              <w:rPr>
                <w:rFonts w:hint="eastAsia" w:ascii="宋体" w:hAnsi="宋体" w:cs="宋体"/>
                <w:sz w:val="24"/>
                <w:szCs w:val="24"/>
              </w:rPr>
              <w:t>评审</w:t>
            </w: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1</w:t>
            </w:r>
          </w:p>
        </w:tc>
        <w:tc>
          <w:tcPr>
            <w:tcW w:w="6889" w:type="dxa"/>
            <w:vAlign w:val="center"/>
          </w:tcPr>
          <w:p>
            <w:pPr>
              <w:jc w:val="left"/>
              <w:rPr>
                <w:rFonts w:ascii="宋体" w:hAnsi="宋体" w:cs="宋体"/>
                <w:sz w:val="24"/>
                <w:szCs w:val="24"/>
              </w:rPr>
            </w:pPr>
            <w:r>
              <w:rPr>
                <w:rFonts w:hint="eastAsia" w:ascii="宋体" w:hAnsi="宋体" w:cs="宋体"/>
                <w:sz w:val="24"/>
                <w:szCs w:val="24"/>
              </w:rPr>
              <w:t>投标文件是否有投标单位法定代表人或其委托代理人（签字或签章）和加盖了投标单位的盖章，投标文件的装订是否符合招标文件要求；</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517" w:type="dxa"/>
            <w:vMerge w:val="continue"/>
            <w:vAlign w:val="center"/>
          </w:tcPr>
          <w:p>
            <w:pPr>
              <w:widowControl/>
              <w:spacing w:line="340" w:lineRule="exact"/>
              <w:jc w:val="left"/>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2</w:t>
            </w:r>
          </w:p>
        </w:tc>
        <w:tc>
          <w:tcPr>
            <w:tcW w:w="6889" w:type="dxa"/>
            <w:vAlign w:val="center"/>
          </w:tcPr>
          <w:p>
            <w:pPr>
              <w:jc w:val="left"/>
              <w:rPr>
                <w:rFonts w:ascii="宋体" w:hAnsi="宋体" w:cs="宋体"/>
                <w:sz w:val="24"/>
                <w:szCs w:val="24"/>
              </w:rPr>
            </w:pPr>
            <w:r>
              <w:rPr>
                <w:rFonts w:hint="eastAsia" w:ascii="宋体" w:hAnsi="宋体" w:cs="宋体"/>
                <w:sz w:val="24"/>
                <w:szCs w:val="24"/>
              </w:rPr>
              <w:t>投标人是否对同一招标项目做出两个以上报价而未明确效力；</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517" w:type="dxa"/>
            <w:vMerge w:val="continue"/>
            <w:vAlign w:val="center"/>
          </w:tcPr>
          <w:p>
            <w:pPr>
              <w:widowControl/>
              <w:spacing w:line="340" w:lineRule="exact"/>
              <w:jc w:val="left"/>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3</w:t>
            </w:r>
          </w:p>
        </w:tc>
        <w:tc>
          <w:tcPr>
            <w:tcW w:w="6889" w:type="dxa"/>
            <w:vAlign w:val="center"/>
          </w:tcPr>
          <w:p>
            <w:pPr>
              <w:jc w:val="left"/>
              <w:rPr>
                <w:rFonts w:ascii="宋体" w:hAnsi="宋体" w:cs="宋体"/>
                <w:sz w:val="24"/>
                <w:szCs w:val="24"/>
              </w:rPr>
            </w:pPr>
            <w:r>
              <w:rPr>
                <w:rFonts w:hint="eastAsia" w:ascii="宋体" w:hAnsi="宋体" w:cs="宋体"/>
                <w:sz w:val="24"/>
                <w:szCs w:val="24"/>
              </w:rPr>
              <w:t>服务期限是否符合招标文件要求；</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517" w:type="dxa"/>
            <w:vMerge w:val="continue"/>
            <w:vAlign w:val="center"/>
          </w:tcPr>
          <w:p>
            <w:pPr>
              <w:widowControl/>
              <w:spacing w:line="340" w:lineRule="exact"/>
              <w:jc w:val="left"/>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4</w:t>
            </w:r>
          </w:p>
        </w:tc>
        <w:tc>
          <w:tcPr>
            <w:tcW w:w="6889" w:type="dxa"/>
            <w:vAlign w:val="center"/>
          </w:tcPr>
          <w:p>
            <w:pPr>
              <w:jc w:val="left"/>
              <w:rPr>
                <w:rFonts w:ascii="宋体" w:hAnsi="宋体" w:cs="宋体"/>
                <w:sz w:val="24"/>
                <w:szCs w:val="24"/>
              </w:rPr>
            </w:pPr>
            <w:r>
              <w:rPr>
                <w:rFonts w:hint="eastAsia" w:ascii="宋体" w:hAnsi="宋体" w:cs="宋体"/>
                <w:sz w:val="24"/>
                <w:szCs w:val="24"/>
              </w:rPr>
              <w:t>投标人投标总价是否超出最高限价；</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517" w:type="dxa"/>
            <w:vMerge w:val="continue"/>
            <w:vAlign w:val="center"/>
          </w:tcPr>
          <w:p>
            <w:pPr>
              <w:widowControl/>
              <w:spacing w:line="340" w:lineRule="exact"/>
              <w:jc w:val="left"/>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5</w:t>
            </w:r>
          </w:p>
        </w:tc>
        <w:tc>
          <w:tcPr>
            <w:tcW w:w="6889" w:type="dxa"/>
            <w:vAlign w:val="center"/>
          </w:tcPr>
          <w:p>
            <w:pPr>
              <w:jc w:val="left"/>
              <w:rPr>
                <w:rFonts w:ascii="宋体" w:hAnsi="宋体" w:cs="宋体"/>
                <w:sz w:val="24"/>
                <w:szCs w:val="24"/>
              </w:rPr>
            </w:pPr>
            <w:r>
              <w:rPr>
                <w:rFonts w:hint="eastAsia" w:ascii="宋体" w:hAnsi="宋体" w:cs="宋体"/>
                <w:sz w:val="24"/>
                <w:szCs w:val="24"/>
              </w:rPr>
              <w:t>投标文件是否附有采购人不能接受的条件。</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9559" w:type="dxa"/>
            <w:gridSpan w:val="5"/>
            <w:vAlign w:val="center"/>
          </w:tcPr>
          <w:p>
            <w:pPr>
              <w:autoSpaceDE w:val="0"/>
              <w:autoSpaceDN w:val="0"/>
              <w:spacing w:line="240" w:lineRule="atLeast"/>
              <w:jc w:val="center"/>
              <w:rPr>
                <w:rFonts w:ascii="宋体" w:hAnsi="宋体" w:cs="宋体"/>
                <w:b/>
                <w:sz w:val="24"/>
                <w:szCs w:val="24"/>
              </w:rPr>
            </w:pPr>
            <w:r>
              <w:rPr>
                <w:rFonts w:hint="eastAsia" w:ascii="宋体" w:hAnsi="宋体" w:cs="宋体"/>
                <w:b/>
                <w:sz w:val="24"/>
                <w:szCs w:val="24"/>
              </w:rPr>
              <w:t>以上有一项未通过的投标人不得进入下阶段评审</w:t>
            </w:r>
          </w:p>
        </w:tc>
      </w:tr>
    </w:tbl>
    <w:p>
      <w:pPr>
        <w:pStyle w:val="20"/>
        <w:rPr>
          <w:rFonts w:ascii="仿宋" w:hAnsi="仿宋" w:eastAsia="仿宋" w:cs="仿宋"/>
          <w:b/>
          <w:bCs/>
          <w:sz w:val="24"/>
          <w:szCs w:val="24"/>
          <w:highlight w:val="yellow"/>
        </w:rPr>
      </w:pPr>
    </w:p>
    <w:p>
      <w:pPr>
        <w:pStyle w:val="3"/>
        <w:keepNext w:val="0"/>
        <w:keepLines w:val="0"/>
        <w:jc w:val="left"/>
        <w:rPr>
          <w:rFonts w:ascii="仿宋" w:hAnsi="仿宋" w:eastAsia="仿宋" w:cs="仿宋"/>
          <w:sz w:val="24"/>
          <w:szCs w:val="24"/>
        </w:rPr>
      </w:pPr>
      <w:r>
        <w:rPr>
          <w:rFonts w:hint="eastAsia" w:ascii="仿宋" w:hAnsi="仿宋" w:eastAsia="仿宋" w:cs="仿宋"/>
          <w:sz w:val="24"/>
          <w:szCs w:val="24"/>
        </w:rPr>
        <w:t>标项五：</w:t>
      </w:r>
      <w:bookmarkStart w:id="181" w:name="_Toc14996"/>
      <w:r>
        <w:rPr>
          <w:rFonts w:hint="eastAsia" w:ascii="仿宋" w:hAnsi="仿宋" w:eastAsia="仿宋" w:cs="仿宋"/>
          <w:sz w:val="24"/>
          <w:szCs w:val="24"/>
        </w:rPr>
        <w:t>初步评审标准表</w:t>
      </w:r>
      <w:bookmarkEnd w:id="181"/>
    </w:p>
    <w:tbl>
      <w:tblPr>
        <w:tblStyle w:val="29"/>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472"/>
        <w:gridCol w:w="6889"/>
        <w:gridCol w:w="799"/>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517" w:type="dxa"/>
            <w:vMerge w:val="restart"/>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项目</w:t>
            </w:r>
          </w:p>
        </w:tc>
        <w:tc>
          <w:tcPr>
            <w:tcW w:w="472" w:type="dxa"/>
            <w:vMerge w:val="restart"/>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序号</w:t>
            </w:r>
          </w:p>
        </w:tc>
        <w:tc>
          <w:tcPr>
            <w:tcW w:w="6889" w:type="dxa"/>
            <w:vMerge w:val="restart"/>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评审内容</w:t>
            </w:r>
          </w:p>
        </w:tc>
        <w:tc>
          <w:tcPr>
            <w:tcW w:w="1681" w:type="dxa"/>
            <w:gridSpan w:val="2"/>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517" w:type="dxa"/>
            <w:vMerge w:val="continue"/>
            <w:vAlign w:val="center"/>
          </w:tcPr>
          <w:p>
            <w:pPr>
              <w:autoSpaceDE w:val="0"/>
              <w:autoSpaceDN w:val="0"/>
              <w:spacing w:line="240" w:lineRule="exact"/>
              <w:jc w:val="center"/>
              <w:rPr>
                <w:rFonts w:ascii="宋体" w:hAnsi="宋体" w:cs="宋体"/>
                <w:sz w:val="24"/>
                <w:szCs w:val="24"/>
              </w:rPr>
            </w:pPr>
          </w:p>
        </w:tc>
        <w:tc>
          <w:tcPr>
            <w:tcW w:w="472" w:type="dxa"/>
            <w:vMerge w:val="continue"/>
            <w:vAlign w:val="center"/>
          </w:tcPr>
          <w:p>
            <w:pPr>
              <w:autoSpaceDE w:val="0"/>
              <w:autoSpaceDN w:val="0"/>
              <w:spacing w:line="240" w:lineRule="exact"/>
              <w:jc w:val="center"/>
              <w:rPr>
                <w:rFonts w:ascii="宋体" w:hAnsi="宋体" w:cs="宋体"/>
                <w:sz w:val="24"/>
                <w:szCs w:val="24"/>
              </w:rPr>
            </w:pPr>
          </w:p>
        </w:tc>
        <w:tc>
          <w:tcPr>
            <w:tcW w:w="6889" w:type="dxa"/>
            <w:vMerge w:val="continue"/>
            <w:vAlign w:val="center"/>
          </w:tcPr>
          <w:p>
            <w:pPr>
              <w:autoSpaceDE w:val="0"/>
              <w:autoSpaceDN w:val="0"/>
              <w:spacing w:line="240" w:lineRule="exact"/>
              <w:rPr>
                <w:rFonts w:ascii="宋体" w:hAnsi="宋体" w:cs="宋体"/>
                <w:sz w:val="24"/>
                <w:szCs w:val="24"/>
              </w:rPr>
            </w:pPr>
          </w:p>
        </w:tc>
        <w:tc>
          <w:tcPr>
            <w:tcW w:w="799" w:type="dxa"/>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通过</w:t>
            </w:r>
          </w:p>
        </w:tc>
        <w:tc>
          <w:tcPr>
            <w:tcW w:w="882" w:type="dxa"/>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517" w:type="dxa"/>
            <w:vMerge w:val="restart"/>
            <w:vAlign w:val="center"/>
          </w:tcPr>
          <w:p>
            <w:pPr>
              <w:autoSpaceDE w:val="0"/>
              <w:autoSpaceDN w:val="0"/>
              <w:spacing w:line="340" w:lineRule="exact"/>
              <w:jc w:val="center"/>
              <w:rPr>
                <w:rFonts w:ascii="宋体" w:hAnsi="宋体" w:cs="宋体"/>
                <w:sz w:val="24"/>
                <w:szCs w:val="24"/>
                <w:highlight w:val="yellow"/>
              </w:rPr>
            </w:pPr>
            <w:r>
              <w:rPr>
                <w:rFonts w:hint="eastAsia" w:ascii="宋体" w:hAnsi="宋体" w:cs="宋体"/>
                <w:sz w:val="24"/>
                <w:szCs w:val="24"/>
              </w:rPr>
              <w:t>资格审查</w:t>
            </w: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1</w:t>
            </w:r>
          </w:p>
        </w:tc>
        <w:tc>
          <w:tcPr>
            <w:tcW w:w="6889" w:type="dxa"/>
            <w:vAlign w:val="center"/>
          </w:tcPr>
          <w:p>
            <w:pPr>
              <w:jc w:val="left"/>
              <w:rPr>
                <w:rFonts w:ascii="宋体" w:hAnsi="宋体" w:cs="宋体"/>
                <w:sz w:val="24"/>
                <w:szCs w:val="24"/>
              </w:rPr>
            </w:pPr>
            <w:r>
              <w:rPr>
                <w:rFonts w:hint="eastAsia" w:ascii="宋体" w:hAnsi="宋体" w:cs="宋体"/>
                <w:sz w:val="24"/>
                <w:szCs w:val="24"/>
              </w:rPr>
              <w:t>具有有效的营业执照；</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2</w:t>
            </w:r>
          </w:p>
        </w:tc>
        <w:tc>
          <w:tcPr>
            <w:tcW w:w="6889" w:type="dxa"/>
            <w:vAlign w:val="center"/>
          </w:tcPr>
          <w:p>
            <w:pPr>
              <w:jc w:val="left"/>
              <w:rPr>
                <w:rFonts w:ascii="宋体" w:hAnsi="宋体" w:cs="宋体"/>
                <w:sz w:val="24"/>
                <w:szCs w:val="24"/>
              </w:rPr>
            </w:pPr>
            <w:r>
              <w:rPr>
                <w:rFonts w:hint="eastAsia" w:ascii="宋体" w:hAnsi="宋体" w:cs="宋体"/>
                <w:sz w:val="24"/>
                <w:szCs w:val="24"/>
              </w:rPr>
              <w:t>法定代表人授权委托书及被委托人身份证（法定代表人参加投标时提供本人身份证）；</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3</w:t>
            </w:r>
          </w:p>
        </w:tc>
        <w:tc>
          <w:tcPr>
            <w:tcW w:w="6889" w:type="dxa"/>
            <w:vAlign w:val="center"/>
          </w:tcPr>
          <w:p>
            <w:pPr>
              <w:jc w:val="left"/>
              <w:rPr>
                <w:rFonts w:ascii="宋体" w:hAnsi="宋体" w:cs="宋体"/>
                <w:sz w:val="24"/>
                <w:szCs w:val="24"/>
              </w:rPr>
            </w:pPr>
            <w:r>
              <w:rPr>
                <w:rFonts w:hint="eastAsia" w:ascii="宋体" w:hAnsi="宋体" w:cs="宋体"/>
                <w:sz w:val="24"/>
                <w:szCs w:val="24"/>
              </w:rPr>
              <w:t>供应商具有建筑机电安装工程专业承包叁级及以上资质，具有有效的安全生产许可证且配有相应的专业技术人员；</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4</w:t>
            </w:r>
          </w:p>
        </w:tc>
        <w:tc>
          <w:tcPr>
            <w:tcW w:w="6889" w:type="dxa"/>
            <w:vAlign w:val="center"/>
          </w:tcPr>
          <w:p>
            <w:pPr>
              <w:jc w:val="left"/>
              <w:rPr>
                <w:rFonts w:ascii="宋体" w:hAnsi="宋体" w:cs="宋体"/>
                <w:sz w:val="24"/>
                <w:szCs w:val="24"/>
              </w:rPr>
            </w:pPr>
            <w:r>
              <w:rPr>
                <w:rFonts w:hint="eastAsia" w:ascii="宋体" w:hAnsi="宋体" w:cs="宋体"/>
                <w:sz w:val="24"/>
                <w:szCs w:val="24"/>
              </w:rPr>
              <w:t>在“信用中国”网站（www.creditchina.gov.cn）、中国政府采购网（www.ccgp.gov.cn）未被列入失信被执行人、重大税收违法失信主体、政府采购严重违法失信行为记录名单查询结果截图（采购公告发布之日起至投标截止时间内从上述网站中打印并加盖企业公章）；</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spacing w:line="340" w:lineRule="exact"/>
              <w:jc w:val="center"/>
              <w:rPr>
                <w:rFonts w:ascii="宋体" w:hAnsi="宋体" w:cs="宋体"/>
                <w:sz w:val="24"/>
                <w:szCs w:val="24"/>
              </w:rPr>
            </w:pPr>
            <w:r>
              <w:rPr>
                <w:rFonts w:hint="eastAsia" w:ascii="宋体" w:hAnsi="宋体" w:cs="宋体"/>
                <w:sz w:val="24"/>
                <w:szCs w:val="24"/>
              </w:rPr>
              <w:t>5</w:t>
            </w:r>
          </w:p>
        </w:tc>
        <w:tc>
          <w:tcPr>
            <w:tcW w:w="6889" w:type="dxa"/>
            <w:vAlign w:val="center"/>
          </w:tcPr>
          <w:p>
            <w:pPr>
              <w:jc w:val="left"/>
              <w:rPr>
                <w:rFonts w:ascii="宋体" w:hAnsi="宋体" w:cs="宋体"/>
                <w:sz w:val="24"/>
                <w:szCs w:val="24"/>
              </w:rPr>
            </w:pPr>
            <w:r>
              <w:rPr>
                <w:rFonts w:hint="eastAsia" w:ascii="宋体" w:hAnsi="宋体" w:cs="宋体"/>
                <w:sz w:val="24"/>
                <w:szCs w:val="24"/>
              </w:rPr>
              <w:t>请根据“落实政府采购政策需满足的资格要求”，上传对应的资格文件，格式以采购文件要求为准</w:t>
            </w:r>
            <w:r>
              <w:rPr>
                <w:rFonts w:hint="eastAsia" w:ascii="宋体" w:hAnsi="宋体" w:cs="宋体"/>
                <w:color w:val="000000"/>
                <w:sz w:val="24"/>
                <w:szCs w:val="24"/>
              </w:rPr>
              <w:t>（中小企业声明函）</w:t>
            </w:r>
            <w:r>
              <w:rPr>
                <w:rFonts w:hint="eastAsia" w:ascii="宋体" w:hAnsi="宋体" w:cs="宋体"/>
                <w:sz w:val="24"/>
                <w:szCs w:val="24"/>
              </w:rPr>
              <w:t>；</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spacing w:line="340" w:lineRule="exact"/>
              <w:jc w:val="center"/>
              <w:rPr>
                <w:rFonts w:ascii="宋体" w:hAnsi="宋体" w:cs="宋体"/>
                <w:sz w:val="24"/>
                <w:szCs w:val="24"/>
              </w:rPr>
            </w:pPr>
            <w:r>
              <w:rPr>
                <w:rFonts w:hint="eastAsia" w:ascii="宋体" w:hAnsi="宋体" w:cs="宋体"/>
                <w:sz w:val="24"/>
                <w:szCs w:val="24"/>
              </w:rPr>
              <w:t>6</w:t>
            </w:r>
          </w:p>
        </w:tc>
        <w:tc>
          <w:tcPr>
            <w:tcW w:w="6889" w:type="dxa"/>
            <w:vAlign w:val="center"/>
          </w:tcPr>
          <w:p>
            <w:pPr>
              <w:jc w:val="left"/>
              <w:rPr>
                <w:rFonts w:ascii="宋体" w:hAnsi="宋体" w:cs="宋体"/>
                <w:sz w:val="24"/>
                <w:szCs w:val="24"/>
              </w:rPr>
            </w:pPr>
            <w:r>
              <w:rPr>
                <w:rFonts w:hint="eastAsia" w:ascii="宋体" w:hAnsi="宋体" w:cs="宋体"/>
                <w:color w:val="000000"/>
                <w:sz w:val="24"/>
                <w:szCs w:val="24"/>
              </w:rPr>
              <w:t>保证金缴纳凭证或投标保函。</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517" w:type="dxa"/>
            <w:vMerge w:val="restart"/>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响应</w:t>
            </w:r>
          </w:p>
          <w:p>
            <w:pPr>
              <w:autoSpaceDE w:val="0"/>
              <w:autoSpaceDN w:val="0"/>
              <w:spacing w:line="340" w:lineRule="exact"/>
              <w:jc w:val="center"/>
              <w:rPr>
                <w:rFonts w:ascii="宋体" w:hAnsi="宋体" w:cs="宋体"/>
                <w:sz w:val="24"/>
                <w:szCs w:val="24"/>
                <w:highlight w:val="yellow"/>
              </w:rPr>
            </w:pPr>
            <w:r>
              <w:rPr>
                <w:rFonts w:hint="eastAsia" w:ascii="宋体" w:hAnsi="宋体" w:cs="宋体"/>
                <w:sz w:val="24"/>
                <w:szCs w:val="24"/>
              </w:rPr>
              <w:t>评审</w:t>
            </w: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1</w:t>
            </w:r>
          </w:p>
        </w:tc>
        <w:tc>
          <w:tcPr>
            <w:tcW w:w="6889" w:type="dxa"/>
            <w:vAlign w:val="center"/>
          </w:tcPr>
          <w:p>
            <w:pPr>
              <w:jc w:val="left"/>
              <w:rPr>
                <w:rFonts w:ascii="宋体" w:hAnsi="宋体" w:cs="宋体"/>
                <w:sz w:val="24"/>
                <w:szCs w:val="24"/>
              </w:rPr>
            </w:pPr>
            <w:r>
              <w:rPr>
                <w:rFonts w:hint="eastAsia" w:ascii="宋体" w:hAnsi="宋体" w:cs="宋体"/>
                <w:sz w:val="24"/>
                <w:szCs w:val="24"/>
              </w:rPr>
              <w:t>投标文件是否有投标单位法定代表人或其委托代理人（签字或签章）和加盖了投标单位的盖章，投标文件的装订是否符合招标文件要求；</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517" w:type="dxa"/>
            <w:vMerge w:val="continue"/>
            <w:vAlign w:val="center"/>
          </w:tcPr>
          <w:p>
            <w:pPr>
              <w:widowControl/>
              <w:spacing w:line="340" w:lineRule="exact"/>
              <w:jc w:val="left"/>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2</w:t>
            </w:r>
          </w:p>
        </w:tc>
        <w:tc>
          <w:tcPr>
            <w:tcW w:w="6889" w:type="dxa"/>
            <w:vAlign w:val="center"/>
          </w:tcPr>
          <w:p>
            <w:pPr>
              <w:jc w:val="left"/>
              <w:rPr>
                <w:rFonts w:ascii="宋体" w:hAnsi="宋体" w:cs="宋体"/>
                <w:sz w:val="24"/>
                <w:szCs w:val="24"/>
              </w:rPr>
            </w:pPr>
            <w:r>
              <w:rPr>
                <w:rFonts w:hint="eastAsia" w:ascii="宋体" w:hAnsi="宋体" w:cs="宋体"/>
                <w:sz w:val="24"/>
                <w:szCs w:val="24"/>
              </w:rPr>
              <w:t>投标人是否对同一招标项目做出两个以上报价而未明确效力；</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517" w:type="dxa"/>
            <w:vMerge w:val="continue"/>
            <w:vAlign w:val="center"/>
          </w:tcPr>
          <w:p>
            <w:pPr>
              <w:widowControl/>
              <w:spacing w:line="340" w:lineRule="exact"/>
              <w:jc w:val="left"/>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3</w:t>
            </w:r>
          </w:p>
        </w:tc>
        <w:tc>
          <w:tcPr>
            <w:tcW w:w="6889" w:type="dxa"/>
            <w:vAlign w:val="center"/>
          </w:tcPr>
          <w:p>
            <w:pPr>
              <w:jc w:val="left"/>
              <w:rPr>
                <w:rFonts w:ascii="宋体" w:hAnsi="宋体" w:cs="宋体"/>
                <w:sz w:val="24"/>
                <w:szCs w:val="24"/>
              </w:rPr>
            </w:pPr>
            <w:r>
              <w:rPr>
                <w:rFonts w:hint="eastAsia" w:ascii="宋体" w:hAnsi="宋体" w:cs="宋体"/>
                <w:sz w:val="24"/>
                <w:szCs w:val="24"/>
              </w:rPr>
              <w:t>服务期限是否符合招标文件要求；</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517" w:type="dxa"/>
            <w:vMerge w:val="continue"/>
            <w:vAlign w:val="center"/>
          </w:tcPr>
          <w:p>
            <w:pPr>
              <w:widowControl/>
              <w:spacing w:line="340" w:lineRule="exact"/>
              <w:jc w:val="left"/>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4</w:t>
            </w:r>
          </w:p>
        </w:tc>
        <w:tc>
          <w:tcPr>
            <w:tcW w:w="6889" w:type="dxa"/>
            <w:vAlign w:val="center"/>
          </w:tcPr>
          <w:p>
            <w:pPr>
              <w:jc w:val="left"/>
              <w:rPr>
                <w:rFonts w:ascii="宋体" w:hAnsi="宋体" w:cs="宋体"/>
                <w:sz w:val="24"/>
                <w:szCs w:val="24"/>
              </w:rPr>
            </w:pPr>
            <w:r>
              <w:rPr>
                <w:rFonts w:hint="eastAsia" w:ascii="宋体" w:hAnsi="宋体" w:cs="宋体"/>
                <w:sz w:val="24"/>
                <w:szCs w:val="24"/>
              </w:rPr>
              <w:t>投标人投标总价是否超出最高限价；</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517" w:type="dxa"/>
            <w:vMerge w:val="continue"/>
            <w:vAlign w:val="center"/>
          </w:tcPr>
          <w:p>
            <w:pPr>
              <w:widowControl/>
              <w:spacing w:line="340" w:lineRule="exact"/>
              <w:jc w:val="left"/>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5</w:t>
            </w:r>
          </w:p>
        </w:tc>
        <w:tc>
          <w:tcPr>
            <w:tcW w:w="6889" w:type="dxa"/>
            <w:vAlign w:val="center"/>
          </w:tcPr>
          <w:p>
            <w:pPr>
              <w:jc w:val="left"/>
              <w:rPr>
                <w:rFonts w:ascii="宋体" w:hAnsi="宋体" w:cs="宋体"/>
                <w:sz w:val="24"/>
                <w:szCs w:val="24"/>
              </w:rPr>
            </w:pPr>
            <w:r>
              <w:rPr>
                <w:rFonts w:hint="eastAsia" w:ascii="宋体" w:hAnsi="宋体" w:cs="宋体"/>
                <w:sz w:val="24"/>
                <w:szCs w:val="24"/>
              </w:rPr>
              <w:t>投标文件是否附有采购人不能接受的条件。</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9559" w:type="dxa"/>
            <w:gridSpan w:val="5"/>
            <w:vAlign w:val="center"/>
          </w:tcPr>
          <w:p>
            <w:pPr>
              <w:autoSpaceDE w:val="0"/>
              <w:autoSpaceDN w:val="0"/>
              <w:spacing w:line="240" w:lineRule="atLeast"/>
              <w:jc w:val="center"/>
              <w:rPr>
                <w:rFonts w:ascii="宋体" w:hAnsi="宋体" w:cs="宋体"/>
                <w:b/>
                <w:sz w:val="24"/>
                <w:szCs w:val="24"/>
              </w:rPr>
            </w:pPr>
            <w:r>
              <w:rPr>
                <w:rFonts w:hint="eastAsia" w:ascii="宋体" w:hAnsi="宋体" w:cs="宋体"/>
                <w:b/>
                <w:sz w:val="24"/>
                <w:szCs w:val="24"/>
              </w:rPr>
              <w:t>以上有一项未通过的投标人不得进入下阶段评审</w:t>
            </w:r>
          </w:p>
        </w:tc>
      </w:tr>
    </w:tbl>
    <w:p>
      <w:pPr>
        <w:pStyle w:val="20"/>
        <w:ind w:left="0" w:firstLine="0"/>
        <w:rPr>
          <w:rFonts w:ascii="仿宋" w:hAnsi="仿宋" w:eastAsia="仿宋" w:cs="仿宋"/>
          <w:b/>
          <w:bCs/>
          <w:sz w:val="24"/>
          <w:szCs w:val="24"/>
          <w:highlight w:val="yellow"/>
        </w:rPr>
      </w:pPr>
    </w:p>
    <w:p>
      <w:pPr>
        <w:keepNext/>
        <w:keepLines/>
        <w:tabs>
          <w:tab w:val="left" w:pos="900"/>
        </w:tabs>
        <w:spacing w:line="360" w:lineRule="auto"/>
        <w:jc w:val="left"/>
        <w:outlineLvl w:val="0"/>
        <w:rPr>
          <w:rFonts w:ascii="仿宋" w:hAnsi="仿宋" w:eastAsia="仿宋" w:cs="仿宋"/>
          <w:sz w:val="24"/>
          <w:szCs w:val="24"/>
        </w:rPr>
      </w:pPr>
      <w:r>
        <w:rPr>
          <w:rFonts w:hint="eastAsia" w:ascii="仿宋" w:hAnsi="仿宋" w:eastAsia="仿宋" w:cs="仿宋"/>
          <w:b/>
          <w:bCs/>
          <w:sz w:val="24"/>
          <w:szCs w:val="24"/>
        </w:rPr>
        <w:t>标项七：初步评审标准表</w:t>
      </w:r>
    </w:p>
    <w:tbl>
      <w:tblPr>
        <w:tblStyle w:val="29"/>
        <w:tblW w:w="9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472"/>
        <w:gridCol w:w="6889"/>
        <w:gridCol w:w="799"/>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517" w:type="dxa"/>
            <w:vMerge w:val="restart"/>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项目</w:t>
            </w:r>
          </w:p>
        </w:tc>
        <w:tc>
          <w:tcPr>
            <w:tcW w:w="472" w:type="dxa"/>
            <w:vMerge w:val="restart"/>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序号</w:t>
            </w:r>
          </w:p>
        </w:tc>
        <w:tc>
          <w:tcPr>
            <w:tcW w:w="6889" w:type="dxa"/>
            <w:vMerge w:val="restart"/>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评审内容</w:t>
            </w:r>
          </w:p>
        </w:tc>
        <w:tc>
          <w:tcPr>
            <w:tcW w:w="1754" w:type="dxa"/>
            <w:gridSpan w:val="2"/>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517" w:type="dxa"/>
            <w:vMerge w:val="continue"/>
            <w:vAlign w:val="center"/>
          </w:tcPr>
          <w:p>
            <w:pPr>
              <w:autoSpaceDE w:val="0"/>
              <w:autoSpaceDN w:val="0"/>
              <w:spacing w:line="240" w:lineRule="exact"/>
              <w:jc w:val="center"/>
              <w:rPr>
                <w:rFonts w:ascii="宋体" w:hAnsi="宋体" w:cs="宋体"/>
                <w:sz w:val="24"/>
                <w:szCs w:val="24"/>
              </w:rPr>
            </w:pPr>
          </w:p>
        </w:tc>
        <w:tc>
          <w:tcPr>
            <w:tcW w:w="472" w:type="dxa"/>
            <w:vMerge w:val="continue"/>
            <w:vAlign w:val="center"/>
          </w:tcPr>
          <w:p>
            <w:pPr>
              <w:autoSpaceDE w:val="0"/>
              <w:autoSpaceDN w:val="0"/>
              <w:spacing w:line="240" w:lineRule="exact"/>
              <w:jc w:val="center"/>
              <w:rPr>
                <w:rFonts w:ascii="宋体" w:hAnsi="宋体" w:cs="宋体"/>
                <w:sz w:val="24"/>
                <w:szCs w:val="24"/>
              </w:rPr>
            </w:pPr>
          </w:p>
        </w:tc>
        <w:tc>
          <w:tcPr>
            <w:tcW w:w="6889" w:type="dxa"/>
            <w:vMerge w:val="continue"/>
            <w:vAlign w:val="center"/>
          </w:tcPr>
          <w:p>
            <w:pPr>
              <w:autoSpaceDE w:val="0"/>
              <w:autoSpaceDN w:val="0"/>
              <w:spacing w:line="240" w:lineRule="exact"/>
              <w:rPr>
                <w:rFonts w:ascii="宋体" w:hAnsi="宋体" w:cs="宋体"/>
                <w:sz w:val="24"/>
                <w:szCs w:val="24"/>
              </w:rPr>
            </w:pPr>
          </w:p>
        </w:tc>
        <w:tc>
          <w:tcPr>
            <w:tcW w:w="799" w:type="dxa"/>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通过</w:t>
            </w:r>
          </w:p>
        </w:tc>
        <w:tc>
          <w:tcPr>
            <w:tcW w:w="955" w:type="dxa"/>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517" w:type="dxa"/>
            <w:vMerge w:val="restart"/>
            <w:vAlign w:val="center"/>
          </w:tcPr>
          <w:p>
            <w:pPr>
              <w:autoSpaceDE w:val="0"/>
              <w:autoSpaceDN w:val="0"/>
              <w:spacing w:line="340" w:lineRule="exact"/>
              <w:jc w:val="center"/>
              <w:rPr>
                <w:rFonts w:ascii="宋体" w:hAnsi="宋体" w:cs="宋体"/>
                <w:sz w:val="24"/>
                <w:szCs w:val="24"/>
                <w:highlight w:val="yellow"/>
              </w:rPr>
            </w:pPr>
            <w:r>
              <w:rPr>
                <w:rFonts w:hint="eastAsia" w:ascii="宋体" w:hAnsi="宋体" w:cs="宋体"/>
                <w:sz w:val="24"/>
                <w:szCs w:val="24"/>
              </w:rPr>
              <w:t>资格审查</w:t>
            </w: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1</w:t>
            </w:r>
          </w:p>
        </w:tc>
        <w:tc>
          <w:tcPr>
            <w:tcW w:w="6889" w:type="dxa"/>
            <w:vAlign w:val="center"/>
          </w:tcPr>
          <w:p>
            <w:pPr>
              <w:jc w:val="left"/>
              <w:rPr>
                <w:rFonts w:ascii="宋体" w:hAnsi="宋体" w:cs="宋体"/>
                <w:kern w:val="0"/>
                <w:sz w:val="24"/>
                <w:szCs w:val="24"/>
              </w:rPr>
            </w:pPr>
            <w:r>
              <w:rPr>
                <w:rFonts w:hint="eastAsia" w:ascii="宋体" w:hAnsi="宋体" w:cs="宋体"/>
                <w:kern w:val="0"/>
                <w:sz w:val="24"/>
                <w:szCs w:val="24"/>
              </w:rPr>
              <w:t>具有有效的营业执照;</w:t>
            </w:r>
          </w:p>
        </w:tc>
        <w:tc>
          <w:tcPr>
            <w:tcW w:w="799" w:type="dxa"/>
          </w:tcPr>
          <w:p>
            <w:pPr>
              <w:autoSpaceDE w:val="0"/>
              <w:autoSpaceDN w:val="0"/>
              <w:spacing w:line="340" w:lineRule="exact"/>
              <w:jc w:val="left"/>
              <w:rPr>
                <w:rFonts w:ascii="宋体" w:hAnsi="宋体" w:cs="宋体"/>
                <w:sz w:val="24"/>
                <w:szCs w:val="24"/>
                <w:highlight w:val="yellow"/>
              </w:rPr>
            </w:pPr>
          </w:p>
        </w:tc>
        <w:tc>
          <w:tcPr>
            <w:tcW w:w="955"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2</w:t>
            </w:r>
          </w:p>
        </w:tc>
        <w:tc>
          <w:tcPr>
            <w:tcW w:w="6889" w:type="dxa"/>
            <w:vAlign w:val="center"/>
          </w:tcPr>
          <w:p>
            <w:pPr>
              <w:pStyle w:val="25"/>
              <w:shd w:val="clear" w:color="auto" w:fill="FFFFFF"/>
              <w:spacing w:before="0" w:beforeAutospacing="0" w:after="0" w:afterAutospacing="0"/>
              <w:jc w:val="both"/>
              <w:rPr>
                <w:rFonts w:hint="eastAsia" w:eastAsia="宋体"/>
                <w:lang w:eastAsia="zh-CN"/>
              </w:rPr>
            </w:pPr>
            <w:r>
              <w:rPr>
                <w:rFonts w:hint="eastAsia" w:ascii="宋体" w:hAnsi="宋体" w:cs="宋体"/>
                <w:sz w:val="24"/>
                <w:szCs w:val="24"/>
              </w:rPr>
              <w:t>具有《中华人民共和国特种设备安装改造维修许可证》电梯安装、维修资质B级及以上资质或《中华人民共和国特种设备生产许可证》电梯安装（含修理）曳引驱动乘客电梯(含消防员电梯)资质</w:t>
            </w:r>
            <w:r>
              <w:rPr>
                <w:rFonts w:hint="eastAsia" w:cs="宋体"/>
                <w:sz w:val="24"/>
                <w:szCs w:val="24"/>
                <w:lang w:eastAsia="zh-CN"/>
              </w:rPr>
              <w:t>；</w:t>
            </w:r>
          </w:p>
        </w:tc>
        <w:tc>
          <w:tcPr>
            <w:tcW w:w="799" w:type="dxa"/>
          </w:tcPr>
          <w:p>
            <w:pPr>
              <w:autoSpaceDE w:val="0"/>
              <w:autoSpaceDN w:val="0"/>
              <w:spacing w:line="340" w:lineRule="exact"/>
              <w:jc w:val="left"/>
              <w:rPr>
                <w:rFonts w:ascii="宋体" w:hAnsi="宋体" w:cs="宋体"/>
                <w:sz w:val="24"/>
                <w:szCs w:val="24"/>
                <w:highlight w:val="yellow"/>
              </w:rPr>
            </w:pPr>
          </w:p>
        </w:tc>
        <w:tc>
          <w:tcPr>
            <w:tcW w:w="955"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3</w:t>
            </w:r>
          </w:p>
        </w:tc>
        <w:tc>
          <w:tcPr>
            <w:tcW w:w="6889" w:type="dxa"/>
            <w:vAlign w:val="center"/>
          </w:tcPr>
          <w:p>
            <w:pPr>
              <w:jc w:val="left"/>
              <w:rPr>
                <w:rFonts w:ascii="宋体" w:hAnsi="宋体" w:cs="宋体"/>
                <w:sz w:val="24"/>
                <w:szCs w:val="24"/>
              </w:rPr>
            </w:pPr>
            <w:r>
              <w:rPr>
                <w:rFonts w:hint="eastAsia" w:ascii="宋体" w:hAnsi="宋体" w:cs="宋体"/>
                <w:sz w:val="24"/>
                <w:szCs w:val="24"/>
              </w:rPr>
              <w:t>法定代表人授权委托书及被委托人身份证(法定代表人参加投标时提供本人身份证) ;</w:t>
            </w:r>
          </w:p>
        </w:tc>
        <w:tc>
          <w:tcPr>
            <w:tcW w:w="799" w:type="dxa"/>
          </w:tcPr>
          <w:p>
            <w:pPr>
              <w:autoSpaceDE w:val="0"/>
              <w:autoSpaceDN w:val="0"/>
              <w:spacing w:line="340" w:lineRule="exact"/>
              <w:jc w:val="left"/>
              <w:rPr>
                <w:rFonts w:ascii="宋体" w:hAnsi="宋体" w:cs="宋体"/>
                <w:sz w:val="24"/>
                <w:szCs w:val="24"/>
                <w:highlight w:val="yellow"/>
              </w:rPr>
            </w:pPr>
          </w:p>
        </w:tc>
        <w:tc>
          <w:tcPr>
            <w:tcW w:w="955"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6" w:hRule="atLeast"/>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4</w:t>
            </w:r>
          </w:p>
        </w:tc>
        <w:tc>
          <w:tcPr>
            <w:tcW w:w="6889" w:type="dxa"/>
            <w:vAlign w:val="center"/>
          </w:tcPr>
          <w:p>
            <w:pPr>
              <w:pStyle w:val="25"/>
              <w:shd w:val="clear" w:color="auto" w:fill="FFFFFF"/>
              <w:spacing w:before="0" w:beforeAutospacing="0" w:after="0" w:afterAutospacing="0"/>
              <w:jc w:val="both"/>
            </w:pPr>
            <w:r>
              <w:rPr>
                <w:rFonts w:hint="eastAsia"/>
              </w:rPr>
              <w:t>在“信用中国”网站 (www.creditchina.gov.cn) 、中国政府采购网(www ccgp. gov.cn) 未被列入失信被执行人、重大税收违法失信主体、政府采购严重违法失信行为记录名单查询结果截图(采购公告发布之日起至投标截止时间内从上述网站中打印并加盖企业公章) ；</w:t>
            </w:r>
          </w:p>
        </w:tc>
        <w:tc>
          <w:tcPr>
            <w:tcW w:w="799" w:type="dxa"/>
          </w:tcPr>
          <w:p>
            <w:pPr>
              <w:autoSpaceDE w:val="0"/>
              <w:autoSpaceDN w:val="0"/>
              <w:spacing w:line="340" w:lineRule="exact"/>
              <w:jc w:val="left"/>
              <w:rPr>
                <w:rFonts w:ascii="宋体" w:hAnsi="宋体" w:cs="宋体"/>
                <w:sz w:val="24"/>
                <w:szCs w:val="24"/>
                <w:highlight w:val="yellow"/>
              </w:rPr>
            </w:pPr>
          </w:p>
        </w:tc>
        <w:tc>
          <w:tcPr>
            <w:tcW w:w="955"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5</w:t>
            </w:r>
          </w:p>
        </w:tc>
        <w:tc>
          <w:tcPr>
            <w:tcW w:w="6889" w:type="dxa"/>
            <w:vAlign w:val="center"/>
          </w:tcPr>
          <w:p>
            <w:pPr>
              <w:pStyle w:val="25"/>
              <w:shd w:val="clear" w:color="auto" w:fill="FFFFFF"/>
              <w:spacing w:before="0" w:beforeAutospacing="0" w:after="0" w:afterAutospacing="0"/>
              <w:jc w:val="both"/>
            </w:pPr>
            <w:r>
              <w:rPr>
                <w:rFonts w:hint="eastAsia"/>
              </w:rPr>
              <w:t>请根据“落实政府采购政策需满足的资格要求”，上传对应的资格文件.格式以采购文件要求为准 (中小企业声明函) ；</w:t>
            </w:r>
          </w:p>
        </w:tc>
        <w:tc>
          <w:tcPr>
            <w:tcW w:w="799" w:type="dxa"/>
          </w:tcPr>
          <w:p>
            <w:pPr>
              <w:autoSpaceDE w:val="0"/>
              <w:autoSpaceDN w:val="0"/>
              <w:spacing w:line="340" w:lineRule="exact"/>
              <w:jc w:val="left"/>
              <w:rPr>
                <w:rFonts w:ascii="宋体" w:hAnsi="宋体" w:cs="宋体"/>
                <w:sz w:val="24"/>
                <w:szCs w:val="24"/>
                <w:highlight w:val="yellow"/>
              </w:rPr>
            </w:pPr>
          </w:p>
        </w:tc>
        <w:tc>
          <w:tcPr>
            <w:tcW w:w="955"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spacing w:line="340" w:lineRule="exact"/>
              <w:jc w:val="center"/>
              <w:rPr>
                <w:rFonts w:ascii="宋体" w:hAnsi="宋体" w:cs="宋体"/>
                <w:sz w:val="24"/>
                <w:szCs w:val="24"/>
              </w:rPr>
            </w:pPr>
            <w:r>
              <w:rPr>
                <w:rFonts w:hint="eastAsia" w:ascii="宋体" w:hAnsi="宋体" w:cs="宋体"/>
                <w:sz w:val="24"/>
                <w:szCs w:val="24"/>
              </w:rPr>
              <w:t>6</w:t>
            </w:r>
          </w:p>
        </w:tc>
        <w:tc>
          <w:tcPr>
            <w:tcW w:w="6889" w:type="dxa"/>
            <w:vAlign w:val="center"/>
          </w:tcPr>
          <w:p>
            <w:pPr>
              <w:jc w:val="left"/>
              <w:rPr>
                <w:rFonts w:ascii="宋体" w:hAnsi="宋体" w:cs="宋体"/>
                <w:sz w:val="24"/>
                <w:szCs w:val="24"/>
              </w:rPr>
            </w:pPr>
            <w:r>
              <w:rPr>
                <w:rFonts w:hint="eastAsia" w:ascii="宋体" w:hAnsi="宋体" w:cs="宋体"/>
                <w:sz w:val="24"/>
                <w:szCs w:val="24"/>
              </w:rPr>
              <w:t xml:space="preserve"> 保证金缴纳凭证或投标保函。</w:t>
            </w:r>
          </w:p>
        </w:tc>
        <w:tc>
          <w:tcPr>
            <w:tcW w:w="799" w:type="dxa"/>
          </w:tcPr>
          <w:p>
            <w:pPr>
              <w:autoSpaceDE w:val="0"/>
              <w:autoSpaceDN w:val="0"/>
              <w:spacing w:line="340" w:lineRule="exact"/>
              <w:jc w:val="left"/>
              <w:rPr>
                <w:rFonts w:ascii="宋体" w:hAnsi="宋体" w:cs="宋体"/>
                <w:sz w:val="24"/>
                <w:szCs w:val="24"/>
                <w:highlight w:val="yellow"/>
              </w:rPr>
            </w:pPr>
          </w:p>
        </w:tc>
        <w:tc>
          <w:tcPr>
            <w:tcW w:w="955"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trPr>
        <w:tc>
          <w:tcPr>
            <w:tcW w:w="517" w:type="dxa"/>
            <w:vMerge w:val="restart"/>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响应</w:t>
            </w:r>
          </w:p>
          <w:p>
            <w:pPr>
              <w:autoSpaceDE w:val="0"/>
              <w:autoSpaceDN w:val="0"/>
              <w:spacing w:line="340" w:lineRule="exact"/>
              <w:jc w:val="center"/>
              <w:rPr>
                <w:rFonts w:ascii="宋体" w:hAnsi="宋体" w:cs="宋体"/>
                <w:sz w:val="24"/>
                <w:szCs w:val="24"/>
              </w:rPr>
            </w:pPr>
            <w:r>
              <w:rPr>
                <w:rFonts w:hint="eastAsia" w:ascii="宋体" w:hAnsi="宋体" w:cs="宋体"/>
                <w:sz w:val="24"/>
                <w:szCs w:val="24"/>
              </w:rPr>
              <w:t>评审</w:t>
            </w: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1</w:t>
            </w:r>
          </w:p>
        </w:tc>
        <w:tc>
          <w:tcPr>
            <w:tcW w:w="6889" w:type="dxa"/>
            <w:vAlign w:val="center"/>
          </w:tcPr>
          <w:p>
            <w:pPr>
              <w:jc w:val="left"/>
              <w:rPr>
                <w:rFonts w:ascii="宋体" w:hAnsi="宋体" w:cs="宋体"/>
                <w:sz w:val="24"/>
                <w:szCs w:val="24"/>
              </w:rPr>
            </w:pPr>
            <w:r>
              <w:rPr>
                <w:rFonts w:hint="eastAsia" w:ascii="宋体" w:hAnsi="宋体" w:cs="宋体"/>
                <w:sz w:val="24"/>
                <w:szCs w:val="24"/>
              </w:rPr>
              <w:t>投标文件是否有投标单位法定代表人或其委托代理人（签字或签章）和加盖了投标单位的盖章，投标文件的装订是否符合招标文件要求；</w:t>
            </w:r>
          </w:p>
        </w:tc>
        <w:tc>
          <w:tcPr>
            <w:tcW w:w="799" w:type="dxa"/>
          </w:tcPr>
          <w:p>
            <w:pPr>
              <w:autoSpaceDE w:val="0"/>
              <w:autoSpaceDN w:val="0"/>
              <w:spacing w:line="340" w:lineRule="exact"/>
              <w:jc w:val="left"/>
              <w:rPr>
                <w:rFonts w:ascii="宋体" w:hAnsi="宋体" w:cs="宋体"/>
                <w:sz w:val="24"/>
                <w:szCs w:val="24"/>
                <w:highlight w:val="yellow"/>
              </w:rPr>
            </w:pPr>
          </w:p>
        </w:tc>
        <w:tc>
          <w:tcPr>
            <w:tcW w:w="955"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517" w:type="dxa"/>
            <w:vMerge w:val="continue"/>
            <w:vAlign w:val="center"/>
          </w:tcPr>
          <w:p>
            <w:pPr>
              <w:widowControl/>
              <w:spacing w:line="340" w:lineRule="exact"/>
              <w:jc w:val="left"/>
              <w:rPr>
                <w:rFonts w:ascii="宋体" w:hAnsi="宋体" w:cs="宋体"/>
                <w:sz w:val="24"/>
                <w:szCs w:val="24"/>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2</w:t>
            </w:r>
          </w:p>
        </w:tc>
        <w:tc>
          <w:tcPr>
            <w:tcW w:w="6889" w:type="dxa"/>
            <w:vAlign w:val="center"/>
          </w:tcPr>
          <w:p>
            <w:pPr>
              <w:jc w:val="left"/>
              <w:rPr>
                <w:rFonts w:ascii="宋体" w:hAnsi="宋体" w:cs="宋体"/>
                <w:sz w:val="24"/>
                <w:szCs w:val="24"/>
              </w:rPr>
            </w:pPr>
            <w:r>
              <w:rPr>
                <w:rFonts w:hint="eastAsia" w:ascii="宋体" w:hAnsi="宋体" w:cs="宋体"/>
                <w:sz w:val="24"/>
                <w:szCs w:val="24"/>
              </w:rPr>
              <w:t>投标人是否对同一招标项目做出两个以上报价而未明确效力；</w:t>
            </w:r>
          </w:p>
        </w:tc>
        <w:tc>
          <w:tcPr>
            <w:tcW w:w="799" w:type="dxa"/>
          </w:tcPr>
          <w:p>
            <w:pPr>
              <w:autoSpaceDE w:val="0"/>
              <w:autoSpaceDN w:val="0"/>
              <w:spacing w:line="340" w:lineRule="exact"/>
              <w:jc w:val="left"/>
              <w:rPr>
                <w:rFonts w:ascii="宋体" w:hAnsi="宋体" w:cs="宋体"/>
                <w:sz w:val="24"/>
                <w:szCs w:val="24"/>
                <w:highlight w:val="yellow"/>
              </w:rPr>
            </w:pPr>
          </w:p>
        </w:tc>
        <w:tc>
          <w:tcPr>
            <w:tcW w:w="955"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517" w:type="dxa"/>
            <w:vMerge w:val="continue"/>
            <w:vAlign w:val="center"/>
          </w:tcPr>
          <w:p>
            <w:pPr>
              <w:widowControl/>
              <w:spacing w:line="340" w:lineRule="exact"/>
              <w:jc w:val="left"/>
              <w:rPr>
                <w:rFonts w:ascii="宋体" w:hAnsi="宋体" w:cs="宋体"/>
                <w:sz w:val="24"/>
                <w:szCs w:val="24"/>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3</w:t>
            </w:r>
          </w:p>
        </w:tc>
        <w:tc>
          <w:tcPr>
            <w:tcW w:w="6889" w:type="dxa"/>
            <w:vAlign w:val="center"/>
          </w:tcPr>
          <w:p>
            <w:pPr>
              <w:jc w:val="left"/>
              <w:rPr>
                <w:rFonts w:ascii="宋体" w:hAnsi="宋体" w:cs="宋体"/>
                <w:sz w:val="24"/>
                <w:szCs w:val="24"/>
              </w:rPr>
            </w:pPr>
            <w:r>
              <w:rPr>
                <w:rFonts w:hint="eastAsia" w:ascii="宋体" w:hAnsi="宋体" w:cs="宋体"/>
                <w:sz w:val="24"/>
                <w:szCs w:val="24"/>
              </w:rPr>
              <w:t>服务期限是否符合招标文件要求；</w:t>
            </w:r>
          </w:p>
        </w:tc>
        <w:tc>
          <w:tcPr>
            <w:tcW w:w="799" w:type="dxa"/>
          </w:tcPr>
          <w:p>
            <w:pPr>
              <w:autoSpaceDE w:val="0"/>
              <w:autoSpaceDN w:val="0"/>
              <w:spacing w:line="340" w:lineRule="exact"/>
              <w:jc w:val="left"/>
              <w:rPr>
                <w:rFonts w:ascii="宋体" w:hAnsi="宋体" w:cs="宋体"/>
                <w:sz w:val="24"/>
                <w:szCs w:val="24"/>
                <w:highlight w:val="yellow"/>
              </w:rPr>
            </w:pPr>
          </w:p>
        </w:tc>
        <w:tc>
          <w:tcPr>
            <w:tcW w:w="955"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517" w:type="dxa"/>
            <w:vMerge w:val="continue"/>
            <w:vAlign w:val="center"/>
          </w:tcPr>
          <w:p>
            <w:pPr>
              <w:widowControl/>
              <w:spacing w:line="340" w:lineRule="exact"/>
              <w:jc w:val="left"/>
              <w:rPr>
                <w:rFonts w:ascii="宋体" w:hAnsi="宋体" w:cs="宋体"/>
                <w:sz w:val="24"/>
                <w:szCs w:val="24"/>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4</w:t>
            </w:r>
          </w:p>
        </w:tc>
        <w:tc>
          <w:tcPr>
            <w:tcW w:w="6889" w:type="dxa"/>
            <w:vAlign w:val="center"/>
          </w:tcPr>
          <w:p>
            <w:pPr>
              <w:jc w:val="left"/>
              <w:rPr>
                <w:rFonts w:ascii="宋体" w:hAnsi="宋体" w:cs="宋体"/>
                <w:sz w:val="24"/>
                <w:szCs w:val="24"/>
              </w:rPr>
            </w:pPr>
            <w:r>
              <w:rPr>
                <w:rFonts w:hint="eastAsia" w:ascii="宋体" w:hAnsi="宋体" w:cs="宋体"/>
                <w:sz w:val="24"/>
                <w:szCs w:val="24"/>
              </w:rPr>
              <w:t>投标人投标总价是否超出最高限价；</w:t>
            </w:r>
          </w:p>
        </w:tc>
        <w:tc>
          <w:tcPr>
            <w:tcW w:w="799" w:type="dxa"/>
          </w:tcPr>
          <w:p>
            <w:pPr>
              <w:autoSpaceDE w:val="0"/>
              <w:autoSpaceDN w:val="0"/>
              <w:spacing w:line="340" w:lineRule="exact"/>
              <w:jc w:val="left"/>
              <w:rPr>
                <w:rFonts w:ascii="宋体" w:hAnsi="宋体" w:cs="宋体"/>
                <w:sz w:val="24"/>
                <w:szCs w:val="24"/>
                <w:highlight w:val="yellow"/>
              </w:rPr>
            </w:pPr>
          </w:p>
        </w:tc>
        <w:tc>
          <w:tcPr>
            <w:tcW w:w="955"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517" w:type="dxa"/>
            <w:vMerge w:val="continue"/>
            <w:vAlign w:val="center"/>
          </w:tcPr>
          <w:p>
            <w:pPr>
              <w:widowControl/>
              <w:spacing w:line="340" w:lineRule="exact"/>
              <w:jc w:val="left"/>
              <w:rPr>
                <w:rFonts w:ascii="宋体" w:hAnsi="宋体" w:cs="宋体"/>
                <w:sz w:val="24"/>
                <w:szCs w:val="24"/>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5</w:t>
            </w:r>
          </w:p>
        </w:tc>
        <w:tc>
          <w:tcPr>
            <w:tcW w:w="6889" w:type="dxa"/>
            <w:vAlign w:val="center"/>
          </w:tcPr>
          <w:p>
            <w:pPr>
              <w:jc w:val="left"/>
              <w:rPr>
                <w:rFonts w:ascii="宋体" w:hAnsi="宋体" w:cs="宋体"/>
                <w:sz w:val="24"/>
                <w:szCs w:val="24"/>
              </w:rPr>
            </w:pPr>
            <w:r>
              <w:rPr>
                <w:rFonts w:hint="eastAsia" w:ascii="宋体" w:hAnsi="宋体" w:cs="宋体"/>
                <w:sz w:val="24"/>
                <w:szCs w:val="24"/>
              </w:rPr>
              <w:t>投标文件是否附有采购人不能接受的条件。</w:t>
            </w:r>
          </w:p>
        </w:tc>
        <w:tc>
          <w:tcPr>
            <w:tcW w:w="799" w:type="dxa"/>
          </w:tcPr>
          <w:p>
            <w:pPr>
              <w:autoSpaceDE w:val="0"/>
              <w:autoSpaceDN w:val="0"/>
              <w:spacing w:line="340" w:lineRule="exact"/>
              <w:jc w:val="left"/>
              <w:rPr>
                <w:rFonts w:ascii="宋体" w:hAnsi="宋体" w:cs="宋体"/>
                <w:sz w:val="24"/>
                <w:szCs w:val="24"/>
                <w:highlight w:val="yellow"/>
              </w:rPr>
            </w:pPr>
          </w:p>
        </w:tc>
        <w:tc>
          <w:tcPr>
            <w:tcW w:w="955"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9632" w:type="dxa"/>
            <w:gridSpan w:val="5"/>
            <w:vAlign w:val="center"/>
          </w:tcPr>
          <w:p>
            <w:pPr>
              <w:autoSpaceDE w:val="0"/>
              <w:autoSpaceDN w:val="0"/>
              <w:spacing w:line="240" w:lineRule="atLeast"/>
              <w:jc w:val="center"/>
              <w:rPr>
                <w:rFonts w:ascii="宋体" w:hAnsi="宋体" w:cs="宋体"/>
                <w:b/>
                <w:sz w:val="24"/>
                <w:szCs w:val="24"/>
                <w:highlight w:val="yellow"/>
              </w:rPr>
            </w:pPr>
            <w:r>
              <w:rPr>
                <w:rFonts w:hint="eastAsia" w:ascii="宋体" w:hAnsi="宋体" w:cs="宋体"/>
                <w:b/>
                <w:sz w:val="24"/>
                <w:szCs w:val="24"/>
              </w:rPr>
              <w:t>以上有一项未通过的投标人不得进入下阶段评审</w:t>
            </w:r>
          </w:p>
        </w:tc>
      </w:tr>
    </w:tbl>
    <w:p>
      <w:pPr>
        <w:pStyle w:val="3"/>
        <w:keepNext w:val="0"/>
        <w:keepLines w:val="0"/>
        <w:jc w:val="left"/>
        <w:rPr>
          <w:rFonts w:ascii="仿宋" w:hAnsi="仿宋" w:eastAsia="仿宋" w:cs="仿宋"/>
          <w:sz w:val="24"/>
          <w:szCs w:val="24"/>
        </w:rPr>
      </w:pPr>
      <w:r>
        <w:rPr>
          <w:rFonts w:hint="eastAsia" w:ascii="仿宋" w:hAnsi="仿宋" w:eastAsia="仿宋" w:cs="仿宋"/>
          <w:sz w:val="24"/>
          <w:szCs w:val="24"/>
        </w:rPr>
        <w:t>标项九：初步评审标准表</w:t>
      </w:r>
    </w:p>
    <w:tbl>
      <w:tblPr>
        <w:tblStyle w:val="29"/>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472"/>
        <w:gridCol w:w="6889"/>
        <w:gridCol w:w="799"/>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517" w:type="dxa"/>
            <w:vMerge w:val="restart"/>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项目</w:t>
            </w:r>
          </w:p>
        </w:tc>
        <w:tc>
          <w:tcPr>
            <w:tcW w:w="472" w:type="dxa"/>
            <w:vMerge w:val="restart"/>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序号</w:t>
            </w:r>
          </w:p>
        </w:tc>
        <w:tc>
          <w:tcPr>
            <w:tcW w:w="6889" w:type="dxa"/>
            <w:vMerge w:val="restart"/>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评审内容</w:t>
            </w:r>
          </w:p>
        </w:tc>
        <w:tc>
          <w:tcPr>
            <w:tcW w:w="1681" w:type="dxa"/>
            <w:gridSpan w:val="2"/>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517" w:type="dxa"/>
            <w:vMerge w:val="continue"/>
            <w:vAlign w:val="center"/>
          </w:tcPr>
          <w:p>
            <w:pPr>
              <w:autoSpaceDE w:val="0"/>
              <w:autoSpaceDN w:val="0"/>
              <w:spacing w:line="240" w:lineRule="exact"/>
              <w:jc w:val="center"/>
              <w:rPr>
                <w:rFonts w:ascii="宋体" w:hAnsi="宋体" w:cs="宋体"/>
                <w:sz w:val="24"/>
                <w:szCs w:val="24"/>
              </w:rPr>
            </w:pPr>
          </w:p>
        </w:tc>
        <w:tc>
          <w:tcPr>
            <w:tcW w:w="472" w:type="dxa"/>
            <w:vMerge w:val="continue"/>
            <w:vAlign w:val="center"/>
          </w:tcPr>
          <w:p>
            <w:pPr>
              <w:autoSpaceDE w:val="0"/>
              <w:autoSpaceDN w:val="0"/>
              <w:spacing w:line="240" w:lineRule="exact"/>
              <w:jc w:val="center"/>
              <w:rPr>
                <w:rFonts w:ascii="宋体" w:hAnsi="宋体" w:cs="宋体"/>
                <w:sz w:val="24"/>
                <w:szCs w:val="24"/>
              </w:rPr>
            </w:pPr>
          </w:p>
        </w:tc>
        <w:tc>
          <w:tcPr>
            <w:tcW w:w="6889" w:type="dxa"/>
            <w:vMerge w:val="continue"/>
            <w:vAlign w:val="center"/>
          </w:tcPr>
          <w:p>
            <w:pPr>
              <w:autoSpaceDE w:val="0"/>
              <w:autoSpaceDN w:val="0"/>
              <w:spacing w:line="240" w:lineRule="exact"/>
              <w:rPr>
                <w:rFonts w:ascii="宋体" w:hAnsi="宋体" w:cs="宋体"/>
                <w:sz w:val="24"/>
                <w:szCs w:val="24"/>
              </w:rPr>
            </w:pPr>
          </w:p>
        </w:tc>
        <w:tc>
          <w:tcPr>
            <w:tcW w:w="799" w:type="dxa"/>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通过</w:t>
            </w:r>
          </w:p>
        </w:tc>
        <w:tc>
          <w:tcPr>
            <w:tcW w:w="882" w:type="dxa"/>
            <w:vAlign w:val="center"/>
          </w:tcPr>
          <w:p>
            <w:pPr>
              <w:autoSpaceDE w:val="0"/>
              <w:autoSpaceDN w:val="0"/>
              <w:spacing w:line="240" w:lineRule="exact"/>
              <w:jc w:val="center"/>
              <w:rPr>
                <w:rFonts w:ascii="宋体" w:hAnsi="宋体" w:cs="宋体"/>
                <w:sz w:val="24"/>
                <w:szCs w:val="24"/>
                <w:highlight w:val="yellow"/>
              </w:rPr>
            </w:pPr>
            <w:r>
              <w:rPr>
                <w:rFonts w:hint="eastAsia" w:ascii="宋体" w:hAnsi="宋体" w:cs="宋体"/>
                <w:sz w:val="24"/>
                <w:szCs w:val="24"/>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517" w:type="dxa"/>
            <w:vMerge w:val="restart"/>
            <w:vAlign w:val="center"/>
          </w:tcPr>
          <w:p>
            <w:pPr>
              <w:autoSpaceDE w:val="0"/>
              <w:autoSpaceDN w:val="0"/>
              <w:spacing w:line="340" w:lineRule="exact"/>
              <w:jc w:val="center"/>
              <w:rPr>
                <w:rFonts w:ascii="宋体" w:hAnsi="宋体" w:cs="宋体"/>
                <w:sz w:val="24"/>
                <w:szCs w:val="24"/>
                <w:highlight w:val="yellow"/>
              </w:rPr>
            </w:pPr>
            <w:r>
              <w:rPr>
                <w:rFonts w:hint="eastAsia" w:ascii="宋体" w:hAnsi="宋体" w:cs="宋体"/>
                <w:sz w:val="24"/>
                <w:szCs w:val="24"/>
              </w:rPr>
              <w:t>资格审查</w:t>
            </w: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1</w:t>
            </w:r>
          </w:p>
        </w:tc>
        <w:tc>
          <w:tcPr>
            <w:tcW w:w="6889" w:type="dxa"/>
            <w:vAlign w:val="center"/>
          </w:tcPr>
          <w:p>
            <w:pPr>
              <w:jc w:val="left"/>
              <w:rPr>
                <w:rFonts w:ascii="宋体" w:hAnsi="宋体" w:cs="宋体"/>
                <w:sz w:val="24"/>
                <w:szCs w:val="24"/>
              </w:rPr>
            </w:pPr>
            <w:r>
              <w:rPr>
                <w:rFonts w:hint="eastAsia" w:ascii="宋体" w:hAnsi="宋体" w:cs="宋体"/>
                <w:sz w:val="24"/>
                <w:szCs w:val="24"/>
              </w:rPr>
              <w:t>具有有效的营业执照；</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2</w:t>
            </w:r>
          </w:p>
        </w:tc>
        <w:tc>
          <w:tcPr>
            <w:tcW w:w="6889" w:type="dxa"/>
            <w:vAlign w:val="center"/>
          </w:tcPr>
          <w:p>
            <w:pPr>
              <w:jc w:val="left"/>
              <w:rPr>
                <w:rFonts w:ascii="宋体" w:hAnsi="宋体" w:cs="宋体"/>
                <w:sz w:val="24"/>
                <w:szCs w:val="24"/>
              </w:rPr>
            </w:pPr>
            <w:r>
              <w:rPr>
                <w:rFonts w:hint="eastAsia" w:ascii="宋体" w:hAnsi="宋体" w:cs="宋体"/>
                <w:sz w:val="24"/>
                <w:szCs w:val="24"/>
              </w:rPr>
              <w:t>法定代表人授权委托书及被委托人身份证（法定代表人参加投标时提供本人身份证）；</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3</w:t>
            </w:r>
          </w:p>
        </w:tc>
        <w:tc>
          <w:tcPr>
            <w:tcW w:w="6889" w:type="dxa"/>
            <w:vAlign w:val="center"/>
          </w:tcPr>
          <w:p>
            <w:pPr>
              <w:jc w:val="left"/>
              <w:rPr>
                <w:rFonts w:ascii="宋体" w:hAnsi="宋体" w:cs="宋体"/>
                <w:sz w:val="24"/>
                <w:szCs w:val="24"/>
              </w:rPr>
            </w:pPr>
            <w:r>
              <w:rPr>
                <w:rFonts w:hint="eastAsia" w:ascii="宋体" w:hAnsi="宋体" w:cs="宋体"/>
                <w:sz w:val="24"/>
                <w:szCs w:val="24"/>
              </w:rPr>
              <w:t>供应商具有建筑机电安装工程专业承包叁级及以上资质，具有有效的安全生产许可证且配有相应的专业技术人员；</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4</w:t>
            </w:r>
          </w:p>
        </w:tc>
        <w:tc>
          <w:tcPr>
            <w:tcW w:w="6889" w:type="dxa"/>
            <w:vAlign w:val="center"/>
          </w:tcPr>
          <w:p>
            <w:pPr>
              <w:jc w:val="left"/>
              <w:rPr>
                <w:rFonts w:ascii="宋体" w:hAnsi="宋体" w:cs="宋体"/>
                <w:sz w:val="24"/>
                <w:szCs w:val="24"/>
              </w:rPr>
            </w:pPr>
            <w:r>
              <w:rPr>
                <w:rFonts w:hint="eastAsia" w:ascii="宋体" w:hAnsi="宋体" w:cs="宋体"/>
                <w:sz w:val="24"/>
                <w:szCs w:val="24"/>
              </w:rPr>
              <w:t>技术负责人需具备（机电工程）贰级注册建造师执业资格；</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spacing w:line="340" w:lineRule="exact"/>
              <w:jc w:val="center"/>
              <w:rPr>
                <w:rFonts w:ascii="宋体" w:hAnsi="宋体" w:cs="宋体"/>
                <w:sz w:val="24"/>
                <w:szCs w:val="24"/>
              </w:rPr>
            </w:pPr>
            <w:r>
              <w:rPr>
                <w:rFonts w:hint="eastAsia" w:ascii="宋体" w:hAnsi="宋体" w:cs="宋体"/>
                <w:sz w:val="24"/>
                <w:szCs w:val="24"/>
              </w:rPr>
              <w:t>5</w:t>
            </w:r>
          </w:p>
        </w:tc>
        <w:tc>
          <w:tcPr>
            <w:tcW w:w="6889" w:type="dxa"/>
            <w:vAlign w:val="center"/>
          </w:tcPr>
          <w:p>
            <w:pPr>
              <w:jc w:val="left"/>
              <w:rPr>
                <w:rFonts w:ascii="宋体" w:hAnsi="宋体" w:cs="宋体"/>
                <w:sz w:val="24"/>
                <w:szCs w:val="24"/>
              </w:rPr>
            </w:pPr>
            <w:r>
              <w:rPr>
                <w:rFonts w:hint="eastAsia" w:ascii="宋体" w:hAnsi="宋体" w:cs="宋体"/>
                <w:sz w:val="24"/>
                <w:szCs w:val="24"/>
              </w:rPr>
              <w:t>在“信用中国”网站（www.creditchina.gov.cn）、中国政府采购网（www.ccgp.gov.cn）未被列入失信被执行人、重大税收违法失信主体、政府采购严重违法失信行为记录名单查询结果截图（采购公告发布之日起至投标截止时间内从上述网站中打印并加盖企业公章）；</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spacing w:line="340" w:lineRule="exact"/>
              <w:jc w:val="center"/>
              <w:rPr>
                <w:rFonts w:ascii="宋体" w:hAnsi="宋体" w:cs="宋体"/>
                <w:sz w:val="24"/>
                <w:szCs w:val="24"/>
              </w:rPr>
            </w:pPr>
            <w:r>
              <w:rPr>
                <w:rFonts w:hint="eastAsia" w:ascii="宋体" w:hAnsi="宋体" w:cs="宋体"/>
                <w:sz w:val="24"/>
                <w:szCs w:val="24"/>
              </w:rPr>
              <w:t>6</w:t>
            </w:r>
          </w:p>
        </w:tc>
        <w:tc>
          <w:tcPr>
            <w:tcW w:w="6889" w:type="dxa"/>
            <w:vAlign w:val="center"/>
          </w:tcPr>
          <w:p>
            <w:pPr>
              <w:jc w:val="left"/>
              <w:rPr>
                <w:rFonts w:ascii="宋体" w:hAnsi="宋体" w:cs="宋体"/>
                <w:sz w:val="24"/>
                <w:szCs w:val="24"/>
              </w:rPr>
            </w:pPr>
            <w:r>
              <w:rPr>
                <w:rFonts w:hint="eastAsia" w:ascii="宋体" w:hAnsi="宋体" w:cs="宋体"/>
                <w:sz w:val="24"/>
                <w:szCs w:val="24"/>
              </w:rPr>
              <w:t>请根据“落实政府采购政策需满足的资格要求”，上传对应的资格文件，格式以采购文件要求为准</w:t>
            </w:r>
            <w:r>
              <w:rPr>
                <w:rFonts w:hint="eastAsia" w:ascii="宋体" w:hAnsi="宋体" w:cs="宋体"/>
                <w:color w:val="000000"/>
                <w:sz w:val="24"/>
                <w:szCs w:val="24"/>
              </w:rPr>
              <w:t>（中小企业声明函）</w:t>
            </w:r>
            <w:r>
              <w:rPr>
                <w:rFonts w:hint="eastAsia" w:ascii="宋体" w:hAnsi="宋体" w:cs="宋体"/>
                <w:sz w:val="24"/>
                <w:szCs w:val="24"/>
              </w:rPr>
              <w:t>；</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spacing w:line="340" w:lineRule="exact"/>
              <w:jc w:val="center"/>
              <w:rPr>
                <w:rFonts w:ascii="宋体" w:hAnsi="宋体" w:cs="宋体"/>
                <w:sz w:val="24"/>
                <w:szCs w:val="24"/>
              </w:rPr>
            </w:pPr>
            <w:r>
              <w:rPr>
                <w:rFonts w:hint="eastAsia" w:ascii="宋体" w:hAnsi="宋体" w:cs="宋体"/>
                <w:sz w:val="24"/>
                <w:szCs w:val="24"/>
              </w:rPr>
              <w:t>7</w:t>
            </w:r>
          </w:p>
        </w:tc>
        <w:tc>
          <w:tcPr>
            <w:tcW w:w="6889" w:type="dxa"/>
            <w:vAlign w:val="center"/>
          </w:tcPr>
          <w:p>
            <w:pPr>
              <w:jc w:val="left"/>
              <w:rPr>
                <w:rFonts w:ascii="宋体" w:hAnsi="宋体" w:cs="宋体"/>
                <w:sz w:val="24"/>
                <w:szCs w:val="24"/>
              </w:rPr>
            </w:pPr>
            <w:r>
              <w:rPr>
                <w:rFonts w:hint="eastAsia" w:ascii="宋体" w:hAnsi="宋体" w:cs="宋体"/>
                <w:color w:val="000000"/>
                <w:sz w:val="24"/>
                <w:szCs w:val="24"/>
              </w:rPr>
              <w:t>保证金缴纳凭证或投标保函。</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517" w:type="dxa"/>
            <w:vMerge w:val="restart"/>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响应</w:t>
            </w:r>
          </w:p>
          <w:p>
            <w:pPr>
              <w:autoSpaceDE w:val="0"/>
              <w:autoSpaceDN w:val="0"/>
              <w:spacing w:line="340" w:lineRule="exact"/>
              <w:jc w:val="center"/>
              <w:rPr>
                <w:rFonts w:ascii="宋体" w:hAnsi="宋体" w:cs="宋体"/>
                <w:sz w:val="24"/>
                <w:szCs w:val="24"/>
                <w:highlight w:val="yellow"/>
              </w:rPr>
            </w:pPr>
            <w:r>
              <w:rPr>
                <w:rFonts w:hint="eastAsia" w:ascii="宋体" w:hAnsi="宋体" w:cs="宋体"/>
                <w:sz w:val="24"/>
                <w:szCs w:val="24"/>
              </w:rPr>
              <w:t>评审</w:t>
            </w: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1</w:t>
            </w:r>
          </w:p>
        </w:tc>
        <w:tc>
          <w:tcPr>
            <w:tcW w:w="6889" w:type="dxa"/>
            <w:vAlign w:val="center"/>
          </w:tcPr>
          <w:p>
            <w:pPr>
              <w:jc w:val="left"/>
              <w:rPr>
                <w:rFonts w:ascii="宋体" w:hAnsi="宋体" w:cs="宋体"/>
                <w:sz w:val="24"/>
                <w:szCs w:val="24"/>
              </w:rPr>
            </w:pPr>
            <w:r>
              <w:rPr>
                <w:rFonts w:hint="eastAsia" w:ascii="宋体" w:hAnsi="宋体" w:cs="宋体"/>
                <w:sz w:val="24"/>
                <w:szCs w:val="24"/>
              </w:rPr>
              <w:t>投标文件是否有投标单位法定代表人或其委托代理人（签字或签章）和加盖了投标单位的盖章，投标文件的装订是否符合招标文件要求；</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517" w:type="dxa"/>
            <w:vMerge w:val="continue"/>
            <w:vAlign w:val="center"/>
          </w:tcPr>
          <w:p>
            <w:pPr>
              <w:widowControl/>
              <w:spacing w:line="340" w:lineRule="exact"/>
              <w:jc w:val="left"/>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2</w:t>
            </w:r>
          </w:p>
        </w:tc>
        <w:tc>
          <w:tcPr>
            <w:tcW w:w="6889" w:type="dxa"/>
            <w:vAlign w:val="center"/>
          </w:tcPr>
          <w:p>
            <w:pPr>
              <w:jc w:val="left"/>
              <w:rPr>
                <w:rFonts w:ascii="宋体" w:hAnsi="宋体" w:cs="宋体"/>
                <w:sz w:val="24"/>
                <w:szCs w:val="24"/>
              </w:rPr>
            </w:pPr>
            <w:r>
              <w:rPr>
                <w:rFonts w:hint="eastAsia" w:ascii="宋体" w:hAnsi="宋体" w:cs="宋体"/>
                <w:sz w:val="24"/>
                <w:szCs w:val="24"/>
              </w:rPr>
              <w:t>投标人是否对同一招标项目做出两个以上报价而未明确效力；</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517" w:type="dxa"/>
            <w:vMerge w:val="continue"/>
            <w:vAlign w:val="center"/>
          </w:tcPr>
          <w:p>
            <w:pPr>
              <w:widowControl/>
              <w:spacing w:line="340" w:lineRule="exact"/>
              <w:jc w:val="left"/>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3</w:t>
            </w:r>
          </w:p>
        </w:tc>
        <w:tc>
          <w:tcPr>
            <w:tcW w:w="6889" w:type="dxa"/>
            <w:vAlign w:val="center"/>
          </w:tcPr>
          <w:p>
            <w:pPr>
              <w:jc w:val="left"/>
              <w:rPr>
                <w:rFonts w:ascii="宋体" w:hAnsi="宋体" w:cs="宋体"/>
                <w:sz w:val="24"/>
                <w:szCs w:val="24"/>
              </w:rPr>
            </w:pPr>
            <w:r>
              <w:rPr>
                <w:rFonts w:hint="eastAsia" w:ascii="宋体" w:hAnsi="宋体" w:cs="宋体"/>
                <w:sz w:val="24"/>
                <w:szCs w:val="24"/>
              </w:rPr>
              <w:t>服务期限是否符合招标文件要求；</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517" w:type="dxa"/>
            <w:vMerge w:val="continue"/>
            <w:vAlign w:val="center"/>
          </w:tcPr>
          <w:p>
            <w:pPr>
              <w:widowControl/>
              <w:spacing w:line="340" w:lineRule="exact"/>
              <w:jc w:val="left"/>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4</w:t>
            </w:r>
          </w:p>
        </w:tc>
        <w:tc>
          <w:tcPr>
            <w:tcW w:w="6889" w:type="dxa"/>
            <w:vAlign w:val="center"/>
          </w:tcPr>
          <w:p>
            <w:pPr>
              <w:jc w:val="left"/>
              <w:rPr>
                <w:rFonts w:ascii="宋体" w:hAnsi="宋体" w:cs="宋体"/>
                <w:sz w:val="24"/>
                <w:szCs w:val="24"/>
              </w:rPr>
            </w:pPr>
            <w:r>
              <w:rPr>
                <w:rFonts w:hint="eastAsia" w:ascii="宋体" w:hAnsi="宋体" w:cs="宋体"/>
                <w:sz w:val="24"/>
                <w:szCs w:val="24"/>
              </w:rPr>
              <w:t>投标人投标总价是否超出最高限价；</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517" w:type="dxa"/>
            <w:vMerge w:val="continue"/>
            <w:vAlign w:val="center"/>
          </w:tcPr>
          <w:p>
            <w:pPr>
              <w:widowControl/>
              <w:spacing w:line="340" w:lineRule="exact"/>
              <w:jc w:val="left"/>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5</w:t>
            </w:r>
          </w:p>
        </w:tc>
        <w:tc>
          <w:tcPr>
            <w:tcW w:w="6889" w:type="dxa"/>
            <w:vAlign w:val="center"/>
          </w:tcPr>
          <w:p>
            <w:pPr>
              <w:jc w:val="left"/>
              <w:rPr>
                <w:rFonts w:ascii="宋体" w:hAnsi="宋体" w:cs="宋体"/>
                <w:sz w:val="24"/>
                <w:szCs w:val="24"/>
              </w:rPr>
            </w:pPr>
            <w:r>
              <w:rPr>
                <w:rFonts w:hint="eastAsia" w:ascii="宋体" w:hAnsi="宋体" w:cs="宋体"/>
                <w:sz w:val="24"/>
                <w:szCs w:val="24"/>
              </w:rPr>
              <w:t>投标文件是否附有采购人不能接受的条件。</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9559" w:type="dxa"/>
            <w:gridSpan w:val="5"/>
            <w:vAlign w:val="center"/>
          </w:tcPr>
          <w:p>
            <w:pPr>
              <w:autoSpaceDE w:val="0"/>
              <w:autoSpaceDN w:val="0"/>
              <w:spacing w:line="240" w:lineRule="atLeast"/>
              <w:jc w:val="center"/>
              <w:rPr>
                <w:rFonts w:ascii="宋体" w:hAnsi="宋体" w:cs="宋体"/>
                <w:b/>
                <w:sz w:val="24"/>
                <w:szCs w:val="24"/>
                <w:highlight w:val="yellow"/>
              </w:rPr>
            </w:pPr>
            <w:r>
              <w:rPr>
                <w:rFonts w:hint="eastAsia" w:ascii="宋体" w:hAnsi="宋体" w:cs="宋体"/>
                <w:b/>
                <w:sz w:val="24"/>
                <w:szCs w:val="24"/>
              </w:rPr>
              <w:t>以上有一项未通过的投标人不得进入下阶段评审</w:t>
            </w:r>
          </w:p>
        </w:tc>
      </w:tr>
    </w:tbl>
    <w:p>
      <w:pPr>
        <w:pStyle w:val="20"/>
        <w:rPr>
          <w:rFonts w:ascii="仿宋" w:hAnsi="仿宋" w:eastAsia="仿宋" w:cs="仿宋"/>
          <w:b/>
          <w:bCs/>
          <w:sz w:val="24"/>
          <w:szCs w:val="24"/>
          <w:highlight w:val="yellow"/>
        </w:rPr>
      </w:pP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182" w:name="_Toc27135"/>
      <w:bookmarkStart w:id="183" w:name="_Toc55778709"/>
      <w:bookmarkStart w:id="184" w:name="_Toc23646"/>
      <w:bookmarkStart w:id="185" w:name="_Toc24582"/>
      <w:bookmarkStart w:id="186" w:name="_Toc27075"/>
      <w:r>
        <w:rPr>
          <w:rFonts w:hint="eastAsia" w:ascii="仿宋" w:hAnsi="仿宋" w:eastAsia="仿宋" w:cs="仿宋"/>
          <w:b/>
          <w:bCs/>
          <w:kern w:val="44"/>
          <w:sz w:val="24"/>
          <w:szCs w:val="24"/>
        </w:rPr>
        <w:t>详细评审</w:t>
      </w:r>
      <w:bookmarkEnd w:id="182"/>
      <w:bookmarkEnd w:id="183"/>
      <w:bookmarkEnd w:id="184"/>
      <w:bookmarkEnd w:id="185"/>
      <w:bookmarkEnd w:id="186"/>
    </w:p>
    <w:p>
      <w:pPr>
        <w:numPr>
          <w:ilvl w:val="1"/>
          <w:numId w:val="32"/>
        </w:numPr>
        <w:spacing w:line="360" w:lineRule="auto"/>
        <w:rPr>
          <w:rFonts w:ascii="仿宋" w:hAnsi="仿宋" w:eastAsia="仿宋" w:cs="仿宋"/>
          <w:sz w:val="24"/>
          <w:szCs w:val="24"/>
        </w:rPr>
      </w:pPr>
      <w:r>
        <w:rPr>
          <w:rFonts w:hint="eastAsia" w:ascii="仿宋" w:hAnsi="仿宋" w:eastAsia="仿宋" w:cs="仿宋"/>
          <w:sz w:val="24"/>
          <w:szCs w:val="24"/>
        </w:rPr>
        <w:t>经符合性审查合格的投标文件，评标委员会将根据招标文件确定的评标方法和标准，对其技术部分和商务部分作进一步的比较和评价。</w:t>
      </w:r>
    </w:p>
    <w:p>
      <w:pPr>
        <w:numPr>
          <w:ilvl w:val="1"/>
          <w:numId w:val="32"/>
        </w:numPr>
        <w:spacing w:line="360" w:lineRule="auto"/>
        <w:rPr>
          <w:rFonts w:ascii="仿宋" w:hAnsi="仿宋" w:eastAsia="仿宋" w:cs="仿宋"/>
          <w:sz w:val="24"/>
          <w:szCs w:val="24"/>
        </w:rPr>
      </w:pPr>
      <w:r>
        <w:rPr>
          <w:rFonts w:hint="eastAsia" w:ascii="仿宋" w:hAnsi="仿宋" w:eastAsia="仿宋" w:cs="仿宋"/>
          <w:sz w:val="24"/>
          <w:szCs w:val="24"/>
        </w:rPr>
        <w:t>综合评分法，是指投标文件满足招标文件全部实质性要求，且按照评审因素的量化指标评审得分最高的投标人为中标候选人的评标方法，评标严格按照招标文件的要求和条件进行，详细评标标准见《评分细则》。</w:t>
      </w:r>
    </w:p>
    <w:p>
      <w:pPr>
        <w:pStyle w:val="3"/>
        <w:spacing w:line="240" w:lineRule="auto"/>
        <w:jc w:val="left"/>
        <w:rPr>
          <w:rStyle w:val="64"/>
          <w:rFonts w:ascii="仿宋" w:hAnsi="仿宋" w:eastAsia="仿宋" w:cs="仿宋"/>
          <w:bCs w:val="0"/>
          <w:sz w:val="24"/>
          <w:szCs w:val="24"/>
        </w:rPr>
      </w:pPr>
      <w:r>
        <w:rPr>
          <w:rFonts w:hint="eastAsia" w:ascii="仿宋" w:hAnsi="仿宋" w:eastAsia="仿宋" w:cs="仿宋"/>
          <w:sz w:val="24"/>
          <w:szCs w:val="24"/>
        </w:rPr>
        <w:t>标项一：</w:t>
      </w:r>
      <w:bookmarkStart w:id="187" w:name="_Toc12444"/>
      <w:r>
        <w:rPr>
          <w:rStyle w:val="64"/>
          <w:rFonts w:hint="eastAsia" w:ascii="仿宋" w:hAnsi="仿宋" w:eastAsia="仿宋" w:cs="仿宋"/>
          <w:bCs w:val="0"/>
          <w:sz w:val="24"/>
          <w:szCs w:val="24"/>
        </w:rPr>
        <w:t>评 分 细 则</w:t>
      </w:r>
      <w:bookmarkEnd w:id="187"/>
    </w:p>
    <w:tbl>
      <w:tblPr>
        <w:tblStyle w:val="29"/>
        <w:tblW w:w="5087" w:type="pct"/>
        <w:tblInd w:w="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1108"/>
        <w:gridCol w:w="6172"/>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2" w:hRule="atLeast"/>
        </w:trPr>
        <w:tc>
          <w:tcPr>
            <w:tcW w:w="558" w:type="pct"/>
            <w:vAlign w:val="center"/>
          </w:tcPr>
          <w:p>
            <w:pPr>
              <w:spacing w:before="50" w:after="50"/>
              <w:jc w:val="center"/>
              <w:rPr>
                <w:rFonts w:ascii="宋体" w:hAnsi="宋体" w:cs="宋体"/>
                <w:b/>
                <w:sz w:val="24"/>
                <w:szCs w:val="24"/>
              </w:rPr>
            </w:pPr>
            <w:r>
              <w:rPr>
                <w:rFonts w:hint="eastAsia" w:ascii="宋体" w:hAnsi="宋体" w:cs="宋体"/>
                <w:b/>
                <w:sz w:val="24"/>
                <w:szCs w:val="24"/>
              </w:rPr>
              <w:t>评标</w:t>
            </w:r>
          </w:p>
          <w:p>
            <w:pPr>
              <w:spacing w:before="50" w:after="50"/>
              <w:jc w:val="center"/>
              <w:rPr>
                <w:rFonts w:ascii="宋体" w:hAnsi="宋体" w:cs="宋体"/>
                <w:b/>
                <w:sz w:val="24"/>
                <w:szCs w:val="24"/>
              </w:rPr>
            </w:pPr>
            <w:r>
              <w:rPr>
                <w:rFonts w:hint="eastAsia" w:ascii="宋体" w:hAnsi="宋体" w:cs="宋体"/>
                <w:b/>
                <w:sz w:val="24"/>
                <w:szCs w:val="24"/>
              </w:rPr>
              <w:t>指标</w:t>
            </w:r>
          </w:p>
        </w:tc>
        <w:tc>
          <w:tcPr>
            <w:tcW w:w="3851" w:type="pct"/>
            <w:gridSpan w:val="2"/>
            <w:tcBorders>
              <w:right w:val="single" w:color="auto" w:sz="4" w:space="0"/>
            </w:tcBorders>
            <w:vAlign w:val="center"/>
          </w:tcPr>
          <w:p>
            <w:pPr>
              <w:spacing w:before="50" w:after="50"/>
              <w:jc w:val="center"/>
              <w:rPr>
                <w:rFonts w:ascii="宋体" w:hAnsi="宋体" w:cs="宋体"/>
                <w:b/>
                <w:sz w:val="24"/>
                <w:szCs w:val="24"/>
              </w:rPr>
            </w:pPr>
            <w:r>
              <w:rPr>
                <w:rFonts w:hint="eastAsia" w:ascii="宋体" w:hAnsi="宋体" w:cs="宋体"/>
                <w:b/>
                <w:sz w:val="24"/>
                <w:szCs w:val="24"/>
              </w:rPr>
              <w:t>评议内容</w:t>
            </w:r>
          </w:p>
        </w:tc>
        <w:tc>
          <w:tcPr>
            <w:tcW w:w="589" w:type="pct"/>
            <w:tcBorders>
              <w:right w:val="single" w:color="auto" w:sz="4" w:space="0"/>
            </w:tcBorders>
            <w:vAlign w:val="center"/>
          </w:tcPr>
          <w:p>
            <w:pPr>
              <w:spacing w:before="50" w:after="50"/>
              <w:jc w:val="center"/>
              <w:rPr>
                <w:rFonts w:ascii="宋体" w:hAnsi="宋体" w:cs="宋体"/>
                <w:b/>
                <w:sz w:val="24"/>
                <w:szCs w:val="24"/>
              </w:rPr>
            </w:pPr>
            <w:r>
              <w:rPr>
                <w:rFonts w:hint="eastAsia" w:ascii="宋体" w:hAnsi="宋体" w:cs="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9" w:hRule="atLeast"/>
        </w:trPr>
        <w:tc>
          <w:tcPr>
            <w:tcW w:w="558" w:type="pct"/>
            <w:vAlign w:val="center"/>
          </w:tcPr>
          <w:p>
            <w:pPr>
              <w:jc w:val="center"/>
              <w:rPr>
                <w:rFonts w:ascii="宋体" w:hAnsi="宋体" w:cs="宋体"/>
                <w:b/>
                <w:sz w:val="24"/>
                <w:szCs w:val="24"/>
              </w:rPr>
            </w:pPr>
            <w:r>
              <w:rPr>
                <w:rFonts w:hint="eastAsia" w:ascii="宋体" w:hAnsi="宋体" w:cs="宋体"/>
                <w:b/>
                <w:sz w:val="24"/>
                <w:szCs w:val="24"/>
              </w:rPr>
              <w:t>报价得分（10分）</w:t>
            </w:r>
          </w:p>
        </w:tc>
        <w:tc>
          <w:tcPr>
            <w:tcW w:w="3851" w:type="pct"/>
            <w:gridSpan w:val="2"/>
            <w:tcBorders>
              <w:right w:val="single" w:color="auto" w:sz="4" w:space="0"/>
            </w:tcBorders>
            <w:vAlign w:val="center"/>
          </w:tcPr>
          <w:p>
            <w:pPr>
              <w:spacing w:before="50" w:after="50"/>
              <w:jc w:val="left"/>
              <w:rPr>
                <w:rFonts w:ascii="宋体" w:hAnsi="宋体" w:cs="宋体"/>
                <w:sz w:val="24"/>
                <w:szCs w:val="24"/>
              </w:rPr>
            </w:pPr>
            <w:r>
              <w:rPr>
                <w:rFonts w:hint="eastAsia" w:ascii="宋体" w:hAnsi="宋体" w:cs="宋体"/>
                <w:sz w:val="24"/>
                <w:szCs w:val="24"/>
              </w:rPr>
              <w:t>价格分应当采用低价优先法计算，即满足招标文件要求且最终投标价格最低的有效投标报价为评标基准价，其价格分为满分。其他投标人的价格分统一按照下列公式计算：</w:t>
            </w:r>
          </w:p>
          <w:p>
            <w:pPr>
              <w:spacing w:line="290" w:lineRule="exact"/>
              <w:jc w:val="left"/>
              <w:rPr>
                <w:rFonts w:ascii="宋体" w:hAnsi="宋体" w:cs="宋体"/>
                <w:sz w:val="24"/>
                <w:szCs w:val="24"/>
              </w:rPr>
            </w:pPr>
            <w:r>
              <w:rPr>
                <w:rFonts w:hint="eastAsia" w:ascii="宋体" w:hAnsi="宋体" w:cs="宋体"/>
                <w:sz w:val="24"/>
                <w:szCs w:val="24"/>
              </w:rPr>
              <w:t>投标报价得分=(评标基准价/投标报价)×100*10%</w:t>
            </w:r>
          </w:p>
          <w:p>
            <w:pPr>
              <w:spacing w:before="50" w:after="50"/>
              <w:jc w:val="left"/>
              <w:rPr>
                <w:rFonts w:ascii="宋体" w:hAnsi="宋体" w:cs="宋体"/>
                <w:sz w:val="24"/>
                <w:szCs w:val="24"/>
              </w:rPr>
            </w:pPr>
            <w:r>
              <w:rPr>
                <w:rFonts w:hint="eastAsia" w:ascii="宋体" w:hAnsi="宋体" w:cs="宋体"/>
                <w:b/>
                <w:sz w:val="24"/>
                <w:szCs w:val="24"/>
              </w:rPr>
              <w:t>根据新财购 〔2022〕22号文，对小型和微型企业的产品价格给予10%的扣除，用扣除后的价格参与评审。（投标人为中小企业的，需提供《中小企业声明函》等证明文件）。</w:t>
            </w:r>
          </w:p>
        </w:tc>
        <w:tc>
          <w:tcPr>
            <w:tcW w:w="589" w:type="pct"/>
            <w:tcBorders>
              <w:right w:val="single" w:color="auto" w:sz="4" w:space="0"/>
            </w:tcBorders>
            <w:vAlign w:val="center"/>
          </w:tcPr>
          <w:p>
            <w:pPr>
              <w:spacing w:before="50" w:after="50"/>
              <w:jc w:val="center"/>
              <w:rPr>
                <w:rFonts w:ascii="宋体" w:hAnsi="宋体" w:cs="宋体"/>
                <w:sz w:val="24"/>
                <w:szCs w:val="24"/>
              </w:rPr>
            </w:pPr>
            <w:r>
              <w:rPr>
                <w:rFonts w:hint="eastAsia" w:ascii="宋体" w:hAnsi="宋体" w:cs="宋体"/>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558" w:type="pct"/>
            <w:vMerge w:val="restart"/>
            <w:vAlign w:val="center"/>
          </w:tcPr>
          <w:p>
            <w:pPr>
              <w:jc w:val="center"/>
              <w:rPr>
                <w:rFonts w:ascii="宋体" w:hAnsi="宋体" w:cs="宋体"/>
                <w:b/>
                <w:sz w:val="24"/>
                <w:szCs w:val="24"/>
              </w:rPr>
            </w:pPr>
            <w:r>
              <w:rPr>
                <w:rFonts w:hint="eastAsia" w:ascii="宋体" w:hAnsi="宋体" w:cs="宋体"/>
                <w:b/>
                <w:sz w:val="24"/>
                <w:szCs w:val="24"/>
              </w:rPr>
              <w:t>商</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务</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技</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术</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评</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审</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（90分）</w:t>
            </w:r>
          </w:p>
        </w:tc>
        <w:tc>
          <w:tcPr>
            <w:tcW w:w="586" w:type="pct"/>
            <w:vMerge w:val="restart"/>
            <w:vAlign w:val="center"/>
          </w:tcPr>
          <w:p>
            <w:pPr>
              <w:spacing w:before="50" w:after="50"/>
              <w:jc w:val="center"/>
              <w:rPr>
                <w:rFonts w:ascii="宋体" w:hAnsi="宋体" w:cs="宋体"/>
                <w:sz w:val="24"/>
                <w:szCs w:val="24"/>
              </w:rPr>
            </w:pPr>
            <w:r>
              <w:rPr>
                <w:rFonts w:hint="eastAsia" w:ascii="宋体" w:hAnsi="宋体" w:cs="宋体"/>
                <w:sz w:val="24"/>
                <w:szCs w:val="24"/>
              </w:rPr>
              <w:t>商务部分（20分）</w:t>
            </w:r>
          </w:p>
        </w:tc>
        <w:tc>
          <w:tcPr>
            <w:tcW w:w="3264" w:type="pct"/>
          </w:tcPr>
          <w:p>
            <w:pPr>
              <w:spacing w:before="50" w:after="50"/>
              <w:jc w:val="left"/>
              <w:rPr>
                <w:rFonts w:ascii="宋体" w:hAnsi="宋体" w:cs="宋体"/>
                <w:sz w:val="24"/>
                <w:szCs w:val="24"/>
              </w:rPr>
            </w:pPr>
            <w:r>
              <w:rPr>
                <w:rFonts w:hint="eastAsia" w:ascii="宋体" w:hAnsi="宋体" w:cs="宋体"/>
                <w:sz w:val="24"/>
                <w:szCs w:val="24"/>
              </w:rPr>
              <w:t>供应商自2020年至今已完成的类似项目业绩。每提供一项得2分， 最高得10分。需提供中标通知书或合同原件扫描件。</w:t>
            </w:r>
          </w:p>
        </w:tc>
        <w:tc>
          <w:tcPr>
            <w:tcW w:w="589" w:type="pct"/>
            <w:tcBorders>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4" w:hRule="atLeast"/>
        </w:trPr>
        <w:tc>
          <w:tcPr>
            <w:tcW w:w="558" w:type="pct"/>
            <w:vMerge w:val="continue"/>
            <w:vAlign w:val="center"/>
          </w:tcPr>
          <w:p>
            <w:pPr>
              <w:jc w:val="left"/>
              <w:rPr>
                <w:rFonts w:ascii="宋体" w:hAnsi="宋体" w:cs="宋体"/>
                <w:b/>
                <w:sz w:val="24"/>
                <w:szCs w:val="24"/>
                <w:highlight w:val="yellow"/>
              </w:rPr>
            </w:pPr>
          </w:p>
        </w:tc>
        <w:tc>
          <w:tcPr>
            <w:tcW w:w="586" w:type="pct"/>
            <w:vMerge w:val="continue"/>
            <w:vAlign w:val="center"/>
          </w:tcPr>
          <w:p>
            <w:pPr>
              <w:jc w:val="center"/>
              <w:rPr>
                <w:rFonts w:ascii="宋体" w:hAnsi="宋体" w:cs="宋体"/>
                <w:sz w:val="24"/>
                <w:szCs w:val="24"/>
                <w:highlight w:val="yellow"/>
              </w:rPr>
            </w:pPr>
          </w:p>
        </w:tc>
        <w:tc>
          <w:tcPr>
            <w:tcW w:w="3264" w:type="pct"/>
            <w:vAlign w:val="center"/>
          </w:tcPr>
          <w:p>
            <w:pPr>
              <w:pStyle w:val="10"/>
              <w:rPr>
                <w:rFonts w:ascii="宋体" w:hAnsi="宋体" w:cs="宋体"/>
                <w:sz w:val="24"/>
              </w:rPr>
            </w:pPr>
            <w:r>
              <w:rPr>
                <w:rFonts w:hint="eastAsia" w:ascii="宋体" w:hAnsi="宋体" w:cs="宋体"/>
                <w:sz w:val="24"/>
              </w:rPr>
              <w:t>拟投入本项目负责人须具有中专或高中以上学历、同时具备特种设备从业人员证，需提供项目负责人学历证书、特种设备从业人员证及近三个月投标人为其缴纳的社保证明。未提供，此项不得分。</w:t>
            </w:r>
          </w:p>
        </w:tc>
        <w:tc>
          <w:tcPr>
            <w:tcW w:w="589" w:type="pct"/>
            <w:tcBorders>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9" w:hRule="atLeast"/>
        </w:trPr>
        <w:tc>
          <w:tcPr>
            <w:tcW w:w="558" w:type="pct"/>
            <w:vMerge w:val="continue"/>
            <w:vAlign w:val="center"/>
          </w:tcPr>
          <w:p>
            <w:pPr>
              <w:jc w:val="left"/>
              <w:rPr>
                <w:rFonts w:ascii="宋体" w:hAnsi="宋体" w:cs="宋体"/>
                <w:b/>
                <w:sz w:val="24"/>
                <w:szCs w:val="24"/>
                <w:highlight w:val="yellow"/>
              </w:rPr>
            </w:pPr>
          </w:p>
        </w:tc>
        <w:tc>
          <w:tcPr>
            <w:tcW w:w="586" w:type="pct"/>
            <w:vMerge w:val="continue"/>
            <w:vAlign w:val="center"/>
          </w:tcPr>
          <w:p>
            <w:pPr>
              <w:jc w:val="center"/>
              <w:rPr>
                <w:rFonts w:ascii="宋体" w:hAnsi="宋体" w:cs="宋体"/>
                <w:sz w:val="24"/>
                <w:szCs w:val="24"/>
                <w:highlight w:val="yellow"/>
              </w:rPr>
            </w:pPr>
          </w:p>
        </w:tc>
        <w:tc>
          <w:tcPr>
            <w:tcW w:w="3264" w:type="pct"/>
            <w:vAlign w:val="center"/>
          </w:tcPr>
          <w:p>
            <w:pPr>
              <w:spacing w:before="50" w:after="50"/>
              <w:jc w:val="left"/>
              <w:rPr>
                <w:rFonts w:ascii="宋体" w:hAnsi="宋体" w:cs="宋体"/>
                <w:color w:val="FF0000"/>
                <w:sz w:val="24"/>
                <w:szCs w:val="24"/>
              </w:rPr>
            </w:pPr>
            <w:r>
              <w:rPr>
                <w:rFonts w:hint="eastAsia" w:ascii="宋体" w:hAnsi="宋体" w:cs="宋体"/>
                <w:sz w:val="24"/>
                <w:szCs w:val="24"/>
              </w:rPr>
              <w:t>配备的维保人员的数量、技术能力、学历水平、从业经验等因素进行综合评定，团队实力强，学历水平高，从业经验丰富得 5 分，团队实力强，学历水平高，从业经验良好得4分，团队实力一般，学历水平一般，从业经验一般得3分，团队实力一般，学历水平低得2分。</w:t>
            </w:r>
            <w:r>
              <w:rPr>
                <w:rFonts w:hint="eastAsia" w:ascii="宋体" w:hAnsi="宋体" w:cs="宋体"/>
                <w:color w:val="000000" w:themeColor="text1"/>
                <w:sz w:val="24"/>
                <w:szCs w:val="24"/>
                <w14:textFill>
                  <w14:solidFill>
                    <w14:schemeClr w14:val="tx1"/>
                  </w14:solidFill>
                </w14:textFill>
              </w:rPr>
              <w:t>（提供相关工作经历证明、相关学历证书等证明材料）</w:t>
            </w:r>
            <w:r>
              <w:rPr>
                <w:rFonts w:hint="eastAsia" w:ascii="宋体" w:hAnsi="宋体" w:cs="宋体"/>
                <w:sz w:val="24"/>
                <w:szCs w:val="24"/>
              </w:rPr>
              <w:t>未提供不得分。</w:t>
            </w:r>
          </w:p>
        </w:tc>
        <w:tc>
          <w:tcPr>
            <w:tcW w:w="589" w:type="pct"/>
            <w:tcBorders>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558" w:type="pct"/>
            <w:vMerge w:val="continue"/>
            <w:vAlign w:val="center"/>
          </w:tcPr>
          <w:p>
            <w:pPr>
              <w:jc w:val="left"/>
              <w:rPr>
                <w:rFonts w:ascii="宋体" w:hAnsi="宋体" w:cs="宋体"/>
                <w:b/>
                <w:sz w:val="24"/>
                <w:szCs w:val="24"/>
                <w:highlight w:val="yellow"/>
              </w:rPr>
            </w:pPr>
          </w:p>
        </w:tc>
        <w:tc>
          <w:tcPr>
            <w:tcW w:w="586" w:type="pct"/>
            <w:vMerge w:val="restart"/>
            <w:vAlign w:val="center"/>
          </w:tcPr>
          <w:p>
            <w:pPr>
              <w:jc w:val="center"/>
              <w:rPr>
                <w:rFonts w:ascii="宋体" w:hAnsi="宋体" w:cs="宋体"/>
                <w:sz w:val="24"/>
                <w:szCs w:val="24"/>
                <w:highlight w:val="yellow"/>
              </w:rPr>
            </w:pPr>
            <w:r>
              <w:rPr>
                <w:rFonts w:hint="eastAsia" w:ascii="宋体" w:hAnsi="宋体" w:cs="宋体"/>
                <w:sz w:val="24"/>
                <w:szCs w:val="24"/>
              </w:rPr>
              <w:t>技术部分（70分）</w:t>
            </w:r>
          </w:p>
        </w:tc>
        <w:tc>
          <w:tcPr>
            <w:tcW w:w="3264" w:type="pct"/>
            <w:vAlign w:val="center"/>
          </w:tcPr>
          <w:p>
            <w:pPr>
              <w:rPr>
                <w:rFonts w:ascii="宋体" w:hAnsi="宋体" w:cs="宋体"/>
                <w:sz w:val="24"/>
                <w:szCs w:val="24"/>
              </w:rPr>
            </w:pPr>
            <w:r>
              <w:rPr>
                <w:rFonts w:hint="eastAsia" w:ascii="宋体" w:hAnsi="宋体" w:cs="宋体"/>
                <w:sz w:val="24"/>
                <w:szCs w:val="24"/>
              </w:rPr>
              <w:t>运维服务方案：</w:t>
            </w:r>
          </w:p>
          <w:p>
            <w:pPr>
              <w:rPr>
                <w:rFonts w:ascii="宋体" w:hAnsi="宋体" w:cs="宋体"/>
                <w:sz w:val="24"/>
                <w:szCs w:val="24"/>
                <w:highlight w:val="yellow"/>
              </w:rPr>
            </w:pPr>
            <w:r>
              <w:rPr>
                <w:rFonts w:hint="eastAsia" w:ascii="宋体" w:hAnsi="宋体" w:cs="宋体"/>
                <w:sz w:val="24"/>
                <w:szCs w:val="24"/>
              </w:rPr>
              <w:t>运维服务方案措施详细具体，并具有针对性，得20-30分;运维服务方案措施详细具体，针对性一般，得10-19分;运维服务方案措施一般可行，针对性一般，得5-9分;运维服务方案措施简单，无针对性措施，综合评价可行得0-4分;未提供不得分</w:t>
            </w:r>
          </w:p>
        </w:tc>
        <w:tc>
          <w:tcPr>
            <w:tcW w:w="589" w:type="pct"/>
            <w:tcBorders>
              <w:right w:val="single" w:color="auto" w:sz="4" w:space="0"/>
            </w:tcBorders>
            <w:vAlign w:val="center"/>
          </w:tcPr>
          <w:p>
            <w:pPr>
              <w:jc w:val="center"/>
              <w:rPr>
                <w:rFonts w:ascii="宋体" w:hAnsi="宋体" w:cs="宋体"/>
                <w:sz w:val="24"/>
                <w:szCs w:val="24"/>
                <w:highlight w:val="yellow"/>
              </w:rPr>
            </w:pPr>
            <w:r>
              <w:rPr>
                <w:rFonts w:hint="eastAsia" w:ascii="宋体" w:hAnsi="宋体" w:cs="宋体"/>
                <w:sz w:val="24"/>
                <w:szCs w:val="24"/>
              </w:rPr>
              <w:t>0-30分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trPr>
        <w:tc>
          <w:tcPr>
            <w:tcW w:w="558" w:type="pct"/>
            <w:vMerge w:val="continue"/>
            <w:vAlign w:val="center"/>
          </w:tcPr>
          <w:p>
            <w:pPr>
              <w:jc w:val="left"/>
              <w:rPr>
                <w:rFonts w:ascii="宋体" w:hAnsi="宋体" w:cs="宋体"/>
                <w:b/>
                <w:color w:val="FF0000"/>
                <w:sz w:val="24"/>
                <w:szCs w:val="24"/>
                <w:highlight w:val="yellow"/>
              </w:rPr>
            </w:pPr>
          </w:p>
        </w:tc>
        <w:tc>
          <w:tcPr>
            <w:tcW w:w="586" w:type="pct"/>
            <w:vMerge w:val="continue"/>
            <w:vAlign w:val="center"/>
          </w:tcPr>
          <w:p>
            <w:pPr>
              <w:widowControl/>
              <w:jc w:val="center"/>
              <w:rPr>
                <w:rFonts w:ascii="宋体" w:hAnsi="宋体" w:cs="宋体"/>
                <w:sz w:val="24"/>
                <w:szCs w:val="24"/>
                <w:highlight w:val="yellow"/>
                <w:lang w:val="zh-CN"/>
              </w:rPr>
            </w:pPr>
          </w:p>
        </w:tc>
        <w:tc>
          <w:tcPr>
            <w:tcW w:w="3264" w:type="pct"/>
            <w:vAlign w:val="center"/>
          </w:tcPr>
          <w:p>
            <w:pPr>
              <w:jc w:val="left"/>
              <w:rPr>
                <w:rFonts w:ascii="宋体" w:hAnsi="宋体" w:cs="宋体"/>
                <w:sz w:val="24"/>
                <w:szCs w:val="24"/>
              </w:rPr>
            </w:pPr>
            <w:r>
              <w:rPr>
                <w:rFonts w:hint="eastAsia" w:ascii="宋体" w:hAnsi="宋体" w:cs="宋体"/>
                <w:sz w:val="24"/>
                <w:szCs w:val="24"/>
              </w:rPr>
              <w:t>有专人定期与采购人沟通，配合、沟通方案详细、可行性强得5-8分;有专人定期与采购人沟通，配合、沟通方案较详细、可行性一般得2-4分;提供了配合、沟通方案，但未指定专人与采购人沟通得1-3分;未提供不得分.</w:t>
            </w:r>
          </w:p>
        </w:tc>
        <w:tc>
          <w:tcPr>
            <w:tcW w:w="589" w:type="pct"/>
            <w:tcBorders>
              <w:right w:val="single" w:color="auto" w:sz="4" w:space="0"/>
            </w:tcBorders>
            <w:vAlign w:val="center"/>
          </w:tcPr>
          <w:p>
            <w:pPr>
              <w:jc w:val="center"/>
              <w:rPr>
                <w:rFonts w:ascii="宋体" w:hAnsi="宋体" w:cs="宋体"/>
                <w:color w:val="FF0000"/>
                <w:sz w:val="24"/>
                <w:szCs w:val="24"/>
              </w:rPr>
            </w:pPr>
            <w:r>
              <w:rPr>
                <w:rFonts w:hint="eastAsia" w:ascii="宋体" w:hAnsi="宋体" w:cs="宋体"/>
                <w:sz w:val="24"/>
                <w:szCs w:val="24"/>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58" w:type="pct"/>
            <w:vMerge w:val="continue"/>
            <w:vAlign w:val="center"/>
          </w:tcPr>
          <w:p>
            <w:pPr>
              <w:jc w:val="left"/>
              <w:rPr>
                <w:rFonts w:ascii="宋体" w:hAnsi="宋体" w:cs="宋体"/>
                <w:b/>
                <w:color w:val="FF0000"/>
                <w:sz w:val="24"/>
                <w:szCs w:val="24"/>
                <w:highlight w:val="yellow"/>
              </w:rPr>
            </w:pPr>
          </w:p>
        </w:tc>
        <w:tc>
          <w:tcPr>
            <w:tcW w:w="586" w:type="pct"/>
            <w:vMerge w:val="continue"/>
            <w:vAlign w:val="center"/>
          </w:tcPr>
          <w:p>
            <w:pPr>
              <w:jc w:val="center"/>
              <w:rPr>
                <w:rFonts w:ascii="宋体" w:hAnsi="宋体" w:cs="宋体"/>
                <w:sz w:val="24"/>
                <w:szCs w:val="24"/>
                <w:highlight w:val="yellow"/>
              </w:rPr>
            </w:pPr>
          </w:p>
        </w:tc>
        <w:tc>
          <w:tcPr>
            <w:tcW w:w="3264" w:type="pct"/>
            <w:vAlign w:val="center"/>
          </w:tcPr>
          <w:p>
            <w:pPr>
              <w:jc w:val="left"/>
              <w:rPr>
                <w:rFonts w:ascii="宋体" w:hAnsi="宋体" w:cs="宋体"/>
                <w:sz w:val="24"/>
                <w:szCs w:val="24"/>
              </w:rPr>
            </w:pPr>
            <w:r>
              <w:rPr>
                <w:rFonts w:hint="eastAsia" w:ascii="宋体" w:hAnsi="宋体" w:cs="宋体"/>
                <w:sz w:val="24"/>
                <w:szCs w:val="24"/>
              </w:rPr>
              <w:t>应急预案详细可行得8-12分;应急预案内容一般可行得4-7分;应急预案内容简单得1-3分;未提供不得分。</w:t>
            </w:r>
          </w:p>
        </w:tc>
        <w:tc>
          <w:tcPr>
            <w:tcW w:w="589" w:type="pct"/>
            <w:tcBorders>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0-12分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558" w:type="pct"/>
            <w:vMerge w:val="continue"/>
            <w:vAlign w:val="center"/>
          </w:tcPr>
          <w:p>
            <w:pPr>
              <w:jc w:val="left"/>
              <w:rPr>
                <w:rFonts w:ascii="宋体" w:hAnsi="宋体" w:cs="宋体"/>
                <w:b/>
                <w:color w:val="FF0000"/>
                <w:sz w:val="24"/>
                <w:szCs w:val="24"/>
                <w:highlight w:val="yellow"/>
              </w:rPr>
            </w:pPr>
          </w:p>
        </w:tc>
        <w:tc>
          <w:tcPr>
            <w:tcW w:w="586" w:type="pct"/>
            <w:vMerge w:val="continue"/>
            <w:vAlign w:val="center"/>
          </w:tcPr>
          <w:p>
            <w:pPr>
              <w:jc w:val="center"/>
              <w:rPr>
                <w:rFonts w:ascii="宋体" w:hAnsi="宋体" w:cs="宋体"/>
                <w:sz w:val="24"/>
                <w:szCs w:val="24"/>
                <w:highlight w:val="yellow"/>
              </w:rPr>
            </w:pPr>
          </w:p>
        </w:tc>
        <w:tc>
          <w:tcPr>
            <w:tcW w:w="3264" w:type="pct"/>
            <w:vAlign w:val="center"/>
          </w:tcPr>
          <w:p>
            <w:pPr>
              <w:jc w:val="left"/>
              <w:rPr>
                <w:rFonts w:ascii="宋体" w:hAnsi="宋体" w:cs="宋体"/>
                <w:sz w:val="24"/>
                <w:szCs w:val="24"/>
              </w:rPr>
            </w:pPr>
            <w:r>
              <w:rPr>
                <w:rFonts w:hint="eastAsia" w:ascii="宋体" w:hAnsi="宋体" w:cs="宋体"/>
                <w:sz w:val="24"/>
                <w:szCs w:val="24"/>
              </w:rPr>
              <w:t>服务承诺最为合理可行完整，得5-10分;服务承诺基本可行但有瑕疵，得2-4分;服务承诺可行性较低，得1-3分。未提供不得分。</w:t>
            </w:r>
          </w:p>
        </w:tc>
        <w:tc>
          <w:tcPr>
            <w:tcW w:w="589" w:type="pct"/>
            <w:tcBorders>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atLeast"/>
        </w:trPr>
        <w:tc>
          <w:tcPr>
            <w:tcW w:w="558" w:type="pct"/>
            <w:vMerge w:val="continue"/>
          </w:tcPr>
          <w:p>
            <w:pPr>
              <w:jc w:val="left"/>
              <w:rPr>
                <w:rFonts w:ascii="宋体" w:hAnsi="宋体" w:cs="宋体"/>
                <w:color w:val="FF0000"/>
                <w:sz w:val="24"/>
                <w:szCs w:val="24"/>
                <w:highlight w:val="yellow"/>
              </w:rPr>
            </w:pPr>
          </w:p>
        </w:tc>
        <w:tc>
          <w:tcPr>
            <w:tcW w:w="586" w:type="pct"/>
            <w:vMerge w:val="continue"/>
            <w:vAlign w:val="center"/>
          </w:tcPr>
          <w:p>
            <w:pPr>
              <w:jc w:val="center"/>
              <w:rPr>
                <w:rFonts w:ascii="宋体" w:hAnsi="宋体" w:cs="宋体"/>
                <w:sz w:val="24"/>
                <w:szCs w:val="24"/>
                <w:highlight w:val="yellow"/>
              </w:rPr>
            </w:pPr>
          </w:p>
        </w:tc>
        <w:tc>
          <w:tcPr>
            <w:tcW w:w="3264" w:type="pct"/>
            <w:vAlign w:val="center"/>
          </w:tcPr>
          <w:p>
            <w:pPr>
              <w:rPr>
                <w:rFonts w:ascii="宋体" w:hAnsi="宋体" w:cs="宋体"/>
                <w:sz w:val="24"/>
                <w:szCs w:val="24"/>
                <w:highlight w:val="yellow"/>
              </w:rPr>
            </w:pPr>
            <w:r>
              <w:rPr>
                <w:rFonts w:hint="eastAsia" w:ascii="宋体" w:hAnsi="宋体" w:cs="宋体"/>
                <w:sz w:val="24"/>
                <w:szCs w:val="24"/>
              </w:rPr>
              <w:t>提供完整的售后服务方案，方案条理清晰，服务项目条款描述细致明晰得5-10分；方案基本能够保证项目售后效果并能体现售后服务理念得0-4分；不能提供项目售后服务方案，或方案内容不符合招标文件售后服务要求，不得分。</w:t>
            </w:r>
          </w:p>
        </w:tc>
        <w:tc>
          <w:tcPr>
            <w:tcW w:w="589" w:type="pct"/>
            <w:tcBorders>
              <w:right w:val="single" w:color="auto" w:sz="4" w:space="0"/>
            </w:tcBorders>
            <w:vAlign w:val="center"/>
          </w:tcPr>
          <w:p>
            <w:pPr>
              <w:jc w:val="center"/>
              <w:rPr>
                <w:rFonts w:ascii="宋体" w:hAnsi="宋体" w:cs="宋体"/>
                <w:sz w:val="24"/>
                <w:szCs w:val="24"/>
                <w:highlight w:val="yellow"/>
              </w:rPr>
            </w:pPr>
            <w:r>
              <w:rPr>
                <w:rFonts w:hint="eastAsia" w:ascii="宋体" w:hAnsi="宋体" w:cs="宋体"/>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5000" w:type="pct"/>
            <w:gridSpan w:val="4"/>
            <w:tcBorders>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备注：</w:t>
            </w:r>
          </w:p>
          <w:p>
            <w:pPr>
              <w:jc w:val="left"/>
              <w:rPr>
                <w:rFonts w:ascii="宋体" w:hAnsi="宋体" w:cs="宋体"/>
                <w:sz w:val="24"/>
                <w:szCs w:val="24"/>
              </w:rPr>
            </w:pPr>
            <w:r>
              <w:rPr>
                <w:rFonts w:hint="eastAsia" w:ascii="宋体" w:hAnsi="宋体" w:cs="宋体"/>
                <w:sz w:val="24"/>
                <w:szCs w:val="24"/>
              </w:rPr>
              <w:t xml:space="preserve">1、专家根据投标文件中投标人提供的资料在分值范围内进行评议； </w:t>
            </w:r>
          </w:p>
          <w:p>
            <w:pPr>
              <w:jc w:val="left"/>
              <w:rPr>
                <w:rFonts w:ascii="宋体" w:hAnsi="宋体" w:cs="宋体"/>
                <w:sz w:val="24"/>
                <w:szCs w:val="24"/>
              </w:rPr>
            </w:pPr>
            <w:r>
              <w:rPr>
                <w:rFonts w:hint="eastAsia" w:ascii="宋体" w:hAnsi="宋体" w:cs="宋体"/>
                <w:sz w:val="24"/>
                <w:szCs w:val="24"/>
              </w:rPr>
              <w:t>2、得分保留两位小数。</w:t>
            </w:r>
          </w:p>
        </w:tc>
      </w:tr>
    </w:tbl>
    <w:p>
      <w:pPr>
        <w:pStyle w:val="20"/>
        <w:rPr>
          <w:rFonts w:ascii="仿宋" w:hAnsi="仿宋" w:eastAsia="仿宋" w:cs="仿宋"/>
          <w:b/>
          <w:bCs/>
          <w:sz w:val="24"/>
          <w:szCs w:val="24"/>
        </w:rPr>
      </w:pPr>
    </w:p>
    <w:p>
      <w:pPr>
        <w:pStyle w:val="3"/>
        <w:spacing w:line="240" w:lineRule="auto"/>
        <w:rPr>
          <w:rStyle w:val="64"/>
          <w:rFonts w:ascii="仿宋" w:hAnsi="仿宋" w:eastAsia="仿宋" w:cs="仿宋"/>
          <w:bCs w:val="0"/>
          <w:sz w:val="24"/>
          <w:szCs w:val="24"/>
        </w:rPr>
      </w:pPr>
      <w:r>
        <w:rPr>
          <w:rFonts w:hint="eastAsia" w:ascii="仿宋" w:hAnsi="仿宋" w:eastAsia="仿宋" w:cs="仿宋"/>
          <w:sz w:val="24"/>
          <w:szCs w:val="24"/>
        </w:rPr>
        <w:t>标项二：</w:t>
      </w:r>
      <w:r>
        <w:rPr>
          <w:rStyle w:val="64"/>
          <w:rFonts w:hint="eastAsia" w:ascii="仿宋" w:hAnsi="仿宋" w:eastAsia="仿宋" w:cs="仿宋"/>
          <w:bCs w:val="0"/>
          <w:sz w:val="24"/>
          <w:szCs w:val="24"/>
        </w:rPr>
        <w:t>评 分 细 则</w:t>
      </w:r>
    </w:p>
    <w:tbl>
      <w:tblPr>
        <w:tblStyle w:val="29"/>
        <w:tblW w:w="5179" w:type="pct"/>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2242"/>
        <w:gridCol w:w="5307"/>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522" w:type="pct"/>
            <w:vAlign w:val="center"/>
          </w:tcPr>
          <w:p>
            <w:pPr>
              <w:spacing w:before="50" w:after="50"/>
              <w:jc w:val="center"/>
              <w:rPr>
                <w:rFonts w:ascii="宋体" w:hAnsi="宋体" w:cs="宋体"/>
                <w:b/>
                <w:sz w:val="24"/>
                <w:szCs w:val="24"/>
              </w:rPr>
            </w:pPr>
            <w:r>
              <w:rPr>
                <w:rFonts w:hint="eastAsia" w:ascii="宋体" w:hAnsi="宋体" w:cs="宋体"/>
                <w:b/>
                <w:sz w:val="24"/>
                <w:szCs w:val="24"/>
              </w:rPr>
              <w:t>评标</w:t>
            </w:r>
          </w:p>
          <w:p>
            <w:pPr>
              <w:spacing w:before="50" w:after="50"/>
              <w:jc w:val="center"/>
              <w:rPr>
                <w:rFonts w:ascii="宋体" w:hAnsi="宋体" w:cs="宋体"/>
                <w:b/>
                <w:sz w:val="24"/>
                <w:szCs w:val="24"/>
              </w:rPr>
            </w:pPr>
            <w:r>
              <w:rPr>
                <w:rFonts w:hint="eastAsia" w:ascii="宋体" w:hAnsi="宋体" w:cs="宋体"/>
                <w:b/>
                <w:sz w:val="24"/>
                <w:szCs w:val="24"/>
              </w:rPr>
              <w:t>指标</w:t>
            </w:r>
          </w:p>
        </w:tc>
        <w:tc>
          <w:tcPr>
            <w:tcW w:w="3923" w:type="pct"/>
            <w:gridSpan w:val="2"/>
            <w:tcBorders>
              <w:right w:val="single" w:color="auto" w:sz="4" w:space="0"/>
            </w:tcBorders>
            <w:vAlign w:val="center"/>
          </w:tcPr>
          <w:p>
            <w:pPr>
              <w:spacing w:before="50" w:after="50"/>
              <w:jc w:val="center"/>
              <w:rPr>
                <w:rFonts w:ascii="宋体" w:hAnsi="宋体" w:cs="宋体"/>
                <w:b/>
                <w:sz w:val="24"/>
                <w:szCs w:val="24"/>
              </w:rPr>
            </w:pPr>
            <w:r>
              <w:rPr>
                <w:rFonts w:hint="eastAsia" w:ascii="宋体" w:hAnsi="宋体" w:cs="宋体"/>
                <w:b/>
                <w:sz w:val="24"/>
                <w:szCs w:val="24"/>
              </w:rPr>
              <w:t>评议内容</w:t>
            </w:r>
          </w:p>
        </w:tc>
        <w:tc>
          <w:tcPr>
            <w:tcW w:w="553" w:type="pct"/>
            <w:tcBorders>
              <w:right w:val="single" w:color="auto" w:sz="4" w:space="0"/>
            </w:tcBorders>
            <w:vAlign w:val="center"/>
          </w:tcPr>
          <w:p>
            <w:pPr>
              <w:spacing w:before="50" w:after="50"/>
              <w:jc w:val="center"/>
              <w:rPr>
                <w:rFonts w:ascii="宋体" w:hAnsi="宋体" w:cs="宋体"/>
                <w:b/>
                <w:sz w:val="24"/>
                <w:szCs w:val="24"/>
              </w:rPr>
            </w:pPr>
            <w:r>
              <w:rPr>
                <w:rFonts w:hint="eastAsia" w:ascii="宋体" w:hAnsi="宋体" w:cs="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9" w:hRule="atLeast"/>
        </w:trPr>
        <w:tc>
          <w:tcPr>
            <w:tcW w:w="522" w:type="pct"/>
            <w:vAlign w:val="center"/>
          </w:tcPr>
          <w:p>
            <w:pPr>
              <w:jc w:val="center"/>
              <w:rPr>
                <w:rFonts w:ascii="宋体" w:hAnsi="宋体" w:cs="宋体"/>
                <w:b/>
                <w:sz w:val="24"/>
                <w:szCs w:val="24"/>
              </w:rPr>
            </w:pPr>
            <w:r>
              <w:rPr>
                <w:rFonts w:hint="eastAsia" w:ascii="宋体" w:hAnsi="宋体" w:cs="宋体"/>
                <w:b/>
                <w:sz w:val="24"/>
                <w:szCs w:val="24"/>
              </w:rPr>
              <w:t>报价得分（10分）</w:t>
            </w:r>
          </w:p>
        </w:tc>
        <w:tc>
          <w:tcPr>
            <w:tcW w:w="3923" w:type="pct"/>
            <w:gridSpan w:val="2"/>
            <w:tcBorders>
              <w:right w:val="single" w:color="auto" w:sz="4" w:space="0"/>
            </w:tcBorders>
            <w:vAlign w:val="center"/>
          </w:tcPr>
          <w:p>
            <w:pPr>
              <w:spacing w:before="50" w:after="50"/>
              <w:jc w:val="left"/>
              <w:rPr>
                <w:rFonts w:ascii="宋体" w:hAnsi="宋体" w:cs="宋体"/>
                <w:sz w:val="24"/>
                <w:szCs w:val="24"/>
              </w:rPr>
            </w:pPr>
            <w:r>
              <w:rPr>
                <w:rFonts w:hint="eastAsia" w:ascii="宋体" w:hAnsi="宋体" w:cs="宋体"/>
                <w:sz w:val="24"/>
                <w:szCs w:val="24"/>
              </w:rPr>
              <w:t>价格分应当采用低价优先法计算，即满足招标文件要求且最终投标价格最低的有效投标报价为评标基准价，其价格分为满分。其他投标人的价格分统一按照下列公式计算：</w:t>
            </w:r>
          </w:p>
          <w:p>
            <w:pPr>
              <w:spacing w:line="290" w:lineRule="exact"/>
              <w:jc w:val="left"/>
              <w:rPr>
                <w:rFonts w:ascii="宋体" w:hAnsi="宋体" w:cs="宋体"/>
                <w:sz w:val="24"/>
                <w:szCs w:val="24"/>
              </w:rPr>
            </w:pPr>
            <w:r>
              <w:rPr>
                <w:rFonts w:hint="eastAsia" w:ascii="宋体" w:hAnsi="宋体" w:cs="宋体"/>
                <w:sz w:val="24"/>
                <w:szCs w:val="24"/>
              </w:rPr>
              <w:t>投标报价得分=(评标基准价/投标报价)×100*10%</w:t>
            </w:r>
          </w:p>
          <w:p>
            <w:pPr>
              <w:spacing w:before="50" w:after="50"/>
              <w:jc w:val="left"/>
              <w:rPr>
                <w:rFonts w:ascii="宋体" w:hAnsi="宋体" w:cs="宋体"/>
                <w:sz w:val="24"/>
                <w:szCs w:val="24"/>
              </w:rPr>
            </w:pPr>
            <w:r>
              <w:rPr>
                <w:rFonts w:hint="eastAsia" w:ascii="宋体" w:hAnsi="宋体" w:cs="宋体"/>
                <w:b/>
                <w:sz w:val="24"/>
                <w:szCs w:val="24"/>
              </w:rPr>
              <w:t>根据新财购 〔2022〕22号文，对小型和微型企业的产品价格给予10%的扣除，用扣除后的价格参与评审。（投标人为中小企业的，需提供《中小企业声明函》等证明文件）。</w:t>
            </w:r>
          </w:p>
        </w:tc>
        <w:tc>
          <w:tcPr>
            <w:tcW w:w="553" w:type="pct"/>
            <w:tcBorders>
              <w:right w:val="single" w:color="auto" w:sz="4" w:space="0"/>
            </w:tcBorders>
            <w:vAlign w:val="center"/>
          </w:tcPr>
          <w:p>
            <w:pPr>
              <w:spacing w:before="50" w:after="50"/>
              <w:jc w:val="center"/>
              <w:rPr>
                <w:rFonts w:ascii="宋体" w:hAnsi="宋体" w:cs="宋体"/>
                <w:sz w:val="24"/>
                <w:szCs w:val="24"/>
              </w:rPr>
            </w:pPr>
            <w:r>
              <w:rPr>
                <w:rFonts w:hint="eastAsia" w:ascii="宋体" w:hAnsi="宋体" w:cs="宋体"/>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trPr>
        <w:tc>
          <w:tcPr>
            <w:tcW w:w="522" w:type="pct"/>
            <w:vMerge w:val="restart"/>
            <w:vAlign w:val="center"/>
          </w:tcPr>
          <w:p>
            <w:pPr>
              <w:jc w:val="center"/>
              <w:rPr>
                <w:rFonts w:ascii="宋体" w:hAnsi="宋体" w:cs="宋体"/>
                <w:b/>
                <w:sz w:val="24"/>
                <w:szCs w:val="24"/>
              </w:rPr>
            </w:pPr>
            <w:r>
              <w:rPr>
                <w:rFonts w:hint="eastAsia" w:ascii="宋体" w:hAnsi="宋体" w:cs="宋体"/>
                <w:b/>
                <w:sz w:val="24"/>
                <w:szCs w:val="24"/>
              </w:rPr>
              <w:t>商</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务</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技</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术</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评</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审</w:t>
            </w:r>
          </w:p>
          <w:p>
            <w:pPr>
              <w:jc w:val="center"/>
              <w:rPr>
                <w:rFonts w:ascii="宋体" w:hAnsi="宋体" w:cs="宋体"/>
                <w:b/>
                <w:sz w:val="24"/>
                <w:szCs w:val="24"/>
              </w:rPr>
            </w:pPr>
          </w:p>
          <w:p>
            <w:pPr>
              <w:jc w:val="center"/>
              <w:rPr>
                <w:rFonts w:ascii="宋体" w:hAnsi="宋体" w:cs="宋体"/>
                <w:b/>
                <w:sz w:val="24"/>
                <w:szCs w:val="24"/>
                <w:highlight w:val="yellow"/>
              </w:rPr>
            </w:pPr>
            <w:r>
              <w:rPr>
                <w:rFonts w:hint="eastAsia" w:ascii="宋体" w:hAnsi="宋体" w:cs="宋体"/>
                <w:b/>
                <w:sz w:val="24"/>
                <w:szCs w:val="24"/>
              </w:rPr>
              <w:t>（90分）</w:t>
            </w:r>
          </w:p>
        </w:tc>
        <w:tc>
          <w:tcPr>
            <w:tcW w:w="1165" w:type="pct"/>
            <w:vMerge w:val="restart"/>
            <w:vAlign w:val="center"/>
          </w:tcPr>
          <w:p>
            <w:pPr>
              <w:spacing w:before="50" w:after="50"/>
              <w:jc w:val="center"/>
              <w:rPr>
                <w:rFonts w:ascii="宋体" w:hAnsi="宋体" w:cs="宋体"/>
                <w:sz w:val="24"/>
                <w:szCs w:val="24"/>
              </w:rPr>
            </w:pPr>
            <w:r>
              <w:rPr>
                <w:rFonts w:hint="eastAsia" w:ascii="宋体" w:hAnsi="宋体" w:cs="宋体"/>
                <w:sz w:val="24"/>
                <w:szCs w:val="24"/>
              </w:rPr>
              <w:t>商务部分（20分）</w:t>
            </w:r>
          </w:p>
        </w:tc>
        <w:tc>
          <w:tcPr>
            <w:tcW w:w="2758" w:type="pct"/>
          </w:tcPr>
          <w:p>
            <w:pPr>
              <w:spacing w:before="50" w:after="50"/>
              <w:jc w:val="left"/>
              <w:rPr>
                <w:rFonts w:ascii="宋体" w:hAnsi="宋体" w:cs="宋体"/>
                <w:sz w:val="24"/>
                <w:szCs w:val="24"/>
              </w:rPr>
            </w:pPr>
            <w:r>
              <w:rPr>
                <w:rFonts w:hint="eastAsia" w:ascii="宋体" w:hAnsi="宋体" w:cs="宋体"/>
                <w:sz w:val="24"/>
                <w:szCs w:val="24"/>
              </w:rPr>
              <w:t>供应商自2020年至今已完成的类似项目业绩。每提供一项得2分， 最高得10分。需提供中标通知书或合同原件扫描件。</w:t>
            </w:r>
          </w:p>
        </w:tc>
        <w:tc>
          <w:tcPr>
            <w:tcW w:w="553" w:type="pct"/>
            <w:tcBorders>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522" w:type="pct"/>
            <w:vMerge w:val="continue"/>
            <w:vAlign w:val="center"/>
          </w:tcPr>
          <w:p>
            <w:pPr>
              <w:jc w:val="left"/>
              <w:rPr>
                <w:rFonts w:ascii="宋体" w:hAnsi="宋体" w:cs="宋体"/>
                <w:b/>
                <w:sz w:val="24"/>
                <w:szCs w:val="24"/>
                <w:highlight w:val="yellow"/>
              </w:rPr>
            </w:pPr>
          </w:p>
        </w:tc>
        <w:tc>
          <w:tcPr>
            <w:tcW w:w="1165" w:type="pct"/>
            <w:vMerge w:val="continue"/>
            <w:vAlign w:val="center"/>
          </w:tcPr>
          <w:p>
            <w:pPr>
              <w:jc w:val="center"/>
              <w:rPr>
                <w:rFonts w:ascii="宋体" w:hAnsi="宋体" w:cs="宋体"/>
                <w:sz w:val="24"/>
                <w:szCs w:val="24"/>
              </w:rPr>
            </w:pPr>
          </w:p>
        </w:tc>
        <w:tc>
          <w:tcPr>
            <w:tcW w:w="2758" w:type="pct"/>
            <w:vAlign w:val="center"/>
          </w:tcPr>
          <w:p>
            <w:pPr>
              <w:pStyle w:val="10"/>
              <w:rPr>
                <w:rFonts w:ascii="宋体" w:hAnsi="宋体" w:cs="宋体"/>
                <w:sz w:val="24"/>
              </w:rPr>
            </w:pPr>
            <w:r>
              <w:rPr>
                <w:rFonts w:hint="eastAsia" w:ascii="宋体" w:hAnsi="宋体" w:cs="宋体"/>
                <w:sz w:val="24"/>
              </w:rPr>
              <w:t>项目负责人参加过信息系统维护技术人员，有工信部信息技术初级（助理）职称资质工程师每提供一个得1分，中级职称资质工程师每提供一个得2分，高级职称资质工程师每提供一个得3分，满分6分，需提供相关认证证书。</w:t>
            </w:r>
          </w:p>
        </w:tc>
        <w:tc>
          <w:tcPr>
            <w:tcW w:w="553" w:type="pct"/>
            <w:tcBorders>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9" w:hRule="atLeast"/>
        </w:trPr>
        <w:tc>
          <w:tcPr>
            <w:tcW w:w="522" w:type="pct"/>
            <w:vMerge w:val="continue"/>
            <w:vAlign w:val="center"/>
          </w:tcPr>
          <w:p>
            <w:pPr>
              <w:jc w:val="left"/>
              <w:rPr>
                <w:rFonts w:ascii="宋体" w:hAnsi="宋体" w:cs="宋体"/>
                <w:b/>
                <w:sz w:val="24"/>
                <w:szCs w:val="24"/>
                <w:highlight w:val="yellow"/>
              </w:rPr>
            </w:pPr>
          </w:p>
        </w:tc>
        <w:tc>
          <w:tcPr>
            <w:tcW w:w="1165" w:type="pct"/>
            <w:vMerge w:val="continue"/>
            <w:vAlign w:val="center"/>
          </w:tcPr>
          <w:p>
            <w:pPr>
              <w:jc w:val="center"/>
              <w:rPr>
                <w:rFonts w:ascii="宋体" w:hAnsi="宋体" w:cs="宋体"/>
                <w:sz w:val="24"/>
                <w:szCs w:val="24"/>
                <w:highlight w:val="yellow"/>
              </w:rPr>
            </w:pPr>
          </w:p>
        </w:tc>
        <w:tc>
          <w:tcPr>
            <w:tcW w:w="2758" w:type="pct"/>
            <w:vAlign w:val="center"/>
          </w:tcPr>
          <w:p>
            <w:pPr>
              <w:spacing w:before="50" w:after="50"/>
              <w:jc w:val="left"/>
              <w:rPr>
                <w:rFonts w:ascii="宋体" w:hAnsi="宋体" w:cs="宋体"/>
                <w:color w:val="FF0000"/>
                <w:sz w:val="24"/>
                <w:szCs w:val="24"/>
              </w:rPr>
            </w:pPr>
            <w:r>
              <w:rPr>
                <w:rFonts w:hint="eastAsia" w:ascii="宋体" w:hAnsi="宋体" w:cs="宋体"/>
                <w:color w:val="000000" w:themeColor="text1"/>
                <w:sz w:val="24"/>
                <w:szCs w:val="24"/>
                <w14:textFill>
                  <w14:solidFill>
                    <w14:schemeClr w14:val="tx1"/>
                  </w14:solidFill>
                </w14:textFill>
              </w:rPr>
              <w:t>系统维护工程师需有应用软件运维实际工作经验2年及以上，熟练掌握计算机技术、网络技术以及软件应用系统的故障排查等技能，熟悉所维护各业务平台相关业务基本知识，具备处理日常业务问题的能力。（提供相关工作经历证明、相关职称证书等证明材料）满足得4分。</w:t>
            </w:r>
          </w:p>
        </w:tc>
        <w:tc>
          <w:tcPr>
            <w:tcW w:w="553" w:type="pct"/>
            <w:tcBorders>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522" w:type="pct"/>
            <w:vMerge w:val="continue"/>
            <w:vAlign w:val="center"/>
          </w:tcPr>
          <w:p>
            <w:pPr>
              <w:jc w:val="left"/>
              <w:rPr>
                <w:rFonts w:ascii="宋体" w:hAnsi="宋体" w:cs="宋体"/>
                <w:b/>
                <w:sz w:val="24"/>
                <w:szCs w:val="24"/>
                <w:highlight w:val="yellow"/>
              </w:rPr>
            </w:pPr>
          </w:p>
        </w:tc>
        <w:tc>
          <w:tcPr>
            <w:tcW w:w="1165" w:type="pct"/>
            <w:vMerge w:val="restart"/>
            <w:vAlign w:val="center"/>
          </w:tcPr>
          <w:p>
            <w:pPr>
              <w:jc w:val="center"/>
              <w:rPr>
                <w:rFonts w:ascii="宋体" w:hAnsi="宋体" w:cs="宋体"/>
                <w:sz w:val="24"/>
                <w:szCs w:val="24"/>
                <w:highlight w:val="yellow"/>
              </w:rPr>
            </w:pPr>
            <w:r>
              <w:rPr>
                <w:rFonts w:hint="eastAsia" w:ascii="宋体" w:hAnsi="宋体" w:cs="宋体"/>
                <w:sz w:val="24"/>
                <w:szCs w:val="24"/>
              </w:rPr>
              <w:t>技术部分（70分）</w:t>
            </w:r>
          </w:p>
        </w:tc>
        <w:tc>
          <w:tcPr>
            <w:tcW w:w="2758" w:type="pct"/>
            <w:vAlign w:val="center"/>
          </w:tcPr>
          <w:p>
            <w:pPr>
              <w:rPr>
                <w:rFonts w:ascii="宋体" w:hAnsi="宋体" w:cs="宋体"/>
                <w:sz w:val="24"/>
                <w:szCs w:val="24"/>
                <w:highlight w:val="yellow"/>
              </w:rPr>
            </w:pPr>
            <w:r>
              <w:rPr>
                <w:rFonts w:hint="eastAsia" w:ascii="宋体" w:hAnsi="宋体" w:cs="宋体"/>
                <w:sz w:val="24"/>
                <w:szCs w:val="24"/>
              </w:rPr>
              <w:t>运维服务方案：充分理解本项目背景、目标及服务要求，提供软件系统维护（含远程维护与现场服务）的运维方案。方案科学合理，内容具体，措施完善，可行性强，完全满足或优于招标要求，得15-30分；方案比较合理，内容较具体，措施合理，可行性较好，基本达到招标要求，得5-14分；方案内容有遗漏，措施欠合理，可行性较差或低于其他投标人，得0-4分；</w:t>
            </w:r>
          </w:p>
        </w:tc>
        <w:tc>
          <w:tcPr>
            <w:tcW w:w="553" w:type="pct"/>
            <w:tcBorders>
              <w:right w:val="single" w:color="auto" w:sz="4" w:space="0"/>
            </w:tcBorders>
            <w:vAlign w:val="center"/>
          </w:tcPr>
          <w:p>
            <w:pPr>
              <w:jc w:val="center"/>
              <w:rPr>
                <w:rFonts w:ascii="宋体" w:hAnsi="宋体" w:cs="宋体"/>
                <w:sz w:val="24"/>
                <w:szCs w:val="24"/>
                <w:highlight w:val="yellow"/>
              </w:rPr>
            </w:pPr>
            <w:r>
              <w:rPr>
                <w:rFonts w:hint="eastAsia" w:ascii="宋体" w:hAnsi="宋体" w:cs="宋体"/>
                <w:sz w:val="24"/>
                <w:szCs w:val="24"/>
              </w:rPr>
              <w:t>0-30分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522" w:type="pct"/>
            <w:vMerge w:val="continue"/>
            <w:vAlign w:val="center"/>
          </w:tcPr>
          <w:p>
            <w:pPr>
              <w:jc w:val="left"/>
              <w:rPr>
                <w:rFonts w:ascii="宋体" w:hAnsi="宋体" w:cs="宋体"/>
                <w:b/>
                <w:color w:val="FF0000"/>
                <w:sz w:val="24"/>
                <w:szCs w:val="24"/>
                <w:highlight w:val="yellow"/>
              </w:rPr>
            </w:pPr>
          </w:p>
        </w:tc>
        <w:tc>
          <w:tcPr>
            <w:tcW w:w="1165" w:type="pct"/>
            <w:vMerge w:val="continue"/>
            <w:vAlign w:val="center"/>
          </w:tcPr>
          <w:p>
            <w:pPr>
              <w:widowControl/>
              <w:jc w:val="center"/>
              <w:rPr>
                <w:rFonts w:ascii="宋体" w:hAnsi="宋体" w:cs="宋体"/>
                <w:sz w:val="24"/>
                <w:szCs w:val="24"/>
                <w:highlight w:val="yellow"/>
                <w:lang w:val="zh-CN"/>
              </w:rPr>
            </w:pPr>
          </w:p>
        </w:tc>
        <w:tc>
          <w:tcPr>
            <w:tcW w:w="2758" w:type="pct"/>
            <w:vAlign w:val="center"/>
          </w:tcPr>
          <w:p>
            <w:pPr>
              <w:jc w:val="left"/>
              <w:rPr>
                <w:rFonts w:ascii="宋体" w:hAnsi="宋体" w:cs="宋体"/>
                <w:sz w:val="24"/>
                <w:szCs w:val="24"/>
                <w:highlight w:val="yellow"/>
              </w:rPr>
            </w:pPr>
            <w:r>
              <w:rPr>
                <w:rFonts w:hint="eastAsia" w:ascii="宋体" w:hAnsi="宋体" w:cs="宋体"/>
                <w:sz w:val="24"/>
                <w:szCs w:val="24"/>
              </w:rPr>
              <w:t>有专人定期与采购人沟通，配合、沟通方案详细、可行性强得5-8分;有专人定期与采购人沟通，配合、沟通方案较详细、可行性一般得2-4分;提供了配合、沟通方案，但未指定专人与采购人沟通得1分;未提供不得分.</w:t>
            </w:r>
          </w:p>
        </w:tc>
        <w:tc>
          <w:tcPr>
            <w:tcW w:w="553" w:type="pct"/>
            <w:tcBorders>
              <w:right w:val="single" w:color="auto" w:sz="4" w:space="0"/>
            </w:tcBorders>
            <w:vAlign w:val="center"/>
          </w:tcPr>
          <w:p>
            <w:pPr>
              <w:jc w:val="center"/>
              <w:rPr>
                <w:rFonts w:ascii="宋体" w:hAnsi="宋体" w:cs="宋体"/>
                <w:color w:val="FF0000"/>
                <w:sz w:val="24"/>
                <w:szCs w:val="24"/>
                <w:highlight w:val="yellow"/>
              </w:rPr>
            </w:pPr>
            <w:r>
              <w:rPr>
                <w:rFonts w:hint="eastAsia" w:ascii="宋体" w:hAnsi="宋体" w:cs="宋体"/>
                <w:sz w:val="24"/>
                <w:szCs w:val="24"/>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trPr>
        <w:tc>
          <w:tcPr>
            <w:tcW w:w="522" w:type="pct"/>
            <w:vMerge w:val="continue"/>
            <w:vAlign w:val="center"/>
          </w:tcPr>
          <w:p>
            <w:pPr>
              <w:jc w:val="left"/>
              <w:rPr>
                <w:rFonts w:ascii="宋体" w:hAnsi="宋体" w:cs="宋体"/>
                <w:b/>
                <w:color w:val="FF0000"/>
                <w:sz w:val="24"/>
                <w:szCs w:val="24"/>
                <w:highlight w:val="yellow"/>
              </w:rPr>
            </w:pPr>
          </w:p>
        </w:tc>
        <w:tc>
          <w:tcPr>
            <w:tcW w:w="1165" w:type="pct"/>
            <w:vMerge w:val="continue"/>
            <w:vAlign w:val="center"/>
          </w:tcPr>
          <w:p>
            <w:pPr>
              <w:jc w:val="center"/>
              <w:rPr>
                <w:rFonts w:ascii="宋体" w:hAnsi="宋体" w:cs="宋体"/>
                <w:sz w:val="24"/>
                <w:szCs w:val="24"/>
                <w:highlight w:val="yellow"/>
              </w:rPr>
            </w:pPr>
          </w:p>
        </w:tc>
        <w:tc>
          <w:tcPr>
            <w:tcW w:w="2758" w:type="pct"/>
            <w:vAlign w:val="center"/>
          </w:tcPr>
          <w:p>
            <w:pPr>
              <w:jc w:val="left"/>
              <w:rPr>
                <w:rFonts w:ascii="宋体" w:hAnsi="宋体" w:cs="宋体"/>
                <w:sz w:val="24"/>
                <w:szCs w:val="24"/>
              </w:rPr>
            </w:pPr>
            <w:r>
              <w:rPr>
                <w:rFonts w:hint="eastAsia" w:ascii="宋体" w:hAnsi="宋体" w:cs="宋体"/>
                <w:sz w:val="24"/>
                <w:szCs w:val="24"/>
              </w:rPr>
              <w:t>应急预案详细可行得8-12分;应急预案内容一般可行得4-7分;应急预案内容简单得1-3分;未提供不得分。</w:t>
            </w:r>
          </w:p>
        </w:tc>
        <w:tc>
          <w:tcPr>
            <w:tcW w:w="553" w:type="pct"/>
            <w:tcBorders>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0-12分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522" w:type="pct"/>
            <w:vMerge w:val="continue"/>
            <w:vAlign w:val="center"/>
          </w:tcPr>
          <w:p>
            <w:pPr>
              <w:jc w:val="left"/>
              <w:rPr>
                <w:rFonts w:ascii="宋体" w:hAnsi="宋体" w:cs="宋体"/>
                <w:b/>
                <w:color w:val="FF0000"/>
                <w:sz w:val="24"/>
                <w:szCs w:val="24"/>
                <w:highlight w:val="yellow"/>
              </w:rPr>
            </w:pPr>
          </w:p>
        </w:tc>
        <w:tc>
          <w:tcPr>
            <w:tcW w:w="1165" w:type="pct"/>
            <w:vMerge w:val="continue"/>
            <w:vAlign w:val="center"/>
          </w:tcPr>
          <w:p>
            <w:pPr>
              <w:jc w:val="center"/>
              <w:rPr>
                <w:rFonts w:ascii="宋体" w:hAnsi="宋体" w:cs="宋体"/>
                <w:sz w:val="24"/>
                <w:szCs w:val="24"/>
                <w:highlight w:val="yellow"/>
              </w:rPr>
            </w:pPr>
          </w:p>
        </w:tc>
        <w:tc>
          <w:tcPr>
            <w:tcW w:w="2758" w:type="pct"/>
            <w:vAlign w:val="center"/>
          </w:tcPr>
          <w:p>
            <w:pPr>
              <w:jc w:val="left"/>
              <w:rPr>
                <w:rFonts w:ascii="宋体" w:hAnsi="宋体" w:cs="宋体"/>
                <w:sz w:val="24"/>
                <w:szCs w:val="24"/>
              </w:rPr>
            </w:pPr>
            <w:r>
              <w:rPr>
                <w:rFonts w:hint="eastAsia" w:ascii="宋体" w:hAnsi="宋体" w:cs="宋体"/>
                <w:sz w:val="24"/>
                <w:szCs w:val="24"/>
              </w:rPr>
              <w:t>服务承诺最为合理可行完整，得5-10分;服务承诺基本可行但有瑕疵，得2-4分;服务承诺可行性较低，得1-3分。未提供不得分。</w:t>
            </w:r>
          </w:p>
        </w:tc>
        <w:tc>
          <w:tcPr>
            <w:tcW w:w="553" w:type="pct"/>
            <w:tcBorders>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trPr>
        <w:tc>
          <w:tcPr>
            <w:tcW w:w="522" w:type="pct"/>
            <w:vMerge w:val="continue"/>
          </w:tcPr>
          <w:p>
            <w:pPr>
              <w:jc w:val="left"/>
              <w:rPr>
                <w:rFonts w:ascii="宋体" w:hAnsi="宋体" w:cs="宋体"/>
                <w:color w:val="FF0000"/>
                <w:sz w:val="24"/>
                <w:szCs w:val="24"/>
                <w:highlight w:val="yellow"/>
              </w:rPr>
            </w:pPr>
          </w:p>
        </w:tc>
        <w:tc>
          <w:tcPr>
            <w:tcW w:w="1165" w:type="pct"/>
            <w:vMerge w:val="continue"/>
            <w:vAlign w:val="center"/>
          </w:tcPr>
          <w:p>
            <w:pPr>
              <w:jc w:val="center"/>
              <w:rPr>
                <w:rFonts w:ascii="宋体" w:hAnsi="宋体" w:cs="宋体"/>
                <w:sz w:val="24"/>
                <w:szCs w:val="24"/>
                <w:highlight w:val="yellow"/>
              </w:rPr>
            </w:pPr>
          </w:p>
        </w:tc>
        <w:tc>
          <w:tcPr>
            <w:tcW w:w="2758" w:type="pct"/>
            <w:vAlign w:val="center"/>
          </w:tcPr>
          <w:p>
            <w:pPr>
              <w:rPr>
                <w:rFonts w:ascii="宋体" w:hAnsi="宋体" w:cs="宋体"/>
                <w:sz w:val="24"/>
                <w:szCs w:val="24"/>
              </w:rPr>
            </w:pPr>
            <w:r>
              <w:rPr>
                <w:rFonts w:hint="eastAsia" w:ascii="宋体" w:hAnsi="宋体" w:cs="宋体"/>
                <w:sz w:val="24"/>
                <w:szCs w:val="24"/>
              </w:rPr>
              <w:t>提供完整的售后服务方案，方案条理清晰，服务项目条款描述细致明晰得5-10分；方案基本能够保证项目售后效果并能体现售后服务理念得0-4分；不能提供项目售后服务方案，或方案内容不符合招标文件售后服务要求，不得分。</w:t>
            </w:r>
          </w:p>
        </w:tc>
        <w:tc>
          <w:tcPr>
            <w:tcW w:w="553" w:type="pct"/>
            <w:tcBorders>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5000" w:type="pct"/>
            <w:gridSpan w:val="4"/>
            <w:tcBorders>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备注：</w:t>
            </w:r>
          </w:p>
          <w:p>
            <w:pPr>
              <w:jc w:val="left"/>
              <w:rPr>
                <w:rFonts w:ascii="宋体" w:hAnsi="宋体" w:cs="宋体"/>
                <w:sz w:val="24"/>
                <w:szCs w:val="24"/>
              </w:rPr>
            </w:pPr>
            <w:r>
              <w:rPr>
                <w:rFonts w:hint="eastAsia" w:ascii="宋体" w:hAnsi="宋体" w:cs="宋体"/>
                <w:sz w:val="24"/>
                <w:szCs w:val="24"/>
              </w:rPr>
              <w:t xml:space="preserve">1、专家根据投标文件中投标人提供的资料在分值范围内进行评议； </w:t>
            </w:r>
          </w:p>
          <w:p>
            <w:pPr>
              <w:jc w:val="left"/>
              <w:rPr>
                <w:rFonts w:ascii="宋体" w:hAnsi="宋体" w:cs="宋体"/>
                <w:sz w:val="24"/>
                <w:szCs w:val="24"/>
              </w:rPr>
            </w:pPr>
            <w:r>
              <w:rPr>
                <w:rFonts w:hint="eastAsia" w:ascii="宋体" w:hAnsi="宋体" w:cs="宋体"/>
                <w:sz w:val="24"/>
                <w:szCs w:val="24"/>
              </w:rPr>
              <w:t>2、得分保留两位小数。</w:t>
            </w:r>
          </w:p>
        </w:tc>
      </w:tr>
    </w:tbl>
    <w:p>
      <w:pPr>
        <w:pStyle w:val="20"/>
        <w:rPr>
          <w:rFonts w:ascii="宋体" w:hAnsi="宋体" w:cs="宋体"/>
          <w:b/>
          <w:bCs/>
          <w:sz w:val="24"/>
          <w:szCs w:val="24"/>
        </w:rPr>
      </w:pPr>
    </w:p>
    <w:p>
      <w:pPr>
        <w:pStyle w:val="3"/>
        <w:spacing w:line="240" w:lineRule="auto"/>
        <w:jc w:val="left"/>
        <w:rPr>
          <w:rStyle w:val="64"/>
          <w:rFonts w:ascii="仿宋" w:hAnsi="仿宋" w:eastAsia="仿宋" w:cs="仿宋"/>
          <w:bCs w:val="0"/>
          <w:sz w:val="24"/>
          <w:szCs w:val="24"/>
        </w:rPr>
      </w:pPr>
      <w:r>
        <w:rPr>
          <w:rFonts w:hint="eastAsia" w:ascii="仿宋" w:hAnsi="仿宋" w:eastAsia="仿宋" w:cs="仿宋"/>
          <w:sz w:val="24"/>
          <w:szCs w:val="24"/>
        </w:rPr>
        <w:t>标项三：</w:t>
      </w:r>
      <w:r>
        <w:rPr>
          <w:rStyle w:val="64"/>
          <w:rFonts w:hint="eastAsia" w:ascii="仿宋" w:hAnsi="仿宋" w:eastAsia="仿宋" w:cs="仿宋"/>
          <w:bCs w:val="0"/>
          <w:sz w:val="24"/>
          <w:szCs w:val="24"/>
        </w:rPr>
        <w:t>评 分 细 则</w:t>
      </w:r>
    </w:p>
    <w:tbl>
      <w:tblPr>
        <w:tblStyle w:val="29"/>
        <w:tblW w:w="4947" w:type="pct"/>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767"/>
        <w:gridCol w:w="5360"/>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652" w:type="pct"/>
            <w:vAlign w:val="center"/>
          </w:tcPr>
          <w:p>
            <w:pPr>
              <w:spacing w:before="50" w:after="50"/>
              <w:jc w:val="center"/>
              <w:rPr>
                <w:rFonts w:ascii="宋体" w:hAnsi="宋体" w:cs="宋体"/>
                <w:b/>
                <w:sz w:val="24"/>
                <w:szCs w:val="24"/>
              </w:rPr>
            </w:pPr>
            <w:r>
              <w:rPr>
                <w:rFonts w:hint="eastAsia" w:ascii="宋体" w:hAnsi="宋体" w:cs="宋体"/>
                <w:b/>
                <w:sz w:val="24"/>
                <w:szCs w:val="24"/>
              </w:rPr>
              <w:t>评标</w:t>
            </w:r>
          </w:p>
          <w:p>
            <w:pPr>
              <w:spacing w:before="50" w:after="50"/>
              <w:jc w:val="center"/>
              <w:rPr>
                <w:rFonts w:ascii="宋体" w:hAnsi="宋体" w:cs="宋体"/>
                <w:b/>
                <w:sz w:val="24"/>
                <w:szCs w:val="24"/>
              </w:rPr>
            </w:pPr>
            <w:r>
              <w:rPr>
                <w:rFonts w:hint="eastAsia" w:ascii="宋体" w:hAnsi="宋体" w:cs="宋体"/>
                <w:b/>
                <w:sz w:val="24"/>
                <w:szCs w:val="24"/>
              </w:rPr>
              <w:t>指标</w:t>
            </w:r>
          </w:p>
        </w:tc>
        <w:tc>
          <w:tcPr>
            <w:tcW w:w="3877" w:type="pct"/>
            <w:gridSpan w:val="2"/>
            <w:tcBorders>
              <w:right w:val="single" w:color="auto" w:sz="4" w:space="0"/>
            </w:tcBorders>
            <w:vAlign w:val="center"/>
          </w:tcPr>
          <w:p>
            <w:pPr>
              <w:spacing w:before="50" w:after="50"/>
              <w:jc w:val="center"/>
              <w:rPr>
                <w:rFonts w:ascii="宋体" w:hAnsi="宋体" w:cs="宋体"/>
                <w:b/>
                <w:sz w:val="24"/>
                <w:szCs w:val="24"/>
              </w:rPr>
            </w:pPr>
            <w:r>
              <w:rPr>
                <w:rFonts w:hint="eastAsia" w:ascii="宋体" w:hAnsi="宋体" w:cs="宋体"/>
                <w:b/>
                <w:sz w:val="24"/>
                <w:szCs w:val="24"/>
              </w:rPr>
              <w:t>评议内容</w:t>
            </w:r>
          </w:p>
        </w:tc>
        <w:tc>
          <w:tcPr>
            <w:tcW w:w="471" w:type="pct"/>
            <w:tcBorders>
              <w:right w:val="single" w:color="auto" w:sz="4" w:space="0"/>
            </w:tcBorders>
            <w:vAlign w:val="center"/>
          </w:tcPr>
          <w:p>
            <w:pPr>
              <w:spacing w:before="50" w:after="50"/>
              <w:jc w:val="center"/>
              <w:rPr>
                <w:rFonts w:ascii="宋体" w:hAnsi="宋体" w:cs="宋体"/>
                <w:b/>
                <w:sz w:val="24"/>
                <w:szCs w:val="24"/>
              </w:rPr>
            </w:pPr>
            <w:r>
              <w:rPr>
                <w:rFonts w:hint="eastAsia" w:ascii="宋体" w:hAnsi="宋体" w:cs="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9" w:hRule="atLeast"/>
        </w:trPr>
        <w:tc>
          <w:tcPr>
            <w:tcW w:w="652" w:type="pct"/>
            <w:vAlign w:val="center"/>
          </w:tcPr>
          <w:p>
            <w:pPr>
              <w:jc w:val="center"/>
              <w:rPr>
                <w:rFonts w:ascii="宋体" w:hAnsi="宋体" w:cs="宋体"/>
                <w:b/>
                <w:sz w:val="24"/>
                <w:szCs w:val="24"/>
              </w:rPr>
            </w:pPr>
            <w:r>
              <w:rPr>
                <w:rFonts w:hint="eastAsia" w:ascii="宋体" w:hAnsi="宋体" w:cs="宋体"/>
                <w:b/>
                <w:sz w:val="24"/>
                <w:szCs w:val="24"/>
              </w:rPr>
              <w:t>报价得分（10分）</w:t>
            </w:r>
          </w:p>
        </w:tc>
        <w:tc>
          <w:tcPr>
            <w:tcW w:w="3877" w:type="pct"/>
            <w:gridSpan w:val="2"/>
            <w:tcBorders>
              <w:right w:val="single" w:color="auto" w:sz="4" w:space="0"/>
            </w:tcBorders>
            <w:vAlign w:val="center"/>
          </w:tcPr>
          <w:p>
            <w:pPr>
              <w:spacing w:before="50" w:after="50"/>
              <w:jc w:val="left"/>
              <w:rPr>
                <w:rFonts w:ascii="宋体" w:hAnsi="宋体" w:cs="宋体"/>
                <w:sz w:val="24"/>
                <w:szCs w:val="24"/>
              </w:rPr>
            </w:pPr>
            <w:r>
              <w:rPr>
                <w:rFonts w:hint="eastAsia" w:ascii="宋体" w:hAnsi="宋体" w:cs="宋体"/>
                <w:sz w:val="24"/>
                <w:szCs w:val="24"/>
              </w:rPr>
              <w:t>价格分应当采用低价优先法计算，即满足招标文件要求且最终投标价格最低的有效投标报价为评标基准价，其价格分为满分。其他投标人的价格分统一按照下列公式计算：</w:t>
            </w:r>
          </w:p>
          <w:p>
            <w:pPr>
              <w:spacing w:line="290" w:lineRule="exact"/>
              <w:jc w:val="left"/>
              <w:rPr>
                <w:rFonts w:ascii="宋体" w:hAnsi="宋体" w:cs="宋体"/>
                <w:sz w:val="24"/>
                <w:szCs w:val="24"/>
              </w:rPr>
            </w:pPr>
            <w:r>
              <w:rPr>
                <w:rFonts w:hint="eastAsia" w:ascii="宋体" w:hAnsi="宋体" w:cs="宋体"/>
                <w:sz w:val="24"/>
                <w:szCs w:val="24"/>
              </w:rPr>
              <w:t>投标报价得分=(评标基准价/投标报价)×100*10%</w:t>
            </w:r>
          </w:p>
          <w:p>
            <w:pPr>
              <w:spacing w:before="50" w:after="50"/>
              <w:jc w:val="left"/>
              <w:rPr>
                <w:rFonts w:ascii="宋体" w:hAnsi="宋体" w:cs="宋体"/>
                <w:sz w:val="24"/>
                <w:szCs w:val="24"/>
              </w:rPr>
            </w:pPr>
            <w:r>
              <w:rPr>
                <w:rFonts w:hint="eastAsia" w:ascii="宋体" w:hAnsi="宋体" w:cs="宋体"/>
                <w:b/>
                <w:sz w:val="24"/>
                <w:szCs w:val="24"/>
              </w:rPr>
              <w:t>根据新财购 〔2022〕22号文，对小型和微型企业的产品价格给予10%的扣除，用扣除后的价格参与评审。（投标人为中小企业的，需提供《中小企业声明函》等证明文件）。</w:t>
            </w:r>
          </w:p>
        </w:tc>
        <w:tc>
          <w:tcPr>
            <w:tcW w:w="471" w:type="pct"/>
            <w:tcBorders>
              <w:right w:val="single" w:color="auto" w:sz="4" w:space="0"/>
            </w:tcBorders>
            <w:vAlign w:val="center"/>
          </w:tcPr>
          <w:p>
            <w:pPr>
              <w:spacing w:before="50" w:after="50"/>
              <w:jc w:val="center"/>
              <w:rPr>
                <w:rFonts w:ascii="宋体" w:hAnsi="宋体" w:cs="宋体"/>
                <w:sz w:val="24"/>
                <w:szCs w:val="24"/>
              </w:rPr>
            </w:pPr>
            <w:r>
              <w:rPr>
                <w:rFonts w:hint="eastAsia" w:ascii="宋体" w:hAnsi="宋体" w:cs="宋体"/>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trPr>
        <w:tc>
          <w:tcPr>
            <w:tcW w:w="652" w:type="pct"/>
            <w:vMerge w:val="restart"/>
            <w:vAlign w:val="center"/>
          </w:tcPr>
          <w:p>
            <w:pPr>
              <w:jc w:val="center"/>
              <w:rPr>
                <w:rFonts w:ascii="宋体" w:hAnsi="宋体" w:cs="宋体"/>
                <w:b/>
                <w:sz w:val="24"/>
                <w:szCs w:val="24"/>
              </w:rPr>
            </w:pPr>
            <w:r>
              <w:rPr>
                <w:rFonts w:hint="eastAsia" w:ascii="宋体" w:hAnsi="宋体" w:cs="宋体"/>
                <w:b/>
                <w:sz w:val="24"/>
                <w:szCs w:val="24"/>
              </w:rPr>
              <w:t>商</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务</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技</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术</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评</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审</w:t>
            </w:r>
          </w:p>
          <w:p>
            <w:pPr>
              <w:jc w:val="center"/>
              <w:rPr>
                <w:rFonts w:ascii="宋体" w:hAnsi="宋体" w:cs="宋体"/>
                <w:b/>
                <w:sz w:val="24"/>
                <w:szCs w:val="24"/>
              </w:rPr>
            </w:pPr>
          </w:p>
          <w:p>
            <w:pPr>
              <w:jc w:val="center"/>
              <w:rPr>
                <w:rFonts w:ascii="宋体" w:hAnsi="宋体" w:cs="宋体"/>
                <w:b/>
                <w:sz w:val="24"/>
                <w:szCs w:val="24"/>
                <w:highlight w:val="yellow"/>
              </w:rPr>
            </w:pPr>
            <w:r>
              <w:rPr>
                <w:rFonts w:hint="eastAsia" w:ascii="宋体" w:hAnsi="宋体" w:cs="宋体"/>
                <w:b/>
                <w:sz w:val="24"/>
                <w:szCs w:val="24"/>
              </w:rPr>
              <w:t>（90分）</w:t>
            </w:r>
          </w:p>
        </w:tc>
        <w:tc>
          <w:tcPr>
            <w:tcW w:w="961" w:type="pct"/>
            <w:vMerge w:val="restart"/>
            <w:vAlign w:val="center"/>
          </w:tcPr>
          <w:p>
            <w:pPr>
              <w:spacing w:before="50" w:after="50"/>
              <w:jc w:val="center"/>
              <w:rPr>
                <w:rFonts w:ascii="宋体" w:hAnsi="宋体" w:cs="宋体"/>
                <w:sz w:val="24"/>
                <w:szCs w:val="24"/>
                <w:highlight w:val="yellow"/>
              </w:rPr>
            </w:pPr>
            <w:r>
              <w:rPr>
                <w:rFonts w:hint="eastAsia" w:ascii="宋体" w:hAnsi="宋体" w:cs="宋体"/>
                <w:sz w:val="24"/>
                <w:szCs w:val="24"/>
              </w:rPr>
              <w:t>商务部分（20分）</w:t>
            </w:r>
          </w:p>
        </w:tc>
        <w:tc>
          <w:tcPr>
            <w:tcW w:w="2916" w:type="pct"/>
          </w:tcPr>
          <w:p>
            <w:pPr>
              <w:spacing w:before="50" w:after="50"/>
              <w:jc w:val="left"/>
              <w:rPr>
                <w:rFonts w:ascii="宋体" w:hAnsi="宋体" w:cs="宋体"/>
                <w:sz w:val="24"/>
                <w:szCs w:val="24"/>
              </w:rPr>
            </w:pPr>
            <w:r>
              <w:rPr>
                <w:rFonts w:hint="eastAsia" w:ascii="宋体" w:hAnsi="宋体" w:cs="宋体"/>
                <w:sz w:val="24"/>
                <w:szCs w:val="24"/>
              </w:rPr>
              <w:t>供应商自2020年至今已完成的类似项目业绩。每提供一项得2分， 最高得10分。需提供中标通知书或合同原件扫描件。</w:t>
            </w:r>
          </w:p>
        </w:tc>
        <w:tc>
          <w:tcPr>
            <w:tcW w:w="471" w:type="pct"/>
            <w:tcBorders>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trPr>
        <w:tc>
          <w:tcPr>
            <w:tcW w:w="652" w:type="pct"/>
            <w:vMerge w:val="continue"/>
            <w:vAlign w:val="center"/>
          </w:tcPr>
          <w:p>
            <w:pPr>
              <w:jc w:val="left"/>
              <w:rPr>
                <w:rFonts w:ascii="宋体" w:hAnsi="宋体" w:cs="宋体"/>
                <w:b/>
                <w:sz w:val="24"/>
                <w:szCs w:val="24"/>
                <w:highlight w:val="yellow"/>
              </w:rPr>
            </w:pPr>
          </w:p>
        </w:tc>
        <w:tc>
          <w:tcPr>
            <w:tcW w:w="961" w:type="pct"/>
            <w:vMerge w:val="continue"/>
            <w:vAlign w:val="center"/>
          </w:tcPr>
          <w:p>
            <w:pPr>
              <w:jc w:val="center"/>
              <w:rPr>
                <w:rFonts w:ascii="宋体" w:hAnsi="宋体" w:cs="宋体"/>
                <w:sz w:val="24"/>
                <w:szCs w:val="24"/>
                <w:highlight w:val="yellow"/>
              </w:rPr>
            </w:pPr>
          </w:p>
        </w:tc>
        <w:tc>
          <w:tcPr>
            <w:tcW w:w="2916" w:type="pct"/>
            <w:vAlign w:val="center"/>
          </w:tcPr>
          <w:p>
            <w:pPr>
              <w:pStyle w:val="10"/>
              <w:rPr>
                <w:rFonts w:ascii="宋体" w:hAnsi="宋体" w:cs="宋体"/>
                <w:sz w:val="24"/>
              </w:rPr>
            </w:pPr>
            <w:r>
              <w:rPr>
                <w:rFonts w:hint="eastAsia" w:ascii="宋体" w:hAnsi="宋体" w:cs="宋体"/>
                <w:sz w:val="24"/>
              </w:rPr>
              <w:t>拟投入运维人员须具备环境或化工类中级职称，每提供一个得2分（提供人员的相关证书以及近三个月企业为该人员缴纳社保的证明材料，无相关证书或社保证明材料均不得分）满分10分。</w:t>
            </w:r>
          </w:p>
        </w:tc>
        <w:tc>
          <w:tcPr>
            <w:tcW w:w="471" w:type="pct"/>
            <w:tcBorders>
              <w:right w:val="single" w:color="auto" w:sz="4" w:space="0"/>
            </w:tcBorders>
            <w:vAlign w:val="center"/>
          </w:tcPr>
          <w:p>
            <w:pPr>
              <w:jc w:val="center"/>
              <w:rPr>
                <w:rFonts w:ascii="宋体" w:hAnsi="宋体" w:cs="宋体"/>
                <w:sz w:val="24"/>
                <w:szCs w:val="24"/>
                <w:highlight w:val="yellow"/>
              </w:rPr>
            </w:pPr>
            <w:r>
              <w:rPr>
                <w:rFonts w:hint="eastAsia" w:ascii="宋体" w:hAnsi="宋体" w:cs="宋体"/>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652" w:type="pct"/>
            <w:vMerge w:val="continue"/>
            <w:vAlign w:val="center"/>
          </w:tcPr>
          <w:p>
            <w:pPr>
              <w:jc w:val="left"/>
              <w:rPr>
                <w:rFonts w:ascii="宋体" w:hAnsi="宋体" w:cs="宋体"/>
                <w:b/>
                <w:sz w:val="24"/>
                <w:szCs w:val="24"/>
                <w:highlight w:val="yellow"/>
              </w:rPr>
            </w:pPr>
          </w:p>
        </w:tc>
        <w:tc>
          <w:tcPr>
            <w:tcW w:w="961" w:type="pct"/>
            <w:vMerge w:val="restart"/>
            <w:vAlign w:val="center"/>
          </w:tcPr>
          <w:p>
            <w:pPr>
              <w:jc w:val="center"/>
              <w:rPr>
                <w:rFonts w:ascii="宋体" w:hAnsi="宋体" w:cs="宋体"/>
                <w:sz w:val="24"/>
                <w:szCs w:val="24"/>
                <w:highlight w:val="yellow"/>
              </w:rPr>
            </w:pPr>
            <w:r>
              <w:rPr>
                <w:rFonts w:hint="eastAsia" w:ascii="宋体" w:hAnsi="宋体" w:cs="宋体"/>
                <w:sz w:val="24"/>
                <w:szCs w:val="24"/>
              </w:rPr>
              <w:t>技术部分（70分）</w:t>
            </w:r>
          </w:p>
        </w:tc>
        <w:tc>
          <w:tcPr>
            <w:tcW w:w="2916" w:type="pct"/>
            <w:vAlign w:val="center"/>
          </w:tcPr>
          <w:p>
            <w:pPr>
              <w:jc w:val="left"/>
              <w:rPr>
                <w:rFonts w:ascii="宋体" w:hAnsi="宋体" w:cs="宋体"/>
                <w:sz w:val="24"/>
                <w:szCs w:val="24"/>
              </w:rPr>
            </w:pPr>
            <w:r>
              <w:rPr>
                <w:rFonts w:hint="eastAsia" w:ascii="宋体" w:hAnsi="宋体" w:cs="宋体"/>
                <w:sz w:val="24"/>
                <w:szCs w:val="24"/>
              </w:rPr>
              <w:t>检测设备运行与维护方案合理、部署全面，关键节点控制措施可行，项目管理人员配备完善齐全并合理，得20-30分；</w:t>
            </w:r>
          </w:p>
          <w:p>
            <w:pPr>
              <w:jc w:val="left"/>
              <w:rPr>
                <w:rFonts w:ascii="宋体" w:hAnsi="宋体" w:cs="宋体"/>
                <w:sz w:val="24"/>
                <w:szCs w:val="24"/>
              </w:rPr>
            </w:pPr>
            <w:r>
              <w:rPr>
                <w:rFonts w:hint="eastAsia" w:ascii="宋体" w:hAnsi="宋体" w:cs="宋体"/>
                <w:sz w:val="24"/>
                <w:szCs w:val="24"/>
              </w:rPr>
              <w:t>检测设备运行与维护方案合理、部署全面，关键节点控制措施合理，项目管理人员配备齐全并合理，得10-19分；</w:t>
            </w:r>
          </w:p>
          <w:p>
            <w:pPr>
              <w:jc w:val="left"/>
              <w:rPr>
                <w:rFonts w:ascii="宋体" w:hAnsi="宋体" w:cs="宋体"/>
                <w:sz w:val="24"/>
                <w:szCs w:val="24"/>
                <w:highlight w:val="yellow"/>
              </w:rPr>
            </w:pPr>
            <w:r>
              <w:rPr>
                <w:rFonts w:hint="eastAsia" w:ascii="宋体" w:hAnsi="宋体" w:cs="宋体"/>
                <w:sz w:val="24"/>
                <w:szCs w:val="24"/>
              </w:rPr>
              <w:t>检测设备运行与维护方案合理、部署一般，项目管理人员配备不太齐全，得0-9分。未提供不得分。</w:t>
            </w:r>
          </w:p>
        </w:tc>
        <w:tc>
          <w:tcPr>
            <w:tcW w:w="471" w:type="pct"/>
            <w:tcBorders>
              <w:right w:val="single" w:color="auto" w:sz="4" w:space="0"/>
            </w:tcBorders>
            <w:vAlign w:val="center"/>
          </w:tcPr>
          <w:p>
            <w:pPr>
              <w:jc w:val="center"/>
              <w:rPr>
                <w:rFonts w:ascii="宋体" w:hAnsi="宋体" w:cs="宋体"/>
                <w:sz w:val="24"/>
                <w:szCs w:val="24"/>
                <w:highlight w:val="yellow"/>
              </w:rPr>
            </w:pPr>
            <w:r>
              <w:rPr>
                <w:rFonts w:hint="eastAsia" w:ascii="宋体" w:hAnsi="宋体" w:cs="宋体"/>
                <w:sz w:val="24"/>
                <w:szCs w:val="24"/>
              </w:rPr>
              <w:t>0-30分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652" w:type="pct"/>
            <w:vMerge w:val="continue"/>
            <w:vAlign w:val="center"/>
          </w:tcPr>
          <w:p>
            <w:pPr>
              <w:jc w:val="left"/>
              <w:rPr>
                <w:rFonts w:ascii="宋体" w:hAnsi="宋体" w:cs="宋体"/>
                <w:b/>
                <w:color w:val="FF0000"/>
                <w:sz w:val="24"/>
                <w:szCs w:val="24"/>
                <w:highlight w:val="yellow"/>
              </w:rPr>
            </w:pPr>
          </w:p>
        </w:tc>
        <w:tc>
          <w:tcPr>
            <w:tcW w:w="961" w:type="pct"/>
            <w:vMerge w:val="continue"/>
            <w:vAlign w:val="center"/>
          </w:tcPr>
          <w:p>
            <w:pPr>
              <w:widowControl/>
              <w:jc w:val="center"/>
              <w:rPr>
                <w:rFonts w:ascii="宋体" w:hAnsi="宋体" w:cs="宋体"/>
                <w:sz w:val="24"/>
                <w:szCs w:val="24"/>
                <w:highlight w:val="yellow"/>
                <w:lang w:val="zh-CN"/>
              </w:rPr>
            </w:pPr>
          </w:p>
        </w:tc>
        <w:tc>
          <w:tcPr>
            <w:tcW w:w="2916" w:type="pct"/>
            <w:vAlign w:val="center"/>
          </w:tcPr>
          <w:p>
            <w:pPr>
              <w:jc w:val="left"/>
              <w:rPr>
                <w:rFonts w:ascii="宋体" w:hAnsi="宋体" w:cs="宋体"/>
                <w:sz w:val="24"/>
                <w:szCs w:val="24"/>
                <w:highlight w:val="yellow"/>
              </w:rPr>
            </w:pPr>
            <w:r>
              <w:rPr>
                <w:rFonts w:hint="eastAsia" w:ascii="宋体" w:hAnsi="宋体" w:cs="宋体"/>
                <w:sz w:val="24"/>
                <w:szCs w:val="24"/>
              </w:rPr>
              <w:t>针对本项目特点和实际需求，提供的管理制度及档案管理方案，管理规章制度及档案管理方案全面完善，科学性、合理性强，得5-8分；管理规章制度及档案管理完整，科学性、合理性良好，得2-4分；管理规章制度及档案管理基本完整，科学性、合理性较差，得1-3分； 未提供方案不得分。</w:t>
            </w:r>
          </w:p>
        </w:tc>
        <w:tc>
          <w:tcPr>
            <w:tcW w:w="471" w:type="pct"/>
            <w:tcBorders>
              <w:right w:val="single" w:color="auto" w:sz="4" w:space="0"/>
            </w:tcBorders>
            <w:vAlign w:val="center"/>
          </w:tcPr>
          <w:p>
            <w:pPr>
              <w:jc w:val="center"/>
              <w:rPr>
                <w:rFonts w:ascii="宋体" w:hAnsi="宋体" w:cs="宋体"/>
                <w:color w:val="FF0000"/>
                <w:sz w:val="24"/>
                <w:szCs w:val="24"/>
                <w:highlight w:val="yellow"/>
              </w:rPr>
            </w:pPr>
            <w:r>
              <w:rPr>
                <w:rFonts w:hint="eastAsia" w:ascii="宋体" w:hAnsi="宋体" w:cs="宋体"/>
                <w:sz w:val="24"/>
                <w:szCs w:val="24"/>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rPr>
        <w:tc>
          <w:tcPr>
            <w:tcW w:w="652" w:type="pct"/>
            <w:vMerge w:val="continue"/>
            <w:vAlign w:val="center"/>
          </w:tcPr>
          <w:p>
            <w:pPr>
              <w:jc w:val="left"/>
              <w:rPr>
                <w:rFonts w:ascii="宋体" w:hAnsi="宋体" w:cs="宋体"/>
                <w:b/>
                <w:color w:val="FF0000"/>
                <w:sz w:val="24"/>
                <w:szCs w:val="24"/>
                <w:highlight w:val="yellow"/>
              </w:rPr>
            </w:pPr>
          </w:p>
        </w:tc>
        <w:tc>
          <w:tcPr>
            <w:tcW w:w="961" w:type="pct"/>
            <w:vMerge w:val="continue"/>
            <w:vAlign w:val="center"/>
          </w:tcPr>
          <w:p>
            <w:pPr>
              <w:jc w:val="center"/>
              <w:rPr>
                <w:rFonts w:ascii="宋体" w:hAnsi="宋体" w:cs="宋体"/>
                <w:sz w:val="24"/>
                <w:szCs w:val="24"/>
                <w:highlight w:val="yellow"/>
              </w:rPr>
            </w:pPr>
          </w:p>
        </w:tc>
        <w:tc>
          <w:tcPr>
            <w:tcW w:w="2916" w:type="pct"/>
            <w:vAlign w:val="center"/>
          </w:tcPr>
          <w:p>
            <w:pPr>
              <w:jc w:val="left"/>
              <w:rPr>
                <w:rFonts w:ascii="宋体" w:hAnsi="宋体" w:cs="宋体"/>
                <w:sz w:val="24"/>
                <w:szCs w:val="24"/>
              </w:rPr>
            </w:pPr>
            <w:r>
              <w:rPr>
                <w:rFonts w:hint="eastAsia" w:ascii="宋体" w:hAnsi="宋体" w:cs="宋体"/>
                <w:sz w:val="24"/>
                <w:szCs w:val="24"/>
              </w:rPr>
              <w:t>应急预案编制合理，切实可行，对突发事故应对措施完善得8-12分，</w:t>
            </w:r>
          </w:p>
          <w:p>
            <w:pPr>
              <w:jc w:val="left"/>
              <w:rPr>
                <w:rFonts w:ascii="宋体" w:hAnsi="宋体" w:cs="宋体"/>
                <w:sz w:val="24"/>
                <w:szCs w:val="24"/>
              </w:rPr>
            </w:pPr>
            <w:r>
              <w:rPr>
                <w:rFonts w:hint="eastAsia" w:ascii="宋体" w:hAnsi="宋体" w:cs="宋体"/>
                <w:sz w:val="24"/>
                <w:szCs w:val="24"/>
              </w:rPr>
              <w:t>应急预案编制合理，切实可行，对突发事故应对措施完善一般4-7分，</w:t>
            </w:r>
          </w:p>
          <w:p>
            <w:pPr>
              <w:jc w:val="left"/>
              <w:rPr>
                <w:rFonts w:ascii="宋体" w:hAnsi="宋体" w:cs="宋体"/>
                <w:sz w:val="24"/>
                <w:szCs w:val="24"/>
                <w:highlight w:val="yellow"/>
              </w:rPr>
            </w:pPr>
            <w:r>
              <w:rPr>
                <w:rFonts w:hint="eastAsia" w:ascii="宋体" w:hAnsi="宋体" w:cs="宋体"/>
                <w:sz w:val="24"/>
                <w:szCs w:val="24"/>
              </w:rPr>
              <w:t>应急预案编制合理，切实可行，对突发事故应对措施完善差1-3分。未提供不得分。</w:t>
            </w:r>
          </w:p>
        </w:tc>
        <w:tc>
          <w:tcPr>
            <w:tcW w:w="471" w:type="pct"/>
            <w:tcBorders>
              <w:right w:val="single" w:color="auto" w:sz="4" w:space="0"/>
            </w:tcBorders>
            <w:vAlign w:val="center"/>
          </w:tcPr>
          <w:p>
            <w:pPr>
              <w:jc w:val="center"/>
              <w:rPr>
                <w:rFonts w:ascii="宋体" w:hAnsi="宋体" w:cs="宋体"/>
                <w:sz w:val="24"/>
                <w:szCs w:val="24"/>
                <w:highlight w:val="yellow"/>
              </w:rPr>
            </w:pPr>
            <w:r>
              <w:rPr>
                <w:rFonts w:hint="eastAsia" w:ascii="宋体" w:hAnsi="宋体" w:cs="宋体"/>
                <w:sz w:val="24"/>
                <w:szCs w:val="24"/>
              </w:rPr>
              <w:t>0-12分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3" w:hRule="atLeast"/>
        </w:trPr>
        <w:tc>
          <w:tcPr>
            <w:tcW w:w="652" w:type="pct"/>
            <w:vMerge w:val="continue"/>
            <w:vAlign w:val="center"/>
          </w:tcPr>
          <w:p>
            <w:pPr>
              <w:jc w:val="left"/>
              <w:rPr>
                <w:rFonts w:ascii="宋体" w:hAnsi="宋体" w:cs="宋体"/>
                <w:b/>
                <w:color w:val="FF0000"/>
                <w:sz w:val="24"/>
                <w:szCs w:val="24"/>
                <w:highlight w:val="yellow"/>
              </w:rPr>
            </w:pPr>
          </w:p>
        </w:tc>
        <w:tc>
          <w:tcPr>
            <w:tcW w:w="961" w:type="pct"/>
            <w:vMerge w:val="continue"/>
            <w:vAlign w:val="center"/>
          </w:tcPr>
          <w:p>
            <w:pPr>
              <w:jc w:val="center"/>
              <w:rPr>
                <w:rFonts w:ascii="宋体" w:hAnsi="宋体" w:cs="宋体"/>
                <w:sz w:val="24"/>
                <w:szCs w:val="24"/>
                <w:highlight w:val="yellow"/>
              </w:rPr>
            </w:pPr>
          </w:p>
        </w:tc>
        <w:tc>
          <w:tcPr>
            <w:tcW w:w="2916" w:type="pct"/>
            <w:vAlign w:val="center"/>
          </w:tcPr>
          <w:p>
            <w:pPr>
              <w:jc w:val="left"/>
              <w:rPr>
                <w:rFonts w:ascii="宋体" w:hAnsi="宋体" w:cs="宋体"/>
                <w:sz w:val="24"/>
                <w:szCs w:val="24"/>
              </w:rPr>
            </w:pPr>
            <w:r>
              <w:rPr>
                <w:rFonts w:hint="eastAsia" w:ascii="宋体" w:hAnsi="宋体" w:cs="宋体"/>
                <w:sz w:val="24"/>
                <w:szCs w:val="24"/>
              </w:rPr>
              <w:t>服务承诺最为合理可行完整，得8-10分;服务承诺基本可行但有瑕疵，得4-7分;服务承诺可行性较低，得1-3分。未提供不得分。</w:t>
            </w:r>
          </w:p>
        </w:tc>
        <w:tc>
          <w:tcPr>
            <w:tcW w:w="471" w:type="pct"/>
            <w:tcBorders>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trPr>
        <w:tc>
          <w:tcPr>
            <w:tcW w:w="652" w:type="pct"/>
            <w:vMerge w:val="continue"/>
          </w:tcPr>
          <w:p>
            <w:pPr>
              <w:jc w:val="left"/>
              <w:rPr>
                <w:rFonts w:ascii="宋体" w:hAnsi="宋体" w:cs="宋体"/>
                <w:color w:val="FF0000"/>
                <w:sz w:val="24"/>
                <w:szCs w:val="24"/>
                <w:highlight w:val="yellow"/>
              </w:rPr>
            </w:pPr>
          </w:p>
        </w:tc>
        <w:tc>
          <w:tcPr>
            <w:tcW w:w="961" w:type="pct"/>
            <w:vMerge w:val="continue"/>
            <w:vAlign w:val="center"/>
          </w:tcPr>
          <w:p>
            <w:pPr>
              <w:jc w:val="center"/>
              <w:rPr>
                <w:rFonts w:ascii="宋体" w:hAnsi="宋体" w:cs="宋体"/>
                <w:sz w:val="24"/>
                <w:szCs w:val="24"/>
                <w:highlight w:val="yellow"/>
              </w:rPr>
            </w:pPr>
          </w:p>
        </w:tc>
        <w:tc>
          <w:tcPr>
            <w:tcW w:w="2916" w:type="pct"/>
            <w:vAlign w:val="center"/>
          </w:tcPr>
          <w:p>
            <w:pPr>
              <w:rPr>
                <w:rFonts w:ascii="宋体" w:hAnsi="宋体" w:cs="宋体"/>
                <w:sz w:val="24"/>
                <w:szCs w:val="24"/>
              </w:rPr>
            </w:pPr>
            <w:r>
              <w:rPr>
                <w:rFonts w:hint="eastAsia" w:ascii="宋体" w:hAnsi="宋体" w:cs="宋体"/>
                <w:sz w:val="24"/>
                <w:szCs w:val="24"/>
              </w:rPr>
              <w:t>污水处理设施和检测数据出现异常时为甲方提供技术支持和咨询服务，方案编制合理，完全符合实际情况，针对性强得8-10分；</w:t>
            </w:r>
          </w:p>
          <w:p>
            <w:pPr>
              <w:rPr>
                <w:rFonts w:ascii="宋体" w:hAnsi="宋体" w:cs="宋体"/>
                <w:sz w:val="24"/>
                <w:szCs w:val="24"/>
              </w:rPr>
            </w:pPr>
            <w:r>
              <w:rPr>
                <w:rFonts w:hint="eastAsia" w:ascii="宋体" w:hAnsi="宋体" w:cs="宋体"/>
                <w:sz w:val="24"/>
                <w:szCs w:val="24"/>
              </w:rPr>
              <w:t>污水处理设施和检测数据出现异常时为甲方提供技术支持和咨询服务，方案编制合理，一般符合实际情况，针对性一般得4-7分。</w:t>
            </w:r>
          </w:p>
          <w:p>
            <w:pPr>
              <w:rPr>
                <w:rFonts w:ascii="宋体" w:hAnsi="宋体" w:cs="宋体"/>
                <w:sz w:val="24"/>
                <w:szCs w:val="24"/>
                <w:highlight w:val="yellow"/>
              </w:rPr>
            </w:pPr>
            <w:r>
              <w:rPr>
                <w:rFonts w:hint="eastAsia" w:ascii="宋体" w:hAnsi="宋体" w:cs="宋体"/>
                <w:sz w:val="24"/>
                <w:szCs w:val="24"/>
              </w:rPr>
              <w:t>污水处理设施和检测数据出现异常时为甲方提供技术支持和咨询服务，方案编制合理，较符合实际情况，得1-3分。未提供不得分。</w:t>
            </w:r>
          </w:p>
        </w:tc>
        <w:tc>
          <w:tcPr>
            <w:tcW w:w="471" w:type="pct"/>
            <w:tcBorders>
              <w:right w:val="single" w:color="auto" w:sz="4" w:space="0"/>
            </w:tcBorders>
            <w:vAlign w:val="center"/>
          </w:tcPr>
          <w:p>
            <w:pPr>
              <w:jc w:val="center"/>
              <w:rPr>
                <w:rFonts w:ascii="宋体" w:hAnsi="宋体" w:cs="宋体"/>
                <w:sz w:val="24"/>
                <w:szCs w:val="24"/>
                <w:highlight w:val="yellow"/>
              </w:rPr>
            </w:pPr>
            <w:r>
              <w:rPr>
                <w:rFonts w:hint="eastAsia" w:ascii="宋体" w:hAnsi="宋体" w:cs="宋体"/>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5000" w:type="pct"/>
            <w:gridSpan w:val="4"/>
            <w:tcBorders>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备注：</w:t>
            </w:r>
          </w:p>
          <w:p>
            <w:pPr>
              <w:jc w:val="left"/>
              <w:rPr>
                <w:rFonts w:ascii="宋体" w:hAnsi="宋体" w:cs="宋体"/>
                <w:sz w:val="24"/>
                <w:szCs w:val="24"/>
              </w:rPr>
            </w:pPr>
            <w:r>
              <w:rPr>
                <w:rFonts w:hint="eastAsia" w:ascii="宋体" w:hAnsi="宋体" w:cs="宋体"/>
                <w:sz w:val="24"/>
                <w:szCs w:val="24"/>
              </w:rPr>
              <w:t xml:space="preserve">1、专家根据投标文件中投标人提供的资料在分值范围内进行评议； </w:t>
            </w:r>
          </w:p>
          <w:p>
            <w:pPr>
              <w:jc w:val="left"/>
              <w:rPr>
                <w:rFonts w:ascii="宋体" w:hAnsi="宋体" w:cs="宋体"/>
                <w:sz w:val="24"/>
                <w:szCs w:val="24"/>
                <w:highlight w:val="yellow"/>
              </w:rPr>
            </w:pPr>
            <w:r>
              <w:rPr>
                <w:rFonts w:hint="eastAsia" w:ascii="宋体" w:hAnsi="宋体" w:cs="宋体"/>
                <w:sz w:val="24"/>
                <w:szCs w:val="24"/>
              </w:rPr>
              <w:t>2、得分保留两位小数。</w:t>
            </w:r>
          </w:p>
        </w:tc>
      </w:tr>
    </w:tbl>
    <w:p>
      <w:pPr>
        <w:pStyle w:val="3"/>
        <w:spacing w:line="240" w:lineRule="auto"/>
        <w:jc w:val="left"/>
        <w:rPr>
          <w:rStyle w:val="64"/>
          <w:rFonts w:ascii="仿宋" w:hAnsi="仿宋" w:eastAsia="仿宋" w:cs="仿宋"/>
          <w:bCs w:val="0"/>
          <w:sz w:val="24"/>
          <w:szCs w:val="24"/>
        </w:rPr>
      </w:pPr>
      <w:r>
        <w:rPr>
          <w:rFonts w:hint="eastAsia" w:ascii="仿宋" w:hAnsi="仿宋" w:eastAsia="仿宋" w:cs="仿宋"/>
          <w:sz w:val="24"/>
          <w:szCs w:val="24"/>
        </w:rPr>
        <w:t>标项四：</w:t>
      </w:r>
      <w:r>
        <w:rPr>
          <w:rStyle w:val="64"/>
          <w:rFonts w:hint="eastAsia" w:ascii="仿宋" w:hAnsi="仿宋" w:eastAsia="仿宋" w:cs="仿宋"/>
          <w:bCs w:val="0"/>
          <w:sz w:val="24"/>
          <w:szCs w:val="24"/>
        </w:rPr>
        <w:t>评 分 细 则</w:t>
      </w:r>
    </w:p>
    <w:tbl>
      <w:tblPr>
        <w:tblStyle w:val="29"/>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6916"/>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jc w:val="center"/>
        </w:trPr>
        <w:tc>
          <w:tcPr>
            <w:tcW w:w="1475" w:type="dxa"/>
            <w:noWrap/>
            <w:vAlign w:val="center"/>
          </w:tcPr>
          <w:p>
            <w:pPr>
              <w:pStyle w:val="14"/>
              <w:snapToGrid w:val="0"/>
              <w:spacing w:line="400" w:lineRule="exact"/>
              <w:jc w:val="center"/>
              <w:rPr>
                <w:rFonts w:hAnsi="宋体" w:cs="宋体"/>
                <w:b/>
                <w:sz w:val="24"/>
                <w:szCs w:val="24"/>
              </w:rPr>
            </w:pPr>
            <w:r>
              <w:rPr>
                <w:rFonts w:hint="eastAsia" w:hAnsi="宋体" w:cs="宋体"/>
                <w:b/>
                <w:sz w:val="24"/>
                <w:szCs w:val="24"/>
              </w:rPr>
              <w:t>项目</w:t>
            </w:r>
          </w:p>
        </w:tc>
        <w:tc>
          <w:tcPr>
            <w:tcW w:w="6916" w:type="dxa"/>
            <w:noWrap/>
            <w:vAlign w:val="center"/>
          </w:tcPr>
          <w:p>
            <w:pPr>
              <w:pStyle w:val="14"/>
              <w:snapToGrid w:val="0"/>
              <w:spacing w:line="400" w:lineRule="exact"/>
              <w:jc w:val="center"/>
              <w:rPr>
                <w:rFonts w:hAnsi="宋体" w:cs="宋体"/>
                <w:b/>
                <w:sz w:val="24"/>
                <w:szCs w:val="24"/>
              </w:rPr>
            </w:pPr>
            <w:r>
              <w:rPr>
                <w:rFonts w:hint="eastAsia" w:hAnsi="宋体" w:cs="宋体"/>
                <w:b/>
                <w:sz w:val="24"/>
                <w:szCs w:val="24"/>
              </w:rPr>
              <w:t>评审内容</w:t>
            </w:r>
          </w:p>
        </w:tc>
        <w:tc>
          <w:tcPr>
            <w:tcW w:w="999" w:type="dxa"/>
            <w:noWrap/>
            <w:vAlign w:val="center"/>
          </w:tcPr>
          <w:p>
            <w:pPr>
              <w:pStyle w:val="14"/>
              <w:snapToGrid w:val="0"/>
              <w:spacing w:line="400" w:lineRule="exact"/>
              <w:jc w:val="center"/>
              <w:rPr>
                <w:rFonts w:hAnsi="宋体" w:cs="宋体"/>
                <w:b/>
                <w:sz w:val="24"/>
                <w:szCs w:val="24"/>
              </w:rPr>
            </w:pPr>
            <w:r>
              <w:rPr>
                <w:rFonts w:hint="eastAsia" w:hAnsi="宋体" w:cs="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390" w:type="dxa"/>
            <w:gridSpan w:val="3"/>
            <w:noWrap/>
            <w:vAlign w:val="center"/>
          </w:tcPr>
          <w:p>
            <w:pPr>
              <w:pStyle w:val="14"/>
              <w:snapToGrid w:val="0"/>
              <w:spacing w:line="400" w:lineRule="exact"/>
              <w:rPr>
                <w:rFonts w:hAnsi="宋体" w:cs="宋体"/>
                <w:b/>
                <w:sz w:val="24"/>
                <w:szCs w:val="24"/>
                <w:highlight w:val="yellow"/>
              </w:rPr>
            </w:pPr>
            <w:r>
              <w:rPr>
                <w:rFonts w:hint="eastAsia" w:hAnsi="宋体" w:cs="宋体"/>
                <w:b/>
                <w:sz w:val="24"/>
                <w:szCs w:val="24"/>
              </w:rPr>
              <w:t>A：投标价格评分10分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475" w:type="dxa"/>
            <w:noWrap/>
            <w:vAlign w:val="center"/>
          </w:tcPr>
          <w:p>
            <w:pPr>
              <w:pStyle w:val="14"/>
              <w:snapToGrid w:val="0"/>
              <w:spacing w:line="400" w:lineRule="exact"/>
              <w:jc w:val="center"/>
              <w:rPr>
                <w:rFonts w:hAnsi="宋体" w:cs="宋体"/>
                <w:sz w:val="24"/>
                <w:szCs w:val="24"/>
                <w:highlight w:val="yellow"/>
              </w:rPr>
            </w:pPr>
            <w:r>
              <w:rPr>
                <w:rFonts w:hint="eastAsia" w:hAnsi="宋体" w:cs="宋体"/>
                <w:sz w:val="24"/>
                <w:szCs w:val="24"/>
              </w:rPr>
              <w:t>价格</w:t>
            </w:r>
          </w:p>
        </w:tc>
        <w:tc>
          <w:tcPr>
            <w:tcW w:w="6916" w:type="dxa"/>
            <w:noWrap/>
            <w:vAlign w:val="center"/>
          </w:tcPr>
          <w:p>
            <w:pPr>
              <w:spacing w:before="50" w:after="50"/>
              <w:jc w:val="left"/>
              <w:rPr>
                <w:rFonts w:ascii="宋体" w:hAnsi="宋体" w:cs="宋体"/>
                <w:sz w:val="24"/>
                <w:szCs w:val="24"/>
              </w:rPr>
            </w:pPr>
            <w:r>
              <w:rPr>
                <w:rFonts w:hint="eastAsia" w:ascii="宋体" w:hAnsi="宋体" w:cs="宋体"/>
                <w:sz w:val="24"/>
                <w:szCs w:val="24"/>
              </w:rPr>
              <w:t>价格分应当采用低价优先法计算，即满足招标文件要求且最终投标价格最低的有效投标报价为评标基准价，其价格分为满分。其他投标人的价格分统一按照下列公式计算：</w:t>
            </w:r>
          </w:p>
          <w:p>
            <w:pPr>
              <w:spacing w:line="290" w:lineRule="exact"/>
              <w:jc w:val="left"/>
              <w:rPr>
                <w:rFonts w:ascii="宋体" w:hAnsi="宋体" w:cs="宋体"/>
                <w:sz w:val="24"/>
                <w:szCs w:val="24"/>
              </w:rPr>
            </w:pPr>
            <w:r>
              <w:rPr>
                <w:rFonts w:hint="eastAsia" w:ascii="宋体" w:hAnsi="宋体" w:cs="宋体"/>
                <w:sz w:val="24"/>
                <w:szCs w:val="24"/>
              </w:rPr>
              <w:t>投标报价得分=(评标基准价/投标报价)×100*10%</w:t>
            </w:r>
          </w:p>
          <w:p>
            <w:pPr>
              <w:pStyle w:val="14"/>
              <w:snapToGrid w:val="0"/>
              <w:spacing w:line="300" w:lineRule="exact"/>
              <w:rPr>
                <w:rFonts w:hAnsi="宋体" w:cs="宋体"/>
                <w:b/>
                <w:sz w:val="24"/>
                <w:szCs w:val="24"/>
                <w:highlight w:val="yellow"/>
              </w:rPr>
            </w:pPr>
            <w:r>
              <w:rPr>
                <w:rFonts w:hint="eastAsia" w:hAnsi="宋体" w:cs="宋体"/>
                <w:b/>
                <w:sz w:val="24"/>
                <w:szCs w:val="24"/>
              </w:rPr>
              <w:t>根据新财购 〔2022〕22号文，对小型和微型企业产品的价格给予10%的扣除，用扣除后的价格参与评审。（投标人为中小企业的，需提供《中小企业声明函》等证明文件）。</w:t>
            </w:r>
          </w:p>
        </w:tc>
        <w:tc>
          <w:tcPr>
            <w:tcW w:w="999" w:type="dxa"/>
            <w:noWrap/>
            <w:vAlign w:val="center"/>
          </w:tcPr>
          <w:p>
            <w:pPr>
              <w:pStyle w:val="14"/>
              <w:snapToGrid w:val="0"/>
              <w:spacing w:line="400" w:lineRule="exact"/>
              <w:jc w:val="center"/>
              <w:rPr>
                <w:rFonts w:hAnsi="宋体" w:cs="宋体"/>
                <w:sz w:val="24"/>
                <w:szCs w:val="24"/>
                <w:highlight w:val="yellow"/>
              </w:rPr>
            </w:pPr>
            <w:r>
              <w:rPr>
                <w:rFonts w:hint="eastAsia" w:hAnsi="宋体" w:cs="宋体"/>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390" w:type="dxa"/>
            <w:gridSpan w:val="3"/>
            <w:shd w:val="clear" w:color="auto" w:fill="FFFFFF"/>
            <w:noWrap/>
            <w:vAlign w:val="center"/>
          </w:tcPr>
          <w:p>
            <w:pPr>
              <w:pStyle w:val="14"/>
              <w:snapToGrid w:val="0"/>
              <w:spacing w:line="400" w:lineRule="exact"/>
              <w:rPr>
                <w:rFonts w:hAnsi="宋体" w:cs="宋体"/>
                <w:b/>
                <w:sz w:val="24"/>
                <w:szCs w:val="24"/>
                <w:highlight w:val="yellow"/>
              </w:rPr>
            </w:pPr>
            <w:r>
              <w:rPr>
                <w:rFonts w:hint="eastAsia" w:hAnsi="宋体" w:cs="宋体"/>
                <w:b/>
                <w:sz w:val="24"/>
                <w:szCs w:val="24"/>
              </w:rPr>
              <w:t>B：技术部分评分72分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5" w:type="dxa"/>
            <w:vMerge w:val="restart"/>
            <w:shd w:val="clear" w:color="auto" w:fill="FFFFFF"/>
            <w:noWrap/>
            <w:vAlign w:val="center"/>
          </w:tcPr>
          <w:p>
            <w:pPr>
              <w:pStyle w:val="14"/>
              <w:snapToGrid w:val="0"/>
              <w:spacing w:line="400" w:lineRule="exact"/>
              <w:jc w:val="center"/>
              <w:rPr>
                <w:rFonts w:hAnsi="宋体" w:cs="宋体"/>
                <w:sz w:val="24"/>
                <w:szCs w:val="24"/>
                <w:highlight w:val="yellow"/>
              </w:rPr>
            </w:pPr>
            <w:r>
              <w:rPr>
                <w:rFonts w:hint="eastAsia" w:hAnsi="宋体" w:cs="宋体"/>
                <w:sz w:val="24"/>
                <w:szCs w:val="24"/>
              </w:rPr>
              <w:t>服务实施方案</w:t>
            </w:r>
          </w:p>
        </w:tc>
        <w:tc>
          <w:tcPr>
            <w:tcW w:w="6916" w:type="dxa"/>
            <w:shd w:val="clear" w:color="auto" w:fill="FFFFFF"/>
            <w:noWrap/>
            <w:vAlign w:val="center"/>
          </w:tcPr>
          <w:p>
            <w:pPr>
              <w:pStyle w:val="14"/>
              <w:spacing w:line="300" w:lineRule="exact"/>
              <w:rPr>
                <w:rFonts w:hAnsi="宋体" w:cs="宋体"/>
                <w:bCs/>
                <w:sz w:val="24"/>
                <w:szCs w:val="24"/>
              </w:rPr>
            </w:pPr>
            <w:r>
              <w:rPr>
                <w:rFonts w:hint="eastAsia" w:hAnsi="宋体" w:cs="宋体"/>
                <w:bCs/>
                <w:sz w:val="24"/>
                <w:szCs w:val="24"/>
              </w:rPr>
              <w:t>针对本项目的消防维护保养特点、难点分析。</w:t>
            </w:r>
          </w:p>
          <w:p>
            <w:pPr>
              <w:pStyle w:val="14"/>
              <w:spacing w:line="300" w:lineRule="exact"/>
              <w:rPr>
                <w:rFonts w:hAnsi="宋体" w:cs="宋体"/>
                <w:bCs/>
                <w:sz w:val="24"/>
                <w:szCs w:val="24"/>
              </w:rPr>
            </w:pPr>
            <w:r>
              <w:rPr>
                <w:rFonts w:hint="eastAsia" w:hAnsi="宋体" w:cs="宋体"/>
                <w:bCs/>
                <w:sz w:val="24"/>
                <w:szCs w:val="24"/>
              </w:rPr>
              <w:t>服务特点、难点定位准确，分析完整合理，内容表述清晰，针对性强，得8-10分；</w:t>
            </w:r>
          </w:p>
          <w:p>
            <w:pPr>
              <w:pStyle w:val="14"/>
              <w:spacing w:line="300" w:lineRule="exact"/>
              <w:rPr>
                <w:rFonts w:hAnsi="宋体" w:cs="宋体"/>
                <w:bCs/>
                <w:sz w:val="24"/>
                <w:szCs w:val="24"/>
              </w:rPr>
            </w:pPr>
            <w:r>
              <w:rPr>
                <w:rFonts w:hint="eastAsia" w:hAnsi="宋体" w:cs="宋体"/>
                <w:bCs/>
                <w:sz w:val="24"/>
                <w:szCs w:val="24"/>
              </w:rPr>
              <w:t>服务特点、难点定位较准确，分析比较合理，内容表述较清晰，针对性较强，得5-7分；</w:t>
            </w:r>
          </w:p>
          <w:p>
            <w:pPr>
              <w:pStyle w:val="14"/>
              <w:spacing w:line="300" w:lineRule="exact"/>
              <w:rPr>
                <w:rFonts w:hAnsi="宋体" w:cs="宋体"/>
                <w:bCs/>
                <w:sz w:val="24"/>
                <w:szCs w:val="24"/>
              </w:rPr>
            </w:pPr>
            <w:r>
              <w:rPr>
                <w:rFonts w:hint="eastAsia" w:hAnsi="宋体" w:cs="宋体"/>
                <w:bCs/>
                <w:sz w:val="24"/>
                <w:szCs w:val="24"/>
              </w:rPr>
              <w:t>服务特点、难点定位一般，内容表述基本清晰，有针对性，分析较浅，得3-4分；</w:t>
            </w:r>
          </w:p>
          <w:p>
            <w:pPr>
              <w:pStyle w:val="14"/>
              <w:spacing w:line="300" w:lineRule="exact"/>
              <w:rPr>
                <w:rFonts w:hAnsi="宋体" w:cs="宋体"/>
                <w:bCs/>
                <w:sz w:val="24"/>
                <w:szCs w:val="24"/>
                <w:highlight w:val="yellow"/>
              </w:rPr>
            </w:pPr>
            <w:r>
              <w:rPr>
                <w:rFonts w:hint="eastAsia" w:hAnsi="宋体" w:cs="宋体"/>
                <w:bCs/>
                <w:sz w:val="24"/>
                <w:szCs w:val="24"/>
              </w:rPr>
              <w:t>服务特点、难点定位较差，内容表述不够清晰，针对性弱，分析较差，得0-2分。</w:t>
            </w:r>
          </w:p>
        </w:tc>
        <w:tc>
          <w:tcPr>
            <w:tcW w:w="999" w:type="dxa"/>
            <w:shd w:val="clear" w:color="auto" w:fill="FFFFFF"/>
            <w:noWrap/>
            <w:vAlign w:val="center"/>
          </w:tcPr>
          <w:p>
            <w:pPr>
              <w:pStyle w:val="14"/>
              <w:snapToGrid w:val="0"/>
              <w:spacing w:line="300" w:lineRule="exact"/>
              <w:jc w:val="center"/>
              <w:rPr>
                <w:rFonts w:hAnsi="宋体" w:cs="宋体"/>
                <w:kern w:val="0"/>
                <w:sz w:val="24"/>
                <w:szCs w:val="24"/>
                <w:highlight w:val="yellow"/>
              </w:rPr>
            </w:pPr>
            <w:r>
              <w:rPr>
                <w:rFonts w:hint="eastAsia" w:hAnsi="宋体" w:cs="宋体"/>
                <w:kern w:val="0"/>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5" w:type="dxa"/>
            <w:vMerge w:val="continue"/>
            <w:shd w:val="clear" w:color="auto" w:fill="FFFFFF"/>
            <w:noWrap/>
            <w:vAlign w:val="center"/>
          </w:tcPr>
          <w:p>
            <w:pPr>
              <w:pStyle w:val="14"/>
              <w:snapToGrid w:val="0"/>
              <w:spacing w:line="400" w:lineRule="exact"/>
              <w:jc w:val="center"/>
              <w:rPr>
                <w:rFonts w:hAnsi="宋体" w:cs="宋体"/>
                <w:sz w:val="24"/>
                <w:szCs w:val="24"/>
                <w:highlight w:val="yellow"/>
              </w:rPr>
            </w:pPr>
          </w:p>
        </w:tc>
        <w:tc>
          <w:tcPr>
            <w:tcW w:w="6916" w:type="dxa"/>
            <w:shd w:val="clear" w:color="auto" w:fill="FFFFFF"/>
            <w:noWrap/>
            <w:vAlign w:val="center"/>
          </w:tcPr>
          <w:p>
            <w:pPr>
              <w:pStyle w:val="14"/>
              <w:spacing w:line="300" w:lineRule="exact"/>
              <w:rPr>
                <w:rFonts w:hAnsi="宋体" w:cs="宋体"/>
                <w:bCs/>
                <w:sz w:val="24"/>
                <w:szCs w:val="24"/>
              </w:rPr>
            </w:pPr>
            <w:r>
              <w:rPr>
                <w:rFonts w:hint="eastAsia" w:hAnsi="宋体" w:cs="宋体"/>
                <w:bCs/>
                <w:sz w:val="24"/>
                <w:szCs w:val="24"/>
              </w:rPr>
              <w:t>针对本项目的维护保养重点工作分析、整体运作规划等。</w:t>
            </w:r>
          </w:p>
          <w:p>
            <w:pPr>
              <w:pStyle w:val="14"/>
              <w:spacing w:line="300" w:lineRule="exact"/>
              <w:rPr>
                <w:rFonts w:hAnsi="宋体" w:cs="宋体"/>
                <w:bCs/>
                <w:sz w:val="24"/>
                <w:szCs w:val="24"/>
              </w:rPr>
            </w:pPr>
            <w:r>
              <w:rPr>
                <w:rFonts w:hint="eastAsia" w:hAnsi="宋体" w:cs="宋体"/>
                <w:bCs/>
                <w:sz w:val="24"/>
                <w:szCs w:val="24"/>
              </w:rPr>
              <w:t>目标明确，重点工作描述清晰、运作规划全面满足采购人要求，可操作性强，得8-10分；</w:t>
            </w:r>
          </w:p>
          <w:p>
            <w:pPr>
              <w:pStyle w:val="14"/>
              <w:spacing w:line="300" w:lineRule="exact"/>
              <w:rPr>
                <w:rFonts w:hAnsi="宋体" w:cs="宋体"/>
                <w:bCs/>
                <w:sz w:val="24"/>
                <w:szCs w:val="24"/>
              </w:rPr>
            </w:pPr>
            <w:r>
              <w:rPr>
                <w:rFonts w:hint="eastAsia" w:hAnsi="宋体" w:cs="宋体"/>
                <w:bCs/>
                <w:sz w:val="24"/>
                <w:szCs w:val="24"/>
              </w:rPr>
              <w:t>目标较明确，重点工作描述较清晰、运作规划能够满足采购人要求，可操作性较强，得5-7分；</w:t>
            </w:r>
          </w:p>
          <w:p>
            <w:pPr>
              <w:pStyle w:val="14"/>
              <w:spacing w:line="300" w:lineRule="exact"/>
              <w:rPr>
                <w:rFonts w:hAnsi="宋体" w:cs="宋体"/>
                <w:bCs/>
                <w:sz w:val="24"/>
                <w:szCs w:val="24"/>
              </w:rPr>
            </w:pPr>
            <w:r>
              <w:rPr>
                <w:rFonts w:hint="eastAsia" w:hAnsi="宋体" w:cs="宋体"/>
                <w:bCs/>
                <w:sz w:val="24"/>
                <w:szCs w:val="24"/>
              </w:rPr>
              <w:t>目标明确性一般，重点工作描述清晰度一般、运作规划基本满足采购人要求，可操作性一般，得3-4分；</w:t>
            </w:r>
          </w:p>
          <w:p>
            <w:pPr>
              <w:pStyle w:val="14"/>
              <w:spacing w:line="300" w:lineRule="exact"/>
              <w:rPr>
                <w:rFonts w:hAnsi="宋体" w:cs="宋体"/>
                <w:bCs/>
                <w:sz w:val="24"/>
                <w:szCs w:val="24"/>
                <w:highlight w:val="yellow"/>
              </w:rPr>
            </w:pPr>
            <w:r>
              <w:rPr>
                <w:rFonts w:hint="eastAsia" w:hAnsi="宋体" w:cs="宋体"/>
                <w:bCs/>
                <w:sz w:val="24"/>
                <w:szCs w:val="24"/>
              </w:rPr>
              <w:t>目标明确性较差，重点工作描述不全、运作规划无法满足采购人要求，可操作性不强，得0-2分。</w:t>
            </w:r>
          </w:p>
        </w:tc>
        <w:tc>
          <w:tcPr>
            <w:tcW w:w="999" w:type="dxa"/>
            <w:shd w:val="clear" w:color="auto" w:fill="FFFFFF"/>
            <w:noWrap/>
            <w:vAlign w:val="center"/>
          </w:tcPr>
          <w:p>
            <w:pPr>
              <w:pStyle w:val="14"/>
              <w:snapToGrid w:val="0"/>
              <w:spacing w:line="300" w:lineRule="exact"/>
              <w:jc w:val="center"/>
              <w:rPr>
                <w:rFonts w:hAnsi="宋体" w:cs="宋体"/>
                <w:kern w:val="0"/>
                <w:sz w:val="24"/>
                <w:szCs w:val="24"/>
                <w:highlight w:val="yellow"/>
              </w:rPr>
            </w:pPr>
            <w:r>
              <w:rPr>
                <w:rFonts w:hint="eastAsia" w:hAnsi="宋体" w:cs="宋体"/>
                <w:kern w:val="0"/>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5" w:type="dxa"/>
            <w:vMerge w:val="continue"/>
            <w:shd w:val="clear" w:color="auto" w:fill="FFFFFF"/>
            <w:noWrap/>
            <w:vAlign w:val="center"/>
          </w:tcPr>
          <w:p>
            <w:pPr>
              <w:pStyle w:val="14"/>
              <w:snapToGrid w:val="0"/>
              <w:spacing w:line="400" w:lineRule="exact"/>
              <w:jc w:val="center"/>
              <w:rPr>
                <w:rFonts w:hAnsi="宋体" w:cs="宋体"/>
                <w:sz w:val="24"/>
                <w:szCs w:val="24"/>
                <w:highlight w:val="yellow"/>
              </w:rPr>
            </w:pPr>
          </w:p>
        </w:tc>
        <w:tc>
          <w:tcPr>
            <w:tcW w:w="6916" w:type="dxa"/>
            <w:shd w:val="clear" w:color="auto" w:fill="FFFFFF"/>
            <w:noWrap/>
            <w:vAlign w:val="center"/>
          </w:tcPr>
          <w:p>
            <w:pPr>
              <w:pStyle w:val="14"/>
              <w:spacing w:line="300" w:lineRule="exact"/>
              <w:rPr>
                <w:rFonts w:hAnsi="宋体" w:cs="宋体"/>
                <w:bCs/>
                <w:sz w:val="24"/>
                <w:szCs w:val="24"/>
              </w:rPr>
            </w:pPr>
            <w:r>
              <w:rPr>
                <w:rFonts w:hint="eastAsia" w:hAnsi="宋体" w:cs="宋体"/>
                <w:bCs/>
                <w:sz w:val="24"/>
                <w:szCs w:val="24"/>
              </w:rPr>
              <w:t>针对本项目的服务制定人员安全操作考核制度。</w:t>
            </w:r>
          </w:p>
          <w:p>
            <w:pPr>
              <w:pStyle w:val="14"/>
              <w:spacing w:line="300" w:lineRule="exact"/>
              <w:rPr>
                <w:rFonts w:hAnsi="宋体" w:cs="宋体"/>
                <w:bCs/>
                <w:sz w:val="24"/>
                <w:szCs w:val="24"/>
              </w:rPr>
            </w:pPr>
            <w:r>
              <w:rPr>
                <w:rFonts w:hint="eastAsia" w:hAnsi="宋体" w:cs="宋体"/>
                <w:bCs/>
                <w:sz w:val="24"/>
                <w:szCs w:val="24"/>
              </w:rPr>
              <w:t>考核制度完善、详细、严谨，可操作性强，得8-10分；</w:t>
            </w:r>
          </w:p>
          <w:p>
            <w:pPr>
              <w:pStyle w:val="14"/>
              <w:spacing w:line="300" w:lineRule="exact"/>
              <w:rPr>
                <w:rFonts w:hAnsi="宋体" w:cs="宋体"/>
                <w:bCs/>
                <w:sz w:val="24"/>
                <w:szCs w:val="24"/>
              </w:rPr>
            </w:pPr>
            <w:r>
              <w:rPr>
                <w:rFonts w:hint="eastAsia" w:hAnsi="宋体" w:cs="宋体"/>
                <w:bCs/>
                <w:sz w:val="24"/>
                <w:szCs w:val="24"/>
              </w:rPr>
              <w:t>考核制度较完善、较详细、较严谨，可操作性较强，得5-7分；</w:t>
            </w:r>
          </w:p>
          <w:p>
            <w:pPr>
              <w:pStyle w:val="14"/>
              <w:spacing w:line="300" w:lineRule="exact"/>
              <w:rPr>
                <w:rFonts w:hAnsi="宋体" w:cs="宋体"/>
                <w:bCs/>
                <w:sz w:val="24"/>
                <w:szCs w:val="24"/>
              </w:rPr>
            </w:pPr>
            <w:r>
              <w:rPr>
                <w:rFonts w:hint="eastAsia" w:hAnsi="宋体" w:cs="宋体"/>
                <w:bCs/>
                <w:sz w:val="24"/>
                <w:szCs w:val="24"/>
              </w:rPr>
              <w:t>考核制度详细程度、严谨性一般，可操作性一般，得3-4分；</w:t>
            </w:r>
          </w:p>
          <w:p>
            <w:pPr>
              <w:pStyle w:val="14"/>
              <w:spacing w:line="300" w:lineRule="exact"/>
              <w:rPr>
                <w:rFonts w:hAnsi="宋体" w:cs="宋体"/>
                <w:bCs/>
                <w:sz w:val="24"/>
                <w:szCs w:val="24"/>
                <w:highlight w:val="yellow"/>
              </w:rPr>
            </w:pPr>
            <w:r>
              <w:rPr>
                <w:rFonts w:hint="eastAsia" w:hAnsi="宋体" w:cs="宋体"/>
                <w:bCs/>
                <w:sz w:val="24"/>
                <w:szCs w:val="24"/>
              </w:rPr>
              <w:t>考核制度不够详细、不够严谨，可操作性较差，得0-2分。</w:t>
            </w:r>
          </w:p>
        </w:tc>
        <w:tc>
          <w:tcPr>
            <w:tcW w:w="999" w:type="dxa"/>
            <w:shd w:val="clear" w:color="auto" w:fill="FFFFFF"/>
            <w:noWrap/>
            <w:vAlign w:val="center"/>
          </w:tcPr>
          <w:p>
            <w:pPr>
              <w:pStyle w:val="14"/>
              <w:snapToGrid w:val="0"/>
              <w:spacing w:line="300" w:lineRule="exact"/>
              <w:jc w:val="center"/>
              <w:rPr>
                <w:rFonts w:hAnsi="宋体" w:cs="宋体"/>
                <w:kern w:val="0"/>
                <w:sz w:val="24"/>
                <w:szCs w:val="24"/>
              </w:rPr>
            </w:pPr>
            <w:r>
              <w:rPr>
                <w:rFonts w:hint="eastAsia" w:hAnsi="宋体" w:cs="宋体"/>
                <w:kern w:val="0"/>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475" w:type="dxa"/>
            <w:noWrap/>
            <w:vAlign w:val="center"/>
          </w:tcPr>
          <w:p>
            <w:pPr>
              <w:pStyle w:val="14"/>
              <w:snapToGrid w:val="0"/>
              <w:spacing w:line="400" w:lineRule="exact"/>
              <w:jc w:val="center"/>
              <w:rPr>
                <w:rFonts w:hAnsi="宋体" w:cs="宋体"/>
                <w:sz w:val="24"/>
                <w:szCs w:val="24"/>
                <w:highlight w:val="yellow"/>
              </w:rPr>
            </w:pPr>
            <w:r>
              <w:rPr>
                <w:rFonts w:hint="eastAsia" w:hAnsi="宋体" w:cs="宋体"/>
                <w:sz w:val="24"/>
                <w:szCs w:val="24"/>
              </w:rPr>
              <w:t>维护保养计划</w:t>
            </w:r>
          </w:p>
        </w:tc>
        <w:tc>
          <w:tcPr>
            <w:tcW w:w="6916" w:type="dxa"/>
            <w:noWrap/>
            <w:vAlign w:val="center"/>
          </w:tcPr>
          <w:p>
            <w:pPr>
              <w:pStyle w:val="14"/>
              <w:spacing w:line="300" w:lineRule="exact"/>
              <w:rPr>
                <w:rFonts w:hAnsi="宋体" w:cs="宋体"/>
                <w:bCs/>
                <w:sz w:val="24"/>
                <w:szCs w:val="24"/>
              </w:rPr>
            </w:pPr>
            <w:r>
              <w:rPr>
                <w:rFonts w:hint="eastAsia" w:hAnsi="宋体" w:cs="宋体"/>
                <w:bCs/>
                <w:sz w:val="24"/>
                <w:szCs w:val="24"/>
              </w:rPr>
              <w:t>综合考虑投标人的维护保养计划安排：</w:t>
            </w:r>
          </w:p>
          <w:p>
            <w:pPr>
              <w:pStyle w:val="14"/>
              <w:spacing w:line="300" w:lineRule="exact"/>
              <w:rPr>
                <w:rFonts w:hAnsi="宋体" w:cs="宋体"/>
                <w:bCs/>
                <w:sz w:val="24"/>
                <w:szCs w:val="24"/>
              </w:rPr>
            </w:pPr>
            <w:r>
              <w:rPr>
                <w:rFonts w:hint="eastAsia" w:hAnsi="宋体" w:cs="宋体"/>
                <w:bCs/>
                <w:sz w:val="24"/>
                <w:szCs w:val="24"/>
              </w:rPr>
              <w:t>计划合理且量化可控，完全针对本项目需求，各阶段时间节点清晰；各阶段进度保障措施全面得当、各阶段人员分工安排科学，得8-10分；</w:t>
            </w:r>
          </w:p>
          <w:p>
            <w:pPr>
              <w:pStyle w:val="14"/>
              <w:spacing w:line="300" w:lineRule="exact"/>
              <w:rPr>
                <w:rFonts w:hAnsi="宋体" w:cs="宋体"/>
                <w:bCs/>
                <w:sz w:val="24"/>
                <w:szCs w:val="24"/>
              </w:rPr>
            </w:pPr>
            <w:r>
              <w:rPr>
                <w:rFonts w:hint="eastAsia" w:hAnsi="宋体" w:cs="宋体"/>
                <w:bCs/>
                <w:sz w:val="24"/>
                <w:szCs w:val="24"/>
              </w:rPr>
              <w:t>计划较为合理可控，基本针对本项目需求，各阶段时间节点明确；各阶段均具备进度保障措施、各阶段人员分工安排较合理，得5-7分；</w:t>
            </w:r>
          </w:p>
          <w:p>
            <w:pPr>
              <w:pStyle w:val="14"/>
              <w:spacing w:line="300" w:lineRule="exact"/>
              <w:rPr>
                <w:rFonts w:hAnsi="宋体" w:cs="宋体"/>
                <w:bCs/>
                <w:sz w:val="24"/>
                <w:szCs w:val="24"/>
              </w:rPr>
            </w:pPr>
            <w:r>
              <w:rPr>
                <w:rFonts w:hint="eastAsia" w:hAnsi="宋体" w:cs="宋体"/>
                <w:bCs/>
                <w:sz w:val="24"/>
                <w:szCs w:val="24"/>
              </w:rPr>
              <w:t>计划基本合理，重要阶段时间节点基本明确；有基本的进度保障措施和各阶段人员分工安排，得3-4 分；</w:t>
            </w:r>
          </w:p>
          <w:p>
            <w:pPr>
              <w:pStyle w:val="14"/>
              <w:spacing w:line="300" w:lineRule="exact"/>
              <w:rPr>
                <w:rFonts w:hAnsi="宋体" w:cs="宋体"/>
                <w:bCs/>
                <w:sz w:val="24"/>
                <w:szCs w:val="24"/>
                <w:highlight w:val="yellow"/>
              </w:rPr>
            </w:pPr>
            <w:r>
              <w:rPr>
                <w:rFonts w:hint="eastAsia" w:hAnsi="宋体" w:cs="宋体"/>
                <w:bCs/>
                <w:sz w:val="24"/>
                <w:szCs w:val="24"/>
              </w:rPr>
              <w:t>计划较为简略，各阶段时间节点模糊；进度保障措施和各阶段人员分工安排有所欠缺或不符合实际情况，得0-2 分。</w:t>
            </w:r>
          </w:p>
        </w:tc>
        <w:tc>
          <w:tcPr>
            <w:tcW w:w="999" w:type="dxa"/>
            <w:noWrap/>
            <w:vAlign w:val="center"/>
          </w:tcPr>
          <w:p>
            <w:pPr>
              <w:pStyle w:val="14"/>
              <w:snapToGrid w:val="0"/>
              <w:spacing w:line="400" w:lineRule="exact"/>
              <w:jc w:val="center"/>
              <w:rPr>
                <w:rFonts w:hAnsi="宋体" w:cs="宋体"/>
                <w:sz w:val="24"/>
                <w:szCs w:val="24"/>
                <w:highlight w:val="yellow"/>
              </w:rPr>
            </w:pPr>
            <w:r>
              <w:rPr>
                <w:rFonts w:hint="eastAsia" w:hAnsi="宋体" w:cs="宋体"/>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1475" w:type="dxa"/>
            <w:noWrap/>
            <w:vAlign w:val="center"/>
          </w:tcPr>
          <w:p>
            <w:pPr>
              <w:pStyle w:val="14"/>
              <w:snapToGrid w:val="0"/>
              <w:spacing w:line="400" w:lineRule="exact"/>
              <w:jc w:val="center"/>
              <w:rPr>
                <w:rFonts w:hAnsi="宋体" w:cs="宋体"/>
                <w:sz w:val="24"/>
                <w:szCs w:val="24"/>
                <w:highlight w:val="yellow"/>
              </w:rPr>
            </w:pPr>
            <w:r>
              <w:rPr>
                <w:rFonts w:hint="eastAsia" w:hAnsi="宋体" w:cs="宋体"/>
                <w:sz w:val="24"/>
                <w:szCs w:val="24"/>
              </w:rPr>
              <w:t>应急预案</w:t>
            </w:r>
          </w:p>
        </w:tc>
        <w:tc>
          <w:tcPr>
            <w:tcW w:w="6916" w:type="dxa"/>
            <w:noWrap/>
            <w:vAlign w:val="center"/>
          </w:tcPr>
          <w:p>
            <w:pPr>
              <w:pStyle w:val="14"/>
              <w:spacing w:line="300" w:lineRule="exact"/>
              <w:rPr>
                <w:rFonts w:hAnsi="宋体" w:cs="宋体"/>
                <w:bCs/>
                <w:sz w:val="24"/>
                <w:szCs w:val="24"/>
              </w:rPr>
            </w:pPr>
            <w:r>
              <w:rPr>
                <w:rFonts w:hint="eastAsia" w:hAnsi="宋体" w:cs="宋体"/>
                <w:bCs/>
                <w:sz w:val="24"/>
                <w:szCs w:val="24"/>
              </w:rPr>
              <w:t>维保服务中突发事件处理预案：流程清晰合理、内容完整详细、可操作性强，响应迅速，得7-8分；</w:t>
            </w:r>
          </w:p>
          <w:p>
            <w:pPr>
              <w:pStyle w:val="14"/>
              <w:spacing w:line="300" w:lineRule="exact"/>
              <w:rPr>
                <w:rFonts w:hAnsi="宋体" w:cs="宋体"/>
                <w:bCs/>
                <w:sz w:val="24"/>
                <w:szCs w:val="24"/>
              </w:rPr>
            </w:pPr>
            <w:r>
              <w:rPr>
                <w:rFonts w:hint="eastAsia" w:hAnsi="宋体" w:cs="宋体"/>
                <w:bCs/>
                <w:sz w:val="24"/>
                <w:szCs w:val="24"/>
              </w:rPr>
              <w:t>流程清晰较合理、内容较完整详细、可操作较性强，响应较迅速，得5-6分；</w:t>
            </w:r>
          </w:p>
          <w:p>
            <w:pPr>
              <w:pStyle w:val="14"/>
              <w:spacing w:line="300" w:lineRule="exact"/>
              <w:rPr>
                <w:rFonts w:hAnsi="宋体" w:cs="宋体"/>
                <w:bCs/>
                <w:sz w:val="24"/>
                <w:szCs w:val="24"/>
              </w:rPr>
            </w:pPr>
            <w:r>
              <w:rPr>
                <w:rFonts w:hint="eastAsia" w:hAnsi="宋体" w:cs="宋体"/>
                <w:bCs/>
                <w:sz w:val="24"/>
                <w:szCs w:val="24"/>
              </w:rPr>
              <w:t>流程较清晰、内容较完整、可操作性一般，响应速度一般，得3-4 分；</w:t>
            </w:r>
          </w:p>
          <w:p>
            <w:pPr>
              <w:pStyle w:val="14"/>
              <w:spacing w:line="300" w:lineRule="exact"/>
              <w:rPr>
                <w:rFonts w:hAnsi="宋体" w:cs="宋体"/>
                <w:bCs/>
                <w:sz w:val="24"/>
                <w:szCs w:val="24"/>
                <w:highlight w:val="yellow"/>
              </w:rPr>
            </w:pPr>
            <w:r>
              <w:rPr>
                <w:rFonts w:hint="eastAsia" w:hAnsi="宋体" w:cs="宋体"/>
                <w:bCs/>
                <w:sz w:val="24"/>
                <w:szCs w:val="24"/>
              </w:rPr>
              <w:t>内容不完整、可操作性较差，响应速度较差，得0-2分。</w:t>
            </w:r>
          </w:p>
        </w:tc>
        <w:tc>
          <w:tcPr>
            <w:tcW w:w="999" w:type="dxa"/>
            <w:noWrap/>
            <w:vAlign w:val="center"/>
          </w:tcPr>
          <w:p>
            <w:pPr>
              <w:pStyle w:val="14"/>
              <w:snapToGrid w:val="0"/>
              <w:spacing w:line="400" w:lineRule="exact"/>
              <w:jc w:val="center"/>
              <w:rPr>
                <w:rFonts w:hAnsi="宋体" w:cs="宋体"/>
                <w:sz w:val="24"/>
                <w:szCs w:val="24"/>
                <w:highlight w:val="yellow"/>
              </w:rPr>
            </w:pPr>
            <w:r>
              <w:rPr>
                <w:rFonts w:hint="eastAsia" w:hAnsi="宋体" w:cs="宋体"/>
                <w:sz w:val="24"/>
                <w:szCs w:val="24"/>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1475" w:type="dxa"/>
            <w:noWrap/>
            <w:vAlign w:val="center"/>
          </w:tcPr>
          <w:p>
            <w:pPr>
              <w:pStyle w:val="14"/>
              <w:snapToGrid w:val="0"/>
              <w:spacing w:line="400" w:lineRule="exact"/>
              <w:jc w:val="center"/>
              <w:rPr>
                <w:rFonts w:hAnsi="宋体" w:cs="宋体"/>
                <w:sz w:val="24"/>
                <w:szCs w:val="24"/>
                <w:highlight w:val="yellow"/>
              </w:rPr>
            </w:pPr>
            <w:r>
              <w:rPr>
                <w:rFonts w:hint="eastAsia" w:hAnsi="宋体" w:cs="宋体"/>
                <w:sz w:val="24"/>
                <w:szCs w:val="24"/>
              </w:rPr>
              <w:t>拟投入的设备情况</w:t>
            </w:r>
          </w:p>
        </w:tc>
        <w:tc>
          <w:tcPr>
            <w:tcW w:w="6916" w:type="dxa"/>
            <w:noWrap/>
            <w:vAlign w:val="center"/>
          </w:tcPr>
          <w:p>
            <w:pPr>
              <w:pStyle w:val="14"/>
              <w:spacing w:line="300" w:lineRule="exact"/>
              <w:rPr>
                <w:rFonts w:hAnsi="宋体" w:cs="宋体"/>
                <w:bCs/>
                <w:sz w:val="24"/>
                <w:szCs w:val="24"/>
              </w:rPr>
            </w:pPr>
            <w:r>
              <w:rPr>
                <w:rFonts w:hint="eastAsia" w:hAnsi="宋体" w:cs="宋体"/>
                <w:bCs/>
                <w:sz w:val="24"/>
                <w:szCs w:val="24"/>
              </w:rPr>
              <w:t>综合考虑投标人针对本项目拟投入的消防维保设备配置情况：</w:t>
            </w:r>
          </w:p>
          <w:p>
            <w:pPr>
              <w:pStyle w:val="14"/>
              <w:spacing w:line="300" w:lineRule="exact"/>
              <w:rPr>
                <w:rFonts w:hAnsi="宋体" w:cs="宋体"/>
                <w:bCs/>
                <w:sz w:val="24"/>
                <w:szCs w:val="24"/>
              </w:rPr>
            </w:pPr>
            <w:r>
              <w:rPr>
                <w:rFonts w:hint="eastAsia" w:hAnsi="宋体" w:cs="宋体"/>
                <w:bCs/>
                <w:sz w:val="24"/>
                <w:szCs w:val="24"/>
              </w:rPr>
              <w:t>清单完整详细、配置合理，维保设备专业、先进、数量充足齐全的，得7-8分；</w:t>
            </w:r>
          </w:p>
          <w:p>
            <w:pPr>
              <w:pStyle w:val="14"/>
              <w:spacing w:line="300" w:lineRule="exact"/>
              <w:rPr>
                <w:rFonts w:hAnsi="宋体" w:cs="宋体"/>
                <w:bCs/>
                <w:sz w:val="24"/>
                <w:szCs w:val="24"/>
              </w:rPr>
            </w:pPr>
            <w:r>
              <w:rPr>
                <w:rFonts w:hint="eastAsia" w:hAnsi="宋体" w:cs="宋体"/>
                <w:bCs/>
                <w:sz w:val="24"/>
                <w:szCs w:val="24"/>
              </w:rPr>
              <w:t>清单较完整详细、配置较合理，维保设备较专业、较先进、较齐全的，得5-6分；</w:t>
            </w:r>
          </w:p>
          <w:p>
            <w:pPr>
              <w:pStyle w:val="14"/>
              <w:spacing w:line="300" w:lineRule="exact"/>
              <w:rPr>
                <w:rFonts w:hAnsi="宋体" w:cs="宋体"/>
                <w:bCs/>
                <w:sz w:val="24"/>
                <w:szCs w:val="24"/>
              </w:rPr>
            </w:pPr>
            <w:r>
              <w:rPr>
                <w:rFonts w:hint="eastAsia" w:hAnsi="宋体" w:cs="宋体"/>
                <w:bCs/>
                <w:sz w:val="24"/>
                <w:szCs w:val="24"/>
              </w:rPr>
              <w:t>清单基本完整、配置一般，维保设备专业性、先进性一般、基本齐全的，得3-4 分；</w:t>
            </w:r>
          </w:p>
          <w:p>
            <w:pPr>
              <w:pStyle w:val="14"/>
              <w:spacing w:line="300" w:lineRule="exact"/>
              <w:rPr>
                <w:rFonts w:hAnsi="宋体" w:cs="宋体"/>
                <w:bCs/>
                <w:sz w:val="24"/>
                <w:szCs w:val="24"/>
                <w:highlight w:val="yellow"/>
              </w:rPr>
            </w:pPr>
            <w:r>
              <w:rPr>
                <w:rFonts w:hint="eastAsia" w:hAnsi="宋体" w:cs="宋体"/>
                <w:bCs/>
                <w:sz w:val="24"/>
                <w:szCs w:val="24"/>
              </w:rPr>
              <w:t>清单不够完整、配置欠合理，维保设备专业性欠缺、不齐全的，得0-2 分。</w:t>
            </w:r>
          </w:p>
        </w:tc>
        <w:tc>
          <w:tcPr>
            <w:tcW w:w="999" w:type="dxa"/>
            <w:noWrap/>
            <w:vAlign w:val="center"/>
          </w:tcPr>
          <w:p>
            <w:pPr>
              <w:pStyle w:val="14"/>
              <w:snapToGrid w:val="0"/>
              <w:spacing w:line="400" w:lineRule="exact"/>
              <w:jc w:val="center"/>
              <w:rPr>
                <w:rFonts w:hAnsi="宋体" w:cs="宋体"/>
                <w:sz w:val="24"/>
                <w:szCs w:val="24"/>
                <w:highlight w:val="yellow"/>
              </w:rPr>
            </w:pPr>
            <w:r>
              <w:rPr>
                <w:rFonts w:hint="eastAsia" w:hAnsi="宋体" w:cs="宋体"/>
                <w:sz w:val="24"/>
                <w:szCs w:val="24"/>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1475" w:type="dxa"/>
            <w:noWrap/>
            <w:vAlign w:val="center"/>
          </w:tcPr>
          <w:p>
            <w:pPr>
              <w:pStyle w:val="14"/>
              <w:snapToGrid w:val="0"/>
              <w:spacing w:line="400" w:lineRule="exact"/>
              <w:jc w:val="center"/>
              <w:rPr>
                <w:rFonts w:hAnsi="宋体" w:cs="宋体"/>
                <w:sz w:val="24"/>
                <w:szCs w:val="24"/>
                <w:highlight w:val="yellow"/>
              </w:rPr>
            </w:pPr>
            <w:r>
              <w:rPr>
                <w:rFonts w:hint="eastAsia" w:hAnsi="宋体" w:cs="宋体"/>
                <w:sz w:val="24"/>
                <w:szCs w:val="24"/>
              </w:rPr>
              <w:t>实施团队组建情况</w:t>
            </w:r>
          </w:p>
        </w:tc>
        <w:tc>
          <w:tcPr>
            <w:tcW w:w="6916" w:type="dxa"/>
            <w:noWrap/>
            <w:vAlign w:val="center"/>
          </w:tcPr>
          <w:p>
            <w:pPr>
              <w:pStyle w:val="14"/>
              <w:spacing w:line="300" w:lineRule="exact"/>
              <w:rPr>
                <w:rFonts w:hAnsi="宋体" w:cs="宋体"/>
                <w:bCs/>
                <w:sz w:val="24"/>
                <w:szCs w:val="24"/>
              </w:rPr>
            </w:pPr>
            <w:r>
              <w:rPr>
                <w:rFonts w:hint="eastAsia" w:hAnsi="宋体" w:cs="宋体"/>
                <w:bCs/>
                <w:sz w:val="24"/>
                <w:szCs w:val="24"/>
              </w:rPr>
              <w:t>综合考评投标人拟投入本项目的实施团队组建情况：</w:t>
            </w:r>
          </w:p>
          <w:p>
            <w:pPr>
              <w:pStyle w:val="14"/>
              <w:spacing w:line="300" w:lineRule="exact"/>
              <w:rPr>
                <w:rFonts w:hAnsi="宋体" w:cs="宋体"/>
                <w:bCs/>
                <w:sz w:val="24"/>
                <w:szCs w:val="24"/>
              </w:rPr>
            </w:pPr>
            <w:r>
              <w:rPr>
                <w:rFonts w:hint="eastAsia" w:hAnsi="宋体" w:cs="宋体"/>
                <w:bCs/>
                <w:sz w:val="24"/>
                <w:szCs w:val="24"/>
              </w:rPr>
              <w:t>人员充足，工种配备齐全，结构合理，专业性强，职责分工明确，经验丰富，综合素质高的，得8-10分；</w:t>
            </w:r>
          </w:p>
          <w:p>
            <w:pPr>
              <w:pStyle w:val="14"/>
              <w:spacing w:line="300" w:lineRule="exact"/>
              <w:rPr>
                <w:rFonts w:hAnsi="宋体" w:cs="宋体"/>
                <w:bCs/>
                <w:sz w:val="24"/>
                <w:szCs w:val="24"/>
                <w:highlight w:val="yellow"/>
              </w:rPr>
            </w:pPr>
            <w:r>
              <w:rPr>
                <w:rFonts w:hint="eastAsia" w:hAnsi="宋体" w:cs="宋体"/>
                <w:bCs/>
                <w:sz w:val="24"/>
                <w:szCs w:val="24"/>
              </w:rPr>
              <w:t>人员较充足，工种配备较齐全，结构较合理，专业性较强，职责分工较明确，经验较丰富，综合素质较高的，得5-7分；</w:t>
            </w:r>
          </w:p>
          <w:p>
            <w:pPr>
              <w:pStyle w:val="14"/>
              <w:spacing w:line="300" w:lineRule="exact"/>
              <w:rPr>
                <w:rFonts w:hAnsi="宋体" w:cs="宋体"/>
                <w:bCs/>
                <w:sz w:val="24"/>
                <w:szCs w:val="24"/>
              </w:rPr>
            </w:pPr>
            <w:r>
              <w:rPr>
                <w:rFonts w:hint="eastAsia" w:hAnsi="宋体" w:cs="宋体"/>
                <w:bCs/>
                <w:sz w:val="24"/>
                <w:szCs w:val="24"/>
              </w:rPr>
              <w:t>人员充足度一般，工种配备基本齐全，结构相对合理，专业性一般，职责分工不够明确，经验稍显不足，综合素质一般，能够基本满足招标文件要求的，得3-4 分；</w:t>
            </w:r>
          </w:p>
          <w:p>
            <w:pPr>
              <w:pStyle w:val="14"/>
              <w:spacing w:line="300" w:lineRule="exact"/>
              <w:rPr>
                <w:rFonts w:hAnsi="宋体" w:cs="宋体"/>
                <w:bCs/>
                <w:sz w:val="24"/>
                <w:szCs w:val="24"/>
              </w:rPr>
            </w:pPr>
            <w:r>
              <w:rPr>
                <w:rFonts w:hint="eastAsia" w:hAnsi="宋体" w:cs="宋体"/>
                <w:bCs/>
                <w:sz w:val="24"/>
                <w:szCs w:val="24"/>
              </w:rPr>
              <w:t>人员不够充足，工种配备不够齐全，结构欠合理，专业性较弱，职责分工不够明确，综合素质较弱，对招标文件要求满足度较低的，得0-2 分。</w:t>
            </w:r>
          </w:p>
          <w:p>
            <w:pPr>
              <w:pStyle w:val="14"/>
              <w:spacing w:line="300" w:lineRule="exact"/>
              <w:rPr>
                <w:rFonts w:hAnsi="宋体" w:cs="宋体"/>
                <w:bCs/>
                <w:sz w:val="24"/>
                <w:szCs w:val="24"/>
                <w:highlight w:val="yellow"/>
              </w:rPr>
            </w:pPr>
            <w:r>
              <w:rPr>
                <w:rFonts w:hint="eastAsia" w:hAnsi="宋体" w:cs="宋体"/>
                <w:bCs/>
                <w:sz w:val="24"/>
                <w:szCs w:val="24"/>
              </w:rPr>
              <w:t>（须提供团队成员名单、简历、资历经验证明、操作人员应具有行业资格证书等相关材料并加盖供应商公章）</w:t>
            </w:r>
          </w:p>
        </w:tc>
        <w:tc>
          <w:tcPr>
            <w:tcW w:w="999" w:type="dxa"/>
            <w:noWrap/>
            <w:vAlign w:val="center"/>
          </w:tcPr>
          <w:p>
            <w:pPr>
              <w:pStyle w:val="14"/>
              <w:snapToGrid w:val="0"/>
              <w:spacing w:line="400" w:lineRule="exact"/>
              <w:jc w:val="center"/>
              <w:rPr>
                <w:rFonts w:hAnsi="宋体" w:cs="宋体"/>
                <w:sz w:val="24"/>
                <w:szCs w:val="24"/>
                <w:highlight w:val="yellow"/>
              </w:rPr>
            </w:pPr>
            <w:r>
              <w:rPr>
                <w:rFonts w:hint="eastAsia" w:hAnsi="宋体" w:cs="宋体"/>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475" w:type="dxa"/>
            <w:noWrap/>
            <w:vAlign w:val="center"/>
          </w:tcPr>
          <w:p>
            <w:pPr>
              <w:pStyle w:val="14"/>
              <w:snapToGrid w:val="0"/>
              <w:spacing w:line="400" w:lineRule="exact"/>
              <w:jc w:val="center"/>
              <w:rPr>
                <w:rFonts w:hAnsi="宋体" w:cs="宋体"/>
                <w:sz w:val="24"/>
                <w:szCs w:val="24"/>
                <w:highlight w:val="yellow"/>
              </w:rPr>
            </w:pPr>
            <w:r>
              <w:rPr>
                <w:rFonts w:hint="eastAsia" w:hAnsi="宋体" w:cs="宋体"/>
                <w:bCs/>
                <w:sz w:val="24"/>
                <w:szCs w:val="24"/>
              </w:rPr>
              <w:t>质量保证措施及服务承诺</w:t>
            </w:r>
          </w:p>
        </w:tc>
        <w:tc>
          <w:tcPr>
            <w:tcW w:w="6916" w:type="dxa"/>
            <w:noWrap/>
            <w:vAlign w:val="center"/>
          </w:tcPr>
          <w:p>
            <w:pPr>
              <w:pStyle w:val="14"/>
              <w:spacing w:line="300" w:lineRule="exact"/>
              <w:rPr>
                <w:rFonts w:hAnsi="宋体" w:cs="宋体"/>
                <w:bCs/>
                <w:sz w:val="24"/>
                <w:szCs w:val="24"/>
              </w:rPr>
            </w:pPr>
            <w:r>
              <w:rPr>
                <w:rFonts w:hint="eastAsia" w:hAnsi="宋体" w:cs="宋体"/>
                <w:bCs/>
                <w:sz w:val="24"/>
                <w:szCs w:val="24"/>
              </w:rPr>
              <w:t>1、针对该项目须有质量保证措施及相关承诺，承诺合理到位、全面得2-3分；承诺不全面不细致的得0-1分。</w:t>
            </w:r>
          </w:p>
          <w:p>
            <w:pPr>
              <w:pStyle w:val="14"/>
              <w:spacing w:line="300" w:lineRule="exact"/>
              <w:rPr>
                <w:rFonts w:hAnsi="宋体" w:cs="宋体"/>
                <w:bCs/>
                <w:sz w:val="24"/>
                <w:szCs w:val="24"/>
                <w:highlight w:val="yellow"/>
              </w:rPr>
            </w:pPr>
            <w:r>
              <w:rPr>
                <w:rFonts w:hint="eastAsia" w:hAnsi="宋体" w:cs="宋体"/>
                <w:bCs/>
                <w:sz w:val="24"/>
                <w:szCs w:val="24"/>
              </w:rPr>
              <w:t>2、制定出详细的服务质量保证措施，措施完整、详细、合理的得2-3分；措施内容存在缺漏、不详细的得0-1分。</w:t>
            </w:r>
          </w:p>
        </w:tc>
        <w:tc>
          <w:tcPr>
            <w:tcW w:w="999" w:type="dxa"/>
            <w:noWrap/>
            <w:vAlign w:val="center"/>
          </w:tcPr>
          <w:p>
            <w:pPr>
              <w:pStyle w:val="14"/>
              <w:snapToGrid w:val="0"/>
              <w:spacing w:line="400" w:lineRule="exact"/>
              <w:jc w:val="center"/>
              <w:rPr>
                <w:rFonts w:hAnsi="宋体" w:cs="宋体"/>
                <w:sz w:val="24"/>
                <w:szCs w:val="24"/>
                <w:highlight w:val="yellow"/>
              </w:rPr>
            </w:pPr>
            <w:r>
              <w:rPr>
                <w:rFonts w:hint="eastAsia" w:hAnsi="宋体" w:cs="宋体"/>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390" w:type="dxa"/>
            <w:gridSpan w:val="3"/>
            <w:noWrap/>
            <w:vAlign w:val="center"/>
          </w:tcPr>
          <w:p>
            <w:pPr>
              <w:pStyle w:val="14"/>
              <w:snapToGrid w:val="0"/>
              <w:spacing w:line="400" w:lineRule="exact"/>
              <w:rPr>
                <w:rFonts w:hAnsi="宋体" w:cs="宋体"/>
                <w:b/>
                <w:sz w:val="24"/>
                <w:szCs w:val="24"/>
                <w:highlight w:val="yellow"/>
              </w:rPr>
            </w:pPr>
            <w:r>
              <w:rPr>
                <w:rFonts w:hint="eastAsia" w:hAnsi="宋体" w:cs="宋体"/>
                <w:b/>
                <w:sz w:val="24"/>
                <w:szCs w:val="24"/>
              </w:rPr>
              <w:t>C：商务部分评分18分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75" w:type="dxa"/>
            <w:noWrap/>
            <w:vAlign w:val="center"/>
          </w:tcPr>
          <w:p>
            <w:pPr>
              <w:pStyle w:val="14"/>
              <w:snapToGrid w:val="0"/>
              <w:spacing w:line="400" w:lineRule="exact"/>
              <w:jc w:val="center"/>
              <w:rPr>
                <w:rFonts w:hAnsi="宋体" w:cs="宋体"/>
                <w:sz w:val="24"/>
                <w:szCs w:val="24"/>
                <w:highlight w:val="yellow"/>
              </w:rPr>
            </w:pPr>
            <w:r>
              <w:rPr>
                <w:rFonts w:hint="eastAsia" w:hAnsi="宋体" w:cs="宋体"/>
                <w:sz w:val="24"/>
                <w:szCs w:val="24"/>
              </w:rPr>
              <w:t>人员证书</w:t>
            </w:r>
          </w:p>
        </w:tc>
        <w:tc>
          <w:tcPr>
            <w:tcW w:w="6916" w:type="dxa"/>
            <w:noWrap/>
            <w:vAlign w:val="center"/>
          </w:tcPr>
          <w:p>
            <w:pPr>
              <w:pStyle w:val="14"/>
              <w:spacing w:line="300" w:lineRule="exact"/>
              <w:rPr>
                <w:rFonts w:hAnsi="宋体" w:cs="宋体"/>
                <w:bCs/>
                <w:sz w:val="24"/>
                <w:szCs w:val="24"/>
              </w:rPr>
            </w:pPr>
            <w:r>
              <w:rPr>
                <w:rFonts w:hint="eastAsia" w:hAnsi="宋体" w:cs="宋体"/>
                <w:bCs/>
                <w:sz w:val="24"/>
                <w:szCs w:val="24"/>
              </w:rPr>
              <w:t>1.供应商提供不少于2 人的驻场服务，且驻场人员取得消防设施操作员国家职业资格证书的，得2 分。</w:t>
            </w:r>
          </w:p>
          <w:p>
            <w:pPr>
              <w:pStyle w:val="14"/>
              <w:spacing w:line="300" w:lineRule="exact"/>
              <w:rPr>
                <w:rFonts w:hAnsi="宋体" w:cs="宋体"/>
                <w:bCs/>
                <w:sz w:val="24"/>
                <w:szCs w:val="24"/>
              </w:rPr>
            </w:pPr>
            <w:r>
              <w:rPr>
                <w:rFonts w:hint="eastAsia" w:hAnsi="宋体" w:cs="宋体"/>
                <w:bCs/>
                <w:sz w:val="24"/>
                <w:szCs w:val="24"/>
              </w:rPr>
              <w:t>2.供应商拟派项目负责人具备注册消防工程师资格，得1分，具备高级工程师或以上职称，得1分；本科或以上学历，得1分；</w:t>
            </w:r>
          </w:p>
          <w:p>
            <w:pPr>
              <w:pStyle w:val="14"/>
              <w:spacing w:line="300" w:lineRule="exact"/>
              <w:rPr>
                <w:rFonts w:hAnsi="宋体" w:cs="宋体"/>
                <w:bCs/>
                <w:sz w:val="24"/>
                <w:szCs w:val="24"/>
              </w:rPr>
            </w:pPr>
            <w:r>
              <w:rPr>
                <w:rFonts w:hint="eastAsia" w:hAnsi="宋体" w:cs="宋体"/>
                <w:bCs/>
                <w:sz w:val="24"/>
                <w:szCs w:val="24"/>
              </w:rPr>
              <w:t>3.供应商拟派技术负责人具备注册消防工程师资格，得1分，具备中级工程师或以上职称，得1分；本科或以上学历，得1分；</w:t>
            </w:r>
          </w:p>
          <w:p>
            <w:pPr>
              <w:pStyle w:val="14"/>
              <w:snapToGrid w:val="0"/>
              <w:spacing w:line="320" w:lineRule="exact"/>
              <w:rPr>
                <w:rFonts w:hAnsi="宋体" w:cs="宋体"/>
                <w:spacing w:val="-7"/>
                <w:sz w:val="24"/>
                <w:szCs w:val="24"/>
                <w:highlight w:val="yellow"/>
              </w:rPr>
            </w:pPr>
            <w:r>
              <w:rPr>
                <w:rFonts w:hint="eastAsia" w:hAnsi="宋体" w:cs="宋体"/>
                <w:bCs/>
                <w:sz w:val="24"/>
                <w:szCs w:val="24"/>
              </w:rPr>
              <w:t>未提供得0 分。（以上均需提供本公司为团队成员缴纳的社保缴费证明和相关证书复印件并加盖公章）</w:t>
            </w:r>
          </w:p>
        </w:tc>
        <w:tc>
          <w:tcPr>
            <w:tcW w:w="999" w:type="dxa"/>
            <w:noWrap/>
            <w:vAlign w:val="center"/>
          </w:tcPr>
          <w:p>
            <w:pPr>
              <w:pStyle w:val="14"/>
              <w:snapToGrid w:val="0"/>
              <w:spacing w:line="400" w:lineRule="exact"/>
              <w:jc w:val="center"/>
              <w:rPr>
                <w:rFonts w:hAnsi="宋体" w:cs="宋体"/>
                <w:sz w:val="24"/>
                <w:szCs w:val="24"/>
              </w:rPr>
            </w:pPr>
            <w:r>
              <w:rPr>
                <w:rFonts w:hint="eastAsia" w:hAnsi="宋体" w:cs="宋体"/>
                <w:sz w:val="24"/>
                <w:szCs w:val="24"/>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475" w:type="dxa"/>
            <w:noWrap/>
            <w:vAlign w:val="center"/>
          </w:tcPr>
          <w:p>
            <w:pPr>
              <w:pStyle w:val="14"/>
              <w:snapToGrid w:val="0"/>
              <w:spacing w:line="400" w:lineRule="exact"/>
              <w:jc w:val="center"/>
              <w:rPr>
                <w:rFonts w:hAnsi="宋体" w:cs="宋体"/>
                <w:sz w:val="24"/>
                <w:szCs w:val="24"/>
              </w:rPr>
            </w:pPr>
            <w:r>
              <w:rPr>
                <w:rFonts w:hint="eastAsia" w:hAnsi="宋体" w:cs="宋体"/>
                <w:sz w:val="24"/>
                <w:szCs w:val="24"/>
              </w:rPr>
              <w:t>类似业绩情况</w:t>
            </w:r>
          </w:p>
        </w:tc>
        <w:tc>
          <w:tcPr>
            <w:tcW w:w="6916" w:type="dxa"/>
            <w:noWrap/>
            <w:vAlign w:val="center"/>
          </w:tcPr>
          <w:p>
            <w:pPr>
              <w:pStyle w:val="14"/>
              <w:snapToGrid w:val="0"/>
              <w:spacing w:line="320" w:lineRule="exact"/>
              <w:rPr>
                <w:rFonts w:hAnsi="宋体" w:cs="宋体"/>
                <w:spacing w:val="-7"/>
                <w:sz w:val="24"/>
                <w:szCs w:val="24"/>
              </w:rPr>
            </w:pPr>
            <w:r>
              <w:rPr>
                <w:rFonts w:hint="eastAsia" w:hAnsi="宋体" w:cs="宋体"/>
                <w:spacing w:val="-7"/>
                <w:sz w:val="24"/>
                <w:szCs w:val="24"/>
              </w:rPr>
              <w:t>近年（2020年3月1日至今）从事类似项目业绩进行评价，须提供中标通知书、成交通知书或合同协议书（相关业绩证明资料提供原件扫描件），提供一个得2分，最高得10分。</w:t>
            </w:r>
          </w:p>
        </w:tc>
        <w:tc>
          <w:tcPr>
            <w:tcW w:w="999" w:type="dxa"/>
            <w:noWrap/>
            <w:vAlign w:val="center"/>
          </w:tcPr>
          <w:p>
            <w:pPr>
              <w:pStyle w:val="14"/>
              <w:snapToGrid w:val="0"/>
              <w:spacing w:line="400" w:lineRule="exact"/>
              <w:jc w:val="center"/>
              <w:rPr>
                <w:rFonts w:hAnsi="宋体" w:cs="宋体"/>
                <w:sz w:val="24"/>
                <w:szCs w:val="24"/>
              </w:rPr>
            </w:pPr>
            <w:r>
              <w:rPr>
                <w:rFonts w:hint="eastAsia" w:hAnsi="宋体" w:cs="宋体"/>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9390" w:type="dxa"/>
            <w:gridSpan w:val="3"/>
            <w:noWrap/>
            <w:vAlign w:val="center"/>
          </w:tcPr>
          <w:p>
            <w:pPr>
              <w:jc w:val="left"/>
              <w:rPr>
                <w:rFonts w:ascii="宋体" w:hAnsi="宋体" w:cs="宋体"/>
                <w:sz w:val="24"/>
                <w:szCs w:val="24"/>
              </w:rPr>
            </w:pPr>
            <w:r>
              <w:rPr>
                <w:rFonts w:hint="eastAsia" w:ascii="宋体" w:hAnsi="宋体" w:cs="宋体"/>
                <w:sz w:val="24"/>
                <w:szCs w:val="24"/>
              </w:rPr>
              <w:t>备注：</w:t>
            </w:r>
          </w:p>
          <w:p>
            <w:pPr>
              <w:jc w:val="left"/>
              <w:rPr>
                <w:rFonts w:ascii="宋体" w:hAnsi="宋体" w:cs="宋体"/>
                <w:sz w:val="24"/>
                <w:szCs w:val="24"/>
              </w:rPr>
            </w:pPr>
            <w:r>
              <w:rPr>
                <w:rFonts w:hint="eastAsia" w:ascii="宋体" w:hAnsi="宋体" w:cs="宋体"/>
                <w:sz w:val="24"/>
                <w:szCs w:val="24"/>
              </w:rPr>
              <w:t xml:space="preserve">1、专家根据投标文件中投标人提供的资料在分值范围内进行评议； </w:t>
            </w:r>
          </w:p>
          <w:p>
            <w:pPr>
              <w:pStyle w:val="14"/>
              <w:snapToGrid w:val="0"/>
              <w:spacing w:line="400" w:lineRule="exact"/>
              <w:jc w:val="left"/>
              <w:rPr>
                <w:rFonts w:hAnsi="宋体" w:cs="宋体"/>
                <w:sz w:val="24"/>
                <w:szCs w:val="24"/>
              </w:rPr>
            </w:pPr>
            <w:r>
              <w:rPr>
                <w:rFonts w:hint="eastAsia" w:hAnsi="宋体" w:cs="宋体"/>
                <w:sz w:val="24"/>
                <w:szCs w:val="24"/>
              </w:rPr>
              <w:t>2、得分保留两位小数。</w:t>
            </w:r>
          </w:p>
        </w:tc>
      </w:tr>
    </w:tbl>
    <w:p>
      <w:pPr>
        <w:pStyle w:val="20"/>
        <w:rPr>
          <w:rFonts w:ascii="仿宋" w:hAnsi="仿宋" w:eastAsia="仿宋" w:cs="仿宋"/>
          <w:b/>
          <w:bCs/>
          <w:sz w:val="24"/>
          <w:szCs w:val="24"/>
          <w:highlight w:val="yellow"/>
        </w:rPr>
      </w:pPr>
    </w:p>
    <w:p>
      <w:pPr>
        <w:pStyle w:val="3"/>
        <w:spacing w:line="240" w:lineRule="auto"/>
        <w:jc w:val="left"/>
        <w:rPr>
          <w:highlight w:val="yellow"/>
        </w:rPr>
      </w:pPr>
      <w:r>
        <w:rPr>
          <w:rFonts w:hint="eastAsia" w:ascii="仿宋" w:hAnsi="仿宋" w:eastAsia="仿宋" w:cs="仿宋"/>
          <w:sz w:val="24"/>
          <w:szCs w:val="24"/>
        </w:rPr>
        <w:t>标项五：</w:t>
      </w:r>
      <w:bookmarkStart w:id="188" w:name="_Toc45795253"/>
      <w:r>
        <w:rPr>
          <w:rStyle w:val="64"/>
          <w:rFonts w:hint="eastAsia" w:ascii="仿宋" w:hAnsi="仿宋" w:eastAsia="仿宋" w:cs="仿宋"/>
          <w:bCs w:val="0"/>
          <w:sz w:val="24"/>
          <w:szCs w:val="24"/>
        </w:rPr>
        <w:t>评 分 细 则</w:t>
      </w:r>
      <w:bookmarkEnd w:id="188"/>
    </w:p>
    <w:tbl>
      <w:tblPr>
        <w:tblStyle w:val="29"/>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6916"/>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jc w:val="center"/>
        </w:trPr>
        <w:tc>
          <w:tcPr>
            <w:tcW w:w="1475" w:type="dxa"/>
            <w:noWrap/>
            <w:vAlign w:val="center"/>
          </w:tcPr>
          <w:p>
            <w:pPr>
              <w:pStyle w:val="14"/>
              <w:snapToGrid w:val="0"/>
              <w:spacing w:line="400" w:lineRule="exact"/>
              <w:jc w:val="center"/>
              <w:rPr>
                <w:rFonts w:hAnsi="宋体" w:cs="宋体"/>
                <w:b/>
                <w:sz w:val="24"/>
                <w:szCs w:val="24"/>
              </w:rPr>
            </w:pPr>
            <w:r>
              <w:rPr>
                <w:rFonts w:hint="eastAsia" w:hAnsi="宋体" w:cs="宋体"/>
                <w:b/>
                <w:sz w:val="24"/>
                <w:szCs w:val="24"/>
              </w:rPr>
              <w:t>项目</w:t>
            </w:r>
          </w:p>
        </w:tc>
        <w:tc>
          <w:tcPr>
            <w:tcW w:w="6916" w:type="dxa"/>
            <w:noWrap/>
            <w:vAlign w:val="center"/>
          </w:tcPr>
          <w:p>
            <w:pPr>
              <w:pStyle w:val="14"/>
              <w:snapToGrid w:val="0"/>
              <w:spacing w:line="400" w:lineRule="exact"/>
              <w:jc w:val="center"/>
              <w:rPr>
                <w:rFonts w:hAnsi="宋体" w:cs="宋体"/>
                <w:b/>
                <w:sz w:val="24"/>
                <w:szCs w:val="24"/>
              </w:rPr>
            </w:pPr>
            <w:r>
              <w:rPr>
                <w:rFonts w:hint="eastAsia" w:hAnsi="宋体" w:cs="宋体"/>
                <w:b/>
                <w:sz w:val="24"/>
                <w:szCs w:val="24"/>
              </w:rPr>
              <w:t>评审内容</w:t>
            </w:r>
          </w:p>
        </w:tc>
        <w:tc>
          <w:tcPr>
            <w:tcW w:w="999" w:type="dxa"/>
            <w:noWrap/>
            <w:vAlign w:val="center"/>
          </w:tcPr>
          <w:p>
            <w:pPr>
              <w:pStyle w:val="14"/>
              <w:snapToGrid w:val="0"/>
              <w:spacing w:line="400" w:lineRule="exact"/>
              <w:jc w:val="center"/>
              <w:rPr>
                <w:rFonts w:hAnsi="宋体" w:cs="宋体"/>
                <w:b/>
                <w:sz w:val="24"/>
                <w:szCs w:val="24"/>
              </w:rPr>
            </w:pPr>
            <w:r>
              <w:rPr>
                <w:rFonts w:hint="eastAsia" w:hAnsi="宋体" w:cs="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390" w:type="dxa"/>
            <w:gridSpan w:val="3"/>
            <w:noWrap/>
            <w:vAlign w:val="center"/>
          </w:tcPr>
          <w:p>
            <w:pPr>
              <w:pStyle w:val="14"/>
              <w:snapToGrid w:val="0"/>
              <w:spacing w:line="400" w:lineRule="exact"/>
              <w:rPr>
                <w:rFonts w:hAnsi="宋体" w:cs="宋体"/>
                <w:b/>
                <w:sz w:val="24"/>
                <w:szCs w:val="24"/>
                <w:highlight w:val="yellow"/>
              </w:rPr>
            </w:pPr>
            <w:r>
              <w:rPr>
                <w:rFonts w:hint="eastAsia" w:hAnsi="宋体" w:cs="宋体"/>
                <w:b/>
                <w:sz w:val="24"/>
                <w:szCs w:val="24"/>
              </w:rPr>
              <w:t>A：投标价格评分10分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475" w:type="dxa"/>
            <w:noWrap/>
            <w:vAlign w:val="center"/>
          </w:tcPr>
          <w:p>
            <w:pPr>
              <w:pStyle w:val="14"/>
              <w:spacing w:line="300" w:lineRule="exact"/>
              <w:rPr>
                <w:rFonts w:hAnsi="宋体" w:cs="宋体"/>
                <w:bCs/>
                <w:sz w:val="24"/>
                <w:szCs w:val="24"/>
                <w:highlight w:val="yellow"/>
              </w:rPr>
            </w:pPr>
            <w:r>
              <w:rPr>
                <w:rFonts w:hint="eastAsia" w:hAnsi="宋体" w:cs="宋体"/>
                <w:bCs/>
                <w:sz w:val="24"/>
                <w:szCs w:val="24"/>
              </w:rPr>
              <w:t>价格</w:t>
            </w:r>
          </w:p>
        </w:tc>
        <w:tc>
          <w:tcPr>
            <w:tcW w:w="6916" w:type="dxa"/>
            <w:noWrap/>
            <w:vAlign w:val="center"/>
          </w:tcPr>
          <w:p>
            <w:pPr>
              <w:pStyle w:val="14"/>
              <w:spacing w:line="300" w:lineRule="exact"/>
              <w:rPr>
                <w:rFonts w:hAnsi="宋体" w:cs="宋体"/>
                <w:bCs/>
                <w:sz w:val="24"/>
                <w:szCs w:val="24"/>
              </w:rPr>
            </w:pPr>
            <w:r>
              <w:rPr>
                <w:rFonts w:hint="eastAsia" w:hAnsi="宋体" w:cs="宋体"/>
                <w:bCs/>
                <w:sz w:val="24"/>
                <w:szCs w:val="24"/>
              </w:rPr>
              <w:t>价格分应当采用低价优先法计算，即满足招标文件要求且最终投标价格最低的有效投标报价为评标基准价，其价格分为满分。其他投标人的价格分统一按照下列公式计算：</w:t>
            </w:r>
          </w:p>
          <w:p>
            <w:pPr>
              <w:pStyle w:val="14"/>
              <w:spacing w:line="300" w:lineRule="exact"/>
              <w:rPr>
                <w:rFonts w:hAnsi="宋体" w:cs="宋体"/>
                <w:bCs/>
                <w:sz w:val="24"/>
                <w:szCs w:val="24"/>
              </w:rPr>
            </w:pPr>
            <w:r>
              <w:rPr>
                <w:rFonts w:hint="eastAsia" w:hAnsi="宋体" w:cs="宋体"/>
                <w:bCs/>
                <w:sz w:val="24"/>
                <w:szCs w:val="24"/>
              </w:rPr>
              <w:t>投标报价得分=(评标基准价/投标报价)×100*10%</w:t>
            </w:r>
          </w:p>
          <w:p>
            <w:pPr>
              <w:pStyle w:val="14"/>
              <w:spacing w:line="300" w:lineRule="exact"/>
              <w:rPr>
                <w:rFonts w:hAnsi="宋体" w:cs="宋体"/>
                <w:bCs/>
                <w:sz w:val="24"/>
                <w:szCs w:val="24"/>
              </w:rPr>
            </w:pPr>
            <w:r>
              <w:rPr>
                <w:rFonts w:hint="eastAsia" w:hAnsi="宋体" w:cs="宋体"/>
                <w:bCs/>
                <w:sz w:val="24"/>
                <w:szCs w:val="24"/>
              </w:rPr>
              <w:t>根据新财购〔2022〕22号文，对小型和微型企业产品的价格给予10%的扣除，用扣除后的价格参与评审。（投标人为中小企业的，需提供《中小企业声明函》等证明文件）。</w:t>
            </w:r>
          </w:p>
        </w:tc>
        <w:tc>
          <w:tcPr>
            <w:tcW w:w="999" w:type="dxa"/>
            <w:noWrap/>
            <w:vAlign w:val="center"/>
          </w:tcPr>
          <w:p>
            <w:pPr>
              <w:pStyle w:val="14"/>
              <w:spacing w:line="300" w:lineRule="exact"/>
              <w:jc w:val="center"/>
              <w:rPr>
                <w:rFonts w:hAnsi="宋体" w:cs="宋体"/>
                <w:bCs/>
                <w:sz w:val="24"/>
                <w:szCs w:val="24"/>
              </w:rPr>
            </w:pPr>
            <w:r>
              <w:rPr>
                <w:rFonts w:hint="eastAsia" w:hAnsi="宋体" w:cs="宋体"/>
                <w:bCs/>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390" w:type="dxa"/>
            <w:gridSpan w:val="3"/>
            <w:shd w:val="clear" w:color="auto" w:fill="FFFFFF"/>
            <w:noWrap/>
            <w:vAlign w:val="center"/>
          </w:tcPr>
          <w:p>
            <w:pPr>
              <w:pStyle w:val="14"/>
              <w:spacing w:line="300" w:lineRule="exact"/>
              <w:rPr>
                <w:rFonts w:hAnsi="宋体" w:cs="宋体"/>
                <w:bCs/>
                <w:sz w:val="24"/>
                <w:szCs w:val="24"/>
                <w:highlight w:val="yellow"/>
              </w:rPr>
            </w:pPr>
            <w:r>
              <w:rPr>
                <w:rFonts w:hint="eastAsia" w:hAnsi="宋体" w:cs="宋体"/>
                <w:bCs/>
                <w:sz w:val="24"/>
                <w:szCs w:val="24"/>
              </w:rPr>
              <w:t>B：技术部分评分</w:t>
            </w:r>
            <w:r>
              <w:rPr>
                <w:rFonts w:hint="eastAsia" w:hAnsi="宋体" w:cs="宋体"/>
                <w:bCs/>
                <w:sz w:val="24"/>
                <w:szCs w:val="24"/>
                <w:lang w:val="en-US" w:eastAsia="zh-CN"/>
              </w:rPr>
              <w:t>72</w:t>
            </w:r>
            <w:r>
              <w:rPr>
                <w:rFonts w:hint="eastAsia" w:hAnsi="宋体" w:cs="宋体"/>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5" w:type="dxa"/>
            <w:vMerge w:val="restart"/>
            <w:shd w:val="clear" w:color="auto" w:fill="FFFFFF"/>
            <w:noWrap/>
            <w:vAlign w:val="center"/>
          </w:tcPr>
          <w:p>
            <w:pPr>
              <w:pStyle w:val="14"/>
              <w:spacing w:line="300" w:lineRule="exact"/>
              <w:jc w:val="center"/>
              <w:rPr>
                <w:rFonts w:hAnsi="宋体" w:cs="宋体"/>
                <w:bCs/>
                <w:sz w:val="24"/>
                <w:szCs w:val="24"/>
                <w:highlight w:val="yellow"/>
              </w:rPr>
            </w:pPr>
            <w:r>
              <w:rPr>
                <w:rFonts w:hint="eastAsia" w:hAnsi="宋体" w:cs="宋体"/>
                <w:bCs/>
                <w:sz w:val="24"/>
                <w:szCs w:val="24"/>
              </w:rPr>
              <w:t>服务方案</w:t>
            </w:r>
          </w:p>
        </w:tc>
        <w:tc>
          <w:tcPr>
            <w:tcW w:w="6916" w:type="dxa"/>
            <w:shd w:val="clear" w:color="auto" w:fill="FFFFFF"/>
            <w:noWrap/>
          </w:tcPr>
          <w:p>
            <w:pPr>
              <w:pStyle w:val="14"/>
              <w:spacing w:line="300" w:lineRule="exact"/>
              <w:rPr>
                <w:rFonts w:hAnsi="宋体" w:cs="宋体"/>
                <w:bCs/>
                <w:sz w:val="24"/>
                <w:szCs w:val="24"/>
                <w:highlight w:val="yellow"/>
              </w:rPr>
            </w:pPr>
            <w:r>
              <w:rPr>
                <w:rFonts w:hint="eastAsia" w:hAnsi="宋体" w:cs="宋体"/>
                <w:bCs/>
                <w:sz w:val="24"/>
                <w:szCs w:val="24"/>
              </w:rPr>
              <w:t>对本项目的背景及维护工作的认识全面准确的得6-8分，较为全面准确的得3-5分，一般的得0-2分.</w:t>
            </w:r>
          </w:p>
        </w:tc>
        <w:tc>
          <w:tcPr>
            <w:tcW w:w="999" w:type="dxa"/>
            <w:shd w:val="clear" w:color="auto" w:fill="FFFFFF"/>
            <w:noWrap/>
            <w:vAlign w:val="center"/>
          </w:tcPr>
          <w:p>
            <w:pPr>
              <w:pStyle w:val="14"/>
              <w:spacing w:line="300" w:lineRule="exact"/>
              <w:jc w:val="center"/>
              <w:rPr>
                <w:rFonts w:hAnsi="宋体" w:cs="宋体"/>
                <w:bCs/>
                <w:sz w:val="24"/>
                <w:szCs w:val="24"/>
                <w:highlight w:val="yellow"/>
              </w:rPr>
            </w:pPr>
            <w:r>
              <w:rPr>
                <w:rFonts w:hint="eastAsia" w:hAnsi="宋体" w:cs="宋体"/>
                <w:bCs/>
                <w:sz w:val="24"/>
                <w:szCs w:val="24"/>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5" w:type="dxa"/>
            <w:vMerge w:val="continue"/>
            <w:shd w:val="clear" w:color="auto" w:fill="FFFFFF"/>
            <w:noWrap/>
            <w:vAlign w:val="center"/>
          </w:tcPr>
          <w:p>
            <w:pPr>
              <w:pStyle w:val="14"/>
              <w:spacing w:line="300" w:lineRule="exact"/>
              <w:rPr>
                <w:rFonts w:hAnsi="宋体" w:cs="宋体"/>
                <w:bCs/>
                <w:sz w:val="24"/>
                <w:szCs w:val="24"/>
                <w:highlight w:val="yellow"/>
              </w:rPr>
            </w:pPr>
          </w:p>
        </w:tc>
        <w:tc>
          <w:tcPr>
            <w:tcW w:w="6916" w:type="dxa"/>
            <w:shd w:val="clear" w:color="auto" w:fill="FFFFFF"/>
            <w:noWrap/>
          </w:tcPr>
          <w:p>
            <w:pPr>
              <w:pStyle w:val="14"/>
              <w:spacing w:line="300" w:lineRule="exact"/>
              <w:rPr>
                <w:rFonts w:hAnsi="宋体" w:cs="宋体"/>
                <w:bCs/>
                <w:sz w:val="24"/>
                <w:szCs w:val="24"/>
              </w:rPr>
            </w:pPr>
            <w:r>
              <w:rPr>
                <w:rFonts w:hint="eastAsia" w:hAnsi="宋体" w:cs="宋体"/>
                <w:bCs/>
                <w:sz w:val="24"/>
                <w:szCs w:val="24"/>
              </w:rPr>
              <w:t>维护内容、依据、方法全面具体的得5-6分，较为具体的得3-4分，一般的得0-2分。</w:t>
            </w:r>
          </w:p>
        </w:tc>
        <w:tc>
          <w:tcPr>
            <w:tcW w:w="999" w:type="dxa"/>
            <w:shd w:val="clear" w:color="auto" w:fill="FFFFFF"/>
            <w:noWrap/>
            <w:vAlign w:val="center"/>
          </w:tcPr>
          <w:p>
            <w:pPr>
              <w:pStyle w:val="14"/>
              <w:spacing w:line="300" w:lineRule="exact"/>
              <w:jc w:val="center"/>
              <w:rPr>
                <w:rFonts w:hAnsi="宋体" w:cs="宋体"/>
                <w:bCs/>
                <w:sz w:val="24"/>
                <w:szCs w:val="24"/>
                <w:highlight w:val="yellow"/>
              </w:rPr>
            </w:pPr>
            <w:r>
              <w:rPr>
                <w:rFonts w:hint="eastAsia" w:hAnsi="宋体" w:cs="宋体"/>
                <w:bCs/>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5" w:type="dxa"/>
            <w:vMerge w:val="continue"/>
            <w:shd w:val="clear" w:color="auto" w:fill="FFFFFF"/>
            <w:noWrap/>
            <w:vAlign w:val="center"/>
          </w:tcPr>
          <w:p>
            <w:pPr>
              <w:pStyle w:val="14"/>
              <w:spacing w:line="300" w:lineRule="exact"/>
              <w:rPr>
                <w:rFonts w:hAnsi="宋体" w:cs="宋体"/>
                <w:bCs/>
                <w:sz w:val="24"/>
                <w:szCs w:val="24"/>
                <w:highlight w:val="yellow"/>
              </w:rPr>
            </w:pPr>
          </w:p>
        </w:tc>
        <w:tc>
          <w:tcPr>
            <w:tcW w:w="6916" w:type="dxa"/>
            <w:shd w:val="clear" w:color="auto" w:fill="FFFFFF"/>
            <w:noWrap/>
          </w:tcPr>
          <w:p>
            <w:pPr>
              <w:pStyle w:val="14"/>
              <w:spacing w:line="300" w:lineRule="exact"/>
              <w:rPr>
                <w:rFonts w:hAnsi="宋体" w:cs="宋体"/>
                <w:bCs/>
                <w:sz w:val="24"/>
                <w:szCs w:val="24"/>
                <w:highlight w:val="yellow"/>
              </w:rPr>
            </w:pPr>
            <w:r>
              <w:rPr>
                <w:rFonts w:hint="eastAsia" w:hAnsi="宋体" w:cs="宋体"/>
                <w:bCs/>
                <w:sz w:val="24"/>
                <w:szCs w:val="24"/>
              </w:rPr>
              <w:t>实施方案具体详细，有针对性的，得5-6分，较为有针对性的得3-4分，一般的得0-1分。</w:t>
            </w:r>
          </w:p>
        </w:tc>
        <w:tc>
          <w:tcPr>
            <w:tcW w:w="999" w:type="dxa"/>
            <w:shd w:val="clear" w:color="auto" w:fill="FFFFFF"/>
            <w:noWrap/>
            <w:vAlign w:val="center"/>
          </w:tcPr>
          <w:p>
            <w:pPr>
              <w:pStyle w:val="14"/>
              <w:spacing w:line="300" w:lineRule="exact"/>
              <w:jc w:val="center"/>
              <w:rPr>
                <w:rFonts w:hAnsi="宋体" w:cs="宋体"/>
                <w:bCs/>
                <w:sz w:val="24"/>
                <w:szCs w:val="24"/>
                <w:highlight w:val="yellow"/>
              </w:rPr>
            </w:pPr>
            <w:r>
              <w:rPr>
                <w:rFonts w:hint="eastAsia" w:hAnsi="宋体" w:cs="宋体"/>
                <w:bCs/>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5" w:type="dxa"/>
            <w:vMerge w:val="continue"/>
            <w:shd w:val="clear" w:color="auto" w:fill="FFFFFF"/>
            <w:noWrap/>
            <w:vAlign w:val="center"/>
          </w:tcPr>
          <w:p>
            <w:pPr>
              <w:pStyle w:val="14"/>
              <w:spacing w:line="300" w:lineRule="exact"/>
              <w:rPr>
                <w:rFonts w:hAnsi="宋体" w:cs="宋体"/>
                <w:bCs/>
                <w:sz w:val="24"/>
                <w:szCs w:val="24"/>
                <w:highlight w:val="yellow"/>
              </w:rPr>
            </w:pPr>
          </w:p>
        </w:tc>
        <w:tc>
          <w:tcPr>
            <w:tcW w:w="6916" w:type="dxa"/>
            <w:shd w:val="clear" w:color="auto" w:fill="FFFFFF"/>
            <w:noWrap/>
          </w:tcPr>
          <w:p>
            <w:pPr>
              <w:pStyle w:val="14"/>
              <w:spacing w:line="300" w:lineRule="exact"/>
              <w:rPr>
                <w:rFonts w:hAnsi="宋体" w:cs="宋体"/>
                <w:bCs/>
                <w:sz w:val="24"/>
                <w:szCs w:val="24"/>
                <w:highlight w:val="yellow"/>
              </w:rPr>
            </w:pPr>
            <w:r>
              <w:rPr>
                <w:rFonts w:hint="eastAsia" w:hAnsi="宋体" w:cs="宋体"/>
                <w:bCs/>
                <w:sz w:val="24"/>
                <w:szCs w:val="24"/>
              </w:rPr>
              <w:t>质量、安全保障措施合理得当，保障措施全面具体的得 4-5，较为可行的得 2-3分，一般的得0-1分。</w:t>
            </w:r>
          </w:p>
        </w:tc>
        <w:tc>
          <w:tcPr>
            <w:tcW w:w="999" w:type="dxa"/>
            <w:shd w:val="clear" w:color="auto" w:fill="FFFFFF"/>
            <w:noWrap/>
            <w:vAlign w:val="center"/>
          </w:tcPr>
          <w:p>
            <w:pPr>
              <w:pStyle w:val="14"/>
              <w:spacing w:line="300" w:lineRule="exact"/>
              <w:jc w:val="center"/>
              <w:rPr>
                <w:rFonts w:hAnsi="宋体" w:cs="宋体"/>
                <w:bCs/>
                <w:sz w:val="24"/>
                <w:szCs w:val="24"/>
                <w:highlight w:val="yellow"/>
              </w:rPr>
            </w:pPr>
            <w:r>
              <w:rPr>
                <w:rFonts w:hint="eastAsia" w:hAnsi="宋体" w:cs="宋体"/>
                <w:bCs/>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1475" w:type="dxa"/>
            <w:noWrap/>
            <w:vAlign w:val="center"/>
          </w:tcPr>
          <w:p>
            <w:pPr>
              <w:pStyle w:val="14"/>
              <w:snapToGrid w:val="0"/>
              <w:spacing w:line="400" w:lineRule="exact"/>
              <w:jc w:val="center"/>
              <w:rPr>
                <w:rFonts w:hAnsi="宋体" w:cs="宋体"/>
                <w:sz w:val="24"/>
                <w:szCs w:val="24"/>
                <w:highlight w:val="yellow"/>
              </w:rPr>
            </w:pPr>
            <w:r>
              <w:rPr>
                <w:rFonts w:hint="eastAsia" w:hAnsi="宋体" w:cs="宋体"/>
                <w:sz w:val="24"/>
                <w:szCs w:val="24"/>
              </w:rPr>
              <w:t>维护保养计划</w:t>
            </w:r>
          </w:p>
        </w:tc>
        <w:tc>
          <w:tcPr>
            <w:tcW w:w="6916" w:type="dxa"/>
            <w:noWrap/>
            <w:vAlign w:val="center"/>
          </w:tcPr>
          <w:p>
            <w:pPr>
              <w:pStyle w:val="14"/>
              <w:spacing w:line="300" w:lineRule="exact"/>
              <w:rPr>
                <w:rFonts w:hAnsi="宋体" w:cs="宋体"/>
                <w:bCs/>
                <w:sz w:val="24"/>
                <w:szCs w:val="24"/>
              </w:rPr>
            </w:pPr>
            <w:r>
              <w:rPr>
                <w:rFonts w:hint="eastAsia" w:hAnsi="宋体" w:cs="宋体"/>
                <w:bCs/>
                <w:sz w:val="24"/>
                <w:szCs w:val="24"/>
              </w:rPr>
              <w:t>综合考虑投标人的维护保养计划安排：</w:t>
            </w:r>
          </w:p>
          <w:p>
            <w:pPr>
              <w:pStyle w:val="14"/>
              <w:spacing w:line="300" w:lineRule="exact"/>
              <w:rPr>
                <w:rFonts w:hAnsi="宋体" w:cs="宋体"/>
                <w:bCs/>
                <w:sz w:val="24"/>
                <w:szCs w:val="24"/>
                <w:highlight w:val="yellow"/>
              </w:rPr>
            </w:pPr>
            <w:r>
              <w:rPr>
                <w:rFonts w:hint="eastAsia" w:hAnsi="宋体" w:cs="宋体"/>
                <w:bCs/>
                <w:sz w:val="24"/>
                <w:szCs w:val="24"/>
              </w:rPr>
              <w:t>计划合理且量化可控，完全针对本项目需求，各阶段时间节点清晰，得8-10分；计划较为合理可控，基本针对本项目需求，各阶段时间节点明确，得5-7分；计划基本合理，重要阶段时间节点基本明确，得3-4；计划较为简略，各阶段时间节点模糊，得0-2分。</w:t>
            </w:r>
          </w:p>
        </w:tc>
        <w:tc>
          <w:tcPr>
            <w:tcW w:w="999" w:type="dxa"/>
            <w:noWrap/>
            <w:vAlign w:val="center"/>
          </w:tcPr>
          <w:p>
            <w:pPr>
              <w:pStyle w:val="14"/>
              <w:snapToGrid w:val="0"/>
              <w:spacing w:line="400" w:lineRule="exact"/>
              <w:jc w:val="center"/>
              <w:rPr>
                <w:rFonts w:hAnsi="宋体" w:cs="宋体"/>
                <w:sz w:val="24"/>
                <w:szCs w:val="24"/>
                <w:highlight w:val="yellow"/>
              </w:rPr>
            </w:pPr>
            <w:r>
              <w:rPr>
                <w:rFonts w:hint="eastAsia" w:hAnsi="宋体" w:cs="宋体"/>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475" w:type="dxa"/>
            <w:noWrap/>
            <w:vAlign w:val="center"/>
          </w:tcPr>
          <w:p>
            <w:pPr>
              <w:pStyle w:val="14"/>
              <w:snapToGrid w:val="0"/>
              <w:spacing w:line="400" w:lineRule="exact"/>
              <w:jc w:val="center"/>
              <w:rPr>
                <w:rFonts w:hAnsi="宋体" w:cs="宋体"/>
                <w:sz w:val="24"/>
                <w:szCs w:val="24"/>
              </w:rPr>
            </w:pPr>
            <w:r>
              <w:rPr>
                <w:rFonts w:hint="eastAsia" w:hAnsi="宋体" w:cs="宋体"/>
                <w:sz w:val="24"/>
                <w:szCs w:val="24"/>
              </w:rPr>
              <w:t>应急预案</w:t>
            </w:r>
          </w:p>
          <w:p>
            <w:pPr>
              <w:pStyle w:val="14"/>
              <w:snapToGrid w:val="0"/>
              <w:spacing w:line="400" w:lineRule="exact"/>
              <w:jc w:val="center"/>
              <w:rPr>
                <w:rFonts w:hAnsi="宋体" w:cs="宋体"/>
                <w:sz w:val="24"/>
                <w:szCs w:val="24"/>
                <w:highlight w:val="yellow"/>
              </w:rPr>
            </w:pPr>
          </w:p>
        </w:tc>
        <w:tc>
          <w:tcPr>
            <w:tcW w:w="6916" w:type="dxa"/>
            <w:noWrap/>
            <w:vAlign w:val="center"/>
          </w:tcPr>
          <w:p>
            <w:pPr>
              <w:pStyle w:val="14"/>
              <w:spacing w:line="300" w:lineRule="exact"/>
              <w:rPr>
                <w:rFonts w:hAnsi="宋体" w:cs="宋体"/>
                <w:bCs/>
                <w:sz w:val="24"/>
                <w:szCs w:val="24"/>
                <w:highlight w:val="yellow"/>
              </w:rPr>
            </w:pPr>
            <w:r>
              <w:rPr>
                <w:rFonts w:hint="eastAsia" w:hAnsi="宋体" w:cs="宋体"/>
                <w:bCs/>
                <w:sz w:val="24"/>
                <w:szCs w:val="24"/>
              </w:rPr>
              <w:t>维保服务中突发事件处理预案：流程清晰合理、内容完整详细、可操作性强，响应迅速，得8-10分；流程清晰较合理、内容较完整详细、可操作较性强，响应较迅速，得5-7分；流程较清晰、内容较完整、可操作性一般，响应速度一般，得3-4分；内容不完整、可操作性较差，响应速度较差，得0-2分。</w:t>
            </w:r>
          </w:p>
        </w:tc>
        <w:tc>
          <w:tcPr>
            <w:tcW w:w="999" w:type="dxa"/>
            <w:noWrap/>
            <w:vAlign w:val="center"/>
          </w:tcPr>
          <w:p>
            <w:pPr>
              <w:pStyle w:val="14"/>
              <w:snapToGrid w:val="0"/>
              <w:spacing w:line="400" w:lineRule="exact"/>
              <w:jc w:val="center"/>
              <w:rPr>
                <w:rFonts w:hAnsi="宋体" w:cs="宋体"/>
                <w:sz w:val="24"/>
                <w:szCs w:val="24"/>
                <w:highlight w:val="yellow"/>
              </w:rPr>
            </w:pPr>
            <w:r>
              <w:rPr>
                <w:rFonts w:hint="eastAsia" w:hAnsi="宋体" w:cs="宋体"/>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475" w:type="dxa"/>
            <w:noWrap/>
            <w:vAlign w:val="center"/>
          </w:tcPr>
          <w:p>
            <w:pPr>
              <w:pStyle w:val="14"/>
              <w:snapToGrid w:val="0"/>
              <w:spacing w:line="400" w:lineRule="exact"/>
              <w:jc w:val="center"/>
              <w:rPr>
                <w:rFonts w:hAnsi="宋体" w:cs="宋体"/>
                <w:sz w:val="24"/>
                <w:szCs w:val="24"/>
                <w:highlight w:val="yellow"/>
              </w:rPr>
            </w:pPr>
            <w:r>
              <w:rPr>
                <w:rFonts w:hint="eastAsia" w:hAnsi="宋体" w:cs="宋体"/>
                <w:sz w:val="24"/>
                <w:szCs w:val="24"/>
              </w:rPr>
              <w:t>拟投入设备</w:t>
            </w:r>
          </w:p>
        </w:tc>
        <w:tc>
          <w:tcPr>
            <w:tcW w:w="6916" w:type="dxa"/>
            <w:noWrap/>
            <w:vAlign w:val="center"/>
          </w:tcPr>
          <w:p>
            <w:pPr>
              <w:pStyle w:val="14"/>
              <w:spacing w:line="300" w:lineRule="exact"/>
              <w:rPr>
                <w:rFonts w:hAnsi="宋体" w:cs="宋体"/>
                <w:bCs/>
                <w:sz w:val="24"/>
                <w:szCs w:val="24"/>
              </w:rPr>
            </w:pPr>
            <w:r>
              <w:rPr>
                <w:rFonts w:hint="eastAsia" w:hAnsi="宋体" w:cs="宋体"/>
                <w:bCs/>
                <w:sz w:val="24"/>
                <w:szCs w:val="24"/>
              </w:rPr>
              <w:t>综合考虑投标人针对本项目拟投入的维保设备配置情况：</w:t>
            </w:r>
          </w:p>
          <w:p>
            <w:pPr>
              <w:pStyle w:val="14"/>
              <w:spacing w:line="300" w:lineRule="exact"/>
              <w:rPr>
                <w:rFonts w:hAnsi="宋体" w:cs="宋体"/>
                <w:bCs/>
                <w:sz w:val="24"/>
                <w:szCs w:val="24"/>
                <w:highlight w:val="yellow"/>
              </w:rPr>
            </w:pPr>
            <w:r>
              <w:rPr>
                <w:rFonts w:hint="eastAsia" w:hAnsi="宋体" w:cs="宋体"/>
                <w:bCs/>
                <w:sz w:val="24"/>
                <w:szCs w:val="24"/>
              </w:rPr>
              <w:t>维保设备专业、先进、数量充足齐全的，得8-10分；维保设备较专业、较先进、较齐全的，得5-7分；维保设备专业性、先进性一般、基本齐全的，得3-4分；维保设备专业性欠缺、不齐全的，得0-2分；</w:t>
            </w:r>
          </w:p>
        </w:tc>
        <w:tc>
          <w:tcPr>
            <w:tcW w:w="999" w:type="dxa"/>
            <w:noWrap/>
            <w:vAlign w:val="center"/>
          </w:tcPr>
          <w:p>
            <w:pPr>
              <w:pStyle w:val="14"/>
              <w:snapToGrid w:val="0"/>
              <w:spacing w:line="400" w:lineRule="exact"/>
              <w:jc w:val="center"/>
              <w:rPr>
                <w:rFonts w:hAnsi="宋体" w:cs="宋体"/>
                <w:sz w:val="24"/>
                <w:szCs w:val="24"/>
                <w:highlight w:val="yellow"/>
              </w:rPr>
            </w:pPr>
            <w:r>
              <w:rPr>
                <w:rFonts w:hint="eastAsia" w:hAnsi="宋体" w:cs="宋体"/>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475" w:type="dxa"/>
            <w:noWrap/>
            <w:vAlign w:val="center"/>
          </w:tcPr>
          <w:p>
            <w:pPr>
              <w:pStyle w:val="14"/>
              <w:snapToGrid w:val="0"/>
              <w:spacing w:line="400" w:lineRule="exact"/>
              <w:jc w:val="center"/>
              <w:rPr>
                <w:rFonts w:hAnsi="宋体" w:cs="宋体"/>
                <w:sz w:val="24"/>
                <w:szCs w:val="24"/>
                <w:highlight w:val="yellow"/>
              </w:rPr>
            </w:pPr>
            <w:r>
              <w:rPr>
                <w:rFonts w:hint="eastAsia" w:hAnsi="宋体" w:cs="宋体"/>
                <w:sz w:val="24"/>
                <w:szCs w:val="24"/>
              </w:rPr>
              <w:t>人员配置情况</w:t>
            </w:r>
          </w:p>
        </w:tc>
        <w:tc>
          <w:tcPr>
            <w:tcW w:w="6916" w:type="dxa"/>
            <w:noWrap/>
            <w:vAlign w:val="center"/>
          </w:tcPr>
          <w:p>
            <w:pPr>
              <w:pStyle w:val="14"/>
              <w:spacing w:line="300" w:lineRule="exact"/>
              <w:rPr>
                <w:rFonts w:hAnsi="宋体" w:cs="宋体"/>
                <w:bCs/>
                <w:sz w:val="24"/>
                <w:szCs w:val="24"/>
              </w:rPr>
            </w:pPr>
            <w:r>
              <w:rPr>
                <w:rFonts w:hint="eastAsia" w:hAnsi="宋体" w:cs="宋体"/>
                <w:bCs/>
                <w:sz w:val="24"/>
                <w:szCs w:val="24"/>
              </w:rPr>
              <w:t>综合考评投标人拟投入本项目的实施团队组建情况：</w:t>
            </w:r>
          </w:p>
          <w:p>
            <w:pPr>
              <w:pStyle w:val="14"/>
              <w:spacing w:line="300" w:lineRule="exact"/>
              <w:rPr>
                <w:rFonts w:hAnsi="宋体" w:cs="宋体"/>
                <w:bCs/>
                <w:sz w:val="24"/>
                <w:szCs w:val="24"/>
              </w:rPr>
            </w:pPr>
            <w:r>
              <w:rPr>
                <w:rFonts w:hint="eastAsia" w:hAnsi="宋体" w:cs="宋体"/>
                <w:bCs/>
                <w:sz w:val="24"/>
                <w:szCs w:val="24"/>
              </w:rPr>
              <w:t>人员配备齐全，结构合理，专业性强，职责分工明确，经验丰富，综合素质高的，得8-10分；人员配备较齐全，结构较合理，专业性较强，职责分工较明确，经验较丰富，综合素质较高的，得5-7分；人员配备基本齐全，结构相对合理，专业性一般，职责分工不够明确，经验稍显不足，综合素质一般，能够基本满足招标文件要求的，得3-4分；人员配备不够齐全，结构欠合理，专业性较弱，职责分工不够明确，综合素质较弱，对招标文件要求满足度较低的，得0-2分。</w:t>
            </w:r>
          </w:p>
          <w:p>
            <w:pPr>
              <w:pStyle w:val="14"/>
              <w:spacing w:line="300" w:lineRule="exact"/>
              <w:rPr>
                <w:rFonts w:hAnsi="宋体" w:cs="宋体"/>
                <w:bCs/>
                <w:sz w:val="24"/>
                <w:szCs w:val="24"/>
              </w:rPr>
            </w:pPr>
            <w:r>
              <w:rPr>
                <w:rFonts w:hint="eastAsia" w:hAnsi="宋体" w:cs="宋体"/>
                <w:bCs/>
                <w:sz w:val="24"/>
                <w:szCs w:val="24"/>
              </w:rPr>
              <w:t>（须提供团队成员名单、简历、资历经验证明、操作人员应具有行业资格证书等相关材料并加盖供应商公章）</w:t>
            </w:r>
          </w:p>
        </w:tc>
        <w:tc>
          <w:tcPr>
            <w:tcW w:w="999" w:type="dxa"/>
            <w:noWrap/>
            <w:vAlign w:val="center"/>
          </w:tcPr>
          <w:p>
            <w:pPr>
              <w:pStyle w:val="14"/>
              <w:snapToGrid w:val="0"/>
              <w:spacing w:line="400" w:lineRule="exact"/>
              <w:jc w:val="center"/>
              <w:rPr>
                <w:rFonts w:hAnsi="宋体" w:cs="宋体"/>
                <w:sz w:val="24"/>
                <w:szCs w:val="24"/>
              </w:rPr>
            </w:pPr>
            <w:r>
              <w:rPr>
                <w:rFonts w:hint="eastAsia" w:hAnsi="宋体" w:cs="宋体"/>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475" w:type="dxa"/>
            <w:noWrap/>
            <w:vAlign w:val="center"/>
          </w:tcPr>
          <w:p>
            <w:pPr>
              <w:pStyle w:val="14"/>
              <w:snapToGrid w:val="0"/>
              <w:spacing w:line="400" w:lineRule="exact"/>
              <w:jc w:val="center"/>
              <w:rPr>
                <w:rFonts w:hint="eastAsia" w:hAnsi="宋体" w:cs="宋体"/>
                <w:sz w:val="24"/>
                <w:szCs w:val="24"/>
              </w:rPr>
            </w:pPr>
            <w:r>
              <w:rPr>
                <w:rFonts w:hint="eastAsia" w:hAnsi="宋体" w:cs="宋体"/>
                <w:sz w:val="24"/>
                <w:szCs w:val="24"/>
              </w:rPr>
              <w:t>承诺及优惠条件</w:t>
            </w:r>
          </w:p>
        </w:tc>
        <w:tc>
          <w:tcPr>
            <w:tcW w:w="6916" w:type="dxa"/>
            <w:noWrap/>
            <w:vAlign w:val="center"/>
          </w:tcPr>
          <w:p>
            <w:pPr>
              <w:pStyle w:val="14"/>
              <w:spacing w:line="300" w:lineRule="exact"/>
              <w:rPr>
                <w:rFonts w:hint="eastAsia" w:hAnsi="宋体" w:cs="宋体"/>
                <w:bCs/>
                <w:sz w:val="24"/>
                <w:szCs w:val="24"/>
              </w:rPr>
            </w:pPr>
            <w:r>
              <w:rPr>
                <w:rFonts w:hint="eastAsia" w:hAnsi="宋体" w:cs="宋体"/>
                <w:bCs/>
                <w:sz w:val="24"/>
                <w:szCs w:val="24"/>
              </w:rPr>
              <w:t>1.提供服务期间不影响办公承诺方案的优劣酌情打分,得 0-4 分2.提供招标要求以外实质性优惠条件，按方案的优劣酌情打分，得0-3 分。</w:t>
            </w:r>
          </w:p>
        </w:tc>
        <w:tc>
          <w:tcPr>
            <w:tcW w:w="999" w:type="dxa"/>
            <w:noWrap/>
            <w:vAlign w:val="center"/>
          </w:tcPr>
          <w:p>
            <w:pPr>
              <w:pStyle w:val="14"/>
              <w:snapToGrid w:val="0"/>
              <w:spacing w:line="400" w:lineRule="exact"/>
              <w:jc w:val="center"/>
              <w:rPr>
                <w:rFonts w:hint="default" w:hAnsi="宋体" w:eastAsia="宋体" w:cs="宋体"/>
                <w:sz w:val="24"/>
                <w:szCs w:val="24"/>
                <w:lang w:val="en-US" w:eastAsia="zh-CN"/>
              </w:rPr>
            </w:pPr>
            <w:r>
              <w:rPr>
                <w:rFonts w:hint="eastAsia" w:hAnsi="宋体" w:cs="宋体"/>
                <w:sz w:val="24"/>
                <w:szCs w:val="24"/>
                <w:lang w:val="en-US" w:eastAsia="zh-CN"/>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390" w:type="dxa"/>
            <w:gridSpan w:val="3"/>
            <w:noWrap/>
            <w:vAlign w:val="center"/>
          </w:tcPr>
          <w:p>
            <w:pPr>
              <w:pStyle w:val="14"/>
              <w:snapToGrid w:val="0"/>
              <w:spacing w:line="400" w:lineRule="exact"/>
              <w:rPr>
                <w:rFonts w:hAnsi="宋体" w:cs="宋体"/>
                <w:b/>
                <w:sz w:val="24"/>
                <w:szCs w:val="24"/>
                <w:highlight w:val="yellow"/>
              </w:rPr>
            </w:pPr>
            <w:r>
              <w:rPr>
                <w:rFonts w:hint="eastAsia" w:hAnsi="宋体" w:cs="宋体"/>
                <w:b/>
                <w:sz w:val="24"/>
                <w:szCs w:val="24"/>
              </w:rPr>
              <w:t>C：商务部分评分</w:t>
            </w:r>
            <w:r>
              <w:rPr>
                <w:rFonts w:hint="eastAsia" w:hAnsi="宋体" w:cs="宋体"/>
                <w:b/>
                <w:sz w:val="24"/>
                <w:szCs w:val="24"/>
                <w:lang w:val="en-US" w:eastAsia="zh-CN"/>
              </w:rPr>
              <w:t>18</w:t>
            </w:r>
            <w:r>
              <w:rPr>
                <w:rFonts w:hint="eastAsia" w:hAnsi="宋体" w:cs="宋体"/>
                <w:b/>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75" w:type="dxa"/>
            <w:noWrap/>
            <w:vAlign w:val="center"/>
          </w:tcPr>
          <w:p>
            <w:pPr>
              <w:pStyle w:val="14"/>
              <w:snapToGrid w:val="0"/>
              <w:spacing w:line="400" w:lineRule="exact"/>
              <w:jc w:val="center"/>
              <w:rPr>
                <w:rFonts w:hint="default" w:hAnsi="宋体" w:eastAsia="宋体" w:cs="宋体"/>
                <w:sz w:val="24"/>
                <w:szCs w:val="24"/>
                <w:highlight w:val="yellow"/>
                <w:lang w:val="en-US" w:eastAsia="zh-CN"/>
              </w:rPr>
            </w:pPr>
            <w:r>
              <w:rPr>
                <w:rFonts w:hint="eastAsia" w:hAnsi="宋体" w:cs="宋体"/>
                <w:sz w:val="24"/>
                <w:szCs w:val="24"/>
                <w:highlight w:val="none"/>
                <w:lang w:val="en-US" w:eastAsia="zh-CN"/>
              </w:rPr>
              <w:t>人员证书</w:t>
            </w:r>
          </w:p>
        </w:tc>
        <w:tc>
          <w:tcPr>
            <w:tcW w:w="6916" w:type="dxa"/>
            <w:noWrap/>
            <w:vAlign w:val="center"/>
          </w:tcPr>
          <w:p>
            <w:pPr>
              <w:pStyle w:val="14"/>
              <w:spacing w:line="300" w:lineRule="exact"/>
              <w:rPr>
                <w:rFonts w:hint="eastAsia" w:hAnsi="宋体" w:cs="宋体"/>
                <w:spacing w:val="-7"/>
                <w:sz w:val="24"/>
                <w:szCs w:val="24"/>
              </w:rPr>
            </w:pPr>
            <w:r>
              <w:rPr>
                <w:rFonts w:hint="eastAsia" w:hAnsi="宋体" w:cs="宋体"/>
                <w:spacing w:val="-7"/>
                <w:sz w:val="24"/>
                <w:szCs w:val="24"/>
              </w:rPr>
              <w:t>1.供应商提供不少于2 人的驻场服务，且驻场人员取得（机电工程）贰级注册建造师执业资格证书的，得2 分。</w:t>
            </w:r>
          </w:p>
          <w:p>
            <w:pPr>
              <w:pStyle w:val="14"/>
              <w:spacing w:line="300" w:lineRule="exact"/>
              <w:rPr>
                <w:rFonts w:hint="eastAsia" w:hAnsi="宋体" w:cs="宋体"/>
                <w:spacing w:val="-7"/>
                <w:sz w:val="24"/>
                <w:szCs w:val="24"/>
              </w:rPr>
            </w:pPr>
            <w:r>
              <w:rPr>
                <w:rFonts w:hint="eastAsia" w:hAnsi="宋体" w:cs="宋体"/>
                <w:spacing w:val="-7"/>
                <w:sz w:val="24"/>
                <w:szCs w:val="24"/>
              </w:rPr>
              <w:t>2.供应商拟派项目负责人具备注册建造师执业资格，得1分，具备高级工程师或以上职称，得1分；本科或以上学历，得1分；</w:t>
            </w:r>
          </w:p>
          <w:p>
            <w:pPr>
              <w:pStyle w:val="14"/>
              <w:spacing w:line="300" w:lineRule="exact"/>
              <w:rPr>
                <w:rFonts w:hint="eastAsia" w:hAnsi="宋体" w:cs="宋体"/>
                <w:spacing w:val="-7"/>
                <w:sz w:val="24"/>
                <w:szCs w:val="24"/>
              </w:rPr>
            </w:pPr>
            <w:r>
              <w:rPr>
                <w:rFonts w:hint="eastAsia" w:hAnsi="宋体" w:cs="宋体"/>
                <w:spacing w:val="-7"/>
                <w:sz w:val="24"/>
                <w:szCs w:val="24"/>
              </w:rPr>
              <w:t>3.供应商拟派技术负责人具备注册建造师执业资格，得1分，具备中级工程师或以上职称，得1分；本科或以上学历，得1分；</w:t>
            </w:r>
          </w:p>
          <w:p>
            <w:pPr>
              <w:pStyle w:val="14"/>
              <w:spacing w:line="300" w:lineRule="exact"/>
              <w:rPr>
                <w:rFonts w:hAnsi="宋体" w:cs="宋体"/>
                <w:spacing w:val="-7"/>
                <w:sz w:val="24"/>
                <w:szCs w:val="24"/>
              </w:rPr>
            </w:pPr>
            <w:r>
              <w:rPr>
                <w:rFonts w:hint="eastAsia" w:hAnsi="宋体" w:cs="宋体"/>
                <w:spacing w:val="-7"/>
                <w:sz w:val="24"/>
                <w:szCs w:val="24"/>
              </w:rPr>
              <w:t>未提供得0 分。（以上均需提供本公司为团队成员缴纳的社保缴费证明和相关证书复印件并加盖公章）</w:t>
            </w:r>
          </w:p>
        </w:tc>
        <w:tc>
          <w:tcPr>
            <w:tcW w:w="999" w:type="dxa"/>
            <w:noWrap/>
            <w:vAlign w:val="center"/>
          </w:tcPr>
          <w:p>
            <w:pPr>
              <w:pStyle w:val="14"/>
              <w:snapToGrid w:val="0"/>
              <w:spacing w:line="400" w:lineRule="exact"/>
              <w:jc w:val="center"/>
              <w:rPr>
                <w:rFonts w:hAnsi="宋体" w:cs="宋体"/>
                <w:sz w:val="24"/>
                <w:szCs w:val="24"/>
              </w:rPr>
            </w:pPr>
            <w:r>
              <w:rPr>
                <w:rFonts w:hint="eastAsia" w:hAnsi="宋体" w:cs="宋体"/>
                <w:sz w:val="24"/>
                <w:szCs w:val="24"/>
                <w:lang w:val="en-US" w:eastAsia="zh-CN"/>
              </w:rPr>
              <w:t>8</w:t>
            </w:r>
            <w:r>
              <w:rPr>
                <w:rFonts w:hint="eastAsia"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475" w:type="dxa"/>
            <w:noWrap/>
            <w:vAlign w:val="center"/>
          </w:tcPr>
          <w:p>
            <w:pPr>
              <w:pStyle w:val="14"/>
              <w:snapToGrid w:val="0"/>
              <w:spacing w:line="400" w:lineRule="exact"/>
              <w:jc w:val="center"/>
              <w:rPr>
                <w:rFonts w:hAnsi="宋体" w:cs="宋体"/>
                <w:sz w:val="24"/>
                <w:szCs w:val="24"/>
              </w:rPr>
            </w:pPr>
            <w:r>
              <w:rPr>
                <w:rFonts w:hint="eastAsia" w:hAnsi="宋体" w:cs="宋体"/>
                <w:sz w:val="24"/>
                <w:szCs w:val="24"/>
              </w:rPr>
              <w:t>类似业绩情况</w:t>
            </w:r>
          </w:p>
        </w:tc>
        <w:tc>
          <w:tcPr>
            <w:tcW w:w="6916" w:type="dxa"/>
            <w:noWrap/>
            <w:vAlign w:val="center"/>
          </w:tcPr>
          <w:p>
            <w:pPr>
              <w:pStyle w:val="14"/>
              <w:snapToGrid w:val="0"/>
              <w:spacing w:line="320" w:lineRule="exact"/>
              <w:rPr>
                <w:rFonts w:hAnsi="宋体" w:cs="宋体"/>
                <w:spacing w:val="-7"/>
                <w:sz w:val="24"/>
                <w:szCs w:val="24"/>
              </w:rPr>
            </w:pPr>
            <w:r>
              <w:rPr>
                <w:rFonts w:hint="eastAsia" w:hAnsi="宋体" w:cs="宋体"/>
                <w:spacing w:val="-7"/>
                <w:sz w:val="24"/>
                <w:szCs w:val="24"/>
              </w:rPr>
              <w:t>近年（2020年3月1日至今）从事类似项目业绩进行评价，须提供中标通知书、成交通知书或合同协议书（相关业绩证明资料提供原件扫描件），提供一个得2分，最高得10分。</w:t>
            </w:r>
          </w:p>
        </w:tc>
        <w:tc>
          <w:tcPr>
            <w:tcW w:w="999" w:type="dxa"/>
            <w:noWrap/>
            <w:vAlign w:val="center"/>
          </w:tcPr>
          <w:p>
            <w:pPr>
              <w:pStyle w:val="14"/>
              <w:snapToGrid w:val="0"/>
              <w:spacing w:line="400" w:lineRule="exact"/>
              <w:jc w:val="center"/>
              <w:rPr>
                <w:rFonts w:hAnsi="宋体" w:cs="宋体"/>
                <w:sz w:val="24"/>
                <w:szCs w:val="24"/>
              </w:rPr>
            </w:pPr>
            <w:r>
              <w:rPr>
                <w:rFonts w:hint="eastAsia" w:hAnsi="宋体" w:cs="宋体"/>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9390" w:type="dxa"/>
            <w:gridSpan w:val="3"/>
            <w:noWrap/>
            <w:vAlign w:val="center"/>
          </w:tcPr>
          <w:p>
            <w:pPr>
              <w:jc w:val="left"/>
              <w:rPr>
                <w:rFonts w:ascii="宋体" w:hAnsi="宋体" w:cs="宋体"/>
                <w:sz w:val="24"/>
                <w:szCs w:val="24"/>
              </w:rPr>
            </w:pPr>
            <w:r>
              <w:rPr>
                <w:rFonts w:hint="eastAsia" w:ascii="宋体" w:hAnsi="宋体" w:cs="宋体"/>
                <w:sz w:val="24"/>
                <w:szCs w:val="24"/>
              </w:rPr>
              <w:t>备注：</w:t>
            </w:r>
          </w:p>
          <w:p>
            <w:pPr>
              <w:jc w:val="left"/>
              <w:rPr>
                <w:rFonts w:ascii="宋体" w:hAnsi="宋体" w:cs="宋体"/>
                <w:sz w:val="24"/>
                <w:szCs w:val="24"/>
              </w:rPr>
            </w:pPr>
            <w:r>
              <w:rPr>
                <w:rFonts w:hint="eastAsia" w:ascii="宋体" w:hAnsi="宋体" w:cs="宋体"/>
                <w:sz w:val="24"/>
                <w:szCs w:val="24"/>
              </w:rPr>
              <w:t xml:space="preserve">1、专家根据投标文件中投标人提供的资料在分值范围内进行评议； </w:t>
            </w:r>
          </w:p>
          <w:p>
            <w:pPr>
              <w:pStyle w:val="14"/>
              <w:snapToGrid w:val="0"/>
              <w:spacing w:line="400" w:lineRule="exact"/>
              <w:jc w:val="left"/>
              <w:rPr>
                <w:rFonts w:hAnsi="宋体" w:cs="宋体"/>
                <w:sz w:val="24"/>
                <w:szCs w:val="24"/>
              </w:rPr>
            </w:pPr>
            <w:r>
              <w:rPr>
                <w:rFonts w:hint="eastAsia" w:hAnsi="宋体" w:cs="宋体"/>
                <w:sz w:val="24"/>
                <w:szCs w:val="24"/>
              </w:rPr>
              <w:t>2、得分保留两位小数。</w:t>
            </w:r>
          </w:p>
        </w:tc>
      </w:tr>
    </w:tbl>
    <w:p>
      <w:pPr>
        <w:pStyle w:val="20"/>
        <w:ind w:left="0" w:firstLine="0"/>
        <w:rPr>
          <w:rStyle w:val="64"/>
          <w:rFonts w:ascii="宋体" w:hAnsi="宋体" w:cs="宋体"/>
          <w:b/>
          <w:bCs/>
          <w:sz w:val="24"/>
          <w:szCs w:val="24"/>
        </w:rPr>
      </w:pPr>
      <w:r>
        <w:rPr>
          <w:rFonts w:hint="eastAsia" w:ascii="宋体" w:hAnsi="宋体" w:cs="宋体"/>
          <w:b/>
          <w:bCs/>
          <w:sz w:val="24"/>
          <w:szCs w:val="24"/>
        </w:rPr>
        <w:t>标项六：</w:t>
      </w:r>
      <w:r>
        <w:rPr>
          <w:rStyle w:val="64"/>
          <w:rFonts w:hint="eastAsia" w:ascii="宋体" w:hAnsi="宋体" w:cs="宋体"/>
          <w:b/>
          <w:bCs/>
          <w:sz w:val="24"/>
          <w:szCs w:val="24"/>
        </w:rPr>
        <w:t>评 分 细 则</w:t>
      </w:r>
    </w:p>
    <w:tbl>
      <w:tblPr>
        <w:tblStyle w:val="29"/>
        <w:tblW w:w="5277" w:type="pct"/>
        <w:tblInd w:w="-2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020"/>
        <w:gridCol w:w="7305"/>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734" w:type="dxa"/>
            <w:vAlign w:val="center"/>
          </w:tcPr>
          <w:p>
            <w:pPr>
              <w:spacing w:before="50" w:after="50"/>
              <w:jc w:val="center"/>
              <w:rPr>
                <w:rFonts w:ascii="宋体" w:hAnsi="宋体" w:cs="宋体"/>
                <w:b/>
                <w:sz w:val="24"/>
                <w:szCs w:val="24"/>
              </w:rPr>
            </w:pPr>
            <w:r>
              <w:rPr>
                <w:rFonts w:hint="eastAsia" w:ascii="宋体" w:hAnsi="宋体" w:cs="宋体"/>
                <w:b/>
                <w:sz w:val="24"/>
                <w:szCs w:val="24"/>
              </w:rPr>
              <w:t>评标</w:t>
            </w:r>
          </w:p>
          <w:p>
            <w:pPr>
              <w:spacing w:before="50" w:after="50"/>
              <w:jc w:val="center"/>
              <w:rPr>
                <w:rFonts w:ascii="宋体" w:hAnsi="宋体" w:cs="宋体"/>
                <w:b/>
                <w:sz w:val="24"/>
                <w:szCs w:val="24"/>
              </w:rPr>
            </w:pPr>
            <w:r>
              <w:rPr>
                <w:rFonts w:hint="eastAsia" w:ascii="宋体" w:hAnsi="宋体" w:cs="宋体"/>
                <w:b/>
                <w:sz w:val="24"/>
                <w:szCs w:val="24"/>
              </w:rPr>
              <w:t>指标</w:t>
            </w:r>
          </w:p>
        </w:tc>
        <w:tc>
          <w:tcPr>
            <w:tcW w:w="8325" w:type="dxa"/>
            <w:gridSpan w:val="2"/>
            <w:tcBorders>
              <w:right w:val="single" w:color="auto" w:sz="4" w:space="0"/>
            </w:tcBorders>
            <w:vAlign w:val="center"/>
          </w:tcPr>
          <w:p>
            <w:pPr>
              <w:spacing w:before="50" w:after="50"/>
              <w:jc w:val="center"/>
              <w:rPr>
                <w:rFonts w:ascii="宋体" w:hAnsi="宋体" w:cs="宋体"/>
                <w:b/>
                <w:sz w:val="24"/>
                <w:szCs w:val="24"/>
              </w:rPr>
            </w:pPr>
            <w:r>
              <w:rPr>
                <w:rFonts w:hint="eastAsia" w:ascii="宋体" w:hAnsi="宋体" w:cs="宋体"/>
                <w:b/>
                <w:sz w:val="24"/>
                <w:szCs w:val="24"/>
              </w:rPr>
              <w:t>评议内容</w:t>
            </w:r>
          </w:p>
        </w:tc>
        <w:tc>
          <w:tcPr>
            <w:tcW w:w="745" w:type="dxa"/>
            <w:tcBorders>
              <w:right w:val="single" w:color="auto" w:sz="4" w:space="0"/>
            </w:tcBorders>
            <w:vAlign w:val="center"/>
          </w:tcPr>
          <w:p>
            <w:pPr>
              <w:spacing w:before="50" w:after="50"/>
              <w:jc w:val="center"/>
              <w:rPr>
                <w:rFonts w:ascii="宋体" w:hAnsi="宋体" w:cs="宋体"/>
                <w:b/>
                <w:sz w:val="24"/>
                <w:szCs w:val="24"/>
              </w:rPr>
            </w:pPr>
            <w:r>
              <w:rPr>
                <w:rFonts w:hint="eastAsia" w:ascii="宋体" w:hAnsi="宋体" w:cs="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8" w:hRule="atLeast"/>
        </w:trPr>
        <w:tc>
          <w:tcPr>
            <w:tcW w:w="734" w:type="dxa"/>
            <w:vAlign w:val="center"/>
          </w:tcPr>
          <w:p>
            <w:pPr>
              <w:jc w:val="center"/>
              <w:rPr>
                <w:rFonts w:ascii="宋体" w:hAnsi="宋体" w:cs="宋体"/>
                <w:b/>
                <w:sz w:val="24"/>
                <w:szCs w:val="24"/>
              </w:rPr>
            </w:pPr>
            <w:r>
              <w:rPr>
                <w:rFonts w:hint="eastAsia" w:ascii="宋体" w:hAnsi="宋体" w:cs="宋体"/>
                <w:b/>
                <w:sz w:val="24"/>
                <w:szCs w:val="24"/>
              </w:rPr>
              <w:t>报价得分（10分）</w:t>
            </w:r>
          </w:p>
        </w:tc>
        <w:tc>
          <w:tcPr>
            <w:tcW w:w="8325" w:type="dxa"/>
            <w:gridSpan w:val="2"/>
            <w:tcBorders>
              <w:right w:val="single" w:color="auto" w:sz="4" w:space="0"/>
            </w:tcBorders>
            <w:vAlign w:val="center"/>
          </w:tcPr>
          <w:p>
            <w:pPr>
              <w:pStyle w:val="14"/>
              <w:spacing w:line="300" w:lineRule="exact"/>
              <w:rPr>
                <w:rFonts w:hAnsi="宋体" w:cs="宋体"/>
                <w:kern w:val="0"/>
                <w:sz w:val="24"/>
                <w:szCs w:val="24"/>
              </w:rPr>
            </w:pPr>
            <w:r>
              <w:rPr>
                <w:rFonts w:hint="eastAsia" w:hAnsi="宋体" w:cs="宋体"/>
                <w:kern w:val="0"/>
                <w:sz w:val="24"/>
                <w:szCs w:val="24"/>
              </w:rPr>
              <w:t>价格分应当采用低价优先法计算，即满足招标文件要求且最终投标价格最低的有效投标报价为评标基准价，其价格分为满分。其他投标人的价格分统一按照下列公式计算：</w:t>
            </w:r>
          </w:p>
          <w:p>
            <w:pPr>
              <w:pStyle w:val="14"/>
              <w:spacing w:line="300" w:lineRule="exact"/>
              <w:rPr>
                <w:rFonts w:hAnsi="宋体" w:cs="宋体"/>
                <w:kern w:val="0"/>
                <w:sz w:val="24"/>
                <w:szCs w:val="24"/>
              </w:rPr>
            </w:pPr>
            <w:r>
              <w:rPr>
                <w:rFonts w:hint="eastAsia" w:hAnsi="宋体" w:cs="宋体"/>
                <w:kern w:val="0"/>
                <w:sz w:val="24"/>
                <w:szCs w:val="24"/>
              </w:rPr>
              <w:t>投标报价得分=(评标基准价/投标报价)×100*10%</w:t>
            </w:r>
          </w:p>
          <w:p>
            <w:pPr>
              <w:spacing w:before="50" w:after="50"/>
              <w:jc w:val="left"/>
              <w:rPr>
                <w:rFonts w:ascii="宋体" w:hAnsi="宋体" w:cs="宋体"/>
                <w:sz w:val="24"/>
                <w:szCs w:val="24"/>
              </w:rPr>
            </w:pPr>
            <w:r>
              <w:rPr>
                <w:rFonts w:hint="eastAsia" w:ascii="宋体" w:hAnsi="宋体" w:cs="宋体"/>
                <w:kern w:val="0"/>
                <w:sz w:val="24"/>
                <w:szCs w:val="24"/>
              </w:rPr>
              <w:t>根据新财购〔2022〕22号文，对小型和微型企业产品的价格给予10% 的扣除，用扣除后的价格参与评审。（投标人为中小企业的，需提供《中小企业声明函》等证明文件）。</w:t>
            </w:r>
          </w:p>
        </w:tc>
        <w:tc>
          <w:tcPr>
            <w:tcW w:w="745" w:type="dxa"/>
            <w:tcBorders>
              <w:right w:val="single" w:color="auto" w:sz="4" w:space="0"/>
            </w:tcBorders>
            <w:vAlign w:val="center"/>
          </w:tcPr>
          <w:p>
            <w:pPr>
              <w:spacing w:before="50" w:after="50"/>
              <w:jc w:val="center"/>
              <w:rPr>
                <w:rFonts w:ascii="宋体" w:hAnsi="宋体" w:cs="宋体"/>
                <w:sz w:val="24"/>
                <w:szCs w:val="24"/>
                <w:highlight w:val="yellow"/>
              </w:rPr>
            </w:pPr>
            <w:r>
              <w:rPr>
                <w:rFonts w:hint="eastAsia" w:ascii="宋体" w:hAnsi="宋体" w:cs="宋体"/>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734" w:type="dxa"/>
            <w:vMerge w:val="restart"/>
            <w:vAlign w:val="center"/>
          </w:tcPr>
          <w:p>
            <w:pPr>
              <w:jc w:val="center"/>
              <w:rPr>
                <w:rStyle w:val="72"/>
                <w:rFonts w:ascii="宋体" w:hAnsi="宋体" w:cs="宋体"/>
                <w:b/>
                <w:bCs/>
                <w:sz w:val="24"/>
                <w:szCs w:val="24"/>
              </w:rPr>
            </w:pPr>
            <w:r>
              <w:rPr>
                <w:rStyle w:val="72"/>
                <w:rFonts w:hint="eastAsia" w:ascii="宋体" w:hAnsi="宋体" w:cs="宋体"/>
                <w:b/>
                <w:bCs/>
                <w:sz w:val="24"/>
                <w:szCs w:val="24"/>
              </w:rPr>
              <w:t>技术及</w:t>
            </w:r>
          </w:p>
          <w:p>
            <w:pPr>
              <w:jc w:val="center"/>
              <w:rPr>
                <w:rFonts w:ascii="宋体" w:hAnsi="宋体" w:cs="宋体"/>
                <w:b/>
                <w:sz w:val="24"/>
                <w:szCs w:val="24"/>
                <w:highlight w:val="yellow"/>
              </w:rPr>
            </w:pPr>
            <w:r>
              <w:rPr>
                <w:rStyle w:val="72"/>
                <w:rFonts w:hint="eastAsia" w:ascii="宋体" w:hAnsi="宋体" w:cs="宋体"/>
                <w:b/>
                <w:bCs/>
                <w:sz w:val="24"/>
                <w:szCs w:val="24"/>
              </w:rPr>
              <w:t>商务部分（90</w:t>
            </w:r>
            <w:r>
              <w:rPr>
                <w:rStyle w:val="72"/>
                <w:rFonts w:hint="eastAsia" w:ascii="宋体" w:hAnsi="宋体" w:cs="宋体"/>
                <w:b/>
                <w:bCs/>
                <w:sz w:val="24"/>
                <w:szCs w:val="24"/>
                <w:lang w:val="en-US" w:eastAsia="zh-CN"/>
              </w:rPr>
              <w:t>分</w:t>
            </w:r>
            <w:r>
              <w:rPr>
                <w:rStyle w:val="72"/>
                <w:rFonts w:hint="eastAsia" w:ascii="宋体" w:hAnsi="宋体" w:cs="宋体"/>
                <w:b/>
                <w:bCs/>
                <w:sz w:val="24"/>
                <w:szCs w:val="24"/>
              </w:rPr>
              <w:t>）</w:t>
            </w:r>
          </w:p>
        </w:tc>
        <w:tc>
          <w:tcPr>
            <w:tcW w:w="1020" w:type="dxa"/>
            <w:vAlign w:val="center"/>
          </w:tcPr>
          <w:p>
            <w:pPr>
              <w:jc w:val="center"/>
              <w:rPr>
                <w:rStyle w:val="72"/>
                <w:rFonts w:ascii="宋体" w:hAnsi="宋体" w:cs="宋体"/>
                <w:sz w:val="24"/>
                <w:szCs w:val="24"/>
              </w:rPr>
            </w:pPr>
            <w:r>
              <w:rPr>
                <w:rStyle w:val="72"/>
                <w:rFonts w:hint="eastAsia" w:ascii="宋体" w:hAnsi="宋体" w:cs="宋体"/>
                <w:sz w:val="24"/>
                <w:szCs w:val="24"/>
              </w:rPr>
              <w:t>企业经营业绩</w:t>
            </w:r>
          </w:p>
        </w:tc>
        <w:tc>
          <w:tcPr>
            <w:tcW w:w="7305" w:type="dxa"/>
            <w:vAlign w:val="center"/>
          </w:tcPr>
          <w:p>
            <w:pPr>
              <w:widowControl/>
              <w:spacing w:line="300" w:lineRule="exact"/>
              <w:rPr>
                <w:rStyle w:val="72"/>
                <w:rFonts w:ascii="宋体" w:hAnsi="宋体" w:cs="宋体"/>
                <w:sz w:val="24"/>
                <w:szCs w:val="24"/>
              </w:rPr>
            </w:pPr>
            <w:r>
              <w:rPr>
                <w:rFonts w:hint="eastAsia" w:ascii="宋体" w:hAnsi="宋体" w:cs="宋体"/>
                <w:kern w:val="0"/>
                <w:sz w:val="24"/>
                <w:szCs w:val="24"/>
              </w:rPr>
              <w:t xml:space="preserve">企业近三年（2020年3月1日至今）的类似项目业绩（提供中标通知书或合同），每提供一份得3分，累计最高可得15分 </w:t>
            </w:r>
          </w:p>
        </w:tc>
        <w:tc>
          <w:tcPr>
            <w:tcW w:w="745" w:type="dxa"/>
            <w:tcBorders>
              <w:right w:val="single" w:color="auto" w:sz="4" w:space="0"/>
            </w:tcBorders>
            <w:vAlign w:val="center"/>
          </w:tcPr>
          <w:p>
            <w:pPr>
              <w:pStyle w:val="14"/>
              <w:spacing w:line="300" w:lineRule="exact"/>
              <w:jc w:val="center"/>
              <w:rPr>
                <w:rFonts w:hAnsi="宋体" w:cs="宋体"/>
                <w:kern w:val="0"/>
                <w:sz w:val="24"/>
                <w:szCs w:val="24"/>
              </w:rPr>
            </w:pPr>
            <w:r>
              <w:rPr>
                <w:rFonts w:hint="eastAsia" w:hAnsi="宋体" w:cs="宋体"/>
                <w:kern w:val="0"/>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34" w:type="dxa"/>
            <w:vMerge w:val="continue"/>
            <w:vAlign w:val="center"/>
          </w:tcPr>
          <w:p>
            <w:pPr>
              <w:jc w:val="center"/>
              <w:rPr>
                <w:rStyle w:val="72"/>
                <w:rFonts w:ascii="宋体" w:hAnsi="宋体" w:cs="宋体"/>
                <w:sz w:val="24"/>
                <w:szCs w:val="24"/>
              </w:rPr>
            </w:pPr>
          </w:p>
        </w:tc>
        <w:tc>
          <w:tcPr>
            <w:tcW w:w="1020" w:type="dxa"/>
            <w:vAlign w:val="center"/>
          </w:tcPr>
          <w:p>
            <w:pPr>
              <w:jc w:val="center"/>
              <w:rPr>
                <w:rStyle w:val="72"/>
                <w:rFonts w:ascii="宋体" w:hAnsi="宋体" w:cs="宋体"/>
                <w:sz w:val="24"/>
                <w:szCs w:val="24"/>
              </w:rPr>
            </w:pPr>
            <w:r>
              <w:rPr>
                <w:rFonts w:hint="eastAsia" w:ascii="宋体" w:hAnsi="宋体" w:cs="宋体"/>
                <w:sz w:val="24"/>
                <w:szCs w:val="24"/>
              </w:rPr>
              <w:t>人员配置情况</w:t>
            </w:r>
          </w:p>
        </w:tc>
        <w:tc>
          <w:tcPr>
            <w:tcW w:w="7305" w:type="dxa"/>
          </w:tcPr>
          <w:p>
            <w:pPr>
              <w:pStyle w:val="14"/>
              <w:spacing w:line="300" w:lineRule="exact"/>
              <w:rPr>
                <w:rFonts w:hAnsi="宋体" w:cs="宋体"/>
                <w:kern w:val="0"/>
                <w:sz w:val="24"/>
                <w:szCs w:val="24"/>
              </w:rPr>
            </w:pPr>
            <w:r>
              <w:rPr>
                <w:rFonts w:hint="eastAsia" w:hAnsi="宋体" w:cs="宋体"/>
                <w:kern w:val="0"/>
                <w:sz w:val="24"/>
                <w:szCs w:val="24"/>
              </w:rPr>
              <w:t>综合考评投标人拟投入本项目的实施团队组建情况：</w:t>
            </w:r>
          </w:p>
          <w:p>
            <w:pPr>
              <w:pStyle w:val="14"/>
              <w:spacing w:line="300" w:lineRule="exact"/>
              <w:rPr>
                <w:rFonts w:hAnsi="宋体" w:cs="宋体"/>
                <w:kern w:val="0"/>
                <w:sz w:val="24"/>
                <w:szCs w:val="24"/>
                <w:highlight w:val="yellow"/>
              </w:rPr>
            </w:pPr>
            <w:r>
              <w:rPr>
                <w:rFonts w:hint="eastAsia" w:hAnsi="宋体" w:cs="宋体"/>
                <w:kern w:val="0"/>
                <w:sz w:val="24"/>
                <w:szCs w:val="24"/>
              </w:rPr>
              <w:t>人员配备齐全，结构合理，专业性强，职责分工明确，经验丰富，综合素质高的，得10-15分；人员配备较齐全，结构较合理，专业性较强，职责分工较明确，经验较丰富，综合素质较高的，得5-9分；人员配备基本齐全，结构相对合理，专业性一般，职责分工不够明确，经验稍显不足，综合素质一般，能够基本满足招标文件要求的，得3-4分；人员配备不够齐全，结构欠合理，专业性较弱，职责分工不够明确，综合素质较弱，对招标文件要求满足度较低的，得0-2分（须提供团队成员名单、执业资格证书、资历经验证明、操作人员应具有行业资格证书等相关材料并加盖供应商公章。）</w:t>
            </w:r>
          </w:p>
        </w:tc>
        <w:tc>
          <w:tcPr>
            <w:tcW w:w="745" w:type="dxa"/>
            <w:tcBorders>
              <w:right w:val="single" w:color="auto" w:sz="4" w:space="0"/>
            </w:tcBorders>
            <w:vAlign w:val="center"/>
          </w:tcPr>
          <w:p>
            <w:pPr>
              <w:jc w:val="center"/>
              <w:rPr>
                <w:rFonts w:ascii="宋体" w:hAnsi="宋体" w:cs="宋体"/>
                <w:kern w:val="0"/>
                <w:sz w:val="24"/>
                <w:szCs w:val="24"/>
              </w:rPr>
            </w:pPr>
            <w:r>
              <w:rPr>
                <w:rFonts w:hint="eastAsia" w:ascii="宋体" w:hAnsi="宋体" w:cs="宋体"/>
                <w:kern w:val="0"/>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734" w:type="dxa"/>
            <w:vMerge w:val="continue"/>
            <w:vAlign w:val="center"/>
          </w:tcPr>
          <w:p>
            <w:pPr>
              <w:jc w:val="center"/>
              <w:rPr>
                <w:rFonts w:ascii="宋体" w:hAnsi="宋体" w:cs="宋体"/>
                <w:b/>
                <w:sz w:val="24"/>
                <w:szCs w:val="24"/>
                <w:highlight w:val="yellow"/>
              </w:rPr>
            </w:pPr>
          </w:p>
        </w:tc>
        <w:tc>
          <w:tcPr>
            <w:tcW w:w="1020" w:type="dxa"/>
            <w:vMerge w:val="restart"/>
            <w:vAlign w:val="center"/>
          </w:tcPr>
          <w:p>
            <w:pPr>
              <w:jc w:val="center"/>
              <w:rPr>
                <w:rStyle w:val="72"/>
                <w:rFonts w:ascii="宋体" w:hAnsi="宋体" w:cs="宋体"/>
                <w:sz w:val="24"/>
                <w:szCs w:val="24"/>
              </w:rPr>
            </w:pPr>
            <w:r>
              <w:rPr>
                <w:rStyle w:val="72"/>
                <w:rFonts w:hint="eastAsia" w:ascii="宋体" w:hAnsi="宋体" w:cs="宋体"/>
                <w:sz w:val="24"/>
                <w:szCs w:val="24"/>
              </w:rPr>
              <w:t>定期维护保养检查方案</w:t>
            </w:r>
          </w:p>
          <w:p>
            <w:pPr>
              <w:jc w:val="center"/>
              <w:rPr>
                <w:rStyle w:val="72"/>
                <w:rFonts w:ascii="宋体" w:hAnsi="宋体" w:cs="宋体"/>
                <w:sz w:val="24"/>
                <w:szCs w:val="24"/>
              </w:rPr>
            </w:pPr>
          </w:p>
        </w:tc>
        <w:tc>
          <w:tcPr>
            <w:tcW w:w="7305" w:type="dxa"/>
            <w:vAlign w:val="center"/>
          </w:tcPr>
          <w:p>
            <w:pPr>
              <w:rPr>
                <w:rStyle w:val="72"/>
                <w:rFonts w:ascii="宋体" w:hAnsi="宋体" w:cs="宋体"/>
                <w:sz w:val="24"/>
                <w:szCs w:val="24"/>
              </w:rPr>
            </w:pPr>
            <w:r>
              <w:rPr>
                <w:rFonts w:hint="eastAsia" w:ascii="宋体" w:hAnsi="宋体" w:cs="宋体"/>
                <w:kern w:val="0"/>
                <w:sz w:val="24"/>
                <w:szCs w:val="24"/>
              </w:rPr>
              <w:t>定期维护保养检查方案能流程清晰合理、内容完整详细，得7-10分；流程清晰较合理、内容较完整详细，得3-6分；内容不完整、可操作性较差得0-2分</w:t>
            </w:r>
          </w:p>
        </w:tc>
        <w:tc>
          <w:tcPr>
            <w:tcW w:w="745" w:type="dxa"/>
            <w:tcBorders>
              <w:right w:val="single" w:color="auto" w:sz="4" w:space="0"/>
            </w:tcBorders>
          </w:tcPr>
          <w:p>
            <w:pPr>
              <w:pStyle w:val="14"/>
              <w:spacing w:line="300" w:lineRule="exact"/>
              <w:jc w:val="center"/>
              <w:rPr>
                <w:rFonts w:hAnsi="宋体" w:cs="宋体"/>
                <w:kern w:val="0"/>
                <w:sz w:val="24"/>
                <w:szCs w:val="24"/>
                <w:highlight w:val="yellow"/>
              </w:rPr>
            </w:pPr>
            <w:r>
              <w:rPr>
                <w:rFonts w:hint="eastAsia" w:hAnsi="宋体" w:cs="宋体"/>
                <w:kern w:val="0"/>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734" w:type="dxa"/>
            <w:vMerge w:val="continue"/>
            <w:vAlign w:val="center"/>
          </w:tcPr>
          <w:p>
            <w:pPr>
              <w:jc w:val="center"/>
              <w:rPr>
                <w:rFonts w:ascii="宋体" w:hAnsi="宋体" w:cs="宋体"/>
                <w:b/>
                <w:sz w:val="24"/>
                <w:szCs w:val="24"/>
                <w:highlight w:val="yellow"/>
              </w:rPr>
            </w:pPr>
          </w:p>
        </w:tc>
        <w:tc>
          <w:tcPr>
            <w:tcW w:w="1020" w:type="dxa"/>
            <w:vMerge w:val="continue"/>
            <w:vAlign w:val="center"/>
          </w:tcPr>
          <w:p>
            <w:pPr>
              <w:jc w:val="center"/>
              <w:rPr>
                <w:rStyle w:val="72"/>
                <w:rFonts w:ascii="宋体" w:hAnsi="宋体" w:cs="宋体"/>
                <w:sz w:val="24"/>
                <w:szCs w:val="24"/>
              </w:rPr>
            </w:pPr>
          </w:p>
        </w:tc>
        <w:tc>
          <w:tcPr>
            <w:tcW w:w="7305" w:type="dxa"/>
            <w:vAlign w:val="center"/>
          </w:tcPr>
          <w:p>
            <w:pPr>
              <w:pStyle w:val="14"/>
              <w:spacing w:line="300" w:lineRule="exact"/>
              <w:rPr>
                <w:rFonts w:hAnsi="宋体" w:cs="宋体"/>
                <w:kern w:val="0"/>
                <w:sz w:val="24"/>
                <w:szCs w:val="24"/>
              </w:rPr>
            </w:pPr>
            <w:r>
              <w:rPr>
                <w:rFonts w:hint="eastAsia" w:hAnsi="宋体" w:cs="宋体"/>
                <w:kern w:val="0"/>
                <w:sz w:val="24"/>
                <w:szCs w:val="24"/>
              </w:rPr>
              <w:t>综合考虑投标人的维护保养计划安排：</w:t>
            </w:r>
          </w:p>
          <w:p>
            <w:pPr>
              <w:rPr>
                <w:rStyle w:val="72"/>
                <w:rFonts w:ascii="宋体" w:hAnsi="宋体" w:cs="宋体"/>
                <w:sz w:val="24"/>
                <w:szCs w:val="24"/>
              </w:rPr>
            </w:pPr>
            <w:r>
              <w:rPr>
                <w:rFonts w:hint="eastAsia" w:ascii="宋体" w:hAnsi="宋体" w:cs="宋体"/>
                <w:kern w:val="0"/>
                <w:sz w:val="24"/>
                <w:szCs w:val="24"/>
              </w:rPr>
              <w:t>计划合理且量化可控，完全针对本项目需求，各阶段时间节点清晰，得8-10分；计划较为合理可控，基本针对本项目需求，各阶段时间节点明确，得5-7分；计划基本合理，重要阶段时间节点基本明确，得3-4；计划较为简略，各阶段时间节点模糊，得0-2分</w:t>
            </w:r>
          </w:p>
        </w:tc>
        <w:tc>
          <w:tcPr>
            <w:tcW w:w="745" w:type="dxa"/>
            <w:tcBorders>
              <w:right w:val="single" w:color="auto" w:sz="4" w:space="0"/>
            </w:tcBorders>
            <w:vAlign w:val="center"/>
          </w:tcPr>
          <w:p>
            <w:pPr>
              <w:pStyle w:val="14"/>
              <w:spacing w:line="300" w:lineRule="exact"/>
              <w:jc w:val="center"/>
              <w:rPr>
                <w:rFonts w:hAnsi="宋体" w:cs="宋体"/>
                <w:kern w:val="0"/>
                <w:sz w:val="24"/>
                <w:szCs w:val="24"/>
              </w:rPr>
            </w:pPr>
            <w:r>
              <w:rPr>
                <w:rFonts w:hint="eastAsia" w:hAnsi="宋体" w:cs="宋体"/>
                <w:kern w:val="0"/>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trPr>
        <w:tc>
          <w:tcPr>
            <w:tcW w:w="734" w:type="dxa"/>
            <w:vMerge w:val="continue"/>
            <w:vAlign w:val="center"/>
          </w:tcPr>
          <w:p>
            <w:pPr>
              <w:jc w:val="center"/>
              <w:rPr>
                <w:rFonts w:ascii="宋体" w:hAnsi="宋体" w:cs="宋体"/>
                <w:b/>
                <w:sz w:val="24"/>
                <w:szCs w:val="24"/>
                <w:highlight w:val="yellow"/>
              </w:rPr>
            </w:pPr>
          </w:p>
        </w:tc>
        <w:tc>
          <w:tcPr>
            <w:tcW w:w="1020" w:type="dxa"/>
            <w:vAlign w:val="center"/>
          </w:tcPr>
          <w:p>
            <w:pPr>
              <w:jc w:val="center"/>
              <w:rPr>
                <w:rStyle w:val="72"/>
                <w:rFonts w:ascii="宋体" w:hAnsi="宋体" w:cs="宋体"/>
                <w:sz w:val="24"/>
                <w:szCs w:val="24"/>
              </w:rPr>
            </w:pPr>
            <w:r>
              <w:rPr>
                <w:rStyle w:val="72"/>
                <w:rFonts w:hint="eastAsia" w:ascii="宋体" w:hAnsi="宋体" w:cs="宋体"/>
                <w:sz w:val="24"/>
                <w:szCs w:val="24"/>
              </w:rPr>
              <w:t>应急预案</w:t>
            </w:r>
          </w:p>
        </w:tc>
        <w:tc>
          <w:tcPr>
            <w:tcW w:w="7305" w:type="dxa"/>
            <w:vAlign w:val="center"/>
          </w:tcPr>
          <w:p>
            <w:pPr>
              <w:pStyle w:val="73"/>
              <w:spacing w:before="158"/>
              <w:rPr>
                <w:rStyle w:val="72"/>
                <w:rFonts w:ascii="宋体" w:hAnsi="宋体" w:cs="宋体"/>
                <w:sz w:val="24"/>
                <w:szCs w:val="24"/>
              </w:rPr>
            </w:pPr>
            <w:r>
              <w:rPr>
                <w:rFonts w:hint="eastAsia" w:ascii="宋体" w:hAnsi="宋体" w:cs="宋体"/>
                <w:kern w:val="0"/>
                <w:sz w:val="24"/>
                <w:szCs w:val="24"/>
              </w:rPr>
              <w:t>提供应急预案：设立24小时维修热线，监控发生故障或运行不正常，突发紧急情况时维保方接到报修电话要在2小时内到达现场，流程清晰合理、内容完整详细、响应迅速，得8-10分；流程清晰较合理、内容较完整详细、响应较迅速，得5-7分；流程较清晰、内容较完整、响应速度一般，得3-4分；内容不完整、响应速度不保证，得0-2分</w:t>
            </w:r>
          </w:p>
        </w:tc>
        <w:tc>
          <w:tcPr>
            <w:tcW w:w="745" w:type="dxa"/>
            <w:tcBorders>
              <w:right w:val="single" w:color="auto" w:sz="4" w:space="0"/>
            </w:tcBorders>
            <w:vAlign w:val="center"/>
          </w:tcPr>
          <w:p>
            <w:pPr>
              <w:jc w:val="center"/>
              <w:rPr>
                <w:rFonts w:ascii="宋体" w:hAnsi="宋体" w:cs="宋体"/>
                <w:kern w:val="0"/>
                <w:sz w:val="24"/>
                <w:szCs w:val="24"/>
                <w:highlight w:val="yellow"/>
              </w:rPr>
            </w:pPr>
            <w:r>
              <w:rPr>
                <w:rFonts w:hint="eastAsia" w:ascii="宋体" w:hAnsi="宋体" w:cs="宋体"/>
                <w:bCs/>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734" w:type="dxa"/>
            <w:vMerge w:val="continue"/>
            <w:vAlign w:val="center"/>
          </w:tcPr>
          <w:p>
            <w:pPr>
              <w:jc w:val="center"/>
              <w:rPr>
                <w:rFonts w:ascii="宋体" w:hAnsi="宋体" w:cs="宋体"/>
                <w:b/>
                <w:color w:val="FF0000"/>
                <w:sz w:val="24"/>
                <w:szCs w:val="24"/>
                <w:highlight w:val="yellow"/>
              </w:rPr>
            </w:pPr>
          </w:p>
        </w:tc>
        <w:tc>
          <w:tcPr>
            <w:tcW w:w="1020" w:type="dxa"/>
            <w:vMerge w:val="restart"/>
            <w:vAlign w:val="center"/>
          </w:tcPr>
          <w:p>
            <w:pPr>
              <w:jc w:val="center"/>
              <w:rPr>
                <w:rStyle w:val="72"/>
                <w:rFonts w:ascii="宋体" w:hAnsi="宋体" w:cs="宋体"/>
                <w:sz w:val="24"/>
                <w:szCs w:val="24"/>
              </w:rPr>
            </w:pPr>
            <w:r>
              <w:rPr>
                <w:rStyle w:val="72"/>
                <w:rFonts w:hint="eastAsia" w:ascii="宋体" w:hAnsi="宋体" w:cs="宋体"/>
                <w:sz w:val="24"/>
                <w:szCs w:val="24"/>
              </w:rPr>
              <w:t>售后服务及相关设备配置</w:t>
            </w:r>
          </w:p>
        </w:tc>
        <w:tc>
          <w:tcPr>
            <w:tcW w:w="7305" w:type="dxa"/>
            <w:vAlign w:val="center"/>
          </w:tcPr>
          <w:p>
            <w:pPr>
              <w:rPr>
                <w:rStyle w:val="72"/>
                <w:rFonts w:ascii="宋体" w:hAnsi="宋体" w:cs="宋体"/>
                <w:sz w:val="24"/>
                <w:szCs w:val="24"/>
              </w:rPr>
            </w:pPr>
            <w:r>
              <w:rPr>
                <w:rFonts w:hint="eastAsia" w:ascii="宋体" w:hAnsi="宋体" w:cs="宋体"/>
                <w:kern w:val="0"/>
                <w:sz w:val="24"/>
                <w:szCs w:val="24"/>
              </w:rPr>
              <w:t>提供完整的售后服务方案，得4-5分；较完整，得2-3分；不完整，得0-1分</w:t>
            </w:r>
          </w:p>
        </w:tc>
        <w:tc>
          <w:tcPr>
            <w:tcW w:w="745" w:type="dxa"/>
            <w:tcBorders>
              <w:right w:val="single" w:color="auto" w:sz="4" w:space="0"/>
            </w:tcBorders>
            <w:vAlign w:val="center"/>
          </w:tcPr>
          <w:p>
            <w:pPr>
              <w:jc w:val="center"/>
              <w:rPr>
                <w:rFonts w:ascii="宋体" w:hAnsi="宋体" w:cs="宋体"/>
                <w:kern w:val="0"/>
                <w:sz w:val="24"/>
                <w:szCs w:val="24"/>
                <w:highlight w:val="yellow"/>
              </w:rPr>
            </w:pPr>
            <w:r>
              <w:rPr>
                <w:rFonts w:hint="eastAsia" w:ascii="宋体" w:hAnsi="宋体" w:cs="宋体"/>
                <w:kern w:val="0"/>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734" w:type="dxa"/>
            <w:vMerge w:val="continue"/>
            <w:vAlign w:val="center"/>
          </w:tcPr>
          <w:p>
            <w:pPr>
              <w:jc w:val="center"/>
              <w:rPr>
                <w:rFonts w:ascii="宋体" w:hAnsi="宋体" w:cs="宋体"/>
                <w:color w:val="FF0000"/>
                <w:sz w:val="24"/>
                <w:szCs w:val="24"/>
                <w:highlight w:val="yellow"/>
              </w:rPr>
            </w:pPr>
          </w:p>
        </w:tc>
        <w:tc>
          <w:tcPr>
            <w:tcW w:w="1020" w:type="dxa"/>
            <w:vMerge w:val="continue"/>
            <w:vAlign w:val="center"/>
          </w:tcPr>
          <w:p>
            <w:pPr>
              <w:jc w:val="center"/>
              <w:rPr>
                <w:rStyle w:val="72"/>
                <w:rFonts w:ascii="宋体" w:hAnsi="宋体" w:cs="宋体"/>
                <w:sz w:val="24"/>
                <w:szCs w:val="24"/>
              </w:rPr>
            </w:pPr>
          </w:p>
        </w:tc>
        <w:tc>
          <w:tcPr>
            <w:tcW w:w="7305" w:type="dxa"/>
            <w:vAlign w:val="center"/>
          </w:tcPr>
          <w:p>
            <w:pPr>
              <w:rPr>
                <w:rStyle w:val="72"/>
                <w:rFonts w:ascii="宋体" w:hAnsi="宋体" w:cs="宋体"/>
                <w:sz w:val="24"/>
                <w:szCs w:val="24"/>
              </w:rPr>
            </w:pPr>
            <w:r>
              <w:rPr>
                <w:rFonts w:hint="eastAsia" w:ascii="宋体" w:hAnsi="宋体" w:cs="宋体"/>
                <w:kern w:val="0"/>
                <w:sz w:val="24"/>
                <w:szCs w:val="24"/>
              </w:rPr>
              <w:t>售后服务点具有相应设备配置合理齐全，提供清单证明的，得6-10分；相应设备配置基本合理齐全的，得分2-5分；相应设备配置不合理不齐全，得0-1分</w:t>
            </w:r>
          </w:p>
        </w:tc>
        <w:tc>
          <w:tcPr>
            <w:tcW w:w="745" w:type="dxa"/>
            <w:tcBorders>
              <w:right w:val="single" w:color="auto" w:sz="4" w:space="0"/>
            </w:tcBorders>
            <w:vAlign w:val="center"/>
          </w:tcPr>
          <w:p>
            <w:pPr>
              <w:jc w:val="center"/>
              <w:rPr>
                <w:rFonts w:ascii="宋体" w:hAnsi="宋体" w:cs="宋体"/>
                <w:kern w:val="0"/>
                <w:sz w:val="24"/>
                <w:szCs w:val="24"/>
                <w:highlight w:val="yellow"/>
              </w:rPr>
            </w:pPr>
            <w:r>
              <w:rPr>
                <w:rFonts w:hint="eastAsia" w:ascii="宋体" w:hAnsi="宋体" w:cs="宋体"/>
                <w:kern w:val="0"/>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734" w:type="dxa"/>
            <w:vMerge w:val="continue"/>
            <w:vAlign w:val="center"/>
          </w:tcPr>
          <w:p>
            <w:pPr>
              <w:jc w:val="center"/>
              <w:rPr>
                <w:rFonts w:ascii="宋体" w:hAnsi="宋体" w:cs="宋体"/>
                <w:color w:val="FF0000"/>
                <w:sz w:val="24"/>
                <w:szCs w:val="24"/>
                <w:highlight w:val="yellow"/>
              </w:rPr>
            </w:pPr>
          </w:p>
        </w:tc>
        <w:tc>
          <w:tcPr>
            <w:tcW w:w="1020" w:type="dxa"/>
            <w:vMerge w:val="restart"/>
            <w:vAlign w:val="center"/>
          </w:tcPr>
          <w:p>
            <w:pPr>
              <w:jc w:val="center"/>
              <w:rPr>
                <w:rStyle w:val="72"/>
                <w:rFonts w:ascii="宋体" w:hAnsi="宋体" w:cs="宋体"/>
                <w:sz w:val="24"/>
                <w:szCs w:val="24"/>
              </w:rPr>
            </w:pPr>
            <w:r>
              <w:rPr>
                <w:rFonts w:hint="eastAsia" w:ascii="宋体" w:hAnsi="宋体" w:cs="宋体"/>
                <w:sz w:val="24"/>
                <w:szCs w:val="24"/>
              </w:rPr>
              <w:t>承诺及优惠条件</w:t>
            </w:r>
          </w:p>
        </w:tc>
        <w:tc>
          <w:tcPr>
            <w:tcW w:w="7305" w:type="dxa"/>
            <w:vAlign w:val="center"/>
          </w:tcPr>
          <w:p>
            <w:pPr>
              <w:rPr>
                <w:rStyle w:val="72"/>
                <w:rFonts w:ascii="宋体" w:hAnsi="宋体" w:cs="宋体"/>
                <w:sz w:val="24"/>
                <w:szCs w:val="24"/>
              </w:rPr>
            </w:pPr>
            <w:r>
              <w:rPr>
                <w:rFonts w:hint="eastAsia" w:ascii="宋体" w:hAnsi="宋体" w:cs="宋体"/>
                <w:kern w:val="0"/>
                <w:sz w:val="24"/>
                <w:szCs w:val="24"/>
              </w:rPr>
              <w:t>提供服务质量保证承诺方案，服务承诺最为合理可行完整，得4-5分；服务承诺基本可行但有瑕疵，得2-3分；服务承诺可行性较低，得0-1分</w:t>
            </w:r>
          </w:p>
        </w:tc>
        <w:tc>
          <w:tcPr>
            <w:tcW w:w="745" w:type="dxa"/>
            <w:tcBorders>
              <w:right w:val="single" w:color="auto" w:sz="4" w:space="0"/>
            </w:tcBorders>
            <w:vAlign w:val="center"/>
          </w:tcPr>
          <w:p>
            <w:pPr>
              <w:pStyle w:val="14"/>
              <w:spacing w:line="300" w:lineRule="exact"/>
              <w:jc w:val="center"/>
              <w:rPr>
                <w:rFonts w:hAnsi="宋体" w:cs="宋体"/>
                <w:kern w:val="0"/>
                <w:sz w:val="24"/>
                <w:szCs w:val="24"/>
                <w:highlight w:val="yellow"/>
              </w:rPr>
            </w:pPr>
            <w:r>
              <w:rPr>
                <w:rFonts w:hint="eastAsia" w:hAnsi="宋体" w:cs="宋体"/>
                <w:kern w:val="0"/>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734" w:type="dxa"/>
            <w:vMerge w:val="continue"/>
            <w:vAlign w:val="center"/>
          </w:tcPr>
          <w:p>
            <w:pPr>
              <w:jc w:val="center"/>
              <w:rPr>
                <w:rFonts w:ascii="宋体" w:hAnsi="宋体" w:cs="宋体"/>
                <w:color w:val="FF0000"/>
                <w:sz w:val="24"/>
                <w:szCs w:val="24"/>
                <w:highlight w:val="yellow"/>
              </w:rPr>
            </w:pPr>
          </w:p>
        </w:tc>
        <w:tc>
          <w:tcPr>
            <w:tcW w:w="1020" w:type="dxa"/>
            <w:vMerge w:val="continue"/>
            <w:vAlign w:val="center"/>
          </w:tcPr>
          <w:p>
            <w:pPr>
              <w:jc w:val="center"/>
              <w:rPr>
                <w:rStyle w:val="72"/>
                <w:rFonts w:ascii="宋体" w:hAnsi="宋体" w:cs="宋体"/>
                <w:sz w:val="24"/>
                <w:szCs w:val="24"/>
              </w:rPr>
            </w:pPr>
          </w:p>
        </w:tc>
        <w:tc>
          <w:tcPr>
            <w:tcW w:w="7305" w:type="dxa"/>
            <w:vAlign w:val="center"/>
          </w:tcPr>
          <w:p>
            <w:pPr>
              <w:rPr>
                <w:rStyle w:val="72"/>
                <w:rFonts w:ascii="宋体" w:hAnsi="宋体" w:cs="宋体"/>
                <w:sz w:val="24"/>
                <w:szCs w:val="24"/>
              </w:rPr>
            </w:pPr>
            <w:r>
              <w:rPr>
                <w:rFonts w:hint="eastAsia" w:ascii="宋体" w:hAnsi="宋体" w:cs="宋体"/>
                <w:kern w:val="0"/>
                <w:sz w:val="24"/>
                <w:szCs w:val="24"/>
              </w:rPr>
              <w:t>提供服务期间不影响办公承诺方案，服务承诺最为合理可行完整，得4-5分；服务承诺基本可行但有瑕疵，得2-3分；服务承诺可行性较低，得0-1分</w:t>
            </w:r>
          </w:p>
        </w:tc>
        <w:tc>
          <w:tcPr>
            <w:tcW w:w="745" w:type="dxa"/>
            <w:tcBorders>
              <w:right w:val="single" w:color="auto" w:sz="4" w:space="0"/>
            </w:tcBorders>
            <w:vAlign w:val="center"/>
          </w:tcPr>
          <w:p>
            <w:pPr>
              <w:pStyle w:val="14"/>
              <w:spacing w:line="300" w:lineRule="exact"/>
              <w:jc w:val="center"/>
              <w:rPr>
                <w:rFonts w:hAnsi="宋体" w:cs="宋体"/>
                <w:kern w:val="0"/>
                <w:sz w:val="24"/>
                <w:szCs w:val="24"/>
                <w:highlight w:val="yellow"/>
              </w:rPr>
            </w:pPr>
            <w:r>
              <w:rPr>
                <w:rFonts w:hint="eastAsia" w:hAnsi="宋体" w:cs="宋体"/>
                <w:kern w:val="0"/>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4" w:type="dxa"/>
            <w:vMerge w:val="continue"/>
            <w:vAlign w:val="center"/>
          </w:tcPr>
          <w:p>
            <w:pPr>
              <w:jc w:val="center"/>
              <w:rPr>
                <w:rFonts w:ascii="宋体" w:hAnsi="宋体" w:cs="宋体"/>
                <w:color w:val="FF0000"/>
                <w:sz w:val="24"/>
                <w:szCs w:val="24"/>
                <w:highlight w:val="yellow"/>
              </w:rPr>
            </w:pPr>
          </w:p>
        </w:tc>
        <w:tc>
          <w:tcPr>
            <w:tcW w:w="1020" w:type="dxa"/>
            <w:vMerge w:val="continue"/>
            <w:vAlign w:val="center"/>
          </w:tcPr>
          <w:p>
            <w:pPr>
              <w:jc w:val="center"/>
              <w:rPr>
                <w:rStyle w:val="72"/>
                <w:rFonts w:ascii="宋体" w:hAnsi="宋体" w:cs="宋体"/>
                <w:sz w:val="24"/>
                <w:szCs w:val="24"/>
              </w:rPr>
            </w:pPr>
          </w:p>
        </w:tc>
        <w:tc>
          <w:tcPr>
            <w:tcW w:w="7305" w:type="dxa"/>
            <w:vAlign w:val="center"/>
          </w:tcPr>
          <w:p>
            <w:pPr>
              <w:rPr>
                <w:rStyle w:val="72"/>
                <w:rFonts w:ascii="宋体" w:hAnsi="宋体" w:cs="宋体"/>
                <w:sz w:val="24"/>
                <w:szCs w:val="24"/>
              </w:rPr>
            </w:pPr>
            <w:r>
              <w:rPr>
                <w:rFonts w:hint="eastAsia" w:ascii="宋体" w:hAnsi="宋体" w:cs="宋体"/>
                <w:kern w:val="0"/>
                <w:sz w:val="24"/>
                <w:szCs w:val="24"/>
              </w:rPr>
              <w:t>提供招标要求以外实质性优惠条件，按方案的优劣酌情打分，得0-5分</w:t>
            </w:r>
          </w:p>
        </w:tc>
        <w:tc>
          <w:tcPr>
            <w:tcW w:w="745" w:type="dxa"/>
            <w:tcBorders>
              <w:right w:val="single" w:color="auto" w:sz="4" w:space="0"/>
            </w:tcBorders>
            <w:vAlign w:val="center"/>
          </w:tcPr>
          <w:p>
            <w:pPr>
              <w:pStyle w:val="14"/>
              <w:spacing w:line="300" w:lineRule="exact"/>
              <w:jc w:val="center"/>
              <w:rPr>
                <w:rFonts w:hAnsi="宋体" w:cs="宋体"/>
                <w:kern w:val="0"/>
                <w:sz w:val="24"/>
                <w:szCs w:val="24"/>
                <w:highlight w:val="yellow"/>
              </w:rPr>
            </w:pPr>
            <w:r>
              <w:rPr>
                <w:rFonts w:hint="eastAsia" w:hAnsi="宋体" w:cs="宋体"/>
                <w:kern w:val="0"/>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9804" w:type="dxa"/>
            <w:gridSpan w:val="4"/>
            <w:tcBorders>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备注：</w:t>
            </w:r>
          </w:p>
          <w:p>
            <w:pPr>
              <w:jc w:val="left"/>
              <w:rPr>
                <w:rFonts w:ascii="宋体" w:hAnsi="宋体" w:cs="宋体"/>
                <w:sz w:val="24"/>
                <w:szCs w:val="24"/>
              </w:rPr>
            </w:pPr>
            <w:r>
              <w:rPr>
                <w:rFonts w:hint="eastAsia" w:ascii="宋体" w:hAnsi="宋体" w:cs="宋体"/>
                <w:sz w:val="24"/>
                <w:szCs w:val="24"/>
              </w:rPr>
              <w:t xml:space="preserve">1、专家根据投标文件中投标人提供的资料在分值范围内进行评议； </w:t>
            </w:r>
          </w:p>
          <w:p>
            <w:pPr>
              <w:jc w:val="left"/>
              <w:rPr>
                <w:rFonts w:ascii="宋体" w:hAnsi="宋体" w:cs="宋体"/>
                <w:sz w:val="24"/>
                <w:szCs w:val="24"/>
              </w:rPr>
            </w:pPr>
            <w:r>
              <w:rPr>
                <w:rFonts w:hint="eastAsia" w:ascii="宋体" w:hAnsi="宋体" w:cs="宋体"/>
                <w:sz w:val="24"/>
                <w:szCs w:val="24"/>
              </w:rPr>
              <w:t>2、得分保留两位小数。</w:t>
            </w:r>
          </w:p>
        </w:tc>
      </w:tr>
    </w:tbl>
    <w:p>
      <w:pPr>
        <w:pStyle w:val="20"/>
        <w:ind w:left="0" w:firstLine="0"/>
        <w:rPr>
          <w:rFonts w:ascii="仿宋" w:hAnsi="仿宋" w:eastAsia="仿宋" w:cs="仿宋"/>
          <w:b/>
          <w:bCs/>
          <w:sz w:val="24"/>
          <w:szCs w:val="24"/>
        </w:rPr>
      </w:pPr>
    </w:p>
    <w:p>
      <w:pPr>
        <w:keepNext/>
        <w:keepLines/>
        <w:tabs>
          <w:tab w:val="left" w:pos="900"/>
        </w:tabs>
        <w:spacing w:line="360" w:lineRule="auto"/>
        <w:jc w:val="left"/>
        <w:outlineLvl w:val="0"/>
        <w:rPr>
          <w:highlight w:val="yellow"/>
        </w:rPr>
      </w:pPr>
      <w:r>
        <w:rPr>
          <w:rFonts w:hint="eastAsia" w:ascii="仿宋" w:hAnsi="仿宋" w:eastAsia="仿宋" w:cs="仿宋"/>
          <w:b/>
          <w:bCs/>
          <w:sz w:val="24"/>
          <w:szCs w:val="24"/>
        </w:rPr>
        <w:t>标项七：</w:t>
      </w:r>
      <w:r>
        <w:rPr>
          <w:rStyle w:val="64"/>
          <w:rFonts w:hint="eastAsia" w:ascii="仿宋" w:hAnsi="仿宋" w:eastAsia="仿宋" w:cs="仿宋"/>
          <w:b/>
          <w:bCs/>
          <w:sz w:val="24"/>
          <w:szCs w:val="24"/>
        </w:rPr>
        <w:t>评 分 细 则</w:t>
      </w:r>
    </w:p>
    <w:tbl>
      <w:tblPr>
        <w:tblStyle w:val="29"/>
        <w:tblW w:w="54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1860"/>
        <w:gridCol w:w="6412"/>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398" w:type="pct"/>
            <w:vAlign w:val="center"/>
          </w:tcPr>
          <w:p>
            <w:pPr>
              <w:spacing w:before="50" w:after="50"/>
              <w:jc w:val="center"/>
              <w:rPr>
                <w:rFonts w:ascii="宋体" w:hAnsi="宋体" w:cs="宋体"/>
                <w:b/>
                <w:sz w:val="24"/>
                <w:szCs w:val="24"/>
              </w:rPr>
            </w:pPr>
            <w:r>
              <w:rPr>
                <w:rFonts w:hint="eastAsia" w:ascii="宋体" w:hAnsi="宋体" w:cs="宋体"/>
                <w:b/>
                <w:sz w:val="24"/>
                <w:szCs w:val="24"/>
              </w:rPr>
              <w:t>评标</w:t>
            </w:r>
          </w:p>
          <w:p>
            <w:pPr>
              <w:spacing w:before="50" w:after="50"/>
              <w:jc w:val="center"/>
              <w:rPr>
                <w:rFonts w:ascii="宋体" w:hAnsi="宋体" w:cs="宋体"/>
                <w:b/>
                <w:sz w:val="24"/>
                <w:szCs w:val="24"/>
              </w:rPr>
            </w:pPr>
            <w:r>
              <w:rPr>
                <w:rFonts w:hint="eastAsia" w:ascii="宋体" w:hAnsi="宋体" w:cs="宋体"/>
                <w:b/>
                <w:sz w:val="24"/>
                <w:szCs w:val="24"/>
              </w:rPr>
              <w:t>指标</w:t>
            </w:r>
          </w:p>
        </w:tc>
        <w:tc>
          <w:tcPr>
            <w:tcW w:w="4088" w:type="pct"/>
            <w:gridSpan w:val="2"/>
            <w:tcBorders>
              <w:right w:val="single" w:color="auto" w:sz="4" w:space="0"/>
            </w:tcBorders>
            <w:vAlign w:val="center"/>
          </w:tcPr>
          <w:p>
            <w:pPr>
              <w:spacing w:before="50" w:after="50"/>
              <w:jc w:val="center"/>
              <w:rPr>
                <w:rFonts w:ascii="宋体" w:hAnsi="宋体" w:cs="宋体"/>
                <w:b/>
                <w:sz w:val="24"/>
                <w:szCs w:val="24"/>
              </w:rPr>
            </w:pPr>
            <w:r>
              <w:rPr>
                <w:rFonts w:hint="eastAsia" w:ascii="宋体" w:hAnsi="宋体" w:cs="宋体"/>
                <w:b/>
                <w:sz w:val="24"/>
                <w:szCs w:val="24"/>
              </w:rPr>
              <w:t>评议内容</w:t>
            </w:r>
          </w:p>
        </w:tc>
        <w:tc>
          <w:tcPr>
            <w:tcW w:w="512" w:type="pct"/>
            <w:tcBorders>
              <w:right w:val="single" w:color="auto" w:sz="4" w:space="0"/>
            </w:tcBorders>
            <w:vAlign w:val="center"/>
          </w:tcPr>
          <w:p>
            <w:pPr>
              <w:spacing w:before="50" w:after="50"/>
              <w:jc w:val="center"/>
              <w:rPr>
                <w:rFonts w:ascii="宋体" w:hAnsi="宋体" w:cs="宋体"/>
                <w:b/>
                <w:sz w:val="24"/>
                <w:szCs w:val="24"/>
              </w:rPr>
            </w:pPr>
            <w:r>
              <w:rPr>
                <w:rFonts w:hint="eastAsia" w:ascii="宋体" w:hAnsi="宋体" w:cs="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9" w:hRule="atLeast"/>
          <w:jc w:val="center"/>
        </w:trPr>
        <w:tc>
          <w:tcPr>
            <w:tcW w:w="398" w:type="pct"/>
            <w:vAlign w:val="center"/>
          </w:tcPr>
          <w:p>
            <w:pPr>
              <w:jc w:val="center"/>
              <w:rPr>
                <w:rFonts w:ascii="宋体" w:hAnsi="宋体" w:cs="宋体"/>
                <w:sz w:val="24"/>
                <w:szCs w:val="24"/>
              </w:rPr>
            </w:pPr>
            <w:r>
              <w:rPr>
                <w:rFonts w:hint="eastAsia" w:ascii="宋体" w:hAnsi="宋体" w:cs="宋体"/>
                <w:sz w:val="24"/>
                <w:szCs w:val="24"/>
              </w:rPr>
              <w:t>报</w:t>
            </w:r>
          </w:p>
          <w:p>
            <w:pPr>
              <w:jc w:val="center"/>
              <w:rPr>
                <w:rFonts w:ascii="宋体" w:hAnsi="宋体" w:cs="宋体"/>
                <w:sz w:val="24"/>
                <w:szCs w:val="24"/>
              </w:rPr>
            </w:pPr>
            <w:r>
              <w:rPr>
                <w:rFonts w:hint="eastAsia" w:ascii="宋体" w:hAnsi="宋体" w:cs="宋体"/>
                <w:sz w:val="24"/>
                <w:szCs w:val="24"/>
              </w:rPr>
              <w:t>价</w:t>
            </w:r>
          </w:p>
          <w:p>
            <w:pPr>
              <w:jc w:val="center"/>
              <w:rPr>
                <w:rFonts w:ascii="宋体" w:hAnsi="宋体" w:cs="宋体"/>
                <w:sz w:val="24"/>
                <w:szCs w:val="24"/>
              </w:rPr>
            </w:pPr>
            <w:r>
              <w:rPr>
                <w:rFonts w:hint="eastAsia" w:ascii="宋体" w:hAnsi="宋体" w:cs="宋体"/>
                <w:sz w:val="24"/>
                <w:szCs w:val="24"/>
              </w:rPr>
              <w:t>得</w:t>
            </w:r>
          </w:p>
          <w:p>
            <w:pPr>
              <w:jc w:val="center"/>
              <w:rPr>
                <w:rFonts w:ascii="宋体" w:hAnsi="宋体" w:cs="宋体"/>
                <w:sz w:val="24"/>
                <w:szCs w:val="24"/>
              </w:rPr>
            </w:pPr>
            <w:r>
              <w:rPr>
                <w:rFonts w:hint="eastAsia" w:ascii="宋体" w:hAnsi="宋体" w:cs="宋体"/>
                <w:sz w:val="24"/>
                <w:szCs w:val="24"/>
              </w:rPr>
              <w:t>分</w:t>
            </w:r>
          </w:p>
          <w:p>
            <w:pPr>
              <w:pStyle w:val="6"/>
              <w:ind w:firstLine="0"/>
              <w:jc w:val="center"/>
              <w:rPr>
                <w:rFonts w:ascii="宋体" w:hAnsi="宋体" w:cs="宋体"/>
                <w:szCs w:val="24"/>
              </w:rPr>
            </w:pPr>
            <w:r>
              <w:rPr>
                <w:rFonts w:hint="eastAsia" w:ascii="宋体" w:hAnsi="宋体" w:cs="宋体"/>
                <w:szCs w:val="24"/>
              </w:rPr>
              <w:t>(10分)</w:t>
            </w:r>
          </w:p>
        </w:tc>
        <w:tc>
          <w:tcPr>
            <w:tcW w:w="4088" w:type="pct"/>
            <w:gridSpan w:val="2"/>
            <w:tcBorders>
              <w:right w:val="single" w:color="auto" w:sz="4" w:space="0"/>
            </w:tcBorders>
            <w:vAlign w:val="center"/>
          </w:tcPr>
          <w:p>
            <w:pPr>
              <w:spacing w:before="50" w:after="50"/>
              <w:rPr>
                <w:rFonts w:ascii="宋体" w:hAnsi="宋体" w:cs="宋体"/>
                <w:sz w:val="24"/>
                <w:szCs w:val="24"/>
              </w:rPr>
            </w:pPr>
            <w:r>
              <w:rPr>
                <w:rFonts w:hint="eastAsia" w:ascii="宋体" w:hAnsi="宋体" w:cs="宋体"/>
                <w:sz w:val="24"/>
                <w:szCs w:val="24"/>
              </w:rPr>
              <w:t>价格分应当采用低价优先法计算，即满足招标文件要求且最终投标价格最低的有效投标报价为评标基准价，其价格分为满分。其他投标人的价格分统一按照下列公式计算：</w:t>
            </w:r>
          </w:p>
          <w:p>
            <w:pPr>
              <w:spacing w:before="50" w:after="50"/>
              <w:rPr>
                <w:rFonts w:ascii="宋体" w:hAnsi="宋体" w:cs="宋体"/>
                <w:sz w:val="24"/>
                <w:szCs w:val="24"/>
              </w:rPr>
            </w:pPr>
            <w:r>
              <w:rPr>
                <w:rFonts w:hint="eastAsia" w:ascii="宋体" w:hAnsi="宋体" w:cs="宋体"/>
                <w:sz w:val="24"/>
                <w:szCs w:val="24"/>
              </w:rPr>
              <w:t>投标报价得分=(评标基准价/投标报价)×100*10%</w:t>
            </w:r>
          </w:p>
          <w:p>
            <w:pPr>
              <w:spacing w:before="50" w:after="50"/>
              <w:rPr>
                <w:rFonts w:ascii="宋体" w:hAnsi="宋体" w:cs="宋体"/>
                <w:sz w:val="24"/>
                <w:szCs w:val="24"/>
              </w:rPr>
            </w:pPr>
            <w:r>
              <w:rPr>
                <w:rFonts w:hint="eastAsia" w:ascii="宋体" w:hAnsi="宋体" w:cs="宋体"/>
                <w:b/>
                <w:bCs/>
                <w:sz w:val="24"/>
                <w:szCs w:val="24"/>
              </w:rPr>
              <w:t>根据新财购 〔2022〕22号文，对小型和微型企业的产品价格给予10% 的扣除，用扣除后的价格参与评审。（投标人为中小企业的，需提供《中小企业声明函》等证明文件）。</w:t>
            </w:r>
          </w:p>
        </w:tc>
        <w:tc>
          <w:tcPr>
            <w:tcW w:w="512" w:type="pct"/>
            <w:tcBorders>
              <w:right w:val="single" w:color="auto" w:sz="4" w:space="0"/>
            </w:tcBorders>
            <w:vAlign w:val="center"/>
          </w:tcPr>
          <w:p>
            <w:pPr>
              <w:spacing w:before="50" w:after="50"/>
              <w:jc w:val="center"/>
              <w:rPr>
                <w:rFonts w:ascii="宋体" w:hAnsi="宋体" w:cs="宋体"/>
                <w:sz w:val="24"/>
                <w:szCs w:val="24"/>
              </w:rPr>
            </w:pPr>
            <w:r>
              <w:rPr>
                <w:rFonts w:hint="eastAsia" w:ascii="宋体" w:hAnsi="宋体" w:cs="宋体"/>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398" w:type="pct"/>
            <w:vAlign w:val="center"/>
          </w:tcPr>
          <w:p>
            <w:pPr>
              <w:pStyle w:val="10"/>
              <w:spacing w:before="161"/>
              <w:jc w:val="center"/>
              <w:rPr>
                <w:rFonts w:ascii="宋体" w:hAnsi="宋体" w:cs="宋体"/>
                <w:b/>
                <w:sz w:val="24"/>
              </w:rPr>
            </w:pPr>
            <w:r>
              <w:rPr>
                <w:rFonts w:hint="eastAsia" w:ascii="宋体" w:hAnsi="宋体" w:cs="宋体"/>
                <w:sz w:val="24"/>
              </w:rPr>
              <w:t>评标项目</w:t>
            </w:r>
          </w:p>
        </w:tc>
        <w:tc>
          <w:tcPr>
            <w:tcW w:w="925" w:type="pct"/>
            <w:vAlign w:val="center"/>
          </w:tcPr>
          <w:p>
            <w:pPr>
              <w:pStyle w:val="73"/>
              <w:spacing w:before="67"/>
              <w:jc w:val="center"/>
              <w:rPr>
                <w:rFonts w:ascii="宋体" w:hAnsi="宋体" w:cs="宋体"/>
                <w:sz w:val="24"/>
                <w:szCs w:val="24"/>
              </w:rPr>
            </w:pPr>
            <w:r>
              <w:rPr>
                <w:rFonts w:hint="eastAsia" w:ascii="宋体" w:hAnsi="宋体" w:cs="宋体"/>
                <w:sz w:val="24"/>
                <w:szCs w:val="24"/>
              </w:rPr>
              <w:t>评审内容</w:t>
            </w:r>
          </w:p>
        </w:tc>
        <w:tc>
          <w:tcPr>
            <w:tcW w:w="3162" w:type="pct"/>
            <w:vAlign w:val="center"/>
          </w:tcPr>
          <w:p>
            <w:pPr>
              <w:pStyle w:val="73"/>
              <w:spacing w:before="67"/>
              <w:ind w:right="2333"/>
              <w:jc w:val="center"/>
              <w:rPr>
                <w:rFonts w:ascii="宋体" w:hAnsi="宋体" w:cs="宋体"/>
                <w:sz w:val="24"/>
                <w:szCs w:val="24"/>
              </w:rPr>
            </w:pPr>
            <w:r>
              <w:rPr>
                <w:rFonts w:hint="eastAsia" w:ascii="宋体" w:hAnsi="宋体" w:cs="宋体"/>
                <w:sz w:val="24"/>
                <w:szCs w:val="24"/>
              </w:rPr>
              <w:t>评分标准</w:t>
            </w:r>
          </w:p>
        </w:tc>
        <w:tc>
          <w:tcPr>
            <w:tcW w:w="512" w:type="pct"/>
            <w:tcBorders>
              <w:right w:val="single" w:color="auto" w:sz="4" w:space="0"/>
            </w:tcBorders>
            <w:vAlign w:val="center"/>
          </w:tcPr>
          <w:p>
            <w:pPr>
              <w:pStyle w:val="10"/>
              <w:spacing w:before="161"/>
              <w:jc w:val="center"/>
              <w:rPr>
                <w:rFonts w:ascii="宋体" w:hAnsi="宋体" w:cs="宋体"/>
                <w:sz w:val="24"/>
              </w:rPr>
            </w:pPr>
            <w:r>
              <w:rPr>
                <w:rFonts w:hint="eastAsia" w:ascii="宋体" w:hAnsi="宋体" w:cs="宋体"/>
                <w:b/>
                <w:bCs/>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398" w:type="pct"/>
            <w:vMerge w:val="restart"/>
            <w:vAlign w:val="bottom"/>
          </w:tcPr>
          <w:p>
            <w:pPr>
              <w:pStyle w:val="73"/>
              <w:spacing w:before="12"/>
              <w:rPr>
                <w:rFonts w:ascii="宋体" w:hAnsi="宋体" w:cs="宋体"/>
                <w:bCs/>
                <w:sz w:val="24"/>
                <w:szCs w:val="24"/>
                <w:highlight w:val="yellow"/>
              </w:rPr>
            </w:pPr>
          </w:p>
          <w:p>
            <w:pPr>
              <w:pStyle w:val="73"/>
              <w:spacing w:before="12"/>
              <w:ind w:left="175"/>
              <w:jc w:val="center"/>
              <w:rPr>
                <w:rFonts w:ascii="宋体" w:hAnsi="宋体" w:cs="宋体"/>
                <w:bCs/>
                <w:sz w:val="24"/>
                <w:szCs w:val="24"/>
              </w:rPr>
            </w:pPr>
            <w:r>
              <w:rPr>
                <w:rFonts w:hint="eastAsia" w:ascii="宋体" w:hAnsi="宋体" w:cs="宋体"/>
                <w:bCs/>
                <w:sz w:val="24"/>
                <w:szCs w:val="24"/>
              </w:rPr>
              <w:t>技</w:t>
            </w:r>
          </w:p>
          <w:p>
            <w:pPr>
              <w:pStyle w:val="73"/>
              <w:spacing w:before="12"/>
              <w:ind w:left="175"/>
              <w:jc w:val="center"/>
              <w:rPr>
                <w:rFonts w:ascii="宋体" w:hAnsi="宋体" w:cs="宋体"/>
                <w:bCs/>
                <w:sz w:val="24"/>
                <w:szCs w:val="24"/>
              </w:rPr>
            </w:pPr>
          </w:p>
          <w:p>
            <w:pPr>
              <w:pStyle w:val="73"/>
              <w:spacing w:before="12"/>
              <w:ind w:left="175"/>
              <w:jc w:val="center"/>
              <w:rPr>
                <w:rFonts w:ascii="宋体" w:hAnsi="宋体" w:cs="宋体"/>
                <w:bCs/>
                <w:sz w:val="24"/>
                <w:szCs w:val="24"/>
              </w:rPr>
            </w:pPr>
            <w:r>
              <w:rPr>
                <w:rFonts w:hint="eastAsia" w:ascii="宋体" w:hAnsi="宋体" w:cs="宋体"/>
                <w:bCs/>
                <w:sz w:val="24"/>
                <w:szCs w:val="24"/>
              </w:rPr>
              <w:t>术</w:t>
            </w:r>
          </w:p>
          <w:p>
            <w:pPr>
              <w:pStyle w:val="73"/>
              <w:spacing w:before="12"/>
              <w:ind w:left="175"/>
              <w:jc w:val="center"/>
              <w:rPr>
                <w:rFonts w:ascii="宋体" w:hAnsi="宋体" w:cs="宋体"/>
                <w:bCs/>
                <w:sz w:val="24"/>
                <w:szCs w:val="24"/>
              </w:rPr>
            </w:pPr>
          </w:p>
          <w:p>
            <w:pPr>
              <w:pStyle w:val="73"/>
              <w:spacing w:before="12"/>
              <w:ind w:left="175"/>
              <w:jc w:val="center"/>
              <w:rPr>
                <w:rFonts w:ascii="宋体" w:hAnsi="宋体" w:cs="宋体"/>
                <w:bCs/>
                <w:sz w:val="24"/>
                <w:szCs w:val="24"/>
              </w:rPr>
            </w:pPr>
            <w:r>
              <w:rPr>
                <w:rFonts w:hint="eastAsia" w:ascii="宋体" w:hAnsi="宋体" w:cs="宋体"/>
                <w:bCs/>
                <w:sz w:val="24"/>
                <w:szCs w:val="24"/>
              </w:rPr>
              <w:t>及</w:t>
            </w:r>
          </w:p>
          <w:p>
            <w:pPr>
              <w:pStyle w:val="73"/>
              <w:spacing w:before="12"/>
              <w:ind w:left="175"/>
              <w:jc w:val="center"/>
              <w:rPr>
                <w:rFonts w:ascii="宋体" w:hAnsi="宋体" w:cs="宋体"/>
                <w:bCs/>
                <w:sz w:val="24"/>
                <w:szCs w:val="24"/>
              </w:rPr>
            </w:pPr>
          </w:p>
          <w:p>
            <w:pPr>
              <w:pStyle w:val="73"/>
              <w:spacing w:before="12"/>
              <w:ind w:left="175"/>
              <w:jc w:val="center"/>
              <w:rPr>
                <w:rFonts w:ascii="宋体" w:hAnsi="宋体" w:cs="宋体"/>
                <w:bCs/>
                <w:sz w:val="24"/>
                <w:szCs w:val="24"/>
              </w:rPr>
            </w:pPr>
            <w:r>
              <w:rPr>
                <w:rFonts w:hint="eastAsia" w:ascii="宋体" w:hAnsi="宋体" w:cs="宋体"/>
                <w:bCs/>
                <w:sz w:val="24"/>
                <w:szCs w:val="24"/>
              </w:rPr>
              <w:t>商</w:t>
            </w:r>
          </w:p>
          <w:p>
            <w:pPr>
              <w:pStyle w:val="73"/>
              <w:spacing w:before="12"/>
              <w:ind w:left="175"/>
              <w:jc w:val="center"/>
              <w:rPr>
                <w:rFonts w:ascii="宋体" w:hAnsi="宋体" w:cs="宋体"/>
                <w:bCs/>
                <w:sz w:val="24"/>
                <w:szCs w:val="24"/>
              </w:rPr>
            </w:pPr>
          </w:p>
          <w:p>
            <w:pPr>
              <w:pStyle w:val="73"/>
              <w:spacing w:before="12"/>
              <w:ind w:left="175"/>
              <w:jc w:val="center"/>
              <w:rPr>
                <w:rFonts w:ascii="宋体" w:hAnsi="宋体" w:cs="宋体"/>
                <w:bCs/>
                <w:sz w:val="24"/>
                <w:szCs w:val="24"/>
              </w:rPr>
            </w:pPr>
            <w:r>
              <w:rPr>
                <w:rFonts w:hint="eastAsia" w:ascii="宋体" w:hAnsi="宋体" w:cs="宋体"/>
                <w:bCs/>
                <w:sz w:val="24"/>
                <w:szCs w:val="24"/>
              </w:rPr>
              <w:t>务</w:t>
            </w:r>
          </w:p>
          <w:p>
            <w:pPr>
              <w:pStyle w:val="73"/>
              <w:spacing w:before="12"/>
              <w:ind w:left="175"/>
              <w:jc w:val="center"/>
              <w:rPr>
                <w:rFonts w:ascii="宋体" w:hAnsi="宋体" w:cs="宋体"/>
                <w:bCs/>
                <w:sz w:val="24"/>
                <w:szCs w:val="24"/>
              </w:rPr>
            </w:pPr>
          </w:p>
          <w:p>
            <w:pPr>
              <w:pStyle w:val="73"/>
              <w:spacing w:before="12"/>
              <w:ind w:left="175"/>
              <w:jc w:val="center"/>
              <w:rPr>
                <w:rFonts w:ascii="宋体" w:hAnsi="宋体" w:cs="宋体"/>
                <w:bCs/>
                <w:sz w:val="24"/>
                <w:szCs w:val="24"/>
              </w:rPr>
            </w:pPr>
            <w:r>
              <w:rPr>
                <w:rFonts w:hint="eastAsia" w:ascii="宋体" w:hAnsi="宋体" w:cs="宋体"/>
                <w:bCs/>
                <w:sz w:val="24"/>
                <w:szCs w:val="24"/>
              </w:rPr>
              <w:t>部</w:t>
            </w:r>
          </w:p>
          <w:p>
            <w:pPr>
              <w:pStyle w:val="73"/>
              <w:spacing w:before="12"/>
              <w:ind w:left="175"/>
              <w:jc w:val="center"/>
              <w:rPr>
                <w:rFonts w:ascii="宋体" w:hAnsi="宋体" w:cs="宋体"/>
                <w:bCs/>
                <w:sz w:val="24"/>
                <w:szCs w:val="24"/>
              </w:rPr>
            </w:pPr>
          </w:p>
          <w:p>
            <w:pPr>
              <w:pStyle w:val="73"/>
              <w:spacing w:before="12"/>
              <w:ind w:left="175"/>
              <w:jc w:val="center"/>
              <w:rPr>
                <w:rFonts w:ascii="宋体" w:hAnsi="宋体" w:cs="宋体"/>
                <w:bCs/>
                <w:sz w:val="24"/>
                <w:szCs w:val="24"/>
              </w:rPr>
            </w:pPr>
            <w:r>
              <w:rPr>
                <w:rFonts w:hint="eastAsia" w:ascii="宋体" w:hAnsi="宋体" w:cs="宋体"/>
                <w:bCs/>
                <w:sz w:val="24"/>
                <w:szCs w:val="24"/>
              </w:rPr>
              <w:t>分</w:t>
            </w:r>
          </w:p>
          <w:p>
            <w:pPr>
              <w:pStyle w:val="73"/>
              <w:spacing w:before="12"/>
              <w:ind w:left="175"/>
              <w:jc w:val="center"/>
              <w:rPr>
                <w:rFonts w:ascii="宋体" w:hAnsi="宋体" w:cs="宋体"/>
                <w:bCs/>
                <w:sz w:val="24"/>
                <w:szCs w:val="24"/>
              </w:rPr>
            </w:pPr>
          </w:p>
          <w:p>
            <w:pPr>
              <w:pStyle w:val="73"/>
              <w:spacing w:before="12"/>
              <w:ind w:left="175"/>
              <w:jc w:val="center"/>
              <w:rPr>
                <w:rFonts w:ascii="宋体" w:hAnsi="宋体" w:cs="宋体"/>
                <w:b/>
                <w:sz w:val="24"/>
                <w:szCs w:val="24"/>
                <w:highlight w:val="yellow"/>
              </w:rPr>
            </w:pPr>
            <w:r>
              <w:rPr>
                <w:rFonts w:hint="eastAsia" w:ascii="宋体" w:hAnsi="宋体" w:cs="宋体"/>
                <w:bCs/>
                <w:sz w:val="24"/>
                <w:szCs w:val="24"/>
              </w:rPr>
              <w:t>（90分）</w:t>
            </w:r>
          </w:p>
        </w:tc>
        <w:tc>
          <w:tcPr>
            <w:tcW w:w="925" w:type="pct"/>
            <w:vAlign w:val="center"/>
          </w:tcPr>
          <w:p>
            <w:pPr>
              <w:pStyle w:val="73"/>
              <w:spacing w:before="4" w:line="320" w:lineRule="atLeast"/>
              <w:ind w:right="154"/>
              <w:rPr>
                <w:rFonts w:ascii="宋体" w:hAnsi="宋体" w:cs="宋体"/>
                <w:kern w:val="0"/>
                <w:sz w:val="24"/>
                <w:szCs w:val="24"/>
              </w:rPr>
            </w:pPr>
            <w:r>
              <w:rPr>
                <w:rFonts w:hint="eastAsia" w:ascii="宋体" w:hAnsi="宋体" w:cs="宋体"/>
                <w:kern w:val="0"/>
                <w:sz w:val="24"/>
                <w:szCs w:val="24"/>
              </w:rPr>
              <w:t>企业经营业绩</w:t>
            </w:r>
          </w:p>
        </w:tc>
        <w:tc>
          <w:tcPr>
            <w:tcW w:w="3162" w:type="pct"/>
          </w:tcPr>
          <w:p>
            <w:pPr>
              <w:pStyle w:val="73"/>
              <w:spacing w:before="129"/>
              <w:rPr>
                <w:rFonts w:ascii="宋体" w:hAnsi="宋体" w:cs="宋体"/>
                <w:sz w:val="24"/>
                <w:szCs w:val="24"/>
              </w:rPr>
            </w:pPr>
            <w:r>
              <w:rPr>
                <w:rFonts w:hint="eastAsia" w:ascii="宋体" w:hAnsi="宋体" w:cs="宋体"/>
                <w:sz w:val="24"/>
                <w:szCs w:val="24"/>
              </w:rPr>
              <w:t>每提供1份业绩得3分，满分15分。以供应商提供的类似业绩证明资料如合同或者中标通知书复印件为准，未提供不得分。</w:t>
            </w:r>
          </w:p>
        </w:tc>
        <w:tc>
          <w:tcPr>
            <w:tcW w:w="512" w:type="pct"/>
            <w:tcBorders>
              <w:right w:val="single" w:color="auto" w:sz="4" w:space="0"/>
            </w:tcBorders>
            <w:vAlign w:val="center"/>
          </w:tcPr>
          <w:p>
            <w:pPr>
              <w:pStyle w:val="73"/>
              <w:spacing w:before="12"/>
              <w:jc w:val="center"/>
              <w:rPr>
                <w:rFonts w:ascii="宋体" w:hAnsi="宋体" w:cs="宋体"/>
                <w:w w:val="90"/>
                <w:sz w:val="24"/>
                <w:szCs w:val="24"/>
              </w:rPr>
            </w:pPr>
            <w:r>
              <w:rPr>
                <w:rFonts w:hint="eastAsia" w:ascii="宋体" w:hAnsi="宋体" w:cs="宋体"/>
                <w:spacing w:val="-1"/>
                <w:w w:val="90"/>
                <w:sz w:val="24"/>
                <w:szCs w:val="24"/>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398" w:type="pct"/>
            <w:vMerge w:val="continue"/>
            <w:vAlign w:val="center"/>
          </w:tcPr>
          <w:p>
            <w:pPr>
              <w:rPr>
                <w:rFonts w:ascii="宋体" w:hAnsi="宋体" w:cs="宋体"/>
                <w:b/>
                <w:sz w:val="24"/>
                <w:szCs w:val="24"/>
                <w:highlight w:val="yellow"/>
              </w:rPr>
            </w:pPr>
          </w:p>
        </w:tc>
        <w:tc>
          <w:tcPr>
            <w:tcW w:w="925" w:type="pct"/>
            <w:vAlign w:val="center"/>
          </w:tcPr>
          <w:p>
            <w:pPr>
              <w:pStyle w:val="73"/>
              <w:spacing w:before="4" w:line="320" w:lineRule="atLeast"/>
              <w:ind w:left="974" w:right="154" w:hanging="809"/>
              <w:jc w:val="center"/>
              <w:rPr>
                <w:rFonts w:ascii="宋体" w:hAnsi="宋体" w:cs="宋体"/>
                <w:sz w:val="24"/>
                <w:szCs w:val="24"/>
                <w:highlight w:val="yellow"/>
              </w:rPr>
            </w:pPr>
            <w:r>
              <w:rPr>
                <w:rFonts w:hint="eastAsia" w:ascii="宋体" w:hAnsi="宋体" w:cs="宋体"/>
                <w:sz w:val="24"/>
                <w:szCs w:val="24"/>
                <w:lang w:val="zh-CN"/>
              </w:rPr>
              <w:t>人员</w:t>
            </w:r>
            <w:r>
              <w:rPr>
                <w:rFonts w:hint="eastAsia" w:ascii="宋体" w:hAnsi="宋体" w:cs="宋体"/>
                <w:sz w:val="24"/>
                <w:szCs w:val="24"/>
              </w:rPr>
              <w:t>证书</w:t>
            </w:r>
          </w:p>
        </w:tc>
        <w:tc>
          <w:tcPr>
            <w:tcW w:w="3162" w:type="pct"/>
            <w:vAlign w:val="center"/>
          </w:tcPr>
          <w:p>
            <w:pPr>
              <w:pStyle w:val="73"/>
              <w:spacing w:before="12" w:line="282" w:lineRule="exact"/>
              <w:rPr>
                <w:rFonts w:ascii="宋体" w:hAnsi="宋体" w:cs="宋体"/>
                <w:color w:val="FF0000"/>
                <w:sz w:val="24"/>
                <w:szCs w:val="24"/>
                <w:highlight w:val="yellow"/>
              </w:rPr>
            </w:pPr>
            <w:r>
              <w:rPr>
                <w:rFonts w:hint="eastAsia" w:ascii="宋体" w:hAnsi="宋体" w:cs="宋体"/>
                <w:sz w:val="24"/>
                <w:szCs w:val="24"/>
              </w:rPr>
              <w:t>拟投入本项目负责人须具有中专或高中以上学历、同时具备特种设备从业人员证，需提供项目负责人学历证书、特种设备从业人员证及近三个月投标人为其缴纳的社保证明。未提供，此项不得分。</w:t>
            </w:r>
          </w:p>
        </w:tc>
        <w:tc>
          <w:tcPr>
            <w:tcW w:w="512" w:type="pct"/>
            <w:tcBorders>
              <w:right w:val="single" w:color="auto" w:sz="4" w:space="0"/>
            </w:tcBorders>
            <w:vAlign w:val="center"/>
          </w:tcPr>
          <w:p>
            <w:pPr>
              <w:jc w:val="center"/>
              <w:rPr>
                <w:rFonts w:ascii="宋体" w:hAnsi="宋体" w:cs="宋体"/>
                <w:sz w:val="24"/>
                <w:szCs w:val="24"/>
                <w:highlight w:val="yellow"/>
              </w:rPr>
            </w:pPr>
            <w:r>
              <w:rPr>
                <w:rFonts w:hint="eastAsia" w:ascii="宋体" w:hAnsi="宋体" w:cs="宋体"/>
                <w:sz w:val="24"/>
                <w:szCs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6" w:hRule="atLeast"/>
          <w:jc w:val="center"/>
        </w:trPr>
        <w:tc>
          <w:tcPr>
            <w:tcW w:w="398" w:type="pct"/>
            <w:vMerge w:val="continue"/>
            <w:vAlign w:val="center"/>
          </w:tcPr>
          <w:p>
            <w:pPr>
              <w:pStyle w:val="73"/>
              <w:spacing w:before="12"/>
              <w:ind w:left="175"/>
              <w:rPr>
                <w:rFonts w:ascii="宋体" w:hAnsi="宋体" w:cs="宋体"/>
                <w:b/>
                <w:sz w:val="24"/>
                <w:szCs w:val="24"/>
                <w:highlight w:val="yellow"/>
              </w:rPr>
            </w:pPr>
          </w:p>
        </w:tc>
        <w:tc>
          <w:tcPr>
            <w:tcW w:w="925" w:type="pct"/>
            <w:vAlign w:val="center"/>
          </w:tcPr>
          <w:p>
            <w:pPr>
              <w:pStyle w:val="73"/>
              <w:spacing w:before="16"/>
              <w:ind w:left="106"/>
              <w:jc w:val="center"/>
              <w:rPr>
                <w:rFonts w:ascii="宋体" w:hAnsi="宋体" w:cs="宋体"/>
                <w:sz w:val="24"/>
                <w:szCs w:val="24"/>
              </w:rPr>
            </w:pPr>
            <w:r>
              <w:rPr>
                <w:rFonts w:hint="eastAsia" w:ascii="宋体" w:hAnsi="宋体" w:cs="宋体"/>
                <w:sz w:val="24"/>
                <w:szCs w:val="24"/>
              </w:rPr>
              <w:t>维保服务方案</w:t>
            </w:r>
          </w:p>
        </w:tc>
        <w:tc>
          <w:tcPr>
            <w:tcW w:w="3162" w:type="pct"/>
            <w:vAlign w:val="center"/>
          </w:tcPr>
          <w:p>
            <w:pPr>
              <w:pStyle w:val="73"/>
              <w:spacing w:before="16"/>
              <w:rPr>
                <w:rFonts w:ascii="宋体" w:hAnsi="宋体" w:cs="宋体"/>
                <w:sz w:val="24"/>
                <w:szCs w:val="24"/>
              </w:rPr>
            </w:pPr>
            <w:r>
              <w:rPr>
                <w:rFonts w:hint="eastAsia" w:ascii="宋体" w:hAnsi="宋体" w:cs="宋体"/>
                <w:sz w:val="24"/>
                <w:szCs w:val="24"/>
              </w:rPr>
              <w:t>根据供应商的服务方案，对维护服务流程、服务标准、服务管理、服务措施、安全保障措施等方面进行综合评分：</w:t>
            </w:r>
          </w:p>
          <w:p>
            <w:pPr>
              <w:pStyle w:val="73"/>
              <w:spacing w:before="16"/>
              <w:rPr>
                <w:rFonts w:ascii="宋体" w:hAnsi="宋体" w:cs="宋体"/>
                <w:sz w:val="24"/>
                <w:szCs w:val="24"/>
              </w:rPr>
            </w:pPr>
            <w:r>
              <w:rPr>
                <w:rFonts w:hint="eastAsia" w:ascii="宋体" w:hAnsi="宋体" w:cs="宋体"/>
                <w:sz w:val="24"/>
                <w:szCs w:val="24"/>
              </w:rPr>
              <w:t>服务方案完整合理、可行性强，分工明确、工作内容清晰等完全满足并优于招标文件要求，得13-18分；</w:t>
            </w:r>
          </w:p>
          <w:p>
            <w:pPr>
              <w:pStyle w:val="73"/>
              <w:spacing w:before="16"/>
              <w:rPr>
                <w:rFonts w:ascii="宋体" w:hAnsi="宋体" w:cs="宋体"/>
                <w:sz w:val="24"/>
                <w:szCs w:val="24"/>
              </w:rPr>
            </w:pPr>
            <w:r>
              <w:rPr>
                <w:rFonts w:hint="eastAsia" w:ascii="宋体" w:hAnsi="宋体" w:cs="宋体"/>
                <w:sz w:val="24"/>
                <w:szCs w:val="24"/>
              </w:rPr>
              <w:t>服务方案完整、可行性一般，分工较明确，基本满足招标文件要求，得6-12分；</w:t>
            </w:r>
          </w:p>
          <w:p>
            <w:pPr>
              <w:pStyle w:val="73"/>
              <w:spacing w:before="16"/>
              <w:rPr>
                <w:rFonts w:ascii="宋体" w:hAnsi="宋体" w:cs="宋体"/>
                <w:sz w:val="24"/>
                <w:szCs w:val="24"/>
              </w:rPr>
            </w:pPr>
            <w:r>
              <w:rPr>
                <w:rFonts w:hint="eastAsia" w:ascii="宋体" w:hAnsi="宋体" w:cs="宋体"/>
                <w:sz w:val="24"/>
                <w:szCs w:val="24"/>
              </w:rPr>
              <w:t>服务方案不完整、可行性较差，分工较不明确，工作内容不清晰，得0-5分；</w:t>
            </w:r>
          </w:p>
          <w:p>
            <w:pPr>
              <w:pStyle w:val="73"/>
              <w:spacing w:before="16"/>
              <w:rPr>
                <w:rFonts w:ascii="宋体" w:hAnsi="宋体" w:cs="宋体"/>
                <w:sz w:val="24"/>
                <w:szCs w:val="24"/>
              </w:rPr>
            </w:pPr>
            <w:r>
              <w:rPr>
                <w:rFonts w:hint="eastAsia" w:ascii="宋体" w:hAnsi="宋体" w:cs="宋体"/>
                <w:sz w:val="24"/>
                <w:szCs w:val="24"/>
              </w:rPr>
              <w:t>未提供不得分。</w:t>
            </w:r>
          </w:p>
        </w:tc>
        <w:tc>
          <w:tcPr>
            <w:tcW w:w="512" w:type="pct"/>
            <w:tcBorders>
              <w:right w:val="single" w:color="auto" w:sz="4" w:space="0"/>
            </w:tcBorders>
            <w:vAlign w:val="center"/>
          </w:tcPr>
          <w:p>
            <w:pPr>
              <w:pStyle w:val="73"/>
              <w:spacing w:before="12"/>
              <w:jc w:val="center"/>
              <w:rPr>
                <w:rFonts w:ascii="宋体" w:hAnsi="宋体" w:cs="宋体"/>
                <w:sz w:val="24"/>
                <w:szCs w:val="24"/>
              </w:rPr>
            </w:pPr>
            <w:r>
              <w:rPr>
                <w:rFonts w:hint="eastAsia" w:ascii="宋体" w:hAnsi="宋体" w:cs="宋体"/>
                <w:sz w:val="24"/>
                <w:szCs w:val="24"/>
              </w:rPr>
              <w:t>0-18分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398" w:type="pct"/>
            <w:vMerge w:val="continue"/>
            <w:vAlign w:val="center"/>
          </w:tcPr>
          <w:p>
            <w:pPr>
              <w:rPr>
                <w:rFonts w:ascii="宋体" w:hAnsi="宋体" w:cs="宋体"/>
                <w:b/>
                <w:color w:val="FF0000"/>
                <w:sz w:val="24"/>
                <w:szCs w:val="24"/>
                <w:highlight w:val="yellow"/>
              </w:rPr>
            </w:pPr>
          </w:p>
        </w:tc>
        <w:tc>
          <w:tcPr>
            <w:tcW w:w="925" w:type="pct"/>
            <w:vAlign w:val="center"/>
          </w:tcPr>
          <w:p>
            <w:pPr>
              <w:pStyle w:val="73"/>
              <w:spacing w:before="16"/>
              <w:jc w:val="center"/>
              <w:rPr>
                <w:rFonts w:ascii="宋体" w:hAnsi="宋体" w:cs="宋体"/>
                <w:kern w:val="0"/>
                <w:sz w:val="24"/>
                <w:szCs w:val="24"/>
              </w:rPr>
            </w:pPr>
            <w:r>
              <w:rPr>
                <w:rFonts w:hint="eastAsia" w:ascii="宋体" w:hAnsi="宋体" w:cs="宋体"/>
                <w:kern w:val="0"/>
                <w:sz w:val="24"/>
                <w:szCs w:val="24"/>
              </w:rPr>
              <w:t>维修服务体系</w:t>
            </w:r>
          </w:p>
        </w:tc>
        <w:tc>
          <w:tcPr>
            <w:tcW w:w="3162" w:type="pct"/>
            <w:vAlign w:val="center"/>
          </w:tcPr>
          <w:p>
            <w:pPr>
              <w:widowControl/>
              <w:textAlignment w:val="center"/>
              <w:rPr>
                <w:rFonts w:ascii="宋体" w:hAnsi="宋体" w:cs="宋体"/>
                <w:kern w:val="0"/>
                <w:sz w:val="24"/>
                <w:szCs w:val="24"/>
              </w:rPr>
            </w:pPr>
            <w:r>
              <w:rPr>
                <w:rFonts w:hint="eastAsia" w:ascii="宋体" w:hAnsi="宋体" w:cs="宋体"/>
                <w:kern w:val="0"/>
                <w:sz w:val="24"/>
                <w:szCs w:val="24"/>
              </w:rPr>
              <w:t>根据供应商的维修服务体系（提供相关体系认证证书）及措施，维护保养零配件供应方案及时效性、备件库等方面进行综合评分：</w:t>
            </w:r>
          </w:p>
          <w:p>
            <w:pPr>
              <w:widowControl/>
              <w:textAlignment w:val="center"/>
              <w:rPr>
                <w:rFonts w:ascii="宋体" w:hAnsi="宋体" w:cs="宋体"/>
                <w:kern w:val="0"/>
                <w:sz w:val="24"/>
                <w:szCs w:val="24"/>
              </w:rPr>
            </w:pPr>
            <w:r>
              <w:rPr>
                <w:rFonts w:hint="eastAsia" w:ascii="宋体" w:hAnsi="宋体" w:cs="宋体"/>
                <w:kern w:val="0"/>
                <w:sz w:val="24"/>
                <w:szCs w:val="24"/>
              </w:rPr>
              <w:t>维修服务体系及措施可行性强，维护保养零配件供应有可靠的供应方案及时效性，备件库库存充足得8-15分；</w:t>
            </w:r>
          </w:p>
          <w:p>
            <w:pPr>
              <w:widowControl/>
              <w:textAlignment w:val="center"/>
              <w:rPr>
                <w:rFonts w:ascii="宋体" w:hAnsi="宋体" w:cs="宋体"/>
                <w:kern w:val="0"/>
                <w:sz w:val="24"/>
                <w:szCs w:val="24"/>
              </w:rPr>
            </w:pPr>
            <w:r>
              <w:rPr>
                <w:rFonts w:hint="eastAsia" w:ascii="宋体" w:hAnsi="宋体" w:cs="宋体"/>
                <w:kern w:val="0"/>
                <w:sz w:val="24"/>
                <w:szCs w:val="24"/>
              </w:rPr>
              <w:t>维修服务体系及措施可行性一般，维护保养零配件供应方案及时效性一般，备件库库存一般得4-7分；</w:t>
            </w:r>
          </w:p>
          <w:p>
            <w:pPr>
              <w:widowControl/>
              <w:textAlignment w:val="center"/>
              <w:rPr>
                <w:rFonts w:ascii="宋体" w:hAnsi="宋体" w:cs="宋体"/>
                <w:kern w:val="0"/>
                <w:sz w:val="24"/>
                <w:szCs w:val="24"/>
              </w:rPr>
            </w:pPr>
            <w:r>
              <w:rPr>
                <w:rFonts w:hint="eastAsia" w:ascii="宋体" w:hAnsi="宋体" w:cs="宋体"/>
                <w:kern w:val="0"/>
                <w:sz w:val="24"/>
                <w:szCs w:val="24"/>
              </w:rPr>
              <w:t>维修服务体系及措施可行性较差，维护保养零配件供应方案及时效性较差，备件库库存差一般，得0-3分；</w:t>
            </w:r>
          </w:p>
          <w:p>
            <w:pPr>
              <w:widowControl/>
              <w:textAlignment w:val="center"/>
              <w:rPr>
                <w:rFonts w:ascii="宋体" w:hAnsi="宋体" w:cs="宋体"/>
                <w:kern w:val="0"/>
                <w:sz w:val="24"/>
                <w:szCs w:val="24"/>
              </w:rPr>
            </w:pPr>
            <w:r>
              <w:rPr>
                <w:rFonts w:hint="eastAsia" w:ascii="宋体" w:hAnsi="宋体" w:cs="宋体"/>
                <w:kern w:val="0"/>
                <w:sz w:val="24"/>
                <w:szCs w:val="24"/>
              </w:rPr>
              <w:t>未提供不得分。</w:t>
            </w:r>
          </w:p>
        </w:tc>
        <w:tc>
          <w:tcPr>
            <w:tcW w:w="512" w:type="pct"/>
            <w:tcBorders>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7" w:hRule="atLeast"/>
          <w:jc w:val="center"/>
        </w:trPr>
        <w:tc>
          <w:tcPr>
            <w:tcW w:w="398" w:type="pct"/>
            <w:vMerge w:val="continue"/>
            <w:vAlign w:val="center"/>
          </w:tcPr>
          <w:p>
            <w:pPr>
              <w:rPr>
                <w:rFonts w:ascii="宋体" w:hAnsi="宋体" w:cs="宋体"/>
                <w:b/>
                <w:color w:val="FF0000"/>
                <w:sz w:val="24"/>
                <w:szCs w:val="24"/>
                <w:highlight w:val="yellow"/>
              </w:rPr>
            </w:pPr>
          </w:p>
        </w:tc>
        <w:tc>
          <w:tcPr>
            <w:tcW w:w="925" w:type="pct"/>
            <w:vAlign w:val="center"/>
          </w:tcPr>
          <w:p>
            <w:pPr>
              <w:pStyle w:val="73"/>
              <w:spacing w:before="16"/>
              <w:jc w:val="center"/>
              <w:rPr>
                <w:rFonts w:ascii="宋体" w:hAnsi="宋体" w:cs="宋体"/>
                <w:kern w:val="0"/>
                <w:sz w:val="24"/>
                <w:szCs w:val="24"/>
              </w:rPr>
            </w:pPr>
            <w:r>
              <w:rPr>
                <w:rFonts w:hint="eastAsia" w:ascii="宋体" w:hAnsi="宋体" w:cs="宋体"/>
                <w:sz w:val="24"/>
                <w:szCs w:val="24"/>
              </w:rPr>
              <w:t>质量保证措施</w:t>
            </w:r>
          </w:p>
        </w:tc>
        <w:tc>
          <w:tcPr>
            <w:tcW w:w="3162" w:type="pct"/>
            <w:vAlign w:val="center"/>
          </w:tcPr>
          <w:p>
            <w:pPr>
              <w:widowControl/>
              <w:textAlignment w:val="center"/>
              <w:rPr>
                <w:rFonts w:ascii="宋体" w:hAnsi="宋体" w:cs="宋体"/>
                <w:kern w:val="0"/>
                <w:sz w:val="24"/>
                <w:szCs w:val="24"/>
              </w:rPr>
            </w:pPr>
            <w:r>
              <w:rPr>
                <w:rFonts w:hint="eastAsia" w:ascii="宋体" w:hAnsi="宋体" w:cs="宋体"/>
                <w:kern w:val="0"/>
                <w:sz w:val="24"/>
                <w:szCs w:val="24"/>
              </w:rPr>
              <w:t>根据供应商对质量保证措施方案进行综合评比：</w:t>
            </w:r>
          </w:p>
          <w:p>
            <w:pPr>
              <w:widowControl/>
              <w:textAlignment w:val="center"/>
              <w:rPr>
                <w:rFonts w:ascii="宋体" w:hAnsi="宋体" w:cs="宋体"/>
                <w:kern w:val="0"/>
                <w:sz w:val="24"/>
                <w:szCs w:val="24"/>
              </w:rPr>
            </w:pPr>
            <w:r>
              <w:rPr>
                <w:rFonts w:hint="eastAsia" w:ascii="宋体" w:hAnsi="宋体" w:cs="宋体"/>
                <w:kern w:val="0"/>
                <w:sz w:val="24"/>
                <w:szCs w:val="24"/>
              </w:rPr>
              <w:t>供应商有详细明确的维修保养质量目标及分期目标，并提供具体可行、详细准确的的保证措施得8-15分；</w:t>
            </w:r>
          </w:p>
          <w:p>
            <w:pPr>
              <w:widowControl/>
              <w:textAlignment w:val="center"/>
              <w:rPr>
                <w:rFonts w:ascii="宋体" w:hAnsi="宋体" w:cs="宋体"/>
                <w:kern w:val="0"/>
                <w:sz w:val="24"/>
                <w:szCs w:val="24"/>
              </w:rPr>
            </w:pPr>
            <w:r>
              <w:rPr>
                <w:rFonts w:hint="eastAsia" w:ascii="宋体" w:hAnsi="宋体" w:cs="宋体"/>
                <w:kern w:val="0"/>
                <w:sz w:val="24"/>
                <w:szCs w:val="24"/>
              </w:rPr>
              <w:t>供应商有详细的维修保养质量目标及分期目标，并提供具体可行的的保证措施得4-7分；</w:t>
            </w:r>
          </w:p>
          <w:p>
            <w:pPr>
              <w:widowControl/>
              <w:textAlignment w:val="center"/>
              <w:rPr>
                <w:rFonts w:ascii="宋体" w:hAnsi="宋体" w:cs="宋体"/>
                <w:kern w:val="0"/>
                <w:sz w:val="24"/>
                <w:szCs w:val="24"/>
              </w:rPr>
            </w:pPr>
            <w:r>
              <w:rPr>
                <w:rFonts w:hint="eastAsia" w:ascii="宋体" w:hAnsi="宋体" w:cs="宋体"/>
                <w:kern w:val="0"/>
                <w:sz w:val="24"/>
                <w:szCs w:val="24"/>
              </w:rPr>
              <w:t>供应商有详细的维修保养质量目标，并提供一定的保证措施得0-3分；未提供不得分。</w:t>
            </w:r>
          </w:p>
        </w:tc>
        <w:tc>
          <w:tcPr>
            <w:tcW w:w="512" w:type="pct"/>
            <w:tcBorders>
              <w:right w:val="single" w:color="auto" w:sz="4" w:space="0"/>
            </w:tcBorders>
            <w:vAlign w:val="center"/>
          </w:tcPr>
          <w:p>
            <w:pPr>
              <w:jc w:val="center"/>
              <w:rPr>
                <w:rFonts w:ascii="宋体" w:hAnsi="宋体" w:cs="宋体"/>
                <w:sz w:val="24"/>
                <w:szCs w:val="24"/>
                <w:highlight w:val="yellow"/>
              </w:rPr>
            </w:pPr>
            <w:r>
              <w:rPr>
                <w:rFonts w:hint="eastAsia" w:ascii="宋体" w:hAnsi="宋体" w:cs="宋体"/>
                <w:sz w:val="24"/>
                <w:szCs w:val="24"/>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2" w:hRule="atLeast"/>
          <w:jc w:val="center"/>
        </w:trPr>
        <w:tc>
          <w:tcPr>
            <w:tcW w:w="398" w:type="pct"/>
            <w:vMerge w:val="continue"/>
            <w:vAlign w:val="center"/>
          </w:tcPr>
          <w:p>
            <w:pPr>
              <w:rPr>
                <w:rFonts w:ascii="宋体" w:hAnsi="宋体" w:cs="宋体"/>
                <w:b/>
                <w:color w:val="FF0000"/>
                <w:sz w:val="24"/>
                <w:szCs w:val="24"/>
                <w:highlight w:val="yellow"/>
              </w:rPr>
            </w:pPr>
          </w:p>
        </w:tc>
        <w:tc>
          <w:tcPr>
            <w:tcW w:w="925" w:type="pct"/>
            <w:vAlign w:val="center"/>
          </w:tcPr>
          <w:p>
            <w:pPr>
              <w:pStyle w:val="73"/>
              <w:spacing w:line="252" w:lineRule="auto"/>
              <w:ind w:left="199" w:right="31" w:hanging="27"/>
              <w:jc w:val="center"/>
              <w:rPr>
                <w:rFonts w:ascii="宋体" w:hAnsi="宋体" w:cs="宋体"/>
                <w:kern w:val="0"/>
                <w:sz w:val="24"/>
                <w:szCs w:val="24"/>
              </w:rPr>
            </w:pPr>
            <w:r>
              <w:rPr>
                <w:rFonts w:hint="eastAsia" w:ascii="宋体" w:hAnsi="宋体" w:cs="宋体"/>
                <w:kern w:val="0"/>
                <w:sz w:val="24"/>
                <w:szCs w:val="24"/>
              </w:rPr>
              <w:t>应急预案</w:t>
            </w:r>
          </w:p>
        </w:tc>
        <w:tc>
          <w:tcPr>
            <w:tcW w:w="3162" w:type="pct"/>
            <w:vAlign w:val="center"/>
          </w:tcPr>
          <w:p>
            <w:pPr>
              <w:widowControl/>
              <w:rPr>
                <w:rFonts w:ascii="宋体" w:hAnsi="宋体" w:cs="宋体"/>
                <w:kern w:val="0"/>
                <w:sz w:val="24"/>
                <w:szCs w:val="24"/>
              </w:rPr>
            </w:pPr>
            <w:r>
              <w:rPr>
                <w:rFonts w:hint="eastAsia" w:ascii="宋体" w:hAnsi="宋体" w:cs="宋体"/>
                <w:kern w:val="0"/>
                <w:sz w:val="24"/>
                <w:szCs w:val="24"/>
              </w:rPr>
              <w:t>根据供应商针对设备抢修制定应急处置方案，包括传达机制、人员和设备调配、责任分工等综合评比：</w:t>
            </w:r>
          </w:p>
          <w:p>
            <w:pPr>
              <w:widowControl/>
              <w:rPr>
                <w:rFonts w:ascii="宋体" w:hAnsi="宋体" w:cs="宋体"/>
                <w:kern w:val="0"/>
                <w:sz w:val="24"/>
                <w:szCs w:val="24"/>
              </w:rPr>
            </w:pPr>
            <w:r>
              <w:rPr>
                <w:rFonts w:hint="eastAsia" w:ascii="宋体" w:hAnsi="宋体" w:cs="宋体"/>
                <w:kern w:val="0"/>
                <w:sz w:val="24"/>
                <w:szCs w:val="24"/>
              </w:rPr>
              <w:t>方案完整全面得7-12分；</w:t>
            </w:r>
          </w:p>
          <w:p>
            <w:pPr>
              <w:widowControl/>
              <w:rPr>
                <w:rFonts w:ascii="宋体" w:hAnsi="宋体" w:cs="宋体"/>
                <w:kern w:val="0"/>
                <w:sz w:val="24"/>
                <w:szCs w:val="24"/>
              </w:rPr>
            </w:pPr>
            <w:r>
              <w:rPr>
                <w:rFonts w:hint="eastAsia" w:ascii="宋体" w:hAnsi="宋体" w:cs="宋体"/>
                <w:kern w:val="0"/>
                <w:sz w:val="24"/>
                <w:szCs w:val="24"/>
              </w:rPr>
              <w:t>方案基本完整得3-6分；</w:t>
            </w:r>
          </w:p>
          <w:p>
            <w:pPr>
              <w:widowControl/>
              <w:rPr>
                <w:rFonts w:ascii="宋体" w:hAnsi="宋体" w:cs="宋体"/>
                <w:kern w:val="0"/>
                <w:sz w:val="24"/>
                <w:szCs w:val="24"/>
              </w:rPr>
            </w:pPr>
            <w:r>
              <w:rPr>
                <w:rFonts w:hint="eastAsia" w:ascii="宋体" w:hAnsi="宋体" w:cs="宋体"/>
                <w:kern w:val="0"/>
                <w:sz w:val="24"/>
                <w:szCs w:val="24"/>
              </w:rPr>
              <w:t>方案不完整得0-2分；</w:t>
            </w:r>
          </w:p>
          <w:p>
            <w:pPr>
              <w:widowControl/>
              <w:rPr>
                <w:rFonts w:ascii="宋体" w:hAnsi="宋体" w:cs="宋体"/>
                <w:kern w:val="0"/>
                <w:sz w:val="24"/>
                <w:szCs w:val="24"/>
              </w:rPr>
            </w:pPr>
            <w:r>
              <w:rPr>
                <w:rFonts w:hint="eastAsia" w:ascii="宋体" w:hAnsi="宋体" w:cs="宋体"/>
                <w:kern w:val="0"/>
                <w:sz w:val="24"/>
                <w:szCs w:val="24"/>
              </w:rPr>
              <w:t>未提供不得分。</w:t>
            </w:r>
          </w:p>
        </w:tc>
        <w:tc>
          <w:tcPr>
            <w:tcW w:w="512" w:type="pct"/>
            <w:tcBorders>
              <w:right w:val="single" w:color="auto" w:sz="4" w:space="0"/>
            </w:tcBorders>
            <w:vAlign w:val="center"/>
          </w:tcPr>
          <w:p>
            <w:pPr>
              <w:pStyle w:val="73"/>
              <w:spacing w:before="16"/>
              <w:jc w:val="center"/>
              <w:rPr>
                <w:rFonts w:ascii="宋体" w:hAnsi="宋体" w:cs="宋体"/>
                <w:sz w:val="24"/>
                <w:szCs w:val="24"/>
              </w:rPr>
            </w:pPr>
            <w:r>
              <w:rPr>
                <w:rFonts w:hint="eastAsia" w:ascii="宋体" w:hAnsi="宋体" w:cs="宋体"/>
                <w:sz w:val="24"/>
                <w:szCs w:val="24"/>
              </w:rPr>
              <w:t>0-12分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 w:hRule="atLeast"/>
          <w:jc w:val="center"/>
        </w:trPr>
        <w:tc>
          <w:tcPr>
            <w:tcW w:w="398" w:type="pct"/>
            <w:vMerge w:val="continue"/>
            <w:vAlign w:val="center"/>
          </w:tcPr>
          <w:p>
            <w:pPr>
              <w:pStyle w:val="73"/>
              <w:spacing w:before="16"/>
              <w:ind w:left="106"/>
              <w:rPr>
                <w:rFonts w:ascii="宋体" w:hAnsi="宋体" w:cs="宋体"/>
                <w:sz w:val="24"/>
                <w:szCs w:val="24"/>
                <w:highlight w:val="yellow"/>
              </w:rPr>
            </w:pPr>
          </w:p>
        </w:tc>
        <w:tc>
          <w:tcPr>
            <w:tcW w:w="925" w:type="pct"/>
            <w:vAlign w:val="center"/>
          </w:tcPr>
          <w:p>
            <w:pPr>
              <w:pStyle w:val="73"/>
              <w:spacing w:before="16"/>
              <w:ind w:left="106"/>
              <w:jc w:val="center"/>
              <w:rPr>
                <w:rFonts w:ascii="宋体" w:hAnsi="宋体" w:cs="宋体"/>
                <w:sz w:val="24"/>
                <w:szCs w:val="24"/>
              </w:rPr>
            </w:pPr>
            <w:r>
              <w:rPr>
                <w:rFonts w:hint="eastAsia" w:ascii="宋体" w:hAnsi="宋体" w:cs="宋体"/>
                <w:sz w:val="24"/>
                <w:szCs w:val="24"/>
              </w:rPr>
              <w:t>服务承诺</w:t>
            </w:r>
          </w:p>
        </w:tc>
        <w:tc>
          <w:tcPr>
            <w:tcW w:w="3162" w:type="pct"/>
            <w:vAlign w:val="center"/>
          </w:tcPr>
          <w:p>
            <w:pPr>
              <w:pStyle w:val="73"/>
              <w:spacing w:before="16"/>
              <w:rPr>
                <w:rFonts w:ascii="宋体" w:hAnsi="宋体" w:cs="宋体"/>
                <w:kern w:val="0"/>
                <w:sz w:val="24"/>
                <w:szCs w:val="24"/>
              </w:rPr>
            </w:pPr>
            <w:r>
              <w:rPr>
                <w:rFonts w:hint="eastAsia" w:ascii="宋体" w:hAnsi="宋体" w:cs="宋体"/>
                <w:kern w:val="0"/>
                <w:sz w:val="24"/>
                <w:szCs w:val="24"/>
              </w:rPr>
              <w:t>根据供应商针对本项目提供的服务承诺、后续服务方案：</w:t>
            </w:r>
          </w:p>
          <w:p>
            <w:pPr>
              <w:pStyle w:val="73"/>
              <w:spacing w:before="16"/>
              <w:rPr>
                <w:rFonts w:ascii="宋体" w:hAnsi="宋体" w:cs="宋体"/>
                <w:kern w:val="0"/>
                <w:sz w:val="24"/>
                <w:szCs w:val="24"/>
              </w:rPr>
            </w:pPr>
            <w:r>
              <w:rPr>
                <w:rFonts w:hint="eastAsia" w:ascii="宋体" w:hAnsi="宋体" w:cs="宋体"/>
                <w:kern w:val="0"/>
                <w:sz w:val="24"/>
                <w:szCs w:val="24"/>
              </w:rPr>
              <w:t>服务承诺最为合理完整，得6-10分；</w:t>
            </w:r>
          </w:p>
          <w:p>
            <w:pPr>
              <w:pStyle w:val="73"/>
              <w:spacing w:before="16"/>
              <w:rPr>
                <w:rFonts w:ascii="宋体" w:hAnsi="宋体" w:cs="宋体"/>
                <w:kern w:val="0"/>
                <w:sz w:val="24"/>
                <w:szCs w:val="24"/>
              </w:rPr>
            </w:pPr>
            <w:r>
              <w:rPr>
                <w:rFonts w:hint="eastAsia" w:ascii="宋体" w:hAnsi="宋体" w:cs="宋体"/>
                <w:kern w:val="0"/>
                <w:sz w:val="24"/>
                <w:szCs w:val="24"/>
              </w:rPr>
              <w:t>服务承诺基本完整，得3-5分；</w:t>
            </w:r>
          </w:p>
          <w:p>
            <w:pPr>
              <w:pStyle w:val="73"/>
              <w:spacing w:before="16"/>
              <w:rPr>
                <w:rFonts w:ascii="宋体" w:hAnsi="宋体" w:cs="宋体"/>
                <w:kern w:val="0"/>
                <w:sz w:val="24"/>
                <w:szCs w:val="24"/>
              </w:rPr>
            </w:pPr>
            <w:r>
              <w:rPr>
                <w:rFonts w:hint="eastAsia" w:ascii="宋体" w:hAnsi="宋体" w:cs="宋体"/>
                <w:kern w:val="0"/>
                <w:sz w:val="24"/>
                <w:szCs w:val="24"/>
              </w:rPr>
              <w:t>服务承诺不完整，得0-2分；</w:t>
            </w:r>
          </w:p>
          <w:p>
            <w:pPr>
              <w:pStyle w:val="73"/>
              <w:spacing w:before="16"/>
              <w:rPr>
                <w:rFonts w:ascii="宋体" w:hAnsi="宋体" w:cs="宋体"/>
                <w:kern w:val="0"/>
                <w:sz w:val="24"/>
                <w:szCs w:val="24"/>
              </w:rPr>
            </w:pPr>
            <w:r>
              <w:rPr>
                <w:rFonts w:hint="eastAsia" w:ascii="宋体" w:hAnsi="宋体" w:cs="宋体"/>
                <w:kern w:val="0"/>
                <w:sz w:val="24"/>
                <w:szCs w:val="24"/>
              </w:rPr>
              <w:t>未提供不得分。</w:t>
            </w:r>
          </w:p>
        </w:tc>
        <w:tc>
          <w:tcPr>
            <w:tcW w:w="512" w:type="pct"/>
            <w:tcBorders>
              <w:right w:val="single" w:color="auto" w:sz="4" w:space="0"/>
            </w:tcBorders>
            <w:vAlign w:val="center"/>
          </w:tcPr>
          <w:p>
            <w:pPr>
              <w:pStyle w:val="73"/>
              <w:spacing w:before="16"/>
              <w:jc w:val="center"/>
              <w:rPr>
                <w:rFonts w:ascii="宋体" w:hAnsi="宋体" w:cs="宋体"/>
                <w:kern w:val="0"/>
                <w:sz w:val="24"/>
                <w:szCs w:val="24"/>
              </w:rPr>
            </w:pPr>
            <w:r>
              <w:rPr>
                <w:rFonts w:hint="eastAsia" w:ascii="宋体" w:hAnsi="宋体" w:cs="宋体"/>
                <w:kern w:val="0"/>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5000" w:type="pct"/>
            <w:gridSpan w:val="4"/>
            <w:tcBorders>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备注：</w:t>
            </w:r>
          </w:p>
          <w:p>
            <w:pPr>
              <w:jc w:val="left"/>
              <w:rPr>
                <w:rFonts w:ascii="宋体" w:hAnsi="宋体" w:cs="宋体"/>
                <w:sz w:val="24"/>
                <w:szCs w:val="24"/>
              </w:rPr>
            </w:pPr>
            <w:r>
              <w:rPr>
                <w:rFonts w:hint="eastAsia" w:ascii="宋体" w:hAnsi="宋体" w:cs="宋体"/>
                <w:sz w:val="24"/>
                <w:szCs w:val="24"/>
              </w:rPr>
              <w:t xml:space="preserve">1、专家根据投标文件中投标人提供的资料在分值范围内进行评议； </w:t>
            </w:r>
          </w:p>
          <w:p>
            <w:pPr>
              <w:pStyle w:val="73"/>
              <w:spacing w:before="16"/>
              <w:rPr>
                <w:rFonts w:ascii="宋体" w:hAnsi="宋体" w:cs="宋体"/>
                <w:kern w:val="0"/>
                <w:sz w:val="24"/>
                <w:szCs w:val="24"/>
                <w:highlight w:val="yellow"/>
              </w:rPr>
            </w:pPr>
            <w:r>
              <w:rPr>
                <w:rFonts w:hint="eastAsia" w:ascii="宋体" w:hAnsi="宋体" w:cs="宋体"/>
                <w:sz w:val="24"/>
                <w:szCs w:val="24"/>
              </w:rPr>
              <w:t>2、得分保留两位小数。</w:t>
            </w:r>
          </w:p>
        </w:tc>
      </w:tr>
    </w:tbl>
    <w:p>
      <w:pPr>
        <w:pStyle w:val="20"/>
        <w:rPr>
          <w:rFonts w:ascii="仿宋" w:hAnsi="仿宋" w:eastAsia="仿宋" w:cs="仿宋"/>
          <w:b/>
          <w:bCs/>
          <w:sz w:val="24"/>
          <w:szCs w:val="24"/>
          <w:highlight w:val="yellow"/>
        </w:rPr>
      </w:pPr>
    </w:p>
    <w:p>
      <w:pPr>
        <w:keepNext/>
        <w:keepLines/>
        <w:tabs>
          <w:tab w:val="left" w:pos="900"/>
        </w:tabs>
        <w:spacing w:line="360" w:lineRule="auto"/>
        <w:jc w:val="left"/>
        <w:outlineLvl w:val="0"/>
        <w:rPr>
          <w:rStyle w:val="64"/>
          <w:rFonts w:ascii="仿宋" w:hAnsi="仿宋" w:eastAsia="仿宋" w:cs="仿宋"/>
          <w:b/>
          <w:bCs/>
          <w:sz w:val="24"/>
          <w:szCs w:val="24"/>
        </w:rPr>
      </w:pPr>
      <w:r>
        <w:rPr>
          <w:rFonts w:hint="eastAsia" w:ascii="仿宋" w:hAnsi="仿宋" w:eastAsia="仿宋" w:cs="仿宋"/>
          <w:b/>
          <w:bCs/>
          <w:sz w:val="24"/>
          <w:szCs w:val="24"/>
        </w:rPr>
        <w:t>标项八：</w:t>
      </w:r>
      <w:r>
        <w:rPr>
          <w:rStyle w:val="64"/>
          <w:rFonts w:hint="eastAsia" w:ascii="仿宋" w:hAnsi="仿宋" w:eastAsia="仿宋" w:cs="仿宋"/>
          <w:b/>
          <w:bCs/>
          <w:sz w:val="24"/>
          <w:szCs w:val="24"/>
        </w:rPr>
        <w:t>评 分 细 则</w:t>
      </w:r>
    </w:p>
    <w:tbl>
      <w:tblPr>
        <w:tblStyle w:val="29"/>
        <w:tblW w:w="53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07"/>
        <w:gridCol w:w="5902"/>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494" w:type="pct"/>
            <w:vAlign w:val="center"/>
          </w:tcPr>
          <w:p>
            <w:pPr>
              <w:spacing w:before="50" w:after="50"/>
              <w:jc w:val="center"/>
              <w:rPr>
                <w:rFonts w:ascii="宋体" w:hAnsi="宋体" w:cs="宋体"/>
                <w:b/>
                <w:sz w:val="24"/>
                <w:szCs w:val="24"/>
              </w:rPr>
            </w:pPr>
            <w:r>
              <w:rPr>
                <w:rFonts w:hint="eastAsia" w:ascii="宋体" w:hAnsi="宋体" w:cs="宋体"/>
                <w:b/>
                <w:sz w:val="24"/>
                <w:szCs w:val="24"/>
              </w:rPr>
              <w:t>评标</w:t>
            </w:r>
          </w:p>
          <w:p>
            <w:pPr>
              <w:spacing w:before="50" w:after="50"/>
              <w:jc w:val="center"/>
              <w:rPr>
                <w:rFonts w:ascii="宋体" w:hAnsi="宋体" w:cs="宋体"/>
                <w:b/>
                <w:sz w:val="24"/>
                <w:szCs w:val="24"/>
              </w:rPr>
            </w:pPr>
            <w:r>
              <w:rPr>
                <w:rFonts w:hint="eastAsia" w:ascii="宋体" w:hAnsi="宋体" w:cs="宋体"/>
                <w:b/>
                <w:sz w:val="24"/>
                <w:szCs w:val="24"/>
              </w:rPr>
              <w:t>指标</w:t>
            </w:r>
          </w:p>
        </w:tc>
        <w:tc>
          <w:tcPr>
            <w:tcW w:w="3806" w:type="pct"/>
            <w:gridSpan w:val="2"/>
            <w:tcBorders>
              <w:right w:val="single" w:color="auto" w:sz="4" w:space="0"/>
            </w:tcBorders>
            <w:vAlign w:val="center"/>
          </w:tcPr>
          <w:p>
            <w:pPr>
              <w:spacing w:before="50" w:after="50"/>
              <w:jc w:val="center"/>
              <w:rPr>
                <w:rFonts w:ascii="宋体" w:hAnsi="宋体" w:cs="宋体"/>
                <w:b/>
                <w:sz w:val="24"/>
                <w:szCs w:val="24"/>
              </w:rPr>
            </w:pPr>
            <w:r>
              <w:rPr>
                <w:rFonts w:hint="eastAsia" w:ascii="宋体" w:hAnsi="宋体" w:cs="宋体"/>
                <w:b/>
                <w:sz w:val="24"/>
                <w:szCs w:val="24"/>
              </w:rPr>
              <w:t>评议内容</w:t>
            </w:r>
          </w:p>
        </w:tc>
        <w:tc>
          <w:tcPr>
            <w:tcW w:w="699" w:type="pct"/>
            <w:tcBorders>
              <w:right w:val="single" w:color="auto" w:sz="4" w:space="0"/>
            </w:tcBorders>
            <w:vAlign w:val="center"/>
          </w:tcPr>
          <w:p>
            <w:pPr>
              <w:spacing w:before="50" w:after="50"/>
              <w:jc w:val="center"/>
              <w:rPr>
                <w:rFonts w:ascii="宋体" w:hAnsi="宋体" w:cs="宋体"/>
                <w:b/>
                <w:sz w:val="24"/>
                <w:szCs w:val="24"/>
              </w:rPr>
            </w:pPr>
            <w:r>
              <w:rPr>
                <w:rFonts w:hint="eastAsia" w:ascii="宋体" w:hAnsi="宋体" w:cs="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9" w:hRule="atLeast"/>
          <w:jc w:val="center"/>
        </w:trPr>
        <w:tc>
          <w:tcPr>
            <w:tcW w:w="494" w:type="pct"/>
            <w:vAlign w:val="center"/>
          </w:tcPr>
          <w:p>
            <w:pPr>
              <w:jc w:val="center"/>
              <w:rPr>
                <w:rFonts w:ascii="宋体" w:hAnsi="宋体" w:cs="宋体"/>
                <w:sz w:val="24"/>
                <w:szCs w:val="24"/>
              </w:rPr>
            </w:pPr>
            <w:r>
              <w:rPr>
                <w:rFonts w:hint="eastAsia" w:ascii="宋体" w:hAnsi="宋体" w:cs="宋体"/>
                <w:sz w:val="24"/>
                <w:szCs w:val="24"/>
              </w:rPr>
              <w:t>报</w:t>
            </w:r>
          </w:p>
          <w:p>
            <w:pPr>
              <w:jc w:val="center"/>
              <w:rPr>
                <w:rFonts w:ascii="宋体" w:hAnsi="宋体" w:cs="宋体"/>
                <w:sz w:val="24"/>
                <w:szCs w:val="24"/>
              </w:rPr>
            </w:pPr>
            <w:r>
              <w:rPr>
                <w:rFonts w:hint="eastAsia" w:ascii="宋体" w:hAnsi="宋体" w:cs="宋体"/>
                <w:sz w:val="24"/>
                <w:szCs w:val="24"/>
              </w:rPr>
              <w:t>价</w:t>
            </w:r>
          </w:p>
          <w:p>
            <w:pPr>
              <w:jc w:val="center"/>
              <w:rPr>
                <w:rFonts w:ascii="宋体" w:hAnsi="宋体" w:cs="宋体"/>
                <w:sz w:val="24"/>
                <w:szCs w:val="24"/>
              </w:rPr>
            </w:pPr>
            <w:r>
              <w:rPr>
                <w:rFonts w:hint="eastAsia" w:ascii="宋体" w:hAnsi="宋体" w:cs="宋体"/>
                <w:sz w:val="24"/>
                <w:szCs w:val="24"/>
              </w:rPr>
              <w:t>得</w:t>
            </w:r>
          </w:p>
          <w:p>
            <w:pPr>
              <w:jc w:val="center"/>
              <w:rPr>
                <w:rFonts w:ascii="宋体" w:hAnsi="宋体" w:cs="宋体"/>
                <w:sz w:val="24"/>
                <w:szCs w:val="24"/>
              </w:rPr>
            </w:pPr>
            <w:r>
              <w:rPr>
                <w:rFonts w:hint="eastAsia" w:ascii="宋体" w:hAnsi="宋体" w:cs="宋体"/>
                <w:sz w:val="24"/>
                <w:szCs w:val="24"/>
              </w:rPr>
              <w:t>分</w:t>
            </w:r>
          </w:p>
          <w:p>
            <w:pPr>
              <w:pStyle w:val="6"/>
              <w:ind w:firstLine="0"/>
              <w:jc w:val="center"/>
              <w:rPr>
                <w:rFonts w:ascii="宋体" w:hAnsi="宋体" w:cs="宋体"/>
                <w:szCs w:val="24"/>
                <w:highlight w:val="yellow"/>
              </w:rPr>
            </w:pPr>
            <w:r>
              <w:rPr>
                <w:rFonts w:hint="eastAsia" w:ascii="宋体" w:hAnsi="宋体" w:cs="宋体"/>
                <w:szCs w:val="24"/>
              </w:rPr>
              <w:t>(10分)</w:t>
            </w:r>
          </w:p>
        </w:tc>
        <w:tc>
          <w:tcPr>
            <w:tcW w:w="3806" w:type="pct"/>
            <w:gridSpan w:val="2"/>
            <w:tcBorders>
              <w:right w:val="single" w:color="auto" w:sz="4" w:space="0"/>
            </w:tcBorders>
            <w:vAlign w:val="center"/>
          </w:tcPr>
          <w:p>
            <w:pPr>
              <w:spacing w:before="50" w:after="50"/>
              <w:rPr>
                <w:rFonts w:ascii="宋体" w:hAnsi="宋体" w:cs="宋体"/>
                <w:sz w:val="24"/>
                <w:szCs w:val="24"/>
              </w:rPr>
            </w:pPr>
            <w:r>
              <w:rPr>
                <w:rFonts w:hint="eastAsia" w:ascii="宋体" w:hAnsi="宋体" w:cs="宋体"/>
                <w:sz w:val="24"/>
                <w:szCs w:val="24"/>
              </w:rPr>
              <w:t>价格分应当采用低价优先法计算，即满足招标文件要求且最终投标价格最低的有效投标报价为评标基准价，其价格分为满分。其他投标人的价格分统一按照下列公式计算：</w:t>
            </w:r>
          </w:p>
          <w:p>
            <w:pPr>
              <w:spacing w:before="50" w:after="50"/>
              <w:rPr>
                <w:rFonts w:ascii="宋体" w:hAnsi="宋体" w:cs="宋体"/>
                <w:sz w:val="24"/>
                <w:szCs w:val="24"/>
              </w:rPr>
            </w:pPr>
            <w:r>
              <w:rPr>
                <w:rFonts w:hint="eastAsia" w:ascii="宋体" w:hAnsi="宋体" w:cs="宋体"/>
                <w:sz w:val="24"/>
                <w:szCs w:val="24"/>
              </w:rPr>
              <w:t>投标报价得分=(评标基准价/投标报价)×100*10%</w:t>
            </w:r>
          </w:p>
          <w:p>
            <w:pPr>
              <w:spacing w:before="50" w:after="50"/>
              <w:rPr>
                <w:rFonts w:ascii="宋体" w:hAnsi="宋体" w:cs="宋体"/>
                <w:sz w:val="24"/>
                <w:szCs w:val="24"/>
                <w:highlight w:val="yellow"/>
              </w:rPr>
            </w:pPr>
            <w:r>
              <w:rPr>
                <w:rFonts w:hint="eastAsia" w:ascii="宋体" w:hAnsi="宋体" w:cs="宋体"/>
                <w:b/>
                <w:bCs/>
                <w:sz w:val="24"/>
                <w:szCs w:val="24"/>
              </w:rPr>
              <w:t>根据新财购 〔2022〕22号文，对小型和微型企业的产品价格给予10% 的扣除，用扣除后的价格参与评审。（投标人为中小企业的，需提供《中小企业声明函》等证明文件）。</w:t>
            </w:r>
          </w:p>
        </w:tc>
        <w:tc>
          <w:tcPr>
            <w:tcW w:w="699" w:type="pct"/>
            <w:tcBorders>
              <w:right w:val="single" w:color="auto" w:sz="4" w:space="0"/>
            </w:tcBorders>
            <w:vAlign w:val="center"/>
          </w:tcPr>
          <w:p>
            <w:pPr>
              <w:spacing w:before="50" w:after="50"/>
              <w:jc w:val="center"/>
              <w:rPr>
                <w:rFonts w:ascii="宋体" w:hAnsi="宋体" w:cs="宋体"/>
                <w:sz w:val="24"/>
                <w:szCs w:val="24"/>
              </w:rPr>
            </w:pPr>
            <w:r>
              <w:rPr>
                <w:rFonts w:hint="eastAsia" w:ascii="宋体" w:hAnsi="宋体" w:cs="宋体"/>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494" w:type="pct"/>
            <w:vAlign w:val="center"/>
          </w:tcPr>
          <w:p>
            <w:pPr>
              <w:pStyle w:val="10"/>
              <w:spacing w:before="161"/>
              <w:jc w:val="center"/>
              <w:rPr>
                <w:rFonts w:ascii="宋体" w:hAnsi="宋体" w:cs="宋体"/>
                <w:b/>
                <w:sz w:val="24"/>
              </w:rPr>
            </w:pPr>
            <w:r>
              <w:rPr>
                <w:rFonts w:hint="eastAsia" w:ascii="宋体" w:hAnsi="宋体" w:cs="宋体"/>
                <w:sz w:val="24"/>
              </w:rPr>
              <w:t>评标项目</w:t>
            </w:r>
          </w:p>
        </w:tc>
        <w:tc>
          <w:tcPr>
            <w:tcW w:w="854" w:type="pct"/>
            <w:vAlign w:val="center"/>
          </w:tcPr>
          <w:p>
            <w:pPr>
              <w:pStyle w:val="73"/>
              <w:spacing w:before="67"/>
              <w:jc w:val="center"/>
              <w:rPr>
                <w:rFonts w:ascii="宋体" w:hAnsi="宋体" w:cs="宋体"/>
                <w:sz w:val="24"/>
                <w:szCs w:val="24"/>
              </w:rPr>
            </w:pPr>
            <w:r>
              <w:rPr>
                <w:rFonts w:hint="eastAsia" w:ascii="宋体" w:hAnsi="宋体" w:cs="宋体"/>
                <w:sz w:val="24"/>
                <w:szCs w:val="24"/>
              </w:rPr>
              <w:t>评审内容</w:t>
            </w:r>
          </w:p>
        </w:tc>
        <w:tc>
          <w:tcPr>
            <w:tcW w:w="2951" w:type="pct"/>
            <w:vAlign w:val="center"/>
          </w:tcPr>
          <w:p>
            <w:pPr>
              <w:pStyle w:val="73"/>
              <w:spacing w:before="67"/>
              <w:ind w:right="2333"/>
              <w:jc w:val="center"/>
              <w:rPr>
                <w:rFonts w:ascii="宋体" w:hAnsi="宋体" w:cs="宋体"/>
                <w:sz w:val="24"/>
                <w:szCs w:val="24"/>
              </w:rPr>
            </w:pPr>
            <w:r>
              <w:rPr>
                <w:rFonts w:hint="eastAsia" w:ascii="宋体" w:hAnsi="宋体" w:cs="宋体"/>
                <w:sz w:val="24"/>
                <w:szCs w:val="24"/>
              </w:rPr>
              <w:t>评分标准</w:t>
            </w:r>
          </w:p>
        </w:tc>
        <w:tc>
          <w:tcPr>
            <w:tcW w:w="699" w:type="pct"/>
            <w:tcBorders>
              <w:right w:val="single" w:color="auto" w:sz="4" w:space="0"/>
            </w:tcBorders>
            <w:vAlign w:val="center"/>
          </w:tcPr>
          <w:p>
            <w:pPr>
              <w:pStyle w:val="10"/>
              <w:spacing w:before="161"/>
              <w:jc w:val="center"/>
              <w:rPr>
                <w:rFonts w:ascii="宋体" w:hAnsi="宋体" w:cs="宋体"/>
                <w:sz w:val="24"/>
              </w:rPr>
            </w:pPr>
            <w:r>
              <w:rPr>
                <w:rFonts w:hint="eastAsia" w:ascii="宋体" w:hAnsi="宋体" w:cs="宋体"/>
                <w:b/>
                <w:bCs/>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494" w:type="pct"/>
            <w:vMerge w:val="restart"/>
            <w:vAlign w:val="bottom"/>
          </w:tcPr>
          <w:p>
            <w:pPr>
              <w:pStyle w:val="73"/>
              <w:spacing w:before="12"/>
              <w:rPr>
                <w:rFonts w:ascii="宋体" w:hAnsi="宋体" w:cs="宋体"/>
                <w:bCs/>
                <w:sz w:val="24"/>
                <w:szCs w:val="24"/>
              </w:rPr>
            </w:pPr>
          </w:p>
          <w:p>
            <w:pPr>
              <w:pStyle w:val="73"/>
              <w:spacing w:before="12"/>
              <w:ind w:left="175"/>
              <w:jc w:val="center"/>
              <w:rPr>
                <w:rFonts w:ascii="宋体" w:hAnsi="宋体" w:cs="宋体"/>
                <w:bCs/>
                <w:sz w:val="24"/>
                <w:szCs w:val="24"/>
              </w:rPr>
            </w:pPr>
            <w:r>
              <w:rPr>
                <w:rFonts w:hint="eastAsia" w:ascii="宋体" w:hAnsi="宋体" w:cs="宋体"/>
                <w:bCs/>
                <w:sz w:val="24"/>
                <w:szCs w:val="24"/>
              </w:rPr>
              <w:t>技</w:t>
            </w:r>
          </w:p>
          <w:p>
            <w:pPr>
              <w:pStyle w:val="73"/>
              <w:spacing w:before="12"/>
              <w:ind w:left="175"/>
              <w:jc w:val="center"/>
              <w:rPr>
                <w:rFonts w:ascii="宋体" w:hAnsi="宋体" w:cs="宋体"/>
                <w:bCs/>
                <w:sz w:val="24"/>
                <w:szCs w:val="24"/>
              </w:rPr>
            </w:pPr>
          </w:p>
          <w:p>
            <w:pPr>
              <w:pStyle w:val="73"/>
              <w:spacing w:before="12"/>
              <w:ind w:left="175"/>
              <w:jc w:val="center"/>
              <w:rPr>
                <w:rFonts w:ascii="宋体" w:hAnsi="宋体" w:cs="宋体"/>
                <w:bCs/>
                <w:sz w:val="24"/>
                <w:szCs w:val="24"/>
              </w:rPr>
            </w:pPr>
            <w:r>
              <w:rPr>
                <w:rFonts w:hint="eastAsia" w:ascii="宋体" w:hAnsi="宋体" w:cs="宋体"/>
                <w:bCs/>
                <w:sz w:val="24"/>
                <w:szCs w:val="24"/>
              </w:rPr>
              <w:t>术</w:t>
            </w:r>
          </w:p>
          <w:p>
            <w:pPr>
              <w:pStyle w:val="73"/>
              <w:spacing w:before="12"/>
              <w:ind w:left="175"/>
              <w:jc w:val="center"/>
              <w:rPr>
                <w:rFonts w:ascii="宋体" w:hAnsi="宋体" w:cs="宋体"/>
                <w:bCs/>
                <w:sz w:val="24"/>
                <w:szCs w:val="24"/>
              </w:rPr>
            </w:pPr>
          </w:p>
          <w:p>
            <w:pPr>
              <w:pStyle w:val="73"/>
              <w:spacing w:before="12"/>
              <w:ind w:left="175"/>
              <w:jc w:val="center"/>
              <w:rPr>
                <w:rFonts w:ascii="宋体" w:hAnsi="宋体" w:cs="宋体"/>
                <w:bCs/>
                <w:sz w:val="24"/>
                <w:szCs w:val="24"/>
              </w:rPr>
            </w:pPr>
            <w:r>
              <w:rPr>
                <w:rFonts w:hint="eastAsia" w:ascii="宋体" w:hAnsi="宋体" w:cs="宋体"/>
                <w:bCs/>
                <w:sz w:val="24"/>
                <w:szCs w:val="24"/>
              </w:rPr>
              <w:t>及</w:t>
            </w:r>
          </w:p>
          <w:p>
            <w:pPr>
              <w:pStyle w:val="73"/>
              <w:spacing w:before="12"/>
              <w:ind w:left="175"/>
              <w:jc w:val="center"/>
              <w:rPr>
                <w:rFonts w:ascii="宋体" w:hAnsi="宋体" w:cs="宋体"/>
                <w:bCs/>
                <w:sz w:val="24"/>
                <w:szCs w:val="24"/>
              </w:rPr>
            </w:pPr>
          </w:p>
          <w:p>
            <w:pPr>
              <w:pStyle w:val="73"/>
              <w:spacing w:before="12"/>
              <w:ind w:left="175"/>
              <w:jc w:val="center"/>
              <w:rPr>
                <w:rFonts w:ascii="宋体" w:hAnsi="宋体" w:cs="宋体"/>
                <w:bCs/>
                <w:sz w:val="24"/>
                <w:szCs w:val="24"/>
              </w:rPr>
            </w:pPr>
            <w:r>
              <w:rPr>
                <w:rFonts w:hint="eastAsia" w:ascii="宋体" w:hAnsi="宋体" w:cs="宋体"/>
                <w:bCs/>
                <w:sz w:val="24"/>
                <w:szCs w:val="24"/>
              </w:rPr>
              <w:t>商</w:t>
            </w:r>
          </w:p>
          <w:p>
            <w:pPr>
              <w:pStyle w:val="73"/>
              <w:spacing w:before="12"/>
              <w:ind w:left="175"/>
              <w:jc w:val="center"/>
              <w:rPr>
                <w:rFonts w:ascii="宋体" w:hAnsi="宋体" w:cs="宋体"/>
                <w:bCs/>
                <w:sz w:val="24"/>
                <w:szCs w:val="24"/>
              </w:rPr>
            </w:pPr>
          </w:p>
          <w:p>
            <w:pPr>
              <w:pStyle w:val="73"/>
              <w:spacing w:before="12"/>
              <w:ind w:left="175"/>
              <w:jc w:val="center"/>
              <w:rPr>
                <w:rFonts w:ascii="宋体" w:hAnsi="宋体" w:cs="宋体"/>
                <w:bCs/>
                <w:sz w:val="24"/>
                <w:szCs w:val="24"/>
              </w:rPr>
            </w:pPr>
            <w:r>
              <w:rPr>
                <w:rFonts w:hint="eastAsia" w:ascii="宋体" w:hAnsi="宋体" w:cs="宋体"/>
                <w:bCs/>
                <w:sz w:val="24"/>
                <w:szCs w:val="24"/>
              </w:rPr>
              <w:t>务</w:t>
            </w:r>
          </w:p>
          <w:p>
            <w:pPr>
              <w:pStyle w:val="73"/>
              <w:spacing w:before="12"/>
              <w:ind w:left="175"/>
              <w:jc w:val="center"/>
              <w:rPr>
                <w:rFonts w:ascii="宋体" w:hAnsi="宋体" w:cs="宋体"/>
                <w:bCs/>
                <w:sz w:val="24"/>
                <w:szCs w:val="24"/>
              </w:rPr>
            </w:pPr>
          </w:p>
          <w:p>
            <w:pPr>
              <w:pStyle w:val="73"/>
              <w:spacing w:before="12"/>
              <w:ind w:left="175"/>
              <w:jc w:val="center"/>
              <w:rPr>
                <w:rFonts w:ascii="宋体" w:hAnsi="宋体" w:cs="宋体"/>
                <w:bCs/>
                <w:sz w:val="24"/>
                <w:szCs w:val="24"/>
              </w:rPr>
            </w:pPr>
            <w:r>
              <w:rPr>
                <w:rFonts w:hint="eastAsia" w:ascii="宋体" w:hAnsi="宋体" w:cs="宋体"/>
                <w:bCs/>
                <w:sz w:val="24"/>
                <w:szCs w:val="24"/>
              </w:rPr>
              <w:t>部</w:t>
            </w:r>
          </w:p>
          <w:p>
            <w:pPr>
              <w:pStyle w:val="73"/>
              <w:spacing w:before="12"/>
              <w:ind w:left="175"/>
              <w:jc w:val="center"/>
              <w:rPr>
                <w:rFonts w:ascii="宋体" w:hAnsi="宋体" w:cs="宋体"/>
                <w:bCs/>
                <w:sz w:val="24"/>
                <w:szCs w:val="24"/>
              </w:rPr>
            </w:pPr>
          </w:p>
          <w:p>
            <w:pPr>
              <w:pStyle w:val="73"/>
              <w:spacing w:before="12"/>
              <w:ind w:left="175"/>
              <w:jc w:val="center"/>
              <w:rPr>
                <w:rFonts w:ascii="宋体" w:hAnsi="宋体" w:cs="宋体"/>
                <w:bCs/>
                <w:sz w:val="24"/>
                <w:szCs w:val="24"/>
              </w:rPr>
            </w:pPr>
            <w:r>
              <w:rPr>
                <w:rFonts w:hint="eastAsia" w:ascii="宋体" w:hAnsi="宋体" w:cs="宋体"/>
                <w:bCs/>
                <w:sz w:val="24"/>
                <w:szCs w:val="24"/>
              </w:rPr>
              <w:t>分</w:t>
            </w:r>
          </w:p>
          <w:p>
            <w:pPr>
              <w:pStyle w:val="73"/>
              <w:spacing w:before="12"/>
              <w:ind w:left="175"/>
              <w:jc w:val="center"/>
              <w:rPr>
                <w:rFonts w:ascii="宋体" w:hAnsi="宋体" w:cs="宋体"/>
                <w:bCs/>
                <w:sz w:val="24"/>
                <w:szCs w:val="24"/>
              </w:rPr>
            </w:pPr>
          </w:p>
          <w:p>
            <w:pPr>
              <w:pStyle w:val="73"/>
              <w:spacing w:before="12"/>
              <w:ind w:left="175"/>
              <w:jc w:val="center"/>
              <w:rPr>
                <w:rFonts w:ascii="宋体" w:hAnsi="宋体" w:cs="宋体"/>
                <w:b/>
                <w:sz w:val="24"/>
                <w:szCs w:val="24"/>
              </w:rPr>
            </w:pPr>
            <w:r>
              <w:rPr>
                <w:rFonts w:hint="eastAsia" w:ascii="宋体" w:hAnsi="宋体" w:cs="宋体"/>
                <w:bCs/>
                <w:sz w:val="24"/>
                <w:szCs w:val="24"/>
              </w:rPr>
              <w:t>（90分）</w:t>
            </w:r>
          </w:p>
        </w:tc>
        <w:tc>
          <w:tcPr>
            <w:tcW w:w="854" w:type="pct"/>
            <w:vAlign w:val="center"/>
          </w:tcPr>
          <w:p>
            <w:pPr>
              <w:pStyle w:val="73"/>
              <w:spacing w:before="4" w:line="320" w:lineRule="atLeast"/>
              <w:ind w:left="165" w:right="154"/>
              <w:rPr>
                <w:rFonts w:ascii="宋体" w:hAnsi="宋体" w:cs="宋体"/>
                <w:kern w:val="0"/>
                <w:sz w:val="24"/>
                <w:szCs w:val="24"/>
              </w:rPr>
            </w:pPr>
            <w:r>
              <w:rPr>
                <w:rFonts w:hint="eastAsia" w:ascii="宋体" w:hAnsi="宋体" w:cs="宋体"/>
                <w:kern w:val="0"/>
                <w:sz w:val="24"/>
                <w:szCs w:val="24"/>
              </w:rPr>
              <w:t>企业经营业绩</w:t>
            </w:r>
          </w:p>
        </w:tc>
        <w:tc>
          <w:tcPr>
            <w:tcW w:w="2951" w:type="pct"/>
          </w:tcPr>
          <w:p>
            <w:pPr>
              <w:pStyle w:val="73"/>
              <w:spacing w:before="129"/>
              <w:rPr>
                <w:rFonts w:ascii="宋体" w:hAnsi="宋体" w:cs="宋体"/>
                <w:sz w:val="24"/>
                <w:szCs w:val="24"/>
              </w:rPr>
            </w:pPr>
            <w:r>
              <w:rPr>
                <w:rFonts w:hint="eastAsia" w:ascii="宋体" w:hAnsi="宋体" w:cs="宋体"/>
                <w:sz w:val="24"/>
                <w:szCs w:val="24"/>
              </w:rPr>
              <w:t>每提供1份业绩得3分，满分15分。以供应商提供的类似业绩证明资料如合同或者中标通知书复印件为准，未提供不得分。</w:t>
            </w:r>
          </w:p>
        </w:tc>
        <w:tc>
          <w:tcPr>
            <w:tcW w:w="699" w:type="pct"/>
            <w:tcBorders>
              <w:right w:val="single" w:color="auto" w:sz="4" w:space="0"/>
            </w:tcBorders>
            <w:vAlign w:val="center"/>
          </w:tcPr>
          <w:p>
            <w:pPr>
              <w:pStyle w:val="73"/>
              <w:spacing w:before="12"/>
              <w:jc w:val="center"/>
              <w:rPr>
                <w:rFonts w:ascii="宋体" w:hAnsi="宋体" w:cs="宋体"/>
                <w:w w:val="90"/>
                <w:sz w:val="24"/>
                <w:szCs w:val="24"/>
              </w:rPr>
            </w:pPr>
            <w:r>
              <w:rPr>
                <w:rFonts w:hint="eastAsia" w:ascii="宋体" w:hAnsi="宋体" w:cs="宋体"/>
                <w:spacing w:val="-1"/>
                <w:w w:val="90"/>
                <w:sz w:val="24"/>
                <w:szCs w:val="24"/>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6" w:hRule="atLeast"/>
          <w:jc w:val="center"/>
        </w:trPr>
        <w:tc>
          <w:tcPr>
            <w:tcW w:w="494" w:type="pct"/>
            <w:vMerge w:val="continue"/>
            <w:vAlign w:val="center"/>
          </w:tcPr>
          <w:p>
            <w:pPr>
              <w:pStyle w:val="73"/>
              <w:spacing w:before="12"/>
              <w:ind w:left="175"/>
              <w:rPr>
                <w:rFonts w:ascii="宋体" w:hAnsi="宋体" w:cs="宋体"/>
                <w:b/>
                <w:sz w:val="24"/>
                <w:szCs w:val="24"/>
                <w:highlight w:val="yellow"/>
              </w:rPr>
            </w:pPr>
          </w:p>
        </w:tc>
        <w:tc>
          <w:tcPr>
            <w:tcW w:w="854" w:type="pct"/>
            <w:vMerge w:val="restart"/>
            <w:vAlign w:val="center"/>
          </w:tcPr>
          <w:p>
            <w:pPr>
              <w:pStyle w:val="73"/>
              <w:spacing w:before="16"/>
              <w:ind w:left="106"/>
              <w:jc w:val="center"/>
              <w:rPr>
                <w:rFonts w:ascii="宋体" w:hAnsi="宋体" w:cs="宋体"/>
                <w:sz w:val="24"/>
                <w:szCs w:val="24"/>
                <w:highlight w:val="yellow"/>
              </w:rPr>
            </w:pPr>
            <w:r>
              <w:rPr>
                <w:rFonts w:hint="eastAsia" w:ascii="宋体" w:hAnsi="宋体" w:cs="宋体"/>
                <w:sz w:val="24"/>
                <w:szCs w:val="24"/>
              </w:rPr>
              <w:t>应急情况</w:t>
            </w:r>
          </w:p>
        </w:tc>
        <w:tc>
          <w:tcPr>
            <w:tcW w:w="2951" w:type="pct"/>
            <w:vAlign w:val="center"/>
          </w:tcPr>
          <w:p>
            <w:pPr>
              <w:pStyle w:val="73"/>
              <w:spacing w:before="16"/>
              <w:rPr>
                <w:rFonts w:ascii="宋体" w:hAnsi="宋体" w:cs="宋体"/>
                <w:sz w:val="24"/>
                <w:szCs w:val="24"/>
              </w:rPr>
            </w:pPr>
            <w:r>
              <w:rPr>
                <w:rFonts w:hint="eastAsia" w:ascii="宋体" w:hAnsi="宋体" w:cs="宋体"/>
                <w:sz w:val="24"/>
                <w:szCs w:val="24"/>
              </w:rPr>
              <w:t>维保服务中突发事件处理预案：流程清晰合理、内容完整详细、可操作性强，响应迅速，得12-15分；流程清晰较合理、内容较完整详细、可操作较性强，响应较迅速，得6-11分；流程较清晰、内容较完整、可操作性一般，响应速度一般，得2-5分；内容不完整、可操作性较差，响应速度较差，得0-1分；</w:t>
            </w:r>
          </w:p>
          <w:p>
            <w:pPr>
              <w:pStyle w:val="73"/>
              <w:spacing w:before="16"/>
              <w:rPr>
                <w:rFonts w:ascii="宋体" w:hAnsi="宋体" w:cs="宋体"/>
                <w:sz w:val="24"/>
                <w:szCs w:val="24"/>
                <w:highlight w:val="yellow"/>
              </w:rPr>
            </w:pPr>
            <w:r>
              <w:rPr>
                <w:rFonts w:hint="eastAsia" w:ascii="宋体" w:hAnsi="宋体" w:cs="宋体"/>
                <w:sz w:val="24"/>
                <w:szCs w:val="24"/>
              </w:rPr>
              <w:t>未提供不得分。</w:t>
            </w:r>
          </w:p>
        </w:tc>
        <w:tc>
          <w:tcPr>
            <w:tcW w:w="699" w:type="pct"/>
            <w:vMerge w:val="restart"/>
            <w:tcBorders>
              <w:right w:val="single" w:color="auto" w:sz="4" w:space="0"/>
            </w:tcBorders>
            <w:vAlign w:val="center"/>
          </w:tcPr>
          <w:p>
            <w:pPr>
              <w:pStyle w:val="73"/>
              <w:spacing w:before="12"/>
              <w:jc w:val="center"/>
              <w:rPr>
                <w:rFonts w:ascii="宋体" w:hAnsi="宋体" w:cs="宋体"/>
                <w:sz w:val="24"/>
                <w:szCs w:val="24"/>
                <w:highlight w:val="yellow"/>
              </w:rPr>
            </w:pPr>
            <w:r>
              <w:rPr>
                <w:rFonts w:hint="eastAsia" w:ascii="宋体" w:hAnsi="宋体" w:cs="宋体"/>
                <w:sz w:val="24"/>
                <w:szCs w:val="24"/>
              </w:rPr>
              <w:t>0-25分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494" w:type="pct"/>
            <w:vMerge w:val="continue"/>
            <w:vAlign w:val="center"/>
          </w:tcPr>
          <w:p>
            <w:pPr>
              <w:pStyle w:val="73"/>
              <w:spacing w:before="16"/>
              <w:rPr>
                <w:rFonts w:ascii="宋体" w:hAnsi="宋体" w:cs="宋体"/>
                <w:sz w:val="24"/>
                <w:szCs w:val="24"/>
                <w:highlight w:val="yellow"/>
              </w:rPr>
            </w:pPr>
          </w:p>
        </w:tc>
        <w:tc>
          <w:tcPr>
            <w:tcW w:w="854" w:type="pct"/>
            <w:vMerge w:val="continue"/>
            <w:vAlign w:val="center"/>
          </w:tcPr>
          <w:p>
            <w:pPr>
              <w:pStyle w:val="73"/>
              <w:spacing w:before="16"/>
              <w:rPr>
                <w:rFonts w:ascii="宋体" w:hAnsi="宋体" w:cs="宋体"/>
                <w:sz w:val="24"/>
                <w:szCs w:val="24"/>
                <w:highlight w:val="yellow"/>
              </w:rPr>
            </w:pPr>
          </w:p>
        </w:tc>
        <w:tc>
          <w:tcPr>
            <w:tcW w:w="2951" w:type="pct"/>
            <w:vAlign w:val="center"/>
          </w:tcPr>
          <w:p>
            <w:pPr>
              <w:pStyle w:val="73"/>
              <w:spacing w:before="16"/>
              <w:rPr>
                <w:rFonts w:ascii="宋体" w:hAnsi="宋体" w:cs="宋体"/>
                <w:sz w:val="24"/>
                <w:szCs w:val="24"/>
                <w:highlight w:val="yellow"/>
              </w:rPr>
            </w:pPr>
            <w:r>
              <w:rPr>
                <w:rFonts w:hint="eastAsia" w:ascii="宋体" w:hAnsi="宋体" w:cs="宋体"/>
                <w:sz w:val="24"/>
                <w:szCs w:val="24"/>
              </w:rPr>
              <w:t>供应商根据以往对于类似项目实施过程中遇到的问题、难点，制定出相关解决方案，以减少使用期间出现故障。方案完整得8-10分；基本完整得4-7分；不完整得：2-3分；未提供不得分。</w:t>
            </w:r>
          </w:p>
        </w:tc>
        <w:tc>
          <w:tcPr>
            <w:tcW w:w="699" w:type="pct"/>
            <w:vMerge w:val="continue"/>
            <w:tcBorders>
              <w:right w:val="single" w:color="auto" w:sz="4" w:space="0"/>
            </w:tcBorders>
            <w:vAlign w:val="center"/>
          </w:tcPr>
          <w:p>
            <w:pPr>
              <w:pStyle w:val="73"/>
              <w:spacing w:before="16"/>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8" w:hRule="atLeast"/>
          <w:jc w:val="center"/>
        </w:trPr>
        <w:tc>
          <w:tcPr>
            <w:tcW w:w="494" w:type="pct"/>
            <w:vMerge w:val="continue"/>
            <w:vAlign w:val="center"/>
          </w:tcPr>
          <w:p>
            <w:pPr>
              <w:rPr>
                <w:rFonts w:ascii="宋体" w:hAnsi="宋体" w:cs="宋体"/>
                <w:b/>
                <w:color w:val="FF0000"/>
                <w:sz w:val="24"/>
                <w:szCs w:val="24"/>
                <w:highlight w:val="yellow"/>
              </w:rPr>
            </w:pPr>
          </w:p>
        </w:tc>
        <w:tc>
          <w:tcPr>
            <w:tcW w:w="854" w:type="pct"/>
            <w:vAlign w:val="center"/>
          </w:tcPr>
          <w:p>
            <w:pPr>
              <w:pStyle w:val="73"/>
              <w:spacing w:line="252" w:lineRule="auto"/>
              <w:ind w:left="199" w:right="31" w:hanging="27"/>
              <w:jc w:val="center"/>
              <w:rPr>
                <w:rFonts w:ascii="宋体" w:hAnsi="宋体" w:cs="宋体"/>
                <w:kern w:val="0"/>
                <w:sz w:val="24"/>
                <w:szCs w:val="24"/>
                <w:highlight w:val="yellow"/>
              </w:rPr>
            </w:pPr>
            <w:r>
              <w:rPr>
                <w:rFonts w:hint="eastAsia" w:ascii="宋体" w:hAnsi="宋体" w:cs="宋体"/>
                <w:kern w:val="0"/>
                <w:sz w:val="24"/>
                <w:szCs w:val="24"/>
              </w:rPr>
              <w:t>拟投入的设备情况</w:t>
            </w:r>
          </w:p>
        </w:tc>
        <w:tc>
          <w:tcPr>
            <w:tcW w:w="2951" w:type="pct"/>
            <w:vAlign w:val="center"/>
          </w:tcPr>
          <w:p>
            <w:pPr>
              <w:widowControl/>
              <w:rPr>
                <w:rFonts w:ascii="宋体" w:hAnsi="宋体" w:cs="宋体"/>
                <w:kern w:val="0"/>
                <w:sz w:val="24"/>
                <w:szCs w:val="24"/>
              </w:rPr>
            </w:pPr>
            <w:r>
              <w:rPr>
                <w:rFonts w:hint="eastAsia" w:ascii="宋体" w:hAnsi="宋体" w:cs="宋体"/>
                <w:kern w:val="0"/>
                <w:sz w:val="24"/>
                <w:szCs w:val="24"/>
              </w:rPr>
              <w:t>综合考虑供应商针对本项目拟投入的维保检测设备配置情况：</w:t>
            </w:r>
          </w:p>
          <w:p>
            <w:pPr>
              <w:widowControl/>
              <w:rPr>
                <w:rFonts w:ascii="宋体" w:hAnsi="宋体" w:cs="宋体"/>
                <w:kern w:val="0"/>
                <w:sz w:val="24"/>
                <w:szCs w:val="24"/>
              </w:rPr>
            </w:pPr>
            <w:r>
              <w:rPr>
                <w:rFonts w:hint="eastAsia" w:ascii="宋体" w:hAnsi="宋体" w:cs="宋体"/>
                <w:kern w:val="0"/>
                <w:sz w:val="24"/>
                <w:szCs w:val="24"/>
              </w:rPr>
              <w:t>清单完整详细、配置合理，维保设备专业、先进、数量充足齐全的，得8-15分；</w:t>
            </w:r>
          </w:p>
          <w:p>
            <w:pPr>
              <w:widowControl/>
              <w:rPr>
                <w:rFonts w:ascii="宋体" w:hAnsi="宋体" w:cs="宋体"/>
                <w:kern w:val="0"/>
                <w:sz w:val="24"/>
                <w:szCs w:val="24"/>
              </w:rPr>
            </w:pPr>
            <w:r>
              <w:rPr>
                <w:rFonts w:hint="eastAsia" w:ascii="宋体" w:hAnsi="宋体" w:cs="宋体"/>
                <w:kern w:val="0"/>
                <w:sz w:val="24"/>
                <w:szCs w:val="24"/>
              </w:rPr>
              <w:t>清单较完整详细、配置较合理，维保设备较专业、较先进、较齐全的，得3-7分；</w:t>
            </w:r>
          </w:p>
          <w:p>
            <w:pPr>
              <w:widowControl/>
              <w:rPr>
                <w:rFonts w:ascii="宋体" w:hAnsi="宋体" w:cs="宋体"/>
                <w:kern w:val="0"/>
                <w:sz w:val="24"/>
                <w:szCs w:val="24"/>
              </w:rPr>
            </w:pPr>
            <w:r>
              <w:rPr>
                <w:rFonts w:hint="eastAsia" w:ascii="宋体" w:hAnsi="宋体" w:cs="宋体"/>
                <w:kern w:val="0"/>
                <w:sz w:val="24"/>
                <w:szCs w:val="24"/>
              </w:rPr>
              <w:t>清单基本完整、配置一般，维保设备专业性、先进性一般、基本齐全的，得0-2分；</w:t>
            </w:r>
          </w:p>
          <w:p>
            <w:pPr>
              <w:widowControl/>
              <w:rPr>
                <w:rFonts w:ascii="宋体" w:hAnsi="宋体" w:cs="宋体"/>
                <w:kern w:val="0"/>
                <w:sz w:val="24"/>
                <w:szCs w:val="24"/>
                <w:highlight w:val="yellow"/>
              </w:rPr>
            </w:pPr>
            <w:r>
              <w:rPr>
                <w:rFonts w:hint="eastAsia" w:ascii="宋体" w:hAnsi="宋体" w:cs="宋体"/>
                <w:kern w:val="0"/>
                <w:sz w:val="24"/>
                <w:szCs w:val="24"/>
              </w:rPr>
              <w:t>设备配置差或未提供不得分。</w:t>
            </w:r>
          </w:p>
        </w:tc>
        <w:tc>
          <w:tcPr>
            <w:tcW w:w="699" w:type="pct"/>
            <w:tcBorders>
              <w:right w:val="single" w:color="auto" w:sz="4" w:space="0"/>
            </w:tcBorders>
            <w:vAlign w:val="center"/>
          </w:tcPr>
          <w:p>
            <w:pPr>
              <w:pStyle w:val="73"/>
              <w:spacing w:before="16"/>
              <w:jc w:val="center"/>
              <w:rPr>
                <w:rFonts w:ascii="宋体" w:hAnsi="宋体" w:cs="宋体"/>
                <w:sz w:val="24"/>
                <w:szCs w:val="24"/>
              </w:rPr>
            </w:pPr>
            <w:r>
              <w:rPr>
                <w:rFonts w:hint="eastAsia" w:ascii="宋体" w:hAnsi="宋体" w:cs="宋体"/>
                <w:sz w:val="24"/>
                <w:szCs w:val="24"/>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3" w:hRule="atLeast"/>
          <w:jc w:val="center"/>
        </w:trPr>
        <w:tc>
          <w:tcPr>
            <w:tcW w:w="494" w:type="pct"/>
            <w:vMerge w:val="continue"/>
            <w:vAlign w:val="center"/>
          </w:tcPr>
          <w:p>
            <w:pPr>
              <w:rPr>
                <w:rFonts w:ascii="宋体" w:hAnsi="宋体" w:cs="宋体"/>
                <w:b/>
                <w:color w:val="FF0000"/>
                <w:sz w:val="24"/>
                <w:szCs w:val="24"/>
                <w:highlight w:val="yellow"/>
              </w:rPr>
            </w:pPr>
          </w:p>
        </w:tc>
        <w:tc>
          <w:tcPr>
            <w:tcW w:w="854" w:type="pct"/>
            <w:vAlign w:val="center"/>
          </w:tcPr>
          <w:p>
            <w:pPr>
              <w:pStyle w:val="73"/>
              <w:spacing w:before="16"/>
              <w:jc w:val="center"/>
              <w:rPr>
                <w:rFonts w:ascii="宋体" w:hAnsi="宋体" w:cs="宋体"/>
                <w:kern w:val="0"/>
                <w:sz w:val="24"/>
                <w:szCs w:val="24"/>
              </w:rPr>
            </w:pPr>
            <w:r>
              <w:rPr>
                <w:rFonts w:hint="eastAsia" w:ascii="宋体" w:hAnsi="宋体" w:cs="宋体"/>
                <w:kern w:val="0"/>
                <w:sz w:val="24"/>
                <w:szCs w:val="24"/>
              </w:rPr>
              <w:t>服务方案</w:t>
            </w:r>
          </w:p>
        </w:tc>
        <w:tc>
          <w:tcPr>
            <w:tcW w:w="2951" w:type="pct"/>
            <w:vAlign w:val="center"/>
          </w:tcPr>
          <w:p>
            <w:pPr>
              <w:widowControl/>
              <w:textAlignment w:val="center"/>
              <w:rPr>
                <w:rFonts w:ascii="宋体" w:hAnsi="宋体" w:cs="宋体"/>
                <w:kern w:val="0"/>
                <w:sz w:val="24"/>
                <w:szCs w:val="24"/>
              </w:rPr>
            </w:pPr>
            <w:r>
              <w:rPr>
                <w:rFonts w:hint="eastAsia" w:ascii="宋体" w:hAnsi="宋体" w:cs="宋体"/>
                <w:kern w:val="0"/>
                <w:sz w:val="24"/>
                <w:szCs w:val="24"/>
              </w:rPr>
              <w:t>技术服务方案针对性强，能有效对系统故障进行防范，在系统故障发生时，提供的解决方案以及技术措施能够及时高效的故障恢复，技术方案完整性和可实施性强，得15-20分；</w:t>
            </w:r>
          </w:p>
          <w:p>
            <w:pPr>
              <w:widowControl/>
              <w:textAlignment w:val="center"/>
              <w:rPr>
                <w:rFonts w:ascii="宋体" w:hAnsi="宋体" w:cs="宋体"/>
                <w:kern w:val="0"/>
                <w:sz w:val="24"/>
                <w:szCs w:val="24"/>
              </w:rPr>
            </w:pPr>
            <w:r>
              <w:rPr>
                <w:rFonts w:hint="eastAsia" w:ascii="宋体" w:hAnsi="宋体" w:cs="宋体"/>
                <w:kern w:val="0"/>
                <w:sz w:val="24"/>
                <w:szCs w:val="24"/>
              </w:rPr>
              <w:t>技术服务方案有一定的针对性，但是未能体现有效的对系统故障进行防范，在系统故障发生时，提供的解决方案以及技术措施不能及时高效的故障恢复，得9-14分；</w:t>
            </w:r>
          </w:p>
          <w:p>
            <w:pPr>
              <w:widowControl/>
              <w:textAlignment w:val="center"/>
              <w:rPr>
                <w:rFonts w:ascii="宋体" w:hAnsi="宋体" w:cs="宋体"/>
                <w:kern w:val="0"/>
                <w:sz w:val="24"/>
                <w:szCs w:val="24"/>
              </w:rPr>
            </w:pPr>
            <w:r>
              <w:rPr>
                <w:rFonts w:hint="eastAsia" w:ascii="宋体" w:hAnsi="宋体" w:cs="宋体"/>
                <w:kern w:val="0"/>
                <w:sz w:val="24"/>
                <w:szCs w:val="24"/>
              </w:rPr>
              <w:t>技术服务方案未体现对系统故障进行防范，在系统故障发生时，没有相应的技术解决措施或措施不当，得0-8分</w:t>
            </w:r>
          </w:p>
        </w:tc>
        <w:tc>
          <w:tcPr>
            <w:tcW w:w="699" w:type="pct"/>
            <w:tcBorders>
              <w:right w:val="single" w:color="auto" w:sz="4" w:space="0"/>
            </w:tcBorders>
            <w:vAlign w:val="center"/>
          </w:tcPr>
          <w:p>
            <w:pPr>
              <w:jc w:val="center"/>
              <w:rPr>
                <w:rFonts w:ascii="宋体" w:hAnsi="宋体" w:cs="宋体"/>
                <w:sz w:val="24"/>
                <w:szCs w:val="24"/>
                <w:highlight w:val="yellow"/>
              </w:rPr>
            </w:pPr>
            <w:r>
              <w:rPr>
                <w:rFonts w:hint="eastAsia" w:ascii="宋体" w:hAnsi="宋体" w:cs="宋体"/>
                <w:sz w:val="24"/>
                <w:szCs w:val="24"/>
              </w:rPr>
              <w:t>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2" w:hRule="atLeast"/>
          <w:jc w:val="center"/>
        </w:trPr>
        <w:tc>
          <w:tcPr>
            <w:tcW w:w="494" w:type="pct"/>
            <w:vMerge w:val="continue"/>
            <w:vAlign w:val="center"/>
          </w:tcPr>
          <w:p>
            <w:pPr>
              <w:rPr>
                <w:rFonts w:ascii="宋体" w:hAnsi="宋体" w:cs="宋体"/>
                <w:b/>
                <w:color w:val="FF0000"/>
                <w:sz w:val="24"/>
                <w:szCs w:val="24"/>
                <w:highlight w:val="yellow"/>
              </w:rPr>
            </w:pPr>
          </w:p>
        </w:tc>
        <w:tc>
          <w:tcPr>
            <w:tcW w:w="854" w:type="pct"/>
            <w:vAlign w:val="center"/>
          </w:tcPr>
          <w:p>
            <w:pPr>
              <w:pStyle w:val="73"/>
              <w:spacing w:before="16"/>
              <w:ind w:left="106"/>
              <w:jc w:val="center"/>
              <w:rPr>
                <w:rFonts w:ascii="宋体" w:hAnsi="宋体" w:cs="宋体"/>
                <w:kern w:val="0"/>
                <w:sz w:val="24"/>
                <w:szCs w:val="24"/>
                <w:highlight w:val="yellow"/>
              </w:rPr>
            </w:pPr>
            <w:r>
              <w:rPr>
                <w:rFonts w:hint="eastAsia" w:ascii="宋体" w:hAnsi="宋体" w:cs="宋体"/>
                <w:sz w:val="24"/>
                <w:szCs w:val="24"/>
              </w:rPr>
              <w:t>服务承诺</w:t>
            </w:r>
          </w:p>
        </w:tc>
        <w:tc>
          <w:tcPr>
            <w:tcW w:w="2951" w:type="pct"/>
            <w:vAlign w:val="center"/>
          </w:tcPr>
          <w:p>
            <w:pPr>
              <w:pStyle w:val="73"/>
              <w:spacing w:before="16"/>
              <w:rPr>
                <w:rFonts w:ascii="宋体" w:hAnsi="宋体" w:cs="宋体"/>
                <w:kern w:val="0"/>
                <w:sz w:val="24"/>
                <w:szCs w:val="24"/>
              </w:rPr>
            </w:pPr>
            <w:r>
              <w:rPr>
                <w:rFonts w:hint="eastAsia" w:ascii="宋体" w:hAnsi="宋体" w:cs="宋体"/>
                <w:kern w:val="0"/>
                <w:sz w:val="24"/>
                <w:szCs w:val="24"/>
              </w:rPr>
              <w:t>根据供应商针对本项目提供的服务承诺、后续服务方案：</w:t>
            </w:r>
          </w:p>
          <w:p>
            <w:pPr>
              <w:pStyle w:val="73"/>
              <w:spacing w:before="16"/>
              <w:rPr>
                <w:rFonts w:ascii="宋体" w:hAnsi="宋体" w:cs="宋体"/>
                <w:kern w:val="0"/>
                <w:sz w:val="24"/>
                <w:szCs w:val="24"/>
              </w:rPr>
            </w:pPr>
            <w:r>
              <w:rPr>
                <w:rFonts w:hint="eastAsia" w:ascii="宋体" w:hAnsi="宋体" w:cs="宋体"/>
                <w:kern w:val="0"/>
                <w:sz w:val="24"/>
                <w:szCs w:val="24"/>
              </w:rPr>
              <w:t>服务承诺最为合理完整，得6-10分；</w:t>
            </w:r>
          </w:p>
          <w:p>
            <w:pPr>
              <w:pStyle w:val="73"/>
              <w:spacing w:before="16"/>
              <w:rPr>
                <w:rFonts w:ascii="宋体" w:hAnsi="宋体" w:cs="宋体"/>
                <w:kern w:val="0"/>
                <w:sz w:val="24"/>
                <w:szCs w:val="24"/>
              </w:rPr>
            </w:pPr>
            <w:r>
              <w:rPr>
                <w:rFonts w:hint="eastAsia" w:ascii="宋体" w:hAnsi="宋体" w:cs="宋体"/>
                <w:kern w:val="0"/>
                <w:sz w:val="24"/>
                <w:szCs w:val="24"/>
              </w:rPr>
              <w:t>服务承诺基本完整，得3-5分；</w:t>
            </w:r>
          </w:p>
          <w:p>
            <w:pPr>
              <w:pStyle w:val="73"/>
              <w:spacing w:before="16"/>
              <w:rPr>
                <w:rFonts w:ascii="宋体" w:hAnsi="宋体" w:cs="宋体"/>
                <w:kern w:val="0"/>
                <w:sz w:val="24"/>
                <w:szCs w:val="24"/>
              </w:rPr>
            </w:pPr>
            <w:r>
              <w:rPr>
                <w:rFonts w:hint="eastAsia" w:ascii="宋体" w:hAnsi="宋体" w:cs="宋体"/>
                <w:kern w:val="0"/>
                <w:sz w:val="24"/>
                <w:szCs w:val="24"/>
              </w:rPr>
              <w:t>服务承诺不完整，得0-2分；</w:t>
            </w:r>
          </w:p>
          <w:p>
            <w:pPr>
              <w:pStyle w:val="73"/>
              <w:spacing w:before="16"/>
              <w:rPr>
                <w:rFonts w:ascii="宋体" w:hAnsi="宋体" w:cs="宋体"/>
                <w:kern w:val="0"/>
                <w:sz w:val="24"/>
                <w:szCs w:val="24"/>
                <w:highlight w:val="yellow"/>
              </w:rPr>
            </w:pPr>
            <w:r>
              <w:rPr>
                <w:rFonts w:hint="eastAsia" w:ascii="宋体" w:hAnsi="宋体" w:cs="宋体"/>
                <w:kern w:val="0"/>
                <w:sz w:val="24"/>
                <w:szCs w:val="24"/>
              </w:rPr>
              <w:t>未提供不得分。</w:t>
            </w:r>
          </w:p>
        </w:tc>
        <w:tc>
          <w:tcPr>
            <w:tcW w:w="699" w:type="pct"/>
            <w:tcBorders>
              <w:right w:val="single" w:color="auto" w:sz="4" w:space="0"/>
            </w:tcBorders>
            <w:vAlign w:val="center"/>
          </w:tcPr>
          <w:p>
            <w:pPr>
              <w:pStyle w:val="73"/>
              <w:spacing w:before="16"/>
              <w:jc w:val="center"/>
              <w:rPr>
                <w:rFonts w:ascii="宋体" w:hAnsi="宋体" w:cs="宋体"/>
                <w:sz w:val="24"/>
                <w:szCs w:val="24"/>
                <w:highlight w:val="yellow"/>
              </w:rPr>
            </w:pPr>
            <w:r>
              <w:rPr>
                <w:rFonts w:hint="eastAsia" w:ascii="宋体" w:hAnsi="宋体" w:cs="宋体"/>
                <w:kern w:val="0"/>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494" w:type="pct"/>
            <w:vMerge w:val="continue"/>
            <w:vAlign w:val="center"/>
          </w:tcPr>
          <w:p>
            <w:pPr>
              <w:pStyle w:val="73"/>
              <w:spacing w:before="16"/>
              <w:ind w:left="106"/>
              <w:rPr>
                <w:rFonts w:ascii="宋体" w:hAnsi="宋体" w:cs="宋体"/>
                <w:sz w:val="24"/>
                <w:szCs w:val="24"/>
                <w:highlight w:val="yellow"/>
              </w:rPr>
            </w:pPr>
          </w:p>
        </w:tc>
        <w:tc>
          <w:tcPr>
            <w:tcW w:w="854" w:type="pct"/>
            <w:vAlign w:val="center"/>
          </w:tcPr>
          <w:p>
            <w:pPr>
              <w:spacing w:before="16"/>
              <w:jc w:val="center"/>
              <w:rPr>
                <w:rFonts w:ascii="宋体" w:hAnsi="宋体" w:cs="宋体"/>
                <w:sz w:val="24"/>
                <w:szCs w:val="24"/>
              </w:rPr>
            </w:pPr>
            <w:r>
              <w:rPr>
                <w:rFonts w:hint="eastAsia" w:ascii="宋体" w:hAnsi="宋体" w:cs="宋体"/>
                <w:kern w:val="0"/>
                <w:sz w:val="24"/>
                <w:szCs w:val="24"/>
              </w:rPr>
              <w:t>系统培训方案</w:t>
            </w:r>
          </w:p>
        </w:tc>
        <w:tc>
          <w:tcPr>
            <w:tcW w:w="2951" w:type="pct"/>
            <w:vAlign w:val="center"/>
          </w:tcPr>
          <w:p>
            <w:pPr>
              <w:widowControl/>
              <w:textAlignment w:val="center"/>
              <w:rPr>
                <w:rFonts w:ascii="宋体" w:hAnsi="宋体" w:cs="宋体"/>
                <w:kern w:val="0"/>
                <w:sz w:val="24"/>
                <w:szCs w:val="24"/>
              </w:rPr>
            </w:pPr>
            <w:r>
              <w:rPr>
                <w:rFonts w:hint="eastAsia" w:ascii="宋体" w:hAnsi="宋体" w:cs="宋体"/>
                <w:kern w:val="0"/>
                <w:sz w:val="24"/>
                <w:szCs w:val="24"/>
              </w:rPr>
              <w:t>培训内容全面、完整，得3-5分；基本完整，1-3分；不完整不得分。</w:t>
            </w:r>
          </w:p>
        </w:tc>
        <w:tc>
          <w:tcPr>
            <w:tcW w:w="699" w:type="pct"/>
            <w:tcBorders>
              <w:right w:val="single" w:color="auto" w:sz="4" w:space="0"/>
            </w:tcBorders>
            <w:vAlign w:val="center"/>
          </w:tcPr>
          <w:p>
            <w:pPr>
              <w:jc w:val="center"/>
              <w:rPr>
                <w:rFonts w:ascii="宋体" w:hAnsi="宋体" w:cs="宋体"/>
                <w:kern w:val="0"/>
                <w:sz w:val="24"/>
                <w:szCs w:val="24"/>
                <w:highlight w:val="yellow"/>
              </w:rPr>
            </w:pPr>
            <w:r>
              <w:rPr>
                <w:rFonts w:hint="eastAsia" w:ascii="宋体" w:hAnsi="宋体" w:cs="宋体"/>
                <w:sz w:val="24"/>
                <w:szCs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5000" w:type="pct"/>
            <w:gridSpan w:val="4"/>
            <w:tcBorders>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备注：</w:t>
            </w:r>
          </w:p>
          <w:p>
            <w:pPr>
              <w:jc w:val="left"/>
              <w:rPr>
                <w:rFonts w:ascii="宋体" w:hAnsi="宋体" w:cs="宋体"/>
                <w:sz w:val="24"/>
                <w:szCs w:val="24"/>
              </w:rPr>
            </w:pPr>
            <w:r>
              <w:rPr>
                <w:rFonts w:hint="eastAsia" w:ascii="宋体" w:hAnsi="宋体" w:cs="宋体"/>
                <w:sz w:val="24"/>
                <w:szCs w:val="24"/>
              </w:rPr>
              <w:t xml:space="preserve">1、专家根据投标文件中投标人提供的资料在分值范围内进行评议； </w:t>
            </w:r>
          </w:p>
          <w:p>
            <w:pPr>
              <w:pStyle w:val="73"/>
              <w:spacing w:before="16"/>
              <w:rPr>
                <w:rFonts w:ascii="宋体" w:hAnsi="宋体" w:cs="宋体"/>
                <w:kern w:val="0"/>
                <w:sz w:val="24"/>
                <w:szCs w:val="24"/>
                <w:highlight w:val="yellow"/>
              </w:rPr>
            </w:pPr>
            <w:r>
              <w:rPr>
                <w:rFonts w:hint="eastAsia" w:ascii="宋体" w:hAnsi="宋体" w:cs="宋体"/>
                <w:sz w:val="24"/>
                <w:szCs w:val="24"/>
              </w:rPr>
              <w:t>2、得分保留两位小数。</w:t>
            </w:r>
          </w:p>
        </w:tc>
      </w:tr>
    </w:tbl>
    <w:p>
      <w:pPr>
        <w:pStyle w:val="20"/>
        <w:rPr>
          <w:rFonts w:ascii="仿宋" w:hAnsi="仿宋" w:eastAsia="仿宋" w:cs="仿宋"/>
          <w:b/>
          <w:bCs/>
          <w:sz w:val="24"/>
          <w:szCs w:val="24"/>
          <w:highlight w:val="yellow"/>
        </w:rPr>
      </w:pPr>
    </w:p>
    <w:p>
      <w:pPr>
        <w:pStyle w:val="3"/>
        <w:spacing w:line="240" w:lineRule="auto"/>
        <w:jc w:val="left"/>
        <w:rPr>
          <w:highlight w:val="yellow"/>
        </w:rPr>
      </w:pPr>
      <w:r>
        <w:rPr>
          <w:rFonts w:hint="eastAsia" w:ascii="仿宋" w:hAnsi="仿宋" w:eastAsia="仿宋" w:cs="仿宋"/>
          <w:sz w:val="24"/>
          <w:szCs w:val="24"/>
        </w:rPr>
        <w:t>标项九：</w:t>
      </w:r>
      <w:r>
        <w:rPr>
          <w:rStyle w:val="64"/>
          <w:rFonts w:hint="eastAsia" w:ascii="仿宋" w:hAnsi="仿宋" w:eastAsia="仿宋" w:cs="仿宋"/>
          <w:bCs w:val="0"/>
          <w:sz w:val="24"/>
          <w:szCs w:val="24"/>
        </w:rPr>
        <w:t>评 分 细 则</w:t>
      </w:r>
    </w:p>
    <w:tbl>
      <w:tblPr>
        <w:tblStyle w:val="29"/>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6916"/>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jc w:val="center"/>
        </w:trPr>
        <w:tc>
          <w:tcPr>
            <w:tcW w:w="1475" w:type="dxa"/>
            <w:noWrap/>
            <w:vAlign w:val="center"/>
          </w:tcPr>
          <w:p>
            <w:pPr>
              <w:pStyle w:val="14"/>
              <w:snapToGrid w:val="0"/>
              <w:spacing w:line="400" w:lineRule="exact"/>
              <w:jc w:val="center"/>
              <w:rPr>
                <w:rFonts w:hAnsi="宋体" w:cs="宋体"/>
                <w:b/>
                <w:sz w:val="24"/>
                <w:szCs w:val="24"/>
              </w:rPr>
            </w:pPr>
            <w:r>
              <w:rPr>
                <w:rFonts w:hint="eastAsia" w:hAnsi="宋体" w:cs="宋体"/>
                <w:b/>
                <w:sz w:val="24"/>
                <w:szCs w:val="24"/>
              </w:rPr>
              <w:t>项目</w:t>
            </w:r>
          </w:p>
        </w:tc>
        <w:tc>
          <w:tcPr>
            <w:tcW w:w="6916" w:type="dxa"/>
            <w:noWrap/>
            <w:vAlign w:val="center"/>
          </w:tcPr>
          <w:p>
            <w:pPr>
              <w:pStyle w:val="14"/>
              <w:snapToGrid w:val="0"/>
              <w:spacing w:line="400" w:lineRule="exact"/>
              <w:jc w:val="center"/>
              <w:rPr>
                <w:rFonts w:hAnsi="宋体" w:cs="宋体"/>
                <w:b/>
                <w:sz w:val="24"/>
                <w:szCs w:val="24"/>
              </w:rPr>
            </w:pPr>
            <w:r>
              <w:rPr>
                <w:rFonts w:hint="eastAsia" w:hAnsi="宋体" w:cs="宋体"/>
                <w:b/>
                <w:sz w:val="24"/>
                <w:szCs w:val="24"/>
              </w:rPr>
              <w:t>评审内容</w:t>
            </w:r>
          </w:p>
        </w:tc>
        <w:tc>
          <w:tcPr>
            <w:tcW w:w="999" w:type="dxa"/>
            <w:noWrap/>
            <w:vAlign w:val="center"/>
          </w:tcPr>
          <w:p>
            <w:pPr>
              <w:pStyle w:val="14"/>
              <w:snapToGrid w:val="0"/>
              <w:spacing w:line="400" w:lineRule="exact"/>
              <w:jc w:val="center"/>
              <w:rPr>
                <w:rFonts w:hAnsi="宋体" w:cs="宋体"/>
                <w:b/>
                <w:sz w:val="24"/>
                <w:szCs w:val="24"/>
              </w:rPr>
            </w:pPr>
            <w:r>
              <w:rPr>
                <w:rFonts w:hint="eastAsia" w:hAnsi="宋体" w:cs="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jc w:val="center"/>
        </w:trPr>
        <w:tc>
          <w:tcPr>
            <w:tcW w:w="9390" w:type="dxa"/>
            <w:gridSpan w:val="3"/>
            <w:noWrap/>
            <w:vAlign w:val="center"/>
          </w:tcPr>
          <w:p>
            <w:pPr>
              <w:pStyle w:val="14"/>
              <w:snapToGrid w:val="0"/>
              <w:spacing w:line="400" w:lineRule="exact"/>
              <w:rPr>
                <w:rFonts w:hAnsi="宋体" w:cs="宋体"/>
                <w:b/>
                <w:sz w:val="24"/>
                <w:szCs w:val="24"/>
              </w:rPr>
            </w:pPr>
            <w:r>
              <w:rPr>
                <w:rFonts w:hint="eastAsia" w:hAnsi="宋体" w:cs="宋体"/>
                <w:b/>
                <w:sz w:val="24"/>
                <w:szCs w:val="24"/>
              </w:rPr>
              <w:t>A：投标价格评分10分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475" w:type="dxa"/>
            <w:noWrap/>
            <w:vAlign w:val="center"/>
          </w:tcPr>
          <w:p>
            <w:pPr>
              <w:pStyle w:val="14"/>
              <w:spacing w:line="300" w:lineRule="exact"/>
              <w:rPr>
                <w:rFonts w:hAnsi="宋体" w:cs="宋体"/>
                <w:bCs/>
                <w:sz w:val="24"/>
                <w:szCs w:val="24"/>
              </w:rPr>
            </w:pPr>
            <w:r>
              <w:rPr>
                <w:rFonts w:hint="eastAsia" w:hAnsi="宋体" w:cs="宋体"/>
                <w:bCs/>
                <w:sz w:val="24"/>
                <w:szCs w:val="24"/>
              </w:rPr>
              <w:t>价格</w:t>
            </w:r>
          </w:p>
        </w:tc>
        <w:tc>
          <w:tcPr>
            <w:tcW w:w="6916" w:type="dxa"/>
            <w:noWrap/>
            <w:vAlign w:val="center"/>
          </w:tcPr>
          <w:p>
            <w:pPr>
              <w:pStyle w:val="14"/>
              <w:spacing w:line="300" w:lineRule="exact"/>
              <w:rPr>
                <w:rFonts w:hAnsi="宋体" w:cs="宋体"/>
                <w:bCs/>
                <w:sz w:val="24"/>
                <w:szCs w:val="24"/>
              </w:rPr>
            </w:pPr>
            <w:r>
              <w:rPr>
                <w:rFonts w:hint="eastAsia" w:hAnsi="宋体" w:cs="宋体"/>
                <w:bCs/>
                <w:sz w:val="24"/>
                <w:szCs w:val="24"/>
              </w:rPr>
              <w:t>价格分应当采用低价优先法计算，即满足招标文件要求且最终投标价格最低的有效投标报价为评标基准价，其价格分为满分。其他投标人的价格分统一按照下列公式计算：</w:t>
            </w:r>
          </w:p>
          <w:p>
            <w:pPr>
              <w:pStyle w:val="14"/>
              <w:spacing w:line="300" w:lineRule="exact"/>
              <w:rPr>
                <w:rFonts w:hAnsi="宋体" w:cs="宋体"/>
                <w:bCs/>
                <w:sz w:val="24"/>
                <w:szCs w:val="24"/>
              </w:rPr>
            </w:pPr>
            <w:r>
              <w:rPr>
                <w:rFonts w:hint="eastAsia" w:hAnsi="宋体" w:cs="宋体"/>
                <w:bCs/>
                <w:sz w:val="24"/>
                <w:szCs w:val="24"/>
              </w:rPr>
              <w:t>投标报价得分=(评标基准价/投标报价)×100*10%</w:t>
            </w:r>
          </w:p>
          <w:p>
            <w:pPr>
              <w:pStyle w:val="14"/>
              <w:spacing w:line="300" w:lineRule="exact"/>
              <w:rPr>
                <w:rFonts w:hAnsi="宋体" w:cs="宋体"/>
                <w:bCs/>
                <w:sz w:val="24"/>
                <w:szCs w:val="24"/>
              </w:rPr>
            </w:pPr>
            <w:r>
              <w:rPr>
                <w:rFonts w:hint="eastAsia" w:hAnsi="宋体" w:cs="宋体"/>
                <w:bCs/>
                <w:sz w:val="24"/>
                <w:szCs w:val="24"/>
              </w:rPr>
              <w:t>根据新财购〔2022〕22号文，对小型和微型企业产品的价格给予10%的扣除，用扣除后的价格参与评审。（投标人为中小企业的，需提供《中小企业声明函》等证明文件）。</w:t>
            </w:r>
          </w:p>
        </w:tc>
        <w:tc>
          <w:tcPr>
            <w:tcW w:w="999" w:type="dxa"/>
            <w:noWrap/>
            <w:vAlign w:val="center"/>
          </w:tcPr>
          <w:p>
            <w:pPr>
              <w:pStyle w:val="14"/>
              <w:spacing w:line="300" w:lineRule="exact"/>
              <w:jc w:val="center"/>
              <w:rPr>
                <w:rFonts w:hAnsi="宋体" w:cs="宋体"/>
                <w:bCs/>
                <w:sz w:val="24"/>
                <w:szCs w:val="24"/>
                <w:highlight w:val="yellow"/>
              </w:rPr>
            </w:pPr>
            <w:r>
              <w:rPr>
                <w:rFonts w:hint="eastAsia" w:hAnsi="宋体" w:cs="宋体"/>
                <w:bCs/>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390" w:type="dxa"/>
            <w:gridSpan w:val="3"/>
            <w:shd w:val="clear" w:color="auto" w:fill="FFFFFF"/>
            <w:noWrap/>
            <w:vAlign w:val="center"/>
          </w:tcPr>
          <w:p>
            <w:pPr>
              <w:pStyle w:val="14"/>
              <w:spacing w:line="300" w:lineRule="exact"/>
              <w:rPr>
                <w:rFonts w:hAnsi="宋体" w:cs="宋体"/>
                <w:bCs/>
                <w:sz w:val="24"/>
                <w:szCs w:val="24"/>
                <w:highlight w:val="yellow"/>
              </w:rPr>
            </w:pPr>
            <w:r>
              <w:rPr>
                <w:rFonts w:hint="eastAsia" w:hAnsi="宋体" w:cs="宋体"/>
                <w:bCs/>
                <w:sz w:val="24"/>
                <w:szCs w:val="24"/>
              </w:rPr>
              <w:t>B：技术部分评分72分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5" w:type="dxa"/>
            <w:vMerge w:val="restart"/>
            <w:shd w:val="clear" w:color="auto" w:fill="FFFFFF"/>
            <w:noWrap/>
            <w:vAlign w:val="center"/>
          </w:tcPr>
          <w:p>
            <w:pPr>
              <w:pStyle w:val="14"/>
              <w:spacing w:line="300" w:lineRule="exact"/>
              <w:jc w:val="center"/>
              <w:rPr>
                <w:rFonts w:hAnsi="宋体" w:cs="宋体"/>
                <w:bCs/>
                <w:sz w:val="24"/>
                <w:szCs w:val="24"/>
                <w:highlight w:val="yellow"/>
              </w:rPr>
            </w:pPr>
            <w:r>
              <w:rPr>
                <w:rFonts w:hint="eastAsia" w:hAnsi="宋体" w:cs="宋体"/>
                <w:bCs/>
                <w:sz w:val="24"/>
                <w:szCs w:val="24"/>
              </w:rPr>
              <w:t>服务方案</w:t>
            </w:r>
          </w:p>
        </w:tc>
        <w:tc>
          <w:tcPr>
            <w:tcW w:w="6916" w:type="dxa"/>
            <w:shd w:val="clear" w:color="auto" w:fill="FFFFFF"/>
            <w:noWrap/>
          </w:tcPr>
          <w:p>
            <w:pPr>
              <w:pStyle w:val="14"/>
              <w:spacing w:line="300" w:lineRule="exact"/>
              <w:rPr>
                <w:rFonts w:hint="eastAsia" w:hAnsi="宋体" w:eastAsia="宋体" w:cs="宋体"/>
                <w:bCs/>
                <w:sz w:val="24"/>
                <w:szCs w:val="24"/>
                <w:lang w:val="en-US" w:eastAsia="zh-CN"/>
              </w:rPr>
            </w:pPr>
            <w:r>
              <w:rPr>
                <w:rFonts w:hint="eastAsia" w:hAnsi="宋体" w:cs="宋体"/>
                <w:bCs/>
                <w:sz w:val="24"/>
                <w:szCs w:val="24"/>
              </w:rPr>
              <w:t>对本项目的背景及维护工作的认识全面准确的得5-6分，较为全面准确的得3-4分，一般的得0-2分</w:t>
            </w:r>
            <w:r>
              <w:rPr>
                <w:rFonts w:hint="eastAsia" w:hAnsi="宋体" w:cs="宋体"/>
                <w:bCs/>
                <w:sz w:val="24"/>
                <w:szCs w:val="24"/>
                <w:lang w:eastAsia="zh-CN"/>
              </w:rPr>
              <w:t>。</w:t>
            </w:r>
          </w:p>
        </w:tc>
        <w:tc>
          <w:tcPr>
            <w:tcW w:w="999" w:type="dxa"/>
            <w:shd w:val="clear" w:color="auto" w:fill="FFFFFF"/>
            <w:noWrap/>
            <w:vAlign w:val="center"/>
          </w:tcPr>
          <w:p>
            <w:pPr>
              <w:pStyle w:val="14"/>
              <w:spacing w:line="300" w:lineRule="exact"/>
              <w:jc w:val="center"/>
              <w:rPr>
                <w:rFonts w:hAnsi="宋体" w:cs="宋体"/>
                <w:bCs/>
                <w:sz w:val="24"/>
                <w:szCs w:val="24"/>
              </w:rPr>
            </w:pPr>
            <w:r>
              <w:rPr>
                <w:rFonts w:hint="eastAsia" w:hAnsi="宋体" w:cs="宋体"/>
                <w:bCs/>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5" w:type="dxa"/>
            <w:vMerge w:val="continue"/>
            <w:shd w:val="clear" w:color="auto" w:fill="FFFFFF"/>
            <w:noWrap/>
            <w:vAlign w:val="center"/>
          </w:tcPr>
          <w:p>
            <w:pPr>
              <w:pStyle w:val="14"/>
              <w:spacing w:line="300" w:lineRule="exact"/>
              <w:rPr>
                <w:rFonts w:hAnsi="宋体" w:cs="宋体"/>
                <w:bCs/>
                <w:sz w:val="24"/>
                <w:szCs w:val="24"/>
                <w:highlight w:val="yellow"/>
              </w:rPr>
            </w:pPr>
          </w:p>
        </w:tc>
        <w:tc>
          <w:tcPr>
            <w:tcW w:w="6916" w:type="dxa"/>
            <w:shd w:val="clear" w:color="auto" w:fill="FFFFFF"/>
            <w:noWrap/>
          </w:tcPr>
          <w:p>
            <w:pPr>
              <w:pStyle w:val="14"/>
              <w:spacing w:line="300" w:lineRule="exact"/>
              <w:rPr>
                <w:rFonts w:hAnsi="宋体" w:cs="宋体"/>
                <w:bCs/>
                <w:sz w:val="24"/>
                <w:szCs w:val="24"/>
              </w:rPr>
            </w:pPr>
            <w:r>
              <w:rPr>
                <w:rFonts w:hint="eastAsia" w:hAnsi="宋体" w:cs="宋体"/>
                <w:bCs/>
                <w:sz w:val="24"/>
                <w:szCs w:val="24"/>
              </w:rPr>
              <w:t>维护内容、依据、方法全面具体的得5-6分，较为具体的得3-4分，一般的得0-2分。</w:t>
            </w:r>
          </w:p>
        </w:tc>
        <w:tc>
          <w:tcPr>
            <w:tcW w:w="999" w:type="dxa"/>
            <w:shd w:val="clear" w:color="auto" w:fill="FFFFFF"/>
            <w:noWrap/>
            <w:vAlign w:val="center"/>
          </w:tcPr>
          <w:p>
            <w:pPr>
              <w:pStyle w:val="14"/>
              <w:spacing w:line="300" w:lineRule="exact"/>
              <w:jc w:val="center"/>
              <w:rPr>
                <w:rFonts w:hAnsi="宋体" w:cs="宋体"/>
                <w:bCs/>
                <w:sz w:val="24"/>
                <w:szCs w:val="24"/>
              </w:rPr>
            </w:pPr>
            <w:r>
              <w:rPr>
                <w:rFonts w:hint="eastAsia" w:hAnsi="宋体" w:cs="宋体"/>
                <w:bCs/>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5" w:type="dxa"/>
            <w:vMerge w:val="continue"/>
            <w:shd w:val="clear" w:color="auto" w:fill="FFFFFF"/>
            <w:noWrap/>
            <w:vAlign w:val="center"/>
          </w:tcPr>
          <w:p>
            <w:pPr>
              <w:pStyle w:val="14"/>
              <w:spacing w:line="300" w:lineRule="exact"/>
              <w:rPr>
                <w:rFonts w:hAnsi="宋体" w:cs="宋体"/>
                <w:bCs/>
                <w:sz w:val="24"/>
                <w:szCs w:val="24"/>
                <w:highlight w:val="yellow"/>
              </w:rPr>
            </w:pPr>
          </w:p>
        </w:tc>
        <w:tc>
          <w:tcPr>
            <w:tcW w:w="6916" w:type="dxa"/>
            <w:shd w:val="clear" w:color="auto" w:fill="FFFFFF"/>
            <w:noWrap/>
          </w:tcPr>
          <w:p>
            <w:pPr>
              <w:pStyle w:val="14"/>
              <w:spacing w:line="300" w:lineRule="exact"/>
              <w:rPr>
                <w:rFonts w:hAnsi="宋体" w:cs="宋体"/>
                <w:bCs/>
                <w:sz w:val="24"/>
                <w:szCs w:val="24"/>
              </w:rPr>
            </w:pPr>
            <w:r>
              <w:rPr>
                <w:rFonts w:hint="eastAsia" w:hAnsi="宋体" w:cs="宋体"/>
                <w:bCs/>
                <w:sz w:val="24"/>
                <w:szCs w:val="24"/>
              </w:rPr>
              <w:t>实施方案具体详细，有针对性的，得4-5分，较为有针对性的得2-3分，一般的得0-1分。</w:t>
            </w:r>
          </w:p>
        </w:tc>
        <w:tc>
          <w:tcPr>
            <w:tcW w:w="999" w:type="dxa"/>
            <w:shd w:val="clear" w:color="auto" w:fill="FFFFFF"/>
            <w:noWrap/>
            <w:vAlign w:val="center"/>
          </w:tcPr>
          <w:p>
            <w:pPr>
              <w:pStyle w:val="14"/>
              <w:spacing w:line="300" w:lineRule="exact"/>
              <w:jc w:val="center"/>
              <w:rPr>
                <w:rFonts w:hAnsi="宋体" w:cs="宋体"/>
                <w:bCs/>
                <w:sz w:val="24"/>
                <w:szCs w:val="24"/>
              </w:rPr>
            </w:pPr>
            <w:r>
              <w:rPr>
                <w:rFonts w:hint="eastAsia" w:hAnsi="宋体" w:cs="宋体"/>
                <w:bCs/>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5" w:type="dxa"/>
            <w:vMerge w:val="continue"/>
            <w:shd w:val="clear" w:color="auto" w:fill="FFFFFF"/>
            <w:noWrap/>
            <w:vAlign w:val="center"/>
          </w:tcPr>
          <w:p>
            <w:pPr>
              <w:pStyle w:val="14"/>
              <w:spacing w:line="300" w:lineRule="exact"/>
              <w:rPr>
                <w:rFonts w:hAnsi="宋体" w:cs="宋体"/>
                <w:bCs/>
                <w:sz w:val="24"/>
                <w:szCs w:val="24"/>
                <w:highlight w:val="yellow"/>
              </w:rPr>
            </w:pPr>
          </w:p>
        </w:tc>
        <w:tc>
          <w:tcPr>
            <w:tcW w:w="6916" w:type="dxa"/>
            <w:shd w:val="clear" w:color="auto" w:fill="FFFFFF"/>
            <w:noWrap/>
          </w:tcPr>
          <w:p>
            <w:pPr>
              <w:pStyle w:val="14"/>
              <w:spacing w:line="300" w:lineRule="exact"/>
              <w:rPr>
                <w:rFonts w:hAnsi="宋体" w:cs="宋体"/>
                <w:bCs/>
                <w:sz w:val="24"/>
                <w:szCs w:val="24"/>
              </w:rPr>
            </w:pPr>
            <w:r>
              <w:rPr>
                <w:rFonts w:hint="eastAsia" w:hAnsi="宋体" w:cs="宋体"/>
                <w:bCs/>
                <w:sz w:val="24"/>
                <w:szCs w:val="24"/>
              </w:rPr>
              <w:t>质量、安全保障措施合理得当，保障措施全面具体的得 4-5，较为可行的得 2-3分，一般的得0-1分。</w:t>
            </w:r>
          </w:p>
        </w:tc>
        <w:tc>
          <w:tcPr>
            <w:tcW w:w="999" w:type="dxa"/>
            <w:shd w:val="clear" w:color="auto" w:fill="FFFFFF"/>
            <w:noWrap/>
            <w:vAlign w:val="center"/>
          </w:tcPr>
          <w:p>
            <w:pPr>
              <w:pStyle w:val="14"/>
              <w:spacing w:line="300" w:lineRule="exact"/>
              <w:jc w:val="center"/>
              <w:rPr>
                <w:rFonts w:hAnsi="宋体" w:cs="宋体"/>
                <w:bCs/>
                <w:sz w:val="24"/>
                <w:szCs w:val="24"/>
              </w:rPr>
            </w:pPr>
            <w:r>
              <w:rPr>
                <w:rFonts w:hint="eastAsia" w:hAnsi="宋体" w:cs="宋体"/>
                <w:bCs/>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1475" w:type="dxa"/>
            <w:noWrap/>
            <w:vAlign w:val="center"/>
          </w:tcPr>
          <w:p>
            <w:pPr>
              <w:pStyle w:val="14"/>
              <w:snapToGrid w:val="0"/>
              <w:spacing w:line="400" w:lineRule="exact"/>
              <w:rPr>
                <w:rFonts w:hAnsi="宋体" w:cs="宋体"/>
                <w:sz w:val="24"/>
                <w:szCs w:val="24"/>
                <w:highlight w:val="yellow"/>
              </w:rPr>
            </w:pPr>
            <w:r>
              <w:rPr>
                <w:rFonts w:hint="eastAsia" w:hAnsi="宋体" w:cs="宋体"/>
                <w:sz w:val="24"/>
                <w:szCs w:val="24"/>
              </w:rPr>
              <w:t>维护保养计划</w:t>
            </w:r>
          </w:p>
        </w:tc>
        <w:tc>
          <w:tcPr>
            <w:tcW w:w="6916" w:type="dxa"/>
            <w:noWrap/>
            <w:vAlign w:val="center"/>
          </w:tcPr>
          <w:p>
            <w:pPr>
              <w:pStyle w:val="14"/>
              <w:spacing w:line="300" w:lineRule="exact"/>
              <w:rPr>
                <w:rFonts w:hAnsi="宋体" w:cs="宋体"/>
                <w:bCs/>
                <w:sz w:val="24"/>
                <w:szCs w:val="24"/>
              </w:rPr>
            </w:pPr>
            <w:r>
              <w:rPr>
                <w:rFonts w:hint="eastAsia" w:hAnsi="宋体" w:cs="宋体"/>
                <w:bCs/>
                <w:sz w:val="24"/>
                <w:szCs w:val="24"/>
              </w:rPr>
              <w:t>综合考虑投标人的维护保养计划安排：</w:t>
            </w:r>
          </w:p>
          <w:p>
            <w:pPr>
              <w:pStyle w:val="14"/>
              <w:spacing w:line="300" w:lineRule="exact"/>
              <w:rPr>
                <w:rFonts w:hAnsi="宋体" w:cs="宋体"/>
                <w:bCs/>
                <w:sz w:val="24"/>
                <w:szCs w:val="24"/>
                <w:highlight w:val="yellow"/>
              </w:rPr>
            </w:pPr>
            <w:r>
              <w:rPr>
                <w:rFonts w:hint="eastAsia" w:hAnsi="宋体" w:cs="宋体"/>
                <w:bCs/>
                <w:sz w:val="24"/>
                <w:szCs w:val="24"/>
              </w:rPr>
              <w:t>计划合理且量化可控，完全针对本项目需求，各阶段时间节点清晰，得8-10分；计划较为合理可控，基本针对本项目需求，各阶段时间节点明确，得5-7分；计划基本合理，重要阶段时间节点基本明确，得3-4；计划较为简略，各阶段时间节点模糊，得0-2分。</w:t>
            </w:r>
          </w:p>
        </w:tc>
        <w:tc>
          <w:tcPr>
            <w:tcW w:w="999" w:type="dxa"/>
            <w:noWrap/>
            <w:vAlign w:val="center"/>
          </w:tcPr>
          <w:p>
            <w:pPr>
              <w:pStyle w:val="14"/>
              <w:snapToGrid w:val="0"/>
              <w:spacing w:line="400" w:lineRule="exact"/>
              <w:jc w:val="center"/>
              <w:rPr>
                <w:rFonts w:hAnsi="宋体" w:cs="宋体"/>
                <w:sz w:val="24"/>
                <w:szCs w:val="24"/>
                <w:highlight w:val="yellow"/>
              </w:rPr>
            </w:pPr>
            <w:r>
              <w:rPr>
                <w:rFonts w:hint="eastAsia" w:hAnsi="宋体" w:cs="宋体"/>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475" w:type="dxa"/>
            <w:noWrap/>
            <w:vAlign w:val="center"/>
          </w:tcPr>
          <w:p>
            <w:pPr>
              <w:pStyle w:val="14"/>
              <w:snapToGrid w:val="0"/>
              <w:spacing w:line="400" w:lineRule="exact"/>
              <w:jc w:val="center"/>
              <w:rPr>
                <w:rFonts w:hAnsi="宋体" w:cs="宋体"/>
                <w:sz w:val="24"/>
                <w:szCs w:val="24"/>
              </w:rPr>
            </w:pPr>
            <w:r>
              <w:rPr>
                <w:rFonts w:hint="eastAsia" w:hAnsi="宋体" w:cs="宋体"/>
                <w:sz w:val="24"/>
                <w:szCs w:val="24"/>
              </w:rPr>
              <w:t>应急预案</w:t>
            </w:r>
          </w:p>
          <w:p>
            <w:pPr>
              <w:pStyle w:val="14"/>
              <w:snapToGrid w:val="0"/>
              <w:spacing w:line="400" w:lineRule="exact"/>
              <w:jc w:val="center"/>
              <w:rPr>
                <w:rFonts w:hAnsi="宋体" w:cs="宋体"/>
                <w:sz w:val="24"/>
                <w:szCs w:val="24"/>
              </w:rPr>
            </w:pPr>
          </w:p>
        </w:tc>
        <w:tc>
          <w:tcPr>
            <w:tcW w:w="6916" w:type="dxa"/>
            <w:noWrap/>
            <w:vAlign w:val="center"/>
          </w:tcPr>
          <w:p>
            <w:pPr>
              <w:pStyle w:val="14"/>
              <w:spacing w:line="300" w:lineRule="exact"/>
              <w:rPr>
                <w:rFonts w:hAnsi="宋体" w:cs="宋体"/>
                <w:bCs/>
                <w:sz w:val="24"/>
                <w:szCs w:val="24"/>
              </w:rPr>
            </w:pPr>
            <w:r>
              <w:rPr>
                <w:rFonts w:hint="eastAsia" w:hAnsi="宋体" w:cs="宋体"/>
                <w:bCs/>
                <w:sz w:val="24"/>
                <w:szCs w:val="24"/>
              </w:rPr>
              <w:t>维保服务中突发事件处理预案：流程清晰合理、内容完整详细、可操作性强，响应迅速，得8-10分；流程清晰较合理、内容较完整详细、可操作较性强，响应较迅速，得5-7分；流程较清晰、内容较完整、可操作性一般，响应速度一般，得3-4分；内容不完整、可操作性较差，响应速度较差，得0-2分。</w:t>
            </w:r>
          </w:p>
        </w:tc>
        <w:tc>
          <w:tcPr>
            <w:tcW w:w="999" w:type="dxa"/>
            <w:noWrap/>
            <w:vAlign w:val="center"/>
          </w:tcPr>
          <w:p>
            <w:pPr>
              <w:pStyle w:val="14"/>
              <w:snapToGrid w:val="0"/>
              <w:spacing w:line="400" w:lineRule="exact"/>
              <w:jc w:val="center"/>
              <w:rPr>
                <w:rFonts w:hAnsi="宋体" w:cs="宋体"/>
                <w:sz w:val="24"/>
                <w:szCs w:val="24"/>
                <w:highlight w:val="yellow"/>
              </w:rPr>
            </w:pPr>
            <w:r>
              <w:rPr>
                <w:rFonts w:hint="eastAsia" w:hAnsi="宋体" w:cs="宋体"/>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475" w:type="dxa"/>
            <w:noWrap/>
            <w:vAlign w:val="center"/>
          </w:tcPr>
          <w:p>
            <w:pPr>
              <w:pStyle w:val="14"/>
              <w:snapToGrid w:val="0"/>
              <w:spacing w:line="400" w:lineRule="exact"/>
              <w:jc w:val="center"/>
              <w:rPr>
                <w:rFonts w:hAnsi="宋体" w:cs="宋体"/>
                <w:sz w:val="24"/>
                <w:szCs w:val="24"/>
              </w:rPr>
            </w:pPr>
            <w:r>
              <w:rPr>
                <w:rFonts w:hint="eastAsia" w:hAnsi="宋体" w:cs="宋体"/>
                <w:sz w:val="24"/>
                <w:szCs w:val="24"/>
              </w:rPr>
              <w:t>拟投入设备</w:t>
            </w:r>
          </w:p>
        </w:tc>
        <w:tc>
          <w:tcPr>
            <w:tcW w:w="6916" w:type="dxa"/>
            <w:noWrap/>
            <w:vAlign w:val="center"/>
          </w:tcPr>
          <w:p>
            <w:pPr>
              <w:pStyle w:val="14"/>
              <w:spacing w:line="300" w:lineRule="exact"/>
              <w:rPr>
                <w:rFonts w:hAnsi="宋体" w:cs="宋体"/>
                <w:bCs/>
                <w:sz w:val="24"/>
                <w:szCs w:val="24"/>
              </w:rPr>
            </w:pPr>
            <w:r>
              <w:rPr>
                <w:rFonts w:hint="eastAsia" w:hAnsi="宋体" w:cs="宋体"/>
                <w:bCs/>
                <w:sz w:val="24"/>
                <w:szCs w:val="24"/>
              </w:rPr>
              <w:t>综合考虑投标人针对本项目拟投入的维保设备配置情况：</w:t>
            </w:r>
          </w:p>
          <w:p>
            <w:pPr>
              <w:pStyle w:val="14"/>
              <w:spacing w:line="300" w:lineRule="exact"/>
              <w:rPr>
                <w:rFonts w:hAnsi="宋体" w:cs="宋体"/>
                <w:bCs/>
                <w:sz w:val="24"/>
                <w:szCs w:val="24"/>
              </w:rPr>
            </w:pPr>
            <w:r>
              <w:rPr>
                <w:rFonts w:hint="eastAsia" w:hAnsi="宋体" w:cs="宋体"/>
                <w:bCs/>
                <w:sz w:val="24"/>
                <w:szCs w:val="24"/>
              </w:rPr>
              <w:t>维保设备专业、先进、数量充足齐全的，得8-10分；维保设备较专业、较先进、较齐全的，得5-7分；维保设备专业性、先进性一般、基本齐全的，得3-4分；维保设备专业性欠缺、不齐全的，得0-2分；</w:t>
            </w:r>
          </w:p>
        </w:tc>
        <w:tc>
          <w:tcPr>
            <w:tcW w:w="999" w:type="dxa"/>
            <w:noWrap/>
            <w:vAlign w:val="center"/>
          </w:tcPr>
          <w:p>
            <w:pPr>
              <w:pStyle w:val="14"/>
              <w:snapToGrid w:val="0"/>
              <w:spacing w:line="400" w:lineRule="exact"/>
              <w:jc w:val="center"/>
              <w:rPr>
                <w:rFonts w:hAnsi="宋体" w:cs="宋体"/>
                <w:sz w:val="24"/>
                <w:szCs w:val="24"/>
              </w:rPr>
            </w:pPr>
            <w:r>
              <w:rPr>
                <w:rFonts w:hint="eastAsia" w:hAnsi="宋体" w:cs="宋体"/>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75" w:type="dxa"/>
            <w:noWrap/>
            <w:vAlign w:val="center"/>
          </w:tcPr>
          <w:p>
            <w:pPr>
              <w:pStyle w:val="14"/>
              <w:snapToGrid w:val="0"/>
              <w:spacing w:line="400" w:lineRule="exact"/>
              <w:jc w:val="center"/>
              <w:rPr>
                <w:rFonts w:hAnsi="宋体" w:cs="宋体"/>
                <w:sz w:val="24"/>
                <w:szCs w:val="24"/>
              </w:rPr>
            </w:pPr>
            <w:r>
              <w:rPr>
                <w:rFonts w:hint="eastAsia" w:hAnsi="宋体" w:cs="宋体"/>
                <w:sz w:val="24"/>
                <w:szCs w:val="24"/>
              </w:rPr>
              <w:t>人员配置情况</w:t>
            </w:r>
          </w:p>
        </w:tc>
        <w:tc>
          <w:tcPr>
            <w:tcW w:w="6916" w:type="dxa"/>
            <w:noWrap/>
            <w:vAlign w:val="center"/>
          </w:tcPr>
          <w:p>
            <w:pPr>
              <w:pStyle w:val="14"/>
              <w:spacing w:line="300" w:lineRule="exact"/>
              <w:rPr>
                <w:rFonts w:hAnsi="宋体" w:cs="宋体"/>
                <w:bCs/>
                <w:sz w:val="24"/>
                <w:szCs w:val="24"/>
              </w:rPr>
            </w:pPr>
            <w:r>
              <w:rPr>
                <w:rFonts w:hint="eastAsia" w:hAnsi="宋体" w:cs="宋体"/>
                <w:bCs/>
                <w:sz w:val="24"/>
                <w:szCs w:val="24"/>
              </w:rPr>
              <w:t>综合考评投标人拟投入本项目的实施团队组建情况：</w:t>
            </w:r>
          </w:p>
          <w:p>
            <w:pPr>
              <w:pStyle w:val="14"/>
              <w:spacing w:line="300" w:lineRule="exact"/>
              <w:rPr>
                <w:rFonts w:hAnsi="宋体" w:cs="宋体"/>
                <w:bCs/>
                <w:sz w:val="24"/>
                <w:szCs w:val="24"/>
              </w:rPr>
            </w:pPr>
            <w:r>
              <w:rPr>
                <w:rFonts w:hint="eastAsia" w:hAnsi="宋体" w:cs="宋体"/>
                <w:bCs/>
                <w:sz w:val="24"/>
                <w:szCs w:val="24"/>
              </w:rPr>
              <w:t>人员配备齐全，结构合理，专业性强，职责分工明确，经验丰富，综合素质高的，得8-10分；人员配备较齐全，结构较合理，专业性较强，职责分工较明确，经验较丰富，综合素质较高的，得5-7分；人员配备基本齐全，结构相对合理，专业性一般，职责分工不够明确，经验稍显不足，综合素质一般，能够基本满足招标文件要求的，得3-4分；人员配备不够齐全，结构欠合理，专业性较弱，职责分工不够明确，综合素质较弱，对招标文件要求满足度较低的，得0-2分。</w:t>
            </w:r>
          </w:p>
          <w:p>
            <w:pPr>
              <w:pStyle w:val="14"/>
              <w:spacing w:line="300" w:lineRule="exact"/>
              <w:rPr>
                <w:rFonts w:hAnsi="宋体" w:cs="宋体"/>
                <w:bCs/>
                <w:sz w:val="24"/>
                <w:szCs w:val="24"/>
              </w:rPr>
            </w:pPr>
            <w:r>
              <w:rPr>
                <w:rFonts w:hint="eastAsia" w:hAnsi="宋体" w:cs="宋体"/>
                <w:bCs/>
                <w:sz w:val="24"/>
                <w:szCs w:val="24"/>
              </w:rPr>
              <w:t>（须提供团队成员名单、简历、资历经验证明、操作人员应具有行业资格证书等相关材料并加盖供应商公章）</w:t>
            </w:r>
          </w:p>
        </w:tc>
        <w:tc>
          <w:tcPr>
            <w:tcW w:w="999" w:type="dxa"/>
            <w:noWrap/>
            <w:vAlign w:val="center"/>
          </w:tcPr>
          <w:p>
            <w:pPr>
              <w:pStyle w:val="14"/>
              <w:snapToGrid w:val="0"/>
              <w:spacing w:line="400" w:lineRule="exact"/>
              <w:jc w:val="center"/>
              <w:rPr>
                <w:rFonts w:hAnsi="宋体" w:cs="宋体"/>
                <w:sz w:val="24"/>
                <w:szCs w:val="24"/>
                <w:highlight w:val="yellow"/>
              </w:rPr>
            </w:pPr>
            <w:r>
              <w:rPr>
                <w:rFonts w:hint="eastAsia" w:hAnsi="宋体" w:cs="宋体"/>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475" w:type="dxa"/>
            <w:noWrap/>
            <w:vAlign w:val="center"/>
          </w:tcPr>
          <w:p>
            <w:pPr>
              <w:pStyle w:val="14"/>
              <w:snapToGrid w:val="0"/>
              <w:spacing w:line="400" w:lineRule="exact"/>
              <w:jc w:val="center"/>
              <w:rPr>
                <w:rFonts w:hAnsi="宋体" w:cs="宋体"/>
                <w:sz w:val="24"/>
                <w:szCs w:val="24"/>
              </w:rPr>
            </w:pPr>
            <w:r>
              <w:rPr>
                <w:rFonts w:hint="eastAsia" w:hAnsi="宋体" w:cs="宋体"/>
                <w:sz w:val="24"/>
                <w:szCs w:val="24"/>
              </w:rPr>
              <w:t>承诺及优惠条件</w:t>
            </w:r>
          </w:p>
        </w:tc>
        <w:tc>
          <w:tcPr>
            <w:tcW w:w="6916" w:type="dxa"/>
            <w:noWrap/>
            <w:vAlign w:val="center"/>
          </w:tcPr>
          <w:p>
            <w:pPr>
              <w:pStyle w:val="14"/>
              <w:spacing w:line="300" w:lineRule="exact"/>
              <w:rPr>
                <w:rFonts w:hAnsi="宋体" w:cs="宋体"/>
                <w:bCs/>
                <w:sz w:val="24"/>
                <w:szCs w:val="24"/>
              </w:rPr>
            </w:pPr>
            <w:r>
              <w:rPr>
                <w:rFonts w:hint="eastAsia" w:hAnsi="宋体" w:cs="宋体"/>
                <w:bCs/>
                <w:sz w:val="24"/>
                <w:szCs w:val="24"/>
              </w:rPr>
              <w:t>1.提供服务期间不影响办公承诺方案的优劣酌情打分，得0-</w:t>
            </w:r>
            <w:r>
              <w:rPr>
                <w:rFonts w:hint="eastAsia" w:hAnsi="宋体" w:cs="宋体"/>
                <w:bCs/>
                <w:sz w:val="24"/>
                <w:szCs w:val="24"/>
                <w:lang w:val="en-US" w:eastAsia="zh-CN"/>
              </w:rPr>
              <w:t>5</w:t>
            </w:r>
            <w:r>
              <w:rPr>
                <w:rFonts w:hint="eastAsia" w:hAnsi="宋体" w:cs="宋体"/>
                <w:bCs/>
                <w:sz w:val="24"/>
                <w:szCs w:val="24"/>
              </w:rPr>
              <w:t>分；</w:t>
            </w:r>
          </w:p>
          <w:p>
            <w:pPr>
              <w:pStyle w:val="14"/>
              <w:spacing w:line="300" w:lineRule="exact"/>
              <w:rPr>
                <w:rFonts w:hAnsi="宋体" w:cs="宋体"/>
                <w:bCs/>
                <w:sz w:val="24"/>
                <w:szCs w:val="24"/>
              </w:rPr>
            </w:pPr>
            <w:r>
              <w:rPr>
                <w:rFonts w:hint="eastAsia" w:hAnsi="宋体" w:cs="宋体"/>
                <w:bCs/>
                <w:sz w:val="24"/>
                <w:szCs w:val="24"/>
              </w:rPr>
              <w:t>2.提供招标要求以外实质性优惠条件，按方案的优劣酌情打分，得0-</w:t>
            </w:r>
            <w:r>
              <w:rPr>
                <w:rFonts w:hint="eastAsia" w:hAnsi="宋体" w:cs="宋体"/>
                <w:bCs/>
                <w:sz w:val="24"/>
                <w:szCs w:val="24"/>
                <w:lang w:val="en-US" w:eastAsia="zh-CN"/>
              </w:rPr>
              <w:t>5</w:t>
            </w:r>
            <w:r>
              <w:rPr>
                <w:rFonts w:hint="eastAsia" w:hAnsi="宋体" w:cs="宋体"/>
                <w:bCs/>
                <w:sz w:val="24"/>
                <w:szCs w:val="24"/>
              </w:rPr>
              <w:t>分。</w:t>
            </w:r>
          </w:p>
        </w:tc>
        <w:tc>
          <w:tcPr>
            <w:tcW w:w="999" w:type="dxa"/>
            <w:noWrap/>
            <w:vAlign w:val="center"/>
          </w:tcPr>
          <w:p>
            <w:pPr>
              <w:pStyle w:val="14"/>
              <w:snapToGrid w:val="0"/>
              <w:spacing w:line="400" w:lineRule="exact"/>
              <w:jc w:val="center"/>
              <w:rPr>
                <w:rFonts w:hAnsi="宋体" w:cs="宋体"/>
                <w:sz w:val="24"/>
                <w:szCs w:val="24"/>
              </w:rPr>
            </w:pPr>
            <w:r>
              <w:rPr>
                <w:rFonts w:hint="eastAsia" w:hAnsi="宋体" w:cs="宋体"/>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390" w:type="dxa"/>
            <w:gridSpan w:val="3"/>
            <w:noWrap/>
            <w:vAlign w:val="center"/>
          </w:tcPr>
          <w:p>
            <w:pPr>
              <w:pStyle w:val="14"/>
              <w:snapToGrid w:val="0"/>
              <w:spacing w:line="400" w:lineRule="exact"/>
              <w:rPr>
                <w:rFonts w:hAnsi="宋体" w:cs="宋体"/>
                <w:b/>
                <w:sz w:val="24"/>
                <w:szCs w:val="24"/>
              </w:rPr>
            </w:pPr>
            <w:r>
              <w:rPr>
                <w:rFonts w:hint="eastAsia" w:hAnsi="宋体" w:cs="宋体"/>
                <w:b/>
                <w:sz w:val="24"/>
                <w:szCs w:val="24"/>
              </w:rPr>
              <w:t>C：商务部分评分18分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6" w:hRule="atLeast"/>
          <w:jc w:val="center"/>
        </w:trPr>
        <w:tc>
          <w:tcPr>
            <w:tcW w:w="1475" w:type="dxa"/>
            <w:noWrap/>
            <w:vAlign w:val="center"/>
          </w:tcPr>
          <w:p>
            <w:pPr>
              <w:pStyle w:val="14"/>
              <w:snapToGrid w:val="0"/>
              <w:spacing w:line="400" w:lineRule="exact"/>
              <w:jc w:val="center"/>
              <w:rPr>
                <w:rFonts w:hAnsi="宋体" w:cs="宋体"/>
                <w:sz w:val="24"/>
                <w:szCs w:val="24"/>
              </w:rPr>
            </w:pPr>
            <w:r>
              <w:rPr>
                <w:rFonts w:hint="eastAsia" w:hAnsi="宋体" w:cs="宋体"/>
                <w:sz w:val="24"/>
                <w:szCs w:val="24"/>
              </w:rPr>
              <w:t>人员证书</w:t>
            </w:r>
          </w:p>
        </w:tc>
        <w:tc>
          <w:tcPr>
            <w:tcW w:w="6916" w:type="dxa"/>
            <w:noWrap/>
            <w:vAlign w:val="center"/>
          </w:tcPr>
          <w:p>
            <w:pPr>
              <w:pStyle w:val="14"/>
              <w:spacing w:line="300" w:lineRule="exact"/>
              <w:rPr>
                <w:rFonts w:hAnsi="宋体" w:cs="宋体"/>
                <w:bCs/>
                <w:sz w:val="24"/>
                <w:szCs w:val="24"/>
              </w:rPr>
            </w:pPr>
            <w:r>
              <w:rPr>
                <w:rFonts w:hint="eastAsia" w:hAnsi="宋体" w:cs="宋体"/>
                <w:bCs/>
                <w:sz w:val="24"/>
                <w:szCs w:val="24"/>
              </w:rPr>
              <w:t>1.供应商提供不少于2 人的驻场服务，且驻场人员取得（机电工程）贰级注册建造师执业资格证书的，得2 分。</w:t>
            </w:r>
          </w:p>
          <w:p>
            <w:pPr>
              <w:pStyle w:val="14"/>
              <w:spacing w:line="300" w:lineRule="exact"/>
              <w:rPr>
                <w:rFonts w:hAnsi="宋体" w:cs="宋体"/>
                <w:bCs/>
                <w:sz w:val="24"/>
                <w:szCs w:val="24"/>
              </w:rPr>
            </w:pPr>
            <w:r>
              <w:rPr>
                <w:rFonts w:hint="eastAsia" w:hAnsi="宋体" w:cs="宋体"/>
                <w:bCs/>
                <w:sz w:val="24"/>
                <w:szCs w:val="24"/>
              </w:rPr>
              <w:t>2.供应商拟派项目负责人具备注册建造师执业资格，得1分，具备高级工程师或以上职称，得1分；本科或以上学历，得1分；</w:t>
            </w:r>
          </w:p>
          <w:p>
            <w:pPr>
              <w:pStyle w:val="14"/>
              <w:spacing w:line="300" w:lineRule="exact"/>
              <w:rPr>
                <w:rFonts w:hAnsi="宋体" w:cs="宋体"/>
                <w:bCs/>
                <w:sz w:val="24"/>
                <w:szCs w:val="24"/>
              </w:rPr>
            </w:pPr>
            <w:r>
              <w:rPr>
                <w:rFonts w:hint="eastAsia" w:hAnsi="宋体" w:cs="宋体"/>
                <w:bCs/>
                <w:sz w:val="24"/>
                <w:szCs w:val="24"/>
              </w:rPr>
              <w:t>3.供应商拟派技术负责人具备注册建造师执业资格，得1分，具备中级工程师或以上职称，得1分；本科或以上学历，得1分；</w:t>
            </w:r>
          </w:p>
          <w:p>
            <w:pPr>
              <w:pStyle w:val="14"/>
              <w:snapToGrid w:val="0"/>
              <w:spacing w:line="320" w:lineRule="exact"/>
              <w:rPr>
                <w:rFonts w:hAnsi="宋体" w:cs="宋体"/>
                <w:spacing w:val="-7"/>
                <w:sz w:val="24"/>
                <w:szCs w:val="24"/>
              </w:rPr>
            </w:pPr>
            <w:r>
              <w:rPr>
                <w:rFonts w:hint="eastAsia" w:hAnsi="宋体" w:cs="宋体"/>
                <w:bCs/>
                <w:sz w:val="24"/>
                <w:szCs w:val="24"/>
              </w:rPr>
              <w:t>未提供得0 分。（以上均需提供本公司为团队成员缴纳的社保缴费证明和相关证书复印件并加盖公章）</w:t>
            </w:r>
          </w:p>
        </w:tc>
        <w:tc>
          <w:tcPr>
            <w:tcW w:w="999" w:type="dxa"/>
            <w:noWrap/>
            <w:vAlign w:val="center"/>
          </w:tcPr>
          <w:p>
            <w:pPr>
              <w:pStyle w:val="14"/>
              <w:snapToGrid w:val="0"/>
              <w:spacing w:line="400" w:lineRule="exact"/>
              <w:jc w:val="center"/>
              <w:rPr>
                <w:rFonts w:hAnsi="宋体" w:cs="宋体"/>
                <w:sz w:val="24"/>
                <w:szCs w:val="24"/>
              </w:rPr>
            </w:pPr>
            <w:r>
              <w:rPr>
                <w:rFonts w:hint="eastAsia" w:hAnsi="宋体" w:cs="宋体"/>
                <w:sz w:val="24"/>
                <w:szCs w:val="24"/>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475" w:type="dxa"/>
            <w:noWrap/>
            <w:vAlign w:val="center"/>
          </w:tcPr>
          <w:p>
            <w:pPr>
              <w:pStyle w:val="14"/>
              <w:snapToGrid w:val="0"/>
              <w:spacing w:line="400" w:lineRule="exact"/>
              <w:jc w:val="center"/>
              <w:rPr>
                <w:rFonts w:hAnsi="宋体" w:cs="宋体"/>
                <w:sz w:val="24"/>
                <w:szCs w:val="24"/>
              </w:rPr>
            </w:pPr>
            <w:r>
              <w:rPr>
                <w:rFonts w:hint="eastAsia" w:hAnsi="宋体" w:cs="宋体"/>
                <w:sz w:val="24"/>
                <w:szCs w:val="24"/>
              </w:rPr>
              <w:t>类似业绩情况</w:t>
            </w:r>
          </w:p>
        </w:tc>
        <w:tc>
          <w:tcPr>
            <w:tcW w:w="6916" w:type="dxa"/>
            <w:noWrap/>
            <w:vAlign w:val="center"/>
          </w:tcPr>
          <w:p>
            <w:pPr>
              <w:pStyle w:val="14"/>
              <w:snapToGrid w:val="0"/>
              <w:spacing w:line="320" w:lineRule="exact"/>
              <w:rPr>
                <w:rFonts w:hAnsi="宋体" w:cs="宋体"/>
                <w:spacing w:val="-7"/>
                <w:sz w:val="24"/>
                <w:szCs w:val="24"/>
              </w:rPr>
            </w:pPr>
            <w:r>
              <w:rPr>
                <w:rFonts w:hint="eastAsia" w:hAnsi="宋体" w:cs="宋体"/>
                <w:spacing w:val="-7"/>
                <w:sz w:val="24"/>
                <w:szCs w:val="24"/>
              </w:rPr>
              <w:t>近年（2020年3月1日至今）从事类似项目业绩进行评价，须提供中标通知书、成交通知书或合同协议书（相关业绩证明资料提供原件扫描件），提供一个得2分，最高得10分。</w:t>
            </w:r>
          </w:p>
        </w:tc>
        <w:tc>
          <w:tcPr>
            <w:tcW w:w="999" w:type="dxa"/>
            <w:noWrap/>
            <w:vAlign w:val="center"/>
          </w:tcPr>
          <w:p>
            <w:pPr>
              <w:pStyle w:val="14"/>
              <w:snapToGrid w:val="0"/>
              <w:spacing w:line="400" w:lineRule="exact"/>
              <w:jc w:val="center"/>
              <w:rPr>
                <w:rFonts w:hAnsi="宋体" w:cs="宋体"/>
                <w:sz w:val="24"/>
                <w:szCs w:val="24"/>
              </w:rPr>
            </w:pPr>
            <w:r>
              <w:rPr>
                <w:rFonts w:hint="eastAsia" w:hAnsi="宋体" w:cs="宋体"/>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9390" w:type="dxa"/>
            <w:gridSpan w:val="3"/>
            <w:noWrap/>
            <w:vAlign w:val="center"/>
          </w:tcPr>
          <w:p>
            <w:pPr>
              <w:jc w:val="left"/>
              <w:rPr>
                <w:rFonts w:ascii="宋体" w:hAnsi="宋体" w:cs="宋体"/>
                <w:sz w:val="24"/>
                <w:szCs w:val="24"/>
              </w:rPr>
            </w:pPr>
            <w:r>
              <w:rPr>
                <w:rFonts w:hint="eastAsia" w:ascii="宋体" w:hAnsi="宋体" w:cs="宋体"/>
                <w:sz w:val="24"/>
                <w:szCs w:val="24"/>
              </w:rPr>
              <w:t>备注：</w:t>
            </w:r>
          </w:p>
          <w:p>
            <w:pPr>
              <w:jc w:val="left"/>
              <w:rPr>
                <w:rFonts w:ascii="宋体" w:hAnsi="宋体" w:cs="宋体"/>
                <w:sz w:val="24"/>
                <w:szCs w:val="24"/>
              </w:rPr>
            </w:pPr>
            <w:r>
              <w:rPr>
                <w:rFonts w:hint="eastAsia" w:ascii="宋体" w:hAnsi="宋体" w:cs="宋体"/>
                <w:sz w:val="24"/>
                <w:szCs w:val="24"/>
              </w:rPr>
              <w:t xml:space="preserve">1、专家根据投标文件中投标人提供的资料在分值范围内进行评议； </w:t>
            </w:r>
          </w:p>
          <w:p>
            <w:pPr>
              <w:pStyle w:val="14"/>
              <w:snapToGrid w:val="0"/>
              <w:spacing w:line="400" w:lineRule="exact"/>
              <w:jc w:val="left"/>
              <w:rPr>
                <w:rFonts w:hAnsi="宋体" w:cs="宋体"/>
                <w:sz w:val="24"/>
                <w:szCs w:val="24"/>
                <w:highlight w:val="yellow"/>
              </w:rPr>
            </w:pPr>
            <w:r>
              <w:rPr>
                <w:rFonts w:hint="eastAsia" w:hAnsi="宋体" w:cs="宋体"/>
                <w:sz w:val="24"/>
                <w:szCs w:val="24"/>
              </w:rPr>
              <w:t>2、得分保留两位小数。</w:t>
            </w:r>
          </w:p>
        </w:tc>
      </w:tr>
    </w:tbl>
    <w:p>
      <w:pPr>
        <w:pStyle w:val="20"/>
        <w:rPr>
          <w:highlight w:val="yellow"/>
        </w:rPr>
      </w:pPr>
    </w:p>
    <w:p>
      <w:pPr>
        <w:numPr>
          <w:ilvl w:val="1"/>
          <w:numId w:val="32"/>
        </w:numPr>
        <w:spacing w:line="360" w:lineRule="auto"/>
        <w:rPr>
          <w:rFonts w:ascii="仿宋" w:hAnsi="仿宋" w:eastAsia="仿宋" w:cs="仿宋"/>
          <w:sz w:val="24"/>
          <w:szCs w:val="24"/>
        </w:rPr>
      </w:pPr>
      <w:r>
        <w:rPr>
          <w:rFonts w:hint="eastAsia" w:ascii="仿宋" w:hAnsi="仿宋" w:eastAsia="仿宋" w:cs="仿宋"/>
          <w:b/>
          <w:bCs/>
          <w:sz w:val="24"/>
          <w:szCs w:val="24"/>
        </w:rPr>
        <w:t>当评标小组认为通过符合性审查的投标人的报价明显低于其他通过符合性审查投标人的报价，有可能影响服务质量或者不能诚信履约的，评标小组应当要求其在评标现场合理的时间内提供书面说明，必要时提交相关证明材料；投标人不能证明其报价合理性的，评标小组应当将其作为无效投标处理（投标人没有在评标小组规定的时间内说明的，该投标人按无效投标处理）。</w:t>
      </w:r>
    </w:p>
    <w:p>
      <w:pPr>
        <w:numPr>
          <w:ilvl w:val="1"/>
          <w:numId w:val="32"/>
        </w:numPr>
        <w:spacing w:line="360" w:lineRule="auto"/>
        <w:rPr>
          <w:rFonts w:ascii="仿宋" w:hAnsi="仿宋" w:eastAsia="仿宋" w:cs="仿宋"/>
          <w:sz w:val="24"/>
          <w:szCs w:val="24"/>
        </w:rPr>
      </w:pPr>
      <w:r>
        <w:rPr>
          <w:rFonts w:hint="eastAsia" w:ascii="仿宋" w:hAnsi="仿宋" w:eastAsia="仿宋" w:cs="仿宋"/>
          <w:b/>
          <w:bCs/>
          <w:sz w:val="24"/>
          <w:szCs w:val="24"/>
        </w:rPr>
        <w:t>投标文件报价出现前后不一致的，除招标文件另有规定外，按照下列规定修正：</w:t>
      </w:r>
    </w:p>
    <w:p>
      <w:pPr>
        <w:numPr>
          <w:ilvl w:val="2"/>
          <w:numId w:val="33"/>
        </w:numPr>
        <w:spacing w:line="360" w:lineRule="auto"/>
        <w:rPr>
          <w:rFonts w:ascii="仿宋" w:hAnsi="仿宋" w:eastAsia="仿宋" w:cs="仿宋"/>
          <w:sz w:val="24"/>
          <w:szCs w:val="24"/>
        </w:rPr>
      </w:pPr>
      <w:r>
        <w:rPr>
          <w:rFonts w:hint="eastAsia" w:ascii="仿宋" w:hAnsi="仿宋" w:eastAsia="仿宋" w:cs="仿宋"/>
          <w:sz w:val="24"/>
          <w:szCs w:val="24"/>
        </w:rPr>
        <w:t>投标文件中报价一览表内容与投标文件中明细表内容不一致的，以报价一览表为准；</w:t>
      </w:r>
    </w:p>
    <w:p>
      <w:pPr>
        <w:numPr>
          <w:ilvl w:val="2"/>
          <w:numId w:val="33"/>
        </w:numPr>
        <w:spacing w:line="360" w:lineRule="auto"/>
        <w:rPr>
          <w:rFonts w:ascii="仿宋" w:hAnsi="仿宋" w:eastAsia="仿宋" w:cs="仿宋"/>
          <w:sz w:val="24"/>
          <w:szCs w:val="24"/>
        </w:rPr>
      </w:pPr>
      <w:r>
        <w:rPr>
          <w:rFonts w:hint="eastAsia" w:ascii="仿宋" w:hAnsi="仿宋" w:eastAsia="仿宋" w:cs="仿宋"/>
          <w:sz w:val="24"/>
          <w:szCs w:val="24"/>
        </w:rPr>
        <w:t>大写金额和小写金额不一致的，以大写金额为准；</w:t>
      </w:r>
    </w:p>
    <w:p>
      <w:pPr>
        <w:numPr>
          <w:ilvl w:val="2"/>
          <w:numId w:val="33"/>
        </w:numPr>
        <w:spacing w:line="360" w:lineRule="auto"/>
        <w:rPr>
          <w:rFonts w:ascii="仿宋" w:hAnsi="仿宋" w:eastAsia="仿宋" w:cs="仿宋"/>
          <w:sz w:val="24"/>
          <w:szCs w:val="24"/>
        </w:rPr>
      </w:pPr>
      <w:r>
        <w:rPr>
          <w:rFonts w:hint="eastAsia" w:ascii="仿宋" w:hAnsi="仿宋" w:eastAsia="仿宋" w:cs="仿宋"/>
          <w:sz w:val="24"/>
          <w:szCs w:val="24"/>
        </w:rPr>
        <w:t>单价金额小数点或百分比有明显错位的，以开标一览表的总价为准，并修改单价；</w:t>
      </w:r>
    </w:p>
    <w:p>
      <w:pPr>
        <w:numPr>
          <w:ilvl w:val="2"/>
          <w:numId w:val="33"/>
        </w:numPr>
        <w:spacing w:line="360" w:lineRule="auto"/>
        <w:rPr>
          <w:rFonts w:ascii="仿宋" w:hAnsi="仿宋" w:eastAsia="仿宋" w:cs="仿宋"/>
          <w:sz w:val="24"/>
          <w:szCs w:val="24"/>
        </w:rPr>
      </w:pPr>
      <w:r>
        <w:rPr>
          <w:rFonts w:hint="eastAsia" w:ascii="仿宋" w:hAnsi="仿宋" w:eastAsia="仿宋" w:cs="仿宋"/>
          <w:sz w:val="24"/>
          <w:szCs w:val="24"/>
        </w:rPr>
        <w:t>总价金额与按单价汇总金额不一致的，以单价金额计算结果为准。</w:t>
      </w:r>
    </w:p>
    <w:p>
      <w:pPr>
        <w:numPr>
          <w:ilvl w:val="1"/>
          <w:numId w:val="32"/>
        </w:numPr>
        <w:spacing w:line="360" w:lineRule="auto"/>
        <w:rPr>
          <w:rFonts w:ascii="仿宋" w:hAnsi="仿宋" w:eastAsia="仿宋" w:cs="仿宋"/>
          <w:bCs/>
          <w:sz w:val="24"/>
          <w:szCs w:val="24"/>
        </w:rPr>
      </w:pPr>
      <w:r>
        <w:rPr>
          <w:rFonts w:hint="eastAsia" w:ascii="仿宋" w:hAnsi="仿宋" w:eastAsia="仿宋" w:cs="仿宋"/>
          <w:bCs/>
          <w:sz w:val="24"/>
          <w:szCs w:val="24"/>
        </w:rPr>
        <w:t>投标文件中的缺漏项将按以下方法更正：若投标人的投标报价中有缺漏项内容，评标小组将视为其投标总价已包括缺漏项内容，若其中标，有关该内容的合同价格不予调整。如果投标人不接受对其缺漏项的更正，其投标将被拒绝。</w:t>
      </w:r>
    </w:p>
    <w:p>
      <w:pPr>
        <w:numPr>
          <w:ilvl w:val="1"/>
          <w:numId w:val="32"/>
        </w:numPr>
        <w:spacing w:line="360" w:lineRule="auto"/>
        <w:rPr>
          <w:rFonts w:ascii="仿宋" w:hAnsi="仿宋" w:eastAsia="仿宋" w:cs="仿宋"/>
          <w:bCs/>
          <w:sz w:val="24"/>
          <w:szCs w:val="24"/>
        </w:rPr>
      </w:pPr>
      <w:r>
        <w:rPr>
          <w:rFonts w:hint="eastAsia" w:ascii="仿宋" w:hAnsi="仿宋" w:eastAsia="仿宋" w:cs="仿宋"/>
          <w:bCs/>
          <w:sz w:val="24"/>
          <w:szCs w:val="24"/>
        </w:rPr>
        <w:t>对数量的评审：以《采购内容》所示数量为准；《采购内容》未明示的，由评标小组以其专业知识判断，必要时参考投标人的澄清文件决定。</w:t>
      </w:r>
    </w:p>
    <w:p>
      <w:pPr>
        <w:numPr>
          <w:ilvl w:val="1"/>
          <w:numId w:val="32"/>
        </w:numPr>
        <w:spacing w:line="360" w:lineRule="auto"/>
        <w:rPr>
          <w:rFonts w:ascii="仿宋" w:hAnsi="仿宋" w:eastAsia="仿宋" w:cs="仿宋"/>
          <w:b/>
          <w:bCs/>
          <w:sz w:val="24"/>
          <w:szCs w:val="24"/>
        </w:rPr>
      </w:pPr>
      <w:r>
        <w:rPr>
          <w:rFonts w:hint="eastAsia" w:ascii="仿宋" w:hAnsi="仿宋" w:eastAsia="仿宋" w:cs="仿宋"/>
          <w:b/>
          <w:bCs/>
          <w:sz w:val="24"/>
          <w:szCs w:val="24"/>
        </w:rPr>
        <w:t>对小型或微型企业的扶持：</w:t>
      </w:r>
    </w:p>
    <w:p>
      <w:pPr>
        <w:pStyle w:val="12"/>
        <w:ind w:left="899" w:leftChars="428" w:firstLine="0" w:firstLineChars="0"/>
        <w:rPr>
          <w:rFonts w:ascii="仿宋" w:hAnsi="仿宋" w:eastAsia="仿宋" w:cs="仿宋"/>
          <w:szCs w:val="24"/>
        </w:rPr>
      </w:pPr>
      <w:r>
        <w:rPr>
          <w:rFonts w:hint="eastAsia" w:ascii="仿宋" w:hAnsi="仿宋" w:eastAsia="仿宋" w:cs="仿宋"/>
          <w:szCs w:val="24"/>
        </w:rPr>
        <w:t>（1）根据财政部、工业和信息化部制定了《政府采购促进中小企业发展管理办法》的规定，对小型或微型企业产品的价格给予一定比例扣除，用扣除后的价格参与评审本条款所称小型或微型企业应当符合以下条件：符合小型或微型企业划分标准，并且提供本企业承担的服务。投标人认为其为小型或微型企业的应提交《中小企业声明函》格式见附件2，并明确企业类型，否则评审时不能享受相应的价格扣除。提供本企业制造的货物、承担的工程或者服务，或者提供其他小型或微型企业的制造的货物。</w:t>
      </w:r>
    </w:p>
    <w:p>
      <w:pPr>
        <w:pStyle w:val="12"/>
        <w:ind w:left="899" w:leftChars="428" w:firstLine="0" w:firstLineChars="0"/>
        <w:rPr>
          <w:rFonts w:ascii="仿宋" w:hAnsi="仿宋" w:eastAsia="仿宋" w:cs="仿宋"/>
          <w:szCs w:val="24"/>
        </w:rPr>
      </w:pPr>
      <w:r>
        <w:rPr>
          <w:rFonts w:hint="eastAsia" w:ascii="仿宋" w:hAnsi="仿宋" w:eastAsia="仿宋" w:cs="仿宋"/>
          <w:szCs w:val="24"/>
        </w:rPr>
        <w:t>（2）投标人为小型、微型企业且投标产品含小型、微型企业产品时，其小型、微型企业产品的价格给予10%的扣除，即评标价=投标报价-小型、微型企业产品投标报价×10%。</w:t>
      </w:r>
    </w:p>
    <w:p>
      <w:pPr>
        <w:pStyle w:val="12"/>
        <w:ind w:left="899" w:leftChars="428" w:firstLine="0" w:firstLineChars="0"/>
        <w:rPr>
          <w:rFonts w:ascii="仿宋" w:hAnsi="仿宋" w:eastAsia="仿宋" w:cs="仿宋"/>
          <w:szCs w:val="24"/>
        </w:rPr>
      </w:pPr>
      <w:r>
        <w:rPr>
          <w:rFonts w:hint="eastAsia" w:ascii="仿宋" w:hAnsi="仿宋" w:eastAsia="仿宋" w:cs="仿宋"/>
          <w:szCs w:val="24"/>
        </w:rPr>
        <w:t>（3）根据财政部《政府采购促进中小企业发展管理办法》（财库[2020]46号文）规定，在货物类采购项目中，投标人提供的货物既有中小企业制造货物，也有大型企业制造货物的，不享受中小企业扶持政策。</w:t>
      </w:r>
    </w:p>
    <w:p>
      <w:pPr>
        <w:numPr>
          <w:ilvl w:val="1"/>
          <w:numId w:val="32"/>
        </w:numPr>
        <w:spacing w:line="360" w:lineRule="auto"/>
        <w:rPr>
          <w:rFonts w:ascii="仿宋" w:hAnsi="仿宋" w:eastAsia="仿宋" w:cs="仿宋"/>
          <w:b/>
          <w:bCs/>
          <w:sz w:val="24"/>
          <w:szCs w:val="24"/>
        </w:rPr>
      </w:pPr>
      <w:r>
        <w:rPr>
          <w:rFonts w:hint="eastAsia" w:ascii="仿宋" w:hAnsi="仿宋" w:eastAsia="仿宋" w:cs="仿宋"/>
          <w:b/>
          <w:bCs/>
          <w:sz w:val="24"/>
          <w:szCs w:val="24"/>
        </w:rPr>
        <w:t>监狱企业产品价格扣除</w:t>
      </w:r>
    </w:p>
    <w:p>
      <w:pPr>
        <w:spacing w:line="360" w:lineRule="auto"/>
        <w:ind w:left="907"/>
        <w:rPr>
          <w:rFonts w:ascii="仿宋" w:hAnsi="仿宋" w:eastAsia="仿宋" w:cs="仿宋"/>
          <w:sz w:val="24"/>
          <w:szCs w:val="24"/>
        </w:rPr>
      </w:pPr>
      <w:r>
        <w:rPr>
          <w:rFonts w:hint="eastAsia" w:ascii="仿宋" w:hAnsi="仿宋" w:eastAsia="仿宋" w:cs="仿宋"/>
          <w:sz w:val="24"/>
          <w:szCs w:val="24"/>
        </w:rPr>
        <w:t>1）监狱企业视同小型、微型企业，按上述</w:t>
      </w:r>
      <w:r>
        <w:rPr>
          <w:rFonts w:hint="eastAsia" w:ascii="仿宋" w:hAnsi="仿宋" w:eastAsia="仿宋" w:cs="仿宋"/>
          <w:b/>
          <w:bCs/>
          <w:sz w:val="24"/>
          <w:szCs w:val="24"/>
        </w:rPr>
        <w:t>27.7条款</w:t>
      </w:r>
      <w:r>
        <w:rPr>
          <w:rFonts w:hint="eastAsia" w:ascii="仿宋" w:hAnsi="仿宋" w:eastAsia="仿宋" w:cs="仿宋"/>
          <w:sz w:val="24"/>
          <w:szCs w:val="24"/>
        </w:rPr>
        <w:t>享受评审中价格扣除。</w:t>
      </w:r>
    </w:p>
    <w:p>
      <w:pPr>
        <w:spacing w:line="360" w:lineRule="auto"/>
        <w:ind w:left="907"/>
        <w:rPr>
          <w:rFonts w:ascii="仿宋" w:hAnsi="仿宋" w:eastAsia="仿宋" w:cs="仿宋"/>
          <w:sz w:val="24"/>
          <w:szCs w:val="24"/>
        </w:rPr>
      </w:pPr>
      <w:r>
        <w:rPr>
          <w:rFonts w:hint="eastAsia" w:ascii="仿宋" w:hAnsi="仿宋" w:eastAsia="仿宋" w:cs="仿宋"/>
          <w:sz w:val="24"/>
          <w:szCs w:val="24"/>
        </w:rPr>
        <w:t>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left="907"/>
        <w:rPr>
          <w:rFonts w:ascii="仿宋" w:hAnsi="仿宋" w:eastAsia="仿宋" w:cs="仿宋"/>
          <w:sz w:val="24"/>
          <w:szCs w:val="24"/>
        </w:rPr>
      </w:pPr>
      <w:r>
        <w:rPr>
          <w:rFonts w:hint="eastAsia" w:ascii="仿宋" w:hAnsi="仿宋" w:eastAsia="仿宋" w:cs="仿宋"/>
          <w:sz w:val="24"/>
          <w:szCs w:val="24"/>
        </w:rPr>
        <w:t>3）监狱企业参加政府采购活动时，应当提供由省级以上监狱管理局、戒毒管理局（含新疆生产建设兵团）出具的属于监狱企业的证明文件，否则不予认可。</w:t>
      </w:r>
    </w:p>
    <w:p>
      <w:pPr>
        <w:numPr>
          <w:ilvl w:val="1"/>
          <w:numId w:val="32"/>
        </w:numPr>
        <w:spacing w:line="360" w:lineRule="auto"/>
        <w:rPr>
          <w:rFonts w:ascii="仿宋" w:hAnsi="仿宋" w:eastAsia="仿宋" w:cs="仿宋"/>
          <w:b/>
          <w:bCs/>
          <w:sz w:val="24"/>
          <w:szCs w:val="24"/>
        </w:rPr>
      </w:pPr>
      <w:r>
        <w:rPr>
          <w:rFonts w:hint="eastAsia" w:ascii="仿宋" w:hAnsi="仿宋" w:eastAsia="仿宋" w:cs="仿宋"/>
          <w:b/>
          <w:bCs/>
          <w:sz w:val="24"/>
          <w:szCs w:val="24"/>
        </w:rPr>
        <w:t>残疾人福利性单位产品价格扣除</w:t>
      </w:r>
    </w:p>
    <w:p>
      <w:pPr>
        <w:spacing w:line="360" w:lineRule="auto"/>
        <w:ind w:left="907"/>
        <w:rPr>
          <w:rFonts w:ascii="仿宋" w:hAnsi="仿宋" w:eastAsia="仿宋" w:cs="仿宋"/>
          <w:sz w:val="24"/>
          <w:szCs w:val="24"/>
        </w:rPr>
      </w:pPr>
      <w:r>
        <w:rPr>
          <w:rFonts w:hint="eastAsia" w:ascii="仿宋" w:hAnsi="仿宋" w:eastAsia="仿宋" w:cs="仿宋"/>
          <w:sz w:val="24"/>
          <w:szCs w:val="24"/>
        </w:rPr>
        <w:t>1）残疾人福利性单位视同小型、微型企业，按上述</w:t>
      </w:r>
      <w:r>
        <w:rPr>
          <w:rFonts w:hint="eastAsia" w:ascii="仿宋" w:hAnsi="仿宋" w:eastAsia="仿宋" w:cs="仿宋"/>
          <w:b/>
          <w:bCs/>
          <w:sz w:val="24"/>
          <w:szCs w:val="24"/>
        </w:rPr>
        <w:t>27.7条款</w:t>
      </w:r>
      <w:r>
        <w:rPr>
          <w:rFonts w:hint="eastAsia" w:ascii="仿宋" w:hAnsi="仿宋" w:eastAsia="仿宋" w:cs="仿宋"/>
          <w:sz w:val="24"/>
          <w:szCs w:val="24"/>
        </w:rPr>
        <w:t>享受评审中价格扣除。</w:t>
      </w:r>
    </w:p>
    <w:p>
      <w:pPr>
        <w:spacing w:line="360" w:lineRule="auto"/>
        <w:ind w:left="907"/>
        <w:rPr>
          <w:rFonts w:ascii="仿宋" w:hAnsi="仿宋" w:eastAsia="仿宋" w:cs="仿宋"/>
          <w:sz w:val="24"/>
          <w:szCs w:val="24"/>
        </w:rPr>
      </w:pPr>
      <w:r>
        <w:rPr>
          <w:rFonts w:hint="eastAsia" w:ascii="仿宋" w:hAnsi="仿宋" w:eastAsia="仿宋" w:cs="仿宋"/>
          <w:sz w:val="24"/>
          <w:szCs w:val="24"/>
        </w:rPr>
        <w:t>2）根据财政部、民政部、中国残疾人联合会印发的《关于促进残疾人就业政府采购政策的通知》（财库〔2017〕141号）的规定，符合条件的残疾人福利性单位在参加政府采购活动时，应当提供该通知规定的《残疾人福利性单位声明函》（格式见附件3），并对声明的真实性负责。一旦中标将在中标公告中公告其声明函，接受社会监督。投标人提供的《残疾人福利性单位声明函》与事实不符的，依照《中华人民共和国政府采购法》第七十七条第一款的规定追究法律责任。</w:t>
      </w:r>
    </w:p>
    <w:p>
      <w:pPr>
        <w:numPr>
          <w:ilvl w:val="1"/>
          <w:numId w:val="32"/>
        </w:numPr>
        <w:spacing w:line="360" w:lineRule="auto"/>
        <w:rPr>
          <w:rFonts w:ascii="仿宋" w:hAnsi="仿宋" w:eastAsia="仿宋" w:cs="仿宋"/>
          <w:sz w:val="24"/>
          <w:szCs w:val="24"/>
        </w:rPr>
      </w:pPr>
      <w:r>
        <w:rPr>
          <w:rFonts w:hint="eastAsia" w:ascii="仿宋" w:hAnsi="仿宋" w:eastAsia="仿宋" w:cs="仿宋"/>
          <w:sz w:val="24"/>
          <w:szCs w:val="24"/>
        </w:rPr>
        <w:t>投标人同时为小型、微型企业、监狱企业、残疾人福利性单位任两种或以上情况的，评审中只享受一次价格扣除，不重复进行价格扣除。</w:t>
      </w:r>
    </w:p>
    <w:p>
      <w:pPr>
        <w:numPr>
          <w:ilvl w:val="1"/>
          <w:numId w:val="32"/>
        </w:numPr>
        <w:spacing w:line="360" w:lineRule="auto"/>
        <w:rPr>
          <w:rFonts w:ascii="仿宋" w:hAnsi="仿宋" w:eastAsia="仿宋" w:cs="仿宋"/>
          <w:sz w:val="24"/>
          <w:szCs w:val="24"/>
        </w:rPr>
      </w:pPr>
      <w:r>
        <w:rPr>
          <w:rFonts w:hint="eastAsia" w:ascii="仿宋" w:hAnsi="仿宋" w:eastAsia="仿宋" w:cs="仿宋"/>
          <w:sz w:val="24"/>
          <w:szCs w:val="24"/>
        </w:rPr>
        <w:t>节能产品，指属于财政部、发展改革委发布的《节能产品政府采购品目清单》范围内，并具有国家确定的认证机构出具的、处于有效期之内的节能产品认证证书的产品。采用节能产品的，对报价中的节能产品金额给予价格扣除，扣除方法如下：节能产品金额占项目总金额的比重达到30%以上（含30%），扣除2%；节能产品金额占项目总金额的比重达到30%以下，扣除1%；属于强制采购节能产品的，不作价格扣除。</w:t>
      </w:r>
    </w:p>
    <w:p>
      <w:pPr>
        <w:numPr>
          <w:ilvl w:val="1"/>
          <w:numId w:val="32"/>
        </w:numPr>
        <w:spacing w:line="360" w:lineRule="auto"/>
        <w:rPr>
          <w:rFonts w:ascii="仿宋" w:hAnsi="仿宋" w:eastAsia="仿宋" w:cs="仿宋"/>
          <w:sz w:val="24"/>
          <w:szCs w:val="24"/>
        </w:rPr>
      </w:pPr>
      <w:r>
        <w:rPr>
          <w:rFonts w:hint="eastAsia" w:ascii="仿宋" w:hAnsi="仿宋" w:eastAsia="仿宋" w:cs="仿宋"/>
          <w:sz w:val="24"/>
          <w:szCs w:val="24"/>
        </w:rPr>
        <w:t>环境标志产品，指属于财政部、生态环境部发布的《环境标志产品政府采购品目清单》范围内的，并具有国家确定的认证机构出具的、处于有效期之内的环境标志产品认证证书的产品。采用环境标志产品的，对报价中的环境标志产品金额给予价格扣除，扣除方法如下：环境标志产品金额占项目总金额的比重达到30%以上（含30%），扣除2%；环境标志产品金额占项目总金额的比重达到30%以下，扣除1%。</w:t>
      </w:r>
    </w:p>
    <w:p>
      <w:pPr>
        <w:numPr>
          <w:ilvl w:val="1"/>
          <w:numId w:val="32"/>
        </w:numPr>
        <w:spacing w:line="360" w:lineRule="auto"/>
        <w:rPr>
          <w:rFonts w:ascii="仿宋" w:hAnsi="仿宋" w:eastAsia="仿宋" w:cs="仿宋"/>
          <w:sz w:val="24"/>
          <w:szCs w:val="24"/>
        </w:rPr>
      </w:pPr>
      <w:r>
        <w:rPr>
          <w:rFonts w:hint="eastAsia" w:ascii="仿宋" w:hAnsi="仿宋" w:eastAsia="仿宋" w:cs="仿宋"/>
          <w:sz w:val="24"/>
          <w:szCs w:val="24"/>
        </w:rPr>
        <w:t>评标价的确定：按上述条款校核修正后的价格为评标价。</w:t>
      </w:r>
    </w:p>
    <w:p>
      <w:pPr>
        <w:numPr>
          <w:ilvl w:val="1"/>
          <w:numId w:val="32"/>
        </w:numPr>
        <w:spacing w:line="360" w:lineRule="auto"/>
        <w:rPr>
          <w:rFonts w:ascii="仿宋" w:hAnsi="仿宋" w:eastAsia="仿宋" w:cs="仿宋"/>
          <w:sz w:val="24"/>
          <w:szCs w:val="24"/>
        </w:rPr>
      </w:pPr>
      <w:r>
        <w:rPr>
          <w:rFonts w:hint="eastAsia" w:ascii="仿宋" w:hAnsi="仿宋" w:eastAsia="仿宋" w:cs="仿宋"/>
          <w:sz w:val="24"/>
          <w:szCs w:val="24"/>
        </w:rPr>
        <w:t>评标小组成员对需要共同认定的事项存在争议的，应当按照少数服从多数的原则作出结论。持不同意见的评标小组成员应当在评标报告上签署不同意见及理由，否则视为同意评标报告。</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189" w:name="_Toc10625"/>
      <w:bookmarkStart w:id="190" w:name="_Toc55778710"/>
      <w:bookmarkStart w:id="191" w:name="_Toc21033"/>
      <w:bookmarkStart w:id="192" w:name="_Toc31812"/>
      <w:bookmarkStart w:id="193" w:name="_Toc31639"/>
      <w:r>
        <w:rPr>
          <w:rFonts w:hint="eastAsia" w:ascii="仿宋" w:hAnsi="仿宋" w:eastAsia="仿宋" w:cs="仿宋"/>
          <w:b/>
          <w:kern w:val="44"/>
          <w:sz w:val="24"/>
          <w:szCs w:val="24"/>
        </w:rPr>
        <w:t>投标文件的修正和澄清</w:t>
      </w:r>
      <w:bookmarkEnd w:id="189"/>
      <w:bookmarkEnd w:id="190"/>
      <w:bookmarkEnd w:id="191"/>
      <w:bookmarkEnd w:id="192"/>
      <w:bookmarkEnd w:id="193"/>
    </w:p>
    <w:p>
      <w:pPr>
        <w:numPr>
          <w:ilvl w:val="1"/>
          <w:numId w:val="34"/>
        </w:numPr>
        <w:spacing w:line="360" w:lineRule="auto"/>
        <w:rPr>
          <w:rFonts w:hAnsi="宋体"/>
          <w:color w:val="000000"/>
          <w:sz w:val="24"/>
          <w:szCs w:val="24"/>
        </w:rPr>
      </w:pPr>
      <w:bookmarkStart w:id="194" w:name="_Toc55778711"/>
      <w:r>
        <w:rPr>
          <w:rFonts w:hint="eastAsia" w:ascii="仿宋" w:hAnsi="仿宋" w:eastAsia="仿宋" w:cs="仿宋"/>
          <w:sz w:val="24"/>
          <w:szCs w:val="24"/>
        </w:rPr>
        <w:t>评审小组在对投标文件(包括首次投标文件、重新提交的投标文件)的有效性、完整性和对招标文件的投标程度进行审查时，可以要求投标人对投标文件中含义不明确、同类问题表述不一致或者有明显文字和计算错误的内容等作出必要的澄清、说明或者更正。各投标人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195" w:name="_Toc14816"/>
      <w:bookmarkStart w:id="196" w:name="_Toc30970"/>
      <w:bookmarkStart w:id="197" w:name="_Toc3356"/>
      <w:bookmarkStart w:id="198" w:name="_Toc12810"/>
      <w:r>
        <w:rPr>
          <w:rFonts w:hint="eastAsia" w:ascii="仿宋" w:hAnsi="仿宋" w:eastAsia="仿宋" w:cs="仿宋"/>
          <w:b/>
          <w:bCs/>
          <w:kern w:val="44"/>
          <w:sz w:val="24"/>
          <w:szCs w:val="24"/>
        </w:rPr>
        <w:t>评标总得分统计及推荐</w:t>
      </w:r>
      <w:bookmarkEnd w:id="194"/>
      <w:bookmarkEnd w:id="195"/>
      <w:bookmarkEnd w:id="196"/>
      <w:bookmarkEnd w:id="197"/>
      <w:bookmarkEnd w:id="198"/>
    </w:p>
    <w:p>
      <w:pPr>
        <w:numPr>
          <w:ilvl w:val="1"/>
          <w:numId w:val="35"/>
        </w:numPr>
        <w:spacing w:line="360" w:lineRule="auto"/>
        <w:rPr>
          <w:rFonts w:ascii="仿宋" w:hAnsi="仿宋" w:eastAsia="仿宋" w:cs="仿宋"/>
          <w:sz w:val="24"/>
          <w:szCs w:val="24"/>
        </w:rPr>
      </w:pPr>
      <w:r>
        <w:rPr>
          <w:rFonts w:hint="eastAsia" w:ascii="仿宋" w:hAnsi="仿宋" w:eastAsia="仿宋" w:cs="仿宋"/>
          <w:sz w:val="24"/>
          <w:szCs w:val="24"/>
        </w:rPr>
        <w:t>评标过程中，不得去掉报价中的最高报价和最低报价。</w:t>
      </w:r>
    </w:p>
    <w:p>
      <w:pPr>
        <w:numPr>
          <w:ilvl w:val="1"/>
          <w:numId w:val="35"/>
        </w:numPr>
        <w:spacing w:line="360" w:lineRule="auto"/>
        <w:rPr>
          <w:rFonts w:ascii="仿宋" w:hAnsi="仿宋" w:eastAsia="仿宋" w:cs="仿宋"/>
          <w:sz w:val="24"/>
          <w:szCs w:val="24"/>
        </w:rPr>
      </w:pPr>
      <w:r>
        <w:rPr>
          <w:rFonts w:hint="eastAsia" w:ascii="仿宋" w:hAnsi="仿宋" w:eastAsia="仿宋" w:cs="仿宋"/>
          <w:sz w:val="24"/>
          <w:szCs w:val="24"/>
        </w:rPr>
        <w:t>评标小组各成员独立对每个投标人的投标文件进行评价，并汇总每个投标人的得分（评标总得分分值按四舍五入原则精确到小数点后两位）。</w:t>
      </w:r>
    </w:p>
    <w:p>
      <w:pPr>
        <w:numPr>
          <w:ilvl w:val="1"/>
          <w:numId w:val="35"/>
        </w:numPr>
        <w:spacing w:line="360" w:lineRule="auto"/>
        <w:rPr>
          <w:rFonts w:ascii="仿宋" w:hAnsi="仿宋" w:eastAsia="仿宋" w:cs="仿宋"/>
          <w:sz w:val="24"/>
          <w:szCs w:val="24"/>
        </w:rPr>
      </w:pPr>
      <w:r>
        <w:rPr>
          <w:rFonts w:hint="eastAsia" w:ascii="仿宋" w:hAnsi="仿宋" w:eastAsia="仿宋" w:cs="仿宋"/>
          <w:sz w:val="24"/>
          <w:szCs w:val="24"/>
        </w:rPr>
        <w:t>推荐中标候选人：评标小组成员独立对每个投标人分别评出技术、商务得分，评标小组成员的技术、商务评分的算术平均值为该投标人的技术商务得分。价格得分按价格评审办法评分。将投标人的技术商务得分和价格得分相加，计算得出各投标人的综合得分。将综合得分从高到低排序，得出投标人名次，推荐综合得分排名第一的投标人为第一中标候选人，综合得分排名第二的为第二中标候选人（得分相同的，按下列顺序比较：（1）投标报价（由低到高）；（2）技术商务评分（由高到低）；如以上都相同的，名次由评标小组随机抽取确定）。</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199" w:name="_Toc10277"/>
      <w:bookmarkStart w:id="200" w:name="_Toc6179"/>
      <w:bookmarkStart w:id="201" w:name="_Toc55778712"/>
      <w:bookmarkStart w:id="202" w:name="_Toc23908"/>
      <w:bookmarkStart w:id="203" w:name="_Toc22167"/>
      <w:r>
        <w:rPr>
          <w:rFonts w:hint="eastAsia" w:ascii="仿宋" w:hAnsi="仿宋" w:eastAsia="仿宋" w:cs="仿宋"/>
          <w:b/>
          <w:kern w:val="44"/>
          <w:sz w:val="24"/>
          <w:szCs w:val="24"/>
        </w:rPr>
        <w:t>定标</w:t>
      </w:r>
      <w:bookmarkEnd w:id="199"/>
      <w:bookmarkEnd w:id="200"/>
      <w:bookmarkEnd w:id="201"/>
      <w:bookmarkEnd w:id="202"/>
      <w:bookmarkEnd w:id="203"/>
    </w:p>
    <w:p>
      <w:pPr>
        <w:numPr>
          <w:ilvl w:val="1"/>
          <w:numId w:val="36"/>
        </w:numPr>
        <w:spacing w:line="360" w:lineRule="auto"/>
        <w:rPr>
          <w:rFonts w:ascii="仿宋" w:hAnsi="仿宋" w:eastAsia="仿宋" w:cs="仿宋"/>
          <w:sz w:val="24"/>
          <w:szCs w:val="24"/>
        </w:rPr>
      </w:pPr>
      <w:r>
        <w:rPr>
          <w:rFonts w:hint="eastAsia" w:ascii="仿宋" w:hAnsi="仿宋" w:eastAsia="仿宋" w:cs="仿宋"/>
          <w:sz w:val="24"/>
          <w:szCs w:val="24"/>
        </w:rPr>
        <w:t>采购代理机构提交评标报告报采购人确认，采购人在收到评标报告5个工作日内确定中标人，按照评标报告中推荐的中标候选人顺序确定中标人，也可以事先授权评标小组直接确定中标人。确认后采购代理机构将在发布本项目招标公告的法定媒体上发布中标公告。</w:t>
      </w:r>
    </w:p>
    <w:p>
      <w:pPr>
        <w:numPr>
          <w:ilvl w:val="1"/>
          <w:numId w:val="36"/>
        </w:numPr>
        <w:spacing w:line="360" w:lineRule="auto"/>
        <w:rPr>
          <w:rFonts w:ascii="仿宋" w:hAnsi="仿宋" w:eastAsia="仿宋" w:cs="仿宋"/>
          <w:sz w:val="24"/>
          <w:szCs w:val="24"/>
        </w:rPr>
      </w:pPr>
      <w:r>
        <w:rPr>
          <w:rFonts w:hint="eastAsia" w:ascii="仿宋" w:hAnsi="仿宋" w:eastAsia="仿宋" w:cs="仿宋"/>
          <w:sz w:val="24"/>
          <w:szCs w:val="24"/>
        </w:rPr>
        <w:t>中标人拒绝与采购人签订合同的，采购人可以按照评审报告推荐的中标候选人名单排序，确定下一候选人为中标人，也可以重新开展政府采购活动。</w:t>
      </w:r>
    </w:p>
    <w:p>
      <w:pPr>
        <w:numPr>
          <w:ilvl w:val="1"/>
          <w:numId w:val="36"/>
        </w:numPr>
        <w:spacing w:line="360" w:lineRule="auto"/>
        <w:rPr>
          <w:rFonts w:ascii="仿宋" w:hAnsi="仿宋" w:eastAsia="仿宋" w:cs="仿宋"/>
          <w:sz w:val="24"/>
          <w:szCs w:val="24"/>
        </w:rPr>
      </w:pPr>
      <w:r>
        <w:rPr>
          <w:rFonts w:hint="eastAsia" w:ascii="仿宋" w:hAnsi="仿宋" w:eastAsia="仿宋" w:cs="仿宋"/>
          <w:sz w:val="24"/>
          <w:szCs w:val="24"/>
        </w:rPr>
        <w:t>中标人放弃中标或者中标资格被依法确认无效的，采购人可以按照排序从其他中标候选人中确定中标人或重新组织采购活动。</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204" w:name="_Toc31442"/>
      <w:bookmarkStart w:id="205" w:name="_Toc55778713"/>
      <w:bookmarkStart w:id="206" w:name="_Toc16602"/>
      <w:bookmarkStart w:id="207" w:name="_Toc6845"/>
      <w:bookmarkStart w:id="208" w:name="_Toc14184"/>
      <w:r>
        <w:rPr>
          <w:rFonts w:hint="eastAsia" w:ascii="仿宋" w:hAnsi="仿宋" w:eastAsia="仿宋" w:cs="仿宋"/>
          <w:b/>
          <w:bCs/>
          <w:kern w:val="44"/>
          <w:sz w:val="24"/>
          <w:szCs w:val="24"/>
        </w:rPr>
        <w:t>特别说明</w:t>
      </w:r>
      <w:bookmarkEnd w:id="204"/>
      <w:bookmarkEnd w:id="205"/>
      <w:bookmarkEnd w:id="206"/>
      <w:bookmarkEnd w:id="207"/>
      <w:bookmarkEnd w:id="208"/>
    </w:p>
    <w:p>
      <w:pPr>
        <w:numPr>
          <w:ilvl w:val="1"/>
          <w:numId w:val="37"/>
        </w:numPr>
        <w:spacing w:line="360" w:lineRule="auto"/>
        <w:rPr>
          <w:rFonts w:ascii="仿宋" w:hAnsi="仿宋" w:eastAsia="仿宋" w:cs="仿宋"/>
          <w:sz w:val="24"/>
          <w:szCs w:val="24"/>
        </w:rPr>
      </w:pPr>
      <w:r>
        <w:rPr>
          <w:rFonts w:hint="eastAsia" w:ascii="仿宋" w:hAnsi="仿宋" w:eastAsia="仿宋" w:cs="仿宋"/>
          <w:b/>
          <w:bCs/>
          <w:sz w:val="24"/>
          <w:szCs w:val="24"/>
        </w:rPr>
        <w:t>有下列情形之一的，视为投标人串通投标，其投标无效：</w:t>
      </w:r>
    </w:p>
    <w:p>
      <w:pPr>
        <w:numPr>
          <w:ilvl w:val="2"/>
          <w:numId w:val="38"/>
        </w:numPr>
        <w:spacing w:line="360" w:lineRule="auto"/>
        <w:rPr>
          <w:rFonts w:ascii="仿宋" w:hAnsi="仿宋" w:eastAsia="仿宋" w:cs="仿宋"/>
          <w:sz w:val="24"/>
          <w:szCs w:val="24"/>
        </w:rPr>
      </w:pPr>
      <w:r>
        <w:rPr>
          <w:rFonts w:hint="eastAsia" w:ascii="仿宋" w:hAnsi="仿宋" w:eastAsia="仿宋" w:cs="仿宋"/>
          <w:sz w:val="24"/>
          <w:szCs w:val="24"/>
        </w:rPr>
        <w:t>不同投标人的投标文件由同一单位或者个人编制；</w:t>
      </w:r>
    </w:p>
    <w:p>
      <w:pPr>
        <w:numPr>
          <w:ilvl w:val="2"/>
          <w:numId w:val="38"/>
        </w:numPr>
        <w:spacing w:line="360" w:lineRule="auto"/>
        <w:rPr>
          <w:rFonts w:ascii="仿宋" w:hAnsi="仿宋" w:eastAsia="仿宋" w:cs="仿宋"/>
          <w:sz w:val="24"/>
          <w:szCs w:val="24"/>
        </w:rPr>
      </w:pPr>
      <w:r>
        <w:rPr>
          <w:rFonts w:hint="eastAsia" w:ascii="仿宋" w:hAnsi="仿宋" w:eastAsia="仿宋" w:cs="仿宋"/>
          <w:sz w:val="24"/>
          <w:szCs w:val="24"/>
        </w:rPr>
        <w:t>不同投标人委托同一单位或者个人办理投标事宜；</w:t>
      </w:r>
    </w:p>
    <w:p>
      <w:pPr>
        <w:numPr>
          <w:ilvl w:val="2"/>
          <w:numId w:val="38"/>
        </w:numPr>
        <w:spacing w:line="360" w:lineRule="auto"/>
        <w:rPr>
          <w:rFonts w:ascii="仿宋" w:hAnsi="仿宋" w:eastAsia="仿宋" w:cs="仿宋"/>
          <w:sz w:val="24"/>
          <w:szCs w:val="24"/>
        </w:rPr>
      </w:pPr>
      <w:r>
        <w:rPr>
          <w:rFonts w:hint="eastAsia" w:ascii="仿宋" w:hAnsi="仿宋" w:eastAsia="仿宋" w:cs="仿宋"/>
          <w:sz w:val="24"/>
          <w:szCs w:val="24"/>
        </w:rPr>
        <w:t>不同投标人的投标文件载明的项目管理成员或者联系人员为同一人；</w:t>
      </w:r>
    </w:p>
    <w:p>
      <w:pPr>
        <w:numPr>
          <w:ilvl w:val="2"/>
          <w:numId w:val="38"/>
        </w:numPr>
        <w:spacing w:line="360" w:lineRule="auto"/>
        <w:rPr>
          <w:rFonts w:ascii="仿宋" w:hAnsi="仿宋" w:eastAsia="仿宋" w:cs="仿宋"/>
          <w:sz w:val="24"/>
          <w:szCs w:val="24"/>
        </w:rPr>
      </w:pPr>
      <w:r>
        <w:rPr>
          <w:rFonts w:hint="eastAsia" w:ascii="仿宋" w:hAnsi="仿宋" w:eastAsia="仿宋" w:cs="仿宋"/>
          <w:sz w:val="24"/>
          <w:szCs w:val="24"/>
        </w:rPr>
        <w:t>不同投标人的投标文件异常一致或者投标报价呈规律性差异；</w:t>
      </w:r>
    </w:p>
    <w:p>
      <w:pPr>
        <w:numPr>
          <w:ilvl w:val="2"/>
          <w:numId w:val="38"/>
        </w:numPr>
        <w:spacing w:line="360" w:lineRule="auto"/>
        <w:rPr>
          <w:rFonts w:ascii="仿宋" w:hAnsi="仿宋" w:eastAsia="仿宋" w:cs="仿宋"/>
          <w:sz w:val="24"/>
          <w:szCs w:val="24"/>
        </w:rPr>
      </w:pPr>
      <w:r>
        <w:rPr>
          <w:rFonts w:hint="eastAsia" w:ascii="仿宋" w:hAnsi="仿宋" w:eastAsia="仿宋" w:cs="仿宋"/>
          <w:sz w:val="24"/>
          <w:szCs w:val="24"/>
        </w:rPr>
        <w:t>不同投标人的投标文件相互混装；</w:t>
      </w:r>
    </w:p>
    <w:p>
      <w:pPr>
        <w:numPr>
          <w:ilvl w:val="2"/>
          <w:numId w:val="38"/>
        </w:numPr>
        <w:spacing w:line="360" w:lineRule="auto"/>
        <w:rPr>
          <w:rFonts w:ascii="仿宋" w:hAnsi="仿宋" w:eastAsia="仿宋" w:cs="仿宋"/>
          <w:sz w:val="24"/>
          <w:szCs w:val="24"/>
        </w:rPr>
      </w:pPr>
      <w:r>
        <w:rPr>
          <w:rFonts w:hint="eastAsia" w:ascii="仿宋" w:hAnsi="仿宋" w:eastAsia="仿宋" w:cs="仿宋"/>
          <w:sz w:val="24"/>
          <w:szCs w:val="24"/>
        </w:rPr>
        <w:t>不同投标人的投标保证金从同一单位或者个人的账户转出。</w:t>
      </w:r>
    </w:p>
    <w:p>
      <w:pPr>
        <w:numPr>
          <w:ilvl w:val="1"/>
          <w:numId w:val="37"/>
        </w:numPr>
        <w:spacing w:line="360" w:lineRule="auto"/>
        <w:rPr>
          <w:rFonts w:ascii="仿宋" w:hAnsi="仿宋" w:eastAsia="仿宋" w:cs="仿宋"/>
          <w:sz w:val="24"/>
          <w:szCs w:val="24"/>
        </w:rPr>
      </w:pPr>
      <w:r>
        <w:rPr>
          <w:rFonts w:hint="eastAsia" w:ascii="仿宋" w:hAnsi="仿宋" w:eastAsia="仿宋" w:cs="仿宋"/>
          <w:b/>
          <w:bCs/>
          <w:sz w:val="24"/>
          <w:szCs w:val="24"/>
        </w:rPr>
        <w:t>投标人存在下列情况之一的，投标无效:</w:t>
      </w:r>
    </w:p>
    <w:p>
      <w:pPr>
        <w:numPr>
          <w:ilvl w:val="2"/>
          <w:numId w:val="39"/>
        </w:numPr>
        <w:spacing w:line="360" w:lineRule="auto"/>
        <w:rPr>
          <w:rFonts w:ascii="仿宋" w:hAnsi="仿宋" w:eastAsia="仿宋" w:cs="仿宋"/>
          <w:sz w:val="24"/>
          <w:szCs w:val="24"/>
        </w:rPr>
      </w:pPr>
      <w:r>
        <w:rPr>
          <w:rFonts w:hint="eastAsia" w:ascii="仿宋" w:hAnsi="仿宋" w:eastAsia="仿宋" w:cs="仿宋"/>
          <w:sz w:val="24"/>
          <w:szCs w:val="24"/>
        </w:rPr>
        <w:t>未按照招标文件的规定提交投标保证金的；</w:t>
      </w:r>
    </w:p>
    <w:p>
      <w:pPr>
        <w:numPr>
          <w:ilvl w:val="2"/>
          <w:numId w:val="39"/>
        </w:numPr>
        <w:spacing w:line="360" w:lineRule="auto"/>
        <w:rPr>
          <w:rFonts w:ascii="仿宋" w:hAnsi="仿宋" w:eastAsia="仿宋" w:cs="仿宋"/>
          <w:sz w:val="24"/>
          <w:szCs w:val="24"/>
        </w:rPr>
      </w:pPr>
      <w:r>
        <w:rPr>
          <w:rFonts w:hint="eastAsia" w:ascii="仿宋" w:hAnsi="仿宋" w:eastAsia="仿宋" w:cs="仿宋"/>
          <w:sz w:val="24"/>
          <w:szCs w:val="24"/>
        </w:rPr>
        <w:t>投标文件未按招标文件要求签署、盖章的；</w:t>
      </w:r>
    </w:p>
    <w:p>
      <w:pPr>
        <w:numPr>
          <w:ilvl w:val="2"/>
          <w:numId w:val="39"/>
        </w:numPr>
        <w:spacing w:line="360" w:lineRule="auto"/>
        <w:rPr>
          <w:rFonts w:ascii="仿宋" w:hAnsi="仿宋" w:eastAsia="仿宋" w:cs="仿宋"/>
          <w:sz w:val="24"/>
          <w:szCs w:val="24"/>
        </w:rPr>
      </w:pPr>
      <w:r>
        <w:rPr>
          <w:rFonts w:hint="eastAsia" w:ascii="仿宋" w:hAnsi="仿宋" w:eastAsia="仿宋" w:cs="仿宋"/>
          <w:sz w:val="24"/>
          <w:szCs w:val="24"/>
        </w:rPr>
        <w:t>不具备招标文件中规定的资格要求的；</w:t>
      </w:r>
    </w:p>
    <w:p>
      <w:pPr>
        <w:numPr>
          <w:ilvl w:val="2"/>
          <w:numId w:val="39"/>
        </w:numPr>
        <w:spacing w:line="360" w:lineRule="auto"/>
        <w:rPr>
          <w:rFonts w:ascii="仿宋" w:hAnsi="仿宋" w:eastAsia="仿宋" w:cs="仿宋"/>
          <w:sz w:val="24"/>
          <w:szCs w:val="24"/>
        </w:rPr>
      </w:pPr>
      <w:r>
        <w:rPr>
          <w:rFonts w:hint="eastAsia" w:ascii="仿宋" w:hAnsi="仿宋" w:eastAsia="仿宋" w:cs="仿宋"/>
          <w:sz w:val="24"/>
          <w:szCs w:val="24"/>
        </w:rPr>
        <w:t>报价超过招标文件中规定的预算金额或者最高限价的；</w:t>
      </w:r>
    </w:p>
    <w:p>
      <w:pPr>
        <w:numPr>
          <w:ilvl w:val="2"/>
          <w:numId w:val="39"/>
        </w:numPr>
        <w:spacing w:line="360" w:lineRule="auto"/>
        <w:rPr>
          <w:rFonts w:ascii="仿宋" w:hAnsi="仿宋" w:eastAsia="仿宋" w:cs="仿宋"/>
          <w:sz w:val="24"/>
          <w:szCs w:val="24"/>
        </w:rPr>
      </w:pPr>
      <w:r>
        <w:rPr>
          <w:rFonts w:hint="eastAsia" w:ascii="仿宋" w:hAnsi="仿宋" w:eastAsia="仿宋" w:cs="仿宋"/>
          <w:sz w:val="24"/>
          <w:szCs w:val="24"/>
        </w:rPr>
        <w:t>投标文件含有采购人不能接受的附加条件的；</w:t>
      </w:r>
    </w:p>
    <w:p>
      <w:pPr>
        <w:numPr>
          <w:ilvl w:val="2"/>
          <w:numId w:val="39"/>
        </w:numPr>
        <w:spacing w:line="360" w:lineRule="auto"/>
        <w:rPr>
          <w:rFonts w:ascii="仿宋" w:hAnsi="仿宋" w:eastAsia="仿宋" w:cs="仿宋"/>
          <w:sz w:val="24"/>
          <w:szCs w:val="24"/>
        </w:rPr>
      </w:pPr>
      <w:r>
        <w:rPr>
          <w:rFonts w:hint="eastAsia" w:ascii="仿宋" w:hAnsi="仿宋" w:eastAsia="仿宋" w:cs="仿宋"/>
          <w:sz w:val="24"/>
          <w:szCs w:val="24"/>
        </w:rPr>
        <w:t>法律、法规和招标文件规定的其他无效情形。</w:t>
      </w:r>
    </w:p>
    <w:p>
      <w:pPr>
        <w:numPr>
          <w:ilvl w:val="1"/>
          <w:numId w:val="37"/>
        </w:numPr>
        <w:spacing w:line="360" w:lineRule="auto"/>
        <w:rPr>
          <w:rFonts w:ascii="仿宋" w:hAnsi="仿宋" w:eastAsia="仿宋" w:cs="仿宋"/>
          <w:b/>
          <w:bCs/>
          <w:sz w:val="24"/>
          <w:szCs w:val="24"/>
        </w:rPr>
      </w:pPr>
      <w:r>
        <w:rPr>
          <w:rFonts w:hint="eastAsia" w:ascii="仿宋" w:hAnsi="仿宋" w:eastAsia="仿宋" w:cs="仿宋"/>
          <w:b/>
          <w:bCs/>
          <w:sz w:val="24"/>
          <w:szCs w:val="24"/>
        </w:rPr>
        <w:t xml:space="preserve">在招标采购中，出现下列情形之一的，应予废标： </w:t>
      </w:r>
    </w:p>
    <w:p>
      <w:pPr>
        <w:numPr>
          <w:ilvl w:val="2"/>
          <w:numId w:val="40"/>
        </w:numPr>
        <w:spacing w:line="360" w:lineRule="auto"/>
        <w:rPr>
          <w:rFonts w:ascii="仿宋" w:hAnsi="仿宋" w:eastAsia="仿宋" w:cs="仿宋"/>
          <w:sz w:val="24"/>
          <w:szCs w:val="24"/>
        </w:rPr>
      </w:pPr>
      <w:r>
        <w:rPr>
          <w:rFonts w:hint="eastAsia" w:ascii="仿宋" w:hAnsi="仿宋" w:eastAsia="仿宋" w:cs="仿宋"/>
          <w:sz w:val="24"/>
          <w:szCs w:val="24"/>
        </w:rPr>
        <w:t xml:space="preserve">符合专业条件的投标人或者对招标文件作实质响应的投标人不足三家的； </w:t>
      </w:r>
    </w:p>
    <w:p>
      <w:pPr>
        <w:numPr>
          <w:ilvl w:val="2"/>
          <w:numId w:val="40"/>
        </w:numPr>
        <w:spacing w:line="360" w:lineRule="auto"/>
        <w:rPr>
          <w:rFonts w:ascii="仿宋" w:hAnsi="仿宋" w:eastAsia="仿宋" w:cs="仿宋"/>
          <w:sz w:val="24"/>
          <w:szCs w:val="24"/>
        </w:rPr>
      </w:pPr>
      <w:r>
        <w:rPr>
          <w:rFonts w:hint="eastAsia" w:ascii="仿宋" w:hAnsi="仿宋" w:eastAsia="仿宋" w:cs="仿宋"/>
          <w:sz w:val="24"/>
          <w:szCs w:val="24"/>
        </w:rPr>
        <w:t xml:space="preserve">出现影响采购公正的违法、违规行为的； </w:t>
      </w:r>
    </w:p>
    <w:p>
      <w:pPr>
        <w:numPr>
          <w:ilvl w:val="2"/>
          <w:numId w:val="40"/>
        </w:numPr>
        <w:spacing w:line="360" w:lineRule="auto"/>
        <w:rPr>
          <w:rFonts w:ascii="仿宋" w:hAnsi="仿宋" w:eastAsia="仿宋" w:cs="仿宋"/>
          <w:sz w:val="24"/>
          <w:szCs w:val="24"/>
        </w:rPr>
      </w:pPr>
      <w:r>
        <w:rPr>
          <w:rFonts w:hint="eastAsia" w:ascii="仿宋" w:hAnsi="仿宋" w:eastAsia="仿宋" w:cs="仿宋"/>
          <w:sz w:val="24"/>
          <w:szCs w:val="24"/>
        </w:rPr>
        <w:t xml:space="preserve">投标人的报价均超过了采购预算，采购人不能支付的； </w:t>
      </w:r>
    </w:p>
    <w:p>
      <w:pPr>
        <w:numPr>
          <w:ilvl w:val="2"/>
          <w:numId w:val="40"/>
        </w:numPr>
        <w:spacing w:line="360" w:lineRule="auto"/>
        <w:rPr>
          <w:rFonts w:ascii="仿宋" w:hAnsi="仿宋" w:eastAsia="仿宋" w:cs="仿宋"/>
          <w:sz w:val="24"/>
          <w:szCs w:val="24"/>
        </w:rPr>
      </w:pPr>
      <w:r>
        <w:rPr>
          <w:rFonts w:hint="eastAsia" w:ascii="仿宋" w:hAnsi="仿宋" w:eastAsia="仿宋" w:cs="仿宋"/>
          <w:sz w:val="24"/>
          <w:szCs w:val="24"/>
        </w:rPr>
        <w:t xml:space="preserve">因重大变故，采购任务取消的。 </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209" w:name="_Toc12540"/>
      <w:bookmarkStart w:id="210" w:name="_Toc55778714"/>
      <w:bookmarkStart w:id="211" w:name="_Toc12971"/>
      <w:bookmarkStart w:id="212" w:name="_Toc30472"/>
      <w:bookmarkStart w:id="213" w:name="_Toc14583"/>
      <w:r>
        <w:rPr>
          <w:rFonts w:hint="eastAsia" w:ascii="仿宋" w:hAnsi="仿宋" w:eastAsia="仿宋" w:cs="仿宋"/>
          <w:b/>
          <w:bCs/>
          <w:kern w:val="44"/>
          <w:sz w:val="24"/>
          <w:szCs w:val="24"/>
        </w:rPr>
        <w:t>与采购代理机构和采购人的接触</w:t>
      </w:r>
      <w:bookmarkEnd w:id="209"/>
      <w:bookmarkEnd w:id="210"/>
      <w:bookmarkEnd w:id="211"/>
      <w:bookmarkEnd w:id="212"/>
      <w:bookmarkEnd w:id="213"/>
    </w:p>
    <w:p>
      <w:pPr>
        <w:numPr>
          <w:ilvl w:val="1"/>
          <w:numId w:val="41"/>
        </w:numPr>
        <w:spacing w:line="360" w:lineRule="auto"/>
        <w:rPr>
          <w:rFonts w:ascii="仿宋" w:hAnsi="仿宋" w:eastAsia="仿宋" w:cs="仿宋"/>
          <w:sz w:val="24"/>
          <w:szCs w:val="24"/>
        </w:rPr>
      </w:pPr>
      <w:r>
        <w:rPr>
          <w:rFonts w:hint="eastAsia" w:ascii="仿宋" w:hAnsi="仿宋" w:eastAsia="仿宋" w:cs="仿宋"/>
          <w:sz w:val="24"/>
          <w:szCs w:val="24"/>
        </w:rPr>
        <w:t>除本须知规定外，从开标之日起至授予合同期间，投标人不得就与其投标有关的事项与采购代理机构、采购人和评标小组接触。</w:t>
      </w:r>
    </w:p>
    <w:p>
      <w:pPr>
        <w:numPr>
          <w:ilvl w:val="1"/>
          <w:numId w:val="41"/>
        </w:numPr>
        <w:spacing w:line="360" w:lineRule="auto"/>
        <w:rPr>
          <w:rFonts w:ascii="仿宋" w:hAnsi="仿宋" w:eastAsia="仿宋" w:cs="仿宋"/>
          <w:sz w:val="24"/>
          <w:szCs w:val="24"/>
        </w:rPr>
      </w:pPr>
      <w:r>
        <w:rPr>
          <w:rFonts w:hint="eastAsia" w:ascii="仿宋" w:hAnsi="仿宋" w:eastAsia="仿宋" w:cs="仿宋"/>
          <w:sz w:val="24"/>
          <w:szCs w:val="24"/>
        </w:rPr>
        <w:t>投标人试图对采购代理机构、采购人和评标小组的评标或授予合同的决定进行影响，都可能导致其投标被拒绝。</w:t>
      </w:r>
    </w:p>
    <w:p>
      <w:pPr>
        <w:keepNext/>
        <w:keepLines/>
        <w:spacing w:line="360" w:lineRule="auto"/>
        <w:jc w:val="center"/>
        <w:outlineLvl w:val="1"/>
        <w:rPr>
          <w:rFonts w:ascii="仿宋" w:hAnsi="仿宋" w:eastAsia="仿宋" w:cs="仿宋"/>
          <w:b/>
          <w:bCs/>
          <w:sz w:val="24"/>
          <w:szCs w:val="24"/>
        </w:rPr>
      </w:pPr>
      <w:bookmarkStart w:id="214" w:name="_Toc2741"/>
      <w:bookmarkStart w:id="215" w:name="_Toc8757"/>
      <w:bookmarkStart w:id="216" w:name="_Toc55778715"/>
      <w:r>
        <w:rPr>
          <w:rFonts w:hint="eastAsia" w:ascii="仿宋" w:hAnsi="仿宋" w:eastAsia="仿宋" w:cs="仿宋"/>
          <w:b/>
          <w:bCs/>
          <w:sz w:val="24"/>
          <w:szCs w:val="24"/>
        </w:rPr>
        <w:t>六、质疑与投诉</w:t>
      </w:r>
      <w:bookmarkEnd w:id="214"/>
      <w:bookmarkEnd w:id="215"/>
      <w:bookmarkEnd w:id="216"/>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217" w:name="_Toc26722"/>
      <w:bookmarkStart w:id="218" w:name="_Toc22749"/>
      <w:bookmarkStart w:id="219" w:name="_Toc28035"/>
      <w:bookmarkStart w:id="220" w:name="_Toc6727"/>
      <w:bookmarkStart w:id="221" w:name="_Toc1115"/>
      <w:bookmarkStart w:id="222" w:name="_Toc55778716"/>
      <w:r>
        <w:rPr>
          <w:rFonts w:hint="eastAsia" w:ascii="仿宋" w:hAnsi="仿宋" w:eastAsia="仿宋" w:cs="仿宋"/>
          <w:b/>
          <w:bCs/>
          <w:kern w:val="44"/>
          <w:sz w:val="24"/>
          <w:szCs w:val="24"/>
        </w:rPr>
        <w:t>询问</w:t>
      </w:r>
      <w:bookmarkEnd w:id="217"/>
      <w:bookmarkEnd w:id="218"/>
      <w:bookmarkEnd w:id="219"/>
      <w:bookmarkEnd w:id="220"/>
      <w:bookmarkEnd w:id="221"/>
      <w:bookmarkEnd w:id="222"/>
    </w:p>
    <w:p>
      <w:pPr>
        <w:numPr>
          <w:ilvl w:val="1"/>
          <w:numId w:val="42"/>
        </w:numPr>
        <w:spacing w:line="360" w:lineRule="auto"/>
        <w:rPr>
          <w:rFonts w:ascii="仿宋" w:hAnsi="仿宋" w:eastAsia="仿宋" w:cs="仿宋"/>
          <w:sz w:val="24"/>
          <w:szCs w:val="24"/>
        </w:rPr>
      </w:pPr>
      <w:r>
        <w:rPr>
          <w:rFonts w:hint="eastAsia" w:ascii="仿宋" w:hAnsi="仿宋" w:eastAsia="仿宋" w:cs="仿宋"/>
          <w:sz w:val="24"/>
          <w:szCs w:val="24"/>
        </w:rPr>
        <w:t>投标人对招标活动事项（招标文件、招标过程和中标结果）有疑问的，可以向采购代理机构和采购人提出询问，采购代理机构和采购人将及时作出答复，但答复的内容不涉及商业秘密。询问可以口头方式提出，也可以书面方式提出，书面方式包括但不限于传真、信函、电子邮件。</w:t>
      </w:r>
    </w:p>
    <w:p>
      <w:pPr>
        <w:numPr>
          <w:ilvl w:val="1"/>
          <w:numId w:val="42"/>
        </w:numPr>
        <w:spacing w:line="360" w:lineRule="auto"/>
        <w:rPr>
          <w:rFonts w:ascii="仿宋" w:hAnsi="仿宋" w:eastAsia="仿宋" w:cs="仿宋"/>
          <w:sz w:val="24"/>
          <w:szCs w:val="24"/>
        </w:rPr>
      </w:pPr>
      <w:r>
        <w:rPr>
          <w:rFonts w:hint="eastAsia" w:ascii="仿宋" w:hAnsi="仿宋" w:eastAsia="仿宋" w:cs="仿宋"/>
          <w:sz w:val="24"/>
          <w:szCs w:val="24"/>
        </w:rPr>
        <w:t>如采用书面方式提出询问，投标人为自然人的，询问函应当由本人签字；投标人为法人或者其他组织的，应当由法定代表人、主要负责人或授权代表签字或者盖章，并加盖公章。投标人递交询问函时非法定代表人亲自办理的需提供法定代表人授权委托书（应载明授权代表的姓名或者名称、代理事项、具体权限、期限和相关事项）及授权代表身份证复印件。</w:t>
      </w:r>
    </w:p>
    <w:p>
      <w:pPr>
        <w:numPr>
          <w:ilvl w:val="1"/>
          <w:numId w:val="42"/>
        </w:numPr>
        <w:spacing w:line="360" w:lineRule="auto"/>
        <w:rPr>
          <w:rFonts w:ascii="仿宋" w:hAnsi="仿宋" w:eastAsia="仿宋" w:cs="仿宋"/>
          <w:sz w:val="24"/>
          <w:szCs w:val="24"/>
        </w:rPr>
      </w:pPr>
      <w:r>
        <w:rPr>
          <w:rFonts w:hint="eastAsia" w:ascii="仿宋" w:hAnsi="仿宋" w:eastAsia="仿宋" w:cs="仿宋"/>
          <w:sz w:val="24"/>
          <w:szCs w:val="24"/>
        </w:rPr>
        <w:t>招标采购单位在三个工作日内对投标人依法提出的询问作出答复。</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223" w:name="_Toc13159"/>
      <w:bookmarkStart w:id="224" w:name="_Toc9977"/>
      <w:bookmarkStart w:id="225" w:name="_Toc16083"/>
      <w:bookmarkStart w:id="226" w:name="_Toc922"/>
      <w:bookmarkStart w:id="227" w:name="_Toc31010"/>
      <w:bookmarkStart w:id="228" w:name="_Toc55778717"/>
      <w:r>
        <w:rPr>
          <w:rFonts w:hint="eastAsia" w:ascii="仿宋" w:hAnsi="仿宋" w:eastAsia="仿宋" w:cs="仿宋"/>
          <w:b/>
          <w:bCs/>
          <w:kern w:val="44"/>
          <w:sz w:val="24"/>
          <w:szCs w:val="24"/>
        </w:rPr>
        <w:t>质疑</w:t>
      </w:r>
      <w:bookmarkEnd w:id="223"/>
      <w:bookmarkEnd w:id="224"/>
      <w:bookmarkEnd w:id="225"/>
      <w:bookmarkEnd w:id="226"/>
      <w:bookmarkEnd w:id="227"/>
      <w:bookmarkEnd w:id="228"/>
    </w:p>
    <w:p>
      <w:pPr>
        <w:numPr>
          <w:ilvl w:val="1"/>
          <w:numId w:val="43"/>
        </w:numPr>
        <w:spacing w:line="360" w:lineRule="auto"/>
        <w:rPr>
          <w:rFonts w:ascii="仿宋" w:hAnsi="仿宋" w:eastAsia="仿宋" w:cs="仿宋"/>
          <w:sz w:val="24"/>
          <w:szCs w:val="24"/>
        </w:rPr>
      </w:pPr>
      <w:r>
        <w:rPr>
          <w:rFonts w:hint="eastAsia" w:ascii="仿宋" w:hAnsi="仿宋" w:eastAsia="仿宋" w:cs="仿宋"/>
          <w:b/>
          <w:bCs/>
          <w:sz w:val="24"/>
          <w:szCs w:val="24"/>
        </w:rPr>
        <w:t>质疑期限</w:t>
      </w:r>
    </w:p>
    <w:p>
      <w:pPr>
        <w:numPr>
          <w:ilvl w:val="2"/>
          <w:numId w:val="44"/>
        </w:numPr>
        <w:spacing w:line="360" w:lineRule="auto"/>
        <w:rPr>
          <w:rFonts w:ascii="仿宋" w:hAnsi="仿宋" w:eastAsia="仿宋" w:cs="仿宋"/>
          <w:sz w:val="24"/>
          <w:szCs w:val="24"/>
        </w:rPr>
      </w:pPr>
      <w:r>
        <w:rPr>
          <w:rFonts w:hint="eastAsia" w:ascii="仿宋" w:hAnsi="仿宋" w:eastAsia="仿宋" w:cs="仿宋"/>
          <w:sz w:val="24"/>
          <w:szCs w:val="24"/>
        </w:rPr>
        <w:t>投标人认为招标文件的内容损害其权益的，应在收到招标文件之日或者招标文件公告期届满之日起七个工作日内。（注：投标人获取招标文件之日早于招标文件公告期限届满之日的，则以投标人获取招标文件之日为质疑时效期间的起算日期；否则，以招标文件公告期限届满之日为质疑时效期间的起算日期）。</w:t>
      </w:r>
    </w:p>
    <w:p>
      <w:pPr>
        <w:numPr>
          <w:ilvl w:val="2"/>
          <w:numId w:val="44"/>
        </w:numPr>
        <w:spacing w:line="360" w:lineRule="auto"/>
        <w:rPr>
          <w:rFonts w:ascii="仿宋" w:hAnsi="仿宋" w:eastAsia="仿宋" w:cs="仿宋"/>
          <w:sz w:val="24"/>
          <w:szCs w:val="24"/>
        </w:rPr>
      </w:pPr>
      <w:r>
        <w:rPr>
          <w:rFonts w:hint="eastAsia" w:ascii="仿宋" w:hAnsi="仿宋" w:eastAsia="仿宋" w:cs="仿宋"/>
          <w:sz w:val="24"/>
          <w:szCs w:val="24"/>
        </w:rPr>
        <w:t>投标人认为采购过程损害其权益的，应在各采购程序环节结束之日起七个工作日内。</w:t>
      </w:r>
    </w:p>
    <w:p>
      <w:pPr>
        <w:numPr>
          <w:ilvl w:val="2"/>
          <w:numId w:val="44"/>
        </w:numPr>
        <w:spacing w:line="360" w:lineRule="auto"/>
        <w:rPr>
          <w:rFonts w:ascii="仿宋" w:hAnsi="仿宋" w:eastAsia="仿宋" w:cs="仿宋"/>
          <w:sz w:val="24"/>
          <w:szCs w:val="24"/>
        </w:rPr>
      </w:pPr>
      <w:r>
        <w:rPr>
          <w:rFonts w:hint="eastAsia" w:ascii="仿宋" w:hAnsi="仿宋" w:eastAsia="仿宋" w:cs="仿宋"/>
          <w:sz w:val="24"/>
          <w:szCs w:val="24"/>
        </w:rPr>
        <w:t>投标人认为中标或者成交结果损害其权益的，应在中标或者成交结果公告期限届满之日起七个工作日内。</w:t>
      </w:r>
    </w:p>
    <w:p>
      <w:pPr>
        <w:numPr>
          <w:ilvl w:val="1"/>
          <w:numId w:val="43"/>
        </w:numPr>
        <w:spacing w:line="360" w:lineRule="auto"/>
        <w:rPr>
          <w:rFonts w:ascii="仿宋" w:hAnsi="仿宋" w:eastAsia="仿宋" w:cs="仿宋"/>
          <w:sz w:val="24"/>
          <w:szCs w:val="24"/>
        </w:rPr>
      </w:pPr>
      <w:r>
        <w:rPr>
          <w:rFonts w:hint="eastAsia" w:ascii="仿宋" w:hAnsi="仿宋" w:eastAsia="仿宋" w:cs="仿宋"/>
          <w:sz w:val="24"/>
          <w:szCs w:val="24"/>
        </w:rPr>
        <w:t>提交的要求：</w:t>
      </w:r>
    </w:p>
    <w:p>
      <w:pPr>
        <w:numPr>
          <w:ilvl w:val="2"/>
          <w:numId w:val="45"/>
        </w:numPr>
        <w:spacing w:line="360" w:lineRule="auto"/>
        <w:rPr>
          <w:rFonts w:ascii="仿宋" w:hAnsi="仿宋" w:eastAsia="仿宋" w:cs="仿宋"/>
          <w:sz w:val="24"/>
          <w:szCs w:val="24"/>
        </w:rPr>
      </w:pPr>
      <w:r>
        <w:rPr>
          <w:rFonts w:hint="eastAsia" w:ascii="仿宋" w:hAnsi="仿宋" w:eastAsia="仿宋" w:cs="仿宋"/>
          <w:sz w:val="24"/>
          <w:szCs w:val="24"/>
        </w:rPr>
        <w:t>以书面形式（加盖投标人公章，投标人以电话、传真或电邮形式提交的质疑属于无效质疑）向招标采购单位提出质疑。</w:t>
      </w:r>
    </w:p>
    <w:p>
      <w:pPr>
        <w:numPr>
          <w:ilvl w:val="2"/>
          <w:numId w:val="45"/>
        </w:numPr>
        <w:spacing w:line="360" w:lineRule="auto"/>
        <w:rPr>
          <w:rFonts w:ascii="仿宋" w:hAnsi="仿宋" w:eastAsia="仿宋" w:cs="仿宋"/>
          <w:sz w:val="24"/>
          <w:szCs w:val="24"/>
        </w:rPr>
      </w:pPr>
      <w:r>
        <w:rPr>
          <w:rFonts w:hint="eastAsia" w:ascii="仿宋" w:hAnsi="仿宋" w:eastAsia="仿宋" w:cs="仿宋"/>
          <w:sz w:val="24"/>
          <w:szCs w:val="24"/>
        </w:rPr>
        <w:t>质疑书内容：应包括具体的质疑项目的名称及编号、具体明确的质疑事项和与质疑事项相关的请求、事实依据、必要的法律依据、提出质疑的日期、投标人名称及地址、授权代表姓名及其联系电话、质疑时间投标人的姓名或者名称、地址、邮编、联系人及联系电话。质疑书应当署名并由法定代表人或授权代表签字并加盖公章。投标人递交质疑书时需提供质疑书原件、法定代表人授权委托书（应载明委托代理的具体权限及事项）及授权代表身份证复印件。</w:t>
      </w:r>
    </w:p>
    <w:p>
      <w:pPr>
        <w:numPr>
          <w:ilvl w:val="2"/>
          <w:numId w:val="45"/>
        </w:numPr>
        <w:spacing w:line="360" w:lineRule="auto"/>
        <w:rPr>
          <w:rFonts w:ascii="仿宋" w:hAnsi="仿宋" w:eastAsia="仿宋" w:cs="仿宋"/>
          <w:sz w:val="24"/>
          <w:szCs w:val="24"/>
        </w:rPr>
      </w:pPr>
      <w:r>
        <w:rPr>
          <w:rFonts w:hint="eastAsia" w:ascii="仿宋" w:hAnsi="仿宋" w:eastAsia="仿宋" w:cs="仿宋"/>
          <w:sz w:val="24"/>
          <w:szCs w:val="24"/>
        </w:rPr>
        <w:t>投标人质疑应当有明确的请求和必要的证明材料，捏造事实、提供虚假材料或者以非法手段取得证明材料不能作为质疑的证明材料。</w:t>
      </w:r>
    </w:p>
    <w:p>
      <w:pPr>
        <w:numPr>
          <w:ilvl w:val="1"/>
          <w:numId w:val="43"/>
        </w:numPr>
        <w:spacing w:line="360" w:lineRule="auto"/>
        <w:rPr>
          <w:rFonts w:ascii="仿宋" w:hAnsi="仿宋" w:eastAsia="仿宋" w:cs="仿宋"/>
          <w:sz w:val="24"/>
          <w:szCs w:val="24"/>
        </w:rPr>
      </w:pPr>
      <w:r>
        <w:rPr>
          <w:rFonts w:hint="eastAsia" w:ascii="仿宋" w:hAnsi="仿宋" w:eastAsia="仿宋" w:cs="仿宋"/>
          <w:sz w:val="24"/>
          <w:szCs w:val="24"/>
        </w:rPr>
        <w:t>质疑人进行质疑应当符合下列条件：</w:t>
      </w:r>
    </w:p>
    <w:p>
      <w:pPr>
        <w:numPr>
          <w:ilvl w:val="0"/>
          <w:numId w:val="46"/>
        </w:numPr>
        <w:tabs>
          <w:tab w:val="left" w:pos="1272"/>
        </w:tabs>
        <w:spacing w:line="360" w:lineRule="auto"/>
        <w:ind w:left="1272" w:hanging="424"/>
        <w:rPr>
          <w:rFonts w:ascii="仿宋" w:hAnsi="仿宋" w:eastAsia="仿宋" w:cs="仿宋"/>
          <w:sz w:val="24"/>
          <w:szCs w:val="24"/>
        </w:rPr>
      </w:pPr>
      <w:r>
        <w:rPr>
          <w:rFonts w:hint="eastAsia" w:ascii="仿宋" w:hAnsi="仿宋" w:eastAsia="仿宋" w:cs="仿宋"/>
          <w:sz w:val="24"/>
          <w:szCs w:val="24"/>
        </w:rPr>
        <w:t>质疑人是参与所质疑政府采购项目的投标人；</w:t>
      </w:r>
    </w:p>
    <w:p>
      <w:pPr>
        <w:numPr>
          <w:ilvl w:val="0"/>
          <w:numId w:val="46"/>
        </w:numPr>
        <w:tabs>
          <w:tab w:val="left" w:pos="1272"/>
        </w:tabs>
        <w:spacing w:line="360" w:lineRule="auto"/>
        <w:ind w:left="1272" w:hanging="424"/>
        <w:rPr>
          <w:rFonts w:ascii="仿宋" w:hAnsi="仿宋" w:eastAsia="仿宋" w:cs="仿宋"/>
          <w:sz w:val="24"/>
          <w:szCs w:val="24"/>
        </w:rPr>
      </w:pPr>
      <w:r>
        <w:rPr>
          <w:rFonts w:hint="eastAsia" w:ascii="仿宋" w:hAnsi="仿宋" w:eastAsia="仿宋" w:cs="仿宋"/>
          <w:sz w:val="24"/>
          <w:szCs w:val="24"/>
        </w:rPr>
        <w:t>在质疑有效期内提起质疑；</w:t>
      </w:r>
    </w:p>
    <w:p>
      <w:pPr>
        <w:numPr>
          <w:ilvl w:val="0"/>
          <w:numId w:val="46"/>
        </w:numPr>
        <w:tabs>
          <w:tab w:val="left" w:pos="1272"/>
        </w:tabs>
        <w:spacing w:line="360" w:lineRule="auto"/>
        <w:ind w:left="1272" w:hanging="424"/>
        <w:rPr>
          <w:rFonts w:ascii="仿宋" w:hAnsi="仿宋" w:eastAsia="仿宋" w:cs="仿宋"/>
          <w:sz w:val="24"/>
          <w:szCs w:val="24"/>
        </w:rPr>
      </w:pPr>
      <w:r>
        <w:rPr>
          <w:rFonts w:hint="eastAsia" w:ascii="仿宋" w:hAnsi="仿宋" w:eastAsia="仿宋" w:cs="仿宋"/>
          <w:sz w:val="24"/>
          <w:szCs w:val="24"/>
        </w:rPr>
        <w:t>法律法规规定的其他条件。</w:t>
      </w:r>
    </w:p>
    <w:p>
      <w:pPr>
        <w:numPr>
          <w:ilvl w:val="1"/>
          <w:numId w:val="43"/>
        </w:numPr>
        <w:spacing w:line="360" w:lineRule="auto"/>
        <w:rPr>
          <w:rFonts w:ascii="仿宋" w:hAnsi="仿宋" w:eastAsia="仿宋" w:cs="仿宋"/>
          <w:sz w:val="24"/>
          <w:szCs w:val="24"/>
        </w:rPr>
      </w:pPr>
      <w:r>
        <w:rPr>
          <w:rFonts w:hint="eastAsia" w:ascii="仿宋" w:hAnsi="仿宋" w:eastAsia="仿宋" w:cs="仿宋"/>
          <w:sz w:val="24"/>
          <w:szCs w:val="24"/>
        </w:rPr>
        <w:t>采购代理机构和采购人在收到投标投标人的书面质疑后7个工作日内作出答复，并以书面形式通知质疑投标投标人和其他有关投标投标人，但答复内容不涉及商业秘密。质疑投标投标人须提供相关证明材料，包括但不限于权益受损害的情况说明及受损害的原因、证据内容等，并对质疑内容的真实性承担责任。</w:t>
      </w:r>
    </w:p>
    <w:p>
      <w:pPr>
        <w:numPr>
          <w:ilvl w:val="1"/>
          <w:numId w:val="43"/>
        </w:numPr>
        <w:spacing w:line="360" w:lineRule="auto"/>
        <w:rPr>
          <w:rFonts w:ascii="仿宋" w:hAnsi="仿宋" w:eastAsia="仿宋" w:cs="仿宋"/>
          <w:sz w:val="24"/>
          <w:szCs w:val="24"/>
        </w:rPr>
      </w:pPr>
      <w:r>
        <w:rPr>
          <w:rFonts w:hint="eastAsia" w:ascii="仿宋" w:hAnsi="仿宋" w:eastAsia="仿宋" w:cs="仿宋"/>
          <w:sz w:val="24"/>
          <w:szCs w:val="24"/>
        </w:rPr>
        <w:t>对于捏造事实、滥用维权扰乱采购秩序的恶意质疑者或举证不全查无实据被驳回次数在一年内达三次以上，将纳入不良行为记录名单并承担相应的法律责任。</w:t>
      </w:r>
    </w:p>
    <w:p>
      <w:pPr>
        <w:numPr>
          <w:ilvl w:val="1"/>
          <w:numId w:val="43"/>
        </w:numPr>
        <w:spacing w:line="336" w:lineRule="auto"/>
        <w:rPr>
          <w:rFonts w:ascii="仿宋" w:hAnsi="仿宋" w:eastAsia="仿宋" w:cs="仿宋"/>
          <w:sz w:val="24"/>
          <w:szCs w:val="24"/>
        </w:rPr>
      </w:pPr>
      <w:r>
        <w:rPr>
          <w:rFonts w:hint="eastAsia" w:ascii="仿宋" w:hAnsi="仿宋" w:eastAsia="仿宋" w:cs="仿宋"/>
          <w:sz w:val="24"/>
          <w:szCs w:val="24"/>
        </w:rPr>
        <w:t>质疑联系方式：</w:t>
      </w:r>
    </w:p>
    <w:p>
      <w:pPr>
        <w:spacing w:line="336" w:lineRule="auto"/>
        <w:ind w:left="899" w:leftChars="428"/>
        <w:rPr>
          <w:rFonts w:ascii="仿宋" w:hAnsi="仿宋" w:eastAsia="仿宋" w:cs="仿宋"/>
          <w:sz w:val="24"/>
          <w:szCs w:val="24"/>
        </w:rPr>
      </w:pPr>
      <w:r>
        <w:rPr>
          <w:rFonts w:hint="eastAsia" w:ascii="仿宋" w:hAnsi="仿宋" w:eastAsia="仿宋" w:cs="仿宋"/>
          <w:sz w:val="24"/>
          <w:szCs w:val="24"/>
        </w:rPr>
        <w:t>采购代理机构：新疆霖鼎工程管理服务有限公司</w:t>
      </w:r>
    </w:p>
    <w:p>
      <w:pPr>
        <w:spacing w:line="336" w:lineRule="auto"/>
        <w:ind w:firstLine="960" w:firstLineChars="400"/>
        <w:rPr>
          <w:rFonts w:ascii="仿宋" w:hAnsi="仿宋" w:eastAsia="仿宋" w:cs="仿宋"/>
          <w:sz w:val="24"/>
          <w:szCs w:val="24"/>
        </w:rPr>
      </w:pPr>
      <w:r>
        <w:rPr>
          <w:rFonts w:hint="eastAsia" w:ascii="仿宋" w:hAnsi="仿宋" w:eastAsia="仿宋" w:cs="仿宋"/>
          <w:sz w:val="24"/>
          <w:szCs w:val="24"/>
        </w:rPr>
        <w:t>联系人：马丝云、谢培丹</w:t>
      </w:r>
      <w:r>
        <w:rPr>
          <w:rFonts w:hint="eastAsia" w:ascii="仿宋" w:hAnsi="仿宋" w:eastAsia="仿宋" w:cs="仿宋"/>
          <w:sz w:val="24"/>
          <w:szCs w:val="24"/>
        </w:rPr>
        <w:tab/>
      </w:r>
      <w:r>
        <w:rPr>
          <w:rFonts w:hint="eastAsia" w:ascii="仿宋" w:hAnsi="仿宋" w:eastAsia="仿宋" w:cs="仿宋"/>
          <w:sz w:val="24"/>
          <w:szCs w:val="24"/>
        </w:rPr>
        <w:t xml:space="preserve">  电话：18399303267、18699399882</w:t>
      </w:r>
    </w:p>
    <w:p>
      <w:pPr>
        <w:spacing w:line="336" w:lineRule="auto"/>
        <w:ind w:left="4078" w:leftChars="456" w:hanging="3120" w:hangingChars="1300"/>
        <w:rPr>
          <w:rFonts w:ascii="仿宋" w:hAnsi="仿宋" w:eastAsia="仿宋" w:cs="仿宋"/>
          <w:sz w:val="24"/>
          <w:szCs w:val="24"/>
        </w:rPr>
      </w:pPr>
      <w:r>
        <w:rPr>
          <w:rFonts w:hint="eastAsia" w:ascii="仿宋" w:hAnsi="仿宋" w:eastAsia="仿宋" w:cs="仿宋"/>
          <w:sz w:val="24"/>
          <w:szCs w:val="24"/>
        </w:rPr>
        <w:t>邮编：835000地址：</w:t>
      </w:r>
      <w:r>
        <w:rPr>
          <w:rFonts w:hint="eastAsia" w:ascii="仿宋" w:hAnsi="仿宋" w:eastAsia="仿宋" w:cs="仿宋"/>
          <w:color w:val="000000"/>
          <w:sz w:val="24"/>
          <w:szCs w:val="24"/>
          <w:lang w:val="zh-CN"/>
        </w:rPr>
        <w:t>新疆伊犁州伊宁市经济合作区313线以西、新华西路以北西城天街A-E#商业楼C405室</w:t>
      </w:r>
    </w:p>
    <w:p>
      <w:pPr>
        <w:numPr>
          <w:ilvl w:val="1"/>
          <w:numId w:val="43"/>
        </w:numPr>
        <w:spacing w:line="336" w:lineRule="auto"/>
        <w:rPr>
          <w:rFonts w:ascii="仿宋" w:hAnsi="仿宋" w:eastAsia="仿宋" w:cs="仿宋"/>
          <w:b/>
          <w:bCs/>
          <w:kern w:val="0"/>
          <w:sz w:val="24"/>
          <w:szCs w:val="24"/>
        </w:rPr>
      </w:pPr>
      <w:r>
        <w:rPr>
          <w:rFonts w:hint="eastAsia" w:ascii="仿宋" w:hAnsi="仿宋" w:eastAsia="仿宋" w:cs="仿宋"/>
          <w:kern w:val="0"/>
          <w:sz w:val="24"/>
          <w:szCs w:val="24"/>
        </w:rPr>
        <w:t xml:space="preserve">质疑函格式 </w:t>
      </w:r>
    </w:p>
    <w:p>
      <w:pPr>
        <w:widowControl/>
        <w:spacing w:line="360" w:lineRule="auto"/>
        <w:jc w:val="center"/>
        <w:rPr>
          <w:rFonts w:ascii="仿宋" w:hAnsi="仿宋" w:eastAsia="仿宋" w:cs="仿宋"/>
          <w:b/>
          <w:bCs/>
          <w:sz w:val="24"/>
          <w:szCs w:val="24"/>
        </w:rPr>
      </w:pPr>
      <w:r>
        <w:rPr>
          <w:rFonts w:hint="eastAsia" w:ascii="仿宋" w:hAnsi="仿宋" w:eastAsia="仿宋" w:cs="仿宋"/>
          <w:b/>
          <w:bCs/>
          <w:kern w:val="0"/>
          <w:sz w:val="24"/>
          <w:szCs w:val="24"/>
        </w:rPr>
        <w:t>质疑函范本</w:t>
      </w:r>
    </w:p>
    <w:p>
      <w:pPr>
        <w:adjustRightInd w:val="0"/>
        <w:snapToGrid w:val="0"/>
        <w:spacing w:line="360" w:lineRule="auto"/>
        <w:rPr>
          <w:rFonts w:ascii="仿宋" w:hAnsi="仿宋" w:eastAsia="仿宋" w:cs="仿宋"/>
          <w:b/>
          <w:bCs/>
          <w:sz w:val="24"/>
          <w:szCs w:val="24"/>
        </w:rPr>
      </w:pPr>
      <w:r>
        <w:rPr>
          <w:rFonts w:hint="eastAsia" w:ascii="仿宋" w:hAnsi="仿宋" w:eastAsia="仿宋" w:cs="仿宋"/>
          <w:b/>
          <w:bCs/>
          <w:sz w:val="24"/>
          <w:szCs w:val="24"/>
        </w:rPr>
        <w:t>一、质疑投标人基本信息</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质疑投标人：</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地址：                          邮编：                                                   </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联系人：                      联系电话：                              </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授权代表：                                          </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联系电话：                                            </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地址：                         邮编：                                                </w:t>
      </w:r>
    </w:p>
    <w:p>
      <w:pPr>
        <w:adjustRightInd w:val="0"/>
        <w:snapToGrid w:val="0"/>
        <w:spacing w:line="360" w:lineRule="auto"/>
        <w:rPr>
          <w:rFonts w:ascii="仿宋" w:hAnsi="仿宋" w:eastAsia="仿宋" w:cs="仿宋"/>
          <w:b/>
          <w:bCs/>
          <w:sz w:val="24"/>
          <w:szCs w:val="24"/>
        </w:rPr>
      </w:pPr>
      <w:r>
        <w:rPr>
          <w:rFonts w:hint="eastAsia" w:ascii="仿宋" w:hAnsi="仿宋" w:eastAsia="仿宋" w:cs="仿宋"/>
          <w:b/>
          <w:bCs/>
          <w:sz w:val="24"/>
          <w:szCs w:val="24"/>
        </w:rPr>
        <w:t>二、质疑项目基本情况</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质疑项目的名称：                                      </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质疑项目的编号：               包号：</w:t>
      </w:r>
    </w:p>
    <w:p>
      <w:pPr>
        <w:adjustRightInd w:val="0"/>
        <w:snapToGrid w:val="0"/>
        <w:spacing w:line="360" w:lineRule="auto"/>
        <w:rPr>
          <w:rFonts w:ascii="仿宋" w:hAnsi="仿宋" w:eastAsia="仿宋" w:cs="仿宋"/>
          <w:sz w:val="24"/>
          <w:szCs w:val="24"/>
          <w:u w:val="single"/>
        </w:rPr>
      </w:pPr>
      <w:r>
        <w:rPr>
          <w:rFonts w:hint="eastAsia" w:ascii="仿宋" w:hAnsi="仿宋" w:eastAsia="仿宋" w:cs="仿宋"/>
          <w:sz w:val="24"/>
          <w:szCs w:val="24"/>
        </w:rPr>
        <w:t>采购人名称：</w:t>
      </w:r>
    </w:p>
    <w:p>
      <w:pPr>
        <w:adjustRightInd w:val="0"/>
        <w:snapToGrid w:val="0"/>
        <w:spacing w:line="360" w:lineRule="auto"/>
        <w:rPr>
          <w:rFonts w:ascii="仿宋" w:hAnsi="仿宋" w:eastAsia="仿宋" w:cs="仿宋"/>
          <w:sz w:val="24"/>
          <w:szCs w:val="24"/>
          <w:u w:val="single"/>
        </w:rPr>
      </w:pPr>
      <w:r>
        <w:rPr>
          <w:rFonts w:hint="eastAsia" w:ascii="仿宋" w:hAnsi="仿宋" w:eastAsia="仿宋" w:cs="仿宋"/>
          <w:sz w:val="24"/>
          <w:szCs w:val="24"/>
        </w:rPr>
        <w:t>招标文件获取日期：</w:t>
      </w:r>
    </w:p>
    <w:p>
      <w:pPr>
        <w:adjustRightInd w:val="0"/>
        <w:snapToGrid w:val="0"/>
        <w:spacing w:line="360" w:lineRule="auto"/>
        <w:rPr>
          <w:rFonts w:ascii="仿宋" w:hAnsi="仿宋" w:eastAsia="仿宋" w:cs="仿宋"/>
          <w:b/>
          <w:bCs/>
          <w:sz w:val="24"/>
          <w:szCs w:val="24"/>
        </w:rPr>
      </w:pPr>
      <w:r>
        <w:rPr>
          <w:rFonts w:hint="eastAsia" w:ascii="仿宋" w:hAnsi="仿宋" w:eastAsia="仿宋" w:cs="仿宋"/>
          <w:b/>
          <w:bCs/>
          <w:sz w:val="24"/>
          <w:szCs w:val="24"/>
        </w:rPr>
        <w:t>三、质疑事项具体内容</w:t>
      </w:r>
    </w:p>
    <w:p>
      <w:pPr>
        <w:adjustRightInd w:val="0"/>
        <w:snapToGrid w:val="0"/>
        <w:spacing w:line="360" w:lineRule="auto"/>
        <w:rPr>
          <w:rFonts w:ascii="仿宋" w:hAnsi="仿宋" w:eastAsia="仿宋" w:cs="仿宋"/>
          <w:sz w:val="24"/>
          <w:szCs w:val="24"/>
          <w:u w:val="single"/>
        </w:rPr>
      </w:pPr>
      <w:r>
        <w:rPr>
          <w:rFonts w:hint="eastAsia" w:ascii="仿宋" w:hAnsi="仿宋" w:eastAsia="仿宋" w:cs="仿宋"/>
          <w:sz w:val="24"/>
          <w:szCs w:val="24"/>
        </w:rPr>
        <w:t>质疑事项1：</w:t>
      </w:r>
    </w:p>
    <w:p>
      <w:pPr>
        <w:adjustRightInd w:val="0"/>
        <w:snapToGrid w:val="0"/>
        <w:spacing w:line="360" w:lineRule="auto"/>
        <w:rPr>
          <w:rFonts w:ascii="仿宋" w:hAnsi="仿宋" w:eastAsia="仿宋" w:cs="仿宋"/>
          <w:sz w:val="24"/>
          <w:szCs w:val="24"/>
          <w:u w:val="single"/>
        </w:rPr>
      </w:pPr>
      <w:r>
        <w:rPr>
          <w:rFonts w:hint="eastAsia" w:ascii="仿宋" w:hAnsi="仿宋" w:eastAsia="仿宋" w:cs="仿宋"/>
          <w:sz w:val="24"/>
          <w:szCs w:val="24"/>
        </w:rPr>
        <w:t>事实依据：</w:t>
      </w:r>
    </w:p>
    <w:p>
      <w:pPr>
        <w:adjustRightInd w:val="0"/>
        <w:snapToGrid w:val="0"/>
        <w:spacing w:line="360" w:lineRule="auto"/>
        <w:rPr>
          <w:rFonts w:ascii="仿宋" w:hAnsi="仿宋" w:eastAsia="仿宋" w:cs="仿宋"/>
          <w:sz w:val="24"/>
          <w:szCs w:val="24"/>
          <w:u w:val="single"/>
        </w:rPr>
      </w:pPr>
      <w:r>
        <w:rPr>
          <w:rFonts w:hint="eastAsia" w:ascii="仿宋" w:hAnsi="仿宋" w:eastAsia="仿宋" w:cs="仿宋"/>
          <w:sz w:val="24"/>
          <w:szCs w:val="24"/>
        </w:rPr>
        <w:t>法律依据：</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质疑事项2</w:t>
      </w:r>
    </w:p>
    <w:p>
      <w:pPr>
        <w:widowControl/>
        <w:spacing w:line="360" w:lineRule="auto"/>
        <w:jc w:val="left"/>
        <w:rPr>
          <w:rFonts w:ascii="仿宋" w:hAnsi="仿宋" w:eastAsia="仿宋" w:cs="仿宋"/>
          <w:sz w:val="24"/>
          <w:szCs w:val="24"/>
        </w:rPr>
      </w:pPr>
      <w:r>
        <w:rPr>
          <w:rFonts w:hint="eastAsia" w:ascii="仿宋" w:hAnsi="仿宋" w:eastAsia="仿宋" w:cs="仿宋"/>
          <w:sz w:val="24"/>
          <w:szCs w:val="24"/>
        </w:rPr>
        <w:t>……</w:t>
      </w:r>
    </w:p>
    <w:p>
      <w:pPr>
        <w:widowControl/>
        <w:spacing w:line="360" w:lineRule="auto"/>
        <w:jc w:val="left"/>
        <w:rPr>
          <w:rFonts w:ascii="仿宋" w:hAnsi="仿宋" w:eastAsia="仿宋" w:cs="仿宋"/>
          <w:sz w:val="24"/>
          <w:szCs w:val="24"/>
        </w:rPr>
      </w:pPr>
      <w:r>
        <w:rPr>
          <w:rFonts w:hint="eastAsia" w:ascii="仿宋" w:hAnsi="仿宋" w:eastAsia="仿宋" w:cs="仿宋"/>
          <w:kern w:val="0"/>
          <w:sz w:val="24"/>
          <w:szCs w:val="24"/>
        </w:rPr>
        <w:t xml:space="preserve">四、与质疑事项相关的质疑请求 </w:t>
      </w:r>
    </w:p>
    <w:p>
      <w:pPr>
        <w:widowControl/>
        <w:spacing w:line="360" w:lineRule="auto"/>
        <w:jc w:val="left"/>
        <w:rPr>
          <w:rFonts w:ascii="仿宋" w:hAnsi="仿宋" w:eastAsia="仿宋" w:cs="仿宋"/>
          <w:sz w:val="24"/>
          <w:szCs w:val="24"/>
        </w:rPr>
      </w:pPr>
      <w:r>
        <w:rPr>
          <w:rFonts w:hint="eastAsia" w:ascii="仿宋" w:hAnsi="仿宋" w:eastAsia="仿宋" w:cs="仿宋"/>
          <w:kern w:val="0"/>
          <w:sz w:val="24"/>
          <w:szCs w:val="24"/>
        </w:rPr>
        <w:t>请求：</w:t>
      </w:r>
    </w:p>
    <w:p>
      <w:pPr>
        <w:widowControl/>
        <w:tabs>
          <w:tab w:val="left" w:pos="6300"/>
        </w:tabs>
        <w:snapToGrid w:val="0"/>
        <w:spacing w:line="360" w:lineRule="auto"/>
        <w:jc w:val="left"/>
        <w:rPr>
          <w:rFonts w:ascii="仿宋" w:hAnsi="仿宋" w:eastAsia="仿宋" w:cs="仿宋"/>
          <w:sz w:val="24"/>
          <w:szCs w:val="24"/>
        </w:rPr>
      </w:pPr>
      <w:r>
        <w:rPr>
          <w:rFonts w:hint="eastAsia" w:ascii="仿宋" w:hAnsi="仿宋" w:eastAsia="仿宋" w:cs="仿宋"/>
          <w:sz w:val="24"/>
          <w:szCs w:val="24"/>
        </w:rPr>
        <w:t>投标人（盖章）：</w:t>
      </w:r>
    </w:p>
    <w:p>
      <w:pPr>
        <w:widowControl/>
        <w:tabs>
          <w:tab w:val="left" w:pos="6300"/>
        </w:tabs>
        <w:snapToGrid w:val="0"/>
        <w:spacing w:line="360" w:lineRule="auto"/>
        <w:jc w:val="left"/>
        <w:rPr>
          <w:rFonts w:ascii="仿宋" w:hAnsi="仿宋" w:eastAsia="仿宋" w:cs="仿宋"/>
          <w:sz w:val="24"/>
          <w:szCs w:val="24"/>
        </w:rPr>
      </w:pPr>
      <w:r>
        <w:rPr>
          <w:rFonts w:hint="eastAsia" w:ascii="仿宋" w:hAnsi="仿宋" w:eastAsia="仿宋" w:cs="仿宋"/>
          <w:sz w:val="24"/>
          <w:szCs w:val="24"/>
        </w:rPr>
        <w:t>法定代表人（授权代表）：</w:t>
      </w:r>
    </w:p>
    <w:p>
      <w:pPr>
        <w:tabs>
          <w:tab w:val="left" w:pos="6300"/>
        </w:tabs>
        <w:snapToGrid w:val="0"/>
        <w:spacing w:line="360" w:lineRule="auto"/>
        <w:jc w:val="left"/>
        <w:rPr>
          <w:rFonts w:ascii="仿宋" w:hAnsi="仿宋" w:eastAsia="仿宋" w:cs="仿宋"/>
          <w:sz w:val="24"/>
          <w:szCs w:val="24"/>
        </w:rPr>
      </w:pPr>
      <w:r>
        <w:rPr>
          <w:rFonts w:hint="eastAsia" w:ascii="仿宋" w:hAnsi="仿宋" w:eastAsia="仿宋" w:cs="仿宋"/>
          <w:sz w:val="24"/>
          <w:szCs w:val="24"/>
        </w:rPr>
        <w:t>地址/邮编：</w:t>
      </w:r>
    </w:p>
    <w:p>
      <w:pPr>
        <w:tabs>
          <w:tab w:val="left" w:pos="6300"/>
        </w:tabs>
        <w:snapToGrid w:val="0"/>
        <w:spacing w:line="360" w:lineRule="auto"/>
        <w:jc w:val="left"/>
        <w:rPr>
          <w:rFonts w:ascii="仿宋" w:hAnsi="仿宋" w:eastAsia="仿宋" w:cs="仿宋"/>
          <w:sz w:val="24"/>
          <w:szCs w:val="24"/>
        </w:rPr>
      </w:pPr>
      <w:r>
        <w:rPr>
          <w:rFonts w:hint="eastAsia" w:ascii="仿宋" w:hAnsi="仿宋" w:eastAsia="仿宋" w:cs="仿宋"/>
          <w:sz w:val="24"/>
          <w:szCs w:val="24"/>
        </w:rPr>
        <w:t>电话/传真：</w:t>
      </w:r>
    </w:p>
    <w:p>
      <w:pPr>
        <w:widowControl/>
        <w:spacing w:line="360" w:lineRule="auto"/>
        <w:jc w:val="left"/>
        <w:rPr>
          <w:rFonts w:ascii="仿宋" w:hAnsi="仿宋" w:eastAsia="仿宋" w:cs="仿宋"/>
          <w:sz w:val="24"/>
          <w:szCs w:val="24"/>
        </w:rPr>
      </w:pPr>
      <w:r>
        <w:rPr>
          <w:rFonts w:hint="eastAsia" w:ascii="仿宋" w:hAnsi="仿宋" w:eastAsia="仿宋" w:cs="仿宋"/>
          <w:sz w:val="24"/>
          <w:szCs w:val="24"/>
        </w:rPr>
        <w:t>日期：  年   月  日</w:t>
      </w:r>
    </w:p>
    <w:p>
      <w:pPr>
        <w:widowControl/>
        <w:spacing w:line="360" w:lineRule="auto"/>
        <w:jc w:val="left"/>
        <w:rPr>
          <w:rFonts w:ascii="仿宋" w:hAnsi="仿宋" w:eastAsia="仿宋" w:cs="仿宋"/>
          <w:sz w:val="24"/>
          <w:szCs w:val="24"/>
        </w:rPr>
      </w:pPr>
      <w:r>
        <w:rPr>
          <w:rFonts w:hint="eastAsia" w:ascii="仿宋" w:hAnsi="仿宋" w:eastAsia="仿宋" w:cs="仿宋"/>
          <w:b/>
          <w:kern w:val="0"/>
          <w:sz w:val="24"/>
          <w:szCs w:val="24"/>
        </w:rPr>
        <w:t>随附相关证明材料如下</w:t>
      </w:r>
      <w:r>
        <w:rPr>
          <w:rFonts w:hint="eastAsia" w:ascii="仿宋" w:hAnsi="仿宋" w:eastAsia="仿宋" w:cs="仿宋"/>
          <w:kern w:val="0"/>
          <w:sz w:val="24"/>
          <w:szCs w:val="24"/>
        </w:rPr>
        <w:t xml:space="preserve">： </w:t>
      </w: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3105"/>
        <w:gridCol w:w="2325"/>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pPr>
              <w:widowControl/>
              <w:spacing w:line="360" w:lineRule="auto"/>
              <w:jc w:val="center"/>
              <w:rPr>
                <w:rFonts w:ascii="仿宋" w:hAnsi="仿宋" w:eastAsia="仿宋" w:cs="仿宋"/>
                <w:b/>
                <w:kern w:val="0"/>
                <w:sz w:val="24"/>
                <w:szCs w:val="24"/>
              </w:rPr>
            </w:pPr>
            <w:r>
              <w:rPr>
                <w:rFonts w:hint="eastAsia" w:ascii="仿宋" w:hAnsi="仿宋" w:eastAsia="仿宋" w:cs="仿宋"/>
                <w:kern w:val="0"/>
                <w:sz w:val="24"/>
                <w:szCs w:val="24"/>
              </w:rPr>
              <w:t>序号</w:t>
            </w:r>
          </w:p>
        </w:tc>
        <w:tc>
          <w:tcPr>
            <w:tcW w:w="3105" w:type="dxa"/>
          </w:tcPr>
          <w:p>
            <w:pPr>
              <w:widowControl/>
              <w:spacing w:line="360" w:lineRule="auto"/>
              <w:jc w:val="center"/>
              <w:rPr>
                <w:rFonts w:ascii="仿宋" w:hAnsi="仿宋" w:eastAsia="仿宋" w:cs="仿宋"/>
                <w:b/>
                <w:kern w:val="0"/>
                <w:sz w:val="24"/>
                <w:szCs w:val="24"/>
              </w:rPr>
            </w:pPr>
            <w:r>
              <w:rPr>
                <w:rFonts w:hint="eastAsia" w:ascii="仿宋" w:hAnsi="仿宋" w:eastAsia="仿宋" w:cs="仿宋"/>
                <w:kern w:val="0"/>
                <w:sz w:val="24"/>
                <w:szCs w:val="24"/>
              </w:rPr>
              <w:t>证明材料名称</w:t>
            </w:r>
          </w:p>
        </w:tc>
        <w:tc>
          <w:tcPr>
            <w:tcW w:w="2325" w:type="dxa"/>
          </w:tcPr>
          <w:p>
            <w:pPr>
              <w:widowControl/>
              <w:spacing w:line="360" w:lineRule="auto"/>
              <w:jc w:val="center"/>
              <w:rPr>
                <w:rFonts w:ascii="仿宋" w:hAnsi="仿宋" w:eastAsia="仿宋" w:cs="仿宋"/>
                <w:b/>
                <w:kern w:val="0"/>
                <w:sz w:val="24"/>
                <w:szCs w:val="24"/>
              </w:rPr>
            </w:pPr>
            <w:r>
              <w:rPr>
                <w:rFonts w:hint="eastAsia" w:ascii="仿宋" w:hAnsi="仿宋" w:eastAsia="仿宋" w:cs="仿宋"/>
                <w:kern w:val="0"/>
                <w:sz w:val="24"/>
                <w:szCs w:val="24"/>
              </w:rPr>
              <w:t>证明材料来源</w:t>
            </w:r>
          </w:p>
        </w:tc>
        <w:tc>
          <w:tcPr>
            <w:tcW w:w="1935" w:type="dxa"/>
          </w:tcPr>
          <w:p>
            <w:pPr>
              <w:widowControl/>
              <w:spacing w:line="360" w:lineRule="auto"/>
              <w:jc w:val="center"/>
              <w:rPr>
                <w:rFonts w:ascii="仿宋" w:hAnsi="仿宋" w:eastAsia="仿宋" w:cs="仿宋"/>
                <w:b/>
                <w:kern w:val="0"/>
                <w:sz w:val="24"/>
                <w:szCs w:val="24"/>
              </w:rPr>
            </w:pPr>
            <w:r>
              <w:rPr>
                <w:rFonts w:hint="eastAsia" w:ascii="仿宋" w:hAnsi="仿宋" w:eastAsia="仿宋" w:cs="仿宋"/>
                <w:kern w:val="0"/>
                <w:sz w:val="24"/>
                <w:szCs w:val="24"/>
              </w:rPr>
              <w:t>证明对象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7" w:type="dxa"/>
          </w:tcPr>
          <w:p>
            <w:pPr>
              <w:widowControl/>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1</w:t>
            </w:r>
          </w:p>
        </w:tc>
        <w:tc>
          <w:tcPr>
            <w:tcW w:w="3105" w:type="dxa"/>
          </w:tcPr>
          <w:p>
            <w:pPr>
              <w:widowControl/>
              <w:spacing w:line="360" w:lineRule="auto"/>
              <w:jc w:val="left"/>
              <w:rPr>
                <w:rFonts w:ascii="仿宋" w:hAnsi="仿宋" w:eastAsia="仿宋" w:cs="仿宋"/>
                <w:b/>
                <w:kern w:val="0"/>
                <w:sz w:val="24"/>
                <w:szCs w:val="24"/>
                <w:highlight w:val="yellow"/>
              </w:rPr>
            </w:pPr>
          </w:p>
        </w:tc>
        <w:tc>
          <w:tcPr>
            <w:tcW w:w="2325" w:type="dxa"/>
          </w:tcPr>
          <w:p>
            <w:pPr>
              <w:widowControl/>
              <w:spacing w:line="360" w:lineRule="auto"/>
              <w:jc w:val="left"/>
              <w:rPr>
                <w:rFonts w:ascii="仿宋" w:hAnsi="仿宋" w:eastAsia="仿宋" w:cs="仿宋"/>
                <w:b/>
                <w:kern w:val="0"/>
                <w:sz w:val="24"/>
                <w:szCs w:val="24"/>
                <w:highlight w:val="yellow"/>
              </w:rPr>
            </w:pPr>
          </w:p>
        </w:tc>
        <w:tc>
          <w:tcPr>
            <w:tcW w:w="1935" w:type="dxa"/>
          </w:tcPr>
          <w:p>
            <w:pPr>
              <w:widowControl/>
              <w:spacing w:line="360" w:lineRule="auto"/>
              <w:jc w:val="left"/>
              <w:rPr>
                <w:rFonts w:ascii="仿宋" w:hAnsi="仿宋" w:eastAsia="仿宋" w:cs="仿宋"/>
                <w:b/>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pPr>
              <w:widowControl/>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2</w:t>
            </w:r>
          </w:p>
        </w:tc>
        <w:tc>
          <w:tcPr>
            <w:tcW w:w="3105" w:type="dxa"/>
          </w:tcPr>
          <w:p>
            <w:pPr>
              <w:widowControl/>
              <w:spacing w:line="360" w:lineRule="auto"/>
              <w:jc w:val="left"/>
              <w:rPr>
                <w:rFonts w:ascii="仿宋" w:hAnsi="仿宋" w:eastAsia="仿宋" w:cs="仿宋"/>
                <w:b/>
                <w:kern w:val="0"/>
                <w:sz w:val="24"/>
                <w:szCs w:val="24"/>
                <w:highlight w:val="yellow"/>
              </w:rPr>
            </w:pPr>
          </w:p>
        </w:tc>
        <w:tc>
          <w:tcPr>
            <w:tcW w:w="2325" w:type="dxa"/>
          </w:tcPr>
          <w:p>
            <w:pPr>
              <w:widowControl/>
              <w:spacing w:line="360" w:lineRule="auto"/>
              <w:jc w:val="left"/>
              <w:rPr>
                <w:rFonts w:ascii="仿宋" w:hAnsi="仿宋" w:eastAsia="仿宋" w:cs="仿宋"/>
                <w:b/>
                <w:kern w:val="0"/>
                <w:sz w:val="24"/>
                <w:szCs w:val="24"/>
                <w:highlight w:val="yellow"/>
              </w:rPr>
            </w:pPr>
          </w:p>
        </w:tc>
        <w:tc>
          <w:tcPr>
            <w:tcW w:w="1935" w:type="dxa"/>
          </w:tcPr>
          <w:p>
            <w:pPr>
              <w:widowControl/>
              <w:spacing w:line="360" w:lineRule="auto"/>
              <w:jc w:val="left"/>
              <w:rPr>
                <w:rFonts w:ascii="仿宋" w:hAnsi="仿宋" w:eastAsia="仿宋" w:cs="仿宋"/>
                <w:b/>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pPr>
              <w:widowControl/>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w:t>
            </w:r>
          </w:p>
        </w:tc>
        <w:tc>
          <w:tcPr>
            <w:tcW w:w="3105" w:type="dxa"/>
          </w:tcPr>
          <w:p>
            <w:pPr>
              <w:widowControl/>
              <w:spacing w:line="360" w:lineRule="auto"/>
              <w:jc w:val="left"/>
              <w:rPr>
                <w:rFonts w:ascii="仿宋" w:hAnsi="仿宋" w:eastAsia="仿宋" w:cs="仿宋"/>
                <w:b/>
                <w:kern w:val="0"/>
                <w:sz w:val="24"/>
                <w:szCs w:val="24"/>
                <w:highlight w:val="yellow"/>
              </w:rPr>
            </w:pPr>
          </w:p>
        </w:tc>
        <w:tc>
          <w:tcPr>
            <w:tcW w:w="2325" w:type="dxa"/>
          </w:tcPr>
          <w:p>
            <w:pPr>
              <w:widowControl/>
              <w:spacing w:line="360" w:lineRule="auto"/>
              <w:jc w:val="left"/>
              <w:rPr>
                <w:rFonts w:ascii="仿宋" w:hAnsi="仿宋" w:eastAsia="仿宋" w:cs="仿宋"/>
                <w:b/>
                <w:kern w:val="0"/>
                <w:sz w:val="24"/>
                <w:szCs w:val="24"/>
                <w:highlight w:val="yellow"/>
              </w:rPr>
            </w:pPr>
          </w:p>
        </w:tc>
        <w:tc>
          <w:tcPr>
            <w:tcW w:w="1935" w:type="dxa"/>
          </w:tcPr>
          <w:p>
            <w:pPr>
              <w:widowControl/>
              <w:spacing w:line="360" w:lineRule="auto"/>
              <w:jc w:val="left"/>
              <w:rPr>
                <w:rFonts w:ascii="仿宋" w:hAnsi="仿宋" w:eastAsia="仿宋" w:cs="仿宋"/>
                <w:b/>
                <w:kern w:val="0"/>
                <w:sz w:val="24"/>
                <w:szCs w:val="24"/>
                <w:highlight w:val="yellow"/>
              </w:rPr>
            </w:pPr>
          </w:p>
        </w:tc>
      </w:tr>
    </w:tbl>
    <w:p>
      <w:pPr>
        <w:widowControl/>
        <w:spacing w:line="360" w:lineRule="auto"/>
        <w:jc w:val="left"/>
        <w:rPr>
          <w:rFonts w:ascii="仿宋" w:hAnsi="仿宋" w:eastAsia="仿宋" w:cs="仿宋"/>
          <w:sz w:val="24"/>
          <w:szCs w:val="24"/>
        </w:rPr>
      </w:pPr>
      <w:r>
        <w:rPr>
          <w:rFonts w:hint="eastAsia" w:ascii="仿宋" w:hAnsi="仿宋" w:eastAsia="仿宋" w:cs="仿宋"/>
          <w:b/>
          <w:kern w:val="0"/>
          <w:sz w:val="24"/>
          <w:szCs w:val="24"/>
        </w:rPr>
        <w:t xml:space="preserve">质疑函制作说明： </w:t>
      </w:r>
    </w:p>
    <w:p>
      <w:pPr>
        <w:widowControl/>
        <w:spacing w:line="360" w:lineRule="auto"/>
        <w:ind w:firstLine="477" w:firstLineChars="199"/>
        <w:jc w:val="left"/>
        <w:rPr>
          <w:rFonts w:ascii="仿宋" w:hAnsi="仿宋" w:eastAsia="仿宋" w:cs="仿宋"/>
          <w:sz w:val="24"/>
          <w:szCs w:val="24"/>
        </w:rPr>
      </w:pPr>
      <w:r>
        <w:rPr>
          <w:rFonts w:hint="eastAsia" w:ascii="仿宋" w:hAnsi="仿宋" w:eastAsia="仿宋" w:cs="仿宋"/>
          <w:kern w:val="0"/>
          <w:sz w:val="24"/>
          <w:szCs w:val="24"/>
        </w:rPr>
        <w:t xml:space="preserve">1.投标人提出质疑时，应提交质疑函和必要的证明材料。 </w:t>
      </w:r>
    </w:p>
    <w:p>
      <w:pPr>
        <w:widowControl/>
        <w:spacing w:line="360" w:lineRule="auto"/>
        <w:ind w:firstLine="477" w:firstLineChars="199"/>
        <w:jc w:val="left"/>
        <w:rPr>
          <w:rFonts w:ascii="仿宋" w:hAnsi="仿宋" w:eastAsia="仿宋" w:cs="仿宋"/>
          <w:sz w:val="24"/>
          <w:szCs w:val="24"/>
        </w:rPr>
      </w:pPr>
      <w:r>
        <w:rPr>
          <w:rFonts w:hint="eastAsia" w:ascii="仿宋" w:hAnsi="仿宋" w:eastAsia="仿宋" w:cs="仿宋"/>
          <w:kern w:val="0"/>
          <w:sz w:val="24"/>
          <w:szCs w:val="24"/>
        </w:rPr>
        <w:t xml:space="preserve">2.质疑投标人若委托代理人进行质疑的，质疑函应按要求列明“授权代表”的有关内容，并在附件中提交由质疑投标人签署的授权委托书。授权委托书应载明代理人的姓名或者名称、代理事项、具体权限、期限和相关事项。 </w:t>
      </w:r>
    </w:p>
    <w:p>
      <w:pPr>
        <w:widowControl/>
        <w:spacing w:line="360" w:lineRule="auto"/>
        <w:ind w:firstLine="477" w:firstLineChars="199"/>
        <w:jc w:val="left"/>
        <w:rPr>
          <w:rFonts w:ascii="仿宋" w:hAnsi="仿宋" w:eastAsia="仿宋" w:cs="仿宋"/>
          <w:sz w:val="24"/>
          <w:szCs w:val="24"/>
        </w:rPr>
      </w:pPr>
      <w:r>
        <w:rPr>
          <w:rFonts w:hint="eastAsia" w:ascii="仿宋" w:hAnsi="仿宋" w:eastAsia="仿宋" w:cs="仿宋"/>
          <w:kern w:val="0"/>
          <w:sz w:val="24"/>
          <w:szCs w:val="24"/>
        </w:rPr>
        <w:t xml:space="preserve">3.质疑投标人若对项目的某一分包进行质疑，质疑函中应列明具体分包号。 </w:t>
      </w:r>
    </w:p>
    <w:p>
      <w:pPr>
        <w:widowControl/>
        <w:spacing w:line="360" w:lineRule="auto"/>
        <w:ind w:firstLine="477" w:firstLineChars="199"/>
        <w:jc w:val="left"/>
        <w:rPr>
          <w:rFonts w:ascii="仿宋" w:hAnsi="仿宋" w:eastAsia="仿宋" w:cs="仿宋"/>
          <w:sz w:val="24"/>
          <w:szCs w:val="24"/>
        </w:rPr>
      </w:pPr>
      <w:r>
        <w:rPr>
          <w:rFonts w:hint="eastAsia" w:ascii="仿宋" w:hAnsi="仿宋" w:eastAsia="仿宋" w:cs="仿宋"/>
          <w:kern w:val="0"/>
          <w:sz w:val="24"/>
          <w:szCs w:val="24"/>
        </w:rPr>
        <w:t xml:space="preserve">4.质疑函的质疑事项应具体、明确，并有必要的事实依据和法律依据。 </w:t>
      </w:r>
    </w:p>
    <w:p>
      <w:pPr>
        <w:widowControl/>
        <w:spacing w:line="360" w:lineRule="auto"/>
        <w:ind w:firstLine="477" w:firstLineChars="199"/>
        <w:jc w:val="left"/>
        <w:rPr>
          <w:rFonts w:ascii="仿宋" w:hAnsi="仿宋" w:eastAsia="仿宋" w:cs="仿宋"/>
          <w:sz w:val="24"/>
          <w:szCs w:val="24"/>
        </w:rPr>
      </w:pPr>
      <w:r>
        <w:rPr>
          <w:rFonts w:hint="eastAsia" w:ascii="仿宋" w:hAnsi="仿宋" w:eastAsia="仿宋" w:cs="仿宋"/>
          <w:kern w:val="0"/>
          <w:sz w:val="24"/>
          <w:szCs w:val="24"/>
        </w:rPr>
        <w:t xml:space="preserve">5.质疑函的质疑请求应与质疑事项相关。 </w:t>
      </w:r>
    </w:p>
    <w:p>
      <w:pPr>
        <w:widowControl/>
        <w:spacing w:line="360" w:lineRule="auto"/>
        <w:ind w:firstLine="477" w:firstLineChars="199"/>
        <w:jc w:val="left"/>
        <w:rPr>
          <w:rFonts w:ascii="仿宋" w:hAnsi="仿宋" w:eastAsia="仿宋" w:cs="仿宋"/>
          <w:sz w:val="24"/>
          <w:szCs w:val="24"/>
        </w:rPr>
      </w:pPr>
      <w:r>
        <w:rPr>
          <w:rFonts w:hint="eastAsia" w:ascii="仿宋" w:hAnsi="仿宋" w:eastAsia="仿宋" w:cs="仿宋"/>
          <w:kern w:val="0"/>
          <w:sz w:val="24"/>
          <w:szCs w:val="24"/>
        </w:rPr>
        <w:t xml:space="preserve">6.质疑投标人为自然人的，质疑函应由本人签字；质疑投标人为法人或者其他组织的，质疑函应由法定代表人、主要负责人，或者其授权代表签字或者盖章，并加盖公章。 </w:t>
      </w:r>
    </w:p>
    <w:p>
      <w:pPr>
        <w:spacing w:line="360" w:lineRule="auto"/>
        <w:ind w:firstLine="480" w:firstLineChars="200"/>
        <w:rPr>
          <w:rFonts w:ascii="仿宋" w:hAnsi="仿宋" w:eastAsia="仿宋" w:cs="仿宋"/>
          <w:sz w:val="24"/>
          <w:szCs w:val="24"/>
        </w:rPr>
      </w:pPr>
      <w:r>
        <w:rPr>
          <w:rFonts w:hint="eastAsia" w:ascii="仿宋" w:hAnsi="仿宋" w:eastAsia="仿宋" w:cs="仿宋"/>
          <w:kern w:val="0"/>
          <w:sz w:val="24"/>
          <w:szCs w:val="24"/>
        </w:rPr>
        <w:t>7. 投标人应在提交的证明材料中对质疑点的内容作出相应的标识或以醒目的方式标明。</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229" w:name="_Toc11190"/>
      <w:bookmarkStart w:id="230" w:name="_Toc253"/>
      <w:bookmarkStart w:id="231" w:name="_Toc2395"/>
      <w:bookmarkStart w:id="232" w:name="_Toc55778718"/>
      <w:bookmarkStart w:id="233" w:name="_Toc7547"/>
      <w:bookmarkStart w:id="234" w:name="_Toc3059"/>
      <w:r>
        <w:rPr>
          <w:rFonts w:hint="eastAsia" w:ascii="仿宋" w:hAnsi="仿宋" w:eastAsia="仿宋" w:cs="仿宋"/>
          <w:b/>
          <w:bCs/>
          <w:kern w:val="44"/>
          <w:sz w:val="24"/>
          <w:szCs w:val="24"/>
        </w:rPr>
        <w:t>投诉</w:t>
      </w:r>
      <w:bookmarkEnd w:id="229"/>
      <w:bookmarkEnd w:id="230"/>
      <w:bookmarkEnd w:id="231"/>
      <w:bookmarkEnd w:id="232"/>
      <w:bookmarkEnd w:id="233"/>
      <w:bookmarkEnd w:id="234"/>
    </w:p>
    <w:p>
      <w:pPr>
        <w:numPr>
          <w:ilvl w:val="1"/>
          <w:numId w:val="47"/>
        </w:numPr>
        <w:spacing w:line="360" w:lineRule="auto"/>
        <w:rPr>
          <w:rFonts w:ascii="仿宋" w:hAnsi="仿宋" w:eastAsia="仿宋" w:cs="仿宋"/>
          <w:sz w:val="24"/>
          <w:szCs w:val="24"/>
        </w:rPr>
      </w:pPr>
      <w:r>
        <w:rPr>
          <w:rFonts w:hint="eastAsia" w:ascii="仿宋" w:hAnsi="仿宋" w:eastAsia="仿宋" w:cs="仿宋"/>
          <w:sz w:val="24"/>
          <w:szCs w:val="24"/>
        </w:rPr>
        <w:t>投标投标人对采购代理机构和采购人的质疑答复不满意或在规定时间内未得到答复的，可以在答复期满后15个工作日内，向政府采购监督管理机构投诉。</w:t>
      </w:r>
    </w:p>
    <w:p>
      <w:pPr>
        <w:numPr>
          <w:ilvl w:val="1"/>
          <w:numId w:val="47"/>
        </w:numPr>
        <w:spacing w:line="360" w:lineRule="auto"/>
        <w:rPr>
          <w:rFonts w:ascii="仿宋" w:hAnsi="仿宋" w:eastAsia="仿宋" w:cs="仿宋"/>
          <w:sz w:val="24"/>
          <w:szCs w:val="24"/>
        </w:rPr>
      </w:pPr>
      <w:r>
        <w:rPr>
          <w:rFonts w:hint="eastAsia" w:ascii="仿宋" w:hAnsi="仿宋" w:eastAsia="仿宋" w:cs="仿宋"/>
          <w:sz w:val="24"/>
          <w:szCs w:val="24"/>
        </w:rPr>
        <w:t>政府采购监督管理机构联系方式：</w:t>
      </w:r>
    </w:p>
    <w:p>
      <w:pPr>
        <w:spacing w:line="360" w:lineRule="auto"/>
        <w:ind w:left="899" w:leftChars="428"/>
        <w:rPr>
          <w:rFonts w:ascii="仿宋" w:hAnsi="仿宋" w:eastAsia="仿宋" w:cs="仿宋"/>
          <w:sz w:val="24"/>
          <w:szCs w:val="24"/>
        </w:rPr>
      </w:pPr>
      <w:r>
        <w:rPr>
          <w:rFonts w:hint="eastAsia" w:ascii="仿宋" w:hAnsi="仿宋" w:eastAsia="仿宋" w:cs="仿宋"/>
          <w:sz w:val="24"/>
          <w:szCs w:val="24"/>
        </w:rPr>
        <w:t>政府采购监督管理机构名称：伊犁州财政局国库处</w:t>
      </w:r>
    </w:p>
    <w:p>
      <w:pPr>
        <w:keepNext/>
        <w:keepLines/>
        <w:spacing w:line="360" w:lineRule="auto"/>
        <w:jc w:val="center"/>
        <w:outlineLvl w:val="1"/>
        <w:rPr>
          <w:rFonts w:ascii="仿宋" w:hAnsi="仿宋" w:eastAsia="仿宋" w:cs="仿宋"/>
          <w:b/>
          <w:bCs/>
          <w:sz w:val="24"/>
          <w:szCs w:val="24"/>
        </w:rPr>
      </w:pPr>
      <w:bookmarkStart w:id="235" w:name="_Toc55778719"/>
      <w:bookmarkStart w:id="236" w:name="_Toc11991"/>
      <w:bookmarkStart w:id="237" w:name="_Toc15350"/>
      <w:r>
        <w:rPr>
          <w:rFonts w:hint="eastAsia" w:ascii="仿宋" w:hAnsi="仿宋" w:eastAsia="仿宋" w:cs="仿宋"/>
          <w:b/>
          <w:bCs/>
          <w:sz w:val="24"/>
          <w:szCs w:val="24"/>
        </w:rPr>
        <w:t>七、授予合同</w:t>
      </w:r>
      <w:bookmarkEnd w:id="235"/>
      <w:bookmarkEnd w:id="236"/>
      <w:bookmarkEnd w:id="237"/>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238" w:name="_Toc17273"/>
      <w:bookmarkStart w:id="239" w:name="_Toc27860"/>
      <w:bookmarkStart w:id="240" w:name="_Toc55778720"/>
      <w:bookmarkStart w:id="241" w:name="_Toc32369"/>
      <w:bookmarkStart w:id="242" w:name="_Toc28231"/>
      <w:bookmarkStart w:id="243" w:name="_Toc17418"/>
      <w:r>
        <w:rPr>
          <w:rFonts w:hint="eastAsia" w:ascii="仿宋" w:hAnsi="仿宋" w:eastAsia="仿宋" w:cs="仿宋"/>
          <w:b/>
          <w:bCs/>
          <w:kern w:val="44"/>
          <w:sz w:val="24"/>
          <w:szCs w:val="24"/>
        </w:rPr>
        <w:t>确定中标</w:t>
      </w:r>
      <w:bookmarkEnd w:id="238"/>
      <w:r>
        <w:rPr>
          <w:rFonts w:hint="eastAsia" w:ascii="仿宋" w:hAnsi="仿宋" w:eastAsia="仿宋" w:cs="仿宋"/>
          <w:b/>
          <w:bCs/>
          <w:kern w:val="44"/>
          <w:sz w:val="24"/>
          <w:szCs w:val="24"/>
        </w:rPr>
        <w:t>人</w:t>
      </w:r>
      <w:bookmarkEnd w:id="239"/>
      <w:bookmarkEnd w:id="240"/>
      <w:bookmarkEnd w:id="241"/>
      <w:bookmarkEnd w:id="242"/>
      <w:bookmarkEnd w:id="243"/>
    </w:p>
    <w:p>
      <w:pPr>
        <w:numPr>
          <w:ilvl w:val="1"/>
          <w:numId w:val="48"/>
        </w:numPr>
        <w:spacing w:line="360" w:lineRule="auto"/>
        <w:rPr>
          <w:rFonts w:ascii="仿宋" w:hAnsi="仿宋" w:eastAsia="仿宋" w:cs="仿宋"/>
          <w:sz w:val="24"/>
          <w:szCs w:val="24"/>
        </w:rPr>
      </w:pPr>
      <w:r>
        <w:rPr>
          <w:rFonts w:hint="eastAsia" w:ascii="仿宋" w:hAnsi="仿宋" w:eastAsia="仿宋" w:cs="仿宋"/>
          <w:sz w:val="24"/>
          <w:szCs w:val="24"/>
        </w:rPr>
        <w:t>评标小组按照招标文件确定的评标方法、步骤、标准，对投标文件进行评审，提出书面评标报告，按照综合评分得分由高到低的顺序推荐两名中标候选人名单。</w:t>
      </w:r>
    </w:p>
    <w:p>
      <w:pPr>
        <w:numPr>
          <w:ilvl w:val="1"/>
          <w:numId w:val="48"/>
        </w:numPr>
        <w:spacing w:line="360" w:lineRule="auto"/>
        <w:rPr>
          <w:rFonts w:ascii="仿宋" w:hAnsi="仿宋" w:eastAsia="仿宋" w:cs="仿宋"/>
          <w:sz w:val="24"/>
          <w:szCs w:val="24"/>
        </w:rPr>
      </w:pPr>
      <w:r>
        <w:rPr>
          <w:rFonts w:hint="eastAsia" w:ascii="仿宋" w:hAnsi="仿宋" w:eastAsia="仿宋" w:cs="仿宋"/>
          <w:sz w:val="24"/>
          <w:szCs w:val="24"/>
        </w:rPr>
        <w:t>采购人在收到评标报告后的法定时间内，按照评标报告中推荐的中标候选人顺序确定中标人。</w:t>
      </w:r>
    </w:p>
    <w:p>
      <w:pPr>
        <w:numPr>
          <w:ilvl w:val="1"/>
          <w:numId w:val="48"/>
        </w:numPr>
        <w:spacing w:line="360" w:lineRule="auto"/>
        <w:rPr>
          <w:rFonts w:ascii="仿宋" w:hAnsi="仿宋" w:eastAsia="仿宋" w:cs="仿宋"/>
          <w:sz w:val="24"/>
          <w:szCs w:val="24"/>
        </w:rPr>
      </w:pPr>
      <w:r>
        <w:rPr>
          <w:rFonts w:hint="eastAsia" w:ascii="仿宋" w:hAnsi="仿宋" w:eastAsia="仿宋" w:cs="仿宋"/>
          <w:sz w:val="24"/>
          <w:szCs w:val="24"/>
        </w:rPr>
        <w:t>中标投标人放弃中标或者中标资格被依法确认无效的，采购人可以按照排序从其他中标候选投标人中确定中标投标人或重新组织招标活动。</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244" w:name="_Toc14943"/>
      <w:bookmarkStart w:id="245" w:name="_Toc29372"/>
      <w:bookmarkStart w:id="246" w:name="_Toc55778721"/>
      <w:bookmarkStart w:id="247" w:name="_Ref179619923"/>
      <w:bookmarkStart w:id="248" w:name="_Toc19166"/>
      <w:bookmarkStart w:id="249" w:name="_Toc17309"/>
      <w:bookmarkStart w:id="250" w:name="_Toc21571"/>
      <w:r>
        <w:rPr>
          <w:rFonts w:hint="eastAsia" w:ascii="仿宋" w:hAnsi="仿宋" w:eastAsia="仿宋" w:cs="仿宋"/>
          <w:b/>
          <w:bCs/>
          <w:kern w:val="44"/>
          <w:sz w:val="24"/>
          <w:szCs w:val="24"/>
        </w:rPr>
        <w:t>接受和拒绝任何或所有投标的权力</w:t>
      </w:r>
      <w:bookmarkEnd w:id="244"/>
      <w:bookmarkEnd w:id="245"/>
      <w:bookmarkEnd w:id="246"/>
      <w:bookmarkEnd w:id="247"/>
      <w:bookmarkEnd w:id="248"/>
      <w:bookmarkEnd w:id="249"/>
      <w:bookmarkEnd w:id="250"/>
    </w:p>
    <w:p>
      <w:pPr>
        <w:numPr>
          <w:ilvl w:val="1"/>
          <w:numId w:val="49"/>
        </w:numPr>
        <w:spacing w:line="360" w:lineRule="auto"/>
        <w:rPr>
          <w:rFonts w:ascii="仿宋" w:hAnsi="仿宋" w:eastAsia="仿宋" w:cs="仿宋"/>
          <w:sz w:val="24"/>
          <w:szCs w:val="24"/>
        </w:rPr>
      </w:pPr>
      <w:r>
        <w:rPr>
          <w:rFonts w:hint="eastAsia" w:ascii="仿宋" w:hAnsi="仿宋" w:eastAsia="仿宋" w:cs="仿宋"/>
          <w:sz w:val="24"/>
          <w:szCs w:val="24"/>
        </w:rPr>
        <w:t>在特殊情况下，采购代理机构和采购人保留在定标之前依法拒绝任何投标以及宣布招标程序无效或拒绝所有投标的权力，且对受影响的投标人不承担任何责任，也无义务向受影响的投标人解释采取这一行动的理由。</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251" w:name="_Toc55778722"/>
      <w:bookmarkStart w:id="252" w:name="_Toc444"/>
      <w:bookmarkStart w:id="253" w:name="_Toc8040"/>
      <w:bookmarkStart w:id="254" w:name="_Toc9402"/>
      <w:bookmarkStart w:id="255" w:name="_Toc19068"/>
      <w:bookmarkStart w:id="256" w:name="_Toc28649"/>
      <w:r>
        <w:rPr>
          <w:rFonts w:hint="eastAsia" w:ascii="仿宋" w:hAnsi="仿宋" w:eastAsia="仿宋" w:cs="仿宋"/>
          <w:b/>
          <w:bCs/>
          <w:kern w:val="44"/>
          <w:sz w:val="24"/>
          <w:szCs w:val="24"/>
        </w:rPr>
        <w:t>中标通知书</w:t>
      </w:r>
      <w:bookmarkEnd w:id="251"/>
      <w:bookmarkEnd w:id="252"/>
      <w:bookmarkEnd w:id="253"/>
      <w:bookmarkEnd w:id="254"/>
      <w:bookmarkEnd w:id="255"/>
      <w:bookmarkEnd w:id="256"/>
    </w:p>
    <w:p>
      <w:pPr>
        <w:numPr>
          <w:ilvl w:val="1"/>
          <w:numId w:val="50"/>
        </w:numPr>
        <w:spacing w:line="360" w:lineRule="auto"/>
        <w:rPr>
          <w:rFonts w:ascii="仿宋" w:hAnsi="仿宋" w:eastAsia="仿宋" w:cs="仿宋"/>
          <w:sz w:val="24"/>
          <w:szCs w:val="24"/>
        </w:rPr>
      </w:pPr>
      <w:r>
        <w:rPr>
          <w:rFonts w:hint="eastAsia" w:ascii="仿宋" w:hAnsi="仿宋" w:eastAsia="仿宋" w:cs="仿宋"/>
          <w:sz w:val="24"/>
          <w:szCs w:val="24"/>
        </w:rPr>
        <w:t>中标人确定后，采购代理机构按本须知规定网站发布中标公告，并同时向中标人发出《中标通知书》。</w:t>
      </w:r>
    </w:p>
    <w:p>
      <w:pPr>
        <w:numPr>
          <w:ilvl w:val="1"/>
          <w:numId w:val="50"/>
        </w:numPr>
        <w:spacing w:line="360" w:lineRule="auto"/>
        <w:rPr>
          <w:rFonts w:ascii="仿宋" w:hAnsi="仿宋" w:eastAsia="仿宋" w:cs="仿宋"/>
          <w:sz w:val="24"/>
          <w:szCs w:val="24"/>
        </w:rPr>
      </w:pPr>
      <w:r>
        <w:rPr>
          <w:rFonts w:hint="eastAsia" w:ascii="仿宋" w:hAnsi="仿宋" w:eastAsia="仿宋" w:cs="仿宋"/>
          <w:sz w:val="24"/>
          <w:szCs w:val="24"/>
        </w:rPr>
        <w:t>《中标通知书》是合同的一个组成部分。</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257" w:name="_Toc55778723"/>
      <w:bookmarkStart w:id="258" w:name="_Toc22710"/>
      <w:bookmarkStart w:id="259" w:name="_Toc16935"/>
      <w:bookmarkStart w:id="260" w:name="_Toc7012"/>
      <w:bookmarkStart w:id="261" w:name="_Toc9979"/>
      <w:bookmarkStart w:id="262" w:name="_Toc18897"/>
      <w:r>
        <w:rPr>
          <w:rFonts w:hint="eastAsia" w:ascii="仿宋" w:hAnsi="仿宋" w:eastAsia="仿宋" w:cs="仿宋"/>
          <w:b/>
          <w:bCs/>
          <w:kern w:val="44"/>
          <w:sz w:val="24"/>
          <w:szCs w:val="24"/>
        </w:rPr>
        <w:t>合同的订立</w:t>
      </w:r>
      <w:bookmarkEnd w:id="257"/>
      <w:bookmarkEnd w:id="258"/>
      <w:bookmarkEnd w:id="259"/>
      <w:bookmarkEnd w:id="260"/>
      <w:bookmarkEnd w:id="261"/>
      <w:bookmarkEnd w:id="262"/>
    </w:p>
    <w:p>
      <w:pPr>
        <w:numPr>
          <w:ilvl w:val="1"/>
          <w:numId w:val="51"/>
        </w:numPr>
        <w:spacing w:line="360" w:lineRule="auto"/>
        <w:rPr>
          <w:rFonts w:ascii="仿宋" w:hAnsi="仿宋" w:eastAsia="仿宋" w:cs="仿宋"/>
          <w:sz w:val="24"/>
          <w:szCs w:val="24"/>
        </w:rPr>
      </w:pPr>
      <w:r>
        <w:rPr>
          <w:rFonts w:hint="eastAsia" w:ascii="仿宋" w:hAnsi="仿宋" w:eastAsia="仿宋" w:cs="仿宋"/>
          <w:sz w:val="24"/>
          <w:szCs w:val="24"/>
        </w:rPr>
        <w:t>采购人与中标投标人自中标通知书发出之日起三十日内，按招标文件要求和中标投标人投标文件承诺签订政府采购合同，但不得超出招标文件和中标投标人投标文件的范围、也不得再行订立背离合同实质性内容的其他协议。</w:t>
      </w:r>
    </w:p>
    <w:p>
      <w:pPr>
        <w:numPr>
          <w:ilvl w:val="1"/>
          <w:numId w:val="51"/>
        </w:numPr>
        <w:spacing w:line="360" w:lineRule="auto"/>
        <w:rPr>
          <w:rFonts w:ascii="仿宋" w:hAnsi="仿宋" w:eastAsia="仿宋" w:cs="仿宋"/>
          <w:sz w:val="24"/>
          <w:szCs w:val="24"/>
        </w:rPr>
      </w:pPr>
      <w:r>
        <w:rPr>
          <w:rFonts w:hint="eastAsia" w:ascii="仿宋" w:hAnsi="仿宋" w:eastAsia="仿宋" w:cs="仿宋"/>
          <w:sz w:val="24"/>
          <w:szCs w:val="24"/>
        </w:rPr>
        <w:t>招标文件、中标人的投标文件及其澄清文件等，均为签订合同的依据。</w:t>
      </w:r>
    </w:p>
    <w:p>
      <w:pPr>
        <w:numPr>
          <w:ilvl w:val="1"/>
          <w:numId w:val="51"/>
        </w:numPr>
        <w:spacing w:line="360" w:lineRule="auto"/>
        <w:rPr>
          <w:rFonts w:ascii="仿宋" w:hAnsi="仿宋" w:eastAsia="仿宋" w:cs="仿宋"/>
          <w:sz w:val="24"/>
          <w:szCs w:val="24"/>
        </w:rPr>
      </w:pPr>
      <w:r>
        <w:rPr>
          <w:rFonts w:hint="eastAsia" w:ascii="仿宋" w:hAnsi="仿宋" w:eastAsia="仿宋" w:cs="仿宋"/>
          <w:sz w:val="24"/>
          <w:szCs w:val="24"/>
        </w:rPr>
        <w:t>签订政府采购合同后7个工作日内，采购人应将合同副本报同级政府采购监督管理部门和有关部门备案，采购人应在政府采购合同签订之日起2个工作日内在新疆政府采购网http://www.ccgp-xinjiang.gov.cn/上公告。</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263" w:name="_Toc55778724"/>
      <w:bookmarkStart w:id="264" w:name="_Toc7064"/>
      <w:bookmarkStart w:id="265" w:name="_Toc4044"/>
      <w:bookmarkStart w:id="266" w:name="_Toc22251"/>
      <w:bookmarkStart w:id="267" w:name="_Toc9738"/>
      <w:bookmarkStart w:id="268" w:name="_Toc1719"/>
      <w:r>
        <w:rPr>
          <w:rFonts w:hint="eastAsia" w:ascii="仿宋" w:hAnsi="仿宋" w:eastAsia="仿宋" w:cs="仿宋"/>
          <w:b/>
          <w:bCs/>
          <w:kern w:val="44"/>
          <w:sz w:val="24"/>
          <w:szCs w:val="24"/>
        </w:rPr>
        <w:t>合同的履行</w:t>
      </w:r>
      <w:bookmarkEnd w:id="263"/>
      <w:bookmarkEnd w:id="264"/>
      <w:bookmarkEnd w:id="265"/>
      <w:bookmarkEnd w:id="266"/>
      <w:bookmarkEnd w:id="267"/>
      <w:bookmarkEnd w:id="268"/>
    </w:p>
    <w:p>
      <w:pPr>
        <w:numPr>
          <w:ilvl w:val="1"/>
          <w:numId w:val="52"/>
        </w:numPr>
        <w:spacing w:line="360" w:lineRule="auto"/>
        <w:rPr>
          <w:rFonts w:ascii="仿宋" w:hAnsi="仿宋" w:eastAsia="仿宋" w:cs="仿宋"/>
          <w:sz w:val="24"/>
          <w:szCs w:val="24"/>
        </w:rPr>
      </w:pPr>
      <w:r>
        <w:rPr>
          <w:rFonts w:hint="eastAsia" w:ascii="仿宋" w:hAnsi="仿宋" w:eastAsia="仿宋" w:cs="仿宋"/>
          <w:sz w:val="24"/>
          <w:szCs w:val="24"/>
        </w:rPr>
        <w:t>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numPr>
          <w:ilvl w:val="1"/>
          <w:numId w:val="52"/>
        </w:numPr>
        <w:spacing w:line="312" w:lineRule="auto"/>
        <w:rPr>
          <w:rFonts w:ascii="仿宋" w:hAnsi="仿宋" w:eastAsia="仿宋" w:cs="仿宋"/>
          <w:sz w:val="24"/>
          <w:szCs w:val="24"/>
        </w:rPr>
      </w:pPr>
      <w:r>
        <w:rPr>
          <w:rFonts w:hint="eastAsia" w:ascii="仿宋" w:hAnsi="仿宋" w:eastAsia="仿宋" w:cs="仿宋"/>
          <w:sz w:val="24"/>
          <w:szCs w:val="24"/>
        </w:rPr>
        <w:t>政府采购合同履行中，采购人需追加与合同标的相同的货物、工程或者服务的，在不改变合同其他条款的前提下，可以与中标投标人签订补充合同，但所补充合同的采购金额不得超过原采购金额的10%，签订补充合同的必须按规定备案。</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269" w:name="_Toc12016"/>
      <w:bookmarkStart w:id="270" w:name="_Toc28418"/>
      <w:bookmarkStart w:id="271" w:name="_Toc23462"/>
      <w:bookmarkStart w:id="272" w:name="_Toc55778726"/>
      <w:bookmarkStart w:id="273" w:name="_Toc11796"/>
      <w:r>
        <w:rPr>
          <w:rFonts w:hint="eastAsia" w:ascii="仿宋" w:hAnsi="仿宋" w:eastAsia="仿宋" w:cs="仿宋"/>
          <w:b/>
          <w:bCs/>
          <w:kern w:val="44"/>
          <w:sz w:val="24"/>
          <w:szCs w:val="24"/>
        </w:rPr>
        <w:t>采购代理服务费</w:t>
      </w:r>
      <w:bookmarkEnd w:id="269"/>
      <w:bookmarkEnd w:id="270"/>
      <w:bookmarkEnd w:id="271"/>
      <w:bookmarkEnd w:id="272"/>
      <w:bookmarkEnd w:id="273"/>
    </w:p>
    <w:p>
      <w:pPr>
        <w:numPr>
          <w:ilvl w:val="1"/>
          <w:numId w:val="53"/>
        </w:numPr>
        <w:spacing w:line="360" w:lineRule="auto"/>
        <w:rPr>
          <w:rFonts w:ascii="仿宋" w:hAnsi="仿宋" w:eastAsia="仿宋" w:cs="仿宋"/>
          <w:sz w:val="24"/>
          <w:szCs w:val="24"/>
        </w:rPr>
      </w:pPr>
      <w:bookmarkStart w:id="274" w:name="_Ref179619574"/>
      <w:r>
        <w:rPr>
          <w:rFonts w:hint="eastAsia" w:ascii="仿宋" w:hAnsi="仿宋" w:eastAsia="仿宋" w:cs="仿宋"/>
          <w:sz w:val="24"/>
          <w:szCs w:val="24"/>
        </w:rPr>
        <w:t>中标人须向采购代理机构按如下标准和规定缴纳采购代理服务费：参照国家发改价格[2011]534号文件的规定，由中标人支付。</w:t>
      </w:r>
    </w:p>
    <w:bookmarkEnd w:id="274"/>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275" w:name="_Toc29629"/>
      <w:bookmarkStart w:id="276" w:name="_Toc87"/>
      <w:bookmarkStart w:id="277" w:name="_Toc18355"/>
      <w:bookmarkStart w:id="278" w:name="_Toc8428"/>
      <w:bookmarkStart w:id="279" w:name="_Toc11945"/>
      <w:bookmarkStart w:id="280" w:name="_Toc55778727"/>
      <w:r>
        <w:rPr>
          <w:rFonts w:hint="eastAsia" w:ascii="仿宋" w:hAnsi="仿宋" w:eastAsia="仿宋" w:cs="仿宋"/>
          <w:b/>
          <w:bCs/>
          <w:kern w:val="44"/>
          <w:sz w:val="24"/>
          <w:szCs w:val="24"/>
        </w:rPr>
        <w:t>适用法律</w:t>
      </w:r>
      <w:bookmarkEnd w:id="275"/>
      <w:bookmarkEnd w:id="276"/>
      <w:bookmarkEnd w:id="277"/>
      <w:bookmarkEnd w:id="278"/>
      <w:bookmarkEnd w:id="279"/>
      <w:bookmarkEnd w:id="280"/>
    </w:p>
    <w:p>
      <w:pPr>
        <w:numPr>
          <w:ilvl w:val="1"/>
          <w:numId w:val="54"/>
        </w:numPr>
        <w:spacing w:line="360" w:lineRule="auto"/>
        <w:rPr>
          <w:rFonts w:ascii="仿宋" w:hAnsi="仿宋" w:eastAsia="仿宋" w:cs="仿宋"/>
          <w:sz w:val="24"/>
          <w:szCs w:val="24"/>
        </w:rPr>
      </w:pPr>
      <w:r>
        <w:rPr>
          <w:rFonts w:hint="eastAsia" w:ascii="仿宋" w:hAnsi="仿宋" w:eastAsia="仿宋" w:cs="仿宋"/>
          <w:sz w:val="24"/>
          <w:szCs w:val="24"/>
        </w:rPr>
        <w:t>采购人、采购代理机构及投标人的一切采购活动均适用《中华人民共和国政府采购法》、《中华人民共和国政府采购法实施条例》及其配套的法规、规章、政策。</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281" w:name="_Toc22475"/>
      <w:bookmarkStart w:id="282" w:name="_Toc7238"/>
      <w:bookmarkStart w:id="283" w:name="_Toc7754"/>
      <w:bookmarkStart w:id="284" w:name="_Toc24416"/>
      <w:bookmarkStart w:id="285" w:name="_Toc55778728"/>
      <w:bookmarkStart w:id="286" w:name="_Toc10876"/>
      <w:r>
        <w:rPr>
          <w:rFonts w:hint="eastAsia" w:ascii="仿宋" w:hAnsi="仿宋" w:eastAsia="仿宋" w:cs="仿宋"/>
          <w:b/>
          <w:bCs/>
          <w:kern w:val="44"/>
          <w:sz w:val="24"/>
          <w:szCs w:val="24"/>
        </w:rPr>
        <w:t>政府采购政策</w:t>
      </w:r>
      <w:bookmarkEnd w:id="281"/>
      <w:bookmarkEnd w:id="282"/>
      <w:bookmarkEnd w:id="283"/>
      <w:bookmarkEnd w:id="284"/>
      <w:bookmarkEnd w:id="285"/>
      <w:bookmarkEnd w:id="286"/>
    </w:p>
    <w:p>
      <w:pPr>
        <w:numPr>
          <w:ilvl w:val="1"/>
          <w:numId w:val="55"/>
        </w:numPr>
        <w:wordWrap w:val="0"/>
        <w:spacing w:line="360" w:lineRule="auto"/>
        <w:ind w:left="1037" w:hanging="1036" w:hangingChars="432"/>
        <w:rPr>
          <w:rFonts w:ascii="仿宋" w:hAnsi="仿宋" w:eastAsia="仿宋" w:cs="仿宋"/>
          <w:sz w:val="24"/>
          <w:szCs w:val="24"/>
        </w:rPr>
      </w:pPr>
      <w:r>
        <w:rPr>
          <w:rFonts w:hint="eastAsia" w:ascii="仿宋" w:hAnsi="仿宋" w:eastAsia="仿宋" w:cs="仿宋"/>
          <w:sz w:val="24"/>
          <w:szCs w:val="24"/>
        </w:rPr>
        <w:t>节能产品，指属于财政部、发展改革委发布的《节能产品政府采购品目清单》范围内，并具有国家确定的认证机构出具的、处于有效期之内的节能产品认证证书的产品，提供有效期内的中国节能产品认证证书复印件及《节能产品政府采购品目清单》中投标产品所在清单页并均加盖投标人公章，节能清单在中国政府采购网（http：//www.ccgp.gov .cn/）、国家发展改革委网站（http://hzs.nd rc.gv.cn/）和中国质量认证中心网站（http://www.cqc.com.cn/）上发布。</w:t>
      </w:r>
    </w:p>
    <w:p>
      <w:pPr>
        <w:numPr>
          <w:ilvl w:val="1"/>
          <w:numId w:val="55"/>
        </w:numPr>
        <w:wordWrap w:val="0"/>
        <w:spacing w:line="360" w:lineRule="auto"/>
        <w:ind w:left="1037" w:hanging="1036" w:hangingChars="432"/>
        <w:rPr>
          <w:rFonts w:ascii="仿宋" w:hAnsi="仿宋" w:eastAsia="仿宋" w:cs="仿宋"/>
          <w:sz w:val="24"/>
          <w:szCs w:val="24"/>
        </w:rPr>
      </w:pPr>
      <w:r>
        <w:rPr>
          <w:rFonts w:hint="eastAsia" w:ascii="仿宋" w:hAnsi="仿宋" w:eastAsia="仿宋" w:cs="仿宋"/>
          <w:sz w:val="24"/>
          <w:szCs w:val="24"/>
        </w:rPr>
        <w:t xml:space="preserve"> 环境标志产品，指属于财政部、生态环境部发布的《环境标志产品政府采购品目清单》范围内的，并具有国家确定的认证机构出具的、处于有效期之内的环境标志产品认证证书的产品，提供有效期内的中国环境标志产品认证证书复印件及《环境标志产品政府采购品目清单》中投标产品所在清单页并均加盖投标人公章，清单在中国政府采购网（http://www.ccgp.gov.cn/）、国家环境保护总局网（http://www.sepa.gov.cn/）、中国绿色采购网（http://www.cgpn. cn/）上发布。</w:t>
      </w:r>
    </w:p>
    <w:p>
      <w:pPr>
        <w:numPr>
          <w:ilvl w:val="1"/>
          <w:numId w:val="55"/>
        </w:numPr>
        <w:spacing w:line="360" w:lineRule="auto"/>
        <w:rPr>
          <w:rFonts w:ascii="仿宋" w:hAnsi="仿宋" w:eastAsia="仿宋" w:cs="仿宋"/>
          <w:sz w:val="24"/>
          <w:szCs w:val="24"/>
        </w:rPr>
      </w:pPr>
      <w:r>
        <w:rPr>
          <w:rFonts w:hint="eastAsia" w:ascii="仿宋" w:hAnsi="仿宋" w:eastAsia="仿宋" w:cs="仿宋"/>
          <w:sz w:val="24"/>
          <w:szCs w:val="24"/>
        </w:rPr>
        <w:t>根据《政府采购促进中小企业发展管理办法》（财库[2020]46号文）的规定，投标人投标时需注意：</w:t>
      </w:r>
    </w:p>
    <w:p>
      <w:pPr>
        <w:numPr>
          <w:ilvl w:val="2"/>
          <w:numId w:val="56"/>
        </w:numPr>
        <w:spacing w:line="360" w:lineRule="auto"/>
        <w:rPr>
          <w:rFonts w:ascii="仿宋" w:hAnsi="仿宋" w:eastAsia="仿宋" w:cs="仿宋"/>
          <w:sz w:val="24"/>
          <w:szCs w:val="24"/>
        </w:rPr>
      </w:pPr>
      <w:r>
        <w:rPr>
          <w:rFonts w:hint="eastAsia" w:ascii="仿宋" w:hAnsi="仿宋" w:eastAsia="仿宋" w:cs="仿宋"/>
          <w:sz w:val="24"/>
          <w:szCs w:val="24"/>
        </w:rPr>
        <w:t>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numPr>
          <w:ilvl w:val="2"/>
          <w:numId w:val="56"/>
        </w:numPr>
        <w:spacing w:line="360" w:lineRule="auto"/>
        <w:rPr>
          <w:rFonts w:ascii="仿宋" w:hAnsi="仿宋" w:eastAsia="仿宋" w:cs="仿宋"/>
          <w:sz w:val="24"/>
          <w:szCs w:val="24"/>
        </w:rPr>
      </w:pPr>
      <w:r>
        <w:rPr>
          <w:rFonts w:hint="eastAsia" w:ascii="仿宋" w:hAnsi="仿宋" w:eastAsia="仿宋" w:cs="仿宋"/>
          <w:sz w:val="24"/>
          <w:szCs w:val="24"/>
        </w:rPr>
        <w:t>参加政府采购活动的中小企业投标时需提供《中小企业声明函》。否则不予认可。</w:t>
      </w:r>
    </w:p>
    <w:p>
      <w:pPr>
        <w:numPr>
          <w:ilvl w:val="2"/>
          <w:numId w:val="56"/>
        </w:numPr>
        <w:spacing w:line="360" w:lineRule="auto"/>
        <w:rPr>
          <w:rFonts w:ascii="仿宋" w:hAnsi="仿宋" w:eastAsia="仿宋" w:cs="仿宋"/>
          <w:sz w:val="24"/>
          <w:szCs w:val="24"/>
        </w:rPr>
      </w:pPr>
      <w:r>
        <w:rPr>
          <w:rFonts w:hint="eastAsia" w:ascii="仿宋" w:hAnsi="仿宋" w:eastAsia="仿宋" w:cs="仿宋"/>
          <w:sz w:val="24"/>
          <w:szCs w:val="24"/>
        </w:rPr>
        <w:t>政府采购货物时，若投标产品仅部分符合优惠评审要求，投标人应提供满足要求的货物的名称和分项报价（详见投标投标明细报价表），否则不予认可。</w:t>
      </w:r>
    </w:p>
    <w:p>
      <w:pPr>
        <w:numPr>
          <w:ilvl w:val="1"/>
          <w:numId w:val="55"/>
        </w:numPr>
        <w:spacing w:line="360" w:lineRule="auto"/>
        <w:rPr>
          <w:rFonts w:ascii="仿宋" w:hAnsi="仿宋" w:eastAsia="仿宋" w:cs="仿宋"/>
          <w:sz w:val="24"/>
          <w:szCs w:val="24"/>
        </w:rPr>
      </w:pPr>
      <w:r>
        <w:rPr>
          <w:rFonts w:hint="eastAsia" w:ascii="仿宋" w:hAnsi="仿宋" w:eastAsia="仿宋" w:cs="仿宋"/>
          <w:sz w:val="24"/>
          <w:szCs w:val="24"/>
        </w:rPr>
        <w:t>监狱企业产品价格扣除</w:t>
      </w:r>
    </w:p>
    <w:p>
      <w:pPr>
        <w:spacing w:line="360" w:lineRule="auto"/>
        <w:ind w:left="840" w:leftChars="400"/>
        <w:rPr>
          <w:rFonts w:ascii="仿宋" w:hAnsi="仿宋" w:eastAsia="仿宋" w:cs="仿宋"/>
          <w:bCs/>
          <w:sz w:val="24"/>
          <w:szCs w:val="24"/>
        </w:rPr>
      </w:pPr>
      <w:r>
        <w:rPr>
          <w:rFonts w:hint="eastAsia" w:ascii="仿宋" w:hAnsi="仿宋" w:eastAsia="仿宋" w:cs="仿宋"/>
          <w:bCs/>
          <w:sz w:val="24"/>
          <w:szCs w:val="24"/>
        </w:rPr>
        <w:t>根据财政部印发的《司法部关于政府采购支持监狱企业发展有关问题》的通知（财库</w:t>
      </w:r>
      <w:r>
        <w:rPr>
          <w:rFonts w:hint="eastAsia" w:ascii="仿宋" w:hAnsi="仿宋" w:eastAsia="仿宋" w:cs="仿宋"/>
          <w:sz w:val="24"/>
          <w:szCs w:val="24"/>
        </w:rPr>
        <w:t>〔2014〕</w:t>
      </w:r>
      <w:r>
        <w:rPr>
          <w:rFonts w:hint="eastAsia" w:ascii="仿宋" w:hAnsi="仿宋" w:eastAsia="仿宋" w:cs="仿宋"/>
          <w:bCs/>
          <w:sz w:val="24"/>
          <w:szCs w:val="24"/>
        </w:rPr>
        <w:t>68号）的规定，支持监狱和戒毒企业（简称“监狱企业”）发展，监狱企业视同中小企业给予相当中小企业的价格扣除。监狱企业参加政府采购活动时，应当提供由省级以上监狱管理局、戒毒管理局（含新疆生产建设兵团）出具的属于监狱企业的证明文件，否则视为非监狱企业。</w:t>
      </w:r>
    </w:p>
    <w:p>
      <w:pPr>
        <w:numPr>
          <w:ilvl w:val="1"/>
          <w:numId w:val="55"/>
        </w:numPr>
        <w:spacing w:line="360" w:lineRule="auto"/>
        <w:rPr>
          <w:rFonts w:ascii="仿宋" w:hAnsi="仿宋" w:eastAsia="仿宋" w:cs="仿宋"/>
          <w:sz w:val="24"/>
          <w:szCs w:val="24"/>
        </w:rPr>
      </w:pPr>
      <w:r>
        <w:rPr>
          <w:rFonts w:hint="eastAsia" w:ascii="仿宋" w:hAnsi="仿宋" w:eastAsia="仿宋" w:cs="仿宋"/>
          <w:sz w:val="24"/>
          <w:szCs w:val="24"/>
        </w:rPr>
        <w:t>残疾人福利性单位产品价格扣除</w:t>
      </w:r>
    </w:p>
    <w:p>
      <w:pPr>
        <w:spacing w:line="360" w:lineRule="auto"/>
        <w:ind w:left="840" w:leftChars="400"/>
        <w:rPr>
          <w:rFonts w:ascii="仿宋" w:hAnsi="仿宋" w:eastAsia="仿宋" w:cs="仿宋"/>
          <w:bCs/>
          <w:sz w:val="24"/>
          <w:szCs w:val="24"/>
        </w:rPr>
      </w:pPr>
      <w:r>
        <w:rPr>
          <w:rFonts w:hint="eastAsia" w:ascii="仿宋" w:hAnsi="仿宋" w:eastAsia="仿宋" w:cs="仿宋"/>
          <w:sz w:val="24"/>
          <w:szCs w:val="24"/>
        </w:rPr>
        <w:t>根据</w:t>
      </w:r>
      <w:r>
        <w:rPr>
          <w:rFonts w:hint="eastAsia" w:ascii="仿宋" w:hAnsi="仿宋" w:eastAsia="仿宋" w:cs="仿宋"/>
          <w:bCs/>
          <w:sz w:val="24"/>
          <w:szCs w:val="24"/>
        </w:rPr>
        <w:t>财政部印发的</w:t>
      </w:r>
      <w:r>
        <w:rPr>
          <w:rFonts w:hint="eastAsia" w:ascii="仿宋" w:hAnsi="仿宋" w:eastAsia="仿宋" w:cs="仿宋"/>
          <w:sz w:val="24"/>
          <w:szCs w:val="24"/>
        </w:rPr>
        <w:t>《关于促进残疾人就业政府采购政策的通知》（财库〔2017〕141号）的规定，</w:t>
      </w:r>
      <w:r>
        <w:rPr>
          <w:rFonts w:hint="eastAsia" w:ascii="仿宋" w:hAnsi="仿宋" w:eastAsia="仿宋" w:cs="仿宋"/>
          <w:bCs/>
          <w:sz w:val="24"/>
          <w:szCs w:val="24"/>
        </w:rPr>
        <w:t>残疾人福利性单位视同中小企业给予相当中小企业的价格扣除。残疾人福利性单位参加政府采购活动时，应当提供《残疾人福利性单位声明函》，否则视为非残疾人福利性单位。</w:t>
      </w:r>
    </w:p>
    <w:p>
      <w:pPr>
        <w:spacing w:line="360" w:lineRule="auto"/>
        <w:ind w:left="840" w:leftChars="400"/>
        <w:rPr>
          <w:rFonts w:ascii="仿宋" w:hAnsi="仿宋" w:eastAsia="仿宋" w:cs="仿宋"/>
          <w:b/>
          <w:sz w:val="24"/>
          <w:szCs w:val="24"/>
        </w:rPr>
      </w:pPr>
      <w:r>
        <w:rPr>
          <w:rFonts w:hint="eastAsia" w:ascii="仿宋" w:hAnsi="仿宋" w:eastAsia="仿宋" w:cs="仿宋"/>
          <w:b/>
          <w:sz w:val="24"/>
          <w:szCs w:val="24"/>
        </w:rPr>
        <w:t>注1：投标人若同时为中小企业、监狱企业、残疾人福利性单位或其中两种，均只能享受一次价格扣除。</w:t>
      </w:r>
    </w:p>
    <w:p>
      <w:pPr>
        <w:spacing w:line="360" w:lineRule="auto"/>
        <w:ind w:left="840" w:leftChars="400"/>
        <w:rPr>
          <w:rFonts w:ascii="仿宋" w:hAnsi="仿宋" w:eastAsia="仿宋" w:cs="仿宋"/>
          <w:b/>
          <w:sz w:val="24"/>
          <w:szCs w:val="24"/>
        </w:rPr>
      </w:pPr>
      <w:r>
        <w:rPr>
          <w:rFonts w:hint="eastAsia" w:ascii="仿宋" w:hAnsi="仿宋" w:eastAsia="仿宋" w:cs="仿宋"/>
          <w:b/>
          <w:sz w:val="24"/>
          <w:szCs w:val="24"/>
        </w:rPr>
        <w:t>注2：中小企业、残疾人福利性单位提供其他企业制造的货物的，则该货物的制造商也必须为上述企业，否则不能享受价格优惠。</w:t>
      </w:r>
    </w:p>
    <w:p>
      <w:pPr>
        <w:spacing w:line="360" w:lineRule="auto"/>
        <w:ind w:firstLine="964" w:firstLineChars="400"/>
        <w:rPr>
          <w:rFonts w:ascii="仿宋" w:hAnsi="仿宋" w:eastAsia="仿宋" w:cs="仿宋"/>
          <w:sz w:val="24"/>
          <w:szCs w:val="24"/>
        </w:rPr>
      </w:pPr>
      <w:r>
        <w:rPr>
          <w:rFonts w:hint="eastAsia" w:ascii="仿宋" w:hAnsi="仿宋" w:eastAsia="仿宋" w:cs="仿宋"/>
          <w:b/>
          <w:sz w:val="24"/>
          <w:szCs w:val="24"/>
        </w:rPr>
        <w:t>注3：中小企业声明函注意事项：</w:t>
      </w:r>
    </w:p>
    <w:p>
      <w:pPr>
        <w:spacing w:line="360" w:lineRule="auto"/>
        <w:ind w:left="870" w:leftChars="300" w:hanging="240" w:hangingChars="100"/>
        <w:rPr>
          <w:rFonts w:ascii="仿宋" w:hAnsi="仿宋" w:eastAsia="仿宋" w:cs="仿宋"/>
          <w:sz w:val="24"/>
          <w:szCs w:val="24"/>
        </w:rPr>
      </w:pPr>
      <w:r>
        <w:rPr>
          <w:rFonts w:hint="eastAsia" w:ascii="仿宋" w:hAnsi="仿宋" w:eastAsia="仿宋" w:cs="仿宋"/>
          <w:sz w:val="24"/>
          <w:szCs w:val="24"/>
        </w:rPr>
        <w:t>（1）投标人在此声明函未填写“小型、微型”其中之一的，将视为非中小企业，不能享受价格扣除。</w:t>
      </w:r>
    </w:p>
    <w:p>
      <w:pPr>
        <w:spacing w:line="360" w:lineRule="auto"/>
        <w:ind w:left="630" w:leftChars="300"/>
        <w:rPr>
          <w:rFonts w:ascii="仿宋" w:hAnsi="仿宋" w:eastAsia="仿宋" w:cs="仿宋"/>
          <w:sz w:val="24"/>
          <w:szCs w:val="24"/>
        </w:rPr>
      </w:pPr>
      <w:r>
        <w:rPr>
          <w:rFonts w:hint="eastAsia" w:ascii="仿宋" w:hAnsi="仿宋" w:eastAsia="仿宋" w:cs="仿宋"/>
          <w:sz w:val="24"/>
          <w:szCs w:val="24"/>
        </w:rPr>
        <w:t>（2）投标人提供其他制造商（生产厂家）制作的货物投标，需要同时提供《中小企业声明函》及《制造商中小企业声明函》（其中《中小企业声明函》加盖投标人公章，《制造商中小企业声明函》加盖制造商公章），中小企业优惠标准以制造商企业类型为准。具有多个制造商的货物须提供相应制造商的《制造商中小企业声明函》。提供资料不齐全的视为非中小企业。</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（3）投标人提供自己制造的货物投标，则提供《中小企业声明函》。</w:t>
      </w:r>
    </w:p>
    <w:p>
      <w:pPr>
        <w:spacing w:after="120"/>
        <w:rPr>
          <w:rFonts w:ascii="仿宋" w:hAnsi="仿宋" w:eastAsia="仿宋" w:cs="仿宋"/>
          <w:sz w:val="24"/>
          <w:szCs w:val="24"/>
          <w:highlight w:val="yellow"/>
        </w:rPr>
      </w:pPr>
    </w:p>
    <w:p>
      <w:pPr>
        <w:pStyle w:val="21"/>
        <w:rPr>
          <w:rFonts w:ascii="仿宋" w:hAnsi="仿宋" w:eastAsia="仿宋" w:cs="仿宋"/>
          <w:sz w:val="24"/>
          <w:szCs w:val="24"/>
          <w:highlight w:val="yellow"/>
        </w:rPr>
      </w:pPr>
    </w:p>
    <w:p>
      <w:pPr>
        <w:pStyle w:val="21"/>
        <w:rPr>
          <w:rFonts w:ascii="仿宋" w:hAnsi="仿宋" w:eastAsia="仿宋" w:cs="仿宋"/>
          <w:sz w:val="24"/>
          <w:szCs w:val="24"/>
          <w:highlight w:val="yellow"/>
        </w:rPr>
      </w:pPr>
    </w:p>
    <w:p>
      <w:pPr>
        <w:pStyle w:val="21"/>
        <w:rPr>
          <w:rFonts w:ascii="仿宋" w:hAnsi="仿宋" w:eastAsia="仿宋" w:cs="仿宋"/>
          <w:sz w:val="24"/>
          <w:szCs w:val="24"/>
          <w:highlight w:val="yellow"/>
        </w:rPr>
      </w:pPr>
    </w:p>
    <w:p>
      <w:pPr>
        <w:pStyle w:val="21"/>
        <w:rPr>
          <w:rFonts w:ascii="仿宋" w:hAnsi="仿宋" w:eastAsia="仿宋" w:cs="仿宋"/>
          <w:sz w:val="24"/>
          <w:szCs w:val="24"/>
          <w:highlight w:val="yellow"/>
        </w:rPr>
      </w:pPr>
    </w:p>
    <w:p>
      <w:pPr>
        <w:outlineLvl w:val="0"/>
        <w:rPr>
          <w:rFonts w:ascii="仿宋" w:hAnsi="仿宋" w:eastAsia="仿宋" w:cs="仿宋"/>
          <w:kern w:val="44"/>
          <w:sz w:val="24"/>
          <w:szCs w:val="24"/>
          <w:highlight w:val="yellow"/>
        </w:rPr>
      </w:pPr>
      <w:bookmarkStart w:id="287" w:name="_Toc16833"/>
      <w:bookmarkStart w:id="288" w:name="_Toc55778730"/>
    </w:p>
    <w:p>
      <w:pPr>
        <w:jc w:val="center"/>
        <w:outlineLvl w:val="0"/>
        <w:rPr>
          <w:rFonts w:ascii="仿宋" w:hAnsi="仿宋" w:eastAsia="仿宋" w:cs="仿宋"/>
          <w:b/>
          <w:bCs/>
          <w:kern w:val="44"/>
          <w:sz w:val="30"/>
          <w:szCs w:val="30"/>
        </w:rPr>
      </w:pPr>
      <w:bookmarkStart w:id="289" w:name="_Toc646"/>
      <w:r>
        <w:rPr>
          <w:rFonts w:hint="eastAsia" w:ascii="仿宋" w:hAnsi="仿宋" w:eastAsia="仿宋" w:cs="仿宋"/>
          <w:b/>
          <w:bCs/>
          <w:kern w:val="44"/>
          <w:sz w:val="30"/>
          <w:szCs w:val="30"/>
        </w:rPr>
        <w:t>第四章 合同格式</w:t>
      </w:r>
      <w:bookmarkEnd w:id="287"/>
      <w:bookmarkEnd w:id="288"/>
      <w:bookmarkEnd w:id="289"/>
    </w:p>
    <w:p>
      <w:pPr>
        <w:widowControl/>
        <w:kinsoku w:val="0"/>
        <w:overflowPunct w:val="0"/>
        <w:jc w:val="left"/>
        <w:rPr>
          <w:rFonts w:ascii="仿宋" w:hAnsi="仿宋" w:eastAsia="仿宋" w:cs="仿宋"/>
          <w:kern w:val="0"/>
          <w:sz w:val="24"/>
          <w:szCs w:val="24"/>
          <w:highlight w:val="yellow"/>
        </w:rPr>
      </w:pPr>
    </w:p>
    <w:p>
      <w:pPr>
        <w:pStyle w:val="21"/>
        <w:kinsoku w:val="0"/>
        <w:overflowPunct w:val="0"/>
        <w:rPr>
          <w:rFonts w:ascii="仿宋" w:hAnsi="仿宋" w:eastAsia="仿宋" w:cs="仿宋"/>
          <w:sz w:val="24"/>
          <w:szCs w:val="24"/>
          <w:highlight w:val="yellow"/>
        </w:rPr>
      </w:pPr>
    </w:p>
    <w:p>
      <w:pPr>
        <w:spacing w:line="360" w:lineRule="auto"/>
        <w:ind w:firstLine="480" w:firstLineChars="200"/>
        <w:jc w:val="center"/>
        <w:rPr>
          <w:rFonts w:ascii="宋体"/>
          <w:sz w:val="24"/>
        </w:rPr>
      </w:pPr>
      <w:r>
        <w:rPr>
          <w:rFonts w:ascii="宋体" w:hAnsi="宋体"/>
          <w:sz w:val="24"/>
        </w:rPr>
        <w:t>(</w:t>
      </w:r>
      <w:r>
        <w:rPr>
          <w:rFonts w:hint="eastAsia" w:ascii="宋体" w:hAnsi="宋体"/>
          <w:sz w:val="24"/>
        </w:rPr>
        <w:t>此合同样本仅供参考</w:t>
      </w:r>
      <w:r>
        <w:rPr>
          <w:rFonts w:ascii="宋体"/>
          <w:sz w:val="24"/>
        </w:rPr>
        <w:t>,</w:t>
      </w:r>
      <w:r>
        <w:rPr>
          <w:rFonts w:hint="eastAsia" w:ascii="宋体" w:hAnsi="宋体"/>
          <w:sz w:val="24"/>
        </w:rPr>
        <w:t>合同具体细则以成交双方协定为准</w:t>
      </w:r>
      <w:r>
        <w:rPr>
          <w:rFonts w:ascii="宋体" w:hAnsi="宋体"/>
          <w:sz w:val="24"/>
        </w:rPr>
        <w:t>)</w:t>
      </w:r>
    </w:p>
    <w:p>
      <w:pPr>
        <w:rPr>
          <w:rFonts w:ascii="楷体" w:hAnsi="楷体" w:eastAsia="楷体"/>
          <w:sz w:val="24"/>
          <w:u w:val="single"/>
        </w:rPr>
      </w:pPr>
      <w:r>
        <w:rPr>
          <w:rFonts w:hint="eastAsia" w:ascii="楷体" w:hAnsi="楷体" w:eastAsia="楷体"/>
          <w:sz w:val="24"/>
        </w:rPr>
        <w:t>合同编号：</w:t>
      </w:r>
    </w:p>
    <w:p>
      <w:pPr>
        <w:spacing w:line="480" w:lineRule="auto"/>
        <w:rPr>
          <w:rFonts w:ascii="楷体" w:hAnsi="楷体" w:eastAsia="楷体"/>
          <w:b/>
          <w:sz w:val="28"/>
          <w:szCs w:val="28"/>
        </w:rPr>
      </w:pPr>
    </w:p>
    <w:p>
      <w:pPr>
        <w:spacing w:line="480" w:lineRule="auto"/>
        <w:jc w:val="center"/>
        <w:rPr>
          <w:rFonts w:ascii="楷体" w:hAnsi="楷体" w:eastAsia="楷体"/>
          <w:b/>
          <w:sz w:val="44"/>
          <w:szCs w:val="44"/>
        </w:rPr>
      </w:pPr>
      <w:r>
        <w:rPr>
          <w:rFonts w:ascii="楷体" w:hAnsi="楷体" w:eastAsia="楷体"/>
          <w:b/>
          <w:sz w:val="44"/>
          <w:szCs w:val="44"/>
        </w:rPr>
        <w:t>政府采购合同</w:t>
      </w:r>
      <w:r>
        <w:rPr>
          <w:rFonts w:hint="eastAsia" w:ascii="楷体" w:hAnsi="楷体" w:eastAsia="楷体"/>
          <w:b/>
          <w:sz w:val="44"/>
          <w:szCs w:val="44"/>
        </w:rPr>
        <w:t>参考范本</w:t>
      </w:r>
    </w:p>
    <w:p>
      <w:pPr>
        <w:spacing w:line="480" w:lineRule="auto"/>
        <w:jc w:val="center"/>
        <w:rPr>
          <w:rFonts w:ascii="楷体" w:hAnsi="楷体" w:eastAsia="楷体"/>
          <w:b/>
          <w:sz w:val="24"/>
        </w:rPr>
      </w:pPr>
      <w:r>
        <w:rPr>
          <w:rFonts w:hint="eastAsia" w:ascii="楷体" w:hAnsi="楷体" w:eastAsia="楷体"/>
          <w:b/>
          <w:sz w:val="24"/>
        </w:rPr>
        <w:t>（服务类）</w:t>
      </w:r>
    </w:p>
    <w:p>
      <w:pPr>
        <w:pStyle w:val="69"/>
        <w:rPr>
          <w:rFonts w:ascii="楷体" w:hAnsi="楷体" w:eastAsia="楷体"/>
          <w:szCs w:val="24"/>
        </w:rPr>
      </w:pPr>
    </w:p>
    <w:p>
      <w:pPr>
        <w:pStyle w:val="69"/>
        <w:rPr>
          <w:rFonts w:ascii="楷体" w:hAnsi="楷体" w:eastAsia="楷体"/>
          <w:szCs w:val="24"/>
        </w:rPr>
      </w:pPr>
    </w:p>
    <w:p>
      <w:pPr>
        <w:pStyle w:val="69"/>
        <w:rPr>
          <w:rFonts w:ascii="楷体" w:hAnsi="楷体" w:eastAsia="楷体"/>
          <w:szCs w:val="24"/>
        </w:rPr>
      </w:pPr>
    </w:p>
    <w:p>
      <w:pPr>
        <w:pStyle w:val="69"/>
        <w:ind w:firstLine="422"/>
        <w:jc w:val="center"/>
        <w:rPr>
          <w:rFonts w:ascii="楷体" w:hAnsi="楷体" w:eastAsia="楷体"/>
          <w:b/>
          <w:szCs w:val="24"/>
        </w:rPr>
      </w:pPr>
      <w:r>
        <w:rPr>
          <w:rFonts w:hint="eastAsia" w:ascii="楷体" w:hAnsi="楷体" w:eastAsia="楷体"/>
          <w:b/>
          <w:szCs w:val="24"/>
        </w:rPr>
        <w:t>第一部分 合同书</w:t>
      </w:r>
    </w:p>
    <w:p>
      <w:pPr>
        <w:pStyle w:val="69"/>
        <w:rPr>
          <w:rFonts w:ascii="楷体" w:hAnsi="楷体" w:eastAsia="楷体"/>
          <w:szCs w:val="24"/>
        </w:rPr>
      </w:pPr>
    </w:p>
    <w:p>
      <w:pPr>
        <w:pStyle w:val="69"/>
        <w:rPr>
          <w:rFonts w:ascii="楷体" w:hAnsi="楷体" w:eastAsia="楷体"/>
          <w:szCs w:val="24"/>
        </w:rPr>
      </w:pPr>
    </w:p>
    <w:p>
      <w:pPr>
        <w:spacing w:before="120" w:line="22" w:lineRule="atLeast"/>
        <w:rPr>
          <w:rFonts w:ascii="楷体" w:hAnsi="楷体" w:eastAsia="楷体"/>
          <w:sz w:val="24"/>
        </w:rPr>
      </w:pPr>
    </w:p>
    <w:p>
      <w:pPr>
        <w:spacing w:before="120" w:line="22" w:lineRule="atLeast"/>
        <w:ind w:left="960"/>
        <w:rPr>
          <w:rFonts w:ascii="宋体" w:hAnsi="宋体" w:cs="宋体"/>
          <w:sz w:val="24"/>
          <w:szCs w:val="24"/>
        </w:rPr>
      </w:pPr>
      <w:r>
        <w:rPr>
          <w:rFonts w:hint="eastAsia" w:ascii="宋体" w:hAnsi="宋体" w:cs="宋体"/>
          <w:sz w:val="24"/>
          <w:szCs w:val="24"/>
        </w:rPr>
        <w:t>项目名称：</w:t>
      </w:r>
    </w:p>
    <w:p>
      <w:pPr>
        <w:pStyle w:val="70"/>
        <w:spacing w:before="120" w:line="22" w:lineRule="atLeast"/>
        <w:rPr>
          <w:rFonts w:ascii="宋体" w:hAnsi="宋体" w:eastAsia="宋体" w:cs="宋体"/>
          <w:szCs w:val="24"/>
        </w:rPr>
      </w:pPr>
    </w:p>
    <w:p>
      <w:pPr>
        <w:pStyle w:val="70"/>
        <w:spacing w:before="120" w:line="22" w:lineRule="atLeast"/>
        <w:rPr>
          <w:rFonts w:ascii="宋体" w:hAnsi="宋体" w:eastAsia="宋体" w:cs="宋体"/>
          <w:szCs w:val="24"/>
        </w:rPr>
      </w:pPr>
    </w:p>
    <w:p>
      <w:pPr>
        <w:rPr>
          <w:rFonts w:ascii="宋体" w:hAnsi="宋体" w:cs="宋体"/>
          <w:sz w:val="24"/>
          <w:szCs w:val="24"/>
        </w:rPr>
      </w:pPr>
    </w:p>
    <w:p>
      <w:pPr>
        <w:spacing w:before="120" w:line="22" w:lineRule="atLeast"/>
        <w:ind w:left="960"/>
        <w:rPr>
          <w:rFonts w:ascii="宋体" w:hAnsi="宋体" w:cs="宋体"/>
          <w:sz w:val="24"/>
          <w:szCs w:val="24"/>
          <w:u w:val="single"/>
        </w:rPr>
      </w:pPr>
      <w:r>
        <w:rPr>
          <w:rFonts w:hint="eastAsia" w:ascii="宋体" w:hAnsi="宋体" w:cs="宋体"/>
          <w:sz w:val="24"/>
          <w:szCs w:val="24"/>
        </w:rPr>
        <w:t>甲方：</w:t>
      </w:r>
    </w:p>
    <w:p>
      <w:pPr>
        <w:spacing w:before="120" w:line="22" w:lineRule="atLeast"/>
        <w:rPr>
          <w:rFonts w:ascii="宋体" w:hAnsi="宋体" w:cs="宋体"/>
          <w:sz w:val="24"/>
          <w:szCs w:val="24"/>
        </w:rPr>
      </w:pPr>
    </w:p>
    <w:p>
      <w:pPr>
        <w:spacing w:before="120" w:line="22" w:lineRule="atLeast"/>
        <w:ind w:left="960"/>
        <w:rPr>
          <w:rFonts w:ascii="宋体" w:hAnsi="宋体" w:cs="宋体"/>
          <w:sz w:val="24"/>
          <w:szCs w:val="24"/>
          <w:u w:val="single"/>
        </w:rPr>
      </w:pPr>
      <w:r>
        <w:rPr>
          <w:rFonts w:hint="eastAsia" w:ascii="宋体" w:hAnsi="宋体" w:cs="宋体"/>
          <w:sz w:val="24"/>
          <w:szCs w:val="24"/>
        </w:rPr>
        <w:t>乙方：</w:t>
      </w:r>
    </w:p>
    <w:p>
      <w:pPr>
        <w:spacing w:before="120" w:line="22" w:lineRule="atLeast"/>
        <w:rPr>
          <w:rFonts w:ascii="宋体" w:hAnsi="宋体" w:cs="宋体"/>
          <w:sz w:val="24"/>
          <w:szCs w:val="24"/>
        </w:rPr>
      </w:pPr>
    </w:p>
    <w:p>
      <w:pPr>
        <w:spacing w:before="120" w:line="22" w:lineRule="atLeast"/>
        <w:ind w:firstLine="960" w:firstLineChars="400"/>
        <w:rPr>
          <w:rFonts w:ascii="宋体" w:hAnsi="宋体" w:cs="宋体"/>
          <w:sz w:val="24"/>
          <w:szCs w:val="24"/>
          <w:u w:val="single"/>
        </w:rPr>
      </w:pPr>
      <w:r>
        <w:rPr>
          <w:rFonts w:hint="eastAsia" w:ascii="宋体" w:hAnsi="宋体" w:cs="宋体"/>
          <w:sz w:val="24"/>
          <w:szCs w:val="24"/>
        </w:rPr>
        <w:t>签订地：</w:t>
      </w:r>
    </w:p>
    <w:p>
      <w:pPr>
        <w:spacing w:before="120" w:line="22" w:lineRule="atLeast"/>
        <w:rPr>
          <w:rFonts w:ascii="宋体" w:hAnsi="宋体" w:cs="宋体"/>
          <w:sz w:val="24"/>
          <w:szCs w:val="24"/>
        </w:rPr>
      </w:pPr>
    </w:p>
    <w:p>
      <w:pPr>
        <w:spacing w:before="120" w:line="22" w:lineRule="atLeast"/>
        <w:ind w:firstLine="960" w:firstLineChars="400"/>
        <w:rPr>
          <w:rFonts w:ascii="宋体" w:hAnsi="宋体" w:cs="宋体"/>
          <w:sz w:val="24"/>
          <w:szCs w:val="24"/>
          <w:u w:val="single"/>
        </w:rPr>
      </w:pPr>
      <w:r>
        <w:rPr>
          <w:rFonts w:hint="eastAsia" w:ascii="宋体" w:hAnsi="宋体" w:cs="宋体"/>
          <w:sz w:val="24"/>
          <w:szCs w:val="24"/>
        </w:rPr>
        <w:t>签订日期：年月日</w:t>
      </w:r>
    </w:p>
    <w:p>
      <w:pPr>
        <w:autoSpaceDE w:val="0"/>
        <w:autoSpaceDN w:val="0"/>
        <w:adjustRightInd w:val="0"/>
        <w:spacing w:line="600" w:lineRule="exact"/>
        <w:ind w:firstLine="640"/>
        <w:jc w:val="center"/>
        <w:rPr>
          <w:rFonts w:ascii="宋体" w:hAnsi="宋体" w:cs="宋体"/>
          <w:sz w:val="24"/>
          <w:szCs w:val="24"/>
          <w:highlight w:val="yellow"/>
        </w:rPr>
        <w:sectPr>
          <w:headerReference r:id="rId3" w:type="default"/>
          <w:footerReference r:id="rId4" w:type="default"/>
          <w:type w:val="continuous"/>
          <w:pgSz w:w="11907" w:h="16840"/>
          <w:pgMar w:top="1474" w:right="1417" w:bottom="1474" w:left="1417" w:header="851" w:footer="851" w:gutter="0"/>
          <w:cols w:space="720" w:num="1"/>
          <w:docGrid w:linePitch="462" w:charSpace="0"/>
        </w:sectPr>
      </w:pPr>
    </w:p>
    <w:p>
      <w:pPr>
        <w:spacing w:line="560" w:lineRule="exact"/>
        <w:ind w:firstLine="480" w:firstLineChars="200"/>
        <w:rPr>
          <w:rFonts w:ascii="宋体" w:hAnsi="宋体" w:cs="宋体"/>
          <w:sz w:val="24"/>
          <w:szCs w:val="24"/>
        </w:rPr>
      </w:pPr>
      <w:r>
        <w:rPr>
          <w:rFonts w:hint="eastAsia" w:ascii="宋体" w:hAnsi="宋体" w:cs="宋体"/>
          <w:sz w:val="24"/>
          <w:szCs w:val="24"/>
          <w:lang w:val="zh-CN"/>
        </w:rPr>
        <w:t>年月日</w:t>
      </w:r>
      <w:r>
        <w:rPr>
          <w:rFonts w:hint="eastAsia" w:ascii="宋体" w:hAnsi="宋体" w:cs="宋体"/>
          <w:sz w:val="24"/>
          <w:szCs w:val="24"/>
        </w:rPr>
        <w:t>，</w:t>
      </w:r>
      <w:r>
        <w:rPr>
          <w:rFonts w:hint="eastAsia" w:ascii="宋体" w:hAnsi="宋体" w:cs="宋体"/>
          <w:sz w:val="24"/>
          <w:szCs w:val="24"/>
          <w:u w:val="single"/>
        </w:rPr>
        <w:t xml:space="preserve">   （采购人名称）   </w:t>
      </w:r>
      <w:r>
        <w:rPr>
          <w:rFonts w:hint="eastAsia" w:ascii="宋体" w:hAnsi="宋体" w:cs="宋体"/>
          <w:sz w:val="24"/>
          <w:szCs w:val="24"/>
        </w:rPr>
        <w:t>以</w:t>
      </w:r>
      <w:r>
        <w:rPr>
          <w:rFonts w:hint="eastAsia" w:ascii="宋体" w:hAnsi="宋体" w:cs="宋体"/>
          <w:sz w:val="24"/>
          <w:szCs w:val="24"/>
          <w:u w:val="single"/>
        </w:rPr>
        <w:t xml:space="preserve">   （政府采购方式）  </w:t>
      </w:r>
      <w:r>
        <w:rPr>
          <w:rFonts w:hint="eastAsia" w:ascii="宋体" w:hAnsi="宋体" w:cs="宋体"/>
          <w:sz w:val="24"/>
          <w:szCs w:val="24"/>
        </w:rPr>
        <w:t>对</w:t>
      </w:r>
      <w:r>
        <w:rPr>
          <w:rFonts w:hint="eastAsia" w:ascii="宋体" w:hAnsi="宋体" w:cs="宋体"/>
          <w:sz w:val="24"/>
          <w:szCs w:val="24"/>
          <w:u w:val="single"/>
        </w:rPr>
        <w:t xml:space="preserve">   （同前页项目名称）   </w:t>
      </w:r>
      <w:r>
        <w:rPr>
          <w:rFonts w:hint="eastAsia" w:ascii="宋体" w:hAnsi="宋体" w:cs="宋体"/>
          <w:sz w:val="24"/>
          <w:szCs w:val="24"/>
        </w:rPr>
        <w:t>项目进行了采购。经</w:t>
      </w:r>
      <w:r>
        <w:rPr>
          <w:rFonts w:hint="eastAsia" w:ascii="宋体" w:hAnsi="宋体" w:cs="宋体"/>
          <w:sz w:val="24"/>
          <w:szCs w:val="24"/>
          <w:u w:val="single"/>
        </w:rPr>
        <w:t xml:space="preserve">   （相关评定主体名称）   </w:t>
      </w:r>
      <w:r>
        <w:rPr>
          <w:rFonts w:hint="eastAsia" w:ascii="宋体" w:hAnsi="宋体" w:cs="宋体"/>
          <w:sz w:val="24"/>
          <w:szCs w:val="24"/>
        </w:rPr>
        <w:t>评定，</w:t>
      </w:r>
      <w:r>
        <w:rPr>
          <w:rFonts w:hint="eastAsia" w:ascii="宋体" w:hAnsi="宋体" w:cs="宋体"/>
          <w:sz w:val="24"/>
          <w:szCs w:val="24"/>
          <w:u w:val="single"/>
        </w:rPr>
        <w:t xml:space="preserve">   （中标供应商名称） </w:t>
      </w:r>
      <w:r>
        <w:rPr>
          <w:rFonts w:hint="eastAsia" w:ascii="宋体" w:hAnsi="宋体" w:cs="宋体"/>
          <w:sz w:val="24"/>
          <w:szCs w:val="24"/>
        </w:rPr>
        <w:t>为该项目中标供应商。现于中标通知书发出之日起三十日内，按照采购文件确定的事项签订本合同。</w:t>
      </w:r>
    </w:p>
    <w:p>
      <w:pPr>
        <w:spacing w:line="560" w:lineRule="exact"/>
        <w:ind w:firstLine="480" w:firstLineChars="200"/>
        <w:rPr>
          <w:rFonts w:ascii="宋体" w:hAnsi="宋体" w:cs="宋体"/>
          <w:sz w:val="24"/>
          <w:szCs w:val="24"/>
        </w:rPr>
      </w:pPr>
      <w:r>
        <w:rPr>
          <w:rFonts w:hint="eastAsia" w:ascii="宋体" w:hAnsi="宋体" w:cs="宋体"/>
          <w:sz w:val="24"/>
          <w:szCs w:val="24"/>
          <w:lang w:val="zh-CN"/>
        </w:rPr>
        <w:t>根据《中华人民共和国</w:t>
      </w:r>
      <w:r>
        <w:rPr>
          <w:rFonts w:hint="eastAsia" w:ascii="宋体" w:hAnsi="宋体" w:cs="宋体"/>
          <w:sz w:val="24"/>
          <w:szCs w:val="24"/>
        </w:rPr>
        <w:t>民法典</w:t>
      </w:r>
      <w:r>
        <w:rPr>
          <w:rFonts w:hint="eastAsia" w:ascii="宋体" w:hAnsi="宋体" w:cs="宋体"/>
          <w:sz w:val="24"/>
          <w:szCs w:val="24"/>
          <w:lang w:val="zh-CN"/>
        </w:rPr>
        <w:t>》、《中华人民共和国政府采购法》等相关法律法规之规定，按照平等、自愿、公平和诚实信用的原则，经</w:t>
      </w:r>
      <w:r>
        <w:rPr>
          <w:rFonts w:hint="eastAsia" w:ascii="宋体" w:hAnsi="宋体" w:cs="宋体"/>
          <w:sz w:val="24"/>
          <w:szCs w:val="24"/>
          <w:u w:val="single"/>
        </w:rPr>
        <w:t xml:space="preserve">   （采购人名称）   </w:t>
      </w:r>
      <w:r>
        <w:rPr>
          <w:rFonts w:hint="eastAsia" w:ascii="宋体" w:hAnsi="宋体" w:cs="宋体"/>
          <w:sz w:val="24"/>
          <w:szCs w:val="24"/>
          <w:lang w:val="zh-CN"/>
        </w:rPr>
        <w:t>(以下简称：甲方)和</w:t>
      </w:r>
      <w:r>
        <w:rPr>
          <w:rFonts w:hint="eastAsia" w:ascii="宋体" w:hAnsi="宋体" w:cs="宋体"/>
          <w:sz w:val="24"/>
          <w:szCs w:val="24"/>
          <w:u w:val="single"/>
        </w:rPr>
        <w:t xml:space="preserve">   （中标供应商名称）   </w:t>
      </w:r>
      <w:r>
        <w:rPr>
          <w:rFonts w:hint="eastAsia" w:ascii="宋体" w:hAnsi="宋体" w:cs="宋体"/>
          <w:sz w:val="24"/>
          <w:szCs w:val="24"/>
          <w:lang w:val="zh-CN"/>
        </w:rPr>
        <w:t>(以下简称：乙方)协商一致，约定以下合同</w:t>
      </w:r>
      <w:r>
        <w:rPr>
          <w:rFonts w:hint="eastAsia" w:ascii="宋体" w:hAnsi="宋体" w:cs="宋体"/>
          <w:sz w:val="24"/>
          <w:szCs w:val="24"/>
        </w:rPr>
        <w:t>条款，以兹共同遵守、全面履行。</w:t>
      </w:r>
    </w:p>
    <w:p>
      <w:pPr>
        <w:spacing w:line="560" w:lineRule="exact"/>
        <w:ind w:firstLine="482" w:firstLineChars="200"/>
        <w:outlineLvl w:val="0"/>
        <w:rPr>
          <w:rFonts w:ascii="宋体" w:hAnsi="宋体" w:cs="宋体"/>
          <w:sz w:val="24"/>
          <w:szCs w:val="24"/>
        </w:rPr>
      </w:pPr>
      <w:bookmarkStart w:id="290" w:name="_Toc19273"/>
      <w:bookmarkStart w:id="291" w:name="_Toc28855"/>
      <w:bookmarkStart w:id="292" w:name="_Toc22967"/>
      <w:bookmarkStart w:id="293" w:name="_Toc20421"/>
      <w:bookmarkStart w:id="294" w:name="_Toc15367"/>
      <w:bookmarkStart w:id="295" w:name="_Toc2834"/>
      <w:r>
        <w:rPr>
          <w:rFonts w:hint="eastAsia" w:ascii="宋体" w:hAnsi="宋体" w:cs="宋体"/>
          <w:b/>
          <w:sz w:val="24"/>
          <w:szCs w:val="24"/>
        </w:rPr>
        <w:t>1.1 合同组成部分</w:t>
      </w:r>
      <w:bookmarkEnd w:id="290"/>
      <w:bookmarkEnd w:id="291"/>
      <w:bookmarkEnd w:id="292"/>
      <w:bookmarkEnd w:id="293"/>
      <w:bookmarkEnd w:id="294"/>
      <w:bookmarkEnd w:id="295"/>
    </w:p>
    <w:p>
      <w:pPr>
        <w:spacing w:line="560" w:lineRule="exact"/>
        <w:ind w:firstLine="480" w:firstLineChars="200"/>
        <w:rPr>
          <w:rFonts w:ascii="宋体" w:hAnsi="宋体" w:cs="宋体"/>
          <w:sz w:val="24"/>
          <w:szCs w:val="24"/>
        </w:rPr>
      </w:pPr>
      <w:r>
        <w:rPr>
          <w:rFonts w:hint="eastAsia" w:ascii="宋体" w:hAnsi="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s="宋体"/>
          <w:sz w:val="24"/>
          <w:szCs w:val="24"/>
        </w:rPr>
      </w:pPr>
      <w:r>
        <w:rPr>
          <w:rFonts w:hint="eastAsia" w:ascii="宋体" w:hAnsi="宋体" w:cs="宋体"/>
          <w:sz w:val="24"/>
          <w:szCs w:val="24"/>
        </w:rPr>
        <w:t>1.1.1 本合同及其补充合同、变更协议；</w:t>
      </w:r>
    </w:p>
    <w:p>
      <w:pPr>
        <w:spacing w:line="560" w:lineRule="exact"/>
        <w:ind w:firstLine="480" w:firstLineChars="200"/>
        <w:rPr>
          <w:rFonts w:ascii="宋体" w:hAnsi="宋体" w:cs="宋体"/>
          <w:sz w:val="24"/>
          <w:szCs w:val="24"/>
        </w:rPr>
      </w:pPr>
      <w:r>
        <w:rPr>
          <w:rFonts w:hint="eastAsia" w:ascii="宋体" w:hAnsi="宋体" w:cs="宋体"/>
          <w:sz w:val="24"/>
          <w:szCs w:val="24"/>
        </w:rPr>
        <w:t>1.1.2 中标通知书；</w:t>
      </w:r>
    </w:p>
    <w:p>
      <w:pPr>
        <w:spacing w:line="560" w:lineRule="exact"/>
        <w:ind w:firstLine="480" w:firstLineChars="200"/>
        <w:rPr>
          <w:rFonts w:ascii="宋体" w:hAnsi="宋体" w:cs="宋体"/>
          <w:sz w:val="24"/>
          <w:szCs w:val="24"/>
        </w:rPr>
      </w:pPr>
      <w:r>
        <w:rPr>
          <w:rFonts w:hint="eastAsia" w:ascii="宋体" w:hAnsi="宋体" w:cs="宋体"/>
          <w:sz w:val="24"/>
          <w:szCs w:val="24"/>
        </w:rPr>
        <w:t>1.1.3 投标文件（含澄清或者说明文件）；</w:t>
      </w:r>
    </w:p>
    <w:p>
      <w:pPr>
        <w:spacing w:line="560" w:lineRule="exact"/>
        <w:ind w:firstLine="480" w:firstLineChars="200"/>
        <w:rPr>
          <w:rFonts w:ascii="宋体" w:hAnsi="宋体" w:cs="宋体"/>
          <w:sz w:val="24"/>
          <w:szCs w:val="24"/>
        </w:rPr>
      </w:pPr>
      <w:r>
        <w:rPr>
          <w:rFonts w:hint="eastAsia" w:ascii="宋体" w:hAnsi="宋体" w:cs="宋体"/>
          <w:sz w:val="24"/>
          <w:szCs w:val="24"/>
        </w:rPr>
        <w:t>1.1.4 招标文件（含澄清或者修改文件）；</w:t>
      </w:r>
    </w:p>
    <w:p>
      <w:pPr>
        <w:spacing w:line="560" w:lineRule="exact"/>
        <w:ind w:firstLine="480" w:firstLineChars="200"/>
        <w:rPr>
          <w:rFonts w:ascii="宋体" w:hAnsi="宋体" w:cs="宋体"/>
          <w:sz w:val="24"/>
          <w:szCs w:val="24"/>
        </w:rPr>
      </w:pPr>
      <w:r>
        <w:rPr>
          <w:rFonts w:hint="eastAsia" w:ascii="宋体" w:hAnsi="宋体" w:cs="宋体"/>
          <w:sz w:val="24"/>
          <w:szCs w:val="24"/>
        </w:rPr>
        <w:t>1.1.5 其他相关采购文件。</w:t>
      </w:r>
    </w:p>
    <w:p>
      <w:pPr>
        <w:spacing w:line="560" w:lineRule="exact"/>
        <w:ind w:firstLine="482" w:firstLineChars="200"/>
        <w:outlineLvl w:val="0"/>
        <w:rPr>
          <w:rFonts w:ascii="宋体" w:hAnsi="宋体" w:cs="宋体"/>
          <w:b/>
          <w:sz w:val="24"/>
          <w:szCs w:val="24"/>
        </w:rPr>
      </w:pPr>
      <w:bookmarkStart w:id="296" w:name="_Toc2918"/>
      <w:bookmarkStart w:id="297" w:name="_Toc18585"/>
      <w:bookmarkStart w:id="298" w:name="_Toc6311"/>
      <w:bookmarkStart w:id="299" w:name="_Toc22185"/>
      <w:bookmarkStart w:id="300" w:name="_Toc6773"/>
      <w:bookmarkStart w:id="301" w:name="_Toc17205"/>
      <w:r>
        <w:rPr>
          <w:rFonts w:hint="eastAsia" w:ascii="宋体" w:hAnsi="宋体" w:cs="宋体"/>
          <w:b/>
          <w:sz w:val="24"/>
          <w:szCs w:val="24"/>
        </w:rPr>
        <w:t>1.2 标的</w:t>
      </w:r>
      <w:bookmarkEnd w:id="296"/>
      <w:bookmarkEnd w:id="297"/>
      <w:bookmarkEnd w:id="298"/>
      <w:bookmarkEnd w:id="299"/>
      <w:bookmarkEnd w:id="300"/>
      <w:bookmarkEnd w:id="301"/>
    </w:p>
    <w:p>
      <w:pPr>
        <w:spacing w:line="560" w:lineRule="exact"/>
        <w:ind w:firstLine="480" w:firstLineChars="200"/>
        <w:rPr>
          <w:rFonts w:ascii="宋体" w:hAnsi="宋体" w:cs="宋体"/>
          <w:sz w:val="24"/>
          <w:szCs w:val="24"/>
          <w:u w:val="single"/>
        </w:rPr>
      </w:pPr>
      <w:r>
        <w:rPr>
          <w:rFonts w:hint="eastAsia" w:ascii="宋体" w:hAnsi="宋体" w:cs="宋体"/>
          <w:sz w:val="24"/>
          <w:szCs w:val="24"/>
        </w:rPr>
        <w:t>1.2.1 标的名称：；</w:t>
      </w:r>
    </w:p>
    <w:p>
      <w:pPr>
        <w:spacing w:line="560" w:lineRule="exact"/>
        <w:ind w:firstLine="480" w:firstLineChars="200"/>
        <w:rPr>
          <w:rFonts w:ascii="宋体" w:hAnsi="宋体" w:cs="宋体"/>
          <w:sz w:val="24"/>
          <w:szCs w:val="24"/>
          <w:u w:val="single"/>
        </w:rPr>
      </w:pPr>
      <w:r>
        <w:rPr>
          <w:rFonts w:hint="eastAsia" w:ascii="宋体" w:hAnsi="宋体" w:cs="宋体"/>
          <w:sz w:val="24"/>
          <w:szCs w:val="24"/>
        </w:rPr>
        <w:t>1.2.2 标的数量：；</w:t>
      </w:r>
    </w:p>
    <w:p>
      <w:pPr>
        <w:spacing w:line="560" w:lineRule="exact"/>
        <w:ind w:firstLine="480" w:firstLineChars="200"/>
        <w:rPr>
          <w:rFonts w:ascii="宋体" w:hAnsi="宋体" w:cs="宋体"/>
          <w:sz w:val="24"/>
          <w:szCs w:val="24"/>
        </w:rPr>
      </w:pPr>
      <w:r>
        <w:rPr>
          <w:rFonts w:hint="eastAsia" w:ascii="宋体" w:hAnsi="宋体" w:cs="宋体"/>
          <w:sz w:val="24"/>
          <w:szCs w:val="24"/>
        </w:rPr>
        <w:t>1.2.3 标的质量：</w:t>
      </w:r>
      <w:r>
        <w:rPr>
          <w:rFonts w:hint="eastAsia" w:ascii="宋体" w:hAnsi="宋体" w:cs="宋体"/>
          <w:sz w:val="24"/>
          <w:szCs w:val="24"/>
          <w:u w:val="single"/>
        </w:rPr>
        <w:t xml:space="preserve">　　　　　　　　　                      　      </w:t>
      </w:r>
      <w:r>
        <w:rPr>
          <w:rFonts w:hint="eastAsia" w:ascii="宋体" w:hAnsi="宋体" w:cs="宋体"/>
          <w:sz w:val="24"/>
          <w:szCs w:val="24"/>
        </w:rPr>
        <w:t>。</w:t>
      </w:r>
    </w:p>
    <w:p>
      <w:pPr>
        <w:spacing w:line="560" w:lineRule="exact"/>
        <w:ind w:firstLine="482" w:firstLineChars="200"/>
        <w:outlineLvl w:val="0"/>
        <w:rPr>
          <w:rFonts w:ascii="宋体" w:hAnsi="宋体" w:cs="宋体"/>
          <w:b/>
          <w:sz w:val="24"/>
          <w:szCs w:val="24"/>
        </w:rPr>
      </w:pPr>
      <w:bookmarkStart w:id="302" w:name="_Toc21124"/>
      <w:bookmarkStart w:id="303" w:name="_Toc1386"/>
      <w:bookmarkStart w:id="304" w:name="_Toc5635"/>
      <w:bookmarkStart w:id="305" w:name="_Toc23139"/>
      <w:bookmarkStart w:id="306" w:name="_Toc4929"/>
      <w:bookmarkStart w:id="307" w:name="_Toc13918"/>
      <w:r>
        <w:rPr>
          <w:rFonts w:hint="eastAsia" w:ascii="宋体" w:hAnsi="宋体" w:cs="宋体"/>
          <w:b/>
          <w:sz w:val="24"/>
          <w:szCs w:val="24"/>
        </w:rPr>
        <w:t>1.3 价款</w:t>
      </w:r>
      <w:bookmarkEnd w:id="302"/>
      <w:bookmarkEnd w:id="303"/>
      <w:bookmarkEnd w:id="304"/>
      <w:bookmarkEnd w:id="305"/>
      <w:bookmarkEnd w:id="306"/>
      <w:bookmarkEnd w:id="307"/>
    </w:p>
    <w:p>
      <w:pPr>
        <w:spacing w:line="560" w:lineRule="exact"/>
        <w:ind w:firstLine="480" w:firstLineChars="200"/>
        <w:rPr>
          <w:rFonts w:ascii="宋体" w:hAnsi="宋体" w:cs="宋体"/>
          <w:sz w:val="24"/>
          <w:szCs w:val="24"/>
        </w:rPr>
      </w:pPr>
      <w:r>
        <w:rPr>
          <w:rFonts w:hint="eastAsia" w:ascii="宋体" w:hAnsi="宋体" w:cs="宋体"/>
          <w:sz w:val="24"/>
          <w:szCs w:val="24"/>
        </w:rPr>
        <w:t>本合同总价为：￥元（大写：元人民币）。</w:t>
      </w:r>
    </w:p>
    <w:p>
      <w:pPr>
        <w:spacing w:line="560" w:lineRule="exact"/>
        <w:ind w:firstLine="480" w:firstLineChars="200"/>
        <w:rPr>
          <w:rFonts w:ascii="宋体" w:hAnsi="宋体" w:cs="宋体"/>
          <w:sz w:val="24"/>
          <w:szCs w:val="24"/>
          <w:u w:val="single"/>
        </w:rPr>
      </w:pPr>
      <w:r>
        <w:rPr>
          <w:rFonts w:hint="eastAsia" w:ascii="宋体" w:hAnsi="宋体" w:cs="宋体"/>
          <w:sz w:val="24"/>
          <w:szCs w:val="24"/>
        </w:rPr>
        <w:t>分项价格：</w:t>
      </w:r>
    </w:p>
    <w:tbl>
      <w:tblPr>
        <w:tblStyle w:val="29"/>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4222"/>
        <w:gridCol w:w="3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90" w:type="dxa"/>
            <w:vAlign w:val="center"/>
          </w:tcPr>
          <w:p>
            <w:pPr>
              <w:pStyle w:val="71"/>
              <w:spacing w:line="560" w:lineRule="exact"/>
              <w:jc w:val="center"/>
              <w:rPr>
                <w:rFonts w:hAnsi="宋体" w:eastAsia="宋体" w:cs="宋体"/>
                <w:color w:val="000000"/>
                <w:sz w:val="24"/>
                <w:szCs w:val="24"/>
              </w:rPr>
            </w:pPr>
            <w:r>
              <w:rPr>
                <w:rFonts w:hint="eastAsia" w:hAnsi="宋体" w:eastAsia="宋体" w:cs="宋体"/>
                <w:color w:val="000000"/>
                <w:sz w:val="24"/>
                <w:szCs w:val="24"/>
              </w:rPr>
              <w:t>序号</w:t>
            </w:r>
          </w:p>
        </w:tc>
        <w:tc>
          <w:tcPr>
            <w:tcW w:w="4222" w:type="dxa"/>
            <w:vAlign w:val="center"/>
          </w:tcPr>
          <w:p>
            <w:pPr>
              <w:pStyle w:val="71"/>
              <w:spacing w:line="560" w:lineRule="exact"/>
              <w:ind w:firstLine="200"/>
              <w:jc w:val="center"/>
              <w:rPr>
                <w:rFonts w:hAnsi="宋体" w:eastAsia="宋体" w:cs="宋体"/>
                <w:color w:val="000000"/>
                <w:sz w:val="24"/>
                <w:szCs w:val="24"/>
              </w:rPr>
            </w:pPr>
            <w:r>
              <w:rPr>
                <w:rFonts w:hint="eastAsia" w:hAnsi="宋体" w:eastAsia="宋体" w:cs="宋体"/>
                <w:color w:val="000000"/>
                <w:sz w:val="24"/>
                <w:szCs w:val="24"/>
              </w:rPr>
              <w:t>分项名称</w:t>
            </w:r>
          </w:p>
        </w:tc>
        <w:tc>
          <w:tcPr>
            <w:tcW w:w="3167" w:type="dxa"/>
            <w:vAlign w:val="center"/>
          </w:tcPr>
          <w:p>
            <w:pPr>
              <w:pStyle w:val="71"/>
              <w:spacing w:line="560" w:lineRule="exact"/>
              <w:jc w:val="center"/>
              <w:rPr>
                <w:rFonts w:hAnsi="宋体" w:eastAsia="宋体" w:cs="宋体"/>
                <w:color w:val="000000"/>
                <w:sz w:val="24"/>
                <w:szCs w:val="24"/>
              </w:rPr>
            </w:pPr>
            <w:r>
              <w:rPr>
                <w:rFonts w:hint="eastAsia" w:hAnsi="宋体" w:eastAsia="宋体" w:cs="宋体"/>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90" w:type="dxa"/>
            <w:vAlign w:val="center"/>
          </w:tcPr>
          <w:p>
            <w:pPr>
              <w:pStyle w:val="71"/>
              <w:spacing w:line="560" w:lineRule="exact"/>
              <w:ind w:firstLine="200"/>
              <w:jc w:val="center"/>
              <w:rPr>
                <w:rFonts w:hAnsi="宋体" w:eastAsia="宋体" w:cs="宋体"/>
                <w:color w:val="000000"/>
                <w:sz w:val="24"/>
                <w:szCs w:val="24"/>
              </w:rPr>
            </w:pPr>
          </w:p>
        </w:tc>
        <w:tc>
          <w:tcPr>
            <w:tcW w:w="4222" w:type="dxa"/>
            <w:vAlign w:val="center"/>
          </w:tcPr>
          <w:p>
            <w:pPr>
              <w:pStyle w:val="71"/>
              <w:spacing w:line="560" w:lineRule="exact"/>
              <w:ind w:firstLine="200"/>
              <w:jc w:val="center"/>
              <w:rPr>
                <w:rFonts w:hAnsi="宋体" w:eastAsia="宋体" w:cs="宋体"/>
                <w:color w:val="000000"/>
                <w:sz w:val="24"/>
                <w:szCs w:val="24"/>
              </w:rPr>
            </w:pPr>
          </w:p>
        </w:tc>
        <w:tc>
          <w:tcPr>
            <w:tcW w:w="3167" w:type="dxa"/>
            <w:vAlign w:val="center"/>
          </w:tcPr>
          <w:p>
            <w:pPr>
              <w:pStyle w:val="71"/>
              <w:spacing w:line="560" w:lineRule="exact"/>
              <w:ind w:firstLine="200"/>
              <w:jc w:val="center"/>
              <w:rPr>
                <w:rFonts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90" w:type="dxa"/>
            <w:vAlign w:val="center"/>
          </w:tcPr>
          <w:p>
            <w:pPr>
              <w:pStyle w:val="71"/>
              <w:spacing w:line="560" w:lineRule="exact"/>
              <w:ind w:firstLine="200"/>
              <w:jc w:val="center"/>
              <w:rPr>
                <w:rFonts w:hAnsi="宋体" w:eastAsia="宋体" w:cs="宋体"/>
                <w:color w:val="000000"/>
                <w:sz w:val="24"/>
                <w:szCs w:val="24"/>
                <w:highlight w:val="yellow"/>
              </w:rPr>
            </w:pPr>
          </w:p>
        </w:tc>
        <w:tc>
          <w:tcPr>
            <w:tcW w:w="4222" w:type="dxa"/>
            <w:vAlign w:val="center"/>
          </w:tcPr>
          <w:p>
            <w:pPr>
              <w:pStyle w:val="71"/>
              <w:spacing w:line="560" w:lineRule="exact"/>
              <w:ind w:firstLine="200"/>
              <w:jc w:val="center"/>
              <w:rPr>
                <w:rFonts w:hAnsi="宋体" w:eastAsia="宋体" w:cs="宋体"/>
                <w:color w:val="000000"/>
                <w:sz w:val="24"/>
                <w:szCs w:val="24"/>
                <w:highlight w:val="yellow"/>
              </w:rPr>
            </w:pPr>
          </w:p>
        </w:tc>
        <w:tc>
          <w:tcPr>
            <w:tcW w:w="3167" w:type="dxa"/>
            <w:vAlign w:val="center"/>
          </w:tcPr>
          <w:p>
            <w:pPr>
              <w:pStyle w:val="71"/>
              <w:spacing w:line="560" w:lineRule="exact"/>
              <w:ind w:firstLine="200"/>
              <w:jc w:val="center"/>
              <w:rPr>
                <w:rFonts w:hAnsi="宋体" w:eastAsia="宋体" w:cs="宋体"/>
                <w:color w:val="00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90" w:type="dxa"/>
            <w:vAlign w:val="center"/>
          </w:tcPr>
          <w:p>
            <w:pPr>
              <w:pStyle w:val="71"/>
              <w:spacing w:line="560" w:lineRule="exact"/>
              <w:ind w:firstLine="200"/>
              <w:jc w:val="center"/>
              <w:rPr>
                <w:rFonts w:hAnsi="宋体" w:eastAsia="宋体" w:cs="宋体"/>
                <w:color w:val="000000"/>
                <w:sz w:val="24"/>
                <w:szCs w:val="24"/>
                <w:highlight w:val="yellow"/>
              </w:rPr>
            </w:pPr>
          </w:p>
        </w:tc>
        <w:tc>
          <w:tcPr>
            <w:tcW w:w="4222" w:type="dxa"/>
            <w:vAlign w:val="center"/>
          </w:tcPr>
          <w:p>
            <w:pPr>
              <w:pStyle w:val="71"/>
              <w:spacing w:line="560" w:lineRule="exact"/>
              <w:ind w:firstLine="200"/>
              <w:jc w:val="center"/>
              <w:rPr>
                <w:rFonts w:hAnsi="宋体" w:eastAsia="宋体" w:cs="宋体"/>
                <w:color w:val="000000"/>
                <w:sz w:val="24"/>
                <w:szCs w:val="24"/>
                <w:highlight w:val="yellow"/>
              </w:rPr>
            </w:pPr>
          </w:p>
        </w:tc>
        <w:tc>
          <w:tcPr>
            <w:tcW w:w="3167" w:type="dxa"/>
            <w:vAlign w:val="center"/>
          </w:tcPr>
          <w:p>
            <w:pPr>
              <w:pStyle w:val="71"/>
              <w:spacing w:line="560" w:lineRule="exact"/>
              <w:ind w:firstLine="200"/>
              <w:jc w:val="center"/>
              <w:rPr>
                <w:rFonts w:hAnsi="宋体" w:eastAsia="宋体" w:cs="宋体"/>
                <w:color w:val="00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90" w:type="dxa"/>
            <w:vAlign w:val="center"/>
          </w:tcPr>
          <w:p>
            <w:pPr>
              <w:pStyle w:val="71"/>
              <w:spacing w:line="560" w:lineRule="exact"/>
              <w:ind w:firstLine="200"/>
              <w:jc w:val="center"/>
              <w:rPr>
                <w:rFonts w:hAnsi="宋体" w:eastAsia="宋体" w:cs="宋体"/>
                <w:color w:val="000000"/>
                <w:sz w:val="24"/>
                <w:szCs w:val="24"/>
                <w:highlight w:val="yellow"/>
              </w:rPr>
            </w:pPr>
          </w:p>
        </w:tc>
        <w:tc>
          <w:tcPr>
            <w:tcW w:w="4222" w:type="dxa"/>
            <w:vAlign w:val="center"/>
          </w:tcPr>
          <w:p>
            <w:pPr>
              <w:pStyle w:val="71"/>
              <w:spacing w:line="560" w:lineRule="exact"/>
              <w:ind w:firstLine="200"/>
              <w:jc w:val="center"/>
              <w:rPr>
                <w:rFonts w:hAnsi="宋体" w:eastAsia="宋体" w:cs="宋体"/>
                <w:color w:val="000000"/>
                <w:sz w:val="24"/>
                <w:szCs w:val="24"/>
                <w:highlight w:val="yellow"/>
              </w:rPr>
            </w:pPr>
          </w:p>
        </w:tc>
        <w:tc>
          <w:tcPr>
            <w:tcW w:w="3167" w:type="dxa"/>
            <w:vAlign w:val="center"/>
          </w:tcPr>
          <w:p>
            <w:pPr>
              <w:pStyle w:val="71"/>
              <w:spacing w:line="560" w:lineRule="exact"/>
              <w:ind w:firstLine="200"/>
              <w:jc w:val="center"/>
              <w:rPr>
                <w:rFonts w:hAnsi="宋体" w:eastAsia="宋体" w:cs="宋体"/>
                <w:color w:val="00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12" w:type="dxa"/>
            <w:gridSpan w:val="2"/>
            <w:vAlign w:val="center"/>
          </w:tcPr>
          <w:p>
            <w:pPr>
              <w:pStyle w:val="71"/>
              <w:spacing w:line="560" w:lineRule="exact"/>
              <w:ind w:firstLine="200"/>
              <w:jc w:val="center"/>
              <w:rPr>
                <w:rFonts w:hAnsi="宋体" w:eastAsia="宋体" w:cs="宋体"/>
                <w:color w:val="000000"/>
                <w:sz w:val="24"/>
                <w:szCs w:val="24"/>
                <w:highlight w:val="yellow"/>
              </w:rPr>
            </w:pPr>
            <w:r>
              <w:rPr>
                <w:rFonts w:hint="eastAsia" w:hAnsi="宋体" w:eastAsia="宋体" w:cs="宋体"/>
                <w:color w:val="000000"/>
                <w:sz w:val="24"/>
                <w:szCs w:val="24"/>
              </w:rPr>
              <w:t>总价</w:t>
            </w:r>
          </w:p>
        </w:tc>
        <w:tc>
          <w:tcPr>
            <w:tcW w:w="3167" w:type="dxa"/>
            <w:vAlign w:val="center"/>
          </w:tcPr>
          <w:p>
            <w:pPr>
              <w:pStyle w:val="71"/>
              <w:spacing w:line="560" w:lineRule="exact"/>
              <w:ind w:firstLine="200"/>
              <w:jc w:val="center"/>
              <w:rPr>
                <w:rFonts w:hAnsi="宋体" w:eastAsia="宋体" w:cs="宋体"/>
                <w:color w:val="000000"/>
                <w:sz w:val="24"/>
                <w:szCs w:val="24"/>
                <w:highlight w:val="yellow"/>
              </w:rPr>
            </w:pPr>
          </w:p>
        </w:tc>
      </w:tr>
    </w:tbl>
    <w:p>
      <w:pPr>
        <w:spacing w:line="560" w:lineRule="exact"/>
        <w:ind w:firstLine="482" w:firstLineChars="200"/>
        <w:outlineLvl w:val="0"/>
        <w:rPr>
          <w:rFonts w:ascii="宋体" w:hAnsi="宋体" w:cs="宋体"/>
          <w:b/>
          <w:sz w:val="24"/>
          <w:szCs w:val="24"/>
        </w:rPr>
      </w:pPr>
      <w:bookmarkStart w:id="308" w:name="_Toc14993"/>
      <w:bookmarkStart w:id="309" w:name="_Toc30534"/>
      <w:bookmarkStart w:id="310" w:name="_Toc30158"/>
      <w:bookmarkStart w:id="311" w:name="_Toc3654"/>
      <w:bookmarkStart w:id="312" w:name="_Toc26916"/>
      <w:bookmarkStart w:id="313" w:name="_Toc30506"/>
      <w:r>
        <w:rPr>
          <w:rFonts w:hint="eastAsia" w:ascii="宋体" w:hAnsi="宋体" w:cs="宋体"/>
          <w:b/>
          <w:sz w:val="24"/>
          <w:szCs w:val="24"/>
        </w:rPr>
        <w:t>1.4 付款方式和发票开具方式</w:t>
      </w:r>
      <w:bookmarkEnd w:id="308"/>
      <w:bookmarkEnd w:id="309"/>
      <w:bookmarkEnd w:id="310"/>
      <w:bookmarkEnd w:id="311"/>
      <w:bookmarkEnd w:id="312"/>
      <w:bookmarkEnd w:id="313"/>
    </w:p>
    <w:p>
      <w:pPr>
        <w:spacing w:line="560" w:lineRule="exact"/>
        <w:ind w:firstLine="480" w:firstLineChars="200"/>
        <w:rPr>
          <w:rFonts w:ascii="宋体" w:hAnsi="宋体" w:cs="宋体"/>
          <w:sz w:val="24"/>
          <w:szCs w:val="24"/>
        </w:rPr>
      </w:pPr>
      <w:r>
        <w:rPr>
          <w:rFonts w:hint="eastAsia" w:ascii="宋体" w:hAnsi="宋体" w:cs="宋体"/>
          <w:sz w:val="24"/>
          <w:szCs w:val="24"/>
        </w:rPr>
        <w:t>1.4.1付款方式：；</w:t>
      </w:r>
    </w:p>
    <w:p>
      <w:pPr>
        <w:spacing w:line="560" w:lineRule="exact"/>
        <w:ind w:firstLine="480" w:firstLineChars="200"/>
        <w:rPr>
          <w:rFonts w:ascii="宋体" w:hAnsi="宋体" w:cs="宋体"/>
          <w:sz w:val="24"/>
          <w:szCs w:val="24"/>
        </w:rPr>
      </w:pPr>
      <w:r>
        <w:rPr>
          <w:rFonts w:hint="eastAsia" w:ascii="宋体" w:hAnsi="宋体" w:cs="宋体"/>
          <w:sz w:val="24"/>
          <w:szCs w:val="24"/>
        </w:rPr>
        <w:t>1.4.2 发票开具方式：。</w:t>
      </w:r>
    </w:p>
    <w:p>
      <w:pPr>
        <w:spacing w:line="560" w:lineRule="exact"/>
        <w:ind w:firstLine="482" w:firstLineChars="200"/>
        <w:outlineLvl w:val="0"/>
        <w:rPr>
          <w:rFonts w:ascii="宋体" w:hAnsi="宋体" w:cs="宋体"/>
          <w:b/>
          <w:sz w:val="24"/>
          <w:szCs w:val="24"/>
        </w:rPr>
      </w:pPr>
      <w:bookmarkStart w:id="314" w:name="_Toc31421"/>
      <w:bookmarkStart w:id="315" w:name="_Toc21959"/>
      <w:bookmarkStart w:id="316" w:name="_Toc3625"/>
      <w:bookmarkStart w:id="317" w:name="_Toc8772"/>
      <w:bookmarkStart w:id="318" w:name="_Toc11108"/>
      <w:bookmarkStart w:id="319" w:name="_Toc4760"/>
      <w:r>
        <w:rPr>
          <w:rFonts w:hint="eastAsia" w:ascii="宋体" w:hAnsi="宋体" w:cs="宋体"/>
          <w:b/>
          <w:sz w:val="24"/>
          <w:szCs w:val="24"/>
        </w:rPr>
        <w:t>1.5 履行期限、地点和方式</w:t>
      </w:r>
      <w:bookmarkEnd w:id="314"/>
      <w:bookmarkEnd w:id="315"/>
      <w:bookmarkEnd w:id="316"/>
      <w:bookmarkEnd w:id="317"/>
      <w:bookmarkEnd w:id="318"/>
      <w:bookmarkEnd w:id="319"/>
    </w:p>
    <w:p>
      <w:pPr>
        <w:spacing w:line="560" w:lineRule="exact"/>
        <w:ind w:firstLine="480" w:firstLineChars="200"/>
        <w:rPr>
          <w:rFonts w:ascii="宋体" w:hAnsi="宋体" w:cs="宋体"/>
          <w:sz w:val="24"/>
          <w:szCs w:val="24"/>
          <w:u w:val="single"/>
        </w:rPr>
      </w:pPr>
      <w:r>
        <w:rPr>
          <w:rFonts w:hint="eastAsia" w:ascii="宋体" w:hAnsi="宋体" w:cs="宋体"/>
          <w:sz w:val="24"/>
          <w:szCs w:val="24"/>
        </w:rPr>
        <w:t>1.5.1 履行期限：；</w:t>
      </w:r>
    </w:p>
    <w:p>
      <w:pPr>
        <w:spacing w:line="560" w:lineRule="exact"/>
        <w:ind w:firstLine="480" w:firstLineChars="200"/>
        <w:rPr>
          <w:rFonts w:ascii="宋体" w:hAnsi="宋体" w:cs="宋体"/>
          <w:sz w:val="24"/>
          <w:szCs w:val="24"/>
        </w:rPr>
      </w:pPr>
      <w:r>
        <w:rPr>
          <w:rFonts w:hint="eastAsia" w:ascii="宋体" w:hAnsi="宋体" w:cs="宋体"/>
          <w:sz w:val="24"/>
          <w:szCs w:val="24"/>
        </w:rPr>
        <w:t>1.5.2 履行地点：；</w:t>
      </w:r>
    </w:p>
    <w:p>
      <w:pPr>
        <w:spacing w:line="560" w:lineRule="exact"/>
        <w:ind w:firstLine="480" w:firstLineChars="200"/>
        <w:rPr>
          <w:rFonts w:ascii="宋体" w:hAnsi="宋体" w:cs="宋体"/>
          <w:sz w:val="24"/>
          <w:szCs w:val="24"/>
        </w:rPr>
      </w:pPr>
      <w:r>
        <w:rPr>
          <w:rFonts w:hint="eastAsia" w:ascii="宋体" w:hAnsi="宋体" w:cs="宋体"/>
          <w:sz w:val="24"/>
          <w:szCs w:val="24"/>
        </w:rPr>
        <w:t>1.5.3 履行方式：</w:t>
      </w:r>
      <w:r>
        <w:rPr>
          <w:rFonts w:hint="eastAsia" w:ascii="宋体" w:hAnsi="宋体" w:cs="宋体"/>
          <w:sz w:val="24"/>
          <w:szCs w:val="24"/>
          <w:u w:val="single"/>
        </w:rPr>
        <w:t xml:space="preserve">　　　　　　　　　                      　      </w:t>
      </w:r>
      <w:r>
        <w:rPr>
          <w:rFonts w:hint="eastAsia" w:ascii="宋体" w:hAnsi="宋体" w:cs="宋体"/>
          <w:sz w:val="24"/>
          <w:szCs w:val="24"/>
        </w:rPr>
        <w:t>。</w:t>
      </w:r>
    </w:p>
    <w:p>
      <w:pPr>
        <w:spacing w:line="560" w:lineRule="exact"/>
        <w:ind w:firstLine="482" w:firstLineChars="200"/>
        <w:outlineLvl w:val="0"/>
        <w:rPr>
          <w:rFonts w:ascii="宋体" w:hAnsi="宋体" w:cs="宋体"/>
          <w:sz w:val="24"/>
          <w:szCs w:val="24"/>
          <w:u w:val="single"/>
        </w:rPr>
      </w:pPr>
      <w:bookmarkStart w:id="320" w:name="_Toc24662"/>
      <w:bookmarkStart w:id="321" w:name="_Toc8586"/>
      <w:bookmarkStart w:id="322" w:name="_Toc5698"/>
      <w:bookmarkStart w:id="323" w:name="_Toc2375"/>
      <w:bookmarkStart w:id="324" w:name="_Toc17781"/>
      <w:bookmarkStart w:id="325" w:name="_Toc3079"/>
      <w:r>
        <w:rPr>
          <w:rFonts w:hint="eastAsia" w:ascii="宋体" w:hAnsi="宋体" w:cs="宋体"/>
          <w:b/>
          <w:sz w:val="24"/>
          <w:szCs w:val="24"/>
        </w:rPr>
        <w:t>1.6 违约责任</w:t>
      </w:r>
      <w:bookmarkEnd w:id="320"/>
      <w:bookmarkEnd w:id="321"/>
      <w:bookmarkEnd w:id="322"/>
      <w:bookmarkEnd w:id="323"/>
      <w:bookmarkEnd w:id="324"/>
      <w:bookmarkEnd w:id="325"/>
    </w:p>
    <w:p>
      <w:pPr>
        <w:spacing w:line="560" w:lineRule="exact"/>
        <w:ind w:firstLine="480" w:firstLineChars="200"/>
        <w:rPr>
          <w:rFonts w:ascii="宋体" w:hAnsi="宋体" w:cs="宋体"/>
          <w:sz w:val="24"/>
          <w:szCs w:val="24"/>
        </w:rPr>
      </w:pPr>
      <w:r>
        <w:rPr>
          <w:rFonts w:hint="eastAsia" w:ascii="宋体" w:hAnsi="宋体" w:cs="宋体"/>
          <w:sz w:val="24"/>
          <w:szCs w:val="24"/>
        </w:rPr>
        <w:t>1.6.1 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spacing w:line="560" w:lineRule="exact"/>
        <w:ind w:firstLine="480" w:firstLineChars="200"/>
        <w:rPr>
          <w:rFonts w:ascii="宋体" w:hAnsi="宋体" w:cs="宋体"/>
          <w:sz w:val="24"/>
          <w:szCs w:val="24"/>
        </w:rPr>
      </w:pPr>
      <w:r>
        <w:rPr>
          <w:rFonts w:hint="eastAsia" w:ascii="宋体" w:hAnsi="宋体" w:cs="宋体"/>
          <w:sz w:val="24"/>
          <w:szCs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cs="宋体"/>
          <w:sz w:val="24"/>
          <w:szCs w:val="24"/>
        </w:rPr>
      </w:pPr>
      <w:r>
        <w:rPr>
          <w:rFonts w:hint="eastAsia" w:ascii="宋体" w:hAnsi="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sz w:val="24"/>
          <w:szCs w:val="24"/>
        </w:rPr>
      </w:pPr>
      <w:r>
        <w:rPr>
          <w:rFonts w:hint="eastAsia" w:ascii="宋体" w:hAnsi="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宋体" w:hAnsi="宋体" w:cs="宋体"/>
          <w:sz w:val="24"/>
          <w:szCs w:val="24"/>
        </w:rPr>
      </w:pPr>
      <w:r>
        <w:rPr>
          <w:rFonts w:hint="eastAsia" w:ascii="宋体" w:hAnsi="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sz w:val="24"/>
          <w:szCs w:val="24"/>
        </w:rPr>
      </w:pPr>
      <w:r>
        <w:rPr>
          <w:rFonts w:hint="eastAsia" w:ascii="宋体" w:hAnsi="宋体" w:cs="宋体"/>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宋体" w:hAnsi="宋体" w:cs="宋体"/>
          <w:b/>
          <w:sz w:val="24"/>
          <w:szCs w:val="24"/>
        </w:rPr>
      </w:pPr>
      <w:bookmarkStart w:id="326" w:name="_Toc26807"/>
      <w:bookmarkStart w:id="327" w:name="_Toc18683"/>
      <w:bookmarkStart w:id="328" w:name="_Toc9497"/>
      <w:bookmarkStart w:id="329" w:name="_Toc30329"/>
      <w:bookmarkStart w:id="330" w:name="_Toc32454"/>
      <w:bookmarkStart w:id="331" w:name="_Toc5323"/>
      <w:r>
        <w:rPr>
          <w:rFonts w:hint="eastAsia" w:ascii="宋体" w:hAnsi="宋体" w:cs="宋体"/>
          <w:b/>
          <w:sz w:val="24"/>
          <w:szCs w:val="24"/>
        </w:rPr>
        <w:t>1.7 合同争议的解决</w:t>
      </w:r>
      <w:bookmarkEnd w:id="326"/>
      <w:bookmarkEnd w:id="327"/>
      <w:bookmarkEnd w:id="328"/>
      <w:bookmarkEnd w:id="329"/>
      <w:bookmarkEnd w:id="330"/>
      <w:bookmarkEnd w:id="331"/>
    </w:p>
    <w:p>
      <w:pPr>
        <w:spacing w:line="560" w:lineRule="exact"/>
        <w:ind w:firstLine="480" w:firstLineChars="200"/>
        <w:rPr>
          <w:rFonts w:ascii="宋体" w:hAnsi="宋体" w:cs="宋体"/>
          <w:sz w:val="24"/>
          <w:szCs w:val="24"/>
        </w:rPr>
      </w:pPr>
      <w:r>
        <w:rPr>
          <w:rFonts w:hint="eastAsia" w:ascii="宋体" w:hAnsi="宋体" w:cs="宋体"/>
          <w:sz w:val="24"/>
          <w:szCs w:val="24"/>
        </w:rPr>
        <w:t>本合同履行过程中发生的任何争议，双方当事人均可通过和解或者调解解决；不愿和解、调解或者和解、调解不成的，可以选择下列第种方式解决：</w:t>
      </w:r>
    </w:p>
    <w:p>
      <w:pPr>
        <w:spacing w:line="560" w:lineRule="exact"/>
        <w:ind w:firstLine="480" w:firstLineChars="200"/>
        <w:rPr>
          <w:rFonts w:ascii="宋体" w:hAnsi="宋体" w:cs="宋体"/>
          <w:sz w:val="24"/>
          <w:szCs w:val="24"/>
        </w:rPr>
      </w:pPr>
      <w:r>
        <w:rPr>
          <w:rFonts w:hint="eastAsia" w:ascii="宋体" w:hAnsi="宋体" w:cs="宋体"/>
          <w:sz w:val="24"/>
          <w:szCs w:val="24"/>
        </w:rPr>
        <w:t>1.7.1 将争议提交仲裁委员会依申请仲裁时其现行有效的仲裁规则裁决；</w:t>
      </w:r>
    </w:p>
    <w:p>
      <w:pPr>
        <w:spacing w:line="560" w:lineRule="exact"/>
        <w:ind w:firstLine="480" w:firstLineChars="200"/>
        <w:rPr>
          <w:rFonts w:ascii="宋体" w:hAnsi="宋体" w:cs="宋体"/>
          <w:sz w:val="24"/>
          <w:szCs w:val="24"/>
        </w:rPr>
      </w:pPr>
      <w:r>
        <w:rPr>
          <w:rFonts w:hint="eastAsia" w:ascii="宋体" w:hAnsi="宋体" w:cs="宋体"/>
          <w:sz w:val="24"/>
          <w:szCs w:val="24"/>
        </w:rPr>
        <w:t>1.7.2 向</w:t>
      </w:r>
      <w:r>
        <w:rPr>
          <w:rFonts w:hint="eastAsia" w:ascii="宋体" w:hAnsi="宋体" w:cs="宋体"/>
          <w:sz w:val="24"/>
          <w:szCs w:val="24"/>
          <w:u w:val="single"/>
        </w:rPr>
        <w:t xml:space="preserve">   （被告住所地、合同履行地、合同签订地、原告住所地、标的物所在地等与争议有实际联系的地点中选出的人民法院名称）    </w:t>
      </w:r>
      <w:r>
        <w:rPr>
          <w:rFonts w:hint="eastAsia" w:ascii="宋体" w:hAnsi="宋体" w:cs="宋体"/>
          <w:sz w:val="24"/>
          <w:szCs w:val="24"/>
        </w:rPr>
        <w:t>人民法院起诉。</w:t>
      </w:r>
    </w:p>
    <w:p>
      <w:pPr>
        <w:spacing w:line="560" w:lineRule="exact"/>
        <w:ind w:firstLine="482" w:firstLineChars="200"/>
        <w:outlineLvl w:val="0"/>
        <w:rPr>
          <w:rFonts w:ascii="宋体" w:hAnsi="宋体" w:cs="宋体"/>
          <w:b/>
          <w:sz w:val="24"/>
          <w:szCs w:val="24"/>
        </w:rPr>
      </w:pPr>
      <w:bookmarkStart w:id="332" w:name="_Toc12273"/>
      <w:bookmarkStart w:id="333" w:name="_Toc19410"/>
      <w:bookmarkStart w:id="334" w:name="_Toc23784"/>
      <w:bookmarkStart w:id="335" w:name="_Toc26227"/>
      <w:bookmarkStart w:id="336" w:name="_Toc15827"/>
      <w:bookmarkStart w:id="337" w:name="_Toc16417"/>
      <w:r>
        <w:rPr>
          <w:rFonts w:hint="eastAsia" w:ascii="宋体" w:hAnsi="宋体" w:cs="宋体"/>
          <w:b/>
          <w:sz w:val="24"/>
          <w:szCs w:val="24"/>
        </w:rPr>
        <w:t>1.8 合同生效</w:t>
      </w:r>
      <w:bookmarkEnd w:id="332"/>
      <w:bookmarkEnd w:id="333"/>
      <w:bookmarkEnd w:id="334"/>
      <w:bookmarkEnd w:id="335"/>
      <w:bookmarkEnd w:id="336"/>
      <w:bookmarkEnd w:id="337"/>
    </w:p>
    <w:p>
      <w:pPr>
        <w:spacing w:line="560" w:lineRule="exact"/>
        <w:ind w:firstLine="480" w:firstLineChars="200"/>
        <w:rPr>
          <w:rFonts w:ascii="宋体" w:hAnsi="宋体" w:cs="宋体"/>
          <w:b/>
          <w:sz w:val="24"/>
          <w:szCs w:val="24"/>
        </w:rPr>
      </w:pPr>
      <w:r>
        <w:rPr>
          <w:rFonts w:hint="eastAsia" w:ascii="宋体" w:hAnsi="宋体" w:cs="宋体"/>
          <w:sz w:val="24"/>
          <w:szCs w:val="24"/>
        </w:rPr>
        <w:t>本合同自双方当事人盖章或者签字时生效。</w:t>
      </w:r>
    </w:p>
    <w:p>
      <w:pPr>
        <w:autoSpaceDE w:val="0"/>
        <w:autoSpaceDN w:val="0"/>
        <w:adjustRightInd w:val="0"/>
        <w:spacing w:line="560" w:lineRule="exact"/>
        <w:rPr>
          <w:rFonts w:ascii="宋体" w:hAnsi="宋体" w:cs="宋体"/>
          <w:sz w:val="24"/>
          <w:szCs w:val="24"/>
          <w:lang w:val="zh-CN"/>
        </w:rPr>
      </w:pPr>
    </w:p>
    <w:p>
      <w:pPr>
        <w:autoSpaceDE w:val="0"/>
        <w:autoSpaceDN w:val="0"/>
        <w:adjustRightInd w:val="0"/>
        <w:spacing w:line="560" w:lineRule="exact"/>
        <w:rPr>
          <w:rFonts w:ascii="宋体" w:hAnsi="宋体" w:cs="宋体"/>
          <w:sz w:val="24"/>
          <w:szCs w:val="24"/>
          <w:lang w:val="zh-CN"/>
        </w:rPr>
      </w:pPr>
      <w:r>
        <w:rPr>
          <w:rFonts w:hint="eastAsia" w:ascii="宋体" w:hAnsi="宋体" w:cs="宋体"/>
          <w:b/>
          <w:sz w:val="24"/>
          <w:szCs w:val="24"/>
          <w:lang w:val="zh-CN"/>
        </w:rPr>
        <w:t>甲方</w:t>
      </w:r>
      <w:r>
        <w:rPr>
          <w:rFonts w:hint="eastAsia" w:ascii="宋体" w:hAnsi="宋体" w:cs="宋体"/>
          <w:sz w:val="24"/>
          <w:szCs w:val="24"/>
          <w:lang w:val="zh-CN"/>
        </w:rPr>
        <w:t xml:space="preserve">：                             </w:t>
      </w:r>
      <w:r>
        <w:rPr>
          <w:rFonts w:hint="eastAsia" w:ascii="宋体" w:hAnsi="宋体" w:cs="宋体"/>
          <w:b/>
          <w:sz w:val="24"/>
          <w:szCs w:val="24"/>
          <w:lang w:val="zh-CN"/>
        </w:rPr>
        <w:t xml:space="preserve">      乙方</w:t>
      </w:r>
      <w:r>
        <w:rPr>
          <w:rFonts w:hint="eastAsia" w:ascii="宋体" w:hAnsi="宋体" w:cs="宋体"/>
          <w:sz w:val="24"/>
          <w:szCs w:val="24"/>
          <w:lang w:val="zh-CN"/>
        </w:rPr>
        <w:t>：</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统一社会信用代码：                        统一社会信用代码或身份证号码：</w:t>
      </w:r>
    </w:p>
    <w:p>
      <w:pPr>
        <w:autoSpaceDE w:val="0"/>
        <w:autoSpaceDN w:val="0"/>
        <w:adjustRightInd w:val="0"/>
        <w:spacing w:line="560" w:lineRule="exact"/>
        <w:rPr>
          <w:rFonts w:ascii="宋体" w:hAnsi="宋体" w:cs="宋体"/>
          <w:sz w:val="24"/>
          <w:szCs w:val="24"/>
          <w:lang w:val="zh-CN"/>
        </w:rPr>
      </w:pP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住所：                                   住所：</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法定代表人或                             法定代表人</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 xml:space="preserve">授权代表（签字）：                        或授权代表（签字）: </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联系人：                                 联系人：</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约定送达地址：                           约定送达地址：</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邮政编码：                               邮政编码：</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 xml:space="preserve">电话:                                    电话: </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传真:                                    传真:</w:t>
      </w:r>
    </w:p>
    <w:p>
      <w:pPr>
        <w:autoSpaceDE w:val="0"/>
        <w:autoSpaceDN w:val="0"/>
        <w:adjustRightInd w:val="0"/>
        <w:spacing w:line="560" w:lineRule="exact"/>
        <w:rPr>
          <w:rFonts w:ascii="宋体" w:hAnsi="宋体" w:cs="宋体"/>
          <w:sz w:val="24"/>
          <w:szCs w:val="24"/>
        </w:rPr>
      </w:pPr>
      <w:r>
        <w:rPr>
          <w:rFonts w:hint="eastAsia" w:ascii="宋体" w:hAnsi="宋体" w:cs="宋体"/>
          <w:sz w:val="24"/>
          <w:szCs w:val="24"/>
          <w:lang w:val="zh-CN"/>
        </w:rPr>
        <w:t>电子邮箱：                               电子邮箱：</w:t>
      </w:r>
    </w:p>
    <w:p>
      <w:pPr>
        <w:autoSpaceDE w:val="0"/>
        <w:autoSpaceDN w:val="0"/>
        <w:adjustRightInd w:val="0"/>
        <w:spacing w:line="560" w:lineRule="exact"/>
        <w:rPr>
          <w:rFonts w:ascii="宋体" w:hAnsi="宋体" w:cs="宋体"/>
          <w:sz w:val="24"/>
          <w:szCs w:val="24"/>
        </w:rPr>
      </w:pPr>
      <w:r>
        <w:rPr>
          <w:rFonts w:hint="eastAsia" w:ascii="宋体" w:hAnsi="宋体" w:cs="宋体"/>
          <w:sz w:val="24"/>
          <w:szCs w:val="24"/>
        </w:rPr>
        <w:t xml:space="preserve">开户银行：                               开户银行： </w:t>
      </w:r>
    </w:p>
    <w:p>
      <w:pPr>
        <w:autoSpaceDE w:val="0"/>
        <w:autoSpaceDN w:val="0"/>
        <w:adjustRightInd w:val="0"/>
        <w:spacing w:line="560" w:lineRule="exact"/>
        <w:rPr>
          <w:rFonts w:ascii="宋体" w:hAnsi="宋体" w:cs="宋体"/>
          <w:sz w:val="24"/>
          <w:szCs w:val="24"/>
        </w:rPr>
      </w:pPr>
      <w:r>
        <w:rPr>
          <w:rFonts w:hint="eastAsia" w:ascii="宋体" w:hAnsi="宋体" w:cs="宋体"/>
          <w:sz w:val="24"/>
          <w:szCs w:val="24"/>
        </w:rPr>
        <w:t xml:space="preserve">开户名称：                               开户名称： </w:t>
      </w:r>
    </w:p>
    <w:p>
      <w:pPr>
        <w:autoSpaceDE w:val="0"/>
        <w:autoSpaceDN w:val="0"/>
        <w:adjustRightInd w:val="0"/>
        <w:spacing w:line="560" w:lineRule="exact"/>
        <w:rPr>
          <w:rFonts w:ascii="宋体" w:hAnsi="宋体" w:cs="宋体"/>
          <w:sz w:val="24"/>
          <w:szCs w:val="24"/>
        </w:rPr>
      </w:pPr>
      <w:r>
        <w:rPr>
          <w:rFonts w:hint="eastAsia" w:ascii="宋体" w:hAnsi="宋体" w:cs="宋体"/>
          <w:sz w:val="24"/>
          <w:szCs w:val="24"/>
        </w:rPr>
        <w:t>开户账号：开户账号：</w:t>
      </w:r>
    </w:p>
    <w:p>
      <w:pPr>
        <w:widowControl/>
        <w:spacing w:line="560" w:lineRule="exact"/>
        <w:jc w:val="left"/>
        <w:rPr>
          <w:rFonts w:ascii="宋体" w:hAnsi="宋体" w:cs="宋体"/>
          <w:b/>
          <w:sz w:val="24"/>
          <w:szCs w:val="24"/>
        </w:rPr>
      </w:pPr>
      <w:bookmarkStart w:id="338" w:name="_Toc331685783"/>
    </w:p>
    <w:p>
      <w:pPr>
        <w:widowControl/>
        <w:spacing w:line="560" w:lineRule="exact"/>
        <w:jc w:val="left"/>
        <w:rPr>
          <w:rFonts w:ascii="宋体" w:hAnsi="宋体" w:cs="宋体"/>
          <w:b/>
          <w:sz w:val="24"/>
          <w:szCs w:val="24"/>
          <w:highlight w:val="yellow"/>
        </w:rPr>
      </w:pPr>
    </w:p>
    <w:p>
      <w:pPr>
        <w:widowControl/>
        <w:spacing w:line="560" w:lineRule="exact"/>
        <w:jc w:val="left"/>
        <w:rPr>
          <w:rFonts w:ascii="宋体" w:hAnsi="宋体" w:cs="宋体"/>
          <w:b/>
          <w:kern w:val="0"/>
          <w:sz w:val="24"/>
          <w:szCs w:val="24"/>
          <w:highlight w:val="yellow"/>
        </w:rPr>
      </w:pPr>
    </w:p>
    <w:p>
      <w:pPr>
        <w:pStyle w:val="69"/>
        <w:ind w:firstLine="482"/>
        <w:rPr>
          <w:rFonts w:ascii="宋体" w:hAnsi="宋体" w:cs="宋体"/>
          <w:b/>
          <w:kern w:val="0"/>
          <w:sz w:val="24"/>
          <w:szCs w:val="24"/>
          <w:highlight w:val="yellow"/>
        </w:rPr>
      </w:pPr>
    </w:p>
    <w:p>
      <w:pPr>
        <w:widowControl/>
        <w:spacing w:line="560" w:lineRule="exact"/>
        <w:jc w:val="left"/>
        <w:rPr>
          <w:rFonts w:ascii="宋体" w:hAnsi="宋体" w:cs="宋体"/>
          <w:b/>
          <w:kern w:val="0"/>
          <w:sz w:val="24"/>
          <w:szCs w:val="24"/>
        </w:rPr>
      </w:pPr>
    </w:p>
    <w:p>
      <w:pPr>
        <w:pStyle w:val="69"/>
        <w:spacing w:line="560" w:lineRule="exact"/>
        <w:ind w:firstLine="482"/>
        <w:jc w:val="center"/>
        <w:rPr>
          <w:rFonts w:ascii="宋体" w:hAnsi="宋体" w:cs="宋体"/>
          <w:b/>
          <w:sz w:val="24"/>
          <w:szCs w:val="24"/>
        </w:rPr>
      </w:pPr>
      <w:r>
        <w:rPr>
          <w:rFonts w:hint="eastAsia" w:ascii="宋体" w:hAnsi="宋体" w:cs="宋体"/>
          <w:b/>
          <w:sz w:val="24"/>
          <w:szCs w:val="24"/>
        </w:rPr>
        <w:t>第二部分 合同一般条款</w:t>
      </w:r>
      <w:bookmarkEnd w:id="338"/>
    </w:p>
    <w:p>
      <w:pPr>
        <w:spacing w:line="560" w:lineRule="exact"/>
        <w:ind w:firstLine="482" w:firstLineChars="200"/>
        <w:outlineLvl w:val="0"/>
        <w:rPr>
          <w:rFonts w:ascii="宋体" w:hAnsi="宋体" w:cs="宋体"/>
          <w:b/>
          <w:sz w:val="24"/>
          <w:szCs w:val="24"/>
        </w:rPr>
      </w:pPr>
      <w:bookmarkStart w:id="339" w:name="_Toc5228"/>
      <w:bookmarkStart w:id="340" w:name="_Ref467379195"/>
      <w:bookmarkStart w:id="341" w:name="_Toc279701240"/>
      <w:bookmarkStart w:id="342" w:name="_Ref467378463"/>
      <w:bookmarkStart w:id="343" w:name="_Ref467379101"/>
      <w:bookmarkStart w:id="344" w:name="_Ref467378499"/>
      <w:bookmarkStart w:id="345" w:name="_Ref467379094"/>
      <w:bookmarkStart w:id="346" w:name="_Toc31297"/>
      <w:bookmarkStart w:id="347" w:name="_Ref467379109"/>
      <w:bookmarkStart w:id="348" w:name="_Toc487900349"/>
      <w:bookmarkStart w:id="349" w:name="_Toc14021"/>
      <w:bookmarkStart w:id="350" w:name="_Toc30482"/>
      <w:bookmarkStart w:id="351" w:name="_Ref467378404"/>
      <w:bookmarkStart w:id="352" w:name="_Toc25079"/>
      <w:bookmarkStart w:id="353" w:name="_Ref467379205"/>
      <w:bookmarkStart w:id="354" w:name="_Toc19680"/>
      <w:bookmarkStart w:id="355" w:name="_Ref467379225"/>
      <w:bookmarkStart w:id="356" w:name="_Toc259093669"/>
      <w:bookmarkStart w:id="357" w:name="_Ref467379214"/>
      <w:r>
        <w:rPr>
          <w:rFonts w:hint="eastAsia" w:ascii="宋体" w:hAnsi="宋体" w:cs="宋体"/>
          <w:b/>
          <w:sz w:val="24"/>
          <w:szCs w:val="24"/>
        </w:rPr>
        <w:t>2.1 定义</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pPr>
        <w:spacing w:line="560" w:lineRule="exact"/>
        <w:ind w:firstLine="480" w:firstLineChars="200"/>
        <w:rPr>
          <w:rFonts w:ascii="宋体" w:hAnsi="宋体" w:cs="宋体"/>
          <w:sz w:val="24"/>
          <w:szCs w:val="24"/>
        </w:rPr>
      </w:pPr>
      <w:r>
        <w:rPr>
          <w:rFonts w:hint="eastAsia" w:ascii="宋体" w:hAnsi="宋体" w:cs="宋体"/>
          <w:sz w:val="24"/>
          <w:szCs w:val="24"/>
        </w:rPr>
        <w:t>本合同中的下列词语应按以下内容进行解释：</w:t>
      </w:r>
    </w:p>
    <w:p>
      <w:pPr>
        <w:spacing w:line="560" w:lineRule="exact"/>
        <w:ind w:firstLine="480" w:firstLineChars="200"/>
        <w:rPr>
          <w:rFonts w:ascii="宋体" w:hAnsi="宋体" w:cs="宋体"/>
          <w:sz w:val="24"/>
          <w:szCs w:val="24"/>
        </w:rPr>
      </w:pPr>
      <w:r>
        <w:rPr>
          <w:rFonts w:hint="eastAsia" w:ascii="宋体" w:hAnsi="宋体" w:cs="宋体"/>
          <w:sz w:val="24"/>
          <w:szCs w:val="24"/>
        </w:rPr>
        <w:t>2.1.1 “合同”系指采购人和中标供应商签订的载明双方当事人所达成的协议，并包括所有的附件、附录和构成合同的其他文件。</w:t>
      </w:r>
    </w:p>
    <w:p>
      <w:pPr>
        <w:spacing w:line="560" w:lineRule="exact"/>
        <w:ind w:firstLine="480" w:firstLineChars="200"/>
        <w:rPr>
          <w:rFonts w:ascii="宋体" w:hAnsi="宋体" w:cs="宋体"/>
          <w:sz w:val="24"/>
          <w:szCs w:val="24"/>
        </w:rPr>
      </w:pPr>
      <w:r>
        <w:rPr>
          <w:rFonts w:hint="eastAsia" w:ascii="宋体" w:hAnsi="宋体" w:cs="宋体"/>
          <w:sz w:val="24"/>
          <w:szCs w:val="24"/>
        </w:rPr>
        <w:t>2.1.2 “合同价”系指根据合同约定，中标供应商在完全履行合同义务后，采购人应支付给中标供应商的价格。</w:t>
      </w:r>
    </w:p>
    <w:p>
      <w:pPr>
        <w:spacing w:line="560" w:lineRule="exact"/>
        <w:ind w:firstLine="480" w:firstLineChars="200"/>
        <w:rPr>
          <w:rFonts w:ascii="宋体" w:hAnsi="宋体" w:cs="宋体"/>
          <w:sz w:val="24"/>
          <w:szCs w:val="24"/>
        </w:rPr>
      </w:pPr>
      <w:r>
        <w:rPr>
          <w:rFonts w:hint="eastAsia" w:ascii="宋体" w:hAnsi="宋体" w:cs="宋体"/>
          <w:sz w:val="24"/>
          <w:szCs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宋体" w:hAnsi="宋体" w:cs="宋体"/>
          <w:sz w:val="24"/>
          <w:szCs w:val="24"/>
        </w:rPr>
      </w:pPr>
      <w:bookmarkStart w:id="358" w:name="_Ref467378840"/>
      <w:r>
        <w:rPr>
          <w:rFonts w:hint="eastAsia" w:ascii="宋体" w:hAnsi="宋体" w:cs="宋体"/>
          <w:sz w:val="24"/>
          <w:szCs w:val="24"/>
        </w:rPr>
        <w:t>2.1.4 “甲方”系指与中标供应商签署合同的采购人</w:t>
      </w:r>
      <w:bookmarkEnd w:id="358"/>
      <w:r>
        <w:rPr>
          <w:rFonts w:hint="eastAsia" w:ascii="宋体" w:hAnsi="宋体" w:cs="宋体"/>
          <w:sz w:val="24"/>
          <w:szCs w:val="24"/>
        </w:rPr>
        <w:t>；采购人委托采购代理机构代表其与乙方签订合同的，采购人的授权委托书作为合同附件。</w:t>
      </w:r>
    </w:p>
    <w:p>
      <w:pPr>
        <w:spacing w:line="560" w:lineRule="exact"/>
        <w:ind w:firstLine="480" w:firstLineChars="200"/>
        <w:rPr>
          <w:rFonts w:ascii="宋体" w:hAnsi="宋体" w:cs="宋体"/>
          <w:sz w:val="24"/>
          <w:szCs w:val="24"/>
        </w:rPr>
      </w:pPr>
      <w:bookmarkStart w:id="359" w:name="_Ref467379400"/>
      <w:r>
        <w:rPr>
          <w:rFonts w:hint="eastAsia" w:ascii="宋体" w:hAnsi="宋体" w:cs="宋体"/>
          <w:sz w:val="24"/>
          <w:szCs w:val="24"/>
        </w:rPr>
        <w:t>2.1.5 “乙方”系指根据合同约定提供服务的中标供应商</w:t>
      </w:r>
      <w:bookmarkEnd w:id="359"/>
      <w:r>
        <w:rPr>
          <w:rFonts w:hint="eastAsia" w:ascii="宋体" w:hAnsi="宋体" w:cs="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sz w:val="24"/>
          <w:szCs w:val="24"/>
        </w:rPr>
      </w:pPr>
      <w:bookmarkStart w:id="360" w:name="_Ref467379436"/>
      <w:r>
        <w:rPr>
          <w:rFonts w:hint="eastAsia" w:ascii="宋体" w:hAnsi="宋体" w:cs="宋体"/>
          <w:sz w:val="24"/>
          <w:szCs w:val="24"/>
        </w:rPr>
        <w:t>2.1.6 “现场”系指合同约定提供服务的地点。</w:t>
      </w:r>
      <w:bookmarkEnd w:id="360"/>
    </w:p>
    <w:p>
      <w:pPr>
        <w:spacing w:line="560" w:lineRule="exact"/>
        <w:ind w:firstLine="482" w:firstLineChars="200"/>
        <w:outlineLvl w:val="0"/>
        <w:rPr>
          <w:rFonts w:ascii="宋体" w:hAnsi="宋体" w:cs="宋体"/>
          <w:b/>
          <w:sz w:val="24"/>
          <w:szCs w:val="24"/>
        </w:rPr>
      </w:pPr>
      <w:bookmarkStart w:id="361" w:name="_Toc3769"/>
      <w:bookmarkStart w:id="362" w:name="_Toc1540"/>
      <w:bookmarkStart w:id="363" w:name="_Toc23289"/>
      <w:bookmarkStart w:id="364" w:name="_Toc259093670"/>
      <w:bookmarkStart w:id="365" w:name="_Toc279701241"/>
      <w:bookmarkStart w:id="366" w:name="_Toc31402"/>
      <w:bookmarkStart w:id="367" w:name="_Toc19539"/>
      <w:bookmarkStart w:id="368" w:name="_Toc16752"/>
      <w:bookmarkStart w:id="369" w:name="_Toc487900350"/>
      <w:r>
        <w:rPr>
          <w:rFonts w:hint="eastAsia" w:ascii="宋体" w:hAnsi="宋体" w:cs="宋体"/>
          <w:b/>
          <w:sz w:val="24"/>
          <w:szCs w:val="24"/>
        </w:rPr>
        <w:t>2.2 技术规范</w:t>
      </w:r>
      <w:bookmarkEnd w:id="361"/>
      <w:bookmarkEnd w:id="362"/>
      <w:bookmarkEnd w:id="363"/>
      <w:bookmarkEnd w:id="364"/>
      <w:bookmarkEnd w:id="365"/>
      <w:bookmarkEnd w:id="366"/>
      <w:bookmarkEnd w:id="367"/>
      <w:bookmarkEnd w:id="368"/>
      <w:bookmarkEnd w:id="369"/>
    </w:p>
    <w:p>
      <w:pPr>
        <w:spacing w:line="560" w:lineRule="exact"/>
        <w:ind w:firstLine="480" w:firstLineChars="200"/>
        <w:rPr>
          <w:rFonts w:ascii="宋体" w:hAnsi="宋体" w:cs="宋体"/>
          <w:sz w:val="24"/>
          <w:szCs w:val="24"/>
        </w:rPr>
      </w:pPr>
      <w:r>
        <w:rPr>
          <w:rFonts w:hint="eastAsia" w:ascii="宋体" w:hAnsi="宋体" w:cs="宋体"/>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宋体" w:hAnsi="宋体" w:cs="宋体"/>
          <w:b/>
          <w:sz w:val="24"/>
          <w:szCs w:val="24"/>
        </w:rPr>
      </w:pPr>
      <w:bookmarkStart w:id="370" w:name="_Toc27945"/>
      <w:bookmarkStart w:id="371" w:name="_Toc12412"/>
      <w:bookmarkStart w:id="372" w:name="_Toc259093671"/>
      <w:bookmarkStart w:id="373" w:name="_Toc279701242"/>
      <w:bookmarkStart w:id="374" w:name="_Toc13673"/>
      <w:bookmarkStart w:id="375" w:name="_Toc4133"/>
      <w:bookmarkStart w:id="376" w:name="_Toc25098"/>
      <w:bookmarkStart w:id="377" w:name="_Toc487900351"/>
      <w:bookmarkStart w:id="378" w:name="_Toc9161"/>
      <w:r>
        <w:rPr>
          <w:rFonts w:hint="eastAsia" w:ascii="宋体" w:hAnsi="宋体" w:cs="宋体"/>
          <w:b/>
          <w:sz w:val="24"/>
          <w:szCs w:val="24"/>
        </w:rPr>
        <w:t>2.3 知识产权</w:t>
      </w:r>
      <w:bookmarkEnd w:id="370"/>
      <w:bookmarkEnd w:id="371"/>
      <w:bookmarkEnd w:id="372"/>
      <w:bookmarkEnd w:id="373"/>
      <w:bookmarkEnd w:id="374"/>
      <w:bookmarkEnd w:id="375"/>
      <w:bookmarkEnd w:id="376"/>
      <w:bookmarkEnd w:id="377"/>
      <w:bookmarkEnd w:id="378"/>
    </w:p>
    <w:p>
      <w:pPr>
        <w:spacing w:line="560" w:lineRule="exact"/>
        <w:ind w:firstLine="480" w:firstLineChars="200"/>
        <w:rPr>
          <w:rFonts w:ascii="宋体" w:hAnsi="宋体" w:cs="宋体"/>
          <w:sz w:val="24"/>
          <w:szCs w:val="24"/>
        </w:rPr>
      </w:pPr>
      <w:r>
        <w:rPr>
          <w:rFonts w:hint="eastAsia" w:ascii="宋体" w:hAnsi="宋体" w:cs="宋体"/>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宋体" w:hAnsi="宋体" w:cs="宋体"/>
          <w:sz w:val="24"/>
          <w:szCs w:val="24"/>
        </w:rPr>
      </w:pPr>
      <w:r>
        <w:rPr>
          <w:rFonts w:hint="eastAsia" w:ascii="宋体" w:hAnsi="宋体" w:cs="宋体"/>
          <w:sz w:val="24"/>
          <w:szCs w:val="24"/>
        </w:rPr>
        <w:t>2.3.2 合同涉及技术成果的归属和收益的分成办法的，详见</w:t>
      </w:r>
      <w:r>
        <w:rPr>
          <w:rFonts w:hint="eastAsia" w:ascii="宋体" w:hAnsi="宋体" w:cs="宋体"/>
          <w:b/>
          <w:i/>
          <w:sz w:val="24"/>
          <w:szCs w:val="24"/>
          <w:u w:val="single"/>
        </w:rPr>
        <w:t>合同专用条款</w:t>
      </w:r>
      <w:r>
        <w:rPr>
          <w:rFonts w:hint="eastAsia" w:ascii="宋体" w:hAnsi="宋体" w:cs="宋体"/>
          <w:sz w:val="24"/>
          <w:szCs w:val="24"/>
        </w:rPr>
        <w:t>。</w:t>
      </w:r>
    </w:p>
    <w:p>
      <w:pPr>
        <w:spacing w:line="560" w:lineRule="exact"/>
        <w:ind w:firstLine="482" w:firstLineChars="200"/>
        <w:rPr>
          <w:rFonts w:ascii="宋体" w:hAnsi="宋体" w:cs="宋体"/>
          <w:b/>
          <w:sz w:val="24"/>
          <w:szCs w:val="24"/>
        </w:rPr>
      </w:pPr>
      <w:r>
        <w:rPr>
          <w:rFonts w:hint="eastAsia" w:ascii="宋体" w:hAnsi="宋体" w:cs="宋体"/>
          <w:b/>
          <w:sz w:val="24"/>
          <w:szCs w:val="24"/>
        </w:rPr>
        <w:t>2.4 履约检查和问题反馈</w:t>
      </w:r>
    </w:p>
    <w:p>
      <w:pPr>
        <w:spacing w:line="560" w:lineRule="exact"/>
        <w:ind w:firstLine="480" w:firstLineChars="200"/>
        <w:rPr>
          <w:rFonts w:ascii="宋体" w:hAnsi="宋体" w:cs="宋体"/>
          <w:sz w:val="24"/>
          <w:szCs w:val="24"/>
        </w:rPr>
      </w:pPr>
      <w:bookmarkStart w:id="379" w:name="_Ref467379657"/>
      <w:r>
        <w:rPr>
          <w:rFonts w:hint="eastAsia" w:ascii="宋体" w:hAnsi="宋体" w:cs="宋体"/>
          <w:sz w:val="24"/>
          <w:szCs w:val="24"/>
        </w:rPr>
        <w:t>2.4.1</w:t>
      </w:r>
      <w:bookmarkEnd w:id="379"/>
      <w:bookmarkStart w:id="380" w:name="_Toc186431854"/>
      <w:bookmarkStart w:id="381" w:name="_Toc279701247"/>
      <w:bookmarkStart w:id="382" w:name="_Toc487900357"/>
      <w:bookmarkStart w:id="383" w:name="_Toc259093676"/>
      <w:bookmarkStart w:id="384" w:name="_Ref467379807"/>
      <w:bookmarkStart w:id="385" w:name="_Ref467379793"/>
      <w:r>
        <w:rPr>
          <w:rFonts w:hint="eastAsia" w:ascii="宋体" w:hAnsi="宋体" w:cs="宋体"/>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宋体" w:hAnsi="宋体" w:cs="宋体"/>
          <w:sz w:val="24"/>
          <w:szCs w:val="24"/>
        </w:rPr>
      </w:pPr>
      <w:r>
        <w:rPr>
          <w:rFonts w:hint="eastAsia" w:ascii="宋体" w:hAnsi="宋体" w:cs="宋体"/>
          <w:sz w:val="24"/>
          <w:szCs w:val="24"/>
        </w:rPr>
        <w:t>2.4.2 合同履行期间，甲方有权将履行过程中出现的问题反馈给乙方，双方当事人应以书面形式约定需要完善和改进的内容</w:t>
      </w:r>
      <w:bookmarkEnd w:id="380"/>
      <w:bookmarkStart w:id="386" w:name="_Toc186431855"/>
      <w:r>
        <w:rPr>
          <w:rFonts w:hint="eastAsia" w:ascii="宋体" w:hAnsi="宋体" w:cs="宋体"/>
          <w:sz w:val="24"/>
          <w:szCs w:val="24"/>
        </w:rPr>
        <w:t>。</w:t>
      </w:r>
    </w:p>
    <w:bookmarkEnd w:id="386"/>
    <w:p>
      <w:pPr>
        <w:spacing w:line="560" w:lineRule="exact"/>
        <w:ind w:firstLine="482" w:firstLineChars="200"/>
        <w:outlineLvl w:val="0"/>
        <w:rPr>
          <w:rFonts w:ascii="宋体" w:hAnsi="宋体" w:cs="宋体"/>
          <w:b/>
          <w:sz w:val="24"/>
          <w:szCs w:val="24"/>
        </w:rPr>
      </w:pPr>
      <w:bookmarkStart w:id="387" w:name="_Toc17050"/>
      <w:bookmarkStart w:id="388" w:name="_Toc32670"/>
      <w:bookmarkStart w:id="389" w:name="_Toc22011"/>
      <w:bookmarkStart w:id="390" w:name="_Toc26555"/>
      <w:bookmarkStart w:id="391" w:name="_Toc15447"/>
      <w:bookmarkStart w:id="392" w:name="_Toc31233"/>
      <w:r>
        <w:rPr>
          <w:rFonts w:hint="eastAsia" w:ascii="宋体" w:hAnsi="宋体" w:cs="宋体"/>
          <w:b/>
          <w:sz w:val="24"/>
          <w:szCs w:val="24"/>
        </w:rPr>
        <w:t>2.5 结算方式和付款条件</w:t>
      </w:r>
      <w:bookmarkEnd w:id="381"/>
      <w:bookmarkEnd w:id="382"/>
      <w:bookmarkEnd w:id="383"/>
      <w:bookmarkEnd w:id="384"/>
      <w:bookmarkEnd w:id="385"/>
      <w:bookmarkEnd w:id="387"/>
      <w:bookmarkEnd w:id="388"/>
      <w:bookmarkEnd w:id="389"/>
      <w:bookmarkEnd w:id="390"/>
      <w:bookmarkEnd w:id="391"/>
      <w:bookmarkEnd w:id="392"/>
    </w:p>
    <w:p>
      <w:pPr>
        <w:spacing w:line="560" w:lineRule="exact"/>
        <w:ind w:firstLine="480" w:firstLineChars="200"/>
        <w:rPr>
          <w:rFonts w:ascii="宋体" w:hAnsi="宋体" w:cs="宋体"/>
          <w:sz w:val="24"/>
          <w:szCs w:val="24"/>
        </w:rPr>
      </w:pPr>
      <w:r>
        <w:rPr>
          <w:rFonts w:hint="eastAsia" w:ascii="宋体" w:hAnsi="宋体" w:cs="宋体"/>
          <w:sz w:val="24"/>
          <w:szCs w:val="24"/>
        </w:rPr>
        <w:t>详见</w:t>
      </w:r>
      <w:r>
        <w:rPr>
          <w:rFonts w:hint="eastAsia" w:ascii="宋体" w:hAnsi="宋体" w:cs="宋体"/>
          <w:b/>
          <w:i/>
          <w:sz w:val="24"/>
          <w:szCs w:val="24"/>
          <w:u w:val="single"/>
        </w:rPr>
        <w:t>合同专用条款</w:t>
      </w:r>
      <w:r>
        <w:rPr>
          <w:rFonts w:hint="eastAsia" w:ascii="宋体" w:hAnsi="宋体" w:cs="宋体"/>
          <w:sz w:val="24"/>
          <w:szCs w:val="24"/>
        </w:rPr>
        <w:t>。</w:t>
      </w:r>
    </w:p>
    <w:p>
      <w:pPr>
        <w:spacing w:line="560" w:lineRule="exact"/>
        <w:ind w:firstLine="482" w:firstLineChars="200"/>
        <w:outlineLvl w:val="0"/>
        <w:rPr>
          <w:rFonts w:ascii="宋体" w:hAnsi="宋体" w:cs="宋体"/>
          <w:b/>
          <w:sz w:val="24"/>
          <w:szCs w:val="24"/>
        </w:rPr>
      </w:pPr>
      <w:bookmarkStart w:id="393" w:name="_Ref467379863"/>
      <w:bookmarkStart w:id="394" w:name="_Ref467379923"/>
      <w:bookmarkStart w:id="395" w:name="_Toc487900358"/>
      <w:bookmarkStart w:id="396" w:name="_Ref467379852"/>
      <w:bookmarkStart w:id="397" w:name="_Toc259093677"/>
      <w:bookmarkStart w:id="398" w:name="_Toc279701248"/>
      <w:bookmarkStart w:id="399" w:name="_Toc21874"/>
      <w:bookmarkStart w:id="400" w:name="_Toc16163"/>
      <w:bookmarkStart w:id="401" w:name="_Toc30507"/>
      <w:bookmarkStart w:id="402" w:name="_Toc18990"/>
      <w:bookmarkStart w:id="403" w:name="_Toc13154"/>
      <w:bookmarkStart w:id="404" w:name="_Toc13467"/>
      <w:r>
        <w:rPr>
          <w:rFonts w:hint="eastAsia" w:ascii="宋体" w:hAnsi="宋体" w:cs="宋体"/>
          <w:b/>
          <w:sz w:val="24"/>
          <w:szCs w:val="24"/>
        </w:rPr>
        <w:t>2.6 技术资料</w:t>
      </w:r>
      <w:bookmarkEnd w:id="393"/>
      <w:bookmarkEnd w:id="394"/>
      <w:bookmarkEnd w:id="395"/>
      <w:bookmarkEnd w:id="396"/>
      <w:bookmarkEnd w:id="397"/>
      <w:bookmarkEnd w:id="398"/>
      <w:r>
        <w:rPr>
          <w:rFonts w:hint="eastAsia" w:ascii="宋体" w:hAnsi="宋体" w:cs="宋体"/>
          <w:b/>
          <w:sz w:val="24"/>
          <w:szCs w:val="24"/>
        </w:rPr>
        <w:t>和保密义务</w:t>
      </w:r>
      <w:bookmarkEnd w:id="399"/>
      <w:bookmarkEnd w:id="400"/>
      <w:bookmarkEnd w:id="401"/>
      <w:bookmarkEnd w:id="402"/>
      <w:bookmarkEnd w:id="403"/>
      <w:bookmarkEnd w:id="404"/>
    </w:p>
    <w:p>
      <w:pPr>
        <w:spacing w:line="560" w:lineRule="exact"/>
        <w:ind w:firstLine="480" w:firstLineChars="200"/>
        <w:rPr>
          <w:rFonts w:ascii="宋体" w:hAnsi="宋体" w:cs="宋体"/>
          <w:sz w:val="24"/>
          <w:szCs w:val="24"/>
        </w:rPr>
      </w:pPr>
      <w:r>
        <w:rPr>
          <w:rFonts w:hint="eastAsia" w:ascii="宋体" w:hAnsi="宋体" w:cs="宋体"/>
          <w:sz w:val="24"/>
          <w:szCs w:val="24"/>
        </w:rPr>
        <w:t>2.6.1 乙方有权依据合同约定和项目需要，向甲方了解有关情况，调阅有关资料等，甲方应予积极配合；</w:t>
      </w:r>
    </w:p>
    <w:p>
      <w:pPr>
        <w:spacing w:line="560" w:lineRule="exact"/>
        <w:ind w:firstLine="480" w:firstLineChars="200"/>
        <w:rPr>
          <w:rFonts w:ascii="宋体" w:hAnsi="宋体" w:cs="宋体"/>
          <w:sz w:val="24"/>
          <w:szCs w:val="24"/>
        </w:rPr>
      </w:pPr>
      <w:r>
        <w:rPr>
          <w:rFonts w:hint="eastAsia" w:ascii="宋体" w:hAnsi="宋体" w:cs="宋体"/>
          <w:sz w:val="24"/>
          <w:szCs w:val="24"/>
        </w:rPr>
        <w:t>2.6.2 乙方有义务妥善保管和保护由甲方提供的前款信息和资料等；</w:t>
      </w:r>
    </w:p>
    <w:p>
      <w:pPr>
        <w:spacing w:line="560" w:lineRule="exact"/>
        <w:ind w:firstLine="480" w:firstLineChars="200"/>
        <w:rPr>
          <w:rFonts w:ascii="宋体" w:hAnsi="宋体" w:cs="宋体"/>
          <w:sz w:val="24"/>
          <w:szCs w:val="24"/>
        </w:rPr>
      </w:pPr>
      <w:r>
        <w:rPr>
          <w:rFonts w:hint="eastAsia" w:ascii="宋体" w:hAnsi="宋体" w:cs="宋体"/>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宋体" w:hAnsi="宋体" w:cs="宋体"/>
          <w:b/>
          <w:sz w:val="24"/>
          <w:szCs w:val="24"/>
        </w:rPr>
      </w:pPr>
      <w:bookmarkStart w:id="405" w:name="_Toc2044"/>
      <w:bookmarkStart w:id="406" w:name="_Toc19069"/>
      <w:bookmarkStart w:id="407" w:name="_Toc259093681"/>
      <w:bookmarkStart w:id="408" w:name="_Toc279701252"/>
      <w:bookmarkStart w:id="409" w:name="_Toc487900362"/>
      <w:r>
        <w:rPr>
          <w:rFonts w:hint="eastAsia" w:ascii="宋体" w:hAnsi="宋体" w:cs="宋体"/>
          <w:b/>
          <w:sz w:val="24"/>
          <w:szCs w:val="24"/>
        </w:rPr>
        <w:t>2.7 质量保证</w:t>
      </w:r>
      <w:bookmarkEnd w:id="405"/>
      <w:bookmarkEnd w:id="406"/>
    </w:p>
    <w:p>
      <w:pPr>
        <w:spacing w:line="560" w:lineRule="exact"/>
        <w:ind w:firstLine="480" w:firstLineChars="200"/>
        <w:rPr>
          <w:rFonts w:ascii="宋体" w:hAnsi="宋体" w:cs="宋体"/>
          <w:sz w:val="24"/>
          <w:szCs w:val="24"/>
        </w:rPr>
      </w:pPr>
      <w:r>
        <w:rPr>
          <w:rFonts w:hint="eastAsia" w:ascii="宋体" w:hAnsi="宋体" w:cs="宋体"/>
          <w:sz w:val="24"/>
          <w:szCs w:val="24"/>
        </w:rPr>
        <w:t>2.7.1 乙方应建立和完善履行合同的内部质量保证体系，并提供相关内部规章制度给甲方，以便甲方进行监督检查；</w:t>
      </w:r>
    </w:p>
    <w:p>
      <w:pPr>
        <w:spacing w:line="560" w:lineRule="exact"/>
        <w:ind w:firstLine="480" w:firstLineChars="200"/>
        <w:rPr>
          <w:rFonts w:ascii="宋体" w:hAnsi="宋体" w:cs="宋体"/>
          <w:sz w:val="24"/>
          <w:szCs w:val="24"/>
        </w:rPr>
      </w:pPr>
      <w:r>
        <w:rPr>
          <w:rFonts w:hint="eastAsia" w:ascii="宋体" w:hAnsi="宋体" w:cs="宋体"/>
          <w:sz w:val="24"/>
          <w:szCs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宋体" w:hAnsi="宋体" w:cs="宋体"/>
          <w:b/>
          <w:sz w:val="24"/>
          <w:szCs w:val="24"/>
        </w:rPr>
      </w:pPr>
      <w:bookmarkStart w:id="410" w:name="_Toc21789"/>
      <w:bookmarkStart w:id="411" w:name="_Toc22267"/>
      <w:r>
        <w:rPr>
          <w:rFonts w:hint="eastAsia" w:ascii="宋体" w:hAnsi="宋体" w:cs="宋体"/>
          <w:b/>
          <w:sz w:val="24"/>
          <w:szCs w:val="24"/>
        </w:rPr>
        <w:t>2.8 延迟</w:t>
      </w:r>
      <w:bookmarkEnd w:id="407"/>
      <w:bookmarkEnd w:id="408"/>
      <w:bookmarkEnd w:id="409"/>
      <w:r>
        <w:rPr>
          <w:rFonts w:hint="eastAsia" w:ascii="宋体" w:hAnsi="宋体" w:cs="宋体"/>
          <w:b/>
          <w:sz w:val="24"/>
          <w:szCs w:val="24"/>
        </w:rPr>
        <w:t>履行</w:t>
      </w:r>
      <w:bookmarkEnd w:id="410"/>
      <w:bookmarkEnd w:id="411"/>
    </w:p>
    <w:p>
      <w:pPr>
        <w:spacing w:line="560" w:lineRule="exact"/>
        <w:ind w:firstLine="480" w:firstLineChars="200"/>
        <w:rPr>
          <w:rFonts w:ascii="宋体" w:hAnsi="宋体" w:cs="宋体"/>
          <w:sz w:val="24"/>
          <w:szCs w:val="24"/>
        </w:rPr>
      </w:pPr>
      <w:r>
        <w:rPr>
          <w:rFonts w:hint="eastAsia" w:ascii="宋体" w:hAnsi="宋体" w:cs="宋体"/>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宋体" w:hAnsi="宋体" w:cs="宋体"/>
          <w:b/>
          <w:sz w:val="24"/>
          <w:szCs w:val="24"/>
        </w:rPr>
      </w:pPr>
      <w:bookmarkStart w:id="412" w:name="_Toc3504"/>
      <w:bookmarkStart w:id="413" w:name="_Toc10611"/>
      <w:bookmarkStart w:id="414" w:name="_Toc259093683"/>
      <w:bookmarkStart w:id="415" w:name="_Ref467378121"/>
      <w:bookmarkStart w:id="416" w:name="_Toc487900364"/>
      <w:bookmarkStart w:id="417" w:name="_Toc279701254"/>
      <w:r>
        <w:rPr>
          <w:rFonts w:hint="eastAsia" w:ascii="宋体" w:hAnsi="宋体" w:cs="宋体"/>
          <w:b/>
          <w:sz w:val="24"/>
          <w:szCs w:val="24"/>
        </w:rPr>
        <w:t>2.9 合同变更</w:t>
      </w:r>
      <w:bookmarkEnd w:id="412"/>
      <w:bookmarkEnd w:id="413"/>
    </w:p>
    <w:p>
      <w:pPr>
        <w:spacing w:line="560" w:lineRule="exact"/>
        <w:ind w:firstLine="480" w:firstLineChars="200"/>
        <w:rPr>
          <w:rFonts w:ascii="宋体" w:hAnsi="宋体" w:cs="宋体"/>
          <w:sz w:val="24"/>
          <w:szCs w:val="24"/>
        </w:rPr>
      </w:pPr>
      <w:r>
        <w:rPr>
          <w:rFonts w:hint="eastAsia" w:ascii="宋体" w:hAnsi="宋体" w:cs="宋体"/>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宋体" w:hAnsi="宋体" w:cs="宋体"/>
          <w:sz w:val="24"/>
          <w:szCs w:val="24"/>
        </w:rPr>
      </w:pPr>
      <w:r>
        <w:rPr>
          <w:rFonts w:hint="eastAsia" w:ascii="宋体" w:hAnsi="宋体" w:cs="宋体"/>
          <w:sz w:val="24"/>
          <w:szCs w:val="24"/>
        </w:rPr>
        <w:t>2.9.2 合同继续履行将损害国家利益和社会公共利益的，双方当事人应当以书面形式变更合同。有过错的一方应当承担赔偿责任，双方当事人都有过错的，各自承担相应的责任。</w:t>
      </w:r>
      <w:bookmarkStart w:id="418" w:name="_Toc259093688"/>
      <w:bookmarkStart w:id="419" w:name="_Toc279701259"/>
      <w:bookmarkStart w:id="420" w:name="_Toc487900369"/>
    </w:p>
    <w:p>
      <w:pPr>
        <w:spacing w:line="560" w:lineRule="exact"/>
        <w:ind w:firstLine="482" w:firstLineChars="200"/>
        <w:outlineLvl w:val="0"/>
        <w:rPr>
          <w:rFonts w:ascii="宋体" w:hAnsi="宋体" w:cs="宋体"/>
          <w:b/>
          <w:sz w:val="24"/>
          <w:szCs w:val="24"/>
        </w:rPr>
      </w:pPr>
      <w:bookmarkStart w:id="421" w:name="_Toc22913"/>
      <w:bookmarkStart w:id="422" w:name="_Toc23368"/>
      <w:bookmarkStart w:id="423" w:name="_Toc21830"/>
      <w:bookmarkStart w:id="424" w:name="_Toc10663"/>
      <w:bookmarkStart w:id="425" w:name="_Toc26689"/>
      <w:bookmarkStart w:id="426" w:name="_Toc42"/>
      <w:r>
        <w:rPr>
          <w:rFonts w:hint="eastAsia" w:ascii="宋体" w:hAnsi="宋体" w:cs="宋体"/>
          <w:b/>
          <w:sz w:val="24"/>
          <w:szCs w:val="24"/>
        </w:rPr>
        <w:t>2.10 合同转让</w:t>
      </w:r>
      <w:bookmarkEnd w:id="418"/>
      <w:bookmarkEnd w:id="419"/>
      <w:bookmarkEnd w:id="420"/>
      <w:r>
        <w:rPr>
          <w:rFonts w:hint="eastAsia" w:ascii="宋体" w:hAnsi="宋体" w:cs="宋体"/>
          <w:b/>
          <w:sz w:val="24"/>
          <w:szCs w:val="24"/>
        </w:rPr>
        <w:t>和分包</w:t>
      </w:r>
      <w:bookmarkEnd w:id="421"/>
      <w:bookmarkEnd w:id="422"/>
      <w:bookmarkEnd w:id="423"/>
      <w:bookmarkEnd w:id="424"/>
      <w:bookmarkEnd w:id="425"/>
      <w:bookmarkEnd w:id="426"/>
    </w:p>
    <w:p>
      <w:pPr>
        <w:spacing w:line="560" w:lineRule="exact"/>
        <w:ind w:firstLine="480" w:firstLineChars="200"/>
        <w:rPr>
          <w:rFonts w:ascii="宋体" w:hAnsi="宋体" w:cs="宋体"/>
          <w:sz w:val="24"/>
          <w:szCs w:val="24"/>
        </w:rPr>
      </w:pPr>
      <w:r>
        <w:rPr>
          <w:rFonts w:hint="eastAsia" w:ascii="宋体" w:hAnsi="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宋体" w:hAnsi="宋体" w:cs="宋体"/>
          <w:b/>
          <w:sz w:val="24"/>
          <w:szCs w:val="24"/>
        </w:rPr>
      </w:pPr>
      <w:bookmarkStart w:id="427" w:name="_Toc14371"/>
      <w:bookmarkStart w:id="428" w:name="_Toc32494"/>
      <w:bookmarkStart w:id="429" w:name="_Toc26633"/>
      <w:bookmarkStart w:id="430" w:name="_Toc21786"/>
      <w:bookmarkStart w:id="431" w:name="_Toc4720"/>
      <w:bookmarkStart w:id="432" w:name="_Toc25571"/>
      <w:r>
        <w:rPr>
          <w:rFonts w:hint="eastAsia" w:ascii="宋体" w:hAnsi="宋体" w:cs="宋体"/>
          <w:b/>
          <w:sz w:val="24"/>
          <w:szCs w:val="24"/>
        </w:rPr>
        <w:t>2.11 不可抗力</w:t>
      </w:r>
      <w:bookmarkEnd w:id="427"/>
      <w:bookmarkEnd w:id="428"/>
      <w:bookmarkEnd w:id="429"/>
      <w:bookmarkEnd w:id="430"/>
      <w:bookmarkEnd w:id="431"/>
      <w:bookmarkEnd w:id="432"/>
    </w:p>
    <w:p>
      <w:pPr>
        <w:spacing w:line="560" w:lineRule="exact"/>
        <w:ind w:firstLine="480" w:firstLineChars="200"/>
        <w:rPr>
          <w:rFonts w:ascii="宋体" w:hAnsi="宋体" w:cs="宋体"/>
          <w:sz w:val="24"/>
          <w:szCs w:val="24"/>
        </w:rPr>
      </w:pPr>
      <w:r>
        <w:rPr>
          <w:rFonts w:hint="eastAsia" w:ascii="宋体" w:hAnsi="宋体" w:cs="宋体"/>
          <w:sz w:val="24"/>
          <w:szCs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sz w:val="24"/>
          <w:szCs w:val="24"/>
        </w:rPr>
      </w:pPr>
      <w:r>
        <w:rPr>
          <w:rFonts w:hint="eastAsia" w:ascii="宋体" w:hAnsi="宋体" w:cs="宋体"/>
          <w:sz w:val="24"/>
          <w:szCs w:val="24"/>
        </w:rPr>
        <w:t>2.11.2 因不可抗力致使不能实现合同目的的，当事人可以解除合同；</w:t>
      </w:r>
    </w:p>
    <w:p>
      <w:pPr>
        <w:spacing w:line="560" w:lineRule="exact"/>
        <w:ind w:firstLine="480" w:firstLineChars="200"/>
        <w:rPr>
          <w:rFonts w:ascii="宋体" w:hAnsi="宋体" w:cs="宋体"/>
          <w:sz w:val="24"/>
          <w:szCs w:val="24"/>
        </w:rPr>
      </w:pPr>
      <w:r>
        <w:rPr>
          <w:rFonts w:hint="eastAsia" w:ascii="宋体" w:hAnsi="宋体" w:cs="宋体"/>
          <w:sz w:val="24"/>
          <w:szCs w:val="24"/>
        </w:rPr>
        <w:t>2.11.3 因不可抗力致使合同有变更必要的，双方当事人应在</w:t>
      </w:r>
      <w:r>
        <w:rPr>
          <w:rFonts w:hint="eastAsia" w:ascii="宋体" w:hAnsi="宋体" w:cs="宋体"/>
          <w:b/>
          <w:i/>
          <w:sz w:val="24"/>
          <w:szCs w:val="24"/>
          <w:u w:val="single"/>
        </w:rPr>
        <w:t>合同专用条款</w:t>
      </w:r>
      <w:r>
        <w:rPr>
          <w:rFonts w:hint="eastAsia" w:ascii="宋体" w:hAnsi="宋体" w:cs="宋体"/>
          <w:sz w:val="24"/>
          <w:szCs w:val="24"/>
        </w:rPr>
        <w:t>约定时间内以书面形式变更合同；</w:t>
      </w:r>
    </w:p>
    <w:p>
      <w:pPr>
        <w:spacing w:line="560" w:lineRule="exact"/>
        <w:ind w:firstLine="480" w:firstLineChars="200"/>
        <w:rPr>
          <w:rFonts w:ascii="宋体" w:hAnsi="宋体" w:cs="宋体"/>
          <w:sz w:val="24"/>
          <w:szCs w:val="24"/>
        </w:rPr>
      </w:pPr>
      <w:r>
        <w:rPr>
          <w:rFonts w:hint="eastAsia" w:ascii="宋体" w:hAnsi="宋体" w:cs="宋体"/>
          <w:sz w:val="24"/>
          <w:szCs w:val="24"/>
        </w:rPr>
        <w:t>2.11.4受不可抗力影响的一方在不可抗力发生后，应在</w:t>
      </w:r>
      <w:r>
        <w:rPr>
          <w:rFonts w:hint="eastAsia" w:ascii="宋体" w:hAnsi="宋体" w:cs="宋体"/>
          <w:b/>
          <w:i/>
          <w:sz w:val="24"/>
          <w:szCs w:val="24"/>
          <w:u w:val="single"/>
        </w:rPr>
        <w:t>合同专用条款</w:t>
      </w:r>
      <w:r>
        <w:rPr>
          <w:rFonts w:hint="eastAsia" w:ascii="宋体" w:hAnsi="宋体" w:cs="宋体"/>
          <w:sz w:val="24"/>
          <w:szCs w:val="24"/>
        </w:rPr>
        <w:t>约定时间内以书面形式通知对方当事人，并在</w:t>
      </w:r>
      <w:r>
        <w:rPr>
          <w:rFonts w:hint="eastAsia" w:ascii="宋体" w:hAnsi="宋体" w:cs="宋体"/>
          <w:b/>
          <w:i/>
          <w:sz w:val="24"/>
          <w:szCs w:val="24"/>
          <w:u w:val="single"/>
        </w:rPr>
        <w:t>合同专用条款</w:t>
      </w:r>
      <w:r>
        <w:rPr>
          <w:rFonts w:hint="eastAsia" w:ascii="宋体" w:hAnsi="宋体" w:cs="宋体"/>
          <w:sz w:val="24"/>
          <w:szCs w:val="24"/>
        </w:rPr>
        <w:t>约定时间内，将有关部门出具的证明文件送达对方当事人。</w:t>
      </w:r>
    </w:p>
    <w:p>
      <w:pPr>
        <w:spacing w:line="560" w:lineRule="exact"/>
        <w:ind w:firstLine="482" w:firstLineChars="200"/>
        <w:outlineLvl w:val="0"/>
        <w:rPr>
          <w:rFonts w:ascii="宋体" w:hAnsi="宋体" w:cs="宋体"/>
          <w:b/>
          <w:sz w:val="24"/>
          <w:szCs w:val="24"/>
        </w:rPr>
      </w:pPr>
      <w:bookmarkStart w:id="433" w:name="_Toc23854"/>
      <w:bookmarkStart w:id="434" w:name="_Toc487900365"/>
      <w:bookmarkStart w:id="435" w:name="_Toc17950"/>
      <w:bookmarkStart w:id="436" w:name="_Toc14115"/>
      <w:bookmarkStart w:id="437" w:name="_Toc259093684"/>
      <w:bookmarkStart w:id="438" w:name="_Toc25783"/>
      <w:bookmarkStart w:id="439" w:name="_Toc3638"/>
      <w:bookmarkStart w:id="440" w:name="_Toc24465"/>
      <w:bookmarkStart w:id="441" w:name="_Toc279701255"/>
      <w:r>
        <w:rPr>
          <w:rFonts w:hint="eastAsia" w:ascii="宋体" w:hAnsi="宋体" w:cs="宋体"/>
          <w:b/>
          <w:sz w:val="24"/>
          <w:szCs w:val="24"/>
        </w:rPr>
        <w:t>2.12 税费</w:t>
      </w:r>
      <w:bookmarkEnd w:id="433"/>
      <w:bookmarkEnd w:id="434"/>
      <w:bookmarkEnd w:id="435"/>
      <w:bookmarkEnd w:id="436"/>
      <w:bookmarkEnd w:id="437"/>
      <w:bookmarkEnd w:id="438"/>
      <w:bookmarkEnd w:id="439"/>
      <w:bookmarkEnd w:id="440"/>
      <w:bookmarkEnd w:id="441"/>
    </w:p>
    <w:p>
      <w:pPr>
        <w:spacing w:line="560" w:lineRule="exact"/>
        <w:ind w:firstLine="480" w:firstLineChars="200"/>
        <w:rPr>
          <w:rFonts w:ascii="宋体" w:hAnsi="宋体" w:cs="宋体"/>
          <w:sz w:val="24"/>
          <w:szCs w:val="24"/>
        </w:rPr>
      </w:pPr>
      <w:r>
        <w:rPr>
          <w:rFonts w:hint="eastAsia" w:ascii="宋体" w:hAnsi="宋体" w:cs="宋体"/>
          <w:sz w:val="24"/>
          <w:szCs w:val="24"/>
        </w:rPr>
        <w:t>与合同有关的一切税费，均按照中华人民共和国法律的相关规定缴纳。</w:t>
      </w:r>
    </w:p>
    <w:p>
      <w:pPr>
        <w:spacing w:line="560" w:lineRule="exact"/>
        <w:ind w:firstLine="482" w:firstLineChars="200"/>
        <w:outlineLvl w:val="0"/>
        <w:rPr>
          <w:rFonts w:ascii="宋体" w:hAnsi="宋体" w:cs="宋体"/>
          <w:b/>
          <w:sz w:val="24"/>
          <w:szCs w:val="24"/>
        </w:rPr>
      </w:pPr>
      <w:bookmarkStart w:id="442" w:name="_Toc30105"/>
      <w:bookmarkStart w:id="443" w:name="_Toc14814"/>
      <w:bookmarkStart w:id="444" w:name="_Toc7315"/>
      <w:bookmarkStart w:id="445" w:name="_Toc26883"/>
      <w:bookmarkStart w:id="446" w:name="_Toc25525"/>
      <w:bookmarkStart w:id="447" w:name="_Toc487900368"/>
      <w:bookmarkStart w:id="448" w:name="_Toc279701258"/>
      <w:bookmarkStart w:id="449" w:name="_Toc259093687"/>
      <w:bookmarkStart w:id="450" w:name="_Toc1242"/>
      <w:r>
        <w:rPr>
          <w:rFonts w:hint="eastAsia" w:ascii="宋体" w:hAnsi="宋体" w:cs="宋体"/>
          <w:b/>
          <w:sz w:val="24"/>
          <w:szCs w:val="24"/>
        </w:rPr>
        <w:t>2.13 乙方破产</w:t>
      </w:r>
      <w:bookmarkEnd w:id="442"/>
      <w:bookmarkEnd w:id="443"/>
      <w:bookmarkEnd w:id="444"/>
      <w:bookmarkEnd w:id="445"/>
      <w:bookmarkEnd w:id="446"/>
      <w:bookmarkEnd w:id="447"/>
      <w:bookmarkEnd w:id="448"/>
      <w:bookmarkEnd w:id="449"/>
      <w:bookmarkEnd w:id="450"/>
    </w:p>
    <w:p>
      <w:pPr>
        <w:spacing w:line="560" w:lineRule="exact"/>
        <w:ind w:firstLine="480" w:firstLineChars="200"/>
        <w:rPr>
          <w:rFonts w:ascii="宋体" w:hAnsi="宋体" w:cs="宋体"/>
          <w:sz w:val="24"/>
          <w:szCs w:val="24"/>
        </w:rPr>
      </w:pPr>
      <w:r>
        <w:rPr>
          <w:rFonts w:hint="eastAsia" w:ascii="宋体" w:hAnsi="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宋体" w:hAnsi="宋体" w:cs="宋体"/>
          <w:b/>
          <w:sz w:val="24"/>
          <w:szCs w:val="24"/>
        </w:rPr>
      </w:pPr>
      <w:bookmarkStart w:id="451" w:name="_Toc1123"/>
      <w:bookmarkStart w:id="452" w:name="_Toc2016"/>
      <w:bookmarkStart w:id="453" w:name="_Toc7103"/>
      <w:bookmarkStart w:id="454" w:name="_Toc23323"/>
      <w:r>
        <w:rPr>
          <w:rFonts w:hint="eastAsia" w:ascii="宋体" w:hAnsi="宋体" w:cs="宋体"/>
          <w:b/>
          <w:sz w:val="24"/>
          <w:szCs w:val="24"/>
        </w:rPr>
        <w:t>2.14 合同中止、终止</w:t>
      </w:r>
      <w:bookmarkEnd w:id="451"/>
      <w:bookmarkEnd w:id="452"/>
      <w:bookmarkEnd w:id="453"/>
      <w:bookmarkEnd w:id="454"/>
    </w:p>
    <w:p>
      <w:pPr>
        <w:spacing w:line="560" w:lineRule="exact"/>
        <w:ind w:firstLine="480" w:firstLineChars="200"/>
        <w:rPr>
          <w:rFonts w:ascii="宋体" w:hAnsi="宋体" w:cs="宋体"/>
          <w:sz w:val="24"/>
          <w:szCs w:val="24"/>
        </w:rPr>
      </w:pPr>
      <w:r>
        <w:rPr>
          <w:rFonts w:hint="eastAsia" w:ascii="宋体" w:hAnsi="宋体" w:cs="宋体"/>
          <w:sz w:val="24"/>
          <w:szCs w:val="24"/>
        </w:rPr>
        <w:t>2.14.1 双方当事人不得擅自中止或者终止合同；</w:t>
      </w:r>
    </w:p>
    <w:p>
      <w:pPr>
        <w:spacing w:line="560" w:lineRule="exact"/>
        <w:ind w:firstLine="480" w:firstLineChars="200"/>
        <w:rPr>
          <w:rFonts w:ascii="宋体" w:hAnsi="宋体" w:cs="宋体"/>
          <w:sz w:val="24"/>
          <w:szCs w:val="24"/>
        </w:rPr>
      </w:pPr>
      <w:r>
        <w:rPr>
          <w:rFonts w:hint="eastAsia" w:ascii="宋体" w:hAnsi="宋体" w:cs="宋体"/>
          <w:sz w:val="24"/>
          <w:szCs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宋体" w:hAnsi="宋体" w:cs="宋体"/>
          <w:b/>
          <w:sz w:val="24"/>
          <w:szCs w:val="24"/>
        </w:rPr>
      </w:pPr>
      <w:bookmarkStart w:id="455" w:name="_Toc17363"/>
      <w:bookmarkStart w:id="456" w:name="_Toc1969"/>
      <w:bookmarkStart w:id="457" w:name="_Toc14525"/>
      <w:bookmarkStart w:id="458" w:name="_Toc1138"/>
      <w:r>
        <w:rPr>
          <w:rFonts w:hint="eastAsia" w:ascii="宋体" w:hAnsi="宋体" w:cs="宋体"/>
          <w:b/>
          <w:sz w:val="24"/>
          <w:szCs w:val="24"/>
        </w:rPr>
        <w:t>2.15 检验和验收</w:t>
      </w:r>
      <w:bookmarkEnd w:id="455"/>
      <w:bookmarkEnd w:id="456"/>
      <w:bookmarkEnd w:id="457"/>
      <w:bookmarkEnd w:id="458"/>
    </w:p>
    <w:p>
      <w:pPr>
        <w:tabs>
          <w:tab w:val="left" w:pos="360"/>
          <w:tab w:val="left" w:pos="540"/>
          <w:tab w:val="left" w:pos="1080"/>
        </w:tabs>
        <w:spacing w:line="560" w:lineRule="exact"/>
        <w:ind w:firstLine="480" w:firstLineChars="200"/>
        <w:rPr>
          <w:rFonts w:ascii="宋体" w:hAnsi="宋体" w:cs="宋体"/>
          <w:sz w:val="24"/>
          <w:szCs w:val="24"/>
        </w:rPr>
      </w:pPr>
      <w:r>
        <w:rPr>
          <w:rFonts w:hint="eastAsia" w:ascii="宋体" w:hAnsi="宋体" w:cs="宋体"/>
          <w:sz w:val="24"/>
          <w:szCs w:val="24"/>
        </w:rPr>
        <w:t>2.15.1 乙方按照</w:t>
      </w:r>
      <w:r>
        <w:rPr>
          <w:rFonts w:hint="eastAsia" w:ascii="宋体" w:hAnsi="宋体" w:cs="宋体"/>
          <w:b/>
          <w:i/>
          <w:sz w:val="24"/>
          <w:szCs w:val="24"/>
          <w:u w:val="single"/>
        </w:rPr>
        <w:t>合同专用条款</w:t>
      </w:r>
      <w:r>
        <w:rPr>
          <w:rFonts w:hint="eastAsia" w:ascii="宋体" w:hAnsi="宋体" w:cs="宋体"/>
          <w:sz w:val="24"/>
          <w:szCs w:val="24"/>
        </w:rPr>
        <w:t>的约定，定期提交服务报告，甲方按照</w:t>
      </w:r>
      <w:r>
        <w:rPr>
          <w:rFonts w:hint="eastAsia" w:ascii="宋体" w:hAnsi="宋体" w:cs="宋体"/>
          <w:b/>
          <w:i/>
          <w:sz w:val="24"/>
          <w:szCs w:val="24"/>
          <w:u w:val="single"/>
        </w:rPr>
        <w:t>合同专用条款</w:t>
      </w:r>
      <w:r>
        <w:rPr>
          <w:rFonts w:hint="eastAsia" w:ascii="宋体" w:hAnsi="宋体" w:cs="宋体"/>
          <w:sz w:val="24"/>
          <w:szCs w:val="24"/>
        </w:rPr>
        <w:t>的约定进行定期验收；</w:t>
      </w:r>
    </w:p>
    <w:p>
      <w:pPr>
        <w:tabs>
          <w:tab w:val="left" w:pos="360"/>
          <w:tab w:val="left" w:pos="540"/>
          <w:tab w:val="left" w:pos="1080"/>
        </w:tabs>
        <w:spacing w:line="560" w:lineRule="exact"/>
        <w:ind w:firstLine="480" w:firstLineChars="200"/>
        <w:rPr>
          <w:rFonts w:ascii="宋体" w:hAnsi="宋体" w:cs="宋体"/>
          <w:sz w:val="24"/>
          <w:szCs w:val="24"/>
        </w:rPr>
      </w:pPr>
      <w:r>
        <w:rPr>
          <w:rFonts w:hint="eastAsia" w:ascii="宋体" w:hAnsi="宋体" w:cs="宋体"/>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宋体" w:hAnsi="宋体" w:cs="宋体"/>
          <w:sz w:val="24"/>
          <w:szCs w:val="24"/>
        </w:rPr>
      </w:pPr>
      <w:r>
        <w:rPr>
          <w:rFonts w:hint="eastAsia" w:ascii="宋体" w:hAnsi="宋体" w:cs="宋体"/>
          <w:sz w:val="24"/>
          <w:szCs w:val="24"/>
        </w:rPr>
        <w:t>2.15.3 检验和验收标准、程序等具体内容以及前述验收书的效力详见</w:t>
      </w:r>
      <w:r>
        <w:rPr>
          <w:rFonts w:hint="eastAsia" w:ascii="宋体" w:hAnsi="宋体" w:cs="宋体"/>
          <w:b/>
          <w:i/>
          <w:sz w:val="24"/>
          <w:szCs w:val="24"/>
          <w:u w:val="single"/>
        </w:rPr>
        <w:t>合同专用条款</w:t>
      </w:r>
      <w:r>
        <w:rPr>
          <w:rFonts w:hint="eastAsia" w:ascii="宋体" w:hAnsi="宋体" w:cs="宋体"/>
          <w:i/>
          <w:sz w:val="24"/>
          <w:szCs w:val="24"/>
        </w:rPr>
        <w:t>。</w:t>
      </w:r>
    </w:p>
    <w:bookmarkEnd w:id="414"/>
    <w:bookmarkEnd w:id="415"/>
    <w:bookmarkEnd w:id="416"/>
    <w:bookmarkEnd w:id="417"/>
    <w:p>
      <w:pPr>
        <w:spacing w:line="560" w:lineRule="exact"/>
        <w:ind w:firstLine="482" w:firstLineChars="200"/>
        <w:outlineLvl w:val="0"/>
        <w:rPr>
          <w:rFonts w:ascii="宋体" w:hAnsi="宋体" w:cs="宋体"/>
          <w:b/>
          <w:sz w:val="24"/>
          <w:szCs w:val="24"/>
        </w:rPr>
      </w:pPr>
      <w:bookmarkStart w:id="459" w:name="_Toc259093690"/>
      <w:bookmarkStart w:id="460" w:name="_Toc279701261"/>
      <w:bookmarkStart w:id="461" w:name="_Toc487900371"/>
      <w:bookmarkStart w:id="462" w:name="_Toc31892"/>
      <w:bookmarkStart w:id="463" w:name="_Toc2308"/>
      <w:bookmarkStart w:id="464" w:name="_Toc9808"/>
      <w:bookmarkStart w:id="465" w:name="_Toc3619"/>
      <w:bookmarkStart w:id="466" w:name="_Toc12666"/>
      <w:bookmarkStart w:id="467" w:name="_Toc25198"/>
      <w:r>
        <w:rPr>
          <w:rFonts w:hint="eastAsia" w:ascii="宋体" w:hAnsi="宋体" w:cs="宋体"/>
          <w:b/>
          <w:sz w:val="24"/>
          <w:szCs w:val="24"/>
        </w:rPr>
        <w:t>2.16 通知</w:t>
      </w:r>
      <w:bookmarkEnd w:id="459"/>
      <w:bookmarkEnd w:id="460"/>
      <w:bookmarkEnd w:id="461"/>
      <w:r>
        <w:rPr>
          <w:rFonts w:hint="eastAsia" w:ascii="宋体" w:hAnsi="宋体" w:cs="宋体"/>
          <w:b/>
          <w:sz w:val="24"/>
          <w:szCs w:val="24"/>
        </w:rPr>
        <w:t>和送达</w:t>
      </w:r>
      <w:bookmarkEnd w:id="462"/>
      <w:bookmarkEnd w:id="463"/>
      <w:bookmarkEnd w:id="464"/>
      <w:bookmarkEnd w:id="465"/>
      <w:bookmarkEnd w:id="466"/>
      <w:bookmarkEnd w:id="467"/>
    </w:p>
    <w:p>
      <w:pPr>
        <w:spacing w:line="560" w:lineRule="exact"/>
        <w:ind w:firstLine="480" w:firstLineChars="200"/>
        <w:rPr>
          <w:rFonts w:ascii="宋体" w:hAnsi="宋体" w:cs="宋体"/>
          <w:sz w:val="24"/>
          <w:szCs w:val="24"/>
        </w:rPr>
      </w:pPr>
      <w:bookmarkStart w:id="468" w:name="_Toc29220"/>
      <w:bookmarkStart w:id="469" w:name="_Toc7073"/>
      <w:bookmarkStart w:id="470" w:name="_Toc487900372"/>
      <w:bookmarkStart w:id="471" w:name="_Toc259093691"/>
      <w:bookmarkStart w:id="472" w:name="_Toc279701262"/>
      <w:r>
        <w:rPr>
          <w:rFonts w:hint="eastAsia" w:ascii="宋体" w:hAnsi="宋体" w:cs="宋体"/>
          <w:sz w:val="24"/>
          <w:szCs w:val="24"/>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468"/>
      <w:bookmarkEnd w:id="469"/>
    </w:p>
    <w:p>
      <w:pPr>
        <w:spacing w:line="560" w:lineRule="exact"/>
        <w:ind w:firstLine="480" w:firstLineChars="200"/>
        <w:rPr>
          <w:rFonts w:ascii="宋体" w:hAnsi="宋体" w:cs="宋体"/>
          <w:sz w:val="24"/>
          <w:szCs w:val="24"/>
        </w:rPr>
      </w:pPr>
      <w:bookmarkStart w:id="473" w:name="_Toc18401"/>
      <w:bookmarkStart w:id="474" w:name="_Toc27674"/>
      <w:r>
        <w:rPr>
          <w:rFonts w:hint="eastAsia" w:ascii="宋体" w:hAnsi="宋体" w:cs="宋体"/>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473"/>
      <w:bookmarkEnd w:id="474"/>
    </w:p>
    <w:bookmarkEnd w:id="470"/>
    <w:bookmarkEnd w:id="471"/>
    <w:bookmarkEnd w:id="472"/>
    <w:p>
      <w:pPr>
        <w:spacing w:line="560" w:lineRule="exact"/>
        <w:ind w:firstLine="482" w:firstLineChars="200"/>
        <w:outlineLvl w:val="0"/>
        <w:rPr>
          <w:rFonts w:ascii="宋体" w:hAnsi="宋体" w:cs="宋体"/>
          <w:b/>
          <w:sz w:val="24"/>
          <w:szCs w:val="24"/>
        </w:rPr>
      </w:pPr>
      <w:bookmarkStart w:id="475" w:name="_Toc27644"/>
      <w:bookmarkStart w:id="476" w:name="_Toc259093692"/>
      <w:bookmarkStart w:id="477" w:name="_Toc28906"/>
      <w:bookmarkStart w:id="478" w:name="_Toc487900373"/>
      <w:bookmarkStart w:id="479" w:name="_Toc12254"/>
      <w:bookmarkStart w:id="480" w:name="_Toc485"/>
      <w:bookmarkStart w:id="481" w:name="_Toc279701263"/>
      <w:bookmarkStart w:id="482" w:name="_Toc5063"/>
      <w:bookmarkStart w:id="483" w:name="_Toc20808"/>
      <w:r>
        <w:rPr>
          <w:rFonts w:hint="eastAsia" w:ascii="宋体" w:hAnsi="宋体" w:cs="宋体"/>
          <w:b/>
          <w:sz w:val="24"/>
          <w:szCs w:val="24"/>
        </w:rPr>
        <w:t>2.17 合同使用的文字和适用的法律</w:t>
      </w:r>
      <w:bookmarkEnd w:id="475"/>
      <w:bookmarkEnd w:id="476"/>
      <w:bookmarkEnd w:id="477"/>
      <w:bookmarkEnd w:id="478"/>
      <w:bookmarkEnd w:id="479"/>
      <w:bookmarkEnd w:id="480"/>
      <w:bookmarkEnd w:id="481"/>
      <w:bookmarkEnd w:id="482"/>
      <w:bookmarkEnd w:id="483"/>
    </w:p>
    <w:p>
      <w:pPr>
        <w:spacing w:line="560" w:lineRule="exact"/>
        <w:ind w:firstLine="480" w:firstLineChars="200"/>
        <w:rPr>
          <w:rFonts w:ascii="宋体" w:hAnsi="宋体" w:cs="宋体"/>
          <w:sz w:val="24"/>
          <w:szCs w:val="24"/>
        </w:rPr>
      </w:pPr>
      <w:r>
        <w:rPr>
          <w:rFonts w:hint="eastAsia" w:ascii="宋体" w:hAnsi="宋体" w:cs="宋体"/>
          <w:sz w:val="24"/>
          <w:szCs w:val="24"/>
        </w:rPr>
        <w:t>2.17.1 合同使用汉语书就、变更和解释；</w:t>
      </w:r>
    </w:p>
    <w:p>
      <w:pPr>
        <w:spacing w:line="560" w:lineRule="exact"/>
        <w:ind w:firstLine="480" w:firstLineChars="200"/>
        <w:rPr>
          <w:rFonts w:ascii="宋体" w:hAnsi="宋体" w:cs="宋体"/>
          <w:sz w:val="24"/>
          <w:szCs w:val="24"/>
        </w:rPr>
      </w:pPr>
      <w:r>
        <w:rPr>
          <w:rFonts w:hint="eastAsia" w:ascii="宋体" w:hAnsi="宋体" w:cs="宋体"/>
          <w:sz w:val="24"/>
          <w:szCs w:val="24"/>
        </w:rPr>
        <w:t>2.17.2 合同适用中华人民共和国法律。</w:t>
      </w:r>
    </w:p>
    <w:p>
      <w:pPr>
        <w:spacing w:line="560" w:lineRule="exact"/>
        <w:ind w:firstLine="482" w:firstLineChars="200"/>
        <w:outlineLvl w:val="0"/>
        <w:rPr>
          <w:rFonts w:ascii="宋体" w:hAnsi="宋体" w:cs="宋体"/>
          <w:b/>
          <w:sz w:val="24"/>
          <w:szCs w:val="24"/>
        </w:rPr>
      </w:pPr>
      <w:bookmarkStart w:id="484" w:name="_Toc1492"/>
      <w:bookmarkStart w:id="485" w:name="_Toc279701264"/>
      <w:bookmarkStart w:id="486" w:name="_Toc8081"/>
      <w:bookmarkStart w:id="487" w:name="_Toc30096"/>
      <w:bookmarkStart w:id="488" w:name="_Toc27127"/>
      <w:bookmarkStart w:id="489" w:name="_Toc259093693"/>
      <w:bookmarkStart w:id="490" w:name="_Toc27403"/>
      <w:bookmarkStart w:id="491" w:name="_Toc487900374"/>
      <w:r>
        <w:rPr>
          <w:rFonts w:hint="eastAsia" w:ascii="宋体" w:hAnsi="宋体" w:cs="宋体"/>
          <w:b/>
          <w:sz w:val="24"/>
          <w:szCs w:val="24"/>
        </w:rPr>
        <w:t>2.18 履约保证金</w:t>
      </w:r>
      <w:bookmarkEnd w:id="484"/>
      <w:bookmarkEnd w:id="485"/>
      <w:bookmarkEnd w:id="486"/>
      <w:bookmarkEnd w:id="487"/>
      <w:bookmarkEnd w:id="488"/>
      <w:bookmarkEnd w:id="489"/>
      <w:bookmarkEnd w:id="490"/>
    </w:p>
    <w:p>
      <w:pPr>
        <w:spacing w:line="560" w:lineRule="exact"/>
        <w:ind w:firstLine="480" w:firstLineChars="200"/>
        <w:rPr>
          <w:rFonts w:ascii="宋体" w:hAnsi="宋体" w:cs="宋体"/>
          <w:sz w:val="24"/>
          <w:szCs w:val="24"/>
        </w:rPr>
      </w:pPr>
      <w:r>
        <w:rPr>
          <w:rFonts w:hint="eastAsia" w:ascii="宋体" w:hAnsi="宋体" w:cs="宋体"/>
          <w:sz w:val="24"/>
          <w:szCs w:val="24"/>
        </w:rPr>
        <w:t>2.18.1 采购文件要求乙方提交履约保证金的，乙方应按</w:t>
      </w:r>
      <w:r>
        <w:rPr>
          <w:rFonts w:hint="eastAsia" w:ascii="宋体" w:hAnsi="宋体" w:cs="宋体"/>
          <w:b/>
          <w:i/>
          <w:sz w:val="24"/>
          <w:szCs w:val="24"/>
          <w:u w:val="single"/>
        </w:rPr>
        <w:t>合同专用条款</w:t>
      </w:r>
      <w:r>
        <w:rPr>
          <w:rFonts w:hint="eastAsia" w:ascii="宋体" w:hAnsi="宋体" w:cs="宋体"/>
          <w:sz w:val="24"/>
          <w:szCs w:val="24"/>
        </w:rPr>
        <w:t>约定的方式，以支票、汇票、本票或者金融机构、担保机构出具的保函等非现金形式，提交不超过合同价5%的履约保证金；</w:t>
      </w:r>
    </w:p>
    <w:p>
      <w:pPr>
        <w:spacing w:line="560" w:lineRule="exact"/>
        <w:ind w:firstLine="480" w:firstLineChars="200"/>
        <w:rPr>
          <w:rFonts w:ascii="宋体" w:hAnsi="宋体" w:cs="宋体"/>
          <w:sz w:val="24"/>
          <w:szCs w:val="24"/>
        </w:rPr>
      </w:pPr>
      <w:r>
        <w:rPr>
          <w:rFonts w:hint="eastAsia" w:ascii="宋体" w:hAnsi="宋体" w:cs="宋体"/>
          <w:sz w:val="24"/>
          <w:szCs w:val="24"/>
        </w:rPr>
        <w:t>2.18.2 履约保证金在</w:t>
      </w:r>
      <w:r>
        <w:rPr>
          <w:rFonts w:hint="eastAsia" w:ascii="宋体" w:hAnsi="宋体" w:cs="宋体"/>
          <w:b/>
          <w:i/>
          <w:sz w:val="24"/>
          <w:szCs w:val="24"/>
          <w:u w:val="single"/>
        </w:rPr>
        <w:t>合同专用条款</w:t>
      </w:r>
      <w:r>
        <w:rPr>
          <w:rFonts w:hint="eastAsia" w:ascii="宋体" w:hAnsi="宋体" w:cs="宋体"/>
          <w:sz w:val="24"/>
          <w:szCs w:val="24"/>
        </w:rPr>
        <w:t>约定期间内不予退还或者应完全有效，前述约定期间届满之日起个工作日内，甲方应将履约保证金退还乙方；</w:t>
      </w:r>
    </w:p>
    <w:p>
      <w:pPr>
        <w:spacing w:line="560" w:lineRule="exact"/>
        <w:ind w:firstLine="480" w:firstLineChars="200"/>
        <w:rPr>
          <w:rFonts w:ascii="宋体" w:hAnsi="宋体" w:cs="宋体"/>
          <w:sz w:val="24"/>
          <w:szCs w:val="24"/>
        </w:rPr>
      </w:pPr>
      <w:r>
        <w:rPr>
          <w:rFonts w:hint="eastAsia" w:ascii="宋体" w:hAnsi="宋体" w:cs="宋体"/>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91"/>
    <w:p>
      <w:pPr>
        <w:spacing w:line="560" w:lineRule="exact"/>
        <w:ind w:firstLine="482" w:firstLineChars="200"/>
        <w:rPr>
          <w:rFonts w:ascii="宋体" w:hAnsi="宋体" w:cs="宋体"/>
          <w:b/>
          <w:sz w:val="24"/>
          <w:szCs w:val="24"/>
        </w:rPr>
      </w:pPr>
      <w:r>
        <w:rPr>
          <w:rFonts w:hint="eastAsia" w:ascii="宋体" w:hAnsi="宋体" w:cs="宋体"/>
          <w:b/>
          <w:sz w:val="24"/>
          <w:szCs w:val="24"/>
        </w:rPr>
        <w:t>2.19 合同份数</w:t>
      </w:r>
    </w:p>
    <w:p>
      <w:pPr>
        <w:spacing w:line="560" w:lineRule="exact"/>
        <w:ind w:firstLine="480" w:firstLineChars="200"/>
        <w:rPr>
          <w:rFonts w:ascii="宋体" w:hAnsi="宋体" w:cs="宋体"/>
          <w:sz w:val="24"/>
          <w:szCs w:val="24"/>
        </w:rPr>
      </w:pPr>
      <w:r>
        <w:rPr>
          <w:rFonts w:hint="eastAsia" w:ascii="宋体" w:hAnsi="宋体" w:cs="宋体"/>
          <w:sz w:val="24"/>
          <w:szCs w:val="24"/>
        </w:rPr>
        <w:t>合同份数按</w:t>
      </w:r>
      <w:r>
        <w:rPr>
          <w:rFonts w:hint="eastAsia" w:ascii="宋体" w:hAnsi="宋体" w:cs="宋体"/>
          <w:b/>
          <w:i/>
          <w:sz w:val="24"/>
          <w:szCs w:val="24"/>
          <w:u w:val="single"/>
        </w:rPr>
        <w:t>合同专用条款</w:t>
      </w:r>
      <w:r>
        <w:rPr>
          <w:rFonts w:hint="eastAsia" w:ascii="宋体" w:hAnsi="宋体" w:cs="宋体"/>
          <w:sz w:val="24"/>
          <w:szCs w:val="24"/>
        </w:rPr>
        <w:t>规定，每份均具有同等法律效力。</w:t>
      </w:r>
    </w:p>
    <w:p>
      <w:pPr>
        <w:pStyle w:val="69"/>
        <w:spacing w:line="560" w:lineRule="exact"/>
        <w:ind w:firstLine="480"/>
        <w:jc w:val="center"/>
        <w:rPr>
          <w:rFonts w:ascii="宋体" w:hAnsi="宋体" w:cs="宋体"/>
          <w:b/>
          <w:sz w:val="24"/>
          <w:szCs w:val="24"/>
        </w:rPr>
      </w:pPr>
      <w:r>
        <w:rPr>
          <w:rFonts w:hint="eastAsia" w:ascii="宋体" w:hAnsi="宋体" w:cs="宋体"/>
          <w:sz w:val="24"/>
          <w:szCs w:val="24"/>
        </w:rPr>
        <w:br w:type="page"/>
      </w:r>
      <w:bookmarkStart w:id="492" w:name="_Toc331685784"/>
      <w:r>
        <w:rPr>
          <w:rFonts w:hint="eastAsia" w:ascii="宋体" w:hAnsi="宋体" w:cs="宋体"/>
          <w:b/>
          <w:sz w:val="24"/>
          <w:szCs w:val="24"/>
        </w:rPr>
        <w:t>第三部分  合同专用条款</w:t>
      </w:r>
      <w:bookmarkEnd w:id="492"/>
    </w:p>
    <w:p>
      <w:pPr>
        <w:spacing w:line="560" w:lineRule="exact"/>
        <w:ind w:firstLine="480" w:firstLineChars="200"/>
        <w:rPr>
          <w:rFonts w:ascii="宋体" w:hAnsi="宋体" w:cs="宋体"/>
          <w:sz w:val="24"/>
          <w:szCs w:val="24"/>
        </w:rPr>
      </w:pPr>
      <w:r>
        <w:rPr>
          <w:rFonts w:hint="eastAsia" w:ascii="宋体" w:hAnsi="宋体" w:cs="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9"/>
        <w:tblpPr w:leftFromText="180" w:rightFromText="180" w:vertAnchor="text" w:horzAnchor="page" w:tblpX="1098" w:tblpY="953"/>
        <w:tblOverlap w:val="never"/>
        <w:tblW w:w="971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3"/>
        <w:gridCol w:w="87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pPr>
              <w:spacing w:line="560" w:lineRule="exact"/>
              <w:jc w:val="center"/>
              <w:rPr>
                <w:rFonts w:ascii="宋体" w:hAnsi="宋体" w:cs="宋体"/>
                <w:b/>
                <w:sz w:val="24"/>
                <w:szCs w:val="24"/>
              </w:rPr>
            </w:pPr>
            <w:r>
              <w:rPr>
                <w:rFonts w:hint="eastAsia" w:ascii="宋体" w:hAnsi="宋体" w:cs="宋体"/>
                <w:b/>
                <w:sz w:val="24"/>
                <w:szCs w:val="24"/>
              </w:rPr>
              <w:t>条款号</w:t>
            </w:r>
          </w:p>
        </w:tc>
        <w:tc>
          <w:tcPr>
            <w:tcW w:w="8796" w:type="dxa"/>
            <w:vAlign w:val="center"/>
          </w:tcPr>
          <w:p>
            <w:pPr>
              <w:spacing w:line="560" w:lineRule="exact"/>
              <w:jc w:val="center"/>
              <w:rPr>
                <w:rFonts w:ascii="宋体" w:hAnsi="宋体" w:cs="宋体"/>
                <w:b/>
                <w:sz w:val="24"/>
                <w:szCs w:val="24"/>
              </w:rPr>
            </w:pPr>
            <w:r>
              <w:rPr>
                <w:rFonts w:hint="eastAsia" w:ascii="宋体" w:hAnsi="宋体" w:cs="宋体"/>
                <w:b/>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pPr>
              <w:spacing w:line="560" w:lineRule="exact"/>
              <w:rPr>
                <w:rFonts w:ascii="宋体" w:hAnsi="宋体" w:cs="宋体"/>
                <w:sz w:val="24"/>
                <w:szCs w:val="24"/>
                <w:highlight w:val="yellow"/>
              </w:rPr>
            </w:pPr>
          </w:p>
        </w:tc>
        <w:tc>
          <w:tcPr>
            <w:tcW w:w="8796" w:type="dxa"/>
            <w:vAlign w:val="center"/>
          </w:tcPr>
          <w:p>
            <w:pPr>
              <w:spacing w:line="560" w:lineRule="exact"/>
              <w:rPr>
                <w:rFonts w:ascii="宋体" w:hAnsi="宋体" w:cs="宋体"/>
                <w:sz w:val="24"/>
                <w:szCs w:val="24"/>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pPr>
              <w:spacing w:line="560" w:lineRule="exact"/>
              <w:rPr>
                <w:rFonts w:ascii="宋体" w:hAnsi="宋体" w:cs="宋体"/>
                <w:sz w:val="24"/>
                <w:szCs w:val="24"/>
                <w:highlight w:val="yellow"/>
              </w:rPr>
            </w:pPr>
          </w:p>
        </w:tc>
        <w:tc>
          <w:tcPr>
            <w:tcW w:w="8796" w:type="dxa"/>
            <w:vAlign w:val="center"/>
          </w:tcPr>
          <w:p>
            <w:pPr>
              <w:spacing w:line="560" w:lineRule="exact"/>
              <w:rPr>
                <w:rFonts w:ascii="宋体" w:hAnsi="宋体" w:cs="宋体"/>
                <w:sz w:val="24"/>
                <w:szCs w:val="24"/>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pPr>
              <w:spacing w:line="560" w:lineRule="exact"/>
              <w:rPr>
                <w:rFonts w:ascii="宋体" w:hAnsi="宋体" w:cs="宋体"/>
                <w:sz w:val="24"/>
                <w:szCs w:val="24"/>
                <w:highlight w:val="yellow"/>
              </w:rPr>
            </w:pPr>
          </w:p>
        </w:tc>
        <w:tc>
          <w:tcPr>
            <w:tcW w:w="8796" w:type="dxa"/>
            <w:vAlign w:val="center"/>
          </w:tcPr>
          <w:p>
            <w:pPr>
              <w:spacing w:line="560" w:lineRule="exact"/>
              <w:rPr>
                <w:rFonts w:ascii="宋体" w:hAnsi="宋体" w:cs="宋体"/>
                <w:sz w:val="24"/>
                <w:szCs w:val="24"/>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pPr>
              <w:spacing w:line="560" w:lineRule="exact"/>
              <w:rPr>
                <w:rFonts w:ascii="宋体" w:hAnsi="宋体" w:cs="宋体"/>
                <w:sz w:val="24"/>
                <w:szCs w:val="24"/>
                <w:highlight w:val="yellow"/>
              </w:rPr>
            </w:pPr>
          </w:p>
        </w:tc>
        <w:tc>
          <w:tcPr>
            <w:tcW w:w="8796" w:type="dxa"/>
            <w:vAlign w:val="center"/>
          </w:tcPr>
          <w:p>
            <w:pPr>
              <w:spacing w:line="560" w:lineRule="exact"/>
              <w:rPr>
                <w:rFonts w:ascii="宋体" w:hAnsi="宋体" w:cs="宋体"/>
                <w:sz w:val="24"/>
                <w:szCs w:val="24"/>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pPr>
              <w:spacing w:line="560" w:lineRule="exact"/>
              <w:rPr>
                <w:rFonts w:ascii="宋体" w:hAnsi="宋体" w:cs="宋体"/>
                <w:sz w:val="24"/>
                <w:szCs w:val="24"/>
                <w:highlight w:val="yellow"/>
              </w:rPr>
            </w:pPr>
          </w:p>
        </w:tc>
        <w:tc>
          <w:tcPr>
            <w:tcW w:w="8796" w:type="dxa"/>
            <w:vAlign w:val="center"/>
          </w:tcPr>
          <w:p>
            <w:pPr>
              <w:spacing w:line="560" w:lineRule="exact"/>
              <w:rPr>
                <w:rFonts w:ascii="宋体" w:hAnsi="宋体" w:cs="宋体"/>
                <w:sz w:val="24"/>
                <w:szCs w:val="24"/>
                <w:highlight w:val="yellow"/>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pPr>
              <w:spacing w:line="560" w:lineRule="exact"/>
              <w:rPr>
                <w:rFonts w:ascii="宋体" w:hAnsi="宋体" w:cs="宋体"/>
                <w:sz w:val="24"/>
                <w:szCs w:val="24"/>
                <w:highlight w:val="yellow"/>
              </w:rPr>
            </w:pPr>
          </w:p>
        </w:tc>
        <w:tc>
          <w:tcPr>
            <w:tcW w:w="8796" w:type="dxa"/>
            <w:vAlign w:val="center"/>
          </w:tcPr>
          <w:p>
            <w:pPr>
              <w:spacing w:line="560" w:lineRule="exact"/>
              <w:rPr>
                <w:rFonts w:ascii="宋体" w:hAnsi="宋体" w:cs="宋体"/>
                <w:sz w:val="24"/>
                <w:szCs w:val="24"/>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pPr>
              <w:spacing w:line="560" w:lineRule="exact"/>
              <w:rPr>
                <w:rFonts w:ascii="宋体" w:hAnsi="宋体" w:cs="宋体"/>
                <w:sz w:val="24"/>
                <w:szCs w:val="24"/>
                <w:highlight w:val="yellow"/>
              </w:rPr>
            </w:pPr>
          </w:p>
        </w:tc>
        <w:tc>
          <w:tcPr>
            <w:tcW w:w="8796" w:type="dxa"/>
            <w:vAlign w:val="center"/>
          </w:tcPr>
          <w:p>
            <w:pPr>
              <w:spacing w:line="560" w:lineRule="exact"/>
              <w:rPr>
                <w:rFonts w:ascii="宋体" w:hAnsi="宋体" w:cs="宋体"/>
                <w:sz w:val="24"/>
                <w:szCs w:val="24"/>
                <w:highlight w:val="yellow"/>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pPr>
              <w:spacing w:line="560" w:lineRule="exact"/>
              <w:rPr>
                <w:rFonts w:ascii="宋体" w:hAnsi="宋体" w:cs="宋体"/>
                <w:sz w:val="24"/>
                <w:szCs w:val="24"/>
                <w:highlight w:val="yellow"/>
              </w:rPr>
            </w:pPr>
          </w:p>
        </w:tc>
        <w:tc>
          <w:tcPr>
            <w:tcW w:w="8796" w:type="dxa"/>
            <w:vAlign w:val="center"/>
          </w:tcPr>
          <w:p>
            <w:pPr>
              <w:spacing w:line="560" w:lineRule="exact"/>
              <w:rPr>
                <w:rFonts w:ascii="宋体" w:hAnsi="宋体" w:cs="宋体"/>
                <w:sz w:val="24"/>
                <w:szCs w:val="24"/>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pPr>
              <w:spacing w:line="560" w:lineRule="exact"/>
              <w:rPr>
                <w:rFonts w:ascii="宋体" w:hAnsi="宋体" w:cs="宋体"/>
                <w:sz w:val="24"/>
                <w:szCs w:val="24"/>
                <w:highlight w:val="yellow"/>
              </w:rPr>
            </w:pPr>
          </w:p>
        </w:tc>
        <w:tc>
          <w:tcPr>
            <w:tcW w:w="8796" w:type="dxa"/>
            <w:vAlign w:val="center"/>
          </w:tcPr>
          <w:p>
            <w:pPr>
              <w:spacing w:line="560" w:lineRule="exact"/>
              <w:rPr>
                <w:rFonts w:ascii="宋体" w:hAnsi="宋体" w:cs="宋体"/>
                <w:sz w:val="24"/>
                <w:szCs w:val="24"/>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left w:val="single" w:color="auto" w:sz="4" w:space="0"/>
            </w:tcBorders>
            <w:vAlign w:val="center"/>
          </w:tcPr>
          <w:p>
            <w:pPr>
              <w:spacing w:line="560" w:lineRule="exact"/>
              <w:rPr>
                <w:rFonts w:ascii="宋体" w:hAnsi="宋体" w:cs="宋体"/>
                <w:sz w:val="24"/>
                <w:szCs w:val="24"/>
                <w:highlight w:val="yellow"/>
              </w:rPr>
            </w:pPr>
          </w:p>
        </w:tc>
        <w:tc>
          <w:tcPr>
            <w:tcW w:w="8796" w:type="dxa"/>
            <w:vAlign w:val="center"/>
          </w:tcPr>
          <w:p>
            <w:pPr>
              <w:spacing w:line="560" w:lineRule="exact"/>
              <w:rPr>
                <w:rFonts w:ascii="宋体" w:hAnsi="宋体" w:cs="宋体"/>
                <w:sz w:val="24"/>
                <w:szCs w:val="24"/>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923"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cs="宋体"/>
                <w:sz w:val="24"/>
                <w:szCs w:val="24"/>
                <w:highlight w:val="yellow"/>
              </w:rPr>
            </w:pPr>
          </w:p>
        </w:tc>
        <w:tc>
          <w:tcPr>
            <w:tcW w:w="8796"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cs="宋体"/>
                <w:sz w:val="24"/>
                <w:szCs w:val="24"/>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9" w:hRule="atLeast"/>
        </w:trPr>
        <w:tc>
          <w:tcPr>
            <w:tcW w:w="923"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cs="宋体"/>
                <w:sz w:val="24"/>
                <w:szCs w:val="24"/>
                <w:highlight w:val="yellow"/>
              </w:rPr>
            </w:pPr>
          </w:p>
        </w:tc>
        <w:tc>
          <w:tcPr>
            <w:tcW w:w="8796"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cs="宋体"/>
                <w:sz w:val="24"/>
                <w:szCs w:val="24"/>
                <w:highlight w:val="yellow"/>
              </w:rPr>
            </w:pPr>
          </w:p>
        </w:tc>
      </w:tr>
    </w:tbl>
    <w:p>
      <w:pPr>
        <w:pStyle w:val="21"/>
        <w:spacing w:line="360" w:lineRule="auto"/>
        <w:rPr>
          <w:rFonts w:ascii="仿宋" w:hAnsi="仿宋" w:eastAsia="仿宋" w:cs="仿宋"/>
          <w:b/>
          <w:bCs/>
          <w:sz w:val="24"/>
          <w:szCs w:val="24"/>
          <w:highlight w:val="yellow"/>
        </w:rPr>
      </w:pPr>
    </w:p>
    <w:p>
      <w:pPr>
        <w:pStyle w:val="21"/>
        <w:spacing w:line="360" w:lineRule="auto"/>
        <w:ind w:firstLine="241" w:firstLineChars="100"/>
        <w:rPr>
          <w:rFonts w:ascii="仿宋" w:hAnsi="仿宋" w:eastAsia="仿宋" w:cs="仿宋"/>
          <w:b/>
          <w:bCs/>
          <w:sz w:val="24"/>
          <w:szCs w:val="24"/>
          <w:highlight w:val="yellow"/>
        </w:rPr>
      </w:pPr>
    </w:p>
    <w:p>
      <w:pPr>
        <w:pStyle w:val="21"/>
        <w:spacing w:line="360" w:lineRule="auto"/>
        <w:ind w:firstLine="241" w:firstLineChars="100"/>
        <w:rPr>
          <w:rFonts w:ascii="仿宋" w:hAnsi="仿宋" w:eastAsia="仿宋" w:cs="仿宋"/>
          <w:b/>
          <w:bCs/>
          <w:sz w:val="24"/>
          <w:szCs w:val="24"/>
        </w:rPr>
      </w:pPr>
      <w:r>
        <w:rPr>
          <w:rFonts w:hint="eastAsia" w:ascii="仿宋" w:hAnsi="仿宋" w:eastAsia="仿宋" w:cs="仿宋"/>
          <w:b/>
          <w:bCs/>
          <w:sz w:val="24"/>
          <w:szCs w:val="24"/>
        </w:rPr>
        <w:t>未尽事宜，在签订合同时具体约定。</w:t>
      </w:r>
    </w:p>
    <w:p>
      <w:pPr>
        <w:pStyle w:val="21"/>
        <w:spacing w:line="360" w:lineRule="auto"/>
        <w:ind w:firstLine="241" w:firstLineChars="100"/>
        <w:rPr>
          <w:rFonts w:ascii="仿宋" w:hAnsi="仿宋" w:eastAsia="仿宋" w:cs="仿宋"/>
          <w:b/>
          <w:bCs/>
          <w:sz w:val="24"/>
          <w:szCs w:val="24"/>
          <w:highlight w:val="yellow"/>
        </w:rPr>
      </w:pPr>
    </w:p>
    <w:p>
      <w:pPr>
        <w:pStyle w:val="21"/>
        <w:spacing w:line="360" w:lineRule="auto"/>
        <w:ind w:firstLine="241" w:firstLineChars="100"/>
        <w:rPr>
          <w:rFonts w:ascii="仿宋" w:hAnsi="仿宋" w:eastAsia="仿宋" w:cs="仿宋"/>
          <w:b/>
          <w:bCs/>
          <w:sz w:val="24"/>
          <w:szCs w:val="24"/>
          <w:highlight w:val="yellow"/>
        </w:rPr>
      </w:pPr>
    </w:p>
    <w:p>
      <w:pPr>
        <w:pStyle w:val="21"/>
        <w:spacing w:line="360" w:lineRule="auto"/>
        <w:ind w:firstLine="241" w:firstLineChars="100"/>
        <w:rPr>
          <w:rFonts w:ascii="仿宋" w:hAnsi="仿宋" w:eastAsia="仿宋" w:cs="仿宋"/>
          <w:b/>
          <w:bCs/>
          <w:sz w:val="24"/>
          <w:szCs w:val="24"/>
          <w:highlight w:val="yellow"/>
        </w:rPr>
      </w:pPr>
    </w:p>
    <w:p>
      <w:pPr>
        <w:pStyle w:val="21"/>
        <w:spacing w:line="360" w:lineRule="auto"/>
        <w:rPr>
          <w:rFonts w:ascii="仿宋" w:hAnsi="仿宋" w:eastAsia="仿宋" w:cs="仿宋"/>
          <w:b/>
          <w:bCs/>
          <w:sz w:val="24"/>
          <w:szCs w:val="24"/>
          <w:highlight w:val="yellow"/>
        </w:rPr>
      </w:pPr>
    </w:p>
    <w:p>
      <w:pPr>
        <w:pStyle w:val="21"/>
        <w:spacing w:line="360" w:lineRule="auto"/>
        <w:rPr>
          <w:rFonts w:ascii="仿宋" w:hAnsi="仿宋" w:eastAsia="仿宋" w:cs="仿宋"/>
          <w:b/>
          <w:bCs/>
          <w:sz w:val="24"/>
          <w:szCs w:val="24"/>
          <w:highlight w:val="yellow"/>
        </w:rPr>
      </w:pPr>
    </w:p>
    <w:p>
      <w:pPr>
        <w:pStyle w:val="27"/>
        <w:numPr>
          <w:ilvl w:val="0"/>
          <w:numId w:val="57"/>
        </w:numPr>
        <w:ind w:firstLine="883"/>
        <w:rPr>
          <w:rFonts w:ascii="仿宋" w:hAnsi="仿宋" w:eastAsia="仿宋" w:cs="仿宋"/>
          <w:sz w:val="32"/>
          <w:szCs w:val="32"/>
        </w:rPr>
      </w:pPr>
      <w:bookmarkStart w:id="493" w:name="_Toc6497"/>
      <w:r>
        <w:rPr>
          <w:rFonts w:hint="eastAsia" w:ascii="仿宋" w:hAnsi="仿宋" w:eastAsia="仿宋" w:cs="仿宋"/>
          <w:sz w:val="32"/>
          <w:szCs w:val="32"/>
        </w:rPr>
        <w:t>采购需求</w:t>
      </w:r>
      <w:bookmarkEnd w:id="493"/>
    </w:p>
    <w:p>
      <w:pPr>
        <w:rPr>
          <w:rFonts w:asciiTheme="minorEastAsia" w:hAnsiTheme="minorEastAsia" w:eastAsiaTheme="minorEastAsia"/>
          <w:b/>
          <w:bCs/>
          <w:sz w:val="24"/>
          <w:szCs w:val="24"/>
        </w:rPr>
      </w:pPr>
      <w:r>
        <w:rPr>
          <w:rFonts w:hint="eastAsia"/>
          <w:b/>
          <w:bCs/>
        </w:rPr>
        <w:t>标项一</w:t>
      </w:r>
      <w:r>
        <w:rPr>
          <w:rFonts w:hint="eastAsia" w:asciiTheme="minorEastAsia" w:hAnsiTheme="minorEastAsia" w:eastAsiaTheme="minorEastAsia"/>
          <w:b/>
          <w:bCs/>
          <w:sz w:val="24"/>
          <w:szCs w:val="24"/>
        </w:rPr>
        <w:t>：</w:t>
      </w:r>
      <w:r>
        <w:rPr>
          <w:rFonts w:hint="eastAsia" w:cs="宋体" w:asciiTheme="minorEastAsia" w:hAnsiTheme="minorEastAsia" w:eastAsiaTheme="minorEastAsia"/>
          <w:kern w:val="0"/>
          <w:sz w:val="24"/>
          <w:szCs w:val="24"/>
        </w:rPr>
        <w:t>医用分子筛中心制氧系统维保服务项目</w:t>
      </w:r>
    </w:p>
    <w:p>
      <w:pPr>
        <w:rPr>
          <w:rFonts w:ascii="宋体" w:hAnsi="宋体" w:cs="宋体"/>
          <w:b/>
          <w:bCs/>
          <w:sz w:val="24"/>
          <w:szCs w:val="24"/>
        </w:rPr>
      </w:pPr>
      <w:r>
        <w:rPr>
          <w:rFonts w:hint="eastAsia" w:ascii="宋体" w:hAnsi="宋体" w:cs="宋体"/>
          <w:b/>
          <w:bCs/>
          <w:sz w:val="24"/>
          <w:szCs w:val="24"/>
        </w:rPr>
        <w:t>一、设备运行维护保养内容</w:t>
      </w:r>
    </w:p>
    <w:tbl>
      <w:tblPr>
        <w:tblStyle w:val="74"/>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58"/>
        <w:gridCol w:w="2906"/>
        <w:gridCol w:w="3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997" w:type="pct"/>
            <w:vMerge w:val="restart"/>
            <w:tcBorders>
              <w:bottom w:val="single" w:color="000000" w:sz="6" w:space="0"/>
            </w:tcBorders>
            <w:vAlign w:val="center"/>
          </w:tcPr>
          <w:p>
            <w:pPr>
              <w:pStyle w:val="73"/>
              <w:autoSpaceDE w:val="0"/>
              <w:autoSpaceDN w:val="0"/>
              <w:spacing w:line="360" w:lineRule="auto"/>
              <w:ind w:right="105" w:rightChars="50"/>
              <w:jc w:val="center"/>
              <w:rPr>
                <w:rFonts w:ascii="宋体" w:hAnsi="宋体" w:cs="宋体"/>
                <w:sz w:val="24"/>
                <w:szCs w:val="24"/>
                <w:lang w:eastAsia="en-US"/>
              </w:rPr>
            </w:pPr>
            <w:r>
              <w:rPr>
                <w:rFonts w:hint="eastAsia" w:ascii="宋体" w:hAnsi="宋体" w:cs="宋体"/>
                <w:sz w:val="24"/>
                <w:szCs w:val="24"/>
                <w:lang w:eastAsia="en-US"/>
              </w:rPr>
              <w:t>空压机巡检</w:t>
            </w:r>
          </w:p>
        </w:tc>
        <w:tc>
          <w:tcPr>
            <w:tcW w:w="1747" w:type="pct"/>
            <w:vMerge w:val="restart"/>
            <w:tcBorders>
              <w:bottom w:val="single" w:color="000000" w:sz="6" w:space="0"/>
            </w:tcBorders>
            <w:vAlign w:val="center"/>
          </w:tcPr>
          <w:p>
            <w:pPr>
              <w:pStyle w:val="73"/>
              <w:autoSpaceDE w:val="0"/>
              <w:autoSpaceDN w:val="0"/>
              <w:spacing w:before="1" w:line="360" w:lineRule="auto"/>
              <w:ind w:right="105" w:rightChars="50"/>
              <w:jc w:val="center"/>
              <w:rPr>
                <w:rFonts w:ascii="宋体" w:hAnsi="宋体" w:cs="宋体"/>
                <w:sz w:val="24"/>
                <w:szCs w:val="24"/>
                <w:lang w:eastAsia="en-US"/>
              </w:rPr>
            </w:pPr>
            <w:r>
              <w:rPr>
                <w:rFonts w:hint="eastAsia" w:ascii="宋体" w:hAnsi="宋体" w:cs="宋体"/>
                <w:sz w:val="24"/>
                <w:szCs w:val="24"/>
                <w:lang w:eastAsia="en-US"/>
              </w:rPr>
              <w:t>正常启停</w:t>
            </w:r>
          </w:p>
        </w:tc>
        <w:tc>
          <w:tcPr>
            <w:tcW w:w="2254" w:type="pct"/>
            <w:tcBorders>
              <w:bottom w:val="single" w:color="000000" w:sz="6" w:space="0"/>
            </w:tcBorders>
            <w:vAlign w:val="center"/>
          </w:tcPr>
          <w:p>
            <w:pPr>
              <w:pStyle w:val="73"/>
              <w:autoSpaceDE w:val="0"/>
              <w:autoSpaceDN w:val="0"/>
              <w:spacing w:before="129" w:line="360" w:lineRule="auto"/>
              <w:ind w:left="105" w:leftChars="50" w:right="105" w:rightChars="50" w:firstLine="360" w:firstLineChars="150"/>
              <w:jc w:val="center"/>
              <w:rPr>
                <w:rFonts w:ascii="宋体" w:hAnsi="宋体" w:cs="宋体"/>
                <w:sz w:val="24"/>
                <w:szCs w:val="24"/>
                <w:lang w:eastAsia="zh-CN"/>
              </w:rPr>
            </w:pPr>
            <w:r>
              <w:rPr>
                <w:rFonts w:hint="eastAsia" w:ascii="宋体" w:hAnsi="宋体" w:cs="宋体"/>
                <w:sz w:val="24"/>
                <w:szCs w:val="24"/>
                <w:lang w:eastAsia="zh-CN"/>
              </w:rPr>
              <w:t>启动前，检查油位，油位过低加润滑油；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99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zh-CN"/>
              </w:rPr>
            </w:pPr>
          </w:p>
        </w:tc>
        <w:tc>
          <w:tcPr>
            <w:tcW w:w="174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zh-CN"/>
              </w:rPr>
            </w:pPr>
          </w:p>
        </w:tc>
        <w:tc>
          <w:tcPr>
            <w:tcW w:w="2254" w:type="pct"/>
            <w:tcBorders>
              <w:top w:val="single" w:color="000000" w:sz="6" w:space="0"/>
              <w:bottom w:val="single" w:color="000000" w:sz="6" w:space="0"/>
            </w:tcBorders>
            <w:vAlign w:val="center"/>
          </w:tcPr>
          <w:p>
            <w:pPr>
              <w:pStyle w:val="73"/>
              <w:autoSpaceDE w:val="0"/>
              <w:autoSpaceDN w:val="0"/>
              <w:spacing w:before="125" w:line="360" w:lineRule="auto"/>
              <w:ind w:left="105" w:leftChars="50" w:right="105" w:rightChars="50" w:firstLine="360" w:firstLineChars="150"/>
              <w:jc w:val="center"/>
              <w:rPr>
                <w:rFonts w:ascii="宋体" w:hAnsi="宋体" w:cs="宋体"/>
                <w:sz w:val="24"/>
                <w:szCs w:val="24"/>
                <w:lang w:eastAsia="zh-CN"/>
              </w:rPr>
            </w:pPr>
            <w:r>
              <w:rPr>
                <w:rFonts w:hint="eastAsia" w:ascii="宋体" w:hAnsi="宋体" w:cs="宋体"/>
                <w:sz w:val="24"/>
                <w:szCs w:val="24"/>
                <w:lang w:eastAsia="zh-CN"/>
              </w:rPr>
              <w:t>启动后，检查各显示值是否正常；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99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zh-CN"/>
              </w:rPr>
            </w:pPr>
          </w:p>
        </w:tc>
        <w:tc>
          <w:tcPr>
            <w:tcW w:w="174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zh-CN"/>
              </w:rPr>
            </w:pPr>
          </w:p>
        </w:tc>
        <w:tc>
          <w:tcPr>
            <w:tcW w:w="2254" w:type="pct"/>
            <w:tcBorders>
              <w:top w:val="single" w:color="000000" w:sz="6" w:space="0"/>
              <w:bottom w:val="single" w:color="000000" w:sz="6" w:space="0"/>
            </w:tcBorders>
            <w:vAlign w:val="center"/>
          </w:tcPr>
          <w:p>
            <w:pPr>
              <w:pStyle w:val="73"/>
              <w:autoSpaceDE w:val="0"/>
              <w:autoSpaceDN w:val="0"/>
              <w:spacing w:before="128" w:line="360" w:lineRule="auto"/>
              <w:ind w:left="105" w:leftChars="50" w:right="105" w:rightChars="50" w:firstLine="360" w:firstLineChars="150"/>
              <w:jc w:val="center"/>
              <w:rPr>
                <w:rFonts w:ascii="宋体" w:hAnsi="宋体" w:cs="宋体"/>
                <w:sz w:val="24"/>
                <w:szCs w:val="24"/>
                <w:lang w:eastAsia="zh-CN"/>
              </w:rPr>
            </w:pPr>
            <w:r>
              <w:rPr>
                <w:rFonts w:hint="eastAsia" w:ascii="宋体" w:hAnsi="宋体" w:cs="宋体"/>
                <w:sz w:val="24"/>
                <w:szCs w:val="24"/>
                <w:lang w:eastAsia="zh-CN"/>
              </w:rPr>
              <w:t>升温后，检查各系统工作情况，有无泄漏，噪音等现象。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997" w:type="pct"/>
            <w:vMerge w:val="restart"/>
            <w:tcBorders>
              <w:top w:val="single" w:color="000000" w:sz="6" w:space="0"/>
              <w:bottom w:val="single" w:color="000000" w:sz="6" w:space="0"/>
            </w:tcBorders>
            <w:vAlign w:val="center"/>
          </w:tcPr>
          <w:p>
            <w:pPr>
              <w:pStyle w:val="73"/>
              <w:autoSpaceDE w:val="0"/>
              <w:autoSpaceDN w:val="0"/>
              <w:spacing w:before="189" w:line="360" w:lineRule="auto"/>
              <w:ind w:right="105" w:rightChars="50"/>
              <w:jc w:val="center"/>
              <w:rPr>
                <w:rFonts w:ascii="宋体" w:hAnsi="宋体" w:cs="宋体"/>
                <w:sz w:val="24"/>
                <w:szCs w:val="24"/>
                <w:highlight w:val="yellow"/>
                <w:lang w:eastAsia="zh-CN"/>
              </w:rPr>
            </w:pPr>
          </w:p>
          <w:p>
            <w:pPr>
              <w:pStyle w:val="73"/>
              <w:autoSpaceDE w:val="0"/>
              <w:autoSpaceDN w:val="0"/>
              <w:spacing w:before="189" w:line="360" w:lineRule="auto"/>
              <w:ind w:right="105" w:rightChars="50"/>
              <w:jc w:val="center"/>
              <w:rPr>
                <w:rFonts w:ascii="宋体" w:hAnsi="宋体" w:cs="宋体"/>
                <w:sz w:val="24"/>
                <w:szCs w:val="24"/>
                <w:highlight w:val="yellow"/>
                <w:lang w:eastAsia="zh-CN"/>
              </w:rPr>
            </w:pPr>
            <w:r>
              <w:rPr>
                <w:rFonts w:hint="eastAsia" w:ascii="宋体" w:hAnsi="宋体" w:cs="宋体"/>
                <w:sz w:val="24"/>
                <w:szCs w:val="24"/>
                <w:lang w:eastAsia="zh-CN"/>
              </w:rPr>
              <w:t>定期检查根据现场情况而定</w:t>
            </w:r>
          </w:p>
        </w:tc>
        <w:tc>
          <w:tcPr>
            <w:tcW w:w="1747" w:type="pct"/>
            <w:tcBorders>
              <w:top w:val="single" w:color="000000" w:sz="6" w:space="0"/>
              <w:bottom w:val="single" w:color="000000" w:sz="6" w:space="0"/>
            </w:tcBorders>
            <w:vAlign w:val="center"/>
          </w:tcPr>
          <w:p>
            <w:pPr>
              <w:pStyle w:val="73"/>
              <w:autoSpaceDE w:val="0"/>
              <w:autoSpaceDN w:val="0"/>
              <w:spacing w:line="360" w:lineRule="auto"/>
              <w:ind w:right="105" w:rightChars="50"/>
              <w:jc w:val="center"/>
              <w:rPr>
                <w:rFonts w:ascii="宋体" w:hAnsi="宋体" w:cs="宋体"/>
                <w:sz w:val="24"/>
                <w:szCs w:val="24"/>
                <w:highlight w:val="yellow"/>
                <w:lang w:eastAsia="en-US"/>
              </w:rPr>
            </w:pPr>
            <w:r>
              <w:rPr>
                <w:rFonts w:hint="eastAsia" w:ascii="宋体" w:hAnsi="宋体" w:cs="宋体"/>
                <w:spacing w:val="-24"/>
                <w:sz w:val="24"/>
                <w:szCs w:val="24"/>
                <w:lang w:eastAsia="en-US"/>
              </w:rPr>
              <w:t xml:space="preserve">运行 </w:t>
            </w:r>
            <w:r>
              <w:rPr>
                <w:rFonts w:hint="eastAsia" w:ascii="宋体" w:hAnsi="宋体" w:cs="宋体"/>
                <w:sz w:val="24"/>
                <w:szCs w:val="24"/>
                <w:lang w:eastAsia="en-US"/>
              </w:rPr>
              <w:t>500</w:t>
            </w:r>
            <w:r>
              <w:rPr>
                <w:rFonts w:hint="eastAsia" w:ascii="宋体" w:hAnsi="宋体" w:cs="宋体"/>
                <w:spacing w:val="-11"/>
                <w:sz w:val="24"/>
                <w:szCs w:val="24"/>
                <w:lang w:eastAsia="en-US"/>
              </w:rPr>
              <w:t xml:space="preserve"> 小时首次的维护</w:t>
            </w:r>
          </w:p>
        </w:tc>
        <w:tc>
          <w:tcPr>
            <w:tcW w:w="2254" w:type="pct"/>
            <w:tcBorders>
              <w:top w:val="single" w:color="000000" w:sz="6" w:space="0"/>
              <w:bottom w:val="single" w:color="000000" w:sz="6" w:space="0"/>
            </w:tcBorders>
            <w:vAlign w:val="center"/>
          </w:tcPr>
          <w:p>
            <w:pPr>
              <w:pStyle w:val="73"/>
              <w:autoSpaceDE w:val="0"/>
              <w:autoSpaceDN w:val="0"/>
              <w:spacing w:before="128" w:line="360" w:lineRule="auto"/>
              <w:ind w:left="105" w:leftChars="50" w:right="105" w:rightChars="50" w:firstLine="360" w:firstLineChars="150"/>
              <w:jc w:val="center"/>
              <w:rPr>
                <w:rFonts w:ascii="宋体" w:hAnsi="宋体" w:cs="宋体"/>
                <w:sz w:val="24"/>
                <w:szCs w:val="24"/>
                <w:lang w:eastAsia="zh-CN"/>
              </w:rPr>
            </w:pPr>
            <w:r>
              <w:rPr>
                <w:rFonts w:hint="eastAsia" w:ascii="宋体" w:hAnsi="宋体" w:cs="宋体"/>
                <w:sz w:val="24"/>
                <w:szCs w:val="24"/>
                <w:lang w:eastAsia="zh-CN"/>
              </w:rPr>
              <w:t>更换油过滤器滤芯、机油；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9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zh-CN"/>
              </w:rPr>
            </w:pPr>
          </w:p>
        </w:tc>
        <w:tc>
          <w:tcPr>
            <w:tcW w:w="1747" w:type="pct"/>
            <w:vMerge w:val="restart"/>
            <w:tcBorders>
              <w:top w:val="single" w:color="000000" w:sz="6" w:space="0"/>
              <w:bottom w:val="single" w:color="000000" w:sz="6" w:space="0"/>
            </w:tcBorders>
            <w:vAlign w:val="center"/>
          </w:tcPr>
          <w:p>
            <w:pPr>
              <w:pStyle w:val="73"/>
              <w:autoSpaceDE w:val="0"/>
              <w:autoSpaceDN w:val="0"/>
              <w:spacing w:line="360" w:lineRule="auto"/>
              <w:ind w:right="105" w:rightChars="50"/>
              <w:jc w:val="center"/>
              <w:rPr>
                <w:rFonts w:ascii="宋体" w:hAnsi="宋体" w:cs="宋体"/>
                <w:sz w:val="24"/>
                <w:szCs w:val="24"/>
                <w:highlight w:val="yellow"/>
                <w:lang w:eastAsia="en-US"/>
              </w:rPr>
            </w:pPr>
            <w:r>
              <w:rPr>
                <w:rFonts w:hint="eastAsia" w:ascii="宋体" w:hAnsi="宋体" w:cs="宋体"/>
                <w:sz w:val="24"/>
                <w:szCs w:val="24"/>
                <w:lang w:eastAsia="en-US"/>
              </w:rPr>
              <w:t>运行 2000 小时后的维护</w:t>
            </w:r>
          </w:p>
        </w:tc>
        <w:tc>
          <w:tcPr>
            <w:tcW w:w="2254" w:type="pct"/>
            <w:tcBorders>
              <w:top w:val="single" w:color="000000" w:sz="6" w:space="0"/>
              <w:bottom w:val="single" w:color="000000" w:sz="6" w:space="0"/>
            </w:tcBorders>
            <w:vAlign w:val="center"/>
          </w:tcPr>
          <w:p>
            <w:pPr>
              <w:pStyle w:val="73"/>
              <w:autoSpaceDE w:val="0"/>
              <w:autoSpaceDN w:val="0"/>
              <w:spacing w:before="130" w:line="360" w:lineRule="auto"/>
              <w:ind w:left="105" w:leftChars="50" w:right="105" w:rightChars="50" w:firstLine="360" w:firstLineChars="150"/>
              <w:jc w:val="center"/>
              <w:rPr>
                <w:rFonts w:ascii="宋体" w:hAnsi="宋体" w:cs="宋体"/>
                <w:sz w:val="24"/>
                <w:szCs w:val="24"/>
                <w:lang w:eastAsia="en-US"/>
              </w:rPr>
            </w:pPr>
            <w:r>
              <w:rPr>
                <w:rFonts w:hint="eastAsia" w:ascii="宋体" w:hAnsi="宋体" w:cs="宋体"/>
                <w:sz w:val="24"/>
                <w:szCs w:val="24"/>
                <w:lang w:eastAsia="en-US"/>
              </w:rPr>
              <w:t>更换油过滤器滤芯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99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en-US"/>
              </w:rPr>
            </w:pPr>
          </w:p>
        </w:tc>
        <w:tc>
          <w:tcPr>
            <w:tcW w:w="174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en-US"/>
              </w:rPr>
            </w:pPr>
          </w:p>
        </w:tc>
        <w:tc>
          <w:tcPr>
            <w:tcW w:w="2254" w:type="pct"/>
            <w:tcBorders>
              <w:top w:val="single" w:color="000000" w:sz="6" w:space="0"/>
              <w:bottom w:val="single" w:color="000000" w:sz="6" w:space="0"/>
            </w:tcBorders>
            <w:vAlign w:val="center"/>
          </w:tcPr>
          <w:p>
            <w:pPr>
              <w:pStyle w:val="73"/>
              <w:autoSpaceDE w:val="0"/>
              <w:autoSpaceDN w:val="0"/>
              <w:spacing w:before="130" w:line="360" w:lineRule="auto"/>
              <w:ind w:left="105" w:leftChars="50" w:right="105" w:rightChars="50" w:firstLine="360" w:firstLineChars="150"/>
              <w:jc w:val="center"/>
              <w:rPr>
                <w:rFonts w:ascii="宋体" w:hAnsi="宋体" w:cs="宋体"/>
                <w:sz w:val="24"/>
                <w:szCs w:val="24"/>
                <w:lang w:eastAsia="en-US"/>
              </w:rPr>
            </w:pPr>
            <w:r>
              <w:rPr>
                <w:rFonts w:hint="eastAsia" w:ascii="宋体" w:hAnsi="宋体" w:cs="宋体"/>
                <w:sz w:val="24"/>
                <w:szCs w:val="24"/>
                <w:lang w:eastAsia="en-US"/>
              </w:rPr>
              <w:t>更换空气过滤器滤芯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9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en-US"/>
              </w:rPr>
            </w:pPr>
          </w:p>
        </w:tc>
        <w:tc>
          <w:tcPr>
            <w:tcW w:w="174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en-US"/>
              </w:rPr>
            </w:pPr>
          </w:p>
        </w:tc>
        <w:tc>
          <w:tcPr>
            <w:tcW w:w="2254" w:type="pct"/>
            <w:tcBorders>
              <w:top w:val="single" w:color="000000" w:sz="6" w:space="0"/>
              <w:bottom w:val="single" w:color="000000" w:sz="6" w:space="0"/>
            </w:tcBorders>
            <w:vAlign w:val="center"/>
          </w:tcPr>
          <w:p>
            <w:pPr>
              <w:pStyle w:val="73"/>
              <w:autoSpaceDE w:val="0"/>
              <w:autoSpaceDN w:val="0"/>
              <w:spacing w:before="133" w:line="360" w:lineRule="auto"/>
              <w:ind w:left="105" w:leftChars="50" w:right="105" w:rightChars="50" w:firstLine="360" w:firstLineChars="150"/>
              <w:jc w:val="center"/>
              <w:rPr>
                <w:rFonts w:ascii="宋体" w:hAnsi="宋体" w:cs="宋体"/>
                <w:sz w:val="24"/>
                <w:szCs w:val="24"/>
                <w:lang w:eastAsia="zh-CN"/>
              </w:rPr>
            </w:pPr>
            <w:r>
              <w:rPr>
                <w:rFonts w:hint="eastAsia" w:ascii="宋体" w:hAnsi="宋体" w:cs="宋体"/>
                <w:sz w:val="24"/>
                <w:szCs w:val="24"/>
                <w:lang w:eastAsia="zh-CN"/>
              </w:rPr>
              <w:t>冷却器吹尘清洁，具体视环境而定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99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zh-CN"/>
              </w:rPr>
            </w:pPr>
          </w:p>
        </w:tc>
        <w:tc>
          <w:tcPr>
            <w:tcW w:w="174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zh-CN"/>
              </w:rPr>
            </w:pPr>
          </w:p>
        </w:tc>
        <w:tc>
          <w:tcPr>
            <w:tcW w:w="2254" w:type="pct"/>
            <w:tcBorders>
              <w:top w:val="single" w:color="000000" w:sz="6" w:space="0"/>
              <w:bottom w:val="single" w:color="000000" w:sz="6" w:space="0"/>
            </w:tcBorders>
            <w:vAlign w:val="center"/>
          </w:tcPr>
          <w:p>
            <w:pPr>
              <w:pStyle w:val="73"/>
              <w:autoSpaceDE w:val="0"/>
              <w:autoSpaceDN w:val="0"/>
              <w:spacing w:before="130" w:line="360" w:lineRule="auto"/>
              <w:ind w:left="105" w:leftChars="50" w:right="105" w:rightChars="50" w:firstLine="360" w:firstLineChars="150"/>
              <w:jc w:val="center"/>
              <w:rPr>
                <w:rFonts w:ascii="宋体" w:hAnsi="宋体" w:cs="宋体"/>
                <w:sz w:val="24"/>
                <w:szCs w:val="24"/>
                <w:lang w:eastAsia="zh-CN"/>
              </w:rPr>
            </w:pPr>
            <w:r>
              <w:rPr>
                <w:rFonts w:hint="eastAsia" w:ascii="宋体" w:hAnsi="宋体" w:cs="宋体"/>
                <w:sz w:val="24"/>
                <w:szCs w:val="24"/>
                <w:lang w:eastAsia="zh-CN"/>
              </w:rPr>
              <w:t>清洗油气分离芯后的回油过滤器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7" w:hRule="atLeast"/>
        </w:trPr>
        <w:tc>
          <w:tcPr>
            <w:tcW w:w="99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zh-CN"/>
              </w:rPr>
            </w:pPr>
          </w:p>
        </w:tc>
        <w:tc>
          <w:tcPr>
            <w:tcW w:w="174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zh-CN"/>
              </w:rPr>
            </w:pPr>
          </w:p>
        </w:tc>
        <w:tc>
          <w:tcPr>
            <w:tcW w:w="2254" w:type="pct"/>
            <w:tcBorders>
              <w:top w:val="single" w:color="000000" w:sz="6" w:space="0"/>
              <w:bottom w:val="single" w:color="000000" w:sz="6" w:space="0"/>
            </w:tcBorders>
            <w:vAlign w:val="center"/>
          </w:tcPr>
          <w:p>
            <w:pPr>
              <w:pStyle w:val="73"/>
              <w:autoSpaceDE w:val="0"/>
              <w:autoSpaceDN w:val="0"/>
              <w:spacing w:before="202" w:line="360" w:lineRule="auto"/>
              <w:ind w:left="105" w:leftChars="50" w:right="105" w:rightChars="50" w:firstLine="354" w:firstLineChars="150"/>
              <w:jc w:val="center"/>
              <w:rPr>
                <w:rFonts w:ascii="宋体" w:hAnsi="宋体" w:cs="宋体"/>
                <w:sz w:val="24"/>
                <w:szCs w:val="24"/>
                <w:lang w:eastAsia="zh-CN"/>
              </w:rPr>
            </w:pPr>
            <w:r>
              <w:rPr>
                <w:rFonts w:hint="eastAsia" w:ascii="宋体" w:hAnsi="宋体" w:cs="宋体"/>
                <w:spacing w:val="-2"/>
                <w:sz w:val="24"/>
                <w:szCs w:val="24"/>
                <w:lang w:eastAsia="zh-CN"/>
              </w:rPr>
              <w:t>检查油位，如果满载运行时从视油镜中观</w:t>
            </w:r>
            <w:r>
              <w:rPr>
                <w:rFonts w:hint="eastAsia" w:ascii="宋体" w:hAnsi="宋体" w:cs="宋体"/>
                <w:sz w:val="24"/>
                <w:szCs w:val="24"/>
                <w:lang w:eastAsia="zh-CN"/>
              </w:rPr>
              <w:t>察到油位低于视油镜视为不正常需要加 油，加油直至与油位口平齐。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997" w:type="pct"/>
            <w:vMerge w:val="restart"/>
            <w:tcBorders>
              <w:top w:val="single" w:color="000000" w:sz="6" w:space="0"/>
              <w:bottom w:val="single" w:color="000000" w:sz="6" w:space="0"/>
            </w:tcBorders>
            <w:vAlign w:val="center"/>
          </w:tcPr>
          <w:p>
            <w:pPr>
              <w:pStyle w:val="73"/>
              <w:autoSpaceDE w:val="0"/>
              <w:autoSpaceDN w:val="0"/>
              <w:spacing w:line="360" w:lineRule="auto"/>
              <w:ind w:right="105" w:rightChars="50"/>
              <w:jc w:val="center"/>
              <w:rPr>
                <w:rFonts w:ascii="宋体" w:hAnsi="宋体" w:cs="宋体"/>
                <w:sz w:val="24"/>
                <w:szCs w:val="24"/>
                <w:highlight w:val="yellow"/>
                <w:lang w:eastAsia="en-US"/>
              </w:rPr>
            </w:pPr>
            <w:r>
              <w:rPr>
                <w:rFonts w:hint="eastAsia" w:ascii="宋体" w:hAnsi="宋体" w:cs="宋体"/>
                <w:sz w:val="24"/>
                <w:szCs w:val="24"/>
                <w:lang w:eastAsia="en-US"/>
              </w:rPr>
              <w:t>定期检查进行更换</w:t>
            </w:r>
          </w:p>
        </w:tc>
        <w:tc>
          <w:tcPr>
            <w:tcW w:w="1747" w:type="pct"/>
            <w:vMerge w:val="restart"/>
            <w:tcBorders>
              <w:top w:val="single" w:color="000000" w:sz="6" w:space="0"/>
              <w:bottom w:val="single" w:color="000000" w:sz="6" w:space="0"/>
            </w:tcBorders>
            <w:vAlign w:val="center"/>
          </w:tcPr>
          <w:p>
            <w:pPr>
              <w:pStyle w:val="73"/>
              <w:autoSpaceDE w:val="0"/>
              <w:autoSpaceDN w:val="0"/>
              <w:spacing w:line="360" w:lineRule="auto"/>
              <w:ind w:right="105" w:rightChars="50"/>
              <w:jc w:val="center"/>
              <w:rPr>
                <w:rFonts w:ascii="宋体" w:hAnsi="宋体" w:cs="宋体"/>
                <w:sz w:val="24"/>
                <w:szCs w:val="24"/>
                <w:highlight w:val="yellow"/>
                <w:lang w:eastAsia="en-US"/>
              </w:rPr>
            </w:pPr>
            <w:r>
              <w:rPr>
                <w:rFonts w:hint="eastAsia" w:ascii="宋体" w:hAnsi="宋体" w:cs="宋体"/>
                <w:sz w:val="24"/>
                <w:szCs w:val="24"/>
                <w:lang w:eastAsia="en-US"/>
              </w:rPr>
              <w:t>运行 4000 小时后的维护</w:t>
            </w:r>
          </w:p>
        </w:tc>
        <w:tc>
          <w:tcPr>
            <w:tcW w:w="2254" w:type="pct"/>
            <w:tcBorders>
              <w:top w:val="single" w:color="000000" w:sz="6" w:space="0"/>
              <w:bottom w:val="single" w:color="000000" w:sz="6" w:space="0"/>
            </w:tcBorders>
            <w:vAlign w:val="center"/>
          </w:tcPr>
          <w:p>
            <w:pPr>
              <w:pStyle w:val="73"/>
              <w:autoSpaceDE w:val="0"/>
              <w:autoSpaceDN w:val="0"/>
              <w:spacing w:before="130" w:line="360" w:lineRule="auto"/>
              <w:ind w:left="105" w:leftChars="50" w:right="105" w:rightChars="50" w:firstLine="360" w:firstLineChars="150"/>
              <w:jc w:val="center"/>
              <w:rPr>
                <w:rFonts w:ascii="宋体" w:hAnsi="宋体" w:cs="宋体"/>
                <w:sz w:val="24"/>
                <w:szCs w:val="24"/>
                <w:highlight w:val="yellow"/>
                <w:lang w:eastAsia="zh-CN"/>
              </w:rPr>
            </w:pPr>
            <w:r>
              <w:rPr>
                <w:rFonts w:hint="eastAsia" w:ascii="宋体" w:hAnsi="宋体" w:cs="宋体"/>
                <w:sz w:val="24"/>
                <w:szCs w:val="24"/>
                <w:lang w:eastAsia="zh-CN"/>
              </w:rPr>
              <w:t>更换空气滤清器滤芯和油过滤器滤芯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9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zh-CN"/>
              </w:rPr>
            </w:pPr>
          </w:p>
        </w:tc>
        <w:tc>
          <w:tcPr>
            <w:tcW w:w="174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zh-CN"/>
              </w:rPr>
            </w:pPr>
          </w:p>
        </w:tc>
        <w:tc>
          <w:tcPr>
            <w:tcW w:w="2254" w:type="pct"/>
            <w:tcBorders>
              <w:top w:val="single" w:color="000000" w:sz="6" w:space="0"/>
              <w:bottom w:val="single" w:color="000000" w:sz="6" w:space="0"/>
            </w:tcBorders>
            <w:vAlign w:val="center"/>
          </w:tcPr>
          <w:p>
            <w:pPr>
              <w:pStyle w:val="73"/>
              <w:autoSpaceDE w:val="0"/>
              <w:autoSpaceDN w:val="0"/>
              <w:spacing w:before="133" w:line="360" w:lineRule="auto"/>
              <w:ind w:left="105" w:leftChars="50" w:right="105" w:rightChars="50" w:firstLine="360" w:firstLineChars="150"/>
              <w:jc w:val="center"/>
              <w:rPr>
                <w:rFonts w:ascii="宋体" w:hAnsi="宋体" w:cs="宋体"/>
                <w:sz w:val="24"/>
                <w:szCs w:val="24"/>
                <w:lang w:eastAsia="zh-CN"/>
              </w:rPr>
            </w:pPr>
            <w:r>
              <w:rPr>
                <w:rFonts w:hint="eastAsia" w:ascii="宋体" w:hAnsi="宋体" w:cs="宋体"/>
                <w:sz w:val="24"/>
                <w:szCs w:val="24"/>
                <w:lang w:eastAsia="zh-CN"/>
              </w:rPr>
              <w:t>更换油气分离器、空压机机油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99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zh-CN"/>
              </w:rPr>
            </w:pPr>
          </w:p>
        </w:tc>
        <w:tc>
          <w:tcPr>
            <w:tcW w:w="174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zh-CN"/>
              </w:rPr>
            </w:pPr>
          </w:p>
        </w:tc>
        <w:tc>
          <w:tcPr>
            <w:tcW w:w="2254" w:type="pct"/>
            <w:tcBorders>
              <w:top w:val="single" w:color="000000" w:sz="6" w:space="0"/>
              <w:bottom w:val="single" w:color="000000" w:sz="6" w:space="0"/>
            </w:tcBorders>
            <w:vAlign w:val="center"/>
          </w:tcPr>
          <w:p>
            <w:pPr>
              <w:pStyle w:val="73"/>
              <w:autoSpaceDE w:val="0"/>
              <w:autoSpaceDN w:val="0"/>
              <w:spacing w:before="130" w:line="360" w:lineRule="auto"/>
              <w:ind w:left="105" w:leftChars="50" w:right="105" w:rightChars="50" w:firstLine="360" w:firstLineChars="150"/>
              <w:jc w:val="center"/>
              <w:rPr>
                <w:rFonts w:ascii="宋体" w:hAnsi="宋体" w:cs="宋体"/>
                <w:sz w:val="24"/>
                <w:szCs w:val="24"/>
                <w:lang w:eastAsia="en-US"/>
              </w:rPr>
            </w:pPr>
            <w:r>
              <w:rPr>
                <w:rFonts w:hint="eastAsia" w:ascii="宋体" w:hAnsi="宋体" w:cs="宋体"/>
                <w:sz w:val="24"/>
                <w:szCs w:val="24"/>
                <w:lang w:eastAsia="en-US"/>
              </w:rPr>
              <w:t>检查电机轴承的润滑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9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en-US"/>
              </w:rPr>
            </w:pPr>
          </w:p>
        </w:tc>
        <w:tc>
          <w:tcPr>
            <w:tcW w:w="174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en-US"/>
              </w:rPr>
            </w:pPr>
          </w:p>
        </w:tc>
        <w:tc>
          <w:tcPr>
            <w:tcW w:w="2254" w:type="pct"/>
            <w:tcBorders>
              <w:top w:val="single" w:color="000000" w:sz="6" w:space="0"/>
              <w:bottom w:val="single" w:color="000000" w:sz="6" w:space="0"/>
            </w:tcBorders>
            <w:vAlign w:val="center"/>
          </w:tcPr>
          <w:p>
            <w:pPr>
              <w:pStyle w:val="73"/>
              <w:autoSpaceDE w:val="0"/>
              <w:autoSpaceDN w:val="0"/>
              <w:spacing w:before="133" w:line="360" w:lineRule="auto"/>
              <w:ind w:left="105" w:leftChars="50" w:right="105" w:rightChars="50" w:firstLine="360" w:firstLineChars="150"/>
              <w:jc w:val="center"/>
              <w:rPr>
                <w:rFonts w:ascii="宋体" w:hAnsi="宋体" w:cs="宋体"/>
                <w:sz w:val="24"/>
                <w:szCs w:val="24"/>
                <w:lang w:eastAsia="en-US"/>
              </w:rPr>
            </w:pPr>
            <w:r>
              <w:rPr>
                <w:rFonts w:hint="eastAsia" w:ascii="宋体" w:hAnsi="宋体" w:cs="宋体"/>
                <w:sz w:val="24"/>
                <w:szCs w:val="24"/>
                <w:lang w:eastAsia="en-US"/>
              </w:rPr>
              <w:t>冷却器吹灰清洁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99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en-US"/>
              </w:rPr>
            </w:pPr>
          </w:p>
        </w:tc>
        <w:tc>
          <w:tcPr>
            <w:tcW w:w="174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en-US"/>
              </w:rPr>
            </w:pPr>
          </w:p>
        </w:tc>
        <w:tc>
          <w:tcPr>
            <w:tcW w:w="2254" w:type="pct"/>
            <w:tcBorders>
              <w:top w:val="single" w:color="000000" w:sz="6" w:space="0"/>
              <w:bottom w:val="single" w:color="000000" w:sz="6" w:space="0"/>
            </w:tcBorders>
            <w:vAlign w:val="center"/>
          </w:tcPr>
          <w:p>
            <w:pPr>
              <w:pStyle w:val="73"/>
              <w:autoSpaceDE w:val="0"/>
              <w:autoSpaceDN w:val="0"/>
              <w:spacing w:before="130" w:line="360" w:lineRule="auto"/>
              <w:ind w:left="105" w:leftChars="50" w:right="105" w:rightChars="50" w:firstLine="360" w:firstLineChars="150"/>
              <w:jc w:val="center"/>
              <w:rPr>
                <w:rFonts w:ascii="宋体" w:hAnsi="宋体" w:cs="宋体"/>
                <w:sz w:val="24"/>
                <w:szCs w:val="24"/>
                <w:highlight w:val="yellow"/>
                <w:lang w:eastAsia="zh-CN"/>
              </w:rPr>
            </w:pPr>
            <w:r>
              <w:rPr>
                <w:rFonts w:hint="eastAsia" w:ascii="宋体" w:hAnsi="宋体" w:cs="宋体"/>
                <w:sz w:val="24"/>
                <w:szCs w:val="24"/>
                <w:lang w:eastAsia="zh-CN"/>
              </w:rPr>
              <w:t>清洗油气分离芯后的回油过滤器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997" w:type="pct"/>
            <w:tcBorders>
              <w:bottom w:val="single" w:color="000000" w:sz="6" w:space="0"/>
            </w:tcBorders>
            <w:vAlign w:val="center"/>
          </w:tcPr>
          <w:p>
            <w:pPr>
              <w:pStyle w:val="73"/>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zh-CN"/>
              </w:rPr>
            </w:pPr>
          </w:p>
        </w:tc>
        <w:tc>
          <w:tcPr>
            <w:tcW w:w="1747" w:type="pct"/>
            <w:tcBorders>
              <w:bottom w:val="single" w:color="000000" w:sz="6" w:space="0"/>
            </w:tcBorders>
            <w:vAlign w:val="center"/>
          </w:tcPr>
          <w:p>
            <w:pPr>
              <w:pStyle w:val="73"/>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zh-CN"/>
              </w:rPr>
            </w:pPr>
          </w:p>
        </w:tc>
        <w:tc>
          <w:tcPr>
            <w:tcW w:w="2254" w:type="pct"/>
            <w:tcBorders>
              <w:bottom w:val="single" w:color="000000" w:sz="6" w:space="0"/>
            </w:tcBorders>
            <w:vAlign w:val="center"/>
          </w:tcPr>
          <w:p>
            <w:pPr>
              <w:pStyle w:val="73"/>
              <w:autoSpaceDE w:val="0"/>
              <w:autoSpaceDN w:val="0"/>
              <w:spacing w:before="158" w:line="360" w:lineRule="auto"/>
              <w:ind w:left="105" w:leftChars="50" w:right="105" w:rightChars="50" w:firstLine="360" w:firstLineChars="150"/>
              <w:jc w:val="center"/>
              <w:rPr>
                <w:rFonts w:ascii="宋体" w:hAnsi="宋体" w:cs="宋体"/>
                <w:sz w:val="24"/>
                <w:szCs w:val="24"/>
                <w:highlight w:val="yellow"/>
                <w:lang w:eastAsia="zh-CN"/>
              </w:rPr>
            </w:pPr>
            <w:r>
              <w:rPr>
                <w:rFonts w:hint="eastAsia" w:ascii="宋体" w:hAnsi="宋体" w:cs="宋体"/>
                <w:sz w:val="24"/>
                <w:szCs w:val="24"/>
                <w:lang w:eastAsia="zh-CN"/>
              </w:rPr>
              <w:t>检查油位，满载运行时从视油镜观察液位，低于视油镜为不正常需要加油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997" w:type="pct"/>
            <w:vMerge w:val="restart"/>
            <w:tcBorders>
              <w:top w:val="single" w:color="000000" w:sz="6" w:space="0"/>
              <w:bottom w:val="single" w:color="000000" w:sz="6" w:space="0"/>
            </w:tcBorders>
            <w:vAlign w:val="center"/>
          </w:tcPr>
          <w:p>
            <w:pPr>
              <w:pStyle w:val="73"/>
              <w:autoSpaceDE w:val="0"/>
              <w:autoSpaceDN w:val="0"/>
              <w:spacing w:before="210" w:line="360" w:lineRule="auto"/>
              <w:ind w:right="105" w:rightChars="50"/>
              <w:jc w:val="center"/>
              <w:rPr>
                <w:rFonts w:ascii="宋体" w:hAnsi="宋体" w:cs="宋体"/>
                <w:sz w:val="24"/>
                <w:szCs w:val="24"/>
                <w:highlight w:val="yellow"/>
                <w:lang w:eastAsia="en-US"/>
              </w:rPr>
            </w:pPr>
            <w:r>
              <w:rPr>
                <w:rFonts w:hint="eastAsia" w:ascii="宋体" w:hAnsi="宋体" w:cs="宋体"/>
                <w:sz w:val="24"/>
                <w:szCs w:val="24"/>
                <w:lang w:eastAsia="en-US"/>
              </w:rPr>
              <w:t>定期更换</w:t>
            </w:r>
          </w:p>
        </w:tc>
        <w:tc>
          <w:tcPr>
            <w:tcW w:w="1747" w:type="pct"/>
            <w:vMerge w:val="restart"/>
            <w:tcBorders>
              <w:top w:val="single" w:color="000000" w:sz="6" w:space="0"/>
              <w:bottom w:val="single" w:color="000000" w:sz="6" w:space="0"/>
            </w:tcBorders>
            <w:vAlign w:val="center"/>
          </w:tcPr>
          <w:p>
            <w:pPr>
              <w:pStyle w:val="73"/>
              <w:autoSpaceDE w:val="0"/>
              <w:autoSpaceDN w:val="0"/>
              <w:spacing w:before="210" w:line="360" w:lineRule="auto"/>
              <w:ind w:right="105" w:rightChars="50"/>
              <w:jc w:val="center"/>
              <w:rPr>
                <w:rFonts w:ascii="宋体" w:hAnsi="宋体" w:cs="宋体"/>
                <w:sz w:val="24"/>
                <w:szCs w:val="24"/>
                <w:highlight w:val="yellow"/>
                <w:lang w:eastAsia="en-US"/>
              </w:rPr>
            </w:pPr>
            <w:r>
              <w:rPr>
                <w:rFonts w:hint="eastAsia" w:ascii="宋体" w:hAnsi="宋体" w:cs="宋体"/>
                <w:sz w:val="24"/>
                <w:szCs w:val="24"/>
                <w:lang w:eastAsia="en-US"/>
              </w:rPr>
              <w:t>运行 8000 小时后的维护</w:t>
            </w:r>
          </w:p>
        </w:tc>
        <w:tc>
          <w:tcPr>
            <w:tcW w:w="2254" w:type="pct"/>
            <w:tcBorders>
              <w:top w:val="single" w:color="000000" w:sz="6" w:space="0"/>
              <w:bottom w:val="single" w:color="000000" w:sz="6" w:space="0"/>
            </w:tcBorders>
            <w:vAlign w:val="center"/>
          </w:tcPr>
          <w:p>
            <w:pPr>
              <w:pStyle w:val="73"/>
              <w:autoSpaceDE w:val="0"/>
              <w:autoSpaceDN w:val="0"/>
              <w:spacing w:before="130" w:line="360" w:lineRule="auto"/>
              <w:ind w:left="105" w:leftChars="50" w:right="105" w:rightChars="50" w:firstLine="360" w:firstLineChars="150"/>
              <w:jc w:val="center"/>
              <w:rPr>
                <w:rFonts w:ascii="宋体" w:hAnsi="宋体" w:cs="宋体"/>
                <w:sz w:val="24"/>
                <w:szCs w:val="24"/>
                <w:lang w:eastAsia="zh-CN"/>
              </w:rPr>
            </w:pPr>
            <w:r>
              <w:rPr>
                <w:rFonts w:hint="eastAsia" w:ascii="宋体" w:hAnsi="宋体" w:cs="宋体"/>
                <w:sz w:val="24"/>
                <w:szCs w:val="24"/>
                <w:lang w:eastAsia="zh-CN"/>
              </w:rPr>
              <w:t>更换空压机空气过滤器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9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zh-CN"/>
              </w:rPr>
            </w:pPr>
          </w:p>
        </w:tc>
        <w:tc>
          <w:tcPr>
            <w:tcW w:w="174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zh-CN"/>
              </w:rPr>
            </w:pPr>
          </w:p>
        </w:tc>
        <w:tc>
          <w:tcPr>
            <w:tcW w:w="2254" w:type="pct"/>
            <w:tcBorders>
              <w:top w:val="single" w:color="000000" w:sz="6" w:space="0"/>
              <w:bottom w:val="single" w:color="000000" w:sz="6" w:space="0"/>
            </w:tcBorders>
            <w:vAlign w:val="center"/>
          </w:tcPr>
          <w:p>
            <w:pPr>
              <w:pStyle w:val="73"/>
              <w:autoSpaceDE w:val="0"/>
              <w:autoSpaceDN w:val="0"/>
              <w:spacing w:before="133" w:line="360" w:lineRule="auto"/>
              <w:ind w:left="105" w:leftChars="50" w:right="105" w:rightChars="50" w:firstLine="360" w:firstLineChars="150"/>
              <w:jc w:val="center"/>
              <w:rPr>
                <w:rFonts w:ascii="宋体" w:hAnsi="宋体" w:cs="宋体"/>
                <w:sz w:val="24"/>
                <w:szCs w:val="24"/>
                <w:lang w:eastAsia="en-US"/>
              </w:rPr>
            </w:pPr>
            <w:r>
              <w:rPr>
                <w:rFonts w:hint="eastAsia" w:ascii="宋体" w:hAnsi="宋体" w:cs="宋体"/>
                <w:sz w:val="24"/>
                <w:szCs w:val="24"/>
                <w:lang w:eastAsia="en-US"/>
              </w:rPr>
              <w:t>更换空压机油过滤器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9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en-US"/>
              </w:rPr>
            </w:pPr>
          </w:p>
        </w:tc>
        <w:tc>
          <w:tcPr>
            <w:tcW w:w="174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en-US"/>
              </w:rPr>
            </w:pPr>
          </w:p>
        </w:tc>
        <w:tc>
          <w:tcPr>
            <w:tcW w:w="2254" w:type="pct"/>
            <w:tcBorders>
              <w:top w:val="single" w:color="000000" w:sz="6" w:space="0"/>
              <w:bottom w:val="single" w:color="000000" w:sz="6" w:space="0"/>
            </w:tcBorders>
            <w:vAlign w:val="center"/>
          </w:tcPr>
          <w:p>
            <w:pPr>
              <w:pStyle w:val="73"/>
              <w:autoSpaceDE w:val="0"/>
              <w:autoSpaceDN w:val="0"/>
              <w:spacing w:before="130" w:line="360" w:lineRule="auto"/>
              <w:ind w:left="105" w:leftChars="50" w:right="105" w:rightChars="50" w:firstLine="360" w:firstLineChars="150"/>
              <w:jc w:val="center"/>
              <w:rPr>
                <w:rFonts w:ascii="宋体" w:hAnsi="宋体" w:cs="宋体"/>
                <w:sz w:val="24"/>
                <w:szCs w:val="24"/>
                <w:lang w:eastAsia="en-US"/>
              </w:rPr>
            </w:pPr>
            <w:r>
              <w:rPr>
                <w:rFonts w:hint="eastAsia" w:ascii="宋体" w:hAnsi="宋体" w:cs="宋体"/>
                <w:sz w:val="24"/>
                <w:szCs w:val="24"/>
                <w:lang w:eastAsia="en-US"/>
              </w:rPr>
              <w:t>更换油气分离器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99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en-US"/>
              </w:rPr>
            </w:pPr>
          </w:p>
        </w:tc>
        <w:tc>
          <w:tcPr>
            <w:tcW w:w="174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en-US"/>
              </w:rPr>
            </w:pPr>
          </w:p>
        </w:tc>
        <w:tc>
          <w:tcPr>
            <w:tcW w:w="2254" w:type="pct"/>
            <w:tcBorders>
              <w:top w:val="single" w:color="000000" w:sz="6" w:space="0"/>
              <w:bottom w:val="single" w:color="000000" w:sz="6" w:space="0"/>
            </w:tcBorders>
            <w:vAlign w:val="center"/>
          </w:tcPr>
          <w:p>
            <w:pPr>
              <w:pStyle w:val="73"/>
              <w:autoSpaceDE w:val="0"/>
              <w:autoSpaceDN w:val="0"/>
              <w:spacing w:before="130" w:line="360" w:lineRule="auto"/>
              <w:ind w:left="105" w:leftChars="50" w:right="105" w:rightChars="50" w:firstLine="360" w:firstLineChars="150"/>
              <w:jc w:val="center"/>
              <w:rPr>
                <w:rFonts w:ascii="宋体" w:hAnsi="宋体" w:cs="宋体"/>
                <w:sz w:val="24"/>
                <w:szCs w:val="24"/>
                <w:lang w:eastAsia="en-US"/>
              </w:rPr>
            </w:pPr>
            <w:r>
              <w:rPr>
                <w:rFonts w:hint="eastAsia" w:ascii="宋体" w:hAnsi="宋体" w:cs="宋体"/>
                <w:sz w:val="24"/>
                <w:szCs w:val="24"/>
                <w:lang w:eastAsia="en-US"/>
              </w:rPr>
              <w:t>更换机油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9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en-US"/>
              </w:rPr>
            </w:pPr>
          </w:p>
        </w:tc>
        <w:tc>
          <w:tcPr>
            <w:tcW w:w="174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en-US"/>
              </w:rPr>
            </w:pPr>
          </w:p>
        </w:tc>
        <w:tc>
          <w:tcPr>
            <w:tcW w:w="2254" w:type="pct"/>
            <w:tcBorders>
              <w:top w:val="single" w:color="000000" w:sz="6" w:space="0"/>
              <w:bottom w:val="single" w:color="000000" w:sz="6" w:space="0"/>
            </w:tcBorders>
            <w:vAlign w:val="center"/>
          </w:tcPr>
          <w:p>
            <w:pPr>
              <w:pStyle w:val="73"/>
              <w:autoSpaceDE w:val="0"/>
              <w:autoSpaceDN w:val="0"/>
              <w:spacing w:before="133" w:line="360" w:lineRule="auto"/>
              <w:ind w:left="105" w:leftChars="50" w:right="105" w:rightChars="50" w:firstLine="360" w:firstLineChars="150"/>
              <w:jc w:val="center"/>
              <w:rPr>
                <w:rFonts w:ascii="宋体" w:hAnsi="宋体" w:cs="宋体"/>
                <w:sz w:val="24"/>
                <w:szCs w:val="24"/>
                <w:lang w:eastAsia="en-US"/>
              </w:rPr>
            </w:pPr>
            <w:r>
              <w:rPr>
                <w:rFonts w:hint="eastAsia" w:ascii="宋体" w:hAnsi="宋体" w:cs="宋体"/>
                <w:sz w:val="24"/>
                <w:szCs w:val="24"/>
                <w:lang w:eastAsia="en-US"/>
              </w:rPr>
              <w:t>更换管道过滤器芯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99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en-US"/>
              </w:rPr>
            </w:pPr>
          </w:p>
        </w:tc>
        <w:tc>
          <w:tcPr>
            <w:tcW w:w="174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en-US"/>
              </w:rPr>
            </w:pPr>
          </w:p>
        </w:tc>
        <w:tc>
          <w:tcPr>
            <w:tcW w:w="2254" w:type="pct"/>
            <w:tcBorders>
              <w:top w:val="single" w:color="000000" w:sz="6" w:space="0"/>
              <w:bottom w:val="single" w:color="000000" w:sz="6" w:space="0"/>
            </w:tcBorders>
            <w:vAlign w:val="center"/>
          </w:tcPr>
          <w:p>
            <w:pPr>
              <w:pStyle w:val="73"/>
              <w:autoSpaceDE w:val="0"/>
              <w:autoSpaceDN w:val="0"/>
              <w:spacing w:before="130" w:line="360" w:lineRule="auto"/>
              <w:ind w:left="105" w:leftChars="50" w:right="105" w:rightChars="50" w:firstLine="360" w:firstLineChars="150"/>
              <w:jc w:val="center"/>
              <w:rPr>
                <w:rFonts w:ascii="宋体" w:hAnsi="宋体" w:cs="宋体"/>
                <w:sz w:val="24"/>
                <w:szCs w:val="24"/>
                <w:lang w:eastAsia="zh-CN"/>
              </w:rPr>
            </w:pPr>
            <w:r>
              <w:rPr>
                <w:rFonts w:hint="eastAsia" w:ascii="宋体" w:hAnsi="宋体" w:cs="宋体"/>
                <w:sz w:val="24"/>
                <w:szCs w:val="24"/>
                <w:lang w:eastAsia="zh-CN"/>
              </w:rPr>
              <w:t>更换制氧机油、水过滤器芯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9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zh-CN"/>
              </w:rPr>
            </w:pPr>
          </w:p>
        </w:tc>
        <w:tc>
          <w:tcPr>
            <w:tcW w:w="1747" w:type="pct"/>
            <w:vMerge w:val="continue"/>
            <w:tcBorders>
              <w:top w:val="nil"/>
              <w:bottom w:val="single" w:color="000000" w:sz="6" w:space="0"/>
            </w:tcBorders>
            <w:vAlign w:val="center"/>
          </w:tcPr>
          <w:p>
            <w:pPr>
              <w:autoSpaceDE w:val="0"/>
              <w:autoSpaceDN w:val="0"/>
              <w:spacing w:line="360" w:lineRule="auto"/>
              <w:ind w:left="105" w:leftChars="50" w:right="105" w:rightChars="50" w:firstLine="360" w:firstLineChars="150"/>
              <w:jc w:val="center"/>
              <w:rPr>
                <w:rFonts w:ascii="宋体" w:hAnsi="宋体" w:cs="宋体"/>
                <w:sz w:val="24"/>
                <w:szCs w:val="24"/>
                <w:highlight w:val="yellow"/>
                <w:lang w:eastAsia="zh-CN"/>
              </w:rPr>
            </w:pPr>
          </w:p>
        </w:tc>
        <w:tc>
          <w:tcPr>
            <w:tcW w:w="2254" w:type="pct"/>
            <w:tcBorders>
              <w:top w:val="single" w:color="000000" w:sz="6" w:space="0"/>
              <w:bottom w:val="single" w:color="000000" w:sz="6" w:space="0"/>
            </w:tcBorders>
            <w:vAlign w:val="center"/>
          </w:tcPr>
          <w:p>
            <w:pPr>
              <w:pStyle w:val="73"/>
              <w:autoSpaceDE w:val="0"/>
              <w:autoSpaceDN w:val="0"/>
              <w:spacing w:before="133" w:line="360" w:lineRule="auto"/>
              <w:ind w:left="105" w:leftChars="50" w:right="105" w:rightChars="50" w:firstLine="360" w:firstLineChars="150"/>
              <w:jc w:val="center"/>
              <w:rPr>
                <w:rFonts w:ascii="宋体" w:hAnsi="宋体" w:cs="宋体"/>
                <w:sz w:val="24"/>
                <w:szCs w:val="24"/>
                <w:lang w:eastAsia="en-US"/>
              </w:rPr>
            </w:pPr>
            <w:r>
              <w:rPr>
                <w:rFonts w:hint="eastAsia" w:ascii="宋体" w:hAnsi="宋体" w:cs="宋体"/>
                <w:sz w:val="24"/>
                <w:szCs w:val="24"/>
                <w:lang w:eastAsia="en-US"/>
              </w:rPr>
              <w:t>更换除菌过滤器芯</w:t>
            </w:r>
          </w:p>
        </w:tc>
      </w:tr>
    </w:tbl>
    <w:p>
      <w:pP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二、HGO75 制氧系统双机组年耗材费用明细表</w:t>
      </w:r>
    </w:p>
    <w:tbl>
      <w:tblPr>
        <w:tblStyle w:val="74"/>
        <w:tblW w:w="4997"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667"/>
        <w:gridCol w:w="1976"/>
        <w:gridCol w:w="1344"/>
        <w:gridCol w:w="1329"/>
        <w:gridCol w:w="1337"/>
        <w:gridCol w:w="847"/>
        <w:gridCol w:w="83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7" w:hRule="atLeast"/>
        </w:trPr>
        <w:tc>
          <w:tcPr>
            <w:tcW w:w="400" w:type="pct"/>
            <w:tcBorders>
              <w:bottom w:val="single" w:color="000000" w:sz="6" w:space="0"/>
              <w:right w:val="single" w:color="000000" w:sz="6" w:space="0"/>
            </w:tcBorders>
            <w:vAlign w:val="center"/>
          </w:tcPr>
          <w:p>
            <w:pPr>
              <w:pStyle w:val="73"/>
              <w:autoSpaceDE w:val="0"/>
              <w:autoSpaceDN w:val="0"/>
              <w:jc w:val="center"/>
              <w:rPr>
                <w:rFonts w:ascii="宋体" w:hAnsi="宋体" w:cs="宋体"/>
                <w:sz w:val="24"/>
                <w:szCs w:val="24"/>
                <w:lang w:eastAsia="en-US"/>
              </w:rPr>
            </w:pPr>
            <w:r>
              <w:rPr>
                <w:rFonts w:hint="eastAsia" w:ascii="宋体" w:hAnsi="宋体" w:cs="宋体"/>
                <w:sz w:val="24"/>
                <w:szCs w:val="24"/>
                <w:lang w:eastAsia="en-US"/>
              </w:rPr>
              <w:t>序号</w:t>
            </w:r>
          </w:p>
        </w:tc>
        <w:tc>
          <w:tcPr>
            <w:tcW w:w="1185" w:type="pct"/>
            <w:tcBorders>
              <w:left w:val="single" w:color="000000" w:sz="6" w:space="0"/>
              <w:bottom w:val="single" w:color="000000" w:sz="6" w:space="0"/>
              <w:right w:val="single" w:color="000000" w:sz="6" w:space="0"/>
            </w:tcBorders>
            <w:vAlign w:val="center"/>
          </w:tcPr>
          <w:p>
            <w:pPr>
              <w:pStyle w:val="73"/>
              <w:autoSpaceDE w:val="0"/>
              <w:autoSpaceDN w:val="0"/>
              <w:jc w:val="center"/>
              <w:rPr>
                <w:rFonts w:ascii="宋体" w:hAnsi="宋体" w:cs="宋体"/>
                <w:sz w:val="24"/>
                <w:szCs w:val="24"/>
                <w:lang w:eastAsia="en-US"/>
              </w:rPr>
            </w:pPr>
            <w:r>
              <w:rPr>
                <w:rFonts w:hint="eastAsia" w:ascii="宋体" w:hAnsi="宋体" w:cs="宋体"/>
                <w:sz w:val="24"/>
                <w:szCs w:val="24"/>
                <w:lang w:eastAsia="en-US"/>
              </w:rPr>
              <w:t>项目名称</w:t>
            </w:r>
          </w:p>
        </w:tc>
        <w:tc>
          <w:tcPr>
            <w:tcW w:w="806" w:type="pct"/>
            <w:tcBorders>
              <w:left w:val="single" w:color="000000" w:sz="6" w:space="0"/>
              <w:bottom w:val="single" w:color="000000" w:sz="6" w:space="0"/>
              <w:right w:val="single" w:color="000000" w:sz="6" w:space="0"/>
            </w:tcBorders>
            <w:vAlign w:val="center"/>
          </w:tcPr>
          <w:p>
            <w:pPr>
              <w:pStyle w:val="73"/>
              <w:autoSpaceDE w:val="0"/>
              <w:autoSpaceDN w:val="0"/>
              <w:jc w:val="center"/>
              <w:rPr>
                <w:rFonts w:ascii="宋体" w:hAnsi="宋体" w:cs="宋体"/>
                <w:sz w:val="24"/>
                <w:szCs w:val="24"/>
                <w:lang w:eastAsia="en-US"/>
              </w:rPr>
            </w:pPr>
            <w:r>
              <w:rPr>
                <w:rFonts w:hint="eastAsia" w:ascii="宋体" w:hAnsi="宋体" w:cs="宋体"/>
                <w:sz w:val="24"/>
                <w:szCs w:val="24"/>
                <w:lang w:eastAsia="en-US"/>
              </w:rPr>
              <w:t>品牌</w:t>
            </w:r>
          </w:p>
        </w:tc>
        <w:tc>
          <w:tcPr>
            <w:tcW w:w="797" w:type="pct"/>
            <w:tcBorders>
              <w:left w:val="single" w:color="000000" w:sz="6" w:space="0"/>
              <w:bottom w:val="single" w:color="000000" w:sz="6" w:space="0"/>
              <w:right w:val="single" w:color="000000" w:sz="6" w:space="0"/>
            </w:tcBorders>
            <w:vAlign w:val="center"/>
          </w:tcPr>
          <w:p>
            <w:pPr>
              <w:pStyle w:val="73"/>
              <w:autoSpaceDE w:val="0"/>
              <w:autoSpaceDN w:val="0"/>
              <w:jc w:val="center"/>
              <w:rPr>
                <w:rFonts w:ascii="宋体" w:hAnsi="宋体" w:cs="宋体"/>
                <w:sz w:val="24"/>
                <w:szCs w:val="24"/>
                <w:lang w:eastAsia="en-US"/>
              </w:rPr>
            </w:pPr>
            <w:r>
              <w:rPr>
                <w:rFonts w:hint="eastAsia" w:ascii="宋体" w:hAnsi="宋体" w:cs="宋体"/>
                <w:sz w:val="24"/>
                <w:szCs w:val="24"/>
                <w:lang w:eastAsia="en-US"/>
              </w:rPr>
              <w:t>型号规格</w:t>
            </w:r>
          </w:p>
        </w:tc>
        <w:tc>
          <w:tcPr>
            <w:tcW w:w="802" w:type="pct"/>
            <w:tcBorders>
              <w:left w:val="single" w:color="000000" w:sz="6" w:space="0"/>
              <w:bottom w:val="single" w:color="000000" w:sz="6" w:space="0"/>
              <w:right w:val="single" w:color="000000" w:sz="6" w:space="0"/>
            </w:tcBorders>
            <w:vAlign w:val="center"/>
          </w:tcPr>
          <w:p>
            <w:pPr>
              <w:pStyle w:val="73"/>
              <w:autoSpaceDE w:val="0"/>
              <w:autoSpaceDN w:val="0"/>
              <w:jc w:val="center"/>
              <w:rPr>
                <w:rFonts w:ascii="宋体" w:hAnsi="宋体" w:cs="宋体"/>
                <w:sz w:val="24"/>
                <w:szCs w:val="24"/>
                <w:lang w:eastAsia="en-US"/>
              </w:rPr>
            </w:pPr>
            <w:r>
              <w:rPr>
                <w:rFonts w:hint="eastAsia" w:ascii="宋体" w:hAnsi="宋体" w:cs="宋体"/>
                <w:sz w:val="24"/>
                <w:szCs w:val="24"/>
                <w:lang w:eastAsia="en-US"/>
              </w:rPr>
              <w:t>更换周期</w:t>
            </w:r>
          </w:p>
        </w:tc>
        <w:tc>
          <w:tcPr>
            <w:tcW w:w="508" w:type="pct"/>
            <w:tcBorders>
              <w:left w:val="single" w:color="000000" w:sz="6" w:space="0"/>
              <w:bottom w:val="single" w:color="000000" w:sz="6" w:space="0"/>
              <w:right w:val="single" w:color="000000" w:sz="6" w:space="0"/>
            </w:tcBorders>
            <w:vAlign w:val="center"/>
          </w:tcPr>
          <w:p>
            <w:pPr>
              <w:pStyle w:val="73"/>
              <w:autoSpaceDE w:val="0"/>
              <w:autoSpaceDN w:val="0"/>
              <w:jc w:val="center"/>
              <w:rPr>
                <w:rFonts w:ascii="宋体" w:hAnsi="宋体" w:cs="宋体"/>
                <w:sz w:val="24"/>
                <w:szCs w:val="24"/>
                <w:lang w:eastAsia="en-US"/>
              </w:rPr>
            </w:pPr>
            <w:r>
              <w:rPr>
                <w:rFonts w:hint="eastAsia" w:ascii="宋体" w:hAnsi="宋体" w:cs="宋体"/>
                <w:sz w:val="24"/>
                <w:szCs w:val="24"/>
                <w:lang w:eastAsia="en-US"/>
              </w:rPr>
              <w:t>数量</w:t>
            </w:r>
          </w:p>
        </w:tc>
        <w:tc>
          <w:tcPr>
            <w:tcW w:w="498" w:type="pct"/>
            <w:tcBorders>
              <w:left w:val="single" w:color="000000" w:sz="6" w:space="0"/>
              <w:bottom w:val="single" w:color="000000" w:sz="6" w:space="0"/>
            </w:tcBorders>
            <w:vAlign w:val="center"/>
          </w:tcPr>
          <w:p>
            <w:pPr>
              <w:pStyle w:val="73"/>
              <w:autoSpaceDE w:val="0"/>
              <w:autoSpaceDN w:val="0"/>
              <w:jc w:val="center"/>
              <w:rPr>
                <w:rFonts w:ascii="宋体" w:hAnsi="宋体" w:cs="宋体"/>
                <w:sz w:val="24"/>
                <w:szCs w:val="24"/>
                <w:lang w:eastAsia="en-US"/>
              </w:rPr>
            </w:pPr>
            <w:r>
              <w:rPr>
                <w:rFonts w:hint="eastAsia" w:ascii="宋体" w:hAnsi="宋体" w:cs="宋体"/>
                <w:sz w:val="24"/>
                <w:szCs w:val="24"/>
                <w:lang w:eastAsia="en-US"/>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7" w:hRule="atLeast"/>
        </w:trPr>
        <w:tc>
          <w:tcPr>
            <w:tcW w:w="400" w:type="pct"/>
            <w:tcBorders>
              <w:top w:val="single" w:color="000000" w:sz="6" w:space="0"/>
              <w:bottom w:val="single" w:color="000000" w:sz="6" w:space="0"/>
              <w:right w:val="single" w:color="000000" w:sz="6" w:space="0"/>
            </w:tcBorders>
          </w:tcPr>
          <w:p>
            <w:pPr>
              <w:pStyle w:val="73"/>
              <w:autoSpaceDE w:val="0"/>
              <w:autoSpaceDN w:val="0"/>
              <w:spacing w:before="104"/>
              <w:ind w:right="151"/>
              <w:jc w:val="center"/>
              <w:rPr>
                <w:rFonts w:ascii="宋体" w:hAnsi="宋体" w:cs="宋体"/>
                <w:sz w:val="24"/>
                <w:szCs w:val="24"/>
                <w:lang w:eastAsia="en-US"/>
              </w:rPr>
            </w:pPr>
            <w:r>
              <w:rPr>
                <w:rFonts w:hint="eastAsia" w:ascii="宋体" w:hAnsi="宋体" w:cs="宋体"/>
                <w:sz w:val="24"/>
                <w:szCs w:val="24"/>
                <w:lang w:eastAsia="en-US"/>
              </w:rPr>
              <w:t>1</w:t>
            </w:r>
          </w:p>
        </w:tc>
        <w:tc>
          <w:tcPr>
            <w:tcW w:w="1185"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104"/>
              <w:ind w:left="175" w:right="45"/>
              <w:jc w:val="center"/>
              <w:rPr>
                <w:rFonts w:ascii="宋体" w:hAnsi="宋体" w:cs="宋体"/>
                <w:sz w:val="24"/>
                <w:szCs w:val="24"/>
                <w:lang w:eastAsia="en-US"/>
              </w:rPr>
            </w:pPr>
            <w:r>
              <w:rPr>
                <w:rFonts w:hint="eastAsia" w:ascii="宋体" w:hAnsi="宋体" w:cs="宋体"/>
                <w:sz w:val="24"/>
                <w:szCs w:val="24"/>
                <w:lang w:eastAsia="en-US"/>
              </w:rPr>
              <w:t>空气过滤器</w:t>
            </w:r>
          </w:p>
        </w:tc>
        <w:tc>
          <w:tcPr>
            <w:tcW w:w="806"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99"/>
              <w:ind w:left="174" w:right="39"/>
              <w:jc w:val="center"/>
              <w:rPr>
                <w:rFonts w:ascii="宋体" w:hAnsi="宋体" w:cs="宋体"/>
                <w:sz w:val="24"/>
                <w:szCs w:val="24"/>
                <w:lang w:eastAsia="en-US"/>
              </w:rPr>
            </w:pPr>
            <w:r>
              <w:rPr>
                <w:rFonts w:hint="eastAsia" w:ascii="宋体" w:hAnsi="宋体" w:cs="宋体"/>
                <w:sz w:val="24"/>
                <w:szCs w:val="24"/>
                <w:lang w:eastAsia="en-US"/>
              </w:rPr>
              <w:t>阿特拉斯</w:t>
            </w:r>
          </w:p>
        </w:tc>
        <w:tc>
          <w:tcPr>
            <w:tcW w:w="797"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104"/>
              <w:ind w:left="151" w:right="20"/>
              <w:jc w:val="center"/>
              <w:rPr>
                <w:rFonts w:ascii="宋体" w:hAnsi="宋体" w:cs="宋体"/>
                <w:sz w:val="24"/>
                <w:szCs w:val="24"/>
                <w:lang w:eastAsia="en-US"/>
              </w:rPr>
            </w:pPr>
            <w:r>
              <w:rPr>
                <w:rFonts w:hint="eastAsia" w:ascii="宋体" w:hAnsi="宋体" w:cs="宋体"/>
                <w:sz w:val="24"/>
                <w:szCs w:val="24"/>
                <w:lang w:eastAsia="en-US"/>
              </w:rPr>
              <w:t>HGA37-1</w:t>
            </w:r>
          </w:p>
        </w:tc>
        <w:tc>
          <w:tcPr>
            <w:tcW w:w="802"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99"/>
              <w:ind w:left="134"/>
              <w:jc w:val="center"/>
              <w:rPr>
                <w:rFonts w:ascii="宋体" w:hAnsi="宋体" w:cs="宋体"/>
                <w:sz w:val="24"/>
                <w:szCs w:val="24"/>
                <w:lang w:eastAsia="en-US"/>
              </w:rPr>
            </w:pPr>
            <w:r>
              <w:rPr>
                <w:rFonts w:hint="eastAsia" w:ascii="宋体" w:hAnsi="宋体" w:cs="宋体"/>
                <w:sz w:val="24"/>
                <w:szCs w:val="24"/>
                <w:lang w:eastAsia="en-US"/>
              </w:rPr>
              <w:t>2000 小时</w:t>
            </w:r>
          </w:p>
        </w:tc>
        <w:tc>
          <w:tcPr>
            <w:tcW w:w="508"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104"/>
              <w:jc w:val="center"/>
              <w:rPr>
                <w:rFonts w:ascii="宋体" w:hAnsi="宋体" w:cs="宋体"/>
                <w:sz w:val="24"/>
                <w:szCs w:val="24"/>
                <w:lang w:eastAsia="en-US"/>
              </w:rPr>
            </w:pPr>
            <w:r>
              <w:rPr>
                <w:rFonts w:hint="eastAsia" w:ascii="宋体" w:hAnsi="宋体" w:cs="宋体"/>
                <w:sz w:val="24"/>
                <w:szCs w:val="24"/>
                <w:lang w:eastAsia="en-US"/>
              </w:rPr>
              <w:t>16个</w:t>
            </w:r>
          </w:p>
        </w:tc>
        <w:tc>
          <w:tcPr>
            <w:tcW w:w="498" w:type="pct"/>
            <w:tcBorders>
              <w:top w:val="single" w:color="000000" w:sz="6" w:space="0"/>
              <w:left w:val="single" w:color="000000" w:sz="6" w:space="0"/>
              <w:bottom w:val="single" w:color="000000" w:sz="6" w:space="0"/>
            </w:tcBorders>
          </w:tcPr>
          <w:p>
            <w:pPr>
              <w:pStyle w:val="73"/>
              <w:autoSpaceDE w:val="0"/>
              <w:autoSpaceDN w:val="0"/>
              <w:spacing w:before="104"/>
              <w:ind w:left="137"/>
              <w:jc w:val="center"/>
              <w:rPr>
                <w:rFonts w:ascii="宋体" w:hAnsi="宋体" w:cs="宋体"/>
                <w:sz w:val="24"/>
                <w:szCs w:val="24"/>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400" w:type="pct"/>
            <w:tcBorders>
              <w:top w:val="single" w:color="000000" w:sz="6" w:space="0"/>
              <w:bottom w:val="single" w:color="000000" w:sz="6" w:space="0"/>
              <w:right w:val="single" w:color="000000" w:sz="6" w:space="0"/>
            </w:tcBorders>
          </w:tcPr>
          <w:p>
            <w:pPr>
              <w:pStyle w:val="73"/>
              <w:autoSpaceDE w:val="0"/>
              <w:autoSpaceDN w:val="0"/>
              <w:spacing w:before="100"/>
              <w:ind w:right="151"/>
              <w:jc w:val="center"/>
              <w:rPr>
                <w:rFonts w:ascii="宋体" w:hAnsi="宋体" w:cs="宋体"/>
                <w:sz w:val="24"/>
                <w:szCs w:val="24"/>
                <w:lang w:eastAsia="en-US"/>
              </w:rPr>
            </w:pPr>
            <w:r>
              <w:rPr>
                <w:rFonts w:hint="eastAsia" w:ascii="宋体" w:hAnsi="宋体" w:cs="宋体"/>
                <w:sz w:val="24"/>
                <w:szCs w:val="24"/>
                <w:lang w:eastAsia="en-US"/>
              </w:rPr>
              <w:t>2</w:t>
            </w:r>
          </w:p>
        </w:tc>
        <w:tc>
          <w:tcPr>
            <w:tcW w:w="1185"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100"/>
              <w:ind w:left="175" w:right="45"/>
              <w:jc w:val="center"/>
              <w:rPr>
                <w:rFonts w:ascii="宋体" w:hAnsi="宋体" w:cs="宋体"/>
                <w:sz w:val="24"/>
                <w:szCs w:val="24"/>
                <w:lang w:eastAsia="en-US"/>
              </w:rPr>
            </w:pPr>
            <w:r>
              <w:rPr>
                <w:rFonts w:hint="eastAsia" w:ascii="宋体" w:hAnsi="宋体" w:cs="宋体"/>
                <w:sz w:val="24"/>
                <w:szCs w:val="24"/>
                <w:lang w:eastAsia="en-US"/>
              </w:rPr>
              <w:t>油过滤器</w:t>
            </w:r>
          </w:p>
        </w:tc>
        <w:tc>
          <w:tcPr>
            <w:tcW w:w="806"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100"/>
              <w:ind w:left="174" w:right="39"/>
              <w:jc w:val="center"/>
              <w:rPr>
                <w:rFonts w:ascii="宋体" w:hAnsi="宋体" w:cs="宋体"/>
                <w:sz w:val="24"/>
                <w:szCs w:val="24"/>
                <w:lang w:eastAsia="en-US"/>
              </w:rPr>
            </w:pPr>
            <w:r>
              <w:rPr>
                <w:rFonts w:hint="eastAsia" w:ascii="宋体" w:hAnsi="宋体" w:cs="宋体"/>
                <w:sz w:val="24"/>
                <w:szCs w:val="24"/>
                <w:lang w:eastAsia="en-US"/>
              </w:rPr>
              <w:t>阿特拉斯</w:t>
            </w:r>
          </w:p>
        </w:tc>
        <w:tc>
          <w:tcPr>
            <w:tcW w:w="797"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100"/>
              <w:ind w:left="151" w:right="20"/>
              <w:jc w:val="center"/>
              <w:rPr>
                <w:rFonts w:ascii="宋体" w:hAnsi="宋体" w:cs="宋体"/>
                <w:sz w:val="24"/>
                <w:szCs w:val="24"/>
                <w:lang w:eastAsia="en-US"/>
              </w:rPr>
            </w:pPr>
            <w:r>
              <w:rPr>
                <w:rFonts w:hint="eastAsia" w:ascii="宋体" w:hAnsi="宋体" w:cs="宋体"/>
                <w:sz w:val="24"/>
                <w:szCs w:val="24"/>
                <w:lang w:eastAsia="en-US"/>
              </w:rPr>
              <w:t>HGA37-2</w:t>
            </w:r>
          </w:p>
        </w:tc>
        <w:tc>
          <w:tcPr>
            <w:tcW w:w="802"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100"/>
              <w:ind w:left="134"/>
              <w:jc w:val="center"/>
              <w:rPr>
                <w:rFonts w:ascii="宋体" w:hAnsi="宋体" w:cs="宋体"/>
                <w:sz w:val="24"/>
                <w:szCs w:val="24"/>
                <w:lang w:eastAsia="en-US"/>
              </w:rPr>
            </w:pPr>
            <w:r>
              <w:rPr>
                <w:rFonts w:hint="eastAsia" w:ascii="宋体" w:hAnsi="宋体" w:cs="宋体"/>
                <w:sz w:val="24"/>
                <w:szCs w:val="24"/>
                <w:lang w:eastAsia="en-US"/>
              </w:rPr>
              <w:t>2000 小时</w:t>
            </w:r>
          </w:p>
        </w:tc>
        <w:tc>
          <w:tcPr>
            <w:tcW w:w="508"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102"/>
              <w:jc w:val="center"/>
              <w:rPr>
                <w:rFonts w:ascii="宋体" w:hAnsi="宋体" w:cs="宋体"/>
                <w:sz w:val="24"/>
                <w:szCs w:val="24"/>
                <w:lang w:eastAsia="en-US"/>
              </w:rPr>
            </w:pPr>
            <w:r>
              <w:rPr>
                <w:rFonts w:hint="eastAsia" w:ascii="宋体" w:hAnsi="宋体" w:cs="宋体"/>
                <w:sz w:val="24"/>
                <w:szCs w:val="24"/>
                <w:lang w:eastAsia="en-US"/>
              </w:rPr>
              <w:t>16个</w:t>
            </w:r>
          </w:p>
        </w:tc>
        <w:tc>
          <w:tcPr>
            <w:tcW w:w="498" w:type="pct"/>
            <w:tcBorders>
              <w:top w:val="single" w:color="000000" w:sz="6" w:space="0"/>
              <w:left w:val="single" w:color="000000" w:sz="6" w:space="0"/>
              <w:bottom w:val="single" w:color="000000" w:sz="6" w:space="0"/>
            </w:tcBorders>
          </w:tcPr>
          <w:p>
            <w:pPr>
              <w:pStyle w:val="73"/>
              <w:autoSpaceDE w:val="0"/>
              <w:autoSpaceDN w:val="0"/>
              <w:spacing w:before="100"/>
              <w:ind w:left="137"/>
              <w:jc w:val="center"/>
              <w:rPr>
                <w:rFonts w:ascii="宋体" w:hAnsi="宋体" w:cs="宋体"/>
                <w:sz w:val="24"/>
                <w:szCs w:val="24"/>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400" w:type="pct"/>
            <w:tcBorders>
              <w:top w:val="single" w:color="000000" w:sz="6" w:space="0"/>
              <w:bottom w:val="single" w:color="000000" w:sz="6" w:space="0"/>
              <w:right w:val="single" w:color="000000" w:sz="6" w:space="0"/>
            </w:tcBorders>
          </w:tcPr>
          <w:p>
            <w:pPr>
              <w:pStyle w:val="73"/>
              <w:autoSpaceDE w:val="0"/>
              <w:autoSpaceDN w:val="0"/>
              <w:spacing w:before="99"/>
              <w:ind w:right="151"/>
              <w:jc w:val="center"/>
              <w:rPr>
                <w:rFonts w:ascii="宋体" w:hAnsi="宋体" w:cs="宋体"/>
                <w:sz w:val="24"/>
                <w:szCs w:val="24"/>
                <w:lang w:eastAsia="en-US"/>
              </w:rPr>
            </w:pPr>
            <w:r>
              <w:rPr>
                <w:rFonts w:hint="eastAsia" w:ascii="宋体" w:hAnsi="宋体" w:cs="宋体"/>
                <w:sz w:val="24"/>
                <w:szCs w:val="24"/>
                <w:lang w:eastAsia="en-US"/>
              </w:rPr>
              <w:t>3</w:t>
            </w:r>
          </w:p>
        </w:tc>
        <w:tc>
          <w:tcPr>
            <w:tcW w:w="1185"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99"/>
              <w:ind w:left="175" w:right="45"/>
              <w:jc w:val="center"/>
              <w:rPr>
                <w:rFonts w:ascii="宋体" w:hAnsi="宋体" w:cs="宋体"/>
                <w:sz w:val="24"/>
                <w:szCs w:val="24"/>
                <w:lang w:eastAsia="en-US"/>
              </w:rPr>
            </w:pPr>
            <w:r>
              <w:rPr>
                <w:rFonts w:hint="eastAsia" w:ascii="宋体" w:hAnsi="宋体" w:cs="宋体"/>
                <w:sz w:val="24"/>
                <w:szCs w:val="24"/>
                <w:lang w:eastAsia="en-US"/>
              </w:rPr>
              <w:t>油气分离器</w:t>
            </w:r>
          </w:p>
        </w:tc>
        <w:tc>
          <w:tcPr>
            <w:tcW w:w="806"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99"/>
              <w:ind w:left="174" w:right="39"/>
              <w:jc w:val="center"/>
              <w:rPr>
                <w:rFonts w:ascii="宋体" w:hAnsi="宋体" w:cs="宋体"/>
                <w:sz w:val="24"/>
                <w:szCs w:val="24"/>
                <w:lang w:eastAsia="en-US"/>
              </w:rPr>
            </w:pPr>
            <w:r>
              <w:rPr>
                <w:rFonts w:hint="eastAsia" w:ascii="宋体" w:hAnsi="宋体" w:cs="宋体"/>
                <w:sz w:val="24"/>
                <w:szCs w:val="24"/>
                <w:lang w:eastAsia="en-US"/>
              </w:rPr>
              <w:t>阿特拉斯</w:t>
            </w:r>
          </w:p>
        </w:tc>
        <w:tc>
          <w:tcPr>
            <w:tcW w:w="797"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99"/>
              <w:ind w:left="151" w:right="20"/>
              <w:jc w:val="center"/>
              <w:rPr>
                <w:rFonts w:ascii="宋体" w:hAnsi="宋体" w:cs="宋体"/>
                <w:sz w:val="24"/>
                <w:szCs w:val="24"/>
                <w:lang w:eastAsia="en-US"/>
              </w:rPr>
            </w:pPr>
            <w:r>
              <w:rPr>
                <w:rFonts w:hint="eastAsia" w:ascii="宋体" w:hAnsi="宋体" w:cs="宋体"/>
                <w:sz w:val="24"/>
                <w:szCs w:val="24"/>
                <w:lang w:eastAsia="en-US"/>
              </w:rPr>
              <w:t>HGA37-3</w:t>
            </w:r>
          </w:p>
        </w:tc>
        <w:tc>
          <w:tcPr>
            <w:tcW w:w="802"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99"/>
              <w:ind w:left="134"/>
              <w:jc w:val="center"/>
              <w:rPr>
                <w:rFonts w:ascii="宋体" w:hAnsi="宋体" w:cs="宋体"/>
                <w:sz w:val="24"/>
                <w:szCs w:val="24"/>
                <w:lang w:eastAsia="en-US"/>
              </w:rPr>
            </w:pPr>
            <w:r>
              <w:rPr>
                <w:rFonts w:hint="eastAsia" w:ascii="宋体" w:hAnsi="宋体" w:cs="宋体"/>
                <w:sz w:val="24"/>
                <w:szCs w:val="24"/>
                <w:lang w:eastAsia="en-US"/>
              </w:rPr>
              <w:t>4000 小时</w:t>
            </w:r>
          </w:p>
        </w:tc>
        <w:tc>
          <w:tcPr>
            <w:tcW w:w="508"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101"/>
              <w:jc w:val="center"/>
              <w:rPr>
                <w:rFonts w:ascii="宋体" w:hAnsi="宋体" w:cs="宋体"/>
                <w:sz w:val="24"/>
                <w:szCs w:val="24"/>
                <w:lang w:eastAsia="en-US"/>
              </w:rPr>
            </w:pPr>
            <w:r>
              <w:rPr>
                <w:rFonts w:hint="eastAsia" w:ascii="宋体" w:hAnsi="宋体" w:cs="宋体"/>
                <w:sz w:val="24"/>
                <w:szCs w:val="24"/>
                <w:lang w:eastAsia="en-US"/>
              </w:rPr>
              <w:t>8 个</w:t>
            </w:r>
          </w:p>
        </w:tc>
        <w:tc>
          <w:tcPr>
            <w:tcW w:w="498" w:type="pct"/>
            <w:tcBorders>
              <w:top w:val="single" w:color="000000" w:sz="6" w:space="0"/>
              <w:left w:val="single" w:color="000000" w:sz="6" w:space="0"/>
              <w:bottom w:val="single" w:color="000000" w:sz="6" w:space="0"/>
            </w:tcBorders>
          </w:tcPr>
          <w:p>
            <w:pPr>
              <w:pStyle w:val="73"/>
              <w:autoSpaceDE w:val="0"/>
              <w:autoSpaceDN w:val="0"/>
              <w:spacing w:before="99"/>
              <w:ind w:left="137"/>
              <w:jc w:val="center"/>
              <w:rPr>
                <w:rFonts w:ascii="宋体" w:hAnsi="宋体" w:cs="宋体"/>
                <w:sz w:val="24"/>
                <w:szCs w:val="24"/>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trPr>
        <w:tc>
          <w:tcPr>
            <w:tcW w:w="400" w:type="pct"/>
            <w:tcBorders>
              <w:top w:val="single" w:color="000000" w:sz="6" w:space="0"/>
              <w:bottom w:val="single" w:color="000000" w:sz="6" w:space="0"/>
              <w:right w:val="single" w:color="000000" w:sz="6" w:space="0"/>
            </w:tcBorders>
          </w:tcPr>
          <w:p>
            <w:pPr>
              <w:pStyle w:val="73"/>
              <w:autoSpaceDE w:val="0"/>
              <w:autoSpaceDN w:val="0"/>
              <w:spacing w:before="101"/>
              <w:ind w:right="151"/>
              <w:jc w:val="center"/>
              <w:rPr>
                <w:rFonts w:ascii="宋体" w:hAnsi="宋体" w:cs="宋体"/>
                <w:sz w:val="24"/>
                <w:szCs w:val="24"/>
                <w:lang w:eastAsia="en-US"/>
              </w:rPr>
            </w:pPr>
            <w:r>
              <w:rPr>
                <w:rFonts w:hint="eastAsia" w:ascii="宋体" w:hAnsi="宋体" w:cs="宋体"/>
                <w:sz w:val="24"/>
                <w:szCs w:val="24"/>
                <w:lang w:eastAsia="en-US"/>
              </w:rPr>
              <w:t>4</w:t>
            </w:r>
          </w:p>
        </w:tc>
        <w:tc>
          <w:tcPr>
            <w:tcW w:w="1185"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101"/>
              <w:ind w:left="177" w:right="45"/>
              <w:jc w:val="center"/>
              <w:rPr>
                <w:rFonts w:ascii="宋体" w:hAnsi="宋体" w:cs="宋体"/>
                <w:sz w:val="24"/>
                <w:szCs w:val="24"/>
                <w:lang w:eastAsia="en-US"/>
              </w:rPr>
            </w:pPr>
            <w:r>
              <w:rPr>
                <w:rFonts w:hint="eastAsia" w:ascii="宋体" w:hAnsi="宋体" w:cs="宋体"/>
                <w:sz w:val="24"/>
                <w:szCs w:val="24"/>
                <w:lang w:eastAsia="en-US"/>
              </w:rPr>
              <w:t>机油</w:t>
            </w:r>
          </w:p>
        </w:tc>
        <w:tc>
          <w:tcPr>
            <w:tcW w:w="806"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101"/>
              <w:ind w:left="174" w:right="39"/>
              <w:jc w:val="center"/>
              <w:rPr>
                <w:rFonts w:ascii="宋体" w:hAnsi="宋体" w:cs="宋体"/>
                <w:sz w:val="24"/>
                <w:szCs w:val="24"/>
                <w:lang w:eastAsia="en-US"/>
              </w:rPr>
            </w:pPr>
            <w:r>
              <w:rPr>
                <w:rFonts w:hint="eastAsia" w:ascii="宋体" w:hAnsi="宋体" w:cs="宋体"/>
                <w:sz w:val="24"/>
                <w:szCs w:val="24"/>
                <w:lang w:eastAsia="en-US"/>
              </w:rPr>
              <w:t>阿特拉斯</w:t>
            </w:r>
          </w:p>
        </w:tc>
        <w:tc>
          <w:tcPr>
            <w:tcW w:w="797"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101"/>
              <w:ind w:left="151" w:right="20"/>
              <w:jc w:val="center"/>
              <w:rPr>
                <w:rFonts w:ascii="宋体" w:hAnsi="宋体" w:cs="宋体"/>
                <w:sz w:val="24"/>
                <w:szCs w:val="24"/>
                <w:lang w:eastAsia="en-US"/>
              </w:rPr>
            </w:pPr>
            <w:r>
              <w:rPr>
                <w:rFonts w:hint="eastAsia" w:ascii="宋体" w:hAnsi="宋体" w:cs="宋体"/>
                <w:sz w:val="24"/>
                <w:szCs w:val="24"/>
                <w:lang w:eastAsia="en-US"/>
              </w:rPr>
              <w:t>HGA37-4</w:t>
            </w:r>
          </w:p>
        </w:tc>
        <w:tc>
          <w:tcPr>
            <w:tcW w:w="802"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101"/>
              <w:ind w:left="134"/>
              <w:jc w:val="center"/>
              <w:rPr>
                <w:rFonts w:ascii="宋体" w:hAnsi="宋体" w:cs="宋体"/>
                <w:sz w:val="24"/>
                <w:szCs w:val="24"/>
                <w:lang w:eastAsia="en-US"/>
              </w:rPr>
            </w:pPr>
            <w:r>
              <w:rPr>
                <w:rFonts w:hint="eastAsia" w:ascii="宋体" w:hAnsi="宋体" w:cs="宋体"/>
                <w:sz w:val="24"/>
                <w:szCs w:val="24"/>
                <w:lang w:eastAsia="en-US"/>
              </w:rPr>
              <w:t>4000 小时</w:t>
            </w:r>
          </w:p>
        </w:tc>
        <w:tc>
          <w:tcPr>
            <w:tcW w:w="508"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101"/>
              <w:jc w:val="center"/>
              <w:rPr>
                <w:rFonts w:ascii="宋体" w:hAnsi="宋体" w:cs="宋体"/>
                <w:sz w:val="24"/>
                <w:szCs w:val="24"/>
                <w:lang w:eastAsia="en-US"/>
              </w:rPr>
            </w:pPr>
            <w:r>
              <w:rPr>
                <w:rFonts w:hint="eastAsia" w:ascii="宋体" w:hAnsi="宋体" w:cs="宋体"/>
                <w:sz w:val="24"/>
                <w:szCs w:val="24"/>
                <w:lang w:eastAsia="en-US"/>
              </w:rPr>
              <w:t>16桶</w:t>
            </w:r>
          </w:p>
        </w:tc>
        <w:tc>
          <w:tcPr>
            <w:tcW w:w="498" w:type="pct"/>
            <w:tcBorders>
              <w:top w:val="single" w:color="000000" w:sz="6" w:space="0"/>
              <w:left w:val="single" w:color="000000" w:sz="6" w:space="0"/>
              <w:bottom w:val="single" w:color="000000" w:sz="6" w:space="0"/>
            </w:tcBorders>
          </w:tcPr>
          <w:p>
            <w:pPr>
              <w:pStyle w:val="73"/>
              <w:autoSpaceDE w:val="0"/>
              <w:autoSpaceDN w:val="0"/>
              <w:spacing w:before="101"/>
              <w:ind w:left="137"/>
              <w:jc w:val="center"/>
              <w:rPr>
                <w:rFonts w:ascii="宋体" w:hAnsi="宋体" w:cs="宋体"/>
                <w:sz w:val="24"/>
                <w:szCs w:val="24"/>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400" w:type="pct"/>
            <w:tcBorders>
              <w:top w:val="single" w:color="000000" w:sz="6" w:space="0"/>
              <w:bottom w:val="single" w:color="000000" w:sz="6" w:space="0"/>
              <w:right w:val="single" w:color="000000" w:sz="6" w:space="0"/>
            </w:tcBorders>
          </w:tcPr>
          <w:p>
            <w:pPr>
              <w:pStyle w:val="73"/>
              <w:autoSpaceDE w:val="0"/>
              <w:autoSpaceDN w:val="0"/>
              <w:spacing w:before="99"/>
              <w:ind w:right="151"/>
              <w:jc w:val="center"/>
              <w:rPr>
                <w:rFonts w:ascii="宋体" w:hAnsi="宋体" w:cs="宋体"/>
                <w:sz w:val="24"/>
                <w:szCs w:val="24"/>
                <w:lang w:eastAsia="en-US"/>
              </w:rPr>
            </w:pPr>
            <w:r>
              <w:rPr>
                <w:rFonts w:hint="eastAsia" w:ascii="宋体" w:hAnsi="宋体" w:cs="宋体"/>
                <w:sz w:val="24"/>
                <w:szCs w:val="24"/>
                <w:lang w:eastAsia="en-US"/>
              </w:rPr>
              <w:t>5</w:t>
            </w:r>
          </w:p>
        </w:tc>
        <w:tc>
          <w:tcPr>
            <w:tcW w:w="1185"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99"/>
              <w:ind w:left="175" w:right="45"/>
              <w:jc w:val="center"/>
              <w:rPr>
                <w:rFonts w:ascii="宋体" w:hAnsi="宋体" w:cs="宋体"/>
                <w:sz w:val="24"/>
                <w:szCs w:val="24"/>
                <w:lang w:eastAsia="en-US"/>
              </w:rPr>
            </w:pPr>
            <w:r>
              <w:rPr>
                <w:rFonts w:hint="eastAsia" w:ascii="宋体" w:hAnsi="宋体" w:cs="宋体"/>
                <w:sz w:val="24"/>
                <w:szCs w:val="24"/>
                <w:lang w:eastAsia="en-US"/>
              </w:rPr>
              <w:t>主路过滤芯</w:t>
            </w:r>
          </w:p>
        </w:tc>
        <w:tc>
          <w:tcPr>
            <w:tcW w:w="806"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99"/>
              <w:ind w:left="174" w:right="39"/>
              <w:jc w:val="center"/>
              <w:rPr>
                <w:rFonts w:ascii="宋体" w:hAnsi="宋体" w:cs="宋体"/>
                <w:sz w:val="24"/>
                <w:szCs w:val="24"/>
                <w:lang w:eastAsia="en-US"/>
              </w:rPr>
            </w:pPr>
            <w:r>
              <w:rPr>
                <w:rFonts w:hint="eastAsia" w:ascii="宋体" w:hAnsi="宋体" w:cs="宋体"/>
                <w:sz w:val="24"/>
                <w:szCs w:val="24"/>
                <w:lang w:eastAsia="en-US"/>
              </w:rPr>
              <w:t>阿特拉斯</w:t>
            </w:r>
          </w:p>
        </w:tc>
        <w:tc>
          <w:tcPr>
            <w:tcW w:w="797"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99"/>
              <w:ind w:left="151" w:right="18"/>
              <w:jc w:val="center"/>
              <w:rPr>
                <w:rFonts w:ascii="宋体" w:hAnsi="宋体" w:cs="宋体"/>
                <w:sz w:val="24"/>
                <w:szCs w:val="24"/>
                <w:lang w:eastAsia="en-US"/>
              </w:rPr>
            </w:pPr>
            <w:r>
              <w:rPr>
                <w:rFonts w:hint="eastAsia" w:ascii="宋体" w:hAnsi="宋体" w:cs="宋体"/>
                <w:sz w:val="24"/>
                <w:szCs w:val="24"/>
                <w:lang w:eastAsia="en-US"/>
              </w:rPr>
              <w:t>PD170</w:t>
            </w:r>
          </w:p>
        </w:tc>
        <w:tc>
          <w:tcPr>
            <w:tcW w:w="802"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99"/>
              <w:ind w:left="134"/>
              <w:jc w:val="center"/>
              <w:rPr>
                <w:rFonts w:ascii="宋体" w:hAnsi="宋体" w:cs="宋体"/>
                <w:sz w:val="24"/>
                <w:szCs w:val="24"/>
                <w:lang w:eastAsia="en-US"/>
              </w:rPr>
            </w:pPr>
            <w:r>
              <w:rPr>
                <w:rFonts w:hint="eastAsia" w:ascii="宋体" w:hAnsi="宋体" w:cs="宋体"/>
                <w:sz w:val="24"/>
                <w:szCs w:val="24"/>
                <w:lang w:eastAsia="en-US"/>
              </w:rPr>
              <w:t>8000 小时</w:t>
            </w:r>
          </w:p>
        </w:tc>
        <w:tc>
          <w:tcPr>
            <w:tcW w:w="508"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99"/>
              <w:jc w:val="center"/>
              <w:rPr>
                <w:rFonts w:ascii="宋体" w:hAnsi="宋体" w:cs="宋体"/>
                <w:sz w:val="24"/>
                <w:szCs w:val="24"/>
                <w:lang w:eastAsia="en-US"/>
              </w:rPr>
            </w:pPr>
            <w:r>
              <w:rPr>
                <w:rFonts w:hint="eastAsia" w:ascii="宋体" w:hAnsi="宋体" w:cs="宋体"/>
                <w:sz w:val="24"/>
                <w:szCs w:val="24"/>
                <w:lang w:eastAsia="en-US"/>
              </w:rPr>
              <w:t>4 个</w:t>
            </w:r>
          </w:p>
        </w:tc>
        <w:tc>
          <w:tcPr>
            <w:tcW w:w="498" w:type="pct"/>
            <w:tcBorders>
              <w:top w:val="single" w:color="000000" w:sz="6" w:space="0"/>
              <w:left w:val="single" w:color="000000" w:sz="6" w:space="0"/>
              <w:bottom w:val="single" w:color="000000" w:sz="6" w:space="0"/>
            </w:tcBorders>
          </w:tcPr>
          <w:p>
            <w:pPr>
              <w:pStyle w:val="73"/>
              <w:autoSpaceDE w:val="0"/>
              <w:autoSpaceDN w:val="0"/>
              <w:spacing w:before="99"/>
              <w:ind w:left="137"/>
              <w:jc w:val="center"/>
              <w:rPr>
                <w:rFonts w:ascii="宋体" w:hAnsi="宋体" w:cs="宋体"/>
                <w:sz w:val="24"/>
                <w:szCs w:val="24"/>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400" w:type="pct"/>
            <w:tcBorders>
              <w:top w:val="single" w:color="000000" w:sz="6" w:space="0"/>
              <w:bottom w:val="single" w:color="000000" w:sz="6" w:space="0"/>
              <w:right w:val="single" w:color="000000" w:sz="6" w:space="0"/>
            </w:tcBorders>
          </w:tcPr>
          <w:p>
            <w:pPr>
              <w:pStyle w:val="73"/>
              <w:autoSpaceDE w:val="0"/>
              <w:autoSpaceDN w:val="0"/>
              <w:spacing w:before="99"/>
              <w:ind w:right="151"/>
              <w:jc w:val="center"/>
              <w:rPr>
                <w:rFonts w:ascii="宋体" w:hAnsi="宋体" w:cs="宋体"/>
                <w:sz w:val="24"/>
                <w:szCs w:val="24"/>
                <w:lang w:eastAsia="en-US"/>
              </w:rPr>
            </w:pPr>
            <w:r>
              <w:rPr>
                <w:rFonts w:hint="eastAsia" w:ascii="宋体" w:hAnsi="宋体" w:cs="宋体"/>
                <w:sz w:val="24"/>
                <w:szCs w:val="24"/>
                <w:lang w:eastAsia="en-US"/>
              </w:rPr>
              <w:t>6</w:t>
            </w:r>
          </w:p>
        </w:tc>
        <w:tc>
          <w:tcPr>
            <w:tcW w:w="1185"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99"/>
              <w:ind w:left="177" w:right="45"/>
              <w:jc w:val="center"/>
              <w:rPr>
                <w:rFonts w:ascii="宋体" w:hAnsi="宋体" w:cs="宋体"/>
                <w:sz w:val="24"/>
                <w:szCs w:val="24"/>
                <w:lang w:eastAsia="en-US"/>
              </w:rPr>
            </w:pPr>
            <w:r>
              <w:rPr>
                <w:rFonts w:hint="eastAsia" w:ascii="宋体" w:hAnsi="宋体" w:cs="宋体"/>
                <w:sz w:val="24"/>
                <w:szCs w:val="24"/>
                <w:lang w:eastAsia="en-US"/>
              </w:rPr>
              <w:t>精密过滤芯 A</w:t>
            </w:r>
          </w:p>
        </w:tc>
        <w:tc>
          <w:tcPr>
            <w:tcW w:w="806"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99"/>
              <w:ind w:left="174" w:right="39"/>
              <w:jc w:val="center"/>
              <w:rPr>
                <w:rFonts w:ascii="宋体" w:hAnsi="宋体" w:cs="宋体"/>
                <w:sz w:val="24"/>
                <w:szCs w:val="24"/>
                <w:lang w:eastAsia="en-US"/>
              </w:rPr>
            </w:pPr>
            <w:r>
              <w:rPr>
                <w:rFonts w:hint="eastAsia" w:ascii="宋体" w:hAnsi="宋体" w:cs="宋体"/>
                <w:sz w:val="24"/>
                <w:szCs w:val="24"/>
                <w:lang w:eastAsia="en-US"/>
              </w:rPr>
              <w:t>阿特拉斯</w:t>
            </w:r>
          </w:p>
        </w:tc>
        <w:tc>
          <w:tcPr>
            <w:tcW w:w="797"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99"/>
              <w:ind w:left="151" w:right="18"/>
              <w:jc w:val="center"/>
              <w:rPr>
                <w:rFonts w:ascii="宋体" w:hAnsi="宋体" w:cs="宋体"/>
                <w:sz w:val="24"/>
                <w:szCs w:val="24"/>
                <w:lang w:eastAsia="en-US"/>
              </w:rPr>
            </w:pPr>
            <w:r>
              <w:rPr>
                <w:rFonts w:hint="eastAsia" w:ascii="宋体" w:hAnsi="宋体" w:cs="宋体"/>
                <w:sz w:val="24"/>
                <w:szCs w:val="24"/>
                <w:lang w:eastAsia="en-US"/>
              </w:rPr>
              <w:t>DD170</w:t>
            </w:r>
          </w:p>
        </w:tc>
        <w:tc>
          <w:tcPr>
            <w:tcW w:w="802"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99"/>
              <w:ind w:left="134"/>
              <w:jc w:val="center"/>
              <w:rPr>
                <w:rFonts w:ascii="宋体" w:hAnsi="宋体" w:cs="宋体"/>
                <w:sz w:val="24"/>
                <w:szCs w:val="24"/>
                <w:lang w:eastAsia="en-US"/>
              </w:rPr>
            </w:pPr>
            <w:r>
              <w:rPr>
                <w:rFonts w:hint="eastAsia" w:ascii="宋体" w:hAnsi="宋体" w:cs="宋体"/>
                <w:sz w:val="24"/>
                <w:szCs w:val="24"/>
                <w:lang w:eastAsia="en-US"/>
              </w:rPr>
              <w:t>8000 小时</w:t>
            </w:r>
          </w:p>
        </w:tc>
        <w:tc>
          <w:tcPr>
            <w:tcW w:w="508"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101"/>
              <w:jc w:val="center"/>
              <w:rPr>
                <w:rFonts w:ascii="宋体" w:hAnsi="宋体" w:cs="宋体"/>
                <w:sz w:val="24"/>
                <w:szCs w:val="24"/>
                <w:lang w:eastAsia="en-US"/>
              </w:rPr>
            </w:pPr>
            <w:r>
              <w:rPr>
                <w:rFonts w:hint="eastAsia" w:ascii="宋体" w:hAnsi="宋体" w:cs="宋体"/>
                <w:sz w:val="24"/>
                <w:szCs w:val="24"/>
                <w:lang w:eastAsia="en-US"/>
              </w:rPr>
              <w:t>4 个</w:t>
            </w:r>
          </w:p>
        </w:tc>
        <w:tc>
          <w:tcPr>
            <w:tcW w:w="498" w:type="pct"/>
            <w:tcBorders>
              <w:top w:val="single" w:color="000000" w:sz="6" w:space="0"/>
              <w:left w:val="single" w:color="000000" w:sz="6" w:space="0"/>
              <w:bottom w:val="single" w:color="000000" w:sz="6" w:space="0"/>
            </w:tcBorders>
          </w:tcPr>
          <w:p>
            <w:pPr>
              <w:pStyle w:val="73"/>
              <w:autoSpaceDE w:val="0"/>
              <w:autoSpaceDN w:val="0"/>
              <w:spacing w:before="99"/>
              <w:ind w:left="137"/>
              <w:jc w:val="center"/>
              <w:rPr>
                <w:rFonts w:ascii="宋体" w:hAnsi="宋体" w:cs="宋体"/>
                <w:sz w:val="24"/>
                <w:szCs w:val="24"/>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400" w:type="pct"/>
            <w:tcBorders>
              <w:top w:val="single" w:color="000000" w:sz="6" w:space="0"/>
              <w:bottom w:val="single" w:color="000000" w:sz="6" w:space="0"/>
              <w:right w:val="single" w:color="000000" w:sz="6" w:space="0"/>
            </w:tcBorders>
          </w:tcPr>
          <w:p>
            <w:pPr>
              <w:pStyle w:val="73"/>
              <w:autoSpaceDE w:val="0"/>
              <w:autoSpaceDN w:val="0"/>
              <w:spacing w:before="99"/>
              <w:ind w:right="151"/>
              <w:jc w:val="center"/>
              <w:rPr>
                <w:rFonts w:ascii="宋体" w:hAnsi="宋体" w:cs="宋体"/>
                <w:sz w:val="24"/>
                <w:szCs w:val="24"/>
                <w:lang w:eastAsia="en-US"/>
              </w:rPr>
            </w:pPr>
            <w:r>
              <w:rPr>
                <w:rFonts w:hint="eastAsia" w:ascii="宋体" w:hAnsi="宋体" w:cs="宋体"/>
                <w:sz w:val="24"/>
                <w:szCs w:val="24"/>
                <w:lang w:eastAsia="en-US"/>
              </w:rPr>
              <w:t>7</w:t>
            </w:r>
          </w:p>
        </w:tc>
        <w:tc>
          <w:tcPr>
            <w:tcW w:w="1185"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99"/>
              <w:ind w:left="177" w:right="45"/>
              <w:jc w:val="center"/>
              <w:rPr>
                <w:rFonts w:ascii="宋体" w:hAnsi="宋体" w:cs="宋体"/>
                <w:sz w:val="24"/>
                <w:szCs w:val="24"/>
                <w:lang w:eastAsia="en-US"/>
              </w:rPr>
            </w:pPr>
            <w:r>
              <w:rPr>
                <w:rFonts w:hint="eastAsia" w:ascii="宋体" w:hAnsi="宋体" w:cs="宋体"/>
                <w:sz w:val="24"/>
                <w:szCs w:val="24"/>
                <w:lang w:eastAsia="en-US"/>
              </w:rPr>
              <w:t>精密过滤芯 B</w:t>
            </w:r>
          </w:p>
        </w:tc>
        <w:tc>
          <w:tcPr>
            <w:tcW w:w="806"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99"/>
              <w:ind w:left="174" w:right="39"/>
              <w:jc w:val="center"/>
              <w:rPr>
                <w:rFonts w:ascii="宋体" w:hAnsi="宋体" w:cs="宋体"/>
                <w:sz w:val="24"/>
                <w:szCs w:val="24"/>
                <w:lang w:eastAsia="en-US"/>
              </w:rPr>
            </w:pPr>
            <w:r>
              <w:rPr>
                <w:rFonts w:hint="eastAsia" w:ascii="宋体" w:hAnsi="宋体" w:cs="宋体"/>
                <w:sz w:val="24"/>
                <w:szCs w:val="24"/>
                <w:lang w:eastAsia="en-US"/>
              </w:rPr>
              <w:t>阿特拉斯</w:t>
            </w:r>
          </w:p>
        </w:tc>
        <w:tc>
          <w:tcPr>
            <w:tcW w:w="797"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99"/>
              <w:ind w:left="151" w:right="18"/>
              <w:jc w:val="center"/>
              <w:rPr>
                <w:rFonts w:ascii="宋体" w:hAnsi="宋体" w:cs="宋体"/>
                <w:sz w:val="24"/>
                <w:szCs w:val="24"/>
                <w:lang w:eastAsia="en-US"/>
              </w:rPr>
            </w:pPr>
            <w:r>
              <w:rPr>
                <w:rFonts w:hint="eastAsia" w:ascii="宋体" w:hAnsi="宋体" w:cs="宋体"/>
                <w:sz w:val="24"/>
                <w:szCs w:val="24"/>
                <w:lang w:eastAsia="en-US"/>
              </w:rPr>
              <w:t>QD170</w:t>
            </w:r>
          </w:p>
        </w:tc>
        <w:tc>
          <w:tcPr>
            <w:tcW w:w="802"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99"/>
              <w:ind w:left="134"/>
              <w:jc w:val="center"/>
              <w:rPr>
                <w:rFonts w:ascii="宋体" w:hAnsi="宋体" w:cs="宋体"/>
                <w:sz w:val="24"/>
                <w:szCs w:val="24"/>
                <w:lang w:eastAsia="en-US"/>
              </w:rPr>
            </w:pPr>
            <w:r>
              <w:rPr>
                <w:rFonts w:hint="eastAsia" w:ascii="宋体" w:hAnsi="宋体" w:cs="宋体"/>
                <w:sz w:val="24"/>
                <w:szCs w:val="24"/>
                <w:lang w:eastAsia="en-US"/>
              </w:rPr>
              <w:t>8000 小时</w:t>
            </w:r>
          </w:p>
        </w:tc>
        <w:tc>
          <w:tcPr>
            <w:tcW w:w="508"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101"/>
              <w:jc w:val="center"/>
              <w:rPr>
                <w:rFonts w:ascii="宋体" w:hAnsi="宋体" w:cs="宋体"/>
                <w:sz w:val="24"/>
                <w:szCs w:val="24"/>
                <w:lang w:eastAsia="en-US"/>
              </w:rPr>
            </w:pPr>
            <w:r>
              <w:rPr>
                <w:rFonts w:hint="eastAsia" w:ascii="宋体" w:hAnsi="宋体" w:cs="宋体"/>
                <w:sz w:val="24"/>
                <w:szCs w:val="24"/>
                <w:lang w:eastAsia="en-US"/>
              </w:rPr>
              <w:t>4 个</w:t>
            </w:r>
          </w:p>
        </w:tc>
        <w:tc>
          <w:tcPr>
            <w:tcW w:w="498" w:type="pct"/>
            <w:tcBorders>
              <w:top w:val="single" w:color="000000" w:sz="6" w:space="0"/>
              <w:left w:val="single" w:color="000000" w:sz="6" w:space="0"/>
              <w:bottom w:val="single" w:color="000000" w:sz="6" w:space="0"/>
            </w:tcBorders>
          </w:tcPr>
          <w:p>
            <w:pPr>
              <w:pStyle w:val="73"/>
              <w:autoSpaceDE w:val="0"/>
              <w:autoSpaceDN w:val="0"/>
              <w:rPr>
                <w:rFonts w:ascii="宋体" w:hAnsi="宋体" w:cs="宋体"/>
                <w:sz w:val="24"/>
                <w:szCs w:val="24"/>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trPr>
        <w:tc>
          <w:tcPr>
            <w:tcW w:w="400" w:type="pct"/>
            <w:tcBorders>
              <w:top w:val="single" w:color="000000" w:sz="6" w:space="0"/>
              <w:bottom w:val="single" w:color="000000" w:sz="6" w:space="0"/>
              <w:right w:val="single" w:color="000000" w:sz="6" w:space="0"/>
            </w:tcBorders>
          </w:tcPr>
          <w:p>
            <w:pPr>
              <w:pStyle w:val="73"/>
              <w:autoSpaceDE w:val="0"/>
              <w:autoSpaceDN w:val="0"/>
              <w:spacing w:before="101"/>
              <w:ind w:right="151"/>
              <w:jc w:val="center"/>
              <w:rPr>
                <w:rFonts w:ascii="宋体" w:hAnsi="宋体" w:cs="宋体"/>
                <w:sz w:val="24"/>
                <w:szCs w:val="24"/>
                <w:lang w:eastAsia="en-US"/>
              </w:rPr>
            </w:pPr>
            <w:r>
              <w:rPr>
                <w:rFonts w:hint="eastAsia" w:ascii="宋体" w:hAnsi="宋体" w:cs="宋体"/>
                <w:sz w:val="24"/>
                <w:szCs w:val="24"/>
                <w:lang w:eastAsia="en-US"/>
              </w:rPr>
              <w:t>8</w:t>
            </w:r>
          </w:p>
        </w:tc>
        <w:tc>
          <w:tcPr>
            <w:tcW w:w="1185"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101"/>
              <w:ind w:left="177" w:right="45"/>
              <w:jc w:val="center"/>
              <w:rPr>
                <w:rFonts w:ascii="宋体" w:hAnsi="宋体" w:cs="宋体"/>
                <w:sz w:val="24"/>
                <w:szCs w:val="24"/>
                <w:lang w:eastAsia="en-US"/>
              </w:rPr>
            </w:pPr>
            <w:r>
              <w:rPr>
                <w:rFonts w:hint="eastAsia" w:ascii="宋体" w:hAnsi="宋体" w:cs="宋体"/>
                <w:sz w:val="24"/>
                <w:szCs w:val="24"/>
                <w:lang w:eastAsia="en-US"/>
              </w:rPr>
              <w:t>制氧机前滤芯</w:t>
            </w:r>
          </w:p>
        </w:tc>
        <w:tc>
          <w:tcPr>
            <w:tcW w:w="806"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101"/>
              <w:ind w:left="174" w:right="41"/>
              <w:jc w:val="center"/>
              <w:rPr>
                <w:rFonts w:ascii="宋体" w:hAnsi="宋体" w:cs="宋体"/>
                <w:sz w:val="24"/>
                <w:szCs w:val="24"/>
                <w:lang w:eastAsia="en-US"/>
              </w:rPr>
            </w:pPr>
            <w:r>
              <w:rPr>
                <w:rFonts w:hint="eastAsia" w:ascii="宋体" w:hAnsi="宋体" w:cs="宋体"/>
                <w:sz w:val="24"/>
                <w:szCs w:val="24"/>
                <w:lang w:eastAsia="en-US"/>
              </w:rPr>
              <w:t>Airsep</w:t>
            </w:r>
          </w:p>
        </w:tc>
        <w:tc>
          <w:tcPr>
            <w:tcW w:w="797"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101"/>
              <w:ind w:left="151" w:right="18"/>
              <w:jc w:val="center"/>
              <w:rPr>
                <w:rFonts w:ascii="宋体" w:hAnsi="宋体" w:cs="宋体"/>
                <w:sz w:val="24"/>
                <w:szCs w:val="24"/>
                <w:lang w:eastAsia="en-US"/>
              </w:rPr>
            </w:pPr>
            <w:r>
              <w:rPr>
                <w:rFonts w:hint="eastAsia" w:ascii="宋体" w:hAnsi="宋体" w:cs="宋体"/>
                <w:sz w:val="24"/>
                <w:szCs w:val="24"/>
                <w:lang w:eastAsia="en-US"/>
              </w:rPr>
              <w:t>HGAS-K</w:t>
            </w:r>
          </w:p>
        </w:tc>
        <w:tc>
          <w:tcPr>
            <w:tcW w:w="802"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101"/>
              <w:ind w:left="134"/>
              <w:jc w:val="center"/>
              <w:rPr>
                <w:rFonts w:ascii="宋体" w:hAnsi="宋体" w:cs="宋体"/>
                <w:sz w:val="24"/>
                <w:szCs w:val="24"/>
                <w:lang w:eastAsia="en-US"/>
              </w:rPr>
            </w:pPr>
            <w:r>
              <w:rPr>
                <w:rFonts w:hint="eastAsia" w:ascii="宋体" w:hAnsi="宋体" w:cs="宋体"/>
                <w:sz w:val="24"/>
                <w:szCs w:val="24"/>
                <w:lang w:eastAsia="en-US"/>
              </w:rPr>
              <w:t>8000 小时</w:t>
            </w:r>
          </w:p>
        </w:tc>
        <w:tc>
          <w:tcPr>
            <w:tcW w:w="508"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101"/>
              <w:jc w:val="center"/>
              <w:rPr>
                <w:rFonts w:ascii="宋体" w:hAnsi="宋体" w:cs="宋体"/>
                <w:sz w:val="24"/>
                <w:szCs w:val="24"/>
                <w:lang w:eastAsia="en-US"/>
              </w:rPr>
            </w:pPr>
            <w:r>
              <w:rPr>
                <w:rFonts w:hint="eastAsia" w:ascii="宋体" w:hAnsi="宋体" w:cs="宋体"/>
                <w:sz w:val="24"/>
                <w:szCs w:val="24"/>
                <w:lang w:eastAsia="en-US"/>
              </w:rPr>
              <w:t>4 个</w:t>
            </w:r>
          </w:p>
        </w:tc>
        <w:tc>
          <w:tcPr>
            <w:tcW w:w="498" w:type="pct"/>
            <w:tcBorders>
              <w:top w:val="single" w:color="000000" w:sz="6" w:space="0"/>
              <w:left w:val="single" w:color="000000" w:sz="6" w:space="0"/>
              <w:bottom w:val="single" w:color="000000" w:sz="6" w:space="0"/>
            </w:tcBorders>
          </w:tcPr>
          <w:p>
            <w:pPr>
              <w:pStyle w:val="73"/>
              <w:autoSpaceDE w:val="0"/>
              <w:autoSpaceDN w:val="0"/>
              <w:spacing w:before="101"/>
              <w:ind w:left="137"/>
              <w:jc w:val="center"/>
              <w:rPr>
                <w:rFonts w:ascii="宋体" w:hAnsi="宋体" w:cs="宋体"/>
                <w:sz w:val="24"/>
                <w:szCs w:val="24"/>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400" w:type="pct"/>
            <w:tcBorders>
              <w:top w:val="single" w:color="000000" w:sz="6" w:space="0"/>
              <w:bottom w:val="single" w:color="000000" w:sz="6" w:space="0"/>
              <w:right w:val="single" w:color="000000" w:sz="6" w:space="0"/>
            </w:tcBorders>
          </w:tcPr>
          <w:p>
            <w:pPr>
              <w:pStyle w:val="73"/>
              <w:autoSpaceDE w:val="0"/>
              <w:autoSpaceDN w:val="0"/>
              <w:spacing w:before="99"/>
              <w:ind w:right="151"/>
              <w:jc w:val="center"/>
              <w:rPr>
                <w:rFonts w:ascii="宋体" w:hAnsi="宋体" w:cs="宋体"/>
                <w:sz w:val="24"/>
                <w:szCs w:val="24"/>
                <w:lang w:eastAsia="en-US"/>
              </w:rPr>
            </w:pPr>
            <w:r>
              <w:rPr>
                <w:rFonts w:hint="eastAsia" w:ascii="宋体" w:hAnsi="宋体" w:cs="宋体"/>
                <w:sz w:val="24"/>
                <w:szCs w:val="24"/>
                <w:lang w:eastAsia="en-US"/>
              </w:rPr>
              <w:t>9</w:t>
            </w:r>
          </w:p>
        </w:tc>
        <w:tc>
          <w:tcPr>
            <w:tcW w:w="1185"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99"/>
              <w:ind w:left="177" w:right="45"/>
              <w:jc w:val="center"/>
              <w:rPr>
                <w:rFonts w:ascii="宋体" w:hAnsi="宋体" w:cs="宋体"/>
                <w:sz w:val="24"/>
                <w:szCs w:val="24"/>
                <w:lang w:eastAsia="en-US"/>
              </w:rPr>
            </w:pPr>
            <w:r>
              <w:rPr>
                <w:rFonts w:hint="eastAsia" w:ascii="宋体" w:hAnsi="宋体" w:cs="宋体"/>
                <w:sz w:val="24"/>
                <w:szCs w:val="24"/>
                <w:lang w:eastAsia="en-US"/>
              </w:rPr>
              <w:t>制氧机后滤芯</w:t>
            </w:r>
          </w:p>
        </w:tc>
        <w:tc>
          <w:tcPr>
            <w:tcW w:w="806"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99"/>
              <w:ind w:left="174" w:right="41"/>
              <w:jc w:val="center"/>
              <w:rPr>
                <w:rFonts w:ascii="宋体" w:hAnsi="宋体" w:cs="宋体"/>
                <w:sz w:val="24"/>
                <w:szCs w:val="24"/>
                <w:lang w:eastAsia="en-US"/>
              </w:rPr>
            </w:pPr>
            <w:r>
              <w:rPr>
                <w:rFonts w:hint="eastAsia" w:ascii="宋体" w:hAnsi="宋体" w:cs="宋体"/>
                <w:sz w:val="24"/>
                <w:szCs w:val="24"/>
                <w:lang w:eastAsia="en-US"/>
              </w:rPr>
              <w:t>Airsep</w:t>
            </w:r>
          </w:p>
        </w:tc>
        <w:tc>
          <w:tcPr>
            <w:tcW w:w="797"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99"/>
              <w:ind w:left="151" w:right="18"/>
              <w:jc w:val="center"/>
              <w:rPr>
                <w:rFonts w:ascii="宋体" w:hAnsi="宋体" w:cs="宋体"/>
                <w:sz w:val="24"/>
                <w:szCs w:val="24"/>
                <w:lang w:eastAsia="en-US"/>
              </w:rPr>
            </w:pPr>
            <w:r>
              <w:rPr>
                <w:rFonts w:hint="eastAsia" w:ascii="宋体" w:hAnsi="宋体" w:cs="宋体"/>
                <w:sz w:val="24"/>
                <w:szCs w:val="24"/>
                <w:lang w:eastAsia="en-US"/>
              </w:rPr>
              <w:t>HGAS-K</w:t>
            </w:r>
          </w:p>
        </w:tc>
        <w:tc>
          <w:tcPr>
            <w:tcW w:w="802"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99"/>
              <w:ind w:left="134"/>
              <w:jc w:val="center"/>
              <w:rPr>
                <w:rFonts w:ascii="宋体" w:hAnsi="宋体" w:cs="宋体"/>
                <w:sz w:val="24"/>
                <w:szCs w:val="24"/>
                <w:lang w:eastAsia="en-US"/>
              </w:rPr>
            </w:pPr>
            <w:r>
              <w:rPr>
                <w:rFonts w:hint="eastAsia" w:ascii="宋体" w:hAnsi="宋体" w:cs="宋体"/>
                <w:sz w:val="24"/>
                <w:szCs w:val="24"/>
                <w:lang w:eastAsia="en-US"/>
              </w:rPr>
              <w:t>8000 小时</w:t>
            </w:r>
          </w:p>
        </w:tc>
        <w:tc>
          <w:tcPr>
            <w:tcW w:w="508"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99"/>
              <w:jc w:val="center"/>
              <w:rPr>
                <w:rFonts w:ascii="宋体" w:hAnsi="宋体" w:cs="宋体"/>
                <w:sz w:val="24"/>
                <w:szCs w:val="24"/>
                <w:lang w:eastAsia="en-US"/>
              </w:rPr>
            </w:pPr>
            <w:r>
              <w:rPr>
                <w:rFonts w:hint="eastAsia" w:ascii="宋体" w:hAnsi="宋体" w:cs="宋体"/>
                <w:sz w:val="24"/>
                <w:szCs w:val="24"/>
                <w:lang w:eastAsia="en-US"/>
              </w:rPr>
              <w:t>4 个</w:t>
            </w:r>
          </w:p>
        </w:tc>
        <w:tc>
          <w:tcPr>
            <w:tcW w:w="498" w:type="pct"/>
            <w:tcBorders>
              <w:top w:val="single" w:color="000000" w:sz="6" w:space="0"/>
              <w:left w:val="single" w:color="000000" w:sz="6" w:space="0"/>
              <w:bottom w:val="single" w:color="000000" w:sz="6" w:space="0"/>
            </w:tcBorders>
          </w:tcPr>
          <w:p>
            <w:pPr>
              <w:pStyle w:val="73"/>
              <w:autoSpaceDE w:val="0"/>
              <w:autoSpaceDN w:val="0"/>
              <w:spacing w:before="99"/>
              <w:ind w:left="137"/>
              <w:jc w:val="center"/>
              <w:rPr>
                <w:rFonts w:ascii="宋体" w:hAnsi="宋体" w:cs="宋体"/>
                <w:sz w:val="24"/>
                <w:szCs w:val="24"/>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400" w:type="pct"/>
            <w:tcBorders>
              <w:top w:val="single" w:color="000000" w:sz="6" w:space="0"/>
              <w:bottom w:val="single" w:color="000000" w:sz="6" w:space="0"/>
              <w:right w:val="single" w:color="000000" w:sz="6" w:space="0"/>
            </w:tcBorders>
          </w:tcPr>
          <w:p>
            <w:pPr>
              <w:pStyle w:val="73"/>
              <w:autoSpaceDE w:val="0"/>
              <w:autoSpaceDN w:val="0"/>
              <w:spacing w:before="99"/>
              <w:ind w:right="98"/>
              <w:jc w:val="center"/>
              <w:rPr>
                <w:rFonts w:ascii="宋体" w:hAnsi="宋体" w:cs="宋体"/>
                <w:sz w:val="24"/>
                <w:szCs w:val="24"/>
                <w:lang w:eastAsia="en-US"/>
              </w:rPr>
            </w:pPr>
            <w:r>
              <w:rPr>
                <w:rFonts w:hint="eastAsia" w:ascii="宋体" w:hAnsi="宋体" w:cs="宋体"/>
                <w:sz w:val="24"/>
                <w:szCs w:val="24"/>
                <w:lang w:eastAsia="en-US"/>
              </w:rPr>
              <w:t>10</w:t>
            </w:r>
          </w:p>
        </w:tc>
        <w:tc>
          <w:tcPr>
            <w:tcW w:w="1185"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99"/>
              <w:ind w:left="175" w:right="45"/>
              <w:jc w:val="center"/>
              <w:rPr>
                <w:rFonts w:ascii="宋体" w:hAnsi="宋体" w:cs="宋体"/>
                <w:sz w:val="24"/>
                <w:szCs w:val="24"/>
                <w:lang w:eastAsia="en-US"/>
              </w:rPr>
            </w:pPr>
            <w:r>
              <w:rPr>
                <w:rFonts w:hint="eastAsia" w:ascii="宋体" w:hAnsi="宋体" w:cs="宋体"/>
                <w:sz w:val="24"/>
                <w:szCs w:val="24"/>
                <w:lang w:eastAsia="en-US"/>
              </w:rPr>
              <w:t>除菌过滤芯</w:t>
            </w:r>
          </w:p>
        </w:tc>
        <w:tc>
          <w:tcPr>
            <w:tcW w:w="806"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99"/>
              <w:ind w:left="174" w:right="41"/>
              <w:jc w:val="center"/>
              <w:rPr>
                <w:rFonts w:ascii="宋体" w:hAnsi="宋体" w:cs="宋体"/>
                <w:sz w:val="24"/>
                <w:szCs w:val="24"/>
                <w:lang w:eastAsia="en-US"/>
              </w:rPr>
            </w:pPr>
            <w:r>
              <w:rPr>
                <w:rFonts w:hint="eastAsia" w:ascii="宋体" w:hAnsi="宋体" w:cs="宋体"/>
                <w:sz w:val="24"/>
                <w:szCs w:val="24"/>
                <w:lang w:eastAsia="en-US"/>
              </w:rPr>
              <w:t>阿普达</w:t>
            </w:r>
          </w:p>
        </w:tc>
        <w:tc>
          <w:tcPr>
            <w:tcW w:w="797"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99"/>
              <w:ind w:left="151" w:right="20"/>
              <w:jc w:val="center"/>
              <w:rPr>
                <w:rFonts w:ascii="宋体" w:hAnsi="宋体" w:cs="宋体"/>
                <w:sz w:val="24"/>
                <w:szCs w:val="24"/>
                <w:lang w:eastAsia="en-US"/>
              </w:rPr>
            </w:pPr>
            <w:r>
              <w:rPr>
                <w:rFonts w:hint="eastAsia" w:ascii="宋体" w:hAnsi="宋体" w:cs="宋体"/>
                <w:sz w:val="24"/>
                <w:szCs w:val="24"/>
                <w:lang w:eastAsia="en-US"/>
              </w:rPr>
              <w:t>AM0216D</w:t>
            </w:r>
          </w:p>
        </w:tc>
        <w:tc>
          <w:tcPr>
            <w:tcW w:w="802"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99"/>
              <w:ind w:left="134"/>
              <w:jc w:val="center"/>
              <w:rPr>
                <w:rFonts w:ascii="宋体" w:hAnsi="宋体" w:cs="宋体"/>
                <w:sz w:val="24"/>
                <w:szCs w:val="24"/>
                <w:lang w:eastAsia="en-US"/>
              </w:rPr>
            </w:pPr>
            <w:r>
              <w:rPr>
                <w:rFonts w:hint="eastAsia" w:ascii="宋体" w:hAnsi="宋体" w:cs="宋体"/>
                <w:sz w:val="24"/>
                <w:szCs w:val="24"/>
                <w:lang w:eastAsia="en-US"/>
              </w:rPr>
              <w:t>8000 小时</w:t>
            </w:r>
          </w:p>
        </w:tc>
        <w:tc>
          <w:tcPr>
            <w:tcW w:w="508"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101"/>
              <w:jc w:val="center"/>
              <w:rPr>
                <w:rFonts w:ascii="宋体" w:hAnsi="宋体" w:cs="宋体"/>
                <w:sz w:val="24"/>
                <w:szCs w:val="24"/>
                <w:lang w:eastAsia="en-US"/>
              </w:rPr>
            </w:pPr>
            <w:r>
              <w:rPr>
                <w:rFonts w:hint="eastAsia" w:ascii="宋体" w:hAnsi="宋体" w:cs="宋体"/>
                <w:sz w:val="24"/>
                <w:szCs w:val="24"/>
                <w:lang w:eastAsia="en-US"/>
              </w:rPr>
              <w:t>2 个</w:t>
            </w:r>
          </w:p>
        </w:tc>
        <w:tc>
          <w:tcPr>
            <w:tcW w:w="498" w:type="pct"/>
            <w:tcBorders>
              <w:top w:val="single" w:color="000000" w:sz="6" w:space="0"/>
              <w:left w:val="single" w:color="000000" w:sz="6" w:space="0"/>
              <w:bottom w:val="single" w:color="000000" w:sz="6" w:space="0"/>
            </w:tcBorders>
          </w:tcPr>
          <w:p>
            <w:pPr>
              <w:pStyle w:val="73"/>
              <w:autoSpaceDE w:val="0"/>
              <w:autoSpaceDN w:val="0"/>
              <w:spacing w:before="99"/>
              <w:ind w:left="137"/>
              <w:jc w:val="center"/>
              <w:rPr>
                <w:rFonts w:ascii="宋体" w:hAnsi="宋体" w:cs="宋体"/>
                <w:sz w:val="24"/>
                <w:szCs w:val="24"/>
                <w:lang w:eastAsia="en-US"/>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400" w:type="pct"/>
            <w:tcBorders>
              <w:top w:val="single" w:color="000000" w:sz="6" w:space="0"/>
              <w:bottom w:val="single" w:color="000000" w:sz="6" w:space="0"/>
              <w:right w:val="single" w:color="000000" w:sz="6" w:space="0"/>
            </w:tcBorders>
          </w:tcPr>
          <w:p>
            <w:pPr>
              <w:pStyle w:val="73"/>
              <w:autoSpaceDE w:val="0"/>
              <w:autoSpaceDN w:val="0"/>
              <w:spacing w:before="99"/>
              <w:ind w:right="98"/>
              <w:jc w:val="center"/>
              <w:rPr>
                <w:rFonts w:ascii="宋体" w:hAnsi="宋体" w:cs="宋体"/>
                <w:sz w:val="24"/>
                <w:szCs w:val="24"/>
                <w:lang w:eastAsia="en-US"/>
              </w:rPr>
            </w:pPr>
            <w:r>
              <w:rPr>
                <w:rFonts w:hint="eastAsia" w:ascii="宋体" w:hAnsi="宋体" w:cs="宋体"/>
                <w:sz w:val="24"/>
                <w:szCs w:val="24"/>
                <w:lang w:eastAsia="en-US"/>
              </w:rPr>
              <w:t>11</w:t>
            </w:r>
          </w:p>
        </w:tc>
        <w:tc>
          <w:tcPr>
            <w:tcW w:w="1185"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99"/>
              <w:ind w:left="175" w:right="45"/>
              <w:jc w:val="center"/>
              <w:rPr>
                <w:rFonts w:ascii="宋体" w:hAnsi="宋体" w:cs="宋体"/>
                <w:sz w:val="24"/>
                <w:szCs w:val="24"/>
                <w:lang w:eastAsia="en-US"/>
              </w:rPr>
            </w:pPr>
            <w:r>
              <w:rPr>
                <w:rFonts w:hint="eastAsia" w:ascii="宋体" w:hAnsi="宋体" w:cs="宋体"/>
                <w:sz w:val="24"/>
                <w:szCs w:val="24"/>
                <w:lang w:eastAsia="en-US"/>
              </w:rPr>
              <w:t>人工差旅费</w:t>
            </w:r>
          </w:p>
        </w:tc>
        <w:tc>
          <w:tcPr>
            <w:tcW w:w="806"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99"/>
              <w:ind w:left="136"/>
              <w:jc w:val="center"/>
              <w:rPr>
                <w:rFonts w:ascii="宋体" w:hAnsi="宋体" w:cs="宋体"/>
                <w:sz w:val="24"/>
                <w:szCs w:val="24"/>
                <w:lang w:eastAsia="en-US"/>
              </w:rPr>
            </w:pPr>
          </w:p>
        </w:tc>
        <w:tc>
          <w:tcPr>
            <w:tcW w:w="797"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99"/>
              <w:ind w:left="131"/>
              <w:jc w:val="center"/>
              <w:rPr>
                <w:rFonts w:ascii="宋体" w:hAnsi="宋体" w:cs="宋体"/>
                <w:sz w:val="24"/>
                <w:szCs w:val="24"/>
                <w:lang w:eastAsia="en-US"/>
              </w:rPr>
            </w:pPr>
          </w:p>
        </w:tc>
        <w:tc>
          <w:tcPr>
            <w:tcW w:w="802"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99"/>
              <w:ind w:left="129"/>
              <w:jc w:val="center"/>
              <w:rPr>
                <w:rFonts w:ascii="宋体" w:hAnsi="宋体" w:cs="宋体"/>
                <w:sz w:val="24"/>
                <w:szCs w:val="24"/>
                <w:lang w:eastAsia="en-US"/>
              </w:rPr>
            </w:pPr>
          </w:p>
        </w:tc>
        <w:tc>
          <w:tcPr>
            <w:tcW w:w="508" w:type="pct"/>
            <w:tcBorders>
              <w:top w:val="single" w:color="000000" w:sz="6" w:space="0"/>
              <w:left w:val="single" w:color="000000" w:sz="6" w:space="0"/>
              <w:bottom w:val="single" w:color="000000" w:sz="6" w:space="0"/>
              <w:right w:val="single" w:color="000000" w:sz="6" w:space="0"/>
            </w:tcBorders>
          </w:tcPr>
          <w:p>
            <w:pPr>
              <w:pStyle w:val="73"/>
              <w:autoSpaceDE w:val="0"/>
              <w:autoSpaceDN w:val="0"/>
              <w:spacing w:before="101"/>
              <w:jc w:val="center"/>
              <w:rPr>
                <w:rFonts w:ascii="宋体" w:hAnsi="宋体" w:cs="宋体"/>
                <w:sz w:val="24"/>
                <w:szCs w:val="24"/>
                <w:lang w:eastAsia="en-US"/>
              </w:rPr>
            </w:pPr>
            <w:r>
              <w:rPr>
                <w:rFonts w:hint="eastAsia" w:ascii="宋体" w:hAnsi="宋体" w:cs="宋体"/>
                <w:sz w:val="24"/>
                <w:szCs w:val="24"/>
                <w:lang w:eastAsia="en-US"/>
              </w:rPr>
              <w:t>2 年</w:t>
            </w:r>
          </w:p>
        </w:tc>
        <w:tc>
          <w:tcPr>
            <w:tcW w:w="498" w:type="pct"/>
            <w:tcBorders>
              <w:top w:val="single" w:color="000000" w:sz="6" w:space="0"/>
              <w:left w:val="single" w:color="000000" w:sz="6" w:space="0"/>
              <w:bottom w:val="single" w:color="000000" w:sz="6" w:space="0"/>
            </w:tcBorders>
          </w:tcPr>
          <w:p>
            <w:pPr>
              <w:pStyle w:val="73"/>
              <w:autoSpaceDE w:val="0"/>
              <w:autoSpaceDN w:val="0"/>
              <w:spacing w:before="99"/>
              <w:ind w:left="235" w:right="-15"/>
              <w:rPr>
                <w:rFonts w:ascii="宋体" w:hAnsi="宋体" w:cs="宋体"/>
                <w:sz w:val="24"/>
                <w:szCs w:val="24"/>
                <w:lang w:eastAsia="en-US"/>
              </w:rPr>
            </w:pPr>
          </w:p>
        </w:tc>
      </w:tr>
    </w:tbl>
    <w:p>
      <w:pPr>
        <w:pStyle w:val="75"/>
        <w:rPr>
          <w:rFonts w:hAnsi="宋体"/>
          <w:highlight w:val="yellow"/>
        </w:rPr>
      </w:pPr>
    </w:p>
    <w:p>
      <w:pPr>
        <w:rPr>
          <w:rFonts w:ascii="宋体" w:hAnsi="宋体" w:cs="宋体"/>
          <w:sz w:val="24"/>
          <w:szCs w:val="24"/>
          <w:highlight w:val="yellow"/>
        </w:rPr>
      </w:pPr>
    </w:p>
    <w:p>
      <w:pP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三、维保要求</w:t>
      </w:r>
    </w:p>
    <w:p>
      <w:pPr>
        <w:spacing w:beforeLines="50" w:afterLines="50"/>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1、承担制氧系统维护在维保期间的费用（包括更换的耗材、人工费、差旅费）；协助办理压力容器、计量仪表、安全阀、减压阀等拆装工作，对于压力表、安全阀、计量仪表、罐体的检测费用由院方承担。 </w:t>
      </w:r>
    </w:p>
    <w:p>
      <w:pPr>
        <w:spacing w:beforeLines="50" w:afterLines="50"/>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2、接到报修通知 5 分钟内响应，48 小时赶到现场进行抢修，一般故障在 12 小时内解决，如超过 48小时未能解决故障，以书面通知解释原因，并根据具体故障原因作出零配件暂代等相应的应急处理措施，保证医院中心制氧系统设备能够正常使用，同时做好资料存档。 </w:t>
      </w:r>
    </w:p>
    <w:p>
      <w:pPr>
        <w:spacing w:beforeLines="50" w:afterLines="50"/>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3、制定供氧系统运行故障的应急预案，并组织相关应急演练。 </w:t>
      </w:r>
    </w:p>
    <w:p>
      <w:pPr>
        <w:spacing w:beforeLines="50" w:afterLines="50"/>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4、公司派出专业售后服务人员，一年内提供不少于 4 次现场巡检工作，对医院的设备每季度进行维护巡查，并提供完整的巡检记录，同时免费为医院提供技术支持和远程服务。 </w:t>
      </w:r>
    </w:p>
    <w:p>
      <w:pPr>
        <w:spacing w:beforeLines="50" w:afterLines="50"/>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5、按照规范的时间、程序保养机组，及时更换耗材，让设备处于最佳运行状态。 </w:t>
      </w:r>
    </w:p>
    <w:p>
      <w:pPr>
        <w:spacing w:beforeLines="50" w:afterLines="50"/>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6、确保运行、保养范围内的设备及设施正常运行，使之性能达到原设计要求，并符合有关规范标准，确保设备及设施的完好率达到 100%，确保设备及设施的保养，检测覆盖率达到 100%。</w:t>
      </w:r>
    </w:p>
    <w:p>
      <w:pPr>
        <w:spacing w:beforeLines="50" w:afterLines="50"/>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7、提前做好维保计划，每季度对主设备等进行压力巡查，发现问题和隐患要提前处理，确保气体使用时不发生事故，保证不影响临床科室对医气的使用。 </w:t>
      </w:r>
    </w:p>
    <w:p>
      <w:pPr>
        <w:spacing w:beforeLines="50" w:afterLines="50"/>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8、在季节转换时期、强台风、暴雨过后，对设备进行全面检查，消除事故隐患。 </w:t>
      </w:r>
    </w:p>
    <w:p>
      <w:pPr>
        <w:spacing w:beforeLines="50" w:afterLines="50"/>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9、机房为设备重地，须严禁烟火！为确保设备安全运行，在</w:t>
      </w:r>
      <w:r>
        <w:rPr>
          <w:rFonts w:hint="eastAsia" w:ascii="宋体" w:hAnsi="宋体" w:cs="宋体"/>
          <w:color w:val="000000"/>
          <w:kern w:val="0"/>
          <w:sz w:val="24"/>
          <w:szCs w:val="24"/>
        </w:rPr>
        <w:t>维保方</w:t>
      </w:r>
      <w:r>
        <w:rPr>
          <w:rFonts w:hint="eastAsia" w:ascii="宋体" w:hAnsi="宋体" w:cs="宋体"/>
          <w:color w:val="000000" w:themeColor="text1"/>
          <w:kern w:val="0"/>
          <w:sz w:val="24"/>
          <w:szCs w:val="24"/>
          <w14:textFill>
            <w14:solidFill>
              <w14:schemeClr w14:val="tx1"/>
            </w14:solidFill>
          </w14:textFill>
        </w:rPr>
        <w:t>服务期间，不允许任何第三方或闲杂人员进入机房重地，以免引起不必要纠纷和安全隐患，</w:t>
      </w:r>
      <w:r>
        <w:rPr>
          <w:rFonts w:hint="eastAsia" w:ascii="宋体" w:hAnsi="宋体" w:cs="宋体"/>
          <w:color w:val="000000"/>
          <w:kern w:val="0"/>
          <w:sz w:val="24"/>
          <w:szCs w:val="24"/>
        </w:rPr>
        <w:t>维保方</w:t>
      </w:r>
      <w:r>
        <w:rPr>
          <w:rFonts w:hint="eastAsia" w:ascii="宋体" w:hAnsi="宋体" w:cs="宋体"/>
          <w:color w:val="000000" w:themeColor="text1"/>
          <w:kern w:val="0"/>
          <w:sz w:val="24"/>
          <w:szCs w:val="24"/>
          <w14:textFill>
            <w14:solidFill>
              <w14:schemeClr w14:val="tx1"/>
            </w14:solidFill>
          </w14:textFill>
        </w:rPr>
        <w:t>不承担由此引发的后果及责任。</w:t>
      </w:r>
    </w:p>
    <w:p>
      <w:pPr>
        <w:rPr>
          <w:rFonts w:ascii="宋体" w:hAnsi="宋体" w:cs="宋体"/>
          <w:sz w:val="24"/>
          <w:szCs w:val="24"/>
          <w:highlight w:val="yellow"/>
        </w:rPr>
      </w:pPr>
    </w:p>
    <w:p>
      <w:pPr>
        <w:spacing w:beforeLines="50" w:afterLines="50"/>
        <w:jc w:val="left"/>
        <w:rPr>
          <w:rFonts w:ascii="宋体" w:hAnsi="宋体" w:cs="宋体"/>
          <w:b/>
          <w:bCs/>
          <w:sz w:val="24"/>
          <w:szCs w:val="24"/>
        </w:rPr>
      </w:pPr>
      <w:r>
        <w:rPr>
          <w:rFonts w:hint="eastAsia" w:ascii="宋体" w:hAnsi="宋体" w:cs="宋体"/>
          <w:b/>
          <w:bCs/>
          <w:sz w:val="24"/>
          <w:szCs w:val="24"/>
        </w:rPr>
        <w:t>四、维保售后</w:t>
      </w:r>
    </w:p>
    <w:p>
      <w:pPr>
        <w:spacing w:beforeLines="50" w:afterLines="50"/>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1、按照合同约定的期限进行维保。</w:t>
      </w:r>
    </w:p>
    <w:p>
      <w:pPr>
        <w:spacing w:beforeLines="50" w:afterLines="50"/>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维保期内接到报修通知5分钟内响应，48小时赶到现场进行抢修，一般故障在12小时内解决，如超过48小时未能解决故障，以书面通知解释原因，并根据具体故障原因作出零配件暂代等相应的应急处理措施，保证医院中心制氧系统设备能够正常使用，同时做好资料存档。</w:t>
      </w:r>
    </w:p>
    <w:p>
      <w:pPr>
        <w:widowControl/>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3、做好维保时的安全防范措施。如因维保过程中出现安全事故，所导致的一切相关损失及责任由维保方承担。</w:t>
      </w:r>
    </w:p>
    <w:p>
      <w:pPr>
        <w:ind w:firstLine="360" w:firstLineChars="150"/>
        <w:rPr>
          <w:rFonts w:ascii="宋体" w:hAnsi="宋体" w:cs="宋体"/>
          <w:sz w:val="28"/>
          <w:szCs w:val="28"/>
        </w:rPr>
      </w:pPr>
      <w:r>
        <w:rPr>
          <w:rFonts w:hint="eastAsia" w:ascii="宋体" w:hAnsi="宋体" w:cs="宋体"/>
          <w:color w:val="000000"/>
          <w:kern w:val="0"/>
          <w:sz w:val="24"/>
          <w:szCs w:val="24"/>
        </w:rPr>
        <w:t>4、维保过程中产生垃圾及时清理。如延时或上级部门检查发现问题进行处理，所有的责任由维保方承担。</w:t>
      </w:r>
    </w:p>
    <w:p>
      <w:pPr>
        <w:pStyle w:val="20"/>
        <w:rPr>
          <w:highlight w:val="yellow"/>
        </w:rPr>
      </w:pPr>
    </w:p>
    <w:p>
      <w:pPr>
        <w:rPr>
          <w:rFonts w:asciiTheme="minorEastAsia" w:hAnsiTheme="minorEastAsia" w:eastAsiaTheme="minorEastAsia"/>
          <w:b/>
          <w:bCs/>
          <w:szCs w:val="21"/>
          <w:highlight w:val="yellow"/>
        </w:rPr>
      </w:pPr>
      <w:r>
        <w:rPr>
          <w:rFonts w:hint="eastAsia"/>
          <w:b/>
          <w:bCs/>
        </w:rPr>
        <w:t>标项二：</w:t>
      </w:r>
      <w:r>
        <w:rPr>
          <w:rFonts w:hint="eastAsia" w:cs="宋体" w:asciiTheme="minorEastAsia" w:hAnsiTheme="minorEastAsia" w:eastAsiaTheme="minorEastAsia"/>
          <w:kern w:val="0"/>
          <w:szCs w:val="21"/>
        </w:rPr>
        <w:t>医疗废物追溯系统在线维保服务项目</w:t>
      </w:r>
    </w:p>
    <w:p>
      <w:pPr>
        <w:pStyle w:val="75"/>
        <w:rPr>
          <w:rFonts w:hAnsi="宋体"/>
          <w:b/>
          <w:bCs/>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一、技术参数</w:t>
      </w:r>
    </w:p>
    <w:tbl>
      <w:tblPr>
        <w:tblStyle w:val="3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3"/>
        <w:gridCol w:w="2309"/>
        <w:gridCol w:w="964"/>
        <w:gridCol w:w="703"/>
        <w:gridCol w:w="14"/>
        <w:gridCol w:w="3809"/>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723" w:type="dxa"/>
            <w:gridSpan w:val="2"/>
          </w:tcPr>
          <w:p>
            <w:pPr>
              <w:spacing w:line="360" w:lineRule="auto"/>
              <w:rPr>
                <w:rFonts w:ascii="宋体" w:hAnsi="宋体" w:cs="宋体"/>
                <w:sz w:val="24"/>
                <w:szCs w:val="24"/>
              </w:rPr>
            </w:pPr>
            <w:r>
              <w:rPr>
                <w:rFonts w:hint="eastAsia" w:ascii="宋体" w:hAnsi="宋体" w:cs="宋体"/>
                <w:sz w:val="24"/>
                <w:szCs w:val="24"/>
              </w:rPr>
              <w:t>序号</w:t>
            </w:r>
          </w:p>
        </w:tc>
        <w:tc>
          <w:tcPr>
            <w:tcW w:w="2309" w:type="dxa"/>
          </w:tcPr>
          <w:p>
            <w:pPr>
              <w:spacing w:line="360" w:lineRule="auto"/>
              <w:rPr>
                <w:rFonts w:ascii="宋体" w:hAnsi="宋体" w:cs="宋体"/>
                <w:sz w:val="24"/>
                <w:szCs w:val="24"/>
              </w:rPr>
            </w:pPr>
            <w:r>
              <w:rPr>
                <w:rFonts w:hint="eastAsia" w:ascii="宋体" w:hAnsi="宋体" w:cs="宋体"/>
                <w:sz w:val="24"/>
                <w:szCs w:val="24"/>
              </w:rPr>
              <w:t>项目</w:t>
            </w:r>
          </w:p>
        </w:tc>
        <w:tc>
          <w:tcPr>
            <w:tcW w:w="964" w:type="dxa"/>
          </w:tcPr>
          <w:p>
            <w:pPr>
              <w:spacing w:line="360" w:lineRule="auto"/>
              <w:rPr>
                <w:rFonts w:ascii="宋体" w:hAnsi="宋体" w:cs="宋体"/>
                <w:sz w:val="24"/>
                <w:szCs w:val="24"/>
              </w:rPr>
            </w:pPr>
            <w:r>
              <w:rPr>
                <w:rFonts w:hint="eastAsia" w:ascii="宋体" w:hAnsi="宋体" w:cs="宋体"/>
                <w:sz w:val="24"/>
                <w:szCs w:val="24"/>
              </w:rPr>
              <w:t>数量</w:t>
            </w:r>
          </w:p>
        </w:tc>
        <w:tc>
          <w:tcPr>
            <w:tcW w:w="703" w:type="dxa"/>
          </w:tcPr>
          <w:p>
            <w:pPr>
              <w:spacing w:line="360" w:lineRule="auto"/>
              <w:rPr>
                <w:rFonts w:ascii="宋体" w:hAnsi="宋体" w:cs="宋体"/>
                <w:sz w:val="24"/>
                <w:szCs w:val="24"/>
              </w:rPr>
            </w:pPr>
            <w:r>
              <w:rPr>
                <w:rFonts w:hint="eastAsia" w:ascii="宋体" w:hAnsi="宋体" w:cs="宋体"/>
                <w:sz w:val="24"/>
                <w:szCs w:val="24"/>
              </w:rPr>
              <w:t>单位</w:t>
            </w:r>
          </w:p>
        </w:tc>
        <w:tc>
          <w:tcPr>
            <w:tcW w:w="3823" w:type="dxa"/>
            <w:gridSpan w:val="2"/>
          </w:tcPr>
          <w:p>
            <w:pPr>
              <w:spacing w:line="360" w:lineRule="auto"/>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spacing w:line="360" w:lineRule="auto"/>
              <w:jc w:val="center"/>
              <w:rPr>
                <w:rFonts w:ascii="宋体" w:hAnsi="宋体" w:cs="宋体"/>
                <w:sz w:val="24"/>
                <w:szCs w:val="24"/>
              </w:rPr>
            </w:pPr>
            <w:r>
              <w:rPr>
                <w:rFonts w:hint="eastAsia" w:ascii="宋体" w:hAnsi="宋体" w:cs="宋体"/>
                <w:sz w:val="24"/>
                <w:szCs w:val="24"/>
              </w:rPr>
              <w:t>1</w:t>
            </w:r>
          </w:p>
        </w:tc>
        <w:tc>
          <w:tcPr>
            <w:tcW w:w="2322" w:type="dxa"/>
            <w:gridSpan w:val="2"/>
          </w:tcPr>
          <w:p>
            <w:pPr>
              <w:spacing w:line="360" w:lineRule="auto"/>
              <w:rPr>
                <w:rFonts w:ascii="宋体" w:hAnsi="宋体" w:cs="宋体"/>
                <w:sz w:val="24"/>
                <w:szCs w:val="24"/>
              </w:rPr>
            </w:pPr>
            <w:r>
              <w:rPr>
                <w:rFonts w:hint="eastAsia" w:ascii="宋体" w:hAnsi="宋体" w:cs="宋体"/>
                <w:sz w:val="24"/>
                <w:szCs w:val="24"/>
              </w:rPr>
              <w:t>软件系统维护（含远程维护与现场服务）</w:t>
            </w:r>
          </w:p>
        </w:tc>
        <w:tc>
          <w:tcPr>
            <w:tcW w:w="964" w:type="dxa"/>
          </w:tcPr>
          <w:p>
            <w:pPr>
              <w:spacing w:line="360" w:lineRule="auto"/>
              <w:jc w:val="center"/>
              <w:rPr>
                <w:rFonts w:ascii="宋体" w:hAnsi="宋体" w:cs="宋体"/>
                <w:sz w:val="24"/>
                <w:szCs w:val="24"/>
              </w:rPr>
            </w:pPr>
            <w:r>
              <w:rPr>
                <w:rFonts w:hint="eastAsia" w:ascii="宋体" w:hAnsi="宋体" w:cs="宋体"/>
                <w:sz w:val="24"/>
                <w:szCs w:val="24"/>
              </w:rPr>
              <w:t>2</w:t>
            </w:r>
          </w:p>
        </w:tc>
        <w:tc>
          <w:tcPr>
            <w:tcW w:w="717" w:type="dxa"/>
            <w:gridSpan w:val="2"/>
          </w:tcPr>
          <w:p>
            <w:pPr>
              <w:spacing w:line="360" w:lineRule="auto"/>
              <w:jc w:val="center"/>
              <w:rPr>
                <w:rFonts w:ascii="宋体" w:hAnsi="宋体" w:cs="宋体"/>
                <w:sz w:val="24"/>
                <w:szCs w:val="24"/>
              </w:rPr>
            </w:pPr>
            <w:r>
              <w:rPr>
                <w:rFonts w:hint="eastAsia" w:ascii="宋体" w:hAnsi="宋体" w:cs="宋体"/>
                <w:sz w:val="24"/>
                <w:szCs w:val="24"/>
              </w:rPr>
              <w:t>年次</w:t>
            </w:r>
          </w:p>
        </w:tc>
        <w:tc>
          <w:tcPr>
            <w:tcW w:w="3816" w:type="dxa"/>
            <w:gridSpan w:val="2"/>
          </w:tcPr>
          <w:p>
            <w:pPr>
              <w:spacing w:line="360" w:lineRule="auto"/>
              <w:rPr>
                <w:rFonts w:ascii="宋体" w:hAnsi="宋体" w:cs="宋体"/>
                <w:sz w:val="24"/>
                <w:szCs w:val="24"/>
              </w:rPr>
            </w:pPr>
            <w:r>
              <w:rPr>
                <w:rFonts w:hint="eastAsia" w:ascii="宋体" w:hAnsi="宋体" w:cs="宋体"/>
                <w:sz w:val="24"/>
                <w:szCs w:val="24"/>
              </w:rPr>
              <w:t>包含物联网卡资费，云服务器资费；</w:t>
            </w:r>
          </w:p>
          <w:p>
            <w:pPr>
              <w:pStyle w:val="10"/>
              <w:spacing w:line="360" w:lineRule="auto"/>
              <w:rPr>
                <w:rFonts w:ascii="宋体" w:hAnsi="宋体" w:cs="宋体"/>
                <w:sz w:val="24"/>
              </w:rPr>
            </w:pPr>
            <w:r>
              <w:rPr>
                <w:rFonts w:hint="eastAsia" w:ascii="宋体" w:hAnsi="宋体" w:cs="宋体"/>
                <w:sz w:val="24"/>
              </w:rPr>
              <w:t>软件更新升级，响应平台要求，以及相关政策法规变化，对医废系统进行升级。</w:t>
            </w:r>
          </w:p>
          <w:p>
            <w:pPr>
              <w:pStyle w:val="15"/>
              <w:spacing w:line="360" w:lineRule="auto"/>
              <w:ind w:left="0" w:leftChars="0"/>
              <w:rPr>
                <w:rFonts w:ascii="宋体" w:hAnsi="宋体" w:cs="宋体"/>
                <w:sz w:val="24"/>
                <w:szCs w:val="24"/>
                <w:highlight w:val="yellow"/>
              </w:rPr>
            </w:pPr>
            <w:r>
              <w:rPr>
                <w:rFonts w:hint="eastAsia" w:ascii="宋体" w:hAnsi="宋体" w:cs="宋体"/>
                <w:sz w:val="24"/>
                <w:szCs w:val="24"/>
              </w:rPr>
              <w:t>为医院其他业务系统等提供软件接口服务。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spacing w:line="360" w:lineRule="auto"/>
              <w:jc w:val="center"/>
              <w:rPr>
                <w:rFonts w:ascii="宋体" w:hAnsi="宋体" w:cs="宋体"/>
                <w:sz w:val="24"/>
                <w:szCs w:val="24"/>
              </w:rPr>
            </w:pPr>
            <w:r>
              <w:rPr>
                <w:rFonts w:hint="eastAsia" w:ascii="宋体" w:hAnsi="宋体" w:cs="宋体"/>
                <w:sz w:val="24"/>
                <w:szCs w:val="24"/>
              </w:rPr>
              <w:t>2</w:t>
            </w:r>
          </w:p>
        </w:tc>
        <w:tc>
          <w:tcPr>
            <w:tcW w:w="2322" w:type="dxa"/>
            <w:gridSpan w:val="2"/>
          </w:tcPr>
          <w:p>
            <w:pPr>
              <w:spacing w:line="360" w:lineRule="auto"/>
              <w:rPr>
                <w:rFonts w:ascii="宋体" w:hAnsi="宋体" w:cs="宋体"/>
                <w:sz w:val="24"/>
                <w:szCs w:val="24"/>
              </w:rPr>
            </w:pPr>
            <w:r>
              <w:rPr>
                <w:rFonts w:hint="eastAsia" w:ascii="宋体" w:hAnsi="宋体" w:cs="宋体"/>
                <w:sz w:val="24"/>
                <w:szCs w:val="24"/>
              </w:rPr>
              <w:t>物联网卡</w:t>
            </w:r>
          </w:p>
        </w:tc>
        <w:tc>
          <w:tcPr>
            <w:tcW w:w="964" w:type="dxa"/>
          </w:tcPr>
          <w:p>
            <w:pPr>
              <w:spacing w:line="360" w:lineRule="auto"/>
              <w:jc w:val="center"/>
              <w:rPr>
                <w:rFonts w:ascii="宋体" w:hAnsi="宋体" w:cs="宋体"/>
                <w:sz w:val="24"/>
                <w:szCs w:val="24"/>
              </w:rPr>
            </w:pPr>
            <w:r>
              <w:rPr>
                <w:rFonts w:hint="eastAsia" w:ascii="宋体" w:hAnsi="宋体" w:cs="宋体"/>
                <w:sz w:val="24"/>
                <w:szCs w:val="24"/>
              </w:rPr>
              <w:t>4</w:t>
            </w:r>
          </w:p>
        </w:tc>
        <w:tc>
          <w:tcPr>
            <w:tcW w:w="717" w:type="dxa"/>
            <w:gridSpan w:val="2"/>
          </w:tcPr>
          <w:p>
            <w:pPr>
              <w:spacing w:line="360" w:lineRule="auto"/>
              <w:jc w:val="center"/>
              <w:rPr>
                <w:rFonts w:ascii="宋体" w:hAnsi="宋体" w:cs="宋体"/>
                <w:sz w:val="24"/>
                <w:szCs w:val="24"/>
              </w:rPr>
            </w:pPr>
            <w:r>
              <w:rPr>
                <w:rFonts w:hint="eastAsia" w:ascii="宋体" w:hAnsi="宋体" w:cs="宋体"/>
                <w:sz w:val="24"/>
                <w:szCs w:val="24"/>
              </w:rPr>
              <w:t>张</w:t>
            </w:r>
          </w:p>
        </w:tc>
        <w:tc>
          <w:tcPr>
            <w:tcW w:w="3816" w:type="dxa"/>
            <w:gridSpan w:val="2"/>
          </w:tcPr>
          <w:p>
            <w:pPr>
              <w:spacing w:line="360" w:lineRule="auto"/>
              <w:rPr>
                <w:rFonts w:ascii="宋体" w:hAnsi="宋体" w:cs="宋体"/>
                <w:sz w:val="24"/>
                <w:szCs w:val="24"/>
              </w:rPr>
            </w:pPr>
            <w:r>
              <w:rPr>
                <w:rFonts w:hint="eastAsia" w:ascii="宋体" w:hAnsi="宋体" w:cs="宋体"/>
                <w:sz w:val="24"/>
                <w:szCs w:val="24"/>
              </w:rPr>
              <w:t>按两年结款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spacing w:line="360" w:lineRule="auto"/>
              <w:jc w:val="center"/>
              <w:rPr>
                <w:rFonts w:ascii="宋体" w:hAnsi="宋体" w:cs="宋体"/>
                <w:sz w:val="24"/>
                <w:szCs w:val="24"/>
              </w:rPr>
            </w:pPr>
            <w:r>
              <w:rPr>
                <w:rFonts w:hint="eastAsia" w:ascii="宋体" w:hAnsi="宋体" w:cs="宋体"/>
                <w:sz w:val="24"/>
                <w:szCs w:val="24"/>
              </w:rPr>
              <w:t>3</w:t>
            </w:r>
          </w:p>
        </w:tc>
        <w:tc>
          <w:tcPr>
            <w:tcW w:w="2322" w:type="dxa"/>
            <w:gridSpan w:val="2"/>
          </w:tcPr>
          <w:p>
            <w:pPr>
              <w:spacing w:line="360" w:lineRule="auto"/>
              <w:rPr>
                <w:rFonts w:ascii="宋体" w:hAnsi="宋体" w:cs="宋体"/>
                <w:sz w:val="24"/>
                <w:szCs w:val="24"/>
              </w:rPr>
            </w:pPr>
            <w:r>
              <w:rPr>
                <w:rFonts w:hint="eastAsia" w:ascii="宋体" w:hAnsi="宋体" w:cs="宋体"/>
                <w:sz w:val="24"/>
                <w:szCs w:val="24"/>
              </w:rPr>
              <w:t>云服务器</w:t>
            </w:r>
          </w:p>
        </w:tc>
        <w:tc>
          <w:tcPr>
            <w:tcW w:w="964" w:type="dxa"/>
          </w:tcPr>
          <w:p>
            <w:pPr>
              <w:spacing w:line="360" w:lineRule="auto"/>
              <w:jc w:val="center"/>
              <w:rPr>
                <w:rFonts w:ascii="宋体" w:hAnsi="宋体" w:cs="宋体"/>
                <w:sz w:val="24"/>
                <w:szCs w:val="24"/>
              </w:rPr>
            </w:pPr>
            <w:r>
              <w:rPr>
                <w:rFonts w:hint="eastAsia" w:ascii="宋体" w:hAnsi="宋体" w:cs="宋体"/>
                <w:sz w:val="24"/>
                <w:szCs w:val="24"/>
              </w:rPr>
              <w:t>2</w:t>
            </w:r>
          </w:p>
        </w:tc>
        <w:tc>
          <w:tcPr>
            <w:tcW w:w="717" w:type="dxa"/>
            <w:gridSpan w:val="2"/>
          </w:tcPr>
          <w:p>
            <w:pPr>
              <w:spacing w:line="360" w:lineRule="auto"/>
              <w:jc w:val="center"/>
              <w:rPr>
                <w:rFonts w:ascii="宋体" w:hAnsi="宋体" w:cs="宋体"/>
                <w:sz w:val="24"/>
                <w:szCs w:val="24"/>
              </w:rPr>
            </w:pPr>
            <w:r>
              <w:rPr>
                <w:rFonts w:hint="eastAsia" w:ascii="宋体" w:hAnsi="宋体" w:cs="宋体"/>
                <w:sz w:val="24"/>
                <w:szCs w:val="24"/>
              </w:rPr>
              <w:t>年</w:t>
            </w:r>
          </w:p>
        </w:tc>
        <w:tc>
          <w:tcPr>
            <w:tcW w:w="3816" w:type="dxa"/>
            <w:gridSpan w:val="2"/>
          </w:tcPr>
          <w:p>
            <w:pPr>
              <w:spacing w:line="360" w:lineRule="auto"/>
              <w:rPr>
                <w:rFonts w:ascii="宋体" w:hAnsi="宋体" w:cs="宋体"/>
                <w:sz w:val="24"/>
                <w:szCs w:val="24"/>
              </w:rPr>
            </w:pPr>
            <w:r>
              <w:rPr>
                <w:rFonts w:hint="eastAsia" w:ascii="宋体" w:hAnsi="宋体" w:cs="宋体"/>
                <w:sz w:val="24"/>
                <w:szCs w:val="24"/>
              </w:rPr>
              <w:t>2年服务器资费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spacing w:line="360" w:lineRule="auto"/>
              <w:jc w:val="center"/>
              <w:rPr>
                <w:rFonts w:ascii="宋体" w:hAnsi="宋体" w:cs="宋体"/>
                <w:sz w:val="24"/>
                <w:szCs w:val="24"/>
              </w:rPr>
            </w:pPr>
            <w:r>
              <w:rPr>
                <w:rFonts w:hint="eastAsia" w:ascii="宋体" w:hAnsi="宋体" w:cs="宋体"/>
                <w:sz w:val="24"/>
                <w:szCs w:val="24"/>
              </w:rPr>
              <w:t>4</w:t>
            </w:r>
          </w:p>
        </w:tc>
        <w:tc>
          <w:tcPr>
            <w:tcW w:w="2322" w:type="dxa"/>
            <w:gridSpan w:val="2"/>
          </w:tcPr>
          <w:p>
            <w:pPr>
              <w:spacing w:line="360" w:lineRule="auto"/>
              <w:rPr>
                <w:rFonts w:ascii="宋体" w:hAnsi="宋体" w:cs="宋体"/>
                <w:sz w:val="24"/>
                <w:szCs w:val="24"/>
              </w:rPr>
            </w:pPr>
            <w:r>
              <w:rPr>
                <w:rFonts w:hint="eastAsia" w:ascii="宋体" w:hAnsi="宋体" w:cs="宋体"/>
                <w:sz w:val="24"/>
                <w:szCs w:val="24"/>
              </w:rPr>
              <w:t>医废转运车电池维保</w:t>
            </w:r>
          </w:p>
        </w:tc>
        <w:tc>
          <w:tcPr>
            <w:tcW w:w="964" w:type="dxa"/>
          </w:tcPr>
          <w:p>
            <w:pPr>
              <w:spacing w:line="360" w:lineRule="auto"/>
              <w:jc w:val="center"/>
              <w:rPr>
                <w:rFonts w:ascii="宋体" w:hAnsi="宋体" w:cs="宋体"/>
                <w:sz w:val="24"/>
                <w:szCs w:val="24"/>
              </w:rPr>
            </w:pPr>
            <w:r>
              <w:rPr>
                <w:rFonts w:hint="eastAsia" w:ascii="宋体" w:hAnsi="宋体" w:cs="宋体"/>
                <w:sz w:val="24"/>
                <w:szCs w:val="24"/>
              </w:rPr>
              <w:t>2</w:t>
            </w:r>
          </w:p>
        </w:tc>
        <w:tc>
          <w:tcPr>
            <w:tcW w:w="717" w:type="dxa"/>
            <w:gridSpan w:val="2"/>
          </w:tcPr>
          <w:p>
            <w:pPr>
              <w:spacing w:line="360" w:lineRule="auto"/>
              <w:jc w:val="center"/>
              <w:rPr>
                <w:rFonts w:ascii="宋体" w:hAnsi="宋体" w:cs="宋体"/>
                <w:sz w:val="24"/>
                <w:szCs w:val="24"/>
              </w:rPr>
            </w:pPr>
            <w:r>
              <w:rPr>
                <w:rFonts w:hint="eastAsia" w:ascii="宋体" w:hAnsi="宋体" w:cs="宋体"/>
                <w:sz w:val="24"/>
                <w:szCs w:val="24"/>
              </w:rPr>
              <w:t>年</w:t>
            </w:r>
          </w:p>
        </w:tc>
        <w:tc>
          <w:tcPr>
            <w:tcW w:w="3816" w:type="dxa"/>
            <w:gridSpan w:val="2"/>
          </w:tcPr>
          <w:p>
            <w:pPr>
              <w:spacing w:line="360" w:lineRule="auto"/>
              <w:rPr>
                <w:rFonts w:ascii="宋体" w:hAnsi="宋体" w:cs="宋体"/>
                <w:sz w:val="24"/>
                <w:szCs w:val="24"/>
              </w:rPr>
            </w:pPr>
            <w:r>
              <w:rPr>
                <w:rFonts w:hint="eastAsia" w:ascii="宋体" w:hAnsi="宋体" w:cs="宋体"/>
                <w:sz w:val="24"/>
                <w:szCs w:val="24"/>
              </w:rPr>
              <w:t>不付费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spacing w:line="360" w:lineRule="auto"/>
              <w:jc w:val="center"/>
              <w:rPr>
                <w:rFonts w:ascii="宋体" w:hAnsi="宋体" w:cs="宋体"/>
                <w:sz w:val="24"/>
                <w:szCs w:val="24"/>
              </w:rPr>
            </w:pPr>
            <w:r>
              <w:rPr>
                <w:rFonts w:hint="eastAsia" w:ascii="宋体" w:hAnsi="宋体" w:cs="宋体"/>
                <w:sz w:val="24"/>
                <w:szCs w:val="24"/>
              </w:rPr>
              <w:t>5</w:t>
            </w:r>
          </w:p>
        </w:tc>
        <w:tc>
          <w:tcPr>
            <w:tcW w:w="2322" w:type="dxa"/>
            <w:gridSpan w:val="2"/>
          </w:tcPr>
          <w:p>
            <w:pPr>
              <w:spacing w:line="360" w:lineRule="auto"/>
              <w:rPr>
                <w:rFonts w:ascii="宋体" w:hAnsi="宋体" w:cs="宋体"/>
                <w:sz w:val="24"/>
                <w:szCs w:val="24"/>
              </w:rPr>
            </w:pPr>
            <w:r>
              <w:rPr>
                <w:rFonts w:hint="eastAsia" w:ascii="宋体" w:hAnsi="宋体" w:cs="宋体"/>
                <w:sz w:val="24"/>
                <w:szCs w:val="24"/>
              </w:rPr>
              <w:t>扫码枪维保</w:t>
            </w:r>
          </w:p>
        </w:tc>
        <w:tc>
          <w:tcPr>
            <w:tcW w:w="964" w:type="dxa"/>
          </w:tcPr>
          <w:p>
            <w:pPr>
              <w:spacing w:line="360" w:lineRule="auto"/>
              <w:jc w:val="center"/>
              <w:rPr>
                <w:rFonts w:ascii="宋体" w:hAnsi="宋体" w:cs="宋体"/>
                <w:sz w:val="24"/>
                <w:szCs w:val="24"/>
              </w:rPr>
            </w:pPr>
            <w:r>
              <w:rPr>
                <w:rFonts w:hint="eastAsia" w:ascii="宋体" w:hAnsi="宋体" w:cs="宋体"/>
                <w:sz w:val="24"/>
                <w:szCs w:val="24"/>
              </w:rPr>
              <w:t>2</w:t>
            </w:r>
          </w:p>
        </w:tc>
        <w:tc>
          <w:tcPr>
            <w:tcW w:w="717" w:type="dxa"/>
            <w:gridSpan w:val="2"/>
          </w:tcPr>
          <w:p>
            <w:pPr>
              <w:spacing w:line="360" w:lineRule="auto"/>
              <w:jc w:val="center"/>
              <w:rPr>
                <w:rFonts w:ascii="宋体" w:hAnsi="宋体" w:cs="宋体"/>
                <w:sz w:val="24"/>
                <w:szCs w:val="24"/>
              </w:rPr>
            </w:pPr>
            <w:r>
              <w:rPr>
                <w:rFonts w:hint="eastAsia" w:ascii="宋体" w:hAnsi="宋体" w:cs="宋体"/>
                <w:sz w:val="24"/>
                <w:szCs w:val="24"/>
              </w:rPr>
              <w:t>年</w:t>
            </w:r>
          </w:p>
        </w:tc>
        <w:tc>
          <w:tcPr>
            <w:tcW w:w="3816" w:type="dxa"/>
            <w:gridSpan w:val="2"/>
          </w:tcPr>
          <w:p>
            <w:pPr>
              <w:spacing w:line="360" w:lineRule="auto"/>
              <w:rPr>
                <w:rFonts w:ascii="宋体" w:hAnsi="宋体" w:cs="宋体"/>
                <w:sz w:val="24"/>
                <w:szCs w:val="24"/>
              </w:rPr>
            </w:pPr>
            <w:r>
              <w:rPr>
                <w:rFonts w:hint="eastAsia" w:ascii="宋体" w:hAnsi="宋体" w:cs="宋体"/>
                <w:sz w:val="24"/>
                <w:szCs w:val="24"/>
              </w:rPr>
              <w:t>不付费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spacing w:line="360" w:lineRule="auto"/>
              <w:jc w:val="center"/>
              <w:rPr>
                <w:rFonts w:ascii="宋体" w:hAnsi="宋体" w:cs="宋体"/>
                <w:sz w:val="24"/>
                <w:szCs w:val="24"/>
              </w:rPr>
            </w:pPr>
            <w:r>
              <w:rPr>
                <w:rFonts w:hint="eastAsia" w:ascii="宋体" w:hAnsi="宋体" w:cs="宋体"/>
                <w:sz w:val="24"/>
                <w:szCs w:val="24"/>
              </w:rPr>
              <w:t>6</w:t>
            </w:r>
          </w:p>
        </w:tc>
        <w:tc>
          <w:tcPr>
            <w:tcW w:w="2322" w:type="dxa"/>
            <w:gridSpan w:val="2"/>
          </w:tcPr>
          <w:p>
            <w:pPr>
              <w:spacing w:line="360" w:lineRule="auto"/>
              <w:rPr>
                <w:rFonts w:ascii="宋体" w:hAnsi="宋体" w:cs="宋体"/>
                <w:sz w:val="24"/>
                <w:szCs w:val="24"/>
              </w:rPr>
            </w:pPr>
            <w:r>
              <w:rPr>
                <w:rFonts w:hint="eastAsia" w:ascii="宋体" w:hAnsi="宋体" w:cs="宋体"/>
                <w:sz w:val="24"/>
                <w:szCs w:val="24"/>
              </w:rPr>
              <w:t>医疗垃圾转运车</w:t>
            </w:r>
          </w:p>
        </w:tc>
        <w:tc>
          <w:tcPr>
            <w:tcW w:w="964" w:type="dxa"/>
          </w:tcPr>
          <w:p>
            <w:pPr>
              <w:spacing w:line="360" w:lineRule="auto"/>
              <w:jc w:val="center"/>
              <w:rPr>
                <w:rFonts w:ascii="宋体" w:hAnsi="宋体" w:cs="宋体"/>
                <w:sz w:val="24"/>
                <w:szCs w:val="24"/>
              </w:rPr>
            </w:pPr>
            <w:r>
              <w:rPr>
                <w:rFonts w:hint="eastAsia" w:ascii="宋体" w:hAnsi="宋体" w:cs="宋体"/>
                <w:sz w:val="24"/>
                <w:szCs w:val="24"/>
              </w:rPr>
              <w:t>3</w:t>
            </w:r>
          </w:p>
        </w:tc>
        <w:tc>
          <w:tcPr>
            <w:tcW w:w="717" w:type="dxa"/>
            <w:gridSpan w:val="2"/>
          </w:tcPr>
          <w:p>
            <w:pPr>
              <w:spacing w:line="360" w:lineRule="auto"/>
              <w:jc w:val="center"/>
              <w:rPr>
                <w:rFonts w:ascii="宋体" w:hAnsi="宋体" w:cs="宋体"/>
                <w:sz w:val="24"/>
                <w:szCs w:val="24"/>
              </w:rPr>
            </w:pPr>
            <w:r>
              <w:rPr>
                <w:rFonts w:hint="eastAsia" w:ascii="宋体" w:hAnsi="宋体" w:cs="宋体"/>
                <w:sz w:val="24"/>
                <w:szCs w:val="24"/>
              </w:rPr>
              <w:t>年次</w:t>
            </w:r>
          </w:p>
        </w:tc>
        <w:tc>
          <w:tcPr>
            <w:tcW w:w="3816" w:type="dxa"/>
            <w:gridSpan w:val="2"/>
          </w:tcPr>
          <w:p>
            <w:pPr>
              <w:spacing w:line="360" w:lineRule="auto"/>
              <w:rPr>
                <w:rFonts w:ascii="宋体" w:hAnsi="宋体" w:cs="宋体"/>
                <w:sz w:val="24"/>
                <w:szCs w:val="24"/>
              </w:rPr>
            </w:pPr>
            <w:r>
              <w:rPr>
                <w:rFonts w:hint="eastAsia" w:ascii="宋体" w:hAnsi="宋体" w:cs="宋体"/>
                <w:sz w:val="24"/>
                <w:szCs w:val="24"/>
              </w:rPr>
              <w:t>维修及更换材料不付费，更新付费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spacing w:line="360" w:lineRule="auto"/>
              <w:jc w:val="center"/>
              <w:rPr>
                <w:rFonts w:ascii="宋体" w:hAnsi="宋体" w:cs="宋体"/>
                <w:sz w:val="24"/>
                <w:szCs w:val="24"/>
              </w:rPr>
            </w:pPr>
            <w:r>
              <w:rPr>
                <w:rFonts w:hint="eastAsia" w:ascii="宋体" w:hAnsi="宋体" w:cs="宋体"/>
                <w:sz w:val="24"/>
                <w:szCs w:val="24"/>
              </w:rPr>
              <w:t>7</w:t>
            </w:r>
          </w:p>
        </w:tc>
        <w:tc>
          <w:tcPr>
            <w:tcW w:w="2322" w:type="dxa"/>
            <w:gridSpan w:val="2"/>
          </w:tcPr>
          <w:p>
            <w:pPr>
              <w:spacing w:line="360" w:lineRule="auto"/>
              <w:rPr>
                <w:rFonts w:ascii="宋体" w:hAnsi="宋体" w:cs="宋体"/>
                <w:sz w:val="24"/>
                <w:szCs w:val="24"/>
              </w:rPr>
            </w:pPr>
            <w:r>
              <w:rPr>
                <w:rFonts w:hint="eastAsia" w:ascii="宋体" w:hAnsi="宋体" w:cs="宋体"/>
                <w:sz w:val="24"/>
                <w:szCs w:val="24"/>
              </w:rPr>
              <w:t>医疗垃圾电子秤</w:t>
            </w:r>
          </w:p>
        </w:tc>
        <w:tc>
          <w:tcPr>
            <w:tcW w:w="964" w:type="dxa"/>
          </w:tcPr>
          <w:p>
            <w:pPr>
              <w:spacing w:line="360" w:lineRule="auto"/>
              <w:jc w:val="center"/>
              <w:rPr>
                <w:rFonts w:ascii="宋体" w:hAnsi="宋体" w:cs="宋体"/>
                <w:sz w:val="24"/>
                <w:szCs w:val="24"/>
              </w:rPr>
            </w:pPr>
            <w:r>
              <w:rPr>
                <w:rFonts w:hint="eastAsia" w:ascii="宋体" w:hAnsi="宋体" w:cs="宋体"/>
                <w:sz w:val="24"/>
                <w:szCs w:val="24"/>
              </w:rPr>
              <w:t>2</w:t>
            </w:r>
          </w:p>
        </w:tc>
        <w:tc>
          <w:tcPr>
            <w:tcW w:w="717" w:type="dxa"/>
            <w:gridSpan w:val="2"/>
          </w:tcPr>
          <w:p>
            <w:pPr>
              <w:spacing w:line="360" w:lineRule="auto"/>
              <w:jc w:val="center"/>
              <w:rPr>
                <w:rFonts w:ascii="宋体" w:hAnsi="宋体" w:cs="宋体"/>
                <w:sz w:val="24"/>
                <w:szCs w:val="24"/>
              </w:rPr>
            </w:pPr>
            <w:r>
              <w:rPr>
                <w:rFonts w:hint="eastAsia" w:ascii="宋体" w:hAnsi="宋体" w:cs="宋体"/>
                <w:sz w:val="24"/>
                <w:szCs w:val="24"/>
              </w:rPr>
              <w:t>年次</w:t>
            </w:r>
          </w:p>
        </w:tc>
        <w:tc>
          <w:tcPr>
            <w:tcW w:w="3816" w:type="dxa"/>
            <w:gridSpan w:val="2"/>
          </w:tcPr>
          <w:p>
            <w:pPr>
              <w:spacing w:line="360" w:lineRule="auto"/>
              <w:rPr>
                <w:rFonts w:ascii="宋体" w:hAnsi="宋体" w:cs="宋体"/>
                <w:sz w:val="24"/>
                <w:szCs w:val="24"/>
              </w:rPr>
            </w:pPr>
            <w:r>
              <w:rPr>
                <w:rFonts w:hint="eastAsia" w:ascii="宋体" w:hAnsi="宋体" w:cs="宋体"/>
                <w:sz w:val="24"/>
                <w:szCs w:val="24"/>
              </w:rPr>
              <w:t>维修及更换材料不付费，更新付费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spacing w:line="360" w:lineRule="auto"/>
              <w:jc w:val="center"/>
              <w:rPr>
                <w:rFonts w:ascii="宋体" w:hAnsi="宋体" w:cs="宋体"/>
                <w:sz w:val="24"/>
                <w:szCs w:val="24"/>
              </w:rPr>
            </w:pPr>
            <w:r>
              <w:rPr>
                <w:rFonts w:hint="eastAsia" w:ascii="宋体" w:hAnsi="宋体" w:cs="宋体"/>
                <w:sz w:val="24"/>
                <w:szCs w:val="24"/>
              </w:rPr>
              <w:t>8</w:t>
            </w:r>
          </w:p>
        </w:tc>
        <w:tc>
          <w:tcPr>
            <w:tcW w:w="2322" w:type="dxa"/>
            <w:gridSpan w:val="2"/>
          </w:tcPr>
          <w:p>
            <w:pPr>
              <w:spacing w:line="360" w:lineRule="auto"/>
              <w:rPr>
                <w:rFonts w:ascii="宋体" w:hAnsi="宋体" w:cs="宋体"/>
                <w:sz w:val="24"/>
                <w:szCs w:val="24"/>
              </w:rPr>
            </w:pPr>
            <w:r>
              <w:rPr>
                <w:rFonts w:hint="eastAsia" w:ascii="宋体" w:hAnsi="宋体" w:cs="宋体"/>
                <w:sz w:val="24"/>
                <w:szCs w:val="24"/>
              </w:rPr>
              <w:t>电脑、监控充器、电器线等相关辅材</w:t>
            </w:r>
          </w:p>
        </w:tc>
        <w:tc>
          <w:tcPr>
            <w:tcW w:w="964" w:type="dxa"/>
          </w:tcPr>
          <w:p>
            <w:pPr>
              <w:spacing w:line="360" w:lineRule="auto"/>
              <w:jc w:val="center"/>
              <w:rPr>
                <w:rFonts w:ascii="宋体" w:hAnsi="宋体" w:cs="宋体"/>
                <w:sz w:val="24"/>
                <w:szCs w:val="24"/>
              </w:rPr>
            </w:pPr>
            <w:r>
              <w:rPr>
                <w:rFonts w:hint="eastAsia" w:ascii="宋体" w:hAnsi="宋体" w:cs="宋体"/>
                <w:sz w:val="24"/>
                <w:szCs w:val="24"/>
              </w:rPr>
              <w:t>一批</w:t>
            </w:r>
          </w:p>
        </w:tc>
        <w:tc>
          <w:tcPr>
            <w:tcW w:w="717" w:type="dxa"/>
            <w:gridSpan w:val="2"/>
          </w:tcPr>
          <w:p>
            <w:pPr>
              <w:spacing w:line="360" w:lineRule="auto"/>
              <w:jc w:val="center"/>
              <w:rPr>
                <w:rFonts w:ascii="宋体" w:hAnsi="宋体" w:cs="宋体"/>
                <w:sz w:val="24"/>
                <w:szCs w:val="24"/>
              </w:rPr>
            </w:pPr>
            <w:r>
              <w:rPr>
                <w:rFonts w:hint="eastAsia" w:ascii="宋体" w:hAnsi="宋体" w:cs="宋体"/>
                <w:sz w:val="24"/>
                <w:szCs w:val="24"/>
              </w:rPr>
              <w:t>年次</w:t>
            </w:r>
          </w:p>
        </w:tc>
        <w:tc>
          <w:tcPr>
            <w:tcW w:w="3816" w:type="dxa"/>
            <w:gridSpan w:val="2"/>
          </w:tcPr>
          <w:p>
            <w:pPr>
              <w:spacing w:line="360" w:lineRule="auto"/>
              <w:rPr>
                <w:rFonts w:ascii="宋体" w:hAnsi="宋体" w:cs="宋体"/>
                <w:sz w:val="24"/>
                <w:szCs w:val="24"/>
              </w:rPr>
            </w:pPr>
            <w:r>
              <w:rPr>
                <w:rFonts w:hint="eastAsia" w:ascii="宋体" w:hAnsi="宋体" w:cs="宋体"/>
                <w:sz w:val="24"/>
                <w:szCs w:val="24"/>
              </w:rPr>
              <w:t>维修不付费，更新付费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spacing w:line="360" w:lineRule="auto"/>
              <w:jc w:val="center"/>
              <w:rPr>
                <w:rFonts w:ascii="宋体" w:hAnsi="宋体" w:cs="宋体"/>
                <w:sz w:val="24"/>
                <w:szCs w:val="24"/>
              </w:rPr>
            </w:pPr>
            <w:r>
              <w:rPr>
                <w:rFonts w:hint="eastAsia" w:ascii="宋体" w:hAnsi="宋体" w:cs="宋体"/>
                <w:sz w:val="24"/>
                <w:szCs w:val="24"/>
              </w:rPr>
              <w:t>9</w:t>
            </w:r>
          </w:p>
        </w:tc>
        <w:tc>
          <w:tcPr>
            <w:tcW w:w="2322" w:type="dxa"/>
            <w:gridSpan w:val="2"/>
          </w:tcPr>
          <w:p>
            <w:pPr>
              <w:spacing w:line="360" w:lineRule="auto"/>
              <w:rPr>
                <w:rFonts w:ascii="宋体" w:hAnsi="宋体" w:cs="宋体"/>
                <w:sz w:val="24"/>
                <w:szCs w:val="24"/>
              </w:rPr>
            </w:pPr>
            <w:r>
              <w:rPr>
                <w:rFonts w:hint="eastAsia" w:ascii="宋体" w:hAnsi="宋体" w:cs="宋体"/>
                <w:sz w:val="24"/>
                <w:szCs w:val="24"/>
              </w:rPr>
              <w:t>打印机</w:t>
            </w:r>
          </w:p>
        </w:tc>
        <w:tc>
          <w:tcPr>
            <w:tcW w:w="964" w:type="dxa"/>
          </w:tcPr>
          <w:p>
            <w:pPr>
              <w:spacing w:line="360" w:lineRule="auto"/>
              <w:jc w:val="center"/>
              <w:rPr>
                <w:rFonts w:ascii="宋体" w:hAnsi="宋体" w:cs="宋体"/>
                <w:sz w:val="24"/>
                <w:szCs w:val="24"/>
              </w:rPr>
            </w:pPr>
            <w:r>
              <w:rPr>
                <w:rFonts w:hint="eastAsia" w:ascii="宋体" w:hAnsi="宋体" w:cs="宋体"/>
                <w:sz w:val="24"/>
                <w:szCs w:val="24"/>
              </w:rPr>
              <w:t>2</w:t>
            </w:r>
          </w:p>
        </w:tc>
        <w:tc>
          <w:tcPr>
            <w:tcW w:w="717" w:type="dxa"/>
            <w:gridSpan w:val="2"/>
          </w:tcPr>
          <w:p>
            <w:pPr>
              <w:spacing w:line="360" w:lineRule="auto"/>
              <w:jc w:val="center"/>
              <w:rPr>
                <w:rFonts w:ascii="宋体" w:hAnsi="宋体" w:cs="宋体"/>
                <w:sz w:val="24"/>
                <w:szCs w:val="24"/>
              </w:rPr>
            </w:pPr>
            <w:r>
              <w:rPr>
                <w:rFonts w:hint="eastAsia" w:ascii="宋体" w:hAnsi="宋体" w:cs="宋体"/>
                <w:sz w:val="24"/>
                <w:szCs w:val="24"/>
              </w:rPr>
              <w:t>年</w:t>
            </w:r>
          </w:p>
        </w:tc>
        <w:tc>
          <w:tcPr>
            <w:tcW w:w="3816" w:type="dxa"/>
            <w:gridSpan w:val="2"/>
          </w:tcPr>
          <w:p>
            <w:pPr>
              <w:spacing w:line="360" w:lineRule="auto"/>
              <w:rPr>
                <w:rFonts w:ascii="宋体" w:hAnsi="宋体" w:cs="宋体"/>
                <w:sz w:val="24"/>
                <w:szCs w:val="24"/>
              </w:rPr>
            </w:pPr>
            <w:r>
              <w:rPr>
                <w:rFonts w:hint="eastAsia" w:ascii="宋体" w:hAnsi="宋体" w:cs="宋体"/>
                <w:sz w:val="24"/>
                <w:szCs w:val="24"/>
              </w:rPr>
              <w:t>维修不付费，更新付费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spacing w:line="360" w:lineRule="auto"/>
              <w:jc w:val="center"/>
              <w:rPr>
                <w:rFonts w:ascii="宋体" w:hAnsi="宋体" w:cs="宋体"/>
                <w:sz w:val="24"/>
                <w:szCs w:val="24"/>
              </w:rPr>
            </w:pPr>
            <w:r>
              <w:rPr>
                <w:rFonts w:hint="eastAsia" w:ascii="宋体" w:hAnsi="宋体" w:cs="宋体"/>
                <w:sz w:val="24"/>
                <w:szCs w:val="24"/>
              </w:rPr>
              <w:t>10</w:t>
            </w:r>
          </w:p>
        </w:tc>
        <w:tc>
          <w:tcPr>
            <w:tcW w:w="2322" w:type="dxa"/>
            <w:gridSpan w:val="2"/>
          </w:tcPr>
          <w:p>
            <w:pPr>
              <w:spacing w:line="360" w:lineRule="auto"/>
              <w:rPr>
                <w:rFonts w:ascii="宋体" w:hAnsi="宋体" w:cs="宋体"/>
                <w:sz w:val="24"/>
                <w:szCs w:val="24"/>
              </w:rPr>
            </w:pPr>
            <w:r>
              <w:rPr>
                <w:rFonts w:hint="eastAsia" w:ascii="宋体" w:hAnsi="宋体" w:cs="宋体"/>
                <w:sz w:val="24"/>
                <w:szCs w:val="24"/>
              </w:rPr>
              <w:t>冰箱</w:t>
            </w:r>
          </w:p>
        </w:tc>
        <w:tc>
          <w:tcPr>
            <w:tcW w:w="964" w:type="dxa"/>
          </w:tcPr>
          <w:p>
            <w:pPr>
              <w:spacing w:line="360" w:lineRule="auto"/>
              <w:jc w:val="center"/>
              <w:rPr>
                <w:rFonts w:ascii="宋体" w:hAnsi="宋体" w:cs="宋体"/>
                <w:sz w:val="24"/>
                <w:szCs w:val="24"/>
              </w:rPr>
            </w:pPr>
            <w:r>
              <w:rPr>
                <w:rFonts w:hint="eastAsia" w:ascii="宋体" w:hAnsi="宋体" w:cs="宋体"/>
                <w:sz w:val="24"/>
                <w:szCs w:val="24"/>
              </w:rPr>
              <w:t>2</w:t>
            </w:r>
          </w:p>
        </w:tc>
        <w:tc>
          <w:tcPr>
            <w:tcW w:w="717" w:type="dxa"/>
            <w:gridSpan w:val="2"/>
          </w:tcPr>
          <w:p>
            <w:pPr>
              <w:spacing w:line="360" w:lineRule="auto"/>
              <w:jc w:val="center"/>
              <w:rPr>
                <w:rFonts w:ascii="宋体" w:hAnsi="宋体" w:cs="宋体"/>
                <w:sz w:val="24"/>
                <w:szCs w:val="24"/>
              </w:rPr>
            </w:pPr>
            <w:r>
              <w:rPr>
                <w:rFonts w:hint="eastAsia" w:ascii="宋体" w:hAnsi="宋体" w:cs="宋体"/>
                <w:sz w:val="24"/>
                <w:szCs w:val="24"/>
              </w:rPr>
              <w:t>年</w:t>
            </w:r>
          </w:p>
        </w:tc>
        <w:tc>
          <w:tcPr>
            <w:tcW w:w="3816" w:type="dxa"/>
            <w:gridSpan w:val="2"/>
          </w:tcPr>
          <w:p>
            <w:pPr>
              <w:spacing w:line="360" w:lineRule="auto"/>
              <w:rPr>
                <w:rFonts w:ascii="宋体" w:hAnsi="宋体" w:cs="宋体"/>
                <w:sz w:val="24"/>
                <w:szCs w:val="24"/>
              </w:rPr>
            </w:pPr>
            <w:r>
              <w:rPr>
                <w:rFonts w:hint="eastAsia" w:ascii="宋体" w:hAnsi="宋体" w:cs="宋体"/>
                <w:sz w:val="24"/>
                <w:szCs w:val="24"/>
              </w:rPr>
              <w:t>维修不付费，更新付费</w:t>
            </w:r>
          </w:p>
        </w:tc>
      </w:tr>
    </w:tbl>
    <w:p>
      <w:pPr>
        <w:rPr>
          <w:rFonts w:ascii="宋体" w:hAnsi="宋体" w:cs="宋体"/>
          <w:color w:val="000000" w:themeColor="text1"/>
          <w:kern w:val="0"/>
          <w:sz w:val="24"/>
          <w:szCs w:val="24"/>
          <w:highlight w:val="yellow"/>
          <w14:textFill>
            <w14:solidFill>
              <w14:schemeClr w14:val="tx1"/>
            </w14:solidFill>
          </w14:textFill>
        </w:rPr>
      </w:pPr>
    </w:p>
    <w:p>
      <w:pP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二、维保要求</w:t>
      </w:r>
    </w:p>
    <w:p>
      <w:pPr>
        <w:spacing w:beforeLines="50" w:afterLines="5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（一）远程技术支持与服务</w:t>
      </w:r>
    </w:p>
    <w:p>
      <w:pPr>
        <w:spacing w:beforeLines="50" w:afterLines="50"/>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1、提供远程服务电话，实行“集中受理、就近服务、跟踪回访的服务”原则。</w:t>
      </w:r>
    </w:p>
    <w:p>
      <w:pPr>
        <w:spacing w:beforeLines="50" w:afterLines="50"/>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2、提供电话、传真、电子邮件等方式指导医院使用系统，配备24小时值班电话,保证工程师手机24小时开机，可即时响应故障。</w:t>
      </w:r>
    </w:p>
    <w:p>
      <w:pPr>
        <w:spacing w:beforeLines="50" w:afterLines="50"/>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3、提供微信、QQ视频等网上远程方式维护系统。</w:t>
      </w:r>
    </w:p>
    <w:p>
      <w:pPr>
        <w:spacing w:beforeLines="50" w:afterLines="50"/>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4、提供系统的服务方案、售后联系人信息、售后服务管理体系认证等；</w:t>
      </w:r>
    </w:p>
    <w:p>
      <w:pPr>
        <w:spacing w:beforeLines="50" w:afterLines="5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（二）现场服务</w:t>
      </w:r>
    </w:p>
    <w:p>
      <w:pPr>
        <w:spacing w:beforeLines="50" w:afterLines="50"/>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1、当系统出现一般性故障(不影响系统使用)，但电话或网上远程不能解决，可安排工程师2个工作日内上门服务。</w:t>
      </w:r>
    </w:p>
    <w:p>
      <w:pPr>
        <w:spacing w:beforeLines="50" w:afterLines="50"/>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2、当系统出现全局性故障，明显影响系统使用，如果电话或网上远程不能解决时，将安排工程师乘坐最快捷的交通工具在2小时内到达现场解决问题。</w:t>
      </w:r>
    </w:p>
    <w:p>
      <w:pPr>
        <w:spacing w:beforeLines="50" w:afterLines="50"/>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3、接受医院软件产品的使用咨询。</w:t>
      </w:r>
    </w:p>
    <w:p>
      <w:pPr>
        <w:spacing w:beforeLines="50" w:afterLines="50"/>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4、对医院在使用软件过程中所发现的程序错误进行修正。</w:t>
      </w:r>
    </w:p>
    <w:p>
      <w:pPr>
        <w:spacing w:beforeLines="50" w:afterLines="50"/>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5、在医院其他业务系统对接时，提供接口开发，不再另收费用（投标人提供承诺函）。</w:t>
      </w:r>
    </w:p>
    <w:p>
      <w:pPr>
        <w:rPr>
          <w:rFonts w:ascii="宋体" w:hAnsi="宋体" w:cs="宋体"/>
          <w:sz w:val="24"/>
          <w:szCs w:val="24"/>
          <w:highlight w:val="yellow"/>
        </w:rPr>
      </w:pPr>
    </w:p>
    <w:p>
      <w:pPr>
        <w:spacing w:beforeLines="50" w:afterLines="50"/>
        <w:jc w:val="left"/>
        <w:rPr>
          <w:rFonts w:ascii="宋体" w:hAnsi="宋体" w:cs="宋体"/>
          <w:b/>
          <w:bCs/>
          <w:sz w:val="24"/>
          <w:szCs w:val="24"/>
        </w:rPr>
      </w:pPr>
      <w:r>
        <w:rPr>
          <w:rFonts w:hint="eastAsia" w:ascii="宋体" w:hAnsi="宋体" w:cs="宋体"/>
          <w:b/>
          <w:bCs/>
          <w:sz w:val="24"/>
          <w:szCs w:val="24"/>
        </w:rPr>
        <w:t>三、维保售后</w:t>
      </w:r>
    </w:p>
    <w:p>
      <w:pPr>
        <w:spacing w:beforeLines="50" w:afterLines="50"/>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1、按照合同约定期限进行维保。</w:t>
      </w:r>
    </w:p>
    <w:p>
      <w:pPr>
        <w:spacing w:beforeLines="50" w:afterLines="50"/>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2、维保期内接到报修通知，突发紧急情况2小时内赶到现场处理，一般情况，48小时内赶到现场处理。</w:t>
      </w:r>
    </w:p>
    <w:p>
      <w:pPr>
        <w:widowControl/>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3、做好维保时的安全防范措施。如因维保过程中出现安全事故，所导致的一切相关损失及责任由维保方承担。</w:t>
      </w:r>
    </w:p>
    <w:p>
      <w:pPr>
        <w:pStyle w:val="20"/>
        <w:rPr>
          <w:rFonts w:ascii="宋体" w:hAnsi="宋体" w:cs="宋体"/>
          <w:sz w:val="24"/>
          <w:szCs w:val="24"/>
        </w:rPr>
      </w:pPr>
      <w:r>
        <w:rPr>
          <w:rFonts w:hint="eastAsia" w:ascii="宋体" w:hAnsi="宋体" w:cs="宋体"/>
          <w:color w:val="000000"/>
          <w:kern w:val="0"/>
          <w:sz w:val="24"/>
          <w:szCs w:val="24"/>
        </w:rPr>
        <w:t>4、维保过程中产生垃圾及时清理。如延时或上级部门检查发现问题进行处理，所有的责任由维保方承担。</w:t>
      </w:r>
    </w:p>
    <w:p>
      <w:pPr>
        <w:rPr>
          <w:b/>
          <w:bCs/>
          <w:highlight w:val="yellow"/>
        </w:rPr>
      </w:pPr>
    </w:p>
    <w:p>
      <w:pPr>
        <w:rPr>
          <w:b/>
          <w:bCs/>
        </w:rPr>
      </w:pPr>
      <w:r>
        <w:rPr>
          <w:rFonts w:hint="eastAsia"/>
          <w:b/>
          <w:bCs/>
        </w:rPr>
        <w:t>标项三：</w:t>
      </w:r>
      <w:r>
        <w:rPr>
          <w:rFonts w:hint="eastAsia" w:cs="宋体" w:asciiTheme="minorEastAsia" w:hAnsiTheme="minorEastAsia" w:eastAsiaTheme="minorEastAsia"/>
          <w:kern w:val="0"/>
          <w:szCs w:val="21"/>
        </w:rPr>
        <w:t>污水在线检测运行维保服务项目</w:t>
      </w:r>
    </w:p>
    <w:p>
      <w:pPr>
        <w:pStyle w:val="75"/>
        <w:rPr>
          <w:rFonts w:hAnsi="宋体"/>
          <w:b/>
          <w:bCs/>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一、技术参数</w:t>
      </w:r>
    </w:p>
    <w:tbl>
      <w:tblPr>
        <w:tblStyle w:val="30"/>
        <w:tblW w:w="4992"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40"/>
        <w:gridCol w:w="1362"/>
        <w:gridCol w:w="4970"/>
        <w:gridCol w:w="133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4" w:type="pct"/>
            <w:vAlign w:val="center"/>
          </w:tcPr>
          <w:p>
            <w:pPr>
              <w:jc w:val="center"/>
              <w:rPr>
                <w:rFonts w:ascii="宋体" w:hAnsi="宋体" w:cs="宋体"/>
                <w:sz w:val="24"/>
                <w:szCs w:val="24"/>
              </w:rPr>
            </w:pPr>
            <w:r>
              <w:rPr>
                <w:rFonts w:hint="eastAsia" w:ascii="宋体" w:hAnsi="宋体" w:cs="宋体"/>
                <w:sz w:val="24"/>
                <w:szCs w:val="24"/>
              </w:rPr>
              <w:t>序号</w:t>
            </w:r>
          </w:p>
        </w:tc>
        <w:tc>
          <w:tcPr>
            <w:tcW w:w="800" w:type="pct"/>
            <w:vAlign w:val="center"/>
          </w:tcPr>
          <w:p>
            <w:pPr>
              <w:jc w:val="center"/>
              <w:rPr>
                <w:rFonts w:ascii="宋体" w:hAnsi="宋体" w:cs="宋体"/>
                <w:sz w:val="24"/>
                <w:szCs w:val="24"/>
              </w:rPr>
            </w:pPr>
            <w:r>
              <w:rPr>
                <w:rFonts w:hint="eastAsia" w:ascii="宋体" w:hAnsi="宋体" w:cs="宋体"/>
                <w:sz w:val="24"/>
                <w:szCs w:val="24"/>
              </w:rPr>
              <w:t>维护项目</w:t>
            </w:r>
          </w:p>
        </w:tc>
        <w:tc>
          <w:tcPr>
            <w:tcW w:w="2920" w:type="pct"/>
            <w:vAlign w:val="center"/>
          </w:tcPr>
          <w:p>
            <w:pPr>
              <w:jc w:val="center"/>
              <w:rPr>
                <w:rFonts w:ascii="宋体" w:hAnsi="宋体" w:cs="宋体"/>
                <w:sz w:val="24"/>
                <w:szCs w:val="24"/>
              </w:rPr>
            </w:pPr>
            <w:r>
              <w:rPr>
                <w:rFonts w:hint="eastAsia" w:ascii="宋体" w:hAnsi="宋体" w:cs="宋体"/>
                <w:sz w:val="24"/>
                <w:szCs w:val="24"/>
              </w:rPr>
              <w:t>维护方案</w:t>
            </w:r>
          </w:p>
        </w:tc>
        <w:tc>
          <w:tcPr>
            <w:tcW w:w="785" w:type="pct"/>
            <w:vAlign w:val="center"/>
          </w:tcPr>
          <w:p>
            <w:pPr>
              <w:jc w:val="center"/>
              <w:rPr>
                <w:rFonts w:ascii="宋体" w:hAnsi="宋体" w:cs="宋体"/>
                <w:sz w:val="24"/>
                <w:szCs w:val="24"/>
              </w:rPr>
            </w:pPr>
            <w:r>
              <w:rPr>
                <w:rFonts w:hint="eastAsia" w:ascii="宋体" w:hAnsi="宋体" w:cs="宋体"/>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3" w:hRule="atLeast"/>
        </w:trPr>
        <w:tc>
          <w:tcPr>
            <w:tcW w:w="494" w:type="pct"/>
            <w:vAlign w:val="center"/>
          </w:tcPr>
          <w:p>
            <w:pPr>
              <w:jc w:val="center"/>
              <w:rPr>
                <w:rFonts w:ascii="宋体" w:hAnsi="宋体" w:cs="宋体"/>
                <w:sz w:val="24"/>
                <w:szCs w:val="24"/>
              </w:rPr>
            </w:pPr>
            <w:r>
              <w:rPr>
                <w:rFonts w:hint="eastAsia" w:ascii="宋体" w:hAnsi="宋体" w:cs="宋体"/>
                <w:sz w:val="24"/>
                <w:szCs w:val="24"/>
              </w:rPr>
              <w:t>1</w:t>
            </w:r>
          </w:p>
        </w:tc>
        <w:tc>
          <w:tcPr>
            <w:tcW w:w="800" w:type="pct"/>
            <w:vAlign w:val="center"/>
          </w:tcPr>
          <w:p>
            <w:pPr>
              <w:rPr>
                <w:rFonts w:ascii="宋体" w:hAnsi="宋体" w:cs="宋体"/>
                <w:sz w:val="24"/>
                <w:szCs w:val="24"/>
              </w:rPr>
            </w:pPr>
            <w:r>
              <w:rPr>
                <w:rFonts w:hint="eastAsia" w:ascii="宋体" w:hAnsi="宋体" w:cs="宋体"/>
                <w:sz w:val="24"/>
                <w:szCs w:val="24"/>
              </w:rPr>
              <w:t>日常运行记录和设备台帐。</w:t>
            </w:r>
          </w:p>
        </w:tc>
        <w:tc>
          <w:tcPr>
            <w:tcW w:w="2920" w:type="pct"/>
            <w:vAlign w:val="center"/>
          </w:tcPr>
          <w:p>
            <w:pPr>
              <w:rPr>
                <w:rFonts w:ascii="宋体" w:hAnsi="宋体" w:cs="宋体"/>
                <w:sz w:val="24"/>
                <w:szCs w:val="24"/>
              </w:rPr>
            </w:pPr>
            <w:r>
              <w:rPr>
                <w:rFonts w:hint="eastAsia" w:ascii="宋体" w:hAnsi="宋体" w:cs="宋体"/>
                <w:sz w:val="24"/>
                <w:szCs w:val="24"/>
              </w:rPr>
              <w:t>每次更换试剂时记录有效期等信息。填写采样系统运行状况、预处理系统运行状况监测仪器运行状况、每次进行备件或材料更换时对更换的备件或材料的品名、规格、数量等进行记录并归档。</w:t>
            </w:r>
          </w:p>
        </w:tc>
        <w:tc>
          <w:tcPr>
            <w:tcW w:w="785" w:type="pct"/>
            <w:vAlign w:val="center"/>
          </w:tcPr>
          <w:p>
            <w:pPr>
              <w:jc w:val="center"/>
              <w:rPr>
                <w:rFonts w:ascii="宋体" w:hAnsi="宋体" w:cs="宋体"/>
                <w:sz w:val="24"/>
                <w:szCs w:val="24"/>
                <w:highlight w:val="yellow"/>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94" w:hRule="atLeast"/>
        </w:trPr>
        <w:tc>
          <w:tcPr>
            <w:tcW w:w="494" w:type="pct"/>
            <w:vAlign w:val="center"/>
          </w:tcPr>
          <w:p>
            <w:pPr>
              <w:jc w:val="center"/>
              <w:rPr>
                <w:rFonts w:ascii="宋体" w:hAnsi="宋体" w:cs="宋体"/>
                <w:sz w:val="24"/>
                <w:szCs w:val="24"/>
              </w:rPr>
            </w:pPr>
            <w:r>
              <w:rPr>
                <w:rFonts w:hint="eastAsia" w:ascii="宋体" w:hAnsi="宋体" w:cs="宋体"/>
                <w:sz w:val="24"/>
                <w:szCs w:val="24"/>
              </w:rPr>
              <w:t>2</w:t>
            </w:r>
          </w:p>
        </w:tc>
        <w:tc>
          <w:tcPr>
            <w:tcW w:w="800" w:type="pct"/>
            <w:vAlign w:val="center"/>
          </w:tcPr>
          <w:p>
            <w:pPr>
              <w:rPr>
                <w:rFonts w:ascii="宋体" w:hAnsi="宋体" w:cs="宋体"/>
                <w:sz w:val="24"/>
                <w:szCs w:val="24"/>
              </w:rPr>
            </w:pPr>
            <w:r>
              <w:rPr>
                <w:rFonts w:hint="eastAsia" w:ascii="宋体" w:hAnsi="宋体" w:cs="宋体"/>
                <w:sz w:val="24"/>
                <w:szCs w:val="24"/>
              </w:rPr>
              <w:t>设备的检查、故障排除</w:t>
            </w:r>
          </w:p>
        </w:tc>
        <w:tc>
          <w:tcPr>
            <w:tcW w:w="2920" w:type="pct"/>
            <w:vAlign w:val="center"/>
          </w:tcPr>
          <w:p>
            <w:pPr>
              <w:rPr>
                <w:rFonts w:ascii="宋体" w:hAnsi="宋体" w:cs="宋体"/>
                <w:sz w:val="24"/>
                <w:szCs w:val="24"/>
              </w:rPr>
            </w:pPr>
            <w:r>
              <w:rPr>
                <w:rFonts w:hint="eastAsia" w:ascii="宋体" w:hAnsi="宋体" w:cs="宋体"/>
                <w:sz w:val="24"/>
                <w:szCs w:val="24"/>
              </w:rPr>
              <w:t>在运行中按规定对设备每周进行一次标定。每周至少进行一次，包括设备检查，记录检查等内容，每次对巡检结果进行记录并归档。</w:t>
            </w:r>
          </w:p>
          <w:p>
            <w:pPr>
              <w:rPr>
                <w:rFonts w:ascii="宋体" w:hAnsi="宋体" w:cs="宋体"/>
                <w:sz w:val="24"/>
                <w:szCs w:val="24"/>
              </w:rPr>
            </w:pPr>
            <w:r>
              <w:rPr>
                <w:rFonts w:hint="eastAsia" w:ascii="宋体" w:hAnsi="宋体" w:cs="宋体"/>
                <w:sz w:val="24"/>
                <w:szCs w:val="24"/>
              </w:rPr>
              <w:t>每月至少对监测设备预处理单元、计量单元、反应单元、检测单元进行一次清洗；检查分析仪采样导管、试剂导管、废水导管、蠕动泵管、密封圈等是否老化，必要时更换。</w:t>
            </w:r>
          </w:p>
        </w:tc>
        <w:tc>
          <w:tcPr>
            <w:tcW w:w="785" w:type="pct"/>
            <w:vAlign w:val="center"/>
          </w:tcPr>
          <w:p>
            <w:pPr>
              <w:ind w:firstLine="360" w:firstLineChars="150"/>
              <w:jc w:val="center"/>
              <w:rPr>
                <w:rFonts w:ascii="宋体" w:hAnsi="宋体" w:cs="宋体"/>
                <w:sz w:val="24"/>
                <w:szCs w:val="24"/>
                <w:highlight w:val="yellow"/>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4" w:hRule="atLeast"/>
        </w:trPr>
        <w:tc>
          <w:tcPr>
            <w:tcW w:w="494" w:type="pct"/>
            <w:vAlign w:val="center"/>
          </w:tcPr>
          <w:p>
            <w:pPr>
              <w:jc w:val="center"/>
              <w:rPr>
                <w:rFonts w:ascii="宋体" w:hAnsi="宋体" w:cs="宋体"/>
                <w:sz w:val="24"/>
                <w:szCs w:val="24"/>
              </w:rPr>
            </w:pPr>
            <w:r>
              <w:rPr>
                <w:rFonts w:hint="eastAsia" w:ascii="宋体" w:hAnsi="宋体" w:cs="宋体"/>
                <w:sz w:val="24"/>
                <w:szCs w:val="24"/>
              </w:rPr>
              <w:t>3</w:t>
            </w:r>
          </w:p>
        </w:tc>
        <w:tc>
          <w:tcPr>
            <w:tcW w:w="800" w:type="pct"/>
            <w:vAlign w:val="center"/>
          </w:tcPr>
          <w:p>
            <w:pPr>
              <w:rPr>
                <w:rFonts w:ascii="宋体" w:hAnsi="宋体" w:cs="宋体"/>
                <w:sz w:val="24"/>
                <w:szCs w:val="24"/>
              </w:rPr>
            </w:pPr>
            <w:r>
              <w:rPr>
                <w:rFonts w:hint="eastAsia" w:ascii="宋体" w:hAnsi="宋体" w:cs="宋体"/>
                <w:sz w:val="24"/>
                <w:szCs w:val="24"/>
              </w:rPr>
              <w:t>故障响应时间</w:t>
            </w:r>
          </w:p>
        </w:tc>
        <w:tc>
          <w:tcPr>
            <w:tcW w:w="2920" w:type="pct"/>
            <w:vAlign w:val="center"/>
          </w:tcPr>
          <w:p>
            <w:pPr>
              <w:rPr>
                <w:rFonts w:ascii="宋体" w:hAnsi="宋体" w:cs="宋体"/>
                <w:sz w:val="24"/>
                <w:szCs w:val="24"/>
              </w:rPr>
            </w:pPr>
            <w:r>
              <w:rPr>
                <w:rFonts w:hint="eastAsia" w:ascii="宋体" w:hAnsi="宋体" w:cs="宋体"/>
                <w:sz w:val="24"/>
                <w:szCs w:val="24"/>
              </w:rPr>
              <w:t>每周7天x24小时服务专线，保证在接到用户方故障电话申报后1小时内响应，8小时内到达现场。</w:t>
            </w:r>
          </w:p>
        </w:tc>
        <w:tc>
          <w:tcPr>
            <w:tcW w:w="785" w:type="pct"/>
            <w:vAlign w:val="center"/>
          </w:tcPr>
          <w:p>
            <w:pPr>
              <w:jc w:val="center"/>
              <w:rPr>
                <w:rFonts w:ascii="宋体" w:hAnsi="宋体" w:cs="宋体"/>
                <w:sz w:val="24"/>
                <w:szCs w:val="24"/>
                <w:highlight w:val="yellow"/>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43" w:hRule="atLeast"/>
        </w:trPr>
        <w:tc>
          <w:tcPr>
            <w:tcW w:w="494" w:type="pct"/>
            <w:vAlign w:val="center"/>
          </w:tcPr>
          <w:p>
            <w:pPr>
              <w:jc w:val="center"/>
              <w:rPr>
                <w:rFonts w:ascii="宋体" w:hAnsi="宋体" w:cs="宋体"/>
                <w:sz w:val="24"/>
                <w:szCs w:val="24"/>
              </w:rPr>
            </w:pPr>
            <w:r>
              <w:rPr>
                <w:rFonts w:hint="eastAsia" w:ascii="宋体" w:hAnsi="宋体" w:cs="宋体"/>
                <w:sz w:val="24"/>
                <w:szCs w:val="24"/>
              </w:rPr>
              <w:t>4</w:t>
            </w:r>
          </w:p>
        </w:tc>
        <w:tc>
          <w:tcPr>
            <w:tcW w:w="800" w:type="pct"/>
            <w:vAlign w:val="center"/>
          </w:tcPr>
          <w:p>
            <w:pPr>
              <w:rPr>
                <w:rFonts w:ascii="宋体" w:hAnsi="宋体" w:cs="宋体"/>
                <w:sz w:val="24"/>
                <w:szCs w:val="24"/>
              </w:rPr>
            </w:pPr>
            <w:r>
              <w:rPr>
                <w:rFonts w:hint="eastAsia" w:ascii="宋体" w:hAnsi="宋体" w:cs="宋体"/>
                <w:sz w:val="24"/>
                <w:szCs w:val="24"/>
              </w:rPr>
              <w:t>在线监测站房</w:t>
            </w:r>
          </w:p>
        </w:tc>
        <w:tc>
          <w:tcPr>
            <w:tcW w:w="2920" w:type="pct"/>
            <w:vAlign w:val="center"/>
          </w:tcPr>
          <w:p>
            <w:pPr>
              <w:rPr>
                <w:rFonts w:ascii="宋体" w:hAnsi="宋体" w:cs="宋体"/>
                <w:sz w:val="24"/>
                <w:szCs w:val="24"/>
              </w:rPr>
            </w:pPr>
            <w:r>
              <w:rPr>
                <w:rFonts w:hint="eastAsia" w:ascii="宋体" w:hAnsi="宋体" w:cs="宋体"/>
                <w:sz w:val="24"/>
                <w:szCs w:val="24"/>
              </w:rPr>
              <w:t>保持监测用房（监控箱）的清洁，保持设备的清洁，保证监测用房内的温度、湿度满足仪器正常运行的需求。保持各仪器管路畅通，出水正常，无漏液。对电源控制器、空调等辅助设备要进行经常性检查。</w:t>
            </w:r>
          </w:p>
        </w:tc>
        <w:tc>
          <w:tcPr>
            <w:tcW w:w="785" w:type="pct"/>
            <w:vAlign w:val="center"/>
          </w:tcPr>
          <w:p>
            <w:pPr>
              <w:jc w:val="center"/>
              <w:rPr>
                <w:rFonts w:ascii="宋体" w:hAnsi="宋体" w:cs="宋体"/>
                <w:sz w:val="24"/>
                <w:szCs w:val="24"/>
                <w:highlight w:val="yellow"/>
              </w:rPr>
            </w:pPr>
          </w:p>
        </w:tc>
      </w:tr>
    </w:tbl>
    <w:p>
      <w:pPr>
        <w:rPr>
          <w:rFonts w:ascii="宋体" w:hAnsi="宋体" w:cs="宋体"/>
          <w:sz w:val="24"/>
          <w:szCs w:val="24"/>
          <w:highlight w:val="yellow"/>
        </w:rPr>
      </w:pPr>
    </w:p>
    <w:p>
      <w:pPr>
        <w:rPr>
          <w:rFonts w:ascii="宋体" w:hAnsi="宋体" w:cs="宋体"/>
          <w:b/>
          <w:bCs/>
          <w:sz w:val="24"/>
          <w:szCs w:val="24"/>
        </w:rPr>
      </w:pPr>
      <w:r>
        <w:rPr>
          <w:rFonts w:hint="eastAsia" w:ascii="宋体" w:hAnsi="宋体" w:cs="宋体"/>
          <w:b/>
          <w:bCs/>
          <w:color w:val="000000" w:themeColor="text1"/>
          <w:sz w:val="24"/>
          <w:szCs w:val="24"/>
          <w14:textFill>
            <w14:solidFill>
              <w14:schemeClr w14:val="tx1"/>
            </w14:solidFill>
          </w14:textFill>
        </w:rPr>
        <w:t>二、维保要求</w:t>
      </w:r>
    </w:p>
    <w:p>
      <w:pPr>
        <w:spacing w:beforeLines="50" w:afterLines="50"/>
        <w:ind w:firstLine="480" w:firstLineChars="200"/>
        <w:jc w:val="left"/>
        <w:rPr>
          <w:rFonts w:ascii="宋体" w:hAnsi="宋体" w:cs="宋体"/>
          <w:sz w:val="24"/>
          <w:szCs w:val="24"/>
        </w:rPr>
      </w:pPr>
      <w:r>
        <w:rPr>
          <w:rFonts w:hint="eastAsia" w:ascii="宋体" w:hAnsi="宋体" w:cs="宋体"/>
          <w:sz w:val="24"/>
          <w:szCs w:val="24"/>
        </w:rPr>
        <w:t>（一）监测设备运行与维护</w:t>
      </w:r>
    </w:p>
    <w:p>
      <w:pPr>
        <w:spacing w:beforeLines="50" w:afterLines="50"/>
        <w:ind w:firstLine="480" w:firstLineChars="200"/>
        <w:jc w:val="left"/>
        <w:rPr>
          <w:rFonts w:ascii="宋体" w:hAnsi="宋体" w:cs="宋体"/>
          <w:sz w:val="24"/>
          <w:szCs w:val="24"/>
        </w:rPr>
      </w:pPr>
      <w:r>
        <w:rPr>
          <w:rFonts w:hint="eastAsia" w:ascii="宋体" w:hAnsi="宋体" w:cs="宋体"/>
          <w:sz w:val="24"/>
          <w:szCs w:val="24"/>
        </w:rPr>
        <w:t>1、运维方指定专人负责与厂方联络，并承诺与甲方保持24小时通讯畅通及电话技术支持。</w:t>
      </w:r>
    </w:p>
    <w:p>
      <w:pPr>
        <w:spacing w:beforeLines="50" w:afterLines="50"/>
        <w:ind w:firstLine="480" w:firstLineChars="200"/>
        <w:jc w:val="left"/>
        <w:rPr>
          <w:rFonts w:ascii="宋体" w:hAnsi="宋体" w:cs="宋体"/>
          <w:sz w:val="24"/>
          <w:szCs w:val="24"/>
        </w:rPr>
      </w:pPr>
      <w:r>
        <w:rPr>
          <w:rFonts w:hint="eastAsia" w:ascii="宋体" w:hAnsi="宋体" w:cs="宋体"/>
          <w:sz w:val="24"/>
          <w:szCs w:val="24"/>
        </w:rPr>
        <w:t>2、乙方应随时保持所负责维护设备的整洁与卫生，维护现场地面干净，每个维护作业点做到“工完、料净、场地清”。</w:t>
      </w:r>
    </w:p>
    <w:p>
      <w:pPr>
        <w:spacing w:beforeLines="50" w:afterLines="50"/>
        <w:ind w:firstLine="480" w:firstLineChars="200"/>
        <w:jc w:val="left"/>
        <w:rPr>
          <w:rFonts w:ascii="宋体" w:hAnsi="宋体" w:cs="宋体"/>
          <w:sz w:val="24"/>
          <w:szCs w:val="24"/>
        </w:rPr>
      </w:pPr>
      <w:r>
        <w:rPr>
          <w:rFonts w:hint="eastAsia" w:ascii="宋体" w:hAnsi="宋体" w:cs="宋体"/>
          <w:sz w:val="24"/>
          <w:szCs w:val="24"/>
        </w:rPr>
        <w:t>3、日常巡检至少每周进行一次，包括设备检查，记录检查等内容，每次对巡检结果进行记录并归档。</w:t>
      </w:r>
    </w:p>
    <w:p>
      <w:pPr>
        <w:spacing w:beforeLines="50" w:afterLines="50"/>
        <w:ind w:firstLine="480" w:firstLineChars="200"/>
        <w:jc w:val="left"/>
        <w:rPr>
          <w:rFonts w:ascii="宋体" w:hAnsi="宋体" w:cs="宋体"/>
          <w:sz w:val="24"/>
          <w:szCs w:val="24"/>
        </w:rPr>
      </w:pPr>
      <w:r>
        <w:rPr>
          <w:rFonts w:hint="eastAsia" w:ascii="宋体" w:hAnsi="宋体" w:cs="宋体"/>
          <w:sz w:val="24"/>
          <w:szCs w:val="24"/>
        </w:rPr>
        <w:t>4、日常巡检包含该采样系统运行状况、预处理系统运行状况监测仪器运行状况等，并填写巡检记录，同时根据操作规程对仪器进行维护保养。</w:t>
      </w:r>
    </w:p>
    <w:p>
      <w:pPr>
        <w:spacing w:beforeLines="50" w:afterLines="50"/>
        <w:ind w:firstLine="480" w:firstLineChars="200"/>
        <w:jc w:val="left"/>
        <w:rPr>
          <w:rFonts w:ascii="宋体" w:hAnsi="宋体" w:cs="宋体"/>
          <w:sz w:val="24"/>
          <w:szCs w:val="24"/>
        </w:rPr>
      </w:pPr>
      <w:r>
        <w:rPr>
          <w:rFonts w:hint="eastAsia" w:ascii="宋体" w:hAnsi="宋体" w:cs="宋体"/>
          <w:sz w:val="24"/>
          <w:szCs w:val="24"/>
        </w:rPr>
        <w:t>5、每次进行备件或材料更换时对更换的备件或材料的品名、规格、数量等进行记录并归档。</w:t>
      </w:r>
    </w:p>
    <w:p>
      <w:pPr>
        <w:spacing w:beforeLines="50" w:afterLines="50"/>
        <w:ind w:firstLine="480" w:firstLineChars="200"/>
        <w:jc w:val="left"/>
        <w:rPr>
          <w:rFonts w:ascii="宋体" w:hAnsi="宋体" w:cs="宋体"/>
          <w:sz w:val="24"/>
          <w:szCs w:val="24"/>
        </w:rPr>
      </w:pPr>
      <w:r>
        <w:rPr>
          <w:rFonts w:hint="eastAsia" w:ascii="宋体" w:hAnsi="宋体" w:cs="宋体"/>
          <w:sz w:val="24"/>
          <w:szCs w:val="24"/>
        </w:rPr>
        <w:t>6、每次更换标准物质时记录有效期和浓度等信息。</w:t>
      </w:r>
    </w:p>
    <w:p>
      <w:pPr>
        <w:spacing w:beforeLines="50" w:afterLines="50"/>
        <w:ind w:firstLine="480" w:firstLineChars="200"/>
        <w:jc w:val="left"/>
        <w:rPr>
          <w:rFonts w:ascii="宋体" w:hAnsi="宋体" w:cs="宋体"/>
          <w:sz w:val="24"/>
          <w:szCs w:val="24"/>
        </w:rPr>
      </w:pPr>
      <w:r>
        <w:rPr>
          <w:rFonts w:hint="eastAsia" w:ascii="宋体" w:hAnsi="宋体" w:cs="宋体"/>
          <w:sz w:val="24"/>
          <w:szCs w:val="24"/>
        </w:rPr>
        <w:t>7、每月至少对监测设备预处理单元、计量单元、反应单元、检测单元进行一次清洗；检查分析仪采样导管、试剂导管、废水导管、蠕动泵管、密封圈等是否老化，必要时更换。</w:t>
      </w:r>
    </w:p>
    <w:p>
      <w:pPr>
        <w:spacing w:beforeLines="50" w:afterLines="50"/>
        <w:ind w:firstLine="480" w:firstLineChars="200"/>
        <w:jc w:val="left"/>
        <w:rPr>
          <w:rFonts w:ascii="宋体" w:hAnsi="宋体" w:cs="宋体"/>
          <w:sz w:val="24"/>
          <w:szCs w:val="24"/>
        </w:rPr>
      </w:pPr>
      <w:r>
        <w:rPr>
          <w:rFonts w:hint="eastAsia" w:ascii="宋体" w:hAnsi="宋体" w:cs="宋体"/>
          <w:sz w:val="24"/>
          <w:szCs w:val="24"/>
        </w:rPr>
        <w:t>8、如遇厂方大、小检修，运维方在接到通知后，按厂方要求时间提前到现场对设备进行检查、试用，并派专人在现场保证在线监测设备的安全使用。</w:t>
      </w:r>
    </w:p>
    <w:p>
      <w:pPr>
        <w:spacing w:beforeLines="50" w:afterLines="50"/>
        <w:ind w:firstLine="480" w:firstLineChars="200"/>
        <w:jc w:val="left"/>
        <w:rPr>
          <w:rFonts w:ascii="宋体" w:hAnsi="宋体" w:cs="宋体"/>
          <w:sz w:val="24"/>
          <w:szCs w:val="24"/>
        </w:rPr>
      </w:pPr>
      <w:r>
        <w:rPr>
          <w:rFonts w:hint="eastAsia" w:ascii="宋体" w:hAnsi="宋体" w:cs="宋体"/>
          <w:sz w:val="24"/>
          <w:szCs w:val="24"/>
        </w:rPr>
        <w:t>9、乙方人员进入生产现场，不得随意摸、动甲方其它与运维设备无关的生产设备的任何仪器、仪表、阀门和开关按钮及有关工具材料等。</w:t>
      </w:r>
    </w:p>
    <w:p>
      <w:pPr>
        <w:spacing w:beforeLines="50" w:afterLines="50"/>
        <w:ind w:firstLine="480" w:firstLineChars="200"/>
        <w:jc w:val="left"/>
        <w:rPr>
          <w:rFonts w:ascii="宋体" w:hAnsi="宋体" w:cs="宋体"/>
          <w:sz w:val="24"/>
          <w:szCs w:val="24"/>
        </w:rPr>
      </w:pPr>
      <w:r>
        <w:rPr>
          <w:rFonts w:hint="eastAsia" w:ascii="宋体" w:hAnsi="宋体" w:cs="宋体"/>
          <w:sz w:val="24"/>
          <w:szCs w:val="24"/>
        </w:rPr>
        <w:t>（二）辅助设备维护</w:t>
      </w:r>
    </w:p>
    <w:p>
      <w:pPr>
        <w:spacing w:beforeLines="50" w:afterLines="50"/>
        <w:ind w:firstLine="480" w:firstLineChars="200"/>
        <w:jc w:val="left"/>
        <w:rPr>
          <w:rFonts w:ascii="宋体" w:hAnsi="宋体" w:cs="宋体"/>
          <w:sz w:val="24"/>
          <w:szCs w:val="24"/>
        </w:rPr>
      </w:pPr>
      <w:r>
        <w:rPr>
          <w:rFonts w:hint="eastAsia" w:ascii="宋体" w:hAnsi="宋体" w:cs="宋体"/>
          <w:sz w:val="24"/>
          <w:szCs w:val="24"/>
        </w:rPr>
        <w:t>1、保持监测用房（监控箱）的清洁，保持设备的清洁，保证监测用房内的温度、湿度满足仪器正常运行的需求。保持各仪器管路畅通，出水正常，无漏液。</w:t>
      </w:r>
    </w:p>
    <w:p>
      <w:pPr>
        <w:spacing w:beforeLines="50" w:afterLines="50"/>
        <w:ind w:firstLine="480" w:firstLineChars="200"/>
        <w:jc w:val="left"/>
        <w:rPr>
          <w:rFonts w:ascii="宋体" w:hAnsi="宋体" w:cs="宋体"/>
          <w:sz w:val="24"/>
          <w:szCs w:val="24"/>
        </w:rPr>
      </w:pPr>
      <w:r>
        <w:rPr>
          <w:rFonts w:hint="eastAsia" w:ascii="宋体" w:hAnsi="宋体" w:cs="宋体"/>
          <w:sz w:val="24"/>
          <w:szCs w:val="24"/>
        </w:rPr>
        <w:t>2、对电源控制器、空调等辅助设备要进行经常性检查。</w:t>
      </w:r>
    </w:p>
    <w:p>
      <w:pPr>
        <w:spacing w:beforeLines="50" w:afterLines="50"/>
        <w:ind w:firstLine="480" w:firstLineChars="200"/>
        <w:jc w:val="left"/>
        <w:rPr>
          <w:rFonts w:ascii="宋体" w:hAnsi="宋体" w:cs="宋体"/>
          <w:sz w:val="24"/>
          <w:szCs w:val="24"/>
        </w:rPr>
      </w:pPr>
      <w:r>
        <w:rPr>
          <w:rFonts w:hint="eastAsia" w:ascii="宋体" w:hAnsi="宋体" w:cs="宋体"/>
          <w:sz w:val="24"/>
          <w:szCs w:val="24"/>
        </w:rPr>
        <w:t>（三）系统的检修</w:t>
      </w:r>
    </w:p>
    <w:p>
      <w:pPr>
        <w:spacing w:beforeLines="50" w:afterLines="50"/>
        <w:ind w:firstLine="480" w:firstLineChars="200"/>
        <w:jc w:val="left"/>
        <w:rPr>
          <w:rFonts w:ascii="宋体" w:hAnsi="宋体" w:cs="宋体"/>
          <w:sz w:val="24"/>
          <w:szCs w:val="24"/>
        </w:rPr>
      </w:pPr>
      <w:r>
        <w:rPr>
          <w:rFonts w:hint="eastAsia" w:ascii="宋体" w:hAnsi="宋体" w:cs="宋体"/>
          <w:sz w:val="24"/>
          <w:szCs w:val="24"/>
        </w:rPr>
        <w:t>1、自动监测设备需要检修、停用、或者更换的，应当事先有甲方同意，并向相关政府部门报备，附情况说明。</w:t>
      </w:r>
    </w:p>
    <w:p>
      <w:pPr>
        <w:spacing w:beforeLines="50" w:afterLines="50"/>
        <w:ind w:firstLine="480" w:firstLineChars="200"/>
        <w:jc w:val="left"/>
        <w:rPr>
          <w:rFonts w:ascii="宋体" w:hAnsi="宋体" w:cs="宋体"/>
          <w:sz w:val="24"/>
          <w:szCs w:val="24"/>
        </w:rPr>
      </w:pPr>
      <w:r>
        <w:rPr>
          <w:rFonts w:hint="eastAsia" w:ascii="宋体" w:hAnsi="宋体" w:cs="宋体"/>
          <w:sz w:val="24"/>
          <w:szCs w:val="24"/>
        </w:rPr>
        <w:t>2、对于一些容易诊断的故障，如电磁阀控制失灵、膜裂损、气路堵塞、数采仪死机等，可携带工具或者备件到现场进行针对性维修，此类故障维修时间不应超过8小时，对不易诊断和维修的仪器故障，若72小时内无法排除，应安装备用分析仪，另外对难以修复的及时通报甲方和环保局，维修期间采用备机或采用人工方法进行监测。</w:t>
      </w:r>
    </w:p>
    <w:p>
      <w:pPr>
        <w:spacing w:beforeLines="50" w:afterLines="50"/>
        <w:ind w:firstLine="480" w:firstLineChars="200"/>
        <w:jc w:val="left"/>
        <w:rPr>
          <w:rFonts w:ascii="宋体" w:hAnsi="宋体" w:cs="宋体"/>
          <w:sz w:val="24"/>
          <w:szCs w:val="24"/>
        </w:rPr>
      </w:pPr>
      <w:r>
        <w:rPr>
          <w:rFonts w:hint="eastAsia" w:ascii="宋体" w:hAnsi="宋体" w:cs="宋体"/>
          <w:sz w:val="24"/>
          <w:szCs w:val="24"/>
        </w:rPr>
        <w:t>3、若数据采集仪发生故障，必须在12小时内修复或更换, 并保证已采集的数据不丢失。</w:t>
      </w:r>
    </w:p>
    <w:p>
      <w:pPr>
        <w:spacing w:beforeLines="50" w:afterLines="50"/>
        <w:ind w:firstLine="480" w:firstLineChars="200"/>
        <w:jc w:val="left"/>
        <w:rPr>
          <w:rFonts w:ascii="宋体" w:hAnsi="宋体" w:cs="宋体"/>
          <w:sz w:val="24"/>
          <w:szCs w:val="24"/>
        </w:rPr>
      </w:pPr>
      <w:r>
        <w:rPr>
          <w:rFonts w:hint="eastAsia" w:ascii="宋体" w:hAnsi="宋体" w:cs="宋体"/>
          <w:sz w:val="24"/>
          <w:szCs w:val="24"/>
        </w:rPr>
        <w:t>4、发生严重故障的自动监控设施经维修后，必须对其按照国家有关技术规范要求进行校准和校验，确认其监测性能完全恢复后方可重新投入使用。若监测仪器进行了更换，在正常使用和运行之前必须对仪器进行一次比对校验。</w:t>
      </w:r>
    </w:p>
    <w:p>
      <w:pPr>
        <w:spacing w:beforeLines="50" w:afterLines="50"/>
        <w:ind w:firstLine="480" w:firstLineChars="200"/>
        <w:jc w:val="left"/>
        <w:rPr>
          <w:rFonts w:ascii="宋体" w:hAnsi="宋体" w:cs="宋体"/>
          <w:sz w:val="24"/>
          <w:szCs w:val="24"/>
        </w:rPr>
      </w:pPr>
      <w:r>
        <w:rPr>
          <w:rFonts w:hint="eastAsia" w:ascii="宋体" w:hAnsi="宋体" w:cs="宋体"/>
          <w:sz w:val="24"/>
          <w:szCs w:val="24"/>
        </w:rPr>
        <w:t>（四）校准与校验</w:t>
      </w:r>
    </w:p>
    <w:p>
      <w:pPr>
        <w:spacing w:beforeLines="50" w:afterLines="50"/>
        <w:ind w:firstLine="480" w:firstLineChars="200"/>
        <w:jc w:val="left"/>
        <w:rPr>
          <w:rFonts w:ascii="宋体" w:hAnsi="宋体" w:cs="宋体"/>
          <w:sz w:val="24"/>
          <w:szCs w:val="24"/>
        </w:rPr>
      </w:pPr>
      <w:r>
        <w:rPr>
          <w:rFonts w:hint="eastAsia" w:ascii="宋体" w:hAnsi="宋体" w:cs="宋体"/>
          <w:sz w:val="24"/>
          <w:szCs w:val="24"/>
        </w:rPr>
        <w:t>1、运维方根据相关标准及监测设备厂商规定的方法每月进行一次校准，校准完成后对仪器进行质控样效验，效验每次至少进3组并做好校准、效验记录。确保监测数据的有效性、准确性。</w:t>
      </w:r>
    </w:p>
    <w:p>
      <w:pPr>
        <w:spacing w:beforeLines="50" w:afterLines="50"/>
        <w:ind w:firstLine="480" w:firstLineChars="200"/>
        <w:jc w:val="left"/>
        <w:rPr>
          <w:rFonts w:ascii="宋体" w:hAnsi="宋体" w:cs="宋体"/>
          <w:sz w:val="24"/>
          <w:szCs w:val="24"/>
        </w:rPr>
      </w:pPr>
      <w:r>
        <w:rPr>
          <w:rFonts w:hint="eastAsia" w:ascii="宋体" w:hAnsi="宋体" w:cs="宋体"/>
          <w:sz w:val="24"/>
          <w:szCs w:val="24"/>
        </w:rPr>
        <w:t>2、当仪器发生严重故障，经维修后在正常使用和运行之前亦必须对仪器进行一次校准和校验。</w:t>
      </w:r>
    </w:p>
    <w:p>
      <w:pPr>
        <w:spacing w:beforeLines="50" w:afterLines="50"/>
        <w:ind w:firstLine="480" w:firstLineChars="200"/>
        <w:jc w:val="left"/>
        <w:rPr>
          <w:rFonts w:ascii="宋体" w:hAnsi="宋体" w:cs="宋体"/>
          <w:sz w:val="24"/>
          <w:szCs w:val="24"/>
        </w:rPr>
      </w:pPr>
      <w:r>
        <w:rPr>
          <w:rFonts w:hint="eastAsia" w:ascii="宋体" w:hAnsi="宋体" w:cs="宋体"/>
          <w:sz w:val="24"/>
          <w:szCs w:val="24"/>
        </w:rPr>
        <w:t>3、进行相关校准和校验时，必须有专人负责监督工况，在测试期间保持相对稳定。</w:t>
      </w:r>
    </w:p>
    <w:p>
      <w:pPr>
        <w:spacing w:beforeLines="50" w:afterLines="50"/>
        <w:ind w:firstLine="480" w:firstLineChars="200"/>
        <w:jc w:val="left"/>
        <w:rPr>
          <w:rFonts w:ascii="宋体" w:hAnsi="宋体" w:cs="宋体"/>
          <w:sz w:val="24"/>
          <w:szCs w:val="24"/>
        </w:rPr>
      </w:pPr>
      <w:r>
        <w:rPr>
          <w:rFonts w:hint="eastAsia" w:ascii="宋体" w:hAnsi="宋体" w:cs="宋体"/>
          <w:sz w:val="24"/>
          <w:szCs w:val="24"/>
        </w:rPr>
        <w:t>（五）技术档案</w:t>
      </w:r>
    </w:p>
    <w:p>
      <w:pPr>
        <w:spacing w:beforeLines="50" w:afterLines="50"/>
        <w:ind w:firstLine="480" w:firstLineChars="200"/>
        <w:jc w:val="left"/>
        <w:rPr>
          <w:rFonts w:ascii="宋体" w:hAnsi="宋体" w:cs="宋体"/>
          <w:sz w:val="24"/>
          <w:szCs w:val="24"/>
        </w:rPr>
      </w:pPr>
      <w:r>
        <w:rPr>
          <w:rFonts w:hint="eastAsia" w:ascii="宋体" w:hAnsi="宋体" w:cs="宋体"/>
          <w:sz w:val="24"/>
          <w:szCs w:val="24"/>
        </w:rPr>
        <w:t>1、技术档案内容</w:t>
      </w:r>
    </w:p>
    <w:p>
      <w:pPr>
        <w:spacing w:beforeLines="50" w:afterLines="50"/>
        <w:jc w:val="left"/>
        <w:rPr>
          <w:rFonts w:ascii="宋体" w:hAnsi="宋体" w:cs="宋体"/>
          <w:sz w:val="24"/>
          <w:szCs w:val="24"/>
        </w:rPr>
      </w:pPr>
      <w:r>
        <w:rPr>
          <w:rFonts w:hint="eastAsia" w:ascii="宋体" w:hAnsi="宋体" w:cs="宋体"/>
          <w:sz w:val="24"/>
          <w:szCs w:val="24"/>
        </w:rPr>
        <w:t>（1）监测仪器校准、效验记录表；</w:t>
      </w:r>
    </w:p>
    <w:p>
      <w:pPr>
        <w:spacing w:beforeLines="50" w:afterLines="50"/>
        <w:jc w:val="left"/>
        <w:rPr>
          <w:rFonts w:ascii="宋体" w:hAnsi="宋体" w:cs="宋体"/>
          <w:sz w:val="24"/>
          <w:szCs w:val="24"/>
        </w:rPr>
      </w:pPr>
      <w:r>
        <w:rPr>
          <w:rFonts w:hint="eastAsia" w:ascii="宋体" w:hAnsi="宋体" w:cs="宋体"/>
          <w:sz w:val="24"/>
          <w:szCs w:val="24"/>
        </w:rPr>
        <w:t>（2）监测仪器日常巡检记录表；</w:t>
      </w:r>
    </w:p>
    <w:p>
      <w:pPr>
        <w:spacing w:beforeLines="50" w:afterLines="50"/>
        <w:jc w:val="left"/>
        <w:rPr>
          <w:rFonts w:ascii="宋体" w:hAnsi="宋体" w:cs="宋体"/>
          <w:sz w:val="24"/>
          <w:szCs w:val="24"/>
        </w:rPr>
      </w:pPr>
      <w:r>
        <w:rPr>
          <w:rFonts w:hint="eastAsia" w:ascii="宋体" w:hAnsi="宋体" w:cs="宋体"/>
          <w:sz w:val="24"/>
          <w:szCs w:val="24"/>
        </w:rPr>
        <w:t>（3）监测仪器维修记录表；</w:t>
      </w:r>
    </w:p>
    <w:p>
      <w:pPr>
        <w:spacing w:beforeLines="50" w:afterLines="50"/>
        <w:jc w:val="left"/>
        <w:rPr>
          <w:rFonts w:ascii="宋体" w:hAnsi="宋体" w:cs="宋体"/>
          <w:sz w:val="24"/>
          <w:szCs w:val="24"/>
        </w:rPr>
      </w:pPr>
      <w:r>
        <w:rPr>
          <w:rFonts w:hint="eastAsia" w:ascii="宋体" w:hAnsi="宋体" w:cs="宋体"/>
          <w:sz w:val="24"/>
          <w:szCs w:val="24"/>
        </w:rPr>
        <w:t>（4）监测仪器数据异常记录表；</w:t>
      </w:r>
    </w:p>
    <w:p>
      <w:pPr>
        <w:spacing w:beforeLines="50" w:afterLines="50"/>
        <w:jc w:val="left"/>
        <w:rPr>
          <w:rFonts w:ascii="宋体" w:hAnsi="宋体" w:cs="宋体"/>
          <w:sz w:val="24"/>
          <w:szCs w:val="24"/>
        </w:rPr>
      </w:pPr>
      <w:r>
        <w:rPr>
          <w:rFonts w:hint="eastAsia" w:ascii="宋体" w:hAnsi="宋体" w:cs="宋体"/>
          <w:sz w:val="24"/>
          <w:szCs w:val="24"/>
        </w:rPr>
        <w:t>（5）监测仪器易耗品更换记录表。</w:t>
      </w:r>
    </w:p>
    <w:p>
      <w:pPr>
        <w:spacing w:beforeLines="50" w:afterLines="50"/>
        <w:ind w:firstLine="480" w:firstLineChars="200"/>
        <w:jc w:val="left"/>
        <w:rPr>
          <w:rFonts w:ascii="宋体" w:hAnsi="宋体" w:cs="宋体"/>
          <w:sz w:val="24"/>
          <w:szCs w:val="24"/>
        </w:rPr>
      </w:pPr>
      <w:r>
        <w:rPr>
          <w:rFonts w:hint="eastAsia" w:ascii="宋体" w:hAnsi="宋体" w:cs="宋体"/>
          <w:sz w:val="24"/>
          <w:szCs w:val="24"/>
        </w:rPr>
        <w:t>2、技术档案要求</w:t>
      </w:r>
    </w:p>
    <w:p>
      <w:pPr>
        <w:spacing w:beforeLines="50" w:afterLines="50"/>
        <w:jc w:val="left"/>
        <w:rPr>
          <w:rFonts w:ascii="宋体" w:hAnsi="宋体" w:cs="宋体"/>
          <w:sz w:val="24"/>
          <w:szCs w:val="24"/>
        </w:rPr>
      </w:pPr>
      <w:r>
        <w:rPr>
          <w:rFonts w:hint="eastAsia" w:ascii="宋体" w:hAnsi="宋体" w:cs="宋体"/>
          <w:sz w:val="24"/>
          <w:szCs w:val="24"/>
        </w:rPr>
        <w:t>（1）档案中的表格必须采用统一的标准表格；</w:t>
      </w:r>
    </w:p>
    <w:p>
      <w:pPr>
        <w:spacing w:beforeLines="50" w:afterLines="50"/>
        <w:jc w:val="left"/>
        <w:rPr>
          <w:rFonts w:ascii="宋体" w:hAnsi="宋体" w:cs="宋体"/>
          <w:sz w:val="24"/>
          <w:szCs w:val="24"/>
        </w:rPr>
      </w:pPr>
      <w:r>
        <w:rPr>
          <w:rFonts w:hint="eastAsia" w:ascii="宋体" w:hAnsi="宋体" w:cs="宋体"/>
          <w:sz w:val="24"/>
          <w:szCs w:val="24"/>
        </w:rPr>
        <w:t>（2）包含监控仪器从接收维护后整个周期的资料；</w:t>
      </w:r>
    </w:p>
    <w:p>
      <w:pPr>
        <w:spacing w:beforeLines="50" w:afterLines="50"/>
        <w:jc w:val="left"/>
        <w:rPr>
          <w:rFonts w:ascii="宋体" w:hAnsi="宋体" w:cs="宋体"/>
          <w:sz w:val="24"/>
          <w:szCs w:val="24"/>
        </w:rPr>
      </w:pPr>
      <w:r>
        <w:rPr>
          <w:rFonts w:hint="eastAsia" w:ascii="宋体" w:hAnsi="宋体" w:cs="宋体"/>
          <w:sz w:val="24"/>
          <w:szCs w:val="24"/>
        </w:rPr>
        <w:t>（3）记录必须清晰、完整，现场记录必须在现场及时填写，有运维方维护人员和厂方负责人员的签字；</w:t>
      </w:r>
    </w:p>
    <w:p>
      <w:pPr>
        <w:spacing w:beforeLines="50" w:afterLines="50"/>
        <w:jc w:val="left"/>
        <w:rPr>
          <w:rFonts w:ascii="宋体" w:hAnsi="宋体" w:cs="宋体"/>
          <w:sz w:val="24"/>
          <w:szCs w:val="24"/>
        </w:rPr>
      </w:pPr>
      <w:r>
        <w:rPr>
          <w:rFonts w:hint="eastAsia" w:ascii="宋体" w:hAnsi="宋体" w:cs="宋体"/>
          <w:sz w:val="24"/>
          <w:szCs w:val="24"/>
        </w:rPr>
        <w:t>（4）与仪器相关的记录应放置在现场，所有记录均应妥善保存。</w:t>
      </w:r>
    </w:p>
    <w:p>
      <w:pPr>
        <w:rPr>
          <w:rFonts w:ascii="宋体" w:hAnsi="宋体" w:cs="宋体"/>
          <w:sz w:val="24"/>
          <w:szCs w:val="24"/>
        </w:rPr>
      </w:pPr>
    </w:p>
    <w:p>
      <w:pPr>
        <w:spacing w:beforeLines="50" w:afterLines="50"/>
        <w:jc w:val="left"/>
        <w:rPr>
          <w:rFonts w:ascii="宋体" w:hAnsi="宋体" w:cs="宋体"/>
          <w:b/>
          <w:bCs/>
          <w:sz w:val="24"/>
          <w:szCs w:val="24"/>
        </w:rPr>
      </w:pPr>
      <w:r>
        <w:rPr>
          <w:rFonts w:hint="eastAsia" w:ascii="宋体" w:hAnsi="宋体" w:cs="宋体"/>
          <w:b/>
          <w:bCs/>
          <w:sz w:val="24"/>
          <w:szCs w:val="24"/>
        </w:rPr>
        <w:t>三、维保售后</w:t>
      </w:r>
    </w:p>
    <w:p>
      <w:pPr>
        <w:spacing w:beforeLines="50" w:afterLines="50"/>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1、按照合同约定期限进行维保。</w:t>
      </w:r>
    </w:p>
    <w:p>
      <w:pPr>
        <w:widowControl/>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themeColor="text1"/>
          <w:kern w:val="0"/>
          <w:sz w:val="24"/>
          <w:szCs w:val="24"/>
          <w14:textFill>
            <w14:solidFill>
              <w14:schemeClr w14:val="tx1"/>
            </w14:solidFill>
          </w14:textFill>
        </w:rPr>
        <w:t>维保期内接到报修通知后，1小时内响应，8小时内到达现场。</w:t>
      </w:r>
    </w:p>
    <w:p>
      <w:pPr>
        <w:widowControl/>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3、做好维保时的安全防范措施。如因维保过程中出现安全事故，所导致的一切相关损失及责任由维保方承担。</w:t>
      </w:r>
    </w:p>
    <w:p>
      <w:pPr>
        <w:ind w:firstLine="360" w:firstLineChars="150"/>
        <w:rPr>
          <w:rFonts w:ascii="宋体" w:hAnsi="宋体" w:cs="宋体"/>
          <w:color w:val="000000"/>
          <w:kern w:val="0"/>
          <w:sz w:val="24"/>
          <w:szCs w:val="24"/>
        </w:rPr>
      </w:pPr>
      <w:r>
        <w:rPr>
          <w:rFonts w:hint="eastAsia" w:ascii="宋体" w:hAnsi="宋体" w:cs="宋体"/>
          <w:color w:val="000000"/>
          <w:kern w:val="0"/>
          <w:sz w:val="24"/>
          <w:szCs w:val="24"/>
        </w:rPr>
        <w:t>4、维保过程中产生垃圾及时清理。如延时或上级部门检查发现问题进行处理，所有的责任由维保方承担。</w:t>
      </w:r>
    </w:p>
    <w:p>
      <w:pPr>
        <w:pStyle w:val="2"/>
      </w:pPr>
    </w:p>
    <w:p>
      <w:pPr>
        <w:rPr>
          <w:rFonts w:asciiTheme="minorEastAsia" w:hAnsiTheme="minorEastAsia" w:eastAsiaTheme="minorEastAsia"/>
          <w:b/>
          <w:bCs/>
          <w:szCs w:val="21"/>
        </w:rPr>
      </w:pPr>
      <w:r>
        <w:rPr>
          <w:rFonts w:hint="eastAsia"/>
          <w:b/>
          <w:bCs/>
        </w:rPr>
        <w:t>标项四：</w:t>
      </w:r>
      <w:r>
        <w:rPr>
          <w:rFonts w:hint="eastAsia" w:cs="宋体" w:asciiTheme="minorEastAsia" w:hAnsiTheme="minorEastAsia" w:eastAsiaTheme="minorEastAsia"/>
          <w:kern w:val="0"/>
          <w:szCs w:val="21"/>
        </w:rPr>
        <w:t>消防设施维保及检测服务项目</w:t>
      </w:r>
    </w:p>
    <w:p>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一、维护保养建筑工程地址及面积位置</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伊宁市开发区四川路278号(门诊楼、住院楼、连廊发热门诊及地下车库的消防设施库约3.8万平方米)。</w:t>
      </w:r>
    </w:p>
    <w:p>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二、技术参数</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（一）消火栓灭火系统</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1、消防给水及消火栓系统检查、测试、维修保养要求</w:t>
      </w:r>
    </w:p>
    <w:tbl>
      <w:tblPr>
        <w:tblStyle w:val="2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99"/>
        <w:gridCol w:w="5244"/>
        <w:gridCol w:w="24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743" w:type="dxa"/>
            <w:gridSpan w:val="2"/>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2470"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频次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Merge w:val="restart"/>
            <w:noWrap/>
            <w:vAlign w:val="center"/>
          </w:tcPr>
          <w:p>
            <w:pPr>
              <w:spacing w:line="360" w:lineRule="auto"/>
              <w:rPr>
                <w:rFonts w:asciiTheme="minorEastAsia" w:hAnsiTheme="minorEastAsia" w:eastAsiaTheme="minorEastAsia" w:cstheme="minorEastAsia"/>
                <w:sz w:val="24"/>
                <w:szCs w:val="24"/>
                <w:highlight w:val="yellow"/>
              </w:rPr>
            </w:pPr>
          </w:p>
          <w:p>
            <w:pPr>
              <w:spacing w:line="360" w:lineRule="auto"/>
              <w:rPr>
                <w:rFonts w:asciiTheme="minorEastAsia" w:hAnsiTheme="minorEastAsia" w:eastAsiaTheme="minorEastAsia" w:cstheme="minorEastAsia"/>
                <w:sz w:val="24"/>
                <w:szCs w:val="24"/>
                <w:highlight w:val="yellow"/>
              </w:rPr>
            </w:pPr>
          </w:p>
          <w:p>
            <w:pPr>
              <w:spacing w:line="360" w:lineRule="auto"/>
              <w:rPr>
                <w:rFonts w:asciiTheme="minorEastAsia" w:hAnsiTheme="minorEastAsia" w:eastAsiaTheme="minorEastAsia" w:cstheme="minorEastAsia"/>
                <w:sz w:val="24"/>
                <w:szCs w:val="24"/>
                <w:highlight w:val="yellow"/>
              </w:rPr>
            </w:pPr>
          </w:p>
          <w:p>
            <w:pPr>
              <w:spacing w:line="360" w:lineRule="auto"/>
              <w:rPr>
                <w:rFonts w:asciiTheme="minorEastAsia" w:hAnsiTheme="minorEastAsia" w:eastAsiaTheme="minorEastAsia" w:cstheme="minorEastAsia"/>
                <w:sz w:val="24"/>
                <w:szCs w:val="24"/>
                <w:highlight w:val="yellow"/>
              </w:rPr>
            </w:pPr>
          </w:p>
          <w:p>
            <w:pPr>
              <w:spacing w:line="360" w:lineRule="auto"/>
              <w:rPr>
                <w:rFonts w:asciiTheme="minorEastAsia" w:hAnsiTheme="minorEastAsia" w:eastAsiaTheme="minorEastAsia" w:cstheme="minorEastAsia"/>
                <w:sz w:val="24"/>
                <w:szCs w:val="24"/>
                <w:highlight w:val="yellow"/>
              </w:rPr>
            </w:pPr>
          </w:p>
          <w:p>
            <w:pPr>
              <w:spacing w:line="360" w:lineRule="auto"/>
              <w:rPr>
                <w:rFonts w:asciiTheme="minorEastAsia" w:hAnsiTheme="minorEastAsia" w:eastAsiaTheme="minorEastAsia" w:cstheme="minorEastAsia"/>
                <w:sz w:val="24"/>
                <w:szCs w:val="24"/>
                <w:highlight w:val="yellow"/>
              </w:rPr>
            </w:pP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w:t>
            </w:r>
          </w:p>
          <w:p>
            <w:pPr>
              <w:spacing w:line="360" w:lineRule="auto"/>
              <w:rPr>
                <w:rFonts w:asciiTheme="minorEastAsia" w:hAnsiTheme="minorEastAsia" w:eastAsiaTheme="minorEastAsia" w:cstheme="minorEastAsia"/>
                <w:sz w:val="24"/>
                <w:szCs w:val="24"/>
              </w:rPr>
            </w:pPr>
          </w:p>
          <w:p>
            <w:pPr>
              <w:spacing w:line="360" w:lineRule="auto"/>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lang w:eastAsia="en-US"/>
              </w:rPr>
              <w:t>查</w:t>
            </w:r>
          </w:p>
        </w:tc>
        <w:tc>
          <w:tcPr>
            <w:tcW w:w="5244"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市政给水管网</w:t>
            </w:r>
          </w:p>
        </w:tc>
        <w:tc>
          <w:tcPr>
            <w:tcW w:w="2470" w:type="dxa"/>
            <w:noWrap/>
          </w:tcPr>
          <w:p>
            <w:pPr>
              <w:spacing w:line="360" w:lineRule="auto"/>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rPr>
              <w:t>每三个月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244"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消防水池（箱）、高位消防水箱</w:t>
            </w:r>
          </w:p>
        </w:tc>
        <w:tc>
          <w:tcPr>
            <w:tcW w:w="2470" w:type="dxa"/>
            <w:noWrap/>
          </w:tcPr>
          <w:p>
            <w:pPr>
              <w:spacing w:line="360" w:lineRule="auto"/>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rPr>
              <w:t>每三个月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244"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消防水泵</w:t>
            </w:r>
          </w:p>
        </w:tc>
        <w:tc>
          <w:tcPr>
            <w:tcW w:w="2470"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244"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稳压泵</w:t>
            </w:r>
          </w:p>
        </w:tc>
        <w:tc>
          <w:tcPr>
            <w:tcW w:w="2470"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244"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柴油机消防水泵</w:t>
            </w:r>
          </w:p>
        </w:tc>
        <w:tc>
          <w:tcPr>
            <w:tcW w:w="2470"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244"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气压水罐</w:t>
            </w:r>
          </w:p>
        </w:tc>
        <w:tc>
          <w:tcPr>
            <w:tcW w:w="2470"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244"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阀门（减压阀、倒流防止器、控制阀、电动阀、电磁阀）</w:t>
            </w:r>
          </w:p>
        </w:tc>
        <w:tc>
          <w:tcPr>
            <w:tcW w:w="2470"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244"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室内、室外消火栓、消防软管卷盘、启泵按钮</w:t>
            </w:r>
          </w:p>
        </w:tc>
        <w:tc>
          <w:tcPr>
            <w:tcW w:w="2470"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每三个月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244"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消防炮</w:t>
            </w:r>
          </w:p>
        </w:tc>
        <w:tc>
          <w:tcPr>
            <w:tcW w:w="2470"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244"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水泵接合器</w:t>
            </w:r>
          </w:p>
        </w:tc>
        <w:tc>
          <w:tcPr>
            <w:tcW w:w="2470"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244"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消防水泵房、水箱间、减压阀间等、供水设备间</w:t>
            </w:r>
          </w:p>
        </w:tc>
        <w:tc>
          <w:tcPr>
            <w:tcW w:w="2470"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Merge w:val="restart"/>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w:t>
            </w:r>
          </w:p>
          <w:p>
            <w:pPr>
              <w:spacing w:line="360" w:lineRule="auto"/>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试</w:t>
            </w:r>
          </w:p>
        </w:tc>
        <w:tc>
          <w:tcPr>
            <w:tcW w:w="5244"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消防水池（箱）、高位消防水箱</w:t>
            </w:r>
          </w:p>
        </w:tc>
        <w:tc>
          <w:tcPr>
            <w:tcW w:w="2470" w:type="dxa"/>
            <w:noWrap/>
          </w:tcPr>
          <w:p>
            <w:pPr>
              <w:spacing w:line="360" w:lineRule="auto"/>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rPr>
              <w:t>每月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244"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消防水泵</w:t>
            </w:r>
          </w:p>
        </w:tc>
        <w:tc>
          <w:tcPr>
            <w:tcW w:w="2470" w:type="dxa"/>
            <w:noWrap/>
          </w:tcPr>
          <w:p>
            <w:pPr>
              <w:spacing w:line="360" w:lineRule="auto"/>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rPr>
              <w:t>每月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244"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稳压泵</w:t>
            </w:r>
          </w:p>
        </w:tc>
        <w:tc>
          <w:tcPr>
            <w:tcW w:w="2470"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244"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柴油机消防水泵</w:t>
            </w:r>
          </w:p>
        </w:tc>
        <w:tc>
          <w:tcPr>
            <w:tcW w:w="2470" w:type="dxa"/>
            <w:noWrap/>
          </w:tcPr>
          <w:p>
            <w:pPr>
              <w:spacing w:line="360" w:lineRule="auto"/>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rPr>
              <w:t>每月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244"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气压水罐</w:t>
            </w:r>
          </w:p>
        </w:tc>
        <w:tc>
          <w:tcPr>
            <w:tcW w:w="2470"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每月/每三个月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244"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减压阀</w:t>
            </w:r>
          </w:p>
        </w:tc>
        <w:tc>
          <w:tcPr>
            <w:tcW w:w="2470"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每月/每年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244"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信号阀</w:t>
            </w:r>
          </w:p>
        </w:tc>
        <w:tc>
          <w:tcPr>
            <w:tcW w:w="2470"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每半年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244"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电动阀或电磁阀</w:t>
            </w:r>
          </w:p>
        </w:tc>
        <w:tc>
          <w:tcPr>
            <w:tcW w:w="2470"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244"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倒流防止器</w:t>
            </w:r>
          </w:p>
        </w:tc>
        <w:tc>
          <w:tcPr>
            <w:tcW w:w="2470"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Merge w:val="continue"/>
            <w:tcBorders>
              <w:bottom w:val="single" w:color="auto" w:sz="4" w:space="0"/>
            </w:tcBorders>
            <w:noWrap/>
            <w:vAlign w:val="center"/>
          </w:tcPr>
          <w:p>
            <w:pPr>
              <w:spacing w:line="360" w:lineRule="auto"/>
              <w:rPr>
                <w:rFonts w:asciiTheme="minorEastAsia" w:hAnsiTheme="minorEastAsia" w:eastAsiaTheme="minorEastAsia" w:cstheme="minorEastAsia"/>
                <w:sz w:val="24"/>
                <w:szCs w:val="24"/>
                <w:highlight w:val="yellow"/>
              </w:rPr>
            </w:pPr>
          </w:p>
        </w:tc>
        <w:tc>
          <w:tcPr>
            <w:tcW w:w="5244" w:type="dxa"/>
            <w:tcBorders>
              <w:bottom w:val="single" w:color="auto" w:sz="4" w:space="0"/>
            </w:tcBorders>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消防炮</w:t>
            </w:r>
          </w:p>
        </w:tc>
        <w:tc>
          <w:tcPr>
            <w:tcW w:w="2470"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每半年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Merge w:val="restart"/>
            <w:tcBorders>
              <w:top w:val="single" w:color="auto" w:sz="4" w:space="0"/>
            </w:tcBorders>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维</w:t>
            </w:r>
          </w:p>
          <w:p>
            <w:pPr>
              <w:spacing w:line="360" w:lineRule="auto"/>
              <w:rPr>
                <w:rFonts w:asciiTheme="minorEastAsia" w:hAnsiTheme="minorEastAsia" w:eastAsiaTheme="minorEastAsia" w:cstheme="minorEastAsia"/>
                <w:sz w:val="24"/>
                <w:szCs w:val="24"/>
              </w:rPr>
            </w:pP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修</w:t>
            </w:r>
          </w:p>
          <w:p>
            <w:pPr>
              <w:spacing w:line="360" w:lineRule="auto"/>
              <w:rPr>
                <w:rFonts w:asciiTheme="minorEastAsia" w:hAnsiTheme="minorEastAsia" w:eastAsiaTheme="minorEastAsia" w:cstheme="minorEastAsia"/>
                <w:sz w:val="24"/>
                <w:szCs w:val="24"/>
              </w:rPr>
            </w:pP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w:t>
            </w:r>
          </w:p>
          <w:p>
            <w:pPr>
              <w:spacing w:line="360" w:lineRule="auto"/>
              <w:rPr>
                <w:rFonts w:asciiTheme="minorEastAsia" w:hAnsiTheme="minorEastAsia" w:eastAsiaTheme="minorEastAsia" w:cstheme="minorEastAsia"/>
                <w:sz w:val="24"/>
                <w:szCs w:val="24"/>
              </w:rPr>
            </w:pPr>
          </w:p>
          <w:p>
            <w:pPr>
              <w:spacing w:line="360" w:lineRule="auto"/>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养</w:t>
            </w:r>
          </w:p>
        </w:tc>
        <w:tc>
          <w:tcPr>
            <w:tcW w:w="5244" w:type="dxa"/>
            <w:tcBorders>
              <w:top w:val="single" w:color="auto" w:sz="4" w:space="0"/>
              <w:left w:val="single" w:color="auto" w:sz="6" w:space="0"/>
              <w:bottom w:val="single" w:color="auto" w:sz="6" w:space="0"/>
              <w:right w:val="single" w:color="auto" w:sz="6" w:space="0"/>
            </w:tcBorders>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消防水池（箱）、高位消防水箱</w:t>
            </w:r>
          </w:p>
        </w:tc>
        <w:tc>
          <w:tcPr>
            <w:tcW w:w="2470" w:type="dxa"/>
            <w:tcBorders>
              <w:top w:val="single" w:color="auto" w:sz="6" w:space="0"/>
              <w:left w:val="single" w:color="auto" w:sz="6" w:space="0"/>
              <w:bottom w:val="single" w:color="auto" w:sz="6" w:space="0"/>
              <w:right w:val="single" w:color="auto" w:sz="6" w:space="0"/>
            </w:tcBorders>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每三个月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244" w:type="dxa"/>
            <w:tcBorders>
              <w:top w:val="single" w:color="auto" w:sz="6" w:space="0"/>
              <w:left w:val="single" w:color="auto" w:sz="6" w:space="0"/>
              <w:bottom w:val="single" w:color="auto" w:sz="6" w:space="0"/>
              <w:right w:val="single" w:color="auto" w:sz="6" w:space="0"/>
            </w:tcBorders>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消防水泵、稳压泵、柴油机消防水泵</w:t>
            </w:r>
          </w:p>
        </w:tc>
        <w:tc>
          <w:tcPr>
            <w:tcW w:w="2470" w:type="dxa"/>
            <w:tcBorders>
              <w:top w:val="single" w:color="auto" w:sz="6" w:space="0"/>
              <w:left w:val="single" w:color="auto" w:sz="6" w:space="0"/>
              <w:bottom w:val="single" w:color="auto" w:sz="6" w:space="0"/>
              <w:right w:val="single" w:color="auto" w:sz="6" w:space="0"/>
            </w:tcBorders>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244" w:type="dxa"/>
            <w:tcBorders>
              <w:top w:val="single" w:color="auto" w:sz="6" w:space="0"/>
              <w:left w:val="single" w:color="auto" w:sz="6" w:space="0"/>
              <w:bottom w:val="single" w:color="auto" w:sz="6" w:space="0"/>
              <w:right w:val="single" w:color="auto" w:sz="6" w:space="0"/>
            </w:tcBorders>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气压水罐</w:t>
            </w:r>
          </w:p>
        </w:tc>
        <w:tc>
          <w:tcPr>
            <w:tcW w:w="2470" w:type="dxa"/>
            <w:tcBorders>
              <w:top w:val="single" w:color="auto" w:sz="6" w:space="0"/>
              <w:left w:val="single" w:color="auto" w:sz="6" w:space="0"/>
              <w:bottom w:val="single" w:color="auto" w:sz="6" w:space="0"/>
              <w:right w:val="single" w:color="auto" w:sz="6" w:space="0"/>
            </w:tcBorders>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每半年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244" w:type="dxa"/>
            <w:tcBorders>
              <w:top w:val="single" w:color="auto" w:sz="6" w:space="0"/>
              <w:left w:val="single" w:color="auto" w:sz="6" w:space="0"/>
              <w:bottom w:val="single" w:color="auto" w:sz="6" w:space="0"/>
              <w:right w:val="single" w:color="auto" w:sz="6" w:space="0"/>
            </w:tcBorders>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阀门</w:t>
            </w:r>
          </w:p>
        </w:tc>
        <w:tc>
          <w:tcPr>
            <w:tcW w:w="2470" w:type="dxa"/>
            <w:tcBorders>
              <w:top w:val="single" w:color="auto" w:sz="6" w:space="0"/>
              <w:left w:val="single" w:color="auto" w:sz="6" w:space="0"/>
              <w:bottom w:val="single" w:color="auto" w:sz="6" w:space="0"/>
              <w:right w:val="single" w:color="auto" w:sz="6" w:space="0"/>
            </w:tcBorders>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每半年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244" w:type="dxa"/>
            <w:tcBorders>
              <w:top w:val="single" w:color="auto" w:sz="6" w:space="0"/>
              <w:left w:val="single" w:color="auto" w:sz="6" w:space="0"/>
              <w:bottom w:val="single" w:color="auto" w:sz="6" w:space="0"/>
              <w:right w:val="single" w:color="auto" w:sz="6" w:space="0"/>
            </w:tcBorders>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室内、室外消火栓、消防软管卷盘、启泵按钮</w:t>
            </w:r>
          </w:p>
        </w:tc>
        <w:tc>
          <w:tcPr>
            <w:tcW w:w="2470" w:type="dxa"/>
            <w:tcBorders>
              <w:top w:val="single" w:color="auto" w:sz="6" w:space="0"/>
              <w:left w:val="single" w:color="auto" w:sz="6" w:space="0"/>
              <w:bottom w:val="single" w:color="auto" w:sz="6" w:space="0"/>
              <w:right w:val="single" w:color="auto" w:sz="6" w:space="0"/>
            </w:tcBorders>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每半年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244" w:type="dxa"/>
            <w:tcBorders>
              <w:top w:val="single" w:color="auto" w:sz="6" w:space="0"/>
              <w:left w:val="single" w:color="auto" w:sz="6" w:space="0"/>
              <w:bottom w:val="single" w:color="auto" w:sz="6" w:space="0"/>
              <w:right w:val="single" w:color="auto" w:sz="6" w:space="0"/>
            </w:tcBorders>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水泵接合器</w:t>
            </w:r>
          </w:p>
        </w:tc>
        <w:tc>
          <w:tcPr>
            <w:tcW w:w="2470" w:type="dxa"/>
            <w:tcBorders>
              <w:top w:val="single" w:color="auto" w:sz="6" w:space="0"/>
              <w:left w:val="single" w:color="auto" w:sz="6" w:space="0"/>
              <w:bottom w:val="single" w:color="auto" w:sz="6" w:space="0"/>
              <w:right w:val="single" w:color="auto" w:sz="6" w:space="0"/>
            </w:tcBorders>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每半年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244" w:type="dxa"/>
            <w:tcBorders>
              <w:top w:val="single" w:color="auto" w:sz="6" w:space="0"/>
              <w:left w:val="single" w:color="auto" w:sz="6" w:space="0"/>
              <w:bottom w:val="single" w:color="auto" w:sz="6" w:space="0"/>
              <w:right w:val="single" w:color="auto" w:sz="6" w:space="0"/>
            </w:tcBorders>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过滤器</w:t>
            </w:r>
          </w:p>
        </w:tc>
        <w:tc>
          <w:tcPr>
            <w:tcW w:w="2470" w:type="dxa"/>
            <w:tcBorders>
              <w:top w:val="single" w:color="auto" w:sz="6" w:space="0"/>
              <w:left w:val="single" w:color="auto" w:sz="6" w:space="0"/>
              <w:bottom w:val="single" w:color="auto" w:sz="6" w:space="0"/>
              <w:right w:val="single" w:color="auto" w:sz="6" w:space="0"/>
            </w:tcBorders>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244" w:type="dxa"/>
            <w:tcBorders>
              <w:top w:val="single" w:color="auto" w:sz="6" w:space="0"/>
              <w:left w:val="single" w:color="auto" w:sz="6" w:space="0"/>
              <w:bottom w:val="single" w:color="auto" w:sz="6" w:space="0"/>
              <w:right w:val="single" w:color="auto" w:sz="6" w:space="0"/>
            </w:tcBorders>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消防水泵房、水箱间、报警阀间、减压阀间等、供水设备间</w:t>
            </w:r>
          </w:p>
        </w:tc>
        <w:tc>
          <w:tcPr>
            <w:tcW w:w="2470" w:type="dxa"/>
            <w:tcBorders>
              <w:top w:val="single" w:color="auto" w:sz="6" w:space="0"/>
              <w:left w:val="single" w:color="auto" w:sz="6" w:space="0"/>
              <w:bottom w:val="single" w:color="auto" w:sz="6" w:space="0"/>
              <w:right w:val="single" w:color="auto" w:sz="6" w:space="0"/>
            </w:tcBorders>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bl>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2、室内、外消火栓以及系统最不利点消火栓静压检测；最不利点消火栓出水压力。</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消防供水设施：消防水池进水阀供水功能；消防水泵自动、手动启泵和主、备泵切换功能；稳压泵、增压泵及气压水罐的自动启泵和主、备泵切换功能；阀门启闭功能；消防水泵接合器外观、配件；消防水泵房内环境是否整洁，管道和设备有无漏水、锈蚀等现象。</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（二）自动喷水灭火系统（喷淋）</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1、自动喷水灭火系统检查、测试、维修保养要求</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4860"/>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1" w:type="dxa"/>
            <w:gridSpan w:val="2"/>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2466"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Merge w:val="restart"/>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w:t>
            </w:r>
          </w:p>
          <w:p>
            <w:pPr>
              <w:spacing w:line="360" w:lineRule="auto"/>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查</w:t>
            </w:r>
          </w:p>
        </w:tc>
        <w:tc>
          <w:tcPr>
            <w:tcW w:w="4860"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喷头</w:t>
            </w:r>
          </w:p>
        </w:tc>
        <w:tc>
          <w:tcPr>
            <w:tcW w:w="2466"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4860"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管道和管件</w:t>
            </w:r>
          </w:p>
        </w:tc>
        <w:tc>
          <w:tcPr>
            <w:tcW w:w="2466"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4860"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管道支架、吊架和防晃支架</w:t>
            </w:r>
          </w:p>
        </w:tc>
        <w:tc>
          <w:tcPr>
            <w:tcW w:w="2466" w:type="dxa"/>
            <w:noWrap/>
          </w:tcPr>
          <w:p>
            <w:pPr>
              <w:spacing w:line="360" w:lineRule="auto"/>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4860"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报警阀组、末端试水阀</w:t>
            </w:r>
          </w:p>
        </w:tc>
        <w:tc>
          <w:tcPr>
            <w:tcW w:w="2466"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Merge w:val="restart"/>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w:t>
            </w:r>
          </w:p>
          <w:p>
            <w:pPr>
              <w:spacing w:line="360" w:lineRule="auto"/>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试</w:t>
            </w:r>
          </w:p>
        </w:tc>
        <w:tc>
          <w:tcPr>
            <w:tcW w:w="4860"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水流指示器</w:t>
            </w:r>
          </w:p>
        </w:tc>
        <w:tc>
          <w:tcPr>
            <w:tcW w:w="2466" w:type="dxa"/>
            <w:noWrap/>
          </w:tcPr>
          <w:p>
            <w:pPr>
              <w:spacing w:line="360" w:lineRule="auto"/>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rPr>
              <w:t>每三个月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4860"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信号阀</w:t>
            </w:r>
          </w:p>
        </w:tc>
        <w:tc>
          <w:tcPr>
            <w:tcW w:w="2466"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4860"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报警阀组、试水阀</w:t>
            </w:r>
          </w:p>
        </w:tc>
        <w:tc>
          <w:tcPr>
            <w:tcW w:w="2466"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Merge w:val="restart"/>
            <w:noWrap/>
            <w:vAlign w:val="center"/>
          </w:tcPr>
          <w:p>
            <w:pPr>
              <w:spacing w:line="360" w:lineRule="auto"/>
              <w:rPr>
                <w:rFonts w:asciiTheme="minorEastAsia" w:hAnsiTheme="minorEastAsia" w:eastAsiaTheme="minorEastAsia" w:cstheme="minorEastAsia"/>
                <w:sz w:val="24"/>
                <w:szCs w:val="24"/>
                <w:highlight w:val="yellow"/>
              </w:rPr>
            </w:pP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维修</w:t>
            </w:r>
          </w:p>
          <w:p>
            <w:pPr>
              <w:spacing w:line="360" w:lineRule="auto"/>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保养</w:t>
            </w:r>
          </w:p>
        </w:tc>
        <w:tc>
          <w:tcPr>
            <w:tcW w:w="4860"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喷头</w:t>
            </w:r>
          </w:p>
        </w:tc>
        <w:tc>
          <w:tcPr>
            <w:tcW w:w="2466"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4860"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过滤器</w:t>
            </w:r>
          </w:p>
        </w:tc>
        <w:tc>
          <w:tcPr>
            <w:tcW w:w="2466"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4860"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报警阀组</w:t>
            </w:r>
          </w:p>
        </w:tc>
        <w:tc>
          <w:tcPr>
            <w:tcW w:w="2466"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根据需要</w:t>
            </w:r>
          </w:p>
        </w:tc>
      </w:tr>
    </w:tbl>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2、喷头外观及距周边障碍物或保护对象的距离；消防水泵接合器外观、配件；报警阀组放水，末端试水装置、试水阀放水。</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（三）火灾自动报警系统</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1、火灾自动报警系统检查、测试、维修保养要求</w:t>
      </w:r>
    </w:p>
    <w:tbl>
      <w:tblPr>
        <w:tblStyle w:val="29"/>
        <w:tblpPr w:leftFromText="180" w:rightFromText="180" w:vertAnchor="text" w:horzAnchor="page" w:tblpXSpec="center" w:tblpY="45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4687"/>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5610" w:type="dxa"/>
            <w:gridSpan w:val="2"/>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2525"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restart"/>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查</w:t>
            </w:r>
          </w:p>
        </w:tc>
        <w:tc>
          <w:tcPr>
            <w:tcW w:w="4687"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火灾自动报警系统</w:t>
            </w:r>
          </w:p>
        </w:tc>
        <w:tc>
          <w:tcPr>
            <w:tcW w:w="2525"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3" w:type="dxa"/>
            <w:vMerge w:val="continue"/>
            <w:noWrap/>
            <w:vAlign w:val="center"/>
          </w:tcPr>
          <w:p>
            <w:pPr>
              <w:spacing w:line="360" w:lineRule="auto"/>
              <w:rPr>
                <w:rFonts w:asciiTheme="minorEastAsia" w:hAnsiTheme="minorEastAsia" w:eastAsiaTheme="minorEastAsia" w:cstheme="minorEastAsia"/>
                <w:sz w:val="24"/>
                <w:szCs w:val="24"/>
              </w:rPr>
            </w:pPr>
          </w:p>
        </w:tc>
        <w:tc>
          <w:tcPr>
            <w:tcW w:w="468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可燃气体探测报警系统</w:t>
            </w:r>
          </w:p>
        </w:tc>
        <w:tc>
          <w:tcPr>
            <w:tcW w:w="2525"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noWrap/>
            <w:vAlign w:val="center"/>
          </w:tcPr>
          <w:p>
            <w:pPr>
              <w:spacing w:line="360" w:lineRule="auto"/>
              <w:rPr>
                <w:rFonts w:asciiTheme="minorEastAsia" w:hAnsiTheme="minorEastAsia" w:eastAsiaTheme="minorEastAsia" w:cstheme="minorEastAsia"/>
                <w:sz w:val="24"/>
                <w:szCs w:val="24"/>
              </w:rPr>
            </w:pPr>
          </w:p>
        </w:tc>
        <w:tc>
          <w:tcPr>
            <w:tcW w:w="468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电气火灾监控系统</w:t>
            </w:r>
          </w:p>
        </w:tc>
        <w:tc>
          <w:tcPr>
            <w:tcW w:w="2525"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restart"/>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w:t>
            </w:r>
          </w:p>
          <w:p>
            <w:pPr>
              <w:spacing w:line="360" w:lineRule="auto"/>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试</w:t>
            </w:r>
          </w:p>
        </w:tc>
        <w:tc>
          <w:tcPr>
            <w:tcW w:w="468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火灾探测器</w:t>
            </w:r>
          </w:p>
        </w:tc>
        <w:tc>
          <w:tcPr>
            <w:tcW w:w="2525" w:type="dxa"/>
            <w:noWrap/>
          </w:tcPr>
          <w:p>
            <w:pPr>
              <w:spacing w:line="360" w:lineRule="auto"/>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rPr>
              <w:t>每三个月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3" w:type="dxa"/>
            <w:vMerge w:val="continue"/>
            <w:noWrap/>
          </w:tcPr>
          <w:p>
            <w:pPr>
              <w:spacing w:line="360" w:lineRule="auto"/>
              <w:rPr>
                <w:rFonts w:asciiTheme="minorEastAsia" w:hAnsiTheme="minorEastAsia" w:eastAsiaTheme="minorEastAsia" w:cstheme="minorEastAsia"/>
                <w:sz w:val="24"/>
                <w:szCs w:val="24"/>
                <w:highlight w:val="yellow"/>
              </w:rPr>
            </w:pPr>
          </w:p>
        </w:tc>
        <w:tc>
          <w:tcPr>
            <w:tcW w:w="468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火灾声和／或光警报器</w:t>
            </w:r>
          </w:p>
        </w:tc>
        <w:tc>
          <w:tcPr>
            <w:tcW w:w="2525"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noWrap/>
          </w:tcPr>
          <w:p>
            <w:pPr>
              <w:spacing w:line="360" w:lineRule="auto"/>
              <w:rPr>
                <w:rFonts w:asciiTheme="minorEastAsia" w:hAnsiTheme="minorEastAsia" w:eastAsiaTheme="minorEastAsia" w:cstheme="minorEastAsia"/>
                <w:sz w:val="24"/>
                <w:szCs w:val="24"/>
                <w:highlight w:val="yellow"/>
              </w:rPr>
            </w:pPr>
          </w:p>
        </w:tc>
        <w:tc>
          <w:tcPr>
            <w:tcW w:w="468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手动火灾报警按钮</w:t>
            </w:r>
          </w:p>
        </w:tc>
        <w:tc>
          <w:tcPr>
            <w:tcW w:w="2525"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noWrap/>
          </w:tcPr>
          <w:p>
            <w:pPr>
              <w:spacing w:line="360" w:lineRule="auto"/>
              <w:rPr>
                <w:rFonts w:asciiTheme="minorEastAsia" w:hAnsiTheme="minorEastAsia" w:eastAsiaTheme="minorEastAsia" w:cstheme="minorEastAsia"/>
                <w:sz w:val="24"/>
                <w:szCs w:val="24"/>
                <w:highlight w:val="yellow"/>
              </w:rPr>
            </w:pPr>
          </w:p>
        </w:tc>
        <w:tc>
          <w:tcPr>
            <w:tcW w:w="4687"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消防电话</w:t>
            </w:r>
          </w:p>
        </w:tc>
        <w:tc>
          <w:tcPr>
            <w:tcW w:w="2525"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noWrap/>
          </w:tcPr>
          <w:p>
            <w:pPr>
              <w:spacing w:line="360" w:lineRule="auto"/>
              <w:rPr>
                <w:rFonts w:asciiTheme="minorEastAsia" w:hAnsiTheme="minorEastAsia" w:eastAsiaTheme="minorEastAsia" w:cstheme="minorEastAsia"/>
                <w:sz w:val="24"/>
                <w:szCs w:val="24"/>
                <w:highlight w:val="yellow"/>
              </w:rPr>
            </w:pPr>
          </w:p>
        </w:tc>
        <w:tc>
          <w:tcPr>
            <w:tcW w:w="4687"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消防应急广播</w:t>
            </w:r>
          </w:p>
        </w:tc>
        <w:tc>
          <w:tcPr>
            <w:tcW w:w="2525"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noWrap/>
          </w:tcPr>
          <w:p>
            <w:pPr>
              <w:spacing w:line="360" w:lineRule="auto"/>
              <w:rPr>
                <w:rFonts w:asciiTheme="minorEastAsia" w:hAnsiTheme="minorEastAsia" w:eastAsiaTheme="minorEastAsia" w:cstheme="minorEastAsia"/>
                <w:sz w:val="24"/>
                <w:szCs w:val="24"/>
                <w:highlight w:val="yellow"/>
              </w:rPr>
            </w:pPr>
          </w:p>
        </w:tc>
        <w:tc>
          <w:tcPr>
            <w:tcW w:w="468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火灾报警控制器</w:t>
            </w:r>
          </w:p>
        </w:tc>
        <w:tc>
          <w:tcPr>
            <w:tcW w:w="2525"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noWrap/>
          </w:tcPr>
          <w:p>
            <w:pPr>
              <w:spacing w:line="360" w:lineRule="auto"/>
              <w:rPr>
                <w:rFonts w:asciiTheme="minorEastAsia" w:hAnsiTheme="minorEastAsia" w:eastAsiaTheme="minorEastAsia" w:cstheme="minorEastAsia"/>
                <w:sz w:val="24"/>
                <w:szCs w:val="24"/>
                <w:highlight w:val="yellow"/>
              </w:rPr>
            </w:pPr>
          </w:p>
        </w:tc>
        <w:tc>
          <w:tcPr>
            <w:tcW w:w="468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消防联动控制器</w:t>
            </w:r>
          </w:p>
        </w:tc>
        <w:tc>
          <w:tcPr>
            <w:tcW w:w="2525"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noWrap/>
          </w:tcPr>
          <w:p>
            <w:pPr>
              <w:spacing w:line="360" w:lineRule="auto"/>
              <w:rPr>
                <w:rFonts w:asciiTheme="minorEastAsia" w:hAnsiTheme="minorEastAsia" w:eastAsiaTheme="minorEastAsia" w:cstheme="minorEastAsia"/>
                <w:sz w:val="24"/>
                <w:szCs w:val="24"/>
                <w:highlight w:val="yellow"/>
              </w:rPr>
            </w:pPr>
          </w:p>
        </w:tc>
        <w:tc>
          <w:tcPr>
            <w:tcW w:w="468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可燃气体报警控制器</w:t>
            </w:r>
          </w:p>
        </w:tc>
        <w:tc>
          <w:tcPr>
            <w:tcW w:w="2525"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noWrap/>
          </w:tcPr>
          <w:p>
            <w:pPr>
              <w:spacing w:line="360" w:lineRule="auto"/>
              <w:rPr>
                <w:rFonts w:asciiTheme="minorEastAsia" w:hAnsiTheme="minorEastAsia" w:eastAsiaTheme="minorEastAsia" w:cstheme="minorEastAsia"/>
                <w:sz w:val="24"/>
                <w:szCs w:val="24"/>
                <w:highlight w:val="yellow"/>
              </w:rPr>
            </w:pPr>
          </w:p>
        </w:tc>
        <w:tc>
          <w:tcPr>
            <w:tcW w:w="468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气体灭火控制器</w:t>
            </w:r>
          </w:p>
        </w:tc>
        <w:tc>
          <w:tcPr>
            <w:tcW w:w="2525"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noWrap/>
          </w:tcPr>
          <w:p>
            <w:pPr>
              <w:spacing w:line="360" w:lineRule="auto"/>
              <w:rPr>
                <w:rFonts w:asciiTheme="minorEastAsia" w:hAnsiTheme="minorEastAsia" w:eastAsiaTheme="minorEastAsia" w:cstheme="minorEastAsia"/>
                <w:sz w:val="24"/>
                <w:szCs w:val="24"/>
                <w:highlight w:val="yellow"/>
              </w:rPr>
            </w:pPr>
          </w:p>
        </w:tc>
        <w:tc>
          <w:tcPr>
            <w:tcW w:w="468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系统备用电源</w:t>
            </w:r>
          </w:p>
        </w:tc>
        <w:tc>
          <w:tcPr>
            <w:tcW w:w="2525"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noWrap/>
          </w:tcPr>
          <w:p>
            <w:pPr>
              <w:spacing w:line="360" w:lineRule="auto"/>
              <w:rPr>
                <w:rFonts w:asciiTheme="minorEastAsia" w:hAnsiTheme="minorEastAsia" w:eastAsiaTheme="minorEastAsia" w:cstheme="minorEastAsia"/>
                <w:sz w:val="24"/>
                <w:szCs w:val="24"/>
                <w:highlight w:val="yellow"/>
              </w:rPr>
            </w:pPr>
          </w:p>
        </w:tc>
        <w:tc>
          <w:tcPr>
            <w:tcW w:w="468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电气火灾监控系统</w:t>
            </w:r>
          </w:p>
        </w:tc>
        <w:tc>
          <w:tcPr>
            <w:tcW w:w="2525"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3" w:type="dxa"/>
            <w:vMerge w:val="restart"/>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维修</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保养</w:t>
            </w:r>
          </w:p>
        </w:tc>
        <w:tc>
          <w:tcPr>
            <w:tcW w:w="4687"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火灾自动报警系统</w:t>
            </w:r>
          </w:p>
        </w:tc>
        <w:tc>
          <w:tcPr>
            <w:tcW w:w="2525"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noWrap/>
          </w:tcPr>
          <w:p>
            <w:pPr>
              <w:spacing w:line="360" w:lineRule="auto"/>
              <w:rPr>
                <w:rFonts w:asciiTheme="minorEastAsia" w:hAnsiTheme="minorEastAsia" w:eastAsiaTheme="minorEastAsia" w:cstheme="minorEastAsia"/>
                <w:sz w:val="24"/>
                <w:szCs w:val="24"/>
              </w:rPr>
            </w:pPr>
          </w:p>
        </w:tc>
        <w:tc>
          <w:tcPr>
            <w:tcW w:w="468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电气火灾监控系统</w:t>
            </w:r>
          </w:p>
        </w:tc>
        <w:tc>
          <w:tcPr>
            <w:tcW w:w="2525"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bl>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火灾探测器、手动报警按钮报警功能；警报装置警报功能；报警控制器、火灾显示盘等报警、显示、打印等功能；消防联动控制器及控制模块的手动控制功能，显示功能，主、备电源切换功能，备用电源充、放电功能。</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（四）防排烟系统</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1、防排烟系统检查、测试、维修保养要求</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3998"/>
        <w:gridCol w:w="2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8" w:type="dxa"/>
            <w:gridSpan w:val="2"/>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247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vMerge w:val="restart"/>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查</w:t>
            </w:r>
          </w:p>
        </w:tc>
        <w:tc>
          <w:tcPr>
            <w:tcW w:w="3998"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送风阀（口）、排烟阀（口）</w:t>
            </w:r>
          </w:p>
        </w:tc>
        <w:tc>
          <w:tcPr>
            <w:tcW w:w="247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3998"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排烟防火阀</w:t>
            </w:r>
          </w:p>
        </w:tc>
        <w:tc>
          <w:tcPr>
            <w:tcW w:w="247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3998"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风机</w:t>
            </w:r>
          </w:p>
        </w:tc>
        <w:tc>
          <w:tcPr>
            <w:tcW w:w="247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3998"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挡烟垂壁</w:t>
            </w:r>
          </w:p>
        </w:tc>
        <w:tc>
          <w:tcPr>
            <w:tcW w:w="247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3998"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管道</w:t>
            </w:r>
          </w:p>
        </w:tc>
        <w:tc>
          <w:tcPr>
            <w:tcW w:w="247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3998"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自然排烟设施</w:t>
            </w:r>
          </w:p>
        </w:tc>
        <w:tc>
          <w:tcPr>
            <w:tcW w:w="247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3998"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送风机房、排烟风机房</w:t>
            </w:r>
          </w:p>
        </w:tc>
        <w:tc>
          <w:tcPr>
            <w:tcW w:w="247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vMerge w:val="restart"/>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w:t>
            </w:r>
          </w:p>
          <w:p>
            <w:pPr>
              <w:spacing w:line="360" w:lineRule="auto"/>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试</w:t>
            </w:r>
          </w:p>
        </w:tc>
        <w:tc>
          <w:tcPr>
            <w:tcW w:w="3998"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送风阀（口）、排烟阀（口）</w:t>
            </w:r>
          </w:p>
        </w:tc>
        <w:tc>
          <w:tcPr>
            <w:tcW w:w="247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3998"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活动挡烟垂壁</w:t>
            </w:r>
          </w:p>
        </w:tc>
        <w:tc>
          <w:tcPr>
            <w:tcW w:w="247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3998"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电动排烟窗</w:t>
            </w:r>
          </w:p>
        </w:tc>
        <w:tc>
          <w:tcPr>
            <w:tcW w:w="247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3998"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风机</w:t>
            </w:r>
          </w:p>
        </w:tc>
        <w:tc>
          <w:tcPr>
            <w:tcW w:w="247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3998"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联动功能</w:t>
            </w:r>
          </w:p>
        </w:tc>
        <w:tc>
          <w:tcPr>
            <w:tcW w:w="247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维修保养</w:t>
            </w:r>
          </w:p>
        </w:tc>
        <w:tc>
          <w:tcPr>
            <w:tcW w:w="3998"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送风阀（口）、排烟阀（口）</w:t>
            </w:r>
          </w:p>
        </w:tc>
        <w:tc>
          <w:tcPr>
            <w:tcW w:w="247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bl>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2、电动送风阀启闭功能，送风机启、停功能；排烟阀启、闭功能，排烟机启、停功能。</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（五）防火分隔系统</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防火分隔系统检查、测试、维修保养要求</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3968"/>
        <w:gridCol w:w="2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4" w:type="dxa"/>
            <w:gridSpan w:val="2"/>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2574"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6" w:type="dxa"/>
            <w:vMerge w:val="restart"/>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查</w:t>
            </w:r>
          </w:p>
        </w:tc>
        <w:tc>
          <w:tcPr>
            <w:tcW w:w="3968"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防火门</w:t>
            </w:r>
          </w:p>
        </w:tc>
        <w:tc>
          <w:tcPr>
            <w:tcW w:w="2574"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6" w:type="dxa"/>
            <w:vMerge w:val="continue"/>
            <w:noWrap/>
            <w:vAlign w:val="center"/>
          </w:tcPr>
          <w:p>
            <w:pPr>
              <w:spacing w:line="360" w:lineRule="auto"/>
              <w:rPr>
                <w:rFonts w:asciiTheme="minorEastAsia" w:hAnsiTheme="minorEastAsia" w:eastAsiaTheme="minorEastAsia" w:cstheme="minorEastAsia"/>
                <w:sz w:val="24"/>
                <w:szCs w:val="24"/>
              </w:rPr>
            </w:pPr>
          </w:p>
        </w:tc>
        <w:tc>
          <w:tcPr>
            <w:tcW w:w="3968"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防火卷帘</w:t>
            </w:r>
          </w:p>
        </w:tc>
        <w:tc>
          <w:tcPr>
            <w:tcW w:w="2574"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6" w:type="dxa"/>
            <w:vMerge w:val="restart"/>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w:t>
            </w:r>
          </w:p>
        </w:tc>
        <w:tc>
          <w:tcPr>
            <w:tcW w:w="3968"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防火门</w:t>
            </w:r>
          </w:p>
        </w:tc>
        <w:tc>
          <w:tcPr>
            <w:tcW w:w="2574" w:type="dxa"/>
            <w:noWrap/>
          </w:tcPr>
          <w:p>
            <w:pPr>
              <w:spacing w:line="360" w:lineRule="auto"/>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rPr>
              <w:t>每三个月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6" w:type="dxa"/>
            <w:vMerge w:val="continue"/>
            <w:noWrap/>
            <w:vAlign w:val="center"/>
          </w:tcPr>
          <w:p>
            <w:pPr>
              <w:spacing w:line="360" w:lineRule="auto"/>
              <w:rPr>
                <w:rFonts w:asciiTheme="minorEastAsia" w:hAnsiTheme="minorEastAsia" w:eastAsiaTheme="minorEastAsia" w:cstheme="minorEastAsia"/>
                <w:sz w:val="24"/>
                <w:szCs w:val="24"/>
              </w:rPr>
            </w:pPr>
          </w:p>
        </w:tc>
        <w:tc>
          <w:tcPr>
            <w:tcW w:w="3968"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防火卷帘</w:t>
            </w:r>
          </w:p>
        </w:tc>
        <w:tc>
          <w:tcPr>
            <w:tcW w:w="2574"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6" w:type="dxa"/>
            <w:vMerge w:val="restart"/>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维修</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保养</w:t>
            </w:r>
          </w:p>
        </w:tc>
        <w:tc>
          <w:tcPr>
            <w:tcW w:w="3968"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防火卷帘</w:t>
            </w:r>
          </w:p>
        </w:tc>
        <w:tc>
          <w:tcPr>
            <w:tcW w:w="2574"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6" w:type="dxa"/>
            <w:vMerge w:val="continue"/>
            <w:noWrap/>
            <w:vAlign w:val="center"/>
          </w:tcPr>
          <w:p>
            <w:pPr>
              <w:spacing w:line="360" w:lineRule="auto"/>
              <w:rPr>
                <w:rFonts w:asciiTheme="minorEastAsia" w:hAnsiTheme="minorEastAsia" w:eastAsiaTheme="minorEastAsia" w:cstheme="minorEastAsia"/>
                <w:sz w:val="24"/>
                <w:szCs w:val="24"/>
              </w:rPr>
            </w:pPr>
          </w:p>
        </w:tc>
        <w:tc>
          <w:tcPr>
            <w:tcW w:w="3968"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防火门</w:t>
            </w:r>
          </w:p>
        </w:tc>
        <w:tc>
          <w:tcPr>
            <w:tcW w:w="2574"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bl>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1、防火卷帘自动启动和现场手动功能及信号反馈功能。 </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2、消防供配电系统：主备电源切换的测试维保。</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（六）气体灭火系统</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1、气体灭火系统检查、测试、维修保养要求</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5100"/>
        <w:gridCol w:w="2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7" w:type="dxa"/>
            <w:gridSpan w:val="2"/>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252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Merge w:val="restart"/>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w:t>
            </w:r>
          </w:p>
          <w:p>
            <w:pPr>
              <w:spacing w:line="360" w:lineRule="auto"/>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查</w:t>
            </w:r>
          </w:p>
        </w:tc>
        <w:tc>
          <w:tcPr>
            <w:tcW w:w="5100"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低压二氧化碳储存装置及装置间</w:t>
            </w:r>
          </w:p>
        </w:tc>
        <w:tc>
          <w:tcPr>
            <w:tcW w:w="252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100"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高压二氧化碳灭火系统、七氟丙烷管网灭火系统及IG541灭火系统</w:t>
            </w:r>
          </w:p>
        </w:tc>
        <w:tc>
          <w:tcPr>
            <w:tcW w:w="252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100"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预制灭火系统</w:t>
            </w:r>
          </w:p>
        </w:tc>
        <w:tc>
          <w:tcPr>
            <w:tcW w:w="252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100"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防护区</w:t>
            </w:r>
          </w:p>
        </w:tc>
        <w:tc>
          <w:tcPr>
            <w:tcW w:w="252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100"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设备及管道</w:t>
            </w:r>
          </w:p>
        </w:tc>
        <w:tc>
          <w:tcPr>
            <w:tcW w:w="252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697"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100"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喷嘴</w:t>
            </w:r>
          </w:p>
        </w:tc>
        <w:tc>
          <w:tcPr>
            <w:tcW w:w="252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Merge w:val="restart"/>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w:t>
            </w:r>
          </w:p>
          <w:p>
            <w:pPr>
              <w:spacing w:line="360" w:lineRule="auto"/>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试</w:t>
            </w:r>
          </w:p>
        </w:tc>
        <w:tc>
          <w:tcPr>
            <w:tcW w:w="5100"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高压二氧化碳储存容器</w:t>
            </w:r>
          </w:p>
        </w:tc>
        <w:tc>
          <w:tcPr>
            <w:tcW w:w="2527" w:type="dxa"/>
            <w:noWrap/>
          </w:tcPr>
          <w:p>
            <w:pPr>
              <w:spacing w:line="360" w:lineRule="auto"/>
              <w:rPr>
                <w:rFonts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100"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模拟启动试验</w:t>
            </w:r>
          </w:p>
        </w:tc>
        <w:tc>
          <w:tcPr>
            <w:tcW w:w="252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100"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模拟喷气试验</w:t>
            </w:r>
          </w:p>
        </w:tc>
        <w:tc>
          <w:tcPr>
            <w:tcW w:w="252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Merge w:val="restart"/>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维修</w:t>
            </w:r>
          </w:p>
          <w:p>
            <w:pPr>
              <w:spacing w:line="360" w:lineRule="auto"/>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保养</w:t>
            </w:r>
          </w:p>
        </w:tc>
        <w:tc>
          <w:tcPr>
            <w:tcW w:w="5100"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充装</w:t>
            </w:r>
          </w:p>
        </w:tc>
        <w:tc>
          <w:tcPr>
            <w:tcW w:w="252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100"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低压二氧化碳灭火剂储存容器</w:t>
            </w:r>
          </w:p>
        </w:tc>
        <w:tc>
          <w:tcPr>
            <w:tcW w:w="252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100"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钢瓶</w:t>
            </w:r>
          </w:p>
        </w:tc>
        <w:tc>
          <w:tcPr>
            <w:tcW w:w="252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100"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灭火剂输送管道</w:t>
            </w:r>
          </w:p>
        </w:tc>
        <w:tc>
          <w:tcPr>
            <w:tcW w:w="2527"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bl>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2、灭火剂和驱动气体储存容器内的压力、储量；检漏装置称重、检漏报警功能；紧急启动/停止按钮模拟试验；选择阀手动启闭试验。</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（七）ABC等手持式灭火器</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1、检查灭火器标签、喷管、铅封是否完好无损，表面漆是否脱落清洁、压力是否正常，安装是否牢固；是否在有效期内。发现问题应及时通知甲方并协助重新置换灭火器。</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（八）疏散指示和应急照明系统</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028"/>
        <w:gridCol w:w="2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3" w:type="dxa"/>
            <w:gridSpan w:val="2"/>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2618"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w:t>
            </w:r>
          </w:p>
        </w:tc>
        <w:tc>
          <w:tcPr>
            <w:tcW w:w="5028"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系统组件</w:t>
            </w:r>
          </w:p>
        </w:tc>
        <w:tc>
          <w:tcPr>
            <w:tcW w:w="2618"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noWrap/>
            <w:vAlign w:val="center"/>
          </w:tcPr>
          <w:p>
            <w:pPr>
              <w:spacing w:line="360" w:lineRule="auto"/>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测试</w:t>
            </w:r>
          </w:p>
        </w:tc>
        <w:tc>
          <w:tcPr>
            <w:tcW w:w="5028"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消防应急灯具</w:t>
            </w:r>
          </w:p>
        </w:tc>
        <w:tc>
          <w:tcPr>
            <w:tcW w:w="2618"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028"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集中控制功能</w:t>
            </w:r>
          </w:p>
        </w:tc>
        <w:tc>
          <w:tcPr>
            <w:tcW w:w="2618"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028"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集中电源功能</w:t>
            </w:r>
          </w:p>
        </w:tc>
        <w:tc>
          <w:tcPr>
            <w:tcW w:w="2618"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5028"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照度</w:t>
            </w:r>
          </w:p>
        </w:tc>
        <w:tc>
          <w:tcPr>
            <w:tcW w:w="2618"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维修保养</w:t>
            </w:r>
          </w:p>
        </w:tc>
        <w:tc>
          <w:tcPr>
            <w:tcW w:w="5028"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集中电源</w:t>
            </w:r>
          </w:p>
        </w:tc>
        <w:tc>
          <w:tcPr>
            <w:tcW w:w="2618"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每三个月</w:t>
            </w:r>
          </w:p>
        </w:tc>
      </w:tr>
    </w:tbl>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1、对疏散指示及应急照明松动、破损、照度不合格的进行维修及更换。</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（九）干粉灭火系统的检查、测试、维修保养要求</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4972"/>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5" w:type="dxa"/>
            <w:gridSpan w:val="2"/>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2602" w:type="dxa"/>
            <w:noWrap/>
          </w:tcPr>
          <w:p>
            <w:pPr>
              <w:spacing w:line="360" w:lineRule="auto"/>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vMerge w:val="restart"/>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w:t>
            </w:r>
          </w:p>
          <w:p>
            <w:pPr>
              <w:spacing w:line="360" w:lineRule="auto"/>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查</w:t>
            </w:r>
          </w:p>
        </w:tc>
        <w:tc>
          <w:tcPr>
            <w:tcW w:w="4972"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干粉储存装置</w:t>
            </w:r>
          </w:p>
        </w:tc>
        <w:tc>
          <w:tcPr>
            <w:tcW w:w="2602"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4972"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选择阀</w:t>
            </w:r>
          </w:p>
        </w:tc>
        <w:tc>
          <w:tcPr>
            <w:tcW w:w="2602"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4972"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喷头</w:t>
            </w:r>
          </w:p>
        </w:tc>
        <w:tc>
          <w:tcPr>
            <w:tcW w:w="2602"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4972"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设备及管道</w:t>
            </w:r>
          </w:p>
        </w:tc>
        <w:tc>
          <w:tcPr>
            <w:tcW w:w="2602"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4972"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防护区</w:t>
            </w:r>
          </w:p>
        </w:tc>
        <w:tc>
          <w:tcPr>
            <w:tcW w:w="2602"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ign w:val="center"/>
          </w:tcPr>
          <w:p>
            <w:pPr>
              <w:spacing w:line="360" w:lineRule="auto"/>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测试</w:t>
            </w:r>
          </w:p>
        </w:tc>
        <w:tc>
          <w:tcPr>
            <w:tcW w:w="4972"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模拟喷射试验</w:t>
            </w:r>
          </w:p>
        </w:tc>
        <w:tc>
          <w:tcPr>
            <w:tcW w:w="2602"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vMerge w:val="restart"/>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维修</w:t>
            </w:r>
          </w:p>
          <w:p>
            <w:pPr>
              <w:spacing w:line="360" w:lineRule="auto"/>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保养</w:t>
            </w:r>
          </w:p>
        </w:tc>
        <w:tc>
          <w:tcPr>
            <w:tcW w:w="4972"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钢瓶</w:t>
            </w:r>
          </w:p>
        </w:tc>
        <w:tc>
          <w:tcPr>
            <w:tcW w:w="2602"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4972"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灭火剂输送管道</w:t>
            </w:r>
          </w:p>
        </w:tc>
        <w:tc>
          <w:tcPr>
            <w:tcW w:w="2602"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4972" w:type="dxa"/>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干粉药剂</w:t>
            </w:r>
          </w:p>
        </w:tc>
        <w:tc>
          <w:tcPr>
            <w:tcW w:w="2602"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每年</w:t>
            </w:r>
          </w:p>
        </w:tc>
      </w:tr>
    </w:tbl>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1、钢瓶：定期检验及报废要求按TSG R0006执行。</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2、灭火剂输送管道：耐压试验周期应按TSG D0001执行。</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3、干粉灭火剂：每年要进行开罐取样检查，当发现结块时，应及时通知甲方并协助重新置换干粉进行灌装。</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（十）自动寻的喷水灭火装置（消防水炮）检查、测试、维修保养要求</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4942"/>
        <w:gridCol w:w="2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8" w:type="dxa"/>
            <w:gridSpan w:val="2"/>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2584"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restart"/>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w:t>
            </w:r>
          </w:p>
          <w:p>
            <w:pPr>
              <w:spacing w:line="360" w:lineRule="auto"/>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查</w:t>
            </w:r>
          </w:p>
        </w:tc>
        <w:tc>
          <w:tcPr>
            <w:tcW w:w="4942"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灭火装置</w:t>
            </w:r>
          </w:p>
        </w:tc>
        <w:tc>
          <w:tcPr>
            <w:tcW w:w="2584"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4942"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探测装置</w:t>
            </w:r>
          </w:p>
        </w:tc>
        <w:tc>
          <w:tcPr>
            <w:tcW w:w="2584"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4942"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管道和管件</w:t>
            </w:r>
          </w:p>
        </w:tc>
        <w:tc>
          <w:tcPr>
            <w:tcW w:w="2584"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4942"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管道支架、吊架和防晃支架</w:t>
            </w:r>
          </w:p>
        </w:tc>
        <w:tc>
          <w:tcPr>
            <w:tcW w:w="2584" w:type="dxa"/>
            <w:noWrap/>
          </w:tcPr>
          <w:p>
            <w:pPr>
              <w:spacing w:line="360" w:lineRule="auto"/>
              <w:rPr>
                <w:rFonts w:asciiTheme="minorEastAsia" w:hAnsiTheme="minorEastAsia" w:eastAsiaTheme="minorEastAsia" w:cstheme="minorEastAsia"/>
                <w:sz w:val="24"/>
                <w:szCs w:val="24"/>
                <w:lang w:eastAsia="en-US"/>
              </w:rPr>
            </w:pPr>
            <w:bookmarkStart w:id="494" w:name="OLE_LINK2"/>
            <w:r>
              <w:rPr>
                <w:rFonts w:hint="eastAsia" w:asciiTheme="minorEastAsia" w:hAnsiTheme="minorEastAsia" w:eastAsiaTheme="minorEastAsia" w:cstheme="minorEastAsia"/>
                <w:sz w:val="24"/>
                <w:szCs w:val="24"/>
              </w:rPr>
              <w:t>每年</w:t>
            </w:r>
            <w:bookmarkEnd w:id="4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4942"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末端试水阀</w:t>
            </w:r>
          </w:p>
        </w:tc>
        <w:tc>
          <w:tcPr>
            <w:tcW w:w="2584"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4942"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阀门</w:t>
            </w:r>
          </w:p>
        </w:tc>
        <w:tc>
          <w:tcPr>
            <w:tcW w:w="2584"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6"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4942"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消防泵</w:t>
            </w:r>
          </w:p>
        </w:tc>
        <w:tc>
          <w:tcPr>
            <w:tcW w:w="2584"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56"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4942"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手动控制盘</w:t>
            </w:r>
          </w:p>
        </w:tc>
        <w:tc>
          <w:tcPr>
            <w:tcW w:w="2584" w:type="dxa"/>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56" w:type="dxa"/>
            <w:vMerge w:val="restart"/>
            <w:noWrap/>
            <w:vAlign w:val="center"/>
          </w:tcPr>
          <w:p>
            <w:pPr>
              <w:spacing w:line="360" w:lineRule="auto"/>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试测</w:t>
            </w:r>
          </w:p>
        </w:tc>
        <w:tc>
          <w:tcPr>
            <w:tcW w:w="4942" w:type="dxa"/>
            <w:tcBorders>
              <w:top w:val="single" w:color="auto" w:sz="4" w:space="0"/>
              <w:left w:val="single" w:color="auto" w:sz="4" w:space="0"/>
              <w:bottom w:val="single" w:color="auto" w:sz="4" w:space="0"/>
              <w:right w:val="single" w:color="auto" w:sz="4" w:space="0"/>
            </w:tcBorders>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控制装置</w:t>
            </w:r>
          </w:p>
        </w:tc>
        <w:tc>
          <w:tcPr>
            <w:tcW w:w="2584" w:type="dxa"/>
            <w:tcBorders>
              <w:top w:val="single" w:color="auto" w:sz="4" w:space="0"/>
              <w:left w:val="single" w:color="auto" w:sz="4" w:space="0"/>
              <w:bottom w:val="single" w:color="auto" w:sz="4" w:space="0"/>
              <w:right w:val="single" w:color="auto" w:sz="4" w:space="0"/>
            </w:tcBorders>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56"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4942" w:type="dxa"/>
            <w:tcBorders>
              <w:top w:val="single" w:color="auto" w:sz="4" w:space="0"/>
              <w:left w:val="single" w:color="auto" w:sz="4" w:space="0"/>
              <w:bottom w:val="single" w:color="auto" w:sz="4" w:space="0"/>
              <w:right w:val="single" w:color="auto" w:sz="4" w:space="0"/>
            </w:tcBorders>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电动阀</w:t>
            </w:r>
          </w:p>
        </w:tc>
        <w:tc>
          <w:tcPr>
            <w:tcW w:w="2584" w:type="dxa"/>
            <w:tcBorders>
              <w:top w:val="single" w:color="auto" w:sz="4" w:space="0"/>
              <w:left w:val="single" w:color="auto" w:sz="4" w:space="0"/>
              <w:bottom w:val="single" w:color="auto" w:sz="4" w:space="0"/>
              <w:right w:val="single" w:color="auto" w:sz="4" w:space="0"/>
            </w:tcBorders>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56"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4942" w:type="dxa"/>
            <w:tcBorders>
              <w:top w:val="single" w:color="auto" w:sz="4" w:space="0"/>
              <w:left w:val="single" w:color="auto" w:sz="4" w:space="0"/>
              <w:bottom w:val="single" w:color="auto" w:sz="4" w:space="0"/>
              <w:right w:val="single" w:color="auto" w:sz="4" w:space="0"/>
            </w:tcBorders>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消防泵</w:t>
            </w:r>
          </w:p>
        </w:tc>
        <w:tc>
          <w:tcPr>
            <w:tcW w:w="2584" w:type="dxa"/>
            <w:tcBorders>
              <w:top w:val="single" w:color="auto" w:sz="4" w:space="0"/>
              <w:left w:val="single" w:color="auto" w:sz="4" w:space="0"/>
              <w:bottom w:val="single" w:color="auto" w:sz="4" w:space="0"/>
              <w:right w:val="single" w:color="auto" w:sz="4" w:space="0"/>
            </w:tcBorders>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56"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4942" w:type="dxa"/>
            <w:tcBorders>
              <w:top w:val="single" w:color="auto" w:sz="4" w:space="0"/>
              <w:left w:val="single" w:color="auto" w:sz="4" w:space="0"/>
              <w:bottom w:val="single" w:color="auto" w:sz="4" w:space="0"/>
              <w:right w:val="single" w:color="auto" w:sz="4" w:space="0"/>
            </w:tcBorders>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联动功能</w:t>
            </w:r>
          </w:p>
        </w:tc>
        <w:tc>
          <w:tcPr>
            <w:tcW w:w="2584" w:type="dxa"/>
            <w:tcBorders>
              <w:top w:val="single" w:color="auto" w:sz="4" w:space="0"/>
              <w:left w:val="single" w:color="auto" w:sz="4" w:space="0"/>
              <w:bottom w:val="single" w:color="auto" w:sz="4" w:space="0"/>
              <w:right w:val="single" w:color="auto" w:sz="4" w:space="0"/>
            </w:tcBorders>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56" w:type="dxa"/>
            <w:vMerge w:val="restart"/>
            <w:noWrap/>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维修</w:t>
            </w:r>
          </w:p>
          <w:p>
            <w:pPr>
              <w:spacing w:line="360" w:lineRule="auto"/>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保养</w:t>
            </w:r>
          </w:p>
        </w:tc>
        <w:tc>
          <w:tcPr>
            <w:tcW w:w="4942" w:type="dxa"/>
            <w:tcBorders>
              <w:top w:val="single" w:color="auto" w:sz="4" w:space="0"/>
              <w:left w:val="single" w:color="auto" w:sz="4" w:space="0"/>
              <w:bottom w:val="single" w:color="auto" w:sz="4" w:space="0"/>
              <w:right w:val="single" w:color="auto" w:sz="4" w:space="0"/>
            </w:tcBorders>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灭火装置</w:t>
            </w:r>
          </w:p>
        </w:tc>
        <w:tc>
          <w:tcPr>
            <w:tcW w:w="2584" w:type="dxa"/>
            <w:tcBorders>
              <w:top w:val="single" w:color="auto" w:sz="4" w:space="0"/>
              <w:left w:val="single" w:color="auto" w:sz="4" w:space="0"/>
              <w:bottom w:val="single" w:color="auto" w:sz="4" w:space="0"/>
              <w:right w:val="single" w:color="auto" w:sz="4" w:space="0"/>
            </w:tcBorders>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56" w:type="dxa"/>
            <w:vMerge w:val="continue"/>
            <w:noWrap/>
            <w:vAlign w:val="center"/>
          </w:tcPr>
          <w:p>
            <w:pPr>
              <w:spacing w:line="360" w:lineRule="auto"/>
              <w:rPr>
                <w:rFonts w:asciiTheme="minorEastAsia" w:hAnsiTheme="minorEastAsia" w:eastAsiaTheme="minorEastAsia" w:cstheme="minorEastAsia"/>
                <w:sz w:val="24"/>
                <w:szCs w:val="24"/>
                <w:highlight w:val="yellow"/>
              </w:rPr>
            </w:pPr>
          </w:p>
        </w:tc>
        <w:tc>
          <w:tcPr>
            <w:tcW w:w="4942" w:type="dxa"/>
            <w:tcBorders>
              <w:top w:val="single" w:color="auto" w:sz="4" w:space="0"/>
              <w:left w:val="single" w:color="auto" w:sz="4" w:space="0"/>
              <w:bottom w:val="single" w:color="auto" w:sz="4" w:space="0"/>
              <w:right w:val="single" w:color="auto" w:sz="4" w:space="0"/>
            </w:tcBorders>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过滤器</w:t>
            </w:r>
          </w:p>
        </w:tc>
        <w:tc>
          <w:tcPr>
            <w:tcW w:w="2584" w:type="dxa"/>
            <w:tcBorders>
              <w:top w:val="single" w:color="auto" w:sz="4" w:space="0"/>
              <w:left w:val="single" w:color="auto" w:sz="4" w:space="0"/>
              <w:bottom w:val="single" w:color="auto" w:sz="4" w:space="0"/>
              <w:right w:val="single" w:color="auto" w:sz="4" w:space="0"/>
            </w:tcBorders>
            <w:noWrap/>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每半年</w:t>
            </w:r>
          </w:p>
        </w:tc>
      </w:tr>
    </w:tbl>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1、灭火装置：转动部位加润滑剂，确保转动灵活。</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2、过滤器：对系统进水侧过滤器进行清洗。</w:t>
      </w:r>
    </w:p>
    <w:p>
      <w:pPr>
        <w:spacing w:line="360" w:lineRule="auto"/>
        <w:rPr>
          <w:rFonts w:asciiTheme="minorEastAsia" w:hAnsiTheme="minorEastAsia" w:eastAsiaTheme="minorEastAsia" w:cstheme="minorEastAsia"/>
          <w:sz w:val="24"/>
          <w:szCs w:val="24"/>
          <w:highlight w:val="yellow"/>
        </w:rPr>
      </w:pPr>
    </w:p>
    <w:p>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三、维保要求</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（一）火灾自动报警系统</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1、每季度采用专用检测仪器分期分批试验探测器的动作及确认显示是否正常。</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2、征得甲方同意，试验火灾报警装置的声光工作是否正常。</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3、试验水流指示器、压力开关等报警功能、信号显示。</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4、对备用电源进行 1-2 次充放电试验，1-3 次主电源和备用电源切换试验。</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（二）自动喷水灭火系统</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1、每月检查一次消防水池水位，确认水位指数是否正常。</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2、每月对消防供水控制阀门上的铅封或锁链检查一次，确认所有控制阀门是否处于开启状态。</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3、每月对消防水泵结合器的接口及附件检查一次，确认接口是否完好、无渗漏、闷盖齐全。</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4、每月检查一次喷头，清除障碍物，发现不正常的喷头及时更换。</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5、每月对消防水泵作一次启动试运转。</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6、每月对管网进行一次冲洗,确保管内水质无污垢。</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7、每两月用未端试水装置对水流指示器作一次检查，确认报警正常。</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8、每季度对湿式报警阀旁的供水阀进行一次供水试验，确认供水能力。</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9、每季度对室外阀门、进水控制阀门检查一次确保处于开启状态。</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（三）消防控制联动系统 每季度对下列设备作一次联动工作检查:</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1、检查喷淋水泵的联动工作情况。</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2、检查各消防设施的切换开关是否正常。</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3、检查消防水泵的联动工作情况。</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4、防火门、防火卷帘系统联动工作情况。</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5、防排烟系统联动工作情况。</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6、电梯是否能自动归首。</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（四）消火栓系统</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1、每月检查室内消火栓栓头是否漏水，开关是否灵活，组件是否完整。</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2、每月对屋面试验栓进行放水试验，并用消火栓按钮启动消防泵，实验供水系统的水量水压。</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（五）消防安全照明、疏散指示系统：定期对应急照明和疏散指示灯</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进行一次充放电，并做好记录交给甲方。</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（六）施工配合方法与质量保证体系</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1、维护人员应熟悉消防工程各系统的工作原理及操作方法。</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2、维保人员应了解消防系统主要设备的安装位置及水源情况。</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3、对消防系统各供水控制阀作状态标识。</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4、维保人员应与甲方消防值班管理人员密切配合，指导、协助甲方管理人员做好日常检查工作。</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5、甲方值班人员在日常巡查时，保证消防系统的各供水管网充满压力，自动喷水灭火系统的最不利点压力大于 0·05MPa，发现异常时，应及时通知维护人员。</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6、月、季、年度检查时发现管网有渗漏、阻滞或接到甲方管理人员通知系统异常时，应及时检查处理。设备器件有问题，需要更换维修时，必须尽快处理，不得无故拖延。</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（七）施工安全措施</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1、月、季、年检进行之前，由甲方出具书面通知，并通知各楼层工作人员，以免造成不必要的干扰和误会。</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2、维护人员检查设备时，必须通知甲方值班人员。</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3、系统维修时，如需断电、断水应向甲方领导报告，取得同意并派人现场监督，加强防范措施后方能动工。</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4、在作消防联动设备测试时，应清除设备周围的杂物，禁止无关人员进入现场。</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（八）施工组织</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1、月检 12 次，在每月下旬进行，时间与甲方商定。</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2、季检 4 次。</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3、年检 1 次。以年检结束本年度的消防工程维护工作，通过一年的检查维保，注意发现问题，研究问题,以主人翁的姿态向甲方提出科学、合理的建议。</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4、公司维保中心每天 24 小时热线服务，紧急情况谁传随到。</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5、上述各项检查，如发现问题应及时处理，始终保持各系统正常运行，各设备完整好用。</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6、每次检查完毕，按月出具检查记录，小蜜蜂系统报告书，甲乙双方签字认可，建立年度维保档案。</w:t>
      </w:r>
    </w:p>
    <w:p>
      <w:pPr>
        <w:spacing w:line="360" w:lineRule="auto"/>
        <w:rPr>
          <w:rFonts w:asciiTheme="minorEastAsia" w:hAnsiTheme="minorEastAsia" w:eastAsiaTheme="minorEastAsia" w:cstheme="minorEastAsia"/>
          <w:sz w:val="24"/>
          <w:szCs w:val="24"/>
          <w:highlight w:val="yellow"/>
        </w:rPr>
      </w:pPr>
    </w:p>
    <w:p>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四、维保售后</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1、按照合同约定期限进行维保</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2、维保期内接到报修通知，4小时内赶到现场处理。</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4、做好维保时的安全防范措施。如因维保过程中出现安全事故，所导致的一切相关损失及责任由维保方承担。</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5、维保过程中产生垃圾及时清理。如延时或上级部门检查发现问题进行处理，所有的责任由维保方承担。</w:t>
      </w:r>
    </w:p>
    <w:p>
      <w:pPr>
        <w:pStyle w:val="20"/>
        <w:rPr>
          <w:highlight w:val="yellow"/>
        </w:rPr>
      </w:pPr>
    </w:p>
    <w:p>
      <w:pPr>
        <w:pStyle w:val="20"/>
        <w:rPr>
          <w:rFonts w:asciiTheme="minorEastAsia" w:hAnsiTheme="minorEastAsia" w:eastAsiaTheme="minorEastAsia"/>
          <w:b/>
          <w:bCs/>
        </w:rPr>
      </w:pPr>
      <w:r>
        <w:rPr>
          <w:rFonts w:hint="eastAsia"/>
          <w:b/>
          <w:bCs/>
        </w:rPr>
        <w:t>标项五：</w:t>
      </w:r>
      <w:r>
        <w:rPr>
          <w:rFonts w:hint="eastAsia" w:cs="宋体" w:asciiTheme="minorEastAsia" w:hAnsiTheme="minorEastAsia" w:eastAsiaTheme="minorEastAsia"/>
          <w:kern w:val="0"/>
        </w:rPr>
        <w:t>太阳能维保服务项目</w:t>
      </w:r>
    </w:p>
    <w:p>
      <w:pPr>
        <w:pStyle w:val="75"/>
        <w:rPr>
          <w:rFonts w:hAnsi="宋体"/>
          <w:b/>
          <w:bCs/>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一、技术参数</w:t>
      </w:r>
    </w:p>
    <w:tbl>
      <w:tblPr>
        <w:tblStyle w:val="29"/>
        <w:tblW w:w="5000" w:type="pct"/>
        <w:tblInd w:w="0" w:type="dxa"/>
        <w:tblLayout w:type="autofit"/>
        <w:tblCellMar>
          <w:top w:w="0" w:type="dxa"/>
          <w:left w:w="108" w:type="dxa"/>
          <w:bottom w:w="0" w:type="dxa"/>
          <w:right w:w="108" w:type="dxa"/>
        </w:tblCellMar>
      </w:tblPr>
      <w:tblGrid>
        <w:gridCol w:w="1887"/>
        <w:gridCol w:w="2072"/>
        <w:gridCol w:w="2444"/>
        <w:gridCol w:w="2119"/>
      </w:tblGrid>
      <w:tr>
        <w:tblPrEx>
          <w:tblCellMar>
            <w:top w:w="0" w:type="dxa"/>
            <w:left w:w="108" w:type="dxa"/>
            <w:bottom w:w="0" w:type="dxa"/>
            <w:right w:w="108" w:type="dxa"/>
          </w:tblCellMar>
        </w:tblPrEx>
        <w:trPr>
          <w:trHeight w:val="577"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szCs w:val="24"/>
              </w:rPr>
            </w:pPr>
            <w:r>
              <w:rPr>
                <w:rFonts w:hint="eastAsia" w:ascii="宋体" w:hAnsi="宋体" w:cs="宋体"/>
                <w:b/>
                <w:bCs/>
                <w:color w:val="000000"/>
                <w:kern w:val="0"/>
                <w:sz w:val="24"/>
                <w:szCs w:val="24"/>
              </w:rPr>
              <w:t>住院楼</w:t>
            </w:r>
          </w:p>
        </w:tc>
      </w:tr>
      <w:tr>
        <w:tblPrEx>
          <w:tblCellMar>
            <w:top w:w="0" w:type="dxa"/>
            <w:left w:w="108" w:type="dxa"/>
            <w:bottom w:w="0" w:type="dxa"/>
            <w:right w:w="108" w:type="dxa"/>
          </w:tblCellMar>
        </w:tblPrEx>
        <w:trPr>
          <w:trHeight w:val="595" w:hRule="atLeast"/>
        </w:trPr>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维护项目</w:t>
            </w: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明细</w:t>
            </w:r>
          </w:p>
        </w:tc>
        <w:tc>
          <w:tcPr>
            <w:tcW w:w="1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方案</w:t>
            </w:r>
          </w:p>
        </w:tc>
        <w:tc>
          <w:tcPr>
            <w:tcW w:w="1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巡检时间</w:t>
            </w:r>
          </w:p>
        </w:tc>
      </w:tr>
      <w:tr>
        <w:tblPrEx>
          <w:tblCellMar>
            <w:top w:w="0" w:type="dxa"/>
            <w:left w:w="108" w:type="dxa"/>
            <w:bottom w:w="0" w:type="dxa"/>
            <w:right w:w="108" w:type="dxa"/>
          </w:tblCellMar>
        </w:tblPrEx>
        <w:trPr>
          <w:trHeight w:val="720" w:hRule="atLeast"/>
        </w:trPr>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太阳能联箱</w:t>
            </w: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是否漏水变形</w:t>
            </w:r>
          </w:p>
        </w:tc>
        <w:tc>
          <w:tcPr>
            <w:tcW w:w="1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如漏水及时报价更换</w:t>
            </w:r>
          </w:p>
        </w:tc>
        <w:tc>
          <w:tcPr>
            <w:tcW w:w="1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每月2次（15天1次）</w:t>
            </w:r>
          </w:p>
        </w:tc>
      </w:tr>
      <w:tr>
        <w:tblPrEx>
          <w:tblCellMar>
            <w:top w:w="0" w:type="dxa"/>
            <w:left w:w="108" w:type="dxa"/>
            <w:bottom w:w="0" w:type="dxa"/>
            <w:right w:w="108" w:type="dxa"/>
          </w:tblCellMar>
        </w:tblPrEx>
        <w:trPr>
          <w:trHeight w:val="720" w:hRule="atLeast"/>
        </w:trPr>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太阳能真空管</w:t>
            </w: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是否破裂漏水</w:t>
            </w:r>
          </w:p>
        </w:tc>
        <w:tc>
          <w:tcPr>
            <w:tcW w:w="1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如破裂则及时报价更换</w:t>
            </w:r>
          </w:p>
        </w:tc>
        <w:tc>
          <w:tcPr>
            <w:tcW w:w="1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每月2次（15天1次）</w:t>
            </w:r>
          </w:p>
        </w:tc>
      </w:tr>
      <w:tr>
        <w:tblPrEx>
          <w:tblCellMar>
            <w:top w:w="0" w:type="dxa"/>
            <w:left w:w="108" w:type="dxa"/>
            <w:bottom w:w="0" w:type="dxa"/>
            <w:right w:w="108" w:type="dxa"/>
          </w:tblCellMar>
        </w:tblPrEx>
        <w:trPr>
          <w:trHeight w:val="720" w:hRule="atLeast"/>
        </w:trPr>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供回水循环管</w:t>
            </w: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是否漏水</w:t>
            </w:r>
          </w:p>
        </w:tc>
        <w:tc>
          <w:tcPr>
            <w:tcW w:w="1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如漏水及时修复</w:t>
            </w:r>
          </w:p>
        </w:tc>
        <w:tc>
          <w:tcPr>
            <w:tcW w:w="1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每月2次（15天1次）</w:t>
            </w:r>
          </w:p>
        </w:tc>
      </w:tr>
      <w:tr>
        <w:tblPrEx>
          <w:tblCellMar>
            <w:top w:w="0" w:type="dxa"/>
            <w:left w:w="108" w:type="dxa"/>
            <w:bottom w:w="0" w:type="dxa"/>
            <w:right w:w="108" w:type="dxa"/>
          </w:tblCellMar>
        </w:tblPrEx>
        <w:trPr>
          <w:trHeight w:val="720" w:hRule="atLeast"/>
        </w:trPr>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循环水泵</w:t>
            </w: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检查水封及电机</w:t>
            </w:r>
          </w:p>
        </w:tc>
        <w:tc>
          <w:tcPr>
            <w:tcW w:w="1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如故障及时报价更换</w:t>
            </w:r>
          </w:p>
        </w:tc>
        <w:tc>
          <w:tcPr>
            <w:tcW w:w="1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每月2次（15天1次）</w:t>
            </w:r>
          </w:p>
        </w:tc>
      </w:tr>
      <w:tr>
        <w:tblPrEx>
          <w:tblCellMar>
            <w:top w:w="0" w:type="dxa"/>
            <w:left w:w="108" w:type="dxa"/>
            <w:bottom w:w="0" w:type="dxa"/>
            <w:right w:w="108" w:type="dxa"/>
          </w:tblCellMar>
        </w:tblPrEx>
        <w:trPr>
          <w:trHeight w:val="720" w:hRule="atLeast"/>
        </w:trPr>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保温水箱</w:t>
            </w: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是否漏水、传感器检查</w:t>
            </w:r>
          </w:p>
        </w:tc>
        <w:tc>
          <w:tcPr>
            <w:tcW w:w="1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如漏水及时报价维修或更换</w:t>
            </w:r>
          </w:p>
        </w:tc>
        <w:tc>
          <w:tcPr>
            <w:tcW w:w="1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每月2次（15天1次）</w:t>
            </w:r>
          </w:p>
        </w:tc>
      </w:tr>
      <w:tr>
        <w:tblPrEx>
          <w:tblCellMar>
            <w:top w:w="0" w:type="dxa"/>
            <w:left w:w="108" w:type="dxa"/>
            <w:bottom w:w="0" w:type="dxa"/>
            <w:right w:w="108" w:type="dxa"/>
          </w:tblCellMar>
        </w:tblPrEx>
        <w:trPr>
          <w:trHeight w:val="720" w:hRule="atLeast"/>
        </w:trPr>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英格莱加热管</w:t>
            </w: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是否烧坏</w:t>
            </w:r>
          </w:p>
        </w:tc>
        <w:tc>
          <w:tcPr>
            <w:tcW w:w="1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如烧坏则及时报价更换</w:t>
            </w:r>
          </w:p>
        </w:tc>
        <w:tc>
          <w:tcPr>
            <w:tcW w:w="1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每月2次（15天1次）</w:t>
            </w:r>
          </w:p>
        </w:tc>
      </w:tr>
      <w:tr>
        <w:tblPrEx>
          <w:tblCellMar>
            <w:top w:w="0" w:type="dxa"/>
            <w:left w:w="108" w:type="dxa"/>
            <w:bottom w:w="0" w:type="dxa"/>
            <w:right w:w="108" w:type="dxa"/>
          </w:tblCellMar>
        </w:tblPrEx>
        <w:trPr>
          <w:trHeight w:val="720" w:hRule="atLeast"/>
        </w:trPr>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水处理设备</w:t>
            </w: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检查硅磷晶料</w:t>
            </w:r>
          </w:p>
        </w:tc>
        <w:tc>
          <w:tcPr>
            <w:tcW w:w="1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不足时及时报价补充料</w:t>
            </w:r>
          </w:p>
        </w:tc>
        <w:tc>
          <w:tcPr>
            <w:tcW w:w="1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highlight w:val="yellow"/>
              </w:rPr>
            </w:pPr>
            <w:r>
              <w:rPr>
                <w:rFonts w:hint="eastAsia" w:ascii="宋体" w:hAnsi="宋体" w:cs="宋体"/>
                <w:color w:val="000000"/>
                <w:kern w:val="0"/>
                <w:sz w:val="24"/>
                <w:szCs w:val="24"/>
              </w:rPr>
              <w:t>每3个月1次</w:t>
            </w:r>
          </w:p>
        </w:tc>
      </w:tr>
      <w:tr>
        <w:tblPrEx>
          <w:tblCellMar>
            <w:top w:w="0" w:type="dxa"/>
            <w:left w:w="108" w:type="dxa"/>
            <w:bottom w:w="0" w:type="dxa"/>
            <w:right w:w="108" w:type="dxa"/>
          </w:tblCellMar>
        </w:tblPrEx>
        <w:trPr>
          <w:trHeight w:val="935" w:hRule="atLeast"/>
        </w:trPr>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循环管道外保温部分</w:t>
            </w: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检查保温材料</w:t>
            </w:r>
          </w:p>
        </w:tc>
        <w:tc>
          <w:tcPr>
            <w:tcW w:w="1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如损坏及时修复</w:t>
            </w:r>
          </w:p>
        </w:tc>
        <w:tc>
          <w:tcPr>
            <w:tcW w:w="1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每2个月12次</w:t>
            </w:r>
          </w:p>
        </w:tc>
      </w:tr>
      <w:tr>
        <w:tblPrEx>
          <w:tblCellMar>
            <w:top w:w="0" w:type="dxa"/>
            <w:left w:w="108" w:type="dxa"/>
            <w:bottom w:w="0" w:type="dxa"/>
            <w:right w:w="108" w:type="dxa"/>
          </w:tblCellMar>
        </w:tblPrEx>
        <w:trPr>
          <w:trHeight w:val="1230" w:hRule="atLeast"/>
        </w:trPr>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控制系统</w:t>
            </w:r>
          </w:p>
        </w:tc>
        <w:tc>
          <w:tcPr>
            <w:tcW w:w="1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检查设置参数以及电气元件</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如参数故障及时调整、如元件老化烧坏及时报价更换</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每月2次（15天1次）</w:t>
            </w:r>
          </w:p>
        </w:tc>
      </w:tr>
      <w:tr>
        <w:tblPrEx>
          <w:tblCellMar>
            <w:top w:w="0" w:type="dxa"/>
            <w:left w:w="108" w:type="dxa"/>
            <w:bottom w:w="0" w:type="dxa"/>
            <w:right w:w="108" w:type="dxa"/>
          </w:tblCellMar>
        </w:tblPrEx>
        <w:trPr>
          <w:trHeight w:val="6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szCs w:val="24"/>
                <w:highlight w:val="yellow"/>
              </w:rPr>
            </w:pPr>
            <w:r>
              <w:rPr>
                <w:rFonts w:hint="eastAsia" w:ascii="宋体" w:hAnsi="宋体" w:cs="宋体"/>
                <w:b/>
                <w:bCs/>
                <w:color w:val="000000"/>
                <w:kern w:val="0"/>
                <w:sz w:val="24"/>
                <w:szCs w:val="24"/>
              </w:rPr>
              <w:t>门诊楼</w:t>
            </w:r>
          </w:p>
        </w:tc>
      </w:tr>
      <w:tr>
        <w:tblPrEx>
          <w:tblCellMar>
            <w:top w:w="0" w:type="dxa"/>
            <w:left w:w="108" w:type="dxa"/>
            <w:bottom w:w="0" w:type="dxa"/>
            <w:right w:w="108" w:type="dxa"/>
          </w:tblCellMar>
        </w:tblPrEx>
        <w:trPr>
          <w:trHeight w:val="610" w:hRule="atLeast"/>
        </w:trPr>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4"/>
                <w:szCs w:val="24"/>
              </w:rPr>
            </w:pPr>
            <w:r>
              <w:rPr>
                <w:rFonts w:hint="eastAsia" w:ascii="宋体" w:hAnsi="宋体" w:cs="宋体"/>
                <w:b/>
                <w:bCs/>
                <w:color w:val="000000"/>
                <w:kern w:val="0"/>
                <w:sz w:val="24"/>
                <w:szCs w:val="24"/>
              </w:rPr>
              <w:t>维护项目</w:t>
            </w:r>
          </w:p>
        </w:tc>
        <w:tc>
          <w:tcPr>
            <w:tcW w:w="1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4"/>
                <w:szCs w:val="24"/>
              </w:rPr>
            </w:pPr>
            <w:r>
              <w:rPr>
                <w:rFonts w:hint="eastAsia" w:ascii="宋体" w:hAnsi="宋体" w:cs="宋体"/>
                <w:b/>
                <w:bCs/>
                <w:color w:val="000000"/>
                <w:kern w:val="0"/>
                <w:sz w:val="24"/>
                <w:szCs w:val="24"/>
              </w:rPr>
              <w:t>明细</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4"/>
                <w:szCs w:val="24"/>
              </w:rPr>
            </w:pPr>
            <w:r>
              <w:rPr>
                <w:rFonts w:hint="eastAsia" w:ascii="宋体" w:hAnsi="宋体" w:cs="宋体"/>
                <w:b/>
                <w:bCs/>
                <w:color w:val="000000"/>
                <w:kern w:val="0"/>
                <w:sz w:val="24"/>
                <w:szCs w:val="24"/>
              </w:rPr>
              <w:t>方案</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4"/>
                <w:szCs w:val="24"/>
              </w:rPr>
            </w:pPr>
            <w:r>
              <w:rPr>
                <w:rFonts w:hint="eastAsia" w:ascii="宋体" w:hAnsi="宋体" w:cs="宋体"/>
                <w:b/>
                <w:bCs/>
                <w:color w:val="000000"/>
                <w:kern w:val="0"/>
                <w:sz w:val="24"/>
                <w:szCs w:val="24"/>
              </w:rPr>
              <w:t>巡检时间</w:t>
            </w:r>
          </w:p>
        </w:tc>
      </w:tr>
      <w:tr>
        <w:tblPrEx>
          <w:tblCellMar>
            <w:top w:w="0" w:type="dxa"/>
            <w:left w:w="108" w:type="dxa"/>
            <w:bottom w:w="0" w:type="dxa"/>
            <w:right w:w="108" w:type="dxa"/>
          </w:tblCellMar>
        </w:tblPrEx>
        <w:trPr>
          <w:trHeight w:val="878" w:hRule="atLeast"/>
        </w:trPr>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北方专用超低温空气热源泵</w:t>
            </w:r>
          </w:p>
        </w:tc>
        <w:tc>
          <w:tcPr>
            <w:tcW w:w="1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sz w:val="24"/>
                <w:szCs w:val="24"/>
              </w:rPr>
              <w:t>5P（D）-2N，1台；</w:t>
            </w:r>
          </w:p>
          <w:p>
            <w:pPr>
              <w:pStyle w:val="75"/>
              <w:rPr>
                <w:rFonts w:hAnsi="宋体"/>
              </w:rPr>
            </w:pPr>
            <w:r>
              <w:rPr>
                <w:rFonts w:hint="eastAsia" w:hAnsi="宋体"/>
              </w:rPr>
              <w:t>是否缺少冷媒</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如需补充冷媒及时报价补充</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每月2次（15天1次）</w:t>
            </w:r>
          </w:p>
        </w:tc>
      </w:tr>
      <w:tr>
        <w:tblPrEx>
          <w:tblCellMar>
            <w:top w:w="0" w:type="dxa"/>
            <w:left w:w="108" w:type="dxa"/>
            <w:bottom w:w="0" w:type="dxa"/>
            <w:right w:w="108" w:type="dxa"/>
          </w:tblCellMar>
        </w:tblPrEx>
        <w:trPr>
          <w:trHeight w:val="1230" w:hRule="atLeast"/>
        </w:trPr>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3吨不锈钢保温水箱</w:t>
            </w:r>
          </w:p>
        </w:tc>
        <w:tc>
          <w:tcPr>
            <w:tcW w:w="1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sz w:val="24"/>
                <w:szCs w:val="24"/>
              </w:rPr>
              <w:t>1台；</w:t>
            </w:r>
          </w:p>
          <w:p>
            <w:pPr>
              <w:pStyle w:val="75"/>
              <w:rPr>
                <w:rFonts w:hAnsi="宋体"/>
              </w:rPr>
            </w:pPr>
            <w:r>
              <w:rPr>
                <w:rFonts w:hint="eastAsia" w:hAnsi="宋体"/>
              </w:rPr>
              <w:t>是否漏水，浮球阀是否正常工作</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如有漏水现象或浮球阀故障及时报价更换</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每月2次（15天1次）</w:t>
            </w:r>
          </w:p>
        </w:tc>
      </w:tr>
      <w:tr>
        <w:tblPrEx>
          <w:tblCellMar>
            <w:top w:w="0" w:type="dxa"/>
            <w:left w:w="108" w:type="dxa"/>
            <w:bottom w:w="0" w:type="dxa"/>
            <w:right w:w="108" w:type="dxa"/>
          </w:tblCellMar>
        </w:tblPrEx>
        <w:trPr>
          <w:trHeight w:val="1230" w:hRule="atLeast"/>
        </w:trPr>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循环泵</w:t>
            </w:r>
          </w:p>
        </w:tc>
        <w:tc>
          <w:tcPr>
            <w:tcW w:w="1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BM-010，2台；</w:t>
            </w:r>
          </w:p>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检查水封、轴泵、电机部分</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如发现水封漏水，电机烧坏或轴泵损坏，及时报价更换</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每月2次（15天1次）</w:t>
            </w:r>
          </w:p>
        </w:tc>
      </w:tr>
      <w:tr>
        <w:tblPrEx>
          <w:tblCellMar>
            <w:top w:w="0" w:type="dxa"/>
            <w:left w:w="108" w:type="dxa"/>
            <w:bottom w:w="0" w:type="dxa"/>
            <w:right w:w="108" w:type="dxa"/>
          </w:tblCellMar>
        </w:tblPrEx>
        <w:trPr>
          <w:trHeight w:val="557" w:hRule="atLeast"/>
        </w:trPr>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szCs w:val="24"/>
                <w:highlight w:val="yellow"/>
              </w:rPr>
            </w:pPr>
            <w:r>
              <w:rPr>
                <w:rFonts w:hint="eastAsia" w:ascii="宋体" w:hAnsi="宋体" w:cs="宋体"/>
                <w:color w:val="000000"/>
                <w:kern w:val="0"/>
                <w:sz w:val="24"/>
                <w:szCs w:val="24"/>
              </w:rPr>
              <w:t>管路、管道保温管道外防护阀门、管件、电线、信号线、角钢支撑、电磁阀、电热带、太阳能配件、智能控制柜</w:t>
            </w:r>
          </w:p>
        </w:tc>
        <w:tc>
          <w:tcPr>
            <w:tcW w:w="1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检查管道的外保温部分及控制柜的电气元件</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如有损坏部分及时报价修复</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每月2次（15天1次）</w:t>
            </w:r>
          </w:p>
        </w:tc>
      </w:tr>
      <w:tr>
        <w:tblPrEx>
          <w:tblCellMar>
            <w:top w:w="0" w:type="dxa"/>
            <w:left w:w="108" w:type="dxa"/>
            <w:bottom w:w="0" w:type="dxa"/>
            <w:right w:w="108" w:type="dxa"/>
          </w:tblCellMar>
        </w:tblPrEx>
        <w:trPr>
          <w:trHeight w:val="637" w:hRule="atLeast"/>
        </w:trPr>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水处理设备</w:t>
            </w:r>
          </w:p>
        </w:tc>
        <w:tc>
          <w:tcPr>
            <w:tcW w:w="1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检查硅磷晶料</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不足时及时报价补充料</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每3个月1次</w:t>
            </w:r>
          </w:p>
        </w:tc>
      </w:tr>
    </w:tbl>
    <w:p>
      <w:pPr>
        <w:rPr>
          <w:rFonts w:ascii="宋体" w:hAnsi="宋体" w:cs="宋体"/>
          <w:b/>
          <w:bCs/>
          <w:color w:val="000000" w:themeColor="text1"/>
          <w:sz w:val="24"/>
          <w:szCs w:val="24"/>
          <w:highlight w:val="yellow"/>
          <w14:textFill>
            <w14:solidFill>
              <w14:schemeClr w14:val="tx1"/>
            </w14:solidFill>
          </w14:textFill>
        </w:rPr>
      </w:pPr>
    </w:p>
    <w:p>
      <w:pPr>
        <w:rPr>
          <w:rFonts w:ascii="宋体" w:hAnsi="宋体" w:cs="宋体"/>
          <w:b/>
          <w:bCs/>
          <w:sz w:val="24"/>
          <w:szCs w:val="24"/>
        </w:rPr>
      </w:pPr>
      <w:r>
        <w:rPr>
          <w:rFonts w:hint="eastAsia" w:ascii="宋体" w:hAnsi="宋体" w:cs="宋体"/>
          <w:b/>
          <w:bCs/>
          <w:color w:val="000000" w:themeColor="text1"/>
          <w:sz w:val="24"/>
          <w:szCs w:val="24"/>
          <w14:textFill>
            <w14:solidFill>
              <w14:schemeClr w14:val="tx1"/>
            </w14:solidFill>
          </w14:textFill>
        </w:rPr>
        <w:t>二、维保要求</w:t>
      </w:r>
    </w:p>
    <w:p>
      <w:pPr>
        <w:spacing w:beforeLines="50" w:afterLines="50"/>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1、每季度及时添加除垢材料，防止管路阻塞，保证水质清洁。</w:t>
      </w:r>
    </w:p>
    <w:p>
      <w:pPr>
        <w:spacing w:beforeLines="50" w:afterLines="50"/>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2、巡视检查各管道、阀门、浮球网、电磁润、连接胶管等有无渗漏现象，如有则应及时修复。</w:t>
      </w:r>
    </w:p>
    <w:p>
      <w:pPr>
        <w:spacing w:beforeLines="50" w:afterLines="50"/>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3、巡视检查集热器的吸热涂层若有损坏或脱落应及时修复所有支架、管路等每年涂刷一次保护漆，以防锈蚀。</w:t>
      </w:r>
    </w:p>
    <w:p>
      <w:pPr>
        <w:spacing w:beforeLines="50" w:afterLines="50"/>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巡视检查，防止空晒。循环系统停止街环称为空晒，空晒将会造成集热器内部温度升高，损坏真空管吸热涂层，使箱体保湿层变形、玻璃管破裂等现像。造成闷晒的原因可能是循环管道塔率；在自然循环系统中也可能是冷水供水不足，热水箱中水位低于上循环管所致；在强制循环系统中可能是由于循环泵停止工作所致。</w:t>
      </w:r>
    </w:p>
    <w:p>
      <w:pPr>
        <w:spacing w:beforeLines="50" w:afterLines="50"/>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5、对使用电伴热带作为管道防冻的系统，在冬季每天要检查电伴热带的工作状况，并用测温枪测量其温度，发现其温度过低或过高都要及时更换电伴热带。</w:t>
      </w:r>
    </w:p>
    <w:p>
      <w:pPr>
        <w:spacing w:beforeLines="50" w:afterLines="50"/>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6、安装有辅助热源的全天候热水系统，应定期检查辅助热源装置及集热器工作正常与否。对于铺助热源是电热管加热的，使用之前一定要确保漏电保护装置工作可靠，否则不能使用。</w:t>
      </w:r>
    </w:p>
    <w:p>
      <w:pPr>
        <w:spacing w:beforeLines="50" w:afterLines="50"/>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7、冬季到来时，也可以排空集热器内的水；安装有防冻控制系统功能的强制循环系统，则只需启动防冻系统即可，不必排空系统内的存水。</w:t>
      </w:r>
    </w:p>
    <w:p>
      <w:pPr>
        <w:pStyle w:val="75"/>
        <w:ind w:firstLine="480" w:firstLineChars="200"/>
        <w:rPr>
          <w:rFonts w:hAnsi="宋体"/>
        </w:rPr>
      </w:pPr>
      <w:r>
        <w:rPr>
          <w:rFonts w:hint="eastAsia" w:hAnsi="宋体"/>
          <w:color w:val="000000" w:themeColor="text1"/>
          <w14:textFill>
            <w14:solidFill>
              <w14:schemeClr w14:val="tx1"/>
            </w14:solidFill>
          </w14:textFill>
        </w:rPr>
        <w:t>8、确保甲方室内热水供水管道，冷水补水管路，热水回水管路，楼顶水箱建暖气供、回水管路顺利施工。</w:t>
      </w:r>
    </w:p>
    <w:p>
      <w:pPr>
        <w:spacing w:beforeLines="50" w:afterLines="50"/>
        <w:jc w:val="left"/>
        <w:rPr>
          <w:rFonts w:ascii="宋体" w:hAnsi="宋体" w:cs="宋体"/>
          <w:b/>
          <w:bCs/>
          <w:sz w:val="24"/>
          <w:szCs w:val="24"/>
        </w:rPr>
      </w:pPr>
      <w:r>
        <w:rPr>
          <w:rFonts w:hint="eastAsia" w:ascii="宋体" w:hAnsi="宋体" w:cs="宋体"/>
          <w:b/>
          <w:bCs/>
          <w:sz w:val="24"/>
          <w:szCs w:val="24"/>
        </w:rPr>
        <w:t>三、维保售后</w:t>
      </w:r>
    </w:p>
    <w:p>
      <w:pPr>
        <w:spacing w:beforeLines="50" w:afterLines="50"/>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1、按照合同约定时间进行维保。</w:t>
      </w:r>
    </w:p>
    <w:p>
      <w:pPr>
        <w:widowControl/>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themeColor="text1"/>
          <w:kern w:val="0"/>
          <w:sz w:val="24"/>
          <w:szCs w:val="24"/>
          <w14:textFill>
            <w14:solidFill>
              <w14:schemeClr w14:val="tx1"/>
            </w14:solidFill>
          </w14:textFill>
        </w:rPr>
        <w:t>维保期内接到报修通知，突发紧急情况2小时内赶到现场处理，一般情况，4小时内赶到现场处理。</w:t>
      </w:r>
    </w:p>
    <w:p>
      <w:pPr>
        <w:widowControl/>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3、做好维保时的安全防范措施。如因维保过程中出现安全事故，所导致的一切相关损失及责任由维保方承担。</w:t>
      </w:r>
    </w:p>
    <w:p>
      <w:pPr>
        <w:widowControl/>
        <w:ind w:firstLine="480" w:firstLineChars="200"/>
        <w:jc w:val="left"/>
        <w:rPr>
          <w:rFonts w:ascii="宋体" w:hAnsi="宋体" w:cs="宋体"/>
          <w:sz w:val="24"/>
          <w:szCs w:val="24"/>
        </w:rPr>
      </w:pPr>
      <w:r>
        <w:rPr>
          <w:rFonts w:hint="eastAsia" w:ascii="宋体" w:hAnsi="宋体" w:cs="宋体"/>
          <w:color w:val="000000"/>
          <w:kern w:val="0"/>
          <w:sz w:val="24"/>
          <w:szCs w:val="24"/>
        </w:rPr>
        <w:t>4、维保过程中产生垃圾及时清理。如延时或上级部门检查发现问题进行处理，所有的责任由维保方承担。</w:t>
      </w:r>
    </w:p>
    <w:p>
      <w:pPr>
        <w:pStyle w:val="20"/>
        <w:rPr>
          <w:b/>
          <w:bCs/>
        </w:rPr>
      </w:pPr>
    </w:p>
    <w:p>
      <w:pPr>
        <w:pStyle w:val="20"/>
        <w:rPr>
          <w:rFonts w:asciiTheme="minorEastAsia" w:hAnsiTheme="minorEastAsia" w:eastAsiaTheme="minorEastAsia"/>
          <w:b/>
          <w:bCs/>
        </w:rPr>
      </w:pPr>
      <w:r>
        <w:rPr>
          <w:rFonts w:hint="eastAsia"/>
          <w:b/>
          <w:bCs/>
        </w:rPr>
        <w:t>标项六：</w:t>
      </w:r>
      <w:r>
        <w:rPr>
          <w:rFonts w:hint="eastAsia" w:cs="宋体" w:asciiTheme="minorEastAsia" w:hAnsiTheme="minorEastAsia" w:eastAsiaTheme="minorEastAsia"/>
          <w:kern w:val="0"/>
        </w:rPr>
        <w:t>监控维保服务项目</w:t>
      </w:r>
    </w:p>
    <w:p>
      <w:pPr>
        <w:jc w:val="left"/>
        <w:rPr>
          <w:rFonts w:ascii="宋体" w:hAnsi="宋体" w:cs="宋体"/>
          <w:b/>
          <w:bCs/>
          <w:sz w:val="24"/>
          <w:szCs w:val="24"/>
        </w:rPr>
      </w:pPr>
      <w:r>
        <w:rPr>
          <w:rFonts w:hint="eastAsia" w:ascii="宋体" w:hAnsi="宋体" w:cs="宋体"/>
          <w:b/>
          <w:bCs/>
          <w:sz w:val="24"/>
          <w:szCs w:val="24"/>
        </w:rPr>
        <w:t>一、系统概况</w:t>
      </w:r>
    </w:p>
    <w:p>
      <w:pPr>
        <w:spacing w:line="560" w:lineRule="exact"/>
        <w:ind w:firstLine="480" w:firstLineChars="200"/>
        <w:rPr>
          <w:rFonts w:ascii="宋体" w:hAnsi="宋体" w:cs="宋体"/>
          <w:sz w:val="24"/>
          <w:szCs w:val="24"/>
        </w:rPr>
      </w:pPr>
      <w:r>
        <w:rPr>
          <w:rFonts w:hint="eastAsia" w:ascii="宋体" w:hAnsi="宋体" w:cs="宋体"/>
          <w:sz w:val="24"/>
          <w:szCs w:val="24"/>
        </w:rPr>
        <w:t>监控系统维保依据国家《安全防范工程程序与要求GA/T75-1994、《建筑电气设计技术规程》JGJ/T16-1992、《安全防范工程技术规范》GB50348-2004等文件规定的内容，结合用户的设备实际和管理要求，以使整个维保工作系统化、规范化、档案化，使整个系统正常运行，以达到用户实际使用要求。</w:t>
      </w:r>
    </w:p>
    <w:p>
      <w:pPr>
        <w:pStyle w:val="75"/>
        <w:rPr>
          <w:rFonts w:hAnsi="宋体"/>
          <w:b/>
          <w:bCs/>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二、技术参数</w:t>
      </w:r>
    </w:p>
    <w:p>
      <w:pPr>
        <w:spacing w:line="560" w:lineRule="exact"/>
        <w:ind w:firstLine="480" w:firstLineChars="200"/>
        <w:rPr>
          <w:rFonts w:ascii="宋体" w:hAnsi="宋体" w:cs="宋体"/>
          <w:sz w:val="24"/>
          <w:szCs w:val="24"/>
        </w:rPr>
      </w:pPr>
      <w:r>
        <w:rPr>
          <w:rFonts w:hint="eastAsia" w:ascii="宋体" w:hAnsi="宋体" w:cs="宋体"/>
          <w:sz w:val="24"/>
          <w:szCs w:val="24"/>
        </w:rPr>
        <w:t>伊犁州妇幼保健院监控系统由电脑监控系统软件、19台硬盘录像机、428台摄像机、1台摄像机控制解码器、1台控制服务器、2台流媒体服务器和消控室主交换机及楼层多台交换机等组成，传输线路分为视频线路传输、供电线路传输、控制线路传输。</w:t>
      </w:r>
    </w:p>
    <w:p>
      <w:pPr>
        <w:spacing w:line="560" w:lineRule="exact"/>
        <w:ind w:firstLine="480" w:firstLineChars="200"/>
        <w:rPr>
          <w:rFonts w:ascii="宋体" w:hAnsi="宋体" w:cs="宋体"/>
          <w:sz w:val="24"/>
          <w:szCs w:val="24"/>
        </w:rPr>
      </w:pPr>
      <w:r>
        <w:rPr>
          <w:rFonts w:hint="eastAsia" w:ascii="宋体" w:hAnsi="宋体" w:cs="宋体"/>
          <w:sz w:val="24"/>
          <w:szCs w:val="24"/>
        </w:rPr>
        <w:t>（一）对伊犁州妇幼保健院428个摄像头、19台硬盘录像机等设备进行定时巡检和维护。</w:t>
      </w:r>
    </w:p>
    <w:p>
      <w:pPr>
        <w:spacing w:line="560" w:lineRule="exact"/>
        <w:ind w:firstLine="480" w:firstLineChars="200"/>
        <w:rPr>
          <w:rFonts w:ascii="宋体" w:hAnsi="宋体" w:cs="宋体"/>
          <w:sz w:val="24"/>
          <w:szCs w:val="24"/>
        </w:rPr>
      </w:pPr>
      <w:r>
        <w:rPr>
          <w:rFonts w:hint="eastAsia" w:ascii="宋体" w:hAnsi="宋体" w:cs="宋体"/>
          <w:sz w:val="24"/>
          <w:szCs w:val="24"/>
        </w:rPr>
        <w:t>（二）监控软件为海康威视开发的监控软件，其主要功能包括监控录像、图像抓拍、录像回放等，监控软件目前设置了不同权限等级的账号以防止非管理人员操作。</w:t>
      </w:r>
    </w:p>
    <w:p>
      <w:pPr>
        <w:spacing w:line="560" w:lineRule="exact"/>
        <w:ind w:firstLine="480" w:firstLineChars="200"/>
        <w:rPr>
          <w:rFonts w:ascii="宋体" w:hAnsi="宋体" w:cs="宋体"/>
          <w:sz w:val="24"/>
          <w:szCs w:val="24"/>
        </w:rPr>
      </w:pPr>
      <w:r>
        <w:rPr>
          <w:rFonts w:hint="eastAsia" w:ascii="宋体" w:hAnsi="宋体" w:cs="宋体"/>
          <w:sz w:val="24"/>
          <w:szCs w:val="24"/>
        </w:rPr>
        <w:t>（三）前端摄像机分为两种摄像机：</w:t>
      </w:r>
    </w:p>
    <w:p>
      <w:pPr>
        <w:spacing w:line="560" w:lineRule="exact"/>
        <w:ind w:firstLine="480" w:firstLineChars="200"/>
        <w:rPr>
          <w:rFonts w:ascii="宋体" w:hAnsi="宋体" w:cs="宋体"/>
          <w:sz w:val="24"/>
          <w:szCs w:val="24"/>
        </w:rPr>
      </w:pPr>
      <w:r>
        <w:rPr>
          <w:rFonts w:hint="eastAsia" w:ascii="宋体" w:hAnsi="宋体" w:cs="宋体"/>
          <w:sz w:val="24"/>
          <w:szCs w:val="24"/>
        </w:rPr>
        <w:t>1、球机：6个球形摄像机属于内置解码器，摄像机镜头控制线直接连接解码器，摄像机电源也由解码器直接供给。</w:t>
      </w:r>
    </w:p>
    <w:p>
      <w:pPr>
        <w:spacing w:line="560" w:lineRule="exact"/>
        <w:ind w:firstLine="480" w:firstLineChars="200"/>
        <w:rPr>
          <w:rFonts w:ascii="宋体" w:hAnsi="宋体" w:cs="宋体"/>
          <w:sz w:val="24"/>
          <w:szCs w:val="24"/>
        </w:rPr>
      </w:pPr>
      <w:r>
        <w:rPr>
          <w:rFonts w:hint="eastAsia" w:ascii="宋体" w:hAnsi="宋体" w:cs="宋体"/>
          <w:sz w:val="24"/>
          <w:szCs w:val="24"/>
        </w:rPr>
        <w:t>2、普通固定摄像机：422个一体红外枪机和红外半球，电源为外置12V的。</w:t>
      </w:r>
    </w:p>
    <w:p>
      <w:pPr>
        <w:rPr>
          <w:rFonts w:ascii="宋体" w:hAnsi="宋体" w:cs="宋体"/>
          <w:b/>
          <w:bCs/>
          <w:sz w:val="24"/>
          <w:szCs w:val="24"/>
        </w:rPr>
      </w:pPr>
      <w:r>
        <w:rPr>
          <w:rFonts w:hint="eastAsia" w:ascii="宋体" w:hAnsi="宋体" w:cs="宋体"/>
          <w:b/>
          <w:bCs/>
          <w:color w:val="000000" w:themeColor="text1"/>
          <w:sz w:val="24"/>
          <w:szCs w:val="24"/>
          <w14:textFill>
            <w14:solidFill>
              <w14:schemeClr w14:val="tx1"/>
            </w14:solidFill>
          </w14:textFill>
        </w:rPr>
        <w:t>三、维保要求</w:t>
      </w:r>
    </w:p>
    <w:p>
      <w:pPr>
        <w:spacing w:line="560" w:lineRule="exact"/>
        <w:ind w:firstLine="480" w:firstLineChars="200"/>
        <w:rPr>
          <w:rFonts w:ascii="宋体" w:hAnsi="宋体" w:cs="宋体"/>
          <w:sz w:val="24"/>
          <w:szCs w:val="24"/>
        </w:rPr>
      </w:pPr>
      <w:r>
        <w:rPr>
          <w:rFonts w:hint="eastAsia" w:ascii="宋体" w:hAnsi="宋体" w:cs="宋体"/>
          <w:sz w:val="24"/>
          <w:szCs w:val="24"/>
        </w:rPr>
        <w:t>（一）本项目的维护分为系统常规维护和系统故障抢修。</w:t>
      </w:r>
    </w:p>
    <w:p>
      <w:pPr>
        <w:pStyle w:val="2"/>
        <w:numPr>
          <w:ilvl w:val="2"/>
          <w:numId w:val="0"/>
        </w:numPr>
        <w:spacing w:line="240" w:lineRule="auto"/>
        <w:ind w:firstLine="482" w:firstLineChars="200"/>
        <w:rPr>
          <w:rFonts w:ascii="宋体" w:hAnsi="宋体" w:cs="宋体"/>
          <w:szCs w:val="24"/>
          <w:highlight w:val="yellow"/>
        </w:rPr>
      </w:pPr>
      <w:bookmarkStart w:id="495" w:name="_Toc482714870"/>
      <w:bookmarkStart w:id="496" w:name="_Toc522912003"/>
      <w:bookmarkStart w:id="497" w:name="_Toc334113967"/>
    </w:p>
    <w:p>
      <w:pPr>
        <w:pStyle w:val="2"/>
        <w:numPr>
          <w:ilvl w:val="2"/>
          <w:numId w:val="0"/>
        </w:numPr>
        <w:spacing w:line="240" w:lineRule="auto"/>
        <w:ind w:firstLine="482" w:firstLineChars="200"/>
        <w:rPr>
          <w:rFonts w:ascii="宋体" w:hAnsi="宋体" w:cs="宋体"/>
          <w:szCs w:val="24"/>
          <w:highlight w:val="yellow"/>
        </w:rPr>
      </w:pPr>
    </w:p>
    <w:p>
      <w:pPr>
        <w:pStyle w:val="2"/>
        <w:numPr>
          <w:ilvl w:val="2"/>
          <w:numId w:val="0"/>
        </w:numPr>
        <w:spacing w:line="240" w:lineRule="auto"/>
        <w:ind w:firstLine="482" w:firstLineChars="200"/>
        <w:rPr>
          <w:rFonts w:ascii="宋体" w:hAnsi="宋体" w:cs="宋体"/>
          <w:szCs w:val="24"/>
          <w:highlight w:val="yellow"/>
        </w:rPr>
      </w:pPr>
    </w:p>
    <w:p>
      <w:pPr>
        <w:pStyle w:val="2"/>
        <w:numPr>
          <w:ilvl w:val="2"/>
          <w:numId w:val="0"/>
        </w:numPr>
        <w:spacing w:line="240" w:lineRule="auto"/>
        <w:ind w:firstLine="482" w:firstLineChars="200"/>
        <w:rPr>
          <w:rFonts w:ascii="宋体" w:hAnsi="宋体" w:cs="宋体"/>
          <w:szCs w:val="24"/>
        </w:rPr>
      </w:pPr>
      <w:r>
        <w:rPr>
          <w:rFonts w:hint="eastAsia" w:ascii="宋体" w:hAnsi="宋体" w:cs="宋体"/>
          <w:szCs w:val="24"/>
        </w:rPr>
        <w:t>1、系统常规维护流程</w:t>
      </w:r>
      <w:bookmarkEnd w:id="495"/>
      <w:bookmarkEnd w:id="496"/>
      <w:bookmarkEnd w:id="497"/>
      <w:r>
        <w:rPr>
          <w:rFonts w:hint="eastAsia" w:ascii="宋体" w:hAnsi="宋体" w:cs="宋体"/>
          <w:szCs w:val="24"/>
        </w:rPr>
        <w:t>：</w:t>
      </w:r>
    </w:p>
    <w:p>
      <w:pPr>
        <w:adjustRightInd w:val="0"/>
        <w:snapToGrid w:val="0"/>
        <w:ind w:firstLine="480"/>
        <w:rPr>
          <w:rFonts w:ascii="宋体" w:hAnsi="宋体" w:cs="宋体"/>
          <w:sz w:val="24"/>
          <w:szCs w:val="24"/>
          <w:highlight w:val="yellow"/>
        </w:rPr>
      </w:pPr>
      <w:r>
        <w:rPr>
          <w:rFonts w:ascii="宋体" w:hAnsi="宋体" w:cs="宋体"/>
          <w:sz w:val="24"/>
          <w:szCs w:val="24"/>
        </w:rPr>
        <w:drawing>
          <wp:inline distT="0" distB="0" distL="114300" distR="114300">
            <wp:extent cx="5334000" cy="2546350"/>
            <wp:effectExtent l="0" t="0" r="0"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334000" cy="2546350"/>
                    </a:xfrm>
                    <a:prstGeom prst="rect">
                      <a:avLst/>
                    </a:prstGeom>
                    <a:noFill/>
                    <a:ln>
                      <a:noFill/>
                    </a:ln>
                  </pic:spPr>
                </pic:pic>
              </a:graphicData>
            </a:graphic>
          </wp:inline>
        </w:drawing>
      </w:r>
      <w:bookmarkStart w:id="498" w:name="_Toc482714871"/>
      <w:bookmarkStart w:id="499" w:name="_Toc334113968"/>
      <w:bookmarkStart w:id="500" w:name="_Toc522912004"/>
    </w:p>
    <w:p>
      <w:pPr>
        <w:adjustRightInd w:val="0"/>
        <w:snapToGrid w:val="0"/>
        <w:ind w:firstLine="480" w:firstLineChars="200"/>
        <w:rPr>
          <w:rFonts w:ascii="宋体" w:hAnsi="宋体" w:cs="宋体"/>
          <w:sz w:val="24"/>
          <w:szCs w:val="24"/>
          <w:highlight w:val="yellow"/>
        </w:rPr>
      </w:pPr>
    </w:p>
    <w:p>
      <w:pPr>
        <w:adjustRightInd w:val="0"/>
        <w:snapToGrid w:val="0"/>
        <w:ind w:firstLine="482" w:firstLineChars="200"/>
        <w:rPr>
          <w:rFonts w:ascii="宋体" w:hAnsi="宋体" w:cs="宋体"/>
          <w:b/>
          <w:bCs/>
          <w:sz w:val="24"/>
          <w:szCs w:val="24"/>
        </w:rPr>
      </w:pPr>
      <w:r>
        <w:rPr>
          <w:rFonts w:hint="eastAsia" w:ascii="宋体" w:hAnsi="宋体" w:cs="宋体"/>
          <w:b/>
          <w:bCs/>
          <w:sz w:val="24"/>
          <w:szCs w:val="24"/>
        </w:rPr>
        <w:t>2、系统故障抢修流程</w:t>
      </w:r>
      <w:bookmarkEnd w:id="498"/>
      <w:bookmarkEnd w:id="499"/>
      <w:bookmarkEnd w:id="500"/>
      <w:r>
        <w:rPr>
          <w:rFonts w:hint="eastAsia" w:ascii="宋体" w:hAnsi="宋体" w:cs="宋体"/>
          <w:b/>
          <w:bCs/>
          <w:sz w:val="24"/>
          <w:szCs w:val="24"/>
        </w:rPr>
        <w:t>：</w:t>
      </w:r>
    </w:p>
    <w:p>
      <w:pPr>
        <w:pStyle w:val="2"/>
        <w:rPr>
          <w:highlight w:val="yellow"/>
        </w:rPr>
      </w:pPr>
    </w:p>
    <w:p>
      <w:pPr>
        <w:rPr>
          <w:highlight w:val="yellow"/>
        </w:rPr>
      </w:pPr>
    </w:p>
    <w:p>
      <w:pPr>
        <w:pStyle w:val="2"/>
        <w:rPr>
          <w:highlight w:val="yellow"/>
        </w:rPr>
      </w:pPr>
      <w:r>
        <w:rPr>
          <w:rFonts w:ascii="宋体" w:hAnsi="宋体" w:cs="宋体"/>
        </w:rPr>
        <w:drawing>
          <wp:inline distT="0" distB="0" distL="0" distR="0">
            <wp:extent cx="5746750" cy="3371850"/>
            <wp:effectExtent l="1905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8"/>
                    <a:srcRect/>
                    <a:stretch>
                      <a:fillRect/>
                    </a:stretch>
                  </pic:blipFill>
                  <pic:spPr>
                    <a:xfrm>
                      <a:off x="0" y="0"/>
                      <a:ext cx="5746750" cy="3371850"/>
                    </a:xfrm>
                    <a:prstGeom prst="rect">
                      <a:avLst/>
                    </a:prstGeom>
                    <a:noFill/>
                    <a:ln w="9525">
                      <a:noFill/>
                      <a:miter lim="800000"/>
                      <a:headEnd/>
                      <a:tailEnd/>
                    </a:ln>
                  </pic:spPr>
                </pic:pic>
              </a:graphicData>
            </a:graphic>
          </wp:inline>
        </w:drawing>
      </w:r>
    </w:p>
    <w:p>
      <w:pPr>
        <w:rPr>
          <w:highlight w:val="yellow"/>
        </w:rPr>
      </w:pPr>
    </w:p>
    <w:p>
      <w:pPr>
        <w:rPr>
          <w:highlight w:val="yellow"/>
        </w:rPr>
      </w:pPr>
    </w:p>
    <w:p>
      <w:pPr>
        <w:spacing w:line="560" w:lineRule="exact"/>
        <w:ind w:firstLine="480" w:firstLineChars="200"/>
        <w:rPr>
          <w:rFonts w:ascii="宋体" w:hAnsi="宋体" w:cs="宋体"/>
          <w:sz w:val="24"/>
          <w:szCs w:val="24"/>
        </w:rPr>
      </w:pPr>
      <w:r>
        <w:rPr>
          <w:rFonts w:hint="eastAsia" w:ascii="宋体" w:hAnsi="宋体" w:cs="宋体"/>
          <w:sz w:val="24"/>
          <w:szCs w:val="24"/>
        </w:rPr>
        <w:t>（二）定期维护保养方案</w:t>
      </w:r>
    </w:p>
    <w:p>
      <w:pPr>
        <w:spacing w:line="560" w:lineRule="exact"/>
        <w:ind w:firstLine="480" w:firstLineChars="200"/>
        <w:rPr>
          <w:rFonts w:ascii="宋体" w:hAnsi="宋体" w:cs="宋体"/>
          <w:sz w:val="24"/>
          <w:szCs w:val="24"/>
        </w:rPr>
      </w:pPr>
      <w:r>
        <w:rPr>
          <w:rFonts w:hint="eastAsia" w:ascii="宋体" w:hAnsi="宋体" w:cs="宋体"/>
          <w:sz w:val="24"/>
          <w:szCs w:val="24"/>
        </w:rPr>
        <w:t>确保维护点7*24小时正常运行。</w:t>
      </w:r>
    </w:p>
    <w:p>
      <w:pPr>
        <w:spacing w:line="560" w:lineRule="exact"/>
        <w:ind w:firstLine="360" w:firstLineChars="150"/>
        <w:rPr>
          <w:rFonts w:ascii="宋体" w:hAnsi="宋体" w:cs="宋体"/>
          <w:sz w:val="24"/>
          <w:szCs w:val="24"/>
        </w:rPr>
      </w:pPr>
      <w:r>
        <w:rPr>
          <w:rFonts w:hint="eastAsia" w:ascii="宋体" w:hAnsi="宋体" w:cs="宋体"/>
          <w:sz w:val="24"/>
          <w:szCs w:val="24"/>
        </w:rPr>
        <w:t>（三）每月对每个设备点进行2次巡检。巡检内容如下：</w:t>
      </w:r>
    </w:p>
    <w:p>
      <w:pPr>
        <w:spacing w:line="560" w:lineRule="exact"/>
        <w:ind w:firstLine="480" w:firstLineChars="200"/>
        <w:rPr>
          <w:rFonts w:ascii="宋体" w:hAnsi="宋体" w:cs="宋体"/>
          <w:sz w:val="24"/>
          <w:szCs w:val="24"/>
        </w:rPr>
      </w:pPr>
      <w:r>
        <w:rPr>
          <w:rFonts w:hint="eastAsia" w:ascii="宋体" w:hAnsi="宋体" w:cs="宋体"/>
          <w:sz w:val="24"/>
          <w:szCs w:val="24"/>
        </w:rPr>
        <w:t>1、调整光圈、焦距、白平衡等参数，保证图像清晰。</w:t>
      </w:r>
    </w:p>
    <w:p>
      <w:pPr>
        <w:spacing w:line="560" w:lineRule="exact"/>
        <w:ind w:firstLine="480" w:firstLineChars="200"/>
        <w:rPr>
          <w:rFonts w:ascii="宋体" w:hAnsi="宋体" w:cs="宋体"/>
          <w:sz w:val="24"/>
          <w:szCs w:val="24"/>
        </w:rPr>
      </w:pPr>
      <w:r>
        <w:rPr>
          <w:rFonts w:hint="eastAsia" w:ascii="宋体" w:hAnsi="宋体" w:cs="宋体"/>
          <w:sz w:val="24"/>
          <w:szCs w:val="24"/>
        </w:rPr>
        <w:t>2、检查设备的完整性和牢固性，消除人为或自然原因影响安全和功能使用的隐患，确保设备安全。并作好巡检记录。当发现损坏、破坏、图像质量不好等现象时，及时予以修复、调整，不能修复的则予以更换；</w:t>
      </w:r>
    </w:p>
    <w:p>
      <w:pPr>
        <w:spacing w:line="560" w:lineRule="exact"/>
        <w:ind w:firstLine="480" w:firstLineChars="200"/>
        <w:rPr>
          <w:rFonts w:ascii="宋体" w:hAnsi="宋体" w:cs="宋体"/>
          <w:sz w:val="24"/>
          <w:szCs w:val="24"/>
        </w:rPr>
      </w:pPr>
      <w:r>
        <w:rPr>
          <w:rFonts w:hint="eastAsia" w:ascii="宋体" w:hAnsi="宋体" w:cs="宋体"/>
          <w:sz w:val="24"/>
          <w:szCs w:val="24"/>
        </w:rPr>
        <w:t>3、检查杆件等，由于前端立杆及机箱等设备长期裸露在室外，固需要对表面做防腐处理，一般为表面涂防腐漆。出现掉漆现象及时进行修补。</w:t>
      </w:r>
    </w:p>
    <w:p>
      <w:pPr>
        <w:spacing w:line="560" w:lineRule="exact"/>
        <w:ind w:firstLine="480" w:firstLineChars="200"/>
        <w:rPr>
          <w:rFonts w:ascii="宋体" w:hAnsi="宋体" w:cs="宋体"/>
          <w:sz w:val="24"/>
          <w:szCs w:val="24"/>
        </w:rPr>
      </w:pPr>
      <w:r>
        <w:rPr>
          <w:rFonts w:hint="eastAsia" w:ascii="宋体" w:hAnsi="宋体" w:cs="宋体"/>
          <w:sz w:val="24"/>
          <w:szCs w:val="24"/>
        </w:rPr>
        <w:t>4、检查后端平台服务器是否正常运行。检查平台数据库是否正常。</w:t>
      </w:r>
    </w:p>
    <w:p>
      <w:pPr>
        <w:spacing w:line="560" w:lineRule="exact"/>
        <w:rPr>
          <w:rFonts w:ascii="宋体" w:hAnsi="宋体" w:cs="宋体"/>
          <w:sz w:val="24"/>
          <w:szCs w:val="24"/>
        </w:rPr>
      </w:pPr>
      <w:r>
        <w:rPr>
          <w:rFonts w:hint="eastAsia" w:ascii="宋体" w:hAnsi="宋体" w:cs="宋体"/>
          <w:sz w:val="24"/>
          <w:szCs w:val="24"/>
        </w:rPr>
        <w:t>（四）每三个月为一个保养周期，主要内容包括：</w:t>
      </w:r>
    </w:p>
    <w:p>
      <w:pPr>
        <w:spacing w:line="560" w:lineRule="exact"/>
        <w:ind w:firstLine="480" w:firstLineChars="200"/>
        <w:rPr>
          <w:rFonts w:ascii="宋体" w:hAnsi="宋体" w:cs="宋体"/>
          <w:sz w:val="24"/>
          <w:szCs w:val="24"/>
        </w:rPr>
      </w:pPr>
      <w:r>
        <w:rPr>
          <w:rFonts w:hint="eastAsia" w:ascii="宋体" w:hAnsi="宋体" w:cs="宋体"/>
          <w:sz w:val="24"/>
          <w:szCs w:val="24"/>
        </w:rPr>
        <w:t>1、清洁和检查工作，包括机箱里的电气设备等，保证设备的安全、整洁、干净。及时发现故障、隐患并及时处理，把故障消灭在萌芽状态，避免扩大故障范围；</w:t>
      </w:r>
    </w:p>
    <w:p>
      <w:pPr>
        <w:spacing w:line="560" w:lineRule="exact"/>
        <w:ind w:firstLine="480" w:firstLineChars="200"/>
        <w:rPr>
          <w:rFonts w:ascii="宋体" w:hAnsi="宋体" w:cs="宋体"/>
          <w:sz w:val="24"/>
          <w:szCs w:val="24"/>
        </w:rPr>
      </w:pPr>
      <w:r>
        <w:rPr>
          <w:rFonts w:hint="eastAsia" w:ascii="宋体" w:hAnsi="宋体" w:cs="宋体"/>
          <w:sz w:val="24"/>
          <w:szCs w:val="24"/>
        </w:rPr>
        <w:t>2、由于摄像机表面长期裸露在外，表面累积的灰尘会影响画面质量，擦试防护罩，前视玻璃的除尘等；</w:t>
      </w:r>
    </w:p>
    <w:p>
      <w:pPr>
        <w:spacing w:line="560" w:lineRule="exact"/>
        <w:ind w:firstLine="480" w:firstLineChars="200"/>
        <w:rPr>
          <w:rFonts w:ascii="宋体" w:hAnsi="宋体" w:cs="宋体"/>
          <w:sz w:val="24"/>
          <w:szCs w:val="24"/>
        </w:rPr>
      </w:pPr>
      <w:r>
        <w:rPr>
          <w:rFonts w:hint="eastAsia" w:ascii="宋体" w:hAnsi="宋体" w:cs="宋体"/>
          <w:sz w:val="24"/>
          <w:szCs w:val="24"/>
        </w:rPr>
        <w:t>3、对发现的问题及时处理，以保证系统持续、稳定、安全地运行。</w:t>
      </w:r>
    </w:p>
    <w:p>
      <w:pPr>
        <w:spacing w:line="560" w:lineRule="exact"/>
        <w:rPr>
          <w:rFonts w:ascii="宋体" w:hAnsi="宋体" w:cs="宋体"/>
          <w:sz w:val="24"/>
          <w:szCs w:val="24"/>
        </w:rPr>
      </w:pPr>
      <w:r>
        <w:rPr>
          <w:rFonts w:hint="eastAsia" w:ascii="宋体" w:hAnsi="宋体" w:cs="宋体"/>
          <w:sz w:val="24"/>
          <w:szCs w:val="24"/>
        </w:rPr>
        <w:t>（五）每三个月为一个周期进行性能测试,主要包括：</w:t>
      </w:r>
    </w:p>
    <w:p>
      <w:pPr>
        <w:spacing w:line="560" w:lineRule="exact"/>
        <w:ind w:firstLine="480" w:firstLineChars="200"/>
        <w:rPr>
          <w:rFonts w:ascii="宋体" w:hAnsi="宋体" w:cs="宋体"/>
          <w:sz w:val="24"/>
          <w:szCs w:val="24"/>
        </w:rPr>
      </w:pPr>
      <w:r>
        <w:rPr>
          <w:rFonts w:hint="eastAsia" w:ascii="宋体" w:hAnsi="宋体" w:cs="宋体"/>
          <w:sz w:val="24"/>
          <w:szCs w:val="24"/>
        </w:rPr>
        <w:t>1、对各类电器设备进行检测、并做好参数记录。</w:t>
      </w:r>
    </w:p>
    <w:p>
      <w:pPr>
        <w:spacing w:line="560" w:lineRule="exact"/>
        <w:ind w:firstLine="480" w:firstLineChars="200"/>
        <w:rPr>
          <w:rFonts w:ascii="宋体" w:hAnsi="宋体" w:cs="宋体"/>
          <w:sz w:val="24"/>
          <w:szCs w:val="24"/>
        </w:rPr>
      </w:pPr>
      <w:r>
        <w:rPr>
          <w:rFonts w:hint="eastAsia" w:ascii="宋体" w:hAnsi="宋体" w:cs="宋体"/>
          <w:sz w:val="24"/>
          <w:szCs w:val="24"/>
        </w:rPr>
        <w:t>2、在每年的3月份雷雨季节来临前，着重对所有监控点的接地电阻进行测试和数据记录，并检查所有的电子警察设备的避雷是否正常。</w:t>
      </w:r>
    </w:p>
    <w:p>
      <w:pPr>
        <w:spacing w:line="560" w:lineRule="exact"/>
        <w:ind w:firstLine="480" w:firstLineChars="200"/>
        <w:rPr>
          <w:rFonts w:ascii="宋体" w:hAnsi="宋体" w:cs="宋体"/>
          <w:sz w:val="24"/>
          <w:szCs w:val="24"/>
        </w:rPr>
      </w:pPr>
      <w:r>
        <w:rPr>
          <w:rFonts w:hint="eastAsia" w:ascii="宋体" w:hAnsi="宋体" w:cs="宋体"/>
          <w:sz w:val="24"/>
          <w:szCs w:val="24"/>
        </w:rPr>
        <w:t>3、对测试后数据达不到要求的点采用增加接地桩等措施解决，以减小接地电阻。并更换被雷击穿的避雷器。</w:t>
      </w:r>
    </w:p>
    <w:p>
      <w:pPr>
        <w:spacing w:line="560" w:lineRule="exact"/>
        <w:ind w:firstLine="480" w:firstLineChars="200"/>
        <w:rPr>
          <w:rFonts w:ascii="宋体" w:hAnsi="宋体" w:cs="宋体"/>
          <w:sz w:val="24"/>
          <w:szCs w:val="24"/>
        </w:rPr>
      </w:pPr>
      <w:r>
        <w:rPr>
          <w:rFonts w:hint="eastAsia" w:ascii="宋体" w:hAnsi="宋体" w:cs="宋体"/>
          <w:sz w:val="24"/>
          <w:szCs w:val="24"/>
        </w:rPr>
        <w:t>4、检查各接地线是否正常。以保证在雷雨季节避雷器被击而造成设备损坏。依据接地电阻测试要求，对接地电阻六个月为一测试周期。</w:t>
      </w:r>
    </w:p>
    <w:p>
      <w:pPr>
        <w:spacing w:line="560" w:lineRule="exact"/>
        <w:ind w:firstLine="480" w:firstLineChars="200"/>
        <w:rPr>
          <w:rFonts w:ascii="宋体" w:hAnsi="宋体" w:cs="宋体"/>
          <w:sz w:val="24"/>
          <w:szCs w:val="24"/>
        </w:rPr>
      </w:pPr>
      <w:r>
        <w:rPr>
          <w:rFonts w:hint="eastAsia" w:ascii="宋体" w:hAnsi="宋体" w:cs="宋体"/>
          <w:sz w:val="24"/>
          <w:szCs w:val="24"/>
        </w:rPr>
        <w:t>5、做好系统维护表格，每天记录巡查内容，做好归档整理工作。</w:t>
      </w:r>
    </w:p>
    <w:p>
      <w:pPr>
        <w:spacing w:line="560" w:lineRule="exact"/>
        <w:rPr>
          <w:rFonts w:ascii="宋体" w:hAnsi="宋体" w:cs="宋体"/>
          <w:sz w:val="24"/>
          <w:szCs w:val="24"/>
        </w:rPr>
      </w:pPr>
      <w:r>
        <w:rPr>
          <w:rFonts w:hint="eastAsia" w:ascii="宋体" w:hAnsi="宋体" w:cs="宋体"/>
          <w:sz w:val="24"/>
          <w:szCs w:val="24"/>
        </w:rPr>
        <w:t>（六）动力系统的日常维护主要包括：</w:t>
      </w:r>
    </w:p>
    <w:p>
      <w:pPr>
        <w:spacing w:line="560" w:lineRule="exact"/>
        <w:ind w:firstLine="480" w:firstLineChars="200"/>
        <w:rPr>
          <w:rFonts w:ascii="宋体" w:hAnsi="宋体" w:cs="宋体"/>
          <w:sz w:val="24"/>
          <w:szCs w:val="24"/>
        </w:rPr>
      </w:pPr>
      <w:r>
        <w:rPr>
          <w:rFonts w:hint="eastAsia" w:ascii="宋体" w:hAnsi="宋体" w:cs="宋体"/>
          <w:sz w:val="24"/>
          <w:szCs w:val="24"/>
        </w:rPr>
        <w:t>1、检查设备交流输入电压是否正常</w:t>
      </w:r>
    </w:p>
    <w:p>
      <w:pPr>
        <w:spacing w:line="560" w:lineRule="exact"/>
        <w:ind w:firstLine="480" w:firstLineChars="200"/>
        <w:rPr>
          <w:rFonts w:ascii="宋体" w:hAnsi="宋体" w:cs="宋体"/>
          <w:sz w:val="24"/>
          <w:szCs w:val="24"/>
        </w:rPr>
      </w:pPr>
      <w:r>
        <w:rPr>
          <w:rFonts w:hint="eastAsia" w:ascii="宋体" w:hAnsi="宋体" w:cs="宋体"/>
          <w:sz w:val="24"/>
          <w:szCs w:val="24"/>
        </w:rPr>
        <w:t>2、检查直流电源系统是否正常</w:t>
      </w:r>
    </w:p>
    <w:p>
      <w:pPr>
        <w:spacing w:line="560" w:lineRule="exact"/>
        <w:ind w:firstLine="480" w:firstLineChars="200"/>
        <w:rPr>
          <w:rFonts w:ascii="宋体" w:hAnsi="宋体" w:cs="宋体"/>
          <w:sz w:val="24"/>
          <w:szCs w:val="24"/>
        </w:rPr>
      </w:pPr>
      <w:r>
        <w:rPr>
          <w:rFonts w:hint="eastAsia" w:ascii="宋体" w:hAnsi="宋体" w:cs="宋体"/>
          <w:sz w:val="24"/>
          <w:szCs w:val="24"/>
        </w:rPr>
        <w:t>3、检查电源系统的各项系统属的设置是否正常</w:t>
      </w:r>
    </w:p>
    <w:p>
      <w:pPr>
        <w:spacing w:line="560" w:lineRule="exact"/>
        <w:ind w:firstLine="480" w:firstLineChars="200"/>
        <w:rPr>
          <w:rFonts w:ascii="宋体" w:hAnsi="宋体" w:cs="宋体"/>
          <w:sz w:val="24"/>
          <w:szCs w:val="24"/>
        </w:rPr>
      </w:pPr>
      <w:r>
        <w:rPr>
          <w:rFonts w:hint="eastAsia" w:ascii="宋体" w:hAnsi="宋体" w:cs="宋体"/>
          <w:sz w:val="24"/>
          <w:szCs w:val="24"/>
        </w:rPr>
        <w:t>4、检查机房后背电源运作是否正常</w:t>
      </w:r>
    </w:p>
    <w:p>
      <w:pPr>
        <w:spacing w:line="560" w:lineRule="exact"/>
        <w:ind w:firstLine="480" w:firstLineChars="200"/>
        <w:rPr>
          <w:rFonts w:ascii="宋体" w:hAnsi="宋体" w:cs="宋体"/>
          <w:sz w:val="24"/>
          <w:szCs w:val="24"/>
        </w:rPr>
      </w:pPr>
      <w:r>
        <w:rPr>
          <w:rFonts w:hint="eastAsia" w:ascii="宋体" w:hAnsi="宋体" w:cs="宋体"/>
          <w:sz w:val="24"/>
          <w:szCs w:val="24"/>
        </w:rPr>
        <w:t>5、检查工作地县级防雷底线是否接触良好</w:t>
      </w:r>
    </w:p>
    <w:p>
      <w:pPr>
        <w:spacing w:line="560" w:lineRule="exact"/>
        <w:rPr>
          <w:rFonts w:ascii="宋体" w:hAnsi="宋体" w:cs="宋体"/>
          <w:sz w:val="24"/>
          <w:szCs w:val="24"/>
        </w:rPr>
      </w:pPr>
      <w:r>
        <w:rPr>
          <w:rFonts w:hint="eastAsia" w:ascii="宋体" w:hAnsi="宋体" w:cs="宋体"/>
          <w:sz w:val="24"/>
          <w:szCs w:val="24"/>
        </w:rPr>
        <w:t>（七）散热冷却系统的日常维护工作主要包括：</w:t>
      </w:r>
    </w:p>
    <w:p>
      <w:pPr>
        <w:spacing w:line="560" w:lineRule="exact"/>
        <w:ind w:firstLine="480" w:firstLineChars="200"/>
        <w:rPr>
          <w:rFonts w:ascii="宋体" w:hAnsi="宋体" w:cs="宋体"/>
          <w:sz w:val="24"/>
          <w:szCs w:val="24"/>
        </w:rPr>
      </w:pPr>
      <w:r>
        <w:rPr>
          <w:rFonts w:hint="eastAsia" w:ascii="宋体" w:hAnsi="宋体" w:cs="宋体"/>
          <w:sz w:val="24"/>
          <w:szCs w:val="24"/>
        </w:rPr>
        <w:t>1、检査空调制冷效果如何，是否制冷。</w:t>
      </w:r>
    </w:p>
    <w:p>
      <w:pPr>
        <w:spacing w:line="560" w:lineRule="exact"/>
        <w:ind w:firstLine="480" w:firstLineChars="200"/>
        <w:rPr>
          <w:rFonts w:ascii="宋体" w:hAnsi="宋体" w:cs="宋体"/>
          <w:sz w:val="24"/>
          <w:szCs w:val="24"/>
        </w:rPr>
      </w:pPr>
      <w:r>
        <w:rPr>
          <w:rFonts w:hint="eastAsia" w:ascii="宋体" w:hAnsi="宋体" w:cs="宋体"/>
          <w:sz w:val="24"/>
          <w:szCs w:val="24"/>
        </w:rPr>
        <w:t>2、检査空调是否存在故障。</w:t>
      </w:r>
    </w:p>
    <w:p>
      <w:pPr>
        <w:spacing w:line="560" w:lineRule="exact"/>
        <w:ind w:firstLine="480" w:firstLineChars="200"/>
        <w:rPr>
          <w:rFonts w:ascii="宋体" w:hAnsi="宋体" w:cs="宋体"/>
          <w:sz w:val="24"/>
          <w:szCs w:val="24"/>
        </w:rPr>
      </w:pPr>
      <w:r>
        <w:rPr>
          <w:rFonts w:hint="eastAsia" w:ascii="宋体" w:hAnsi="宋体" w:cs="宋体"/>
          <w:sz w:val="24"/>
          <w:szCs w:val="24"/>
        </w:rPr>
        <w:t>3、检査空调的排水管是否封堵，风机风扇是否运转良好。</w:t>
      </w:r>
    </w:p>
    <w:p>
      <w:pPr>
        <w:spacing w:line="560" w:lineRule="exact"/>
        <w:ind w:firstLine="480" w:firstLineChars="200"/>
        <w:rPr>
          <w:rFonts w:ascii="宋体" w:hAnsi="宋体" w:cs="宋体"/>
          <w:sz w:val="24"/>
          <w:szCs w:val="24"/>
        </w:rPr>
      </w:pPr>
      <w:r>
        <w:rPr>
          <w:rFonts w:hint="eastAsia" w:ascii="宋体" w:hAnsi="宋体" w:cs="宋体"/>
          <w:sz w:val="24"/>
          <w:szCs w:val="24"/>
        </w:rPr>
        <w:t>4、检査室内、室外机安装牢固，加固装置有无生锈现象。</w:t>
      </w:r>
    </w:p>
    <w:p>
      <w:pPr>
        <w:spacing w:line="560" w:lineRule="exact"/>
        <w:ind w:firstLine="480" w:firstLineChars="200"/>
        <w:rPr>
          <w:rFonts w:ascii="宋体" w:hAnsi="宋体" w:cs="宋体"/>
          <w:sz w:val="24"/>
          <w:szCs w:val="24"/>
        </w:rPr>
      </w:pPr>
      <w:r>
        <w:rPr>
          <w:rFonts w:hint="eastAsia" w:ascii="宋体" w:hAnsi="宋体" w:cs="宋体"/>
          <w:sz w:val="24"/>
          <w:szCs w:val="24"/>
        </w:rPr>
        <w:t>5、检査空调的室内机（含过滤网）和室外机是否干净无杂物覆盖；</w:t>
      </w:r>
    </w:p>
    <w:p>
      <w:pPr>
        <w:spacing w:line="560" w:lineRule="exact"/>
        <w:ind w:firstLine="480" w:firstLineChars="200"/>
        <w:rPr>
          <w:rFonts w:ascii="宋体" w:hAnsi="宋体" w:cs="宋体"/>
          <w:sz w:val="24"/>
          <w:szCs w:val="24"/>
        </w:rPr>
      </w:pPr>
      <w:r>
        <w:rPr>
          <w:rFonts w:hint="eastAsia" w:ascii="宋体" w:hAnsi="宋体" w:cs="宋体"/>
          <w:sz w:val="24"/>
          <w:szCs w:val="24"/>
        </w:rPr>
        <w:t>6、故障空调及时上报；</w:t>
      </w:r>
    </w:p>
    <w:p>
      <w:pPr>
        <w:spacing w:line="560" w:lineRule="exact"/>
        <w:ind w:firstLine="480" w:firstLineChars="200"/>
        <w:rPr>
          <w:rFonts w:ascii="宋体" w:hAnsi="宋体" w:cs="宋体"/>
          <w:sz w:val="24"/>
          <w:szCs w:val="24"/>
        </w:rPr>
      </w:pPr>
      <w:r>
        <w:rPr>
          <w:rFonts w:hint="eastAsia" w:ascii="宋体" w:hAnsi="宋体" w:cs="宋体"/>
          <w:sz w:val="24"/>
          <w:szCs w:val="24"/>
        </w:rPr>
        <w:t>7、监督空调维修质量，核实空调维护项目</w:t>
      </w:r>
    </w:p>
    <w:p>
      <w:pPr>
        <w:spacing w:line="560" w:lineRule="exact"/>
        <w:ind w:firstLine="480" w:firstLineChars="200"/>
        <w:rPr>
          <w:rFonts w:ascii="宋体" w:hAnsi="宋体" w:cs="宋体"/>
          <w:sz w:val="24"/>
          <w:szCs w:val="24"/>
        </w:rPr>
      </w:pPr>
      <w:r>
        <w:rPr>
          <w:rFonts w:hint="eastAsia" w:ascii="宋体" w:hAnsi="宋体" w:cs="宋体"/>
          <w:sz w:val="24"/>
          <w:szCs w:val="24"/>
        </w:rPr>
        <w:t>8、每月提供空调设备运行分析报告一份</w:t>
      </w:r>
    </w:p>
    <w:p>
      <w:pPr>
        <w:spacing w:line="560" w:lineRule="exact"/>
        <w:rPr>
          <w:rFonts w:ascii="宋体" w:hAnsi="宋体" w:cs="宋体"/>
          <w:sz w:val="24"/>
          <w:szCs w:val="24"/>
        </w:rPr>
      </w:pPr>
      <w:r>
        <w:rPr>
          <w:rFonts w:hint="eastAsia" w:ascii="宋体" w:hAnsi="宋体" w:cs="宋体"/>
          <w:sz w:val="24"/>
          <w:szCs w:val="24"/>
        </w:rPr>
        <w:t>（八）节假日、大型活动维护方案：</w:t>
      </w:r>
    </w:p>
    <w:p>
      <w:pPr>
        <w:spacing w:line="560" w:lineRule="exact"/>
        <w:ind w:firstLine="480" w:firstLineChars="200"/>
        <w:rPr>
          <w:rFonts w:ascii="宋体" w:hAnsi="宋体" w:cs="宋体"/>
          <w:sz w:val="24"/>
          <w:szCs w:val="24"/>
        </w:rPr>
      </w:pPr>
      <w:r>
        <w:rPr>
          <w:rFonts w:hint="eastAsia" w:ascii="宋体" w:hAnsi="宋体" w:cs="宋体"/>
          <w:sz w:val="24"/>
          <w:szCs w:val="24"/>
        </w:rPr>
        <w:t>1、对重大节日以及特殊事件的维护抢修成立专门的“特殊事件维护小组”，用于处理重大特殊紧急事件，配合相关部门做好节假日及大型活动的保障计划。</w:t>
      </w:r>
    </w:p>
    <w:p>
      <w:pPr>
        <w:spacing w:line="560" w:lineRule="exact"/>
        <w:ind w:firstLine="480" w:firstLineChars="200"/>
        <w:rPr>
          <w:rFonts w:ascii="宋体" w:hAnsi="宋体" w:cs="宋体"/>
          <w:sz w:val="24"/>
          <w:szCs w:val="24"/>
        </w:rPr>
      </w:pPr>
      <w:r>
        <w:rPr>
          <w:rFonts w:hint="eastAsia" w:ascii="宋体" w:hAnsi="宋体" w:cs="宋体"/>
          <w:sz w:val="24"/>
          <w:szCs w:val="24"/>
        </w:rPr>
        <w:t>2、在重要节日比如每年的国庆节、劳动节，以及重大活动组织进行的情况下，“特殊事件维护小组”开始工作响应，提前对路口设备点加强巡检、保洁、保养和维护，具体为重要节日每2天巡检1次，特殊重大活动时尽量做到1天1次，保证每两天维护1次。</w:t>
      </w:r>
    </w:p>
    <w:p>
      <w:pPr>
        <w:spacing w:line="560" w:lineRule="exact"/>
        <w:ind w:firstLine="480" w:firstLineChars="200"/>
        <w:rPr>
          <w:rFonts w:ascii="宋体" w:hAnsi="宋体" w:cs="宋体"/>
          <w:sz w:val="24"/>
          <w:szCs w:val="24"/>
        </w:rPr>
      </w:pPr>
      <w:r>
        <w:rPr>
          <w:rFonts w:hint="eastAsia" w:ascii="宋体" w:hAnsi="宋体" w:cs="宋体"/>
          <w:sz w:val="24"/>
          <w:szCs w:val="24"/>
        </w:rPr>
        <w:t>3、每年的特殊事件下的维护，专门小组都要做好维护巡检记录。</w:t>
      </w:r>
    </w:p>
    <w:p>
      <w:pPr>
        <w:spacing w:beforeLines="50" w:afterLines="50"/>
        <w:jc w:val="left"/>
        <w:rPr>
          <w:rFonts w:ascii="宋体" w:hAnsi="宋体" w:cs="宋体"/>
          <w:b/>
          <w:bCs/>
          <w:sz w:val="24"/>
          <w:szCs w:val="24"/>
        </w:rPr>
      </w:pPr>
      <w:r>
        <w:rPr>
          <w:rFonts w:hint="eastAsia" w:ascii="宋体" w:hAnsi="宋体" w:cs="宋体"/>
          <w:b/>
          <w:bCs/>
          <w:sz w:val="24"/>
          <w:szCs w:val="24"/>
        </w:rPr>
        <w:t>四、维保售后</w:t>
      </w:r>
    </w:p>
    <w:p>
      <w:pPr>
        <w:spacing w:line="560" w:lineRule="exact"/>
        <w:ind w:firstLine="480" w:firstLineChars="200"/>
        <w:rPr>
          <w:rFonts w:ascii="宋体" w:hAnsi="宋体" w:cs="宋体"/>
          <w:sz w:val="24"/>
          <w:szCs w:val="24"/>
        </w:rPr>
      </w:pPr>
      <w:r>
        <w:rPr>
          <w:rFonts w:hint="eastAsia" w:ascii="宋体" w:hAnsi="宋体" w:cs="宋体"/>
          <w:sz w:val="24"/>
          <w:szCs w:val="24"/>
        </w:rPr>
        <w:t>1、按照合同约定期限进行维保。</w:t>
      </w:r>
    </w:p>
    <w:p>
      <w:pPr>
        <w:spacing w:line="560" w:lineRule="exact"/>
        <w:ind w:firstLine="480" w:firstLineChars="200"/>
        <w:rPr>
          <w:rFonts w:ascii="宋体" w:hAnsi="宋体" w:cs="宋体"/>
          <w:sz w:val="24"/>
          <w:szCs w:val="24"/>
        </w:rPr>
      </w:pPr>
      <w:r>
        <w:rPr>
          <w:rFonts w:hint="eastAsia" w:ascii="宋体" w:hAnsi="宋体" w:cs="宋体"/>
          <w:sz w:val="24"/>
          <w:szCs w:val="24"/>
        </w:rPr>
        <w:t>2、维保期内接到报修通知，1小时内响应，2小时内到达现场，24小时内处理问题。在24小时内不能解决问题的设备，应在36小时内提供同档次的设备给甲方代用。</w:t>
      </w:r>
    </w:p>
    <w:p>
      <w:pPr>
        <w:spacing w:line="560" w:lineRule="exact"/>
        <w:ind w:firstLine="480" w:firstLineChars="200"/>
        <w:rPr>
          <w:rFonts w:ascii="宋体" w:hAnsi="宋体" w:cs="宋体"/>
          <w:sz w:val="24"/>
          <w:szCs w:val="24"/>
        </w:rPr>
      </w:pPr>
      <w:r>
        <w:rPr>
          <w:rFonts w:hint="eastAsia" w:ascii="宋体" w:hAnsi="宋体" w:cs="宋体"/>
          <w:sz w:val="24"/>
          <w:szCs w:val="24"/>
        </w:rPr>
        <w:t>3、做好维保时的安全防范措施。如因维保过程中出现安全事故，所导致的一切相关损失及责任由维保方承担。</w:t>
      </w:r>
    </w:p>
    <w:p>
      <w:pPr>
        <w:pStyle w:val="20"/>
        <w:rPr>
          <w:rFonts w:ascii="宋体" w:hAnsi="宋体" w:cs="宋体"/>
          <w:b/>
          <w:bCs/>
          <w:sz w:val="24"/>
          <w:szCs w:val="24"/>
        </w:rPr>
      </w:pPr>
      <w:r>
        <w:rPr>
          <w:rFonts w:hint="eastAsia" w:ascii="宋体" w:hAnsi="宋体" w:cs="宋体"/>
          <w:sz w:val="24"/>
          <w:szCs w:val="24"/>
        </w:rPr>
        <w:t>4、维保过程中产生垃圾及时清理。如延时或上级部门检查发现问题进行处理，所有的责任由维保方承担。</w:t>
      </w:r>
    </w:p>
    <w:p>
      <w:pPr>
        <w:pStyle w:val="20"/>
        <w:rPr>
          <w:b/>
          <w:bCs/>
          <w:highlight w:val="yellow"/>
        </w:rPr>
      </w:pPr>
    </w:p>
    <w:p>
      <w:pPr>
        <w:pStyle w:val="20"/>
        <w:rPr>
          <w:rFonts w:asciiTheme="minorEastAsia" w:hAnsiTheme="minorEastAsia" w:eastAsiaTheme="minorEastAsia"/>
          <w:b/>
          <w:bCs/>
        </w:rPr>
      </w:pPr>
      <w:r>
        <w:rPr>
          <w:rFonts w:hint="eastAsia"/>
          <w:b/>
          <w:bCs/>
        </w:rPr>
        <w:t>标项七：</w:t>
      </w:r>
      <w:r>
        <w:rPr>
          <w:rFonts w:hint="eastAsia" w:cs="宋体" w:asciiTheme="minorEastAsia" w:hAnsiTheme="minorEastAsia" w:eastAsiaTheme="minorEastAsia"/>
          <w:kern w:val="0"/>
        </w:rPr>
        <w:t>电梯维保服务项目</w:t>
      </w:r>
    </w:p>
    <w:p>
      <w:pPr>
        <w:rPr>
          <w:rFonts w:ascii="宋体" w:hAnsi="宋体" w:cs="宋体"/>
          <w:b/>
          <w:bCs/>
          <w:sz w:val="24"/>
          <w:szCs w:val="24"/>
        </w:rPr>
      </w:pPr>
      <w:r>
        <w:rPr>
          <w:rFonts w:hint="eastAsia" w:ascii="宋体" w:hAnsi="宋体" w:cs="宋体"/>
          <w:b/>
          <w:bCs/>
          <w:sz w:val="24"/>
          <w:szCs w:val="24"/>
        </w:rPr>
        <w:t>一、更换耗材要求</w:t>
      </w:r>
    </w:p>
    <w:p>
      <w:pPr>
        <w:ind w:firstLine="480" w:firstLineChars="200"/>
        <w:rPr>
          <w:rFonts w:ascii="宋体" w:hAnsi="宋体" w:cs="宋体"/>
          <w:sz w:val="24"/>
          <w:szCs w:val="24"/>
        </w:rPr>
      </w:pPr>
      <w:r>
        <w:rPr>
          <w:rFonts w:hint="eastAsia" w:ascii="宋体" w:hAnsi="宋体" w:cs="宋体"/>
          <w:sz w:val="24"/>
          <w:szCs w:val="24"/>
        </w:rPr>
        <w:t>认真维保，合理更换耗材，耗材更换费用如有递增，不得超过上年的20%；如有高于20%的特殊情况，需经两家以上有相同资质维修安装专业人士鉴定并报预算，以文字报告形式递交对方相关负责人批示后，进入采购程序。</w:t>
      </w:r>
    </w:p>
    <w:p>
      <w:pPr>
        <w:rPr>
          <w:rFonts w:ascii="宋体" w:hAnsi="宋体" w:cs="宋体"/>
          <w:sz w:val="24"/>
          <w:szCs w:val="24"/>
        </w:rPr>
      </w:pPr>
    </w:p>
    <w:p>
      <w:pPr>
        <w:pStyle w:val="75"/>
        <w:rPr>
          <w:rFonts w:hAnsi="宋体"/>
          <w:b/>
          <w:bCs/>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二、技术参数</w:t>
      </w:r>
    </w:p>
    <w:p>
      <w:pPr>
        <w:rPr>
          <w:rFonts w:ascii="宋体" w:hAnsi="宋体" w:cs="宋体"/>
          <w:b/>
          <w:bCs/>
          <w:sz w:val="24"/>
          <w:szCs w:val="24"/>
        </w:rPr>
      </w:pPr>
      <w:r>
        <w:rPr>
          <w:rFonts w:hint="eastAsia" w:ascii="宋体" w:hAnsi="宋体" w:cs="宋体"/>
          <w:b/>
          <w:bCs/>
          <w:color w:val="000000" w:themeColor="text1"/>
          <w:sz w:val="24"/>
          <w:szCs w:val="24"/>
          <w14:textFill>
            <w14:solidFill>
              <w14:schemeClr w14:val="tx1"/>
            </w14:solidFill>
          </w14:textFill>
        </w:rPr>
        <w:t>（一）电梯日常巡检内容</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7180"/>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13" w:type="pct"/>
            <w:noWrap/>
            <w:vAlign w:val="center"/>
          </w:tcPr>
          <w:p>
            <w:pPr>
              <w:spacing w:line="420" w:lineRule="exact"/>
              <w:jc w:val="center"/>
              <w:rPr>
                <w:rFonts w:ascii="宋体" w:hAnsi="宋体" w:cs="宋体"/>
                <w:b/>
                <w:sz w:val="24"/>
                <w:szCs w:val="24"/>
              </w:rPr>
            </w:pPr>
            <w:r>
              <w:rPr>
                <w:rFonts w:hint="eastAsia" w:ascii="宋体" w:hAnsi="宋体" w:cs="宋体"/>
                <w:b/>
                <w:sz w:val="24"/>
                <w:szCs w:val="24"/>
              </w:rPr>
              <w:t>项目</w:t>
            </w:r>
          </w:p>
        </w:tc>
        <w:tc>
          <w:tcPr>
            <w:tcW w:w="4073" w:type="pct"/>
            <w:noWrap/>
            <w:vAlign w:val="center"/>
          </w:tcPr>
          <w:p>
            <w:pPr>
              <w:spacing w:line="420" w:lineRule="exact"/>
              <w:jc w:val="center"/>
              <w:rPr>
                <w:rFonts w:ascii="宋体" w:hAnsi="宋体" w:cs="宋体"/>
                <w:b/>
                <w:sz w:val="24"/>
                <w:szCs w:val="24"/>
              </w:rPr>
            </w:pPr>
            <w:r>
              <w:rPr>
                <w:rFonts w:hint="eastAsia" w:ascii="宋体" w:hAnsi="宋体" w:cs="宋体"/>
                <w:b/>
                <w:sz w:val="24"/>
                <w:szCs w:val="24"/>
              </w:rPr>
              <w:t>巡检内容</w:t>
            </w:r>
          </w:p>
        </w:tc>
        <w:tc>
          <w:tcPr>
            <w:tcW w:w="513" w:type="pct"/>
            <w:noWrap/>
            <w:vAlign w:val="center"/>
          </w:tcPr>
          <w:p>
            <w:pPr>
              <w:spacing w:line="420" w:lineRule="exact"/>
              <w:jc w:val="center"/>
              <w:rPr>
                <w:rFonts w:ascii="宋体" w:hAnsi="宋体" w:cs="宋体"/>
                <w:b/>
                <w:sz w:val="24"/>
                <w:szCs w:val="24"/>
              </w:rPr>
            </w:pPr>
            <w:r>
              <w:rPr>
                <w:rFonts w:hint="eastAsia" w:ascii="宋体" w:hAnsi="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13" w:type="pct"/>
            <w:vMerge w:val="restart"/>
            <w:noWrap/>
            <w:vAlign w:val="center"/>
          </w:tcPr>
          <w:p>
            <w:pPr>
              <w:spacing w:line="420" w:lineRule="exact"/>
              <w:jc w:val="center"/>
              <w:rPr>
                <w:rFonts w:ascii="宋体" w:hAnsi="宋体" w:cs="宋体"/>
                <w:sz w:val="24"/>
                <w:szCs w:val="24"/>
              </w:rPr>
            </w:pPr>
            <w:r>
              <w:rPr>
                <w:rFonts w:hint="eastAsia" w:ascii="宋体" w:hAnsi="宋体" w:cs="宋体"/>
                <w:sz w:val="24"/>
                <w:szCs w:val="24"/>
              </w:rPr>
              <w:t>机</w:t>
            </w:r>
          </w:p>
          <w:p>
            <w:pPr>
              <w:spacing w:line="420" w:lineRule="exact"/>
              <w:jc w:val="center"/>
              <w:rPr>
                <w:rFonts w:ascii="宋体" w:hAnsi="宋体" w:cs="宋体"/>
                <w:b/>
                <w:sz w:val="24"/>
                <w:szCs w:val="24"/>
              </w:rPr>
            </w:pPr>
            <w:r>
              <w:rPr>
                <w:rFonts w:hint="eastAsia" w:ascii="宋体" w:hAnsi="宋体" w:cs="宋体"/>
                <w:sz w:val="24"/>
                <w:szCs w:val="24"/>
              </w:rPr>
              <w:t>房</w:t>
            </w:r>
          </w:p>
        </w:tc>
        <w:tc>
          <w:tcPr>
            <w:tcW w:w="4073" w:type="pct"/>
            <w:noWrap/>
            <w:vAlign w:val="center"/>
          </w:tcPr>
          <w:p>
            <w:pPr>
              <w:spacing w:line="420" w:lineRule="exact"/>
              <w:rPr>
                <w:rFonts w:ascii="宋体" w:hAnsi="宋体" w:cs="宋体"/>
                <w:sz w:val="24"/>
                <w:szCs w:val="24"/>
              </w:rPr>
            </w:pPr>
            <w:r>
              <w:rPr>
                <w:rFonts w:hint="eastAsia" w:ascii="宋体" w:hAnsi="宋体" w:cs="宋体"/>
                <w:sz w:val="24"/>
                <w:szCs w:val="24"/>
              </w:rPr>
              <w:t>1、检查曳引机各传动部位有无过热和漏油，减速箱油温不应高于85℃</w:t>
            </w:r>
          </w:p>
        </w:tc>
        <w:tc>
          <w:tcPr>
            <w:tcW w:w="513" w:type="pct"/>
            <w:noWrap/>
            <w:vAlign w:val="center"/>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13" w:type="pct"/>
            <w:vMerge w:val="continue"/>
            <w:noWrap/>
            <w:vAlign w:val="center"/>
          </w:tcPr>
          <w:p>
            <w:pPr>
              <w:spacing w:line="420" w:lineRule="exact"/>
              <w:ind w:firstLine="482" w:firstLineChars="200"/>
              <w:jc w:val="center"/>
              <w:rPr>
                <w:rFonts w:ascii="宋体" w:hAnsi="宋体" w:cs="宋体"/>
                <w:b/>
                <w:sz w:val="24"/>
                <w:szCs w:val="24"/>
              </w:rPr>
            </w:pPr>
          </w:p>
        </w:tc>
        <w:tc>
          <w:tcPr>
            <w:tcW w:w="4073" w:type="pct"/>
            <w:noWrap/>
            <w:vAlign w:val="center"/>
          </w:tcPr>
          <w:p>
            <w:pPr>
              <w:spacing w:line="420" w:lineRule="exact"/>
              <w:rPr>
                <w:rFonts w:ascii="宋体" w:hAnsi="宋体" w:cs="宋体"/>
                <w:sz w:val="24"/>
                <w:szCs w:val="24"/>
              </w:rPr>
            </w:pPr>
            <w:r>
              <w:rPr>
                <w:rFonts w:hint="eastAsia" w:ascii="宋体" w:hAnsi="宋体" w:cs="宋体"/>
                <w:sz w:val="24"/>
                <w:szCs w:val="24"/>
              </w:rPr>
              <w:t>2、检查减速箱油位应保持在规定的油位线：</w:t>
            </w:r>
          </w:p>
        </w:tc>
        <w:tc>
          <w:tcPr>
            <w:tcW w:w="513" w:type="pct"/>
            <w:noWrap/>
            <w:vAlign w:val="center"/>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13" w:type="pct"/>
            <w:vMerge w:val="continue"/>
            <w:noWrap/>
            <w:vAlign w:val="center"/>
          </w:tcPr>
          <w:p>
            <w:pPr>
              <w:spacing w:line="420" w:lineRule="exact"/>
              <w:ind w:firstLine="482" w:firstLineChars="200"/>
              <w:jc w:val="center"/>
              <w:rPr>
                <w:rFonts w:ascii="宋体" w:hAnsi="宋体" w:cs="宋体"/>
                <w:b/>
                <w:sz w:val="24"/>
                <w:szCs w:val="24"/>
              </w:rPr>
            </w:pPr>
          </w:p>
        </w:tc>
        <w:tc>
          <w:tcPr>
            <w:tcW w:w="4073" w:type="pct"/>
            <w:noWrap/>
            <w:vAlign w:val="center"/>
          </w:tcPr>
          <w:p>
            <w:pPr>
              <w:spacing w:line="420" w:lineRule="exact"/>
              <w:rPr>
                <w:rFonts w:ascii="宋体" w:hAnsi="宋体" w:cs="宋体"/>
                <w:sz w:val="24"/>
                <w:szCs w:val="24"/>
              </w:rPr>
            </w:pPr>
            <w:r>
              <w:rPr>
                <w:rFonts w:hint="eastAsia" w:ascii="宋体" w:hAnsi="宋体" w:cs="宋体"/>
                <w:sz w:val="24"/>
                <w:szCs w:val="24"/>
              </w:rPr>
              <w:t>3、检查制动器的闸瓦间隙应均匀，动作灵活可靠：</w:t>
            </w:r>
          </w:p>
        </w:tc>
        <w:tc>
          <w:tcPr>
            <w:tcW w:w="513" w:type="pct"/>
            <w:noWrap/>
            <w:vAlign w:val="center"/>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13" w:type="pct"/>
            <w:vMerge w:val="continue"/>
            <w:noWrap/>
            <w:vAlign w:val="center"/>
          </w:tcPr>
          <w:p>
            <w:pPr>
              <w:spacing w:line="420" w:lineRule="exact"/>
              <w:ind w:firstLine="482" w:firstLineChars="200"/>
              <w:jc w:val="center"/>
              <w:rPr>
                <w:rFonts w:ascii="宋体" w:hAnsi="宋体" w:cs="宋体"/>
                <w:b/>
                <w:sz w:val="24"/>
                <w:szCs w:val="24"/>
              </w:rPr>
            </w:pPr>
          </w:p>
        </w:tc>
        <w:tc>
          <w:tcPr>
            <w:tcW w:w="4073" w:type="pct"/>
            <w:noWrap/>
            <w:vAlign w:val="center"/>
          </w:tcPr>
          <w:p>
            <w:pPr>
              <w:spacing w:line="420" w:lineRule="exact"/>
              <w:rPr>
                <w:rFonts w:ascii="宋体" w:hAnsi="宋体" w:cs="宋体"/>
                <w:sz w:val="24"/>
                <w:szCs w:val="24"/>
              </w:rPr>
            </w:pPr>
            <w:r>
              <w:rPr>
                <w:rFonts w:hint="eastAsia" w:ascii="宋体" w:hAnsi="宋体" w:cs="宋体"/>
                <w:sz w:val="24"/>
                <w:szCs w:val="24"/>
              </w:rPr>
              <w:t>4、检查限速器运转状态及各安全开关是否良好有效：</w:t>
            </w:r>
          </w:p>
        </w:tc>
        <w:tc>
          <w:tcPr>
            <w:tcW w:w="513" w:type="pct"/>
            <w:noWrap/>
            <w:vAlign w:val="center"/>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13" w:type="pct"/>
            <w:vMerge w:val="continue"/>
            <w:noWrap/>
            <w:vAlign w:val="center"/>
          </w:tcPr>
          <w:p>
            <w:pPr>
              <w:spacing w:line="420" w:lineRule="exact"/>
              <w:ind w:firstLine="482" w:firstLineChars="200"/>
              <w:jc w:val="center"/>
              <w:rPr>
                <w:rFonts w:ascii="宋体" w:hAnsi="宋体" w:cs="宋体"/>
                <w:b/>
                <w:sz w:val="24"/>
                <w:szCs w:val="24"/>
              </w:rPr>
            </w:pPr>
          </w:p>
        </w:tc>
        <w:tc>
          <w:tcPr>
            <w:tcW w:w="4073" w:type="pct"/>
            <w:noWrap/>
            <w:vAlign w:val="center"/>
          </w:tcPr>
          <w:p>
            <w:pPr>
              <w:spacing w:line="420" w:lineRule="exact"/>
              <w:rPr>
                <w:rFonts w:ascii="宋体" w:hAnsi="宋体" w:cs="宋体"/>
                <w:sz w:val="24"/>
                <w:szCs w:val="24"/>
              </w:rPr>
            </w:pPr>
            <w:r>
              <w:rPr>
                <w:rFonts w:hint="eastAsia" w:ascii="宋体" w:hAnsi="宋体" w:cs="宋体"/>
                <w:sz w:val="24"/>
                <w:szCs w:val="24"/>
              </w:rPr>
              <w:t>5、检查主电源开关应无过热现象，接线应牢固：</w:t>
            </w:r>
          </w:p>
        </w:tc>
        <w:tc>
          <w:tcPr>
            <w:tcW w:w="513" w:type="pct"/>
            <w:noWrap/>
            <w:vAlign w:val="center"/>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13" w:type="pct"/>
            <w:vMerge w:val="restart"/>
            <w:noWrap/>
            <w:vAlign w:val="center"/>
          </w:tcPr>
          <w:p>
            <w:pPr>
              <w:spacing w:line="420" w:lineRule="exact"/>
              <w:jc w:val="center"/>
              <w:rPr>
                <w:rFonts w:ascii="宋体" w:hAnsi="宋体" w:cs="宋体"/>
                <w:sz w:val="24"/>
                <w:szCs w:val="24"/>
              </w:rPr>
            </w:pPr>
            <w:r>
              <w:rPr>
                <w:rFonts w:hint="eastAsia" w:ascii="宋体" w:hAnsi="宋体" w:cs="宋体"/>
                <w:sz w:val="24"/>
                <w:szCs w:val="24"/>
              </w:rPr>
              <w:t>井</w:t>
            </w:r>
          </w:p>
          <w:p>
            <w:pPr>
              <w:spacing w:line="420" w:lineRule="exact"/>
              <w:jc w:val="center"/>
              <w:rPr>
                <w:rFonts w:ascii="宋体" w:hAnsi="宋体" w:cs="宋体"/>
                <w:sz w:val="24"/>
                <w:szCs w:val="24"/>
              </w:rPr>
            </w:pPr>
            <w:r>
              <w:rPr>
                <w:rFonts w:hint="eastAsia" w:ascii="宋体" w:hAnsi="宋体" w:cs="宋体"/>
                <w:sz w:val="24"/>
                <w:szCs w:val="24"/>
              </w:rPr>
              <w:t>道</w:t>
            </w:r>
          </w:p>
        </w:tc>
        <w:tc>
          <w:tcPr>
            <w:tcW w:w="4073" w:type="pct"/>
            <w:noWrap/>
            <w:vAlign w:val="center"/>
          </w:tcPr>
          <w:p>
            <w:pPr>
              <w:spacing w:line="420" w:lineRule="exact"/>
              <w:rPr>
                <w:rFonts w:ascii="宋体" w:hAnsi="宋体" w:cs="宋体"/>
                <w:sz w:val="24"/>
                <w:szCs w:val="24"/>
              </w:rPr>
            </w:pPr>
            <w:r>
              <w:rPr>
                <w:rFonts w:hint="eastAsia" w:ascii="宋体" w:hAnsi="宋体" w:cs="宋体"/>
                <w:sz w:val="24"/>
                <w:szCs w:val="24"/>
              </w:rPr>
              <w:t>1、检查补偿链的转动情况：</w:t>
            </w:r>
          </w:p>
        </w:tc>
        <w:tc>
          <w:tcPr>
            <w:tcW w:w="513" w:type="pct"/>
            <w:noWrap/>
            <w:vAlign w:val="center"/>
          </w:tcPr>
          <w:p>
            <w:pPr>
              <w:spacing w:line="420" w:lineRule="exact"/>
              <w:ind w:firstLine="480" w:firstLineChars="200"/>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13" w:type="pct"/>
            <w:vMerge w:val="continue"/>
            <w:noWrap/>
            <w:vAlign w:val="center"/>
          </w:tcPr>
          <w:p>
            <w:pPr>
              <w:spacing w:line="420" w:lineRule="exact"/>
              <w:ind w:firstLine="480" w:firstLineChars="200"/>
              <w:jc w:val="center"/>
              <w:rPr>
                <w:rFonts w:ascii="宋体" w:hAnsi="宋体" w:cs="宋体"/>
                <w:sz w:val="24"/>
                <w:szCs w:val="24"/>
              </w:rPr>
            </w:pPr>
          </w:p>
        </w:tc>
        <w:tc>
          <w:tcPr>
            <w:tcW w:w="4073" w:type="pct"/>
            <w:noWrap/>
            <w:vAlign w:val="center"/>
          </w:tcPr>
          <w:p>
            <w:pPr>
              <w:spacing w:line="420" w:lineRule="exact"/>
              <w:rPr>
                <w:rFonts w:ascii="宋体" w:hAnsi="宋体" w:cs="宋体"/>
                <w:sz w:val="24"/>
                <w:szCs w:val="24"/>
              </w:rPr>
            </w:pPr>
            <w:r>
              <w:rPr>
                <w:rFonts w:hint="eastAsia" w:ascii="宋体" w:hAnsi="宋体" w:cs="宋体"/>
                <w:sz w:val="24"/>
                <w:szCs w:val="24"/>
              </w:rPr>
              <w:t>2、检查光电开关与遮磁铁板的间隙：</w:t>
            </w:r>
          </w:p>
        </w:tc>
        <w:tc>
          <w:tcPr>
            <w:tcW w:w="513" w:type="pct"/>
            <w:noWrap/>
            <w:vAlign w:val="center"/>
          </w:tcPr>
          <w:p>
            <w:pPr>
              <w:spacing w:line="420" w:lineRule="exact"/>
              <w:ind w:firstLine="480" w:firstLineChars="200"/>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13" w:type="pct"/>
            <w:vMerge w:val="continue"/>
            <w:noWrap/>
            <w:vAlign w:val="center"/>
          </w:tcPr>
          <w:p>
            <w:pPr>
              <w:spacing w:line="420" w:lineRule="exact"/>
              <w:ind w:firstLine="480" w:firstLineChars="200"/>
              <w:jc w:val="center"/>
              <w:rPr>
                <w:rFonts w:ascii="宋体" w:hAnsi="宋体" w:cs="宋体"/>
                <w:sz w:val="24"/>
                <w:szCs w:val="24"/>
              </w:rPr>
            </w:pPr>
          </w:p>
        </w:tc>
        <w:tc>
          <w:tcPr>
            <w:tcW w:w="4073" w:type="pct"/>
            <w:noWrap/>
            <w:vAlign w:val="center"/>
          </w:tcPr>
          <w:p>
            <w:pPr>
              <w:spacing w:line="420" w:lineRule="exact"/>
              <w:rPr>
                <w:rFonts w:ascii="宋体" w:hAnsi="宋体" w:cs="宋体"/>
                <w:sz w:val="24"/>
                <w:szCs w:val="24"/>
              </w:rPr>
            </w:pPr>
            <w:r>
              <w:rPr>
                <w:rFonts w:hint="eastAsia" w:ascii="宋体" w:hAnsi="宋体" w:cs="宋体"/>
                <w:sz w:val="24"/>
                <w:szCs w:val="24"/>
              </w:rPr>
              <w:t>3、检查各层按钮及层楼显示应清晰准确：</w:t>
            </w:r>
          </w:p>
        </w:tc>
        <w:tc>
          <w:tcPr>
            <w:tcW w:w="513" w:type="pct"/>
            <w:noWrap/>
            <w:vAlign w:val="center"/>
          </w:tcPr>
          <w:p>
            <w:pPr>
              <w:spacing w:line="420" w:lineRule="exact"/>
              <w:ind w:firstLine="480" w:firstLineChars="200"/>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13" w:type="pct"/>
            <w:vMerge w:val="continue"/>
            <w:noWrap/>
            <w:vAlign w:val="center"/>
          </w:tcPr>
          <w:p>
            <w:pPr>
              <w:spacing w:line="420" w:lineRule="exact"/>
              <w:ind w:firstLine="480" w:firstLineChars="200"/>
              <w:jc w:val="center"/>
              <w:rPr>
                <w:rFonts w:ascii="宋体" w:hAnsi="宋体" w:cs="宋体"/>
                <w:sz w:val="24"/>
                <w:szCs w:val="24"/>
              </w:rPr>
            </w:pPr>
          </w:p>
        </w:tc>
        <w:tc>
          <w:tcPr>
            <w:tcW w:w="4073" w:type="pct"/>
            <w:noWrap/>
            <w:vAlign w:val="center"/>
          </w:tcPr>
          <w:p>
            <w:pPr>
              <w:spacing w:line="420" w:lineRule="exact"/>
              <w:rPr>
                <w:rFonts w:ascii="宋体" w:hAnsi="宋体" w:cs="宋体"/>
                <w:sz w:val="24"/>
                <w:szCs w:val="24"/>
              </w:rPr>
            </w:pPr>
            <w:r>
              <w:rPr>
                <w:rFonts w:hint="eastAsia" w:ascii="宋体" w:hAnsi="宋体" w:cs="宋体"/>
                <w:sz w:val="24"/>
                <w:szCs w:val="24"/>
              </w:rPr>
              <w:t>4、检查限位、极限开关及各安全开关的状态：</w:t>
            </w:r>
          </w:p>
        </w:tc>
        <w:tc>
          <w:tcPr>
            <w:tcW w:w="513" w:type="pct"/>
            <w:noWrap/>
            <w:vAlign w:val="center"/>
          </w:tcPr>
          <w:p>
            <w:pPr>
              <w:spacing w:line="420" w:lineRule="exact"/>
              <w:ind w:firstLine="480" w:firstLineChars="200"/>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13" w:type="pct"/>
            <w:vMerge w:val="continue"/>
            <w:noWrap/>
            <w:vAlign w:val="center"/>
          </w:tcPr>
          <w:p>
            <w:pPr>
              <w:spacing w:line="420" w:lineRule="exact"/>
              <w:ind w:firstLine="480" w:firstLineChars="200"/>
              <w:jc w:val="center"/>
              <w:rPr>
                <w:rFonts w:ascii="宋体" w:hAnsi="宋体" w:cs="宋体"/>
                <w:sz w:val="24"/>
                <w:szCs w:val="24"/>
              </w:rPr>
            </w:pPr>
          </w:p>
        </w:tc>
        <w:tc>
          <w:tcPr>
            <w:tcW w:w="4073" w:type="pct"/>
            <w:noWrap/>
            <w:vAlign w:val="center"/>
          </w:tcPr>
          <w:p>
            <w:pPr>
              <w:spacing w:line="420" w:lineRule="exact"/>
              <w:rPr>
                <w:rFonts w:ascii="宋体" w:hAnsi="宋体" w:cs="宋体"/>
                <w:sz w:val="24"/>
                <w:szCs w:val="24"/>
              </w:rPr>
            </w:pPr>
            <w:r>
              <w:rPr>
                <w:rFonts w:hint="eastAsia" w:ascii="宋体" w:hAnsi="宋体" w:cs="宋体"/>
                <w:sz w:val="24"/>
                <w:szCs w:val="24"/>
              </w:rPr>
              <w:t>5、检查各层厅门的开关情况：</w:t>
            </w:r>
          </w:p>
        </w:tc>
        <w:tc>
          <w:tcPr>
            <w:tcW w:w="513" w:type="pct"/>
            <w:noWrap/>
            <w:vAlign w:val="center"/>
          </w:tcPr>
          <w:p>
            <w:pPr>
              <w:spacing w:line="420" w:lineRule="exact"/>
              <w:ind w:firstLine="480" w:firstLineChars="200"/>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13" w:type="pct"/>
            <w:vMerge w:val="continue"/>
            <w:noWrap/>
            <w:vAlign w:val="center"/>
          </w:tcPr>
          <w:p>
            <w:pPr>
              <w:spacing w:line="420" w:lineRule="exact"/>
              <w:ind w:firstLine="480" w:firstLineChars="200"/>
              <w:jc w:val="center"/>
              <w:rPr>
                <w:rFonts w:ascii="宋体" w:hAnsi="宋体" w:cs="宋体"/>
                <w:sz w:val="24"/>
                <w:szCs w:val="24"/>
                <w:highlight w:val="yellow"/>
              </w:rPr>
            </w:pPr>
          </w:p>
        </w:tc>
        <w:tc>
          <w:tcPr>
            <w:tcW w:w="4073" w:type="pct"/>
            <w:noWrap/>
            <w:vAlign w:val="center"/>
          </w:tcPr>
          <w:p>
            <w:pPr>
              <w:spacing w:line="420" w:lineRule="exact"/>
              <w:rPr>
                <w:rFonts w:ascii="宋体" w:hAnsi="宋体" w:cs="宋体"/>
                <w:sz w:val="24"/>
                <w:szCs w:val="24"/>
                <w:highlight w:val="yellow"/>
              </w:rPr>
            </w:pPr>
            <w:r>
              <w:rPr>
                <w:rFonts w:hint="eastAsia" w:ascii="宋体" w:hAnsi="宋体" w:cs="宋体"/>
                <w:sz w:val="24"/>
                <w:szCs w:val="24"/>
              </w:rPr>
              <w:t>6、检查导轨加油盒油位、毛毡：</w:t>
            </w:r>
          </w:p>
        </w:tc>
        <w:tc>
          <w:tcPr>
            <w:tcW w:w="513" w:type="pct"/>
            <w:noWrap/>
            <w:vAlign w:val="center"/>
          </w:tcPr>
          <w:p>
            <w:pPr>
              <w:spacing w:line="420" w:lineRule="exact"/>
              <w:ind w:firstLine="480" w:firstLineChars="200"/>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13" w:type="pct"/>
            <w:vMerge w:val="restart"/>
            <w:noWrap/>
            <w:vAlign w:val="center"/>
          </w:tcPr>
          <w:p>
            <w:pPr>
              <w:spacing w:line="420" w:lineRule="exact"/>
              <w:jc w:val="center"/>
              <w:rPr>
                <w:rFonts w:ascii="宋体" w:hAnsi="宋体" w:cs="宋体"/>
                <w:sz w:val="24"/>
                <w:szCs w:val="24"/>
              </w:rPr>
            </w:pPr>
            <w:r>
              <w:rPr>
                <w:rFonts w:hint="eastAsia" w:ascii="宋体" w:hAnsi="宋体" w:cs="宋体"/>
                <w:sz w:val="24"/>
                <w:szCs w:val="24"/>
              </w:rPr>
              <w:t>轿</w:t>
            </w:r>
          </w:p>
          <w:p>
            <w:pPr>
              <w:spacing w:line="420" w:lineRule="exact"/>
              <w:jc w:val="center"/>
              <w:rPr>
                <w:rFonts w:ascii="宋体" w:hAnsi="宋体" w:cs="宋体"/>
                <w:sz w:val="24"/>
                <w:szCs w:val="24"/>
                <w:highlight w:val="yellow"/>
              </w:rPr>
            </w:pPr>
            <w:r>
              <w:rPr>
                <w:rFonts w:hint="eastAsia" w:ascii="宋体" w:hAnsi="宋体" w:cs="宋体"/>
                <w:sz w:val="24"/>
                <w:szCs w:val="24"/>
              </w:rPr>
              <w:t>厢</w:t>
            </w:r>
          </w:p>
        </w:tc>
        <w:tc>
          <w:tcPr>
            <w:tcW w:w="4073" w:type="pct"/>
            <w:noWrap/>
            <w:vAlign w:val="center"/>
          </w:tcPr>
          <w:p>
            <w:pPr>
              <w:spacing w:line="420" w:lineRule="exact"/>
              <w:rPr>
                <w:rFonts w:ascii="宋体" w:hAnsi="宋体" w:cs="宋体"/>
                <w:sz w:val="24"/>
                <w:szCs w:val="24"/>
              </w:rPr>
            </w:pPr>
            <w:r>
              <w:rPr>
                <w:rFonts w:hint="eastAsia" w:ascii="宋体" w:hAnsi="宋体" w:cs="宋体"/>
                <w:sz w:val="24"/>
                <w:szCs w:val="24"/>
              </w:rPr>
              <w:t>1、检查安全触板、光电、光幕的动作应灵活可靠：</w:t>
            </w:r>
          </w:p>
        </w:tc>
        <w:tc>
          <w:tcPr>
            <w:tcW w:w="513" w:type="pct"/>
            <w:noWrap/>
            <w:vAlign w:val="center"/>
          </w:tcPr>
          <w:p>
            <w:pPr>
              <w:spacing w:line="420" w:lineRule="exact"/>
              <w:ind w:firstLine="480" w:firstLineChars="200"/>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13" w:type="pct"/>
            <w:vMerge w:val="continue"/>
            <w:noWrap/>
            <w:vAlign w:val="center"/>
          </w:tcPr>
          <w:p>
            <w:pPr>
              <w:spacing w:line="420" w:lineRule="exact"/>
              <w:ind w:firstLine="480" w:firstLineChars="200"/>
              <w:rPr>
                <w:rFonts w:ascii="宋体" w:hAnsi="宋体" w:cs="宋体"/>
                <w:sz w:val="24"/>
                <w:szCs w:val="24"/>
                <w:highlight w:val="yellow"/>
              </w:rPr>
            </w:pPr>
          </w:p>
        </w:tc>
        <w:tc>
          <w:tcPr>
            <w:tcW w:w="4073" w:type="pct"/>
            <w:noWrap/>
            <w:vAlign w:val="center"/>
          </w:tcPr>
          <w:p>
            <w:pPr>
              <w:spacing w:line="420" w:lineRule="exact"/>
              <w:rPr>
                <w:rFonts w:ascii="宋体" w:hAnsi="宋体" w:cs="宋体"/>
                <w:sz w:val="24"/>
                <w:szCs w:val="24"/>
              </w:rPr>
            </w:pPr>
            <w:r>
              <w:rPr>
                <w:rFonts w:hint="eastAsia" w:ascii="宋体" w:hAnsi="宋体" w:cs="宋体"/>
                <w:sz w:val="24"/>
                <w:szCs w:val="24"/>
              </w:rPr>
              <w:t>2、检查轿内按钮和层楼显示应清晰准确：</w:t>
            </w:r>
          </w:p>
        </w:tc>
        <w:tc>
          <w:tcPr>
            <w:tcW w:w="513" w:type="pct"/>
            <w:noWrap/>
            <w:vAlign w:val="center"/>
          </w:tcPr>
          <w:p>
            <w:pPr>
              <w:spacing w:line="420" w:lineRule="exact"/>
              <w:ind w:firstLine="480" w:firstLineChars="200"/>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13" w:type="pct"/>
            <w:vMerge w:val="continue"/>
            <w:noWrap/>
            <w:vAlign w:val="center"/>
          </w:tcPr>
          <w:p>
            <w:pPr>
              <w:spacing w:line="420" w:lineRule="exact"/>
              <w:ind w:firstLine="480" w:firstLineChars="200"/>
              <w:rPr>
                <w:rFonts w:ascii="宋体" w:hAnsi="宋体" w:cs="宋体"/>
                <w:sz w:val="24"/>
                <w:szCs w:val="24"/>
                <w:highlight w:val="yellow"/>
              </w:rPr>
            </w:pPr>
          </w:p>
        </w:tc>
        <w:tc>
          <w:tcPr>
            <w:tcW w:w="4073" w:type="pct"/>
            <w:noWrap/>
            <w:vAlign w:val="center"/>
          </w:tcPr>
          <w:p>
            <w:pPr>
              <w:spacing w:line="420" w:lineRule="exact"/>
              <w:rPr>
                <w:rFonts w:ascii="宋体" w:hAnsi="宋体" w:cs="宋体"/>
                <w:sz w:val="24"/>
                <w:szCs w:val="24"/>
              </w:rPr>
            </w:pPr>
            <w:r>
              <w:rPr>
                <w:rFonts w:hint="eastAsia" w:ascii="宋体" w:hAnsi="宋体" w:cs="宋体"/>
                <w:sz w:val="24"/>
                <w:szCs w:val="24"/>
              </w:rPr>
              <w:t>3、检查轿内照明，风扇及整个轿厢的清洁状况：</w:t>
            </w:r>
          </w:p>
        </w:tc>
        <w:tc>
          <w:tcPr>
            <w:tcW w:w="513" w:type="pct"/>
            <w:noWrap/>
            <w:vAlign w:val="center"/>
          </w:tcPr>
          <w:p>
            <w:pPr>
              <w:spacing w:line="420" w:lineRule="exact"/>
              <w:ind w:firstLine="480" w:firstLineChars="200"/>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13" w:type="pct"/>
            <w:vMerge w:val="continue"/>
            <w:noWrap/>
            <w:vAlign w:val="center"/>
          </w:tcPr>
          <w:p>
            <w:pPr>
              <w:spacing w:line="420" w:lineRule="exact"/>
              <w:ind w:firstLine="480" w:firstLineChars="200"/>
              <w:rPr>
                <w:rFonts w:ascii="宋体" w:hAnsi="宋体" w:cs="宋体"/>
                <w:sz w:val="24"/>
                <w:szCs w:val="24"/>
                <w:highlight w:val="yellow"/>
              </w:rPr>
            </w:pPr>
          </w:p>
        </w:tc>
        <w:tc>
          <w:tcPr>
            <w:tcW w:w="4073" w:type="pct"/>
            <w:noWrap/>
            <w:vAlign w:val="center"/>
          </w:tcPr>
          <w:p>
            <w:pPr>
              <w:spacing w:line="420" w:lineRule="exact"/>
              <w:rPr>
                <w:rFonts w:ascii="宋体" w:hAnsi="宋体" w:cs="宋体"/>
                <w:sz w:val="24"/>
                <w:szCs w:val="24"/>
              </w:rPr>
            </w:pPr>
            <w:r>
              <w:rPr>
                <w:rFonts w:hint="eastAsia" w:ascii="宋体" w:hAnsi="宋体" w:cs="宋体"/>
                <w:sz w:val="24"/>
                <w:szCs w:val="24"/>
              </w:rPr>
              <w:t>4、检查开关门限位开关是否准确有效：</w:t>
            </w:r>
          </w:p>
        </w:tc>
        <w:tc>
          <w:tcPr>
            <w:tcW w:w="513" w:type="pct"/>
            <w:noWrap/>
            <w:vAlign w:val="center"/>
          </w:tcPr>
          <w:p>
            <w:pPr>
              <w:spacing w:line="420" w:lineRule="exact"/>
              <w:ind w:firstLine="480" w:firstLineChars="200"/>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13" w:type="pct"/>
            <w:vMerge w:val="continue"/>
            <w:noWrap/>
            <w:vAlign w:val="center"/>
          </w:tcPr>
          <w:p>
            <w:pPr>
              <w:spacing w:line="420" w:lineRule="exact"/>
              <w:ind w:firstLine="480" w:firstLineChars="200"/>
              <w:rPr>
                <w:rFonts w:ascii="宋体" w:hAnsi="宋体" w:cs="宋体"/>
                <w:sz w:val="24"/>
                <w:szCs w:val="24"/>
                <w:highlight w:val="yellow"/>
              </w:rPr>
            </w:pPr>
          </w:p>
        </w:tc>
        <w:tc>
          <w:tcPr>
            <w:tcW w:w="4073" w:type="pct"/>
            <w:noWrap/>
            <w:vAlign w:val="center"/>
          </w:tcPr>
          <w:p>
            <w:pPr>
              <w:spacing w:line="420" w:lineRule="exact"/>
              <w:rPr>
                <w:rFonts w:ascii="宋体" w:hAnsi="宋体" w:cs="宋体"/>
                <w:sz w:val="24"/>
                <w:szCs w:val="24"/>
              </w:rPr>
            </w:pPr>
            <w:r>
              <w:rPr>
                <w:rFonts w:hint="eastAsia" w:ascii="宋体" w:hAnsi="宋体" w:cs="宋体"/>
                <w:sz w:val="24"/>
                <w:szCs w:val="24"/>
              </w:rPr>
              <w:t>5、检查各安全开关的工作情况：</w:t>
            </w:r>
          </w:p>
        </w:tc>
        <w:tc>
          <w:tcPr>
            <w:tcW w:w="513" w:type="pct"/>
            <w:noWrap/>
            <w:vAlign w:val="center"/>
          </w:tcPr>
          <w:p>
            <w:pPr>
              <w:spacing w:line="420" w:lineRule="exact"/>
              <w:ind w:firstLine="480" w:firstLineChars="200"/>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13" w:type="pct"/>
            <w:vMerge w:val="continue"/>
            <w:noWrap/>
            <w:vAlign w:val="center"/>
          </w:tcPr>
          <w:p>
            <w:pPr>
              <w:spacing w:line="420" w:lineRule="exact"/>
              <w:ind w:firstLine="480" w:firstLineChars="200"/>
              <w:rPr>
                <w:rFonts w:ascii="宋体" w:hAnsi="宋体" w:cs="宋体"/>
                <w:sz w:val="24"/>
                <w:szCs w:val="24"/>
                <w:highlight w:val="yellow"/>
              </w:rPr>
            </w:pPr>
          </w:p>
        </w:tc>
        <w:tc>
          <w:tcPr>
            <w:tcW w:w="4073" w:type="pct"/>
            <w:noWrap/>
            <w:vAlign w:val="center"/>
          </w:tcPr>
          <w:p>
            <w:pPr>
              <w:spacing w:line="420" w:lineRule="exact"/>
              <w:rPr>
                <w:rFonts w:ascii="宋体" w:hAnsi="宋体" w:cs="宋体"/>
                <w:sz w:val="24"/>
                <w:szCs w:val="24"/>
              </w:rPr>
            </w:pPr>
            <w:r>
              <w:rPr>
                <w:rFonts w:hint="eastAsia" w:ascii="宋体" w:hAnsi="宋体" w:cs="宋体"/>
                <w:sz w:val="24"/>
                <w:szCs w:val="24"/>
              </w:rPr>
              <w:t>6、电梯在运行中有无异常声响及刮、蹭现象：</w:t>
            </w:r>
          </w:p>
        </w:tc>
        <w:tc>
          <w:tcPr>
            <w:tcW w:w="513" w:type="pct"/>
            <w:noWrap/>
            <w:vAlign w:val="center"/>
          </w:tcPr>
          <w:p>
            <w:pPr>
              <w:spacing w:line="420" w:lineRule="exact"/>
              <w:ind w:firstLine="480" w:firstLineChars="200"/>
              <w:rPr>
                <w:rFonts w:ascii="宋体" w:hAnsi="宋体" w:cs="宋体"/>
                <w:sz w:val="24"/>
                <w:szCs w:val="24"/>
                <w:highlight w:val="yellow"/>
              </w:rPr>
            </w:pPr>
          </w:p>
        </w:tc>
      </w:tr>
    </w:tbl>
    <w:p>
      <w:pPr>
        <w:pStyle w:val="75"/>
        <w:rPr>
          <w:rFonts w:hAnsi="宋体"/>
          <w:b/>
          <w:bCs/>
          <w:color w:val="000000" w:themeColor="text1"/>
          <w:highlight w:val="yellow"/>
          <w14:textFill>
            <w14:solidFill>
              <w14:schemeClr w14:val="tx1"/>
            </w14:solidFill>
          </w14:textFill>
        </w:rPr>
      </w:pPr>
    </w:p>
    <w:p>
      <w:pPr>
        <w:pStyle w:val="75"/>
        <w:rPr>
          <w:rFonts w:hAnsi="宋体"/>
          <w:b/>
          <w:bCs/>
          <w:color w:val="000000" w:themeColor="text1"/>
          <w:highlight w:val="yellow"/>
          <w14:textFill>
            <w14:solidFill>
              <w14:schemeClr w14:val="tx1"/>
            </w14:solidFill>
          </w14:textFill>
        </w:rPr>
      </w:pPr>
    </w:p>
    <w:p>
      <w:pPr>
        <w:pStyle w:val="75"/>
        <w:rPr>
          <w:rFonts w:hAnsi="宋体"/>
          <w:b/>
          <w:bCs/>
          <w:color w:val="000000" w:themeColor="text1"/>
          <w:highlight w:val="yellow"/>
          <w14:textFill>
            <w14:solidFill>
              <w14:schemeClr w14:val="tx1"/>
            </w14:solidFill>
          </w14:textFill>
        </w:rPr>
      </w:pPr>
    </w:p>
    <w:p>
      <w:pPr>
        <w:pStyle w:val="75"/>
        <w:rPr>
          <w:rFonts w:hAnsi="宋体"/>
          <w:b/>
          <w:bCs/>
          <w:color w:val="000000" w:themeColor="text1"/>
          <w:highlight w:val="yellow"/>
          <w14:textFill>
            <w14:solidFill>
              <w14:schemeClr w14:val="tx1"/>
            </w14:solidFill>
          </w14:textFill>
        </w:rPr>
      </w:pPr>
    </w:p>
    <w:p>
      <w:pPr>
        <w:pStyle w:val="75"/>
        <w:rPr>
          <w:rFonts w:hAnsi="宋体"/>
          <w:b/>
          <w:bCs/>
          <w:color w:val="000000" w:themeColor="text1"/>
          <w:highlight w:val="yellow"/>
          <w14:textFill>
            <w14:solidFill>
              <w14:schemeClr w14:val="tx1"/>
            </w14:solidFill>
          </w14:textFill>
        </w:rPr>
      </w:pPr>
    </w:p>
    <w:p>
      <w:pPr>
        <w:pStyle w:val="75"/>
        <w:rPr>
          <w:rFonts w:hAnsi="宋体"/>
          <w:b/>
          <w:bCs/>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（二）半月保养项目内容及要求</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7160"/>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53" w:type="pct"/>
            <w:noWrap/>
            <w:vAlign w:val="center"/>
          </w:tcPr>
          <w:p>
            <w:pPr>
              <w:spacing w:line="420" w:lineRule="exact"/>
              <w:jc w:val="center"/>
              <w:rPr>
                <w:rFonts w:ascii="宋体" w:hAnsi="宋体" w:cs="宋体"/>
                <w:b/>
                <w:sz w:val="24"/>
                <w:szCs w:val="24"/>
              </w:rPr>
            </w:pPr>
            <w:r>
              <w:rPr>
                <w:rFonts w:hint="eastAsia" w:ascii="宋体" w:hAnsi="宋体" w:cs="宋体"/>
                <w:b/>
                <w:sz w:val="24"/>
                <w:szCs w:val="24"/>
              </w:rPr>
              <w:t>序号</w:t>
            </w:r>
          </w:p>
        </w:tc>
        <w:tc>
          <w:tcPr>
            <w:tcW w:w="4032" w:type="pct"/>
            <w:noWrap/>
            <w:vAlign w:val="center"/>
          </w:tcPr>
          <w:p>
            <w:pPr>
              <w:spacing w:line="420" w:lineRule="exact"/>
              <w:jc w:val="center"/>
              <w:rPr>
                <w:rFonts w:ascii="宋体" w:hAnsi="宋体" w:cs="宋体"/>
                <w:b/>
                <w:sz w:val="24"/>
                <w:szCs w:val="24"/>
              </w:rPr>
            </w:pPr>
            <w:r>
              <w:rPr>
                <w:rFonts w:hint="eastAsia" w:ascii="宋体" w:hAnsi="宋体" w:cs="宋体"/>
                <w:b/>
                <w:sz w:val="24"/>
                <w:szCs w:val="24"/>
              </w:rPr>
              <w:t>内容及要求</w:t>
            </w:r>
          </w:p>
        </w:tc>
        <w:tc>
          <w:tcPr>
            <w:tcW w:w="514" w:type="pct"/>
            <w:noWrap/>
            <w:vAlign w:val="center"/>
          </w:tcPr>
          <w:p>
            <w:pPr>
              <w:spacing w:line="420" w:lineRule="exact"/>
              <w:jc w:val="center"/>
              <w:rPr>
                <w:rFonts w:ascii="宋体" w:hAnsi="宋体" w:cs="宋体"/>
                <w:b/>
                <w:sz w:val="24"/>
                <w:szCs w:val="24"/>
              </w:rPr>
            </w:pPr>
            <w:r>
              <w:rPr>
                <w:rFonts w:hint="eastAsia" w:ascii="宋体" w:hAnsi="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3" w:type="pct"/>
            <w:noWrap/>
            <w:vAlign w:val="center"/>
          </w:tcPr>
          <w:p>
            <w:pPr>
              <w:spacing w:line="420" w:lineRule="exact"/>
              <w:jc w:val="center"/>
              <w:rPr>
                <w:rFonts w:ascii="宋体" w:hAnsi="宋体" w:cs="宋体"/>
                <w:sz w:val="24"/>
                <w:szCs w:val="24"/>
              </w:rPr>
            </w:pPr>
            <w:r>
              <w:rPr>
                <w:rFonts w:hint="eastAsia" w:ascii="宋体" w:hAnsi="宋体" w:cs="宋体"/>
                <w:sz w:val="24"/>
                <w:szCs w:val="24"/>
              </w:rPr>
              <w:t>1</w:t>
            </w:r>
          </w:p>
        </w:tc>
        <w:tc>
          <w:tcPr>
            <w:tcW w:w="4032" w:type="pct"/>
            <w:noWrap/>
          </w:tcPr>
          <w:p>
            <w:pPr>
              <w:spacing w:line="420" w:lineRule="exact"/>
              <w:rPr>
                <w:rFonts w:ascii="宋体" w:hAnsi="宋体" w:cs="宋体"/>
                <w:sz w:val="24"/>
                <w:szCs w:val="24"/>
              </w:rPr>
            </w:pPr>
            <w:r>
              <w:rPr>
                <w:rFonts w:hint="eastAsia" w:ascii="宋体" w:hAnsi="宋体" w:cs="宋体"/>
                <w:sz w:val="24"/>
                <w:szCs w:val="24"/>
              </w:rPr>
              <w:t>机房、滑轮间、轿顶、底坑应清洁</w:t>
            </w:r>
          </w:p>
        </w:tc>
        <w:tc>
          <w:tcPr>
            <w:tcW w:w="514" w:type="pct"/>
            <w:noWrap/>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3" w:type="pct"/>
            <w:noWrap/>
            <w:vAlign w:val="center"/>
          </w:tcPr>
          <w:p>
            <w:pPr>
              <w:spacing w:line="420" w:lineRule="exact"/>
              <w:jc w:val="center"/>
              <w:rPr>
                <w:rFonts w:ascii="宋体" w:hAnsi="宋体" w:cs="宋体"/>
                <w:sz w:val="24"/>
                <w:szCs w:val="24"/>
              </w:rPr>
            </w:pPr>
            <w:r>
              <w:rPr>
                <w:rFonts w:hint="eastAsia" w:ascii="宋体" w:hAnsi="宋体" w:cs="宋体"/>
                <w:sz w:val="24"/>
                <w:szCs w:val="24"/>
              </w:rPr>
              <w:t>2</w:t>
            </w:r>
          </w:p>
        </w:tc>
        <w:tc>
          <w:tcPr>
            <w:tcW w:w="4032" w:type="pct"/>
            <w:noWrap/>
          </w:tcPr>
          <w:p>
            <w:pPr>
              <w:spacing w:line="420" w:lineRule="exact"/>
              <w:rPr>
                <w:rFonts w:ascii="宋体" w:hAnsi="宋体" w:cs="宋体"/>
                <w:sz w:val="24"/>
                <w:szCs w:val="24"/>
              </w:rPr>
            </w:pPr>
            <w:r>
              <w:rPr>
                <w:rFonts w:hint="eastAsia" w:ascii="宋体" w:hAnsi="宋体" w:cs="宋体"/>
                <w:sz w:val="24"/>
                <w:szCs w:val="24"/>
              </w:rPr>
              <w:t>警铃、通讯系统、应可靠有效</w:t>
            </w:r>
          </w:p>
        </w:tc>
        <w:tc>
          <w:tcPr>
            <w:tcW w:w="514" w:type="pct"/>
            <w:noWrap/>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3" w:type="pct"/>
            <w:noWrap/>
            <w:vAlign w:val="center"/>
          </w:tcPr>
          <w:p>
            <w:pPr>
              <w:spacing w:line="420" w:lineRule="exact"/>
              <w:jc w:val="center"/>
              <w:rPr>
                <w:rFonts w:ascii="宋体" w:hAnsi="宋体" w:cs="宋体"/>
                <w:sz w:val="24"/>
                <w:szCs w:val="24"/>
              </w:rPr>
            </w:pPr>
            <w:r>
              <w:rPr>
                <w:rFonts w:hint="eastAsia" w:ascii="宋体" w:hAnsi="宋体" w:cs="宋体"/>
                <w:sz w:val="24"/>
                <w:szCs w:val="24"/>
              </w:rPr>
              <w:t>3</w:t>
            </w:r>
          </w:p>
        </w:tc>
        <w:tc>
          <w:tcPr>
            <w:tcW w:w="4032" w:type="pct"/>
            <w:noWrap/>
          </w:tcPr>
          <w:p>
            <w:pPr>
              <w:spacing w:line="420" w:lineRule="exact"/>
              <w:rPr>
                <w:rFonts w:ascii="宋体" w:hAnsi="宋体" w:cs="宋体"/>
                <w:sz w:val="24"/>
                <w:szCs w:val="24"/>
              </w:rPr>
            </w:pPr>
            <w:r>
              <w:rPr>
                <w:rFonts w:hint="eastAsia" w:ascii="宋体" w:hAnsi="宋体" w:cs="宋体"/>
                <w:sz w:val="24"/>
                <w:szCs w:val="24"/>
              </w:rPr>
              <w:t>轿厢照明应齐全，风扇工作应正常</w:t>
            </w:r>
          </w:p>
        </w:tc>
        <w:tc>
          <w:tcPr>
            <w:tcW w:w="514" w:type="pct"/>
            <w:noWrap/>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3" w:type="pct"/>
            <w:noWrap/>
            <w:vAlign w:val="center"/>
          </w:tcPr>
          <w:p>
            <w:pPr>
              <w:spacing w:line="420" w:lineRule="exact"/>
              <w:jc w:val="center"/>
              <w:rPr>
                <w:rFonts w:ascii="宋体" w:hAnsi="宋体" w:cs="宋体"/>
                <w:sz w:val="24"/>
                <w:szCs w:val="24"/>
              </w:rPr>
            </w:pPr>
            <w:r>
              <w:rPr>
                <w:rFonts w:hint="eastAsia" w:ascii="宋体" w:hAnsi="宋体" w:cs="宋体"/>
                <w:sz w:val="24"/>
                <w:szCs w:val="24"/>
              </w:rPr>
              <w:t>4</w:t>
            </w:r>
          </w:p>
        </w:tc>
        <w:tc>
          <w:tcPr>
            <w:tcW w:w="4032" w:type="pct"/>
            <w:noWrap/>
          </w:tcPr>
          <w:p>
            <w:pPr>
              <w:spacing w:line="420" w:lineRule="exact"/>
              <w:rPr>
                <w:rFonts w:ascii="宋体" w:hAnsi="宋体" w:cs="宋体"/>
                <w:sz w:val="24"/>
                <w:szCs w:val="24"/>
              </w:rPr>
            </w:pPr>
            <w:r>
              <w:rPr>
                <w:rFonts w:hint="eastAsia" w:ascii="宋体" w:hAnsi="宋体" w:cs="宋体"/>
                <w:sz w:val="24"/>
                <w:szCs w:val="24"/>
              </w:rPr>
              <w:t>轿厢内应急照明应能正常工作</w:t>
            </w:r>
          </w:p>
        </w:tc>
        <w:tc>
          <w:tcPr>
            <w:tcW w:w="514" w:type="pct"/>
            <w:noWrap/>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3" w:type="pct"/>
            <w:noWrap/>
            <w:vAlign w:val="center"/>
          </w:tcPr>
          <w:p>
            <w:pPr>
              <w:spacing w:line="420" w:lineRule="exact"/>
              <w:jc w:val="center"/>
              <w:rPr>
                <w:rFonts w:ascii="宋体" w:hAnsi="宋体" w:cs="宋体"/>
                <w:sz w:val="24"/>
                <w:szCs w:val="24"/>
              </w:rPr>
            </w:pPr>
            <w:r>
              <w:rPr>
                <w:rFonts w:hint="eastAsia" w:ascii="宋体" w:hAnsi="宋体" w:cs="宋体"/>
                <w:sz w:val="24"/>
                <w:szCs w:val="24"/>
              </w:rPr>
              <w:t>5</w:t>
            </w:r>
          </w:p>
        </w:tc>
        <w:tc>
          <w:tcPr>
            <w:tcW w:w="4032" w:type="pct"/>
            <w:noWrap/>
          </w:tcPr>
          <w:p>
            <w:pPr>
              <w:spacing w:line="420" w:lineRule="exact"/>
              <w:rPr>
                <w:rFonts w:ascii="宋体" w:hAnsi="宋体" w:cs="宋体"/>
                <w:sz w:val="24"/>
                <w:szCs w:val="24"/>
              </w:rPr>
            </w:pPr>
            <w:r>
              <w:rPr>
                <w:rFonts w:hint="eastAsia" w:ascii="宋体" w:hAnsi="宋体" w:cs="宋体"/>
                <w:sz w:val="24"/>
                <w:szCs w:val="24"/>
              </w:rPr>
              <w:t>轿厢内按钮应齐全有效</w:t>
            </w:r>
          </w:p>
        </w:tc>
        <w:tc>
          <w:tcPr>
            <w:tcW w:w="514" w:type="pct"/>
            <w:noWrap/>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3" w:type="pct"/>
            <w:noWrap/>
            <w:vAlign w:val="center"/>
          </w:tcPr>
          <w:p>
            <w:pPr>
              <w:spacing w:line="420" w:lineRule="exact"/>
              <w:jc w:val="center"/>
              <w:rPr>
                <w:rFonts w:ascii="宋体" w:hAnsi="宋体" w:cs="宋体"/>
                <w:sz w:val="24"/>
                <w:szCs w:val="24"/>
              </w:rPr>
            </w:pPr>
            <w:r>
              <w:rPr>
                <w:rFonts w:hint="eastAsia" w:ascii="宋体" w:hAnsi="宋体" w:cs="宋体"/>
                <w:sz w:val="24"/>
                <w:szCs w:val="24"/>
              </w:rPr>
              <w:t>6</w:t>
            </w:r>
          </w:p>
        </w:tc>
        <w:tc>
          <w:tcPr>
            <w:tcW w:w="4032" w:type="pct"/>
            <w:noWrap/>
          </w:tcPr>
          <w:p>
            <w:pPr>
              <w:spacing w:line="420" w:lineRule="exact"/>
              <w:rPr>
                <w:rFonts w:ascii="宋体" w:hAnsi="宋体" w:cs="宋体"/>
                <w:sz w:val="24"/>
                <w:szCs w:val="24"/>
              </w:rPr>
            </w:pPr>
            <w:r>
              <w:rPr>
                <w:rFonts w:hint="eastAsia" w:ascii="宋体" w:hAnsi="宋体" w:cs="宋体"/>
                <w:sz w:val="24"/>
                <w:szCs w:val="24"/>
              </w:rPr>
              <w:t>轿厢内显示应正确</w:t>
            </w:r>
          </w:p>
        </w:tc>
        <w:tc>
          <w:tcPr>
            <w:tcW w:w="514" w:type="pct"/>
            <w:noWrap/>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3" w:type="pct"/>
            <w:noWrap/>
            <w:vAlign w:val="center"/>
          </w:tcPr>
          <w:p>
            <w:pPr>
              <w:spacing w:line="420" w:lineRule="exact"/>
              <w:jc w:val="center"/>
              <w:rPr>
                <w:rFonts w:ascii="宋体" w:hAnsi="宋体" w:cs="宋体"/>
                <w:sz w:val="24"/>
                <w:szCs w:val="24"/>
              </w:rPr>
            </w:pPr>
            <w:r>
              <w:rPr>
                <w:rFonts w:hint="eastAsia" w:ascii="宋体" w:hAnsi="宋体" w:cs="宋体"/>
                <w:sz w:val="24"/>
                <w:szCs w:val="24"/>
              </w:rPr>
              <w:t>7</w:t>
            </w:r>
          </w:p>
        </w:tc>
        <w:tc>
          <w:tcPr>
            <w:tcW w:w="4032" w:type="pct"/>
            <w:noWrap/>
          </w:tcPr>
          <w:p>
            <w:pPr>
              <w:spacing w:line="420" w:lineRule="exact"/>
              <w:rPr>
                <w:rFonts w:ascii="宋体" w:hAnsi="宋体" w:cs="宋体"/>
                <w:sz w:val="24"/>
                <w:szCs w:val="24"/>
              </w:rPr>
            </w:pPr>
            <w:r>
              <w:rPr>
                <w:rFonts w:hint="eastAsia" w:ascii="宋体" w:hAnsi="宋体" w:cs="宋体"/>
                <w:sz w:val="24"/>
                <w:szCs w:val="24"/>
              </w:rPr>
              <w:t>候梯厅按钮应齐全有效</w:t>
            </w:r>
          </w:p>
        </w:tc>
        <w:tc>
          <w:tcPr>
            <w:tcW w:w="514" w:type="pct"/>
            <w:noWrap/>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3" w:type="pct"/>
            <w:noWrap/>
            <w:vAlign w:val="center"/>
          </w:tcPr>
          <w:p>
            <w:pPr>
              <w:spacing w:line="420" w:lineRule="exact"/>
              <w:jc w:val="center"/>
              <w:rPr>
                <w:rFonts w:ascii="宋体" w:hAnsi="宋体" w:cs="宋体"/>
                <w:sz w:val="24"/>
                <w:szCs w:val="24"/>
              </w:rPr>
            </w:pPr>
            <w:r>
              <w:rPr>
                <w:rFonts w:hint="eastAsia" w:ascii="宋体" w:hAnsi="宋体" w:cs="宋体"/>
                <w:sz w:val="24"/>
                <w:szCs w:val="24"/>
              </w:rPr>
              <w:t>8</w:t>
            </w:r>
          </w:p>
        </w:tc>
        <w:tc>
          <w:tcPr>
            <w:tcW w:w="4032" w:type="pct"/>
            <w:noWrap/>
          </w:tcPr>
          <w:p>
            <w:pPr>
              <w:spacing w:line="420" w:lineRule="exact"/>
              <w:rPr>
                <w:rFonts w:ascii="宋体" w:hAnsi="宋体" w:cs="宋体"/>
                <w:sz w:val="24"/>
                <w:szCs w:val="24"/>
              </w:rPr>
            </w:pPr>
            <w:r>
              <w:rPr>
                <w:rFonts w:hint="eastAsia" w:ascii="宋体" w:hAnsi="宋体" w:cs="宋体"/>
                <w:sz w:val="24"/>
                <w:szCs w:val="24"/>
              </w:rPr>
              <w:t>候梯厅显示应齐全正确</w:t>
            </w:r>
          </w:p>
        </w:tc>
        <w:tc>
          <w:tcPr>
            <w:tcW w:w="514" w:type="pct"/>
            <w:noWrap/>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3" w:type="pct"/>
            <w:noWrap/>
            <w:vAlign w:val="center"/>
          </w:tcPr>
          <w:p>
            <w:pPr>
              <w:spacing w:line="420" w:lineRule="exact"/>
              <w:jc w:val="center"/>
              <w:rPr>
                <w:rFonts w:ascii="宋体" w:hAnsi="宋体" w:cs="宋体"/>
                <w:sz w:val="24"/>
                <w:szCs w:val="24"/>
              </w:rPr>
            </w:pPr>
            <w:r>
              <w:rPr>
                <w:rFonts w:hint="eastAsia" w:ascii="宋体" w:hAnsi="宋体" w:cs="宋体"/>
                <w:sz w:val="24"/>
                <w:szCs w:val="24"/>
              </w:rPr>
              <w:t>9</w:t>
            </w:r>
          </w:p>
        </w:tc>
        <w:tc>
          <w:tcPr>
            <w:tcW w:w="4032" w:type="pct"/>
            <w:noWrap/>
          </w:tcPr>
          <w:p>
            <w:pPr>
              <w:spacing w:line="420" w:lineRule="exact"/>
              <w:rPr>
                <w:rFonts w:ascii="宋体" w:hAnsi="宋体" w:cs="宋体"/>
                <w:sz w:val="24"/>
                <w:szCs w:val="24"/>
              </w:rPr>
            </w:pPr>
            <w:r>
              <w:rPr>
                <w:rFonts w:hint="eastAsia" w:ascii="宋体" w:hAnsi="宋体" w:cs="宋体"/>
                <w:sz w:val="24"/>
                <w:szCs w:val="24"/>
              </w:rPr>
              <w:t>制动器动作应可靠，应保持有足够的制动力</w:t>
            </w:r>
          </w:p>
        </w:tc>
        <w:tc>
          <w:tcPr>
            <w:tcW w:w="514" w:type="pct"/>
            <w:noWrap/>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3" w:type="pct"/>
            <w:noWrap/>
            <w:vAlign w:val="center"/>
          </w:tcPr>
          <w:p>
            <w:pPr>
              <w:spacing w:line="420" w:lineRule="exact"/>
              <w:jc w:val="center"/>
              <w:rPr>
                <w:rFonts w:ascii="宋体" w:hAnsi="宋体" w:cs="宋体"/>
                <w:sz w:val="24"/>
                <w:szCs w:val="24"/>
              </w:rPr>
            </w:pPr>
            <w:r>
              <w:rPr>
                <w:rFonts w:hint="eastAsia" w:ascii="宋体" w:hAnsi="宋体" w:cs="宋体"/>
                <w:sz w:val="24"/>
                <w:szCs w:val="24"/>
              </w:rPr>
              <w:t>10</w:t>
            </w:r>
          </w:p>
        </w:tc>
        <w:tc>
          <w:tcPr>
            <w:tcW w:w="4032" w:type="pct"/>
            <w:noWrap/>
          </w:tcPr>
          <w:p>
            <w:pPr>
              <w:spacing w:line="420" w:lineRule="exact"/>
              <w:rPr>
                <w:rFonts w:ascii="宋体" w:hAnsi="宋体" w:cs="宋体"/>
                <w:sz w:val="24"/>
                <w:szCs w:val="24"/>
              </w:rPr>
            </w:pPr>
            <w:r>
              <w:rPr>
                <w:rFonts w:hint="eastAsia" w:ascii="宋体" w:hAnsi="宋体" w:cs="宋体"/>
                <w:sz w:val="24"/>
                <w:szCs w:val="24"/>
              </w:rPr>
              <w:t>制动器各销轴部位应润滑，动作灵活</w:t>
            </w:r>
          </w:p>
        </w:tc>
        <w:tc>
          <w:tcPr>
            <w:tcW w:w="514" w:type="pct"/>
            <w:noWrap/>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3" w:type="pct"/>
            <w:noWrap/>
            <w:vAlign w:val="center"/>
          </w:tcPr>
          <w:p>
            <w:pPr>
              <w:spacing w:line="420" w:lineRule="exact"/>
              <w:jc w:val="center"/>
              <w:rPr>
                <w:rFonts w:ascii="宋体" w:hAnsi="宋体" w:cs="宋体"/>
                <w:sz w:val="24"/>
                <w:szCs w:val="24"/>
              </w:rPr>
            </w:pPr>
            <w:r>
              <w:rPr>
                <w:rFonts w:hint="eastAsia" w:ascii="宋体" w:hAnsi="宋体" w:cs="宋体"/>
                <w:sz w:val="24"/>
                <w:szCs w:val="24"/>
              </w:rPr>
              <w:t>11</w:t>
            </w:r>
          </w:p>
        </w:tc>
        <w:tc>
          <w:tcPr>
            <w:tcW w:w="4032" w:type="pct"/>
            <w:noWrap/>
          </w:tcPr>
          <w:p>
            <w:pPr>
              <w:spacing w:line="420" w:lineRule="exact"/>
              <w:rPr>
                <w:rFonts w:ascii="宋体" w:hAnsi="宋体" w:cs="宋体"/>
                <w:sz w:val="24"/>
                <w:szCs w:val="24"/>
              </w:rPr>
            </w:pPr>
            <w:r>
              <w:rPr>
                <w:rFonts w:hint="eastAsia" w:ascii="宋体" w:hAnsi="宋体" w:cs="宋体"/>
                <w:sz w:val="24"/>
                <w:szCs w:val="24"/>
              </w:rPr>
              <w:t>制动衬磨损不应大于原厚度1/3</w:t>
            </w:r>
          </w:p>
        </w:tc>
        <w:tc>
          <w:tcPr>
            <w:tcW w:w="514" w:type="pct"/>
            <w:noWrap/>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3" w:type="pct"/>
            <w:noWrap/>
            <w:vAlign w:val="center"/>
          </w:tcPr>
          <w:p>
            <w:pPr>
              <w:spacing w:line="420" w:lineRule="exact"/>
              <w:jc w:val="center"/>
              <w:rPr>
                <w:rFonts w:ascii="宋体" w:hAnsi="宋体" w:cs="宋体"/>
                <w:sz w:val="24"/>
                <w:szCs w:val="24"/>
              </w:rPr>
            </w:pPr>
            <w:r>
              <w:rPr>
                <w:rFonts w:hint="eastAsia" w:ascii="宋体" w:hAnsi="宋体" w:cs="宋体"/>
                <w:sz w:val="24"/>
                <w:szCs w:val="24"/>
              </w:rPr>
              <w:t>12</w:t>
            </w:r>
          </w:p>
        </w:tc>
        <w:tc>
          <w:tcPr>
            <w:tcW w:w="4032" w:type="pct"/>
            <w:noWrap/>
          </w:tcPr>
          <w:p>
            <w:pPr>
              <w:spacing w:line="420" w:lineRule="exact"/>
              <w:rPr>
                <w:rFonts w:ascii="宋体" w:hAnsi="宋体" w:cs="宋体"/>
                <w:sz w:val="24"/>
                <w:szCs w:val="24"/>
              </w:rPr>
            </w:pPr>
            <w:r>
              <w:rPr>
                <w:rFonts w:hint="eastAsia" w:ascii="宋体" w:hAnsi="宋体" w:cs="宋体"/>
                <w:sz w:val="24"/>
                <w:szCs w:val="24"/>
              </w:rPr>
              <w:t>制动器线圈维持电压的检查</w:t>
            </w:r>
          </w:p>
        </w:tc>
        <w:tc>
          <w:tcPr>
            <w:tcW w:w="514" w:type="pct"/>
            <w:noWrap/>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3" w:type="pct"/>
            <w:noWrap/>
            <w:vAlign w:val="center"/>
          </w:tcPr>
          <w:p>
            <w:pPr>
              <w:spacing w:line="420" w:lineRule="exact"/>
              <w:jc w:val="center"/>
              <w:rPr>
                <w:rFonts w:ascii="宋体" w:hAnsi="宋体" w:cs="宋体"/>
                <w:sz w:val="24"/>
                <w:szCs w:val="24"/>
              </w:rPr>
            </w:pPr>
            <w:r>
              <w:rPr>
                <w:rFonts w:hint="eastAsia" w:ascii="宋体" w:hAnsi="宋体" w:cs="宋体"/>
                <w:sz w:val="24"/>
                <w:szCs w:val="24"/>
              </w:rPr>
              <w:t>13</w:t>
            </w:r>
          </w:p>
        </w:tc>
        <w:tc>
          <w:tcPr>
            <w:tcW w:w="4032" w:type="pct"/>
            <w:noWrap/>
          </w:tcPr>
          <w:p>
            <w:pPr>
              <w:spacing w:line="420" w:lineRule="exact"/>
              <w:rPr>
                <w:rFonts w:ascii="宋体" w:hAnsi="宋体" w:cs="宋体"/>
                <w:sz w:val="24"/>
                <w:szCs w:val="24"/>
              </w:rPr>
            </w:pPr>
            <w:r>
              <w:rPr>
                <w:rFonts w:hint="eastAsia" w:ascii="宋体" w:hAnsi="宋体" w:cs="宋体"/>
                <w:sz w:val="24"/>
                <w:szCs w:val="24"/>
              </w:rPr>
              <w:t>抱闸弹簧刻度的检查</w:t>
            </w:r>
          </w:p>
        </w:tc>
        <w:tc>
          <w:tcPr>
            <w:tcW w:w="514" w:type="pct"/>
            <w:noWrap/>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453" w:type="pct"/>
            <w:noWrap/>
            <w:vAlign w:val="center"/>
          </w:tcPr>
          <w:p>
            <w:pPr>
              <w:spacing w:line="420" w:lineRule="exact"/>
              <w:jc w:val="center"/>
              <w:rPr>
                <w:rFonts w:ascii="宋体" w:hAnsi="宋体" w:cs="宋体"/>
                <w:sz w:val="24"/>
                <w:szCs w:val="24"/>
              </w:rPr>
            </w:pPr>
            <w:r>
              <w:rPr>
                <w:rFonts w:hint="eastAsia" w:ascii="宋体" w:hAnsi="宋体" w:cs="宋体"/>
                <w:sz w:val="24"/>
                <w:szCs w:val="24"/>
              </w:rPr>
              <w:t>14</w:t>
            </w:r>
          </w:p>
        </w:tc>
        <w:tc>
          <w:tcPr>
            <w:tcW w:w="4032" w:type="pct"/>
            <w:noWrap/>
          </w:tcPr>
          <w:p>
            <w:pPr>
              <w:spacing w:line="420" w:lineRule="exact"/>
              <w:rPr>
                <w:rFonts w:ascii="宋体" w:hAnsi="宋体" w:cs="宋体"/>
                <w:sz w:val="24"/>
                <w:szCs w:val="24"/>
              </w:rPr>
            </w:pPr>
            <w:r>
              <w:rPr>
                <w:rFonts w:hint="eastAsia" w:ascii="宋体" w:hAnsi="宋体" w:cs="宋体"/>
                <w:sz w:val="24"/>
                <w:szCs w:val="24"/>
              </w:rPr>
              <w:t>门锁回路的检查</w:t>
            </w:r>
          </w:p>
        </w:tc>
        <w:tc>
          <w:tcPr>
            <w:tcW w:w="514" w:type="pct"/>
            <w:noWrap/>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3" w:type="pct"/>
            <w:noWrap/>
            <w:vAlign w:val="center"/>
          </w:tcPr>
          <w:p>
            <w:pPr>
              <w:spacing w:line="420" w:lineRule="exact"/>
              <w:jc w:val="center"/>
              <w:rPr>
                <w:rFonts w:ascii="宋体" w:hAnsi="宋体" w:cs="宋体"/>
                <w:sz w:val="24"/>
                <w:szCs w:val="24"/>
              </w:rPr>
            </w:pPr>
            <w:r>
              <w:rPr>
                <w:rFonts w:hint="eastAsia" w:ascii="宋体" w:hAnsi="宋体" w:cs="宋体"/>
                <w:sz w:val="24"/>
                <w:szCs w:val="24"/>
              </w:rPr>
              <w:t>15</w:t>
            </w:r>
          </w:p>
        </w:tc>
        <w:tc>
          <w:tcPr>
            <w:tcW w:w="4032" w:type="pct"/>
            <w:noWrap/>
          </w:tcPr>
          <w:p>
            <w:pPr>
              <w:spacing w:line="420" w:lineRule="exact"/>
              <w:rPr>
                <w:rFonts w:ascii="宋体" w:hAnsi="宋体" w:cs="宋体"/>
                <w:sz w:val="24"/>
                <w:szCs w:val="24"/>
              </w:rPr>
            </w:pPr>
            <w:r>
              <w:rPr>
                <w:rFonts w:hint="eastAsia" w:ascii="宋体" w:hAnsi="宋体" w:cs="宋体"/>
                <w:sz w:val="24"/>
                <w:szCs w:val="24"/>
              </w:rPr>
              <w:t>安全回路的检查</w:t>
            </w:r>
          </w:p>
        </w:tc>
        <w:tc>
          <w:tcPr>
            <w:tcW w:w="514" w:type="pct"/>
            <w:noWrap/>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3" w:type="pct"/>
            <w:noWrap/>
            <w:vAlign w:val="center"/>
          </w:tcPr>
          <w:p>
            <w:pPr>
              <w:spacing w:line="420" w:lineRule="exact"/>
              <w:jc w:val="center"/>
              <w:rPr>
                <w:rFonts w:ascii="宋体" w:hAnsi="宋体" w:cs="宋体"/>
                <w:sz w:val="24"/>
                <w:szCs w:val="24"/>
              </w:rPr>
            </w:pPr>
            <w:r>
              <w:rPr>
                <w:rFonts w:hint="eastAsia" w:ascii="宋体" w:hAnsi="宋体" w:cs="宋体"/>
                <w:sz w:val="24"/>
                <w:szCs w:val="24"/>
              </w:rPr>
              <w:t>16</w:t>
            </w:r>
          </w:p>
        </w:tc>
        <w:tc>
          <w:tcPr>
            <w:tcW w:w="4032" w:type="pct"/>
            <w:noWrap/>
          </w:tcPr>
          <w:p>
            <w:pPr>
              <w:spacing w:line="420" w:lineRule="exact"/>
              <w:rPr>
                <w:rFonts w:ascii="宋体" w:hAnsi="宋体" w:cs="宋体"/>
                <w:sz w:val="24"/>
                <w:szCs w:val="24"/>
              </w:rPr>
            </w:pPr>
            <w:r>
              <w:rPr>
                <w:rFonts w:hint="eastAsia" w:ascii="宋体" w:hAnsi="宋体" w:cs="宋体"/>
                <w:sz w:val="24"/>
                <w:szCs w:val="24"/>
              </w:rPr>
              <w:t>制动器铁芯的检查</w:t>
            </w:r>
          </w:p>
        </w:tc>
        <w:tc>
          <w:tcPr>
            <w:tcW w:w="514" w:type="pct"/>
            <w:noWrap/>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3" w:type="pct"/>
            <w:noWrap/>
            <w:vAlign w:val="center"/>
          </w:tcPr>
          <w:p>
            <w:pPr>
              <w:spacing w:line="420" w:lineRule="exact"/>
              <w:jc w:val="center"/>
              <w:rPr>
                <w:rFonts w:ascii="宋体" w:hAnsi="宋体" w:cs="宋体"/>
                <w:sz w:val="24"/>
                <w:szCs w:val="24"/>
              </w:rPr>
            </w:pPr>
            <w:r>
              <w:rPr>
                <w:rFonts w:hint="eastAsia" w:ascii="宋体" w:hAnsi="宋体" w:cs="宋体"/>
                <w:sz w:val="24"/>
                <w:szCs w:val="24"/>
              </w:rPr>
              <w:t>17</w:t>
            </w:r>
          </w:p>
        </w:tc>
        <w:tc>
          <w:tcPr>
            <w:tcW w:w="4032" w:type="pct"/>
            <w:noWrap/>
          </w:tcPr>
          <w:p>
            <w:pPr>
              <w:spacing w:line="420" w:lineRule="exact"/>
              <w:rPr>
                <w:rFonts w:ascii="宋体" w:hAnsi="宋体" w:cs="宋体"/>
                <w:sz w:val="24"/>
                <w:szCs w:val="24"/>
              </w:rPr>
            </w:pPr>
            <w:r>
              <w:rPr>
                <w:rFonts w:hint="eastAsia" w:ascii="宋体" w:hAnsi="宋体" w:cs="宋体"/>
                <w:sz w:val="24"/>
                <w:szCs w:val="24"/>
              </w:rPr>
              <w:t>制动器打开时，闸瓦与制动轮不应发生摩擦</w:t>
            </w:r>
          </w:p>
        </w:tc>
        <w:tc>
          <w:tcPr>
            <w:tcW w:w="514" w:type="pct"/>
            <w:noWrap/>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3" w:type="pct"/>
            <w:noWrap/>
            <w:vAlign w:val="center"/>
          </w:tcPr>
          <w:p>
            <w:pPr>
              <w:spacing w:line="420" w:lineRule="exact"/>
              <w:jc w:val="center"/>
              <w:rPr>
                <w:rFonts w:ascii="宋体" w:hAnsi="宋体" w:cs="宋体"/>
                <w:sz w:val="24"/>
                <w:szCs w:val="24"/>
              </w:rPr>
            </w:pPr>
            <w:r>
              <w:rPr>
                <w:rFonts w:hint="eastAsia" w:ascii="宋体" w:hAnsi="宋体" w:cs="宋体"/>
                <w:sz w:val="24"/>
                <w:szCs w:val="24"/>
              </w:rPr>
              <w:t>18</w:t>
            </w:r>
          </w:p>
        </w:tc>
        <w:tc>
          <w:tcPr>
            <w:tcW w:w="4032" w:type="pct"/>
            <w:noWrap/>
          </w:tcPr>
          <w:p>
            <w:pPr>
              <w:spacing w:line="420" w:lineRule="exact"/>
              <w:rPr>
                <w:rFonts w:ascii="宋体" w:hAnsi="宋体" w:cs="宋体"/>
                <w:sz w:val="24"/>
                <w:szCs w:val="24"/>
              </w:rPr>
            </w:pPr>
            <w:r>
              <w:rPr>
                <w:rFonts w:hint="eastAsia" w:ascii="宋体" w:hAnsi="宋体" w:cs="宋体"/>
                <w:sz w:val="24"/>
                <w:szCs w:val="24"/>
              </w:rPr>
              <w:t>控制柜内各元器件应整洁，各仪表指示（显示）正确，各接线应坚固</w:t>
            </w:r>
          </w:p>
        </w:tc>
        <w:tc>
          <w:tcPr>
            <w:tcW w:w="514" w:type="pct"/>
            <w:noWrap/>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3" w:type="pct"/>
            <w:noWrap/>
            <w:vAlign w:val="center"/>
          </w:tcPr>
          <w:p>
            <w:pPr>
              <w:spacing w:line="420" w:lineRule="exact"/>
              <w:jc w:val="center"/>
              <w:rPr>
                <w:rFonts w:ascii="宋体" w:hAnsi="宋体" w:cs="宋体"/>
                <w:sz w:val="24"/>
                <w:szCs w:val="24"/>
              </w:rPr>
            </w:pPr>
            <w:r>
              <w:rPr>
                <w:rFonts w:hint="eastAsia" w:ascii="宋体" w:hAnsi="宋体" w:cs="宋体"/>
                <w:sz w:val="24"/>
                <w:szCs w:val="24"/>
              </w:rPr>
              <w:t>19</w:t>
            </w:r>
          </w:p>
        </w:tc>
        <w:tc>
          <w:tcPr>
            <w:tcW w:w="4032" w:type="pct"/>
            <w:noWrap/>
          </w:tcPr>
          <w:p>
            <w:pPr>
              <w:spacing w:line="420" w:lineRule="exact"/>
              <w:rPr>
                <w:rFonts w:ascii="宋体" w:hAnsi="宋体" w:cs="宋体"/>
                <w:sz w:val="24"/>
                <w:szCs w:val="24"/>
              </w:rPr>
            </w:pPr>
            <w:r>
              <w:rPr>
                <w:rFonts w:hint="eastAsia" w:ascii="宋体" w:hAnsi="宋体" w:cs="宋体"/>
                <w:sz w:val="24"/>
                <w:szCs w:val="24"/>
              </w:rPr>
              <w:t>电机在运行时应平稳，无振动</w:t>
            </w:r>
          </w:p>
        </w:tc>
        <w:tc>
          <w:tcPr>
            <w:tcW w:w="514" w:type="pct"/>
            <w:noWrap/>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3" w:type="pct"/>
            <w:noWrap/>
            <w:vAlign w:val="center"/>
          </w:tcPr>
          <w:p>
            <w:pPr>
              <w:spacing w:line="420" w:lineRule="exact"/>
              <w:jc w:val="center"/>
              <w:rPr>
                <w:rFonts w:ascii="宋体" w:hAnsi="宋体" w:cs="宋体"/>
                <w:sz w:val="24"/>
                <w:szCs w:val="24"/>
              </w:rPr>
            </w:pPr>
            <w:r>
              <w:rPr>
                <w:rFonts w:hint="eastAsia" w:ascii="宋体" w:hAnsi="宋体" w:cs="宋体"/>
                <w:sz w:val="24"/>
                <w:szCs w:val="24"/>
              </w:rPr>
              <w:t>20</w:t>
            </w:r>
          </w:p>
        </w:tc>
        <w:tc>
          <w:tcPr>
            <w:tcW w:w="4032" w:type="pct"/>
            <w:noWrap/>
          </w:tcPr>
          <w:p>
            <w:pPr>
              <w:spacing w:line="420" w:lineRule="exact"/>
              <w:rPr>
                <w:rFonts w:ascii="宋体" w:hAnsi="宋体" w:cs="宋体"/>
                <w:sz w:val="24"/>
                <w:szCs w:val="24"/>
              </w:rPr>
            </w:pPr>
            <w:r>
              <w:rPr>
                <w:rFonts w:hint="eastAsia" w:ascii="宋体" w:hAnsi="宋体" w:cs="宋体"/>
                <w:sz w:val="24"/>
                <w:szCs w:val="24"/>
              </w:rPr>
              <w:t>曳引机运行时不得有杂音、冲击和振动</w:t>
            </w:r>
          </w:p>
        </w:tc>
        <w:tc>
          <w:tcPr>
            <w:tcW w:w="514" w:type="pct"/>
            <w:noWrap/>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3" w:type="pct"/>
            <w:noWrap/>
            <w:vAlign w:val="center"/>
          </w:tcPr>
          <w:p>
            <w:pPr>
              <w:spacing w:line="420" w:lineRule="exact"/>
              <w:jc w:val="center"/>
              <w:rPr>
                <w:rFonts w:ascii="宋体" w:hAnsi="宋体" w:cs="宋体"/>
                <w:sz w:val="24"/>
                <w:szCs w:val="24"/>
              </w:rPr>
            </w:pPr>
            <w:r>
              <w:rPr>
                <w:rFonts w:hint="eastAsia" w:ascii="宋体" w:hAnsi="宋体" w:cs="宋体"/>
                <w:sz w:val="24"/>
                <w:szCs w:val="24"/>
              </w:rPr>
              <w:t>21</w:t>
            </w:r>
          </w:p>
        </w:tc>
        <w:tc>
          <w:tcPr>
            <w:tcW w:w="4032" w:type="pct"/>
            <w:noWrap/>
          </w:tcPr>
          <w:p>
            <w:pPr>
              <w:spacing w:line="420" w:lineRule="exact"/>
              <w:rPr>
                <w:rFonts w:ascii="宋体" w:hAnsi="宋体" w:cs="宋体"/>
                <w:sz w:val="24"/>
                <w:szCs w:val="24"/>
              </w:rPr>
            </w:pPr>
            <w:r>
              <w:rPr>
                <w:rFonts w:hint="eastAsia" w:ascii="宋体" w:hAnsi="宋体" w:cs="宋体"/>
                <w:sz w:val="24"/>
                <w:szCs w:val="24"/>
              </w:rPr>
              <w:t>直流电机换向器工作正常</w:t>
            </w:r>
          </w:p>
        </w:tc>
        <w:tc>
          <w:tcPr>
            <w:tcW w:w="514" w:type="pct"/>
            <w:noWrap/>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3" w:type="pct"/>
            <w:noWrap/>
            <w:vAlign w:val="center"/>
          </w:tcPr>
          <w:p>
            <w:pPr>
              <w:spacing w:line="420" w:lineRule="exact"/>
              <w:jc w:val="center"/>
              <w:rPr>
                <w:rFonts w:ascii="宋体" w:hAnsi="宋体" w:cs="宋体"/>
                <w:sz w:val="24"/>
                <w:szCs w:val="24"/>
              </w:rPr>
            </w:pPr>
            <w:r>
              <w:rPr>
                <w:rFonts w:hint="eastAsia" w:ascii="宋体" w:hAnsi="宋体" w:cs="宋体"/>
                <w:sz w:val="24"/>
                <w:szCs w:val="24"/>
              </w:rPr>
              <w:t>22</w:t>
            </w:r>
          </w:p>
        </w:tc>
        <w:tc>
          <w:tcPr>
            <w:tcW w:w="4032" w:type="pct"/>
            <w:noWrap/>
          </w:tcPr>
          <w:p>
            <w:pPr>
              <w:spacing w:line="420" w:lineRule="exact"/>
              <w:rPr>
                <w:rFonts w:ascii="宋体" w:hAnsi="宋体" w:cs="宋体"/>
                <w:sz w:val="24"/>
                <w:szCs w:val="24"/>
              </w:rPr>
            </w:pPr>
            <w:r>
              <w:rPr>
                <w:rFonts w:hint="eastAsia" w:ascii="宋体" w:hAnsi="宋体" w:cs="宋体"/>
                <w:sz w:val="24"/>
                <w:szCs w:val="24"/>
              </w:rPr>
              <w:t>测速发电机皮带工作正常，无裂纹</w:t>
            </w:r>
          </w:p>
        </w:tc>
        <w:tc>
          <w:tcPr>
            <w:tcW w:w="514" w:type="pct"/>
            <w:noWrap/>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3" w:type="pct"/>
            <w:noWrap/>
            <w:vAlign w:val="center"/>
          </w:tcPr>
          <w:p>
            <w:pPr>
              <w:spacing w:line="420" w:lineRule="exact"/>
              <w:jc w:val="center"/>
              <w:rPr>
                <w:rFonts w:ascii="宋体" w:hAnsi="宋体" w:cs="宋体"/>
                <w:sz w:val="24"/>
                <w:szCs w:val="24"/>
              </w:rPr>
            </w:pPr>
            <w:r>
              <w:rPr>
                <w:rFonts w:hint="eastAsia" w:ascii="宋体" w:hAnsi="宋体" w:cs="宋体"/>
                <w:sz w:val="24"/>
                <w:szCs w:val="24"/>
              </w:rPr>
              <w:t>23</w:t>
            </w:r>
          </w:p>
        </w:tc>
        <w:tc>
          <w:tcPr>
            <w:tcW w:w="4032" w:type="pct"/>
            <w:noWrap/>
          </w:tcPr>
          <w:p>
            <w:pPr>
              <w:spacing w:line="420" w:lineRule="exact"/>
              <w:rPr>
                <w:rFonts w:ascii="宋体" w:hAnsi="宋体" w:cs="宋体"/>
                <w:sz w:val="24"/>
                <w:szCs w:val="24"/>
              </w:rPr>
            </w:pPr>
            <w:r>
              <w:rPr>
                <w:rFonts w:hint="eastAsia" w:ascii="宋体" w:hAnsi="宋体" w:cs="宋体"/>
                <w:sz w:val="24"/>
                <w:szCs w:val="24"/>
              </w:rPr>
              <w:t>选层器动静触点应清洁，无烧蚀</w:t>
            </w:r>
          </w:p>
        </w:tc>
        <w:tc>
          <w:tcPr>
            <w:tcW w:w="514" w:type="pct"/>
            <w:noWrap/>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3" w:type="pct"/>
            <w:noWrap/>
            <w:vAlign w:val="center"/>
          </w:tcPr>
          <w:p>
            <w:pPr>
              <w:spacing w:line="420" w:lineRule="exact"/>
              <w:jc w:val="center"/>
              <w:rPr>
                <w:rFonts w:ascii="宋体" w:hAnsi="宋体" w:cs="宋体"/>
                <w:sz w:val="24"/>
                <w:szCs w:val="24"/>
              </w:rPr>
            </w:pPr>
            <w:r>
              <w:rPr>
                <w:rFonts w:hint="eastAsia" w:ascii="宋体" w:hAnsi="宋体" w:cs="宋体"/>
                <w:sz w:val="24"/>
                <w:szCs w:val="24"/>
              </w:rPr>
              <w:t>24</w:t>
            </w:r>
          </w:p>
        </w:tc>
        <w:tc>
          <w:tcPr>
            <w:tcW w:w="4032" w:type="pct"/>
            <w:noWrap/>
          </w:tcPr>
          <w:p>
            <w:pPr>
              <w:spacing w:line="420" w:lineRule="exact"/>
              <w:rPr>
                <w:rFonts w:ascii="宋体" w:hAnsi="宋体" w:cs="宋体"/>
                <w:sz w:val="24"/>
                <w:szCs w:val="24"/>
              </w:rPr>
            </w:pPr>
            <w:r>
              <w:rPr>
                <w:rFonts w:hint="eastAsia" w:ascii="宋体" w:hAnsi="宋体" w:cs="宋体"/>
                <w:sz w:val="24"/>
                <w:szCs w:val="24"/>
              </w:rPr>
              <w:t>限速器各销轴部位转动灵活</w:t>
            </w:r>
          </w:p>
        </w:tc>
        <w:tc>
          <w:tcPr>
            <w:tcW w:w="514" w:type="pct"/>
            <w:noWrap/>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3" w:type="pct"/>
            <w:noWrap/>
            <w:vAlign w:val="center"/>
          </w:tcPr>
          <w:p>
            <w:pPr>
              <w:spacing w:line="420" w:lineRule="exact"/>
              <w:jc w:val="center"/>
              <w:rPr>
                <w:rFonts w:ascii="宋体" w:hAnsi="宋体" w:cs="宋体"/>
                <w:sz w:val="24"/>
                <w:szCs w:val="24"/>
              </w:rPr>
            </w:pPr>
            <w:r>
              <w:rPr>
                <w:rFonts w:hint="eastAsia" w:ascii="宋体" w:hAnsi="宋体" w:cs="宋体"/>
                <w:sz w:val="24"/>
                <w:szCs w:val="24"/>
              </w:rPr>
              <w:t>25</w:t>
            </w:r>
          </w:p>
        </w:tc>
        <w:tc>
          <w:tcPr>
            <w:tcW w:w="4032" w:type="pct"/>
            <w:noWrap/>
          </w:tcPr>
          <w:p>
            <w:pPr>
              <w:spacing w:line="420" w:lineRule="exact"/>
              <w:rPr>
                <w:rFonts w:ascii="宋体" w:hAnsi="宋体" w:cs="宋体"/>
                <w:sz w:val="24"/>
                <w:szCs w:val="24"/>
              </w:rPr>
            </w:pPr>
            <w:r>
              <w:rPr>
                <w:rFonts w:hint="eastAsia" w:ascii="宋体" w:hAnsi="宋体" w:cs="宋体"/>
                <w:sz w:val="24"/>
                <w:szCs w:val="24"/>
              </w:rPr>
              <w:t>平层精度应达到标准要求</w:t>
            </w:r>
          </w:p>
        </w:tc>
        <w:tc>
          <w:tcPr>
            <w:tcW w:w="514" w:type="pct"/>
            <w:noWrap/>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3" w:type="pct"/>
            <w:noWrap/>
            <w:vAlign w:val="center"/>
          </w:tcPr>
          <w:p>
            <w:pPr>
              <w:spacing w:line="420" w:lineRule="exact"/>
              <w:jc w:val="center"/>
              <w:rPr>
                <w:rFonts w:ascii="宋体" w:hAnsi="宋体" w:cs="宋体"/>
                <w:sz w:val="24"/>
                <w:szCs w:val="24"/>
              </w:rPr>
            </w:pPr>
            <w:r>
              <w:rPr>
                <w:rFonts w:hint="eastAsia" w:ascii="宋体" w:hAnsi="宋体" w:cs="宋体"/>
                <w:sz w:val="24"/>
                <w:szCs w:val="24"/>
              </w:rPr>
              <w:t>26</w:t>
            </w:r>
          </w:p>
        </w:tc>
        <w:tc>
          <w:tcPr>
            <w:tcW w:w="4032" w:type="pct"/>
            <w:noWrap/>
          </w:tcPr>
          <w:p>
            <w:pPr>
              <w:spacing w:line="420" w:lineRule="exact"/>
              <w:rPr>
                <w:rFonts w:ascii="宋体" w:hAnsi="宋体" w:cs="宋体"/>
                <w:sz w:val="24"/>
                <w:szCs w:val="24"/>
              </w:rPr>
            </w:pPr>
            <w:r>
              <w:rPr>
                <w:rFonts w:hint="eastAsia" w:ascii="宋体" w:hAnsi="宋体" w:cs="宋体"/>
                <w:sz w:val="24"/>
                <w:szCs w:val="24"/>
              </w:rPr>
              <w:t>自动门在开启和关闭时应平稳无振动，换速准确</w:t>
            </w:r>
          </w:p>
        </w:tc>
        <w:tc>
          <w:tcPr>
            <w:tcW w:w="514" w:type="pct"/>
            <w:noWrap/>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3" w:type="pct"/>
            <w:noWrap/>
            <w:vAlign w:val="center"/>
          </w:tcPr>
          <w:p>
            <w:pPr>
              <w:spacing w:line="420" w:lineRule="exact"/>
              <w:jc w:val="center"/>
              <w:rPr>
                <w:rFonts w:ascii="宋体" w:hAnsi="宋体" w:cs="宋体"/>
                <w:sz w:val="24"/>
                <w:szCs w:val="24"/>
              </w:rPr>
            </w:pPr>
            <w:r>
              <w:rPr>
                <w:rFonts w:hint="eastAsia" w:ascii="宋体" w:hAnsi="宋体" w:cs="宋体"/>
                <w:sz w:val="24"/>
                <w:szCs w:val="24"/>
              </w:rPr>
              <w:t>27</w:t>
            </w:r>
          </w:p>
        </w:tc>
        <w:tc>
          <w:tcPr>
            <w:tcW w:w="4032" w:type="pct"/>
            <w:noWrap/>
          </w:tcPr>
          <w:p>
            <w:pPr>
              <w:spacing w:line="420" w:lineRule="exact"/>
              <w:rPr>
                <w:rFonts w:ascii="宋体" w:hAnsi="宋体" w:cs="宋体"/>
                <w:sz w:val="24"/>
                <w:szCs w:val="24"/>
              </w:rPr>
            </w:pPr>
            <w:r>
              <w:rPr>
                <w:rFonts w:hint="eastAsia" w:ascii="宋体" w:hAnsi="宋体" w:cs="宋体"/>
                <w:sz w:val="24"/>
                <w:szCs w:val="24"/>
              </w:rPr>
              <w:t>自动门防夹保护装置功能正常</w:t>
            </w:r>
          </w:p>
        </w:tc>
        <w:tc>
          <w:tcPr>
            <w:tcW w:w="514" w:type="pct"/>
            <w:noWrap/>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3" w:type="pct"/>
            <w:noWrap/>
            <w:vAlign w:val="center"/>
          </w:tcPr>
          <w:p>
            <w:pPr>
              <w:spacing w:line="420" w:lineRule="exact"/>
              <w:jc w:val="center"/>
              <w:rPr>
                <w:rFonts w:ascii="宋体" w:hAnsi="宋体" w:cs="宋体"/>
                <w:sz w:val="24"/>
                <w:szCs w:val="24"/>
              </w:rPr>
            </w:pPr>
            <w:r>
              <w:rPr>
                <w:rFonts w:hint="eastAsia" w:ascii="宋体" w:hAnsi="宋体" w:cs="宋体"/>
                <w:sz w:val="24"/>
                <w:szCs w:val="24"/>
              </w:rPr>
              <w:t>28</w:t>
            </w:r>
          </w:p>
        </w:tc>
        <w:tc>
          <w:tcPr>
            <w:tcW w:w="4032" w:type="pct"/>
            <w:noWrap/>
          </w:tcPr>
          <w:p>
            <w:pPr>
              <w:spacing w:line="420" w:lineRule="exact"/>
              <w:rPr>
                <w:rFonts w:ascii="宋体" w:hAnsi="宋体" w:cs="宋体"/>
                <w:sz w:val="24"/>
                <w:szCs w:val="24"/>
              </w:rPr>
            </w:pPr>
            <w:r>
              <w:rPr>
                <w:rFonts w:hint="eastAsia" w:ascii="宋体" w:hAnsi="宋体" w:cs="宋体"/>
                <w:sz w:val="24"/>
                <w:szCs w:val="24"/>
              </w:rPr>
              <w:t>厅门自闭功能正常，用厅门钥匙开锁释放后能自动复位</w:t>
            </w:r>
          </w:p>
        </w:tc>
        <w:tc>
          <w:tcPr>
            <w:tcW w:w="514" w:type="pct"/>
            <w:noWrap/>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3" w:type="pct"/>
            <w:noWrap/>
            <w:vAlign w:val="center"/>
          </w:tcPr>
          <w:p>
            <w:pPr>
              <w:spacing w:line="420" w:lineRule="exact"/>
              <w:jc w:val="center"/>
              <w:rPr>
                <w:rFonts w:ascii="宋体" w:hAnsi="宋体" w:cs="宋体"/>
                <w:sz w:val="24"/>
                <w:szCs w:val="24"/>
              </w:rPr>
            </w:pPr>
            <w:r>
              <w:rPr>
                <w:rFonts w:hint="eastAsia" w:ascii="宋体" w:hAnsi="宋体" w:cs="宋体"/>
                <w:sz w:val="24"/>
                <w:szCs w:val="24"/>
              </w:rPr>
              <w:t>29</w:t>
            </w:r>
          </w:p>
        </w:tc>
        <w:tc>
          <w:tcPr>
            <w:tcW w:w="4032" w:type="pct"/>
            <w:noWrap/>
          </w:tcPr>
          <w:p>
            <w:pPr>
              <w:spacing w:line="420" w:lineRule="exact"/>
              <w:rPr>
                <w:rFonts w:ascii="宋体" w:hAnsi="宋体" w:cs="宋体"/>
                <w:sz w:val="24"/>
                <w:szCs w:val="24"/>
              </w:rPr>
            </w:pPr>
            <w:r>
              <w:rPr>
                <w:rFonts w:hint="eastAsia" w:ascii="宋体" w:hAnsi="宋体" w:cs="宋体"/>
                <w:sz w:val="24"/>
                <w:szCs w:val="24"/>
              </w:rPr>
              <w:t>门锁触点应清洁，接触良好</w:t>
            </w:r>
          </w:p>
        </w:tc>
        <w:tc>
          <w:tcPr>
            <w:tcW w:w="514" w:type="pct"/>
            <w:noWrap/>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3" w:type="pct"/>
            <w:noWrap/>
            <w:vAlign w:val="center"/>
          </w:tcPr>
          <w:p>
            <w:pPr>
              <w:spacing w:line="420" w:lineRule="exact"/>
              <w:jc w:val="center"/>
              <w:rPr>
                <w:rFonts w:ascii="宋体" w:hAnsi="宋体" w:cs="宋体"/>
                <w:sz w:val="24"/>
                <w:szCs w:val="24"/>
              </w:rPr>
            </w:pPr>
            <w:r>
              <w:rPr>
                <w:rFonts w:hint="eastAsia" w:ascii="宋体" w:hAnsi="宋体" w:cs="宋体"/>
                <w:sz w:val="24"/>
                <w:szCs w:val="24"/>
              </w:rPr>
              <w:t>30</w:t>
            </w:r>
          </w:p>
        </w:tc>
        <w:tc>
          <w:tcPr>
            <w:tcW w:w="4032" w:type="pct"/>
            <w:noWrap/>
          </w:tcPr>
          <w:p>
            <w:pPr>
              <w:spacing w:line="420" w:lineRule="exact"/>
              <w:rPr>
                <w:rFonts w:ascii="宋体" w:hAnsi="宋体" w:cs="宋体"/>
                <w:sz w:val="24"/>
                <w:szCs w:val="24"/>
              </w:rPr>
            </w:pPr>
            <w:r>
              <w:rPr>
                <w:rFonts w:hint="eastAsia" w:ascii="宋体" w:hAnsi="宋体" w:cs="宋体"/>
                <w:sz w:val="24"/>
                <w:szCs w:val="24"/>
              </w:rPr>
              <w:t>厅门锁紧元件啮合长度不小于7㎜</w:t>
            </w:r>
          </w:p>
        </w:tc>
        <w:tc>
          <w:tcPr>
            <w:tcW w:w="514" w:type="pct"/>
            <w:noWrap/>
          </w:tcPr>
          <w:p>
            <w:pPr>
              <w:spacing w:line="420" w:lineRule="exact"/>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3" w:type="pct"/>
            <w:noWrap/>
            <w:vAlign w:val="center"/>
          </w:tcPr>
          <w:p>
            <w:pPr>
              <w:spacing w:line="420" w:lineRule="exact"/>
              <w:jc w:val="center"/>
              <w:rPr>
                <w:rFonts w:ascii="宋体" w:hAnsi="宋体" w:cs="宋体"/>
                <w:sz w:val="24"/>
                <w:szCs w:val="24"/>
              </w:rPr>
            </w:pPr>
            <w:r>
              <w:rPr>
                <w:rFonts w:hint="eastAsia" w:ascii="宋体" w:hAnsi="宋体" w:cs="宋体"/>
                <w:sz w:val="24"/>
                <w:szCs w:val="24"/>
              </w:rPr>
              <w:t>31</w:t>
            </w:r>
          </w:p>
        </w:tc>
        <w:tc>
          <w:tcPr>
            <w:tcW w:w="4032" w:type="pct"/>
            <w:noWrap/>
          </w:tcPr>
          <w:p>
            <w:pPr>
              <w:spacing w:line="420" w:lineRule="exact"/>
              <w:rPr>
                <w:rFonts w:ascii="宋体" w:hAnsi="宋体" w:cs="宋体"/>
                <w:sz w:val="24"/>
                <w:szCs w:val="24"/>
              </w:rPr>
            </w:pPr>
            <w:r>
              <w:rPr>
                <w:rFonts w:hint="eastAsia" w:ascii="宋体" w:hAnsi="宋体" w:cs="宋体"/>
                <w:sz w:val="24"/>
                <w:szCs w:val="24"/>
              </w:rPr>
              <w:t>导靴油杯吸油毛毡齐全，油量适宜，保证油质</w:t>
            </w:r>
          </w:p>
        </w:tc>
        <w:tc>
          <w:tcPr>
            <w:tcW w:w="514" w:type="pct"/>
            <w:noWrap/>
          </w:tcPr>
          <w:p>
            <w:pPr>
              <w:spacing w:line="420" w:lineRule="exact"/>
              <w:ind w:firstLine="480" w:firstLineChars="200"/>
              <w:rPr>
                <w:rFonts w:ascii="宋体" w:hAnsi="宋体" w:cs="宋体"/>
                <w:sz w:val="24"/>
                <w:szCs w:val="24"/>
              </w:rPr>
            </w:pPr>
          </w:p>
        </w:tc>
      </w:tr>
    </w:tbl>
    <w:p>
      <w:pPr>
        <w:rPr>
          <w:rFonts w:ascii="宋体" w:hAnsi="宋体" w:cs="宋体"/>
          <w:b/>
          <w:bCs/>
          <w:color w:val="000000" w:themeColor="text1"/>
          <w:sz w:val="24"/>
          <w:szCs w:val="24"/>
          <w14:textFill>
            <w14:solidFill>
              <w14:schemeClr w14:val="tx1"/>
            </w14:solidFill>
          </w14:textFill>
        </w:rPr>
      </w:pPr>
    </w:p>
    <w:p>
      <w:pPr>
        <w:rPr>
          <w:rFonts w:ascii="宋体" w:hAnsi="宋体" w:cs="宋体"/>
          <w:b/>
          <w:bCs/>
          <w:sz w:val="24"/>
          <w:szCs w:val="24"/>
        </w:rPr>
      </w:pPr>
      <w:r>
        <w:rPr>
          <w:rFonts w:hint="eastAsia" w:ascii="宋体" w:hAnsi="宋体" w:cs="宋体"/>
          <w:b/>
          <w:bCs/>
          <w:color w:val="000000" w:themeColor="text1"/>
          <w:sz w:val="24"/>
          <w:szCs w:val="24"/>
          <w14:textFill>
            <w14:solidFill>
              <w14:schemeClr w14:val="tx1"/>
            </w14:solidFill>
          </w14:textFill>
        </w:rPr>
        <w:t>三、维保要求</w:t>
      </w:r>
    </w:p>
    <w:p>
      <w:pPr>
        <w:spacing w:beforeLines="50" w:afterLines="50"/>
        <w:ind w:firstLine="480" w:firstLineChars="200"/>
        <w:jc w:val="left"/>
        <w:rPr>
          <w:rFonts w:ascii="宋体" w:hAnsi="宋体" w:cs="宋体"/>
          <w:sz w:val="24"/>
          <w:szCs w:val="24"/>
        </w:rPr>
      </w:pPr>
      <w:r>
        <w:rPr>
          <w:rFonts w:hint="eastAsia" w:ascii="宋体" w:hAnsi="宋体" w:cs="宋体"/>
          <w:sz w:val="24"/>
          <w:szCs w:val="24"/>
        </w:rPr>
        <w:t>1、每半月按标准《电梯日常维护保养规则》规定进行维保，并有记录。</w:t>
      </w:r>
    </w:p>
    <w:p>
      <w:pPr>
        <w:spacing w:beforeLines="50" w:afterLines="50"/>
        <w:ind w:firstLine="480" w:firstLineChars="200"/>
        <w:jc w:val="left"/>
        <w:rPr>
          <w:rFonts w:ascii="宋体" w:hAnsi="宋体" w:cs="宋体"/>
          <w:sz w:val="24"/>
          <w:szCs w:val="24"/>
        </w:rPr>
      </w:pPr>
      <w:r>
        <w:rPr>
          <w:rFonts w:hint="eastAsia" w:ascii="宋体" w:hAnsi="宋体" w:cs="宋体"/>
          <w:sz w:val="24"/>
          <w:szCs w:val="24"/>
        </w:rPr>
        <w:t>2、每季度按标准《电梯日常维护保养规则》规定进行维保，并有记录。</w:t>
      </w:r>
    </w:p>
    <w:p>
      <w:pPr>
        <w:spacing w:beforeLines="50" w:afterLines="50"/>
        <w:ind w:firstLine="480" w:firstLineChars="200"/>
        <w:jc w:val="left"/>
        <w:rPr>
          <w:rFonts w:ascii="宋体" w:hAnsi="宋体" w:cs="宋体"/>
          <w:sz w:val="24"/>
          <w:szCs w:val="24"/>
        </w:rPr>
      </w:pPr>
      <w:r>
        <w:rPr>
          <w:rFonts w:hint="eastAsia" w:ascii="宋体" w:hAnsi="宋体" w:cs="宋体"/>
          <w:sz w:val="24"/>
          <w:szCs w:val="24"/>
        </w:rPr>
        <w:t>3、每半年按标准《电梯日常维护保养规则》规定进行维保，并有记录。</w:t>
      </w:r>
    </w:p>
    <w:p>
      <w:pPr>
        <w:spacing w:beforeLines="50" w:afterLines="50"/>
        <w:ind w:firstLine="480" w:firstLineChars="200"/>
        <w:jc w:val="left"/>
        <w:rPr>
          <w:rFonts w:ascii="宋体" w:hAnsi="宋体" w:cs="宋体"/>
          <w:sz w:val="24"/>
          <w:szCs w:val="24"/>
        </w:rPr>
      </w:pPr>
      <w:r>
        <w:rPr>
          <w:rFonts w:hint="eastAsia" w:ascii="宋体" w:hAnsi="宋体" w:cs="宋体"/>
          <w:sz w:val="24"/>
          <w:szCs w:val="24"/>
        </w:rPr>
        <w:t>4、每年按标准《电梯日常维护保养规则》规定进行维保，并有记录。</w:t>
      </w:r>
    </w:p>
    <w:p>
      <w:pPr>
        <w:spacing w:beforeLines="50" w:afterLines="50"/>
        <w:ind w:firstLine="480" w:firstLineChars="200"/>
        <w:jc w:val="left"/>
        <w:rPr>
          <w:rFonts w:ascii="宋体" w:hAnsi="宋体" w:cs="宋体"/>
          <w:sz w:val="24"/>
          <w:szCs w:val="24"/>
        </w:rPr>
      </w:pPr>
      <w:r>
        <w:rPr>
          <w:rFonts w:hint="eastAsia" w:ascii="宋体" w:hAnsi="宋体" w:cs="宋体"/>
          <w:sz w:val="24"/>
          <w:szCs w:val="24"/>
        </w:rPr>
        <w:t>5、电梯出现故障随叫随到。</w:t>
      </w:r>
    </w:p>
    <w:p>
      <w:pPr>
        <w:pStyle w:val="75"/>
        <w:rPr>
          <w:rFonts w:hAnsi="宋体"/>
          <w:highlight w:val="yellow"/>
        </w:rPr>
      </w:pPr>
    </w:p>
    <w:p>
      <w:pPr>
        <w:spacing w:beforeLines="50" w:afterLines="50"/>
        <w:jc w:val="left"/>
        <w:rPr>
          <w:rFonts w:ascii="宋体" w:hAnsi="宋体" w:cs="宋体"/>
          <w:b/>
          <w:bCs/>
          <w:sz w:val="24"/>
          <w:szCs w:val="24"/>
        </w:rPr>
      </w:pPr>
      <w:r>
        <w:rPr>
          <w:rFonts w:hint="eastAsia" w:ascii="宋体" w:hAnsi="宋体" w:cs="宋体"/>
          <w:b/>
          <w:bCs/>
          <w:sz w:val="24"/>
          <w:szCs w:val="24"/>
        </w:rPr>
        <w:t>四、维保售后</w:t>
      </w:r>
    </w:p>
    <w:p>
      <w:pPr>
        <w:spacing w:beforeLines="50" w:afterLines="50"/>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1、按照合同约定期限进行维保。</w:t>
      </w:r>
    </w:p>
    <w:p>
      <w:pPr>
        <w:widowControl/>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2、维保</w:t>
      </w:r>
      <w:r>
        <w:rPr>
          <w:rFonts w:hint="eastAsia" w:ascii="宋体" w:hAnsi="宋体" w:cs="宋体"/>
          <w:color w:val="000000" w:themeColor="text1"/>
          <w:kern w:val="0"/>
          <w:sz w:val="24"/>
          <w:szCs w:val="24"/>
          <w14:textFill>
            <w14:solidFill>
              <w14:schemeClr w14:val="tx1"/>
            </w14:solidFill>
          </w14:textFill>
        </w:rPr>
        <w:t>期内接到报修通知，突发紧急情况30分钟内赶到现场处理，一般情况，2小时内赶到现场处理。</w:t>
      </w:r>
    </w:p>
    <w:p>
      <w:pPr>
        <w:widowControl/>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3、做好维保时的安全防范措施。如因维保过程中出现安全事故，所导致的一切相关损失及责任由维保方承担。</w:t>
      </w:r>
    </w:p>
    <w:p>
      <w:pPr>
        <w:spacing w:line="360" w:lineRule="auto"/>
        <w:ind w:firstLine="480" w:firstLineChars="200"/>
        <w:rPr>
          <w:rFonts w:ascii="宋体" w:hAnsi="宋体" w:cs="宋体"/>
          <w:b/>
          <w:sz w:val="24"/>
          <w:szCs w:val="24"/>
        </w:rPr>
      </w:pPr>
      <w:r>
        <w:rPr>
          <w:rFonts w:hint="eastAsia" w:ascii="宋体" w:hAnsi="宋体" w:cs="宋体"/>
          <w:color w:val="000000"/>
          <w:kern w:val="0"/>
          <w:sz w:val="24"/>
          <w:szCs w:val="24"/>
        </w:rPr>
        <w:t>4、维保过程中产生垃圾及时清理。如延时或上级部门检查发现问题进行处理，所有的责任由维保方承担。</w:t>
      </w:r>
    </w:p>
    <w:p>
      <w:pPr>
        <w:pStyle w:val="20"/>
        <w:rPr>
          <w:b/>
          <w:bCs/>
          <w:highlight w:val="yellow"/>
        </w:rPr>
      </w:pPr>
    </w:p>
    <w:p>
      <w:pPr>
        <w:pStyle w:val="20"/>
        <w:rPr>
          <w:rFonts w:asciiTheme="minorEastAsia" w:hAnsiTheme="minorEastAsia" w:eastAsiaTheme="minorEastAsia"/>
          <w:b/>
          <w:bCs/>
          <w:highlight w:val="yellow"/>
        </w:rPr>
      </w:pPr>
      <w:r>
        <w:rPr>
          <w:rFonts w:hint="eastAsia"/>
          <w:b/>
          <w:bCs/>
        </w:rPr>
        <w:t>标项八：</w:t>
      </w:r>
      <w:r>
        <w:rPr>
          <w:rFonts w:hint="eastAsia" w:cs="宋体" w:asciiTheme="minorEastAsia" w:hAnsiTheme="minorEastAsia" w:eastAsiaTheme="minorEastAsia"/>
          <w:kern w:val="0"/>
        </w:rPr>
        <w:t>智慧电气火灾云监控系统维保服务项目</w:t>
      </w:r>
    </w:p>
    <w:p>
      <w:pPr>
        <w:pStyle w:val="75"/>
        <w:rPr>
          <w:rFonts w:hAnsi="宋体"/>
          <w:b/>
          <w:bCs/>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一、技术参数</w:t>
      </w:r>
    </w:p>
    <w:p>
      <w:pP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（一）设备参数</w:t>
      </w:r>
    </w:p>
    <w:tbl>
      <w:tblPr>
        <w:tblStyle w:val="29"/>
        <w:tblW w:w="5000" w:type="pct"/>
        <w:tblInd w:w="0" w:type="dxa"/>
        <w:tblLayout w:type="autofit"/>
        <w:tblCellMar>
          <w:top w:w="0" w:type="dxa"/>
          <w:left w:w="108" w:type="dxa"/>
          <w:bottom w:w="0" w:type="dxa"/>
          <w:right w:w="108" w:type="dxa"/>
        </w:tblCellMar>
      </w:tblPr>
      <w:tblGrid>
        <w:gridCol w:w="2500"/>
        <w:gridCol w:w="6022"/>
      </w:tblGrid>
      <w:tr>
        <w:tblPrEx>
          <w:tblCellMar>
            <w:top w:w="0" w:type="dxa"/>
            <w:left w:w="108" w:type="dxa"/>
            <w:bottom w:w="0" w:type="dxa"/>
            <w:right w:w="108" w:type="dxa"/>
          </w:tblCellMar>
        </w:tblPrEx>
        <w:trPr>
          <w:trHeight w:val="495"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cs="宋体"/>
                <w:color w:val="000000"/>
                <w:sz w:val="24"/>
                <w:szCs w:val="24"/>
                <w:highlight w:val="yellow"/>
              </w:rPr>
            </w:pPr>
            <w:r>
              <w:rPr>
                <w:rStyle w:val="77"/>
                <w:rFonts w:hint="eastAsia" w:ascii="宋体" w:hAnsi="宋体" w:eastAsia="宋体" w:cs="宋体"/>
                <w:sz w:val="24"/>
                <w:szCs w:val="24"/>
              </w:rPr>
              <w:t xml:space="preserve"> 智慧电气火灾</w:t>
            </w:r>
            <w:r>
              <w:rPr>
                <w:rStyle w:val="78"/>
                <w:rFonts w:hint="eastAsia" w:ascii="宋体" w:hAnsi="宋体" w:eastAsia="宋体" w:cs="宋体"/>
              </w:rPr>
              <w:t>监控系统技术规格</w:t>
            </w:r>
          </w:p>
        </w:tc>
      </w:tr>
      <w:tr>
        <w:tblPrEx>
          <w:tblCellMar>
            <w:top w:w="0" w:type="dxa"/>
            <w:left w:w="108" w:type="dxa"/>
            <w:bottom w:w="0" w:type="dxa"/>
            <w:right w:w="108" w:type="dxa"/>
          </w:tblCellMar>
        </w:tblPrEx>
        <w:trPr>
          <w:trHeight w:val="495" w:hRule="atLeast"/>
        </w:trPr>
        <w:tc>
          <w:tcPr>
            <w:tcW w:w="1467"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highlight w:val="yellow"/>
              </w:rPr>
            </w:pPr>
            <w:r>
              <w:rPr>
                <w:rStyle w:val="79"/>
                <w:rFonts w:hint="default"/>
              </w:rPr>
              <w:t>项目</w:t>
            </w:r>
          </w:p>
        </w:tc>
        <w:tc>
          <w:tcPr>
            <w:tcW w:w="3532"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highlight w:val="yellow"/>
              </w:rPr>
            </w:pPr>
            <w:r>
              <w:rPr>
                <w:rStyle w:val="79"/>
                <w:rFonts w:hint="default"/>
              </w:rPr>
              <w:t>指标性能</w:t>
            </w:r>
          </w:p>
        </w:tc>
      </w:tr>
      <w:tr>
        <w:tblPrEx>
          <w:tblCellMar>
            <w:top w:w="0" w:type="dxa"/>
            <w:left w:w="108" w:type="dxa"/>
            <w:bottom w:w="0" w:type="dxa"/>
            <w:right w:w="108" w:type="dxa"/>
          </w:tblCellMar>
        </w:tblPrEx>
        <w:trPr>
          <w:trHeight w:val="525" w:hRule="atLeast"/>
        </w:trPr>
        <w:tc>
          <w:tcPr>
            <w:tcW w:w="1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电流显示范围</w:t>
            </w:r>
          </w:p>
        </w:tc>
        <w:tc>
          <w:tcPr>
            <w:tcW w:w="3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highlight w:val="yellow"/>
              </w:rPr>
            </w:pPr>
            <w:r>
              <w:rPr>
                <w:rStyle w:val="80"/>
                <w:rFonts w:hint="eastAsia" w:ascii="宋体" w:hAnsi="宋体" w:cs="宋体"/>
              </w:rPr>
              <w:t>0A</w:t>
            </w:r>
            <w:r>
              <w:rPr>
                <w:rStyle w:val="79"/>
                <w:rFonts w:hint="default"/>
              </w:rPr>
              <w:t>～</w:t>
            </w:r>
            <w:r>
              <w:rPr>
                <w:rStyle w:val="80"/>
                <w:rFonts w:hint="eastAsia" w:ascii="宋体" w:hAnsi="宋体" w:cs="宋体"/>
              </w:rPr>
              <w:t xml:space="preserve">1000A </w:t>
            </w:r>
          </w:p>
        </w:tc>
      </w:tr>
      <w:tr>
        <w:tblPrEx>
          <w:tblCellMar>
            <w:top w:w="0" w:type="dxa"/>
            <w:left w:w="108" w:type="dxa"/>
            <w:bottom w:w="0" w:type="dxa"/>
            <w:right w:w="108" w:type="dxa"/>
          </w:tblCellMar>
        </w:tblPrEx>
        <w:trPr>
          <w:trHeight w:val="540" w:hRule="atLeast"/>
        </w:trPr>
        <w:tc>
          <w:tcPr>
            <w:tcW w:w="1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电压显示范围</w:t>
            </w:r>
          </w:p>
        </w:tc>
        <w:tc>
          <w:tcPr>
            <w:tcW w:w="3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highlight w:val="yellow"/>
              </w:rPr>
            </w:pPr>
            <w:r>
              <w:rPr>
                <w:rStyle w:val="80"/>
                <w:rFonts w:hint="eastAsia" w:ascii="宋体" w:hAnsi="宋体" w:cs="宋体"/>
              </w:rPr>
              <w:t>AC</w:t>
            </w:r>
            <w:r>
              <w:rPr>
                <w:rStyle w:val="79"/>
                <w:rFonts w:hint="default"/>
              </w:rPr>
              <w:t>：</w:t>
            </w:r>
            <w:r>
              <w:rPr>
                <w:rStyle w:val="80"/>
                <w:rFonts w:hint="eastAsia" w:ascii="宋体" w:hAnsi="宋体" w:cs="宋体"/>
              </w:rPr>
              <w:t>0V</w:t>
            </w:r>
            <w:r>
              <w:rPr>
                <w:rStyle w:val="79"/>
                <w:rFonts w:hint="default"/>
              </w:rPr>
              <w:t>～</w:t>
            </w:r>
            <w:r>
              <w:rPr>
                <w:rStyle w:val="80"/>
                <w:rFonts w:hint="eastAsia" w:ascii="宋体" w:hAnsi="宋体" w:cs="宋体"/>
              </w:rPr>
              <w:t xml:space="preserve">600V </w:t>
            </w:r>
          </w:p>
        </w:tc>
      </w:tr>
      <w:tr>
        <w:tblPrEx>
          <w:tblCellMar>
            <w:top w:w="0" w:type="dxa"/>
            <w:left w:w="108" w:type="dxa"/>
            <w:bottom w:w="0" w:type="dxa"/>
            <w:right w:w="108" w:type="dxa"/>
          </w:tblCellMar>
        </w:tblPrEx>
        <w:trPr>
          <w:trHeight w:val="495" w:hRule="atLeast"/>
        </w:trPr>
        <w:tc>
          <w:tcPr>
            <w:tcW w:w="1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剩余电流显示范围</w:t>
            </w:r>
          </w:p>
        </w:tc>
        <w:tc>
          <w:tcPr>
            <w:tcW w:w="3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highlight w:val="yellow"/>
              </w:rPr>
            </w:pPr>
            <w:r>
              <w:rPr>
                <w:rStyle w:val="80"/>
                <w:rFonts w:hint="eastAsia" w:ascii="宋体" w:hAnsi="宋体" w:cs="宋体"/>
              </w:rPr>
              <w:t>50mA</w:t>
            </w:r>
            <w:r>
              <w:rPr>
                <w:rStyle w:val="79"/>
                <w:rFonts w:hint="default"/>
              </w:rPr>
              <w:t>～</w:t>
            </w:r>
            <w:r>
              <w:rPr>
                <w:rStyle w:val="80"/>
                <w:rFonts w:hint="eastAsia" w:ascii="宋体" w:hAnsi="宋体" w:cs="宋体"/>
              </w:rPr>
              <w:t xml:space="preserve">1500mA </w:t>
            </w:r>
          </w:p>
        </w:tc>
      </w:tr>
      <w:tr>
        <w:tblPrEx>
          <w:tblCellMar>
            <w:top w:w="0" w:type="dxa"/>
            <w:left w:w="108" w:type="dxa"/>
            <w:bottom w:w="0" w:type="dxa"/>
            <w:right w:w="108" w:type="dxa"/>
          </w:tblCellMar>
        </w:tblPrEx>
        <w:trPr>
          <w:trHeight w:val="495" w:hRule="atLeast"/>
        </w:trPr>
        <w:tc>
          <w:tcPr>
            <w:tcW w:w="1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温度显示范围</w:t>
            </w:r>
          </w:p>
        </w:tc>
        <w:tc>
          <w:tcPr>
            <w:tcW w:w="3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highlight w:val="yellow"/>
              </w:rPr>
            </w:pPr>
            <w:r>
              <w:rPr>
                <w:rStyle w:val="80"/>
                <w:rFonts w:hint="eastAsia" w:ascii="宋体" w:hAnsi="宋体" w:cs="宋体"/>
              </w:rPr>
              <w:t xml:space="preserve">0 </w:t>
            </w:r>
            <w:r>
              <w:rPr>
                <w:rStyle w:val="81"/>
                <w:rFonts w:hint="default"/>
                <w:sz w:val="24"/>
                <w:szCs w:val="24"/>
              </w:rPr>
              <w:t>℃</w:t>
            </w:r>
            <w:r>
              <w:rPr>
                <w:rStyle w:val="79"/>
                <w:rFonts w:hint="default"/>
              </w:rPr>
              <w:t>～</w:t>
            </w:r>
            <w:r>
              <w:rPr>
                <w:rStyle w:val="80"/>
                <w:rFonts w:hint="eastAsia" w:ascii="宋体" w:hAnsi="宋体" w:cs="宋体"/>
              </w:rPr>
              <w:t xml:space="preserve">140 </w:t>
            </w:r>
            <w:r>
              <w:rPr>
                <w:rStyle w:val="81"/>
                <w:rFonts w:hint="default"/>
                <w:sz w:val="24"/>
                <w:szCs w:val="24"/>
              </w:rPr>
              <w:t>℃</w:t>
            </w:r>
          </w:p>
        </w:tc>
      </w:tr>
      <w:tr>
        <w:tblPrEx>
          <w:tblCellMar>
            <w:top w:w="0" w:type="dxa"/>
            <w:left w:w="108" w:type="dxa"/>
            <w:bottom w:w="0" w:type="dxa"/>
            <w:right w:w="108" w:type="dxa"/>
          </w:tblCellMar>
        </w:tblPrEx>
        <w:trPr>
          <w:trHeight w:val="540" w:hRule="atLeast"/>
        </w:trPr>
        <w:tc>
          <w:tcPr>
            <w:tcW w:w="1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highlight w:val="yellow"/>
              </w:rPr>
            </w:pPr>
            <w:r>
              <w:rPr>
                <w:rStyle w:val="79"/>
                <w:rFonts w:hint="default"/>
              </w:rPr>
              <w:t>采样周期</w:t>
            </w:r>
          </w:p>
        </w:tc>
        <w:tc>
          <w:tcPr>
            <w:tcW w:w="3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highlight w:val="yellow"/>
              </w:rPr>
            </w:pPr>
            <w:r>
              <w:rPr>
                <w:rFonts w:hint="eastAsia" w:ascii="宋体" w:hAnsi="宋体" w:cs="宋体"/>
                <w:color w:val="000000"/>
                <w:kern w:val="0"/>
                <w:sz w:val="24"/>
                <w:szCs w:val="24"/>
              </w:rPr>
              <w:t>实时</w:t>
            </w:r>
          </w:p>
        </w:tc>
      </w:tr>
      <w:tr>
        <w:tblPrEx>
          <w:tblCellMar>
            <w:top w:w="0" w:type="dxa"/>
            <w:left w:w="108" w:type="dxa"/>
            <w:bottom w:w="0" w:type="dxa"/>
            <w:right w:w="108" w:type="dxa"/>
          </w:tblCellMar>
        </w:tblPrEx>
        <w:trPr>
          <w:trHeight w:val="495" w:hRule="atLeast"/>
        </w:trPr>
        <w:tc>
          <w:tcPr>
            <w:tcW w:w="1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报警延时</w:t>
            </w:r>
          </w:p>
        </w:tc>
        <w:tc>
          <w:tcPr>
            <w:tcW w:w="3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highlight w:val="yellow"/>
              </w:rPr>
            </w:pPr>
            <w:r>
              <w:rPr>
                <w:rStyle w:val="80"/>
                <w:rFonts w:hint="eastAsia" w:ascii="宋体" w:hAnsi="宋体" w:cs="宋体"/>
              </w:rPr>
              <w:t>300mS</w:t>
            </w:r>
            <w:r>
              <w:rPr>
                <w:rStyle w:val="79"/>
                <w:rFonts w:hint="default"/>
              </w:rPr>
              <w:t>～</w:t>
            </w:r>
            <w:r>
              <w:rPr>
                <w:rStyle w:val="80"/>
                <w:rFonts w:hint="eastAsia" w:ascii="宋体" w:hAnsi="宋体" w:cs="宋体"/>
              </w:rPr>
              <w:t xml:space="preserve">500mS </w:t>
            </w:r>
          </w:p>
        </w:tc>
      </w:tr>
      <w:tr>
        <w:tblPrEx>
          <w:tblCellMar>
            <w:top w:w="0" w:type="dxa"/>
            <w:left w:w="108" w:type="dxa"/>
            <w:bottom w:w="0" w:type="dxa"/>
            <w:right w:w="108" w:type="dxa"/>
          </w:tblCellMar>
        </w:tblPrEx>
        <w:trPr>
          <w:trHeight w:val="510" w:hRule="atLeast"/>
        </w:trPr>
        <w:tc>
          <w:tcPr>
            <w:tcW w:w="1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心跳包发送</w:t>
            </w:r>
          </w:p>
        </w:tc>
        <w:tc>
          <w:tcPr>
            <w:tcW w:w="3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highlight w:val="yellow"/>
              </w:rPr>
            </w:pPr>
            <w:r>
              <w:rPr>
                <w:rStyle w:val="80"/>
                <w:rFonts w:hint="eastAsia" w:ascii="宋体" w:hAnsi="宋体" w:cs="宋体"/>
              </w:rPr>
              <w:t>30S</w:t>
            </w:r>
            <w:r>
              <w:rPr>
                <w:rStyle w:val="79"/>
                <w:rFonts w:hint="default"/>
              </w:rPr>
              <w:t>～</w:t>
            </w:r>
            <w:r>
              <w:rPr>
                <w:rStyle w:val="80"/>
                <w:rFonts w:hint="eastAsia" w:ascii="宋体" w:hAnsi="宋体" w:cs="宋体"/>
              </w:rPr>
              <w:t xml:space="preserve">90S </w:t>
            </w:r>
          </w:p>
        </w:tc>
      </w:tr>
      <w:tr>
        <w:tblPrEx>
          <w:tblCellMar>
            <w:top w:w="0" w:type="dxa"/>
            <w:left w:w="108" w:type="dxa"/>
            <w:bottom w:w="0" w:type="dxa"/>
            <w:right w:w="108" w:type="dxa"/>
          </w:tblCellMar>
        </w:tblPrEx>
        <w:trPr>
          <w:trHeight w:val="510" w:hRule="atLeast"/>
        </w:trPr>
        <w:tc>
          <w:tcPr>
            <w:tcW w:w="1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剩余电流报警设定值</w:t>
            </w:r>
          </w:p>
        </w:tc>
        <w:tc>
          <w:tcPr>
            <w:tcW w:w="3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highlight w:val="yellow"/>
              </w:rPr>
            </w:pPr>
            <w:r>
              <w:rPr>
                <w:rStyle w:val="80"/>
                <w:rFonts w:hint="eastAsia" w:ascii="宋体" w:hAnsi="宋体" w:cs="宋体"/>
              </w:rPr>
              <w:t>100mA</w:t>
            </w:r>
            <w:r>
              <w:rPr>
                <w:rStyle w:val="79"/>
                <w:rFonts w:hint="default"/>
              </w:rPr>
              <w:t>～</w:t>
            </w:r>
            <w:r>
              <w:rPr>
                <w:rStyle w:val="80"/>
                <w:rFonts w:hint="eastAsia" w:ascii="宋体" w:hAnsi="宋体" w:cs="宋体"/>
              </w:rPr>
              <w:t xml:space="preserve">1000mA </w:t>
            </w:r>
          </w:p>
        </w:tc>
      </w:tr>
      <w:tr>
        <w:tblPrEx>
          <w:tblCellMar>
            <w:top w:w="0" w:type="dxa"/>
            <w:left w:w="108" w:type="dxa"/>
            <w:bottom w:w="0" w:type="dxa"/>
            <w:right w:w="108" w:type="dxa"/>
          </w:tblCellMar>
        </w:tblPrEx>
        <w:trPr>
          <w:trHeight w:val="480" w:hRule="atLeast"/>
        </w:trPr>
        <w:tc>
          <w:tcPr>
            <w:tcW w:w="1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电流报警设定值</w:t>
            </w:r>
          </w:p>
        </w:tc>
        <w:tc>
          <w:tcPr>
            <w:tcW w:w="3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highlight w:val="yellow"/>
              </w:rPr>
            </w:pPr>
            <w:r>
              <w:rPr>
                <w:rStyle w:val="79"/>
                <w:rFonts w:hint="default"/>
              </w:rPr>
              <w:t>额定电流的</w:t>
            </w:r>
            <w:r>
              <w:rPr>
                <w:rStyle w:val="80"/>
                <w:rFonts w:hint="eastAsia" w:ascii="宋体" w:hAnsi="宋体" w:cs="宋体"/>
              </w:rPr>
              <w:t>12%</w:t>
            </w:r>
            <w:r>
              <w:rPr>
                <w:rStyle w:val="79"/>
                <w:rFonts w:hint="default"/>
              </w:rPr>
              <w:t>～</w:t>
            </w:r>
            <w:r>
              <w:rPr>
                <w:rStyle w:val="80"/>
                <w:rFonts w:hint="eastAsia" w:ascii="宋体" w:hAnsi="宋体" w:cs="宋体"/>
              </w:rPr>
              <w:t xml:space="preserve">100% </w:t>
            </w:r>
          </w:p>
        </w:tc>
      </w:tr>
      <w:tr>
        <w:tblPrEx>
          <w:tblCellMar>
            <w:top w:w="0" w:type="dxa"/>
            <w:left w:w="108" w:type="dxa"/>
            <w:bottom w:w="0" w:type="dxa"/>
            <w:right w:w="108" w:type="dxa"/>
          </w:tblCellMar>
        </w:tblPrEx>
        <w:trPr>
          <w:trHeight w:val="465" w:hRule="atLeast"/>
        </w:trPr>
        <w:tc>
          <w:tcPr>
            <w:tcW w:w="1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Style w:val="79"/>
                <w:rFonts w:hint="default"/>
              </w:rPr>
              <w:t>过压报警设定值</w:t>
            </w:r>
          </w:p>
        </w:tc>
        <w:tc>
          <w:tcPr>
            <w:tcW w:w="3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highlight w:val="yellow"/>
              </w:rPr>
            </w:pPr>
            <w:r>
              <w:rPr>
                <w:rStyle w:val="79"/>
                <w:rFonts w:hint="default"/>
              </w:rPr>
              <w:t>额定电压</w:t>
            </w:r>
            <w:r>
              <w:rPr>
                <w:rStyle w:val="80"/>
                <w:rFonts w:hint="eastAsia" w:ascii="宋体" w:hAnsi="宋体" w:cs="宋体"/>
              </w:rPr>
              <w:t>AC220V</w:t>
            </w:r>
            <w:r>
              <w:rPr>
                <w:rStyle w:val="79"/>
                <w:rFonts w:hint="default"/>
              </w:rPr>
              <w:t>的</w:t>
            </w:r>
            <w:r>
              <w:rPr>
                <w:rStyle w:val="80"/>
                <w:rFonts w:hint="eastAsia" w:ascii="宋体" w:hAnsi="宋体" w:cs="宋体"/>
              </w:rPr>
              <w:t>105%</w:t>
            </w:r>
            <w:r>
              <w:rPr>
                <w:rStyle w:val="79"/>
                <w:rFonts w:hint="default"/>
              </w:rPr>
              <w:t>～</w:t>
            </w:r>
            <w:r>
              <w:rPr>
                <w:rStyle w:val="80"/>
                <w:rFonts w:hint="eastAsia" w:ascii="宋体" w:hAnsi="宋体" w:cs="宋体"/>
              </w:rPr>
              <w:t>150% AC</w:t>
            </w:r>
            <w:r>
              <w:rPr>
                <w:rStyle w:val="79"/>
                <w:rFonts w:hint="default"/>
              </w:rPr>
              <w:t>（</w:t>
            </w:r>
            <w:r>
              <w:rPr>
                <w:rStyle w:val="80"/>
                <w:rFonts w:hint="eastAsia" w:ascii="宋体" w:hAnsi="宋体" w:cs="宋体"/>
              </w:rPr>
              <w:t>231V</w:t>
            </w:r>
            <w:r>
              <w:rPr>
                <w:rStyle w:val="79"/>
                <w:rFonts w:hint="default"/>
              </w:rPr>
              <w:t>～</w:t>
            </w:r>
            <w:r>
              <w:rPr>
                <w:rStyle w:val="80"/>
                <w:rFonts w:hint="eastAsia" w:ascii="宋体" w:hAnsi="宋体" w:cs="宋体"/>
              </w:rPr>
              <w:t>330V</w:t>
            </w:r>
            <w:r>
              <w:rPr>
                <w:rStyle w:val="79"/>
                <w:rFonts w:hint="default"/>
              </w:rPr>
              <w:t>）</w:t>
            </w:r>
          </w:p>
        </w:tc>
      </w:tr>
      <w:tr>
        <w:tblPrEx>
          <w:tblCellMar>
            <w:top w:w="0" w:type="dxa"/>
            <w:left w:w="108" w:type="dxa"/>
            <w:bottom w:w="0" w:type="dxa"/>
            <w:right w:w="108" w:type="dxa"/>
          </w:tblCellMar>
        </w:tblPrEx>
        <w:trPr>
          <w:trHeight w:val="465" w:hRule="atLeast"/>
        </w:trPr>
        <w:tc>
          <w:tcPr>
            <w:tcW w:w="1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欠压报警设定值</w:t>
            </w:r>
          </w:p>
        </w:tc>
        <w:tc>
          <w:tcPr>
            <w:tcW w:w="3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highlight w:val="yellow"/>
              </w:rPr>
            </w:pPr>
            <w:r>
              <w:rPr>
                <w:rStyle w:val="79"/>
                <w:rFonts w:hint="default"/>
              </w:rPr>
              <w:t>额定电压</w:t>
            </w:r>
            <w:r>
              <w:rPr>
                <w:rStyle w:val="80"/>
                <w:rFonts w:hint="eastAsia" w:ascii="宋体" w:hAnsi="宋体" w:cs="宋体"/>
              </w:rPr>
              <w:t>AC220V</w:t>
            </w:r>
            <w:r>
              <w:rPr>
                <w:rStyle w:val="79"/>
                <w:rFonts w:hint="default"/>
              </w:rPr>
              <w:t>的</w:t>
            </w:r>
            <w:r>
              <w:rPr>
                <w:rStyle w:val="80"/>
                <w:rFonts w:hint="eastAsia" w:ascii="宋体" w:hAnsi="宋体" w:cs="宋体"/>
              </w:rPr>
              <w:t>60%</w:t>
            </w:r>
            <w:r>
              <w:rPr>
                <w:rStyle w:val="79"/>
                <w:rFonts w:hint="default"/>
              </w:rPr>
              <w:t>～</w:t>
            </w:r>
            <w:r>
              <w:rPr>
                <w:rStyle w:val="80"/>
                <w:rFonts w:hint="eastAsia" w:ascii="宋体" w:hAnsi="宋体" w:cs="宋体"/>
              </w:rPr>
              <w:t>95% AC</w:t>
            </w:r>
            <w:r>
              <w:rPr>
                <w:rStyle w:val="79"/>
                <w:rFonts w:hint="default"/>
              </w:rPr>
              <w:t>（</w:t>
            </w:r>
            <w:r>
              <w:rPr>
                <w:rStyle w:val="80"/>
                <w:rFonts w:hint="eastAsia" w:ascii="宋体" w:hAnsi="宋体" w:cs="宋体"/>
              </w:rPr>
              <w:t>132V</w:t>
            </w:r>
            <w:r>
              <w:rPr>
                <w:rStyle w:val="79"/>
                <w:rFonts w:hint="default"/>
              </w:rPr>
              <w:t>～</w:t>
            </w:r>
            <w:r>
              <w:rPr>
                <w:rStyle w:val="80"/>
                <w:rFonts w:hint="eastAsia" w:ascii="宋体" w:hAnsi="宋体" w:cs="宋体"/>
              </w:rPr>
              <w:t>209V</w:t>
            </w:r>
            <w:r>
              <w:rPr>
                <w:rStyle w:val="79"/>
                <w:rFonts w:hint="default"/>
              </w:rPr>
              <w:t>）</w:t>
            </w:r>
          </w:p>
        </w:tc>
      </w:tr>
      <w:tr>
        <w:tblPrEx>
          <w:tblCellMar>
            <w:top w:w="0" w:type="dxa"/>
            <w:left w:w="108" w:type="dxa"/>
            <w:bottom w:w="0" w:type="dxa"/>
            <w:right w:w="108" w:type="dxa"/>
          </w:tblCellMar>
        </w:tblPrEx>
        <w:trPr>
          <w:trHeight w:val="480" w:hRule="atLeast"/>
        </w:trPr>
        <w:tc>
          <w:tcPr>
            <w:tcW w:w="1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温度报警设定值</w:t>
            </w:r>
          </w:p>
        </w:tc>
        <w:tc>
          <w:tcPr>
            <w:tcW w:w="3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highlight w:val="yellow"/>
              </w:rPr>
            </w:pPr>
            <w:r>
              <w:rPr>
                <w:rStyle w:val="80"/>
                <w:rFonts w:hint="eastAsia" w:ascii="宋体" w:hAnsi="宋体" w:cs="宋体"/>
              </w:rPr>
              <w:t xml:space="preserve">55 </w:t>
            </w:r>
            <w:r>
              <w:rPr>
                <w:rStyle w:val="81"/>
                <w:rFonts w:hint="default"/>
                <w:sz w:val="24"/>
                <w:szCs w:val="24"/>
              </w:rPr>
              <w:t>℃</w:t>
            </w:r>
            <w:r>
              <w:rPr>
                <w:rStyle w:val="79"/>
                <w:rFonts w:hint="default"/>
              </w:rPr>
              <w:t>～</w:t>
            </w:r>
            <w:r>
              <w:rPr>
                <w:rStyle w:val="80"/>
                <w:rFonts w:hint="eastAsia" w:ascii="宋体" w:hAnsi="宋体" w:cs="宋体"/>
              </w:rPr>
              <w:t xml:space="preserve">140 </w:t>
            </w:r>
            <w:r>
              <w:rPr>
                <w:rStyle w:val="81"/>
                <w:rFonts w:hint="default"/>
                <w:sz w:val="24"/>
                <w:szCs w:val="24"/>
              </w:rPr>
              <w:t>℃</w:t>
            </w:r>
          </w:p>
        </w:tc>
      </w:tr>
      <w:tr>
        <w:tblPrEx>
          <w:tblCellMar>
            <w:top w:w="0" w:type="dxa"/>
            <w:left w:w="108" w:type="dxa"/>
            <w:bottom w:w="0" w:type="dxa"/>
            <w:right w:w="108" w:type="dxa"/>
          </w:tblCellMar>
        </w:tblPrEx>
        <w:trPr>
          <w:trHeight w:val="480" w:hRule="atLeast"/>
        </w:trPr>
        <w:tc>
          <w:tcPr>
            <w:tcW w:w="1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直流输出</w:t>
            </w:r>
          </w:p>
        </w:tc>
        <w:tc>
          <w:tcPr>
            <w:tcW w:w="3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highlight w:val="yellow"/>
              </w:rPr>
            </w:pPr>
            <w:r>
              <w:rPr>
                <w:rStyle w:val="80"/>
                <w:rFonts w:hint="eastAsia" w:ascii="宋体" w:hAnsi="宋体" w:cs="宋体"/>
              </w:rPr>
              <w:t xml:space="preserve">DC12V/1A </w:t>
            </w:r>
            <w:r>
              <w:rPr>
                <w:rStyle w:val="79"/>
                <w:rFonts w:hint="default"/>
              </w:rPr>
              <w:t>可用于烟感供电</w:t>
            </w:r>
          </w:p>
        </w:tc>
      </w:tr>
      <w:tr>
        <w:tblPrEx>
          <w:tblCellMar>
            <w:top w:w="0" w:type="dxa"/>
            <w:left w:w="108" w:type="dxa"/>
            <w:bottom w:w="0" w:type="dxa"/>
            <w:right w:w="108" w:type="dxa"/>
          </w:tblCellMar>
        </w:tblPrEx>
        <w:trPr>
          <w:trHeight w:val="525" w:hRule="atLeast"/>
        </w:trPr>
        <w:tc>
          <w:tcPr>
            <w:tcW w:w="1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工作方式</w:t>
            </w:r>
          </w:p>
        </w:tc>
        <w:tc>
          <w:tcPr>
            <w:tcW w:w="3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highlight w:val="yellow"/>
              </w:rPr>
            </w:pPr>
            <w:r>
              <w:rPr>
                <w:rStyle w:val="80"/>
                <w:rFonts w:hint="eastAsia" w:ascii="宋体" w:hAnsi="宋体" w:cs="宋体"/>
              </w:rPr>
              <w:t xml:space="preserve">AC220V </w:t>
            </w:r>
            <w:r>
              <w:rPr>
                <w:rStyle w:val="79"/>
                <w:rFonts w:hint="default"/>
              </w:rPr>
              <w:t>正常待机电流</w:t>
            </w:r>
            <w:r>
              <w:rPr>
                <w:rStyle w:val="80"/>
                <w:rFonts w:hint="eastAsia" w:ascii="宋体" w:hAnsi="宋体" w:cs="宋体"/>
              </w:rPr>
              <w:t xml:space="preserve">10mA </w:t>
            </w:r>
          </w:p>
        </w:tc>
      </w:tr>
    </w:tbl>
    <w:p>
      <w:pPr>
        <w:pStyle w:val="75"/>
        <w:rPr>
          <w:rFonts w:hAnsi="宋体"/>
          <w:b/>
          <w:bCs/>
          <w:color w:val="000000" w:themeColor="text1"/>
          <w:highlight w:val="yellow"/>
          <w14:textFill>
            <w14:solidFill>
              <w14:schemeClr w14:val="tx1"/>
            </w14:solidFill>
          </w14:textFill>
        </w:rPr>
      </w:pPr>
    </w:p>
    <w:p>
      <w:pPr>
        <w:pStyle w:val="75"/>
        <w:rPr>
          <w:rFonts w:hAnsi="宋体"/>
          <w:b/>
          <w:bCs/>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（二）设备功能参数</w:t>
      </w:r>
    </w:p>
    <w:tbl>
      <w:tblPr>
        <w:tblStyle w:val="29"/>
        <w:tblW w:w="5011" w:type="pct"/>
        <w:tblInd w:w="0" w:type="dxa"/>
        <w:tblLayout w:type="autofit"/>
        <w:tblCellMar>
          <w:top w:w="0" w:type="dxa"/>
          <w:left w:w="108" w:type="dxa"/>
          <w:bottom w:w="0" w:type="dxa"/>
          <w:right w:w="108" w:type="dxa"/>
        </w:tblCellMar>
      </w:tblPr>
      <w:tblGrid>
        <w:gridCol w:w="1308"/>
        <w:gridCol w:w="7233"/>
      </w:tblGrid>
      <w:tr>
        <w:tblPrEx>
          <w:tblCellMar>
            <w:top w:w="0" w:type="dxa"/>
            <w:left w:w="108" w:type="dxa"/>
            <w:bottom w:w="0" w:type="dxa"/>
            <w:right w:w="108" w:type="dxa"/>
          </w:tblCellMar>
        </w:tblPrEx>
        <w:trPr>
          <w:trHeight w:val="964" w:hRule="atLeast"/>
        </w:trPr>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设备基本功能</w:t>
            </w:r>
          </w:p>
        </w:tc>
        <w:tc>
          <w:tcPr>
            <w:tcW w:w="42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 xml:space="preserve">①剩余电流监测保护(漏电保护): 报警范围100mA-1000mA 显示范围0-1500mA。 </w:t>
            </w:r>
          </w:p>
        </w:tc>
      </w:tr>
      <w:tr>
        <w:tblPrEx>
          <w:tblCellMar>
            <w:top w:w="0" w:type="dxa"/>
            <w:left w:w="108" w:type="dxa"/>
            <w:bottom w:w="0" w:type="dxa"/>
            <w:right w:w="108" w:type="dxa"/>
          </w:tblCellMar>
        </w:tblPrEx>
        <w:trPr>
          <w:trHeight w:val="1195" w:hRule="atLeast"/>
        </w:trPr>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42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top"/>
              <w:rPr>
                <w:rFonts w:ascii="宋体" w:hAnsi="宋体" w:cs="宋体"/>
                <w:color w:val="000000"/>
                <w:sz w:val="24"/>
                <w:szCs w:val="24"/>
              </w:rPr>
            </w:pPr>
            <w:r>
              <w:rPr>
                <w:rFonts w:hint="eastAsia" w:ascii="宋体" w:hAnsi="宋体" w:cs="宋体"/>
                <w:color w:val="000000"/>
                <w:kern w:val="0"/>
                <w:sz w:val="24"/>
                <w:szCs w:val="24"/>
              </w:rPr>
              <w:t>②在线监测线路的剩余电流：可以根据线路正常漏电流的大小人工设定报警动作电流。对装设二级或多级剩余电流保护的场所，采用不同的剩余电流动作电流及延时动作的方法来实现保护的选择性。</w:t>
            </w:r>
          </w:p>
        </w:tc>
      </w:tr>
      <w:tr>
        <w:tblPrEx>
          <w:tblCellMar>
            <w:top w:w="0" w:type="dxa"/>
            <w:left w:w="108" w:type="dxa"/>
            <w:bottom w:w="0" w:type="dxa"/>
            <w:right w:w="108" w:type="dxa"/>
          </w:tblCellMar>
        </w:tblPrEx>
        <w:trPr>
          <w:trHeight w:val="1246" w:hRule="atLeast"/>
        </w:trPr>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42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③温度监测保护：通过温度传感器可监测配电箱、线缆或线缆连接处的温度，超过温度报警设定值时报警或跳闸。温度传感器的安装必须固定稳定，防止跌落造成线路短路。</w:t>
            </w:r>
          </w:p>
        </w:tc>
      </w:tr>
      <w:tr>
        <w:tblPrEx>
          <w:tblCellMar>
            <w:top w:w="0" w:type="dxa"/>
            <w:left w:w="108" w:type="dxa"/>
            <w:bottom w:w="0" w:type="dxa"/>
            <w:right w:w="108" w:type="dxa"/>
          </w:tblCellMar>
        </w:tblPrEx>
        <w:trPr>
          <w:trHeight w:val="1460" w:hRule="atLeast"/>
        </w:trPr>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highlight w:val="yellow"/>
              </w:rPr>
            </w:pPr>
            <w:r>
              <w:rPr>
                <w:rFonts w:hint="eastAsia" w:ascii="宋体" w:hAnsi="宋体" w:cs="宋体"/>
                <w:color w:val="000000"/>
                <w:kern w:val="0"/>
                <w:sz w:val="24"/>
                <w:szCs w:val="24"/>
              </w:rPr>
              <w:t>设备延展功能</w:t>
            </w:r>
          </w:p>
        </w:tc>
        <w:tc>
          <w:tcPr>
            <w:tcW w:w="42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 xml:space="preserve">①过流监测保护：通过电流采样电路测量三相电流的真有效值，当测量值超过设置的过流报警设定值，延时一定时间，执行报警或者断开断路器操作。电流报警测量范围12%-100%，显示范围0A-1000A。 </w:t>
            </w:r>
          </w:p>
        </w:tc>
      </w:tr>
      <w:tr>
        <w:tblPrEx>
          <w:tblCellMar>
            <w:top w:w="0" w:type="dxa"/>
            <w:left w:w="108" w:type="dxa"/>
            <w:bottom w:w="0" w:type="dxa"/>
            <w:right w:w="108" w:type="dxa"/>
          </w:tblCellMar>
        </w:tblPrEx>
        <w:trPr>
          <w:trHeight w:val="1231" w:hRule="atLeast"/>
        </w:trPr>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highlight w:val="yellow"/>
              </w:rPr>
            </w:pPr>
          </w:p>
        </w:tc>
        <w:tc>
          <w:tcPr>
            <w:tcW w:w="42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②过压、欠压保护：探测器实时检测进线电压，当进线电压超过报警设定值(过压)或低于报警设定值(欠压)时自动报警。过压设定值：231V-330V，欠压设定值：132V-209V。</w:t>
            </w:r>
          </w:p>
        </w:tc>
      </w:tr>
      <w:tr>
        <w:tblPrEx>
          <w:tblCellMar>
            <w:top w:w="0" w:type="dxa"/>
            <w:left w:w="108" w:type="dxa"/>
            <w:bottom w:w="0" w:type="dxa"/>
            <w:right w:w="108" w:type="dxa"/>
          </w:tblCellMar>
        </w:tblPrEx>
        <w:trPr>
          <w:trHeight w:val="1166" w:hRule="atLeast"/>
        </w:trPr>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highlight w:val="yellow"/>
              </w:rPr>
            </w:pPr>
          </w:p>
        </w:tc>
        <w:tc>
          <w:tcPr>
            <w:tcW w:w="42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highlight w:val="yellow"/>
              </w:rPr>
            </w:pPr>
            <w:r>
              <w:rPr>
                <w:rFonts w:hint="eastAsia" w:ascii="宋体" w:hAnsi="宋体" w:cs="宋体"/>
                <w:color w:val="000000"/>
                <w:kern w:val="0"/>
                <w:sz w:val="24"/>
                <w:szCs w:val="24"/>
              </w:rPr>
              <w:t>③缺相保护：为防止线路因缺相导致用电设备不能正常工作，本系统根据监测电压有效值自动判断缺相报警，发出报警信号，或发出指令使具有脱口器的断路器跳闸。</w:t>
            </w:r>
          </w:p>
        </w:tc>
      </w:tr>
      <w:tr>
        <w:tblPrEx>
          <w:tblCellMar>
            <w:top w:w="0" w:type="dxa"/>
            <w:left w:w="108" w:type="dxa"/>
            <w:bottom w:w="0" w:type="dxa"/>
            <w:right w:w="108" w:type="dxa"/>
          </w:tblCellMar>
        </w:tblPrEx>
        <w:trPr>
          <w:trHeight w:val="1260" w:hRule="atLeast"/>
        </w:trPr>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highlight w:val="yellow"/>
              </w:rPr>
            </w:pPr>
          </w:p>
        </w:tc>
        <w:tc>
          <w:tcPr>
            <w:tcW w:w="42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 xml:space="preserve">④继电器输出功能：剩余电流保护及过压过流等保护可驱动继电器输出。当继电器执行方式设置为报警时，报警发生时，继电器做电平输出；当继电器执行方式设置为跳闸时，跳闸发生时，继电器为脉冲输出。 </w:t>
            </w:r>
          </w:p>
        </w:tc>
      </w:tr>
      <w:tr>
        <w:tblPrEx>
          <w:tblCellMar>
            <w:top w:w="0" w:type="dxa"/>
            <w:left w:w="108" w:type="dxa"/>
            <w:bottom w:w="0" w:type="dxa"/>
            <w:right w:w="108" w:type="dxa"/>
          </w:tblCellMar>
        </w:tblPrEx>
        <w:trPr>
          <w:trHeight w:val="1205" w:hRule="atLeast"/>
        </w:trPr>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highlight w:val="yellow"/>
              </w:rPr>
            </w:pPr>
          </w:p>
        </w:tc>
        <w:tc>
          <w:tcPr>
            <w:tcW w:w="42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 xml:space="preserve">⑤故障检测：探测器可以自动检测与传感器之间的连线是否有短路、断路等故障发生，检测到故障发生时发出声光报警信号。 </w:t>
            </w:r>
          </w:p>
        </w:tc>
      </w:tr>
      <w:tr>
        <w:tblPrEx>
          <w:tblCellMar>
            <w:top w:w="0" w:type="dxa"/>
            <w:left w:w="108" w:type="dxa"/>
            <w:bottom w:w="0" w:type="dxa"/>
            <w:right w:w="108" w:type="dxa"/>
          </w:tblCellMar>
        </w:tblPrEx>
        <w:trPr>
          <w:trHeight w:val="2925" w:hRule="atLeast"/>
        </w:trPr>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highlight w:val="yellow"/>
              </w:rPr>
            </w:pPr>
          </w:p>
        </w:tc>
        <w:tc>
          <w:tcPr>
            <w:tcW w:w="42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⑥设备的自检功能：连接烟雾探测传感器，用于探测环境中的烟感，烟雾浓度达到报警设定值后，会在各平台推送警报信息。探测器具备自检功能，当设备安装接线完毕，通电工作前必须进行自检。 自检可以简单检测探测器本机的功能。探测器上电自动进行检测，可检测显示设备各部分运行状态。当设备检测完全通过，自动退出检测状态进入运行状态。设置的自检按键，按动该键系统进入自检状态，历时 10s 左右，然后自动退出，自检结果可通过通讯读取，自检完成恢复到自检前状态。自检时，指示灯及数码管各段字符经历全亮、全灭等状态。</w:t>
            </w:r>
          </w:p>
        </w:tc>
      </w:tr>
    </w:tbl>
    <w:p>
      <w:pPr>
        <w:pStyle w:val="75"/>
        <w:rPr>
          <w:rFonts w:hAnsi="宋体"/>
          <w:b/>
          <w:bCs/>
          <w:color w:val="000000" w:themeColor="text1"/>
          <w:highlight w:val="yellow"/>
          <w14:textFill>
            <w14:solidFill>
              <w14:schemeClr w14:val="tx1"/>
            </w14:solidFill>
          </w14:textFill>
        </w:rPr>
      </w:pPr>
    </w:p>
    <w:p>
      <w:pPr>
        <w:pStyle w:val="75"/>
        <w:rPr>
          <w:rFonts w:hAnsi="宋体"/>
          <w:b/>
          <w:bCs/>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（三）服务参数</w:t>
      </w:r>
    </w:p>
    <w:tbl>
      <w:tblPr>
        <w:tblStyle w:val="29"/>
        <w:tblW w:w="4998" w:type="pct"/>
        <w:tblInd w:w="0" w:type="dxa"/>
        <w:tblLayout w:type="autofit"/>
        <w:tblCellMar>
          <w:top w:w="0" w:type="dxa"/>
          <w:left w:w="108" w:type="dxa"/>
          <w:bottom w:w="0" w:type="dxa"/>
          <w:right w:w="108" w:type="dxa"/>
        </w:tblCellMar>
      </w:tblPr>
      <w:tblGrid>
        <w:gridCol w:w="696"/>
        <w:gridCol w:w="2314"/>
        <w:gridCol w:w="5509"/>
      </w:tblGrid>
      <w:tr>
        <w:tblPrEx>
          <w:tblCellMar>
            <w:top w:w="0" w:type="dxa"/>
            <w:left w:w="108" w:type="dxa"/>
            <w:bottom w:w="0" w:type="dxa"/>
            <w:right w:w="108" w:type="dxa"/>
          </w:tblCellMar>
        </w:tblPrEx>
        <w:trPr>
          <w:trHeight w:val="9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1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服务</w:t>
            </w:r>
          </w:p>
        </w:tc>
        <w:tc>
          <w:tcPr>
            <w:tcW w:w="3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内容</w:t>
            </w:r>
          </w:p>
        </w:tc>
      </w:tr>
      <w:tr>
        <w:tblPrEx>
          <w:tblCellMar>
            <w:top w:w="0" w:type="dxa"/>
            <w:left w:w="108" w:type="dxa"/>
            <w:bottom w:w="0" w:type="dxa"/>
            <w:right w:w="108" w:type="dxa"/>
          </w:tblCellMar>
        </w:tblPrEx>
        <w:trPr>
          <w:trHeight w:val="615" w:hRule="atLeast"/>
        </w:trPr>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监测软件的使用效果</w:t>
            </w:r>
          </w:p>
        </w:tc>
        <w:tc>
          <w:tcPr>
            <w:tcW w:w="3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 xml:space="preserve">①有自用电安全动态监测软件专利著作权； </w:t>
            </w:r>
          </w:p>
        </w:tc>
      </w:tr>
      <w:tr>
        <w:tblPrEx>
          <w:tblCellMar>
            <w:top w:w="0" w:type="dxa"/>
            <w:left w:w="108" w:type="dxa"/>
            <w:bottom w:w="0" w:type="dxa"/>
            <w:right w:w="108" w:type="dxa"/>
          </w:tblCellMar>
        </w:tblPrEx>
        <w:trPr>
          <w:trHeight w:val="750" w:hRule="atLeast"/>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3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②地图展示/列表展示（精确定位客户方位；直观管控各类告警；列表展示实时状态）；</w:t>
            </w:r>
          </w:p>
        </w:tc>
      </w:tr>
      <w:tr>
        <w:trPr>
          <w:trHeight w:val="600" w:hRule="atLeast"/>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highlight w:val="yellow"/>
              </w:rPr>
            </w:pPr>
          </w:p>
        </w:tc>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highlight w:val="yellow"/>
              </w:rPr>
            </w:pPr>
          </w:p>
        </w:tc>
        <w:tc>
          <w:tcPr>
            <w:tcW w:w="3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③三级预警设置，值守人员操作明确化</w:t>
            </w:r>
          </w:p>
        </w:tc>
      </w:tr>
      <w:tr>
        <w:trPr>
          <w:trHeight w:val="764" w:hRule="atLeast"/>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highlight w:val="yellow"/>
              </w:rPr>
            </w:pPr>
          </w:p>
        </w:tc>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highlight w:val="yellow"/>
              </w:rPr>
            </w:pPr>
          </w:p>
        </w:tc>
        <w:tc>
          <w:tcPr>
            <w:tcW w:w="3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④云平台，数据传输速率快，按不同级别网格设置分平台经济便捷；</w:t>
            </w:r>
          </w:p>
        </w:tc>
      </w:tr>
      <w:tr>
        <w:tblPrEx>
          <w:tblCellMar>
            <w:top w:w="0" w:type="dxa"/>
            <w:left w:w="108" w:type="dxa"/>
            <w:bottom w:w="0" w:type="dxa"/>
            <w:right w:w="108" w:type="dxa"/>
          </w:tblCellMar>
        </w:tblPrEx>
        <w:trPr>
          <w:trHeight w:val="785" w:hRule="atLeast"/>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highlight w:val="yellow"/>
              </w:rPr>
            </w:pPr>
          </w:p>
        </w:tc>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highlight w:val="yellow"/>
              </w:rPr>
            </w:pPr>
          </w:p>
        </w:tc>
        <w:tc>
          <w:tcPr>
            <w:tcW w:w="3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⑤根据不同场所特性设置相应预警值，个性化预警服务，效果佳；</w:t>
            </w:r>
          </w:p>
        </w:tc>
      </w:tr>
      <w:tr>
        <w:tblPrEx>
          <w:tblCellMar>
            <w:top w:w="0" w:type="dxa"/>
            <w:left w:w="108" w:type="dxa"/>
            <w:bottom w:w="0" w:type="dxa"/>
            <w:right w:w="108" w:type="dxa"/>
          </w:tblCellMar>
        </w:tblPrEx>
        <w:trPr>
          <w:trHeight w:val="1106" w:hRule="atLeast"/>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highlight w:val="yellow"/>
              </w:rPr>
            </w:pPr>
          </w:p>
        </w:tc>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highlight w:val="yellow"/>
              </w:rPr>
            </w:pPr>
          </w:p>
        </w:tc>
        <w:tc>
          <w:tcPr>
            <w:tcW w:w="3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 xml:space="preserve">⑥平台自动生成单位用电安全预警日分析，周分析报表，建议整改措施，形成类比，让客户直观掌握用电安全数据及监控； </w:t>
            </w:r>
          </w:p>
        </w:tc>
      </w:tr>
      <w:tr>
        <w:tblPrEx>
          <w:tblCellMar>
            <w:top w:w="0" w:type="dxa"/>
            <w:left w:w="108" w:type="dxa"/>
            <w:bottom w:w="0" w:type="dxa"/>
            <w:right w:w="108" w:type="dxa"/>
          </w:tblCellMar>
        </w:tblPrEx>
        <w:trPr>
          <w:trHeight w:val="1548" w:hRule="atLeast"/>
        </w:trPr>
        <w:tc>
          <w:tcPr>
            <w:tcW w:w="393" w:type="pct"/>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1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接到异常情况时拟采取的措施</w:t>
            </w:r>
          </w:p>
        </w:tc>
        <w:tc>
          <w:tcPr>
            <w:tcW w:w="3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highlight w:val="yellow"/>
              </w:rPr>
            </w:pPr>
            <w:r>
              <w:rPr>
                <w:rFonts w:hint="eastAsia" w:ascii="宋体" w:hAnsi="宋体" w:cs="宋体"/>
                <w:color w:val="000000"/>
                <w:kern w:val="0"/>
                <w:sz w:val="24"/>
                <w:szCs w:val="24"/>
              </w:rPr>
              <w:t>①电压不在 187V-242V 范围、剩余电流超过 300mA，形成“自动推送一般预警”， 云平台PC端接到异常情况 、移动端自动推送警情；过压值设置范围231V-330V，欠压值范围132V-209V。</w:t>
            </w:r>
          </w:p>
        </w:tc>
      </w:tr>
      <w:tr>
        <w:tblPrEx>
          <w:tblCellMar>
            <w:top w:w="0" w:type="dxa"/>
            <w:left w:w="108" w:type="dxa"/>
            <w:bottom w:w="0" w:type="dxa"/>
            <w:right w:w="108" w:type="dxa"/>
          </w:tblCellMar>
        </w:tblPrEx>
        <w:trPr>
          <w:trHeight w:val="1380" w:hRule="atLeast"/>
        </w:trPr>
        <w:tc>
          <w:tcPr>
            <w:tcW w:w="393"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cs="宋体"/>
                <w:color w:val="000000"/>
                <w:sz w:val="24"/>
                <w:szCs w:val="24"/>
                <w:highlight w:val="yellow"/>
              </w:rPr>
            </w:pPr>
          </w:p>
        </w:tc>
        <w:tc>
          <w:tcPr>
            <w:tcW w:w="1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highlight w:val="yellow"/>
              </w:rPr>
            </w:pPr>
          </w:p>
        </w:tc>
        <w:tc>
          <w:tcPr>
            <w:tcW w:w="3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highlight w:val="yellow"/>
              </w:rPr>
            </w:pPr>
            <w:r>
              <w:rPr>
                <w:rFonts w:hint="eastAsia" w:ascii="宋体" w:hAnsi="宋体" w:cs="宋体"/>
                <w:color w:val="000000"/>
                <w:kern w:val="0"/>
                <w:sz w:val="24"/>
                <w:szCs w:val="24"/>
              </w:rPr>
              <w:t>②剩余电流超过 500mA、电流超出断路器额定电流值，形成“短信通知危险预警”，电话通知负责人警情。</w:t>
            </w:r>
          </w:p>
        </w:tc>
      </w:tr>
      <w:tr>
        <w:trPr>
          <w:trHeight w:val="1335" w:hRule="atLeast"/>
        </w:trPr>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c>
          <w:tcPr>
            <w:tcW w:w="13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反应速度</w:t>
            </w:r>
          </w:p>
        </w:tc>
        <w:tc>
          <w:tcPr>
            <w:tcW w:w="32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highlight w:val="yellow"/>
              </w:rPr>
            </w:pPr>
            <w:r>
              <w:rPr>
                <w:rFonts w:hint="eastAsia" w:ascii="宋体" w:hAnsi="宋体" w:cs="宋体"/>
                <w:color w:val="000000"/>
                <w:kern w:val="0"/>
                <w:sz w:val="24"/>
                <w:szCs w:val="24"/>
              </w:rPr>
              <w:t>①独立大容量大宽带云服务器，每隔 180 秒更新一次数据（可设置30S-300S），平台传输速率快。</w:t>
            </w:r>
          </w:p>
        </w:tc>
      </w:tr>
      <w:tr>
        <w:tblPrEx>
          <w:tblCellMar>
            <w:top w:w="0" w:type="dxa"/>
            <w:left w:w="108" w:type="dxa"/>
            <w:bottom w:w="0" w:type="dxa"/>
            <w:right w:w="108" w:type="dxa"/>
          </w:tblCellMar>
        </w:tblPrEx>
        <w:trPr>
          <w:trHeight w:val="1335" w:hRule="atLeast"/>
        </w:trPr>
        <w:tc>
          <w:tcPr>
            <w:tcW w:w="393"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366"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3239"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 xml:space="preserve">②专业值守人员加具有专业资质技术人员，重大警情立即反应到达现场进行排查整改，提供确切数据报表和专业整改方案。 </w:t>
            </w:r>
          </w:p>
        </w:tc>
      </w:tr>
      <w:tr>
        <w:tblPrEx>
          <w:tblCellMar>
            <w:top w:w="0" w:type="dxa"/>
            <w:left w:w="108" w:type="dxa"/>
            <w:bottom w:w="0" w:type="dxa"/>
            <w:right w:w="108" w:type="dxa"/>
          </w:tblCellMar>
        </w:tblPrEx>
        <w:trPr>
          <w:trHeight w:val="585" w:hRule="atLeast"/>
        </w:trPr>
        <w:tc>
          <w:tcPr>
            <w:tcW w:w="500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top"/>
              <w:rPr>
                <w:rFonts w:ascii="宋体" w:hAnsi="宋体" w:cs="宋体"/>
                <w:b/>
                <w:bCs/>
                <w:color w:val="000000"/>
                <w:sz w:val="24"/>
                <w:szCs w:val="24"/>
              </w:rPr>
            </w:pPr>
            <w:r>
              <w:rPr>
                <w:rFonts w:hint="eastAsia" w:ascii="宋体" w:hAnsi="宋体" w:cs="宋体"/>
                <w:b/>
                <w:bCs/>
                <w:color w:val="000000"/>
                <w:kern w:val="0"/>
                <w:sz w:val="24"/>
                <w:szCs w:val="24"/>
              </w:rPr>
              <w:t>备注：设备要求达到24小时值守监测服务状态</w:t>
            </w:r>
          </w:p>
        </w:tc>
      </w:tr>
    </w:tbl>
    <w:p>
      <w:pPr>
        <w:pStyle w:val="75"/>
        <w:rPr>
          <w:rFonts w:hAnsi="宋体"/>
          <w:color w:val="000000" w:themeColor="text1"/>
          <w:highlight w:val="yellow"/>
          <w14:textFill>
            <w14:solidFill>
              <w14:schemeClr w14:val="tx1"/>
            </w14:solidFill>
          </w14:textFill>
        </w:rPr>
      </w:pPr>
    </w:p>
    <w:p>
      <w:pPr>
        <w:rPr>
          <w:rFonts w:ascii="宋体" w:hAnsi="宋体" w:cs="宋体"/>
          <w:b/>
          <w:bCs/>
          <w:color w:val="000000" w:themeColor="text1"/>
          <w:sz w:val="24"/>
          <w:szCs w:val="24"/>
          <w:highlight w:val="yellow"/>
          <w14:textFill>
            <w14:solidFill>
              <w14:schemeClr w14:val="tx1"/>
            </w14:solidFill>
          </w14:textFill>
        </w:rPr>
      </w:pPr>
    </w:p>
    <w:p>
      <w:pPr>
        <w:rPr>
          <w:rFonts w:ascii="宋体" w:hAnsi="宋体" w:cs="宋体"/>
          <w:b/>
          <w:bCs/>
          <w:sz w:val="24"/>
          <w:szCs w:val="24"/>
        </w:rPr>
      </w:pPr>
      <w:r>
        <w:rPr>
          <w:rFonts w:hint="eastAsia" w:ascii="宋体" w:hAnsi="宋体" w:cs="宋体"/>
          <w:b/>
          <w:bCs/>
          <w:color w:val="000000" w:themeColor="text1"/>
          <w:sz w:val="24"/>
          <w:szCs w:val="24"/>
          <w14:textFill>
            <w14:solidFill>
              <w14:schemeClr w14:val="tx1"/>
            </w14:solidFill>
          </w14:textFill>
        </w:rPr>
        <w:t>二、服务要求</w:t>
      </w:r>
    </w:p>
    <w:p>
      <w:pPr>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1、为甲方有偿提供维修服务，上门服务费按200元/人/次结算。</w:t>
      </w:r>
    </w:p>
    <w:p>
      <w:pPr>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2、智慧电气火灾云监控系统平台服务费为360元/套/年（含流量卡），如需要相关配件材料，甲方自行准备，乙方负责安装。</w:t>
      </w:r>
    </w:p>
    <w:p>
      <w:pPr>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3、乙方在维修设备过程中，甲方应提供相应的支持和配合工作。</w:t>
      </w:r>
    </w:p>
    <w:p>
      <w:pPr>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4、乙方提供24小时电话服务，接到报修后2个工作日内提供现场技术支持。</w:t>
      </w:r>
    </w:p>
    <w:p>
      <w:pPr>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5、维护保养的设备进行定期的技术性能测试检查和系统平台功能性操作试验检查。</w:t>
      </w:r>
    </w:p>
    <w:p>
      <w:pPr>
        <w:ind w:firstLine="480" w:firstLineChars="200"/>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6、在平台系统维护服务中，乙方不得改动原系统的电气、电子线路和零部件，需改动应通知甲方，在甲方认可同意后改动。</w:t>
      </w:r>
    </w:p>
    <w:p>
      <w:pPr>
        <w:spacing w:beforeLines="50" w:afterLines="50"/>
        <w:jc w:val="left"/>
        <w:rPr>
          <w:rFonts w:ascii="宋体" w:hAnsi="宋体" w:cs="宋体"/>
          <w:b/>
          <w:bCs/>
          <w:sz w:val="24"/>
          <w:szCs w:val="24"/>
        </w:rPr>
      </w:pPr>
      <w:r>
        <w:rPr>
          <w:rFonts w:hint="eastAsia" w:ascii="宋体" w:hAnsi="宋体" w:cs="宋体"/>
          <w:b/>
          <w:bCs/>
          <w:sz w:val="24"/>
          <w:szCs w:val="24"/>
        </w:rPr>
        <w:t>三、服务售后</w:t>
      </w:r>
    </w:p>
    <w:p>
      <w:pPr>
        <w:spacing w:beforeLines="50" w:afterLines="50" w:line="30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1、按照合同约定时间及内容提供服务。</w:t>
      </w:r>
    </w:p>
    <w:p>
      <w:pPr>
        <w:widowControl/>
        <w:spacing w:line="30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2、服务</w:t>
      </w:r>
      <w:r>
        <w:rPr>
          <w:rFonts w:hint="eastAsia" w:ascii="宋体" w:hAnsi="宋体" w:cs="宋体"/>
          <w:color w:val="000000" w:themeColor="text1"/>
          <w:kern w:val="0"/>
          <w:sz w:val="24"/>
          <w:szCs w:val="24"/>
          <w14:textFill>
            <w14:solidFill>
              <w14:schemeClr w14:val="tx1"/>
            </w14:solidFill>
          </w14:textFill>
        </w:rPr>
        <w:t>期内接到报修通知后，2个工作日内提供现场技术支持。</w:t>
      </w:r>
    </w:p>
    <w:p>
      <w:pPr>
        <w:widowControl/>
        <w:spacing w:line="30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3、做好服务时的安全防范措施。如因服务过程中出现安全事故，所导致的一切相关损失及责任由乙方承担。</w:t>
      </w:r>
    </w:p>
    <w:p>
      <w:pPr>
        <w:widowControl/>
        <w:spacing w:line="300" w:lineRule="exact"/>
        <w:ind w:firstLine="480" w:firstLineChars="200"/>
        <w:jc w:val="left"/>
        <w:rPr>
          <w:rFonts w:ascii="宋体" w:hAnsi="宋体" w:cs="宋体"/>
          <w:sz w:val="24"/>
          <w:szCs w:val="24"/>
        </w:rPr>
      </w:pPr>
      <w:r>
        <w:rPr>
          <w:rFonts w:hint="eastAsia" w:ascii="宋体" w:hAnsi="宋体" w:cs="宋体"/>
          <w:color w:val="000000"/>
          <w:kern w:val="0"/>
          <w:sz w:val="24"/>
          <w:szCs w:val="24"/>
        </w:rPr>
        <w:t>4、服务过程中产生垃圾及时清理。如延时或上级部门检查发现问题进行处理，所有的责任由乙方承担。</w:t>
      </w:r>
    </w:p>
    <w:p>
      <w:pPr>
        <w:pStyle w:val="20"/>
        <w:rPr>
          <w:b/>
          <w:bCs/>
          <w:highlight w:val="yellow"/>
        </w:rPr>
      </w:pPr>
    </w:p>
    <w:p>
      <w:pPr>
        <w:pStyle w:val="20"/>
        <w:ind w:left="833" w:hanging="833" w:hangingChars="395"/>
        <w:rPr>
          <w:rFonts w:asciiTheme="minorEastAsia" w:hAnsiTheme="minorEastAsia" w:eastAsiaTheme="minorEastAsia"/>
          <w:b/>
          <w:bCs/>
        </w:rPr>
      </w:pPr>
      <w:r>
        <w:rPr>
          <w:rFonts w:hint="eastAsia"/>
          <w:b/>
          <w:bCs/>
        </w:rPr>
        <w:t>标项九：</w:t>
      </w:r>
      <w:r>
        <w:rPr>
          <w:rFonts w:hint="eastAsia" w:asciiTheme="minorEastAsia" w:hAnsiTheme="minorEastAsia" w:eastAsiaTheme="minorEastAsia"/>
        </w:rPr>
        <w:t>层流设备、负压产房病房、中央空调维保服务及发热门诊新风机组通风换气设备更换、住院楼层流机组维修项目</w:t>
      </w:r>
    </w:p>
    <w:p>
      <w:pPr>
        <w:pStyle w:val="75"/>
        <w:rPr>
          <w:rFonts w:asciiTheme="majorEastAsia" w:hAnsiTheme="majorEastAsia" w:eastAsiaTheme="majorEastAsia" w:cstheme="majorEastAsia"/>
        </w:rPr>
      </w:pPr>
    </w:p>
    <w:p>
      <w:pPr>
        <w:pStyle w:val="75"/>
        <w:ind w:left="1322" w:hanging="482"/>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一、技术参数</w:t>
      </w:r>
    </w:p>
    <w:p>
      <w:pPr>
        <w:pStyle w:val="75"/>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维护、保养、服务区域范围包含净洁手术室8间万级、ICU8张床位、净洁走道、污物走道、辅助用房、设备层循环机组、新风机组、供应室、生殖中心、七楼负压、十楼负压、呼叫系统。</w:t>
      </w:r>
    </w:p>
    <w:p>
      <w:pPr>
        <w:pStyle w:val="75"/>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（一）五楼生殖中心</w:t>
      </w:r>
    </w:p>
    <w:tbl>
      <w:tblPr>
        <w:tblStyle w:val="29"/>
        <w:tblW w:w="4998" w:type="pct"/>
        <w:tblInd w:w="0" w:type="dxa"/>
        <w:tblLayout w:type="autofit"/>
        <w:tblCellMar>
          <w:top w:w="0" w:type="dxa"/>
          <w:left w:w="108" w:type="dxa"/>
          <w:bottom w:w="0" w:type="dxa"/>
          <w:right w:w="108" w:type="dxa"/>
        </w:tblCellMar>
      </w:tblPr>
      <w:tblGrid>
        <w:gridCol w:w="539"/>
        <w:gridCol w:w="2414"/>
        <w:gridCol w:w="2608"/>
        <w:gridCol w:w="1384"/>
        <w:gridCol w:w="1574"/>
      </w:tblGrid>
      <w:tr>
        <w:tblPrEx>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kern w:val="0"/>
                <w:sz w:val="24"/>
                <w:szCs w:val="24"/>
              </w:rPr>
              <w:t>序号</w:t>
            </w:r>
          </w:p>
        </w:tc>
        <w:tc>
          <w:tcPr>
            <w:tcW w:w="14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kern w:val="0"/>
                <w:sz w:val="24"/>
                <w:szCs w:val="24"/>
              </w:rPr>
              <w:t>维护项目</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kern w:val="0"/>
                <w:sz w:val="24"/>
                <w:szCs w:val="24"/>
              </w:rPr>
              <w:t>维护服务保养明细</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kern w:val="0"/>
                <w:sz w:val="24"/>
                <w:szCs w:val="24"/>
              </w:rPr>
              <w:t>维保方案</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kern w:val="0"/>
                <w:sz w:val="24"/>
                <w:szCs w:val="24"/>
              </w:rPr>
              <w:t>备注</w:t>
            </w:r>
          </w:p>
        </w:tc>
      </w:tr>
      <w:tr>
        <w:tblPrEx>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w:t>
            </w:r>
          </w:p>
        </w:tc>
        <w:tc>
          <w:tcPr>
            <w:tcW w:w="1416" w:type="pct"/>
            <w:vMerge w:val="restart"/>
            <w:tcBorders>
              <w:top w:val="nil"/>
              <w:left w:val="single" w:color="000000" w:sz="4" w:space="0"/>
              <w:bottom w:val="nil"/>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电气系统</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强弱电系统维护</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w:t>
            </w:r>
          </w:p>
        </w:tc>
        <w:tc>
          <w:tcPr>
            <w:tcW w:w="1416" w:type="pct"/>
            <w:vMerge w:val="continue"/>
            <w:tcBorders>
              <w:top w:val="nil"/>
              <w:left w:val="single" w:color="000000" w:sz="4" w:space="0"/>
              <w:bottom w:val="nil"/>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动力电箱柜、分电箱内元器件维护</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3</w:t>
            </w:r>
          </w:p>
        </w:tc>
        <w:tc>
          <w:tcPr>
            <w:tcW w:w="1416" w:type="pct"/>
            <w:vMerge w:val="continue"/>
            <w:tcBorders>
              <w:top w:val="nil"/>
              <w:left w:val="single" w:color="000000" w:sz="4" w:space="0"/>
              <w:bottom w:val="nil"/>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应急照明电池组充放电</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4</w:t>
            </w:r>
          </w:p>
        </w:tc>
        <w:tc>
          <w:tcPr>
            <w:tcW w:w="1416" w:type="pct"/>
            <w:vMerge w:val="continue"/>
            <w:tcBorders>
              <w:top w:val="nil"/>
              <w:left w:val="single" w:color="000000" w:sz="4" w:space="0"/>
              <w:bottom w:val="nil"/>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动力电箱柜分电箱开关闭合、漏电按钮试验</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w:t>
            </w:r>
          </w:p>
        </w:tc>
        <w:tc>
          <w:tcPr>
            <w:tcW w:w="1416" w:type="pct"/>
            <w:vMerge w:val="continue"/>
            <w:tcBorders>
              <w:top w:val="nil"/>
              <w:left w:val="single" w:color="000000" w:sz="4" w:space="0"/>
              <w:bottom w:val="nil"/>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门禁系统维护</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6</w:t>
            </w:r>
          </w:p>
        </w:tc>
        <w:tc>
          <w:tcPr>
            <w:tcW w:w="1416" w:type="pct"/>
            <w:vMerge w:val="continue"/>
            <w:tcBorders>
              <w:top w:val="nil"/>
              <w:left w:val="single" w:color="000000" w:sz="4" w:space="0"/>
              <w:bottom w:val="nil"/>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日光灯灯管检查维护更换</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7</w:t>
            </w:r>
          </w:p>
        </w:tc>
        <w:tc>
          <w:tcPr>
            <w:tcW w:w="1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装修部分</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手推门检修维护</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8</w:t>
            </w:r>
          </w:p>
        </w:tc>
        <w:tc>
          <w:tcPr>
            <w:tcW w:w="1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墙地面装饰面层完好性检查</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9</w:t>
            </w:r>
          </w:p>
        </w:tc>
        <w:tc>
          <w:tcPr>
            <w:tcW w:w="1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气密灯罩气密性检查</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10</w:t>
            </w:r>
          </w:p>
        </w:tc>
        <w:tc>
          <w:tcPr>
            <w:tcW w:w="1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门禁手动开关、门禁系统、呼叫系统</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12</w:t>
            </w:r>
          </w:p>
        </w:tc>
        <w:tc>
          <w:tcPr>
            <w:tcW w:w="1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互锁开关、器械柜门的检查、更换维修</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13</w:t>
            </w:r>
          </w:p>
        </w:tc>
        <w:tc>
          <w:tcPr>
            <w:tcW w:w="14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净化循环机组维修及维护</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电机、风机、皮带、轴承、冷热表冷器、电动执行器、电动密闭阀、温度传感器</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14</w:t>
            </w:r>
          </w:p>
        </w:tc>
        <w:tc>
          <w:tcPr>
            <w:tcW w:w="14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压缩机、散热扇、管道阀门</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压缩机检修巡视、电扇的保养维护、管道阀门的检修更换</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15</w:t>
            </w:r>
          </w:p>
        </w:tc>
        <w:tc>
          <w:tcPr>
            <w:tcW w:w="14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高效过滤器更换消毒</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高效过滤器</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16</w:t>
            </w:r>
          </w:p>
        </w:tc>
        <w:tc>
          <w:tcPr>
            <w:tcW w:w="14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过滤器维护清洗、更换</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初效、中效过滤器</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17</w:t>
            </w:r>
          </w:p>
        </w:tc>
        <w:tc>
          <w:tcPr>
            <w:tcW w:w="14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所有机组百叶口维修</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送、回风口、排风口</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18</w:t>
            </w:r>
          </w:p>
        </w:tc>
        <w:tc>
          <w:tcPr>
            <w:tcW w:w="14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室外机清洁保养维护</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外机组巡视、清洁、检修、</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7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19</w:t>
            </w:r>
          </w:p>
        </w:tc>
        <w:tc>
          <w:tcPr>
            <w:tcW w:w="14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各区域送、回、排风口维修及检查</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送、回、排风口；送回排风管道上的手动调节阀、定风量阀、止回阀、防火阀</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20</w:t>
            </w:r>
          </w:p>
        </w:tc>
        <w:tc>
          <w:tcPr>
            <w:tcW w:w="14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机组控制面板</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运行状态、故障回馈</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60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21</w:t>
            </w:r>
          </w:p>
        </w:tc>
        <w:tc>
          <w:tcPr>
            <w:tcW w:w="14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照明系统的检查、维修</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灯管、镇流器、开关、插座、所有需要更换的电线电缆</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54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22</w:t>
            </w:r>
          </w:p>
        </w:tc>
        <w:tc>
          <w:tcPr>
            <w:tcW w:w="14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一般配电柜、配电箱的检查、维护</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电柜内的空开、接触器、中间继电器、变压器、熔断器、指示灯</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23</w:t>
            </w:r>
          </w:p>
        </w:tc>
        <w:tc>
          <w:tcPr>
            <w:tcW w:w="14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给排水系统的日常检查、维修</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运行状态、故障回馈</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24</w:t>
            </w:r>
          </w:p>
        </w:tc>
        <w:tc>
          <w:tcPr>
            <w:tcW w:w="14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零星耗材</w:t>
            </w:r>
          </w:p>
        </w:tc>
        <w:tc>
          <w:tcPr>
            <w:tcW w:w="15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紫外线消毒灯、皮带、轴承、开关等零星材料</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一批</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损坏及时更换</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25</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JK03初效过滤器</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594*594*46mm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4.00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AAF品牌</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26</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JK03初效过滤器</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594*289*46mm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4.00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AAF品牌</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27</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JK03中效过滤器</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594*594*46mm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4.00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AAF品牌</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28</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JK03中效过滤器</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592*287*381mm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4.00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AAF品牌</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29</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JK09初效过滤器</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594**594*46mm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4.00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AAF品牌</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30</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JK09初效过滤器</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594*289*46mm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4.00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AAF品牌</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31</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JK09中效过滤器</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592*592*381mm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4.00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AAF品牌</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32</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JK09中效过滤器</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592*287*381mm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4.00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AAF品牌</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33</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JK01初效过滤器</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594*289*46mm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32.00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AAF品牌</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34</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JK01中效过滤器</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590*289*46mm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16.00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AAF品牌</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35</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JK02初效过滤器</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594*594*46mm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4.00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AAF品牌</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36</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JK02初效过滤器</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594*289*46mm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8.00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AAF品牌</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37</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JK02中效过滤器</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592*592*381mm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4.00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AAF品牌</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38</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JK02中效过滤器</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592*287*381mm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8.00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AAF品牌</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39</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JK01活性炭过滤器</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287*592*292mm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16.00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AAF品牌</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40</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高效过滤器</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630*630*220mm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8.00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AAF品牌</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41</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高效过滤器</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630*630*220mm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1.00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AAF品牌</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42</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高效过滤器</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484*484*220mm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3.00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AAF品牌</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43</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高效过滤器</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320*320*320mm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1.00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AAF品牌</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44</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高效过滤器</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630*630*220mm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2.00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AAF品牌</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45</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高效过滤器</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484*484*220mm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2.00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AAF品牌</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46</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高效过滤器</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484*484*220mm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1.00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AAF品牌</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47</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高效过滤器</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320*320*220mm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3.00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AAF品牌</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48</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高效过滤器</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630*630*220mm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1.00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AAF品牌</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49</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高效过滤器</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630*630*220mm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1.00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AAF品牌</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50</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高效过滤器</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484*484*220mm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4.00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AAF品牌</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51</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高效过滤器</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630*630*220mm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2.00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AAF品牌</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52</w:t>
            </w:r>
          </w:p>
        </w:tc>
        <w:tc>
          <w:tcPr>
            <w:tcW w:w="14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千级-回风口</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1110*315*20mm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6.00 </w:t>
            </w:r>
          </w:p>
        </w:tc>
        <w:tc>
          <w:tcPr>
            <w:tcW w:w="9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培养室</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53</w:t>
            </w:r>
          </w:p>
        </w:tc>
        <w:tc>
          <w:tcPr>
            <w:tcW w:w="1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4"/>
                <w:szCs w:val="24"/>
              </w:rPr>
            </w:pP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810*315*20mm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2.00 </w:t>
            </w:r>
          </w:p>
        </w:tc>
        <w:tc>
          <w:tcPr>
            <w:tcW w:w="9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54</w:t>
            </w:r>
          </w:p>
        </w:tc>
        <w:tc>
          <w:tcPr>
            <w:tcW w:w="1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4"/>
                <w:szCs w:val="24"/>
              </w:rPr>
            </w:pP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510*315*20mm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2.00 </w:t>
            </w:r>
          </w:p>
        </w:tc>
        <w:tc>
          <w:tcPr>
            <w:tcW w:w="9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55</w:t>
            </w:r>
          </w:p>
        </w:tc>
        <w:tc>
          <w:tcPr>
            <w:tcW w:w="1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4"/>
                <w:szCs w:val="24"/>
              </w:rPr>
            </w:pP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1110*315*20mm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2.00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活检室</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56</w:t>
            </w:r>
          </w:p>
        </w:tc>
        <w:tc>
          <w:tcPr>
            <w:tcW w:w="1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4"/>
                <w:szCs w:val="24"/>
              </w:rPr>
            </w:pP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510*315*20mm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6.00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冷冻间</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57</w:t>
            </w:r>
          </w:p>
        </w:tc>
        <w:tc>
          <w:tcPr>
            <w:tcW w:w="14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万级-回风口</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510*315*20mm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4.00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取卵室</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58</w:t>
            </w:r>
          </w:p>
        </w:tc>
        <w:tc>
          <w:tcPr>
            <w:tcW w:w="1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4"/>
                <w:szCs w:val="24"/>
              </w:rPr>
            </w:pP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510*315*20mm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2.00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移植室</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59</w:t>
            </w:r>
          </w:p>
        </w:tc>
        <w:tc>
          <w:tcPr>
            <w:tcW w:w="1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4"/>
                <w:szCs w:val="24"/>
              </w:rPr>
            </w:pP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510*315*20mm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2.00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资料室</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60</w:t>
            </w:r>
          </w:p>
        </w:tc>
        <w:tc>
          <w:tcPr>
            <w:tcW w:w="14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十万级-回风口</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510*315*20mm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2.00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人工授精室</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61</w:t>
            </w:r>
          </w:p>
        </w:tc>
        <w:tc>
          <w:tcPr>
            <w:tcW w:w="1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4"/>
                <w:szCs w:val="24"/>
              </w:rPr>
            </w:pP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510*315*20mm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4.00 </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人工授精实验室</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62</w:t>
            </w:r>
          </w:p>
        </w:tc>
        <w:tc>
          <w:tcPr>
            <w:tcW w:w="1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4"/>
                <w:szCs w:val="24"/>
              </w:rPr>
            </w:pP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810*315*20mm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4.00 </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IVF精液处理室</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63</w:t>
            </w:r>
          </w:p>
        </w:tc>
        <w:tc>
          <w:tcPr>
            <w:tcW w:w="14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千级-排风口</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415*220*20mm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2.00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活检室</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64</w:t>
            </w:r>
          </w:p>
        </w:tc>
        <w:tc>
          <w:tcPr>
            <w:tcW w:w="1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4"/>
                <w:szCs w:val="24"/>
              </w:rPr>
            </w:pP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510*315*20mm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2.00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冷冻间</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65</w:t>
            </w:r>
          </w:p>
        </w:tc>
        <w:tc>
          <w:tcPr>
            <w:tcW w:w="14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万级-排风口</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415*220*20mm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2.00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取卵室</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66</w:t>
            </w:r>
          </w:p>
        </w:tc>
        <w:tc>
          <w:tcPr>
            <w:tcW w:w="1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4"/>
                <w:szCs w:val="24"/>
              </w:rPr>
            </w:pP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415*220*20mm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6.00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取精室</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67</w:t>
            </w:r>
          </w:p>
        </w:tc>
        <w:tc>
          <w:tcPr>
            <w:tcW w:w="14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十万级-排风口</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415*220*20mm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2.00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人工授精室</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68</w:t>
            </w:r>
          </w:p>
        </w:tc>
        <w:tc>
          <w:tcPr>
            <w:tcW w:w="1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4"/>
                <w:szCs w:val="24"/>
              </w:rPr>
            </w:pP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415*220*20mm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8.00 </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IVF精液处理室</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69</w:t>
            </w:r>
          </w:p>
        </w:tc>
        <w:tc>
          <w:tcPr>
            <w:tcW w:w="14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无净化级别</w:t>
            </w: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415*220*20mm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2.00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男患者通道</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70</w:t>
            </w:r>
          </w:p>
        </w:tc>
        <w:tc>
          <w:tcPr>
            <w:tcW w:w="1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4"/>
                <w:szCs w:val="24"/>
              </w:rPr>
            </w:pP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415*220*20mm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4.00 </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女患者休息室</w:t>
            </w:r>
          </w:p>
        </w:tc>
      </w:tr>
      <w:tr>
        <w:tblPrEx>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71</w:t>
            </w:r>
          </w:p>
        </w:tc>
        <w:tc>
          <w:tcPr>
            <w:tcW w:w="1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4"/>
                <w:szCs w:val="24"/>
              </w:rPr>
            </w:pPr>
          </w:p>
        </w:tc>
        <w:tc>
          <w:tcPr>
            <w:tcW w:w="1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210*210*20mm</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10.00 </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卫生间</w:t>
            </w:r>
          </w:p>
        </w:tc>
      </w:tr>
    </w:tbl>
    <w:p>
      <w:pPr>
        <w:rPr>
          <w:rFonts w:cs="宋体" w:asciiTheme="minorEastAsia" w:hAnsiTheme="minorEastAsia" w:eastAsiaTheme="minorEastAsia"/>
          <w:color w:val="000000" w:themeColor="text1"/>
          <w:kern w:val="0"/>
          <w:sz w:val="24"/>
          <w:szCs w:val="24"/>
          <w14:textFill>
            <w14:solidFill>
              <w14:schemeClr w14:val="tx1"/>
            </w14:solidFill>
          </w14:textFill>
        </w:rPr>
      </w:pPr>
    </w:p>
    <w:p>
      <w:pPr>
        <w:rPr>
          <w:rFonts w:cs="宋体" w:asciiTheme="minorEastAsia" w:hAnsiTheme="minorEastAsia" w:eastAsiaTheme="minorEastAsia"/>
          <w:b/>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14:textFill>
            <w14:solidFill>
              <w14:schemeClr w14:val="tx1"/>
            </w14:solidFill>
          </w14:textFill>
        </w:rPr>
        <w:t>（二）七楼负压病房</w:t>
      </w:r>
    </w:p>
    <w:tbl>
      <w:tblPr>
        <w:tblStyle w:val="29"/>
        <w:tblW w:w="8505" w:type="dxa"/>
        <w:tblInd w:w="93" w:type="dxa"/>
        <w:tblLayout w:type="autofit"/>
        <w:tblCellMar>
          <w:top w:w="0" w:type="dxa"/>
          <w:left w:w="108" w:type="dxa"/>
          <w:bottom w:w="0" w:type="dxa"/>
          <w:right w:w="108" w:type="dxa"/>
        </w:tblCellMar>
      </w:tblPr>
      <w:tblGrid>
        <w:gridCol w:w="675"/>
        <w:gridCol w:w="1785"/>
        <w:gridCol w:w="2925"/>
        <w:gridCol w:w="1950"/>
        <w:gridCol w:w="1170"/>
      </w:tblGrid>
      <w:tr>
        <w:tblPrEx>
          <w:tblCellMar>
            <w:top w:w="0" w:type="dxa"/>
            <w:left w:w="108" w:type="dxa"/>
            <w:bottom w:w="0" w:type="dxa"/>
            <w:right w:w="108" w:type="dxa"/>
          </w:tblCellMar>
        </w:tblPrEx>
        <w:trPr>
          <w:trHeight w:val="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kern w:val="0"/>
                <w:sz w:val="24"/>
                <w:szCs w:val="24"/>
              </w:rPr>
              <w:t>序号</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kern w:val="0"/>
                <w:sz w:val="24"/>
                <w:szCs w:val="24"/>
              </w:rPr>
              <w:t>维护项目</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kern w:val="0"/>
                <w:sz w:val="24"/>
                <w:szCs w:val="24"/>
              </w:rPr>
              <w:t>维护服务保养明细</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kern w:val="0"/>
                <w:sz w:val="24"/>
                <w:szCs w:val="24"/>
              </w:rPr>
              <w:t>维保方案</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kern w:val="0"/>
                <w:sz w:val="24"/>
                <w:szCs w:val="24"/>
              </w:rPr>
              <w:t>备注</w:t>
            </w: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w:t>
            </w:r>
          </w:p>
        </w:tc>
        <w:tc>
          <w:tcPr>
            <w:tcW w:w="1785" w:type="dxa"/>
            <w:vMerge w:val="restart"/>
            <w:tcBorders>
              <w:top w:val="nil"/>
              <w:left w:val="single" w:color="000000" w:sz="4" w:space="0"/>
              <w:bottom w:val="nil"/>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电气系统</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强弱电系统维护</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w:t>
            </w:r>
          </w:p>
        </w:tc>
        <w:tc>
          <w:tcPr>
            <w:tcW w:w="1785" w:type="dxa"/>
            <w:vMerge w:val="continue"/>
            <w:tcBorders>
              <w:top w:val="nil"/>
              <w:left w:val="single" w:color="000000" w:sz="4" w:space="0"/>
              <w:bottom w:val="nil"/>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动力电箱柜、分电箱内元器件维护</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3</w:t>
            </w:r>
          </w:p>
        </w:tc>
        <w:tc>
          <w:tcPr>
            <w:tcW w:w="1785" w:type="dxa"/>
            <w:vMerge w:val="continue"/>
            <w:tcBorders>
              <w:top w:val="nil"/>
              <w:left w:val="single" w:color="000000" w:sz="4" w:space="0"/>
              <w:bottom w:val="nil"/>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应急照明电池组充放电</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4</w:t>
            </w:r>
          </w:p>
        </w:tc>
        <w:tc>
          <w:tcPr>
            <w:tcW w:w="1785" w:type="dxa"/>
            <w:vMerge w:val="continue"/>
            <w:tcBorders>
              <w:top w:val="nil"/>
              <w:left w:val="single" w:color="000000" w:sz="4" w:space="0"/>
              <w:bottom w:val="nil"/>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动力电箱柜分电箱开关闭合、漏电按钮试验</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w:t>
            </w:r>
          </w:p>
        </w:tc>
        <w:tc>
          <w:tcPr>
            <w:tcW w:w="1785" w:type="dxa"/>
            <w:vMerge w:val="continue"/>
            <w:tcBorders>
              <w:top w:val="nil"/>
              <w:left w:val="single" w:color="000000" w:sz="4" w:space="0"/>
              <w:bottom w:val="nil"/>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门禁系统维护</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6</w:t>
            </w:r>
          </w:p>
        </w:tc>
        <w:tc>
          <w:tcPr>
            <w:tcW w:w="1785" w:type="dxa"/>
            <w:vMerge w:val="continue"/>
            <w:tcBorders>
              <w:top w:val="nil"/>
              <w:left w:val="single" w:color="000000" w:sz="4" w:space="0"/>
              <w:bottom w:val="nil"/>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日光灯灯管检查维护更换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7</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装修部分</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手推门检修维护</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8</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墙地面装饰面层完好性检查</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9</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气密灯罩气密性检查</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10</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门禁手动开关、门禁系统、呼叫系统</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12</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互锁开关、器械柜门的检查、更换维修</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净化循环机组维修及维护</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电机、风机、皮带、轴承、冷热表冷器、电动执行器、电动密闭阀、温度传感器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压缩机、散热扇、管道阀门</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压缩机检修巡视、电扇的保养维护、管道阀门的检修更换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高效过滤器更换消毒</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高效过滤器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过滤器维护清洗、更换</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初效、中效过滤器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所有机组百叶口维修</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送、回风口、排风口</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室外机清洁保养维护</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外机组巡视、清洁、检修、</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19</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设备带检修更换</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设备带氧气端口、氮气端口维护插座检修更换、灯带检修更换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各区域送、回、排风口维修及检查</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送、回、排风口；送回排风管道上的手动调节阀、定风量阀、止回阀、防火阀</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机组控制面板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运行状态、故障回馈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照明系统的检查、维修</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灯管、镇流器、开关、插座、所有需要更换的电线电缆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一般配电柜、配电箱的检查、维护</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电柜内的空开、接触器、中间继电器、变压器、熔断器、指示灯</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给排水系统的日常检查、维修</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运行状态、故障回馈</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零星耗材</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紫外线消毒灯、皮带、轴承、开关等零星材料</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一批</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损坏及时更换</w:t>
            </w:r>
          </w:p>
        </w:tc>
      </w:tr>
    </w:tbl>
    <w:p>
      <w:pPr>
        <w:rPr>
          <w:rFonts w:cs="宋体" w:asciiTheme="minorEastAsia" w:hAnsiTheme="minorEastAsia" w:eastAsiaTheme="minorEastAsia"/>
          <w:color w:val="000000" w:themeColor="text1"/>
          <w:kern w:val="0"/>
          <w:sz w:val="24"/>
          <w:szCs w:val="24"/>
          <w14:textFill>
            <w14:solidFill>
              <w14:schemeClr w14:val="tx1"/>
            </w14:solidFill>
          </w14:textFill>
        </w:rPr>
      </w:pPr>
    </w:p>
    <w:p>
      <w:pPr>
        <w:rPr>
          <w:rFonts w:cs="宋体" w:asciiTheme="minorEastAsia" w:hAnsiTheme="minorEastAsia" w:eastAsiaTheme="minorEastAsia"/>
          <w:b/>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14:textFill>
            <w14:solidFill>
              <w14:schemeClr w14:val="tx1"/>
            </w14:solidFill>
          </w14:textFill>
        </w:rPr>
        <w:t>（三）十楼负压病房</w:t>
      </w:r>
    </w:p>
    <w:tbl>
      <w:tblPr>
        <w:tblStyle w:val="29"/>
        <w:tblW w:w="8580" w:type="dxa"/>
        <w:tblInd w:w="20" w:type="dxa"/>
        <w:tblLayout w:type="fixed"/>
        <w:tblCellMar>
          <w:top w:w="0" w:type="dxa"/>
          <w:left w:w="108" w:type="dxa"/>
          <w:bottom w:w="0" w:type="dxa"/>
          <w:right w:w="108" w:type="dxa"/>
        </w:tblCellMar>
      </w:tblPr>
      <w:tblGrid>
        <w:gridCol w:w="748"/>
        <w:gridCol w:w="1755"/>
        <w:gridCol w:w="2987"/>
        <w:gridCol w:w="1905"/>
        <w:gridCol w:w="1185"/>
      </w:tblGrid>
      <w:tr>
        <w:tblPrEx>
          <w:tblCellMar>
            <w:top w:w="0" w:type="dxa"/>
            <w:left w:w="108" w:type="dxa"/>
            <w:bottom w:w="0" w:type="dxa"/>
            <w:right w:w="108" w:type="dxa"/>
          </w:tblCellMar>
        </w:tblPrEx>
        <w:trPr>
          <w:trHeight w:val="4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kern w:val="0"/>
                <w:sz w:val="24"/>
                <w:szCs w:val="24"/>
              </w:rPr>
              <w:t>序号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kern w:val="0"/>
                <w:sz w:val="24"/>
                <w:szCs w:val="24"/>
              </w:rPr>
              <w:t>维护项目</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kern w:val="0"/>
                <w:sz w:val="24"/>
                <w:szCs w:val="24"/>
              </w:rPr>
              <w:t>维护服务保养明细</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kern w:val="0"/>
                <w:sz w:val="24"/>
                <w:szCs w:val="24"/>
              </w:rPr>
              <w:t>维保方案</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kern w:val="0"/>
                <w:sz w:val="24"/>
                <w:szCs w:val="24"/>
              </w:rPr>
              <w:t>备注</w:t>
            </w:r>
          </w:p>
        </w:tc>
      </w:tr>
      <w:tr>
        <w:tblPrEx>
          <w:tblCellMar>
            <w:top w:w="0" w:type="dxa"/>
            <w:left w:w="108" w:type="dxa"/>
            <w:bottom w:w="0" w:type="dxa"/>
            <w:right w:w="108" w:type="dxa"/>
          </w:tblCellMar>
        </w:tblPrEx>
        <w:trPr>
          <w:trHeight w:val="4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w:t>
            </w:r>
          </w:p>
        </w:tc>
        <w:tc>
          <w:tcPr>
            <w:tcW w:w="1755" w:type="dxa"/>
            <w:vMerge w:val="restart"/>
            <w:tcBorders>
              <w:top w:val="nil"/>
              <w:left w:val="single" w:color="000000" w:sz="4" w:space="0"/>
              <w:bottom w:val="nil"/>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电气系统</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强弱电系统维护</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w:t>
            </w:r>
          </w:p>
        </w:tc>
        <w:tc>
          <w:tcPr>
            <w:tcW w:w="1755" w:type="dxa"/>
            <w:vMerge w:val="continue"/>
            <w:tcBorders>
              <w:top w:val="nil"/>
              <w:left w:val="single" w:color="000000" w:sz="4" w:space="0"/>
              <w:bottom w:val="nil"/>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动力电箱柜、分电箱内元器件维护</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3</w:t>
            </w:r>
          </w:p>
        </w:tc>
        <w:tc>
          <w:tcPr>
            <w:tcW w:w="1755" w:type="dxa"/>
            <w:vMerge w:val="continue"/>
            <w:tcBorders>
              <w:top w:val="nil"/>
              <w:left w:val="single" w:color="000000" w:sz="4" w:space="0"/>
              <w:bottom w:val="nil"/>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应急照明电池组充放电</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4</w:t>
            </w:r>
          </w:p>
        </w:tc>
        <w:tc>
          <w:tcPr>
            <w:tcW w:w="1755" w:type="dxa"/>
            <w:vMerge w:val="continue"/>
            <w:tcBorders>
              <w:top w:val="nil"/>
              <w:left w:val="single" w:color="000000" w:sz="4" w:space="0"/>
              <w:bottom w:val="nil"/>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动力电箱柜分电箱开关闭合、漏电按钮试验</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w:t>
            </w:r>
          </w:p>
        </w:tc>
        <w:tc>
          <w:tcPr>
            <w:tcW w:w="1755" w:type="dxa"/>
            <w:vMerge w:val="continue"/>
            <w:tcBorders>
              <w:top w:val="nil"/>
              <w:left w:val="single" w:color="000000" w:sz="4" w:space="0"/>
              <w:bottom w:val="nil"/>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门禁系统维护</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6</w:t>
            </w:r>
          </w:p>
        </w:tc>
        <w:tc>
          <w:tcPr>
            <w:tcW w:w="1755" w:type="dxa"/>
            <w:vMerge w:val="continue"/>
            <w:tcBorders>
              <w:top w:val="nil"/>
              <w:left w:val="single" w:color="000000" w:sz="4" w:space="0"/>
              <w:bottom w:val="nil"/>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日光灯灯管检查维护更换</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7</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装修部分</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手推门检修维护</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8</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墙地面装饰面层完好性检查</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9</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气密灯罩气密性检查</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10</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门禁手动开关、门禁系统、呼叫系统</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12</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互锁开关、器械柜门的检查、更换维修</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净化循环机组维修及维护</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电机、风机、皮带、轴承、冷热表冷器、电动执行器、电动密闭阀、温度传感器</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压缩机、散热扇、管道阀门</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压缩机检修巡视、电扇的保养维护、管道阀门的检修更换</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高效过滤器更换消毒</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高效过滤器</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16</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过滤器维护清洗、更换</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初效、中效过滤器</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17</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所有机组百叶口维修</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送、回风口、排风口</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18</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室外机清洁保养维护</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外机组巡视、清洁、检修、</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19</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设备带检修更换</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设备带氧气端口、氮气端口维护插座检修更换、灯带检修更换</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各区域送、回、排风口维修及检查</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送、回、排风口；送回排风管道上的手动调节阀、定风量阀、止回阀、防火阀</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机组控制面板</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运行状态、故障回馈</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照明系统的检查、维修</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灯管、镇流器、开关、插座、所有需要更换的电线电缆</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一般配电柜、配电箱的检查、维护</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电柜内的空开、接触器、中间继电器、变压器、熔断器、指示灯</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给排水系统的日常检查、维修</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运行状态、故障回馈</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零星耗材</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紫外线消毒灯、皮带、轴承、开关等零星材料</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一批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损坏及时更换</w:t>
            </w:r>
          </w:p>
        </w:tc>
      </w:tr>
    </w:tbl>
    <w:p>
      <w:pPr>
        <w:pStyle w:val="75"/>
        <w:jc w:val="both"/>
        <w:rPr>
          <w:rFonts w:asciiTheme="minorEastAsia" w:hAnsiTheme="minorEastAsia" w:eastAsiaTheme="minorEastAsia"/>
        </w:rPr>
      </w:pPr>
    </w:p>
    <w:p>
      <w:pPr>
        <w:rPr>
          <w:rFonts w:cs="宋体" w:asciiTheme="minorEastAsia" w:hAnsiTheme="minorEastAsia" w:eastAsiaTheme="minorEastAsia"/>
          <w:b/>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14:textFill>
            <w14:solidFill>
              <w14:schemeClr w14:val="tx1"/>
            </w14:solidFill>
          </w14:textFill>
        </w:rPr>
        <w:t>（四）手术室及供应室</w:t>
      </w:r>
    </w:p>
    <w:tbl>
      <w:tblPr>
        <w:tblStyle w:val="29"/>
        <w:tblW w:w="4998" w:type="pct"/>
        <w:tblInd w:w="0" w:type="dxa"/>
        <w:tblLayout w:type="autofit"/>
        <w:tblCellMar>
          <w:top w:w="0" w:type="dxa"/>
          <w:left w:w="108" w:type="dxa"/>
          <w:bottom w:w="0" w:type="dxa"/>
          <w:right w:w="108" w:type="dxa"/>
        </w:tblCellMar>
      </w:tblPr>
      <w:tblGrid>
        <w:gridCol w:w="659"/>
        <w:gridCol w:w="1775"/>
        <w:gridCol w:w="2775"/>
        <w:gridCol w:w="2270"/>
        <w:gridCol w:w="1040"/>
      </w:tblGrid>
      <w:tr>
        <w:tblPrEx>
          <w:tblCellMar>
            <w:top w:w="0" w:type="dxa"/>
            <w:left w:w="108" w:type="dxa"/>
            <w:bottom w:w="0" w:type="dxa"/>
            <w:right w:w="108" w:type="dxa"/>
          </w:tblCellMar>
        </w:tblPrEx>
        <w:trPr>
          <w:trHeight w:val="46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kern w:val="0"/>
                <w:sz w:val="24"/>
                <w:szCs w:val="24"/>
              </w:rPr>
              <w:t>序号</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kern w:val="0"/>
                <w:sz w:val="24"/>
                <w:szCs w:val="24"/>
              </w:rPr>
              <w:t>维护项目</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kern w:val="0"/>
                <w:sz w:val="24"/>
                <w:szCs w:val="24"/>
              </w:rPr>
              <w:t>维护服务保养明细</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kern w:val="0"/>
                <w:sz w:val="24"/>
                <w:szCs w:val="24"/>
              </w:rPr>
              <w:t>维保方案</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kern w:val="0"/>
                <w:sz w:val="24"/>
                <w:szCs w:val="24"/>
              </w:rPr>
              <w:t>备注</w:t>
            </w:r>
          </w:p>
        </w:tc>
      </w:tr>
      <w:tr>
        <w:tblPrEx>
          <w:tblCellMar>
            <w:top w:w="0" w:type="dxa"/>
            <w:left w:w="108" w:type="dxa"/>
            <w:bottom w:w="0" w:type="dxa"/>
            <w:right w:w="108" w:type="dxa"/>
          </w:tblCellMar>
        </w:tblPrEx>
        <w:trPr>
          <w:trHeight w:val="46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w:t>
            </w:r>
          </w:p>
        </w:tc>
        <w:tc>
          <w:tcPr>
            <w:tcW w:w="1042" w:type="pct"/>
            <w:vMerge w:val="restart"/>
            <w:tcBorders>
              <w:top w:val="nil"/>
              <w:left w:val="single" w:color="000000" w:sz="4" w:space="0"/>
              <w:bottom w:val="nil"/>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电气系统</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强弱电系统维护</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w:t>
            </w:r>
          </w:p>
        </w:tc>
        <w:tc>
          <w:tcPr>
            <w:tcW w:w="1042" w:type="pct"/>
            <w:vMerge w:val="continue"/>
            <w:tcBorders>
              <w:top w:val="nil"/>
              <w:left w:val="single" w:color="000000" w:sz="4" w:space="0"/>
              <w:bottom w:val="nil"/>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动力电箱柜、分电箱内元器件维护</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3</w:t>
            </w:r>
          </w:p>
        </w:tc>
        <w:tc>
          <w:tcPr>
            <w:tcW w:w="1042" w:type="pct"/>
            <w:vMerge w:val="continue"/>
            <w:tcBorders>
              <w:top w:val="nil"/>
              <w:left w:val="single" w:color="000000" w:sz="4" w:space="0"/>
              <w:bottom w:val="nil"/>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应急照明电池组充放电</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52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4</w:t>
            </w:r>
          </w:p>
        </w:tc>
        <w:tc>
          <w:tcPr>
            <w:tcW w:w="1042" w:type="pct"/>
            <w:vMerge w:val="continue"/>
            <w:tcBorders>
              <w:top w:val="nil"/>
              <w:left w:val="single" w:color="000000" w:sz="4" w:space="0"/>
              <w:bottom w:val="nil"/>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动力电箱柜分电箱开关闭合、漏电按钮试验</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w:t>
            </w:r>
          </w:p>
        </w:tc>
        <w:tc>
          <w:tcPr>
            <w:tcW w:w="1042" w:type="pct"/>
            <w:vMerge w:val="continue"/>
            <w:tcBorders>
              <w:top w:val="nil"/>
              <w:left w:val="single" w:color="000000" w:sz="4" w:space="0"/>
              <w:bottom w:val="nil"/>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门禁系统维护</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6</w:t>
            </w:r>
          </w:p>
        </w:tc>
        <w:tc>
          <w:tcPr>
            <w:tcW w:w="1042" w:type="pct"/>
            <w:vMerge w:val="continue"/>
            <w:tcBorders>
              <w:top w:val="nil"/>
              <w:left w:val="single" w:color="000000" w:sz="4" w:space="0"/>
              <w:bottom w:val="nil"/>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日光灯灯管检查维护更换</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7</w:t>
            </w:r>
          </w:p>
        </w:tc>
        <w:tc>
          <w:tcPr>
            <w:tcW w:w="10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装修部分</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手推门检修维护</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8</w:t>
            </w: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墙地面装饰面层完好性检查</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9</w:t>
            </w: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气密灯罩气密性检查</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10</w:t>
            </w: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门禁手动开关、门禁系统、呼叫系统</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12</w:t>
            </w: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 w:val="24"/>
                <w:szCs w:val="24"/>
              </w:rPr>
            </w:pP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互锁开关、器械柜门的检查、更换维修</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72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13</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净化循环机组维修及维护</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电机、风机、皮带、轴承、冷热表冷器、电动执行器、电动密闭阀、温度传感器</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5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14</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压缩机、散热扇、管道阀门</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压缩机检修巡视、电扇的保养维护、管道阀门的检修更换</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15</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高效过滤器更换消毒</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高效过滤器</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16</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过滤器维护清洗、更换</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初效、中效过滤器</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17</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所有机组百叶口维修</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送、回风口、排风口</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18</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室外机清洁保养维护</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外机组巡视、清洁、检修、</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76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19</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各区域送、回、排风口维修及检查</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送、回、排风口；送回排风管道上的手动调节阀、定风量阀、止回阀、防火阀</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20</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机组控制面板</w:t>
            </w:r>
          </w:p>
        </w:tc>
        <w:tc>
          <w:tcPr>
            <w:tcW w:w="1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运行状态、故障回馈</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21</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照明系统的检查、维修</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灯管、镇流器、开关、插座、所有需要更换的电线电缆</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6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22</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一般配电柜、配电箱的检查、维护</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电柜内的空开、接触器、中间继电器、变压器、熔断器、指示灯</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6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23</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给排水系统的日常检查、维修</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运行状态、故障回馈</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每周一次、定期巡检</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8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24</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零星耗材</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紫外线消毒灯、皮带、轴承、开关等零星材料</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一批</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损坏及时更换</w:t>
            </w:r>
          </w:p>
        </w:tc>
      </w:tr>
      <w:tr>
        <w:tblPrEx>
          <w:tblCellMar>
            <w:top w:w="0" w:type="dxa"/>
            <w:left w:w="108" w:type="dxa"/>
            <w:bottom w:w="0" w:type="dxa"/>
            <w:right w:w="108" w:type="dxa"/>
          </w:tblCellMar>
        </w:tblPrEx>
        <w:trPr>
          <w:trHeight w:val="400" w:hRule="atLeast"/>
        </w:trPr>
        <w:tc>
          <w:tcPr>
            <w:tcW w:w="30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kern w:val="0"/>
                <w:sz w:val="24"/>
                <w:szCs w:val="24"/>
              </w:rPr>
              <w:t>5台机组</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b/>
                <w:bCs/>
                <w:color w:val="000000"/>
                <w:sz w:val="24"/>
                <w:szCs w:val="24"/>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bCs/>
                <w:color w:val="000000"/>
                <w:sz w:val="24"/>
                <w:szCs w:val="24"/>
              </w:rPr>
            </w:pPr>
          </w:p>
        </w:tc>
      </w:tr>
      <w:tr>
        <w:tblPrEx>
          <w:tblCellMar>
            <w:top w:w="0" w:type="dxa"/>
            <w:left w:w="108" w:type="dxa"/>
            <w:bottom w:w="0" w:type="dxa"/>
            <w:right w:w="108" w:type="dxa"/>
          </w:tblCellMar>
        </w:tblPrEx>
        <w:trPr>
          <w:trHeight w:val="400" w:hRule="atLeast"/>
        </w:trPr>
        <w:tc>
          <w:tcPr>
            <w:tcW w:w="387"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25</w:t>
            </w:r>
          </w:p>
        </w:tc>
        <w:tc>
          <w:tcPr>
            <w:tcW w:w="1042"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初效过滤器G4</w:t>
            </w:r>
          </w:p>
        </w:tc>
        <w:tc>
          <w:tcPr>
            <w:tcW w:w="1629"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595*595*20</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36.00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铝框</w:t>
            </w:r>
          </w:p>
        </w:tc>
      </w:tr>
      <w:tr>
        <w:tblPrEx>
          <w:tblCellMar>
            <w:top w:w="0" w:type="dxa"/>
            <w:left w:w="108" w:type="dxa"/>
            <w:bottom w:w="0" w:type="dxa"/>
            <w:right w:w="108" w:type="dxa"/>
          </w:tblCellMar>
        </w:tblPrEx>
        <w:trPr>
          <w:trHeight w:val="4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26</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初效过滤器G5</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595*295*20</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36.00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铝框</w:t>
            </w:r>
          </w:p>
        </w:tc>
      </w:tr>
      <w:tr>
        <w:tblPrEx>
          <w:tblCellMar>
            <w:top w:w="0" w:type="dxa"/>
            <w:left w:w="108" w:type="dxa"/>
            <w:bottom w:w="0" w:type="dxa"/>
            <w:right w:w="108" w:type="dxa"/>
          </w:tblCellMar>
        </w:tblPrEx>
        <w:trPr>
          <w:trHeight w:val="4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27</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初效过滤器G6</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295*295*20</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8.00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铝框</w:t>
            </w:r>
          </w:p>
        </w:tc>
      </w:tr>
      <w:tr>
        <w:tblPrEx>
          <w:tblCellMar>
            <w:top w:w="0" w:type="dxa"/>
            <w:left w:w="108" w:type="dxa"/>
            <w:bottom w:w="0" w:type="dxa"/>
            <w:right w:w="108" w:type="dxa"/>
          </w:tblCellMar>
        </w:tblPrEx>
        <w:trPr>
          <w:trHeight w:val="4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28</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中效袋式过滤器 F8</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595*595*500</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36.00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铝框</w:t>
            </w:r>
          </w:p>
        </w:tc>
      </w:tr>
      <w:tr>
        <w:tblPrEx>
          <w:tblCellMar>
            <w:top w:w="0" w:type="dxa"/>
            <w:left w:w="108" w:type="dxa"/>
            <w:bottom w:w="0" w:type="dxa"/>
            <w:right w:w="108" w:type="dxa"/>
          </w:tblCellMar>
        </w:tblPrEx>
        <w:trPr>
          <w:trHeight w:val="4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29</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中效袋式过滤器 F9</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595*295*500</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36.00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铝框</w:t>
            </w:r>
          </w:p>
        </w:tc>
      </w:tr>
      <w:tr>
        <w:tblPrEx>
          <w:tblCellMar>
            <w:top w:w="0" w:type="dxa"/>
            <w:left w:w="108" w:type="dxa"/>
            <w:bottom w:w="0" w:type="dxa"/>
            <w:right w:w="108" w:type="dxa"/>
          </w:tblCellMar>
        </w:tblPrEx>
        <w:trPr>
          <w:trHeight w:val="4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30</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中效袋式过滤器 F10</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295*295*500</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8.00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铝框</w:t>
            </w:r>
          </w:p>
        </w:tc>
      </w:tr>
      <w:tr>
        <w:tblPrEx>
          <w:tblCellMar>
            <w:top w:w="0" w:type="dxa"/>
            <w:left w:w="108" w:type="dxa"/>
            <w:bottom w:w="0" w:type="dxa"/>
            <w:right w:w="108" w:type="dxa"/>
          </w:tblCellMar>
        </w:tblPrEx>
        <w:trPr>
          <w:trHeight w:val="4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31</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亚高效过滤器H11</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595*595*292</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4.00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有隔板.镀锌框</w:t>
            </w:r>
          </w:p>
        </w:tc>
      </w:tr>
      <w:tr>
        <w:tblPrEx>
          <w:tblCellMar>
            <w:top w:w="0" w:type="dxa"/>
            <w:left w:w="108" w:type="dxa"/>
            <w:bottom w:w="0" w:type="dxa"/>
            <w:right w:w="108" w:type="dxa"/>
          </w:tblCellMar>
        </w:tblPrEx>
        <w:trPr>
          <w:trHeight w:val="4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32</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亚高效过滤器H12</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595*295*292</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6.00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有隔板.镀锌框</w:t>
            </w:r>
          </w:p>
        </w:tc>
      </w:tr>
      <w:tr>
        <w:tblPrEx>
          <w:tblCellMar>
            <w:top w:w="0" w:type="dxa"/>
            <w:left w:w="108" w:type="dxa"/>
            <w:bottom w:w="0" w:type="dxa"/>
            <w:right w:w="108" w:type="dxa"/>
          </w:tblCellMar>
        </w:tblPrEx>
        <w:trPr>
          <w:trHeight w:val="400" w:hRule="atLeast"/>
        </w:trPr>
        <w:tc>
          <w:tcPr>
            <w:tcW w:w="387"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33</w:t>
            </w:r>
          </w:p>
        </w:tc>
        <w:tc>
          <w:tcPr>
            <w:tcW w:w="1042"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亚高效过滤器H13</w:t>
            </w:r>
          </w:p>
        </w:tc>
        <w:tc>
          <w:tcPr>
            <w:tcW w:w="1629"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295*295*292</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2.00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有隔板.镀锌框</w:t>
            </w:r>
          </w:p>
        </w:tc>
      </w:tr>
      <w:tr>
        <w:tblPrEx>
          <w:tblCellMar>
            <w:top w:w="0" w:type="dxa"/>
            <w:left w:w="108" w:type="dxa"/>
            <w:bottom w:w="0" w:type="dxa"/>
            <w:right w:w="108" w:type="dxa"/>
          </w:tblCellMar>
        </w:tblPrEx>
        <w:trPr>
          <w:trHeight w:val="400" w:hRule="atLeast"/>
        </w:trPr>
        <w:tc>
          <w:tcPr>
            <w:tcW w:w="30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kern w:val="0"/>
                <w:sz w:val="24"/>
                <w:szCs w:val="24"/>
              </w:rPr>
              <w:t>7间万级手术室</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4"/>
                <w:szCs w:val="24"/>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bCs/>
                <w:color w:val="000000"/>
                <w:sz w:val="24"/>
                <w:szCs w:val="24"/>
              </w:rPr>
            </w:pPr>
          </w:p>
        </w:tc>
      </w:tr>
      <w:tr>
        <w:tblPrEx>
          <w:tblCellMar>
            <w:top w:w="0" w:type="dxa"/>
            <w:left w:w="108" w:type="dxa"/>
            <w:bottom w:w="0" w:type="dxa"/>
            <w:right w:w="108" w:type="dxa"/>
          </w:tblCellMar>
        </w:tblPrEx>
        <w:trPr>
          <w:trHeight w:val="400" w:hRule="atLeast"/>
        </w:trPr>
        <w:tc>
          <w:tcPr>
            <w:tcW w:w="387"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34</w:t>
            </w:r>
          </w:p>
        </w:tc>
        <w:tc>
          <w:tcPr>
            <w:tcW w:w="1042"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高效过滤器H14</w:t>
            </w:r>
          </w:p>
        </w:tc>
        <w:tc>
          <w:tcPr>
            <w:tcW w:w="1629"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305*610*290</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14.00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有隔板.镀锌框</w:t>
            </w:r>
          </w:p>
        </w:tc>
      </w:tr>
      <w:tr>
        <w:tblPrEx>
          <w:tblCellMar>
            <w:top w:w="0" w:type="dxa"/>
            <w:left w:w="108" w:type="dxa"/>
            <w:bottom w:w="0" w:type="dxa"/>
            <w:right w:w="108" w:type="dxa"/>
          </w:tblCellMar>
        </w:tblPrEx>
        <w:trPr>
          <w:trHeight w:val="400" w:hRule="atLeast"/>
        </w:trPr>
        <w:tc>
          <w:tcPr>
            <w:tcW w:w="30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kern w:val="0"/>
                <w:sz w:val="24"/>
                <w:szCs w:val="24"/>
              </w:rPr>
              <w:t>防辐射手术室</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4"/>
                <w:szCs w:val="24"/>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bCs/>
                <w:color w:val="000000"/>
                <w:sz w:val="24"/>
                <w:szCs w:val="24"/>
              </w:rPr>
            </w:pPr>
          </w:p>
        </w:tc>
      </w:tr>
      <w:tr>
        <w:tblPrEx>
          <w:tblCellMar>
            <w:top w:w="0" w:type="dxa"/>
            <w:left w:w="108" w:type="dxa"/>
            <w:bottom w:w="0" w:type="dxa"/>
            <w:right w:w="108" w:type="dxa"/>
          </w:tblCellMar>
        </w:tblPrEx>
        <w:trPr>
          <w:trHeight w:val="4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35</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高效过滤器H14</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630*630*90</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2.00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铝框</w:t>
            </w:r>
          </w:p>
        </w:tc>
      </w:tr>
      <w:tr>
        <w:tblPrEx>
          <w:tblCellMar>
            <w:top w:w="0" w:type="dxa"/>
            <w:left w:w="108" w:type="dxa"/>
            <w:bottom w:w="0" w:type="dxa"/>
            <w:right w:w="108" w:type="dxa"/>
          </w:tblCellMar>
        </w:tblPrEx>
        <w:trPr>
          <w:trHeight w:val="400" w:hRule="atLeast"/>
        </w:trPr>
        <w:tc>
          <w:tcPr>
            <w:tcW w:w="30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kern w:val="0"/>
                <w:sz w:val="24"/>
                <w:szCs w:val="24"/>
              </w:rPr>
              <w:t>洁净走廊和辅房</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4"/>
                <w:szCs w:val="24"/>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bCs/>
                <w:color w:val="000000"/>
                <w:sz w:val="24"/>
                <w:szCs w:val="24"/>
              </w:rPr>
            </w:pPr>
          </w:p>
        </w:tc>
      </w:tr>
      <w:tr>
        <w:tblPrEx>
          <w:tblCellMar>
            <w:top w:w="0" w:type="dxa"/>
            <w:left w:w="108" w:type="dxa"/>
            <w:bottom w:w="0" w:type="dxa"/>
            <w:right w:w="108" w:type="dxa"/>
          </w:tblCellMar>
        </w:tblPrEx>
        <w:trPr>
          <w:trHeight w:val="4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36</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高效过滤器H14</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630*630*90</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19.00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铝框</w:t>
            </w:r>
          </w:p>
        </w:tc>
      </w:tr>
      <w:tr>
        <w:tblPrEx>
          <w:tblCellMar>
            <w:top w:w="0" w:type="dxa"/>
            <w:left w:w="108" w:type="dxa"/>
            <w:bottom w:w="0" w:type="dxa"/>
            <w:right w:w="108" w:type="dxa"/>
          </w:tblCellMar>
        </w:tblPrEx>
        <w:trPr>
          <w:trHeight w:val="4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37</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高效过滤器H15</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484*484*90</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2.00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铝框</w:t>
            </w:r>
          </w:p>
        </w:tc>
      </w:tr>
      <w:tr>
        <w:tblPrEx>
          <w:tblCellMar>
            <w:top w:w="0" w:type="dxa"/>
            <w:left w:w="108" w:type="dxa"/>
            <w:bottom w:w="0" w:type="dxa"/>
            <w:right w:w="108" w:type="dxa"/>
          </w:tblCellMar>
        </w:tblPrEx>
        <w:trPr>
          <w:trHeight w:val="4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38</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高效过滤器H16</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320*320*90</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4.00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铝框</w:t>
            </w:r>
          </w:p>
        </w:tc>
      </w:tr>
      <w:tr>
        <w:tblPrEx>
          <w:tblCellMar>
            <w:top w:w="0" w:type="dxa"/>
            <w:left w:w="108" w:type="dxa"/>
            <w:bottom w:w="0" w:type="dxa"/>
            <w:right w:w="108" w:type="dxa"/>
          </w:tblCellMar>
        </w:tblPrEx>
        <w:trPr>
          <w:trHeight w:val="400" w:hRule="atLeast"/>
        </w:trPr>
        <w:tc>
          <w:tcPr>
            <w:tcW w:w="30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kern w:val="0"/>
                <w:sz w:val="24"/>
                <w:szCs w:val="24"/>
              </w:rPr>
              <w:t>污物走廊</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4"/>
                <w:szCs w:val="24"/>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bCs/>
                <w:color w:val="000000"/>
                <w:sz w:val="24"/>
                <w:szCs w:val="24"/>
              </w:rPr>
            </w:pPr>
          </w:p>
        </w:tc>
      </w:tr>
      <w:tr>
        <w:tblPrEx>
          <w:tblCellMar>
            <w:top w:w="0" w:type="dxa"/>
            <w:left w:w="108" w:type="dxa"/>
            <w:bottom w:w="0" w:type="dxa"/>
            <w:right w:w="108" w:type="dxa"/>
          </w:tblCellMar>
        </w:tblPrEx>
        <w:trPr>
          <w:trHeight w:val="4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39</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亚高效过滤器H11</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630*630*90</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9.00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铝框</w:t>
            </w:r>
          </w:p>
        </w:tc>
      </w:tr>
      <w:tr>
        <w:tblPrEx>
          <w:tblCellMar>
            <w:top w:w="0" w:type="dxa"/>
            <w:left w:w="108" w:type="dxa"/>
            <w:bottom w:w="0" w:type="dxa"/>
            <w:right w:w="108" w:type="dxa"/>
          </w:tblCellMar>
        </w:tblPrEx>
        <w:trPr>
          <w:trHeight w:val="400" w:hRule="atLeast"/>
        </w:trPr>
        <w:tc>
          <w:tcPr>
            <w:tcW w:w="30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kern w:val="0"/>
                <w:sz w:val="24"/>
                <w:szCs w:val="24"/>
              </w:rPr>
              <w:t>中心供应室过滤器</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4"/>
                <w:szCs w:val="24"/>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bCs/>
                <w:color w:val="000000"/>
                <w:sz w:val="24"/>
                <w:szCs w:val="24"/>
              </w:rPr>
            </w:pPr>
          </w:p>
        </w:tc>
      </w:tr>
      <w:tr>
        <w:tblPrEx>
          <w:tblCellMar>
            <w:top w:w="0" w:type="dxa"/>
            <w:left w:w="108" w:type="dxa"/>
            <w:bottom w:w="0" w:type="dxa"/>
            <w:right w:w="108" w:type="dxa"/>
          </w:tblCellMar>
        </w:tblPrEx>
        <w:trPr>
          <w:trHeight w:val="400" w:hRule="atLeast"/>
        </w:trPr>
        <w:tc>
          <w:tcPr>
            <w:tcW w:w="30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kern w:val="0"/>
                <w:sz w:val="24"/>
                <w:szCs w:val="24"/>
              </w:rPr>
              <w:t>2 台机组</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4"/>
                <w:szCs w:val="24"/>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bCs/>
                <w:color w:val="000000"/>
                <w:sz w:val="24"/>
                <w:szCs w:val="24"/>
              </w:rPr>
            </w:pPr>
          </w:p>
        </w:tc>
      </w:tr>
      <w:tr>
        <w:tblPrEx>
          <w:tblCellMar>
            <w:top w:w="0" w:type="dxa"/>
            <w:left w:w="108" w:type="dxa"/>
            <w:bottom w:w="0" w:type="dxa"/>
            <w:right w:w="108" w:type="dxa"/>
          </w:tblCellMar>
        </w:tblPrEx>
        <w:trPr>
          <w:trHeight w:val="4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40</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初效过滤器 G4</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595*595*20</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12.00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镀锌框</w:t>
            </w:r>
          </w:p>
        </w:tc>
      </w:tr>
      <w:tr>
        <w:tblPrEx>
          <w:tblCellMar>
            <w:top w:w="0" w:type="dxa"/>
            <w:left w:w="108" w:type="dxa"/>
            <w:bottom w:w="0" w:type="dxa"/>
            <w:right w:w="108" w:type="dxa"/>
          </w:tblCellMar>
        </w:tblPrEx>
        <w:trPr>
          <w:trHeight w:val="4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41</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初效过滤器 G5</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595*295*20</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8.00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镀锌框</w:t>
            </w:r>
          </w:p>
        </w:tc>
      </w:tr>
      <w:tr>
        <w:tblPrEx>
          <w:tblCellMar>
            <w:top w:w="0" w:type="dxa"/>
            <w:left w:w="108" w:type="dxa"/>
            <w:bottom w:w="0" w:type="dxa"/>
            <w:right w:w="108" w:type="dxa"/>
          </w:tblCellMar>
        </w:tblPrEx>
        <w:trPr>
          <w:trHeight w:val="4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42</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中效袋式过滤器 F8</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595*595*500</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12.00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镀锌框</w:t>
            </w:r>
          </w:p>
        </w:tc>
      </w:tr>
      <w:tr>
        <w:tblPrEx>
          <w:tblCellMar>
            <w:top w:w="0" w:type="dxa"/>
            <w:left w:w="108" w:type="dxa"/>
            <w:bottom w:w="0" w:type="dxa"/>
            <w:right w:w="108" w:type="dxa"/>
          </w:tblCellMar>
        </w:tblPrEx>
        <w:trPr>
          <w:trHeight w:val="4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43</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中效袋式过滤器 F9</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595*295*500</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8.00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镀锌框</w:t>
            </w:r>
          </w:p>
        </w:tc>
      </w:tr>
      <w:tr>
        <w:tblPrEx>
          <w:tblCellMar>
            <w:top w:w="0" w:type="dxa"/>
            <w:left w:w="108" w:type="dxa"/>
            <w:bottom w:w="0" w:type="dxa"/>
            <w:right w:w="108" w:type="dxa"/>
          </w:tblCellMar>
        </w:tblPrEx>
        <w:trPr>
          <w:trHeight w:val="4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44</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亚高效过滤器H11</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595*295*290</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4.00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镀锌框</w:t>
            </w:r>
          </w:p>
        </w:tc>
      </w:tr>
      <w:tr>
        <w:tblPrEx>
          <w:tblCellMar>
            <w:top w:w="0" w:type="dxa"/>
            <w:left w:w="108" w:type="dxa"/>
            <w:bottom w:w="0" w:type="dxa"/>
            <w:right w:w="108" w:type="dxa"/>
          </w:tblCellMar>
        </w:tblPrEx>
        <w:trPr>
          <w:trHeight w:val="400" w:hRule="atLeast"/>
        </w:trPr>
        <w:tc>
          <w:tcPr>
            <w:tcW w:w="30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kern w:val="0"/>
                <w:sz w:val="24"/>
                <w:szCs w:val="24"/>
              </w:rPr>
              <w:t>包装区和无菌区</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4"/>
                <w:szCs w:val="24"/>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asciiTheme="minorEastAsia" w:hAnsiTheme="minorEastAsia" w:eastAsiaTheme="minorEastAsia"/>
                <w:color w:val="000000"/>
                <w:sz w:val="24"/>
                <w:szCs w:val="24"/>
              </w:rPr>
            </w:pPr>
          </w:p>
        </w:tc>
      </w:tr>
      <w:tr>
        <w:tblPrEx>
          <w:tblCellMar>
            <w:top w:w="0" w:type="dxa"/>
            <w:left w:w="108" w:type="dxa"/>
            <w:bottom w:w="0" w:type="dxa"/>
            <w:right w:w="108" w:type="dxa"/>
          </w:tblCellMar>
        </w:tblPrEx>
        <w:trPr>
          <w:trHeight w:val="4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45</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高效过滤器 H14</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630*630*90</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12.00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铝框</w:t>
            </w:r>
          </w:p>
        </w:tc>
      </w:tr>
      <w:tr>
        <w:tblPrEx>
          <w:tblCellMar>
            <w:top w:w="0" w:type="dxa"/>
            <w:left w:w="108" w:type="dxa"/>
            <w:bottom w:w="0" w:type="dxa"/>
            <w:right w:w="108" w:type="dxa"/>
          </w:tblCellMar>
        </w:tblPrEx>
        <w:trPr>
          <w:trHeight w:val="400"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46</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高效过滤器 H15</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484*484*90</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 xml:space="preserve">4.00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铝框</w:t>
            </w:r>
          </w:p>
        </w:tc>
      </w:tr>
    </w:tbl>
    <w:p>
      <w:pPr>
        <w:pStyle w:val="75"/>
        <w:rPr>
          <w:rFonts w:asciiTheme="minorEastAsia" w:hAnsiTheme="minorEastAsia" w:eastAsiaTheme="minorEastAsia"/>
        </w:rPr>
      </w:pPr>
    </w:p>
    <w:p>
      <w:pPr>
        <w:rPr>
          <w:rFonts w:asciiTheme="minorEastAsia" w:hAnsiTheme="minorEastAsia" w:eastAsiaTheme="minorEastAsia"/>
          <w:sz w:val="24"/>
          <w:szCs w:val="24"/>
        </w:rPr>
      </w:pPr>
    </w:p>
    <w:p>
      <w:pPr>
        <w:rPr>
          <w:rFonts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二、维保要求</w:t>
      </w:r>
    </w:p>
    <w:p>
      <w:pPr>
        <w:spacing w:beforeLines="50" w:afterLines="50"/>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1、对净化系统内所有机械传动部分进行检查调整、维修保养。</w:t>
      </w:r>
    </w:p>
    <w:p>
      <w:pPr>
        <w:spacing w:beforeLines="50" w:afterLines="50"/>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2、对强电部分及其负载设备性能进行全面的检查调整、维修保养。</w:t>
      </w:r>
    </w:p>
    <w:p>
      <w:pPr>
        <w:spacing w:beforeLines="50" w:afterLines="50"/>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3、对门禁等部分调整维修服务。</w:t>
      </w:r>
    </w:p>
    <w:p>
      <w:pPr>
        <w:spacing w:beforeLines="50" w:afterLines="50"/>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4、对自动控制系统的传感器、执行器、多功能控制器（PLC）、仪器仪表进行检查调整、维修服务。</w:t>
      </w:r>
    </w:p>
    <w:p>
      <w:pPr>
        <w:spacing w:beforeLines="50" w:afterLines="50"/>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5、对净化系统区域中的设备和配件，如：风机、风管、风阀、防火阀、连接器、过滤器、水管、水阀、初、中效过滤器、表冷器、加热器、减震器、加湿器、高效过滤器、静压箱等进行检查、调整、维修服务。</w:t>
      </w:r>
    </w:p>
    <w:p>
      <w:pPr>
        <w:spacing w:beforeLines="50" w:afterLines="50"/>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6、对空调水管、风管及其附件进行检查、检修。</w:t>
      </w:r>
    </w:p>
    <w:p>
      <w:pPr>
        <w:spacing w:beforeLines="50" w:afterLines="50"/>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7、全年对合同范围内区域进行零星易损件(空开、阀门、保险丝、皮带、轴承、电气元器件、仪表、水管件、水过滤器、加湿器及加湿桶、压差表，机组内初效、中效过滤器)修理、加氟利昂等技术服务。</w:t>
      </w:r>
    </w:p>
    <w:p>
      <w:pPr>
        <w:spacing w:beforeLines="50" w:afterLines="50"/>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8、全年对系统零星修理、技术服务。</w:t>
      </w:r>
    </w:p>
    <w:p>
      <w:pPr>
        <w:spacing w:beforeLines="50" w:afterLines="50"/>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9、全年所有维保区域过滤器清洗更换服务。</w:t>
      </w:r>
    </w:p>
    <w:p>
      <w:pPr>
        <w:rPr>
          <w:rFonts w:asciiTheme="minorEastAsia" w:hAnsiTheme="minorEastAsia" w:eastAsiaTheme="minorEastAsia"/>
          <w:sz w:val="24"/>
          <w:szCs w:val="24"/>
        </w:rPr>
      </w:pPr>
    </w:p>
    <w:p>
      <w:pPr>
        <w:spacing w:beforeLines="50" w:afterLines="50"/>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三、维保售后</w:t>
      </w:r>
    </w:p>
    <w:p>
      <w:pPr>
        <w:spacing w:beforeLines="50" w:afterLines="50"/>
        <w:ind w:firstLine="480" w:firstLineChars="20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1、按照合同约定期限进行维保。</w:t>
      </w:r>
    </w:p>
    <w:p>
      <w:pPr>
        <w:widowControl/>
        <w:ind w:firstLine="480" w:firstLineChars="20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2、维保</w:t>
      </w:r>
      <w:r>
        <w:rPr>
          <w:rFonts w:hint="eastAsia" w:cs="宋体" w:asciiTheme="minorEastAsia" w:hAnsiTheme="minorEastAsia" w:eastAsiaTheme="minorEastAsia"/>
          <w:color w:val="000000" w:themeColor="text1"/>
          <w:kern w:val="0"/>
          <w:sz w:val="24"/>
          <w:szCs w:val="24"/>
          <w14:textFill>
            <w14:solidFill>
              <w14:schemeClr w14:val="tx1"/>
            </w14:solidFill>
          </w14:textFill>
        </w:rPr>
        <w:t>期内接到报修通知，突发紧急情况1小时内赶到现场处理，一般情况，2小时内赶到现场处理。</w:t>
      </w:r>
    </w:p>
    <w:p>
      <w:pPr>
        <w:widowControl/>
        <w:ind w:firstLine="480" w:firstLineChars="20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3、做好维保时的安全防范措施。如因维保过程中出现安全事故，所导致的一切相关损失及责任由维保方承担。</w:t>
      </w:r>
    </w:p>
    <w:p>
      <w:pPr>
        <w:widowControl/>
        <w:ind w:firstLine="480" w:firstLineChars="200"/>
        <w:jc w:val="left"/>
        <w:rPr>
          <w:highlight w:val="yellow"/>
        </w:rPr>
      </w:pPr>
      <w:r>
        <w:rPr>
          <w:rFonts w:hint="eastAsia" w:cs="宋体" w:asciiTheme="minorEastAsia" w:hAnsiTheme="minorEastAsia" w:eastAsiaTheme="minorEastAsia"/>
          <w:color w:val="000000"/>
          <w:kern w:val="0"/>
          <w:sz w:val="24"/>
          <w:szCs w:val="24"/>
        </w:rPr>
        <w:t>4、维保过程中产生垃圾及时清理。如延时或上级部门检查发现问题进行处理，所有的责任由维保方承担。</w:t>
      </w:r>
    </w:p>
    <w:p>
      <w:pPr>
        <w:pStyle w:val="34"/>
        <w:ind w:firstLine="420"/>
        <w:rPr>
          <w:highlight w:val="yellow"/>
        </w:rPr>
      </w:pPr>
    </w:p>
    <w:p>
      <w:pPr>
        <w:pStyle w:val="3"/>
        <w:jc w:val="center"/>
        <w:rPr>
          <w:rFonts w:ascii="仿宋" w:hAnsi="仿宋" w:eastAsia="仿宋" w:cs="仿宋"/>
          <w:sz w:val="30"/>
          <w:szCs w:val="30"/>
        </w:rPr>
      </w:pPr>
      <w:bookmarkStart w:id="501" w:name="_Toc14947"/>
      <w:r>
        <w:rPr>
          <w:rFonts w:hint="eastAsia" w:ascii="仿宋" w:hAnsi="仿宋" w:eastAsia="仿宋" w:cs="仿宋"/>
          <w:sz w:val="30"/>
          <w:szCs w:val="30"/>
        </w:rPr>
        <w:t>第六章   投标文件部分格式</w:t>
      </w:r>
      <w:bookmarkEnd w:id="501"/>
    </w:p>
    <w:p>
      <w:pPr>
        <w:pStyle w:val="34"/>
        <w:ind w:firstLine="420"/>
      </w:pPr>
    </w:p>
    <w:p>
      <w:pPr>
        <w:spacing w:line="360" w:lineRule="auto"/>
        <w:jc w:val="center"/>
        <w:rPr>
          <w:rFonts w:ascii="仿宋" w:hAnsi="仿宋" w:eastAsia="仿宋" w:cs="仿宋"/>
          <w:sz w:val="24"/>
          <w:szCs w:val="24"/>
        </w:rPr>
      </w:pPr>
      <w:bookmarkStart w:id="502" w:name="_Toc8812_WPSOffice_Level1"/>
      <w:bookmarkStart w:id="503" w:name="_Toc4221_WPSOffice_Level1"/>
      <w:r>
        <w:rPr>
          <w:rFonts w:hint="eastAsia" w:ascii="仿宋" w:hAnsi="仿宋" w:eastAsia="仿宋" w:cs="仿宋"/>
          <w:sz w:val="24"/>
          <w:szCs w:val="24"/>
        </w:rPr>
        <w:t>正本/副本</w:t>
      </w:r>
      <w:bookmarkEnd w:id="502"/>
      <w:bookmarkEnd w:id="503"/>
    </w:p>
    <w:p>
      <w:pPr>
        <w:spacing w:line="360" w:lineRule="auto"/>
        <w:rPr>
          <w:rFonts w:ascii="仿宋" w:hAnsi="仿宋" w:eastAsia="仿宋" w:cs="仿宋"/>
          <w:sz w:val="24"/>
          <w:szCs w:val="24"/>
          <w:highlight w:val="yellow"/>
        </w:rPr>
      </w:pPr>
    </w:p>
    <w:p>
      <w:pPr>
        <w:spacing w:line="360" w:lineRule="auto"/>
        <w:ind w:firstLine="480" w:firstLineChars="200"/>
        <w:rPr>
          <w:rFonts w:ascii="仿宋" w:hAnsi="仿宋" w:eastAsia="仿宋" w:cs="仿宋"/>
          <w:sz w:val="24"/>
          <w:szCs w:val="24"/>
          <w:highlight w:val="yellow"/>
        </w:rPr>
      </w:pPr>
    </w:p>
    <w:p>
      <w:pPr>
        <w:pStyle w:val="21"/>
        <w:spacing w:line="360" w:lineRule="auto"/>
        <w:rPr>
          <w:rFonts w:ascii="仿宋" w:hAnsi="仿宋" w:eastAsia="仿宋" w:cs="仿宋"/>
          <w:sz w:val="24"/>
          <w:szCs w:val="24"/>
          <w:highlight w:val="yellow"/>
        </w:rPr>
      </w:pPr>
    </w:p>
    <w:p>
      <w:pPr>
        <w:pStyle w:val="21"/>
        <w:spacing w:line="360" w:lineRule="auto"/>
        <w:rPr>
          <w:rFonts w:ascii="仿宋" w:hAnsi="仿宋" w:eastAsia="仿宋" w:cs="仿宋"/>
          <w:sz w:val="24"/>
          <w:szCs w:val="24"/>
          <w:highlight w:val="yellow"/>
        </w:rPr>
      </w:pPr>
    </w:p>
    <w:p>
      <w:pPr>
        <w:pStyle w:val="21"/>
        <w:spacing w:line="360" w:lineRule="auto"/>
        <w:rPr>
          <w:rFonts w:ascii="仿宋" w:hAnsi="仿宋" w:eastAsia="仿宋" w:cs="仿宋"/>
          <w:sz w:val="24"/>
          <w:szCs w:val="24"/>
          <w:highlight w:val="yellow"/>
        </w:rPr>
      </w:pPr>
    </w:p>
    <w:p>
      <w:pPr>
        <w:spacing w:line="360" w:lineRule="auto"/>
        <w:ind w:firstLine="1440" w:firstLineChars="600"/>
        <w:rPr>
          <w:rFonts w:ascii="仿宋" w:hAnsi="仿宋" w:eastAsia="仿宋" w:cs="仿宋"/>
          <w:sz w:val="24"/>
          <w:szCs w:val="24"/>
        </w:rPr>
      </w:pPr>
      <w:r>
        <w:rPr>
          <w:rFonts w:hint="eastAsia" w:ascii="仿宋" w:hAnsi="仿宋" w:eastAsia="仿宋" w:cs="仿宋"/>
          <w:sz w:val="24"/>
          <w:szCs w:val="24"/>
          <w:u w:val="single"/>
        </w:rPr>
        <w:t xml:space="preserve">             （项目名称）                </w:t>
      </w:r>
    </w:p>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p>
    <w:p>
      <w:pPr>
        <w:pStyle w:val="21"/>
        <w:spacing w:line="360" w:lineRule="auto"/>
        <w:rPr>
          <w:rFonts w:ascii="仿宋" w:hAnsi="仿宋" w:eastAsia="仿宋" w:cs="仿宋"/>
          <w:sz w:val="24"/>
          <w:szCs w:val="24"/>
        </w:rPr>
      </w:pPr>
    </w:p>
    <w:p>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投标文件</w:t>
      </w:r>
    </w:p>
    <w:p>
      <w:pPr>
        <w:pStyle w:val="34"/>
        <w:ind w:firstLine="482"/>
        <w:rPr>
          <w:rFonts w:ascii="仿宋" w:hAnsi="仿宋" w:eastAsia="仿宋" w:cs="仿宋"/>
          <w:b/>
          <w:bCs/>
          <w:sz w:val="24"/>
          <w:szCs w:val="24"/>
        </w:rPr>
      </w:pPr>
    </w:p>
    <w:p>
      <w:pPr>
        <w:pStyle w:val="34"/>
        <w:ind w:firstLine="482"/>
        <w:rPr>
          <w:rFonts w:ascii="仿宋" w:hAnsi="仿宋" w:eastAsia="仿宋" w:cs="仿宋"/>
          <w:b/>
          <w:bCs/>
          <w:sz w:val="24"/>
          <w:szCs w:val="24"/>
          <w:highlight w:val="yellow"/>
        </w:rPr>
      </w:pPr>
    </w:p>
    <w:p>
      <w:pPr>
        <w:pStyle w:val="34"/>
        <w:ind w:firstLine="482"/>
        <w:rPr>
          <w:rFonts w:ascii="仿宋" w:hAnsi="仿宋" w:eastAsia="仿宋" w:cs="仿宋"/>
          <w:b/>
          <w:bCs/>
          <w:sz w:val="24"/>
          <w:szCs w:val="24"/>
          <w:highlight w:val="yellow"/>
        </w:rPr>
      </w:pPr>
    </w:p>
    <w:p>
      <w:pPr>
        <w:pStyle w:val="34"/>
        <w:ind w:firstLine="482"/>
        <w:rPr>
          <w:rFonts w:ascii="仿宋" w:hAnsi="仿宋" w:eastAsia="仿宋" w:cs="仿宋"/>
          <w:b/>
          <w:bCs/>
          <w:sz w:val="24"/>
          <w:szCs w:val="24"/>
          <w:highlight w:val="yellow"/>
        </w:rPr>
      </w:pPr>
    </w:p>
    <w:p>
      <w:pPr>
        <w:pStyle w:val="34"/>
        <w:ind w:firstLine="482"/>
        <w:rPr>
          <w:rFonts w:ascii="仿宋" w:hAnsi="仿宋" w:eastAsia="仿宋" w:cs="仿宋"/>
          <w:b/>
          <w:bCs/>
          <w:sz w:val="24"/>
          <w:szCs w:val="24"/>
          <w:highlight w:val="yellow"/>
        </w:rPr>
      </w:pPr>
    </w:p>
    <w:p>
      <w:pPr>
        <w:pStyle w:val="34"/>
        <w:ind w:firstLine="482"/>
        <w:rPr>
          <w:rFonts w:ascii="仿宋" w:hAnsi="仿宋" w:eastAsia="仿宋" w:cs="仿宋"/>
          <w:b/>
          <w:bCs/>
          <w:sz w:val="24"/>
          <w:szCs w:val="24"/>
          <w:highlight w:val="yellow"/>
        </w:rPr>
      </w:pPr>
    </w:p>
    <w:p>
      <w:pPr>
        <w:pStyle w:val="34"/>
        <w:ind w:firstLine="482"/>
        <w:rPr>
          <w:rFonts w:ascii="仿宋" w:hAnsi="仿宋" w:eastAsia="仿宋" w:cs="仿宋"/>
          <w:b/>
          <w:bCs/>
          <w:sz w:val="24"/>
          <w:szCs w:val="24"/>
          <w:highlight w:val="yellow"/>
        </w:rPr>
      </w:pPr>
    </w:p>
    <w:p>
      <w:pPr>
        <w:spacing w:line="360" w:lineRule="auto"/>
        <w:ind w:firstLine="120" w:firstLineChars="50"/>
        <w:rPr>
          <w:rFonts w:ascii="仿宋" w:hAnsi="仿宋" w:eastAsia="仿宋" w:cs="仿宋"/>
          <w:kern w:val="0"/>
          <w:sz w:val="24"/>
          <w:szCs w:val="24"/>
          <w:highlight w:val="yellow"/>
        </w:rPr>
      </w:pPr>
    </w:p>
    <w:p>
      <w:pPr>
        <w:spacing w:line="360" w:lineRule="auto"/>
        <w:rPr>
          <w:rFonts w:ascii="仿宋" w:hAnsi="仿宋" w:eastAsia="仿宋" w:cs="仿宋"/>
          <w:kern w:val="0"/>
          <w:sz w:val="24"/>
          <w:szCs w:val="24"/>
          <w:highlight w:val="yellow"/>
        </w:rPr>
      </w:pPr>
    </w:p>
    <w:p>
      <w:pPr>
        <w:spacing w:line="360" w:lineRule="auto"/>
        <w:rPr>
          <w:rFonts w:ascii="仿宋" w:hAnsi="仿宋" w:eastAsia="仿宋" w:cs="仿宋"/>
          <w:kern w:val="0"/>
          <w:sz w:val="24"/>
          <w:szCs w:val="24"/>
        </w:rPr>
      </w:pPr>
      <w:r>
        <w:rPr>
          <w:rFonts w:hint="eastAsia" w:ascii="仿宋" w:hAnsi="仿宋" w:eastAsia="仿宋" w:cs="仿宋"/>
          <w:kern w:val="0"/>
          <w:sz w:val="24"/>
          <w:szCs w:val="24"/>
        </w:rPr>
        <w:t>投标单位名称（盖章）：</w:t>
      </w:r>
    </w:p>
    <w:p>
      <w:pPr>
        <w:spacing w:line="360" w:lineRule="auto"/>
        <w:rPr>
          <w:rFonts w:ascii="仿宋" w:hAnsi="仿宋" w:eastAsia="仿宋" w:cs="仿宋"/>
          <w:kern w:val="0"/>
          <w:sz w:val="24"/>
          <w:szCs w:val="24"/>
        </w:rPr>
      </w:pPr>
      <w:r>
        <w:rPr>
          <w:rFonts w:hint="eastAsia" w:ascii="仿宋" w:hAnsi="仿宋" w:eastAsia="仿宋" w:cs="仿宋"/>
          <w:kern w:val="0"/>
          <w:sz w:val="24"/>
          <w:szCs w:val="24"/>
        </w:rPr>
        <w:t>法人或委托代理人（签字或盖章）：</w:t>
      </w:r>
    </w:p>
    <w:p>
      <w:pPr>
        <w:spacing w:line="360" w:lineRule="auto"/>
        <w:rPr>
          <w:rFonts w:ascii="仿宋" w:hAnsi="仿宋" w:eastAsia="仿宋" w:cs="仿宋"/>
          <w:kern w:val="0"/>
          <w:sz w:val="24"/>
          <w:szCs w:val="24"/>
        </w:rPr>
      </w:pPr>
      <w:r>
        <w:rPr>
          <w:rFonts w:hint="eastAsia" w:ascii="仿宋" w:hAnsi="仿宋" w:eastAsia="仿宋" w:cs="仿宋"/>
          <w:kern w:val="0"/>
          <w:sz w:val="24"/>
          <w:szCs w:val="24"/>
        </w:rPr>
        <w:t>单 位 地  址：</w:t>
      </w:r>
    </w:p>
    <w:p>
      <w:pPr>
        <w:spacing w:line="360" w:lineRule="auto"/>
        <w:rPr>
          <w:rFonts w:ascii="仿宋" w:hAnsi="仿宋" w:eastAsia="仿宋" w:cs="仿宋"/>
          <w:kern w:val="0"/>
          <w:sz w:val="24"/>
          <w:szCs w:val="24"/>
        </w:rPr>
      </w:pPr>
      <w:r>
        <w:rPr>
          <w:rFonts w:hint="eastAsia" w:ascii="仿宋" w:hAnsi="仿宋" w:eastAsia="仿宋" w:cs="仿宋"/>
          <w:kern w:val="0"/>
          <w:sz w:val="24"/>
          <w:szCs w:val="24"/>
        </w:rPr>
        <w:t>联   系   人：</w:t>
      </w:r>
    </w:p>
    <w:p>
      <w:pPr>
        <w:spacing w:line="360" w:lineRule="auto"/>
        <w:rPr>
          <w:rFonts w:ascii="仿宋" w:hAnsi="仿宋" w:eastAsia="仿宋" w:cs="仿宋"/>
          <w:kern w:val="0"/>
          <w:sz w:val="24"/>
          <w:szCs w:val="24"/>
        </w:rPr>
      </w:pPr>
      <w:r>
        <w:rPr>
          <w:rFonts w:hint="eastAsia" w:ascii="仿宋" w:hAnsi="仿宋" w:eastAsia="仿宋" w:cs="仿宋"/>
          <w:kern w:val="0"/>
          <w:sz w:val="24"/>
          <w:szCs w:val="24"/>
        </w:rPr>
        <w:t>联 系 电  话：</w:t>
      </w:r>
    </w:p>
    <w:p>
      <w:pPr>
        <w:spacing w:line="360" w:lineRule="auto"/>
        <w:rPr>
          <w:rFonts w:ascii="仿宋" w:hAnsi="仿宋" w:eastAsia="仿宋" w:cs="仿宋"/>
          <w:kern w:val="0"/>
          <w:sz w:val="24"/>
          <w:szCs w:val="24"/>
        </w:rPr>
      </w:pPr>
      <w:r>
        <w:rPr>
          <w:rFonts w:hint="eastAsia" w:ascii="仿宋" w:hAnsi="仿宋" w:eastAsia="仿宋" w:cs="仿宋"/>
          <w:kern w:val="0"/>
          <w:sz w:val="24"/>
          <w:szCs w:val="24"/>
        </w:rPr>
        <w:t>邮  政 编 码：</w:t>
      </w:r>
    </w:p>
    <w:p>
      <w:pPr>
        <w:spacing w:line="360" w:lineRule="auto"/>
        <w:jc w:val="center"/>
        <w:rPr>
          <w:rFonts w:ascii="仿宋" w:hAnsi="仿宋" w:eastAsia="仿宋" w:cs="仿宋"/>
          <w:sz w:val="24"/>
          <w:szCs w:val="24"/>
        </w:rPr>
      </w:pPr>
      <w:r>
        <w:rPr>
          <w:rFonts w:hint="eastAsia" w:ascii="仿宋" w:hAnsi="仿宋" w:eastAsia="仿宋" w:cs="仿宋"/>
          <w:sz w:val="24"/>
          <w:szCs w:val="24"/>
        </w:rPr>
        <w:t xml:space="preserve">       年        月        日</w:t>
      </w:r>
    </w:p>
    <w:p>
      <w:pPr>
        <w:pStyle w:val="21"/>
        <w:rPr>
          <w:rFonts w:ascii="仿宋" w:hAnsi="仿宋" w:eastAsia="仿宋" w:cs="仿宋"/>
          <w:spacing w:val="-4"/>
          <w:kern w:val="0"/>
          <w:sz w:val="24"/>
          <w:szCs w:val="24"/>
          <w:highlight w:val="yellow"/>
        </w:rPr>
      </w:pPr>
    </w:p>
    <w:p>
      <w:pPr>
        <w:pStyle w:val="61"/>
        <w:spacing w:line="360" w:lineRule="auto"/>
        <w:ind w:firstLineChars="83"/>
        <w:jc w:val="center"/>
        <w:rPr>
          <w:rFonts w:ascii="仿宋" w:hAnsi="仿宋" w:eastAsia="仿宋" w:cs="仿宋"/>
          <w:b/>
          <w:sz w:val="24"/>
          <w:szCs w:val="24"/>
          <w:highlight w:val="yellow"/>
        </w:rPr>
      </w:pPr>
    </w:p>
    <w:p>
      <w:pPr>
        <w:pStyle w:val="61"/>
        <w:spacing w:line="360" w:lineRule="auto"/>
        <w:ind w:firstLineChars="83"/>
        <w:jc w:val="center"/>
        <w:rPr>
          <w:rFonts w:ascii="仿宋" w:hAnsi="仿宋" w:eastAsia="仿宋" w:cs="仿宋"/>
          <w:b/>
          <w:sz w:val="24"/>
          <w:szCs w:val="24"/>
        </w:rPr>
      </w:pPr>
      <w:r>
        <w:rPr>
          <w:rFonts w:hint="eastAsia" w:ascii="仿宋" w:hAnsi="仿宋" w:eastAsia="仿宋" w:cs="仿宋"/>
          <w:b/>
          <w:sz w:val="24"/>
          <w:szCs w:val="24"/>
        </w:rPr>
        <w:t>投标文件目录</w:t>
      </w:r>
    </w:p>
    <w:p>
      <w:pPr>
        <w:pStyle w:val="61"/>
        <w:spacing w:line="480" w:lineRule="auto"/>
        <w:ind w:firstLine="475" w:firstLineChars="197"/>
        <w:rPr>
          <w:rFonts w:ascii="仿宋" w:hAnsi="仿宋" w:eastAsia="仿宋" w:cs="仿宋"/>
          <w:b/>
          <w:sz w:val="24"/>
          <w:szCs w:val="24"/>
        </w:rPr>
      </w:pPr>
      <w:r>
        <w:rPr>
          <w:rFonts w:hint="eastAsia" w:ascii="仿宋" w:hAnsi="仿宋" w:eastAsia="仿宋" w:cs="仿宋"/>
          <w:b/>
          <w:sz w:val="24"/>
          <w:szCs w:val="24"/>
        </w:rPr>
        <w:t>（1）投标承诺书</w:t>
      </w:r>
    </w:p>
    <w:p>
      <w:pPr>
        <w:pStyle w:val="61"/>
        <w:spacing w:line="480" w:lineRule="auto"/>
        <w:ind w:firstLine="475" w:firstLineChars="197"/>
        <w:rPr>
          <w:rFonts w:ascii="仿宋" w:hAnsi="仿宋" w:eastAsia="仿宋" w:cs="仿宋"/>
          <w:b/>
          <w:sz w:val="24"/>
          <w:szCs w:val="24"/>
        </w:rPr>
      </w:pPr>
      <w:r>
        <w:rPr>
          <w:rFonts w:hint="eastAsia" w:ascii="仿宋" w:hAnsi="仿宋" w:eastAsia="仿宋" w:cs="仿宋"/>
          <w:b/>
          <w:sz w:val="24"/>
          <w:szCs w:val="24"/>
        </w:rPr>
        <w:t>（2）报价一览表</w:t>
      </w:r>
    </w:p>
    <w:p>
      <w:pPr>
        <w:pStyle w:val="61"/>
        <w:spacing w:line="480" w:lineRule="auto"/>
        <w:ind w:firstLine="482"/>
        <w:rPr>
          <w:rFonts w:ascii="仿宋" w:hAnsi="仿宋" w:eastAsia="仿宋" w:cs="仿宋"/>
          <w:b/>
          <w:sz w:val="24"/>
          <w:szCs w:val="24"/>
        </w:rPr>
      </w:pPr>
      <w:r>
        <w:rPr>
          <w:rFonts w:hint="eastAsia" w:ascii="仿宋" w:hAnsi="仿宋" w:eastAsia="仿宋" w:cs="仿宋"/>
          <w:b/>
          <w:sz w:val="24"/>
          <w:szCs w:val="24"/>
        </w:rPr>
        <w:t>（3）报价一览明细表</w:t>
      </w:r>
    </w:p>
    <w:p>
      <w:pPr>
        <w:pStyle w:val="61"/>
        <w:spacing w:line="480" w:lineRule="auto"/>
        <w:ind w:firstLine="482"/>
        <w:rPr>
          <w:rFonts w:ascii="仿宋" w:hAnsi="仿宋" w:eastAsia="仿宋" w:cs="仿宋"/>
          <w:b/>
          <w:sz w:val="24"/>
          <w:szCs w:val="24"/>
        </w:rPr>
      </w:pPr>
      <w:r>
        <w:rPr>
          <w:rFonts w:hint="eastAsia" w:ascii="仿宋" w:hAnsi="仿宋" w:eastAsia="仿宋" w:cs="仿宋"/>
          <w:b/>
          <w:sz w:val="24"/>
          <w:szCs w:val="24"/>
        </w:rPr>
        <w:t>（4）法定代表人身份证明</w:t>
      </w:r>
    </w:p>
    <w:p>
      <w:pPr>
        <w:pStyle w:val="61"/>
        <w:spacing w:line="480" w:lineRule="auto"/>
        <w:ind w:firstLine="482"/>
        <w:rPr>
          <w:rFonts w:ascii="仿宋" w:hAnsi="仿宋" w:eastAsia="仿宋" w:cs="仿宋"/>
          <w:b/>
          <w:sz w:val="24"/>
          <w:szCs w:val="24"/>
        </w:rPr>
      </w:pPr>
      <w:r>
        <w:rPr>
          <w:rFonts w:hint="eastAsia" w:ascii="仿宋" w:hAnsi="仿宋" w:eastAsia="仿宋" w:cs="仿宋"/>
          <w:b/>
          <w:sz w:val="24"/>
          <w:szCs w:val="24"/>
        </w:rPr>
        <w:t>（5）法定代表人授权委托书</w:t>
      </w:r>
    </w:p>
    <w:p>
      <w:pPr>
        <w:pStyle w:val="61"/>
        <w:spacing w:line="480" w:lineRule="auto"/>
        <w:ind w:firstLine="482"/>
        <w:rPr>
          <w:rFonts w:ascii="仿宋" w:hAnsi="仿宋" w:eastAsia="仿宋" w:cs="仿宋"/>
          <w:b/>
          <w:sz w:val="24"/>
          <w:szCs w:val="24"/>
        </w:rPr>
      </w:pPr>
      <w:r>
        <w:rPr>
          <w:rFonts w:hint="eastAsia" w:ascii="仿宋" w:hAnsi="仿宋" w:eastAsia="仿宋" w:cs="仿宋"/>
          <w:b/>
          <w:sz w:val="24"/>
          <w:szCs w:val="24"/>
        </w:rPr>
        <w:t>（6）保证金</w:t>
      </w:r>
    </w:p>
    <w:p>
      <w:pPr>
        <w:pStyle w:val="61"/>
        <w:spacing w:line="480" w:lineRule="auto"/>
        <w:ind w:left="1202" w:leftChars="228" w:hanging="723" w:hangingChars="300"/>
        <w:rPr>
          <w:rFonts w:ascii="仿宋" w:hAnsi="仿宋" w:eastAsia="仿宋" w:cs="仿宋"/>
          <w:b/>
          <w:sz w:val="24"/>
          <w:szCs w:val="24"/>
        </w:rPr>
      </w:pPr>
      <w:r>
        <w:rPr>
          <w:rFonts w:hint="eastAsia" w:ascii="仿宋" w:hAnsi="仿宋" w:eastAsia="仿宋" w:cs="仿宋"/>
          <w:b/>
          <w:sz w:val="24"/>
          <w:szCs w:val="24"/>
        </w:rPr>
        <w:t>（7）技术条件响应/偏离表</w:t>
      </w:r>
    </w:p>
    <w:p>
      <w:pPr>
        <w:pStyle w:val="21"/>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（8）商务条件响应/偏离表</w:t>
      </w:r>
    </w:p>
    <w:p>
      <w:pPr>
        <w:pStyle w:val="61"/>
        <w:spacing w:line="480" w:lineRule="auto"/>
        <w:ind w:firstLine="482"/>
        <w:rPr>
          <w:rFonts w:ascii="仿宋" w:hAnsi="仿宋" w:eastAsia="仿宋" w:cs="仿宋"/>
          <w:b/>
          <w:sz w:val="24"/>
          <w:szCs w:val="24"/>
        </w:rPr>
      </w:pPr>
      <w:r>
        <w:rPr>
          <w:rFonts w:hint="eastAsia" w:ascii="仿宋" w:hAnsi="仿宋" w:eastAsia="仿宋" w:cs="仿宋"/>
          <w:b/>
          <w:sz w:val="24"/>
          <w:szCs w:val="24"/>
        </w:rPr>
        <w:t>（9）投标人法人营业执照的证明材料、相关资质证书副本等材料的复印件以及商务因素、技术因素、服务因素所需证明资料（格式自拟）</w:t>
      </w:r>
    </w:p>
    <w:p>
      <w:pPr>
        <w:pStyle w:val="61"/>
        <w:spacing w:line="480" w:lineRule="auto"/>
        <w:ind w:firstLine="482"/>
        <w:rPr>
          <w:rFonts w:ascii="仿宋" w:hAnsi="仿宋" w:eastAsia="仿宋" w:cs="仿宋"/>
          <w:b/>
          <w:sz w:val="24"/>
          <w:szCs w:val="24"/>
        </w:rPr>
      </w:pPr>
      <w:r>
        <w:rPr>
          <w:rFonts w:hint="eastAsia" w:ascii="仿宋" w:hAnsi="仿宋" w:eastAsia="仿宋" w:cs="仿宋"/>
          <w:b/>
          <w:sz w:val="24"/>
          <w:szCs w:val="24"/>
        </w:rPr>
        <w:t>（10）投标人近三年（2020年4月1日至今）类似项目业绩</w:t>
      </w:r>
    </w:p>
    <w:p>
      <w:pPr>
        <w:pStyle w:val="61"/>
        <w:autoSpaceDE w:val="0"/>
        <w:autoSpaceDN w:val="0"/>
        <w:adjustRightInd w:val="0"/>
        <w:spacing w:line="480" w:lineRule="auto"/>
        <w:ind w:firstLine="482"/>
        <w:rPr>
          <w:rFonts w:ascii="仿宋" w:hAnsi="仿宋" w:eastAsia="仿宋" w:cs="仿宋"/>
          <w:b/>
          <w:sz w:val="24"/>
          <w:szCs w:val="24"/>
        </w:rPr>
      </w:pPr>
      <w:r>
        <w:rPr>
          <w:rFonts w:hint="eastAsia" w:ascii="仿宋" w:hAnsi="仿宋" w:eastAsia="仿宋" w:cs="仿宋"/>
          <w:b/>
          <w:sz w:val="24"/>
          <w:szCs w:val="24"/>
        </w:rPr>
        <w:t>（11）项目维保服务方案、培训方案、承诺等内容</w:t>
      </w:r>
    </w:p>
    <w:p>
      <w:pPr>
        <w:pStyle w:val="61"/>
        <w:autoSpaceDE w:val="0"/>
        <w:autoSpaceDN w:val="0"/>
        <w:adjustRightInd w:val="0"/>
        <w:spacing w:line="480" w:lineRule="auto"/>
        <w:ind w:firstLine="482"/>
        <w:rPr>
          <w:rFonts w:ascii="仿宋" w:hAnsi="仿宋" w:eastAsia="仿宋" w:cs="仿宋"/>
          <w:b/>
          <w:sz w:val="24"/>
          <w:szCs w:val="24"/>
        </w:rPr>
      </w:pPr>
      <w:r>
        <w:rPr>
          <w:rFonts w:hint="eastAsia" w:ascii="仿宋" w:hAnsi="仿宋" w:eastAsia="仿宋" w:cs="仿宋"/>
          <w:b/>
          <w:sz w:val="24"/>
          <w:szCs w:val="24"/>
        </w:rPr>
        <w:t>（12）投标人基本情况说明</w:t>
      </w:r>
    </w:p>
    <w:p>
      <w:pPr>
        <w:pStyle w:val="61"/>
        <w:autoSpaceDE w:val="0"/>
        <w:autoSpaceDN w:val="0"/>
        <w:adjustRightInd w:val="0"/>
        <w:spacing w:line="480" w:lineRule="auto"/>
        <w:ind w:firstLine="482"/>
        <w:rPr>
          <w:rFonts w:ascii="仿宋" w:hAnsi="仿宋" w:eastAsia="仿宋" w:cs="仿宋"/>
          <w:b/>
          <w:sz w:val="24"/>
          <w:szCs w:val="24"/>
        </w:rPr>
      </w:pPr>
      <w:r>
        <w:rPr>
          <w:rFonts w:hint="eastAsia" w:ascii="仿宋" w:hAnsi="仿宋" w:eastAsia="仿宋" w:cs="仿宋"/>
          <w:b/>
          <w:sz w:val="24"/>
          <w:szCs w:val="24"/>
        </w:rPr>
        <w:t>（13）项目人员配置情况表</w:t>
      </w:r>
    </w:p>
    <w:p>
      <w:pPr>
        <w:pStyle w:val="61"/>
        <w:autoSpaceDE w:val="0"/>
        <w:autoSpaceDN w:val="0"/>
        <w:adjustRightInd w:val="0"/>
        <w:spacing w:line="480" w:lineRule="auto"/>
        <w:ind w:firstLine="482"/>
        <w:rPr>
          <w:rFonts w:ascii="仿宋" w:hAnsi="仿宋" w:eastAsia="仿宋" w:cs="仿宋"/>
          <w:b/>
          <w:sz w:val="24"/>
          <w:szCs w:val="24"/>
        </w:rPr>
      </w:pPr>
      <w:r>
        <w:rPr>
          <w:rFonts w:hint="eastAsia" w:ascii="仿宋" w:hAnsi="仿宋" w:eastAsia="仿宋" w:cs="仿宋"/>
          <w:b/>
          <w:sz w:val="24"/>
          <w:szCs w:val="24"/>
        </w:rPr>
        <w:t>（14）投标人认为需要提供的其他材料说明</w:t>
      </w:r>
    </w:p>
    <w:p>
      <w:pPr>
        <w:pStyle w:val="61"/>
        <w:autoSpaceDE w:val="0"/>
        <w:autoSpaceDN w:val="0"/>
        <w:adjustRightInd w:val="0"/>
        <w:spacing w:line="480" w:lineRule="auto"/>
        <w:ind w:firstLine="482"/>
        <w:rPr>
          <w:rFonts w:ascii="仿宋" w:hAnsi="仿宋" w:eastAsia="仿宋" w:cs="仿宋"/>
          <w:b/>
          <w:sz w:val="24"/>
          <w:szCs w:val="24"/>
        </w:rPr>
      </w:pPr>
      <w:r>
        <w:rPr>
          <w:rFonts w:hint="eastAsia" w:ascii="仿宋" w:hAnsi="仿宋" w:eastAsia="仿宋" w:cs="仿宋"/>
          <w:b/>
          <w:sz w:val="24"/>
          <w:szCs w:val="24"/>
        </w:rPr>
        <w:t>附件1、在经营活动中没有重大违法记录的书面声明</w:t>
      </w:r>
    </w:p>
    <w:p>
      <w:pPr>
        <w:pStyle w:val="61"/>
        <w:autoSpaceDE w:val="0"/>
        <w:autoSpaceDN w:val="0"/>
        <w:adjustRightInd w:val="0"/>
        <w:spacing w:line="480" w:lineRule="auto"/>
        <w:ind w:firstLine="482"/>
        <w:rPr>
          <w:rFonts w:ascii="仿宋" w:hAnsi="仿宋" w:eastAsia="仿宋" w:cs="仿宋"/>
          <w:b/>
          <w:sz w:val="24"/>
          <w:szCs w:val="24"/>
        </w:rPr>
      </w:pPr>
      <w:r>
        <w:rPr>
          <w:rFonts w:hint="eastAsia" w:ascii="仿宋" w:hAnsi="仿宋" w:eastAsia="仿宋" w:cs="仿宋"/>
          <w:b/>
          <w:sz w:val="24"/>
          <w:szCs w:val="24"/>
        </w:rPr>
        <w:t>附件2、中小企业声明函（如有）</w:t>
      </w:r>
    </w:p>
    <w:p>
      <w:pPr>
        <w:pStyle w:val="21"/>
        <w:rPr>
          <w:rFonts w:ascii="仿宋" w:hAnsi="仿宋" w:eastAsia="仿宋" w:cs="仿宋"/>
          <w:spacing w:val="-4"/>
          <w:kern w:val="0"/>
          <w:sz w:val="24"/>
          <w:szCs w:val="24"/>
          <w:highlight w:val="yellow"/>
        </w:rPr>
      </w:pPr>
    </w:p>
    <w:p>
      <w:pPr>
        <w:pStyle w:val="4"/>
        <w:rPr>
          <w:rStyle w:val="62"/>
          <w:rFonts w:ascii="仿宋" w:hAnsi="仿宋" w:eastAsia="仿宋" w:cs="仿宋"/>
          <w:b/>
          <w:bCs w:val="0"/>
          <w:sz w:val="24"/>
          <w:szCs w:val="24"/>
        </w:rPr>
      </w:pPr>
      <w:bookmarkStart w:id="504" w:name="_Toc50459034"/>
      <w:bookmarkStart w:id="505" w:name="_Toc4030"/>
      <w:bookmarkStart w:id="506" w:name="_Toc11515"/>
      <w:bookmarkStart w:id="507" w:name="_Toc22332"/>
    </w:p>
    <w:p>
      <w:pPr>
        <w:rPr>
          <w:highlight w:val="yellow"/>
        </w:rPr>
      </w:pPr>
    </w:p>
    <w:p>
      <w:pPr>
        <w:pStyle w:val="4"/>
        <w:jc w:val="center"/>
        <w:rPr>
          <w:rStyle w:val="62"/>
          <w:rFonts w:ascii="仿宋" w:hAnsi="仿宋" w:eastAsia="仿宋" w:cs="仿宋"/>
          <w:b/>
          <w:bCs w:val="0"/>
          <w:sz w:val="24"/>
          <w:szCs w:val="24"/>
        </w:rPr>
      </w:pPr>
      <w:r>
        <w:rPr>
          <w:rStyle w:val="62"/>
          <w:rFonts w:hint="eastAsia" w:ascii="仿宋" w:hAnsi="仿宋" w:eastAsia="仿宋" w:cs="仿宋"/>
          <w:b/>
          <w:bCs w:val="0"/>
          <w:sz w:val="24"/>
          <w:szCs w:val="24"/>
        </w:rPr>
        <w:t>1、投标承诺书</w:t>
      </w:r>
      <w:bookmarkEnd w:id="504"/>
      <w:bookmarkEnd w:id="505"/>
      <w:bookmarkEnd w:id="506"/>
      <w:bookmarkEnd w:id="507"/>
    </w:p>
    <w:p>
      <w:pPr>
        <w:spacing w:line="360" w:lineRule="auto"/>
        <w:rPr>
          <w:rFonts w:ascii="仿宋" w:hAnsi="仿宋" w:eastAsia="仿宋" w:cs="仿宋"/>
          <w:sz w:val="24"/>
          <w:szCs w:val="24"/>
          <w:u w:val="single"/>
        </w:rPr>
      </w:pPr>
      <w:r>
        <w:rPr>
          <w:rFonts w:hint="eastAsia" w:ascii="仿宋" w:hAnsi="仿宋" w:eastAsia="仿宋" w:cs="仿宋"/>
          <w:sz w:val="24"/>
          <w:szCs w:val="24"/>
        </w:rPr>
        <w:t>致（采购人）：</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根据已收到的</w:t>
      </w:r>
      <w:r>
        <w:rPr>
          <w:rFonts w:hint="eastAsia" w:ascii="仿宋" w:hAnsi="仿宋" w:eastAsia="仿宋" w:cs="仿宋"/>
          <w:sz w:val="24"/>
          <w:szCs w:val="24"/>
          <w:u w:val="single"/>
        </w:rPr>
        <w:t xml:space="preserve">                   （项目名称）</w:t>
      </w:r>
      <w:r>
        <w:rPr>
          <w:rFonts w:hint="eastAsia" w:ascii="仿宋" w:hAnsi="仿宋" w:eastAsia="仿宋" w:cs="仿宋"/>
          <w:sz w:val="24"/>
          <w:szCs w:val="24"/>
        </w:rPr>
        <w:t>招标文件，我单位经研究贵方的招标文件后：</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1、我方愿以投标报价</w:t>
      </w:r>
      <w:r>
        <w:rPr>
          <w:rFonts w:hint="eastAsia" w:ascii="仿宋" w:hAnsi="仿宋" w:eastAsia="仿宋" w:cs="仿宋"/>
          <w:sz w:val="24"/>
          <w:szCs w:val="24"/>
          <w:u w:val="single"/>
        </w:rPr>
        <w:t xml:space="preserve">           元（大写：                     ）             </w:t>
      </w:r>
      <w:r>
        <w:rPr>
          <w:rFonts w:hint="eastAsia" w:ascii="仿宋" w:hAnsi="仿宋" w:eastAsia="仿宋" w:cs="仿宋"/>
          <w:sz w:val="24"/>
          <w:szCs w:val="24"/>
        </w:rPr>
        <w:t>及投标承诺书的承诺承包本招标文件中所述招标范围内的全部内容。</w:t>
      </w:r>
    </w:p>
    <w:p>
      <w:pPr>
        <w:autoSpaceDE w:val="0"/>
        <w:autoSpaceDN w:val="0"/>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2、服务期：</w:t>
      </w:r>
      <w:r>
        <w:rPr>
          <w:rFonts w:hint="eastAsia" w:ascii="仿宋" w:hAnsi="仿宋" w:eastAsia="仿宋" w:cs="仿宋"/>
          <w:sz w:val="24"/>
          <w:szCs w:val="24"/>
          <w:u w:val="single"/>
        </w:rPr>
        <w:t xml:space="preserve">                                         。</w:t>
      </w:r>
    </w:p>
    <w:p>
      <w:p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3、如果我方中标，非采购人原因，我方保证将按招标文件要求，完成本项目服务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4、如果我方中标，我方将按招标文件规定的时间内签订合同。如果违约，我方愿以投标保证金作为赔偿金，同时贵方有权终止我方中标并选择其它投标人。</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5、如果我方中标，完成项目的服务与招标文件要求不一致的，服务达不到要求，我方将进行整改直至贵方对服务满意为止。</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6、贵方的招标文件、答疑文件、招标文件补充、成交通知书和本投标文件将做为合同附件，具有同等法律效力。</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7、如果我方未中标，贵方没有必要对我方做出任何解释和说明，我方将充分尊重和理解贵方的选择。</w:t>
      </w:r>
    </w:p>
    <w:p>
      <w:pPr>
        <w:pStyle w:val="63"/>
        <w:spacing w:line="360" w:lineRule="auto"/>
        <w:ind w:right="480"/>
        <w:rPr>
          <w:rFonts w:ascii="仿宋" w:hAnsi="仿宋" w:eastAsia="仿宋" w:cs="仿宋"/>
          <w:szCs w:val="24"/>
        </w:rPr>
      </w:pPr>
    </w:p>
    <w:p>
      <w:pPr>
        <w:pStyle w:val="63"/>
        <w:spacing w:line="360" w:lineRule="auto"/>
        <w:ind w:right="480"/>
        <w:rPr>
          <w:rFonts w:ascii="仿宋" w:hAnsi="仿宋" w:eastAsia="仿宋" w:cs="仿宋"/>
          <w:szCs w:val="24"/>
        </w:rPr>
      </w:pPr>
    </w:p>
    <w:p>
      <w:pPr>
        <w:pStyle w:val="63"/>
        <w:spacing w:line="360" w:lineRule="auto"/>
        <w:ind w:right="480"/>
        <w:rPr>
          <w:rFonts w:ascii="仿宋" w:hAnsi="仿宋" w:eastAsia="仿宋" w:cs="仿宋"/>
          <w:szCs w:val="24"/>
        </w:rPr>
      </w:pPr>
    </w:p>
    <w:p>
      <w:pPr>
        <w:pStyle w:val="63"/>
        <w:spacing w:line="360" w:lineRule="auto"/>
        <w:ind w:right="480"/>
        <w:rPr>
          <w:rFonts w:ascii="仿宋" w:hAnsi="仿宋" w:eastAsia="仿宋" w:cs="仿宋"/>
          <w:szCs w:val="24"/>
        </w:rPr>
      </w:pPr>
    </w:p>
    <w:p>
      <w:pPr>
        <w:pStyle w:val="63"/>
        <w:spacing w:line="360" w:lineRule="auto"/>
        <w:ind w:right="480"/>
        <w:rPr>
          <w:rFonts w:ascii="仿宋" w:hAnsi="仿宋" w:eastAsia="仿宋" w:cs="仿宋"/>
          <w:szCs w:val="24"/>
        </w:rPr>
      </w:pPr>
    </w:p>
    <w:p>
      <w:pPr>
        <w:pStyle w:val="63"/>
        <w:spacing w:line="360" w:lineRule="auto"/>
        <w:ind w:right="480" w:firstLine="3360" w:firstLineChars="1400"/>
        <w:rPr>
          <w:rFonts w:ascii="仿宋" w:hAnsi="仿宋" w:eastAsia="仿宋" w:cs="仿宋"/>
          <w:szCs w:val="24"/>
        </w:rPr>
      </w:pPr>
      <w:r>
        <w:rPr>
          <w:rFonts w:hint="eastAsia" w:ascii="仿宋" w:hAnsi="仿宋" w:eastAsia="仿宋" w:cs="仿宋"/>
          <w:szCs w:val="24"/>
        </w:rPr>
        <w:t>投标人（盖章）：</w:t>
      </w:r>
    </w:p>
    <w:p>
      <w:pPr>
        <w:pStyle w:val="63"/>
        <w:spacing w:line="360" w:lineRule="auto"/>
        <w:ind w:right="840"/>
        <w:jc w:val="right"/>
        <w:rPr>
          <w:rFonts w:ascii="仿宋" w:hAnsi="仿宋" w:eastAsia="仿宋" w:cs="仿宋"/>
          <w:szCs w:val="24"/>
        </w:rPr>
      </w:pPr>
      <w:r>
        <w:rPr>
          <w:rFonts w:hint="eastAsia" w:ascii="仿宋" w:hAnsi="仿宋" w:eastAsia="仿宋" w:cs="仿宋"/>
          <w:szCs w:val="24"/>
        </w:rPr>
        <w:t>法定代表人或委托代理人（签字或盖章）：</w:t>
      </w:r>
    </w:p>
    <w:p>
      <w:pPr>
        <w:pStyle w:val="63"/>
        <w:spacing w:line="360" w:lineRule="auto"/>
        <w:ind w:right="840" w:firstLine="3360" w:firstLineChars="1400"/>
        <w:rPr>
          <w:rFonts w:ascii="仿宋" w:hAnsi="仿宋" w:eastAsia="仿宋" w:cs="仿宋"/>
          <w:szCs w:val="24"/>
        </w:rPr>
      </w:pPr>
      <w:r>
        <w:rPr>
          <w:rFonts w:hint="eastAsia" w:ascii="仿宋" w:hAnsi="仿宋" w:eastAsia="仿宋" w:cs="仿宋"/>
          <w:szCs w:val="24"/>
        </w:rPr>
        <w:t xml:space="preserve">日   期：  </w:t>
      </w:r>
    </w:p>
    <w:p>
      <w:pPr>
        <w:pStyle w:val="21"/>
        <w:rPr>
          <w:rFonts w:ascii="仿宋" w:hAnsi="仿宋" w:eastAsia="仿宋" w:cs="仿宋"/>
          <w:spacing w:val="-4"/>
          <w:kern w:val="0"/>
          <w:sz w:val="24"/>
          <w:szCs w:val="24"/>
        </w:rPr>
      </w:pPr>
    </w:p>
    <w:p>
      <w:pPr>
        <w:autoSpaceDE w:val="0"/>
        <w:autoSpaceDN w:val="0"/>
        <w:spacing w:line="360" w:lineRule="auto"/>
        <w:jc w:val="center"/>
        <w:rPr>
          <w:rFonts w:ascii="仿宋" w:hAnsi="仿宋" w:eastAsia="仿宋" w:cs="仿宋"/>
          <w:b/>
          <w:sz w:val="24"/>
          <w:szCs w:val="24"/>
        </w:rPr>
      </w:pPr>
      <w:bookmarkStart w:id="508" w:name="_Toc6735_WPSOffice_Level1"/>
      <w:bookmarkStart w:id="509" w:name="_Toc28014_WPSOffice_Level1"/>
    </w:p>
    <w:p>
      <w:pPr>
        <w:pStyle w:val="21"/>
        <w:rPr>
          <w:rFonts w:ascii="仿宋" w:hAnsi="仿宋" w:eastAsia="仿宋" w:cs="仿宋"/>
          <w:sz w:val="24"/>
          <w:szCs w:val="24"/>
        </w:rPr>
      </w:pPr>
    </w:p>
    <w:p>
      <w:pPr>
        <w:pStyle w:val="4"/>
        <w:jc w:val="center"/>
        <w:rPr>
          <w:rStyle w:val="62"/>
          <w:rFonts w:ascii="仿宋" w:hAnsi="仿宋" w:eastAsia="仿宋" w:cs="仿宋"/>
          <w:b/>
          <w:bCs w:val="0"/>
          <w:sz w:val="24"/>
          <w:szCs w:val="24"/>
        </w:rPr>
      </w:pPr>
      <w:bookmarkStart w:id="510" w:name="_Toc16266"/>
      <w:r>
        <w:rPr>
          <w:rStyle w:val="62"/>
          <w:rFonts w:hint="eastAsia" w:ascii="仿宋" w:hAnsi="仿宋" w:eastAsia="仿宋" w:cs="仿宋"/>
          <w:b/>
          <w:bCs w:val="0"/>
          <w:sz w:val="24"/>
          <w:szCs w:val="24"/>
        </w:rPr>
        <w:t>2、</w:t>
      </w:r>
      <w:bookmarkEnd w:id="508"/>
      <w:bookmarkEnd w:id="509"/>
      <w:r>
        <w:rPr>
          <w:rStyle w:val="62"/>
          <w:rFonts w:hint="eastAsia" w:ascii="仿宋" w:hAnsi="仿宋" w:eastAsia="仿宋" w:cs="仿宋"/>
          <w:b/>
          <w:bCs w:val="0"/>
          <w:sz w:val="24"/>
          <w:szCs w:val="24"/>
        </w:rPr>
        <w:t>报价一览表</w:t>
      </w:r>
      <w:bookmarkEnd w:id="510"/>
    </w:p>
    <w:p>
      <w:pPr>
        <w:spacing w:line="360" w:lineRule="auto"/>
        <w:jc w:val="left"/>
        <w:rPr>
          <w:rFonts w:ascii="仿宋" w:hAnsi="仿宋" w:eastAsia="仿宋" w:cs="仿宋"/>
          <w:sz w:val="24"/>
          <w:szCs w:val="24"/>
        </w:rPr>
      </w:pPr>
      <w:r>
        <w:rPr>
          <w:rFonts w:hint="eastAsia" w:ascii="仿宋" w:hAnsi="仿宋" w:eastAsia="仿宋" w:cs="仿宋"/>
          <w:sz w:val="24"/>
          <w:szCs w:val="24"/>
        </w:rPr>
        <w:t>项目名称:</w:t>
      </w:r>
    </w:p>
    <w:p>
      <w:pPr>
        <w:spacing w:line="360" w:lineRule="auto"/>
        <w:jc w:val="left"/>
        <w:rPr>
          <w:rFonts w:ascii="仿宋" w:hAnsi="仿宋" w:eastAsia="仿宋" w:cs="仿宋"/>
          <w:sz w:val="24"/>
          <w:szCs w:val="24"/>
        </w:rPr>
      </w:pPr>
      <w:r>
        <w:rPr>
          <w:rFonts w:hint="eastAsia" w:ascii="仿宋" w:hAnsi="仿宋" w:eastAsia="仿宋" w:cs="仿宋"/>
          <w:sz w:val="24"/>
          <w:szCs w:val="24"/>
        </w:rPr>
        <w:t>标项编号：</w:t>
      </w:r>
    </w:p>
    <w:p>
      <w:pPr>
        <w:spacing w:line="360" w:lineRule="auto"/>
        <w:jc w:val="left"/>
        <w:rPr>
          <w:rFonts w:ascii="仿宋" w:hAnsi="仿宋" w:eastAsia="仿宋" w:cs="仿宋"/>
          <w:sz w:val="24"/>
          <w:szCs w:val="24"/>
        </w:rPr>
      </w:pPr>
      <w:r>
        <w:rPr>
          <w:rFonts w:hint="eastAsia" w:ascii="仿宋" w:hAnsi="仿宋" w:eastAsia="仿宋" w:cs="仿宋"/>
          <w:sz w:val="24"/>
          <w:szCs w:val="24"/>
        </w:rPr>
        <w:t>投标人名称：</w:t>
      </w:r>
    </w:p>
    <w:p>
      <w:pPr>
        <w:pStyle w:val="21"/>
        <w:rPr>
          <w:rFonts w:ascii="仿宋" w:hAnsi="仿宋" w:eastAsia="仿宋" w:cs="仿宋"/>
          <w:sz w:val="24"/>
          <w:szCs w:val="24"/>
        </w:rPr>
      </w:pPr>
    </w:p>
    <w:p>
      <w:pPr>
        <w:pStyle w:val="21"/>
        <w:rPr>
          <w:rFonts w:ascii="仿宋" w:hAnsi="仿宋" w:eastAsia="仿宋" w:cs="仿宋"/>
          <w:sz w:val="24"/>
          <w:szCs w:val="24"/>
        </w:rPr>
      </w:pPr>
    </w:p>
    <w:tbl>
      <w:tblPr>
        <w:tblStyle w:val="29"/>
        <w:tblW w:w="9200" w:type="dxa"/>
        <w:tblInd w:w="0" w:type="dxa"/>
        <w:tblLayout w:type="fixed"/>
        <w:tblCellMar>
          <w:top w:w="0" w:type="dxa"/>
          <w:left w:w="0" w:type="dxa"/>
          <w:bottom w:w="0" w:type="dxa"/>
          <w:right w:w="0" w:type="dxa"/>
        </w:tblCellMar>
      </w:tblPr>
      <w:tblGrid>
        <w:gridCol w:w="912"/>
        <w:gridCol w:w="1664"/>
        <w:gridCol w:w="5928"/>
        <w:gridCol w:w="696"/>
      </w:tblGrid>
      <w:tr>
        <w:tblPrEx>
          <w:tblCellMar>
            <w:top w:w="0" w:type="dxa"/>
            <w:left w:w="0" w:type="dxa"/>
            <w:bottom w:w="0" w:type="dxa"/>
            <w:right w:w="0" w:type="dxa"/>
          </w:tblCellMar>
        </w:tblPrEx>
        <w:trPr>
          <w:trHeight w:val="684" w:hRule="atLeast"/>
        </w:trPr>
        <w:tc>
          <w:tcPr>
            <w:tcW w:w="9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60" w:lineRule="auto"/>
              <w:jc w:val="center"/>
              <w:rPr>
                <w:rFonts w:ascii="仿宋" w:hAnsi="仿宋" w:eastAsia="仿宋" w:cs="仿宋"/>
                <w:kern w:val="0"/>
                <w:sz w:val="24"/>
                <w:szCs w:val="24"/>
              </w:rPr>
            </w:pPr>
            <w:r>
              <w:rPr>
                <w:rFonts w:hint="eastAsia" w:ascii="仿宋" w:hAnsi="仿宋" w:eastAsia="仿宋" w:cs="仿宋"/>
                <w:kern w:val="0"/>
                <w:sz w:val="24"/>
                <w:szCs w:val="24"/>
              </w:rPr>
              <w:t>序号</w:t>
            </w:r>
          </w:p>
        </w:tc>
        <w:tc>
          <w:tcPr>
            <w:tcW w:w="16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60" w:lineRule="auto"/>
              <w:jc w:val="center"/>
              <w:rPr>
                <w:rFonts w:ascii="仿宋" w:hAnsi="仿宋" w:eastAsia="仿宋" w:cs="仿宋"/>
                <w:kern w:val="0"/>
                <w:sz w:val="24"/>
                <w:szCs w:val="24"/>
              </w:rPr>
            </w:pPr>
            <w:r>
              <w:rPr>
                <w:rFonts w:hint="eastAsia" w:ascii="仿宋" w:hAnsi="仿宋" w:eastAsia="仿宋" w:cs="仿宋"/>
                <w:kern w:val="0"/>
                <w:sz w:val="24"/>
                <w:szCs w:val="24"/>
              </w:rPr>
              <w:t>条款名称</w:t>
            </w:r>
          </w:p>
        </w:tc>
        <w:tc>
          <w:tcPr>
            <w:tcW w:w="59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60" w:lineRule="auto"/>
              <w:jc w:val="center"/>
              <w:rPr>
                <w:rFonts w:ascii="仿宋" w:hAnsi="仿宋" w:eastAsia="仿宋" w:cs="仿宋"/>
                <w:kern w:val="0"/>
                <w:sz w:val="24"/>
                <w:szCs w:val="24"/>
              </w:rPr>
            </w:pPr>
            <w:r>
              <w:rPr>
                <w:rFonts w:hint="eastAsia" w:ascii="仿宋" w:hAnsi="仿宋" w:eastAsia="仿宋" w:cs="仿宋"/>
                <w:kern w:val="0"/>
                <w:sz w:val="24"/>
                <w:szCs w:val="24"/>
              </w:rPr>
              <w:t>内容</w:t>
            </w:r>
          </w:p>
        </w:tc>
        <w:tc>
          <w:tcPr>
            <w:tcW w:w="69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60" w:lineRule="auto"/>
              <w:jc w:val="center"/>
              <w:rPr>
                <w:rFonts w:ascii="仿宋" w:hAnsi="仿宋" w:eastAsia="仿宋" w:cs="仿宋"/>
                <w:kern w:val="0"/>
                <w:sz w:val="24"/>
                <w:szCs w:val="24"/>
              </w:rPr>
            </w:pPr>
            <w:r>
              <w:rPr>
                <w:rFonts w:hint="eastAsia" w:ascii="仿宋" w:hAnsi="仿宋" w:eastAsia="仿宋" w:cs="仿宋"/>
                <w:kern w:val="0"/>
                <w:sz w:val="24"/>
                <w:szCs w:val="24"/>
              </w:rPr>
              <w:t>备注</w:t>
            </w:r>
          </w:p>
        </w:tc>
      </w:tr>
      <w:tr>
        <w:tblPrEx>
          <w:tblCellMar>
            <w:top w:w="0" w:type="dxa"/>
            <w:left w:w="0" w:type="dxa"/>
            <w:bottom w:w="0" w:type="dxa"/>
            <w:right w:w="0" w:type="dxa"/>
          </w:tblCellMar>
        </w:tblPrEx>
        <w:trPr>
          <w:trHeight w:val="749" w:hRule="atLeast"/>
        </w:trPr>
        <w:tc>
          <w:tcPr>
            <w:tcW w:w="9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60" w:lineRule="auto"/>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664" w:type="dxa"/>
            <w:tcBorders>
              <w:top w:val="single" w:color="auto" w:sz="4" w:space="0"/>
              <w:left w:val="single" w:color="auto" w:sz="4" w:space="0"/>
              <w:bottom w:val="single" w:color="auto" w:sz="4" w:space="0"/>
              <w:right w:val="single" w:color="auto" w:sz="4" w:space="0"/>
            </w:tcBorders>
            <w:vAlign w:val="center"/>
          </w:tcPr>
          <w:p>
            <w:pPr>
              <w:pStyle w:val="45"/>
              <w:snapToGrid w:val="0"/>
              <w:spacing w:line="360" w:lineRule="auto"/>
              <w:jc w:val="center"/>
              <w:rPr>
                <w:rFonts w:ascii="仿宋" w:hAnsi="仿宋" w:eastAsia="仿宋" w:cs="仿宋"/>
                <w:color w:val="auto"/>
                <w:szCs w:val="24"/>
              </w:rPr>
            </w:pPr>
            <w:r>
              <w:rPr>
                <w:rFonts w:hint="eastAsia" w:ascii="仿宋" w:hAnsi="仿宋" w:eastAsia="仿宋" w:cs="仿宋"/>
                <w:color w:val="auto"/>
                <w:szCs w:val="24"/>
              </w:rPr>
              <w:t>采购内容</w:t>
            </w:r>
          </w:p>
        </w:tc>
        <w:tc>
          <w:tcPr>
            <w:tcW w:w="592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kern w:val="0"/>
                <w:sz w:val="24"/>
                <w:szCs w:val="24"/>
              </w:rPr>
            </w:pPr>
            <w:r>
              <w:rPr>
                <w:rFonts w:hint="eastAsia" w:ascii="仿宋" w:hAnsi="仿宋" w:eastAsia="仿宋" w:cs="仿宋"/>
                <w:kern w:val="0"/>
                <w:sz w:val="24"/>
                <w:szCs w:val="24"/>
              </w:rPr>
              <w:t>完全响应招标文件要求</w:t>
            </w:r>
          </w:p>
        </w:tc>
        <w:tc>
          <w:tcPr>
            <w:tcW w:w="69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60" w:lineRule="auto"/>
              <w:jc w:val="center"/>
              <w:rPr>
                <w:rFonts w:ascii="仿宋" w:hAnsi="仿宋" w:eastAsia="仿宋" w:cs="仿宋"/>
                <w:kern w:val="0"/>
                <w:sz w:val="24"/>
                <w:szCs w:val="24"/>
              </w:rPr>
            </w:pPr>
          </w:p>
        </w:tc>
      </w:tr>
      <w:tr>
        <w:tblPrEx>
          <w:tblCellMar>
            <w:top w:w="0" w:type="dxa"/>
            <w:left w:w="0" w:type="dxa"/>
            <w:bottom w:w="0" w:type="dxa"/>
            <w:right w:w="0" w:type="dxa"/>
          </w:tblCellMar>
        </w:tblPrEx>
        <w:trPr>
          <w:trHeight w:val="749" w:hRule="atLeast"/>
        </w:trPr>
        <w:tc>
          <w:tcPr>
            <w:tcW w:w="9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60" w:lineRule="auto"/>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664" w:type="dxa"/>
            <w:tcBorders>
              <w:top w:val="single" w:color="auto" w:sz="4" w:space="0"/>
              <w:left w:val="single" w:color="auto" w:sz="4" w:space="0"/>
              <w:bottom w:val="single" w:color="auto" w:sz="4" w:space="0"/>
              <w:right w:val="single" w:color="auto" w:sz="4" w:space="0"/>
            </w:tcBorders>
            <w:vAlign w:val="center"/>
          </w:tcPr>
          <w:p>
            <w:pPr>
              <w:pStyle w:val="45"/>
              <w:snapToGrid w:val="0"/>
              <w:spacing w:line="360" w:lineRule="auto"/>
              <w:jc w:val="center"/>
              <w:rPr>
                <w:rFonts w:ascii="仿宋" w:hAnsi="仿宋" w:eastAsia="仿宋" w:cs="仿宋"/>
                <w:color w:val="auto"/>
                <w:szCs w:val="24"/>
              </w:rPr>
            </w:pPr>
            <w:r>
              <w:rPr>
                <w:rFonts w:hint="eastAsia" w:ascii="仿宋" w:hAnsi="仿宋" w:eastAsia="仿宋" w:cs="仿宋"/>
                <w:color w:val="auto"/>
                <w:szCs w:val="24"/>
                <w:shd w:val="clear" w:color="auto" w:fill="FFFFFF"/>
              </w:rPr>
              <w:t>合同履行期限</w:t>
            </w:r>
          </w:p>
        </w:tc>
        <w:tc>
          <w:tcPr>
            <w:tcW w:w="5928" w:type="dxa"/>
            <w:tcBorders>
              <w:top w:val="single" w:color="auto" w:sz="4" w:space="0"/>
              <w:left w:val="single" w:color="auto" w:sz="4" w:space="0"/>
              <w:bottom w:val="single" w:color="auto" w:sz="4" w:space="0"/>
              <w:right w:val="single" w:color="auto" w:sz="4" w:space="0"/>
            </w:tcBorders>
            <w:vAlign w:val="center"/>
          </w:tcPr>
          <w:p>
            <w:pPr>
              <w:tabs>
                <w:tab w:val="left" w:pos="4980"/>
                <w:tab w:val="right" w:pos="9000"/>
              </w:tabs>
              <w:spacing w:line="360" w:lineRule="auto"/>
              <w:jc w:val="left"/>
              <w:rPr>
                <w:rFonts w:ascii="仿宋" w:hAnsi="仿宋" w:eastAsia="仿宋" w:cs="仿宋"/>
                <w:kern w:val="0"/>
                <w:sz w:val="24"/>
                <w:szCs w:val="24"/>
              </w:rPr>
            </w:pPr>
          </w:p>
        </w:tc>
        <w:tc>
          <w:tcPr>
            <w:tcW w:w="69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60" w:lineRule="auto"/>
              <w:jc w:val="center"/>
              <w:rPr>
                <w:rFonts w:ascii="仿宋" w:hAnsi="仿宋" w:eastAsia="仿宋" w:cs="仿宋"/>
                <w:kern w:val="0"/>
                <w:sz w:val="24"/>
                <w:szCs w:val="24"/>
                <w:u w:val="single"/>
              </w:rPr>
            </w:pPr>
          </w:p>
        </w:tc>
      </w:tr>
      <w:tr>
        <w:tblPrEx>
          <w:tblCellMar>
            <w:top w:w="0" w:type="dxa"/>
            <w:left w:w="0" w:type="dxa"/>
            <w:bottom w:w="0" w:type="dxa"/>
            <w:right w:w="0" w:type="dxa"/>
          </w:tblCellMar>
        </w:tblPrEx>
        <w:trPr>
          <w:trHeight w:val="749" w:hRule="atLeast"/>
        </w:trPr>
        <w:tc>
          <w:tcPr>
            <w:tcW w:w="9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60" w:lineRule="auto"/>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1664" w:type="dxa"/>
            <w:tcBorders>
              <w:top w:val="single" w:color="auto" w:sz="4" w:space="0"/>
              <w:left w:val="single" w:color="auto" w:sz="4" w:space="0"/>
              <w:bottom w:val="single" w:color="auto" w:sz="4" w:space="0"/>
              <w:right w:val="single" w:color="auto" w:sz="4" w:space="0"/>
            </w:tcBorders>
            <w:vAlign w:val="center"/>
          </w:tcPr>
          <w:p>
            <w:pPr>
              <w:pStyle w:val="45"/>
              <w:snapToGrid w:val="0"/>
              <w:spacing w:line="360" w:lineRule="auto"/>
              <w:jc w:val="center"/>
              <w:rPr>
                <w:rFonts w:ascii="仿宋" w:hAnsi="仿宋" w:eastAsia="仿宋" w:cs="仿宋"/>
                <w:color w:val="auto"/>
                <w:szCs w:val="24"/>
              </w:rPr>
            </w:pPr>
            <w:r>
              <w:rPr>
                <w:rFonts w:hint="eastAsia" w:ascii="仿宋" w:hAnsi="仿宋" w:eastAsia="仿宋" w:cs="仿宋"/>
                <w:color w:val="auto"/>
                <w:szCs w:val="24"/>
              </w:rPr>
              <w:t>服务地点</w:t>
            </w:r>
          </w:p>
        </w:tc>
        <w:tc>
          <w:tcPr>
            <w:tcW w:w="592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s="仿宋"/>
                <w:sz w:val="24"/>
                <w:szCs w:val="24"/>
                <w:shd w:val="clear" w:color="auto" w:fill="FFFFFF"/>
              </w:rPr>
            </w:pPr>
            <w:r>
              <w:rPr>
                <w:rFonts w:hint="eastAsia" w:ascii="仿宋" w:hAnsi="仿宋" w:eastAsia="仿宋" w:cs="仿宋"/>
                <w:sz w:val="24"/>
                <w:szCs w:val="24"/>
              </w:rPr>
              <w:t>采购人指定地点。</w:t>
            </w:r>
          </w:p>
        </w:tc>
        <w:tc>
          <w:tcPr>
            <w:tcW w:w="69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60" w:lineRule="auto"/>
              <w:jc w:val="center"/>
              <w:rPr>
                <w:rFonts w:ascii="仿宋" w:hAnsi="仿宋" w:eastAsia="仿宋" w:cs="仿宋"/>
                <w:kern w:val="0"/>
                <w:sz w:val="24"/>
                <w:szCs w:val="24"/>
                <w:u w:val="single"/>
              </w:rPr>
            </w:pPr>
          </w:p>
        </w:tc>
      </w:tr>
      <w:tr>
        <w:tblPrEx>
          <w:tblCellMar>
            <w:top w:w="0" w:type="dxa"/>
            <w:left w:w="0" w:type="dxa"/>
            <w:bottom w:w="0" w:type="dxa"/>
            <w:right w:w="0" w:type="dxa"/>
          </w:tblCellMar>
        </w:tblPrEx>
        <w:trPr>
          <w:trHeight w:val="1383" w:hRule="atLeast"/>
        </w:trPr>
        <w:tc>
          <w:tcPr>
            <w:tcW w:w="9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60" w:lineRule="auto"/>
              <w:jc w:val="center"/>
              <w:rPr>
                <w:rFonts w:ascii="仿宋" w:hAnsi="仿宋" w:eastAsia="仿宋" w:cs="仿宋"/>
                <w:kern w:val="0"/>
                <w:sz w:val="24"/>
                <w:szCs w:val="24"/>
              </w:rPr>
            </w:pPr>
            <w:r>
              <w:rPr>
                <w:rFonts w:hint="eastAsia" w:ascii="仿宋" w:hAnsi="仿宋" w:eastAsia="仿宋" w:cs="仿宋"/>
                <w:kern w:val="0"/>
                <w:sz w:val="24"/>
                <w:szCs w:val="24"/>
              </w:rPr>
              <w:t>4</w:t>
            </w:r>
          </w:p>
        </w:tc>
        <w:tc>
          <w:tcPr>
            <w:tcW w:w="16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60" w:lineRule="auto"/>
              <w:jc w:val="center"/>
              <w:rPr>
                <w:rFonts w:ascii="仿宋" w:hAnsi="仿宋" w:eastAsia="仿宋" w:cs="仿宋"/>
                <w:kern w:val="0"/>
                <w:sz w:val="24"/>
                <w:szCs w:val="24"/>
              </w:rPr>
            </w:pPr>
            <w:r>
              <w:rPr>
                <w:rFonts w:hint="eastAsia" w:ascii="仿宋" w:hAnsi="仿宋" w:eastAsia="仿宋" w:cs="仿宋"/>
                <w:kern w:val="0"/>
                <w:sz w:val="24"/>
                <w:szCs w:val="24"/>
              </w:rPr>
              <w:t>投标报价  （元）</w:t>
            </w:r>
          </w:p>
        </w:tc>
        <w:tc>
          <w:tcPr>
            <w:tcW w:w="59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60" w:lineRule="auto"/>
              <w:jc w:val="left"/>
              <w:rPr>
                <w:rFonts w:ascii="仿宋" w:hAnsi="仿宋" w:eastAsia="仿宋" w:cs="仿宋"/>
                <w:kern w:val="0"/>
                <w:sz w:val="24"/>
                <w:szCs w:val="24"/>
                <w:u w:val="single"/>
              </w:rPr>
            </w:pPr>
            <w:r>
              <w:rPr>
                <w:rFonts w:hint="eastAsia" w:ascii="仿宋" w:hAnsi="仿宋" w:eastAsia="仿宋" w:cs="仿宋"/>
                <w:kern w:val="0"/>
                <w:sz w:val="24"/>
                <w:szCs w:val="24"/>
              </w:rPr>
              <w:t>投标总价： 小写：</w:t>
            </w:r>
          </w:p>
          <w:p>
            <w:pPr>
              <w:widowControl/>
              <w:adjustRightInd w:val="0"/>
              <w:snapToGrid w:val="0"/>
              <w:spacing w:before="100" w:beforeAutospacing="1" w:after="100" w:afterAutospacing="1" w:line="360" w:lineRule="auto"/>
              <w:ind w:firstLine="1200" w:firstLineChars="500"/>
              <w:jc w:val="left"/>
              <w:rPr>
                <w:rFonts w:ascii="仿宋" w:hAnsi="仿宋" w:eastAsia="仿宋" w:cs="仿宋"/>
                <w:kern w:val="0"/>
                <w:sz w:val="24"/>
                <w:szCs w:val="24"/>
                <w:u w:val="single"/>
              </w:rPr>
            </w:pPr>
            <w:r>
              <w:rPr>
                <w:rFonts w:hint="eastAsia" w:ascii="仿宋" w:hAnsi="仿宋" w:eastAsia="仿宋" w:cs="仿宋"/>
                <w:kern w:val="0"/>
                <w:sz w:val="24"/>
                <w:szCs w:val="24"/>
              </w:rPr>
              <w:t xml:space="preserve"> 大写：</w:t>
            </w:r>
          </w:p>
        </w:tc>
        <w:tc>
          <w:tcPr>
            <w:tcW w:w="69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00" w:beforeAutospacing="1" w:after="100" w:afterAutospacing="1" w:line="360" w:lineRule="auto"/>
              <w:jc w:val="center"/>
              <w:rPr>
                <w:rFonts w:ascii="仿宋" w:hAnsi="仿宋" w:eastAsia="仿宋" w:cs="仿宋"/>
                <w:kern w:val="0"/>
                <w:sz w:val="24"/>
                <w:szCs w:val="24"/>
                <w:highlight w:val="yellow"/>
                <w:u w:val="single"/>
              </w:rPr>
            </w:pPr>
          </w:p>
        </w:tc>
      </w:tr>
    </w:tbl>
    <w:p>
      <w:pPr>
        <w:spacing w:line="360" w:lineRule="auto"/>
        <w:rPr>
          <w:rFonts w:ascii="仿宋" w:hAnsi="仿宋" w:eastAsia="仿宋" w:cs="仿宋"/>
          <w:sz w:val="24"/>
          <w:szCs w:val="24"/>
        </w:rPr>
      </w:pPr>
      <w:r>
        <w:rPr>
          <w:rFonts w:hint="eastAsia" w:ascii="仿宋" w:hAnsi="仿宋" w:eastAsia="仿宋" w:cs="仿宋"/>
          <w:sz w:val="24"/>
          <w:szCs w:val="24"/>
        </w:rPr>
        <w:t>1、当大小写不一致时以大写为准</w:t>
      </w:r>
    </w:p>
    <w:p>
      <w:pPr>
        <w:spacing w:line="360" w:lineRule="auto"/>
        <w:rPr>
          <w:rFonts w:ascii="仿宋" w:hAnsi="仿宋" w:eastAsia="仿宋" w:cs="仿宋"/>
          <w:sz w:val="24"/>
          <w:szCs w:val="24"/>
        </w:rPr>
      </w:pPr>
      <w:r>
        <w:rPr>
          <w:rFonts w:hint="eastAsia" w:ascii="仿宋" w:hAnsi="仿宋" w:eastAsia="仿宋" w:cs="仿宋"/>
          <w:sz w:val="24"/>
          <w:szCs w:val="24"/>
        </w:rPr>
        <w:t>2、当开标一览表中的总报价和采购清单及报价明细表各项合计值不一致时，以采购清单及报价明细表各项合计值为准修正总报价。</w:t>
      </w:r>
    </w:p>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r>
        <w:rPr>
          <w:rFonts w:hint="eastAsia" w:ascii="仿宋" w:hAnsi="仿宋" w:eastAsia="仿宋" w:cs="仿宋"/>
          <w:sz w:val="24"/>
          <w:szCs w:val="24"/>
        </w:rPr>
        <w:t>投标单位盖章：</w:t>
      </w:r>
    </w:p>
    <w:p>
      <w:pPr>
        <w:pStyle w:val="21"/>
        <w:spacing w:line="360" w:lineRule="auto"/>
        <w:rPr>
          <w:rFonts w:ascii="仿宋" w:hAnsi="仿宋" w:eastAsia="仿宋" w:cs="仿宋"/>
          <w:sz w:val="24"/>
          <w:szCs w:val="24"/>
        </w:rPr>
      </w:pPr>
    </w:p>
    <w:p>
      <w:pPr>
        <w:spacing w:line="360" w:lineRule="auto"/>
        <w:ind w:left="7680" w:hanging="7680" w:hangingChars="3200"/>
        <w:jc w:val="left"/>
        <w:rPr>
          <w:rFonts w:ascii="仿宋" w:hAnsi="仿宋" w:eastAsia="仿宋" w:cs="仿宋"/>
          <w:sz w:val="24"/>
          <w:szCs w:val="24"/>
        </w:rPr>
      </w:pPr>
      <w:r>
        <w:rPr>
          <w:rFonts w:hint="eastAsia" w:ascii="仿宋" w:hAnsi="仿宋" w:eastAsia="仿宋" w:cs="仿宋"/>
          <w:sz w:val="24"/>
          <w:szCs w:val="24"/>
        </w:rPr>
        <w:t xml:space="preserve">投标单位法人或授权代表签字或盖章：                                                                     </w:t>
      </w:r>
    </w:p>
    <w:p>
      <w:pPr>
        <w:spacing w:line="360" w:lineRule="auto"/>
        <w:ind w:left="7680" w:hanging="7680" w:hangingChars="3200"/>
        <w:jc w:val="right"/>
        <w:rPr>
          <w:rFonts w:ascii="仿宋" w:hAnsi="仿宋" w:eastAsia="仿宋" w:cs="仿宋"/>
          <w:sz w:val="24"/>
          <w:szCs w:val="24"/>
        </w:rPr>
      </w:pPr>
      <w:r>
        <w:rPr>
          <w:rFonts w:hint="eastAsia" w:ascii="仿宋" w:hAnsi="仿宋" w:eastAsia="仿宋" w:cs="仿宋"/>
          <w:sz w:val="24"/>
          <w:szCs w:val="24"/>
        </w:rPr>
        <w:t>年   月   日</w:t>
      </w:r>
    </w:p>
    <w:p>
      <w:pPr>
        <w:pStyle w:val="17"/>
        <w:rPr>
          <w:rFonts w:ascii="仿宋" w:hAnsi="仿宋" w:eastAsia="仿宋" w:cs="仿宋"/>
          <w:sz w:val="24"/>
          <w:szCs w:val="24"/>
        </w:rPr>
      </w:pPr>
    </w:p>
    <w:p>
      <w:pPr>
        <w:pStyle w:val="17"/>
        <w:rPr>
          <w:rFonts w:ascii="仿宋" w:hAnsi="仿宋" w:eastAsia="仿宋" w:cs="仿宋"/>
          <w:sz w:val="24"/>
          <w:szCs w:val="24"/>
        </w:rPr>
      </w:pPr>
    </w:p>
    <w:p>
      <w:pPr>
        <w:pStyle w:val="17"/>
        <w:rPr>
          <w:rFonts w:ascii="仿宋" w:hAnsi="仿宋" w:eastAsia="仿宋" w:cs="仿宋"/>
          <w:sz w:val="24"/>
          <w:szCs w:val="24"/>
        </w:rPr>
      </w:pPr>
    </w:p>
    <w:p>
      <w:pPr>
        <w:widowControl/>
        <w:jc w:val="left"/>
        <w:rPr>
          <w:rFonts w:ascii="仿宋" w:hAnsi="仿宋" w:eastAsia="仿宋" w:cs="仿宋"/>
          <w:sz w:val="24"/>
          <w:szCs w:val="24"/>
        </w:rPr>
      </w:pPr>
      <w:r>
        <w:rPr>
          <w:rFonts w:hint="eastAsia" w:ascii="仿宋" w:hAnsi="仿宋" w:eastAsia="仿宋" w:cs="仿宋"/>
          <w:sz w:val="24"/>
          <w:szCs w:val="24"/>
        </w:rPr>
        <w:br w:type="page"/>
      </w:r>
    </w:p>
    <w:p>
      <w:pPr>
        <w:pStyle w:val="4"/>
        <w:jc w:val="center"/>
        <w:rPr>
          <w:rStyle w:val="62"/>
          <w:rFonts w:ascii="仿宋" w:hAnsi="仿宋" w:eastAsia="仿宋" w:cs="仿宋"/>
          <w:b/>
          <w:bCs w:val="0"/>
          <w:sz w:val="24"/>
          <w:szCs w:val="24"/>
        </w:rPr>
      </w:pPr>
      <w:bookmarkStart w:id="511" w:name="_Toc20164"/>
      <w:r>
        <w:rPr>
          <w:rStyle w:val="62"/>
          <w:rFonts w:hint="eastAsia" w:ascii="仿宋" w:hAnsi="仿宋" w:eastAsia="仿宋" w:cs="仿宋"/>
          <w:b/>
          <w:bCs w:val="0"/>
          <w:sz w:val="24"/>
          <w:szCs w:val="24"/>
        </w:rPr>
        <w:t>3、报价一览明细表</w:t>
      </w:r>
      <w:bookmarkEnd w:id="511"/>
    </w:p>
    <w:p>
      <w:pPr>
        <w:pStyle w:val="17"/>
        <w:spacing w:line="480" w:lineRule="auto"/>
        <w:rPr>
          <w:rFonts w:ascii="仿宋" w:hAnsi="仿宋" w:eastAsia="仿宋" w:cs="仿宋"/>
          <w:sz w:val="24"/>
          <w:szCs w:val="24"/>
          <w:u w:val="single"/>
        </w:rPr>
      </w:pPr>
      <w:r>
        <w:rPr>
          <w:rFonts w:hint="eastAsia" w:ascii="仿宋" w:hAnsi="仿宋" w:eastAsia="仿宋" w:cs="仿宋"/>
          <w:sz w:val="24"/>
          <w:szCs w:val="24"/>
        </w:rPr>
        <w:t>投标人名称：</w:t>
      </w:r>
    </w:p>
    <w:p>
      <w:pPr>
        <w:pStyle w:val="17"/>
        <w:spacing w:line="480" w:lineRule="auto"/>
        <w:rPr>
          <w:rFonts w:ascii="仿宋" w:hAnsi="仿宋" w:eastAsia="仿宋" w:cs="仿宋"/>
          <w:sz w:val="24"/>
          <w:szCs w:val="24"/>
          <w:u w:val="single"/>
        </w:rPr>
      </w:pPr>
      <w:r>
        <w:rPr>
          <w:rFonts w:hint="eastAsia" w:ascii="仿宋" w:hAnsi="仿宋" w:eastAsia="仿宋" w:cs="仿宋"/>
          <w:sz w:val="24"/>
          <w:szCs w:val="24"/>
        </w:rPr>
        <w:t>标项编号：</w:t>
      </w:r>
    </w:p>
    <w:tbl>
      <w:tblPr>
        <w:tblStyle w:val="30"/>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377"/>
        <w:gridCol w:w="1070"/>
        <w:gridCol w:w="1377"/>
        <w:gridCol w:w="1377"/>
        <w:gridCol w:w="2601"/>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728" w:type="dxa"/>
            <w:vAlign w:val="center"/>
          </w:tcPr>
          <w:p>
            <w:pPr>
              <w:pStyle w:val="17"/>
              <w:jc w:val="center"/>
              <w:rPr>
                <w:rFonts w:ascii="仿宋" w:hAnsi="仿宋" w:eastAsia="仿宋" w:cs="仿宋"/>
                <w:sz w:val="24"/>
                <w:szCs w:val="24"/>
              </w:rPr>
            </w:pPr>
            <w:r>
              <w:rPr>
                <w:rFonts w:hint="eastAsia" w:ascii="仿宋" w:hAnsi="仿宋" w:eastAsia="仿宋" w:cs="仿宋"/>
                <w:sz w:val="24"/>
                <w:szCs w:val="24"/>
              </w:rPr>
              <w:t>序号</w:t>
            </w:r>
          </w:p>
        </w:tc>
        <w:tc>
          <w:tcPr>
            <w:tcW w:w="1377" w:type="dxa"/>
            <w:vAlign w:val="center"/>
          </w:tcPr>
          <w:p>
            <w:pPr>
              <w:pStyle w:val="17"/>
              <w:jc w:val="center"/>
              <w:rPr>
                <w:rFonts w:ascii="仿宋" w:hAnsi="仿宋" w:eastAsia="仿宋" w:cs="仿宋"/>
                <w:sz w:val="24"/>
                <w:szCs w:val="24"/>
              </w:rPr>
            </w:pPr>
            <w:r>
              <w:rPr>
                <w:rFonts w:hint="eastAsia" w:ascii="仿宋" w:hAnsi="仿宋" w:eastAsia="仿宋" w:cs="仿宋"/>
                <w:sz w:val="24"/>
                <w:szCs w:val="24"/>
              </w:rPr>
              <w:t>费用名称</w:t>
            </w:r>
          </w:p>
        </w:tc>
        <w:tc>
          <w:tcPr>
            <w:tcW w:w="1070" w:type="dxa"/>
            <w:vAlign w:val="center"/>
          </w:tcPr>
          <w:p>
            <w:pPr>
              <w:pStyle w:val="17"/>
              <w:jc w:val="center"/>
              <w:rPr>
                <w:rFonts w:ascii="仿宋" w:hAnsi="仿宋" w:eastAsia="仿宋" w:cs="仿宋"/>
                <w:sz w:val="24"/>
                <w:szCs w:val="24"/>
              </w:rPr>
            </w:pPr>
            <w:r>
              <w:rPr>
                <w:rFonts w:hint="eastAsia" w:ascii="仿宋" w:hAnsi="仿宋" w:eastAsia="仿宋" w:cs="仿宋"/>
                <w:sz w:val="24"/>
                <w:szCs w:val="24"/>
              </w:rPr>
              <w:t>数量</w:t>
            </w:r>
          </w:p>
        </w:tc>
        <w:tc>
          <w:tcPr>
            <w:tcW w:w="1377" w:type="dxa"/>
            <w:vAlign w:val="center"/>
          </w:tcPr>
          <w:p>
            <w:pPr>
              <w:pStyle w:val="17"/>
              <w:jc w:val="center"/>
              <w:rPr>
                <w:rFonts w:ascii="仿宋" w:hAnsi="仿宋" w:eastAsia="仿宋" w:cs="仿宋"/>
                <w:sz w:val="24"/>
                <w:szCs w:val="24"/>
              </w:rPr>
            </w:pPr>
            <w:r>
              <w:rPr>
                <w:rFonts w:hint="eastAsia" w:ascii="仿宋" w:hAnsi="仿宋" w:eastAsia="仿宋" w:cs="仿宋"/>
                <w:sz w:val="24"/>
                <w:szCs w:val="24"/>
              </w:rPr>
              <w:t>单价（元）</w:t>
            </w:r>
          </w:p>
        </w:tc>
        <w:tc>
          <w:tcPr>
            <w:tcW w:w="1377" w:type="dxa"/>
            <w:vAlign w:val="center"/>
          </w:tcPr>
          <w:p>
            <w:pPr>
              <w:pStyle w:val="17"/>
              <w:jc w:val="center"/>
              <w:rPr>
                <w:rFonts w:ascii="仿宋" w:hAnsi="仿宋" w:eastAsia="仿宋" w:cs="仿宋"/>
                <w:sz w:val="24"/>
                <w:szCs w:val="24"/>
              </w:rPr>
            </w:pPr>
            <w:r>
              <w:rPr>
                <w:rFonts w:hint="eastAsia" w:ascii="仿宋" w:hAnsi="仿宋" w:eastAsia="仿宋" w:cs="仿宋"/>
                <w:sz w:val="24"/>
                <w:szCs w:val="24"/>
              </w:rPr>
              <w:t>总价（元）</w:t>
            </w:r>
          </w:p>
        </w:tc>
        <w:tc>
          <w:tcPr>
            <w:tcW w:w="2601" w:type="dxa"/>
            <w:vAlign w:val="center"/>
          </w:tcPr>
          <w:p>
            <w:pPr>
              <w:pStyle w:val="17"/>
              <w:jc w:val="center"/>
              <w:rPr>
                <w:rFonts w:ascii="仿宋" w:hAnsi="仿宋" w:eastAsia="仿宋" w:cs="仿宋"/>
                <w:sz w:val="24"/>
                <w:szCs w:val="24"/>
              </w:rPr>
            </w:pPr>
            <w:r>
              <w:rPr>
                <w:rFonts w:hint="eastAsia" w:ascii="仿宋" w:hAnsi="仿宋" w:eastAsia="仿宋" w:cs="仿宋"/>
                <w:sz w:val="24"/>
                <w:szCs w:val="24"/>
              </w:rPr>
              <w:t>是否属于小、微企业或监狱企业或残疾人福利性单位</w:t>
            </w:r>
          </w:p>
        </w:tc>
        <w:tc>
          <w:tcPr>
            <w:tcW w:w="666" w:type="dxa"/>
            <w:vAlign w:val="center"/>
          </w:tcPr>
          <w:p>
            <w:pPr>
              <w:pStyle w:val="17"/>
              <w:jc w:val="center"/>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28" w:type="dxa"/>
            <w:vAlign w:val="center"/>
          </w:tcPr>
          <w:p>
            <w:pPr>
              <w:pStyle w:val="17"/>
              <w:jc w:val="center"/>
              <w:rPr>
                <w:rFonts w:ascii="仿宋" w:hAnsi="仿宋" w:eastAsia="仿宋" w:cs="仿宋"/>
                <w:sz w:val="24"/>
                <w:szCs w:val="24"/>
              </w:rPr>
            </w:pPr>
          </w:p>
        </w:tc>
        <w:tc>
          <w:tcPr>
            <w:tcW w:w="1377" w:type="dxa"/>
            <w:vAlign w:val="center"/>
          </w:tcPr>
          <w:p>
            <w:pPr>
              <w:pStyle w:val="17"/>
              <w:jc w:val="center"/>
              <w:rPr>
                <w:rFonts w:ascii="仿宋" w:hAnsi="仿宋" w:eastAsia="仿宋" w:cs="仿宋"/>
                <w:sz w:val="24"/>
                <w:szCs w:val="24"/>
              </w:rPr>
            </w:pPr>
          </w:p>
        </w:tc>
        <w:tc>
          <w:tcPr>
            <w:tcW w:w="1070" w:type="dxa"/>
            <w:vAlign w:val="center"/>
          </w:tcPr>
          <w:p>
            <w:pPr>
              <w:pStyle w:val="17"/>
              <w:jc w:val="center"/>
              <w:rPr>
                <w:rFonts w:ascii="仿宋" w:hAnsi="仿宋" w:eastAsia="仿宋" w:cs="仿宋"/>
                <w:sz w:val="24"/>
                <w:szCs w:val="24"/>
              </w:rPr>
            </w:pPr>
          </w:p>
        </w:tc>
        <w:tc>
          <w:tcPr>
            <w:tcW w:w="1377" w:type="dxa"/>
            <w:vAlign w:val="center"/>
          </w:tcPr>
          <w:p>
            <w:pPr>
              <w:pStyle w:val="17"/>
              <w:jc w:val="center"/>
              <w:rPr>
                <w:rFonts w:ascii="仿宋" w:hAnsi="仿宋" w:eastAsia="仿宋" w:cs="仿宋"/>
                <w:sz w:val="24"/>
                <w:szCs w:val="24"/>
              </w:rPr>
            </w:pPr>
          </w:p>
        </w:tc>
        <w:tc>
          <w:tcPr>
            <w:tcW w:w="1377" w:type="dxa"/>
            <w:vAlign w:val="center"/>
          </w:tcPr>
          <w:p>
            <w:pPr>
              <w:pStyle w:val="17"/>
              <w:jc w:val="center"/>
              <w:rPr>
                <w:rFonts w:ascii="仿宋" w:hAnsi="仿宋" w:eastAsia="仿宋" w:cs="仿宋"/>
                <w:sz w:val="24"/>
                <w:szCs w:val="24"/>
              </w:rPr>
            </w:pPr>
          </w:p>
        </w:tc>
        <w:tc>
          <w:tcPr>
            <w:tcW w:w="2601" w:type="dxa"/>
            <w:vMerge w:val="restart"/>
            <w:vAlign w:val="center"/>
          </w:tcPr>
          <w:p>
            <w:pPr>
              <w:pStyle w:val="17"/>
              <w:jc w:val="center"/>
              <w:rPr>
                <w:rFonts w:ascii="仿宋" w:hAnsi="仿宋" w:eastAsia="仿宋" w:cs="仿宋"/>
                <w:sz w:val="24"/>
                <w:szCs w:val="24"/>
              </w:rPr>
            </w:pPr>
          </w:p>
        </w:tc>
        <w:tc>
          <w:tcPr>
            <w:tcW w:w="666" w:type="dxa"/>
            <w:vAlign w:val="center"/>
          </w:tcPr>
          <w:p>
            <w:pPr>
              <w:pStyle w:val="17"/>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28" w:type="dxa"/>
            <w:vAlign w:val="center"/>
          </w:tcPr>
          <w:p>
            <w:pPr>
              <w:pStyle w:val="17"/>
              <w:jc w:val="center"/>
              <w:rPr>
                <w:rFonts w:ascii="仿宋" w:hAnsi="仿宋" w:eastAsia="仿宋" w:cs="仿宋"/>
                <w:sz w:val="24"/>
                <w:szCs w:val="24"/>
              </w:rPr>
            </w:pPr>
          </w:p>
        </w:tc>
        <w:tc>
          <w:tcPr>
            <w:tcW w:w="1377" w:type="dxa"/>
            <w:vAlign w:val="center"/>
          </w:tcPr>
          <w:p>
            <w:pPr>
              <w:pStyle w:val="17"/>
              <w:jc w:val="center"/>
              <w:rPr>
                <w:rFonts w:ascii="仿宋" w:hAnsi="仿宋" w:eastAsia="仿宋" w:cs="仿宋"/>
                <w:sz w:val="24"/>
                <w:szCs w:val="24"/>
              </w:rPr>
            </w:pPr>
          </w:p>
        </w:tc>
        <w:tc>
          <w:tcPr>
            <w:tcW w:w="1070" w:type="dxa"/>
            <w:vAlign w:val="center"/>
          </w:tcPr>
          <w:p>
            <w:pPr>
              <w:pStyle w:val="17"/>
              <w:jc w:val="center"/>
              <w:rPr>
                <w:rFonts w:ascii="仿宋" w:hAnsi="仿宋" w:eastAsia="仿宋" w:cs="仿宋"/>
                <w:sz w:val="24"/>
                <w:szCs w:val="24"/>
              </w:rPr>
            </w:pPr>
          </w:p>
        </w:tc>
        <w:tc>
          <w:tcPr>
            <w:tcW w:w="1377" w:type="dxa"/>
            <w:vAlign w:val="center"/>
          </w:tcPr>
          <w:p>
            <w:pPr>
              <w:pStyle w:val="17"/>
              <w:jc w:val="center"/>
              <w:rPr>
                <w:rFonts w:ascii="仿宋" w:hAnsi="仿宋" w:eastAsia="仿宋" w:cs="仿宋"/>
                <w:sz w:val="24"/>
                <w:szCs w:val="24"/>
              </w:rPr>
            </w:pPr>
          </w:p>
        </w:tc>
        <w:tc>
          <w:tcPr>
            <w:tcW w:w="1377" w:type="dxa"/>
            <w:vAlign w:val="center"/>
          </w:tcPr>
          <w:p>
            <w:pPr>
              <w:pStyle w:val="17"/>
              <w:jc w:val="center"/>
              <w:rPr>
                <w:rFonts w:ascii="仿宋" w:hAnsi="仿宋" w:eastAsia="仿宋" w:cs="仿宋"/>
                <w:sz w:val="24"/>
                <w:szCs w:val="24"/>
              </w:rPr>
            </w:pPr>
          </w:p>
        </w:tc>
        <w:tc>
          <w:tcPr>
            <w:tcW w:w="2601" w:type="dxa"/>
            <w:vMerge w:val="continue"/>
            <w:vAlign w:val="center"/>
          </w:tcPr>
          <w:p>
            <w:pPr>
              <w:pStyle w:val="17"/>
              <w:jc w:val="center"/>
              <w:rPr>
                <w:rFonts w:ascii="仿宋" w:hAnsi="仿宋" w:eastAsia="仿宋" w:cs="仿宋"/>
                <w:sz w:val="24"/>
                <w:szCs w:val="24"/>
              </w:rPr>
            </w:pPr>
          </w:p>
        </w:tc>
        <w:tc>
          <w:tcPr>
            <w:tcW w:w="666" w:type="dxa"/>
            <w:vAlign w:val="center"/>
          </w:tcPr>
          <w:p>
            <w:pPr>
              <w:pStyle w:val="17"/>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28" w:type="dxa"/>
            <w:vAlign w:val="center"/>
          </w:tcPr>
          <w:p>
            <w:pPr>
              <w:pStyle w:val="17"/>
              <w:jc w:val="center"/>
              <w:rPr>
                <w:rFonts w:ascii="仿宋" w:hAnsi="仿宋" w:eastAsia="仿宋" w:cs="仿宋"/>
                <w:sz w:val="24"/>
                <w:szCs w:val="24"/>
              </w:rPr>
            </w:pPr>
          </w:p>
        </w:tc>
        <w:tc>
          <w:tcPr>
            <w:tcW w:w="1377" w:type="dxa"/>
            <w:vAlign w:val="center"/>
          </w:tcPr>
          <w:p>
            <w:pPr>
              <w:pStyle w:val="17"/>
              <w:jc w:val="center"/>
              <w:rPr>
                <w:rFonts w:ascii="仿宋" w:hAnsi="仿宋" w:eastAsia="仿宋" w:cs="仿宋"/>
                <w:sz w:val="24"/>
                <w:szCs w:val="24"/>
              </w:rPr>
            </w:pPr>
          </w:p>
        </w:tc>
        <w:tc>
          <w:tcPr>
            <w:tcW w:w="1070" w:type="dxa"/>
            <w:vAlign w:val="center"/>
          </w:tcPr>
          <w:p>
            <w:pPr>
              <w:pStyle w:val="17"/>
              <w:jc w:val="center"/>
              <w:rPr>
                <w:rFonts w:ascii="仿宋" w:hAnsi="仿宋" w:eastAsia="仿宋" w:cs="仿宋"/>
                <w:sz w:val="24"/>
                <w:szCs w:val="24"/>
              </w:rPr>
            </w:pPr>
          </w:p>
        </w:tc>
        <w:tc>
          <w:tcPr>
            <w:tcW w:w="1377" w:type="dxa"/>
            <w:vAlign w:val="center"/>
          </w:tcPr>
          <w:p>
            <w:pPr>
              <w:pStyle w:val="17"/>
              <w:jc w:val="center"/>
              <w:rPr>
                <w:rFonts w:ascii="仿宋" w:hAnsi="仿宋" w:eastAsia="仿宋" w:cs="仿宋"/>
                <w:sz w:val="24"/>
                <w:szCs w:val="24"/>
              </w:rPr>
            </w:pPr>
          </w:p>
        </w:tc>
        <w:tc>
          <w:tcPr>
            <w:tcW w:w="1377" w:type="dxa"/>
            <w:vAlign w:val="center"/>
          </w:tcPr>
          <w:p>
            <w:pPr>
              <w:pStyle w:val="17"/>
              <w:jc w:val="center"/>
              <w:rPr>
                <w:rFonts w:ascii="仿宋" w:hAnsi="仿宋" w:eastAsia="仿宋" w:cs="仿宋"/>
                <w:sz w:val="24"/>
                <w:szCs w:val="24"/>
              </w:rPr>
            </w:pPr>
          </w:p>
        </w:tc>
        <w:tc>
          <w:tcPr>
            <w:tcW w:w="2601" w:type="dxa"/>
            <w:vMerge w:val="continue"/>
            <w:vAlign w:val="center"/>
          </w:tcPr>
          <w:p>
            <w:pPr>
              <w:pStyle w:val="17"/>
              <w:jc w:val="center"/>
              <w:rPr>
                <w:rFonts w:ascii="仿宋" w:hAnsi="仿宋" w:eastAsia="仿宋" w:cs="仿宋"/>
                <w:sz w:val="24"/>
                <w:szCs w:val="24"/>
              </w:rPr>
            </w:pPr>
          </w:p>
        </w:tc>
        <w:tc>
          <w:tcPr>
            <w:tcW w:w="666" w:type="dxa"/>
            <w:vAlign w:val="center"/>
          </w:tcPr>
          <w:p>
            <w:pPr>
              <w:pStyle w:val="17"/>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28" w:type="dxa"/>
            <w:vAlign w:val="center"/>
          </w:tcPr>
          <w:p>
            <w:pPr>
              <w:pStyle w:val="17"/>
              <w:jc w:val="center"/>
              <w:rPr>
                <w:rFonts w:ascii="仿宋" w:hAnsi="仿宋" w:eastAsia="仿宋" w:cs="仿宋"/>
                <w:sz w:val="24"/>
                <w:szCs w:val="24"/>
              </w:rPr>
            </w:pPr>
          </w:p>
        </w:tc>
        <w:tc>
          <w:tcPr>
            <w:tcW w:w="1377" w:type="dxa"/>
            <w:vAlign w:val="center"/>
          </w:tcPr>
          <w:p>
            <w:pPr>
              <w:pStyle w:val="17"/>
              <w:jc w:val="center"/>
              <w:rPr>
                <w:rFonts w:ascii="仿宋" w:hAnsi="仿宋" w:eastAsia="仿宋" w:cs="仿宋"/>
                <w:sz w:val="24"/>
                <w:szCs w:val="24"/>
              </w:rPr>
            </w:pPr>
          </w:p>
        </w:tc>
        <w:tc>
          <w:tcPr>
            <w:tcW w:w="1070" w:type="dxa"/>
            <w:vAlign w:val="center"/>
          </w:tcPr>
          <w:p>
            <w:pPr>
              <w:pStyle w:val="17"/>
              <w:jc w:val="center"/>
              <w:rPr>
                <w:rFonts w:ascii="仿宋" w:hAnsi="仿宋" w:eastAsia="仿宋" w:cs="仿宋"/>
                <w:sz w:val="24"/>
                <w:szCs w:val="24"/>
              </w:rPr>
            </w:pPr>
          </w:p>
        </w:tc>
        <w:tc>
          <w:tcPr>
            <w:tcW w:w="1377" w:type="dxa"/>
            <w:vAlign w:val="center"/>
          </w:tcPr>
          <w:p>
            <w:pPr>
              <w:pStyle w:val="17"/>
              <w:jc w:val="center"/>
              <w:rPr>
                <w:rFonts w:ascii="仿宋" w:hAnsi="仿宋" w:eastAsia="仿宋" w:cs="仿宋"/>
                <w:sz w:val="24"/>
                <w:szCs w:val="24"/>
              </w:rPr>
            </w:pPr>
          </w:p>
        </w:tc>
        <w:tc>
          <w:tcPr>
            <w:tcW w:w="1377" w:type="dxa"/>
            <w:vAlign w:val="center"/>
          </w:tcPr>
          <w:p>
            <w:pPr>
              <w:pStyle w:val="17"/>
              <w:jc w:val="center"/>
              <w:rPr>
                <w:rFonts w:ascii="仿宋" w:hAnsi="仿宋" w:eastAsia="仿宋" w:cs="仿宋"/>
                <w:sz w:val="24"/>
                <w:szCs w:val="24"/>
              </w:rPr>
            </w:pPr>
          </w:p>
        </w:tc>
        <w:tc>
          <w:tcPr>
            <w:tcW w:w="2601" w:type="dxa"/>
            <w:vMerge w:val="continue"/>
            <w:vAlign w:val="center"/>
          </w:tcPr>
          <w:p>
            <w:pPr>
              <w:pStyle w:val="17"/>
              <w:jc w:val="center"/>
              <w:rPr>
                <w:rFonts w:ascii="仿宋" w:hAnsi="仿宋" w:eastAsia="仿宋" w:cs="仿宋"/>
                <w:sz w:val="24"/>
                <w:szCs w:val="24"/>
              </w:rPr>
            </w:pPr>
          </w:p>
        </w:tc>
        <w:tc>
          <w:tcPr>
            <w:tcW w:w="666" w:type="dxa"/>
            <w:vAlign w:val="center"/>
          </w:tcPr>
          <w:p>
            <w:pPr>
              <w:pStyle w:val="17"/>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28" w:type="dxa"/>
            <w:vAlign w:val="center"/>
          </w:tcPr>
          <w:p>
            <w:pPr>
              <w:pStyle w:val="17"/>
              <w:jc w:val="center"/>
              <w:rPr>
                <w:rFonts w:ascii="仿宋" w:hAnsi="仿宋" w:eastAsia="仿宋" w:cs="仿宋"/>
                <w:sz w:val="24"/>
                <w:szCs w:val="24"/>
              </w:rPr>
            </w:pPr>
          </w:p>
        </w:tc>
        <w:tc>
          <w:tcPr>
            <w:tcW w:w="1377" w:type="dxa"/>
            <w:vAlign w:val="center"/>
          </w:tcPr>
          <w:p>
            <w:pPr>
              <w:pStyle w:val="17"/>
              <w:jc w:val="center"/>
              <w:rPr>
                <w:rFonts w:ascii="仿宋" w:hAnsi="仿宋" w:eastAsia="仿宋" w:cs="仿宋"/>
                <w:sz w:val="24"/>
                <w:szCs w:val="24"/>
              </w:rPr>
            </w:pPr>
          </w:p>
        </w:tc>
        <w:tc>
          <w:tcPr>
            <w:tcW w:w="1070" w:type="dxa"/>
            <w:vAlign w:val="center"/>
          </w:tcPr>
          <w:p>
            <w:pPr>
              <w:pStyle w:val="17"/>
              <w:jc w:val="center"/>
              <w:rPr>
                <w:rFonts w:ascii="仿宋" w:hAnsi="仿宋" w:eastAsia="仿宋" w:cs="仿宋"/>
                <w:sz w:val="24"/>
                <w:szCs w:val="24"/>
              </w:rPr>
            </w:pPr>
          </w:p>
        </w:tc>
        <w:tc>
          <w:tcPr>
            <w:tcW w:w="1377" w:type="dxa"/>
            <w:vAlign w:val="center"/>
          </w:tcPr>
          <w:p>
            <w:pPr>
              <w:pStyle w:val="17"/>
              <w:jc w:val="center"/>
              <w:rPr>
                <w:rFonts w:ascii="仿宋" w:hAnsi="仿宋" w:eastAsia="仿宋" w:cs="仿宋"/>
                <w:sz w:val="24"/>
                <w:szCs w:val="24"/>
              </w:rPr>
            </w:pPr>
          </w:p>
        </w:tc>
        <w:tc>
          <w:tcPr>
            <w:tcW w:w="1377" w:type="dxa"/>
            <w:vAlign w:val="center"/>
          </w:tcPr>
          <w:p>
            <w:pPr>
              <w:pStyle w:val="17"/>
              <w:jc w:val="center"/>
              <w:rPr>
                <w:rFonts w:ascii="仿宋" w:hAnsi="仿宋" w:eastAsia="仿宋" w:cs="仿宋"/>
                <w:sz w:val="24"/>
                <w:szCs w:val="24"/>
              </w:rPr>
            </w:pPr>
          </w:p>
        </w:tc>
        <w:tc>
          <w:tcPr>
            <w:tcW w:w="2601" w:type="dxa"/>
            <w:vMerge w:val="continue"/>
            <w:vAlign w:val="center"/>
          </w:tcPr>
          <w:p>
            <w:pPr>
              <w:pStyle w:val="17"/>
              <w:jc w:val="center"/>
              <w:rPr>
                <w:rFonts w:ascii="仿宋" w:hAnsi="仿宋" w:eastAsia="仿宋" w:cs="仿宋"/>
                <w:sz w:val="24"/>
                <w:szCs w:val="24"/>
              </w:rPr>
            </w:pPr>
          </w:p>
        </w:tc>
        <w:tc>
          <w:tcPr>
            <w:tcW w:w="666" w:type="dxa"/>
            <w:vAlign w:val="center"/>
          </w:tcPr>
          <w:p>
            <w:pPr>
              <w:pStyle w:val="17"/>
              <w:jc w:val="center"/>
              <w:rPr>
                <w:rFonts w:ascii="仿宋" w:hAnsi="仿宋" w:eastAsia="仿宋" w:cs="仿宋"/>
                <w:sz w:val="24"/>
                <w:szCs w:val="24"/>
              </w:rPr>
            </w:pPr>
          </w:p>
        </w:tc>
      </w:tr>
    </w:tbl>
    <w:p>
      <w:pPr>
        <w:pStyle w:val="17"/>
        <w:rPr>
          <w:rFonts w:ascii="仿宋" w:hAnsi="仿宋" w:eastAsia="仿宋" w:cs="仿宋"/>
          <w:sz w:val="24"/>
          <w:szCs w:val="24"/>
        </w:rPr>
      </w:pPr>
    </w:p>
    <w:p>
      <w:pPr>
        <w:pStyle w:val="17"/>
        <w:rPr>
          <w:rFonts w:ascii="仿宋" w:hAnsi="仿宋" w:eastAsia="仿宋" w:cs="仿宋"/>
          <w:sz w:val="24"/>
          <w:szCs w:val="24"/>
        </w:rPr>
      </w:pPr>
    </w:p>
    <w:p>
      <w:pPr>
        <w:pStyle w:val="17"/>
        <w:rPr>
          <w:rFonts w:ascii="仿宋" w:hAnsi="仿宋" w:eastAsia="仿宋" w:cs="仿宋"/>
          <w:sz w:val="24"/>
          <w:szCs w:val="24"/>
        </w:rPr>
      </w:pPr>
    </w:p>
    <w:p>
      <w:pPr>
        <w:pStyle w:val="17"/>
        <w:rPr>
          <w:rFonts w:ascii="仿宋" w:hAnsi="仿宋" w:eastAsia="仿宋" w:cs="仿宋"/>
          <w:sz w:val="24"/>
          <w:szCs w:val="24"/>
        </w:rPr>
      </w:pPr>
    </w:p>
    <w:p>
      <w:pPr>
        <w:spacing w:line="360" w:lineRule="auto"/>
        <w:rPr>
          <w:rFonts w:ascii="仿宋" w:hAnsi="仿宋" w:eastAsia="仿宋" w:cs="仿宋"/>
          <w:sz w:val="24"/>
          <w:szCs w:val="24"/>
        </w:rPr>
      </w:pPr>
      <w:r>
        <w:rPr>
          <w:rFonts w:hint="eastAsia" w:ascii="仿宋" w:hAnsi="仿宋" w:eastAsia="仿宋" w:cs="仿宋"/>
          <w:sz w:val="24"/>
          <w:szCs w:val="24"/>
        </w:rPr>
        <w:t>投标单位盖章：</w:t>
      </w:r>
    </w:p>
    <w:p>
      <w:pPr>
        <w:pStyle w:val="21"/>
        <w:spacing w:line="360" w:lineRule="auto"/>
        <w:rPr>
          <w:rFonts w:ascii="仿宋" w:hAnsi="仿宋" w:eastAsia="仿宋" w:cs="仿宋"/>
          <w:sz w:val="24"/>
          <w:szCs w:val="24"/>
        </w:rPr>
      </w:pPr>
    </w:p>
    <w:p>
      <w:pPr>
        <w:spacing w:line="360" w:lineRule="auto"/>
        <w:ind w:left="7680" w:hanging="7680" w:hangingChars="3200"/>
        <w:jc w:val="left"/>
        <w:rPr>
          <w:rFonts w:ascii="仿宋" w:hAnsi="仿宋" w:eastAsia="仿宋" w:cs="仿宋"/>
          <w:sz w:val="24"/>
          <w:szCs w:val="24"/>
        </w:rPr>
      </w:pPr>
      <w:r>
        <w:rPr>
          <w:rFonts w:hint="eastAsia" w:ascii="仿宋" w:hAnsi="仿宋" w:eastAsia="仿宋" w:cs="仿宋"/>
          <w:sz w:val="24"/>
          <w:szCs w:val="24"/>
        </w:rPr>
        <w:t xml:space="preserve">投标单位法人或授权代表签字或盖章：                                                                     </w:t>
      </w:r>
    </w:p>
    <w:p>
      <w:pPr>
        <w:spacing w:line="360" w:lineRule="auto"/>
        <w:ind w:left="7680" w:hanging="7680" w:hangingChars="3200"/>
        <w:jc w:val="right"/>
        <w:rPr>
          <w:rFonts w:ascii="仿宋" w:hAnsi="仿宋" w:eastAsia="仿宋" w:cs="仿宋"/>
          <w:sz w:val="24"/>
          <w:szCs w:val="24"/>
        </w:rPr>
      </w:pPr>
      <w:r>
        <w:rPr>
          <w:rFonts w:hint="eastAsia" w:ascii="仿宋" w:hAnsi="仿宋" w:eastAsia="仿宋" w:cs="仿宋"/>
          <w:sz w:val="24"/>
          <w:szCs w:val="24"/>
        </w:rPr>
        <w:t>年   月   日</w:t>
      </w:r>
    </w:p>
    <w:p>
      <w:pPr>
        <w:pStyle w:val="17"/>
        <w:rPr>
          <w:rFonts w:ascii="仿宋" w:hAnsi="仿宋" w:eastAsia="仿宋" w:cs="仿宋"/>
          <w:sz w:val="24"/>
          <w:szCs w:val="24"/>
        </w:rPr>
      </w:pPr>
    </w:p>
    <w:p>
      <w:pPr>
        <w:pStyle w:val="17"/>
        <w:rPr>
          <w:rFonts w:ascii="仿宋" w:hAnsi="仿宋" w:eastAsia="仿宋" w:cs="仿宋"/>
          <w:sz w:val="24"/>
          <w:szCs w:val="24"/>
        </w:rPr>
      </w:pPr>
    </w:p>
    <w:p>
      <w:pPr>
        <w:pStyle w:val="17"/>
        <w:rPr>
          <w:rFonts w:ascii="仿宋" w:hAnsi="仿宋" w:eastAsia="仿宋" w:cs="仿宋"/>
          <w:sz w:val="24"/>
          <w:szCs w:val="24"/>
        </w:rPr>
      </w:pPr>
    </w:p>
    <w:p>
      <w:pPr>
        <w:pStyle w:val="17"/>
        <w:rPr>
          <w:rFonts w:ascii="仿宋" w:hAnsi="仿宋" w:eastAsia="仿宋" w:cs="仿宋"/>
          <w:sz w:val="24"/>
          <w:szCs w:val="24"/>
        </w:rPr>
      </w:pPr>
    </w:p>
    <w:p>
      <w:pPr>
        <w:pStyle w:val="17"/>
        <w:rPr>
          <w:rFonts w:ascii="仿宋" w:hAnsi="仿宋" w:eastAsia="仿宋" w:cs="仿宋"/>
          <w:sz w:val="24"/>
          <w:szCs w:val="24"/>
        </w:rPr>
      </w:pPr>
    </w:p>
    <w:p>
      <w:pPr>
        <w:pStyle w:val="17"/>
        <w:rPr>
          <w:rFonts w:ascii="仿宋" w:hAnsi="仿宋" w:eastAsia="仿宋" w:cs="仿宋"/>
          <w:sz w:val="24"/>
          <w:szCs w:val="24"/>
        </w:rPr>
      </w:pPr>
    </w:p>
    <w:p>
      <w:pPr>
        <w:adjustRightInd w:val="0"/>
        <w:snapToGrid w:val="0"/>
        <w:spacing w:line="360" w:lineRule="auto"/>
        <w:rPr>
          <w:rFonts w:ascii="仿宋" w:hAnsi="仿宋" w:eastAsia="仿宋" w:cs="仿宋"/>
          <w:b/>
          <w:bCs/>
          <w:sz w:val="24"/>
          <w:szCs w:val="24"/>
        </w:rPr>
      </w:pPr>
      <w:r>
        <w:rPr>
          <w:rFonts w:hint="eastAsia" w:ascii="仿宋" w:hAnsi="仿宋" w:eastAsia="仿宋" w:cs="仿宋"/>
          <w:b/>
          <w:bCs/>
          <w:sz w:val="24"/>
          <w:szCs w:val="24"/>
        </w:rPr>
        <w:t>1、上述报价包含一切由供方承担服务的费用，分项报价合计应和总报价一致；</w:t>
      </w:r>
    </w:p>
    <w:p>
      <w:pPr>
        <w:pStyle w:val="17"/>
        <w:rPr>
          <w:rFonts w:ascii="仿宋" w:hAnsi="仿宋" w:eastAsia="仿宋" w:cs="仿宋"/>
          <w:sz w:val="24"/>
          <w:szCs w:val="24"/>
        </w:rPr>
      </w:pPr>
      <w:r>
        <w:rPr>
          <w:rFonts w:hint="eastAsia" w:ascii="仿宋" w:hAnsi="仿宋" w:eastAsia="仿宋" w:cs="仿宋"/>
          <w:sz w:val="24"/>
          <w:szCs w:val="24"/>
        </w:rPr>
        <w:br w:type="page"/>
      </w:r>
    </w:p>
    <w:p>
      <w:pPr>
        <w:pStyle w:val="4"/>
        <w:jc w:val="center"/>
        <w:rPr>
          <w:rStyle w:val="62"/>
          <w:rFonts w:ascii="仿宋" w:hAnsi="仿宋" w:eastAsia="仿宋" w:cs="仿宋"/>
          <w:b/>
          <w:bCs w:val="0"/>
          <w:sz w:val="24"/>
          <w:szCs w:val="24"/>
        </w:rPr>
      </w:pPr>
      <w:bookmarkStart w:id="512" w:name="_Toc16901"/>
      <w:bookmarkStart w:id="513" w:name="_Toc18030_WPSOffice_Level1"/>
      <w:bookmarkStart w:id="514" w:name="_Toc18663"/>
      <w:bookmarkStart w:id="515" w:name="_Toc50459035"/>
      <w:bookmarkStart w:id="516" w:name="_Toc30221_WPSOffice_Level1"/>
      <w:bookmarkStart w:id="517" w:name="_Toc31386"/>
      <w:r>
        <w:rPr>
          <w:rStyle w:val="62"/>
          <w:rFonts w:hint="eastAsia" w:ascii="仿宋" w:hAnsi="仿宋" w:eastAsia="仿宋" w:cs="仿宋"/>
          <w:b/>
          <w:bCs w:val="0"/>
          <w:sz w:val="24"/>
          <w:szCs w:val="24"/>
        </w:rPr>
        <w:t>4、法定代表人身份证明</w:t>
      </w:r>
      <w:bookmarkEnd w:id="512"/>
      <w:bookmarkEnd w:id="513"/>
      <w:bookmarkEnd w:id="514"/>
      <w:bookmarkEnd w:id="515"/>
      <w:bookmarkEnd w:id="516"/>
      <w:bookmarkEnd w:id="517"/>
    </w:p>
    <w:p>
      <w:pPr>
        <w:adjustRightInd w:val="0"/>
        <w:snapToGrid w:val="0"/>
        <w:spacing w:line="360" w:lineRule="auto"/>
        <w:jc w:val="center"/>
        <w:rPr>
          <w:rFonts w:ascii="仿宋" w:hAnsi="仿宋" w:eastAsia="仿宋" w:cs="仿宋"/>
          <w:sz w:val="24"/>
          <w:szCs w:val="24"/>
        </w:rPr>
      </w:pPr>
    </w:p>
    <w:p>
      <w:pPr>
        <w:adjustRightInd w:val="0"/>
        <w:snapToGrid w:val="0"/>
        <w:spacing w:line="360" w:lineRule="auto"/>
        <w:rPr>
          <w:rFonts w:ascii="仿宋" w:hAnsi="仿宋" w:eastAsia="仿宋" w:cs="仿宋"/>
          <w:sz w:val="24"/>
          <w:szCs w:val="24"/>
          <w:u w:val="single"/>
        </w:rPr>
      </w:pPr>
      <w:r>
        <w:rPr>
          <w:rFonts w:hint="eastAsia" w:ascii="仿宋" w:hAnsi="仿宋" w:eastAsia="仿宋" w:cs="仿宋"/>
          <w:sz w:val="24"/>
          <w:szCs w:val="24"/>
        </w:rPr>
        <w:t xml:space="preserve">   单位名称：</w:t>
      </w:r>
    </w:p>
    <w:p>
      <w:pPr>
        <w:adjustRightInd w:val="0"/>
        <w:snapToGrid w:val="0"/>
        <w:spacing w:line="360" w:lineRule="auto"/>
        <w:rPr>
          <w:rFonts w:ascii="仿宋" w:hAnsi="仿宋" w:eastAsia="仿宋" w:cs="仿宋"/>
          <w:sz w:val="24"/>
          <w:szCs w:val="24"/>
          <w:u w:val="single"/>
        </w:rPr>
      </w:pPr>
      <w:r>
        <w:rPr>
          <w:rFonts w:hint="eastAsia" w:ascii="仿宋" w:hAnsi="仿宋" w:eastAsia="仿宋" w:cs="仿宋"/>
          <w:sz w:val="24"/>
          <w:szCs w:val="24"/>
        </w:rPr>
        <w:t xml:space="preserve">   单位性质：</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成立时间：年 月日 </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经营期限：</w:t>
      </w:r>
    </w:p>
    <w:p>
      <w:pPr>
        <w:adjustRightInd w:val="0"/>
        <w:snapToGrid w:val="0"/>
        <w:spacing w:line="360" w:lineRule="auto"/>
        <w:rPr>
          <w:rFonts w:ascii="仿宋" w:hAnsi="仿宋" w:eastAsia="仿宋" w:cs="仿宋"/>
          <w:sz w:val="24"/>
          <w:szCs w:val="24"/>
          <w:u w:val="single"/>
        </w:rPr>
      </w:pPr>
      <w:r>
        <w:rPr>
          <w:rFonts w:hint="eastAsia" w:ascii="仿宋" w:hAnsi="仿宋" w:eastAsia="仿宋" w:cs="仿宋"/>
          <w:sz w:val="24"/>
          <w:szCs w:val="24"/>
        </w:rPr>
        <w:t xml:space="preserve">   姓名：性别：年龄：职务：</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系的法定代表人。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特此证明。 </w:t>
      </w:r>
    </w:p>
    <w:p>
      <w:pPr>
        <w:spacing w:line="360" w:lineRule="auto"/>
        <w:ind w:firstLine="480" w:firstLineChars="200"/>
        <w:rPr>
          <w:rFonts w:ascii="仿宋" w:hAnsi="仿宋" w:eastAsia="仿宋" w:cs="仿宋"/>
          <w:sz w:val="24"/>
          <w:szCs w:val="24"/>
        </w:rPr>
      </w:pPr>
    </w:p>
    <w:p>
      <w:pPr>
        <w:spacing w:line="360" w:lineRule="auto"/>
        <w:ind w:firstLine="480" w:firstLineChars="200"/>
        <w:rPr>
          <w:rFonts w:ascii="仿宋" w:hAnsi="仿宋" w:eastAsia="仿宋" w:cs="仿宋"/>
          <w:sz w:val="24"/>
          <w:szCs w:val="24"/>
        </w:rPr>
      </w:pPr>
    </w:p>
    <w:p>
      <w:pPr>
        <w:spacing w:line="360" w:lineRule="auto"/>
        <w:ind w:firstLine="480" w:firstLineChars="200"/>
        <w:rPr>
          <w:rFonts w:ascii="仿宋" w:hAnsi="仿宋" w:eastAsia="仿宋" w:cs="仿宋"/>
          <w:sz w:val="24"/>
          <w:szCs w:val="24"/>
        </w:rPr>
      </w:pPr>
    </w:p>
    <w:p>
      <w:pPr>
        <w:spacing w:line="360" w:lineRule="auto"/>
        <w:ind w:firstLine="480" w:firstLineChars="200"/>
        <w:rPr>
          <w:rFonts w:ascii="仿宋" w:hAnsi="仿宋" w:eastAsia="仿宋" w:cs="仿宋"/>
          <w:sz w:val="24"/>
          <w:szCs w:val="24"/>
        </w:rPr>
      </w:pPr>
    </w:p>
    <w:p>
      <w:pPr>
        <w:spacing w:line="360" w:lineRule="auto"/>
        <w:ind w:firstLine="480" w:firstLineChars="200"/>
        <w:rPr>
          <w:rFonts w:ascii="仿宋" w:hAnsi="仿宋" w:eastAsia="仿宋" w:cs="仿宋"/>
          <w:sz w:val="24"/>
          <w:szCs w:val="24"/>
        </w:rPr>
      </w:pPr>
    </w:p>
    <w:p>
      <w:pPr>
        <w:spacing w:line="360" w:lineRule="auto"/>
        <w:ind w:firstLine="480" w:firstLineChars="200"/>
        <w:rPr>
          <w:rFonts w:ascii="仿宋" w:hAnsi="仿宋" w:eastAsia="仿宋" w:cs="仿宋"/>
          <w:sz w:val="24"/>
          <w:szCs w:val="24"/>
        </w:rPr>
      </w:pPr>
    </w:p>
    <w:p>
      <w:pPr>
        <w:spacing w:line="360" w:lineRule="auto"/>
        <w:ind w:firstLine="480" w:firstLineChars="200"/>
        <w:rPr>
          <w:rFonts w:ascii="仿宋" w:hAnsi="仿宋" w:eastAsia="仿宋" w:cs="仿宋"/>
          <w:sz w:val="24"/>
          <w:szCs w:val="24"/>
        </w:rPr>
      </w:pPr>
    </w:p>
    <w:p>
      <w:pPr>
        <w:spacing w:line="360" w:lineRule="auto"/>
        <w:ind w:firstLine="480" w:firstLineChars="200"/>
        <w:jc w:val="right"/>
        <w:rPr>
          <w:rFonts w:ascii="仿宋" w:hAnsi="仿宋" w:eastAsia="仿宋" w:cs="仿宋"/>
          <w:sz w:val="24"/>
          <w:szCs w:val="24"/>
        </w:rPr>
      </w:pPr>
      <w:r>
        <w:rPr>
          <w:rFonts w:hint="eastAsia" w:ascii="仿宋" w:hAnsi="仿宋" w:eastAsia="仿宋" w:cs="仿宋"/>
          <w:sz w:val="24"/>
          <w:szCs w:val="24"/>
        </w:rPr>
        <w:t xml:space="preserve">                        单位：（盖单位章） </w:t>
      </w:r>
    </w:p>
    <w:p>
      <w:pPr>
        <w:spacing w:line="360" w:lineRule="auto"/>
        <w:jc w:val="right"/>
        <w:rPr>
          <w:rFonts w:ascii="仿宋" w:hAnsi="仿宋" w:eastAsia="仿宋" w:cs="仿宋"/>
          <w:sz w:val="24"/>
          <w:szCs w:val="24"/>
        </w:rPr>
      </w:pPr>
    </w:p>
    <w:p>
      <w:pPr>
        <w:spacing w:line="360" w:lineRule="auto"/>
        <w:jc w:val="right"/>
        <w:rPr>
          <w:rFonts w:ascii="仿宋" w:hAnsi="仿宋" w:eastAsia="仿宋" w:cs="仿宋"/>
          <w:b/>
          <w:sz w:val="24"/>
          <w:szCs w:val="24"/>
        </w:rPr>
      </w:pPr>
      <w:r>
        <w:rPr>
          <w:rFonts w:hint="eastAsia" w:ascii="仿宋" w:hAnsi="仿宋" w:eastAsia="仿宋" w:cs="仿宋"/>
          <w:sz w:val="24"/>
          <w:szCs w:val="24"/>
        </w:rPr>
        <w:t>年月日</w:t>
      </w:r>
    </w:p>
    <w:p>
      <w:pPr>
        <w:pStyle w:val="10"/>
        <w:rPr>
          <w:rFonts w:ascii="仿宋" w:hAnsi="仿宋" w:eastAsia="仿宋" w:cs="仿宋"/>
          <w:sz w:val="24"/>
        </w:rPr>
      </w:pPr>
    </w:p>
    <w:p>
      <w:pPr>
        <w:pStyle w:val="10"/>
        <w:rPr>
          <w:rFonts w:ascii="仿宋" w:hAnsi="仿宋" w:eastAsia="仿宋" w:cs="仿宋"/>
          <w:sz w:val="24"/>
        </w:rPr>
      </w:pPr>
    </w:p>
    <w:p>
      <w:pPr>
        <w:pStyle w:val="10"/>
        <w:rPr>
          <w:rFonts w:ascii="仿宋" w:hAnsi="仿宋" w:eastAsia="仿宋" w:cs="仿宋"/>
          <w:sz w:val="24"/>
        </w:rPr>
      </w:pPr>
    </w:p>
    <w:p>
      <w:pPr>
        <w:pStyle w:val="10"/>
        <w:rPr>
          <w:rFonts w:ascii="仿宋" w:hAnsi="仿宋" w:eastAsia="仿宋" w:cs="仿宋"/>
          <w:sz w:val="24"/>
        </w:rPr>
      </w:pPr>
    </w:p>
    <w:p>
      <w:pPr>
        <w:pStyle w:val="10"/>
        <w:rPr>
          <w:rFonts w:ascii="仿宋" w:hAnsi="仿宋" w:eastAsia="仿宋" w:cs="仿宋"/>
          <w:sz w:val="24"/>
        </w:rPr>
      </w:pPr>
    </w:p>
    <w:p>
      <w:pPr>
        <w:pStyle w:val="10"/>
        <w:rPr>
          <w:rFonts w:ascii="仿宋" w:hAnsi="仿宋" w:eastAsia="仿宋" w:cs="仿宋"/>
          <w:sz w:val="24"/>
        </w:rPr>
      </w:pPr>
    </w:p>
    <w:p>
      <w:pPr>
        <w:pStyle w:val="10"/>
        <w:rPr>
          <w:rFonts w:ascii="仿宋" w:hAnsi="仿宋" w:eastAsia="仿宋" w:cs="仿宋"/>
          <w:sz w:val="24"/>
        </w:rPr>
      </w:pPr>
    </w:p>
    <w:p>
      <w:pPr>
        <w:pStyle w:val="10"/>
        <w:rPr>
          <w:rFonts w:ascii="仿宋" w:hAnsi="仿宋" w:eastAsia="仿宋" w:cs="仿宋"/>
          <w:sz w:val="24"/>
        </w:rPr>
      </w:pPr>
    </w:p>
    <w:p>
      <w:pPr>
        <w:pStyle w:val="10"/>
        <w:rPr>
          <w:rFonts w:ascii="仿宋" w:hAnsi="仿宋" w:eastAsia="仿宋" w:cs="仿宋"/>
          <w:sz w:val="24"/>
        </w:rPr>
      </w:pPr>
    </w:p>
    <w:p>
      <w:pPr>
        <w:pStyle w:val="4"/>
        <w:jc w:val="center"/>
        <w:rPr>
          <w:rStyle w:val="62"/>
          <w:rFonts w:ascii="仿宋" w:hAnsi="仿宋" w:eastAsia="仿宋" w:cs="仿宋"/>
          <w:b/>
          <w:bCs w:val="0"/>
          <w:sz w:val="24"/>
          <w:szCs w:val="24"/>
        </w:rPr>
      </w:pPr>
      <w:bookmarkStart w:id="518" w:name="_Toc50459036"/>
      <w:bookmarkStart w:id="519" w:name="_Toc2043"/>
      <w:bookmarkStart w:id="520" w:name="_Toc24648"/>
      <w:bookmarkStart w:id="521" w:name="_Toc5305"/>
      <w:r>
        <w:rPr>
          <w:rStyle w:val="62"/>
          <w:rFonts w:hint="eastAsia" w:ascii="仿宋" w:hAnsi="仿宋" w:eastAsia="仿宋" w:cs="仿宋"/>
          <w:b/>
          <w:bCs w:val="0"/>
          <w:sz w:val="24"/>
          <w:szCs w:val="24"/>
        </w:rPr>
        <w:t>5、法定代表人授权委托书</w:t>
      </w:r>
      <w:bookmarkEnd w:id="518"/>
      <w:bookmarkEnd w:id="519"/>
      <w:bookmarkEnd w:id="520"/>
      <w:bookmarkEnd w:id="521"/>
    </w:p>
    <w:p>
      <w:pPr>
        <w:spacing w:line="360" w:lineRule="auto"/>
        <w:jc w:val="center"/>
        <w:rPr>
          <w:rFonts w:ascii="仿宋" w:hAnsi="仿宋" w:eastAsia="仿宋" w:cs="仿宋"/>
          <w:b/>
          <w:bCs/>
          <w:sz w:val="24"/>
          <w:szCs w:val="24"/>
        </w:rPr>
      </w:pPr>
    </w:p>
    <w:p>
      <w:pPr>
        <w:spacing w:line="360" w:lineRule="auto"/>
        <w:ind w:firstLine="453" w:firstLineChars="189"/>
        <w:jc w:val="left"/>
        <w:rPr>
          <w:rFonts w:ascii="仿宋" w:hAnsi="仿宋" w:eastAsia="仿宋" w:cs="仿宋"/>
          <w:bCs/>
          <w:sz w:val="24"/>
          <w:szCs w:val="24"/>
          <w:u w:val="single"/>
        </w:rPr>
      </w:pPr>
      <w:r>
        <w:rPr>
          <w:rFonts w:hint="eastAsia" w:ascii="仿宋" w:hAnsi="仿宋" w:eastAsia="仿宋" w:cs="仿宋"/>
          <w:bCs/>
          <w:sz w:val="24"/>
          <w:szCs w:val="24"/>
        </w:rPr>
        <w:t>本授权委托书声明：我系的法定代表人，现授权委托的为我的代理人，以本单位的名义参加投标活动。代理人在参加整个招标投标活动、合同磋商过程中所签署的一切文件和处理与之相关的一切事物，我均予承认。</w:t>
      </w:r>
    </w:p>
    <w:p>
      <w:pPr>
        <w:spacing w:line="360" w:lineRule="auto"/>
        <w:ind w:firstLine="480" w:firstLineChars="200"/>
        <w:rPr>
          <w:rFonts w:ascii="仿宋" w:hAnsi="仿宋" w:eastAsia="仿宋" w:cs="仿宋"/>
          <w:bCs/>
          <w:sz w:val="24"/>
          <w:szCs w:val="24"/>
          <w:u w:val="single"/>
        </w:rPr>
      </w:pPr>
      <w:r>
        <w:rPr>
          <w:rFonts w:hint="eastAsia" w:ascii="仿宋" w:hAnsi="仿宋" w:eastAsia="仿宋" w:cs="仿宋"/>
          <w:bCs/>
          <w:sz w:val="24"/>
          <w:szCs w:val="24"/>
        </w:rPr>
        <w:t>代理人：   性别：  年龄：</w:t>
      </w:r>
    </w:p>
    <w:p>
      <w:pPr>
        <w:spacing w:line="360" w:lineRule="auto"/>
        <w:ind w:firstLine="453" w:firstLineChars="189"/>
        <w:rPr>
          <w:rFonts w:ascii="仿宋" w:hAnsi="仿宋" w:eastAsia="仿宋" w:cs="仿宋"/>
          <w:bCs/>
          <w:sz w:val="24"/>
          <w:szCs w:val="24"/>
          <w:u w:val="single"/>
        </w:rPr>
      </w:pPr>
      <w:r>
        <w:rPr>
          <w:rFonts w:hint="eastAsia" w:ascii="仿宋" w:hAnsi="仿宋" w:eastAsia="仿宋" w:cs="仿宋"/>
          <w:bCs/>
          <w:sz w:val="24"/>
          <w:szCs w:val="24"/>
        </w:rPr>
        <w:t>部  门：  职务：</w:t>
      </w:r>
    </w:p>
    <w:p>
      <w:pPr>
        <w:spacing w:line="360" w:lineRule="auto"/>
        <w:rPr>
          <w:rFonts w:ascii="仿宋" w:hAnsi="仿宋" w:eastAsia="仿宋" w:cs="仿宋"/>
          <w:bCs/>
          <w:sz w:val="24"/>
          <w:szCs w:val="24"/>
        </w:rPr>
      </w:pPr>
      <w:r>
        <w:rPr>
          <w:rFonts w:ascii="仿宋" w:hAnsi="仿宋" w:eastAsia="仿宋" w:cs="仿宋"/>
          <w:sz w:val="24"/>
          <w:szCs w:val="24"/>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10795" b="5080"/>
                <wp:wrapNone/>
                <wp:docPr id="4" name="文本框 4"/>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仿宋" w:hAnsi="仿宋" w:eastAsia="仿宋"/>
                                <w:sz w:val="36"/>
                                <w:szCs w:val="36"/>
                              </w:rPr>
                            </w:pPr>
                          </w:p>
                          <w:p>
                            <w:pPr>
                              <w:jc w:val="center"/>
                              <w:rPr>
                                <w:rFonts w:ascii="仿宋" w:hAnsi="仿宋" w:eastAsia="仿宋"/>
                                <w:sz w:val="36"/>
                                <w:szCs w:val="36"/>
                              </w:rPr>
                            </w:pPr>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sz w:val="32"/>
                                <w:szCs w:val="32"/>
                              </w:rPr>
                            </w:pPr>
                            <w:r>
                              <w:rPr>
                                <w:rFonts w:hint="eastAsia" w:ascii="仿宋" w:hAnsi="仿宋" w:eastAsia="仿宋"/>
                                <w:sz w:val="36"/>
                                <w:szCs w:val="36"/>
                              </w:rPr>
                              <w:t>（正反面）</w:t>
                            </w:r>
                          </w:p>
                        </w:txbxContent>
                      </wps:txbx>
                      <wps:bodyPr upright="1"/>
                    </wps:wsp>
                  </a:graphicData>
                </a:graphic>
              </wp:anchor>
            </w:drawing>
          </mc:Choice>
          <mc:Fallback>
            <w:pict>
              <v:shape id="_x0000_s1026"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6M8UNkAAAAKAQAADwAAAAAA&#10;AAABACAAAAAiAAAAZHJzL2Rvd25yZXYueG1sUEsBAhQAFAAAAAgAh07iQInh9lMSAgAARQQAAA4A&#10;AAAAAAAAAQAgAAAAKAEAAGRycy9lMm9Eb2MueG1sUEsFBgAAAAAGAAYAWQEAAKwFAAAAAA==&#10;">
                <v:fill on="t" focussize="0,0"/>
                <v:stroke color="#000000" joinstyle="miter"/>
                <v:imagedata o:title=""/>
                <o:lock v:ext="edit" aspectratio="f"/>
                <v:textbox>
                  <w:txbxContent>
                    <w:p>
                      <w:pPr>
                        <w:jc w:val="center"/>
                        <w:rPr>
                          <w:rFonts w:ascii="仿宋" w:hAnsi="仿宋" w:eastAsia="仿宋"/>
                          <w:sz w:val="36"/>
                          <w:szCs w:val="36"/>
                        </w:rPr>
                      </w:pPr>
                    </w:p>
                    <w:p>
                      <w:pPr>
                        <w:jc w:val="center"/>
                        <w:rPr>
                          <w:rFonts w:ascii="仿宋" w:hAnsi="仿宋" w:eastAsia="仿宋"/>
                          <w:sz w:val="36"/>
                          <w:szCs w:val="36"/>
                        </w:rPr>
                      </w:pPr>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sz w:val="32"/>
                          <w:szCs w:val="32"/>
                        </w:rPr>
                      </w:pPr>
                      <w:r>
                        <w:rPr>
                          <w:rFonts w:hint="eastAsia" w:ascii="仿宋" w:hAnsi="仿宋" w:eastAsia="仿宋"/>
                          <w:sz w:val="36"/>
                          <w:szCs w:val="36"/>
                        </w:rPr>
                        <w:t>（正反面）</w:t>
                      </w:r>
                    </w:p>
                  </w:txbxContent>
                </v:textbox>
              </v:shape>
            </w:pict>
          </mc:Fallback>
        </mc:AlternateContent>
      </w:r>
      <w:r>
        <w:rPr>
          <w:rFonts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10795" b="5080"/>
                <wp:wrapNone/>
                <wp:docPr id="1" name="文本框 1"/>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仿宋" w:hAnsi="仿宋" w:eastAsia="仿宋"/>
                                <w:sz w:val="36"/>
                                <w:szCs w:val="36"/>
                              </w:rPr>
                            </w:pPr>
                          </w:p>
                          <w:p>
                            <w:pPr>
                              <w:jc w:val="center"/>
                              <w:rPr>
                                <w:rFonts w:ascii="仿宋" w:hAnsi="仿宋" w:eastAsia="仿宋"/>
                                <w:sz w:val="36"/>
                                <w:szCs w:val="36"/>
                              </w:rPr>
                            </w:pPr>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（正反面）</w:t>
                            </w:r>
                          </w:p>
                        </w:txbxContent>
                      </wps:txbx>
                      <wps:bodyPr upright="1"/>
                    </wps:wsp>
                  </a:graphicData>
                </a:graphic>
              </wp:anchor>
            </w:drawing>
          </mc:Choice>
          <mc:Fallback>
            <w:pict>
              <v:shape id="_x0000_s1026"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aomDjZAAAACgEAAA8AAAAAAAAA&#10;AQAgAAAAIgAAAGRycy9kb3ducmV2LnhtbFBLAQIUABQAAAAIAIdO4kAUI0bxEAIAAEUEAAAOAAAA&#10;AAAAAAEAIAAAACgBAABkcnMvZTJvRG9jLnhtbFBLBQYAAAAABgAGAFkBAACqBQAAAAA=&#10;">
                <v:fill on="t" focussize="0,0"/>
                <v:stroke color="#000000" joinstyle="miter"/>
                <v:imagedata o:title=""/>
                <o:lock v:ext="edit" aspectratio="f"/>
                <v:textbox>
                  <w:txbxContent>
                    <w:p>
                      <w:pPr>
                        <w:jc w:val="center"/>
                        <w:rPr>
                          <w:rFonts w:ascii="仿宋" w:hAnsi="仿宋" w:eastAsia="仿宋"/>
                          <w:sz w:val="36"/>
                          <w:szCs w:val="36"/>
                        </w:rPr>
                      </w:pPr>
                    </w:p>
                    <w:p>
                      <w:pPr>
                        <w:jc w:val="center"/>
                        <w:rPr>
                          <w:rFonts w:ascii="仿宋" w:hAnsi="仿宋" w:eastAsia="仿宋"/>
                          <w:sz w:val="36"/>
                          <w:szCs w:val="36"/>
                        </w:rPr>
                      </w:pPr>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（正反面）</w:t>
                      </w:r>
                    </w:p>
                  </w:txbxContent>
                </v:textbox>
              </v:shape>
            </w:pict>
          </mc:Fallback>
        </mc:AlternateContent>
      </w:r>
    </w:p>
    <w:p>
      <w:pPr>
        <w:spacing w:line="360" w:lineRule="auto"/>
        <w:rPr>
          <w:rFonts w:ascii="仿宋" w:hAnsi="仿宋" w:eastAsia="仿宋" w:cs="仿宋"/>
          <w:bCs/>
          <w:sz w:val="24"/>
          <w:szCs w:val="24"/>
          <w:highlight w:val="yellow"/>
        </w:rPr>
      </w:pPr>
    </w:p>
    <w:p>
      <w:pPr>
        <w:spacing w:line="360" w:lineRule="auto"/>
        <w:rPr>
          <w:rFonts w:ascii="仿宋" w:hAnsi="仿宋" w:eastAsia="仿宋" w:cs="仿宋"/>
          <w:bCs/>
          <w:sz w:val="24"/>
          <w:szCs w:val="24"/>
          <w:highlight w:val="yellow"/>
        </w:rPr>
      </w:pPr>
    </w:p>
    <w:p>
      <w:pPr>
        <w:spacing w:line="360" w:lineRule="auto"/>
        <w:rPr>
          <w:rFonts w:ascii="仿宋" w:hAnsi="仿宋" w:eastAsia="仿宋" w:cs="仿宋"/>
          <w:bCs/>
          <w:sz w:val="24"/>
          <w:szCs w:val="24"/>
          <w:highlight w:val="yellow"/>
        </w:rPr>
      </w:pPr>
    </w:p>
    <w:p>
      <w:pPr>
        <w:spacing w:line="360" w:lineRule="auto"/>
        <w:rPr>
          <w:rFonts w:ascii="仿宋" w:hAnsi="仿宋" w:eastAsia="仿宋" w:cs="仿宋"/>
          <w:bCs/>
          <w:sz w:val="24"/>
          <w:szCs w:val="24"/>
          <w:highlight w:val="yellow"/>
        </w:rPr>
      </w:pPr>
    </w:p>
    <w:p>
      <w:pPr>
        <w:spacing w:line="360" w:lineRule="auto"/>
        <w:rPr>
          <w:rFonts w:ascii="仿宋" w:hAnsi="仿宋" w:eastAsia="仿宋" w:cs="仿宋"/>
          <w:bCs/>
          <w:sz w:val="24"/>
          <w:szCs w:val="24"/>
          <w:highlight w:val="yellow"/>
        </w:rPr>
      </w:pPr>
    </w:p>
    <w:p>
      <w:pPr>
        <w:pStyle w:val="21"/>
        <w:spacing w:line="360" w:lineRule="auto"/>
        <w:ind w:left="1620" w:hanging="420"/>
        <w:rPr>
          <w:rFonts w:ascii="仿宋" w:hAnsi="仿宋" w:eastAsia="仿宋" w:cs="仿宋"/>
          <w:sz w:val="24"/>
          <w:szCs w:val="24"/>
          <w:highlight w:val="yellow"/>
        </w:rPr>
      </w:pP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投  标  人：（盖章）</w:t>
      </w:r>
    </w:p>
    <w:p>
      <w:pPr>
        <w:spacing w:line="360" w:lineRule="auto"/>
        <w:ind w:firstLine="480" w:firstLineChars="200"/>
        <w:rPr>
          <w:rFonts w:ascii="仿宋" w:hAnsi="仿宋" w:eastAsia="仿宋" w:cs="仿宋"/>
          <w:sz w:val="24"/>
          <w:szCs w:val="24"/>
        </w:rPr>
      </w:pP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法定代表人或其委托代理人：（签字或盖章）</w:t>
      </w:r>
    </w:p>
    <w:p>
      <w:pPr>
        <w:pStyle w:val="10"/>
        <w:rPr>
          <w:rFonts w:ascii="仿宋" w:hAnsi="仿宋" w:eastAsia="仿宋" w:cs="仿宋"/>
          <w:sz w:val="24"/>
        </w:rPr>
      </w:pPr>
    </w:p>
    <w:p>
      <w:pPr>
        <w:pStyle w:val="21"/>
        <w:spacing w:line="360" w:lineRule="auto"/>
        <w:rPr>
          <w:rFonts w:ascii="仿宋" w:hAnsi="仿宋" w:eastAsia="仿宋" w:cs="仿宋"/>
          <w:b/>
          <w:bCs/>
          <w:sz w:val="24"/>
          <w:szCs w:val="24"/>
          <w:highlight w:val="yellow"/>
        </w:rPr>
      </w:pPr>
    </w:p>
    <w:p>
      <w:pPr>
        <w:pStyle w:val="21"/>
        <w:spacing w:line="360" w:lineRule="auto"/>
        <w:rPr>
          <w:rFonts w:ascii="仿宋" w:hAnsi="仿宋" w:eastAsia="仿宋" w:cs="仿宋"/>
          <w:b/>
          <w:bCs/>
          <w:sz w:val="24"/>
          <w:szCs w:val="24"/>
          <w:highlight w:val="yellow"/>
        </w:rPr>
      </w:pPr>
    </w:p>
    <w:p>
      <w:pPr>
        <w:pStyle w:val="21"/>
        <w:spacing w:line="360" w:lineRule="auto"/>
        <w:rPr>
          <w:rFonts w:ascii="仿宋" w:hAnsi="仿宋" w:eastAsia="仿宋" w:cs="仿宋"/>
          <w:b/>
          <w:bCs/>
          <w:sz w:val="24"/>
          <w:szCs w:val="24"/>
          <w:highlight w:val="yellow"/>
        </w:rPr>
      </w:pPr>
    </w:p>
    <w:p>
      <w:pPr>
        <w:pStyle w:val="21"/>
        <w:spacing w:line="360" w:lineRule="auto"/>
        <w:rPr>
          <w:rFonts w:ascii="仿宋" w:hAnsi="仿宋" w:eastAsia="仿宋" w:cs="仿宋"/>
          <w:b/>
          <w:bCs/>
          <w:sz w:val="24"/>
          <w:szCs w:val="24"/>
          <w:highlight w:val="yellow"/>
        </w:rPr>
      </w:pPr>
    </w:p>
    <w:p>
      <w:pPr>
        <w:pStyle w:val="21"/>
        <w:spacing w:line="360" w:lineRule="auto"/>
        <w:rPr>
          <w:rFonts w:ascii="仿宋" w:hAnsi="仿宋" w:eastAsia="仿宋" w:cs="仿宋"/>
          <w:b/>
          <w:bCs/>
          <w:sz w:val="24"/>
          <w:szCs w:val="24"/>
          <w:highlight w:val="yellow"/>
        </w:rPr>
      </w:pPr>
    </w:p>
    <w:p>
      <w:pPr>
        <w:pStyle w:val="21"/>
        <w:spacing w:line="360" w:lineRule="auto"/>
        <w:rPr>
          <w:rFonts w:ascii="仿宋" w:hAnsi="仿宋" w:eastAsia="仿宋" w:cs="仿宋"/>
          <w:b/>
          <w:bCs/>
          <w:sz w:val="24"/>
          <w:szCs w:val="24"/>
          <w:highlight w:val="yellow"/>
        </w:rPr>
      </w:pPr>
    </w:p>
    <w:p>
      <w:pPr>
        <w:pStyle w:val="21"/>
        <w:spacing w:line="360" w:lineRule="auto"/>
        <w:rPr>
          <w:rFonts w:ascii="仿宋" w:hAnsi="仿宋" w:eastAsia="仿宋" w:cs="仿宋"/>
          <w:b/>
          <w:bCs/>
          <w:sz w:val="24"/>
          <w:szCs w:val="24"/>
          <w:highlight w:val="yellow"/>
        </w:rPr>
      </w:pPr>
    </w:p>
    <w:p>
      <w:pPr>
        <w:pStyle w:val="21"/>
        <w:spacing w:line="360" w:lineRule="auto"/>
        <w:rPr>
          <w:rFonts w:ascii="仿宋" w:hAnsi="仿宋" w:eastAsia="仿宋" w:cs="仿宋"/>
          <w:b/>
          <w:bCs/>
          <w:sz w:val="24"/>
          <w:szCs w:val="24"/>
          <w:highlight w:val="yellow"/>
        </w:rPr>
      </w:pPr>
    </w:p>
    <w:p>
      <w:pPr>
        <w:pStyle w:val="21"/>
        <w:spacing w:line="360" w:lineRule="auto"/>
        <w:rPr>
          <w:rFonts w:ascii="仿宋" w:hAnsi="仿宋" w:eastAsia="仿宋" w:cs="仿宋"/>
          <w:b/>
          <w:bCs/>
          <w:sz w:val="24"/>
          <w:szCs w:val="24"/>
          <w:highlight w:val="yellow"/>
        </w:rPr>
      </w:pPr>
    </w:p>
    <w:p>
      <w:pPr>
        <w:pStyle w:val="4"/>
        <w:jc w:val="center"/>
        <w:rPr>
          <w:rStyle w:val="62"/>
          <w:rFonts w:ascii="仿宋" w:hAnsi="仿宋" w:eastAsia="仿宋" w:cs="仿宋"/>
          <w:b/>
          <w:bCs w:val="0"/>
          <w:sz w:val="24"/>
          <w:szCs w:val="24"/>
        </w:rPr>
      </w:pPr>
      <w:bookmarkStart w:id="522" w:name="_Toc12008"/>
      <w:bookmarkStart w:id="523" w:name="_Toc28582"/>
      <w:bookmarkStart w:id="524" w:name="_Toc50459038"/>
      <w:bookmarkStart w:id="525" w:name="_Toc9258"/>
      <w:r>
        <w:rPr>
          <w:rStyle w:val="62"/>
          <w:rFonts w:hint="eastAsia" w:ascii="仿宋" w:hAnsi="仿宋" w:eastAsia="仿宋" w:cs="仿宋"/>
          <w:b/>
          <w:bCs w:val="0"/>
          <w:sz w:val="24"/>
          <w:szCs w:val="24"/>
        </w:rPr>
        <w:t>6、保证金</w:t>
      </w:r>
      <w:bookmarkEnd w:id="522"/>
      <w:bookmarkEnd w:id="523"/>
      <w:bookmarkEnd w:id="524"/>
      <w:bookmarkEnd w:id="525"/>
    </w:p>
    <w:p>
      <w:pPr>
        <w:jc w:val="center"/>
        <w:rPr>
          <w:rFonts w:ascii="仿宋" w:hAnsi="仿宋" w:eastAsia="仿宋" w:cs="仿宋"/>
          <w:b/>
          <w:sz w:val="24"/>
          <w:szCs w:val="24"/>
        </w:rPr>
      </w:pPr>
      <w:r>
        <w:rPr>
          <w:rFonts w:hint="eastAsia" w:ascii="仿宋" w:hAnsi="仿宋" w:eastAsia="仿宋" w:cs="仿宋"/>
          <w:b/>
          <w:sz w:val="24"/>
          <w:szCs w:val="24"/>
        </w:rPr>
        <w:t>（附保证金缴纳凭证扫描件或投标保函扫描件）</w:t>
      </w:r>
    </w:p>
    <w:p>
      <w:pPr>
        <w:spacing w:line="360" w:lineRule="auto"/>
        <w:jc w:val="left"/>
        <w:rPr>
          <w:rFonts w:ascii="仿宋" w:hAnsi="仿宋" w:eastAsia="仿宋" w:cs="仿宋"/>
          <w:sz w:val="24"/>
          <w:szCs w:val="24"/>
        </w:rPr>
      </w:pPr>
    </w:p>
    <w:p>
      <w:pPr>
        <w:pStyle w:val="21"/>
        <w:spacing w:line="360" w:lineRule="auto"/>
        <w:rPr>
          <w:rFonts w:ascii="仿宋" w:hAnsi="仿宋" w:eastAsia="仿宋" w:cs="仿宋"/>
          <w:b/>
          <w:bCs/>
          <w:sz w:val="24"/>
          <w:szCs w:val="24"/>
        </w:rPr>
      </w:pPr>
    </w:p>
    <w:p>
      <w:pPr>
        <w:pStyle w:val="21"/>
        <w:spacing w:line="360" w:lineRule="auto"/>
        <w:rPr>
          <w:rFonts w:ascii="仿宋" w:hAnsi="仿宋" w:eastAsia="仿宋" w:cs="仿宋"/>
          <w:b/>
          <w:bCs/>
          <w:sz w:val="24"/>
          <w:szCs w:val="24"/>
        </w:rPr>
      </w:pPr>
    </w:p>
    <w:p>
      <w:pPr>
        <w:pStyle w:val="4"/>
        <w:jc w:val="center"/>
        <w:rPr>
          <w:rStyle w:val="62"/>
          <w:rFonts w:ascii="仿宋" w:hAnsi="仿宋" w:eastAsia="仿宋" w:cs="仿宋"/>
          <w:b/>
          <w:bCs w:val="0"/>
          <w:sz w:val="24"/>
          <w:szCs w:val="24"/>
        </w:rPr>
      </w:pPr>
      <w:bookmarkStart w:id="526" w:name="_Toc8807"/>
      <w:r>
        <w:rPr>
          <w:rStyle w:val="62"/>
          <w:rFonts w:hint="eastAsia" w:ascii="仿宋" w:hAnsi="仿宋" w:eastAsia="仿宋" w:cs="仿宋"/>
          <w:b/>
          <w:bCs w:val="0"/>
          <w:sz w:val="24"/>
          <w:szCs w:val="24"/>
        </w:rPr>
        <w:t>7、技术条件响应/偏离表</w:t>
      </w:r>
      <w:bookmarkEnd w:id="526"/>
    </w:p>
    <w:p>
      <w:pPr>
        <w:spacing w:afterLines="50" w:line="360" w:lineRule="auto"/>
        <w:rPr>
          <w:rFonts w:ascii="仿宋" w:hAnsi="仿宋" w:eastAsia="仿宋" w:cs="仿宋"/>
          <w:sz w:val="24"/>
          <w:szCs w:val="24"/>
          <w:u w:val="single"/>
        </w:rPr>
      </w:pPr>
      <w:r>
        <w:rPr>
          <w:rFonts w:hint="eastAsia" w:ascii="仿宋" w:hAnsi="仿宋" w:eastAsia="仿宋" w:cs="仿宋"/>
          <w:sz w:val="24"/>
          <w:szCs w:val="24"/>
        </w:rPr>
        <w:t>投标人名称（公章）：</w:t>
      </w:r>
      <w:r>
        <w:rPr>
          <w:rFonts w:hint="eastAsia" w:ascii="仿宋" w:hAnsi="仿宋" w:eastAsia="仿宋" w:cs="仿宋"/>
          <w:sz w:val="24"/>
          <w:szCs w:val="24"/>
          <w:u w:val="single"/>
        </w:rPr>
        <w:t xml:space="preserve">         　　　　　  </w:t>
      </w:r>
      <w:r>
        <w:rPr>
          <w:rFonts w:hint="eastAsia" w:ascii="仿宋" w:hAnsi="仿宋" w:eastAsia="仿宋" w:cs="仿宋"/>
          <w:sz w:val="24"/>
          <w:szCs w:val="24"/>
        </w:rPr>
        <w:t>标项编号：</w:t>
      </w:r>
      <w:r>
        <w:rPr>
          <w:rFonts w:hint="eastAsia" w:ascii="仿宋" w:hAnsi="仿宋" w:eastAsia="仿宋" w:cs="仿宋"/>
          <w:sz w:val="24"/>
          <w:szCs w:val="24"/>
          <w:u w:val="single"/>
        </w:rPr>
        <w:t>　　　　　　　　　　</w:t>
      </w: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17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招标服务要求</w:t>
            </w:r>
          </w:p>
        </w:tc>
        <w:tc>
          <w:tcPr>
            <w:tcW w:w="17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投标服务响应</w:t>
            </w:r>
          </w:p>
        </w:tc>
        <w:tc>
          <w:tcPr>
            <w:tcW w:w="1705"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响应/偏离</w:t>
            </w:r>
          </w:p>
        </w:tc>
        <w:tc>
          <w:tcPr>
            <w:tcW w:w="1705"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1704" w:type="dxa"/>
          </w:tcPr>
          <w:p>
            <w:pPr>
              <w:spacing w:line="360" w:lineRule="auto"/>
              <w:rPr>
                <w:rFonts w:ascii="仿宋" w:hAnsi="仿宋" w:eastAsia="仿宋" w:cs="仿宋"/>
                <w:sz w:val="24"/>
                <w:szCs w:val="24"/>
              </w:rPr>
            </w:pPr>
          </w:p>
        </w:tc>
        <w:tc>
          <w:tcPr>
            <w:tcW w:w="1704"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2</w:t>
            </w:r>
          </w:p>
        </w:tc>
        <w:tc>
          <w:tcPr>
            <w:tcW w:w="1704" w:type="dxa"/>
          </w:tcPr>
          <w:p>
            <w:pPr>
              <w:spacing w:line="360" w:lineRule="auto"/>
              <w:rPr>
                <w:rFonts w:ascii="仿宋" w:hAnsi="仿宋" w:eastAsia="仿宋" w:cs="仿宋"/>
                <w:sz w:val="24"/>
                <w:szCs w:val="24"/>
              </w:rPr>
            </w:pPr>
          </w:p>
        </w:tc>
        <w:tc>
          <w:tcPr>
            <w:tcW w:w="1704"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1704" w:type="dxa"/>
          </w:tcPr>
          <w:p>
            <w:pPr>
              <w:spacing w:line="360" w:lineRule="auto"/>
              <w:rPr>
                <w:rFonts w:ascii="仿宋" w:hAnsi="仿宋" w:eastAsia="仿宋" w:cs="仿宋"/>
                <w:sz w:val="24"/>
                <w:szCs w:val="24"/>
              </w:rPr>
            </w:pPr>
          </w:p>
        </w:tc>
        <w:tc>
          <w:tcPr>
            <w:tcW w:w="1704"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w:t>
            </w:r>
          </w:p>
        </w:tc>
        <w:tc>
          <w:tcPr>
            <w:tcW w:w="1704" w:type="dxa"/>
          </w:tcPr>
          <w:p>
            <w:pPr>
              <w:spacing w:line="360" w:lineRule="auto"/>
              <w:rPr>
                <w:rFonts w:ascii="仿宋" w:hAnsi="仿宋" w:eastAsia="仿宋" w:cs="仿宋"/>
                <w:sz w:val="24"/>
                <w:szCs w:val="24"/>
              </w:rPr>
            </w:pPr>
          </w:p>
        </w:tc>
        <w:tc>
          <w:tcPr>
            <w:tcW w:w="1704"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ascii="仿宋" w:hAnsi="仿宋" w:eastAsia="仿宋" w:cs="仿宋"/>
                <w:sz w:val="24"/>
                <w:szCs w:val="24"/>
              </w:rPr>
            </w:pPr>
          </w:p>
        </w:tc>
        <w:tc>
          <w:tcPr>
            <w:tcW w:w="1704" w:type="dxa"/>
          </w:tcPr>
          <w:p>
            <w:pPr>
              <w:spacing w:line="360" w:lineRule="auto"/>
              <w:rPr>
                <w:rFonts w:ascii="仿宋" w:hAnsi="仿宋" w:eastAsia="仿宋" w:cs="仿宋"/>
                <w:sz w:val="24"/>
                <w:szCs w:val="24"/>
              </w:rPr>
            </w:pPr>
          </w:p>
        </w:tc>
        <w:tc>
          <w:tcPr>
            <w:tcW w:w="1704"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ascii="仿宋" w:hAnsi="仿宋" w:eastAsia="仿宋" w:cs="仿宋"/>
                <w:sz w:val="24"/>
                <w:szCs w:val="24"/>
              </w:rPr>
            </w:pPr>
          </w:p>
        </w:tc>
        <w:tc>
          <w:tcPr>
            <w:tcW w:w="1704" w:type="dxa"/>
          </w:tcPr>
          <w:p>
            <w:pPr>
              <w:spacing w:line="360" w:lineRule="auto"/>
              <w:rPr>
                <w:rFonts w:ascii="仿宋" w:hAnsi="仿宋" w:eastAsia="仿宋" w:cs="仿宋"/>
                <w:sz w:val="24"/>
                <w:szCs w:val="24"/>
              </w:rPr>
            </w:pPr>
          </w:p>
        </w:tc>
        <w:tc>
          <w:tcPr>
            <w:tcW w:w="1704"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r>
    </w:tbl>
    <w:p>
      <w:pPr>
        <w:spacing w:line="360" w:lineRule="auto"/>
        <w:rPr>
          <w:rFonts w:ascii="仿宋" w:hAnsi="仿宋" w:eastAsia="仿宋" w:cs="仿宋"/>
          <w:sz w:val="24"/>
          <w:szCs w:val="24"/>
        </w:rPr>
      </w:pPr>
      <w:r>
        <w:rPr>
          <w:rFonts w:hint="eastAsia" w:ascii="仿宋" w:hAnsi="仿宋" w:eastAsia="仿宋" w:cs="仿宋"/>
          <w:sz w:val="24"/>
          <w:szCs w:val="24"/>
        </w:rPr>
        <w:t>注：与招标文件要求逐条对应填写。</w:t>
      </w:r>
    </w:p>
    <w:p>
      <w:pPr>
        <w:spacing w:line="360" w:lineRule="auto"/>
        <w:rPr>
          <w:rFonts w:ascii="仿宋" w:hAnsi="仿宋" w:eastAsia="仿宋" w:cs="仿宋"/>
          <w:sz w:val="24"/>
          <w:szCs w:val="24"/>
          <w:u w:val="single"/>
        </w:rPr>
      </w:pPr>
      <w:r>
        <w:rPr>
          <w:rFonts w:hint="eastAsia" w:ascii="仿宋" w:hAnsi="仿宋" w:eastAsia="仿宋" w:cs="仿宋"/>
          <w:sz w:val="24"/>
          <w:szCs w:val="24"/>
        </w:rPr>
        <w:t>投标人代表签字：</w:t>
      </w:r>
      <w:r>
        <w:rPr>
          <w:rFonts w:hint="eastAsia" w:ascii="仿宋" w:hAnsi="仿宋" w:eastAsia="仿宋" w:cs="仿宋"/>
          <w:sz w:val="24"/>
          <w:szCs w:val="24"/>
          <w:u w:val="single"/>
        </w:rPr>
        <w:t>　　　　　　　　　　　　　　　</w:t>
      </w:r>
    </w:p>
    <w:p>
      <w:pPr>
        <w:pStyle w:val="17"/>
        <w:rPr>
          <w:rFonts w:ascii="仿宋" w:hAnsi="仿宋" w:eastAsia="仿宋" w:cs="仿宋"/>
          <w:sz w:val="24"/>
          <w:szCs w:val="24"/>
        </w:rPr>
      </w:pPr>
      <w:r>
        <w:rPr>
          <w:rFonts w:hint="eastAsia" w:ascii="仿宋" w:hAnsi="仿宋" w:eastAsia="仿宋" w:cs="仿宋"/>
          <w:sz w:val="24"/>
          <w:szCs w:val="24"/>
        </w:rPr>
        <w:br w:type="page"/>
      </w:r>
    </w:p>
    <w:p>
      <w:pPr>
        <w:pStyle w:val="4"/>
        <w:jc w:val="center"/>
        <w:rPr>
          <w:rStyle w:val="62"/>
          <w:rFonts w:ascii="仿宋" w:hAnsi="仿宋" w:eastAsia="仿宋" w:cs="仿宋"/>
          <w:b/>
          <w:bCs w:val="0"/>
          <w:sz w:val="24"/>
          <w:szCs w:val="24"/>
        </w:rPr>
      </w:pPr>
      <w:bookmarkStart w:id="527" w:name="_Toc20143"/>
      <w:r>
        <w:rPr>
          <w:rStyle w:val="62"/>
          <w:rFonts w:hint="eastAsia" w:ascii="仿宋" w:hAnsi="仿宋" w:eastAsia="仿宋" w:cs="仿宋"/>
          <w:b/>
          <w:bCs w:val="0"/>
          <w:sz w:val="24"/>
          <w:szCs w:val="24"/>
        </w:rPr>
        <w:t>8、商务条件响应/偏离表</w:t>
      </w:r>
      <w:bookmarkEnd w:id="527"/>
    </w:p>
    <w:p>
      <w:pPr>
        <w:spacing w:afterLines="50" w:line="360" w:lineRule="auto"/>
        <w:rPr>
          <w:rFonts w:ascii="仿宋" w:hAnsi="仿宋" w:eastAsia="仿宋" w:cs="仿宋"/>
          <w:sz w:val="24"/>
          <w:szCs w:val="24"/>
          <w:u w:val="single"/>
        </w:rPr>
      </w:pPr>
      <w:r>
        <w:rPr>
          <w:rFonts w:hint="eastAsia" w:ascii="仿宋" w:hAnsi="仿宋" w:eastAsia="仿宋" w:cs="仿宋"/>
          <w:sz w:val="24"/>
          <w:szCs w:val="24"/>
        </w:rPr>
        <w:t>投标人名称（公章）：</w:t>
      </w:r>
      <w:r>
        <w:rPr>
          <w:rFonts w:hint="eastAsia" w:ascii="仿宋" w:hAnsi="仿宋" w:eastAsia="仿宋" w:cs="仿宋"/>
          <w:sz w:val="24"/>
          <w:szCs w:val="24"/>
          <w:u w:val="single"/>
        </w:rPr>
        <w:t xml:space="preserve">         　　　　　  </w:t>
      </w:r>
      <w:r>
        <w:rPr>
          <w:rFonts w:hint="eastAsia" w:ascii="仿宋" w:hAnsi="仿宋" w:eastAsia="仿宋" w:cs="仿宋"/>
          <w:sz w:val="24"/>
          <w:szCs w:val="24"/>
        </w:rPr>
        <w:t>标项编号：</w:t>
      </w:r>
      <w:r>
        <w:rPr>
          <w:rFonts w:hint="eastAsia" w:ascii="仿宋" w:hAnsi="仿宋" w:eastAsia="仿宋" w:cs="仿宋"/>
          <w:sz w:val="24"/>
          <w:szCs w:val="24"/>
          <w:u w:val="single"/>
        </w:rPr>
        <w:t>　　　　　　　　　　</w:t>
      </w: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17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招标服务要求</w:t>
            </w:r>
          </w:p>
        </w:tc>
        <w:tc>
          <w:tcPr>
            <w:tcW w:w="17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投标服务响应</w:t>
            </w:r>
          </w:p>
        </w:tc>
        <w:tc>
          <w:tcPr>
            <w:tcW w:w="1705"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响应/偏离</w:t>
            </w:r>
          </w:p>
        </w:tc>
        <w:tc>
          <w:tcPr>
            <w:tcW w:w="1705"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1704" w:type="dxa"/>
          </w:tcPr>
          <w:p>
            <w:pPr>
              <w:spacing w:line="360" w:lineRule="auto"/>
              <w:rPr>
                <w:rFonts w:ascii="仿宋" w:hAnsi="仿宋" w:eastAsia="仿宋" w:cs="仿宋"/>
                <w:sz w:val="24"/>
                <w:szCs w:val="24"/>
              </w:rPr>
            </w:pPr>
          </w:p>
        </w:tc>
        <w:tc>
          <w:tcPr>
            <w:tcW w:w="1704"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2</w:t>
            </w:r>
          </w:p>
        </w:tc>
        <w:tc>
          <w:tcPr>
            <w:tcW w:w="1704" w:type="dxa"/>
          </w:tcPr>
          <w:p>
            <w:pPr>
              <w:spacing w:line="360" w:lineRule="auto"/>
              <w:rPr>
                <w:rFonts w:ascii="仿宋" w:hAnsi="仿宋" w:eastAsia="仿宋" w:cs="仿宋"/>
                <w:sz w:val="24"/>
                <w:szCs w:val="24"/>
              </w:rPr>
            </w:pPr>
          </w:p>
        </w:tc>
        <w:tc>
          <w:tcPr>
            <w:tcW w:w="1704"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1704" w:type="dxa"/>
          </w:tcPr>
          <w:p>
            <w:pPr>
              <w:spacing w:line="360" w:lineRule="auto"/>
              <w:rPr>
                <w:rFonts w:ascii="仿宋" w:hAnsi="仿宋" w:eastAsia="仿宋" w:cs="仿宋"/>
                <w:sz w:val="24"/>
                <w:szCs w:val="24"/>
              </w:rPr>
            </w:pPr>
          </w:p>
        </w:tc>
        <w:tc>
          <w:tcPr>
            <w:tcW w:w="1704"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w:t>
            </w:r>
          </w:p>
        </w:tc>
        <w:tc>
          <w:tcPr>
            <w:tcW w:w="1704" w:type="dxa"/>
          </w:tcPr>
          <w:p>
            <w:pPr>
              <w:spacing w:line="360" w:lineRule="auto"/>
              <w:rPr>
                <w:rFonts w:ascii="仿宋" w:hAnsi="仿宋" w:eastAsia="仿宋" w:cs="仿宋"/>
                <w:sz w:val="24"/>
                <w:szCs w:val="24"/>
              </w:rPr>
            </w:pPr>
          </w:p>
        </w:tc>
        <w:tc>
          <w:tcPr>
            <w:tcW w:w="1704"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ascii="仿宋" w:hAnsi="仿宋" w:eastAsia="仿宋" w:cs="仿宋"/>
                <w:sz w:val="24"/>
                <w:szCs w:val="24"/>
                <w:highlight w:val="yellow"/>
              </w:rPr>
            </w:pPr>
          </w:p>
        </w:tc>
        <w:tc>
          <w:tcPr>
            <w:tcW w:w="1704" w:type="dxa"/>
          </w:tcPr>
          <w:p>
            <w:pPr>
              <w:spacing w:line="360" w:lineRule="auto"/>
              <w:rPr>
                <w:rFonts w:ascii="仿宋" w:hAnsi="仿宋" w:eastAsia="仿宋" w:cs="仿宋"/>
                <w:sz w:val="24"/>
                <w:szCs w:val="24"/>
                <w:highlight w:val="yellow"/>
              </w:rPr>
            </w:pPr>
          </w:p>
        </w:tc>
        <w:tc>
          <w:tcPr>
            <w:tcW w:w="1704" w:type="dxa"/>
          </w:tcPr>
          <w:p>
            <w:pPr>
              <w:spacing w:line="360" w:lineRule="auto"/>
              <w:rPr>
                <w:rFonts w:ascii="仿宋" w:hAnsi="仿宋" w:eastAsia="仿宋" w:cs="仿宋"/>
                <w:sz w:val="24"/>
                <w:szCs w:val="24"/>
                <w:highlight w:val="yellow"/>
              </w:rPr>
            </w:pPr>
          </w:p>
        </w:tc>
        <w:tc>
          <w:tcPr>
            <w:tcW w:w="1705" w:type="dxa"/>
          </w:tcPr>
          <w:p>
            <w:pPr>
              <w:spacing w:line="360" w:lineRule="auto"/>
              <w:rPr>
                <w:rFonts w:ascii="仿宋" w:hAnsi="仿宋" w:eastAsia="仿宋" w:cs="仿宋"/>
                <w:sz w:val="24"/>
                <w:szCs w:val="24"/>
                <w:highlight w:val="yellow"/>
              </w:rPr>
            </w:pPr>
          </w:p>
        </w:tc>
        <w:tc>
          <w:tcPr>
            <w:tcW w:w="1705" w:type="dxa"/>
          </w:tcPr>
          <w:p>
            <w:pPr>
              <w:spacing w:line="360" w:lineRule="auto"/>
              <w:rPr>
                <w:rFonts w:ascii="仿宋" w:hAnsi="仿宋" w:eastAsia="仿宋" w:cs="仿宋"/>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ascii="仿宋" w:hAnsi="仿宋" w:eastAsia="仿宋" w:cs="仿宋"/>
                <w:sz w:val="24"/>
                <w:szCs w:val="24"/>
                <w:highlight w:val="yellow"/>
              </w:rPr>
            </w:pPr>
          </w:p>
        </w:tc>
        <w:tc>
          <w:tcPr>
            <w:tcW w:w="1704" w:type="dxa"/>
          </w:tcPr>
          <w:p>
            <w:pPr>
              <w:spacing w:line="360" w:lineRule="auto"/>
              <w:rPr>
                <w:rFonts w:ascii="仿宋" w:hAnsi="仿宋" w:eastAsia="仿宋" w:cs="仿宋"/>
                <w:sz w:val="24"/>
                <w:szCs w:val="24"/>
                <w:highlight w:val="yellow"/>
              </w:rPr>
            </w:pPr>
          </w:p>
        </w:tc>
        <w:tc>
          <w:tcPr>
            <w:tcW w:w="1704" w:type="dxa"/>
          </w:tcPr>
          <w:p>
            <w:pPr>
              <w:spacing w:line="360" w:lineRule="auto"/>
              <w:rPr>
                <w:rFonts w:ascii="仿宋" w:hAnsi="仿宋" w:eastAsia="仿宋" w:cs="仿宋"/>
                <w:sz w:val="24"/>
                <w:szCs w:val="24"/>
                <w:highlight w:val="yellow"/>
              </w:rPr>
            </w:pPr>
          </w:p>
        </w:tc>
        <w:tc>
          <w:tcPr>
            <w:tcW w:w="1705" w:type="dxa"/>
          </w:tcPr>
          <w:p>
            <w:pPr>
              <w:spacing w:line="360" w:lineRule="auto"/>
              <w:rPr>
                <w:rFonts w:ascii="仿宋" w:hAnsi="仿宋" w:eastAsia="仿宋" w:cs="仿宋"/>
                <w:sz w:val="24"/>
                <w:szCs w:val="24"/>
                <w:highlight w:val="yellow"/>
              </w:rPr>
            </w:pPr>
          </w:p>
        </w:tc>
        <w:tc>
          <w:tcPr>
            <w:tcW w:w="1705" w:type="dxa"/>
          </w:tcPr>
          <w:p>
            <w:pPr>
              <w:spacing w:line="360" w:lineRule="auto"/>
              <w:rPr>
                <w:rFonts w:ascii="仿宋" w:hAnsi="仿宋" w:eastAsia="仿宋" w:cs="仿宋"/>
                <w:sz w:val="24"/>
                <w:szCs w:val="24"/>
                <w:highlight w:val="yellow"/>
              </w:rPr>
            </w:pPr>
          </w:p>
        </w:tc>
      </w:tr>
    </w:tbl>
    <w:p>
      <w:pPr>
        <w:spacing w:line="360" w:lineRule="auto"/>
        <w:rPr>
          <w:rFonts w:ascii="仿宋" w:hAnsi="仿宋" w:eastAsia="仿宋" w:cs="仿宋"/>
          <w:sz w:val="24"/>
          <w:szCs w:val="24"/>
        </w:rPr>
      </w:pPr>
      <w:r>
        <w:rPr>
          <w:rFonts w:hint="eastAsia" w:ascii="仿宋" w:hAnsi="仿宋" w:eastAsia="仿宋" w:cs="仿宋"/>
          <w:sz w:val="24"/>
          <w:szCs w:val="24"/>
        </w:rPr>
        <w:t>注：与招标文件要求逐条对应填写。</w:t>
      </w:r>
    </w:p>
    <w:p>
      <w:pPr>
        <w:spacing w:line="360" w:lineRule="auto"/>
        <w:rPr>
          <w:rFonts w:ascii="仿宋" w:hAnsi="仿宋" w:eastAsia="仿宋" w:cs="仿宋"/>
          <w:sz w:val="24"/>
          <w:szCs w:val="24"/>
          <w:u w:val="single"/>
        </w:rPr>
      </w:pPr>
      <w:r>
        <w:rPr>
          <w:rFonts w:hint="eastAsia" w:ascii="仿宋" w:hAnsi="仿宋" w:eastAsia="仿宋" w:cs="仿宋"/>
          <w:sz w:val="24"/>
          <w:szCs w:val="24"/>
        </w:rPr>
        <w:t>投标人代表签字：</w:t>
      </w:r>
      <w:r>
        <w:rPr>
          <w:rFonts w:hint="eastAsia" w:ascii="仿宋" w:hAnsi="仿宋" w:eastAsia="仿宋" w:cs="仿宋"/>
          <w:sz w:val="24"/>
          <w:szCs w:val="24"/>
          <w:u w:val="single"/>
        </w:rPr>
        <w:t>　　　　　　　　　　　　　　　</w:t>
      </w:r>
    </w:p>
    <w:p>
      <w:pPr>
        <w:widowControl/>
        <w:jc w:val="left"/>
        <w:rPr>
          <w:rFonts w:ascii="仿宋" w:hAnsi="仿宋" w:eastAsia="仿宋" w:cs="仿宋"/>
          <w:b/>
          <w:bCs/>
          <w:sz w:val="24"/>
          <w:szCs w:val="24"/>
        </w:rPr>
      </w:pPr>
      <w:r>
        <w:rPr>
          <w:rFonts w:hint="eastAsia" w:ascii="仿宋" w:hAnsi="仿宋" w:eastAsia="仿宋" w:cs="仿宋"/>
          <w:b/>
          <w:bCs/>
          <w:sz w:val="24"/>
          <w:szCs w:val="24"/>
        </w:rPr>
        <w:br w:type="page"/>
      </w:r>
    </w:p>
    <w:p>
      <w:pPr>
        <w:widowControl/>
        <w:jc w:val="left"/>
        <w:rPr>
          <w:rFonts w:ascii="仿宋" w:hAnsi="仿宋" w:eastAsia="仿宋" w:cs="仿宋"/>
          <w:b/>
          <w:bCs/>
          <w:sz w:val="24"/>
          <w:szCs w:val="24"/>
          <w:highlight w:val="yellow"/>
        </w:rPr>
      </w:pPr>
    </w:p>
    <w:p>
      <w:pPr>
        <w:pStyle w:val="4"/>
        <w:jc w:val="center"/>
        <w:rPr>
          <w:rStyle w:val="62"/>
          <w:rFonts w:ascii="仿宋" w:hAnsi="仿宋" w:eastAsia="仿宋" w:cs="仿宋"/>
          <w:b/>
          <w:bCs w:val="0"/>
          <w:sz w:val="24"/>
          <w:szCs w:val="24"/>
        </w:rPr>
      </w:pPr>
      <w:bookmarkStart w:id="528" w:name="_Toc3770"/>
      <w:r>
        <w:rPr>
          <w:rStyle w:val="62"/>
          <w:rFonts w:hint="eastAsia" w:ascii="仿宋" w:hAnsi="仿宋" w:eastAsia="仿宋" w:cs="仿宋"/>
          <w:b/>
          <w:bCs w:val="0"/>
          <w:sz w:val="24"/>
          <w:szCs w:val="24"/>
        </w:rPr>
        <w:t>9、投标人法人营业执照的证明材料、相关资质证书副本等材料的复印件以及商务因素、技术因素、服务因素所需证明资料（格式自拟）</w:t>
      </w:r>
      <w:bookmarkEnd w:id="528"/>
    </w:p>
    <w:p>
      <w:pPr>
        <w:pStyle w:val="17"/>
        <w:rPr>
          <w:rFonts w:ascii="仿宋" w:hAnsi="仿宋" w:eastAsia="仿宋" w:cs="仿宋"/>
          <w:sz w:val="24"/>
          <w:szCs w:val="24"/>
        </w:rPr>
      </w:pPr>
      <w:r>
        <w:rPr>
          <w:rFonts w:hint="eastAsia" w:ascii="仿宋" w:hAnsi="仿宋" w:eastAsia="仿宋" w:cs="仿宋"/>
          <w:sz w:val="24"/>
          <w:szCs w:val="24"/>
        </w:rPr>
        <w:br w:type="page"/>
      </w:r>
    </w:p>
    <w:p>
      <w:pPr>
        <w:pStyle w:val="4"/>
        <w:jc w:val="center"/>
        <w:rPr>
          <w:rStyle w:val="62"/>
          <w:rFonts w:ascii="仿宋" w:hAnsi="仿宋" w:eastAsia="仿宋" w:cs="仿宋"/>
          <w:b/>
          <w:bCs w:val="0"/>
          <w:sz w:val="24"/>
          <w:szCs w:val="24"/>
        </w:rPr>
      </w:pPr>
      <w:bookmarkStart w:id="529" w:name="_Toc13410"/>
      <w:r>
        <w:rPr>
          <w:rStyle w:val="62"/>
          <w:rFonts w:hint="eastAsia" w:ascii="仿宋" w:hAnsi="仿宋" w:eastAsia="仿宋" w:cs="仿宋"/>
          <w:b/>
          <w:bCs w:val="0"/>
          <w:sz w:val="24"/>
          <w:szCs w:val="24"/>
        </w:rPr>
        <w:t>10、投标人近三年（2020年4月1日至今）类似项目业绩</w:t>
      </w:r>
      <w:bookmarkEnd w:id="529"/>
    </w:p>
    <w:tbl>
      <w:tblPr>
        <w:tblStyle w:val="30"/>
        <w:tblW w:w="8863"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2003"/>
        <w:gridCol w:w="1925"/>
        <w:gridCol w:w="1180"/>
        <w:gridCol w:w="1740"/>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532" w:type="dxa"/>
            <w:vAlign w:val="center"/>
          </w:tcPr>
          <w:p>
            <w:pPr>
              <w:pStyle w:val="21"/>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003" w:type="dxa"/>
            <w:vAlign w:val="center"/>
          </w:tcPr>
          <w:p>
            <w:pPr>
              <w:pStyle w:val="21"/>
              <w:spacing w:line="360" w:lineRule="auto"/>
              <w:jc w:val="center"/>
              <w:rPr>
                <w:rFonts w:ascii="仿宋" w:hAnsi="仿宋" w:eastAsia="仿宋" w:cs="仿宋"/>
                <w:sz w:val="24"/>
                <w:szCs w:val="24"/>
              </w:rPr>
            </w:pPr>
            <w:r>
              <w:rPr>
                <w:rFonts w:hint="eastAsia" w:ascii="仿宋" w:hAnsi="仿宋" w:eastAsia="仿宋" w:cs="仿宋"/>
                <w:sz w:val="24"/>
                <w:szCs w:val="24"/>
              </w:rPr>
              <w:t>项目名称</w:t>
            </w:r>
          </w:p>
        </w:tc>
        <w:tc>
          <w:tcPr>
            <w:tcW w:w="1925" w:type="dxa"/>
            <w:vAlign w:val="center"/>
          </w:tcPr>
          <w:p>
            <w:pPr>
              <w:pStyle w:val="21"/>
              <w:spacing w:line="360" w:lineRule="auto"/>
              <w:jc w:val="center"/>
              <w:rPr>
                <w:rFonts w:ascii="仿宋" w:hAnsi="仿宋" w:eastAsia="仿宋" w:cs="仿宋"/>
                <w:sz w:val="24"/>
                <w:szCs w:val="24"/>
              </w:rPr>
            </w:pPr>
            <w:r>
              <w:rPr>
                <w:rFonts w:hint="eastAsia" w:ascii="仿宋" w:hAnsi="仿宋" w:eastAsia="仿宋" w:cs="仿宋"/>
                <w:sz w:val="24"/>
                <w:szCs w:val="24"/>
              </w:rPr>
              <w:t>项目内容</w:t>
            </w:r>
          </w:p>
        </w:tc>
        <w:tc>
          <w:tcPr>
            <w:tcW w:w="1180" w:type="dxa"/>
            <w:vAlign w:val="center"/>
          </w:tcPr>
          <w:p>
            <w:pPr>
              <w:pStyle w:val="21"/>
              <w:spacing w:line="360" w:lineRule="auto"/>
              <w:jc w:val="center"/>
              <w:rPr>
                <w:rFonts w:ascii="仿宋" w:hAnsi="仿宋" w:eastAsia="仿宋" w:cs="仿宋"/>
                <w:sz w:val="24"/>
                <w:szCs w:val="24"/>
              </w:rPr>
            </w:pPr>
            <w:r>
              <w:rPr>
                <w:rFonts w:hint="eastAsia" w:ascii="仿宋" w:hAnsi="仿宋" w:eastAsia="仿宋" w:cs="仿宋"/>
                <w:sz w:val="24"/>
                <w:szCs w:val="24"/>
              </w:rPr>
              <w:t>合同总价</w:t>
            </w:r>
          </w:p>
        </w:tc>
        <w:tc>
          <w:tcPr>
            <w:tcW w:w="1740" w:type="dxa"/>
            <w:vAlign w:val="center"/>
          </w:tcPr>
          <w:p>
            <w:pPr>
              <w:pStyle w:val="21"/>
              <w:spacing w:line="360" w:lineRule="auto"/>
              <w:jc w:val="center"/>
              <w:rPr>
                <w:rFonts w:ascii="仿宋" w:hAnsi="仿宋" w:eastAsia="仿宋" w:cs="仿宋"/>
                <w:sz w:val="24"/>
                <w:szCs w:val="24"/>
              </w:rPr>
            </w:pPr>
            <w:r>
              <w:rPr>
                <w:rFonts w:hint="eastAsia" w:ascii="仿宋" w:hAnsi="仿宋" w:eastAsia="仿宋" w:cs="仿宋"/>
                <w:sz w:val="24"/>
                <w:szCs w:val="24"/>
              </w:rPr>
              <w:t>采购服务单位</w:t>
            </w:r>
          </w:p>
        </w:tc>
        <w:tc>
          <w:tcPr>
            <w:tcW w:w="1483" w:type="dxa"/>
            <w:vAlign w:val="center"/>
          </w:tcPr>
          <w:p>
            <w:pPr>
              <w:pStyle w:val="21"/>
              <w:spacing w:line="360" w:lineRule="auto"/>
              <w:jc w:val="center"/>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532" w:type="dxa"/>
            <w:vAlign w:val="center"/>
          </w:tcPr>
          <w:p>
            <w:pPr>
              <w:pStyle w:val="21"/>
              <w:spacing w:line="360" w:lineRule="auto"/>
              <w:jc w:val="center"/>
              <w:rPr>
                <w:rFonts w:ascii="仿宋" w:hAnsi="仿宋" w:eastAsia="仿宋" w:cs="仿宋"/>
                <w:sz w:val="24"/>
                <w:szCs w:val="24"/>
              </w:rPr>
            </w:pPr>
          </w:p>
        </w:tc>
        <w:tc>
          <w:tcPr>
            <w:tcW w:w="2003" w:type="dxa"/>
            <w:vAlign w:val="center"/>
          </w:tcPr>
          <w:p>
            <w:pPr>
              <w:pStyle w:val="21"/>
              <w:spacing w:line="360" w:lineRule="auto"/>
              <w:jc w:val="center"/>
              <w:rPr>
                <w:rFonts w:ascii="仿宋" w:hAnsi="仿宋" w:eastAsia="仿宋" w:cs="仿宋"/>
                <w:sz w:val="24"/>
                <w:szCs w:val="24"/>
              </w:rPr>
            </w:pPr>
          </w:p>
        </w:tc>
        <w:tc>
          <w:tcPr>
            <w:tcW w:w="1925" w:type="dxa"/>
            <w:vAlign w:val="center"/>
          </w:tcPr>
          <w:p>
            <w:pPr>
              <w:pStyle w:val="21"/>
              <w:spacing w:line="360" w:lineRule="auto"/>
              <w:jc w:val="center"/>
              <w:rPr>
                <w:rFonts w:ascii="仿宋" w:hAnsi="仿宋" w:eastAsia="仿宋" w:cs="仿宋"/>
                <w:sz w:val="24"/>
                <w:szCs w:val="24"/>
              </w:rPr>
            </w:pPr>
          </w:p>
        </w:tc>
        <w:tc>
          <w:tcPr>
            <w:tcW w:w="1180" w:type="dxa"/>
            <w:vAlign w:val="center"/>
          </w:tcPr>
          <w:p>
            <w:pPr>
              <w:pStyle w:val="21"/>
              <w:spacing w:line="360" w:lineRule="auto"/>
              <w:jc w:val="center"/>
              <w:rPr>
                <w:rFonts w:ascii="仿宋" w:hAnsi="仿宋" w:eastAsia="仿宋" w:cs="仿宋"/>
                <w:sz w:val="24"/>
                <w:szCs w:val="24"/>
              </w:rPr>
            </w:pPr>
          </w:p>
        </w:tc>
        <w:tc>
          <w:tcPr>
            <w:tcW w:w="1740" w:type="dxa"/>
            <w:vAlign w:val="center"/>
          </w:tcPr>
          <w:p>
            <w:pPr>
              <w:pStyle w:val="21"/>
              <w:spacing w:line="360" w:lineRule="auto"/>
              <w:jc w:val="center"/>
              <w:rPr>
                <w:rFonts w:ascii="仿宋" w:hAnsi="仿宋" w:eastAsia="仿宋" w:cs="仿宋"/>
                <w:sz w:val="24"/>
                <w:szCs w:val="24"/>
              </w:rPr>
            </w:pPr>
          </w:p>
        </w:tc>
        <w:tc>
          <w:tcPr>
            <w:tcW w:w="1483" w:type="dxa"/>
            <w:vAlign w:val="center"/>
          </w:tcPr>
          <w:p>
            <w:pPr>
              <w:pStyle w:val="21"/>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532" w:type="dxa"/>
            <w:vAlign w:val="center"/>
          </w:tcPr>
          <w:p>
            <w:pPr>
              <w:pStyle w:val="21"/>
              <w:spacing w:line="360" w:lineRule="auto"/>
              <w:jc w:val="center"/>
              <w:rPr>
                <w:rFonts w:ascii="仿宋" w:hAnsi="仿宋" w:eastAsia="仿宋" w:cs="仿宋"/>
                <w:sz w:val="24"/>
                <w:szCs w:val="24"/>
                <w:highlight w:val="yellow"/>
              </w:rPr>
            </w:pPr>
          </w:p>
        </w:tc>
        <w:tc>
          <w:tcPr>
            <w:tcW w:w="2003" w:type="dxa"/>
            <w:vAlign w:val="center"/>
          </w:tcPr>
          <w:p>
            <w:pPr>
              <w:pStyle w:val="21"/>
              <w:spacing w:line="360" w:lineRule="auto"/>
              <w:jc w:val="center"/>
              <w:rPr>
                <w:rFonts w:ascii="仿宋" w:hAnsi="仿宋" w:eastAsia="仿宋" w:cs="仿宋"/>
                <w:sz w:val="24"/>
                <w:szCs w:val="24"/>
                <w:highlight w:val="yellow"/>
              </w:rPr>
            </w:pPr>
          </w:p>
        </w:tc>
        <w:tc>
          <w:tcPr>
            <w:tcW w:w="1925" w:type="dxa"/>
            <w:vAlign w:val="center"/>
          </w:tcPr>
          <w:p>
            <w:pPr>
              <w:pStyle w:val="21"/>
              <w:spacing w:line="360" w:lineRule="auto"/>
              <w:jc w:val="center"/>
              <w:rPr>
                <w:rFonts w:ascii="仿宋" w:hAnsi="仿宋" w:eastAsia="仿宋" w:cs="仿宋"/>
                <w:sz w:val="24"/>
                <w:szCs w:val="24"/>
                <w:highlight w:val="yellow"/>
              </w:rPr>
            </w:pPr>
          </w:p>
        </w:tc>
        <w:tc>
          <w:tcPr>
            <w:tcW w:w="1180" w:type="dxa"/>
            <w:vAlign w:val="center"/>
          </w:tcPr>
          <w:p>
            <w:pPr>
              <w:pStyle w:val="21"/>
              <w:spacing w:line="360" w:lineRule="auto"/>
              <w:jc w:val="center"/>
              <w:rPr>
                <w:rFonts w:ascii="仿宋" w:hAnsi="仿宋" w:eastAsia="仿宋" w:cs="仿宋"/>
                <w:sz w:val="24"/>
                <w:szCs w:val="24"/>
                <w:highlight w:val="yellow"/>
              </w:rPr>
            </w:pPr>
          </w:p>
        </w:tc>
        <w:tc>
          <w:tcPr>
            <w:tcW w:w="1740" w:type="dxa"/>
            <w:vAlign w:val="center"/>
          </w:tcPr>
          <w:p>
            <w:pPr>
              <w:pStyle w:val="21"/>
              <w:spacing w:line="360" w:lineRule="auto"/>
              <w:jc w:val="center"/>
              <w:rPr>
                <w:rFonts w:ascii="仿宋" w:hAnsi="仿宋" w:eastAsia="仿宋" w:cs="仿宋"/>
                <w:sz w:val="24"/>
                <w:szCs w:val="24"/>
                <w:highlight w:val="yellow"/>
              </w:rPr>
            </w:pPr>
          </w:p>
        </w:tc>
        <w:tc>
          <w:tcPr>
            <w:tcW w:w="1483" w:type="dxa"/>
            <w:vAlign w:val="center"/>
          </w:tcPr>
          <w:p>
            <w:pPr>
              <w:pStyle w:val="21"/>
              <w:spacing w:line="360" w:lineRule="auto"/>
              <w:jc w:val="center"/>
              <w:rPr>
                <w:rFonts w:ascii="仿宋" w:hAnsi="仿宋" w:eastAsia="仿宋" w:cs="仿宋"/>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532" w:type="dxa"/>
            <w:vAlign w:val="center"/>
          </w:tcPr>
          <w:p>
            <w:pPr>
              <w:pStyle w:val="21"/>
              <w:spacing w:line="360" w:lineRule="auto"/>
              <w:jc w:val="center"/>
              <w:rPr>
                <w:rFonts w:ascii="仿宋" w:hAnsi="仿宋" w:eastAsia="仿宋" w:cs="仿宋"/>
                <w:sz w:val="24"/>
                <w:szCs w:val="24"/>
                <w:highlight w:val="yellow"/>
              </w:rPr>
            </w:pPr>
          </w:p>
        </w:tc>
        <w:tc>
          <w:tcPr>
            <w:tcW w:w="2003" w:type="dxa"/>
            <w:vAlign w:val="center"/>
          </w:tcPr>
          <w:p>
            <w:pPr>
              <w:pStyle w:val="21"/>
              <w:spacing w:line="360" w:lineRule="auto"/>
              <w:jc w:val="center"/>
              <w:rPr>
                <w:rFonts w:ascii="仿宋" w:hAnsi="仿宋" w:eastAsia="仿宋" w:cs="仿宋"/>
                <w:sz w:val="24"/>
                <w:szCs w:val="24"/>
                <w:highlight w:val="yellow"/>
              </w:rPr>
            </w:pPr>
          </w:p>
        </w:tc>
        <w:tc>
          <w:tcPr>
            <w:tcW w:w="1925" w:type="dxa"/>
            <w:vAlign w:val="center"/>
          </w:tcPr>
          <w:p>
            <w:pPr>
              <w:pStyle w:val="21"/>
              <w:spacing w:line="360" w:lineRule="auto"/>
              <w:jc w:val="center"/>
              <w:rPr>
                <w:rFonts w:ascii="仿宋" w:hAnsi="仿宋" w:eastAsia="仿宋" w:cs="仿宋"/>
                <w:sz w:val="24"/>
                <w:szCs w:val="24"/>
                <w:highlight w:val="yellow"/>
              </w:rPr>
            </w:pPr>
          </w:p>
        </w:tc>
        <w:tc>
          <w:tcPr>
            <w:tcW w:w="1180" w:type="dxa"/>
            <w:vAlign w:val="center"/>
          </w:tcPr>
          <w:p>
            <w:pPr>
              <w:pStyle w:val="21"/>
              <w:spacing w:line="360" w:lineRule="auto"/>
              <w:jc w:val="center"/>
              <w:rPr>
                <w:rFonts w:ascii="仿宋" w:hAnsi="仿宋" w:eastAsia="仿宋" w:cs="仿宋"/>
                <w:sz w:val="24"/>
                <w:szCs w:val="24"/>
                <w:highlight w:val="yellow"/>
              </w:rPr>
            </w:pPr>
          </w:p>
        </w:tc>
        <w:tc>
          <w:tcPr>
            <w:tcW w:w="1740" w:type="dxa"/>
            <w:vAlign w:val="center"/>
          </w:tcPr>
          <w:p>
            <w:pPr>
              <w:pStyle w:val="21"/>
              <w:spacing w:line="360" w:lineRule="auto"/>
              <w:jc w:val="center"/>
              <w:rPr>
                <w:rFonts w:ascii="仿宋" w:hAnsi="仿宋" w:eastAsia="仿宋" w:cs="仿宋"/>
                <w:sz w:val="24"/>
                <w:szCs w:val="24"/>
                <w:highlight w:val="yellow"/>
              </w:rPr>
            </w:pPr>
          </w:p>
        </w:tc>
        <w:tc>
          <w:tcPr>
            <w:tcW w:w="1483" w:type="dxa"/>
            <w:vAlign w:val="center"/>
          </w:tcPr>
          <w:p>
            <w:pPr>
              <w:pStyle w:val="21"/>
              <w:spacing w:line="360" w:lineRule="auto"/>
              <w:jc w:val="center"/>
              <w:rPr>
                <w:rFonts w:ascii="仿宋" w:hAnsi="仿宋" w:eastAsia="仿宋" w:cs="仿宋"/>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532" w:type="dxa"/>
            <w:vAlign w:val="center"/>
          </w:tcPr>
          <w:p>
            <w:pPr>
              <w:pStyle w:val="21"/>
              <w:spacing w:line="360" w:lineRule="auto"/>
              <w:jc w:val="center"/>
              <w:rPr>
                <w:rFonts w:ascii="仿宋" w:hAnsi="仿宋" w:eastAsia="仿宋" w:cs="仿宋"/>
                <w:sz w:val="24"/>
                <w:szCs w:val="24"/>
                <w:highlight w:val="yellow"/>
              </w:rPr>
            </w:pPr>
          </w:p>
        </w:tc>
        <w:tc>
          <w:tcPr>
            <w:tcW w:w="2003" w:type="dxa"/>
            <w:vAlign w:val="center"/>
          </w:tcPr>
          <w:p>
            <w:pPr>
              <w:pStyle w:val="21"/>
              <w:spacing w:line="360" w:lineRule="auto"/>
              <w:jc w:val="center"/>
              <w:rPr>
                <w:rFonts w:ascii="仿宋" w:hAnsi="仿宋" w:eastAsia="仿宋" w:cs="仿宋"/>
                <w:sz w:val="24"/>
                <w:szCs w:val="24"/>
                <w:highlight w:val="yellow"/>
              </w:rPr>
            </w:pPr>
          </w:p>
        </w:tc>
        <w:tc>
          <w:tcPr>
            <w:tcW w:w="1925" w:type="dxa"/>
            <w:vAlign w:val="center"/>
          </w:tcPr>
          <w:p>
            <w:pPr>
              <w:pStyle w:val="21"/>
              <w:spacing w:line="360" w:lineRule="auto"/>
              <w:jc w:val="center"/>
              <w:rPr>
                <w:rFonts w:ascii="仿宋" w:hAnsi="仿宋" w:eastAsia="仿宋" w:cs="仿宋"/>
                <w:sz w:val="24"/>
                <w:szCs w:val="24"/>
                <w:highlight w:val="yellow"/>
              </w:rPr>
            </w:pPr>
          </w:p>
        </w:tc>
        <w:tc>
          <w:tcPr>
            <w:tcW w:w="1180" w:type="dxa"/>
            <w:vAlign w:val="center"/>
          </w:tcPr>
          <w:p>
            <w:pPr>
              <w:pStyle w:val="21"/>
              <w:spacing w:line="360" w:lineRule="auto"/>
              <w:jc w:val="center"/>
              <w:rPr>
                <w:rFonts w:ascii="仿宋" w:hAnsi="仿宋" w:eastAsia="仿宋" w:cs="仿宋"/>
                <w:sz w:val="24"/>
                <w:szCs w:val="24"/>
                <w:highlight w:val="yellow"/>
              </w:rPr>
            </w:pPr>
          </w:p>
        </w:tc>
        <w:tc>
          <w:tcPr>
            <w:tcW w:w="1740" w:type="dxa"/>
            <w:vAlign w:val="center"/>
          </w:tcPr>
          <w:p>
            <w:pPr>
              <w:pStyle w:val="21"/>
              <w:spacing w:line="360" w:lineRule="auto"/>
              <w:jc w:val="center"/>
              <w:rPr>
                <w:rFonts w:ascii="仿宋" w:hAnsi="仿宋" w:eastAsia="仿宋" w:cs="仿宋"/>
                <w:sz w:val="24"/>
                <w:szCs w:val="24"/>
                <w:highlight w:val="yellow"/>
              </w:rPr>
            </w:pPr>
          </w:p>
        </w:tc>
        <w:tc>
          <w:tcPr>
            <w:tcW w:w="1483" w:type="dxa"/>
            <w:vAlign w:val="center"/>
          </w:tcPr>
          <w:p>
            <w:pPr>
              <w:pStyle w:val="21"/>
              <w:spacing w:line="360" w:lineRule="auto"/>
              <w:jc w:val="center"/>
              <w:rPr>
                <w:rFonts w:ascii="仿宋" w:hAnsi="仿宋" w:eastAsia="仿宋" w:cs="仿宋"/>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532" w:type="dxa"/>
            <w:vAlign w:val="center"/>
          </w:tcPr>
          <w:p>
            <w:pPr>
              <w:pStyle w:val="21"/>
              <w:spacing w:line="360" w:lineRule="auto"/>
              <w:jc w:val="center"/>
              <w:rPr>
                <w:rFonts w:ascii="仿宋" w:hAnsi="仿宋" w:eastAsia="仿宋" w:cs="仿宋"/>
                <w:sz w:val="24"/>
                <w:szCs w:val="24"/>
                <w:highlight w:val="yellow"/>
              </w:rPr>
            </w:pPr>
          </w:p>
        </w:tc>
        <w:tc>
          <w:tcPr>
            <w:tcW w:w="2003" w:type="dxa"/>
            <w:vAlign w:val="center"/>
          </w:tcPr>
          <w:p>
            <w:pPr>
              <w:pStyle w:val="21"/>
              <w:spacing w:line="360" w:lineRule="auto"/>
              <w:jc w:val="center"/>
              <w:rPr>
                <w:rFonts w:ascii="仿宋" w:hAnsi="仿宋" w:eastAsia="仿宋" w:cs="仿宋"/>
                <w:sz w:val="24"/>
                <w:szCs w:val="24"/>
                <w:highlight w:val="yellow"/>
              </w:rPr>
            </w:pPr>
          </w:p>
        </w:tc>
        <w:tc>
          <w:tcPr>
            <w:tcW w:w="1925" w:type="dxa"/>
            <w:vAlign w:val="center"/>
          </w:tcPr>
          <w:p>
            <w:pPr>
              <w:pStyle w:val="21"/>
              <w:spacing w:line="360" w:lineRule="auto"/>
              <w:jc w:val="center"/>
              <w:rPr>
                <w:rFonts w:ascii="仿宋" w:hAnsi="仿宋" w:eastAsia="仿宋" w:cs="仿宋"/>
                <w:sz w:val="24"/>
                <w:szCs w:val="24"/>
                <w:highlight w:val="yellow"/>
              </w:rPr>
            </w:pPr>
          </w:p>
        </w:tc>
        <w:tc>
          <w:tcPr>
            <w:tcW w:w="1180" w:type="dxa"/>
            <w:vAlign w:val="center"/>
          </w:tcPr>
          <w:p>
            <w:pPr>
              <w:pStyle w:val="21"/>
              <w:spacing w:line="360" w:lineRule="auto"/>
              <w:jc w:val="center"/>
              <w:rPr>
                <w:rFonts w:ascii="仿宋" w:hAnsi="仿宋" w:eastAsia="仿宋" w:cs="仿宋"/>
                <w:sz w:val="24"/>
                <w:szCs w:val="24"/>
                <w:highlight w:val="yellow"/>
              </w:rPr>
            </w:pPr>
          </w:p>
        </w:tc>
        <w:tc>
          <w:tcPr>
            <w:tcW w:w="1740" w:type="dxa"/>
            <w:vAlign w:val="center"/>
          </w:tcPr>
          <w:p>
            <w:pPr>
              <w:pStyle w:val="21"/>
              <w:spacing w:line="360" w:lineRule="auto"/>
              <w:jc w:val="center"/>
              <w:rPr>
                <w:rFonts w:ascii="仿宋" w:hAnsi="仿宋" w:eastAsia="仿宋" w:cs="仿宋"/>
                <w:sz w:val="24"/>
                <w:szCs w:val="24"/>
                <w:highlight w:val="yellow"/>
              </w:rPr>
            </w:pPr>
          </w:p>
        </w:tc>
        <w:tc>
          <w:tcPr>
            <w:tcW w:w="1483" w:type="dxa"/>
            <w:vAlign w:val="center"/>
          </w:tcPr>
          <w:p>
            <w:pPr>
              <w:pStyle w:val="21"/>
              <w:spacing w:line="360" w:lineRule="auto"/>
              <w:jc w:val="center"/>
              <w:rPr>
                <w:rFonts w:ascii="仿宋" w:hAnsi="仿宋" w:eastAsia="仿宋" w:cs="仿宋"/>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532" w:type="dxa"/>
            <w:vAlign w:val="center"/>
          </w:tcPr>
          <w:p>
            <w:pPr>
              <w:pStyle w:val="21"/>
              <w:spacing w:line="360" w:lineRule="auto"/>
              <w:jc w:val="center"/>
              <w:rPr>
                <w:rFonts w:ascii="仿宋" w:hAnsi="仿宋" w:eastAsia="仿宋" w:cs="仿宋"/>
                <w:sz w:val="24"/>
                <w:szCs w:val="24"/>
                <w:highlight w:val="yellow"/>
              </w:rPr>
            </w:pPr>
          </w:p>
        </w:tc>
        <w:tc>
          <w:tcPr>
            <w:tcW w:w="2003" w:type="dxa"/>
            <w:vAlign w:val="center"/>
          </w:tcPr>
          <w:p>
            <w:pPr>
              <w:pStyle w:val="21"/>
              <w:spacing w:line="360" w:lineRule="auto"/>
              <w:jc w:val="center"/>
              <w:rPr>
                <w:rFonts w:ascii="仿宋" w:hAnsi="仿宋" w:eastAsia="仿宋" w:cs="仿宋"/>
                <w:sz w:val="24"/>
                <w:szCs w:val="24"/>
                <w:highlight w:val="yellow"/>
              </w:rPr>
            </w:pPr>
          </w:p>
        </w:tc>
        <w:tc>
          <w:tcPr>
            <w:tcW w:w="1925" w:type="dxa"/>
            <w:vAlign w:val="center"/>
          </w:tcPr>
          <w:p>
            <w:pPr>
              <w:pStyle w:val="21"/>
              <w:spacing w:line="360" w:lineRule="auto"/>
              <w:jc w:val="center"/>
              <w:rPr>
                <w:rFonts w:ascii="仿宋" w:hAnsi="仿宋" w:eastAsia="仿宋" w:cs="仿宋"/>
                <w:sz w:val="24"/>
                <w:szCs w:val="24"/>
                <w:highlight w:val="yellow"/>
              </w:rPr>
            </w:pPr>
          </w:p>
        </w:tc>
        <w:tc>
          <w:tcPr>
            <w:tcW w:w="1180" w:type="dxa"/>
            <w:vAlign w:val="center"/>
          </w:tcPr>
          <w:p>
            <w:pPr>
              <w:pStyle w:val="21"/>
              <w:spacing w:line="360" w:lineRule="auto"/>
              <w:jc w:val="center"/>
              <w:rPr>
                <w:rFonts w:ascii="仿宋" w:hAnsi="仿宋" w:eastAsia="仿宋" w:cs="仿宋"/>
                <w:sz w:val="24"/>
                <w:szCs w:val="24"/>
                <w:highlight w:val="yellow"/>
              </w:rPr>
            </w:pPr>
          </w:p>
        </w:tc>
        <w:tc>
          <w:tcPr>
            <w:tcW w:w="1740" w:type="dxa"/>
            <w:vAlign w:val="center"/>
          </w:tcPr>
          <w:p>
            <w:pPr>
              <w:pStyle w:val="21"/>
              <w:spacing w:line="360" w:lineRule="auto"/>
              <w:jc w:val="center"/>
              <w:rPr>
                <w:rFonts w:ascii="仿宋" w:hAnsi="仿宋" w:eastAsia="仿宋" w:cs="仿宋"/>
                <w:sz w:val="24"/>
                <w:szCs w:val="24"/>
                <w:highlight w:val="yellow"/>
              </w:rPr>
            </w:pPr>
          </w:p>
        </w:tc>
        <w:tc>
          <w:tcPr>
            <w:tcW w:w="1483" w:type="dxa"/>
            <w:vAlign w:val="center"/>
          </w:tcPr>
          <w:p>
            <w:pPr>
              <w:pStyle w:val="21"/>
              <w:spacing w:line="360" w:lineRule="auto"/>
              <w:jc w:val="center"/>
              <w:rPr>
                <w:rFonts w:ascii="仿宋" w:hAnsi="仿宋" w:eastAsia="仿宋" w:cs="仿宋"/>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532" w:type="dxa"/>
            <w:vAlign w:val="center"/>
          </w:tcPr>
          <w:p>
            <w:pPr>
              <w:pStyle w:val="21"/>
              <w:spacing w:line="360" w:lineRule="auto"/>
              <w:jc w:val="center"/>
              <w:rPr>
                <w:rFonts w:ascii="仿宋" w:hAnsi="仿宋" w:eastAsia="仿宋" w:cs="仿宋"/>
                <w:sz w:val="24"/>
                <w:szCs w:val="24"/>
                <w:highlight w:val="yellow"/>
              </w:rPr>
            </w:pPr>
          </w:p>
        </w:tc>
        <w:tc>
          <w:tcPr>
            <w:tcW w:w="2003" w:type="dxa"/>
            <w:vAlign w:val="center"/>
          </w:tcPr>
          <w:p>
            <w:pPr>
              <w:pStyle w:val="21"/>
              <w:spacing w:line="360" w:lineRule="auto"/>
              <w:jc w:val="center"/>
              <w:rPr>
                <w:rFonts w:ascii="仿宋" w:hAnsi="仿宋" w:eastAsia="仿宋" w:cs="仿宋"/>
                <w:sz w:val="24"/>
                <w:szCs w:val="24"/>
                <w:highlight w:val="yellow"/>
              </w:rPr>
            </w:pPr>
          </w:p>
        </w:tc>
        <w:tc>
          <w:tcPr>
            <w:tcW w:w="1925" w:type="dxa"/>
            <w:vAlign w:val="center"/>
          </w:tcPr>
          <w:p>
            <w:pPr>
              <w:pStyle w:val="21"/>
              <w:spacing w:line="360" w:lineRule="auto"/>
              <w:jc w:val="center"/>
              <w:rPr>
                <w:rFonts w:ascii="仿宋" w:hAnsi="仿宋" w:eastAsia="仿宋" w:cs="仿宋"/>
                <w:sz w:val="24"/>
                <w:szCs w:val="24"/>
                <w:highlight w:val="yellow"/>
              </w:rPr>
            </w:pPr>
          </w:p>
        </w:tc>
        <w:tc>
          <w:tcPr>
            <w:tcW w:w="1180" w:type="dxa"/>
            <w:vAlign w:val="center"/>
          </w:tcPr>
          <w:p>
            <w:pPr>
              <w:pStyle w:val="21"/>
              <w:spacing w:line="360" w:lineRule="auto"/>
              <w:jc w:val="center"/>
              <w:rPr>
                <w:rFonts w:ascii="仿宋" w:hAnsi="仿宋" w:eastAsia="仿宋" w:cs="仿宋"/>
                <w:sz w:val="24"/>
                <w:szCs w:val="24"/>
                <w:highlight w:val="yellow"/>
              </w:rPr>
            </w:pPr>
          </w:p>
        </w:tc>
        <w:tc>
          <w:tcPr>
            <w:tcW w:w="1740" w:type="dxa"/>
            <w:vAlign w:val="center"/>
          </w:tcPr>
          <w:p>
            <w:pPr>
              <w:pStyle w:val="21"/>
              <w:spacing w:line="360" w:lineRule="auto"/>
              <w:jc w:val="center"/>
              <w:rPr>
                <w:rFonts w:ascii="仿宋" w:hAnsi="仿宋" w:eastAsia="仿宋" w:cs="仿宋"/>
                <w:sz w:val="24"/>
                <w:szCs w:val="24"/>
                <w:highlight w:val="yellow"/>
              </w:rPr>
            </w:pPr>
          </w:p>
        </w:tc>
        <w:tc>
          <w:tcPr>
            <w:tcW w:w="1483" w:type="dxa"/>
            <w:vAlign w:val="center"/>
          </w:tcPr>
          <w:p>
            <w:pPr>
              <w:pStyle w:val="21"/>
              <w:spacing w:line="360" w:lineRule="auto"/>
              <w:jc w:val="center"/>
              <w:rPr>
                <w:rFonts w:ascii="仿宋" w:hAnsi="仿宋" w:eastAsia="仿宋" w:cs="仿宋"/>
                <w:sz w:val="24"/>
                <w:szCs w:val="24"/>
                <w:highlight w:val="yellow"/>
              </w:rPr>
            </w:pPr>
          </w:p>
        </w:tc>
      </w:tr>
    </w:tbl>
    <w:p>
      <w:pPr>
        <w:pStyle w:val="21"/>
        <w:spacing w:line="360" w:lineRule="auto"/>
        <w:rPr>
          <w:rFonts w:ascii="仿宋" w:hAnsi="仿宋" w:eastAsia="仿宋" w:cs="仿宋"/>
          <w:sz w:val="24"/>
          <w:szCs w:val="24"/>
        </w:rPr>
      </w:pPr>
      <w:r>
        <w:rPr>
          <w:rFonts w:hint="eastAsia" w:ascii="仿宋" w:hAnsi="仿宋" w:eastAsia="仿宋" w:cs="仿宋"/>
          <w:sz w:val="24"/>
          <w:szCs w:val="24"/>
        </w:rPr>
        <w:t>投标人填写本表的同时，须提供验收报告或合同，投标人填写的内容必须真实可靠，如有虚假或者隐瞒，一经查实投标将被否决。</w:t>
      </w:r>
    </w:p>
    <w:p>
      <w:pPr>
        <w:pStyle w:val="17"/>
        <w:rPr>
          <w:rFonts w:ascii="仿宋" w:hAnsi="仿宋" w:eastAsia="仿宋" w:cs="仿宋"/>
          <w:sz w:val="24"/>
          <w:szCs w:val="24"/>
        </w:rPr>
      </w:pPr>
      <w:r>
        <w:rPr>
          <w:rFonts w:hint="eastAsia" w:ascii="仿宋" w:hAnsi="仿宋" w:eastAsia="仿宋" w:cs="仿宋"/>
          <w:sz w:val="24"/>
          <w:szCs w:val="24"/>
        </w:rPr>
        <w:br w:type="page"/>
      </w:r>
    </w:p>
    <w:p>
      <w:pPr>
        <w:pStyle w:val="4"/>
        <w:jc w:val="center"/>
        <w:rPr>
          <w:rStyle w:val="62"/>
          <w:rFonts w:ascii="仿宋" w:hAnsi="仿宋" w:eastAsia="仿宋" w:cs="仿宋"/>
          <w:b/>
          <w:bCs w:val="0"/>
          <w:sz w:val="24"/>
          <w:szCs w:val="24"/>
        </w:rPr>
      </w:pPr>
      <w:bookmarkStart w:id="530" w:name="_Toc10599_WPSOffice_Level1"/>
      <w:bookmarkStart w:id="531" w:name="_Toc13505"/>
      <w:r>
        <w:rPr>
          <w:rStyle w:val="62"/>
          <w:rFonts w:hint="eastAsia" w:ascii="仿宋" w:hAnsi="仿宋" w:eastAsia="仿宋" w:cs="仿宋"/>
          <w:b/>
          <w:bCs w:val="0"/>
          <w:sz w:val="24"/>
          <w:szCs w:val="24"/>
        </w:rPr>
        <w:t>11、项目维保服务</w:t>
      </w:r>
      <w:bookmarkEnd w:id="530"/>
      <w:r>
        <w:rPr>
          <w:rStyle w:val="62"/>
          <w:rFonts w:hint="eastAsia" w:ascii="仿宋" w:hAnsi="仿宋" w:eastAsia="仿宋" w:cs="仿宋"/>
          <w:b/>
          <w:bCs w:val="0"/>
          <w:sz w:val="24"/>
          <w:szCs w:val="24"/>
        </w:rPr>
        <w:t>方案、售后方案、承诺等内容</w:t>
      </w:r>
      <w:bookmarkEnd w:id="531"/>
    </w:p>
    <w:p>
      <w:pPr>
        <w:pStyle w:val="4"/>
        <w:jc w:val="center"/>
        <w:rPr>
          <w:rFonts w:ascii="仿宋" w:hAnsi="仿宋" w:eastAsia="仿宋" w:cs="仿宋"/>
          <w:sz w:val="24"/>
          <w:szCs w:val="24"/>
          <w:highlight w:val="yellow"/>
        </w:rPr>
      </w:pPr>
      <w:bookmarkStart w:id="532" w:name="_Toc14228"/>
      <w:r>
        <w:rPr>
          <w:rStyle w:val="62"/>
          <w:rFonts w:hint="eastAsia" w:ascii="仿宋" w:hAnsi="仿宋" w:eastAsia="仿宋" w:cs="仿宋"/>
          <w:b/>
          <w:bCs w:val="0"/>
          <w:sz w:val="24"/>
          <w:szCs w:val="24"/>
        </w:rPr>
        <w:t>格式自拟</w:t>
      </w:r>
      <w:bookmarkEnd w:id="532"/>
    </w:p>
    <w:p>
      <w:pPr>
        <w:widowControl/>
        <w:jc w:val="left"/>
        <w:rPr>
          <w:rFonts w:ascii="仿宋" w:hAnsi="仿宋" w:eastAsia="仿宋" w:cs="仿宋"/>
          <w:b/>
          <w:sz w:val="24"/>
          <w:szCs w:val="24"/>
          <w:highlight w:val="yellow"/>
        </w:rPr>
      </w:pPr>
    </w:p>
    <w:p>
      <w:pPr>
        <w:widowControl/>
        <w:spacing w:line="360" w:lineRule="auto"/>
        <w:ind w:firstLine="899"/>
        <w:jc w:val="left"/>
        <w:rPr>
          <w:rFonts w:ascii="仿宋" w:hAnsi="仿宋" w:eastAsia="仿宋" w:cs="仿宋"/>
          <w:kern w:val="0"/>
          <w:sz w:val="24"/>
          <w:szCs w:val="24"/>
          <w:highlight w:val="yellow"/>
        </w:rPr>
      </w:pPr>
    </w:p>
    <w:p>
      <w:pPr>
        <w:widowControl/>
        <w:spacing w:line="360" w:lineRule="auto"/>
        <w:ind w:firstLine="899"/>
        <w:jc w:val="left"/>
        <w:rPr>
          <w:rFonts w:ascii="仿宋" w:hAnsi="仿宋" w:eastAsia="仿宋" w:cs="仿宋"/>
          <w:kern w:val="0"/>
          <w:sz w:val="24"/>
          <w:szCs w:val="24"/>
          <w:highlight w:val="yellow"/>
        </w:rPr>
      </w:pPr>
    </w:p>
    <w:p>
      <w:pPr>
        <w:widowControl/>
        <w:spacing w:line="360" w:lineRule="auto"/>
        <w:ind w:firstLine="899"/>
        <w:jc w:val="left"/>
        <w:rPr>
          <w:rFonts w:ascii="仿宋" w:hAnsi="仿宋" w:eastAsia="仿宋" w:cs="仿宋"/>
          <w:kern w:val="0"/>
          <w:sz w:val="24"/>
          <w:szCs w:val="24"/>
          <w:highlight w:val="yellow"/>
        </w:rPr>
      </w:pPr>
    </w:p>
    <w:p>
      <w:pPr>
        <w:widowControl/>
        <w:spacing w:line="360" w:lineRule="auto"/>
        <w:ind w:firstLine="899"/>
        <w:jc w:val="left"/>
        <w:rPr>
          <w:rFonts w:ascii="仿宋" w:hAnsi="仿宋" w:eastAsia="仿宋" w:cs="仿宋"/>
          <w:kern w:val="0"/>
          <w:sz w:val="24"/>
          <w:szCs w:val="24"/>
          <w:highlight w:val="yellow"/>
        </w:rPr>
      </w:pPr>
    </w:p>
    <w:p>
      <w:pPr>
        <w:widowControl/>
        <w:spacing w:line="360" w:lineRule="auto"/>
        <w:ind w:firstLine="899"/>
        <w:jc w:val="left"/>
        <w:rPr>
          <w:rFonts w:ascii="仿宋" w:hAnsi="仿宋" w:eastAsia="仿宋" w:cs="仿宋"/>
          <w:kern w:val="0"/>
          <w:sz w:val="24"/>
          <w:szCs w:val="24"/>
          <w:highlight w:val="yellow"/>
        </w:rPr>
      </w:pPr>
    </w:p>
    <w:p>
      <w:pPr>
        <w:widowControl/>
        <w:spacing w:line="360" w:lineRule="auto"/>
        <w:ind w:firstLine="899"/>
        <w:jc w:val="left"/>
        <w:rPr>
          <w:rFonts w:ascii="仿宋" w:hAnsi="仿宋" w:eastAsia="仿宋" w:cs="仿宋"/>
          <w:kern w:val="0"/>
          <w:sz w:val="24"/>
          <w:szCs w:val="24"/>
          <w:highlight w:val="yellow"/>
        </w:rPr>
      </w:pPr>
    </w:p>
    <w:p>
      <w:pPr>
        <w:widowControl/>
        <w:spacing w:line="360" w:lineRule="auto"/>
        <w:ind w:firstLine="899"/>
        <w:jc w:val="left"/>
        <w:rPr>
          <w:rFonts w:ascii="仿宋" w:hAnsi="仿宋" w:eastAsia="仿宋" w:cs="仿宋"/>
          <w:kern w:val="0"/>
          <w:sz w:val="24"/>
          <w:szCs w:val="24"/>
          <w:highlight w:val="yellow"/>
        </w:rPr>
      </w:pPr>
    </w:p>
    <w:p>
      <w:pPr>
        <w:widowControl/>
        <w:spacing w:line="360" w:lineRule="auto"/>
        <w:ind w:firstLine="899"/>
        <w:jc w:val="left"/>
        <w:rPr>
          <w:rFonts w:ascii="仿宋" w:hAnsi="仿宋" w:eastAsia="仿宋" w:cs="仿宋"/>
          <w:kern w:val="0"/>
          <w:sz w:val="24"/>
          <w:szCs w:val="24"/>
          <w:highlight w:val="yellow"/>
        </w:rPr>
      </w:pPr>
    </w:p>
    <w:p>
      <w:pPr>
        <w:pStyle w:val="17"/>
        <w:rPr>
          <w:rFonts w:ascii="仿宋" w:hAnsi="仿宋" w:eastAsia="仿宋" w:cs="仿宋"/>
          <w:sz w:val="24"/>
          <w:szCs w:val="24"/>
          <w:highlight w:val="yellow"/>
        </w:rPr>
      </w:pPr>
    </w:p>
    <w:p>
      <w:pPr>
        <w:pStyle w:val="17"/>
        <w:rPr>
          <w:rFonts w:ascii="仿宋" w:hAnsi="仿宋" w:eastAsia="仿宋" w:cs="仿宋"/>
          <w:sz w:val="24"/>
          <w:szCs w:val="24"/>
          <w:highlight w:val="yellow"/>
        </w:rPr>
      </w:pPr>
    </w:p>
    <w:p>
      <w:pPr>
        <w:pStyle w:val="17"/>
        <w:rPr>
          <w:rFonts w:ascii="仿宋" w:hAnsi="仿宋" w:eastAsia="仿宋" w:cs="仿宋"/>
          <w:sz w:val="24"/>
          <w:szCs w:val="24"/>
          <w:highlight w:val="yellow"/>
        </w:rPr>
      </w:pPr>
    </w:p>
    <w:p>
      <w:pPr>
        <w:widowControl/>
        <w:spacing w:line="360" w:lineRule="auto"/>
        <w:ind w:firstLine="899"/>
        <w:jc w:val="left"/>
        <w:rPr>
          <w:rFonts w:ascii="仿宋" w:hAnsi="仿宋" w:eastAsia="仿宋" w:cs="仿宋"/>
          <w:kern w:val="0"/>
          <w:sz w:val="24"/>
          <w:szCs w:val="24"/>
          <w:highlight w:val="yellow"/>
        </w:rPr>
      </w:pPr>
    </w:p>
    <w:p>
      <w:pPr>
        <w:pStyle w:val="17"/>
        <w:rPr>
          <w:rFonts w:ascii="仿宋" w:hAnsi="仿宋" w:eastAsia="仿宋" w:cs="仿宋"/>
          <w:sz w:val="24"/>
          <w:szCs w:val="24"/>
        </w:rPr>
      </w:pPr>
      <w:r>
        <w:rPr>
          <w:rFonts w:hint="eastAsia" w:ascii="仿宋" w:hAnsi="仿宋" w:eastAsia="仿宋" w:cs="仿宋"/>
          <w:sz w:val="24"/>
          <w:szCs w:val="24"/>
        </w:rPr>
        <w:br w:type="page"/>
      </w:r>
    </w:p>
    <w:p>
      <w:pPr>
        <w:pStyle w:val="4"/>
        <w:jc w:val="center"/>
        <w:rPr>
          <w:rStyle w:val="62"/>
          <w:rFonts w:ascii="仿宋" w:hAnsi="仿宋" w:eastAsia="仿宋" w:cs="仿宋"/>
          <w:b/>
          <w:bCs w:val="0"/>
          <w:sz w:val="24"/>
          <w:szCs w:val="24"/>
        </w:rPr>
      </w:pPr>
      <w:bookmarkStart w:id="533" w:name="_Toc23416"/>
      <w:bookmarkStart w:id="534" w:name="_Toc45795252"/>
      <w:r>
        <w:rPr>
          <w:rStyle w:val="62"/>
          <w:rFonts w:hint="eastAsia" w:ascii="仿宋" w:hAnsi="仿宋" w:eastAsia="仿宋" w:cs="仿宋"/>
          <w:b/>
          <w:bCs w:val="0"/>
          <w:sz w:val="24"/>
          <w:szCs w:val="24"/>
        </w:rPr>
        <w:t>12、投标人基本情况说明</w:t>
      </w:r>
      <w:bookmarkEnd w:id="533"/>
    </w:p>
    <w:p>
      <w:pPr>
        <w:spacing w:line="360" w:lineRule="auto"/>
        <w:rPr>
          <w:rFonts w:ascii="仿宋" w:hAnsi="仿宋" w:eastAsia="仿宋" w:cs="仿宋"/>
          <w:b/>
          <w:bCs/>
          <w:sz w:val="24"/>
          <w:szCs w:val="24"/>
        </w:rPr>
      </w:pPr>
      <w:r>
        <w:rPr>
          <w:rFonts w:hint="eastAsia" w:ascii="仿宋" w:hAnsi="仿宋" w:eastAsia="仿宋" w:cs="仿宋"/>
          <w:b/>
          <w:bCs/>
          <w:sz w:val="24"/>
          <w:szCs w:val="24"/>
        </w:rPr>
        <w:t>一、公司简介：</w:t>
      </w:r>
    </w:p>
    <w:p>
      <w:pPr>
        <w:rPr>
          <w:rFonts w:ascii="仿宋" w:hAnsi="仿宋" w:eastAsia="仿宋" w:cs="仿宋"/>
          <w:sz w:val="24"/>
          <w:szCs w:val="24"/>
        </w:rPr>
      </w:pPr>
      <w:r>
        <w:rPr>
          <w:rFonts w:hint="eastAsia" w:ascii="仿宋" w:hAnsi="仿宋" w:eastAsia="仿宋" w:cs="仿宋"/>
          <w:sz w:val="24"/>
          <w:szCs w:val="24"/>
        </w:rPr>
        <w:t>二、</w:t>
      </w:r>
    </w:p>
    <w:p>
      <w:pPr>
        <w:pStyle w:val="17"/>
        <w:jc w:val="center"/>
        <w:rPr>
          <w:rFonts w:ascii="仿宋" w:hAnsi="仿宋" w:eastAsia="仿宋" w:cs="仿宋"/>
          <w:b/>
          <w:bCs/>
          <w:sz w:val="24"/>
          <w:szCs w:val="24"/>
        </w:rPr>
      </w:pPr>
      <w:r>
        <w:rPr>
          <w:rFonts w:hint="eastAsia" w:ascii="仿宋" w:hAnsi="仿宋" w:eastAsia="仿宋" w:cs="仿宋"/>
          <w:b/>
          <w:bCs/>
          <w:sz w:val="24"/>
          <w:szCs w:val="24"/>
        </w:rPr>
        <w:t>企业信息一览表</w:t>
      </w:r>
    </w:p>
    <w:tbl>
      <w:tblPr>
        <w:tblStyle w:val="30"/>
        <w:tblW w:w="9682" w:type="dxa"/>
        <w:tblInd w:w="-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217"/>
        <w:gridCol w:w="1217"/>
        <w:gridCol w:w="1217"/>
        <w:gridCol w:w="1218"/>
        <w:gridCol w:w="1218"/>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736" w:type="dxa"/>
            <w:vAlign w:val="center"/>
          </w:tcPr>
          <w:p>
            <w:pPr>
              <w:pStyle w:val="17"/>
              <w:jc w:val="center"/>
              <w:rPr>
                <w:rFonts w:ascii="仿宋" w:hAnsi="仿宋" w:eastAsia="仿宋" w:cs="仿宋"/>
                <w:sz w:val="24"/>
                <w:szCs w:val="24"/>
              </w:rPr>
            </w:pPr>
            <w:r>
              <w:rPr>
                <w:rFonts w:hint="eastAsia" w:ascii="仿宋" w:hAnsi="仿宋" w:eastAsia="仿宋" w:cs="仿宋"/>
                <w:sz w:val="24"/>
                <w:szCs w:val="24"/>
              </w:rPr>
              <w:t>投标人名称</w:t>
            </w:r>
          </w:p>
        </w:tc>
        <w:tc>
          <w:tcPr>
            <w:tcW w:w="7946" w:type="dxa"/>
            <w:gridSpan w:val="6"/>
            <w:vAlign w:val="center"/>
          </w:tcPr>
          <w:p>
            <w:pPr>
              <w:pStyle w:val="17"/>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736" w:type="dxa"/>
            <w:vAlign w:val="center"/>
          </w:tcPr>
          <w:p>
            <w:pPr>
              <w:pStyle w:val="17"/>
              <w:jc w:val="center"/>
              <w:rPr>
                <w:rFonts w:ascii="仿宋" w:hAnsi="仿宋" w:eastAsia="仿宋" w:cs="仿宋"/>
                <w:sz w:val="24"/>
                <w:szCs w:val="24"/>
              </w:rPr>
            </w:pPr>
            <w:r>
              <w:rPr>
                <w:rFonts w:hint="eastAsia" w:ascii="仿宋" w:hAnsi="仿宋" w:eastAsia="仿宋" w:cs="仿宋"/>
                <w:sz w:val="24"/>
                <w:szCs w:val="24"/>
              </w:rPr>
              <w:t>注册地址</w:t>
            </w:r>
          </w:p>
        </w:tc>
        <w:tc>
          <w:tcPr>
            <w:tcW w:w="3651" w:type="dxa"/>
            <w:gridSpan w:val="3"/>
            <w:vAlign w:val="center"/>
          </w:tcPr>
          <w:p>
            <w:pPr>
              <w:pStyle w:val="17"/>
              <w:jc w:val="center"/>
              <w:rPr>
                <w:rFonts w:ascii="仿宋" w:hAnsi="仿宋" w:eastAsia="仿宋" w:cs="仿宋"/>
                <w:sz w:val="24"/>
                <w:szCs w:val="24"/>
              </w:rPr>
            </w:pPr>
          </w:p>
        </w:tc>
        <w:tc>
          <w:tcPr>
            <w:tcW w:w="1218" w:type="dxa"/>
            <w:vAlign w:val="center"/>
          </w:tcPr>
          <w:p>
            <w:pPr>
              <w:pStyle w:val="17"/>
              <w:jc w:val="center"/>
              <w:rPr>
                <w:rFonts w:ascii="仿宋" w:hAnsi="仿宋" w:eastAsia="仿宋" w:cs="仿宋"/>
                <w:sz w:val="24"/>
                <w:szCs w:val="24"/>
              </w:rPr>
            </w:pPr>
            <w:r>
              <w:rPr>
                <w:rFonts w:hint="eastAsia" w:ascii="仿宋" w:hAnsi="仿宋" w:eastAsia="仿宋" w:cs="仿宋"/>
                <w:sz w:val="24"/>
                <w:szCs w:val="24"/>
              </w:rPr>
              <w:t>邮政编码</w:t>
            </w:r>
          </w:p>
        </w:tc>
        <w:tc>
          <w:tcPr>
            <w:tcW w:w="3077" w:type="dxa"/>
            <w:gridSpan w:val="2"/>
            <w:vAlign w:val="center"/>
          </w:tcPr>
          <w:p>
            <w:pPr>
              <w:pStyle w:val="17"/>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736" w:type="dxa"/>
            <w:vMerge w:val="restart"/>
            <w:vAlign w:val="center"/>
          </w:tcPr>
          <w:p>
            <w:pPr>
              <w:pStyle w:val="17"/>
              <w:jc w:val="center"/>
              <w:rPr>
                <w:rFonts w:ascii="仿宋" w:hAnsi="仿宋" w:eastAsia="仿宋" w:cs="仿宋"/>
                <w:sz w:val="24"/>
                <w:szCs w:val="24"/>
              </w:rPr>
            </w:pPr>
            <w:r>
              <w:rPr>
                <w:rFonts w:hint="eastAsia" w:ascii="仿宋" w:hAnsi="仿宋" w:eastAsia="仿宋" w:cs="仿宋"/>
                <w:sz w:val="24"/>
                <w:szCs w:val="24"/>
              </w:rPr>
              <w:t>联系方式</w:t>
            </w:r>
          </w:p>
        </w:tc>
        <w:tc>
          <w:tcPr>
            <w:tcW w:w="1217" w:type="dxa"/>
            <w:vAlign w:val="center"/>
          </w:tcPr>
          <w:p>
            <w:pPr>
              <w:pStyle w:val="17"/>
              <w:jc w:val="center"/>
              <w:rPr>
                <w:rFonts w:ascii="仿宋" w:hAnsi="仿宋" w:eastAsia="仿宋" w:cs="仿宋"/>
                <w:sz w:val="24"/>
                <w:szCs w:val="24"/>
              </w:rPr>
            </w:pPr>
            <w:r>
              <w:rPr>
                <w:rFonts w:hint="eastAsia" w:ascii="仿宋" w:hAnsi="仿宋" w:eastAsia="仿宋" w:cs="仿宋"/>
                <w:sz w:val="24"/>
                <w:szCs w:val="24"/>
              </w:rPr>
              <w:t>联系人</w:t>
            </w:r>
          </w:p>
        </w:tc>
        <w:tc>
          <w:tcPr>
            <w:tcW w:w="2434" w:type="dxa"/>
            <w:gridSpan w:val="2"/>
            <w:vAlign w:val="center"/>
          </w:tcPr>
          <w:p>
            <w:pPr>
              <w:pStyle w:val="17"/>
              <w:jc w:val="center"/>
              <w:rPr>
                <w:rFonts w:ascii="仿宋" w:hAnsi="仿宋" w:eastAsia="仿宋" w:cs="仿宋"/>
                <w:sz w:val="24"/>
                <w:szCs w:val="24"/>
              </w:rPr>
            </w:pPr>
          </w:p>
        </w:tc>
        <w:tc>
          <w:tcPr>
            <w:tcW w:w="1218" w:type="dxa"/>
            <w:vAlign w:val="center"/>
          </w:tcPr>
          <w:p>
            <w:pPr>
              <w:pStyle w:val="17"/>
              <w:jc w:val="center"/>
              <w:rPr>
                <w:rFonts w:ascii="仿宋" w:hAnsi="仿宋" w:eastAsia="仿宋" w:cs="仿宋"/>
                <w:sz w:val="24"/>
                <w:szCs w:val="24"/>
              </w:rPr>
            </w:pPr>
            <w:r>
              <w:rPr>
                <w:rFonts w:hint="eastAsia" w:ascii="仿宋" w:hAnsi="仿宋" w:eastAsia="仿宋" w:cs="仿宋"/>
                <w:sz w:val="24"/>
                <w:szCs w:val="24"/>
              </w:rPr>
              <w:t>联系电话</w:t>
            </w:r>
          </w:p>
        </w:tc>
        <w:tc>
          <w:tcPr>
            <w:tcW w:w="3077" w:type="dxa"/>
            <w:gridSpan w:val="2"/>
            <w:vAlign w:val="center"/>
          </w:tcPr>
          <w:p>
            <w:pPr>
              <w:pStyle w:val="17"/>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36" w:type="dxa"/>
            <w:vMerge w:val="continue"/>
            <w:vAlign w:val="center"/>
          </w:tcPr>
          <w:p>
            <w:pPr>
              <w:pStyle w:val="17"/>
              <w:jc w:val="center"/>
              <w:rPr>
                <w:rFonts w:ascii="仿宋" w:hAnsi="仿宋" w:eastAsia="仿宋" w:cs="仿宋"/>
                <w:sz w:val="24"/>
                <w:szCs w:val="24"/>
              </w:rPr>
            </w:pPr>
          </w:p>
        </w:tc>
        <w:tc>
          <w:tcPr>
            <w:tcW w:w="1217" w:type="dxa"/>
            <w:vAlign w:val="center"/>
          </w:tcPr>
          <w:p>
            <w:pPr>
              <w:pStyle w:val="17"/>
              <w:jc w:val="center"/>
              <w:rPr>
                <w:rFonts w:ascii="仿宋" w:hAnsi="仿宋" w:eastAsia="仿宋" w:cs="仿宋"/>
                <w:sz w:val="24"/>
                <w:szCs w:val="24"/>
              </w:rPr>
            </w:pPr>
            <w:r>
              <w:rPr>
                <w:rFonts w:hint="eastAsia" w:ascii="仿宋" w:hAnsi="仿宋" w:eastAsia="仿宋" w:cs="仿宋"/>
                <w:sz w:val="24"/>
                <w:szCs w:val="24"/>
              </w:rPr>
              <w:t>传真</w:t>
            </w:r>
          </w:p>
        </w:tc>
        <w:tc>
          <w:tcPr>
            <w:tcW w:w="2434" w:type="dxa"/>
            <w:gridSpan w:val="2"/>
            <w:vAlign w:val="center"/>
          </w:tcPr>
          <w:p>
            <w:pPr>
              <w:pStyle w:val="17"/>
              <w:jc w:val="center"/>
              <w:rPr>
                <w:rFonts w:ascii="仿宋" w:hAnsi="仿宋" w:eastAsia="仿宋" w:cs="仿宋"/>
                <w:sz w:val="24"/>
                <w:szCs w:val="24"/>
              </w:rPr>
            </w:pPr>
          </w:p>
        </w:tc>
        <w:tc>
          <w:tcPr>
            <w:tcW w:w="1218" w:type="dxa"/>
            <w:vAlign w:val="center"/>
          </w:tcPr>
          <w:p>
            <w:pPr>
              <w:pStyle w:val="17"/>
              <w:jc w:val="center"/>
              <w:rPr>
                <w:rFonts w:ascii="仿宋" w:hAnsi="仿宋" w:eastAsia="仿宋" w:cs="仿宋"/>
                <w:sz w:val="24"/>
                <w:szCs w:val="24"/>
              </w:rPr>
            </w:pPr>
            <w:r>
              <w:rPr>
                <w:rFonts w:hint="eastAsia" w:ascii="仿宋" w:hAnsi="仿宋" w:eastAsia="仿宋" w:cs="仿宋"/>
                <w:sz w:val="24"/>
                <w:szCs w:val="24"/>
              </w:rPr>
              <w:t>邮箱</w:t>
            </w:r>
          </w:p>
        </w:tc>
        <w:tc>
          <w:tcPr>
            <w:tcW w:w="3077" w:type="dxa"/>
            <w:gridSpan w:val="2"/>
            <w:vAlign w:val="center"/>
          </w:tcPr>
          <w:p>
            <w:pPr>
              <w:pStyle w:val="17"/>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736" w:type="dxa"/>
            <w:vAlign w:val="center"/>
          </w:tcPr>
          <w:p>
            <w:pPr>
              <w:pStyle w:val="17"/>
              <w:jc w:val="center"/>
              <w:rPr>
                <w:rFonts w:ascii="仿宋" w:hAnsi="仿宋" w:eastAsia="仿宋" w:cs="仿宋"/>
                <w:sz w:val="24"/>
                <w:szCs w:val="24"/>
              </w:rPr>
            </w:pPr>
            <w:r>
              <w:rPr>
                <w:rFonts w:hint="eastAsia" w:ascii="仿宋" w:hAnsi="仿宋" w:eastAsia="仿宋" w:cs="仿宋"/>
                <w:sz w:val="24"/>
                <w:szCs w:val="24"/>
              </w:rPr>
              <w:t>企业性质</w:t>
            </w:r>
          </w:p>
        </w:tc>
        <w:tc>
          <w:tcPr>
            <w:tcW w:w="7946" w:type="dxa"/>
            <w:gridSpan w:val="6"/>
            <w:vAlign w:val="center"/>
          </w:tcPr>
          <w:p>
            <w:pPr>
              <w:pStyle w:val="17"/>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36" w:type="dxa"/>
            <w:vAlign w:val="center"/>
          </w:tcPr>
          <w:p>
            <w:pPr>
              <w:pStyle w:val="17"/>
              <w:jc w:val="center"/>
              <w:rPr>
                <w:rFonts w:ascii="仿宋" w:hAnsi="仿宋" w:eastAsia="仿宋" w:cs="仿宋"/>
                <w:sz w:val="24"/>
                <w:szCs w:val="24"/>
              </w:rPr>
            </w:pPr>
            <w:r>
              <w:rPr>
                <w:rFonts w:hint="eastAsia" w:ascii="仿宋" w:hAnsi="仿宋" w:eastAsia="仿宋" w:cs="仿宋"/>
                <w:sz w:val="24"/>
                <w:szCs w:val="24"/>
              </w:rPr>
              <w:t>法定代表人</w:t>
            </w:r>
          </w:p>
        </w:tc>
        <w:tc>
          <w:tcPr>
            <w:tcW w:w="1217" w:type="dxa"/>
            <w:vAlign w:val="center"/>
          </w:tcPr>
          <w:p>
            <w:pPr>
              <w:pStyle w:val="17"/>
              <w:jc w:val="center"/>
              <w:rPr>
                <w:rFonts w:ascii="仿宋" w:hAnsi="仿宋" w:eastAsia="仿宋" w:cs="仿宋"/>
                <w:sz w:val="24"/>
                <w:szCs w:val="24"/>
              </w:rPr>
            </w:pPr>
            <w:r>
              <w:rPr>
                <w:rFonts w:hint="eastAsia" w:ascii="仿宋" w:hAnsi="仿宋" w:eastAsia="仿宋" w:cs="仿宋"/>
                <w:sz w:val="24"/>
                <w:szCs w:val="24"/>
              </w:rPr>
              <w:t>姓名</w:t>
            </w:r>
          </w:p>
        </w:tc>
        <w:tc>
          <w:tcPr>
            <w:tcW w:w="1217" w:type="dxa"/>
            <w:vAlign w:val="center"/>
          </w:tcPr>
          <w:p>
            <w:pPr>
              <w:pStyle w:val="17"/>
              <w:jc w:val="center"/>
              <w:rPr>
                <w:rFonts w:ascii="仿宋" w:hAnsi="仿宋" w:eastAsia="仿宋" w:cs="仿宋"/>
                <w:sz w:val="24"/>
                <w:szCs w:val="24"/>
              </w:rPr>
            </w:pPr>
          </w:p>
        </w:tc>
        <w:tc>
          <w:tcPr>
            <w:tcW w:w="1217" w:type="dxa"/>
            <w:vAlign w:val="center"/>
          </w:tcPr>
          <w:p>
            <w:pPr>
              <w:pStyle w:val="17"/>
              <w:jc w:val="center"/>
              <w:rPr>
                <w:rFonts w:ascii="仿宋" w:hAnsi="仿宋" w:eastAsia="仿宋" w:cs="仿宋"/>
                <w:sz w:val="24"/>
                <w:szCs w:val="24"/>
              </w:rPr>
            </w:pPr>
            <w:r>
              <w:rPr>
                <w:rFonts w:hint="eastAsia" w:ascii="仿宋" w:hAnsi="仿宋" w:eastAsia="仿宋" w:cs="仿宋"/>
                <w:sz w:val="24"/>
                <w:szCs w:val="24"/>
              </w:rPr>
              <w:t>技术职称</w:t>
            </w:r>
          </w:p>
        </w:tc>
        <w:tc>
          <w:tcPr>
            <w:tcW w:w="1218" w:type="dxa"/>
            <w:vAlign w:val="center"/>
          </w:tcPr>
          <w:p>
            <w:pPr>
              <w:pStyle w:val="17"/>
              <w:jc w:val="center"/>
              <w:rPr>
                <w:rFonts w:ascii="仿宋" w:hAnsi="仿宋" w:eastAsia="仿宋" w:cs="仿宋"/>
                <w:sz w:val="24"/>
                <w:szCs w:val="24"/>
              </w:rPr>
            </w:pPr>
          </w:p>
        </w:tc>
        <w:tc>
          <w:tcPr>
            <w:tcW w:w="1218" w:type="dxa"/>
            <w:vAlign w:val="center"/>
          </w:tcPr>
          <w:p>
            <w:pPr>
              <w:pStyle w:val="17"/>
              <w:jc w:val="center"/>
              <w:rPr>
                <w:rFonts w:ascii="仿宋" w:hAnsi="仿宋" w:eastAsia="仿宋" w:cs="仿宋"/>
                <w:sz w:val="24"/>
                <w:szCs w:val="24"/>
              </w:rPr>
            </w:pPr>
            <w:r>
              <w:rPr>
                <w:rFonts w:hint="eastAsia" w:ascii="仿宋" w:hAnsi="仿宋" w:eastAsia="仿宋" w:cs="仿宋"/>
                <w:sz w:val="24"/>
                <w:szCs w:val="24"/>
              </w:rPr>
              <w:t>电话</w:t>
            </w:r>
          </w:p>
        </w:tc>
        <w:tc>
          <w:tcPr>
            <w:tcW w:w="1859" w:type="dxa"/>
            <w:vAlign w:val="center"/>
          </w:tcPr>
          <w:p>
            <w:pPr>
              <w:pStyle w:val="17"/>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36" w:type="dxa"/>
            <w:vAlign w:val="center"/>
          </w:tcPr>
          <w:p>
            <w:pPr>
              <w:pStyle w:val="17"/>
              <w:jc w:val="center"/>
              <w:rPr>
                <w:rFonts w:ascii="仿宋" w:hAnsi="仿宋" w:eastAsia="仿宋" w:cs="仿宋"/>
                <w:sz w:val="24"/>
                <w:szCs w:val="24"/>
              </w:rPr>
            </w:pPr>
            <w:r>
              <w:rPr>
                <w:rFonts w:hint="eastAsia" w:ascii="仿宋" w:hAnsi="仿宋" w:eastAsia="仿宋" w:cs="仿宋"/>
                <w:sz w:val="24"/>
                <w:szCs w:val="24"/>
              </w:rPr>
              <w:t>技术负责人</w:t>
            </w:r>
          </w:p>
        </w:tc>
        <w:tc>
          <w:tcPr>
            <w:tcW w:w="1217" w:type="dxa"/>
            <w:vAlign w:val="center"/>
          </w:tcPr>
          <w:p>
            <w:pPr>
              <w:pStyle w:val="17"/>
              <w:jc w:val="center"/>
              <w:rPr>
                <w:rFonts w:ascii="仿宋" w:hAnsi="仿宋" w:eastAsia="仿宋" w:cs="仿宋"/>
                <w:sz w:val="24"/>
                <w:szCs w:val="24"/>
              </w:rPr>
            </w:pPr>
            <w:r>
              <w:rPr>
                <w:rFonts w:hint="eastAsia" w:ascii="仿宋" w:hAnsi="仿宋" w:eastAsia="仿宋" w:cs="仿宋"/>
                <w:sz w:val="24"/>
                <w:szCs w:val="24"/>
              </w:rPr>
              <w:t>姓名</w:t>
            </w:r>
          </w:p>
        </w:tc>
        <w:tc>
          <w:tcPr>
            <w:tcW w:w="1217" w:type="dxa"/>
            <w:vAlign w:val="center"/>
          </w:tcPr>
          <w:p>
            <w:pPr>
              <w:pStyle w:val="17"/>
              <w:jc w:val="center"/>
              <w:rPr>
                <w:rFonts w:ascii="仿宋" w:hAnsi="仿宋" w:eastAsia="仿宋" w:cs="仿宋"/>
                <w:sz w:val="24"/>
                <w:szCs w:val="24"/>
              </w:rPr>
            </w:pPr>
          </w:p>
        </w:tc>
        <w:tc>
          <w:tcPr>
            <w:tcW w:w="1217" w:type="dxa"/>
            <w:vAlign w:val="center"/>
          </w:tcPr>
          <w:p>
            <w:pPr>
              <w:pStyle w:val="17"/>
              <w:jc w:val="center"/>
              <w:rPr>
                <w:rFonts w:ascii="仿宋" w:hAnsi="仿宋" w:eastAsia="仿宋" w:cs="仿宋"/>
                <w:sz w:val="24"/>
                <w:szCs w:val="24"/>
              </w:rPr>
            </w:pPr>
            <w:r>
              <w:rPr>
                <w:rFonts w:hint="eastAsia" w:ascii="仿宋" w:hAnsi="仿宋" w:eastAsia="仿宋" w:cs="仿宋"/>
                <w:sz w:val="24"/>
                <w:szCs w:val="24"/>
              </w:rPr>
              <w:t>技术职称</w:t>
            </w:r>
          </w:p>
        </w:tc>
        <w:tc>
          <w:tcPr>
            <w:tcW w:w="1218" w:type="dxa"/>
            <w:vAlign w:val="center"/>
          </w:tcPr>
          <w:p>
            <w:pPr>
              <w:pStyle w:val="17"/>
              <w:jc w:val="center"/>
              <w:rPr>
                <w:rFonts w:ascii="仿宋" w:hAnsi="仿宋" w:eastAsia="仿宋" w:cs="仿宋"/>
                <w:sz w:val="24"/>
                <w:szCs w:val="24"/>
              </w:rPr>
            </w:pPr>
          </w:p>
        </w:tc>
        <w:tc>
          <w:tcPr>
            <w:tcW w:w="1218" w:type="dxa"/>
            <w:vAlign w:val="center"/>
          </w:tcPr>
          <w:p>
            <w:pPr>
              <w:pStyle w:val="17"/>
              <w:jc w:val="center"/>
              <w:rPr>
                <w:rFonts w:ascii="仿宋" w:hAnsi="仿宋" w:eastAsia="仿宋" w:cs="仿宋"/>
                <w:sz w:val="24"/>
                <w:szCs w:val="24"/>
              </w:rPr>
            </w:pPr>
            <w:r>
              <w:rPr>
                <w:rFonts w:hint="eastAsia" w:ascii="仿宋" w:hAnsi="仿宋" w:eastAsia="仿宋" w:cs="仿宋"/>
                <w:sz w:val="24"/>
                <w:szCs w:val="24"/>
              </w:rPr>
              <w:t>电话</w:t>
            </w:r>
          </w:p>
        </w:tc>
        <w:tc>
          <w:tcPr>
            <w:tcW w:w="1859" w:type="dxa"/>
            <w:vAlign w:val="center"/>
          </w:tcPr>
          <w:p>
            <w:pPr>
              <w:pStyle w:val="17"/>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736" w:type="dxa"/>
            <w:vAlign w:val="center"/>
          </w:tcPr>
          <w:p>
            <w:pPr>
              <w:pStyle w:val="17"/>
              <w:jc w:val="center"/>
              <w:rPr>
                <w:rFonts w:ascii="仿宋" w:hAnsi="仿宋" w:eastAsia="仿宋" w:cs="仿宋"/>
                <w:sz w:val="24"/>
                <w:szCs w:val="24"/>
              </w:rPr>
            </w:pPr>
            <w:r>
              <w:rPr>
                <w:rFonts w:hint="eastAsia" w:ascii="仿宋" w:hAnsi="仿宋" w:eastAsia="仿宋" w:cs="仿宋"/>
                <w:sz w:val="24"/>
                <w:szCs w:val="24"/>
              </w:rPr>
              <w:t>成立时间</w:t>
            </w:r>
          </w:p>
        </w:tc>
        <w:tc>
          <w:tcPr>
            <w:tcW w:w="2434" w:type="dxa"/>
            <w:gridSpan w:val="2"/>
            <w:vAlign w:val="center"/>
          </w:tcPr>
          <w:p>
            <w:pPr>
              <w:pStyle w:val="17"/>
              <w:jc w:val="center"/>
              <w:rPr>
                <w:rFonts w:ascii="仿宋" w:hAnsi="仿宋" w:eastAsia="仿宋" w:cs="仿宋"/>
                <w:sz w:val="24"/>
                <w:szCs w:val="24"/>
              </w:rPr>
            </w:pPr>
          </w:p>
        </w:tc>
        <w:tc>
          <w:tcPr>
            <w:tcW w:w="5512" w:type="dxa"/>
            <w:gridSpan w:val="4"/>
            <w:vAlign w:val="center"/>
          </w:tcPr>
          <w:p>
            <w:pPr>
              <w:pStyle w:val="17"/>
              <w:jc w:val="both"/>
              <w:rPr>
                <w:rFonts w:ascii="仿宋" w:hAnsi="仿宋" w:eastAsia="仿宋" w:cs="仿宋"/>
                <w:sz w:val="24"/>
                <w:szCs w:val="24"/>
              </w:rPr>
            </w:pPr>
            <w:r>
              <w:rPr>
                <w:rFonts w:hint="eastAsia" w:ascii="仿宋" w:hAnsi="仿宋" w:eastAsia="仿宋" w:cs="仿宋"/>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36" w:type="dxa"/>
            <w:vAlign w:val="center"/>
          </w:tcPr>
          <w:p>
            <w:pPr>
              <w:pStyle w:val="17"/>
              <w:jc w:val="center"/>
              <w:rPr>
                <w:rFonts w:ascii="仿宋" w:hAnsi="仿宋" w:eastAsia="仿宋" w:cs="仿宋"/>
                <w:sz w:val="24"/>
                <w:szCs w:val="24"/>
              </w:rPr>
            </w:pPr>
            <w:r>
              <w:rPr>
                <w:rFonts w:hint="eastAsia" w:ascii="仿宋" w:hAnsi="仿宋" w:eastAsia="仿宋" w:cs="仿宋"/>
                <w:sz w:val="24"/>
                <w:szCs w:val="24"/>
              </w:rPr>
              <w:t>营业执照号</w:t>
            </w:r>
          </w:p>
        </w:tc>
        <w:tc>
          <w:tcPr>
            <w:tcW w:w="7946" w:type="dxa"/>
            <w:gridSpan w:val="6"/>
            <w:vAlign w:val="center"/>
          </w:tcPr>
          <w:p>
            <w:pPr>
              <w:pStyle w:val="17"/>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36" w:type="dxa"/>
            <w:vAlign w:val="center"/>
          </w:tcPr>
          <w:p>
            <w:pPr>
              <w:pStyle w:val="17"/>
              <w:jc w:val="center"/>
              <w:rPr>
                <w:rFonts w:ascii="仿宋" w:hAnsi="仿宋" w:eastAsia="仿宋" w:cs="仿宋"/>
                <w:sz w:val="24"/>
                <w:szCs w:val="24"/>
              </w:rPr>
            </w:pPr>
            <w:r>
              <w:rPr>
                <w:rFonts w:hint="eastAsia" w:ascii="仿宋" w:hAnsi="仿宋" w:eastAsia="仿宋" w:cs="仿宋"/>
                <w:sz w:val="24"/>
                <w:szCs w:val="24"/>
              </w:rPr>
              <w:t>注册时间</w:t>
            </w:r>
          </w:p>
        </w:tc>
        <w:tc>
          <w:tcPr>
            <w:tcW w:w="7946" w:type="dxa"/>
            <w:gridSpan w:val="6"/>
            <w:vAlign w:val="center"/>
          </w:tcPr>
          <w:p>
            <w:pPr>
              <w:pStyle w:val="17"/>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736" w:type="dxa"/>
            <w:vAlign w:val="center"/>
          </w:tcPr>
          <w:p>
            <w:pPr>
              <w:pStyle w:val="17"/>
              <w:jc w:val="center"/>
              <w:rPr>
                <w:rFonts w:ascii="仿宋" w:hAnsi="仿宋" w:eastAsia="仿宋" w:cs="仿宋"/>
                <w:sz w:val="24"/>
                <w:szCs w:val="24"/>
              </w:rPr>
            </w:pPr>
            <w:r>
              <w:rPr>
                <w:rFonts w:hint="eastAsia" w:ascii="仿宋" w:hAnsi="仿宋" w:eastAsia="仿宋" w:cs="仿宋"/>
                <w:sz w:val="24"/>
                <w:szCs w:val="24"/>
              </w:rPr>
              <w:t>开户银行</w:t>
            </w:r>
          </w:p>
        </w:tc>
        <w:tc>
          <w:tcPr>
            <w:tcW w:w="7946" w:type="dxa"/>
            <w:gridSpan w:val="6"/>
            <w:vAlign w:val="center"/>
          </w:tcPr>
          <w:p>
            <w:pPr>
              <w:pStyle w:val="17"/>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736" w:type="dxa"/>
            <w:vAlign w:val="center"/>
          </w:tcPr>
          <w:p>
            <w:pPr>
              <w:pStyle w:val="17"/>
              <w:jc w:val="center"/>
              <w:rPr>
                <w:rFonts w:ascii="仿宋" w:hAnsi="仿宋" w:eastAsia="仿宋" w:cs="仿宋"/>
                <w:sz w:val="24"/>
                <w:szCs w:val="24"/>
              </w:rPr>
            </w:pPr>
            <w:r>
              <w:rPr>
                <w:rFonts w:hint="eastAsia" w:ascii="仿宋" w:hAnsi="仿宋" w:eastAsia="仿宋" w:cs="仿宋"/>
                <w:sz w:val="24"/>
                <w:szCs w:val="24"/>
              </w:rPr>
              <w:t>银行账号</w:t>
            </w:r>
          </w:p>
        </w:tc>
        <w:tc>
          <w:tcPr>
            <w:tcW w:w="7946" w:type="dxa"/>
            <w:gridSpan w:val="6"/>
            <w:vAlign w:val="center"/>
          </w:tcPr>
          <w:p>
            <w:pPr>
              <w:pStyle w:val="17"/>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736" w:type="dxa"/>
            <w:vAlign w:val="center"/>
          </w:tcPr>
          <w:p>
            <w:pPr>
              <w:pStyle w:val="17"/>
              <w:jc w:val="center"/>
              <w:rPr>
                <w:rFonts w:ascii="仿宋" w:hAnsi="仿宋" w:eastAsia="仿宋" w:cs="仿宋"/>
                <w:sz w:val="24"/>
                <w:szCs w:val="24"/>
              </w:rPr>
            </w:pPr>
            <w:r>
              <w:rPr>
                <w:rFonts w:hint="eastAsia" w:ascii="仿宋" w:hAnsi="仿宋" w:eastAsia="仿宋" w:cs="仿宋"/>
                <w:sz w:val="24"/>
                <w:szCs w:val="24"/>
              </w:rPr>
              <w:t>经营范围备注</w:t>
            </w:r>
          </w:p>
        </w:tc>
        <w:tc>
          <w:tcPr>
            <w:tcW w:w="7946" w:type="dxa"/>
            <w:gridSpan w:val="6"/>
            <w:vAlign w:val="center"/>
          </w:tcPr>
          <w:p>
            <w:pPr>
              <w:pStyle w:val="17"/>
              <w:jc w:val="center"/>
              <w:rPr>
                <w:rFonts w:ascii="仿宋" w:hAnsi="仿宋" w:eastAsia="仿宋" w:cs="仿宋"/>
                <w:sz w:val="24"/>
                <w:szCs w:val="24"/>
              </w:rPr>
            </w:pPr>
          </w:p>
        </w:tc>
      </w:tr>
    </w:tbl>
    <w:p>
      <w:pPr>
        <w:spacing w:line="420" w:lineRule="exact"/>
        <w:ind w:right="561"/>
        <w:rPr>
          <w:rFonts w:ascii="仿宋" w:hAnsi="仿宋" w:eastAsia="仿宋" w:cs="仿宋"/>
          <w:sz w:val="24"/>
          <w:szCs w:val="24"/>
        </w:rPr>
      </w:pPr>
    </w:p>
    <w:p>
      <w:pPr>
        <w:spacing w:line="420" w:lineRule="exact"/>
        <w:ind w:right="561"/>
        <w:rPr>
          <w:rFonts w:ascii="仿宋" w:hAnsi="仿宋" w:eastAsia="仿宋" w:cs="仿宋"/>
          <w:sz w:val="24"/>
          <w:szCs w:val="24"/>
        </w:rPr>
      </w:pPr>
      <w:r>
        <w:rPr>
          <w:rFonts w:hint="eastAsia" w:ascii="仿宋" w:hAnsi="仿宋" w:eastAsia="仿宋" w:cs="仿宋"/>
          <w:sz w:val="24"/>
          <w:szCs w:val="24"/>
        </w:rPr>
        <w:t>投标人名称（加盖公章）：</w:t>
      </w:r>
    </w:p>
    <w:p>
      <w:pPr>
        <w:spacing w:line="420" w:lineRule="exact"/>
        <w:ind w:right="561"/>
        <w:rPr>
          <w:rFonts w:ascii="仿宋" w:hAnsi="仿宋" w:eastAsia="仿宋" w:cs="仿宋"/>
          <w:sz w:val="24"/>
          <w:szCs w:val="24"/>
        </w:rPr>
      </w:pPr>
      <w:r>
        <w:rPr>
          <w:rFonts w:hint="eastAsia" w:ascii="仿宋" w:hAnsi="仿宋" w:eastAsia="仿宋" w:cs="仿宋"/>
          <w:sz w:val="24"/>
          <w:szCs w:val="24"/>
        </w:rPr>
        <w:t>投标人法定代表人或受委托人（签名或盖私章）：</w:t>
      </w:r>
    </w:p>
    <w:p>
      <w:pPr>
        <w:spacing w:line="420" w:lineRule="exact"/>
        <w:ind w:right="561"/>
        <w:rPr>
          <w:rFonts w:ascii="仿宋" w:hAnsi="仿宋" w:eastAsia="仿宋" w:cs="仿宋"/>
          <w:sz w:val="24"/>
          <w:szCs w:val="24"/>
        </w:rPr>
      </w:pPr>
      <w:r>
        <w:rPr>
          <w:rFonts w:hint="eastAsia" w:ascii="仿宋" w:hAnsi="仿宋" w:eastAsia="仿宋" w:cs="仿宋"/>
          <w:sz w:val="24"/>
          <w:szCs w:val="24"/>
        </w:rPr>
        <w:t>日      期：</w:t>
      </w:r>
    </w:p>
    <w:p>
      <w:pPr>
        <w:pStyle w:val="4"/>
        <w:jc w:val="center"/>
        <w:rPr>
          <w:rStyle w:val="62"/>
          <w:rFonts w:ascii="仿宋" w:hAnsi="仿宋" w:eastAsia="仿宋" w:cs="仿宋"/>
          <w:b/>
          <w:bCs w:val="0"/>
          <w:sz w:val="24"/>
          <w:szCs w:val="24"/>
        </w:rPr>
      </w:pPr>
      <w:bookmarkStart w:id="535" w:name="_Toc545"/>
      <w:r>
        <w:rPr>
          <w:rStyle w:val="62"/>
          <w:rFonts w:hint="eastAsia" w:ascii="仿宋" w:hAnsi="仿宋" w:eastAsia="仿宋" w:cs="仿宋"/>
          <w:b/>
          <w:bCs w:val="0"/>
          <w:sz w:val="24"/>
          <w:szCs w:val="24"/>
        </w:rPr>
        <w:t>13、项目人员配置情况表</w:t>
      </w:r>
      <w:bookmarkEnd w:id="535"/>
    </w:p>
    <w:p>
      <w:pPr>
        <w:pStyle w:val="68"/>
        <w:spacing w:line="420" w:lineRule="exact"/>
        <w:ind w:left="696" w:hanging="696" w:hangingChars="290"/>
        <w:rPr>
          <w:rFonts w:ascii="仿宋" w:hAnsi="仿宋" w:eastAsia="仿宋" w:cs="仿宋"/>
          <w:sz w:val="24"/>
          <w:szCs w:val="24"/>
        </w:rPr>
      </w:pPr>
      <w:r>
        <w:rPr>
          <w:rFonts w:hint="eastAsia" w:ascii="仿宋" w:hAnsi="仿宋" w:eastAsia="仿宋" w:cs="仿宋"/>
          <w:sz w:val="24"/>
          <w:szCs w:val="24"/>
        </w:rPr>
        <w:t xml:space="preserve">项目名称：                                项目编号：                 </w:t>
      </w:r>
    </w:p>
    <w:tbl>
      <w:tblPr>
        <w:tblStyle w:val="29"/>
        <w:tblpPr w:leftFromText="180" w:rightFromText="180" w:vertAnchor="text" w:tblpXSpec="center" w:tblpY="1"/>
        <w:tblOverlap w:val="never"/>
        <w:tblW w:w="896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050"/>
        <w:gridCol w:w="1260"/>
        <w:gridCol w:w="1575"/>
        <w:gridCol w:w="1365"/>
        <w:gridCol w:w="1050"/>
        <w:gridCol w:w="1050"/>
        <w:gridCol w:w="8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8" w:type="dxa"/>
            <w:vMerge w:val="restart"/>
            <w:noWrap/>
            <w:vAlign w:val="center"/>
          </w:tcPr>
          <w:p>
            <w:pPr>
              <w:jc w:val="center"/>
              <w:rPr>
                <w:rFonts w:ascii="仿宋" w:hAnsi="仿宋" w:eastAsia="仿宋" w:cs="仿宋"/>
                <w:b/>
                <w:sz w:val="24"/>
                <w:szCs w:val="24"/>
              </w:rPr>
            </w:pPr>
            <w:r>
              <w:rPr>
                <w:rFonts w:hint="eastAsia" w:ascii="仿宋" w:hAnsi="仿宋" w:eastAsia="仿宋" w:cs="仿宋"/>
                <w:b/>
                <w:sz w:val="24"/>
                <w:szCs w:val="24"/>
              </w:rPr>
              <w:t>序号</w:t>
            </w:r>
          </w:p>
        </w:tc>
        <w:tc>
          <w:tcPr>
            <w:tcW w:w="1050" w:type="dxa"/>
            <w:vMerge w:val="restart"/>
            <w:noWrap/>
            <w:vAlign w:val="center"/>
          </w:tcPr>
          <w:p>
            <w:pPr>
              <w:jc w:val="center"/>
              <w:rPr>
                <w:rFonts w:ascii="仿宋" w:hAnsi="仿宋" w:eastAsia="仿宋" w:cs="仿宋"/>
                <w:b/>
                <w:sz w:val="24"/>
                <w:szCs w:val="24"/>
              </w:rPr>
            </w:pPr>
            <w:r>
              <w:rPr>
                <w:rFonts w:hint="eastAsia" w:ascii="仿宋" w:hAnsi="仿宋" w:eastAsia="仿宋" w:cs="仿宋"/>
                <w:b/>
                <w:sz w:val="24"/>
                <w:szCs w:val="24"/>
              </w:rPr>
              <w:t>姓名</w:t>
            </w:r>
          </w:p>
        </w:tc>
        <w:tc>
          <w:tcPr>
            <w:tcW w:w="1260" w:type="dxa"/>
            <w:vMerge w:val="restart"/>
            <w:noWrap/>
            <w:vAlign w:val="center"/>
          </w:tcPr>
          <w:p>
            <w:pPr>
              <w:jc w:val="center"/>
              <w:rPr>
                <w:rFonts w:ascii="仿宋" w:hAnsi="仿宋" w:eastAsia="仿宋" w:cs="仿宋"/>
                <w:b/>
                <w:sz w:val="24"/>
                <w:szCs w:val="24"/>
              </w:rPr>
            </w:pPr>
            <w:r>
              <w:rPr>
                <w:rFonts w:hint="eastAsia" w:ascii="仿宋" w:hAnsi="仿宋" w:eastAsia="仿宋" w:cs="仿宋"/>
                <w:b/>
                <w:sz w:val="24"/>
                <w:szCs w:val="24"/>
              </w:rPr>
              <w:t>职务</w:t>
            </w:r>
          </w:p>
        </w:tc>
        <w:tc>
          <w:tcPr>
            <w:tcW w:w="5040" w:type="dxa"/>
            <w:gridSpan w:val="4"/>
            <w:noWrap/>
            <w:vAlign w:val="center"/>
          </w:tcPr>
          <w:p>
            <w:pPr>
              <w:jc w:val="center"/>
              <w:rPr>
                <w:rFonts w:ascii="仿宋" w:hAnsi="仿宋" w:eastAsia="仿宋" w:cs="仿宋"/>
                <w:b/>
                <w:sz w:val="24"/>
                <w:szCs w:val="24"/>
              </w:rPr>
            </w:pPr>
            <w:r>
              <w:rPr>
                <w:rFonts w:hint="eastAsia" w:ascii="仿宋" w:hAnsi="仿宋" w:eastAsia="仿宋" w:cs="仿宋"/>
                <w:b/>
                <w:sz w:val="24"/>
                <w:szCs w:val="24"/>
              </w:rPr>
              <w:t>执业或职业资格证明</w:t>
            </w:r>
          </w:p>
        </w:tc>
        <w:tc>
          <w:tcPr>
            <w:tcW w:w="876" w:type="dxa"/>
            <w:vMerge w:val="restart"/>
            <w:noWrap/>
            <w:vAlign w:val="center"/>
          </w:tcPr>
          <w:p>
            <w:pPr>
              <w:jc w:val="center"/>
              <w:rPr>
                <w:rFonts w:ascii="仿宋" w:hAnsi="仿宋" w:eastAsia="仿宋" w:cs="仿宋"/>
                <w:b/>
                <w:sz w:val="24"/>
                <w:szCs w:val="24"/>
              </w:rPr>
            </w:pPr>
            <w:r>
              <w:rPr>
                <w:rFonts w:hint="eastAsia" w:ascii="仿宋" w:hAnsi="仿宋" w:eastAsia="仿宋" w:cs="仿宋"/>
                <w:b/>
                <w:sz w:val="24"/>
                <w:szCs w:val="24"/>
              </w:rPr>
              <w:t>经验年限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738" w:type="dxa"/>
            <w:vMerge w:val="continue"/>
            <w:noWrap/>
            <w:vAlign w:val="center"/>
          </w:tcPr>
          <w:p>
            <w:pPr>
              <w:jc w:val="center"/>
              <w:rPr>
                <w:rFonts w:ascii="仿宋" w:hAnsi="仿宋" w:eastAsia="仿宋" w:cs="仿宋"/>
                <w:b/>
                <w:sz w:val="24"/>
                <w:szCs w:val="24"/>
              </w:rPr>
            </w:pPr>
          </w:p>
        </w:tc>
        <w:tc>
          <w:tcPr>
            <w:tcW w:w="1050" w:type="dxa"/>
            <w:vMerge w:val="continue"/>
            <w:noWrap/>
            <w:vAlign w:val="center"/>
          </w:tcPr>
          <w:p>
            <w:pPr>
              <w:jc w:val="center"/>
              <w:rPr>
                <w:rFonts w:ascii="仿宋" w:hAnsi="仿宋" w:eastAsia="仿宋" w:cs="仿宋"/>
                <w:b/>
                <w:sz w:val="24"/>
                <w:szCs w:val="24"/>
              </w:rPr>
            </w:pPr>
          </w:p>
        </w:tc>
        <w:tc>
          <w:tcPr>
            <w:tcW w:w="1260" w:type="dxa"/>
            <w:vMerge w:val="continue"/>
            <w:noWrap/>
            <w:vAlign w:val="center"/>
          </w:tcPr>
          <w:p>
            <w:pPr>
              <w:jc w:val="center"/>
              <w:rPr>
                <w:rFonts w:ascii="仿宋" w:hAnsi="仿宋" w:eastAsia="仿宋" w:cs="仿宋"/>
                <w:b/>
                <w:sz w:val="24"/>
                <w:szCs w:val="24"/>
              </w:rPr>
            </w:pPr>
          </w:p>
        </w:tc>
        <w:tc>
          <w:tcPr>
            <w:tcW w:w="1575" w:type="dxa"/>
            <w:noWrap/>
            <w:vAlign w:val="center"/>
          </w:tcPr>
          <w:p>
            <w:pPr>
              <w:jc w:val="center"/>
              <w:rPr>
                <w:rFonts w:ascii="仿宋" w:hAnsi="仿宋" w:eastAsia="仿宋" w:cs="仿宋"/>
                <w:b/>
                <w:sz w:val="24"/>
                <w:szCs w:val="24"/>
              </w:rPr>
            </w:pPr>
            <w:r>
              <w:rPr>
                <w:rFonts w:hint="eastAsia" w:ascii="仿宋" w:hAnsi="仿宋" w:eastAsia="仿宋" w:cs="仿宋"/>
                <w:b/>
                <w:sz w:val="24"/>
                <w:szCs w:val="24"/>
              </w:rPr>
              <w:t>证书名称</w:t>
            </w:r>
          </w:p>
        </w:tc>
        <w:tc>
          <w:tcPr>
            <w:tcW w:w="1365" w:type="dxa"/>
            <w:noWrap/>
            <w:vAlign w:val="center"/>
          </w:tcPr>
          <w:p>
            <w:pPr>
              <w:jc w:val="center"/>
              <w:rPr>
                <w:rFonts w:ascii="仿宋" w:hAnsi="仿宋" w:eastAsia="仿宋" w:cs="仿宋"/>
                <w:b/>
                <w:sz w:val="24"/>
                <w:szCs w:val="24"/>
              </w:rPr>
            </w:pPr>
            <w:r>
              <w:rPr>
                <w:rFonts w:hint="eastAsia" w:ascii="仿宋" w:hAnsi="仿宋" w:eastAsia="仿宋" w:cs="仿宋"/>
                <w:b/>
                <w:sz w:val="24"/>
                <w:szCs w:val="24"/>
              </w:rPr>
              <w:t>证号</w:t>
            </w:r>
          </w:p>
        </w:tc>
        <w:tc>
          <w:tcPr>
            <w:tcW w:w="1050" w:type="dxa"/>
            <w:noWrap/>
            <w:vAlign w:val="center"/>
          </w:tcPr>
          <w:p>
            <w:pPr>
              <w:jc w:val="center"/>
              <w:rPr>
                <w:rFonts w:ascii="仿宋" w:hAnsi="仿宋" w:eastAsia="仿宋" w:cs="仿宋"/>
                <w:b/>
                <w:sz w:val="24"/>
                <w:szCs w:val="24"/>
              </w:rPr>
            </w:pPr>
            <w:r>
              <w:rPr>
                <w:rFonts w:hint="eastAsia" w:ascii="仿宋" w:hAnsi="仿宋" w:eastAsia="仿宋" w:cs="仿宋"/>
                <w:b/>
                <w:sz w:val="24"/>
                <w:szCs w:val="24"/>
              </w:rPr>
              <w:t>级别</w:t>
            </w:r>
          </w:p>
        </w:tc>
        <w:tc>
          <w:tcPr>
            <w:tcW w:w="1050" w:type="dxa"/>
            <w:noWrap/>
            <w:vAlign w:val="center"/>
          </w:tcPr>
          <w:p>
            <w:pPr>
              <w:jc w:val="center"/>
              <w:rPr>
                <w:rFonts w:ascii="仿宋" w:hAnsi="仿宋" w:eastAsia="仿宋" w:cs="仿宋"/>
                <w:b/>
                <w:sz w:val="24"/>
                <w:szCs w:val="24"/>
              </w:rPr>
            </w:pPr>
            <w:r>
              <w:rPr>
                <w:rFonts w:hint="eastAsia" w:ascii="仿宋" w:hAnsi="仿宋" w:eastAsia="仿宋" w:cs="仿宋"/>
                <w:b/>
                <w:sz w:val="24"/>
                <w:szCs w:val="24"/>
              </w:rPr>
              <w:t>专业</w:t>
            </w:r>
          </w:p>
        </w:tc>
        <w:tc>
          <w:tcPr>
            <w:tcW w:w="876" w:type="dxa"/>
            <w:vMerge w:val="continue"/>
            <w:noWrap/>
            <w:vAlign w:val="center"/>
          </w:tcPr>
          <w:p>
            <w:pPr>
              <w:jc w:val="center"/>
              <w:rPr>
                <w:rFonts w:ascii="仿宋" w:hAnsi="仿宋" w:eastAsia="仿宋" w:cs="仿宋"/>
                <w:b/>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ign w:val="center"/>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1260" w:type="dxa"/>
            <w:noWrap/>
            <w:vAlign w:val="center"/>
          </w:tcPr>
          <w:p>
            <w:pPr>
              <w:jc w:val="center"/>
              <w:rPr>
                <w:rFonts w:ascii="仿宋" w:hAnsi="仿宋" w:eastAsia="仿宋" w:cs="仿宋"/>
                <w:sz w:val="24"/>
                <w:szCs w:val="24"/>
              </w:rPr>
            </w:pPr>
          </w:p>
        </w:tc>
        <w:tc>
          <w:tcPr>
            <w:tcW w:w="1575" w:type="dxa"/>
            <w:noWrap/>
            <w:vAlign w:val="center"/>
          </w:tcPr>
          <w:p>
            <w:pPr>
              <w:jc w:val="center"/>
              <w:rPr>
                <w:rFonts w:ascii="仿宋" w:hAnsi="仿宋" w:eastAsia="仿宋" w:cs="仿宋"/>
                <w:sz w:val="24"/>
                <w:szCs w:val="24"/>
              </w:rPr>
            </w:pPr>
          </w:p>
        </w:tc>
        <w:tc>
          <w:tcPr>
            <w:tcW w:w="1365" w:type="dxa"/>
            <w:noWrap/>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876" w:type="dxa"/>
            <w:noWrap/>
          </w:tcPr>
          <w:p>
            <w:pPr>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ign w:val="center"/>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1260" w:type="dxa"/>
            <w:noWrap/>
            <w:vAlign w:val="center"/>
          </w:tcPr>
          <w:p>
            <w:pPr>
              <w:jc w:val="center"/>
              <w:rPr>
                <w:rFonts w:ascii="仿宋" w:hAnsi="仿宋" w:eastAsia="仿宋" w:cs="仿宋"/>
                <w:sz w:val="24"/>
                <w:szCs w:val="24"/>
              </w:rPr>
            </w:pPr>
          </w:p>
        </w:tc>
        <w:tc>
          <w:tcPr>
            <w:tcW w:w="1575" w:type="dxa"/>
            <w:noWrap/>
            <w:vAlign w:val="center"/>
          </w:tcPr>
          <w:p>
            <w:pPr>
              <w:jc w:val="center"/>
              <w:rPr>
                <w:rFonts w:ascii="仿宋" w:hAnsi="仿宋" w:eastAsia="仿宋" w:cs="仿宋"/>
                <w:sz w:val="24"/>
                <w:szCs w:val="24"/>
              </w:rPr>
            </w:pPr>
          </w:p>
        </w:tc>
        <w:tc>
          <w:tcPr>
            <w:tcW w:w="1365" w:type="dxa"/>
            <w:noWrap/>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876" w:type="dxa"/>
            <w:noWrap/>
          </w:tcPr>
          <w:p>
            <w:pPr>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ign w:val="center"/>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1260" w:type="dxa"/>
            <w:noWrap/>
            <w:vAlign w:val="center"/>
          </w:tcPr>
          <w:p>
            <w:pPr>
              <w:jc w:val="center"/>
              <w:rPr>
                <w:rFonts w:ascii="仿宋" w:hAnsi="仿宋" w:eastAsia="仿宋" w:cs="仿宋"/>
                <w:sz w:val="24"/>
                <w:szCs w:val="24"/>
              </w:rPr>
            </w:pPr>
          </w:p>
        </w:tc>
        <w:tc>
          <w:tcPr>
            <w:tcW w:w="1575" w:type="dxa"/>
            <w:noWrap/>
            <w:vAlign w:val="center"/>
          </w:tcPr>
          <w:p>
            <w:pPr>
              <w:jc w:val="center"/>
              <w:rPr>
                <w:rFonts w:ascii="仿宋" w:hAnsi="仿宋" w:eastAsia="仿宋" w:cs="仿宋"/>
                <w:sz w:val="24"/>
                <w:szCs w:val="24"/>
              </w:rPr>
            </w:pPr>
          </w:p>
        </w:tc>
        <w:tc>
          <w:tcPr>
            <w:tcW w:w="1365" w:type="dxa"/>
            <w:noWrap/>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876" w:type="dxa"/>
            <w:noWrap/>
          </w:tcPr>
          <w:p>
            <w:pPr>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ign w:val="center"/>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1260" w:type="dxa"/>
            <w:noWrap/>
            <w:vAlign w:val="center"/>
          </w:tcPr>
          <w:p>
            <w:pPr>
              <w:jc w:val="center"/>
              <w:rPr>
                <w:rFonts w:ascii="仿宋" w:hAnsi="仿宋" w:eastAsia="仿宋" w:cs="仿宋"/>
                <w:sz w:val="24"/>
                <w:szCs w:val="24"/>
              </w:rPr>
            </w:pPr>
          </w:p>
        </w:tc>
        <w:tc>
          <w:tcPr>
            <w:tcW w:w="1575" w:type="dxa"/>
            <w:noWrap/>
            <w:vAlign w:val="center"/>
          </w:tcPr>
          <w:p>
            <w:pPr>
              <w:jc w:val="center"/>
              <w:rPr>
                <w:rFonts w:ascii="仿宋" w:hAnsi="仿宋" w:eastAsia="仿宋" w:cs="仿宋"/>
                <w:sz w:val="24"/>
                <w:szCs w:val="24"/>
              </w:rPr>
            </w:pPr>
          </w:p>
        </w:tc>
        <w:tc>
          <w:tcPr>
            <w:tcW w:w="1365" w:type="dxa"/>
            <w:noWrap/>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876" w:type="dxa"/>
            <w:noWrap/>
          </w:tcPr>
          <w:p>
            <w:pPr>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ign w:val="center"/>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1260" w:type="dxa"/>
            <w:noWrap/>
            <w:vAlign w:val="center"/>
          </w:tcPr>
          <w:p>
            <w:pPr>
              <w:jc w:val="center"/>
              <w:rPr>
                <w:rFonts w:ascii="仿宋" w:hAnsi="仿宋" w:eastAsia="仿宋" w:cs="仿宋"/>
                <w:sz w:val="24"/>
                <w:szCs w:val="24"/>
              </w:rPr>
            </w:pPr>
          </w:p>
        </w:tc>
        <w:tc>
          <w:tcPr>
            <w:tcW w:w="1575" w:type="dxa"/>
            <w:noWrap/>
            <w:vAlign w:val="center"/>
          </w:tcPr>
          <w:p>
            <w:pPr>
              <w:jc w:val="center"/>
              <w:rPr>
                <w:rFonts w:ascii="仿宋" w:hAnsi="仿宋" w:eastAsia="仿宋" w:cs="仿宋"/>
                <w:sz w:val="24"/>
                <w:szCs w:val="24"/>
              </w:rPr>
            </w:pPr>
          </w:p>
        </w:tc>
        <w:tc>
          <w:tcPr>
            <w:tcW w:w="1365" w:type="dxa"/>
            <w:noWrap/>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876" w:type="dxa"/>
            <w:noWrap/>
          </w:tcPr>
          <w:p>
            <w:pPr>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ign w:val="center"/>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1260" w:type="dxa"/>
            <w:noWrap/>
            <w:vAlign w:val="center"/>
          </w:tcPr>
          <w:p>
            <w:pPr>
              <w:jc w:val="center"/>
              <w:rPr>
                <w:rFonts w:ascii="仿宋" w:hAnsi="仿宋" w:eastAsia="仿宋" w:cs="仿宋"/>
                <w:sz w:val="24"/>
                <w:szCs w:val="24"/>
              </w:rPr>
            </w:pPr>
          </w:p>
        </w:tc>
        <w:tc>
          <w:tcPr>
            <w:tcW w:w="1575" w:type="dxa"/>
            <w:noWrap/>
            <w:vAlign w:val="center"/>
          </w:tcPr>
          <w:p>
            <w:pPr>
              <w:jc w:val="center"/>
              <w:rPr>
                <w:rFonts w:ascii="仿宋" w:hAnsi="仿宋" w:eastAsia="仿宋" w:cs="仿宋"/>
                <w:sz w:val="24"/>
                <w:szCs w:val="24"/>
              </w:rPr>
            </w:pPr>
          </w:p>
        </w:tc>
        <w:tc>
          <w:tcPr>
            <w:tcW w:w="1365" w:type="dxa"/>
            <w:noWrap/>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876" w:type="dxa"/>
            <w:noWrap/>
          </w:tcPr>
          <w:p>
            <w:pPr>
              <w:jc w:val="center"/>
              <w:rPr>
                <w:rFonts w:ascii="仿宋" w:hAnsi="仿宋" w:eastAsia="仿宋" w:cs="仿宋"/>
                <w:sz w:val="24"/>
                <w:szCs w:val="24"/>
              </w:rPr>
            </w:pPr>
          </w:p>
        </w:tc>
      </w:tr>
    </w:tbl>
    <w:p>
      <w:pPr>
        <w:numPr>
          <w:ilvl w:val="0"/>
          <w:numId w:val="58"/>
        </w:numPr>
        <w:jc w:val="center"/>
        <w:rPr>
          <w:rFonts w:ascii="仿宋" w:hAnsi="仿宋" w:eastAsia="仿宋" w:cs="仿宋"/>
          <w:b/>
          <w:sz w:val="24"/>
          <w:szCs w:val="24"/>
        </w:rPr>
      </w:pPr>
      <w:r>
        <w:rPr>
          <w:rFonts w:hint="eastAsia" w:ascii="仿宋" w:hAnsi="仿宋" w:eastAsia="仿宋" w:cs="仿宋"/>
          <w:b/>
          <w:sz w:val="24"/>
          <w:szCs w:val="24"/>
        </w:rPr>
        <w:t>主要人员简历表</w:t>
      </w:r>
    </w:p>
    <w:p>
      <w:pPr>
        <w:pStyle w:val="17"/>
        <w:rPr>
          <w:rFonts w:ascii="仿宋" w:hAnsi="仿宋" w:eastAsia="仿宋" w:cs="仿宋"/>
          <w:sz w:val="24"/>
          <w:szCs w:val="24"/>
        </w:rPr>
      </w:pPr>
    </w:p>
    <w:p>
      <w:pPr>
        <w:rPr>
          <w:rFonts w:ascii="仿宋" w:hAnsi="仿宋" w:eastAsia="仿宋" w:cs="仿宋"/>
          <w:b/>
          <w:sz w:val="24"/>
          <w:szCs w:val="24"/>
        </w:rPr>
      </w:pPr>
      <w:r>
        <w:rPr>
          <w:rFonts w:hint="eastAsia" w:ascii="仿宋" w:hAnsi="仿宋" w:eastAsia="仿宋" w:cs="仿宋"/>
          <w:sz w:val="24"/>
          <w:szCs w:val="24"/>
        </w:rPr>
        <w:t>项目名称：                                项目编号：</w:t>
      </w:r>
    </w:p>
    <w:tbl>
      <w:tblPr>
        <w:tblStyle w:val="29"/>
        <w:tblpPr w:leftFromText="180" w:rightFromText="180" w:vertAnchor="text" w:horzAnchor="page" w:tblpX="1572" w:tblpY="412"/>
        <w:tblOverlap w:val="never"/>
        <w:tblW w:w="9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425"/>
        <w:gridCol w:w="1354"/>
        <w:gridCol w:w="846"/>
        <w:gridCol w:w="1029"/>
        <w:gridCol w:w="535"/>
        <w:gridCol w:w="15"/>
        <w:gridCol w:w="1463"/>
        <w:gridCol w:w="96"/>
        <w:gridCol w:w="1060"/>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53" w:type="dxa"/>
            <w:tcBorders>
              <w:top w:val="single" w:color="auto" w:sz="12" w:space="0"/>
              <w:left w:val="single" w:color="auto" w:sz="12" w:space="0"/>
              <w:bottom w:val="single" w:color="auto" w:sz="6" w:space="0"/>
              <w:right w:val="single" w:color="auto" w:sz="6"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姓名</w:t>
            </w:r>
          </w:p>
        </w:tc>
        <w:tc>
          <w:tcPr>
            <w:tcW w:w="2625" w:type="dxa"/>
            <w:gridSpan w:val="3"/>
            <w:tcBorders>
              <w:top w:val="single" w:color="auto" w:sz="12"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p>
        </w:tc>
        <w:tc>
          <w:tcPr>
            <w:tcW w:w="1029" w:type="dxa"/>
            <w:tcBorders>
              <w:top w:val="single" w:color="auto" w:sz="12"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性别</w:t>
            </w:r>
          </w:p>
        </w:tc>
        <w:tc>
          <w:tcPr>
            <w:tcW w:w="2013" w:type="dxa"/>
            <w:gridSpan w:val="3"/>
            <w:tcBorders>
              <w:top w:val="single" w:color="auto" w:sz="12"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p>
        </w:tc>
        <w:tc>
          <w:tcPr>
            <w:tcW w:w="1156" w:type="dxa"/>
            <w:gridSpan w:val="2"/>
            <w:tcBorders>
              <w:top w:val="single" w:color="auto" w:sz="12"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年龄</w:t>
            </w:r>
          </w:p>
        </w:tc>
        <w:tc>
          <w:tcPr>
            <w:tcW w:w="1158" w:type="dxa"/>
            <w:tcBorders>
              <w:top w:val="single" w:color="auto" w:sz="12" w:space="0"/>
              <w:left w:val="single" w:color="auto" w:sz="6" w:space="0"/>
              <w:bottom w:val="single" w:color="auto" w:sz="6" w:space="0"/>
              <w:right w:val="single" w:color="auto" w:sz="12" w:space="0"/>
            </w:tcBorders>
            <w:noWrap/>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53" w:type="dxa"/>
            <w:tcBorders>
              <w:top w:val="single" w:color="auto" w:sz="6" w:space="0"/>
              <w:left w:val="single" w:color="auto" w:sz="12" w:space="0"/>
              <w:bottom w:val="single" w:color="auto" w:sz="6" w:space="0"/>
              <w:right w:val="single" w:color="auto" w:sz="6"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职务</w:t>
            </w:r>
          </w:p>
        </w:tc>
        <w:tc>
          <w:tcPr>
            <w:tcW w:w="2625"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p>
        </w:tc>
        <w:tc>
          <w:tcPr>
            <w:tcW w:w="1029" w:type="dxa"/>
            <w:tcBorders>
              <w:top w:val="single" w:color="auto" w:sz="6"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职称</w:t>
            </w:r>
          </w:p>
        </w:tc>
        <w:tc>
          <w:tcPr>
            <w:tcW w:w="2013"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p>
        </w:tc>
        <w:tc>
          <w:tcPr>
            <w:tcW w:w="1156"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学历</w:t>
            </w:r>
          </w:p>
        </w:tc>
        <w:tc>
          <w:tcPr>
            <w:tcW w:w="1158" w:type="dxa"/>
            <w:tcBorders>
              <w:top w:val="single" w:color="auto" w:sz="6" w:space="0"/>
              <w:left w:val="single" w:color="auto" w:sz="6" w:space="0"/>
              <w:bottom w:val="single" w:color="auto" w:sz="6" w:space="0"/>
              <w:right w:val="single" w:color="auto" w:sz="12" w:space="0"/>
            </w:tcBorders>
            <w:noWrap/>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832" w:type="dxa"/>
            <w:gridSpan w:val="3"/>
            <w:tcBorders>
              <w:top w:val="single" w:color="auto" w:sz="6" w:space="0"/>
              <w:left w:val="single" w:color="auto" w:sz="12" w:space="0"/>
              <w:bottom w:val="single" w:color="auto" w:sz="6" w:space="0"/>
              <w:right w:val="single" w:color="auto" w:sz="6"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参加工作时间</w:t>
            </w:r>
          </w:p>
        </w:tc>
        <w:tc>
          <w:tcPr>
            <w:tcW w:w="2410"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p>
        </w:tc>
        <w:tc>
          <w:tcPr>
            <w:tcW w:w="2634" w:type="dxa"/>
            <w:gridSpan w:val="4"/>
            <w:tcBorders>
              <w:top w:val="single" w:color="auto" w:sz="6"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相关经验年限</w:t>
            </w:r>
          </w:p>
        </w:tc>
        <w:tc>
          <w:tcPr>
            <w:tcW w:w="1158" w:type="dxa"/>
            <w:tcBorders>
              <w:top w:val="single" w:color="auto" w:sz="6" w:space="0"/>
              <w:left w:val="single" w:color="auto" w:sz="6" w:space="0"/>
              <w:bottom w:val="single" w:color="auto" w:sz="6" w:space="0"/>
              <w:right w:val="single" w:color="auto" w:sz="12" w:space="0"/>
            </w:tcBorders>
            <w:noWrap/>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2832" w:type="dxa"/>
            <w:gridSpan w:val="3"/>
            <w:tcBorders>
              <w:top w:val="single" w:color="auto" w:sz="6" w:space="0"/>
              <w:left w:val="single" w:color="auto" w:sz="12" w:space="0"/>
              <w:bottom w:val="single" w:color="auto" w:sz="6" w:space="0"/>
              <w:right w:val="single" w:color="auto" w:sz="6"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资格证书名称、编号</w:t>
            </w:r>
          </w:p>
        </w:tc>
        <w:tc>
          <w:tcPr>
            <w:tcW w:w="6202" w:type="dxa"/>
            <w:gridSpan w:val="8"/>
            <w:tcBorders>
              <w:top w:val="single" w:color="auto" w:sz="6" w:space="0"/>
              <w:left w:val="single" w:color="auto" w:sz="6" w:space="0"/>
              <w:bottom w:val="single" w:color="auto" w:sz="6" w:space="0"/>
              <w:right w:val="single" w:color="auto" w:sz="12" w:space="0"/>
            </w:tcBorders>
            <w:noWrap/>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34" w:type="dxa"/>
            <w:gridSpan w:val="11"/>
            <w:tcBorders>
              <w:top w:val="single" w:color="auto" w:sz="6" w:space="0"/>
              <w:left w:val="single" w:color="auto" w:sz="12" w:space="0"/>
              <w:bottom w:val="single" w:color="auto" w:sz="6" w:space="0"/>
              <w:right w:val="single" w:color="auto" w:sz="12"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目前在任及以往服务项目情况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478" w:type="dxa"/>
            <w:gridSpan w:val="2"/>
            <w:tcBorders>
              <w:top w:val="single" w:color="auto" w:sz="6" w:space="0"/>
              <w:left w:val="single" w:color="auto" w:sz="12" w:space="0"/>
              <w:bottom w:val="single" w:color="auto" w:sz="6" w:space="0"/>
              <w:right w:val="single" w:color="auto" w:sz="6"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采购人</w:t>
            </w:r>
          </w:p>
        </w:tc>
        <w:tc>
          <w:tcPr>
            <w:tcW w:w="2200"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类似项目名称</w:t>
            </w:r>
          </w:p>
        </w:tc>
        <w:tc>
          <w:tcPr>
            <w:tcW w:w="1579"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项目规模</w:t>
            </w:r>
          </w:p>
        </w:tc>
        <w:tc>
          <w:tcPr>
            <w:tcW w:w="1559"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所任职务</w:t>
            </w:r>
          </w:p>
        </w:tc>
        <w:tc>
          <w:tcPr>
            <w:tcW w:w="2218" w:type="dxa"/>
            <w:gridSpan w:val="2"/>
            <w:tcBorders>
              <w:top w:val="single" w:color="auto" w:sz="6" w:space="0"/>
              <w:left w:val="single" w:color="auto" w:sz="6" w:space="0"/>
              <w:bottom w:val="single" w:color="auto" w:sz="6" w:space="0"/>
              <w:right w:val="single" w:color="auto" w:sz="12"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78" w:type="dxa"/>
            <w:gridSpan w:val="2"/>
            <w:tcBorders>
              <w:top w:val="single" w:color="auto" w:sz="6" w:space="0"/>
              <w:left w:val="single" w:color="auto" w:sz="12" w:space="0"/>
              <w:bottom w:val="single" w:color="auto" w:sz="6" w:space="0"/>
              <w:right w:val="single" w:color="auto" w:sz="6" w:space="0"/>
            </w:tcBorders>
            <w:noWrap/>
            <w:vAlign w:val="center"/>
          </w:tcPr>
          <w:p>
            <w:pPr>
              <w:jc w:val="center"/>
              <w:rPr>
                <w:rFonts w:ascii="仿宋" w:hAnsi="仿宋" w:eastAsia="仿宋" w:cs="仿宋"/>
                <w:sz w:val="24"/>
                <w:szCs w:val="24"/>
              </w:rPr>
            </w:pPr>
          </w:p>
        </w:tc>
        <w:tc>
          <w:tcPr>
            <w:tcW w:w="2200"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p>
        </w:tc>
        <w:tc>
          <w:tcPr>
            <w:tcW w:w="1579"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p>
        </w:tc>
        <w:tc>
          <w:tcPr>
            <w:tcW w:w="1559"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p>
        </w:tc>
        <w:tc>
          <w:tcPr>
            <w:tcW w:w="2218" w:type="dxa"/>
            <w:gridSpan w:val="2"/>
            <w:tcBorders>
              <w:top w:val="single" w:color="auto" w:sz="6" w:space="0"/>
              <w:left w:val="single" w:color="auto" w:sz="6" w:space="0"/>
              <w:bottom w:val="single" w:color="auto" w:sz="6" w:space="0"/>
              <w:right w:val="single" w:color="auto" w:sz="12" w:space="0"/>
            </w:tcBorders>
            <w:noWrap/>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78" w:type="dxa"/>
            <w:gridSpan w:val="2"/>
            <w:tcBorders>
              <w:top w:val="single" w:color="auto" w:sz="6" w:space="0"/>
              <w:left w:val="single" w:color="auto" w:sz="12" w:space="0"/>
              <w:bottom w:val="single" w:color="auto" w:sz="6" w:space="0"/>
              <w:right w:val="single" w:color="auto" w:sz="6" w:space="0"/>
            </w:tcBorders>
            <w:noWrap/>
            <w:vAlign w:val="center"/>
          </w:tcPr>
          <w:p>
            <w:pPr>
              <w:jc w:val="center"/>
              <w:rPr>
                <w:rFonts w:ascii="仿宋" w:hAnsi="仿宋" w:eastAsia="仿宋" w:cs="仿宋"/>
                <w:sz w:val="24"/>
                <w:szCs w:val="24"/>
              </w:rPr>
            </w:pPr>
          </w:p>
        </w:tc>
        <w:tc>
          <w:tcPr>
            <w:tcW w:w="2200"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p>
        </w:tc>
        <w:tc>
          <w:tcPr>
            <w:tcW w:w="1579"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p>
        </w:tc>
        <w:tc>
          <w:tcPr>
            <w:tcW w:w="1559"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p>
        </w:tc>
        <w:tc>
          <w:tcPr>
            <w:tcW w:w="2218" w:type="dxa"/>
            <w:gridSpan w:val="2"/>
            <w:tcBorders>
              <w:top w:val="single" w:color="auto" w:sz="6" w:space="0"/>
              <w:left w:val="single" w:color="auto" w:sz="6" w:space="0"/>
              <w:bottom w:val="single" w:color="auto" w:sz="6" w:space="0"/>
              <w:right w:val="single" w:color="auto" w:sz="12" w:space="0"/>
            </w:tcBorders>
            <w:noWrap/>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78" w:type="dxa"/>
            <w:gridSpan w:val="2"/>
            <w:tcBorders>
              <w:top w:val="single" w:color="auto" w:sz="6" w:space="0"/>
              <w:left w:val="single" w:color="auto" w:sz="12" w:space="0"/>
              <w:bottom w:val="single" w:color="auto" w:sz="12" w:space="0"/>
              <w:right w:val="single" w:color="auto" w:sz="6" w:space="0"/>
            </w:tcBorders>
            <w:noWrap/>
            <w:vAlign w:val="center"/>
          </w:tcPr>
          <w:p>
            <w:pPr>
              <w:jc w:val="center"/>
              <w:rPr>
                <w:rFonts w:ascii="仿宋" w:hAnsi="仿宋" w:eastAsia="仿宋" w:cs="仿宋"/>
                <w:sz w:val="24"/>
                <w:szCs w:val="24"/>
              </w:rPr>
            </w:pPr>
          </w:p>
        </w:tc>
        <w:tc>
          <w:tcPr>
            <w:tcW w:w="2200" w:type="dxa"/>
            <w:gridSpan w:val="2"/>
            <w:tcBorders>
              <w:top w:val="single" w:color="auto" w:sz="6" w:space="0"/>
              <w:left w:val="single" w:color="auto" w:sz="6" w:space="0"/>
              <w:bottom w:val="single" w:color="auto" w:sz="12" w:space="0"/>
              <w:right w:val="single" w:color="auto" w:sz="6" w:space="0"/>
            </w:tcBorders>
            <w:noWrap/>
            <w:vAlign w:val="center"/>
          </w:tcPr>
          <w:p>
            <w:pPr>
              <w:jc w:val="center"/>
              <w:rPr>
                <w:rFonts w:ascii="仿宋" w:hAnsi="仿宋" w:eastAsia="仿宋" w:cs="仿宋"/>
                <w:sz w:val="24"/>
                <w:szCs w:val="24"/>
              </w:rPr>
            </w:pPr>
          </w:p>
        </w:tc>
        <w:tc>
          <w:tcPr>
            <w:tcW w:w="1579" w:type="dxa"/>
            <w:gridSpan w:val="3"/>
            <w:tcBorders>
              <w:top w:val="single" w:color="auto" w:sz="6" w:space="0"/>
              <w:left w:val="single" w:color="auto" w:sz="6" w:space="0"/>
              <w:bottom w:val="single" w:color="auto" w:sz="12" w:space="0"/>
              <w:right w:val="single" w:color="auto" w:sz="6" w:space="0"/>
            </w:tcBorders>
            <w:noWrap/>
            <w:vAlign w:val="center"/>
          </w:tcPr>
          <w:p>
            <w:pPr>
              <w:jc w:val="center"/>
              <w:rPr>
                <w:rFonts w:ascii="仿宋" w:hAnsi="仿宋" w:eastAsia="仿宋" w:cs="仿宋"/>
                <w:sz w:val="24"/>
                <w:szCs w:val="24"/>
              </w:rPr>
            </w:pPr>
          </w:p>
        </w:tc>
        <w:tc>
          <w:tcPr>
            <w:tcW w:w="1559" w:type="dxa"/>
            <w:gridSpan w:val="2"/>
            <w:tcBorders>
              <w:top w:val="single" w:color="auto" w:sz="6" w:space="0"/>
              <w:left w:val="single" w:color="auto" w:sz="6" w:space="0"/>
              <w:bottom w:val="single" w:color="auto" w:sz="12" w:space="0"/>
              <w:right w:val="single" w:color="auto" w:sz="6" w:space="0"/>
            </w:tcBorders>
            <w:noWrap/>
            <w:vAlign w:val="center"/>
          </w:tcPr>
          <w:p>
            <w:pPr>
              <w:jc w:val="center"/>
              <w:rPr>
                <w:rFonts w:ascii="仿宋" w:hAnsi="仿宋" w:eastAsia="仿宋" w:cs="仿宋"/>
                <w:sz w:val="24"/>
                <w:szCs w:val="24"/>
              </w:rPr>
            </w:pPr>
          </w:p>
        </w:tc>
        <w:tc>
          <w:tcPr>
            <w:tcW w:w="2218" w:type="dxa"/>
            <w:gridSpan w:val="2"/>
            <w:tcBorders>
              <w:top w:val="single" w:color="auto" w:sz="6" w:space="0"/>
              <w:left w:val="single" w:color="auto" w:sz="6" w:space="0"/>
              <w:bottom w:val="single" w:color="auto" w:sz="12" w:space="0"/>
              <w:right w:val="single" w:color="auto" w:sz="12" w:space="0"/>
            </w:tcBorders>
            <w:noWrap/>
            <w:vAlign w:val="center"/>
          </w:tcPr>
          <w:p>
            <w:pPr>
              <w:jc w:val="center"/>
              <w:rPr>
                <w:rFonts w:ascii="仿宋" w:hAnsi="仿宋" w:eastAsia="仿宋" w:cs="仿宋"/>
                <w:sz w:val="24"/>
                <w:szCs w:val="24"/>
              </w:rPr>
            </w:pPr>
          </w:p>
        </w:tc>
      </w:tr>
    </w:tbl>
    <w:p>
      <w:pPr>
        <w:pStyle w:val="68"/>
        <w:spacing w:line="420" w:lineRule="exact"/>
        <w:ind w:left="696" w:hanging="696" w:hangingChars="290"/>
        <w:rPr>
          <w:rFonts w:ascii="仿宋" w:hAnsi="仿宋" w:eastAsia="仿宋" w:cs="仿宋"/>
          <w:sz w:val="24"/>
          <w:szCs w:val="24"/>
        </w:rPr>
      </w:pPr>
    </w:p>
    <w:p>
      <w:pPr>
        <w:pStyle w:val="10"/>
        <w:overflowPunct w:val="0"/>
        <w:spacing w:line="520" w:lineRule="atLeast"/>
        <w:rPr>
          <w:rFonts w:ascii="仿宋" w:hAnsi="仿宋" w:eastAsia="仿宋" w:cs="仿宋"/>
          <w:b/>
          <w:sz w:val="24"/>
        </w:rPr>
      </w:pPr>
      <w:r>
        <w:rPr>
          <w:rFonts w:hint="eastAsia" w:ascii="仿宋" w:hAnsi="仿宋" w:eastAsia="仿宋" w:cs="仿宋"/>
          <w:b/>
          <w:sz w:val="24"/>
        </w:rPr>
        <w:t xml:space="preserve">我方承诺上述材料真实有效且具备履行合同所必需的专业技术能力。 </w:t>
      </w:r>
    </w:p>
    <w:p>
      <w:pPr>
        <w:pStyle w:val="10"/>
        <w:spacing w:after="0" w:line="360" w:lineRule="auto"/>
        <w:rPr>
          <w:rFonts w:ascii="仿宋" w:hAnsi="仿宋" w:eastAsia="仿宋" w:cs="仿宋"/>
          <w:sz w:val="24"/>
        </w:rPr>
      </w:pPr>
    </w:p>
    <w:p>
      <w:pPr>
        <w:pStyle w:val="10"/>
        <w:spacing w:after="0" w:line="360" w:lineRule="auto"/>
        <w:rPr>
          <w:rFonts w:ascii="仿宋" w:hAnsi="仿宋" w:eastAsia="仿宋" w:cs="仿宋"/>
          <w:sz w:val="24"/>
        </w:rPr>
      </w:pPr>
      <w:r>
        <w:rPr>
          <w:rFonts w:hint="eastAsia" w:ascii="仿宋" w:hAnsi="仿宋" w:eastAsia="仿宋" w:cs="仿宋"/>
          <w:sz w:val="24"/>
        </w:rPr>
        <w:t>投标人名称（加盖公章）：</w:t>
      </w:r>
    </w:p>
    <w:p>
      <w:pPr>
        <w:pStyle w:val="10"/>
        <w:spacing w:after="0" w:line="360" w:lineRule="auto"/>
        <w:rPr>
          <w:rFonts w:ascii="仿宋" w:hAnsi="仿宋" w:eastAsia="仿宋" w:cs="仿宋"/>
          <w:sz w:val="24"/>
        </w:rPr>
      </w:pPr>
      <w:r>
        <w:rPr>
          <w:rFonts w:hint="eastAsia" w:ascii="仿宋" w:hAnsi="仿宋" w:eastAsia="仿宋" w:cs="仿宋"/>
          <w:sz w:val="24"/>
        </w:rPr>
        <w:t>投标人法定代表人或受委托人（签名或盖私章）：</w:t>
      </w:r>
    </w:p>
    <w:p>
      <w:pPr>
        <w:spacing w:line="480" w:lineRule="auto"/>
        <w:rPr>
          <w:rFonts w:ascii="仿宋" w:hAnsi="仿宋" w:eastAsia="仿宋" w:cs="仿宋"/>
          <w:b/>
          <w:sz w:val="24"/>
          <w:szCs w:val="24"/>
        </w:rPr>
      </w:pPr>
      <w:r>
        <w:rPr>
          <w:rFonts w:hint="eastAsia" w:ascii="仿宋" w:hAnsi="仿宋" w:eastAsia="仿宋" w:cs="仿宋"/>
          <w:sz w:val="24"/>
          <w:szCs w:val="24"/>
        </w:rPr>
        <w:t>日       期：</w:t>
      </w:r>
    </w:p>
    <w:p>
      <w:pPr>
        <w:pStyle w:val="4"/>
        <w:rPr>
          <w:rStyle w:val="62"/>
          <w:rFonts w:ascii="仿宋" w:hAnsi="仿宋" w:eastAsia="仿宋" w:cs="仿宋"/>
          <w:b/>
          <w:bCs w:val="0"/>
          <w:sz w:val="24"/>
          <w:szCs w:val="24"/>
        </w:rPr>
      </w:pPr>
      <w:bookmarkStart w:id="536" w:name="_Toc28527"/>
      <w:r>
        <w:rPr>
          <w:rStyle w:val="62"/>
          <w:rFonts w:hint="eastAsia" w:ascii="仿宋" w:hAnsi="仿宋" w:eastAsia="仿宋" w:cs="仿宋"/>
          <w:b/>
          <w:bCs w:val="0"/>
          <w:sz w:val="24"/>
          <w:szCs w:val="24"/>
        </w:rPr>
        <w:t>14、投标人认为需要提供的其他材料说明</w:t>
      </w:r>
      <w:bookmarkEnd w:id="536"/>
    </w:p>
    <w:p>
      <w:pPr>
        <w:pStyle w:val="17"/>
        <w:rPr>
          <w:rFonts w:ascii="仿宋" w:hAnsi="仿宋" w:eastAsia="仿宋" w:cs="仿宋"/>
          <w:sz w:val="24"/>
          <w:szCs w:val="24"/>
        </w:rPr>
      </w:pPr>
      <w:r>
        <w:rPr>
          <w:rFonts w:hint="eastAsia" w:ascii="仿宋" w:hAnsi="仿宋" w:eastAsia="仿宋" w:cs="仿宋"/>
          <w:sz w:val="24"/>
          <w:szCs w:val="24"/>
        </w:rPr>
        <w:br w:type="page"/>
      </w:r>
    </w:p>
    <w:p>
      <w:pPr>
        <w:jc w:val="center"/>
        <w:rPr>
          <w:rFonts w:ascii="仿宋" w:hAnsi="仿宋" w:eastAsia="仿宋" w:cs="仿宋"/>
          <w:b/>
          <w:sz w:val="24"/>
          <w:szCs w:val="24"/>
        </w:rPr>
      </w:pPr>
      <w:r>
        <w:rPr>
          <w:rFonts w:hint="eastAsia" w:ascii="仿宋" w:hAnsi="仿宋" w:eastAsia="仿宋" w:cs="仿宋"/>
          <w:b/>
          <w:sz w:val="24"/>
          <w:szCs w:val="24"/>
        </w:rPr>
        <w:t xml:space="preserve">附件1、在经营活动中没有重大违法记录的书面声明 </w:t>
      </w:r>
    </w:p>
    <w:p>
      <w:pPr>
        <w:pStyle w:val="68"/>
        <w:spacing w:line="360" w:lineRule="atLeast"/>
        <w:ind w:firstLine="494"/>
        <w:rPr>
          <w:rFonts w:ascii="仿宋" w:hAnsi="仿宋" w:eastAsia="仿宋" w:cs="仿宋"/>
          <w:sz w:val="24"/>
          <w:szCs w:val="24"/>
        </w:rPr>
      </w:pPr>
    </w:p>
    <w:p>
      <w:pPr>
        <w:spacing w:line="480" w:lineRule="auto"/>
        <w:rPr>
          <w:rFonts w:ascii="仿宋" w:hAnsi="仿宋" w:eastAsia="仿宋" w:cs="仿宋"/>
          <w:b/>
          <w:sz w:val="24"/>
          <w:szCs w:val="24"/>
        </w:rPr>
      </w:pPr>
      <w:r>
        <w:rPr>
          <w:rFonts w:hint="eastAsia" w:ascii="仿宋" w:hAnsi="仿宋" w:eastAsia="仿宋" w:cs="仿宋"/>
          <w:b/>
          <w:sz w:val="24"/>
          <w:szCs w:val="24"/>
        </w:rPr>
        <w:t>新疆霖鼎工程管理服务有限公司:</w:t>
      </w:r>
    </w:p>
    <w:p>
      <w:pPr>
        <w:spacing w:line="480" w:lineRule="auto"/>
        <w:ind w:firstLine="480" w:firstLineChars="200"/>
        <w:rPr>
          <w:rFonts w:ascii="仿宋" w:hAnsi="仿宋" w:eastAsia="仿宋" w:cs="仿宋"/>
          <w:sz w:val="24"/>
          <w:szCs w:val="24"/>
        </w:rPr>
      </w:pPr>
      <w:r>
        <w:rPr>
          <w:rFonts w:hint="eastAsia" w:ascii="仿宋" w:hAnsi="仿宋" w:eastAsia="仿宋" w:cs="仿宋"/>
          <w:sz w:val="24"/>
          <w:szCs w:val="24"/>
        </w:rPr>
        <w:t>我方参加项目（标项编号：　      　　　）的政府采购活动，并声明：</w:t>
      </w:r>
    </w:p>
    <w:p>
      <w:pPr>
        <w:spacing w:line="480" w:lineRule="auto"/>
        <w:ind w:firstLine="480" w:firstLineChars="200"/>
        <w:rPr>
          <w:rFonts w:ascii="仿宋" w:hAnsi="仿宋" w:eastAsia="仿宋" w:cs="仿宋"/>
          <w:sz w:val="24"/>
          <w:szCs w:val="24"/>
        </w:rPr>
      </w:pPr>
      <w:r>
        <w:rPr>
          <w:rFonts w:hint="eastAsia" w:ascii="仿宋" w:hAnsi="仿宋" w:eastAsia="仿宋" w:cs="仿宋"/>
          <w:sz w:val="24"/>
          <w:szCs w:val="24"/>
        </w:rPr>
        <w:t>我方参加本采购项目政府采购前3年内在经营活动中没有因违法经营受到刑事处罚或者责令停产停业、吊销许可证或者执照、较大数额罚款等行政处罚。</w:t>
      </w:r>
    </w:p>
    <w:p>
      <w:pPr>
        <w:spacing w:line="480" w:lineRule="auto"/>
        <w:ind w:firstLine="480" w:firstLineChars="200"/>
        <w:rPr>
          <w:rFonts w:ascii="仿宋" w:hAnsi="仿宋" w:eastAsia="仿宋" w:cs="仿宋"/>
          <w:sz w:val="24"/>
          <w:szCs w:val="24"/>
        </w:rPr>
      </w:pPr>
      <w:r>
        <w:rPr>
          <w:rFonts w:hint="eastAsia" w:ascii="仿宋" w:hAnsi="仿宋" w:eastAsia="仿宋" w:cs="仿宋"/>
          <w:sz w:val="24"/>
          <w:szCs w:val="24"/>
        </w:rPr>
        <w:t>特此声明！</w:t>
      </w:r>
    </w:p>
    <w:p>
      <w:pPr>
        <w:pStyle w:val="68"/>
        <w:spacing w:line="480" w:lineRule="auto"/>
        <w:ind w:firstLine="494"/>
        <w:rPr>
          <w:rFonts w:ascii="仿宋" w:hAnsi="仿宋" w:eastAsia="仿宋" w:cs="仿宋"/>
          <w:sz w:val="24"/>
          <w:szCs w:val="24"/>
        </w:rPr>
      </w:pPr>
    </w:p>
    <w:p>
      <w:pPr>
        <w:pStyle w:val="68"/>
        <w:spacing w:line="480" w:lineRule="auto"/>
        <w:ind w:firstLine="494"/>
        <w:rPr>
          <w:rFonts w:ascii="仿宋" w:hAnsi="仿宋" w:eastAsia="仿宋" w:cs="仿宋"/>
          <w:sz w:val="24"/>
          <w:szCs w:val="24"/>
        </w:rPr>
      </w:pPr>
    </w:p>
    <w:p>
      <w:pPr>
        <w:pStyle w:val="68"/>
        <w:spacing w:line="480" w:lineRule="auto"/>
        <w:ind w:firstLine="494"/>
        <w:rPr>
          <w:rFonts w:ascii="仿宋" w:hAnsi="仿宋" w:eastAsia="仿宋" w:cs="仿宋"/>
          <w:sz w:val="24"/>
          <w:szCs w:val="24"/>
        </w:rPr>
      </w:pPr>
    </w:p>
    <w:p>
      <w:pPr>
        <w:pStyle w:val="68"/>
        <w:spacing w:line="480" w:lineRule="auto"/>
        <w:ind w:firstLine="0" w:firstLineChars="0"/>
        <w:rPr>
          <w:rFonts w:ascii="仿宋" w:hAnsi="仿宋" w:eastAsia="仿宋" w:cs="仿宋"/>
          <w:sz w:val="24"/>
          <w:szCs w:val="24"/>
        </w:rPr>
      </w:pPr>
      <w:r>
        <w:rPr>
          <w:rFonts w:hint="eastAsia" w:ascii="仿宋" w:hAnsi="仿宋" w:eastAsia="仿宋" w:cs="仿宋"/>
          <w:sz w:val="24"/>
          <w:szCs w:val="24"/>
        </w:rPr>
        <w:t>投标人名称（加盖公章）：</w:t>
      </w:r>
    </w:p>
    <w:p>
      <w:pPr>
        <w:pStyle w:val="68"/>
        <w:spacing w:line="480" w:lineRule="auto"/>
        <w:ind w:firstLine="0" w:firstLineChars="0"/>
        <w:rPr>
          <w:rFonts w:ascii="仿宋" w:hAnsi="仿宋" w:eastAsia="仿宋" w:cs="仿宋"/>
          <w:sz w:val="24"/>
          <w:szCs w:val="24"/>
        </w:rPr>
      </w:pPr>
      <w:r>
        <w:rPr>
          <w:rFonts w:hint="eastAsia" w:ascii="仿宋" w:hAnsi="仿宋" w:eastAsia="仿宋" w:cs="仿宋"/>
          <w:sz w:val="24"/>
          <w:szCs w:val="24"/>
        </w:rPr>
        <w:t>投标人法定代表人或受委托人（签名或盖私章）：</w:t>
      </w:r>
    </w:p>
    <w:p>
      <w:pPr>
        <w:pStyle w:val="68"/>
        <w:ind w:firstLine="0" w:firstLineChars="0"/>
        <w:rPr>
          <w:rFonts w:ascii="仿宋" w:hAnsi="仿宋" w:eastAsia="仿宋" w:cs="仿宋"/>
          <w:sz w:val="24"/>
          <w:szCs w:val="24"/>
        </w:rPr>
      </w:pPr>
      <w:r>
        <w:rPr>
          <w:rFonts w:hint="eastAsia" w:ascii="仿宋" w:hAnsi="仿宋" w:eastAsia="仿宋" w:cs="仿宋"/>
          <w:sz w:val="24"/>
          <w:szCs w:val="24"/>
        </w:rPr>
        <w:t>日      期：</w:t>
      </w:r>
    </w:p>
    <w:p>
      <w:pPr>
        <w:pStyle w:val="17"/>
        <w:rPr>
          <w:rFonts w:ascii="仿宋" w:hAnsi="仿宋" w:eastAsia="仿宋" w:cs="仿宋"/>
          <w:sz w:val="24"/>
          <w:szCs w:val="24"/>
        </w:rPr>
      </w:pPr>
      <w:r>
        <w:rPr>
          <w:rFonts w:hint="eastAsia" w:ascii="仿宋" w:hAnsi="仿宋" w:eastAsia="仿宋" w:cs="仿宋"/>
          <w:sz w:val="24"/>
          <w:szCs w:val="24"/>
        </w:rPr>
        <w:br w:type="page"/>
      </w:r>
    </w:p>
    <w:p>
      <w:pPr>
        <w:adjustRightInd w:val="0"/>
        <w:snapToGrid w:val="0"/>
        <w:spacing w:line="360" w:lineRule="auto"/>
        <w:jc w:val="center"/>
        <w:rPr>
          <w:rFonts w:ascii="仿宋" w:hAnsi="仿宋" w:eastAsia="仿宋" w:cs="仿宋"/>
          <w:b/>
          <w:sz w:val="24"/>
          <w:szCs w:val="24"/>
        </w:rPr>
      </w:pPr>
      <w:r>
        <w:rPr>
          <w:rFonts w:hint="eastAsia" w:ascii="仿宋" w:hAnsi="仿宋" w:eastAsia="仿宋" w:cs="仿宋"/>
          <w:b/>
          <w:sz w:val="24"/>
          <w:szCs w:val="24"/>
        </w:rPr>
        <w:t>附件2、中小企业声明函（工程、服务）（如有）</w:t>
      </w:r>
    </w:p>
    <w:p>
      <w:pPr>
        <w:spacing w:line="360" w:lineRule="auto"/>
        <w:ind w:firstLine="480" w:firstLineChars="200"/>
        <w:rPr>
          <w:rFonts w:ascii="仿宋" w:hAnsi="仿宋" w:eastAsia="仿宋" w:cs="仿宋"/>
          <w:sz w:val="24"/>
          <w:szCs w:val="24"/>
        </w:rPr>
      </w:pP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本公司（联合体）郑重声明，根据《政府采购促进中小企业发展管理办法》(财库[2020]46号)的规定，本公司参加</w:t>
      </w:r>
      <w:r>
        <w:rPr>
          <w:rFonts w:hint="eastAsia" w:ascii="仿宋" w:hAnsi="仿宋" w:eastAsia="仿宋" w:cs="仿宋"/>
          <w:sz w:val="24"/>
          <w:szCs w:val="24"/>
          <w:u w:val="single"/>
        </w:rPr>
        <w:t>（单位名称）</w:t>
      </w:r>
      <w:r>
        <w:rPr>
          <w:rFonts w:hint="eastAsia" w:ascii="仿宋" w:hAnsi="仿宋" w:eastAsia="仿宋" w:cs="仿宋"/>
          <w:sz w:val="24"/>
          <w:szCs w:val="24"/>
        </w:rPr>
        <w:t xml:space="preserve"> 的</w:t>
      </w:r>
      <w:r>
        <w:rPr>
          <w:rFonts w:hint="eastAsia" w:ascii="仿宋" w:hAnsi="仿宋" w:eastAsia="仿宋" w:cs="仿宋"/>
          <w:sz w:val="24"/>
          <w:szCs w:val="24"/>
          <w:u w:val="single"/>
        </w:rPr>
        <w:t xml:space="preserve"> （项目名称）</w:t>
      </w:r>
      <w:r>
        <w:rPr>
          <w:rFonts w:hint="eastAsia" w:ascii="仿宋" w:hAnsi="仿宋" w:eastAsia="仿宋" w:cs="仿宋"/>
          <w:sz w:val="24"/>
          <w:szCs w:val="24"/>
        </w:rPr>
        <w:t xml:space="preserve">  采购活动，工程的施工单位全部为符合政策要求的中小企业（或者：服务全部由符合政策要求的中小企业承接）。相关企业（含联合体中的中小企业、签订分包意向协议的中小企业）的具体情况如下</w:t>
      </w:r>
    </w:p>
    <w:p>
      <w:pPr>
        <w:ind w:firstLine="480" w:firstLineChars="200"/>
        <w:rPr>
          <w:rFonts w:ascii="仿宋" w:hAnsi="仿宋" w:eastAsia="仿宋" w:cs="仿宋"/>
          <w:sz w:val="24"/>
          <w:szCs w:val="24"/>
        </w:rPr>
      </w:pPr>
      <w:r>
        <w:rPr>
          <w:rFonts w:hint="eastAsia" w:ascii="仿宋" w:hAnsi="仿宋" w:eastAsia="仿宋" w:cs="仿宋"/>
          <w:sz w:val="24"/>
          <w:szCs w:val="24"/>
        </w:rPr>
        <w:t xml:space="preserve">1. </w:t>
      </w:r>
      <w:r>
        <w:rPr>
          <w:rFonts w:hint="eastAsia" w:ascii="仿宋" w:hAnsi="仿宋" w:eastAsia="仿宋" w:cs="仿宋"/>
          <w:sz w:val="24"/>
          <w:szCs w:val="24"/>
          <w:u w:val="single"/>
        </w:rPr>
        <w:t xml:space="preserve">（标的名称） </w:t>
      </w:r>
      <w:r>
        <w:rPr>
          <w:rFonts w:hint="eastAsia" w:ascii="仿宋" w:hAnsi="仿宋" w:eastAsia="仿宋" w:cs="仿宋"/>
          <w:sz w:val="24"/>
          <w:szCs w:val="24"/>
        </w:rPr>
        <w:t>，属于</w:t>
      </w:r>
      <w:r>
        <w:rPr>
          <w:rFonts w:hint="eastAsia" w:ascii="仿宋" w:hAnsi="仿宋" w:eastAsia="仿宋" w:cs="仿宋"/>
          <w:sz w:val="24"/>
          <w:szCs w:val="24"/>
          <w:u w:val="single"/>
        </w:rPr>
        <w:t xml:space="preserve"> （采购文件中明确的所属行业）</w:t>
      </w:r>
      <w:r>
        <w:rPr>
          <w:rFonts w:hint="eastAsia" w:ascii="仿宋" w:hAnsi="仿宋" w:eastAsia="仿宋" w:cs="仿宋"/>
          <w:sz w:val="24"/>
          <w:szCs w:val="24"/>
        </w:rPr>
        <w:t>行业 ；承建（承接）企业为</w:t>
      </w:r>
      <w:r>
        <w:rPr>
          <w:rFonts w:hint="eastAsia" w:ascii="仿宋" w:hAnsi="仿宋" w:eastAsia="仿宋" w:cs="仿宋"/>
          <w:sz w:val="24"/>
          <w:szCs w:val="24"/>
          <w:u w:val="single"/>
        </w:rPr>
        <w:t xml:space="preserve"> （企业名称）</w:t>
      </w:r>
      <w:r>
        <w:rPr>
          <w:rFonts w:hint="eastAsia" w:ascii="仿宋" w:hAnsi="仿宋" w:eastAsia="仿宋" w:cs="仿宋"/>
          <w:sz w:val="24"/>
          <w:szCs w:val="24"/>
        </w:rPr>
        <w:t xml:space="preserve"> ，从业人员人，营业收入为万元，资产总额为 万元</w:t>
      </w:r>
      <w:r>
        <w:rPr>
          <w:rFonts w:hint="eastAsia" w:ascii="仿宋" w:hAnsi="仿宋" w:eastAsia="仿宋" w:cs="仿宋"/>
          <w:sz w:val="24"/>
          <w:szCs w:val="24"/>
          <w:vertAlign w:val="superscript"/>
        </w:rPr>
        <w:t>1</w:t>
      </w:r>
      <w:r>
        <w:rPr>
          <w:rFonts w:hint="eastAsia" w:ascii="仿宋" w:hAnsi="仿宋" w:eastAsia="仿宋" w:cs="仿宋"/>
          <w:sz w:val="24"/>
          <w:szCs w:val="24"/>
        </w:rPr>
        <w:t>，属于</w:t>
      </w:r>
      <w:r>
        <w:rPr>
          <w:rFonts w:hint="eastAsia" w:ascii="仿宋" w:hAnsi="仿宋" w:eastAsia="仿宋" w:cs="仿宋"/>
          <w:sz w:val="24"/>
          <w:szCs w:val="24"/>
          <w:u w:val="single"/>
        </w:rPr>
        <w:t xml:space="preserve"> （中型企业、小型企业、微型企业）</w:t>
      </w:r>
      <w:r>
        <w:rPr>
          <w:rFonts w:hint="eastAsia" w:ascii="仿宋" w:hAnsi="仿宋" w:eastAsia="仿宋" w:cs="仿宋"/>
          <w:sz w:val="24"/>
          <w:szCs w:val="24"/>
        </w:rPr>
        <w:t xml:space="preserve">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2. </w:t>
      </w:r>
      <w:r>
        <w:rPr>
          <w:rFonts w:hint="eastAsia" w:ascii="仿宋" w:hAnsi="仿宋" w:eastAsia="仿宋" w:cs="仿宋"/>
          <w:sz w:val="24"/>
          <w:szCs w:val="24"/>
          <w:u w:val="single"/>
        </w:rPr>
        <w:t xml:space="preserve">（标的名称） </w:t>
      </w:r>
      <w:r>
        <w:rPr>
          <w:rFonts w:hint="eastAsia" w:ascii="仿宋" w:hAnsi="仿宋" w:eastAsia="仿宋" w:cs="仿宋"/>
          <w:sz w:val="24"/>
          <w:szCs w:val="24"/>
        </w:rPr>
        <w:t>，属于</w:t>
      </w:r>
      <w:r>
        <w:rPr>
          <w:rFonts w:hint="eastAsia" w:ascii="仿宋" w:hAnsi="仿宋" w:eastAsia="仿宋" w:cs="仿宋"/>
          <w:sz w:val="24"/>
          <w:szCs w:val="24"/>
          <w:u w:val="single"/>
        </w:rPr>
        <w:t xml:space="preserve"> （采购文件中明确的所属行业）</w:t>
      </w:r>
      <w:r>
        <w:rPr>
          <w:rFonts w:hint="eastAsia" w:ascii="仿宋" w:hAnsi="仿宋" w:eastAsia="仿宋" w:cs="仿宋"/>
          <w:sz w:val="24"/>
          <w:szCs w:val="24"/>
        </w:rPr>
        <w:t>行业 ；承建（承接）企业为为</w:t>
      </w:r>
      <w:r>
        <w:rPr>
          <w:rFonts w:hint="eastAsia" w:ascii="仿宋" w:hAnsi="仿宋" w:eastAsia="仿宋" w:cs="仿宋"/>
          <w:sz w:val="24"/>
          <w:szCs w:val="24"/>
          <w:u w:val="single"/>
        </w:rPr>
        <w:t xml:space="preserve"> （企业名称）</w:t>
      </w:r>
      <w:r>
        <w:rPr>
          <w:rFonts w:hint="eastAsia" w:ascii="仿宋" w:hAnsi="仿宋" w:eastAsia="仿宋" w:cs="仿宋"/>
          <w:sz w:val="24"/>
          <w:szCs w:val="24"/>
        </w:rPr>
        <w:t xml:space="preserve"> ，从业人员人，营业收入为万元，资产总额为 万元 ，属于</w:t>
      </w:r>
      <w:r>
        <w:rPr>
          <w:rFonts w:hint="eastAsia" w:ascii="仿宋" w:hAnsi="仿宋" w:eastAsia="仿宋" w:cs="仿宋"/>
          <w:sz w:val="24"/>
          <w:szCs w:val="24"/>
          <w:u w:val="single"/>
        </w:rPr>
        <w:t xml:space="preserve"> （中型企业、小型企业、微型企业）</w:t>
      </w:r>
      <w:r>
        <w:rPr>
          <w:rFonts w:hint="eastAsia" w:ascii="仿宋" w:hAnsi="仿宋" w:eastAsia="仿宋" w:cs="仿宋"/>
          <w:sz w:val="24"/>
          <w:szCs w:val="24"/>
        </w:rPr>
        <w:t xml:space="preserve">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以上企业，不属于大企业的分支机构，不存在控股股东为大企业的情况，也不存在与大企业的负责人为同一人的情况。</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pPr>
        <w:spacing w:line="360" w:lineRule="auto"/>
        <w:ind w:firstLine="3523" w:firstLineChars="1468"/>
        <w:rPr>
          <w:rFonts w:ascii="仿宋" w:hAnsi="仿宋" w:eastAsia="仿宋" w:cs="仿宋"/>
          <w:sz w:val="24"/>
          <w:szCs w:val="24"/>
        </w:rPr>
      </w:pPr>
    </w:p>
    <w:p>
      <w:pPr>
        <w:spacing w:line="360" w:lineRule="auto"/>
        <w:ind w:firstLine="3523" w:firstLineChars="1468"/>
        <w:rPr>
          <w:rFonts w:ascii="仿宋" w:hAnsi="仿宋" w:eastAsia="仿宋" w:cs="仿宋"/>
          <w:sz w:val="24"/>
          <w:szCs w:val="24"/>
        </w:rPr>
      </w:pPr>
      <w:r>
        <w:rPr>
          <w:rFonts w:hint="eastAsia" w:ascii="仿宋" w:hAnsi="仿宋" w:eastAsia="仿宋" w:cs="仿宋"/>
          <w:sz w:val="24"/>
          <w:szCs w:val="24"/>
        </w:rPr>
        <w:t>投标单位名称（盖章）：</w:t>
      </w:r>
    </w:p>
    <w:p>
      <w:pPr>
        <w:spacing w:line="360" w:lineRule="auto"/>
        <w:ind w:firstLine="3523" w:firstLineChars="1468"/>
        <w:rPr>
          <w:rFonts w:ascii="仿宋" w:hAnsi="仿宋" w:eastAsia="仿宋" w:cs="仿宋"/>
          <w:sz w:val="24"/>
          <w:szCs w:val="24"/>
        </w:rPr>
      </w:pPr>
      <w:r>
        <w:rPr>
          <w:rFonts w:hint="eastAsia" w:ascii="仿宋" w:hAnsi="仿宋" w:eastAsia="仿宋" w:cs="仿宋"/>
          <w:sz w:val="24"/>
          <w:szCs w:val="24"/>
        </w:rPr>
        <w:t>日期：</w:t>
      </w:r>
    </w:p>
    <w:p>
      <w:pPr>
        <w:spacing w:line="360" w:lineRule="auto"/>
        <w:ind w:firstLine="480" w:firstLineChars="200"/>
        <w:rPr>
          <w:rFonts w:ascii="仿宋" w:hAnsi="仿宋" w:eastAsia="仿宋" w:cs="仿宋"/>
          <w:sz w:val="24"/>
          <w:szCs w:val="24"/>
        </w:rPr>
      </w:pPr>
    </w:p>
    <w:p>
      <w:pPr>
        <w:pStyle w:val="61"/>
        <w:spacing w:line="360" w:lineRule="auto"/>
        <w:ind w:firstLine="0" w:firstLineChars="0"/>
        <w:rPr>
          <w:rFonts w:ascii="仿宋" w:hAnsi="仿宋" w:eastAsia="仿宋" w:cs="仿宋"/>
          <w:b/>
          <w:sz w:val="24"/>
          <w:szCs w:val="24"/>
        </w:rPr>
      </w:pPr>
    </w:p>
    <w:p>
      <w:pPr>
        <w:pStyle w:val="61"/>
        <w:spacing w:line="360" w:lineRule="auto"/>
        <w:ind w:firstLine="0" w:firstLineChars="0"/>
        <w:rPr>
          <w:rFonts w:ascii="仿宋" w:hAnsi="仿宋" w:eastAsia="仿宋" w:cs="仿宋"/>
          <w:b/>
          <w:sz w:val="24"/>
          <w:szCs w:val="24"/>
        </w:rPr>
      </w:pPr>
    </w:p>
    <w:p>
      <w:pPr>
        <w:pStyle w:val="61"/>
        <w:spacing w:line="360" w:lineRule="auto"/>
        <w:ind w:firstLine="0" w:firstLineChars="0"/>
        <w:rPr>
          <w:rFonts w:ascii="仿宋" w:hAnsi="仿宋" w:eastAsia="仿宋" w:cs="仿宋"/>
          <w:b/>
          <w:sz w:val="24"/>
          <w:szCs w:val="24"/>
        </w:rPr>
      </w:pPr>
    </w:p>
    <w:p>
      <w:pPr>
        <w:pStyle w:val="61"/>
        <w:spacing w:line="360" w:lineRule="auto"/>
        <w:ind w:firstLine="0" w:firstLineChars="0"/>
        <w:rPr>
          <w:rFonts w:ascii="仿宋" w:hAnsi="仿宋" w:eastAsia="仿宋" w:cs="仿宋"/>
          <w:b/>
          <w:sz w:val="24"/>
          <w:szCs w:val="24"/>
        </w:rPr>
      </w:pPr>
    </w:p>
    <w:p>
      <w:pPr>
        <w:pStyle w:val="61"/>
        <w:spacing w:line="360" w:lineRule="auto"/>
        <w:ind w:firstLine="0" w:firstLineChars="0"/>
        <w:rPr>
          <w:rFonts w:ascii="仿宋" w:hAnsi="仿宋" w:eastAsia="仿宋" w:cs="仿宋"/>
          <w:b/>
          <w:sz w:val="24"/>
          <w:szCs w:val="24"/>
        </w:rPr>
      </w:pPr>
    </w:p>
    <w:p>
      <w:pPr>
        <w:pStyle w:val="61"/>
        <w:spacing w:line="360" w:lineRule="auto"/>
        <w:ind w:firstLine="0" w:firstLineChars="0"/>
        <w:rPr>
          <w:rFonts w:ascii="仿宋" w:hAnsi="仿宋" w:eastAsia="仿宋" w:cs="仿宋"/>
          <w:b/>
          <w:sz w:val="24"/>
          <w:szCs w:val="24"/>
        </w:rPr>
      </w:pPr>
    </w:p>
    <w:p>
      <w:pPr>
        <w:pStyle w:val="61"/>
        <w:spacing w:line="360" w:lineRule="auto"/>
        <w:ind w:firstLine="0" w:firstLineChars="0"/>
        <w:rPr>
          <w:rFonts w:ascii="仿宋" w:hAnsi="仿宋" w:eastAsia="仿宋" w:cs="仿宋"/>
          <w:b/>
          <w:sz w:val="24"/>
          <w:szCs w:val="24"/>
        </w:rPr>
      </w:pPr>
    </w:p>
    <w:bookmarkEnd w:id="534"/>
    <w:p>
      <w:pPr>
        <w:pStyle w:val="21"/>
        <w:spacing w:line="360" w:lineRule="auto"/>
        <w:rPr>
          <w:rFonts w:ascii="仿宋" w:hAnsi="仿宋" w:eastAsia="仿宋" w:cs="仿宋"/>
          <w:b/>
          <w:sz w:val="24"/>
          <w:szCs w:val="24"/>
        </w:rPr>
      </w:pPr>
    </w:p>
    <w:sectPr>
      <w:headerReference r:id="rId5"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Copperplate Gothic Bold">
    <w:altName w:val="Segoe Print"/>
    <w:panose1 w:val="020E0705020206020404"/>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jc w:val="center"/>
                          </w:pPr>
                          <w:r>
                            <w:fldChar w:fldCharType="begin"/>
                          </w:r>
                          <w:r>
                            <w:instrText xml:space="preserve">PAGE   \* MERGEFORMAT</w:instrText>
                          </w:r>
                          <w:r>
                            <w:fldChar w:fldCharType="separate"/>
                          </w:r>
                          <w:r>
                            <w:rPr>
                              <w:lang w:val="zh-CN"/>
                            </w:rPr>
                            <w:t>122</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A7I80BAACp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4TVnTlh68cv3b5cfvy4/vzKK&#10;kUB9wIrqHgJVxuHOD1Q8x5GCiffQgk1fYsQoT/Ker/KqITKZLq1X63VJKUm52SH84vF6AIxvlbcs&#10;GTUHer8sqzi9xziWziWpm/P32pj8hsb9FSDMMaLyEky3E5Nx4mTFYT9M9Pa+ORO7nhah5o72njPz&#10;zpHOaWdmA2ZjPxvHAPrQ0aDLPCWG22OkkfKkqcMISwyTQy+YuU7bllbkTz9XPf5h2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vkA7I80BAACpAwAADgAAAAAAAAABACAAAAAeAQAAZHJzL2Uy&#10;b0RvYy54bWxQSwUGAAAAAAYABgBZAQAAXQUAAAAA&#10;">
              <v:fill on="f" focussize="0,0"/>
              <v:stroke on="f"/>
              <v:imagedata o:title=""/>
              <o:lock v:ext="edit" aspectratio="f"/>
              <v:textbox inset="0mm,0mm,0mm,0mm" style="mso-fit-shape-to-text:t;">
                <w:txbxContent>
                  <w:p>
                    <w:pPr>
                      <w:pStyle w:val="17"/>
                      <w:jc w:val="center"/>
                    </w:pPr>
                    <w:r>
                      <w:fldChar w:fldCharType="begin"/>
                    </w:r>
                    <w:r>
                      <w:instrText xml:space="preserve">PAGE   \* MERGEFORMAT</w:instrText>
                    </w:r>
                    <w:r>
                      <w:fldChar w:fldCharType="separate"/>
                    </w:r>
                    <w:r>
                      <w:rPr>
                        <w:lang w:val="zh-CN"/>
                      </w:rPr>
                      <w:t>122</w:t>
                    </w:r>
                    <w:r>
                      <w:rPr>
                        <w:lang w:val="zh-CN"/>
                      </w:rPr>
                      <w:fldChar w:fldCharType="end"/>
                    </w:r>
                  </w:p>
                </w:txbxContent>
              </v:textbox>
            </v:shape>
          </w:pict>
        </mc:Fallback>
      </mc:AlternateContent>
    </w:r>
  </w:p>
  <w:p>
    <w:pPr>
      <w:pStyle w:val="1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360" w:lineRule="auto"/>
      <w:ind w:left="420" w:hanging="420" w:hangingChars="200"/>
      <w:rPr>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6569D"/>
    <w:multiLevelType w:val="multilevel"/>
    <w:tmpl w:val="8096569D"/>
    <w:lvl w:ilvl="0" w:tentative="0">
      <w:start w:val="1"/>
      <w:numFmt w:val="decimal"/>
      <w:lvlText w:val="%1."/>
      <w:lvlJc w:val="left"/>
      <w:pPr>
        <w:tabs>
          <w:tab w:val="left" w:pos="907"/>
        </w:tabs>
        <w:ind w:left="907" w:hanging="907"/>
      </w:pPr>
      <w:rPr>
        <w:rFonts w:hint="eastAsia"/>
        <w:b/>
      </w:rPr>
    </w:lvl>
    <w:lvl w:ilvl="1" w:tentative="0">
      <w:start w:val="1"/>
      <w:numFmt w:val="decimal"/>
      <w:isLgl/>
      <w:lvlText w:val="10.%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2333B14"/>
    <w:multiLevelType w:val="multilevel"/>
    <w:tmpl w:val="92333B14"/>
    <w:lvl w:ilvl="0" w:tentative="0">
      <w:start w:val="1"/>
      <w:numFmt w:val="decimal"/>
      <w:lvlText w:val="17.5.%1"/>
      <w:lvlJc w:val="left"/>
      <w:pPr>
        <w:tabs>
          <w:tab w:val="left" w:pos="907"/>
        </w:tabs>
        <w:ind w:left="907" w:hanging="907"/>
      </w:pPr>
      <w:rPr>
        <w:rFonts w:hint="default" w:ascii="宋体" w:hAnsi="宋体" w:eastAsia="宋体" w:cs="宋体"/>
        <w:b w:val="0"/>
      </w:rPr>
    </w:lvl>
    <w:lvl w:ilvl="1" w:tentative="0">
      <w:start w:val="1"/>
      <w:numFmt w:val="decimal"/>
      <w:isLgl/>
      <w:lvlText w:val="18.%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9954953A"/>
    <w:multiLevelType w:val="multilevel"/>
    <w:tmpl w:val="9954953A"/>
    <w:lvl w:ilvl="0" w:tentative="0">
      <w:start w:val="1"/>
      <w:numFmt w:val="decimal"/>
      <w:lvlText w:val="%1."/>
      <w:lvlJc w:val="left"/>
      <w:pPr>
        <w:tabs>
          <w:tab w:val="left" w:pos="907"/>
        </w:tabs>
        <w:ind w:left="907" w:hanging="907"/>
      </w:pPr>
      <w:rPr>
        <w:rFonts w:hint="eastAsia"/>
        <w:b/>
      </w:rPr>
    </w:lvl>
    <w:lvl w:ilvl="1" w:tentative="0">
      <w:start w:val="1"/>
      <w:numFmt w:val="decimal"/>
      <w:isLgl/>
      <w:lvlText w:val="36.%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9E1A86F1"/>
    <w:multiLevelType w:val="multilevel"/>
    <w:tmpl w:val="9E1A86F1"/>
    <w:lvl w:ilvl="0" w:tentative="0">
      <w:start w:val="1"/>
      <w:numFmt w:val="decimal"/>
      <w:lvlText w:val="%1."/>
      <w:lvlJc w:val="left"/>
      <w:pPr>
        <w:tabs>
          <w:tab w:val="left" w:pos="907"/>
        </w:tabs>
        <w:ind w:left="907" w:hanging="907"/>
      </w:pPr>
      <w:rPr>
        <w:rFonts w:hint="eastAsia"/>
        <w:b/>
      </w:rPr>
    </w:lvl>
    <w:lvl w:ilvl="1" w:tentative="0">
      <w:start w:val="1"/>
      <w:numFmt w:val="decimal"/>
      <w:isLgl/>
      <w:lvlText w:val="42.%2."/>
      <w:lvlJc w:val="left"/>
      <w:pPr>
        <w:tabs>
          <w:tab w:val="left" w:pos="907"/>
        </w:tabs>
        <w:ind w:left="907" w:hanging="907"/>
      </w:pPr>
      <w:rPr>
        <w:rFonts w:hint="eastAsia" w:eastAsia="宋体"/>
        <w:b w:val="0"/>
      </w:rPr>
    </w:lvl>
    <w:lvl w:ilvl="2" w:tentative="0">
      <w:start w:val="1"/>
      <w:numFmt w:val="decimal"/>
      <w:lvlText w:val="43.3.%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A48F9CC7"/>
    <w:multiLevelType w:val="multilevel"/>
    <w:tmpl w:val="A48F9CC7"/>
    <w:lvl w:ilvl="0" w:tentative="0">
      <w:start w:val="1"/>
      <w:numFmt w:val="decimal"/>
      <w:lvlText w:val="%1."/>
      <w:lvlJc w:val="left"/>
      <w:pPr>
        <w:tabs>
          <w:tab w:val="left" w:pos="907"/>
        </w:tabs>
        <w:ind w:left="907" w:hanging="907"/>
      </w:pPr>
      <w:rPr>
        <w:rFonts w:hint="eastAsia"/>
        <w:b/>
      </w:rPr>
    </w:lvl>
    <w:lvl w:ilvl="1" w:tentative="0">
      <w:start w:val="1"/>
      <w:numFmt w:val="decimal"/>
      <w:isLgl/>
      <w:lvlText w:val="34.%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A7A2FB09"/>
    <w:multiLevelType w:val="multilevel"/>
    <w:tmpl w:val="A7A2FB09"/>
    <w:lvl w:ilvl="0" w:tentative="0">
      <w:start w:val="1"/>
      <w:numFmt w:val="decimal"/>
      <w:lvlText w:val="%1."/>
      <w:lvlJc w:val="left"/>
      <w:pPr>
        <w:tabs>
          <w:tab w:val="left" w:pos="907"/>
        </w:tabs>
        <w:ind w:left="907" w:hanging="907"/>
      </w:pPr>
      <w:rPr>
        <w:rFonts w:hint="eastAsia"/>
        <w:b/>
      </w:rPr>
    </w:lvl>
    <w:lvl w:ilvl="1" w:tentative="0">
      <w:start w:val="1"/>
      <w:numFmt w:val="decimal"/>
      <w:isLgl/>
      <w:lvlText w:val="27.%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A9E10F71"/>
    <w:multiLevelType w:val="multilevel"/>
    <w:tmpl w:val="A9E10F71"/>
    <w:lvl w:ilvl="0" w:tentative="0">
      <w:start w:val="1"/>
      <w:numFmt w:val="decimal"/>
      <w:lvlText w:val="%1."/>
      <w:lvlJc w:val="left"/>
      <w:pPr>
        <w:tabs>
          <w:tab w:val="left" w:pos="907"/>
        </w:tabs>
        <w:ind w:left="907" w:hanging="907"/>
      </w:pPr>
      <w:rPr>
        <w:rFonts w:hint="eastAsia"/>
        <w:b/>
      </w:rPr>
    </w:lvl>
    <w:lvl w:ilvl="1" w:tentative="0">
      <w:start w:val="1"/>
      <w:numFmt w:val="decimal"/>
      <w:isLgl/>
      <w:lvlText w:val="33.%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AA4DD313"/>
    <w:multiLevelType w:val="multilevel"/>
    <w:tmpl w:val="AA4DD313"/>
    <w:lvl w:ilvl="0" w:tentative="0">
      <w:start w:val="1"/>
      <w:numFmt w:val="decimal"/>
      <w:lvlText w:val="%1."/>
      <w:lvlJc w:val="left"/>
      <w:pPr>
        <w:tabs>
          <w:tab w:val="left" w:pos="907"/>
        </w:tabs>
        <w:ind w:left="907" w:hanging="907"/>
      </w:pPr>
      <w:rPr>
        <w:rFonts w:hint="eastAsia"/>
        <w:b/>
      </w:rPr>
    </w:lvl>
    <w:lvl w:ilvl="1" w:tentative="0">
      <w:start w:val="1"/>
      <w:numFmt w:val="decimal"/>
      <w:isLgl/>
      <w:lvlText w:val="12.%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AF9868AF"/>
    <w:multiLevelType w:val="multilevel"/>
    <w:tmpl w:val="AF9868AF"/>
    <w:lvl w:ilvl="0" w:tentative="0">
      <w:start w:val="1"/>
      <w:numFmt w:val="decimal"/>
      <w:lvlText w:val="20.%1"/>
      <w:lvlJc w:val="left"/>
      <w:pPr>
        <w:tabs>
          <w:tab w:val="left" w:pos="907"/>
        </w:tabs>
        <w:ind w:left="907" w:hanging="907"/>
      </w:pPr>
      <w:rPr>
        <w:rFonts w:hint="default" w:ascii="宋体" w:hAnsi="宋体" w:eastAsia="宋体" w:cs="宋体"/>
        <w:b w:val="0"/>
      </w:rPr>
    </w:lvl>
    <w:lvl w:ilvl="1" w:tentative="0">
      <w:start w:val="1"/>
      <w:numFmt w:val="decimal"/>
      <w:isLgl/>
      <w:lvlText w:val="19.%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AFD2DA23"/>
    <w:multiLevelType w:val="multilevel"/>
    <w:tmpl w:val="AFD2DA23"/>
    <w:lvl w:ilvl="0" w:tentative="0">
      <w:start w:val="1"/>
      <w:numFmt w:val="decimal"/>
      <w:lvlText w:val="%1."/>
      <w:lvlJc w:val="left"/>
      <w:pPr>
        <w:tabs>
          <w:tab w:val="left" w:pos="907"/>
        </w:tabs>
        <w:ind w:left="907" w:hanging="907"/>
      </w:pPr>
      <w:rPr>
        <w:rFonts w:hint="eastAsia"/>
        <w:b/>
      </w:rPr>
    </w:lvl>
    <w:lvl w:ilvl="1" w:tentative="0">
      <w:start w:val="1"/>
      <w:numFmt w:val="decimal"/>
      <w:isLgl/>
      <w:lvlText w:val="21.%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B00E335D"/>
    <w:multiLevelType w:val="multilevel"/>
    <w:tmpl w:val="B00E335D"/>
    <w:lvl w:ilvl="0" w:tentative="0">
      <w:start w:val="1"/>
      <w:numFmt w:val="decimal"/>
      <w:lvlText w:val="%1."/>
      <w:lvlJc w:val="left"/>
      <w:pPr>
        <w:tabs>
          <w:tab w:val="left" w:pos="907"/>
        </w:tabs>
        <w:ind w:left="907" w:hanging="907"/>
      </w:pPr>
      <w:rPr>
        <w:rFonts w:hint="eastAsia"/>
        <w:b/>
      </w:rPr>
    </w:lvl>
    <w:lvl w:ilvl="1" w:tentative="0">
      <w:start w:val="1"/>
      <w:numFmt w:val="decimal"/>
      <w:isLgl/>
      <w:lvlText w:val="6.%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B8EACBA9"/>
    <w:multiLevelType w:val="multilevel"/>
    <w:tmpl w:val="B8EACBA9"/>
    <w:lvl w:ilvl="0" w:tentative="0">
      <w:start w:val="1"/>
      <w:numFmt w:val="decimal"/>
      <w:lvlText w:val="%1."/>
      <w:lvlJc w:val="left"/>
      <w:pPr>
        <w:tabs>
          <w:tab w:val="left" w:pos="907"/>
        </w:tabs>
        <w:ind w:left="907" w:hanging="907"/>
      </w:pPr>
      <w:rPr>
        <w:rFonts w:hint="eastAsia"/>
        <w:b/>
      </w:rPr>
    </w:lvl>
    <w:lvl w:ilvl="1" w:tentative="0">
      <w:start w:val="1"/>
      <w:numFmt w:val="decimal"/>
      <w:isLgl/>
      <w:lvlText w:val="22.%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BC19AF0D"/>
    <w:multiLevelType w:val="multilevel"/>
    <w:tmpl w:val="BC19AF0D"/>
    <w:lvl w:ilvl="0" w:tentative="0">
      <w:start w:val="1"/>
      <w:numFmt w:val="decimal"/>
      <w:lvlText w:val="%1."/>
      <w:lvlJc w:val="left"/>
      <w:pPr>
        <w:tabs>
          <w:tab w:val="left" w:pos="907"/>
        </w:tabs>
        <w:ind w:left="907" w:hanging="907"/>
      </w:pPr>
      <w:rPr>
        <w:rFonts w:hint="eastAsia"/>
        <w:b/>
      </w:rPr>
    </w:lvl>
    <w:lvl w:ilvl="1" w:tentative="0">
      <w:start w:val="1"/>
      <w:numFmt w:val="decimal"/>
      <w:isLgl/>
      <w:lvlText w:val="32.%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C0CBC2A9"/>
    <w:multiLevelType w:val="multilevel"/>
    <w:tmpl w:val="C0CBC2A9"/>
    <w:lvl w:ilvl="0" w:tentative="0">
      <w:start w:val="1"/>
      <w:numFmt w:val="decimal"/>
      <w:lvlText w:val="%1."/>
      <w:lvlJc w:val="left"/>
      <w:pPr>
        <w:tabs>
          <w:tab w:val="left" w:pos="907"/>
        </w:tabs>
        <w:ind w:left="907" w:hanging="907"/>
      </w:pPr>
      <w:rPr>
        <w:rFonts w:hint="eastAsia"/>
        <w:b/>
      </w:rPr>
    </w:lvl>
    <w:lvl w:ilvl="1" w:tentative="0">
      <w:start w:val="1"/>
      <w:numFmt w:val="decimal"/>
      <w:isLgl/>
      <w:lvlText w:val="13.%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C22701CE"/>
    <w:multiLevelType w:val="multilevel"/>
    <w:tmpl w:val="C22701CE"/>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4.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C2417F32"/>
    <w:multiLevelType w:val="multilevel"/>
    <w:tmpl w:val="C2417F32"/>
    <w:lvl w:ilvl="0" w:tentative="0">
      <w:start w:val="1"/>
      <w:numFmt w:val="decimal"/>
      <w:lvlText w:val="%1."/>
      <w:lvlJc w:val="left"/>
      <w:pPr>
        <w:tabs>
          <w:tab w:val="left" w:pos="907"/>
        </w:tabs>
        <w:ind w:left="907" w:hanging="907"/>
      </w:pPr>
      <w:rPr>
        <w:rFonts w:hint="eastAsia"/>
        <w:b/>
      </w:rPr>
    </w:lvl>
    <w:lvl w:ilvl="1" w:tentative="0">
      <w:start w:val="1"/>
      <w:numFmt w:val="decimal"/>
      <w:isLgl/>
      <w:lvlText w:val="43.%2."/>
      <w:lvlJc w:val="left"/>
      <w:pPr>
        <w:tabs>
          <w:tab w:val="left" w:pos="907"/>
        </w:tabs>
        <w:ind w:left="907" w:hanging="907"/>
      </w:pPr>
      <w:rPr>
        <w:rFonts w:hint="default" w:ascii="宋体" w:hAnsi="宋体" w:eastAsia="宋体" w:cs="宋体"/>
        <w:b w:val="0"/>
      </w:rPr>
    </w:lvl>
    <w:lvl w:ilvl="2" w:tentative="0">
      <w:start w:val="1"/>
      <w:numFmt w:val="decimal"/>
      <w:lvlText w:val="4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D002ECE8"/>
    <w:multiLevelType w:val="multilevel"/>
    <w:tmpl w:val="D002ECE8"/>
    <w:lvl w:ilvl="0" w:tentative="0">
      <w:start w:val="1"/>
      <w:numFmt w:val="decimal"/>
      <w:lvlText w:val="%1."/>
      <w:lvlJc w:val="left"/>
      <w:pPr>
        <w:tabs>
          <w:tab w:val="left" w:pos="907"/>
        </w:tabs>
        <w:ind w:left="907" w:hanging="907"/>
      </w:pPr>
      <w:rPr>
        <w:rFonts w:hint="eastAsia"/>
        <w:b/>
      </w:rPr>
    </w:lvl>
    <w:lvl w:ilvl="1" w:tentative="0">
      <w:start w:val="1"/>
      <w:numFmt w:val="decimal"/>
      <w:isLgl/>
      <w:lvlText w:val="38.%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D228F261"/>
    <w:multiLevelType w:val="multilevel"/>
    <w:tmpl w:val="D228F261"/>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2.%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D2D509F7"/>
    <w:multiLevelType w:val="multilevel"/>
    <w:tmpl w:val="D2D509F7"/>
    <w:lvl w:ilvl="0" w:tentative="0">
      <w:start w:val="1"/>
      <w:numFmt w:val="decimal"/>
      <w:lvlText w:val="%1."/>
      <w:lvlJc w:val="left"/>
      <w:pPr>
        <w:tabs>
          <w:tab w:val="left" w:pos="907"/>
        </w:tabs>
        <w:ind w:left="907" w:hanging="907"/>
      </w:pPr>
      <w:rPr>
        <w:rFonts w:hint="eastAsia"/>
        <w:b/>
      </w:rPr>
    </w:lvl>
    <w:lvl w:ilvl="1" w:tentative="0">
      <w:start w:val="1"/>
      <w:numFmt w:val="decimal"/>
      <w:isLgl/>
      <w:lvlText w:val="37.%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9">
    <w:nsid w:val="D82FDC4F"/>
    <w:multiLevelType w:val="multilevel"/>
    <w:tmpl w:val="D82FDC4F"/>
    <w:lvl w:ilvl="0" w:tentative="0">
      <w:start w:val="1"/>
      <w:numFmt w:val="decimal"/>
      <w:lvlText w:val="%1."/>
      <w:lvlJc w:val="left"/>
      <w:pPr>
        <w:tabs>
          <w:tab w:val="left" w:pos="907"/>
        </w:tabs>
        <w:ind w:left="907" w:hanging="907"/>
      </w:pPr>
      <w:rPr>
        <w:rFonts w:hint="eastAsia"/>
        <w:b/>
      </w:rPr>
    </w:lvl>
    <w:lvl w:ilvl="1" w:tentative="0">
      <w:start w:val="1"/>
      <w:numFmt w:val="decimal"/>
      <w:isLgl/>
      <w:lvlText w:val="31.%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0">
    <w:nsid w:val="DA854457"/>
    <w:multiLevelType w:val="multilevel"/>
    <w:tmpl w:val="DA854457"/>
    <w:lvl w:ilvl="0" w:tentative="0">
      <w:start w:val="1"/>
      <w:numFmt w:val="decimal"/>
      <w:lvlText w:val="%1."/>
      <w:lvlJc w:val="left"/>
      <w:pPr>
        <w:tabs>
          <w:tab w:val="left" w:pos="907"/>
        </w:tabs>
        <w:ind w:left="907" w:hanging="907"/>
      </w:pPr>
      <w:rPr>
        <w:rFonts w:hint="eastAsia"/>
        <w:b/>
      </w:rPr>
    </w:lvl>
    <w:lvl w:ilvl="1" w:tentative="0">
      <w:start w:val="1"/>
      <w:numFmt w:val="decimal"/>
      <w:isLgl/>
      <w:lvlText w:val="17.%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DB667128"/>
    <w:multiLevelType w:val="multilevel"/>
    <w:tmpl w:val="DB667128"/>
    <w:lvl w:ilvl="0" w:tentative="0">
      <w:start w:val="1"/>
      <w:numFmt w:val="decimal"/>
      <w:lvlText w:val="%1."/>
      <w:lvlJc w:val="left"/>
      <w:pPr>
        <w:tabs>
          <w:tab w:val="left" w:pos="907"/>
        </w:tabs>
        <w:ind w:left="907" w:hanging="907"/>
      </w:pPr>
      <w:rPr>
        <w:rFonts w:hint="eastAsia"/>
        <w:b/>
      </w:rPr>
    </w:lvl>
    <w:lvl w:ilvl="1" w:tentative="0">
      <w:start w:val="1"/>
      <w:numFmt w:val="decimal"/>
      <w:isLgl/>
      <w:lvlText w:val="39.%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E6A74FC1"/>
    <w:multiLevelType w:val="multilevel"/>
    <w:tmpl w:val="E6A74FC1"/>
    <w:lvl w:ilvl="0" w:tentative="0">
      <w:start w:val="1"/>
      <w:numFmt w:val="decimal"/>
      <w:lvlText w:val="%1."/>
      <w:lvlJc w:val="left"/>
      <w:pPr>
        <w:tabs>
          <w:tab w:val="left" w:pos="907"/>
        </w:tabs>
        <w:ind w:left="907" w:hanging="907"/>
      </w:pPr>
      <w:rPr>
        <w:rFonts w:hint="eastAsia"/>
        <w:b/>
      </w:rPr>
    </w:lvl>
    <w:lvl w:ilvl="1" w:tentative="0">
      <w:start w:val="1"/>
      <w:numFmt w:val="decimal"/>
      <w:isLgl/>
      <w:lvlText w:val="30.%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3">
    <w:nsid w:val="F0530013"/>
    <w:multiLevelType w:val="multilevel"/>
    <w:tmpl w:val="F0530013"/>
    <w:lvl w:ilvl="0" w:tentative="0">
      <w:start w:val="1"/>
      <w:numFmt w:val="decimal"/>
      <w:lvlText w:val="%1."/>
      <w:lvlJc w:val="left"/>
      <w:pPr>
        <w:tabs>
          <w:tab w:val="left" w:pos="907"/>
        </w:tabs>
        <w:ind w:left="907" w:hanging="907"/>
      </w:pPr>
      <w:rPr>
        <w:rFonts w:hint="eastAsia"/>
        <w:b/>
      </w:rPr>
    </w:lvl>
    <w:lvl w:ilvl="1" w:tentative="0">
      <w:start w:val="1"/>
      <w:numFmt w:val="decimal"/>
      <w:isLgl/>
      <w:lvlText w:val="28.%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4">
    <w:nsid w:val="F204C63F"/>
    <w:multiLevelType w:val="multilevel"/>
    <w:tmpl w:val="F204C63F"/>
    <w:lvl w:ilvl="0" w:tentative="0">
      <w:start w:val="1"/>
      <w:numFmt w:val="decimal"/>
      <w:lvlText w:val="%1."/>
      <w:lvlJc w:val="left"/>
      <w:pPr>
        <w:tabs>
          <w:tab w:val="left" w:pos="907"/>
        </w:tabs>
        <w:ind w:left="907" w:hanging="907"/>
      </w:pPr>
      <w:rPr>
        <w:rFonts w:hint="eastAsia"/>
        <w:b/>
      </w:rPr>
    </w:lvl>
    <w:lvl w:ilvl="1" w:tentative="0">
      <w:start w:val="1"/>
      <w:numFmt w:val="decimal"/>
      <w:isLgl/>
      <w:lvlText w:val="42.%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5">
    <w:nsid w:val="FD3D99E3"/>
    <w:multiLevelType w:val="multilevel"/>
    <w:tmpl w:val="FD3D99E3"/>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4.2.%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FF5CA5AF"/>
    <w:multiLevelType w:val="multilevel"/>
    <w:tmpl w:val="FF5CA5AF"/>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6.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00000028"/>
    <w:multiLevelType w:val="multilevel"/>
    <w:tmpl w:val="00000028"/>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color w:val="auto"/>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8">
    <w:nsid w:val="0000003A"/>
    <w:multiLevelType w:val="multilevel"/>
    <w:tmpl w:val="0000003A"/>
    <w:lvl w:ilvl="0" w:tentative="0">
      <w:start w:val="1"/>
      <w:numFmt w:val="decimal"/>
      <w:lvlText w:val="%1."/>
      <w:lvlJc w:val="left"/>
      <w:pPr>
        <w:tabs>
          <w:tab w:val="left" w:pos="907"/>
        </w:tabs>
        <w:ind w:left="907" w:hanging="907"/>
      </w:pPr>
      <w:rPr>
        <w:rFonts w:hint="eastAsia"/>
        <w:b/>
      </w:rPr>
    </w:lvl>
    <w:lvl w:ilvl="1" w:tentative="0">
      <w:start w:val="1"/>
      <w:numFmt w:val="decimal"/>
      <w:isLgl/>
      <w:lvlText w:val="4.%2."/>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0000004F"/>
    <w:multiLevelType w:val="multilevel"/>
    <w:tmpl w:val="0000004F"/>
    <w:lvl w:ilvl="0" w:tentative="0">
      <w:start w:val="1"/>
      <w:numFmt w:val="decimal"/>
      <w:lvlText w:val="%1."/>
      <w:lvlJc w:val="left"/>
      <w:pPr>
        <w:tabs>
          <w:tab w:val="left" w:pos="907"/>
        </w:tabs>
        <w:ind w:left="907" w:hanging="907"/>
      </w:pPr>
      <w:rPr>
        <w:rFonts w:hint="eastAsia"/>
        <w:b/>
      </w:rPr>
    </w:lvl>
    <w:lvl w:ilvl="1" w:tentative="0">
      <w:start w:val="1"/>
      <w:numFmt w:val="decimal"/>
      <w:isLgl/>
      <w:lvlText w:val="2.%2."/>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0">
    <w:nsid w:val="04944B75"/>
    <w:multiLevelType w:val="multilevel"/>
    <w:tmpl w:val="04944B75"/>
    <w:lvl w:ilvl="0" w:tentative="0">
      <w:start w:val="1"/>
      <w:numFmt w:val="decimal"/>
      <w:lvlText w:val="%1."/>
      <w:lvlJc w:val="left"/>
      <w:pPr>
        <w:tabs>
          <w:tab w:val="left" w:pos="907"/>
        </w:tabs>
        <w:ind w:left="907" w:hanging="907"/>
      </w:pPr>
      <w:rPr>
        <w:rFonts w:hint="eastAsia"/>
        <w:b/>
      </w:rPr>
    </w:lvl>
    <w:lvl w:ilvl="1" w:tentative="0">
      <w:start w:val="1"/>
      <w:numFmt w:val="decimal"/>
      <w:isLgl/>
      <w:lvlText w:val="11.%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0609AC39"/>
    <w:multiLevelType w:val="singleLevel"/>
    <w:tmpl w:val="0609AC39"/>
    <w:lvl w:ilvl="0" w:tentative="0">
      <w:start w:val="2"/>
      <w:numFmt w:val="chineseCounting"/>
      <w:suff w:val="nothing"/>
      <w:lvlText w:val="（%1）"/>
      <w:lvlJc w:val="left"/>
      <w:rPr>
        <w:rFonts w:hint="eastAsia"/>
      </w:rPr>
    </w:lvl>
  </w:abstractNum>
  <w:abstractNum w:abstractNumId="32">
    <w:nsid w:val="09DB2046"/>
    <w:multiLevelType w:val="multilevel"/>
    <w:tmpl w:val="09DB2046"/>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7.4.%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3">
    <w:nsid w:val="1175E00E"/>
    <w:multiLevelType w:val="multilevel"/>
    <w:tmpl w:val="1175E00E"/>
    <w:lvl w:ilvl="0" w:tentative="0">
      <w:start w:val="1"/>
      <w:numFmt w:val="decimal"/>
      <w:lvlText w:val="%1."/>
      <w:lvlJc w:val="left"/>
      <w:pPr>
        <w:tabs>
          <w:tab w:val="left" w:pos="907"/>
        </w:tabs>
        <w:ind w:left="907" w:hanging="907"/>
      </w:pPr>
      <w:rPr>
        <w:rFonts w:hint="eastAsia"/>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4">
    <w:nsid w:val="11AE64C4"/>
    <w:multiLevelType w:val="multilevel"/>
    <w:tmpl w:val="11AE64C4"/>
    <w:lvl w:ilvl="0" w:tentative="0">
      <w:start w:val="1"/>
      <w:numFmt w:val="none"/>
      <w:lvlText w:val="3.1."/>
      <w:lvlJc w:val="left"/>
      <w:pPr>
        <w:tabs>
          <w:tab w:val="left" w:pos="907"/>
        </w:tabs>
        <w:ind w:left="907" w:hanging="907"/>
      </w:pPr>
      <w:rPr>
        <w:rFonts w:hint="eastAsia"/>
        <w:b/>
      </w:rPr>
    </w:lvl>
    <w:lvl w:ilvl="1" w:tentative="0">
      <w:start w:val="1"/>
      <w:numFmt w:val="none"/>
      <w:isLgl/>
      <w:lvlText w:val="3.1."/>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2358F3A8"/>
    <w:multiLevelType w:val="multilevel"/>
    <w:tmpl w:val="2358F3A8"/>
    <w:lvl w:ilvl="0" w:tentative="0">
      <w:start w:val="1"/>
      <w:numFmt w:val="decimal"/>
      <w:lvlText w:val="%1."/>
      <w:lvlJc w:val="left"/>
      <w:pPr>
        <w:tabs>
          <w:tab w:val="left" w:pos="907"/>
        </w:tabs>
        <w:ind w:left="907" w:hanging="907"/>
      </w:pPr>
      <w:rPr>
        <w:rFonts w:hint="eastAsia"/>
        <w:b/>
      </w:rPr>
    </w:lvl>
    <w:lvl w:ilvl="1" w:tentative="0">
      <w:start w:val="1"/>
      <w:numFmt w:val="decimal"/>
      <w:isLgl/>
      <w:lvlText w:val="14.%2."/>
      <w:lvlJc w:val="left"/>
      <w:pPr>
        <w:tabs>
          <w:tab w:val="left" w:pos="907"/>
        </w:tabs>
        <w:ind w:left="907" w:hanging="907"/>
      </w:pPr>
      <w:rPr>
        <w:rFonts w:hint="default" w:ascii="宋体" w:hAnsi="宋体" w:eastAsia="宋体" w:cs="宋体"/>
        <w:b w:val="0"/>
      </w:rPr>
    </w:lvl>
    <w:lvl w:ilvl="2" w:tentative="0">
      <w:start w:val="1"/>
      <w:numFmt w:val="decimal"/>
      <w:lvlText w:val="14.%2.%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29A13BAF"/>
    <w:multiLevelType w:val="multilevel"/>
    <w:tmpl w:val="29A13BAF"/>
    <w:lvl w:ilvl="0" w:tentative="0">
      <w:start w:val="1"/>
      <w:numFmt w:val="bullet"/>
      <w:lvlText w:val=""/>
      <w:lvlJc w:val="left"/>
      <w:pPr>
        <w:ind w:left="421" w:hanging="420"/>
      </w:pPr>
      <w:rPr>
        <w:rFonts w:hint="default" w:ascii="Wingdings" w:hAnsi="Wingdings"/>
      </w:rPr>
    </w:lvl>
    <w:lvl w:ilvl="1" w:tentative="0">
      <w:start w:val="1"/>
      <w:numFmt w:val="decimal"/>
      <w:lvlText w:val="%2、"/>
      <w:lvlJc w:val="left"/>
      <w:pPr>
        <w:ind w:left="786" w:hanging="360"/>
      </w:pPr>
      <w:rPr>
        <w:rFonts w:hint="default"/>
      </w:rPr>
    </w:lvl>
    <w:lvl w:ilvl="2" w:tentative="0">
      <w:start w:val="1"/>
      <w:numFmt w:val="japaneseCounting"/>
      <w:lvlText w:val="（%3）"/>
      <w:lvlJc w:val="left"/>
      <w:pPr>
        <w:ind w:left="1561" w:hanging="720"/>
      </w:pPr>
      <w:rPr>
        <w:rFonts w:hint="default"/>
      </w:r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37">
    <w:nsid w:val="2C48416B"/>
    <w:multiLevelType w:val="multilevel"/>
    <w:tmpl w:val="2C48416B"/>
    <w:lvl w:ilvl="0" w:tentative="0">
      <w:start w:val="1"/>
      <w:numFmt w:val="decimal"/>
      <w:lvlText w:val="4.1.%1"/>
      <w:lvlJc w:val="left"/>
      <w:pPr>
        <w:tabs>
          <w:tab w:val="left" w:pos="907"/>
        </w:tabs>
        <w:ind w:left="907" w:hanging="907"/>
      </w:pPr>
      <w:rPr>
        <w:rFonts w:hint="default" w:ascii="宋体" w:hAnsi="宋体" w:eastAsia="宋体" w:cs="宋体"/>
        <w:b w:val="0"/>
      </w:rPr>
    </w:lvl>
    <w:lvl w:ilvl="1" w:tentative="0">
      <w:start w:val="1"/>
      <w:numFmt w:val="decimal"/>
      <w:lvlText w:val="6.2.%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8">
    <w:nsid w:val="3165F6A4"/>
    <w:multiLevelType w:val="multilevel"/>
    <w:tmpl w:val="3165F6A4"/>
    <w:lvl w:ilvl="0" w:tentative="0">
      <w:start w:val="1"/>
      <w:numFmt w:val="decimal"/>
      <w:lvlText w:val="%1."/>
      <w:lvlJc w:val="left"/>
      <w:pPr>
        <w:tabs>
          <w:tab w:val="left" w:pos="907"/>
        </w:tabs>
        <w:ind w:left="907" w:hanging="907"/>
      </w:pPr>
      <w:rPr>
        <w:rFonts w:hint="eastAsia"/>
        <w:b/>
      </w:rPr>
    </w:lvl>
    <w:lvl w:ilvl="1" w:tentative="0">
      <w:start w:val="1"/>
      <w:numFmt w:val="decimal"/>
      <w:isLgl/>
      <w:lvlText w:val="26.%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9">
    <w:nsid w:val="389572DE"/>
    <w:multiLevelType w:val="multilevel"/>
    <w:tmpl w:val="389572DE"/>
    <w:lvl w:ilvl="0" w:tentative="0">
      <w:start w:val="1"/>
      <w:numFmt w:val="japaneseCounting"/>
      <w:lvlText w:val="第%1章"/>
      <w:lvlJc w:val="left"/>
      <w:pPr>
        <w:ind w:left="1170" w:hanging="117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0">
    <w:nsid w:val="3E8846B6"/>
    <w:multiLevelType w:val="multilevel"/>
    <w:tmpl w:val="3E8846B6"/>
    <w:lvl w:ilvl="0" w:tentative="0">
      <w:start w:val="1"/>
      <w:numFmt w:val="decimal"/>
      <w:lvlText w:val="%1."/>
      <w:lvlJc w:val="left"/>
      <w:pPr>
        <w:tabs>
          <w:tab w:val="left" w:pos="907"/>
        </w:tabs>
        <w:ind w:left="907" w:hanging="907"/>
      </w:pPr>
      <w:rPr>
        <w:rFonts w:hint="eastAsia"/>
        <w:b/>
      </w:rPr>
    </w:lvl>
    <w:lvl w:ilvl="1" w:tentative="0">
      <w:start w:val="1"/>
      <w:numFmt w:val="decimal"/>
      <w:isLgl/>
      <w:lvlText w:val="25.%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1">
    <w:nsid w:val="3F8DA08C"/>
    <w:multiLevelType w:val="multilevel"/>
    <w:tmpl w:val="3F8DA08C"/>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2">
    <w:nsid w:val="401A4206"/>
    <w:multiLevelType w:val="multilevel"/>
    <w:tmpl w:val="401A4206"/>
    <w:lvl w:ilvl="0" w:tentative="0">
      <w:start w:val="1"/>
      <w:numFmt w:val="decimal"/>
      <w:lvlText w:val="%1."/>
      <w:lvlJc w:val="left"/>
      <w:pPr>
        <w:tabs>
          <w:tab w:val="left" w:pos="907"/>
        </w:tabs>
        <w:ind w:left="907" w:hanging="907"/>
      </w:pPr>
      <w:rPr>
        <w:rFonts w:hint="eastAsia"/>
        <w:b/>
      </w:rPr>
    </w:lvl>
    <w:lvl w:ilvl="1" w:tentative="0">
      <w:start w:val="1"/>
      <w:numFmt w:val="decimal"/>
      <w:isLgl/>
      <w:lvlText w:val="40.%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3">
    <w:nsid w:val="48024D8F"/>
    <w:multiLevelType w:val="multilevel"/>
    <w:tmpl w:val="48024D8F"/>
    <w:lvl w:ilvl="0" w:tentative="0">
      <w:start w:val="1"/>
      <w:numFmt w:val="decimal"/>
      <w:lvlText w:val="%1."/>
      <w:lvlJc w:val="left"/>
      <w:pPr>
        <w:tabs>
          <w:tab w:val="left" w:pos="907"/>
        </w:tabs>
        <w:ind w:left="907" w:hanging="907"/>
      </w:pPr>
      <w:rPr>
        <w:rFonts w:hint="eastAsia"/>
        <w:b/>
      </w:rPr>
    </w:lvl>
    <w:lvl w:ilvl="1" w:tentative="0">
      <w:start w:val="1"/>
      <w:numFmt w:val="decimal"/>
      <w:isLgl/>
      <w:lvlText w:val="7.%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4">
    <w:nsid w:val="4A8B0558"/>
    <w:multiLevelType w:val="multilevel"/>
    <w:tmpl w:val="4A8B0558"/>
    <w:lvl w:ilvl="0" w:tentative="0">
      <w:start w:val="1"/>
      <w:numFmt w:val="decimal"/>
      <w:lvlText w:val="%1）"/>
      <w:lvlJc w:val="left"/>
      <w:pPr>
        <w:tabs>
          <w:tab w:val="left" w:pos="1920"/>
        </w:tabs>
        <w:ind w:left="192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4C56676A"/>
    <w:multiLevelType w:val="multilevel"/>
    <w:tmpl w:val="4C56676A"/>
    <w:lvl w:ilvl="0" w:tentative="0">
      <w:start w:val="1"/>
      <w:numFmt w:val="decimal"/>
      <w:lvlText w:val="19.%1"/>
      <w:lvlJc w:val="left"/>
      <w:pPr>
        <w:tabs>
          <w:tab w:val="left" w:pos="907"/>
        </w:tabs>
        <w:ind w:left="907" w:hanging="907"/>
      </w:pPr>
      <w:rPr>
        <w:rFonts w:hint="default" w:ascii="宋体" w:hAnsi="宋体" w:eastAsia="宋体" w:cs="宋体"/>
        <w:b w:val="0"/>
      </w:rPr>
    </w:lvl>
    <w:lvl w:ilvl="1" w:tentative="0">
      <w:start w:val="1"/>
      <w:numFmt w:val="decimal"/>
      <w:isLgl/>
      <w:lvlText w:val="19.%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6">
    <w:nsid w:val="4D4FE455"/>
    <w:multiLevelType w:val="multilevel"/>
    <w:tmpl w:val="4D4FE455"/>
    <w:lvl w:ilvl="0" w:tentative="0">
      <w:start w:val="1"/>
      <w:numFmt w:val="decimal"/>
      <w:lvlText w:val="%1."/>
      <w:lvlJc w:val="left"/>
      <w:pPr>
        <w:tabs>
          <w:tab w:val="left" w:pos="907"/>
        </w:tabs>
        <w:ind w:left="907" w:hanging="907"/>
      </w:pPr>
      <w:rPr>
        <w:rFonts w:hint="eastAsia"/>
        <w:b/>
      </w:rPr>
    </w:lvl>
    <w:lvl w:ilvl="1" w:tentative="0">
      <w:start w:val="1"/>
      <w:numFmt w:val="decimal"/>
      <w:isLgl/>
      <w:lvlText w:val="16.%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7">
    <w:nsid w:val="4FB875E8"/>
    <w:multiLevelType w:val="singleLevel"/>
    <w:tmpl w:val="4FB875E8"/>
    <w:lvl w:ilvl="0" w:tentative="0">
      <w:start w:val="1"/>
      <w:numFmt w:val="decimal"/>
      <w:suff w:val="nothing"/>
      <w:lvlText w:val="（%1）"/>
      <w:lvlJc w:val="left"/>
    </w:lvl>
  </w:abstractNum>
  <w:abstractNum w:abstractNumId="48">
    <w:nsid w:val="57FDEF10"/>
    <w:multiLevelType w:val="multilevel"/>
    <w:tmpl w:val="57FDEF10"/>
    <w:lvl w:ilvl="0" w:tentative="0">
      <w:start w:val="1"/>
      <w:numFmt w:val="decimal"/>
      <w:lvlText w:val="24.4.%1"/>
      <w:lvlJc w:val="left"/>
      <w:pPr>
        <w:ind w:left="425" w:hanging="425"/>
      </w:pPr>
      <w:rPr>
        <w:rFonts w:hint="default" w:ascii="宋体" w:hAnsi="宋体" w:eastAsia="宋体" w:cs="宋体"/>
        <w:w w:val="100"/>
        <w:lang w:val="zh-CN" w:eastAsia="zh-CN" w:bidi="zh-CN"/>
      </w:rPr>
    </w:lvl>
    <w:lvl w:ilvl="1" w:tentative="0">
      <w:start w:val="1"/>
      <w:numFmt w:val="decimal"/>
      <w:lvlText w:val="%1.%2."/>
      <w:lvlJc w:val="left"/>
      <w:pPr>
        <w:ind w:left="566" w:hanging="567"/>
      </w:pPr>
      <w:rPr>
        <w:rFonts w:hint="default"/>
        <w:w w:val="100"/>
        <w:lang w:val="zh-CN" w:eastAsia="zh-CN" w:bidi="zh-CN"/>
      </w:rPr>
    </w:lvl>
    <w:lvl w:ilvl="2" w:tentative="0">
      <w:start w:val="1"/>
      <w:numFmt w:val="decimal"/>
      <w:lvlText w:val="27.2.%3"/>
      <w:lvlJc w:val="left"/>
      <w:pPr>
        <w:ind w:left="708" w:hanging="567"/>
      </w:pPr>
      <w:rPr>
        <w:rFonts w:hint="default" w:ascii="宋体" w:hAnsi="宋体" w:eastAsia="宋体" w:cs="宋体"/>
        <w:w w:val="100"/>
        <w:sz w:val="21"/>
        <w:szCs w:val="21"/>
        <w:lang w:val="zh-CN" w:eastAsia="zh-CN" w:bidi="zh-CN"/>
      </w:rPr>
    </w:lvl>
    <w:lvl w:ilvl="3" w:tentative="0">
      <w:start w:val="0"/>
      <w:numFmt w:val="bullet"/>
      <w:lvlText w:val="•"/>
      <w:lvlJc w:val="left"/>
      <w:pPr>
        <w:ind w:left="1850" w:hanging="567"/>
      </w:pPr>
      <w:rPr>
        <w:rFonts w:hint="default"/>
        <w:lang w:val="zh-CN" w:eastAsia="zh-CN" w:bidi="zh-CN"/>
      </w:rPr>
    </w:lvl>
    <w:lvl w:ilvl="4" w:tentative="0">
      <w:start w:val="0"/>
      <w:numFmt w:val="bullet"/>
      <w:lvlText w:val="•"/>
      <w:lvlJc w:val="left"/>
      <w:pPr>
        <w:ind w:left="3001" w:hanging="567"/>
      </w:pPr>
      <w:rPr>
        <w:rFonts w:hint="default"/>
        <w:lang w:val="zh-CN" w:eastAsia="zh-CN" w:bidi="zh-CN"/>
      </w:rPr>
    </w:lvl>
    <w:lvl w:ilvl="5" w:tentative="0">
      <w:start w:val="0"/>
      <w:numFmt w:val="bullet"/>
      <w:lvlText w:val="•"/>
      <w:lvlJc w:val="left"/>
      <w:pPr>
        <w:ind w:left="4152" w:hanging="567"/>
      </w:pPr>
      <w:rPr>
        <w:rFonts w:hint="default"/>
        <w:lang w:val="zh-CN" w:eastAsia="zh-CN" w:bidi="zh-CN"/>
      </w:rPr>
    </w:lvl>
    <w:lvl w:ilvl="6" w:tentative="0">
      <w:start w:val="0"/>
      <w:numFmt w:val="bullet"/>
      <w:lvlText w:val="•"/>
      <w:lvlJc w:val="left"/>
      <w:pPr>
        <w:ind w:left="5303" w:hanging="567"/>
      </w:pPr>
      <w:rPr>
        <w:rFonts w:hint="default"/>
        <w:lang w:val="zh-CN" w:eastAsia="zh-CN" w:bidi="zh-CN"/>
      </w:rPr>
    </w:lvl>
    <w:lvl w:ilvl="7" w:tentative="0">
      <w:start w:val="0"/>
      <w:numFmt w:val="bullet"/>
      <w:lvlText w:val="•"/>
      <w:lvlJc w:val="left"/>
      <w:pPr>
        <w:ind w:left="6454" w:hanging="567"/>
      </w:pPr>
      <w:rPr>
        <w:rFonts w:hint="default"/>
        <w:lang w:val="zh-CN" w:eastAsia="zh-CN" w:bidi="zh-CN"/>
      </w:rPr>
    </w:lvl>
    <w:lvl w:ilvl="8" w:tentative="0">
      <w:start w:val="0"/>
      <w:numFmt w:val="bullet"/>
      <w:lvlText w:val="•"/>
      <w:lvlJc w:val="left"/>
      <w:pPr>
        <w:ind w:left="7604" w:hanging="567"/>
      </w:pPr>
      <w:rPr>
        <w:rFonts w:hint="default"/>
        <w:lang w:val="zh-CN" w:eastAsia="zh-CN" w:bidi="zh-CN"/>
      </w:rPr>
    </w:lvl>
  </w:abstractNum>
  <w:abstractNum w:abstractNumId="49">
    <w:nsid w:val="5F8F954A"/>
    <w:multiLevelType w:val="multilevel"/>
    <w:tmpl w:val="5F8F954A"/>
    <w:lvl w:ilvl="0" w:tentative="0">
      <w:start w:val="1"/>
      <w:numFmt w:val="decimal"/>
      <w:lvlText w:val="%1."/>
      <w:lvlJc w:val="left"/>
      <w:pPr>
        <w:tabs>
          <w:tab w:val="left" w:pos="907"/>
        </w:tabs>
        <w:ind w:left="907" w:hanging="907"/>
      </w:pPr>
      <w:rPr>
        <w:rFonts w:hint="eastAsia"/>
        <w:b/>
      </w:rPr>
    </w:lvl>
    <w:lvl w:ilvl="1" w:tentative="0">
      <w:start w:val="1"/>
      <w:numFmt w:val="decimal"/>
      <w:isLgl/>
      <w:lvlText w:val="41.%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0">
    <w:nsid w:val="5FADE20A"/>
    <w:multiLevelType w:val="singleLevel"/>
    <w:tmpl w:val="5FADE20A"/>
    <w:lvl w:ilvl="0" w:tentative="0">
      <w:start w:val="5"/>
      <w:numFmt w:val="chineseCounting"/>
      <w:suff w:val="space"/>
      <w:lvlText w:val="第%1章"/>
      <w:lvlJc w:val="left"/>
    </w:lvl>
  </w:abstractNum>
  <w:abstractNum w:abstractNumId="51">
    <w:nsid w:val="6639293E"/>
    <w:multiLevelType w:val="multilevel"/>
    <w:tmpl w:val="6639293E"/>
    <w:lvl w:ilvl="0" w:tentative="0">
      <w:start w:val="1"/>
      <w:numFmt w:val="decimal"/>
      <w:lvlText w:val="%1."/>
      <w:lvlJc w:val="left"/>
      <w:pPr>
        <w:tabs>
          <w:tab w:val="left" w:pos="907"/>
        </w:tabs>
        <w:ind w:left="907" w:hanging="907"/>
      </w:pPr>
      <w:rPr>
        <w:rFonts w:hint="eastAsia"/>
        <w:b/>
      </w:rPr>
    </w:lvl>
    <w:lvl w:ilvl="1" w:tentative="0">
      <w:start w:val="1"/>
      <w:numFmt w:val="decimal"/>
      <w:isLgl/>
      <w:lvlText w:val="24.%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2">
    <w:nsid w:val="671913AA"/>
    <w:multiLevelType w:val="multilevel"/>
    <w:tmpl w:val="671913AA"/>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3.%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3">
    <w:nsid w:val="67CD9943"/>
    <w:multiLevelType w:val="multilevel"/>
    <w:tmpl w:val="67CD9943"/>
    <w:lvl w:ilvl="0" w:tentative="0">
      <w:start w:val="1"/>
      <w:numFmt w:val="decimal"/>
      <w:lvlText w:val="23.1.%1"/>
      <w:lvlJc w:val="left"/>
      <w:pPr>
        <w:tabs>
          <w:tab w:val="left" w:pos="907"/>
        </w:tabs>
        <w:ind w:left="907" w:hanging="907"/>
      </w:pPr>
      <w:rPr>
        <w:rFonts w:hint="default" w:ascii="宋体" w:hAnsi="宋体" w:eastAsia="宋体" w:cs="宋体"/>
        <w:b w:val="0"/>
      </w:rPr>
    </w:lvl>
    <w:lvl w:ilvl="1" w:tentative="0">
      <w:start w:val="1"/>
      <w:numFmt w:val="decimal"/>
      <w:isLgl/>
      <w:lvlText w:val="27.%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4">
    <w:nsid w:val="6CE7ABAE"/>
    <w:multiLevelType w:val="singleLevel"/>
    <w:tmpl w:val="6CE7ABAE"/>
    <w:lvl w:ilvl="0" w:tentative="0">
      <w:start w:val="2"/>
      <w:numFmt w:val="decimal"/>
      <w:suff w:val="nothing"/>
      <w:lvlText w:val="%1、"/>
      <w:lvlJc w:val="left"/>
    </w:lvl>
  </w:abstractNum>
  <w:abstractNum w:abstractNumId="55">
    <w:nsid w:val="71BCB1A9"/>
    <w:multiLevelType w:val="multilevel"/>
    <w:tmpl w:val="71BCB1A9"/>
    <w:lvl w:ilvl="0" w:tentative="0">
      <w:start w:val="1"/>
      <w:numFmt w:val="decimal"/>
      <w:lvlText w:val="28.1.%1"/>
      <w:lvlJc w:val="left"/>
      <w:pPr>
        <w:tabs>
          <w:tab w:val="left" w:pos="907"/>
        </w:tabs>
        <w:ind w:left="907" w:hanging="907"/>
      </w:pPr>
      <w:rPr>
        <w:rFonts w:hint="default" w:ascii="宋体" w:hAnsi="宋体" w:eastAsia="宋体" w:cs="宋体"/>
        <w:b w:val="0"/>
      </w:rPr>
    </w:lvl>
    <w:lvl w:ilvl="1" w:tentative="0">
      <w:start w:val="1"/>
      <w:numFmt w:val="decimal"/>
      <w:isLgl/>
      <w:lvlText w:val="23.%2."/>
      <w:lvlJc w:val="left"/>
      <w:pPr>
        <w:tabs>
          <w:tab w:val="left" w:pos="907"/>
        </w:tabs>
        <w:ind w:left="907" w:hanging="907"/>
      </w:pPr>
      <w:rPr>
        <w:rFonts w:hint="eastAsia"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6">
    <w:nsid w:val="74A59161"/>
    <w:multiLevelType w:val="multilevel"/>
    <w:tmpl w:val="74A59161"/>
    <w:lvl w:ilvl="0" w:tentative="0">
      <w:start w:val="1"/>
      <w:numFmt w:val="decimal"/>
      <w:lvlText w:val="%1."/>
      <w:lvlJc w:val="left"/>
      <w:pPr>
        <w:tabs>
          <w:tab w:val="left" w:pos="907"/>
        </w:tabs>
        <w:ind w:left="907" w:hanging="907"/>
      </w:pPr>
      <w:rPr>
        <w:rFonts w:hint="eastAsia"/>
        <w:b/>
      </w:rPr>
    </w:lvl>
    <w:lvl w:ilvl="1" w:tentative="0">
      <w:start w:val="1"/>
      <w:numFmt w:val="decimal"/>
      <w:isLgl/>
      <w:lvlText w:val="15.%2."/>
      <w:lvlJc w:val="left"/>
      <w:pPr>
        <w:tabs>
          <w:tab w:val="left" w:pos="907"/>
        </w:tabs>
        <w:ind w:left="907" w:hanging="907"/>
      </w:pPr>
      <w:rPr>
        <w:rFonts w:hint="default" w:ascii="宋体" w:hAnsi="宋体" w:eastAsia="宋体" w:cs="宋体"/>
        <w:b w:val="0"/>
      </w:rPr>
    </w:lvl>
    <w:lvl w:ilvl="2" w:tentative="0">
      <w:start w:val="1"/>
      <w:numFmt w:val="decimal"/>
      <w:lvlText w:val="15.%2.%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7">
    <w:nsid w:val="7E212080"/>
    <w:multiLevelType w:val="multilevel"/>
    <w:tmpl w:val="7E212080"/>
    <w:lvl w:ilvl="0" w:tentative="0">
      <w:start w:val="1"/>
      <w:numFmt w:val="decimal"/>
      <w:lvlText w:val="%1."/>
      <w:lvlJc w:val="left"/>
      <w:pPr>
        <w:tabs>
          <w:tab w:val="left" w:pos="907"/>
        </w:tabs>
        <w:ind w:left="907" w:hanging="907"/>
      </w:pPr>
      <w:rPr>
        <w:rFonts w:hint="eastAsia"/>
        <w:b/>
      </w:rPr>
    </w:lvl>
    <w:lvl w:ilvl="1" w:tentative="0">
      <w:start w:val="1"/>
      <w:numFmt w:val="decimal"/>
      <w:isLgl/>
      <w:lvlText w:val="35.%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9"/>
  </w:num>
  <w:num w:numId="2">
    <w:abstractNumId w:val="47"/>
  </w:num>
  <w:num w:numId="3">
    <w:abstractNumId w:val="54"/>
  </w:num>
  <w:num w:numId="4">
    <w:abstractNumId w:val="27"/>
  </w:num>
  <w:num w:numId="5">
    <w:abstractNumId w:val="36"/>
  </w:num>
  <w:num w:numId="6">
    <w:abstractNumId w:val="29"/>
  </w:num>
  <w:num w:numId="7">
    <w:abstractNumId w:val="34"/>
  </w:num>
  <w:num w:numId="8">
    <w:abstractNumId w:val="28"/>
  </w:num>
  <w:num w:numId="9">
    <w:abstractNumId w:val="37"/>
  </w:num>
  <w:num w:numId="10">
    <w:abstractNumId w:val="10"/>
  </w:num>
  <w:num w:numId="11">
    <w:abstractNumId w:val="43"/>
  </w:num>
  <w:num w:numId="12">
    <w:abstractNumId w:val="0"/>
  </w:num>
  <w:num w:numId="13">
    <w:abstractNumId w:val="30"/>
  </w:num>
  <w:num w:numId="14">
    <w:abstractNumId w:val="7"/>
  </w:num>
  <w:num w:numId="15">
    <w:abstractNumId w:val="13"/>
  </w:num>
  <w:num w:numId="16">
    <w:abstractNumId w:val="35"/>
  </w:num>
  <w:num w:numId="17">
    <w:abstractNumId w:val="56"/>
  </w:num>
  <w:num w:numId="18">
    <w:abstractNumId w:val="46"/>
  </w:num>
  <w:num w:numId="19">
    <w:abstractNumId w:val="20"/>
  </w:num>
  <w:num w:numId="20">
    <w:abstractNumId w:val="1"/>
  </w:num>
  <w:num w:numId="21">
    <w:abstractNumId w:val="45"/>
  </w:num>
  <w:num w:numId="22">
    <w:abstractNumId w:val="8"/>
  </w:num>
  <w:num w:numId="23">
    <w:abstractNumId w:val="9"/>
  </w:num>
  <w:num w:numId="24">
    <w:abstractNumId w:val="11"/>
  </w:num>
  <w:num w:numId="25">
    <w:abstractNumId w:val="55"/>
  </w:num>
  <w:num w:numId="26">
    <w:abstractNumId w:val="53"/>
  </w:num>
  <w:num w:numId="27">
    <w:abstractNumId w:val="51"/>
  </w:num>
  <w:num w:numId="28">
    <w:abstractNumId w:val="48"/>
  </w:num>
  <w:num w:numId="29">
    <w:abstractNumId w:val="40"/>
  </w:num>
  <w:num w:numId="30">
    <w:abstractNumId w:val="38"/>
  </w:num>
  <w:num w:numId="31">
    <w:abstractNumId w:val="26"/>
  </w:num>
  <w:num w:numId="32">
    <w:abstractNumId w:val="5"/>
  </w:num>
  <w:num w:numId="33">
    <w:abstractNumId w:val="32"/>
  </w:num>
  <w:num w:numId="34">
    <w:abstractNumId w:val="23"/>
  </w:num>
  <w:num w:numId="35">
    <w:abstractNumId w:val="33"/>
  </w:num>
  <w:num w:numId="36">
    <w:abstractNumId w:val="22"/>
  </w:num>
  <w:num w:numId="37">
    <w:abstractNumId w:val="19"/>
  </w:num>
  <w:num w:numId="38">
    <w:abstractNumId w:val="41"/>
  </w:num>
  <w:num w:numId="39">
    <w:abstractNumId w:val="17"/>
  </w:num>
  <w:num w:numId="40">
    <w:abstractNumId w:val="52"/>
  </w:num>
  <w:num w:numId="41">
    <w:abstractNumId w:val="12"/>
  </w:num>
  <w:num w:numId="42">
    <w:abstractNumId w:val="6"/>
  </w:num>
  <w:num w:numId="43">
    <w:abstractNumId w:val="4"/>
  </w:num>
  <w:num w:numId="44">
    <w:abstractNumId w:val="14"/>
  </w:num>
  <w:num w:numId="45">
    <w:abstractNumId w:val="25"/>
  </w:num>
  <w:num w:numId="46">
    <w:abstractNumId w:val="44"/>
  </w:num>
  <w:num w:numId="47">
    <w:abstractNumId w:val="57"/>
  </w:num>
  <w:num w:numId="48">
    <w:abstractNumId w:val="2"/>
  </w:num>
  <w:num w:numId="49">
    <w:abstractNumId w:val="18"/>
  </w:num>
  <w:num w:numId="50">
    <w:abstractNumId w:val="16"/>
  </w:num>
  <w:num w:numId="51">
    <w:abstractNumId w:val="21"/>
  </w:num>
  <w:num w:numId="52">
    <w:abstractNumId w:val="42"/>
  </w:num>
  <w:num w:numId="53">
    <w:abstractNumId w:val="49"/>
  </w:num>
  <w:num w:numId="54">
    <w:abstractNumId w:val="24"/>
  </w:num>
  <w:num w:numId="55">
    <w:abstractNumId w:val="15"/>
  </w:num>
  <w:num w:numId="56">
    <w:abstractNumId w:val="3"/>
  </w:num>
  <w:num w:numId="57">
    <w:abstractNumId w:val="50"/>
  </w:num>
  <w:num w:numId="5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lMjQwZDI2Njk0NjU5NzBjZGYxNjA5N2IwY2VlM2YifQ=="/>
    <w:docVar w:name="KSO_WPS_MARK_KEY" w:val="d5523776-c68f-4319-8b5a-3238f7280179"/>
  </w:docVars>
  <w:rsids>
    <w:rsidRoot w:val="004D745D"/>
    <w:rsid w:val="0002561E"/>
    <w:rsid w:val="000268AB"/>
    <w:rsid w:val="00032669"/>
    <w:rsid w:val="00040642"/>
    <w:rsid w:val="00062C58"/>
    <w:rsid w:val="000630E8"/>
    <w:rsid w:val="000755AA"/>
    <w:rsid w:val="00094D81"/>
    <w:rsid w:val="000A1C5F"/>
    <w:rsid w:val="000B49D9"/>
    <w:rsid w:val="000B5709"/>
    <w:rsid w:val="000C5B79"/>
    <w:rsid w:val="000D1780"/>
    <w:rsid w:val="000E5316"/>
    <w:rsid w:val="000F7605"/>
    <w:rsid w:val="00106543"/>
    <w:rsid w:val="00124A8F"/>
    <w:rsid w:val="00131EFB"/>
    <w:rsid w:val="001445B4"/>
    <w:rsid w:val="00155EEC"/>
    <w:rsid w:val="00195545"/>
    <w:rsid w:val="001B26AA"/>
    <w:rsid w:val="002039FE"/>
    <w:rsid w:val="002232B4"/>
    <w:rsid w:val="002331D1"/>
    <w:rsid w:val="00242F89"/>
    <w:rsid w:val="002520CC"/>
    <w:rsid w:val="00255931"/>
    <w:rsid w:val="0026454E"/>
    <w:rsid w:val="00271920"/>
    <w:rsid w:val="00287ACC"/>
    <w:rsid w:val="002E0FFF"/>
    <w:rsid w:val="003311B7"/>
    <w:rsid w:val="003916CF"/>
    <w:rsid w:val="00395BBF"/>
    <w:rsid w:val="003C468C"/>
    <w:rsid w:val="003D7628"/>
    <w:rsid w:val="003F6C93"/>
    <w:rsid w:val="00407C44"/>
    <w:rsid w:val="004243B5"/>
    <w:rsid w:val="004433C7"/>
    <w:rsid w:val="004B7BE0"/>
    <w:rsid w:val="004C3A76"/>
    <w:rsid w:val="004D4324"/>
    <w:rsid w:val="004D745D"/>
    <w:rsid w:val="005140A0"/>
    <w:rsid w:val="005235BD"/>
    <w:rsid w:val="005257C6"/>
    <w:rsid w:val="00536F1D"/>
    <w:rsid w:val="0055182C"/>
    <w:rsid w:val="00557E97"/>
    <w:rsid w:val="005A18F3"/>
    <w:rsid w:val="005D7312"/>
    <w:rsid w:val="00614509"/>
    <w:rsid w:val="00620A7B"/>
    <w:rsid w:val="00625004"/>
    <w:rsid w:val="00634FFB"/>
    <w:rsid w:val="006360DF"/>
    <w:rsid w:val="00636825"/>
    <w:rsid w:val="00672F0A"/>
    <w:rsid w:val="00690563"/>
    <w:rsid w:val="00693467"/>
    <w:rsid w:val="006A122F"/>
    <w:rsid w:val="006A1773"/>
    <w:rsid w:val="006C5C9E"/>
    <w:rsid w:val="006E4A62"/>
    <w:rsid w:val="0075366B"/>
    <w:rsid w:val="007538CE"/>
    <w:rsid w:val="007C1288"/>
    <w:rsid w:val="007C3986"/>
    <w:rsid w:val="007D3CDC"/>
    <w:rsid w:val="00831EB2"/>
    <w:rsid w:val="00851B11"/>
    <w:rsid w:val="0086078F"/>
    <w:rsid w:val="008659D7"/>
    <w:rsid w:val="00871F22"/>
    <w:rsid w:val="00883C54"/>
    <w:rsid w:val="00894562"/>
    <w:rsid w:val="0089782B"/>
    <w:rsid w:val="008E595B"/>
    <w:rsid w:val="008F45E0"/>
    <w:rsid w:val="0091265D"/>
    <w:rsid w:val="009161F2"/>
    <w:rsid w:val="00926A2C"/>
    <w:rsid w:val="009314B7"/>
    <w:rsid w:val="009320CD"/>
    <w:rsid w:val="00956E2E"/>
    <w:rsid w:val="00964911"/>
    <w:rsid w:val="009A078B"/>
    <w:rsid w:val="009D04C7"/>
    <w:rsid w:val="009F2A63"/>
    <w:rsid w:val="00A11027"/>
    <w:rsid w:val="00A4483F"/>
    <w:rsid w:val="00A758B8"/>
    <w:rsid w:val="00AA5E5B"/>
    <w:rsid w:val="00AC7EC5"/>
    <w:rsid w:val="00AD63BD"/>
    <w:rsid w:val="00AF7B47"/>
    <w:rsid w:val="00B006CF"/>
    <w:rsid w:val="00B11B99"/>
    <w:rsid w:val="00B16CA6"/>
    <w:rsid w:val="00B24090"/>
    <w:rsid w:val="00B2435D"/>
    <w:rsid w:val="00B4111A"/>
    <w:rsid w:val="00B454D4"/>
    <w:rsid w:val="00B45E5A"/>
    <w:rsid w:val="00B62A93"/>
    <w:rsid w:val="00B95B2D"/>
    <w:rsid w:val="00BB3C20"/>
    <w:rsid w:val="00BC3E67"/>
    <w:rsid w:val="00BF50F3"/>
    <w:rsid w:val="00C01EBD"/>
    <w:rsid w:val="00C106BE"/>
    <w:rsid w:val="00C16B46"/>
    <w:rsid w:val="00C33D60"/>
    <w:rsid w:val="00C36EEB"/>
    <w:rsid w:val="00CA0D5E"/>
    <w:rsid w:val="00CA0F14"/>
    <w:rsid w:val="00CA2485"/>
    <w:rsid w:val="00CC41B7"/>
    <w:rsid w:val="00CD124F"/>
    <w:rsid w:val="00CF1D1F"/>
    <w:rsid w:val="00D2762D"/>
    <w:rsid w:val="00D44368"/>
    <w:rsid w:val="00D4536F"/>
    <w:rsid w:val="00D6252C"/>
    <w:rsid w:val="00D931B2"/>
    <w:rsid w:val="00DA4FC7"/>
    <w:rsid w:val="00DA7521"/>
    <w:rsid w:val="00DD0E0A"/>
    <w:rsid w:val="00DD1D4B"/>
    <w:rsid w:val="00DE4F8B"/>
    <w:rsid w:val="00E1798B"/>
    <w:rsid w:val="00E35776"/>
    <w:rsid w:val="00E426FC"/>
    <w:rsid w:val="00EA0245"/>
    <w:rsid w:val="00EB23BF"/>
    <w:rsid w:val="00EE1205"/>
    <w:rsid w:val="00EF38D6"/>
    <w:rsid w:val="00F21C37"/>
    <w:rsid w:val="00F4344F"/>
    <w:rsid w:val="00F50F55"/>
    <w:rsid w:val="00F77098"/>
    <w:rsid w:val="00F96F6D"/>
    <w:rsid w:val="00FC4844"/>
    <w:rsid w:val="010B22B0"/>
    <w:rsid w:val="011D29D3"/>
    <w:rsid w:val="01541EA9"/>
    <w:rsid w:val="01B14C06"/>
    <w:rsid w:val="01E21263"/>
    <w:rsid w:val="022402D8"/>
    <w:rsid w:val="039B6A7A"/>
    <w:rsid w:val="039E11BA"/>
    <w:rsid w:val="03B44D43"/>
    <w:rsid w:val="04284DF7"/>
    <w:rsid w:val="042C2C6A"/>
    <w:rsid w:val="04934A97"/>
    <w:rsid w:val="049A4077"/>
    <w:rsid w:val="04BB67EA"/>
    <w:rsid w:val="05273C1F"/>
    <w:rsid w:val="052B7D68"/>
    <w:rsid w:val="052F2A11"/>
    <w:rsid w:val="053C7EE8"/>
    <w:rsid w:val="05DD405D"/>
    <w:rsid w:val="065A4F71"/>
    <w:rsid w:val="0680729D"/>
    <w:rsid w:val="06E96BF0"/>
    <w:rsid w:val="06F92A76"/>
    <w:rsid w:val="07550729"/>
    <w:rsid w:val="077936F3"/>
    <w:rsid w:val="07B216D8"/>
    <w:rsid w:val="07DD49A7"/>
    <w:rsid w:val="07F817E1"/>
    <w:rsid w:val="087370B9"/>
    <w:rsid w:val="08813251"/>
    <w:rsid w:val="088E5CA1"/>
    <w:rsid w:val="091B505B"/>
    <w:rsid w:val="093E76C7"/>
    <w:rsid w:val="09414AC1"/>
    <w:rsid w:val="09710ACA"/>
    <w:rsid w:val="09BA4874"/>
    <w:rsid w:val="09BC676A"/>
    <w:rsid w:val="09BE4364"/>
    <w:rsid w:val="0A544CC8"/>
    <w:rsid w:val="0ADD43C6"/>
    <w:rsid w:val="0B1E5846"/>
    <w:rsid w:val="0B5C2B1E"/>
    <w:rsid w:val="0B6C4C4F"/>
    <w:rsid w:val="0BBA6DAD"/>
    <w:rsid w:val="0BDB7443"/>
    <w:rsid w:val="0C6C00A7"/>
    <w:rsid w:val="0C9C64B3"/>
    <w:rsid w:val="0D103128"/>
    <w:rsid w:val="0D2E35AF"/>
    <w:rsid w:val="0D2E4ECE"/>
    <w:rsid w:val="0D4234FE"/>
    <w:rsid w:val="0D676AC1"/>
    <w:rsid w:val="0D7348C3"/>
    <w:rsid w:val="0D7A3B40"/>
    <w:rsid w:val="0D807ECA"/>
    <w:rsid w:val="0DEC55AB"/>
    <w:rsid w:val="0EB421D9"/>
    <w:rsid w:val="0EDB7766"/>
    <w:rsid w:val="0EF32D02"/>
    <w:rsid w:val="0F056591"/>
    <w:rsid w:val="0F1F3AF7"/>
    <w:rsid w:val="0F21471A"/>
    <w:rsid w:val="0F7B4AA5"/>
    <w:rsid w:val="0FC621C4"/>
    <w:rsid w:val="0FC71A98"/>
    <w:rsid w:val="0FCD5301"/>
    <w:rsid w:val="0FD3043D"/>
    <w:rsid w:val="0FE64614"/>
    <w:rsid w:val="0FE70356"/>
    <w:rsid w:val="0FEE5277"/>
    <w:rsid w:val="106A6FF4"/>
    <w:rsid w:val="108005C5"/>
    <w:rsid w:val="10855BDB"/>
    <w:rsid w:val="113969C6"/>
    <w:rsid w:val="116E48C1"/>
    <w:rsid w:val="116F4196"/>
    <w:rsid w:val="1186727F"/>
    <w:rsid w:val="11A62133"/>
    <w:rsid w:val="11E53D92"/>
    <w:rsid w:val="125300E4"/>
    <w:rsid w:val="125A6BF4"/>
    <w:rsid w:val="12695089"/>
    <w:rsid w:val="12737232"/>
    <w:rsid w:val="129739A4"/>
    <w:rsid w:val="12F232D0"/>
    <w:rsid w:val="13795061"/>
    <w:rsid w:val="138A175B"/>
    <w:rsid w:val="139F6FB4"/>
    <w:rsid w:val="13B77AAE"/>
    <w:rsid w:val="144A6380"/>
    <w:rsid w:val="145C6C53"/>
    <w:rsid w:val="147F2942"/>
    <w:rsid w:val="14B35AE2"/>
    <w:rsid w:val="15145780"/>
    <w:rsid w:val="151A7A0E"/>
    <w:rsid w:val="152C2AC9"/>
    <w:rsid w:val="15545B7C"/>
    <w:rsid w:val="15CF32C4"/>
    <w:rsid w:val="167C182F"/>
    <w:rsid w:val="16C65BD4"/>
    <w:rsid w:val="16D50F3F"/>
    <w:rsid w:val="17147CB9"/>
    <w:rsid w:val="178F10EE"/>
    <w:rsid w:val="179359CE"/>
    <w:rsid w:val="17F11DA8"/>
    <w:rsid w:val="17F24FE8"/>
    <w:rsid w:val="17FE78E9"/>
    <w:rsid w:val="1871436F"/>
    <w:rsid w:val="187273DD"/>
    <w:rsid w:val="18770500"/>
    <w:rsid w:val="18C9062F"/>
    <w:rsid w:val="194D300E"/>
    <w:rsid w:val="1A036844"/>
    <w:rsid w:val="1A0A0EFF"/>
    <w:rsid w:val="1A1A55E6"/>
    <w:rsid w:val="1A21456C"/>
    <w:rsid w:val="1A3146DE"/>
    <w:rsid w:val="1A7B46F0"/>
    <w:rsid w:val="1A845156"/>
    <w:rsid w:val="1AE6196C"/>
    <w:rsid w:val="1AF220BF"/>
    <w:rsid w:val="1AF776D6"/>
    <w:rsid w:val="1B2852C5"/>
    <w:rsid w:val="1B7E7A42"/>
    <w:rsid w:val="1BCB46BE"/>
    <w:rsid w:val="1C197B20"/>
    <w:rsid w:val="1C790EA2"/>
    <w:rsid w:val="1CBB4733"/>
    <w:rsid w:val="1CCD3F1F"/>
    <w:rsid w:val="1CFE11EF"/>
    <w:rsid w:val="1D17405F"/>
    <w:rsid w:val="1D271DC8"/>
    <w:rsid w:val="1D721295"/>
    <w:rsid w:val="1E0B405F"/>
    <w:rsid w:val="1E135B88"/>
    <w:rsid w:val="1E62755C"/>
    <w:rsid w:val="1F6F7E60"/>
    <w:rsid w:val="1F775289"/>
    <w:rsid w:val="1FBE067F"/>
    <w:rsid w:val="1FD13B1D"/>
    <w:rsid w:val="1FD46237"/>
    <w:rsid w:val="1FD618FC"/>
    <w:rsid w:val="20012DA5"/>
    <w:rsid w:val="20341B32"/>
    <w:rsid w:val="209B6D55"/>
    <w:rsid w:val="20BF6817"/>
    <w:rsid w:val="210C2083"/>
    <w:rsid w:val="21321990"/>
    <w:rsid w:val="21342863"/>
    <w:rsid w:val="21DE185B"/>
    <w:rsid w:val="21FB3F4F"/>
    <w:rsid w:val="221768AF"/>
    <w:rsid w:val="222B5EB7"/>
    <w:rsid w:val="223C6316"/>
    <w:rsid w:val="22616361"/>
    <w:rsid w:val="2265586D"/>
    <w:rsid w:val="22771648"/>
    <w:rsid w:val="22C73E32"/>
    <w:rsid w:val="22E96105"/>
    <w:rsid w:val="22F62592"/>
    <w:rsid w:val="23AE6E53"/>
    <w:rsid w:val="243B67B0"/>
    <w:rsid w:val="24672DFE"/>
    <w:rsid w:val="247F6640"/>
    <w:rsid w:val="24970DA1"/>
    <w:rsid w:val="24FB0BDF"/>
    <w:rsid w:val="25063990"/>
    <w:rsid w:val="252B0548"/>
    <w:rsid w:val="257F6C45"/>
    <w:rsid w:val="25A20B86"/>
    <w:rsid w:val="26086C3B"/>
    <w:rsid w:val="262302AF"/>
    <w:rsid w:val="26263565"/>
    <w:rsid w:val="26753BA5"/>
    <w:rsid w:val="26CF59AB"/>
    <w:rsid w:val="26FE3B9A"/>
    <w:rsid w:val="27545EB0"/>
    <w:rsid w:val="27675BE3"/>
    <w:rsid w:val="27BA21B7"/>
    <w:rsid w:val="27BA3F65"/>
    <w:rsid w:val="27DE7F37"/>
    <w:rsid w:val="281318C7"/>
    <w:rsid w:val="28416434"/>
    <w:rsid w:val="2842528D"/>
    <w:rsid w:val="28437DE4"/>
    <w:rsid w:val="28577A06"/>
    <w:rsid w:val="287B1BD9"/>
    <w:rsid w:val="289E3886"/>
    <w:rsid w:val="28B04398"/>
    <w:rsid w:val="293B2E83"/>
    <w:rsid w:val="29A92FCA"/>
    <w:rsid w:val="29C94933"/>
    <w:rsid w:val="2A77438F"/>
    <w:rsid w:val="2A88659C"/>
    <w:rsid w:val="2AD03A9F"/>
    <w:rsid w:val="2B231E21"/>
    <w:rsid w:val="2B5D17D7"/>
    <w:rsid w:val="2B8A6344"/>
    <w:rsid w:val="2B960845"/>
    <w:rsid w:val="2BAA2542"/>
    <w:rsid w:val="2BE041B6"/>
    <w:rsid w:val="2C0A43BD"/>
    <w:rsid w:val="2C6646BB"/>
    <w:rsid w:val="2DA03BFD"/>
    <w:rsid w:val="2DC67BA9"/>
    <w:rsid w:val="2DCA2A28"/>
    <w:rsid w:val="2E4B3B69"/>
    <w:rsid w:val="2E873790"/>
    <w:rsid w:val="2E877731"/>
    <w:rsid w:val="2EA80FBB"/>
    <w:rsid w:val="2EAE2349"/>
    <w:rsid w:val="2EB01C1E"/>
    <w:rsid w:val="2ED26038"/>
    <w:rsid w:val="2F1321AD"/>
    <w:rsid w:val="2F9C03F4"/>
    <w:rsid w:val="2FC040E2"/>
    <w:rsid w:val="2FD55B62"/>
    <w:rsid w:val="2FF27415"/>
    <w:rsid w:val="2FF40230"/>
    <w:rsid w:val="30662EDC"/>
    <w:rsid w:val="3095731D"/>
    <w:rsid w:val="30A25EDE"/>
    <w:rsid w:val="30A457B2"/>
    <w:rsid w:val="30C9346B"/>
    <w:rsid w:val="315A40C3"/>
    <w:rsid w:val="31AD0696"/>
    <w:rsid w:val="321E5052"/>
    <w:rsid w:val="3227669B"/>
    <w:rsid w:val="3273487A"/>
    <w:rsid w:val="32F65893"/>
    <w:rsid w:val="332B3F69"/>
    <w:rsid w:val="3341378C"/>
    <w:rsid w:val="3392111C"/>
    <w:rsid w:val="33F51DC1"/>
    <w:rsid w:val="33F7090C"/>
    <w:rsid w:val="342655A2"/>
    <w:rsid w:val="343A1627"/>
    <w:rsid w:val="349A0CEE"/>
    <w:rsid w:val="34BB18DF"/>
    <w:rsid w:val="352E5F92"/>
    <w:rsid w:val="35836DF6"/>
    <w:rsid w:val="35942299"/>
    <w:rsid w:val="35984464"/>
    <w:rsid w:val="35A16764"/>
    <w:rsid w:val="35E054DE"/>
    <w:rsid w:val="361C228F"/>
    <w:rsid w:val="361D0069"/>
    <w:rsid w:val="36392E40"/>
    <w:rsid w:val="36410489"/>
    <w:rsid w:val="367E0853"/>
    <w:rsid w:val="36973CE6"/>
    <w:rsid w:val="36A577FF"/>
    <w:rsid w:val="36AA789A"/>
    <w:rsid w:val="36BB706D"/>
    <w:rsid w:val="36CD288E"/>
    <w:rsid w:val="37411FAD"/>
    <w:rsid w:val="37492C0F"/>
    <w:rsid w:val="37CD55EE"/>
    <w:rsid w:val="385201EA"/>
    <w:rsid w:val="38691290"/>
    <w:rsid w:val="38784439"/>
    <w:rsid w:val="38EA4F9B"/>
    <w:rsid w:val="39022224"/>
    <w:rsid w:val="390F7E89"/>
    <w:rsid w:val="394A0EC1"/>
    <w:rsid w:val="3958538C"/>
    <w:rsid w:val="39641F82"/>
    <w:rsid w:val="39A131D7"/>
    <w:rsid w:val="39C508A9"/>
    <w:rsid w:val="39FB1F96"/>
    <w:rsid w:val="3A35183F"/>
    <w:rsid w:val="3AAF547F"/>
    <w:rsid w:val="3AB01D2D"/>
    <w:rsid w:val="3AFE45A9"/>
    <w:rsid w:val="3B1E43B3"/>
    <w:rsid w:val="3B27770B"/>
    <w:rsid w:val="3B9C1459"/>
    <w:rsid w:val="3BED7720"/>
    <w:rsid w:val="3C3E4385"/>
    <w:rsid w:val="3C4E0CC8"/>
    <w:rsid w:val="3C8841DA"/>
    <w:rsid w:val="3CC2593E"/>
    <w:rsid w:val="3CD67F5F"/>
    <w:rsid w:val="3CDD7527"/>
    <w:rsid w:val="3CEF24AB"/>
    <w:rsid w:val="3CF749CD"/>
    <w:rsid w:val="3D393726"/>
    <w:rsid w:val="3D9B618F"/>
    <w:rsid w:val="3DC329AA"/>
    <w:rsid w:val="3DD84CED"/>
    <w:rsid w:val="3E5C0C91"/>
    <w:rsid w:val="3E8B7504"/>
    <w:rsid w:val="3E924A3A"/>
    <w:rsid w:val="3EDB6353"/>
    <w:rsid w:val="3F0F626E"/>
    <w:rsid w:val="3F3E5024"/>
    <w:rsid w:val="3F8844F1"/>
    <w:rsid w:val="3F8F3AD1"/>
    <w:rsid w:val="3FBC52EF"/>
    <w:rsid w:val="40464190"/>
    <w:rsid w:val="40546445"/>
    <w:rsid w:val="40B27A77"/>
    <w:rsid w:val="40E35E83"/>
    <w:rsid w:val="40EB11DB"/>
    <w:rsid w:val="412169AB"/>
    <w:rsid w:val="416A65A4"/>
    <w:rsid w:val="41850CE8"/>
    <w:rsid w:val="4185309F"/>
    <w:rsid w:val="421309EA"/>
    <w:rsid w:val="42240501"/>
    <w:rsid w:val="42417305"/>
    <w:rsid w:val="42497F67"/>
    <w:rsid w:val="425761C4"/>
    <w:rsid w:val="427174BE"/>
    <w:rsid w:val="42AE2961"/>
    <w:rsid w:val="42F51E9D"/>
    <w:rsid w:val="42FA74B4"/>
    <w:rsid w:val="430B7913"/>
    <w:rsid w:val="43122A4F"/>
    <w:rsid w:val="434B5F61"/>
    <w:rsid w:val="439B47F3"/>
    <w:rsid w:val="43EC14F2"/>
    <w:rsid w:val="448B5355"/>
    <w:rsid w:val="45230F44"/>
    <w:rsid w:val="452B429C"/>
    <w:rsid w:val="454F5136"/>
    <w:rsid w:val="45F13F14"/>
    <w:rsid w:val="460C731A"/>
    <w:rsid w:val="46276812"/>
    <w:rsid w:val="46963997"/>
    <w:rsid w:val="479954ED"/>
    <w:rsid w:val="47A520E4"/>
    <w:rsid w:val="47E464E1"/>
    <w:rsid w:val="48253225"/>
    <w:rsid w:val="486A62DB"/>
    <w:rsid w:val="489804DA"/>
    <w:rsid w:val="48D507A7"/>
    <w:rsid w:val="49530909"/>
    <w:rsid w:val="49A85EBB"/>
    <w:rsid w:val="4A041EBB"/>
    <w:rsid w:val="4A132597"/>
    <w:rsid w:val="4A22313A"/>
    <w:rsid w:val="4A301A0D"/>
    <w:rsid w:val="4AC26B09"/>
    <w:rsid w:val="4B545D45"/>
    <w:rsid w:val="4B7366F9"/>
    <w:rsid w:val="4B800849"/>
    <w:rsid w:val="4BB328F5"/>
    <w:rsid w:val="4BB618E9"/>
    <w:rsid w:val="4BCD1C09"/>
    <w:rsid w:val="4BF90C50"/>
    <w:rsid w:val="4C0D64AA"/>
    <w:rsid w:val="4C373527"/>
    <w:rsid w:val="4C59524B"/>
    <w:rsid w:val="4C9B5863"/>
    <w:rsid w:val="4CA24E44"/>
    <w:rsid w:val="4CF65190"/>
    <w:rsid w:val="4D1C7CE2"/>
    <w:rsid w:val="4D714816"/>
    <w:rsid w:val="4D924EB8"/>
    <w:rsid w:val="4E6D76D3"/>
    <w:rsid w:val="4E726A98"/>
    <w:rsid w:val="4E736C23"/>
    <w:rsid w:val="4E9844D8"/>
    <w:rsid w:val="4E9E788D"/>
    <w:rsid w:val="4EEF40A5"/>
    <w:rsid w:val="4F132029"/>
    <w:rsid w:val="4F351F9F"/>
    <w:rsid w:val="4F4246BC"/>
    <w:rsid w:val="4F7F76BE"/>
    <w:rsid w:val="4F8C3B89"/>
    <w:rsid w:val="4F9F1B0F"/>
    <w:rsid w:val="4FB1539E"/>
    <w:rsid w:val="4FB8497E"/>
    <w:rsid w:val="500808B3"/>
    <w:rsid w:val="507B7E86"/>
    <w:rsid w:val="508E2130"/>
    <w:rsid w:val="509052E3"/>
    <w:rsid w:val="50D650BC"/>
    <w:rsid w:val="5119769F"/>
    <w:rsid w:val="511A5456"/>
    <w:rsid w:val="513A1AEF"/>
    <w:rsid w:val="51A52CE0"/>
    <w:rsid w:val="51D25A47"/>
    <w:rsid w:val="520E24F1"/>
    <w:rsid w:val="520F5CB4"/>
    <w:rsid w:val="524644C3"/>
    <w:rsid w:val="52A116FA"/>
    <w:rsid w:val="52F91536"/>
    <w:rsid w:val="52FC4B82"/>
    <w:rsid w:val="532742F5"/>
    <w:rsid w:val="53395DD6"/>
    <w:rsid w:val="5349426B"/>
    <w:rsid w:val="535624E4"/>
    <w:rsid w:val="5371638D"/>
    <w:rsid w:val="53CB2ED2"/>
    <w:rsid w:val="53EE22BF"/>
    <w:rsid w:val="53F200E2"/>
    <w:rsid w:val="54A11E85"/>
    <w:rsid w:val="54A86D6F"/>
    <w:rsid w:val="54C662FF"/>
    <w:rsid w:val="54E57FC4"/>
    <w:rsid w:val="55532D28"/>
    <w:rsid w:val="55674E7D"/>
    <w:rsid w:val="55CA71B9"/>
    <w:rsid w:val="55EE796A"/>
    <w:rsid w:val="56075D18"/>
    <w:rsid w:val="56367A9F"/>
    <w:rsid w:val="56606E23"/>
    <w:rsid w:val="5670206E"/>
    <w:rsid w:val="56707719"/>
    <w:rsid w:val="56BA5480"/>
    <w:rsid w:val="57F16C7F"/>
    <w:rsid w:val="58082C12"/>
    <w:rsid w:val="583F5C3D"/>
    <w:rsid w:val="58511E7C"/>
    <w:rsid w:val="58984200"/>
    <w:rsid w:val="58E660B8"/>
    <w:rsid w:val="5A146C55"/>
    <w:rsid w:val="5A2E7D17"/>
    <w:rsid w:val="5A750890"/>
    <w:rsid w:val="5AB05476"/>
    <w:rsid w:val="5AC30E2E"/>
    <w:rsid w:val="5ADB214F"/>
    <w:rsid w:val="5AE42ACB"/>
    <w:rsid w:val="5AFA0244"/>
    <w:rsid w:val="5B9B691A"/>
    <w:rsid w:val="5BA3015F"/>
    <w:rsid w:val="5BB45F0F"/>
    <w:rsid w:val="5BC545AA"/>
    <w:rsid w:val="5BFC1B24"/>
    <w:rsid w:val="5C43724B"/>
    <w:rsid w:val="5C682135"/>
    <w:rsid w:val="5D1523DC"/>
    <w:rsid w:val="5D7D2FEA"/>
    <w:rsid w:val="5DB1283B"/>
    <w:rsid w:val="5DB33FE7"/>
    <w:rsid w:val="5DEF1EB3"/>
    <w:rsid w:val="5E4E4F75"/>
    <w:rsid w:val="5E624433"/>
    <w:rsid w:val="5E7027B3"/>
    <w:rsid w:val="5E7D4589"/>
    <w:rsid w:val="5EDB41E5"/>
    <w:rsid w:val="5F4678B1"/>
    <w:rsid w:val="5F6E316F"/>
    <w:rsid w:val="5F8D4FB7"/>
    <w:rsid w:val="5FAB3BB8"/>
    <w:rsid w:val="5FB962D5"/>
    <w:rsid w:val="5FBE1B3D"/>
    <w:rsid w:val="60440664"/>
    <w:rsid w:val="60936B26"/>
    <w:rsid w:val="609F196E"/>
    <w:rsid w:val="60B80169"/>
    <w:rsid w:val="60CB78E5"/>
    <w:rsid w:val="60D618C6"/>
    <w:rsid w:val="6105535C"/>
    <w:rsid w:val="61333E65"/>
    <w:rsid w:val="614E0E03"/>
    <w:rsid w:val="616D55C9"/>
    <w:rsid w:val="61C13B66"/>
    <w:rsid w:val="62067841"/>
    <w:rsid w:val="624D6221"/>
    <w:rsid w:val="625B3673"/>
    <w:rsid w:val="62C70D09"/>
    <w:rsid w:val="62CC4571"/>
    <w:rsid w:val="62ED6B99"/>
    <w:rsid w:val="631D6B7A"/>
    <w:rsid w:val="63696264"/>
    <w:rsid w:val="639F1C85"/>
    <w:rsid w:val="63EC14BE"/>
    <w:rsid w:val="640970FF"/>
    <w:rsid w:val="641C5C65"/>
    <w:rsid w:val="64326656"/>
    <w:rsid w:val="64373C6C"/>
    <w:rsid w:val="644F7208"/>
    <w:rsid w:val="646E7959"/>
    <w:rsid w:val="647D5E76"/>
    <w:rsid w:val="649410BE"/>
    <w:rsid w:val="651D1F50"/>
    <w:rsid w:val="653B0AC5"/>
    <w:rsid w:val="672174CA"/>
    <w:rsid w:val="67780823"/>
    <w:rsid w:val="678673E4"/>
    <w:rsid w:val="67955879"/>
    <w:rsid w:val="67961104"/>
    <w:rsid w:val="68D73C6F"/>
    <w:rsid w:val="696F71F1"/>
    <w:rsid w:val="69AF0748"/>
    <w:rsid w:val="69B56ABB"/>
    <w:rsid w:val="69BD315D"/>
    <w:rsid w:val="69D501AF"/>
    <w:rsid w:val="69E46644"/>
    <w:rsid w:val="69FA1301"/>
    <w:rsid w:val="6A52585A"/>
    <w:rsid w:val="6A582B8E"/>
    <w:rsid w:val="6AAB1A1A"/>
    <w:rsid w:val="6AD00976"/>
    <w:rsid w:val="6AD06BC8"/>
    <w:rsid w:val="6B642EDD"/>
    <w:rsid w:val="6BEA3CBA"/>
    <w:rsid w:val="6C1379F3"/>
    <w:rsid w:val="6C375151"/>
    <w:rsid w:val="6C57134F"/>
    <w:rsid w:val="6CB87914"/>
    <w:rsid w:val="6CC10EBE"/>
    <w:rsid w:val="6D191B34"/>
    <w:rsid w:val="6D7B72BF"/>
    <w:rsid w:val="6DA57E98"/>
    <w:rsid w:val="6DE36C13"/>
    <w:rsid w:val="6E14501E"/>
    <w:rsid w:val="6E1A0886"/>
    <w:rsid w:val="6E781A51"/>
    <w:rsid w:val="6EC72CAC"/>
    <w:rsid w:val="6F2D283B"/>
    <w:rsid w:val="6F9208F0"/>
    <w:rsid w:val="6FA32AFD"/>
    <w:rsid w:val="6FF60E93"/>
    <w:rsid w:val="701E3F32"/>
    <w:rsid w:val="707E2326"/>
    <w:rsid w:val="708C533F"/>
    <w:rsid w:val="70B63B34"/>
    <w:rsid w:val="7128150C"/>
    <w:rsid w:val="719C2A2E"/>
    <w:rsid w:val="71BB5EDC"/>
    <w:rsid w:val="71CD3E62"/>
    <w:rsid w:val="71E216BE"/>
    <w:rsid w:val="72356C99"/>
    <w:rsid w:val="723D4B43"/>
    <w:rsid w:val="727B1B10"/>
    <w:rsid w:val="72AC5157"/>
    <w:rsid w:val="72B56DCF"/>
    <w:rsid w:val="72B62B48"/>
    <w:rsid w:val="72DB435C"/>
    <w:rsid w:val="72EC6569"/>
    <w:rsid w:val="72EE0533"/>
    <w:rsid w:val="731F06ED"/>
    <w:rsid w:val="733C1156"/>
    <w:rsid w:val="73A330CC"/>
    <w:rsid w:val="74130252"/>
    <w:rsid w:val="74235DC1"/>
    <w:rsid w:val="74336552"/>
    <w:rsid w:val="7456013E"/>
    <w:rsid w:val="745B5755"/>
    <w:rsid w:val="74716D26"/>
    <w:rsid w:val="748E3F2E"/>
    <w:rsid w:val="74962C31"/>
    <w:rsid w:val="75137DDD"/>
    <w:rsid w:val="75587EE6"/>
    <w:rsid w:val="75D21A46"/>
    <w:rsid w:val="762229CE"/>
    <w:rsid w:val="7623463A"/>
    <w:rsid w:val="762F6E99"/>
    <w:rsid w:val="764741F6"/>
    <w:rsid w:val="764861AD"/>
    <w:rsid w:val="766F54E7"/>
    <w:rsid w:val="768935A6"/>
    <w:rsid w:val="76B80D1A"/>
    <w:rsid w:val="76FB6D7B"/>
    <w:rsid w:val="773504DF"/>
    <w:rsid w:val="77422BFC"/>
    <w:rsid w:val="77E70A98"/>
    <w:rsid w:val="77F547F3"/>
    <w:rsid w:val="78060B96"/>
    <w:rsid w:val="782F13D2"/>
    <w:rsid w:val="784F29CE"/>
    <w:rsid w:val="785D5F3F"/>
    <w:rsid w:val="78767001"/>
    <w:rsid w:val="78782D79"/>
    <w:rsid w:val="787B4617"/>
    <w:rsid w:val="790C526F"/>
    <w:rsid w:val="79362FB2"/>
    <w:rsid w:val="79C21DD2"/>
    <w:rsid w:val="79F04B91"/>
    <w:rsid w:val="79F45B8D"/>
    <w:rsid w:val="7A470B87"/>
    <w:rsid w:val="7A552EF7"/>
    <w:rsid w:val="7A85177D"/>
    <w:rsid w:val="7AAD4830"/>
    <w:rsid w:val="7AC73B44"/>
    <w:rsid w:val="7AEF6BF7"/>
    <w:rsid w:val="7AFB1A3F"/>
    <w:rsid w:val="7AFE5AFB"/>
    <w:rsid w:val="7B7E2E0F"/>
    <w:rsid w:val="7B917CAE"/>
    <w:rsid w:val="7BF02C26"/>
    <w:rsid w:val="7C2E19A1"/>
    <w:rsid w:val="7C324FED"/>
    <w:rsid w:val="7C4D0079"/>
    <w:rsid w:val="7CAF680C"/>
    <w:rsid w:val="7D2F3C22"/>
    <w:rsid w:val="7D7D673C"/>
    <w:rsid w:val="7DB4751F"/>
    <w:rsid w:val="7E192908"/>
    <w:rsid w:val="7E417769"/>
    <w:rsid w:val="7E505BFE"/>
    <w:rsid w:val="7EC56E34"/>
    <w:rsid w:val="7F224D4A"/>
    <w:rsid w:val="7F6000C3"/>
    <w:rsid w:val="7F7B6C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8"/>
    <w:semiHidden/>
    <w:unhideWhenUsed/>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qFormat/>
    <w:uiPriority w:val="0"/>
    <w:pPr>
      <w:tabs>
        <w:tab w:val="left" w:pos="540"/>
      </w:tabs>
      <w:adjustRightInd w:val="0"/>
      <w:snapToGrid w:val="0"/>
      <w:spacing w:line="360" w:lineRule="auto"/>
      <w:jc w:val="left"/>
      <w:outlineLvl w:val="2"/>
    </w:pPr>
    <w:rPr>
      <w:b/>
      <w:sz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List 3"/>
    <w:basedOn w:val="1"/>
    <w:qFormat/>
    <w:uiPriority w:val="0"/>
    <w:pPr>
      <w:ind w:left="100" w:leftChars="400" w:hanging="200" w:hangingChars="200"/>
      <w:contextualSpacing/>
    </w:pPr>
  </w:style>
  <w:style w:type="paragraph" w:styleId="6">
    <w:name w:val="Normal Indent"/>
    <w:basedOn w:val="1"/>
    <w:next w:val="1"/>
    <w:qFormat/>
    <w:uiPriority w:val="99"/>
    <w:pPr>
      <w:adjustRightInd w:val="0"/>
      <w:spacing w:line="360" w:lineRule="atLeast"/>
      <w:ind w:firstLine="482"/>
    </w:pPr>
    <w:rPr>
      <w:sz w:val="24"/>
    </w:rPr>
  </w:style>
  <w:style w:type="paragraph" w:styleId="7">
    <w:name w:val="caption"/>
    <w:basedOn w:val="1"/>
    <w:next w:val="1"/>
    <w:semiHidden/>
    <w:unhideWhenUsed/>
    <w:qFormat/>
    <w:uiPriority w:val="0"/>
    <w:pPr>
      <w:spacing w:before="152" w:after="160"/>
    </w:pPr>
    <w:rPr>
      <w:rFonts w:ascii="Arial" w:hAnsi="Arial" w:eastAsia="黑体" w:cs="Arial"/>
      <w:sz w:val="20"/>
    </w:rPr>
  </w:style>
  <w:style w:type="paragraph" w:styleId="8">
    <w:name w:val="annotation text"/>
    <w:basedOn w:val="1"/>
    <w:link w:val="51"/>
    <w:qFormat/>
    <w:uiPriority w:val="0"/>
    <w:pPr>
      <w:adjustRightInd w:val="0"/>
      <w:spacing w:line="360" w:lineRule="atLeast"/>
      <w:jc w:val="left"/>
      <w:textAlignment w:val="baseline"/>
    </w:pPr>
    <w:rPr>
      <w:kern w:val="0"/>
      <w:sz w:val="24"/>
    </w:rPr>
  </w:style>
  <w:style w:type="paragraph" w:styleId="9">
    <w:name w:val="Salutation"/>
    <w:basedOn w:val="1"/>
    <w:next w:val="1"/>
    <w:link w:val="48"/>
    <w:qFormat/>
    <w:uiPriority w:val="0"/>
    <w:rPr>
      <w:sz w:val="24"/>
    </w:rPr>
  </w:style>
  <w:style w:type="paragraph" w:styleId="10">
    <w:name w:val="Body Text"/>
    <w:basedOn w:val="1"/>
    <w:next w:val="1"/>
    <w:link w:val="55"/>
    <w:qFormat/>
    <w:uiPriority w:val="99"/>
    <w:pPr>
      <w:spacing w:after="120"/>
    </w:pPr>
    <w:rPr>
      <w:rFonts w:asciiTheme="minorHAnsi" w:hAnsiTheme="minorHAnsi" w:cstheme="minorBidi"/>
      <w:szCs w:val="24"/>
    </w:rPr>
  </w:style>
  <w:style w:type="paragraph" w:styleId="11">
    <w:name w:val="Body Text Indent"/>
    <w:basedOn w:val="1"/>
    <w:next w:val="12"/>
    <w:qFormat/>
    <w:uiPriority w:val="99"/>
    <w:pPr>
      <w:adjustRightInd w:val="0"/>
      <w:snapToGrid w:val="0"/>
      <w:spacing w:line="460" w:lineRule="exact"/>
      <w:ind w:firstLine="560" w:firstLineChars="200"/>
    </w:pPr>
    <w:rPr>
      <w:rFonts w:ascii="仿宋_GB2312" w:hAnsi="Tahoma" w:eastAsia="仿宋_GB2312"/>
      <w:sz w:val="28"/>
    </w:rPr>
  </w:style>
  <w:style w:type="paragraph" w:styleId="12">
    <w:name w:val="Body Text First Indent 2"/>
    <w:basedOn w:val="11"/>
    <w:unhideWhenUsed/>
    <w:qFormat/>
    <w:uiPriority w:val="0"/>
    <w:pPr>
      <w:adjustRightInd/>
      <w:snapToGrid/>
      <w:spacing w:after="120" w:line="360" w:lineRule="auto"/>
      <w:ind w:left="420" w:leftChars="200" w:firstLine="420"/>
    </w:pPr>
    <w:rPr>
      <w:rFonts w:ascii="Calibri" w:hAnsi="Calibri" w:eastAsia="宋体"/>
      <w:sz w:val="24"/>
      <w:szCs w:val="22"/>
    </w:rPr>
  </w:style>
  <w:style w:type="paragraph" w:styleId="13">
    <w:name w:val="List 2"/>
    <w:basedOn w:val="1"/>
    <w:qFormat/>
    <w:uiPriority w:val="0"/>
    <w:pPr>
      <w:ind w:left="100" w:leftChars="200" w:hanging="200" w:hangingChars="200"/>
    </w:pPr>
    <w:rPr>
      <w:szCs w:val="24"/>
    </w:rPr>
  </w:style>
  <w:style w:type="paragraph" w:styleId="14">
    <w:name w:val="Plain Text"/>
    <w:basedOn w:val="1"/>
    <w:link w:val="46"/>
    <w:qFormat/>
    <w:uiPriority w:val="0"/>
    <w:rPr>
      <w:rFonts w:ascii="宋体" w:hAnsi="Courier New"/>
    </w:rPr>
  </w:style>
  <w:style w:type="paragraph" w:styleId="15">
    <w:name w:val="Date"/>
    <w:basedOn w:val="1"/>
    <w:next w:val="1"/>
    <w:qFormat/>
    <w:uiPriority w:val="0"/>
    <w:pPr>
      <w:ind w:left="100" w:leftChars="2500"/>
    </w:pPr>
    <w:rPr>
      <w:szCs w:val="22"/>
    </w:rPr>
  </w:style>
  <w:style w:type="paragraph" w:styleId="16">
    <w:name w:val="Balloon Text"/>
    <w:basedOn w:val="1"/>
    <w:link w:val="82"/>
    <w:qFormat/>
    <w:uiPriority w:val="0"/>
    <w:rPr>
      <w:sz w:val="18"/>
      <w:szCs w:val="18"/>
    </w:rPr>
  </w:style>
  <w:style w:type="paragraph" w:styleId="17">
    <w:name w:val="footer"/>
    <w:basedOn w:val="1"/>
    <w:link w:val="41"/>
    <w:qFormat/>
    <w:uiPriority w:val="0"/>
    <w:pPr>
      <w:tabs>
        <w:tab w:val="center" w:pos="4153"/>
        <w:tab w:val="right" w:pos="8306"/>
      </w:tabs>
      <w:snapToGrid w:val="0"/>
      <w:jc w:val="left"/>
    </w:pPr>
    <w:rPr>
      <w:sz w:val="18"/>
      <w:szCs w:val="18"/>
    </w:rPr>
  </w:style>
  <w:style w:type="paragraph" w:styleId="18">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tabs>
        <w:tab w:val="right" w:leader="dot" w:pos="9628"/>
      </w:tabs>
      <w:spacing w:line="360" w:lineRule="auto"/>
    </w:pPr>
    <w:rPr>
      <w:szCs w:val="24"/>
    </w:rPr>
  </w:style>
  <w:style w:type="paragraph" w:styleId="20">
    <w:name w:val="List"/>
    <w:basedOn w:val="1"/>
    <w:qFormat/>
    <w:uiPriority w:val="0"/>
    <w:pPr>
      <w:spacing w:line="360" w:lineRule="exact"/>
      <w:ind w:left="420" w:hanging="420"/>
      <w:jc w:val="left"/>
    </w:pPr>
    <w:rPr>
      <w:szCs w:val="21"/>
    </w:rPr>
  </w:style>
  <w:style w:type="paragraph" w:styleId="21">
    <w:name w:val="footnote text"/>
    <w:basedOn w:val="1"/>
    <w:link w:val="36"/>
    <w:qFormat/>
    <w:uiPriority w:val="99"/>
    <w:pPr>
      <w:snapToGrid w:val="0"/>
      <w:jc w:val="left"/>
    </w:pPr>
    <w:rPr>
      <w:rFonts w:asciiTheme="minorHAnsi" w:hAnsiTheme="minorHAnsi" w:eastAsiaTheme="minorEastAsia" w:cstheme="minorBidi"/>
      <w:sz w:val="18"/>
      <w:szCs w:val="22"/>
    </w:rPr>
  </w:style>
  <w:style w:type="paragraph" w:styleId="22">
    <w:name w:val="toc 2"/>
    <w:basedOn w:val="1"/>
    <w:next w:val="1"/>
    <w:qFormat/>
    <w:uiPriority w:val="0"/>
    <w:pPr>
      <w:adjustRightInd w:val="0"/>
      <w:spacing w:line="360" w:lineRule="auto"/>
      <w:ind w:left="240" w:firstLine="425"/>
      <w:jc w:val="left"/>
      <w:textAlignment w:val="baseline"/>
    </w:pPr>
    <w:rPr>
      <w:smallCaps/>
      <w:sz w:val="20"/>
    </w:rPr>
  </w:style>
  <w:style w:type="paragraph" w:styleId="23">
    <w:name w:val="Body Text 2"/>
    <w:basedOn w:val="1"/>
    <w:qFormat/>
    <w:uiPriority w:val="0"/>
    <w:rPr>
      <w:rFonts w:ascii="楷体_GB2312" w:hAnsi="Copperplate Gothic Bold" w:eastAsia="楷体_GB2312"/>
      <w:sz w:val="28"/>
      <w:szCs w:val="28"/>
    </w:rPr>
  </w:style>
  <w:style w:type="paragraph" w:styleId="2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25">
    <w:name w:val="Normal (Web)"/>
    <w:basedOn w:val="1"/>
    <w:next w:val="26"/>
    <w:qFormat/>
    <w:uiPriority w:val="0"/>
    <w:pPr>
      <w:widowControl/>
      <w:spacing w:before="100" w:beforeAutospacing="1" w:after="100" w:afterAutospacing="1"/>
      <w:jc w:val="left"/>
    </w:pPr>
    <w:rPr>
      <w:rFonts w:ascii="宋体" w:hAnsi="宋体" w:cs="宋体"/>
      <w:kern w:val="0"/>
      <w:sz w:val="24"/>
      <w:szCs w:val="24"/>
    </w:rPr>
  </w:style>
  <w:style w:type="paragraph" w:customStyle="1" w:styleId="26">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27">
    <w:name w:val="Title"/>
    <w:basedOn w:val="1"/>
    <w:next w:val="1"/>
    <w:link w:val="37"/>
    <w:qFormat/>
    <w:uiPriority w:val="0"/>
    <w:pPr>
      <w:adjustRightInd w:val="0"/>
      <w:snapToGrid w:val="0"/>
      <w:spacing w:before="120" w:after="120" w:line="520" w:lineRule="exact"/>
      <w:jc w:val="center"/>
      <w:outlineLvl w:val="0"/>
    </w:pPr>
    <w:rPr>
      <w:rFonts w:ascii="黑体" w:hAnsiTheme="minorHAnsi" w:eastAsiaTheme="minorEastAsia" w:cstheme="minorBidi"/>
      <w:b/>
      <w:snapToGrid w:val="0"/>
      <w:sz w:val="44"/>
      <w:szCs w:val="22"/>
    </w:rPr>
  </w:style>
  <w:style w:type="paragraph" w:styleId="28">
    <w:name w:val="Body Text First Indent"/>
    <w:basedOn w:val="10"/>
    <w:qFormat/>
    <w:uiPriority w:val="99"/>
    <w:pPr>
      <w:ind w:firstLine="420" w:firstLineChars="100"/>
    </w:p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rFonts w:ascii="Calibri" w:hAnsi="Calibri" w:eastAsia="宋体" w:cs="Times New Roman"/>
      <w:b/>
      <w:bCs/>
    </w:rPr>
  </w:style>
  <w:style w:type="character" w:styleId="33">
    <w:name w:val="Hyperlink"/>
    <w:qFormat/>
    <w:uiPriority w:val="0"/>
    <w:rPr>
      <w:color w:val="0000FF"/>
      <w:u w:val="single"/>
    </w:rPr>
  </w:style>
  <w:style w:type="paragraph" w:customStyle="1" w:styleId="34">
    <w:name w:val="首行缩进"/>
    <w:basedOn w:val="1"/>
    <w:qFormat/>
    <w:uiPriority w:val="99"/>
    <w:pPr>
      <w:ind w:firstLine="480" w:firstLineChars="200"/>
    </w:pPr>
    <w:rPr>
      <w:lang w:val="zh-CN"/>
    </w:rPr>
  </w:style>
  <w:style w:type="paragraph" w:customStyle="1" w:styleId="35">
    <w:name w:val="默认段落字体 Para Char Char Char Char Char Char Char Char Char Char"/>
    <w:basedOn w:val="1"/>
    <w:qFormat/>
    <w:uiPriority w:val="0"/>
    <w:rPr>
      <w:rFonts w:ascii="Tahoma" w:hAnsi="Tahoma"/>
      <w:sz w:val="24"/>
    </w:rPr>
  </w:style>
  <w:style w:type="character" w:customStyle="1" w:styleId="36">
    <w:name w:val="脚注文本 Char"/>
    <w:link w:val="21"/>
    <w:qFormat/>
    <w:uiPriority w:val="99"/>
    <w:rPr>
      <w:sz w:val="18"/>
    </w:rPr>
  </w:style>
  <w:style w:type="character" w:customStyle="1" w:styleId="37">
    <w:name w:val="标题 Char"/>
    <w:link w:val="27"/>
    <w:qFormat/>
    <w:uiPriority w:val="0"/>
    <w:rPr>
      <w:rFonts w:ascii="黑体"/>
      <w:b/>
      <w:snapToGrid w:val="0"/>
      <w:sz w:val="44"/>
    </w:rPr>
  </w:style>
  <w:style w:type="character" w:customStyle="1" w:styleId="38">
    <w:name w:val="标题 Char1"/>
    <w:basedOn w:val="31"/>
    <w:qFormat/>
    <w:uiPriority w:val="10"/>
    <w:rPr>
      <w:rFonts w:eastAsia="宋体" w:asciiTheme="majorHAnsi" w:hAnsiTheme="majorHAnsi" w:cstheme="majorBidi"/>
      <w:b/>
      <w:bCs/>
      <w:sz w:val="32"/>
      <w:szCs w:val="32"/>
    </w:rPr>
  </w:style>
  <w:style w:type="character" w:customStyle="1" w:styleId="39">
    <w:name w:val="脚注文本 Char1"/>
    <w:basedOn w:val="31"/>
    <w:semiHidden/>
    <w:qFormat/>
    <w:uiPriority w:val="99"/>
    <w:rPr>
      <w:rFonts w:ascii="Times New Roman" w:hAnsi="Times New Roman" w:eastAsia="宋体" w:cs="Times New Roman"/>
      <w:sz w:val="18"/>
      <w:szCs w:val="18"/>
    </w:rPr>
  </w:style>
  <w:style w:type="paragraph" w:customStyle="1" w:styleId="40">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character" w:customStyle="1" w:styleId="41">
    <w:name w:val="页脚 Char"/>
    <w:basedOn w:val="31"/>
    <w:link w:val="17"/>
    <w:qFormat/>
    <w:uiPriority w:val="0"/>
    <w:rPr>
      <w:rFonts w:ascii="Times New Roman" w:hAnsi="Times New Roman" w:eastAsia="宋体" w:cs="Times New Roman"/>
      <w:sz w:val="18"/>
      <w:szCs w:val="18"/>
    </w:rPr>
  </w:style>
  <w:style w:type="character" w:customStyle="1" w:styleId="42">
    <w:name w:val="页眉 Char"/>
    <w:basedOn w:val="31"/>
    <w:link w:val="18"/>
    <w:qFormat/>
    <w:uiPriority w:val="0"/>
    <w:rPr>
      <w:rFonts w:ascii="Times New Roman" w:hAnsi="Times New Roman" w:eastAsia="宋体" w:cs="Times New Roman"/>
      <w:sz w:val="18"/>
      <w:szCs w:val="18"/>
    </w:rPr>
  </w:style>
  <w:style w:type="character" w:customStyle="1" w:styleId="43">
    <w:name w:val="页脚 Char1"/>
    <w:basedOn w:val="31"/>
    <w:semiHidden/>
    <w:qFormat/>
    <w:uiPriority w:val="99"/>
    <w:rPr>
      <w:sz w:val="18"/>
      <w:szCs w:val="18"/>
    </w:rPr>
  </w:style>
  <w:style w:type="character" w:customStyle="1" w:styleId="44">
    <w:name w:val="Default Text Char Char"/>
    <w:link w:val="45"/>
    <w:qFormat/>
    <w:uiPriority w:val="0"/>
    <w:rPr>
      <w:color w:val="000000"/>
      <w:sz w:val="24"/>
    </w:rPr>
  </w:style>
  <w:style w:type="paragraph" w:customStyle="1" w:styleId="45">
    <w:name w:val="Default Text"/>
    <w:link w:val="44"/>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character" w:customStyle="1" w:styleId="46">
    <w:name w:val="纯文本 Char1"/>
    <w:link w:val="14"/>
    <w:qFormat/>
    <w:uiPriority w:val="0"/>
    <w:rPr>
      <w:rFonts w:ascii="宋体" w:hAnsi="Courier New" w:eastAsia="宋体" w:cs="Times New Roman"/>
      <w:szCs w:val="20"/>
    </w:rPr>
  </w:style>
  <w:style w:type="character" w:customStyle="1" w:styleId="47">
    <w:name w:val="15"/>
    <w:qFormat/>
    <w:uiPriority w:val="0"/>
    <w:rPr>
      <w:rFonts w:hint="default" w:ascii="Times New Roman" w:hAnsi="Times New Roman" w:cs="Times New Roman"/>
    </w:rPr>
  </w:style>
  <w:style w:type="character" w:customStyle="1" w:styleId="48">
    <w:name w:val="称呼 Char"/>
    <w:link w:val="9"/>
    <w:qFormat/>
    <w:uiPriority w:val="0"/>
    <w:rPr>
      <w:rFonts w:ascii="Times New Roman" w:hAnsi="Times New Roman" w:eastAsia="宋体" w:cs="Times New Roman"/>
      <w:sz w:val="24"/>
      <w:szCs w:val="20"/>
    </w:rPr>
  </w:style>
  <w:style w:type="character" w:customStyle="1" w:styleId="49">
    <w:name w:val="称呼 Char1"/>
    <w:basedOn w:val="31"/>
    <w:semiHidden/>
    <w:qFormat/>
    <w:uiPriority w:val="99"/>
    <w:rPr>
      <w:rFonts w:ascii="Times New Roman" w:hAnsi="Times New Roman" w:eastAsia="宋体" w:cs="Times New Roman"/>
      <w:szCs w:val="20"/>
    </w:rPr>
  </w:style>
  <w:style w:type="character" w:customStyle="1" w:styleId="50">
    <w:name w:val="纯文本 Char"/>
    <w:basedOn w:val="31"/>
    <w:semiHidden/>
    <w:qFormat/>
    <w:uiPriority w:val="99"/>
    <w:rPr>
      <w:rFonts w:ascii="宋体" w:hAnsi="Courier New" w:eastAsia="宋体" w:cs="Courier New"/>
      <w:szCs w:val="21"/>
    </w:rPr>
  </w:style>
  <w:style w:type="character" w:customStyle="1" w:styleId="51">
    <w:name w:val="批注文字 Char"/>
    <w:link w:val="8"/>
    <w:qFormat/>
    <w:uiPriority w:val="0"/>
    <w:rPr>
      <w:rFonts w:ascii="Times New Roman" w:hAnsi="Times New Roman" w:eastAsia="宋体" w:cs="Times New Roman"/>
      <w:kern w:val="0"/>
      <w:sz w:val="24"/>
      <w:szCs w:val="20"/>
    </w:rPr>
  </w:style>
  <w:style w:type="character" w:customStyle="1" w:styleId="52">
    <w:name w:val="批注文字 Char1"/>
    <w:basedOn w:val="31"/>
    <w:semiHidden/>
    <w:qFormat/>
    <w:uiPriority w:val="99"/>
    <w:rPr>
      <w:rFonts w:ascii="Times New Roman" w:hAnsi="Times New Roman" w:eastAsia="宋体" w:cs="Times New Roman"/>
      <w:szCs w:val="20"/>
    </w:rPr>
  </w:style>
  <w:style w:type="character" w:customStyle="1" w:styleId="53">
    <w:name w:val="标题 1 Char"/>
    <w:basedOn w:val="31"/>
    <w:link w:val="3"/>
    <w:qFormat/>
    <w:uiPriority w:val="0"/>
    <w:rPr>
      <w:rFonts w:ascii="Times New Roman" w:hAnsi="Times New Roman" w:eastAsia="宋体" w:cs="Times New Roman"/>
      <w:b/>
      <w:bCs/>
      <w:kern w:val="44"/>
      <w:sz w:val="44"/>
      <w:szCs w:val="44"/>
    </w:rPr>
  </w:style>
  <w:style w:type="character" w:customStyle="1" w:styleId="54">
    <w:name w:val="标题 3 Char Char"/>
    <w:qFormat/>
    <w:uiPriority w:val="0"/>
    <w:rPr>
      <w:rFonts w:ascii="黑体" w:eastAsia="黑体"/>
      <w:bCs/>
      <w:sz w:val="30"/>
    </w:rPr>
  </w:style>
  <w:style w:type="character" w:customStyle="1" w:styleId="55">
    <w:name w:val="正文文本 Char"/>
    <w:link w:val="10"/>
    <w:qFormat/>
    <w:uiPriority w:val="0"/>
    <w:rPr>
      <w:rFonts w:eastAsia="宋体"/>
      <w:szCs w:val="24"/>
    </w:rPr>
  </w:style>
  <w:style w:type="character" w:customStyle="1" w:styleId="56">
    <w:name w:val="正文文本 Char1"/>
    <w:basedOn w:val="31"/>
    <w:semiHidden/>
    <w:qFormat/>
    <w:uiPriority w:val="99"/>
    <w:rPr>
      <w:rFonts w:ascii="Times New Roman" w:hAnsi="Times New Roman" w:eastAsia="宋体" w:cs="Times New Roman"/>
      <w:szCs w:val="20"/>
    </w:rPr>
  </w:style>
  <w:style w:type="paragraph" w:customStyle="1" w:styleId="57">
    <w:name w:val="列出段落1"/>
    <w:basedOn w:val="1"/>
    <w:qFormat/>
    <w:uiPriority w:val="34"/>
    <w:pPr>
      <w:ind w:firstLine="420" w:firstLineChars="200"/>
    </w:pPr>
  </w:style>
  <w:style w:type="character" w:customStyle="1" w:styleId="58">
    <w:name w:val="标题 2 Char"/>
    <w:basedOn w:val="31"/>
    <w:link w:val="4"/>
    <w:qFormat/>
    <w:uiPriority w:val="0"/>
    <w:rPr>
      <w:rFonts w:ascii="Arial" w:hAnsi="Arial" w:eastAsia="黑体" w:cs="Times New Roman"/>
      <w:b/>
      <w:bCs/>
      <w:sz w:val="32"/>
      <w:szCs w:val="32"/>
    </w:rPr>
  </w:style>
  <w:style w:type="paragraph" w:customStyle="1" w:styleId="59">
    <w:name w:val="_Style 2"/>
    <w:basedOn w:val="3"/>
    <w:next w:val="1"/>
    <w:qFormat/>
    <w:uiPriority w:val="39"/>
    <w:pPr>
      <w:widowControl/>
      <w:spacing w:before="480" w:line="276" w:lineRule="auto"/>
      <w:jc w:val="left"/>
      <w:outlineLvl w:val="9"/>
    </w:pPr>
    <w:rPr>
      <w:rFonts w:ascii="Cambria" w:hAnsi="Cambria"/>
      <w:b w:val="0"/>
      <w:color w:val="365F91"/>
      <w:kern w:val="0"/>
      <w:szCs w:val="28"/>
    </w:rPr>
  </w:style>
  <w:style w:type="character" w:customStyle="1" w:styleId="60">
    <w:name w:val="font61"/>
    <w:basedOn w:val="31"/>
    <w:qFormat/>
    <w:uiPriority w:val="0"/>
    <w:rPr>
      <w:rFonts w:hint="eastAsia" w:ascii="微软雅黑" w:hAnsi="微软雅黑" w:eastAsia="微软雅黑" w:cs="微软雅黑"/>
      <w:b/>
      <w:color w:val="000000"/>
      <w:sz w:val="21"/>
      <w:szCs w:val="21"/>
      <w:u w:val="none"/>
    </w:rPr>
  </w:style>
  <w:style w:type="paragraph" w:customStyle="1" w:styleId="61">
    <w:name w:val="5）标书正文 首行缩进2字符"/>
    <w:basedOn w:val="1"/>
    <w:qFormat/>
    <w:uiPriority w:val="99"/>
    <w:pPr>
      <w:spacing w:line="480" w:lineRule="exact"/>
      <w:ind w:firstLine="200" w:firstLineChars="200"/>
    </w:pPr>
    <w:rPr>
      <w:rFonts w:ascii="仿宋_GB2312" w:eastAsia="仿宋_GB2312"/>
      <w:sz w:val="28"/>
    </w:rPr>
  </w:style>
  <w:style w:type="character" w:customStyle="1" w:styleId="62">
    <w:name w:val="标题 3 Char"/>
    <w:qFormat/>
    <w:uiPriority w:val="0"/>
    <w:rPr>
      <w:rFonts w:eastAsia="宋体"/>
      <w:b/>
      <w:bCs/>
      <w:kern w:val="2"/>
      <w:sz w:val="32"/>
      <w:szCs w:val="32"/>
      <w:lang w:val="en-US" w:eastAsia="zh-CN" w:bidi="ar-SA"/>
    </w:rPr>
  </w:style>
  <w:style w:type="paragraph" w:customStyle="1" w:styleId="63">
    <w:name w:val="È¡ÀÊ¡ÎÄ¡À¾"/>
    <w:basedOn w:val="1"/>
    <w:qFormat/>
    <w:uiPriority w:val="99"/>
    <w:pPr>
      <w:overflowPunct w:val="0"/>
      <w:autoSpaceDE w:val="0"/>
      <w:autoSpaceDN w:val="0"/>
      <w:textAlignment w:val="baseline"/>
    </w:pPr>
    <w:rPr>
      <w:rFonts w:ascii="Calibri" w:hAnsi="Calibri"/>
      <w:sz w:val="24"/>
    </w:rPr>
  </w:style>
  <w:style w:type="character" w:customStyle="1" w:styleId="64">
    <w:name w:val="标题1"/>
    <w:qFormat/>
    <w:uiPriority w:val="0"/>
  </w:style>
  <w:style w:type="paragraph" w:customStyle="1" w:styleId="65">
    <w:name w:val="其他"/>
    <w:basedOn w:val="1"/>
    <w:qFormat/>
    <w:uiPriority w:val="0"/>
    <w:pPr>
      <w:shd w:val="clear" w:color="auto" w:fill="FFFFFF"/>
      <w:spacing w:line="303" w:lineRule="exact"/>
      <w:jc w:val="left"/>
    </w:pPr>
    <w:rPr>
      <w:rFonts w:ascii="黑体" w:hAnsi="黑体" w:eastAsia="黑体" w:cs="黑体"/>
      <w:sz w:val="19"/>
      <w:szCs w:val="19"/>
      <w:lang w:val="zh-CN" w:bidi="zh-CN"/>
    </w:rPr>
  </w:style>
  <w:style w:type="paragraph" w:styleId="66">
    <w:name w:val="List Paragraph"/>
    <w:basedOn w:val="1"/>
    <w:unhideWhenUsed/>
    <w:qFormat/>
    <w:uiPriority w:val="99"/>
    <w:pPr>
      <w:ind w:firstLine="420" w:firstLineChars="200"/>
    </w:pPr>
  </w:style>
  <w:style w:type="character" w:customStyle="1" w:styleId="67">
    <w:name w:val="正文缩进2格 Char"/>
    <w:link w:val="68"/>
    <w:qFormat/>
    <w:uiPriority w:val="0"/>
    <w:rPr>
      <w:rFonts w:ascii="仿宋_GB2312" w:hAnsi="宋体" w:eastAsia="仿宋_GB2312"/>
      <w:kern w:val="2"/>
      <w:sz w:val="31"/>
      <w:szCs w:val="28"/>
    </w:rPr>
  </w:style>
  <w:style w:type="paragraph" w:customStyle="1" w:styleId="68">
    <w:name w:val="正文缩进2格"/>
    <w:basedOn w:val="1"/>
    <w:link w:val="67"/>
    <w:qFormat/>
    <w:uiPriority w:val="0"/>
    <w:pPr>
      <w:spacing w:line="600" w:lineRule="exact"/>
      <w:ind w:firstLine="639" w:firstLineChars="206"/>
    </w:pPr>
    <w:rPr>
      <w:rFonts w:ascii="仿宋_GB2312" w:hAnsi="宋体" w:eastAsia="仿宋_GB2312"/>
      <w:sz w:val="31"/>
      <w:szCs w:val="28"/>
    </w:rPr>
  </w:style>
  <w:style w:type="paragraph" w:customStyle="1" w:styleId="69">
    <w:name w:val="正文缩进1"/>
    <w:basedOn w:val="1"/>
    <w:qFormat/>
    <w:uiPriority w:val="0"/>
    <w:pPr>
      <w:ind w:firstLine="420" w:firstLineChars="200"/>
    </w:pPr>
  </w:style>
  <w:style w:type="paragraph" w:customStyle="1" w:styleId="70">
    <w:name w:val="索引 11"/>
    <w:basedOn w:val="1"/>
    <w:next w:val="1"/>
    <w:qFormat/>
    <w:uiPriority w:val="0"/>
    <w:pPr>
      <w:spacing w:line="360" w:lineRule="auto"/>
    </w:pPr>
    <w:rPr>
      <w:rFonts w:ascii="仿宋_GB2312" w:eastAsia="仿宋_GB2312"/>
      <w:sz w:val="24"/>
    </w:rPr>
  </w:style>
  <w:style w:type="paragraph" w:customStyle="1" w:styleId="71">
    <w:name w:val="纯文本1"/>
    <w:basedOn w:val="1"/>
    <w:qFormat/>
    <w:uiPriority w:val="0"/>
    <w:rPr>
      <w:rFonts w:ascii="宋体" w:hAnsi="Courier New" w:eastAsiaTheme="minorEastAsia" w:cstheme="minorBidi"/>
      <w:szCs w:val="22"/>
    </w:rPr>
  </w:style>
  <w:style w:type="character" w:customStyle="1" w:styleId="72">
    <w:name w:val="NormalCharacter"/>
    <w:qFormat/>
    <w:uiPriority w:val="0"/>
  </w:style>
  <w:style w:type="paragraph" w:customStyle="1" w:styleId="73">
    <w:name w:val="Table Paragraph"/>
    <w:basedOn w:val="1"/>
    <w:qFormat/>
    <w:uiPriority w:val="1"/>
  </w:style>
  <w:style w:type="table" w:customStyle="1" w:styleId="74">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7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6">
    <w:name w:val="font01"/>
    <w:basedOn w:val="31"/>
    <w:qFormat/>
    <w:uiPriority w:val="0"/>
    <w:rPr>
      <w:rFonts w:hint="default" w:ascii="等线" w:hAnsi="等线" w:eastAsia="等线" w:cs="等线"/>
      <w:color w:val="000000"/>
      <w:sz w:val="22"/>
      <w:szCs w:val="22"/>
      <w:u w:val="none"/>
    </w:rPr>
  </w:style>
  <w:style w:type="character" w:customStyle="1" w:styleId="77">
    <w:name w:val="font31"/>
    <w:basedOn w:val="31"/>
    <w:qFormat/>
    <w:uiPriority w:val="0"/>
    <w:rPr>
      <w:rFonts w:hint="default" w:ascii="等线" w:hAnsi="等线" w:eastAsia="等线" w:cs="等线"/>
      <w:b/>
      <w:bCs/>
      <w:color w:val="000000"/>
      <w:sz w:val="22"/>
      <w:szCs w:val="22"/>
      <w:u w:val="none"/>
    </w:rPr>
  </w:style>
  <w:style w:type="character" w:customStyle="1" w:styleId="78">
    <w:name w:val="font51"/>
    <w:basedOn w:val="31"/>
    <w:qFormat/>
    <w:uiPriority w:val="0"/>
    <w:rPr>
      <w:rFonts w:hint="default" w:ascii="等线" w:hAnsi="等线" w:eastAsia="等线" w:cs="等线"/>
      <w:b/>
      <w:bCs/>
      <w:color w:val="000000"/>
      <w:sz w:val="24"/>
      <w:szCs w:val="24"/>
      <w:u w:val="none"/>
    </w:rPr>
  </w:style>
  <w:style w:type="character" w:customStyle="1" w:styleId="79">
    <w:name w:val="font21"/>
    <w:basedOn w:val="31"/>
    <w:qFormat/>
    <w:uiPriority w:val="0"/>
    <w:rPr>
      <w:rFonts w:hint="eastAsia" w:ascii="宋体" w:hAnsi="宋体" w:eastAsia="宋体" w:cs="宋体"/>
      <w:color w:val="000000"/>
      <w:sz w:val="24"/>
      <w:szCs w:val="24"/>
      <w:u w:val="none"/>
    </w:rPr>
  </w:style>
  <w:style w:type="character" w:customStyle="1" w:styleId="80">
    <w:name w:val="font11"/>
    <w:basedOn w:val="31"/>
    <w:qFormat/>
    <w:uiPriority w:val="0"/>
    <w:rPr>
      <w:rFonts w:ascii="Calibri" w:hAnsi="Calibri" w:cs="Calibri"/>
      <w:color w:val="000000"/>
      <w:sz w:val="24"/>
      <w:szCs w:val="24"/>
      <w:u w:val="none"/>
    </w:rPr>
  </w:style>
  <w:style w:type="character" w:customStyle="1" w:styleId="81">
    <w:name w:val="font41"/>
    <w:basedOn w:val="31"/>
    <w:qFormat/>
    <w:uiPriority w:val="0"/>
    <w:rPr>
      <w:rFonts w:hint="eastAsia" w:ascii="宋体" w:hAnsi="宋体" w:eastAsia="宋体" w:cs="宋体"/>
      <w:color w:val="000000"/>
      <w:sz w:val="22"/>
      <w:szCs w:val="22"/>
      <w:u w:val="none"/>
    </w:rPr>
  </w:style>
  <w:style w:type="character" w:customStyle="1" w:styleId="82">
    <w:name w:val="批注框文本 Char"/>
    <w:basedOn w:val="31"/>
    <w:link w:val="16"/>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929F58-ADDC-4F33-BD56-1C6CDA4438AC}">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121</Pages>
  <Words>64605</Words>
  <Characters>69457</Characters>
  <Lines>103</Lines>
  <Paragraphs>154</Paragraphs>
  <TotalTime>120</TotalTime>
  <ScaleCrop>false</ScaleCrop>
  <LinksUpToDate>false</LinksUpToDate>
  <CharactersWithSpaces>71471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2020-12-11T09:06:00Z</dcterms:created>
  <dc:creator>正版用户</dc:creator>
  <cp:lastModifiedBy>李绅</cp:lastModifiedBy>
  <cp:lastPrinted>2023-03-16T07:12:00Z</cp:lastPrinted>
  <dcterms:modified xsi:type="dcterms:W3CDTF">2023-03-17T05:46:00Z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2CBE2A2DE1F64BAD9F4CE55315221C0F</vt:lpwstr>
  </property>
</Properties>
</file>