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吾塔木乡尤勒滚艾日克村人居环境综合整治项目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ascii="宋体" w:hAnsi="宋体" w:eastAsia="宋体" w:cs="宋体"/>
          <w:b/>
          <w:bCs/>
          <w:sz w:val="32"/>
          <w:szCs w:val="31"/>
          <w:highlight w:val="none"/>
          <w:lang w:eastAsia="zh-CN"/>
        </w:rPr>
      </w:pPr>
      <w:r>
        <w:rPr>
          <w:rFonts w:hint="eastAsia" w:ascii="宋体" w:hAnsi="宋体" w:cs="宋体"/>
          <w:b/>
          <w:sz w:val="32"/>
          <w:szCs w:val="31"/>
        </w:rPr>
        <w:t>招 标 单 位：</w:t>
      </w:r>
      <w:r>
        <w:rPr>
          <w:rFonts w:hint="eastAsia" w:ascii="宋体" w:hAnsi="宋体" w:cs="宋体"/>
          <w:b/>
          <w:bCs/>
          <w:sz w:val="32"/>
          <w:szCs w:val="31"/>
          <w:highlight w:val="none"/>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highlight w:val="yellow"/>
          <w:lang w:eastAsia="zh-CN"/>
        </w:rPr>
      </w:pPr>
      <w:r>
        <w:rPr>
          <w:rFonts w:hint="eastAsia" w:ascii="宋体" w:hAnsi="宋体" w:cs="宋体"/>
          <w:b/>
          <w:sz w:val="32"/>
          <w:szCs w:val="31"/>
        </w:rPr>
        <w:t>招标</w:t>
      </w:r>
      <w:r>
        <w:rPr>
          <w:rFonts w:hint="eastAsia" w:ascii="宋体" w:hAnsi="宋体" w:cs="宋体"/>
          <w:b/>
          <w:sz w:val="32"/>
          <w:szCs w:val="31"/>
          <w:lang w:eastAsia="zh-CN"/>
        </w:rPr>
        <w:t>代理机构：</w:t>
      </w:r>
      <w:r>
        <w:rPr>
          <w:rFonts w:hint="eastAsia" w:ascii="宋体" w:hAnsi="宋体" w:cs="宋体"/>
          <w:b/>
          <w:sz w:val="32"/>
          <w:szCs w:val="31"/>
          <w:highlight w:val="none"/>
          <w:lang w:eastAsia="zh-CN"/>
        </w:rPr>
        <w:t>新疆军诚工程项目管理服务有限公司</w:t>
      </w:r>
    </w:p>
    <w:p>
      <w:pPr>
        <w:spacing w:line="620" w:lineRule="exact"/>
        <w:jc w:val="both"/>
        <w:rPr>
          <w:rFonts w:ascii="宋体" w:hAnsi="宋体" w:cs="宋体"/>
          <w:b/>
          <w:sz w:val="32"/>
          <w:szCs w:val="32"/>
          <w:highlight w:val="yellow"/>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highlight w:val="none"/>
        </w:rPr>
      </w:pP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目    录</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 xml:space="preserve">第一部分 </w:t>
      </w:r>
      <w:r>
        <w:rPr>
          <w:rFonts w:hint="eastAsia" w:ascii="宋体" w:hAnsi="宋体" w:cs="宋体"/>
          <w:b/>
          <w:bCs/>
          <w:sz w:val="24"/>
          <w:szCs w:val="24"/>
          <w:highlight w:val="none"/>
          <w:lang w:eastAsia="zh-CN"/>
        </w:rPr>
        <w:t>竞争性磋商</w:t>
      </w:r>
      <w:r>
        <w:rPr>
          <w:rFonts w:hint="eastAsia" w:ascii="宋体" w:hAnsi="宋体" w:cs="宋体"/>
          <w:b/>
          <w:bCs/>
          <w:sz w:val="24"/>
          <w:szCs w:val="24"/>
          <w:highlight w:val="none"/>
        </w:rPr>
        <w:t>公告</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竞争性磋商</w:t>
      </w:r>
      <w:r>
        <w:rPr>
          <w:rFonts w:hint="eastAsia" w:ascii="宋体" w:hAnsi="宋体" w:cs="宋体"/>
          <w:b w:val="0"/>
          <w:bCs w:val="0"/>
          <w:sz w:val="24"/>
          <w:szCs w:val="24"/>
          <w:highlight w:val="none"/>
        </w:rPr>
        <w:t>公告</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第二部分 投标须知</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rPr>
        <w:t>投标须知</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第三部分 招标说明</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第四部分 投标说明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对投标方的资质要求</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第二章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的编写</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第三章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的递交</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评标委员会</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第五部分 开标 评标 定标说明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开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第二章 评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第三章 定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授予合同</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第六部分 </w:t>
      </w:r>
      <w:r>
        <w:rPr>
          <w:rFonts w:hint="eastAsia" w:ascii="宋体" w:hAnsi="宋体" w:cs="宋体"/>
          <w:b/>
          <w:bCs/>
          <w:sz w:val="24"/>
          <w:szCs w:val="24"/>
          <w:highlight w:val="none"/>
          <w:lang w:eastAsia="zh-CN"/>
        </w:rPr>
        <w:t>项目</w:t>
      </w:r>
      <w:r>
        <w:rPr>
          <w:rFonts w:hint="eastAsia" w:ascii="宋体" w:hAnsi="宋体" w:cs="宋体"/>
          <w:b/>
          <w:bCs/>
          <w:sz w:val="24"/>
          <w:szCs w:val="24"/>
          <w:highlight w:val="none"/>
        </w:rPr>
        <w:t>需求、技术规格说明</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技术规格及报价明细表 </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第七部分 商务部分</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第一章 合同一般条款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第二章 合同特殊条款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第三章 付款币种及方式 </w:t>
      </w:r>
    </w:p>
    <w:p>
      <w:pPr>
        <w:tabs>
          <w:tab w:val="center" w:pos="4516"/>
        </w:tabs>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第四章 售同服务承诺 </w:t>
      </w:r>
      <w:r>
        <w:rPr>
          <w:rFonts w:hint="eastAsia" w:ascii="宋体" w:hAnsi="宋体" w:cs="宋体"/>
          <w:sz w:val="24"/>
          <w:szCs w:val="24"/>
          <w:highlight w:val="none"/>
        </w:rPr>
        <w:tab/>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第八部分  </w:t>
      </w:r>
      <w:r>
        <w:rPr>
          <w:rFonts w:hint="eastAsia" w:ascii="宋体" w:hAnsi="宋体" w:cs="宋体"/>
          <w:b/>
          <w:bCs/>
          <w:sz w:val="24"/>
          <w:szCs w:val="24"/>
          <w:highlight w:val="none"/>
          <w:lang w:eastAsia="zh-CN"/>
        </w:rPr>
        <w:t>响应文件</w:t>
      </w:r>
      <w:r>
        <w:rPr>
          <w:rFonts w:hint="eastAsia" w:ascii="宋体" w:hAnsi="宋体" w:cs="宋体"/>
          <w:b/>
          <w:bCs/>
          <w:sz w:val="24"/>
          <w:szCs w:val="24"/>
          <w:highlight w:val="none"/>
        </w:rPr>
        <w:t>的编制装订</w:t>
      </w:r>
    </w:p>
    <w:p>
      <w:pPr>
        <w:spacing w:line="360" w:lineRule="auto"/>
        <w:ind w:firstLine="597" w:firstLineChars="249"/>
        <w:rPr>
          <w:rFonts w:ascii="宋体" w:hAnsi="宋体" w:cs="宋体"/>
          <w:sz w:val="24"/>
          <w:szCs w:val="24"/>
          <w:highlight w:val="none"/>
        </w:rPr>
      </w:pPr>
      <w:r>
        <w:rPr>
          <w:rFonts w:hint="eastAsia" w:ascii="宋体" w:hAnsi="宋体" w:cs="宋体"/>
          <w:color w:val="000000"/>
          <w:kern w:val="0"/>
          <w:sz w:val="24"/>
          <w:szCs w:val="24"/>
          <w:highlight w:val="none"/>
        </w:rPr>
        <w:t>一、</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编制和装订顺序</w:t>
      </w:r>
    </w:p>
    <w:p>
      <w:pPr>
        <w:spacing w:line="360" w:lineRule="auto"/>
        <w:ind w:firstLine="600" w:firstLineChars="250"/>
        <w:rPr>
          <w:rFonts w:hint="eastAsia" w:ascii="宋体" w:hAnsi="宋体" w:cs="宋体"/>
          <w:sz w:val="24"/>
          <w:szCs w:val="24"/>
          <w:highlight w:val="yellow"/>
        </w:rPr>
      </w:pPr>
      <w:r>
        <w:rPr>
          <w:rFonts w:hint="eastAsia" w:ascii="宋体" w:hAnsi="宋体" w:cs="宋体"/>
          <w:sz w:val="24"/>
          <w:szCs w:val="24"/>
          <w:highlight w:val="none"/>
        </w:rPr>
        <w:t>二、投标报价文件格式范本</w:t>
      </w:r>
    </w:p>
    <w:p>
      <w:pPr>
        <w:pStyle w:val="9"/>
      </w:pPr>
    </w:p>
    <w:p>
      <w:pPr>
        <w:pStyle w:val="27"/>
        <w:ind w:left="420" w:hanging="420"/>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val="en-US" w:eastAsia="zh-CN"/>
        </w:rPr>
        <w:t>吾塔木乡尤勒滚艾日克村人居环境综合整治项目</w:t>
      </w:r>
    </w:p>
    <w:p>
      <w:pPr>
        <w:pStyle w:val="4"/>
        <w:bidi w:val="0"/>
        <w:jc w:val="center"/>
        <w:rPr>
          <w:rFonts w:hint="eastAsia"/>
          <w:sz w:val="32"/>
          <w:szCs w:val="32"/>
          <w:lang w:val="en-US" w:eastAsia="zh-CN"/>
        </w:rPr>
      </w:pPr>
      <w:r>
        <w:rPr>
          <w:rFonts w:hint="eastAsia"/>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新疆军诚工程项目管理服务有限公司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eastAsia" w:ascii="微软雅黑" w:hAnsi="微软雅黑" w:eastAsia="宋体" w:cs="微软雅黑"/>
          <w:i w:val="0"/>
          <w:caps w:val="0"/>
          <w:color w:val="333333"/>
          <w:spacing w:val="0"/>
          <w:sz w:val="21"/>
          <w:szCs w:val="21"/>
          <w:highlight w:val="yellow"/>
          <w:shd w:val="clear" w:fill="FFFFFF"/>
          <w:lang w:val="en-US" w:eastAsia="zh-CN"/>
        </w:rPr>
      </w:pPr>
      <w:r>
        <w:rPr>
          <w:rFonts w:hint="eastAsia" w:ascii="宋体" w:hAnsi="宋体" w:cs="宋体"/>
          <w:sz w:val="24"/>
          <w:szCs w:val="24"/>
        </w:rPr>
        <w:t>招标项目编号：</w:t>
      </w:r>
      <w:r>
        <w:rPr>
          <w:rFonts w:hint="eastAsia" w:ascii="宋体" w:hAnsi="宋体" w:cs="宋体"/>
          <w:sz w:val="24"/>
          <w:szCs w:val="24"/>
          <w:highlight w:val="none"/>
          <w:lang w:eastAsia="zh-CN"/>
        </w:rPr>
        <w:t>JCZFCG(JC)2023-007号</w:t>
      </w:r>
    </w:p>
    <w:p>
      <w:pPr>
        <w:spacing w:line="560" w:lineRule="exact"/>
        <w:rPr>
          <w:rFonts w:ascii="宋体" w:hAnsi="宋体" w:cs="宋体"/>
          <w:sz w:val="24"/>
          <w:szCs w:val="24"/>
          <w:highlight w:val="none"/>
        </w:rPr>
      </w:pPr>
      <w:r>
        <w:rPr>
          <w:rFonts w:hint="eastAsia" w:ascii="宋体" w:hAnsi="宋体" w:cs="宋体"/>
          <w:sz w:val="24"/>
          <w:szCs w:val="24"/>
        </w:rPr>
        <w:t>采购组织类型：</w:t>
      </w:r>
      <w:r>
        <w:rPr>
          <w:rFonts w:hint="eastAsia" w:ascii="宋体" w:hAnsi="宋体" w:cs="宋体"/>
          <w:sz w:val="24"/>
          <w:szCs w:val="24"/>
          <w:highlight w:val="none"/>
        </w:rPr>
        <w:t>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7"/>
        <w:gridCol w:w="2265"/>
        <w:gridCol w:w="1163"/>
        <w:gridCol w:w="1562"/>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987"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标项序号</w:t>
            </w:r>
          </w:p>
        </w:tc>
        <w:tc>
          <w:tcPr>
            <w:tcW w:w="2265" w:type="dxa"/>
            <w:shd w:val="clear" w:color="auto" w:fill="auto"/>
            <w:tcMar>
              <w:top w:w="75" w:type="dxa"/>
              <w:left w:w="150" w:type="dxa"/>
              <w:bottom w:w="75" w:type="dxa"/>
              <w:right w:w="150" w:type="dxa"/>
            </w:tcMar>
            <w:vAlign w:val="center"/>
          </w:tcPr>
          <w:p>
            <w:pPr>
              <w:spacing w:line="560" w:lineRule="exact"/>
              <w:ind w:firstLine="480" w:firstLineChars="200"/>
              <w:jc w:val="center"/>
              <w:rPr>
                <w:rFonts w:ascii="宋体" w:hAnsi="宋体" w:cs="宋体"/>
                <w:sz w:val="24"/>
                <w:szCs w:val="24"/>
              </w:rPr>
            </w:pPr>
            <w:r>
              <w:rPr>
                <w:rFonts w:hint="eastAsia" w:ascii="宋体" w:hAnsi="宋体" w:cs="宋体"/>
                <w:sz w:val="24"/>
                <w:szCs w:val="24"/>
              </w:rPr>
              <w:t>标项名称</w:t>
            </w:r>
          </w:p>
        </w:tc>
        <w:tc>
          <w:tcPr>
            <w:tcW w:w="116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562" w:type="dxa"/>
            <w:shd w:val="clear" w:color="auto" w:fill="auto"/>
            <w:tcMar>
              <w:top w:w="75" w:type="dxa"/>
              <w:left w:w="150" w:type="dxa"/>
              <w:bottom w:w="75" w:type="dxa"/>
              <w:right w:w="150" w:type="dxa"/>
            </w:tcMar>
            <w:vAlign w:val="center"/>
          </w:tcPr>
          <w:p>
            <w:pPr>
              <w:spacing w:line="240" w:lineRule="auto"/>
              <w:ind w:hanging="2"/>
              <w:jc w:val="center"/>
              <w:rPr>
                <w:rFonts w:hint="eastAsia" w:ascii="宋体" w:hAnsi="宋体" w:cs="宋体"/>
                <w:sz w:val="24"/>
                <w:szCs w:val="24"/>
              </w:rPr>
            </w:pPr>
            <w:r>
              <w:rPr>
                <w:rFonts w:hint="eastAsia" w:ascii="宋体" w:hAnsi="宋体" w:cs="宋体"/>
                <w:sz w:val="24"/>
                <w:szCs w:val="24"/>
              </w:rPr>
              <w:t>预算金额</w:t>
            </w:r>
          </w:p>
          <w:p>
            <w:pPr>
              <w:spacing w:line="240" w:lineRule="auto"/>
              <w:ind w:hanging="2"/>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万</w:t>
            </w:r>
            <w:r>
              <w:rPr>
                <w:rFonts w:hint="eastAsia" w:ascii="宋体" w:hAnsi="宋体" w:cs="宋体"/>
                <w:sz w:val="24"/>
                <w:szCs w:val="24"/>
              </w:rPr>
              <w:t>元)</w:t>
            </w:r>
          </w:p>
        </w:tc>
        <w:tc>
          <w:tcPr>
            <w:tcW w:w="3954"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7" w:hRule="atLeast"/>
          <w:jc w:val="center"/>
        </w:trPr>
        <w:tc>
          <w:tcPr>
            <w:tcW w:w="987"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1</w:t>
            </w:r>
          </w:p>
        </w:tc>
        <w:tc>
          <w:tcPr>
            <w:tcW w:w="2265" w:type="dxa"/>
            <w:shd w:val="clear" w:color="auto" w:fill="auto"/>
            <w:tcMar>
              <w:top w:w="75" w:type="dxa"/>
              <w:left w:w="150" w:type="dxa"/>
              <w:bottom w:w="75" w:type="dxa"/>
              <w:right w:w="150" w:type="dxa"/>
            </w:tcMar>
            <w:vAlign w:val="center"/>
          </w:tcPr>
          <w:p>
            <w:pPr>
              <w:spacing w:line="560" w:lineRule="exact"/>
              <w:jc w:val="left"/>
            </w:pPr>
            <w:r>
              <w:rPr>
                <w:rFonts w:hint="eastAsia" w:cs="Times New Roman"/>
                <w:kern w:val="2"/>
                <w:sz w:val="21"/>
                <w:szCs w:val="20"/>
                <w:lang w:val="en-US" w:eastAsia="zh-CN" w:bidi="ar-SA"/>
              </w:rPr>
              <w:t>吾塔木乡尤勒滚艾日克村人居环境综合整治项目</w:t>
            </w:r>
          </w:p>
        </w:tc>
        <w:tc>
          <w:tcPr>
            <w:tcW w:w="116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562" w:type="dxa"/>
            <w:shd w:val="clear" w:color="auto" w:fill="auto"/>
            <w:tcMar>
              <w:top w:w="75" w:type="dxa"/>
              <w:left w:w="150" w:type="dxa"/>
              <w:bottom w:w="75" w:type="dxa"/>
              <w:right w:w="150" w:type="dxa"/>
            </w:tcMar>
            <w:vAlign w:val="center"/>
          </w:tcPr>
          <w:p>
            <w:pPr>
              <w:spacing w:line="560" w:lineRule="exact"/>
              <w:jc w:val="left"/>
              <w:rPr>
                <w:rFonts w:hint="default" w:ascii="宋体" w:hAnsi="宋体" w:eastAsia="宋体" w:cs="宋体"/>
                <w:sz w:val="24"/>
                <w:szCs w:val="24"/>
                <w:lang w:val="en-US" w:eastAsia="zh-CN"/>
              </w:rPr>
            </w:pPr>
            <w:r>
              <w:rPr>
                <w:rFonts w:hint="eastAsia"/>
                <w:szCs w:val="22"/>
                <w:lang w:val="en-US" w:eastAsia="zh-CN"/>
              </w:rPr>
              <w:t>160万</w:t>
            </w:r>
            <w:r>
              <w:rPr>
                <w:rFonts w:hint="eastAsia" w:ascii="宋体" w:hAnsi="宋体" w:cs="宋体"/>
                <w:sz w:val="24"/>
                <w:szCs w:val="24"/>
                <w:lang w:val="en-US" w:eastAsia="zh-CN"/>
              </w:rPr>
              <w:t>元</w:t>
            </w:r>
          </w:p>
        </w:tc>
        <w:tc>
          <w:tcPr>
            <w:tcW w:w="395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建围挡设施8</w:t>
            </w:r>
            <w:r>
              <w:rPr>
                <w:rFonts w:hint="eastAsia" w:cs="宋体"/>
                <w:sz w:val="22"/>
                <w:szCs w:val="22"/>
                <w:lang w:val="en-US" w:eastAsia="zh-CN"/>
              </w:rPr>
              <w:t>5</w:t>
            </w:r>
            <w:r>
              <w:rPr>
                <w:rFonts w:hint="eastAsia" w:ascii="宋体" w:hAnsi="宋体" w:eastAsia="宋体" w:cs="宋体"/>
                <w:sz w:val="22"/>
                <w:szCs w:val="22"/>
                <w:lang w:val="en-US" w:eastAsia="zh-CN"/>
              </w:rPr>
              <w:t>米；制作宣传栏620㎡；铺设彩砖路465㎡</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修围挡260米</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安装17盏太阳能路灯</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cs="宋体"/>
                <w:sz w:val="22"/>
                <w:szCs w:val="22"/>
                <w:lang w:val="en-US" w:eastAsia="zh-CN"/>
              </w:rPr>
              <w:t>防风林进行平整和修正</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安装水泥路沿石870米，搭建渠道桥12座；硬化240平米；制作12处宣传栏；制作12个牌匾</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建1座化粪池50m³；维修30处路面；21个老旧垃圾房；维修500米人行道，50个污水检查井，维修150盏路灯；采购吸污车1辆。</w:t>
            </w:r>
          </w:p>
          <w:p>
            <w:pPr>
              <w:pStyle w:val="34"/>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4"/>
                <w:szCs w:val="24"/>
                <w:lang w:eastAsia="zh-CN"/>
              </w:rPr>
            </w:pPr>
            <w:r>
              <w:rPr>
                <w:rFonts w:hint="eastAsia" w:ascii="宋体" w:hAnsi="宋体" w:eastAsia="宋体" w:cs="宋体"/>
                <w:sz w:val="22"/>
                <w:szCs w:val="22"/>
                <w:lang w:val="en-US" w:eastAsia="zh-CN"/>
              </w:rPr>
              <w:t>详见磋商文件</w:t>
            </w:r>
          </w:p>
        </w:tc>
      </w:tr>
    </w:tbl>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合同履约期限：</w:t>
      </w:r>
      <w:r>
        <w:rPr>
          <w:rFonts w:hint="eastAsia" w:ascii="宋体" w:hAnsi="宋体" w:cs="宋体"/>
          <w:sz w:val="24"/>
          <w:szCs w:val="24"/>
          <w:highlight w:val="none"/>
          <w:lang w:eastAsia="zh-CN"/>
        </w:rPr>
        <w:t>合同签订后60天内完工。</w:t>
      </w:r>
    </w:p>
    <w:p>
      <w:pPr>
        <w:spacing w:line="460" w:lineRule="exact"/>
        <w:rPr>
          <w:rFonts w:hint="eastAsia" w:ascii="宋体" w:hAnsi="宋体" w:cs="宋体"/>
          <w:sz w:val="24"/>
          <w:szCs w:val="24"/>
        </w:rPr>
      </w:pPr>
      <w:r>
        <w:rPr>
          <w:rFonts w:hint="eastAsia" w:ascii="宋体" w:hAnsi="宋体" w:cs="宋体"/>
          <w:b/>
          <w:bCs/>
          <w:sz w:val="24"/>
          <w:szCs w:val="24"/>
        </w:rPr>
        <w:t>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b/>
          <w:bCs/>
          <w:sz w:val="24"/>
          <w:szCs w:val="24"/>
        </w:rPr>
      </w:pP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pStyle w:val="2"/>
        <w:rPr>
          <w:rFonts w:hint="default" w:eastAsia="宋体"/>
          <w:highlight w:val="none"/>
          <w:lang w:val="en-US" w:eastAsia="zh-CN"/>
        </w:rPr>
      </w:pPr>
      <w:r>
        <w:rPr>
          <w:rFonts w:hint="eastAsia" w:ascii="宋体" w:hAnsi="宋体" w:cs="宋体"/>
          <w:sz w:val="24"/>
          <w:szCs w:val="24"/>
          <w:highlight w:val="none"/>
          <w:lang w:val="en-US" w:eastAsia="zh-CN"/>
        </w:rPr>
        <w:t>3.4 本项目专门面向中小/小微企业采购。</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w:t>
      </w:r>
      <w:r>
        <w:rPr>
          <w:rFonts w:hint="eastAsia" w:ascii="宋体" w:hAnsi="宋体" w:cs="宋体"/>
          <w:sz w:val="24"/>
          <w:szCs w:val="24"/>
          <w:lang w:eastAsia="zh-CN"/>
        </w:rPr>
        <w:t>招标方</w:t>
      </w:r>
      <w:r>
        <w:rPr>
          <w:rFonts w:hint="eastAsia" w:ascii="宋体" w:hAnsi="宋体" w:cs="宋体"/>
          <w:sz w:val="24"/>
          <w:szCs w:val="24"/>
        </w:rPr>
        <w:t>、采购代理机构存在隶属关系或者其他利害关系。</w:t>
      </w:r>
    </w:p>
    <w:p>
      <w:pPr>
        <w:numPr>
          <w:ilvl w:val="0"/>
          <w:numId w:val="6"/>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cs="宋体"/>
          <w:sz w:val="24"/>
          <w:szCs w:val="24"/>
          <w:highlight w:val="none"/>
        </w:rPr>
        <w:t>日，每天上午10:</w:t>
      </w:r>
      <w:r>
        <w:rPr>
          <w:rFonts w:hint="eastAsia" w:ascii="宋体" w:hAnsi="宋体" w:cs="宋体"/>
          <w:sz w:val="24"/>
          <w:szCs w:val="24"/>
          <w:highlight w:val="none"/>
          <w:lang w:val="en-US" w:eastAsia="zh-CN"/>
        </w:rPr>
        <w:t>30</w:t>
      </w:r>
      <w:r>
        <w:rPr>
          <w:rFonts w:hint="eastAsia" w:ascii="宋体" w:hAnsi="宋体" w:cs="宋体"/>
          <w:sz w:val="24"/>
          <w:szCs w:val="24"/>
          <w:highlight w:val="none"/>
        </w:rPr>
        <w:t>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19:30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w:t>
      </w:r>
      <w:r>
        <w:rPr>
          <w:rFonts w:hint="eastAsia" w:ascii="宋体" w:hAnsi="宋体" w:cs="宋体"/>
          <w:sz w:val="24"/>
          <w:szCs w:val="24"/>
          <w:highlight w:val="none"/>
          <w:lang w:val="en-US" w:eastAsia="zh-CN"/>
        </w:rPr>
        <w:t>,</w:t>
      </w:r>
      <w:r>
        <w:rPr>
          <w:rFonts w:hint="eastAsia" w:ascii="宋体" w:hAnsi="宋体" w:cs="宋体"/>
          <w:sz w:val="24"/>
          <w:szCs w:val="24"/>
          <w:highlight w:val="none"/>
        </w:rPr>
        <w:t>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w:t>
      </w:r>
      <w:r>
        <w:rPr>
          <w:rFonts w:hint="eastAsia" w:ascii="宋体" w:hAnsi="宋体" w:cs="宋体"/>
          <w:sz w:val="24"/>
          <w:szCs w:val="24"/>
          <w:highlight w:val="none"/>
          <w:lang w:eastAsia="zh-CN"/>
        </w:rPr>
        <w:t>元</w:t>
      </w:r>
      <w:r>
        <w:rPr>
          <w:rFonts w:hint="eastAsia" w:ascii="宋体" w:hAnsi="宋体" w:cs="宋体"/>
          <w:sz w:val="24"/>
          <w:szCs w:val="24"/>
          <w:highlight w:val="none"/>
        </w:rPr>
        <w:t> </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获取</w:t>
      </w:r>
      <w:r>
        <w:rPr>
          <w:rFonts w:hint="eastAsia" w:ascii="宋体" w:hAnsi="宋体" w:cs="宋体"/>
          <w:b/>
          <w:bCs/>
          <w:sz w:val="24"/>
          <w:szCs w:val="24"/>
          <w:highlight w:val="none"/>
          <w:lang w:eastAsia="zh-CN"/>
        </w:rPr>
        <w:t>磋商文件</w:t>
      </w:r>
      <w:r>
        <w:rPr>
          <w:rFonts w:hint="eastAsia" w:ascii="宋体" w:hAnsi="宋体" w:cs="宋体"/>
          <w:b/>
          <w:bCs/>
          <w:sz w:val="24"/>
          <w:szCs w:val="24"/>
          <w:highlight w:val="none"/>
        </w:rPr>
        <w:t>应上传：</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资质证书、</w:t>
      </w:r>
      <w:r>
        <w:rPr>
          <w:rFonts w:hint="eastAsia" w:ascii="宋体" w:hAnsi="宋体" w:cs="宋体"/>
          <w:b/>
          <w:bCs/>
          <w:sz w:val="24"/>
          <w:szCs w:val="24"/>
          <w:highlight w:val="none"/>
        </w:rPr>
        <w:t>营业执照（</w:t>
      </w:r>
      <w:r>
        <w:rPr>
          <w:rFonts w:hint="eastAsia" w:ascii="宋体" w:hAnsi="宋体" w:cs="宋体"/>
          <w:b/>
          <w:bCs/>
          <w:sz w:val="24"/>
          <w:szCs w:val="24"/>
          <w:highlight w:val="none"/>
          <w:lang w:eastAsia="zh-CN"/>
        </w:rPr>
        <w:t>扫描</w:t>
      </w:r>
      <w:r>
        <w:rPr>
          <w:rFonts w:hint="eastAsia" w:ascii="宋体" w:hAnsi="宋体" w:cs="宋体"/>
          <w:b/>
          <w:bCs/>
          <w:sz w:val="24"/>
          <w:szCs w:val="24"/>
          <w:highlight w:val="none"/>
        </w:rPr>
        <w:t>件加盖公章）；</w:t>
      </w:r>
    </w:p>
    <w:p>
      <w:pPr>
        <w:spacing w:line="240" w:lineRule="auto"/>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（2）法定代表人资格证明文件</w:t>
      </w:r>
      <w:r>
        <w:rPr>
          <w:rFonts w:hint="eastAsia" w:ascii="宋体" w:hAnsi="宋体" w:cs="宋体"/>
          <w:b/>
          <w:bCs/>
          <w:sz w:val="24"/>
          <w:szCs w:val="24"/>
          <w:highlight w:val="none"/>
          <w:lang w:eastAsia="zh-CN"/>
        </w:rPr>
        <w:t>及法人身份证原件</w:t>
      </w:r>
      <w:r>
        <w:rPr>
          <w:rFonts w:hint="eastAsia" w:ascii="宋体" w:hAnsi="宋体" w:cs="宋体"/>
          <w:b/>
          <w:bCs/>
          <w:sz w:val="24"/>
          <w:szCs w:val="24"/>
          <w:highlight w:val="none"/>
        </w:rPr>
        <w:t>、法定代表人授权委托书</w:t>
      </w:r>
      <w:r>
        <w:rPr>
          <w:rFonts w:hint="eastAsia" w:ascii="宋体" w:hAnsi="宋体" w:cs="宋体"/>
          <w:b/>
          <w:bCs/>
          <w:sz w:val="24"/>
          <w:szCs w:val="24"/>
          <w:highlight w:val="none"/>
          <w:lang w:eastAsia="zh-CN"/>
        </w:rPr>
        <w:t>和被授权人身份证原件</w:t>
      </w:r>
      <w:r>
        <w:rPr>
          <w:rFonts w:hint="eastAsia" w:ascii="宋体" w:hAnsi="宋体" w:cs="宋体"/>
          <w:b/>
          <w:bCs/>
          <w:sz w:val="24"/>
          <w:szCs w:val="24"/>
          <w:highlight w:val="none"/>
        </w:rPr>
        <w:t>（加盖公章扫描件）</w:t>
      </w:r>
      <w:r>
        <w:rPr>
          <w:rFonts w:hint="eastAsia" w:ascii="宋体" w:hAnsi="宋体" w:cs="宋体"/>
          <w:b/>
          <w:bCs/>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w:t>
      </w:r>
      <w:r>
        <w:rPr>
          <w:rFonts w:hint="eastAsia" w:ascii="宋体" w:hAnsi="宋体" w:cs="宋体"/>
          <w:sz w:val="24"/>
          <w:szCs w:val="24"/>
          <w:highlight w:val="none"/>
          <w:lang w:eastAsia="zh-CN"/>
        </w:rPr>
        <w:t>2023年4月7日16:00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2023年4月7日16:00（北京时间）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w:t>
      </w:r>
      <w:r>
        <w:rPr>
          <w:rFonts w:hint="eastAsia" w:ascii="宋体" w:hAnsi="宋体" w:cs="宋体"/>
          <w:sz w:val="24"/>
          <w:szCs w:val="24"/>
          <w:lang w:eastAsia="zh-CN"/>
        </w:rPr>
        <w:t>招标方</w:t>
      </w:r>
      <w:r>
        <w:rPr>
          <w:rFonts w:hint="eastAsia" w:ascii="宋体" w:hAnsi="宋体" w:cs="宋体"/>
          <w:sz w:val="24"/>
          <w:szCs w:val="24"/>
        </w:rPr>
        <w:t>和采购代理机构提出质疑。分散采购限额标准以上的项目，质疑供应商对</w:t>
      </w:r>
      <w:r>
        <w:rPr>
          <w:rFonts w:hint="eastAsia" w:ascii="宋体" w:hAnsi="宋体" w:cs="宋体"/>
          <w:sz w:val="24"/>
          <w:szCs w:val="24"/>
          <w:lang w:eastAsia="zh-CN"/>
        </w:rPr>
        <w:t>招标方</w:t>
      </w:r>
      <w:r>
        <w:rPr>
          <w:rFonts w:hint="eastAsia" w:ascii="宋体" w:hAnsi="宋体" w:cs="宋体"/>
          <w:sz w:val="24"/>
          <w:szCs w:val="24"/>
        </w:rPr>
        <w:t>、采购代理机构的答复不满意或者</w:t>
      </w:r>
      <w:r>
        <w:rPr>
          <w:rFonts w:hint="eastAsia" w:ascii="宋体" w:hAnsi="宋体" w:cs="宋体"/>
          <w:sz w:val="24"/>
          <w:szCs w:val="24"/>
          <w:lang w:eastAsia="zh-CN"/>
        </w:rPr>
        <w:t>招标方</w:t>
      </w:r>
      <w:r>
        <w:rPr>
          <w:rFonts w:hint="eastAsia" w:ascii="宋体" w:hAnsi="宋体" w:cs="宋体"/>
          <w:sz w:val="24"/>
          <w:szCs w:val="24"/>
        </w:rPr>
        <w:t>、采购代理机构未在规定的时间内作出答复的，可以在答复期满后十五个工作日内向同级政府采购监督管理部门投诉。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信息</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若羌县吾塔木乡人民政府</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若羌县吾塔木乡</w:t>
      </w:r>
    </w:p>
    <w:p>
      <w:pPr>
        <w:pStyle w:val="2"/>
        <w:rPr>
          <w:rFonts w:hint="eastAsia"/>
          <w:lang w:eastAsia="zh-CN"/>
        </w:rPr>
      </w:pPr>
      <w:r>
        <w:rPr>
          <w:rFonts w:hint="eastAsia" w:ascii="宋体" w:hAnsi="宋体" w:eastAsia="宋体" w:cs="宋体"/>
          <w:kern w:val="2"/>
          <w:sz w:val="24"/>
          <w:szCs w:val="24"/>
          <w:highlight w:val="none"/>
          <w:lang w:val="en-US" w:eastAsia="zh-CN" w:bidi="ar-SA"/>
        </w:rPr>
        <w:t>联系人</w:t>
      </w:r>
      <w:r>
        <w:rPr>
          <w:rFonts w:hint="eastAsia"/>
          <w:highlight w:val="none"/>
          <w:lang w:val="en-US" w:eastAsia="zh-CN"/>
        </w:rPr>
        <w:t>： 吕永军</w:t>
      </w:r>
    </w:p>
    <w:p>
      <w:pPr>
        <w:spacing w:line="240" w:lineRule="auto"/>
        <w:ind w:firstLine="480" w:firstLineChars="200"/>
        <w:rPr>
          <w:rFonts w:hint="default" w:ascii="宋体" w:hAnsi="宋体" w:eastAsia="宋体" w:cs="Times New Roman"/>
          <w:kern w:val="2"/>
          <w:sz w:val="21"/>
          <w:szCs w:val="22"/>
          <w:highlight w:val="none"/>
          <w:lang w:val="en-US" w:eastAsia="zh-CN" w:bidi="ar-SA"/>
        </w:rPr>
      </w:pPr>
      <w:r>
        <w:rPr>
          <w:rFonts w:hint="eastAsia" w:ascii="宋体" w:hAnsi="宋体" w:cs="宋体"/>
          <w:sz w:val="24"/>
          <w:szCs w:val="24"/>
          <w:highlight w:val="none"/>
        </w:rPr>
        <w:t>联系方式：18299779914</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2.采购代理机构信息</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新疆军诚工程项目管理服务有限公司</w:t>
      </w:r>
    </w:p>
    <w:p>
      <w:pPr>
        <w:spacing w:line="24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新疆库尔勒市香梨大道住建大厦</w:t>
      </w:r>
      <w:r>
        <w:rPr>
          <w:rFonts w:hint="eastAsia" w:ascii="宋体" w:hAnsi="宋体" w:cs="宋体"/>
          <w:sz w:val="24"/>
          <w:szCs w:val="24"/>
          <w:highlight w:val="none"/>
          <w:lang w:val="en-US" w:eastAsia="zh-CN"/>
        </w:rPr>
        <w:t>12楼</w:t>
      </w:r>
    </w:p>
    <w:p>
      <w:pPr>
        <w:spacing w:line="24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联系</w:t>
      </w:r>
      <w:r>
        <w:rPr>
          <w:rFonts w:hint="eastAsia" w:ascii="宋体" w:hAnsi="宋体" w:cs="宋体"/>
          <w:sz w:val="24"/>
          <w:szCs w:val="24"/>
          <w:highlight w:val="none"/>
          <w:lang w:eastAsia="zh-CN"/>
        </w:rPr>
        <w:t>人及联系</w:t>
      </w:r>
      <w:r>
        <w:rPr>
          <w:rFonts w:hint="eastAsia" w:ascii="宋体" w:hAnsi="宋体" w:cs="宋体"/>
          <w:sz w:val="24"/>
          <w:szCs w:val="24"/>
          <w:highlight w:val="none"/>
        </w:rPr>
        <w:t>方式</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0996-2165277</w:t>
      </w:r>
    </w:p>
    <w:p>
      <w:pPr>
        <w:pStyle w:val="2"/>
        <w:rPr>
          <w:rFonts w:hint="eastAsia" w:ascii="宋体" w:hAnsi="宋体" w:cs="宋体"/>
          <w:sz w:val="24"/>
          <w:szCs w:val="24"/>
          <w:highlight w:val="yellow"/>
        </w:rPr>
      </w:pPr>
    </w:p>
    <w:p>
      <w:pPr>
        <w:pStyle w:val="3"/>
        <w:rPr>
          <w:rFonts w:hint="eastAsia" w:ascii="宋体" w:hAnsi="宋体" w:cs="宋体"/>
          <w:sz w:val="24"/>
          <w:szCs w:val="24"/>
        </w:rPr>
      </w:pPr>
    </w:p>
    <w:p>
      <w:pPr>
        <w:pStyle w:val="3"/>
        <w:rPr>
          <w:rFonts w:hint="eastAsia" w:ascii="宋体" w:hAnsi="宋体" w:cs="宋体"/>
          <w:sz w:val="24"/>
          <w:szCs w:val="24"/>
        </w:rPr>
      </w:pPr>
    </w:p>
    <w:p>
      <w:pPr>
        <w:pStyle w:val="4"/>
        <w:bidi w:val="0"/>
        <w:spacing w:afterAutospacing="0"/>
        <w:jc w:val="center"/>
        <w:rPr>
          <w:sz w:val="44"/>
          <w:szCs w:val="44"/>
        </w:rPr>
      </w:pPr>
      <w:r>
        <w:rPr>
          <w:rFonts w:hint="eastAsia"/>
          <w:sz w:val="44"/>
          <w:szCs w:val="44"/>
        </w:rPr>
        <w:t>第二部份 投标须知</w:t>
      </w:r>
    </w:p>
    <w:p>
      <w:pPr>
        <w:pStyle w:val="5"/>
        <w:bidi w:val="0"/>
        <w:spacing w:before="61" w:beforeAutospacing="0" w:after="0" w:afterAutospacing="0"/>
        <w:jc w:val="center"/>
        <w:rPr>
          <w:rFonts w:hint="eastAsia"/>
          <w:sz w:val="32"/>
          <w:szCs w:val="32"/>
        </w:rPr>
      </w:pPr>
      <w:r>
        <w:rPr>
          <w:rFonts w:hint="eastAsia"/>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beforeAutospacing="0"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412"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hint="default" w:ascii="宋体" w:eastAsia="宋体" w:cs="Times New Roman"/>
                <w:highlight w:val="yellow"/>
                <w:lang w:val="en-US" w:eastAsia="zh-CN"/>
              </w:rPr>
            </w:pPr>
            <w:r>
              <w:rPr>
                <w:rFonts w:hint="eastAsia" w:ascii="宋体" w:hAnsi="宋体" w:cs="宋体"/>
                <w:sz w:val="24"/>
                <w:szCs w:val="24"/>
                <w:highlight w:val="none"/>
                <w:lang w:eastAsia="zh-CN"/>
              </w:rPr>
              <w:t>JCZFCG(JC)2023-007号</w:t>
            </w:r>
          </w:p>
        </w:tc>
      </w:tr>
      <w:tr>
        <w:tblPrEx>
          <w:tblCellMar>
            <w:top w:w="0" w:type="dxa"/>
            <w:left w:w="108" w:type="dxa"/>
            <w:bottom w:w="0" w:type="dxa"/>
            <w:right w:w="108" w:type="dxa"/>
          </w:tblCellMar>
        </w:tblPrEx>
        <w:trPr>
          <w:trHeight w:val="4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吾塔木乡尤勒滚艾日克村人居环境综合整治项目</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62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eastAsia="zh-CN"/>
              </w:rPr>
            </w:pPr>
            <w:r>
              <w:rPr>
                <w:rFonts w:hint="eastAsia"/>
                <w:highlight w:val="none"/>
                <w:lang w:eastAsia="zh-CN"/>
              </w:rPr>
              <w:t>新疆军诚工程项目管理服务有限公司</w:t>
            </w:r>
          </w:p>
          <w:p>
            <w:pPr>
              <w:pStyle w:val="27"/>
              <w:rPr>
                <w:rFonts w:hint="default"/>
                <w:highlight w:val="yellow"/>
                <w:lang w:val="en-US"/>
              </w:rPr>
            </w:pPr>
            <w:r>
              <w:rPr>
                <w:rFonts w:hint="eastAsia" w:ascii="宋体" w:hAnsi="宋体" w:cs="Times New Roman"/>
                <w:szCs w:val="22"/>
                <w:highlight w:val="none"/>
                <w:lang w:eastAsia="zh-CN"/>
              </w:rPr>
              <w:t>联系电话：</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w:t>
            </w:r>
            <w:r>
              <w:rPr>
                <w:rFonts w:hint="eastAsia" w:ascii="宋体" w:hAnsi="宋体" w:cs="Times New Roman"/>
                <w:szCs w:val="22"/>
                <w:highlight w:val="none"/>
                <w:lang w:eastAsia="zh-CN"/>
              </w:rPr>
              <w:t>0996-2165277</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val="en-US" w:eastAsia="zh-CN"/>
              </w:rPr>
            </w:pPr>
            <w:r>
              <w:rPr>
                <w:rFonts w:hint="eastAsia"/>
                <w:highlight w:val="none"/>
                <w:lang w:val="en-US" w:eastAsia="zh-CN"/>
              </w:rPr>
              <w:t xml:space="preserve">联系人： 吕永军 </w:t>
            </w:r>
          </w:p>
          <w:p>
            <w:pPr>
              <w:spacing w:line="276" w:lineRule="auto"/>
              <w:rPr>
                <w:rFonts w:hint="eastAsia" w:ascii="宋体" w:hAnsi="宋体" w:cs="Times New Roman"/>
                <w:szCs w:val="22"/>
                <w:highlight w:val="none"/>
              </w:rPr>
            </w:pPr>
            <w:r>
              <w:rPr>
                <w:rFonts w:hint="eastAsia"/>
                <w:highlight w:val="none"/>
                <w:lang w:val="en-US" w:eastAsia="zh-CN"/>
              </w:rPr>
              <w:t>联系电话：18299779914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1.枣乡路（315进口处）右侧修建围挡设施85米；</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2.枣乡路（315进口处）左侧制作宣传栏620㎡、下沿地面铺设彩砖路465㎡；</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3.在吐孜勒克喀什西路修围挡260米；</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4.对乐园路（520米）安装单项太阳能路灯17盏，万亩红枣基地观景台照明设施；</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5.对巴格艾日克路以北历年来形成非正规垃圾堆放点进行整治清理，并对银环北路历年形成的20亩高土防风林进行平整和修正，解决无法浇水问题。</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6.对枣乡路（学校至农科站路段）870米绿化带单边安装水泥路沿石870米，对进地路口搭建渠道桥12座，进行硬化240平米；</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7.对枣乡路公交车站突出红枣文化进行提升改造，新制作12处宣传栏；</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8.对枣乡路商铺统一规划制作牌匾12个；</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9.在巴格艾日克村的污水处理站新建1座化粪池50m3；对30处全村破损的路面、21个老旧垃圾房、维修500米破损人行道、50个损坏污水检查井、150盏损坏路灯进行维修；采购吸污车1辆。</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预算金额：160万元</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cs="Times New Roman"/>
                <w:kern w:val="2"/>
                <w:sz w:val="21"/>
                <w:szCs w:val="20"/>
                <w:highlight w:val="none"/>
                <w:lang w:val="en-US" w:eastAsia="zh-CN" w:bidi="ar-SA"/>
              </w:rPr>
              <w:t>最高限价</w:t>
            </w:r>
            <w:r>
              <w:rPr>
                <w:rFonts w:hint="eastAsia" w:ascii="Calibri" w:hAnsi="Calibri" w:cs="Times New Roman"/>
                <w:kern w:val="2"/>
                <w:sz w:val="21"/>
                <w:szCs w:val="20"/>
                <w:highlight w:val="none"/>
                <w:lang w:val="en-US" w:eastAsia="zh-CN" w:bidi="ar-SA"/>
              </w:rPr>
              <w:t>：</w:t>
            </w:r>
            <w:r>
              <w:rPr>
                <w:rFonts w:hint="eastAsia" w:cs="Times New Roman"/>
                <w:kern w:val="2"/>
                <w:sz w:val="21"/>
                <w:szCs w:val="20"/>
                <w:highlight w:val="none"/>
                <w:lang w:val="en-US" w:eastAsia="zh-CN" w:bidi="ar-SA"/>
              </w:rPr>
              <w:t>1599775.19元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55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w:t>
            </w:r>
            <w:r>
              <w:rPr>
                <w:rFonts w:hint="eastAsia" w:ascii="宋体" w:hAnsi="宋体" w:cs="Times New Roman"/>
                <w:lang w:eastAsia="zh-CN"/>
              </w:rPr>
              <w:t>响应</w:t>
            </w:r>
            <w:r>
              <w:rPr>
                <w:rFonts w:hint="eastAsia" w:ascii="宋体" w:hAnsi="宋体" w:cs="Times New Roman"/>
              </w:rPr>
              <w:t>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7"/>
              <w:numPr>
                <w:ilvl w:val="0"/>
                <w:numId w:val="7"/>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7"/>
              <w:numPr>
                <w:ilvl w:val="0"/>
                <w:numId w:val="7"/>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7"/>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缴纳投标保证金：30000元（大写：叁万元整）或电子保函</w:t>
            </w:r>
          </w:p>
          <w:p>
            <w:pPr>
              <w:pStyle w:val="27"/>
              <w:numPr>
                <w:ilvl w:val="0"/>
                <w:numId w:val="7"/>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7"/>
              <w:numPr>
                <w:ilvl w:val="0"/>
                <w:numId w:val="7"/>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ascii="宋体" w:cs="Times New Roman"/>
              </w:rPr>
            </w:pPr>
            <w:r>
              <w:rPr>
                <w:rFonts w:hint="eastAsia"/>
                <w:highlight w:val="none"/>
                <w:lang w:val="en-US" w:eastAsia="zh-CN"/>
              </w:rPr>
              <w:t>8. 采购政策：供应商为中小企业/小微企业，请根据要求单独上传《中小企业声明函》，格式以采购文件要求为准。</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rPr>
            </w:pPr>
            <w:r>
              <w:rPr>
                <w:rFonts w:hint="eastAsia" w:ascii="宋体" w:hAnsi="宋体" w:cs="Times New Roman"/>
                <w:highlight w:val="none"/>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3</w:t>
            </w:r>
            <w:r>
              <w:rPr>
                <w:rFonts w:hint="eastAsia"/>
                <w:highlight w:val="none"/>
                <w:lang w:eastAsia="zh-CN"/>
              </w:rPr>
              <w:t>年</w:t>
            </w:r>
            <w:r>
              <w:rPr>
                <w:rFonts w:hint="eastAsia"/>
                <w:highlight w:val="none"/>
                <w:lang w:val="en-US" w:eastAsia="zh-CN"/>
              </w:rPr>
              <w:t>3</w:t>
            </w:r>
            <w:r>
              <w:rPr>
                <w:rFonts w:hint="eastAsia"/>
                <w:highlight w:val="none"/>
                <w:lang w:eastAsia="zh-CN"/>
              </w:rPr>
              <w:t>月</w:t>
            </w:r>
            <w:r>
              <w:rPr>
                <w:rFonts w:hint="eastAsia"/>
                <w:highlight w:val="none"/>
                <w:lang w:val="en-US" w:eastAsia="zh-CN"/>
              </w:rPr>
              <w:t>27</w:t>
            </w:r>
            <w:r>
              <w:rPr>
                <w:rFonts w:hint="eastAsia"/>
                <w:highlight w:val="none"/>
                <w:lang w:eastAsia="zh-CN"/>
              </w:rPr>
              <w:t>日至202</w:t>
            </w:r>
            <w:r>
              <w:rPr>
                <w:rFonts w:hint="eastAsia"/>
                <w:highlight w:val="none"/>
                <w:lang w:val="en-US" w:eastAsia="zh-CN"/>
              </w:rPr>
              <w:t>3</w:t>
            </w:r>
            <w:r>
              <w:rPr>
                <w:rFonts w:hint="eastAsia"/>
                <w:highlight w:val="none"/>
                <w:lang w:eastAsia="zh-CN"/>
              </w:rPr>
              <w:t>年</w:t>
            </w:r>
            <w:r>
              <w:rPr>
                <w:rFonts w:hint="eastAsia"/>
                <w:highlight w:val="none"/>
                <w:lang w:val="en-US" w:eastAsia="zh-CN"/>
              </w:rPr>
              <w:t>4</w:t>
            </w:r>
            <w:r>
              <w:rPr>
                <w:rFonts w:hint="eastAsia"/>
                <w:highlight w:val="none"/>
                <w:lang w:eastAsia="zh-CN"/>
              </w:rPr>
              <w:t>月</w:t>
            </w:r>
            <w:r>
              <w:rPr>
                <w:rFonts w:hint="eastAsia"/>
                <w:highlight w:val="none"/>
                <w:lang w:val="en-US" w:eastAsia="zh-CN"/>
              </w:rPr>
              <w:t>3</w:t>
            </w:r>
            <w:r>
              <w:rPr>
                <w:rFonts w:hint="eastAsia"/>
                <w:highlight w:val="none"/>
                <w:lang w:eastAsia="zh-CN"/>
              </w:rPr>
              <w:t>日（法定节假日除外）</w:t>
            </w:r>
          </w:p>
          <w:p>
            <w:pPr>
              <w:pStyle w:val="27"/>
              <w:rPr>
                <w:rFonts w:hint="eastAsia" w:ascii="宋体" w:hAnsi="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lang w:val="en-US" w:eastAsia="zh-CN"/>
              </w:rPr>
            </w:pPr>
            <w:r>
              <w:rPr>
                <w:rFonts w:hint="default"/>
                <w:lang w:val="en-US" w:eastAsia="zh-CN"/>
              </w:rPr>
              <w:t>提供纸质版标书：3份；正本一份，副本二份，电子版一份 (开标结束后所有投标单位须递交纸质版标书）</w:t>
            </w:r>
          </w:p>
          <w:p>
            <w:pPr>
              <w:pStyle w:val="2"/>
              <w:ind w:left="0" w:leftChars="0" w:firstLine="420" w:firstLineChars="200"/>
              <w:rPr>
                <w:rFonts w:hint="default"/>
                <w:lang w:val="en-US" w:eastAsia="zh-CN"/>
              </w:rPr>
            </w:pPr>
            <w:r>
              <w:rPr>
                <w:rFonts w:hint="default"/>
                <w:lang w:val="en-US" w:eastAsia="zh-CN"/>
              </w:rPr>
              <w:t>为了落实政府采购档案管理规定，凡参与本项目的响应投标人需提供纸质版响应文件，正本一份(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2023年4月7日16:00 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highlight w:val="none"/>
                <w:lang w:val="en-US" w:eastAsia="zh-CN"/>
              </w:rPr>
            </w:pPr>
            <w:r>
              <w:rPr>
                <w:rFonts w:hint="eastAsia"/>
                <w:highlight w:val="none"/>
                <w:lang w:val="en-US" w:eastAsia="zh-CN"/>
              </w:rPr>
              <w:t>付款币种：本次招标所述的项目资金均 以人民币支付；</w:t>
            </w:r>
          </w:p>
          <w:p>
            <w:pPr>
              <w:pStyle w:val="27"/>
              <w:numPr>
                <w:ilvl w:val="0"/>
                <w:numId w:val="8"/>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3241" w:hRule="atLeast"/>
          <w:jc w:val="center"/>
        </w:trPr>
        <w:tc>
          <w:tcPr>
            <w:tcW w:w="1010"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磋商保证金</w:t>
            </w:r>
          </w:p>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或电子保函</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（标准格式：焉耆葡萄基地</w:t>
            </w:r>
            <w:r>
              <w:rPr>
                <w:rFonts w:hint="eastAsia" w:ascii="宋体" w:hAnsi="宋体" w:cs="宋体"/>
                <w:sz w:val="24"/>
                <w:szCs w:val="24"/>
                <w:highlight w:val="none"/>
                <w:lang w:eastAsia="zh-CN"/>
              </w:rPr>
              <w:t>JCZFCG(JC)2023-007号</w:t>
            </w:r>
            <w:r>
              <w:rPr>
                <w:rFonts w:hint="eastAsia"/>
                <w:highlight w:val="none"/>
                <w:lang w:val="en-US" w:eastAsia="zh-CN"/>
              </w:rPr>
              <w:t>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autoSpaceDE w:val="0"/>
              <w:autoSpaceDN w:val="0"/>
              <w:adjustRightInd w:val="0"/>
              <w:jc w:val="left"/>
              <w:rPr>
                <w:rFonts w:hint="eastAsia"/>
                <w:highlight w:val="none"/>
                <w:lang w:eastAsia="zh-CN"/>
              </w:rPr>
            </w:pPr>
            <w:r>
              <w:rPr>
                <w:rFonts w:hint="eastAsia"/>
                <w:highlight w:val="none"/>
                <w:lang w:eastAsia="zh-CN"/>
              </w:rPr>
              <w:t>投标保证金额为：</w:t>
            </w:r>
            <w:r>
              <w:rPr>
                <w:rFonts w:hint="eastAsia"/>
                <w:highlight w:val="none"/>
                <w:lang w:val="en-US" w:eastAsia="zh-CN"/>
              </w:rPr>
              <w:t>30000元（大写：叁万元整）</w:t>
            </w:r>
          </w:p>
          <w:p>
            <w:pPr>
              <w:spacing w:line="340" w:lineRule="exact"/>
              <w:rPr>
                <w:rFonts w:hint="eastAsia"/>
                <w:highlight w:val="none"/>
                <w:lang w:eastAsia="zh-CN"/>
              </w:rPr>
            </w:pPr>
            <w:r>
              <w:rPr>
                <w:rFonts w:hint="eastAsia"/>
                <w:highlight w:val="none"/>
                <w:lang w:eastAsia="zh-CN"/>
              </w:rPr>
              <w:t>名称</w:t>
            </w:r>
            <w:r>
              <w:rPr>
                <w:rFonts w:hint="eastAsia"/>
                <w:highlight w:val="none"/>
                <w:lang w:eastAsia="zh-CN"/>
              </w:rPr>
              <w:t>：新疆军诚工程项目管理服务有限公司</w:t>
            </w:r>
          </w:p>
          <w:p>
            <w:pPr>
              <w:spacing w:line="340" w:lineRule="exact"/>
              <w:rPr>
                <w:rFonts w:hint="eastAsia"/>
                <w:highlight w:val="none"/>
                <w:lang w:val="en-US" w:eastAsia="zh-CN"/>
              </w:rPr>
            </w:pPr>
            <w:r>
              <w:rPr>
                <w:rFonts w:hint="eastAsia"/>
                <w:highlight w:val="none"/>
                <w:lang w:eastAsia="zh-CN"/>
              </w:rPr>
              <w:t>开户行：</w:t>
            </w:r>
            <w:r>
              <w:rPr>
                <w:rFonts w:hint="eastAsia"/>
                <w:highlight w:val="none"/>
                <w:lang w:val="en-US" w:eastAsia="zh-CN"/>
              </w:rPr>
              <w:t>中国建设银行股份有限公司库尔勒香梨大道支行</w:t>
            </w:r>
          </w:p>
          <w:p>
            <w:pPr>
              <w:spacing w:line="340" w:lineRule="exact"/>
              <w:rPr>
                <w:rFonts w:hint="eastAsia"/>
                <w:highlight w:val="none"/>
                <w:lang w:val="en-US" w:eastAsia="zh-CN"/>
              </w:rPr>
            </w:pPr>
            <w:r>
              <w:rPr>
                <w:rFonts w:hint="eastAsia"/>
                <w:highlight w:val="none"/>
                <w:lang w:eastAsia="zh-CN"/>
              </w:rPr>
              <w:t>账号：</w:t>
            </w:r>
            <w:r>
              <w:rPr>
                <w:rFonts w:hint="eastAsia"/>
                <w:highlight w:val="none"/>
                <w:lang w:val="en-US" w:eastAsia="zh-CN"/>
              </w:rPr>
              <w:t>6505 0170 6046 0000 0967</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none"/>
                <w:lang w:val="en-US" w:eastAsia="zh-CN"/>
              </w:rPr>
              <w:t>2023年4月7日16:00</w:t>
            </w:r>
            <w:r>
              <w:rPr>
                <w:rFonts w:hint="eastAsia" w:ascii="宋体" w:hAnsi="宋体"/>
                <w:bCs/>
                <w:color w:val="000000" w:themeColor="text1"/>
                <w:highlight w:val="none"/>
                <w:lang w:val="en-US" w:eastAsia="zh-CN"/>
              </w:rPr>
              <w:t>前将投标保证金汇入指定账户</w:t>
            </w:r>
          </w:p>
        </w:tc>
      </w:tr>
      <w:tr>
        <w:tblPrEx>
          <w:tblCellMar>
            <w:top w:w="0" w:type="dxa"/>
            <w:left w:w="108" w:type="dxa"/>
            <w:bottom w:w="0" w:type="dxa"/>
            <w:right w:w="108" w:type="dxa"/>
          </w:tblCellMar>
        </w:tblPrEx>
        <w:trPr>
          <w:trHeight w:val="1050" w:hRule="atLeast"/>
          <w:jc w:val="center"/>
        </w:trPr>
        <w:tc>
          <w:tcPr>
            <w:tcW w:w="101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p>
        </w:tc>
        <w:tc>
          <w:tcPr>
            <w:tcW w:w="7151"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电子保函：在线递交电子保函</w:t>
            </w:r>
          </w:p>
          <w:p>
            <w:pPr>
              <w:pStyle w:val="3"/>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保函投保金额:</w:t>
            </w:r>
            <w:r>
              <w:rPr>
                <w:rFonts w:hint="eastAsia" w:ascii="Calibri" w:hAnsi="Calibri" w:cs="Times New Roman"/>
                <w:kern w:val="2"/>
                <w:sz w:val="21"/>
                <w:highlight w:val="none"/>
                <w:lang w:val="en-US" w:eastAsia="zh-CN" w:bidi="ar-SA"/>
              </w:rPr>
              <w:t>30000</w:t>
            </w:r>
            <w:r>
              <w:rPr>
                <w:rFonts w:hint="eastAsia" w:ascii="Calibri" w:hAnsi="Calibri" w:eastAsia="宋体" w:cs="Times New Roman"/>
                <w:kern w:val="2"/>
                <w:sz w:val="21"/>
                <w:highlight w:val="none"/>
                <w:lang w:val="en-US" w:eastAsia="zh-CN" w:bidi="ar-SA"/>
              </w:rPr>
              <w:t>(元)</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highlight w:val="none"/>
                <w:lang w:eastAsia="zh-CN"/>
              </w:rPr>
            </w:pPr>
            <w:r>
              <w:rPr>
                <w:rFonts w:hint="eastAsia" w:ascii="Calibri" w:hAnsi="Calibri" w:eastAsia="宋体" w:cs="Times New Roman"/>
                <w:kern w:val="2"/>
                <w:sz w:val="21"/>
                <w:highlight w:val="none"/>
                <w:lang w:val="en-US" w:eastAsia="zh-CN" w:bidi="ar-SA"/>
              </w:rPr>
              <w:t>保函承保期限:2023年</w:t>
            </w:r>
            <w:r>
              <w:rPr>
                <w:rFonts w:hint="eastAsia" w:cs="Times New Roman"/>
                <w:kern w:val="2"/>
                <w:sz w:val="21"/>
                <w:highlight w:val="none"/>
                <w:lang w:val="en-US" w:eastAsia="zh-CN" w:bidi="ar-SA"/>
              </w:rPr>
              <w:t>4月6日</w:t>
            </w:r>
            <w:r>
              <w:rPr>
                <w:rFonts w:hint="eastAsia" w:ascii="Calibri" w:hAnsi="Calibri" w:eastAsia="宋体" w:cs="Times New Roman"/>
                <w:kern w:val="2"/>
                <w:sz w:val="21"/>
                <w:highlight w:val="none"/>
                <w:lang w:val="en-US" w:eastAsia="zh-CN" w:bidi="ar-SA"/>
              </w:rPr>
              <w:t>-2023年</w:t>
            </w:r>
            <w:r>
              <w:rPr>
                <w:rFonts w:hint="eastAsia" w:cs="Times New Roman"/>
                <w:kern w:val="2"/>
                <w:sz w:val="21"/>
                <w:highlight w:val="none"/>
                <w:lang w:val="en-US" w:eastAsia="zh-CN" w:bidi="ar-SA"/>
              </w:rPr>
              <w:t>8</w:t>
            </w:r>
            <w:r>
              <w:rPr>
                <w:rFonts w:hint="eastAsia" w:ascii="Calibri" w:hAnsi="Calibri" w:eastAsia="宋体" w:cs="Times New Roman"/>
                <w:kern w:val="2"/>
                <w:sz w:val="21"/>
                <w:highlight w:val="none"/>
                <w:lang w:val="en-US" w:eastAsia="zh-CN" w:bidi="ar-SA"/>
              </w:rPr>
              <w:t>月</w:t>
            </w:r>
            <w:r>
              <w:rPr>
                <w:rFonts w:hint="eastAsia" w:cs="Times New Roman"/>
                <w:kern w:val="2"/>
                <w:sz w:val="21"/>
                <w:highlight w:val="none"/>
                <w:lang w:val="en-US" w:eastAsia="zh-CN" w:bidi="ar-SA"/>
              </w:rPr>
              <w:t>6</w:t>
            </w:r>
            <w:r>
              <w:rPr>
                <w:rFonts w:hint="eastAsia" w:ascii="Calibri" w:hAnsi="Calibri" w:eastAsia="宋体" w:cs="Times New Roman"/>
                <w:kern w:val="2"/>
                <w:sz w:val="21"/>
                <w:highlight w:val="none"/>
                <w:lang w:val="en-US" w:eastAsia="zh-CN" w:bidi="ar-SA"/>
              </w:rPr>
              <w:t>日</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highlight w:val="yellow"/>
                <w:lang w:val="en-US" w:eastAsia="zh-CN"/>
              </w:rPr>
            </w:pPr>
            <w:r>
              <w:rPr>
                <w:rFonts w:hint="eastAsia" w:ascii="宋体" w:hAnsi="宋体" w:cs="Times New Roman"/>
                <w:szCs w:val="22"/>
                <w:highlight w:val="none"/>
                <w:lang w:val="en-US" w:eastAsia="zh-CN"/>
              </w:rPr>
              <w:t>合同签订后60天内完工。</w:t>
            </w:r>
          </w:p>
        </w:tc>
      </w:tr>
      <w:tr>
        <w:tblPrEx>
          <w:tblCellMar>
            <w:top w:w="0" w:type="dxa"/>
            <w:left w:w="108" w:type="dxa"/>
            <w:bottom w:w="0" w:type="dxa"/>
            <w:right w:w="108" w:type="dxa"/>
          </w:tblCellMar>
        </w:tblPrEx>
        <w:trPr>
          <w:trHeight w:val="4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highlight w:val="yellow"/>
                <w:lang w:val="en-US" w:eastAsia="zh-CN" w:bidi="ar-SA"/>
              </w:rPr>
            </w:pPr>
            <w:r>
              <w:rPr>
                <w:rFonts w:hint="eastAsia" w:ascii="宋体" w:hAnsi="宋体" w:cs="宋体"/>
                <w:sz w:val="24"/>
                <w:szCs w:val="24"/>
                <w:highlight w:val="none"/>
                <w:lang w:eastAsia="zh-CN"/>
              </w:rPr>
              <w:t>若羌县吾塔木乡</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eastAsia="宋体" w:cs="Times New Roman"/>
                <w:kern w:val="2"/>
                <w:sz w:val="21"/>
                <w:highlight w:val="none"/>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①对小型和微型企业产品的价格给予3%～5%的扣除，用扣除后的价格参与评审。</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cs="Times New Roman"/>
                <w:kern w:val="2"/>
                <w:sz w:val="21"/>
                <w:szCs w:val="22"/>
                <w:highlight w:val="none"/>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7个工作日内，以书面形式向招标方、采购代理机构提出质疑。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如发现投标人的响应文件有弄虑作假内容，</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可拒绝与其签订合同，并将其列入政府采购黑名单库。</w:t>
            </w:r>
          </w:p>
        </w:tc>
      </w:tr>
      <w:tr>
        <w:tblPrEx>
          <w:tblCellMar>
            <w:top w:w="0" w:type="dxa"/>
            <w:left w:w="108" w:type="dxa"/>
            <w:bottom w:w="0" w:type="dxa"/>
            <w:right w:w="108" w:type="dxa"/>
          </w:tblCellMar>
        </w:tblPrEx>
        <w:trPr>
          <w:trHeight w:val="131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磋商代理服务费</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highlight w:val="none"/>
                <w:lang w:val="en-US" w:eastAsia="zh-CN"/>
              </w:rPr>
            </w:pPr>
            <w:r>
              <w:rPr>
                <w:rFonts w:hint="default"/>
                <w:highlight w:val="none"/>
                <w:lang w:val="en-US" w:eastAsia="zh-CN"/>
              </w:rPr>
              <w:t>招标代理服务费：招标代理服务费由中标单位支付，收费标准中标金额的1%。</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highlight w:val="none"/>
                <w:lang w:val="en-US" w:eastAsia="zh-CN" w:bidi="ar-SA"/>
              </w:rPr>
            </w:pPr>
            <w:r>
              <w:rPr>
                <w:rFonts w:hint="default"/>
                <w:highlight w:val="none"/>
                <w:lang w:val="en-US" w:eastAsia="zh-CN"/>
              </w:rPr>
              <w:t>代理服务费支付时间：由中标人领取中标通知书前支付。</w:t>
            </w:r>
          </w:p>
        </w:tc>
      </w:tr>
    </w:tbl>
    <w:p/>
    <w:p>
      <w:pPr>
        <w:pStyle w:val="9"/>
      </w:pPr>
    </w:p>
    <w:p>
      <w:pPr>
        <w:spacing w:line="360" w:lineRule="auto"/>
        <w:jc w:val="center"/>
        <w:rPr>
          <w:rStyle w:val="107"/>
          <w:sz w:val="44"/>
          <w:szCs w:val="44"/>
        </w:rPr>
      </w:pPr>
      <w:r>
        <w:rPr>
          <w:rFonts w:hint="eastAsia" w:ascii="宋体" w:hAnsi="宋体" w:cs="宋体"/>
          <w:b/>
          <w:sz w:val="36"/>
        </w:rPr>
        <w:t xml:space="preserve"> </w:t>
      </w:r>
      <w:r>
        <w:rPr>
          <w:rStyle w:val="107"/>
          <w:rFonts w:hint="eastAsia"/>
          <w:sz w:val="44"/>
          <w:szCs w:val="44"/>
        </w:rPr>
        <w:t xml:space="preserve">第三部分 </w:t>
      </w:r>
      <w:r>
        <w:rPr>
          <w:rStyle w:val="107"/>
          <w:rFonts w:hint="eastAsia"/>
          <w:sz w:val="44"/>
          <w:szCs w:val="44"/>
          <w:lang w:eastAsia="zh-CN"/>
        </w:rPr>
        <w:t>磋商</w:t>
      </w:r>
      <w:r>
        <w:rPr>
          <w:rStyle w:val="107"/>
          <w:rFonts w:hint="eastAsia"/>
          <w:sz w:val="44"/>
          <w:szCs w:val="44"/>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w:t>
      </w:r>
      <w:r>
        <w:rPr>
          <w:rFonts w:hint="eastAsia" w:ascii="宋体" w:hAnsi="宋体" w:cs="宋体"/>
          <w:bCs/>
          <w:sz w:val="24"/>
          <w:lang w:eastAsia="zh-CN"/>
        </w:rPr>
        <w:t>次磋商</w:t>
      </w:r>
      <w:r>
        <w:rPr>
          <w:rFonts w:hint="eastAsia" w:ascii="宋体" w:hAnsi="宋体" w:cs="宋体"/>
          <w:bCs/>
          <w:sz w:val="24"/>
        </w:rPr>
        <w:t>采购项目。</w:t>
      </w:r>
    </w:p>
    <w:p>
      <w:pPr>
        <w:spacing w:line="360" w:lineRule="auto"/>
        <w:ind w:left="0" w:leftChars="0" w:firstLine="0" w:firstLineChars="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 xml:space="preserve">2.3  </w:t>
      </w:r>
      <w:r>
        <w:rPr>
          <w:rFonts w:hint="eastAsia" w:ascii="宋体" w:hAnsi="宋体" w:cs="宋体"/>
          <w:bCs/>
          <w:sz w:val="24"/>
          <w:highlight w:val="none"/>
        </w:rPr>
        <w:t>本项目不接受联合体投标</w:t>
      </w:r>
      <w:r>
        <w:rPr>
          <w:rFonts w:hint="eastAsia" w:ascii="宋体" w:hAnsi="宋体" w:cs="宋体"/>
          <w:bCs/>
          <w:sz w:val="24"/>
        </w:rPr>
        <w:t>。</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“货物”系指</w:t>
      </w:r>
      <w:r>
        <w:rPr>
          <w:rFonts w:hint="eastAsia" w:ascii="宋体" w:hAnsi="宋体" w:cs="宋体"/>
          <w:bCs/>
          <w:sz w:val="24"/>
          <w:highlight w:val="none"/>
          <w:lang w:eastAsia="zh-CN"/>
        </w:rPr>
        <w:t>磋商文件</w:t>
      </w:r>
      <w:r>
        <w:rPr>
          <w:rFonts w:hint="eastAsia" w:ascii="宋体" w:hAnsi="宋体" w:cs="宋体"/>
          <w:bCs/>
          <w:sz w:val="24"/>
          <w:highlight w:val="none"/>
        </w:rPr>
        <w:t>规定的，投标方须向招标方提供的一切设备、附件、备品备件、工具、手册及其它有关资料和材料。</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“服务”系指</w:t>
      </w:r>
      <w:r>
        <w:rPr>
          <w:rFonts w:hint="eastAsia" w:ascii="宋体" w:hAnsi="宋体" w:cs="宋体"/>
          <w:bCs/>
          <w:sz w:val="24"/>
          <w:highlight w:val="none"/>
          <w:lang w:eastAsia="zh-CN"/>
        </w:rPr>
        <w:t>磋商文件</w:t>
      </w:r>
      <w:r>
        <w:rPr>
          <w:rFonts w:hint="eastAsia" w:ascii="宋体" w:hAnsi="宋体" w:cs="宋体"/>
          <w:bCs/>
          <w:sz w:val="24"/>
          <w:highlight w:val="none"/>
        </w:rPr>
        <w:t>规定投标方须承担的保修、技术协助、培训及其他类似的责任。</w:t>
      </w:r>
    </w:p>
    <w:p>
      <w:pPr>
        <w:spacing w:line="360" w:lineRule="auto"/>
        <w:ind w:left="0" w:leftChars="0" w:firstLine="0" w:firstLineChars="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left="0" w:leftChars="0" w:firstLine="0" w:firstLineChars="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9" w:leftChars="46" w:hanging="82" w:hangingChars="34"/>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left="0" w:leftChars="0" w:firstLine="0" w:firstLineChars="0"/>
        <w:jc w:val="left"/>
        <w:rPr>
          <w:rFonts w:ascii="宋体" w:hAnsi="宋体" w:cs="宋体"/>
          <w:b/>
          <w:sz w:val="24"/>
          <w:highlight w:val="none"/>
        </w:rPr>
      </w:pPr>
      <w:r>
        <w:rPr>
          <w:rFonts w:hint="eastAsia" w:ascii="宋体" w:hAnsi="宋体" w:cs="宋体"/>
          <w:b/>
          <w:sz w:val="24"/>
          <w:highlight w:val="none"/>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highlight w:val="none"/>
          <w:lang w:val="en-US" w:eastAsia="zh-CN"/>
        </w:rPr>
        <w:t>新疆军诚工程项目管理服务有限公司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w:t>
      </w:r>
      <w:r>
        <w:rPr>
          <w:rFonts w:hint="eastAsia" w:ascii="宋体" w:hAnsi="宋体" w:cs="宋体"/>
          <w:sz w:val="24"/>
        </w:rPr>
        <w:t>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0" w:leftChars="0" w:firstLine="0" w:firstLineChars="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left="0" w:leftChars="0" w:firstLine="0" w:firstLineChars="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0" w:firstLineChars="196"/>
        <w:rPr>
          <w:rFonts w:ascii="宋体" w:hAnsi="宋体" w:cs="宋体"/>
          <w:sz w:val="24"/>
          <w:szCs w:val="24"/>
          <w:u w:val="single"/>
        </w:rPr>
      </w:pPr>
      <w:r>
        <w:rPr>
          <w:rFonts w:hint="eastAsia" w:ascii="宋体" w:hAnsi="宋体" w:cs="宋体"/>
          <w:b w:val="0"/>
          <w:bCs/>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left="0" w:leftChars="0" w:firstLine="72" w:firstLineChars="30"/>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w:t>
      </w:r>
      <w:r>
        <w:rPr>
          <w:rFonts w:hint="eastAsia" w:ascii="宋体" w:hAnsi="宋体" w:cs="宋体"/>
          <w:bCs/>
          <w:sz w:val="24"/>
          <w:szCs w:val="24"/>
          <w:lang w:eastAsia="zh-CN"/>
        </w:rPr>
        <w:t>招标方</w:t>
      </w:r>
      <w:r>
        <w:rPr>
          <w:rFonts w:hint="eastAsia" w:ascii="宋体" w:hAnsi="宋体" w:cs="宋体"/>
          <w:bCs/>
          <w:sz w:val="24"/>
          <w:szCs w:val="24"/>
        </w:rPr>
        <w:t>代表、投标人、工作人员等与会人员如有违纪、违规行为，监标人有权予以纠正或制止。</w:t>
      </w:r>
    </w:p>
    <w:p>
      <w:pPr>
        <w:spacing w:line="360" w:lineRule="auto"/>
        <w:ind w:firstLine="480" w:firstLineChars="200"/>
        <w:rPr>
          <w:rFonts w:hint="eastAsia" w:ascii="宋体" w:hAnsi="宋体" w:cs="宋体"/>
          <w:b/>
          <w:sz w:val="36"/>
          <w:szCs w:val="36"/>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rPr>
          <w:rFonts w:hint="eastAsia"/>
          <w:sz w:val="44"/>
          <w:szCs w:val="44"/>
        </w:rPr>
      </w:pPr>
      <w:r>
        <w:rPr>
          <w:rFonts w:hint="eastAsia"/>
          <w:sz w:val="44"/>
          <w:szCs w:val="44"/>
        </w:rPr>
        <w:br w:type="page"/>
      </w:r>
    </w:p>
    <w:p>
      <w:pPr>
        <w:pStyle w:val="4"/>
        <w:bidi w:val="0"/>
        <w:jc w:val="center"/>
        <w:rPr>
          <w:sz w:val="44"/>
          <w:szCs w:val="44"/>
        </w:rPr>
      </w:pPr>
      <w:r>
        <w:rPr>
          <w:rFonts w:hint="eastAsia"/>
          <w:sz w:val="44"/>
          <w:szCs w:val="44"/>
        </w:rPr>
        <w:t>第四部分 投标说明</w:t>
      </w:r>
    </w:p>
    <w:p>
      <w:pPr>
        <w:pStyle w:val="5"/>
        <w:bidi w:val="0"/>
        <w:jc w:val="center"/>
      </w:pPr>
      <w:r>
        <w:rPr>
          <w:rFonts w:hint="eastAsia"/>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color w:val="auto"/>
          <w:sz w:val="24"/>
          <w:highlight w:val="cyan"/>
          <w:lang w:val="en-US" w:eastAsia="zh-CN"/>
        </w:rPr>
      </w:pPr>
      <w:r>
        <w:rPr>
          <w:rFonts w:hint="eastAsia" w:ascii="宋体" w:hAnsi="宋体" w:cs="宋体"/>
          <w:bCs/>
          <w:color w:val="auto"/>
          <w:sz w:val="24"/>
          <w:highlight w:val="none"/>
          <w:lang w:val="en-US" w:eastAsia="zh-CN"/>
        </w:rPr>
        <w:t>4.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保证金</w:t>
      </w:r>
      <w:r>
        <w:rPr>
          <w:rFonts w:hint="eastAsia" w:ascii="宋体" w:hAnsi="宋体" w:cs="宋体"/>
          <w:bCs/>
          <w:sz w:val="24"/>
          <w:highlight w:val="none"/>
          <w:lang w:eastAsia="zh-CN"/>
        </w:rPr>
        <w:t>缴纳方式</w:t>
      </w:r>
      <w:r>
        <w:rPr>
          <w:rFonts w:hint="eastAsia" w:ascii="宋体" w:hAnsi="宋体" w:cs="宋体"/>
          <w:bCs/>
          <w:sz w:val="24"/>
          <w:highlight w:val="none"/>
        </w:rPr>
        <w:t>：</w:t>
      </w:r>
      <w:r>
        <w:rPr>
          <w:rFonts w:hint="eastAsia" w:ascii="宋体" w:hAnsi="宋体" w:cs="宋体"/>
          <w:bCs/>
          <w:sz w:val="24"/>
          <w:highlight w:val="none"/>
          <w:lang w:val="en-US" w:eastAsia="zh-CN"/>
        </w:rPr>
        <w:t>30000元（大写：叁万元整）</w:t>
      </w:r>
      <w:r>
        <w:rPr>
          <w:rFonts w:hint="eastAsia" w:ascii="宋体" w:hAnsi="宋体" w:cs="宋体"/>
          <w:bCs/>
          <w:sz w:val="24"/>
          <w:highlight w:val="none"/>
        </w:rPr>
        <w:t>，提供缴纳投标保证金回执单</w:t>
      </w:r>
      <w:r>
        <w:rPr>
          <w:rFonts w:hint="eastAsia" w:ascii="宋体" w:hAnsi="宋体" w:cs="宋体"/>
          <w:bCs/>
          <w:sz w:val="24"/>
          <w:highlight w:val="none"/>
          <w:lang w:eastAsia="zh-CN"/>
        </w:rPr>
        <w:t>或电子保函</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8.采购政策：供应商为中小企业/小微企业，请根据要求单独上传《中小企业声明函》，格式以采购文件要求为准。</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tabs>
          <w:tab w:val="left" w:pos="376"/>
        </w:tabs>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hint="eastAsia"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pStyle w:val="5"/>
        <w:bidi w:val="0"/>
        <w:jc w:val="center"/>
      </w:pPr>
      <w:r>
        <w:rPr>
          <w:rFonts w:hint="eastAsia"/>
        </w:rPr>
        <w:t xml:space="preserve">第二章 </w:t>
      </w:r>
      <w:r>
        <w:rPr>
          <w:rFonts w:hint="eastAsia"/>
          <w:lang w:eastAsia="zh-CN"/>
        </w:rPr>
        <w:t>响应文件</w:t>
      </w:r>
      <w:r>
        <w:rPr>
          <w:rFonts w:hint="eastAsia"/>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rPr>
        <w:t xml:space="preserve">10.4 </w:t>
      </w:r>
      <w:r>
        <w:rPr>
          <w:rFonts w:hint="eastAsia" w:ascii="宋体" w:hAnsi="宋体" w:cs="宋体"/>
          <w:bCs/>
          <w:sz w:val="24"/>
          <w:highlight w:val="none"/>
        </w:rPr>
        <w:t>所有</w:t>
      </w:r>
      <w:r>
        <w:rPr>
          <w:rFonts w:hint="eastAsia" w:ascii="宋体" w:hAnsi="宋体" w:cs="宋体"/>
          <w:bCs/>
          <w:sz w:val="24"/>
          <w:highlight w:val="none"/>
          <w:lang w:eastAsia="zh-CN"/>
        </w:rPr>
        <w:t>响应文件</w:t>
      </w:r>
      <w:r>
        <w:rPr>
          <w:rFonts w:hint="eastAsia" w:ascii="宋体" w:hAnsi="宋体" w:cs="宋体"/>
          <w:bCs/>
          <w:sz w:val="24"/>
          <w:highlight w:val="none"/>
        </w:rPr>
        <w:t>必须提交正本</w:t>
      </w:r>
      <w:r>
        <w:rPr>
          <w:rFonts w:hint="eastAsia" w:ascii="宋体" w:hAnsi="宋体" w:cs="宋体"/>
          <w:bCs/>
          <w:sz w:val="24"/>
          <w:highlight w:val="none"/>
          <w:lang w:val="en-US" w:eastAsia="zh-CN"/>
        </w:rPr>
        <w:t xml:space="preserve"> </w:t>
      </w:r>
      <w:r>
        <w:rPr>
          <w:rFonts w:hint="eastAsia" w:ascii="宋体" w:hAnsi="宋体" w:cs="宋体"/>
          <w:b w:val="0"/>
          <w:bCs w:val="0"/>
          <w:sz w:val="24"/>
          <w:highlight w:val="none"/>
          <w:u w:val="thick"/>
        </w:rPr>
        <w:t>壹</w:t>
      </w:r>
      <w:r>
        <w:rPr>
          <w:rFonts w:hint="eastAsia" w:ascii="宋体" w:hAnsi="宋体" w:cs="宋体"/>
          <w:b w:val="0"/>
          <w:bCs w:val="0"/>
          <w:sz w:val="24"/>
          <w:highlight w:val="none"/>
          <w:u w:val="thick"/>
          <w:lang w:val="en-US" w:eastAsia="zh-CN"/>
        </w:rPr>
        <w:t xml:space="preserve"> </w:t>
      </w:r>
      <w:r>
        <w:rPr>
          <w:rFonts w:hint="eastAsia" w:ascii="宋体" w:hAnsi="宋体" w:cs="宋体"/>
          <w:bCs/>
          <w:sz w:val="24"/>
          <w:highlight w:val="none"/>
        </w:rPr>
        <w:t>套和副本</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rPr>
        <w:t>贰</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套，并在封面上标记</w:t>
      </w:r>
      <w:r>
        <w:rPr>
          <w:rFonts w:hint="eastAsia" w:ascii="宋体" w:hAnsi="宋体" w:cs="宋体"/>
          <w:b/>
          <w:bCs/>
          <w:sz w:val="24"/>
          <w:highlight w:val="none"/>
        </w:rPr>
        <w:t>“正本”</w:t>
      </w:r>
      <w:r>
        <w:rPr>
          <w:rFonts w:hint="eastAsia" w:ascii="宋体" w:hAnsi="宋体" w:cs="宋体"/>
          <w:bCs/>
          <w:sz w:val="24"/>
          <w:highlight w:val="none"/>
        </w:rPr>
        <w:t>和</w:t>
      </w:r>
      <w:r>
        <w:rPr>
          <w:rFonts w:hint="eastAsia" w:ascii="宋体" w:hAnsi="宋体" w:cs="宋体"/>
          <w:b/>
          <w:bCs/>
          <w:sz w:val="24"/>
          <w:highlight w:val="none"/>
        </w:rPr>
        <w:t>“副本”</w:t>
      </w:r>
      <w:r>
        <w:rPr>
          <w:rFonts w:hint="eastAsia" w:ascii="宋体" w:hAnsi="宋体" w:cs="宋体"/>
          <w:bCs/>
          <w:sz w:val="24"/>
          <w:highlight w:val="none"/>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hint="eastAsia" w:ascii="宋体" w:hAnsi="宋体" w:eastAsia="宋体" w:cs="宋体"/>
          <w:b/>
          <w:bCs/>
          <w:sz w:val="24"/>
          <w:highlight w:val="none"/>
          <w:lang w:eastAsia="zh-CN"/>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pPr>
      <w:r>
        <w:rPr>
          <w:rFonts w:hint="eastAsia" w:ascii="宋体" w:hAnsi="宋体" w:cs="宋体"/>
          <w:sz w:val="24"/>
          <w:highlight w:val="none"/>
          <w:lang w:val="zh-CN"/>
        </w:rPr>
        <w:t>11.6.2 中标方在规定期限内未能按规定与招标方及招标方签订合同的。</w:t>
      </w:r>
    </w:p>
    <w:p>
      <w:pPr>
        <w:pStyle w:val="9"/>
      </w:pPr>
    </w:p>
    <w:p>
      <w:pPr>
        <w:pStyle w:val="5"/>
        <w:bidi w:val="0"/>
        <w:spacing w:after="0" w:afterAutospacing="0"/>
        <w:jc w:val="center"/>
      </w:pPr>
      <w:r>
        <w:rPr>
          <w:rFonts w:hint="eastAsia"/>
        </w:rPr>
        <w:t xml:space="preserve">第三章 </w:t>
      </w:r>
      <w:r>
        <w:rPr>
          <w:rFonts w:hint="eastAsia"/>
          <w:lang w:eastAsia="zh-CN"/>
        </w:rPr>
        <w:t>响应文件</w:t>
      </w:r>
      <w:r>
        <w:rPr>
          <w:rFonts w:hint="eastAsia"/>
        </w:rPr>
        <w:t>的递交</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13.1 响应文件的递交不得</w:t>
      </w:r>
      <w:r>
        <w:rPr>
          <w:rFonts w:hint="eastAsia" w:ascii="宋体" w:hAnsi="宋体" w:cs="宋体"/>
          <w:sz w:val="24"/>
          <w:highlight w:val="none"/>
          <w:lang w:val="zh-CN"/>
        </w:rPr>
        <w:t xml:space="preserve">迟于 </w:t>
      </w:r>
      <w:r>
        <w:rPr>
          <w:rFonts w:hint="eastAsia" w:ascii="宋体" w:hAnsi="宋体" w:cs="宋体"/>
          <w:b/>
          <w:color w:val="FF0000"/>
          <w:sz w:val="24"/>
          <w:highlight w:val="none"/>
          <w:u w:val="single"/>
          <w:lang w:val="zh-CN"/>
        </w:rPr>
        <w:t>2023年4月7日16:00时</w:t>
      </w:r>
      <w:r>
        <w:rPr>
          <w:rFonts w:hint="eastAsia" w:ascii="宋体" w:hAnsi="宋体" w:cs="宋体"/>
          <w:sz w:val="24"/>
          <w:highlight w:val="none"/>
          <w:lang w:val="zh-CN"/>
        </w:rPr>
        <w:t>（北京</w:t>
      </w:r>
      <w:r>
        <w:rPr>
          <w:rFonts w:hint="eastAsia" w:ascii="宋体" w:hAnsi="宋体" w:cs="宋体"/>
          <w:sz w:val="24"/>
          <w:lang w:val="zh-CN"/>
        </w:rPr>
        <w:t>时间）。开标结束后</w:t>
      </w:r>
      <w:r>
        <w:rPr>
          <w:rFonts w:hint="eastAsia" w:ascii="宋体" w:hAnsi="宋体" w:cs="宋体"/>
          <w:sz w:val="24"/>
          <w:highlight w:val="none"/>
          <w:lang w:val="zh-CN"/>
        </w:rPr>
        <w:t>，纸质版响应文件须在开标结束后</w:t>
      </w:r>
      <w:r>
        <w:rPr>
          <w:rFonts w:hint="eastAsia" w:ascii="宋体" w:hAnsi="宋体" w:cs="宋体"/>
          <w:sz w:val="24"/>
          <w:highlight w:val="none"/>
          <w:lang w:val="en-US" w:eastAsia="zh-CN"/>
        </w:rPr>
        <w:t>2日后</w:t>
      </w:r>
      <w:r>
        <w:rPr>
          <w:rFonts w:hint="eastAsia" w:ascii="宋体" w:hAnsi="宋体" w:cs="宋体"/>
          <w:sz w:val="24"/>
          <w:highlight w:val="none"/>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w:t>
      </w:r>
      <w:bookmarkStart w:id="310" w:name="_GoBack"/>
      <w:bookmarkEnd w:id="310"/>
      <w:r>
        <w:rPr>
          <w:rFonts w:hint="eastAsia" w:ascii="宋体" w:hAnsi="宋体" w:cs="宋体"/>
          <w:sz w:val="24"/>
          <w:lang w:val="zh-CN"/>
        </w:rPr>
        <w:t>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rPr>
          <w:rFonts w:hint="eastAsia"/>
        </w:rPr>
      </w:pPr>
      <w:r>
        <w:rPr>
          <w:rFonts w:hint="eastAsia"/>
        </w:rPr>
        <w:br w:type="page"/>
      </w:r>
    </w:p>
    <w:p>
      <w:pPr>
        <w:rPr>
          <w:rFonts w:hint="eastAsia"/>
        </w:rPr>
      </w:pPr>
    </w:p>
    <w:p>
      <w:pPr>
        <w:pStyle w:val="4"/>
        <w:bidi w:val="0"/>
        <w:jc w:val="center"/>
        <w:rPr>
          <w:sz w:val="32"/>
          <w:szCs w:val="32"/>
        </w:rPr>
      </w:pPr>
      <w:r>
        <w:rPr>
          <w:rFonts w:hint="eastAsia"/>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w:t>
      </w:r>
      <w:r>
        <w:rPr>
          <w:rFonts w:hint="eastAsia" w:ascii="宋体" w:hAnsi="宋体" w:cs="宋体"/>
          <w:bCs/>
          <w:sz w:val="24"/>
          <w:lang w:eastAsia="zh-CN"/>
        </w:rPr>
        <w:t>招标方</w:t>
      </w:r>
      <w:r>
        <w:rPr>
          <w:rFonts w:hint="eastAsia" w:ascii="宋体" w:hAnsi="宋体" w:cs="宋体"/>
          <w:bCs/>
          <w:sz w:val="24"/>
        </w:rPr>
        <w:t>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highlight w:val="none"/>
        </w:rPr>
        <w:t>16.1.2 在相关专业领域工作具有高级职称或者同等专业水平</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w:t>
      </w:r>
      <w:r>
        <w:rPr>
          <w:rFonts w:hint="eastAsia" w:ascii="宋体" w:hAnsi="宋体" w:cs="宋体"/>
          <w:bCs/>
          <w:sz w:val="24"/>
          <w:lang w:eastAsia="zh-CN"/>
        </w:rPr>
        <w:t>招标方</w:t>
      </w:r>
      <w:r>
        <w:rPr>
          <w:rFonts w:hint="eastAsia" w:ascii="宋体" w:hAnsi="宋体" w:cs="宋体"/>
          <w:bCs/>
          <w:sz w:val="24"/>
        </w:rPr>
        <w:t>代表、 工作人员及供应商不得干扰评标委员会正常及其它评标工作，否则，招标方将有权取消其权利资格。</w:t>
      </w:r>
    </w:p>
    <w:p>
      <w:pPr>
        <w:pStyle w:val="3"/>
        <w:rPr>
          <w:rFonts w:hint="eastAsia" w:ascii="宋体" w:hAnsi="宋体" w:cs="宋体"/>
          <w:b/>
          <w:bCs/>
          <w:sz w:val="36"/>
          <w:szCs w:val="36"/>
        </w:rPr>
      </w:pPr>
    </w:p>
    <w:p>
      <w:pPr>
        <w:pStyle w:val="4"/>
        <w:bidi w:val="0"/>
        <w:jc w:val="center"/>
        <w:rPr>
          <w:sz w:val="32"/>
          <w:szCs w:val="32"/>
        </w:rPr>
      </w:pPr>
      <w:r>
        <w:rPr>
          <w:rFonts w:hint="eastAsia"/>
          <w:sz w:val="32"/>
          <w:szCs w:val="32"/>
        </w:rPr>
        <w:t>第五部分 开标 评标 定标说明</w:t>
      </w:r>
    </w:p>
    <w:p>
      <w:pPr>
        <w:pStyle w:val="5"/>
        <w:bidi w:val="0"/>
        <w:spacing w:after="0" w:afterAutospacing="0"/>
        <w:jc w:val="center"/>
        <w:rPr>
          <w:sz w:val="32"/>
          <w:szCs w:val="32"/>
        </w:rPr>
      </w:pPr>
      <w:r>
        <w:rPr>
          <w:rFonts w:hint="eastAsia"/>
          <w:sz w:val="32"/>
          <w:szCs w:val="32"/>
        </w:rPr>
        <w:t>第一章 开　标</w:t>
      </w:r>
    </w:p>
    <w:p>
      <w:pPr>
        <w:spacing w:beforeAutospacing="0"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lang w:eastAsia="zh-CN"/>
        </w:rPr>
        <w:t>资格评审小组</w:t>
      </w:r>
      <w:r>
        <w:rPr>
          <w:rFonts w:hint="eastAsia" w:ascii="宋体" w:hAnsi="宋体" w:cs="宋体"/>
          <w:bCs/>
          <w:sz w:val="24"/>
          <w:szCs w:val="24"/>
        </w:rPr>
        <w:t>将依据投标人提供的资格证明文件，审查投标人</w:t>
      </w:r>
      <w:r>
        <w:rPr>
          <w:rFonts w:hint="eastAsia" w:ascii="宋体" w:hAnsi="宋体" w:cs="宋体"/>
          <w:bCs/>
          <w:sz w:val="24"/>
          <w:szCs w:val="24"/>
          <w:lang w:eastAsia="zh-CN"/>
        </w:rPr>
        <w:t>的资格证明文件</w:t>
      </w:r>
      <w:r>
        <w:rPr>
          <w:rFonts w:hint="eastAsia" w:ascii="宋体" w:hAnsi="宋体" w:cs="宋体"/>
          <w:bCs/>
          <w:sz w:val="24"/>
          <w:szCs w:val="24"/>
        </w:rPr>
        <w:t>。如果确定投标人无能力履行合同，其投标将被拒绝。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 xml:space="preserve">23.3.2 </w:t>
      </w:r>
      <w:r>
        <w:rPr>
          <w:rFonts w:hint="eastAsia" w:ascii="宋体" w:hAnsi="宋体" w:cs="宋体"/>
          <w:sz w:val="24"/>
          <w:szCs w:val="24"/>
          <w:highlight w:val="none"/>
        </w:rPr>
        <w:t>在招标文件及程序符合法律规定的前提下，对招标文件做出实质性响应的供应商只有两家时，按照公开、公平和竞争的原则，</w:t>
      </w:r>
      <w:r>
        <w:rPr>
          <w:rFonts w:hint="eastAsia" w:ascii="宋体" w:hAnsi="宋体" w:cs="宋体"/>
          <w:sz w:val="24"/>
          <w:szCs w:val="24"/>
        </w:rPr>
        <w:t>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pStyle w:val="9"/>
        <w:spacing w:afterAutospacing="0"/>
        <w:ind w:left="0" w:leftChars="0" w:firstLine="0" w:firstLineChars="0"/>
        <w:rPr>
          <w:rFonts w:hint="eastAsia"/>
          <w:lang w:eastAsia="zh-CN"/>
        </w:rPr>
      </w:pPr>
    </w:p>
    <w:p>
      <w:pPr>
        <w:pStyle w:val="5"/>
        <w:bidi w:val="0"/>
        <w:spacing w:before="156" w:beforeAutospacing="0" w:after="0" w:afterAutospacing="0"/>
        <w:jc w:val="center"/>
        <w:rPr>
          <w:rFonts w:hint="eastAsia"/>
        </w:rPr>
      </w:pPr>
      <w:r>
        <w:rPr>
          <w:rFonts w:hint="eastAsia"/>
        </w:rPr>
        <w:t>第二章 评  标</w:t>
      </w:r>
    </w:p>
    <w:p>
      <w:pPr>
        <w:spacing w:beforeAutospacing="0"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在评标过程中，供应商试图在投标文件审查、报价、询标（答疑）、澄清、比较及授予合同方面向招标方员施加影响的任何行为，都可能导致其投标文件被拒绝。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w:t>
      </w:r>
      <w:r>
        <w:rPr>
          <w:rFonts w:hint="eastAsia" w:ascii="宋体" w:hAnsi="宋体" w:cs="宋体"/>
          <w:bCs/>
          <w:sz w:val="24"/>
          <w:szCs w:val="24"/>
          <w:lang w:eastAsia="zh-CN"/>
        </w:rPr>
        <w:t>相关</w:t>
      </w:r>
      <w:r>
        <w:rPr>
          <w:rFonts w:hint="eastAsia" w:ascii="宋体" w:hAnsi="宋体" w:cs="宋体"/>
          <w:bCs/>
          <w:sz w:val="24"/>
          <w:szCs w:val="24"/>
        </w:rPr>
        <w:t>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w:t>
      </w:r>
      <w:r>
        <w:rPr>
          <w:rFonts w:hint="eastAsia" w:ascii="宋体" w:hAnsi="宋体" w:cs="宋体"/>
          <w:bCs/>
          <w:sz w:val="24"/>
          <w:lang w:eastAsia="zh-CN"/>
        </w:rPr>
        <w:t>招标方</w:t>
      </w:r>
      <w:r>
        <w:rPr>
          <w:rFonts w:hint="eastAsia" w:ascii="宋体" w:hAnsi="宋体" w:cs="宋体"/>
          <w:bCs/>
          <w:sz w:val="24"/>
        </w:rPr>
        <w:t>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w:t>
      </w:r>
      <w:r>
        <w:rPr>
          <w:rFonts w:hint="eastAsia" w:ascii="宋体" w:hAnsi="宋体" w:cs="宋体"/>
          <w:sz w:val="24"/>
          <w:lang w:val="en-US" w:eastAsia="zh-CN"/>
        </w:rPr>
        <w:t xml:space="preserve"> </w:t>
      </w:r>
      <w:r>
        <w:rPr>
          <w:rFonts w:hint="eastAsia" w:ascii="宋体" w:hAnsi="宋体" w:cs="宋体"/>
          <w:sz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w:t>
      </w:r>
      <w:r>
        <w:rPr>
          <w:rFonts w:hint="eastAsia" w:ascii="宋体" w:hAnsi="宋体" w:cs="宋体"/>
          <w:sz w:val="24"/>
          <w:highlight w:val="none"/>
          <w:lang w:val="zh-CN"/>
        </w:rPr>
        <w:t>开标当日同一时间在政采云平台进行投标文件解密唱标公布报价</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2" w:firstLineChars="200"/>
        <w:rPr>
          <w:rFonts w:hint="eastAsia" w:ascii="宋体" w:hAnsi="宋体" w:cs="宋体"/>
          <w:bCs/>
          <w:sz w:val="24"/>
          <w:szCs w:val="24"/>
        </w:rPr>
      </w:pPr>
      <w:r>
        <w:rPr>
          <w:rFonts w:hint="eastAsia" w:ascii="宋体" w:hAnsi="宋体" w:cs="宋体"/>
          <w:b/>
          <w:bCs w:val="0"/>
          <w:sz w:val="24"/>
        </w:rPr>
        <w:t>24.5.3</w:t>
      </w:r>
      <w:r>
        <w:rPr>
          <w:rFonts w:hint="eastAsia" w:ascii="宋体" w:hAnsi="宋体" w:cs="宋体"/>
          <w:bCs/>
          <w:sz w:val="24"/>
        </w:rPr>
        <w:t xml:space="preserve">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、响应文件附有招标方和招标方不能接受的条件及不符合其他实质性要求的；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highlight w:val="none"/>
          <w:lang w:val="zh-CN"/>
        </w:rPr>
      </w:pPr>
      <w:r>
        <w:rPr>
          <w:rFonts w:hint="eastAsia" w:ascii="宋体" w:hAnsi="宋体" w:cs="宋体"/>
          <w:bCs/>
          <w:sz w:val="24"/>
          <w:szCs w:val="24"/>
          <w:highlight w:val="none"/>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highlight w:val="none"/>
          <w:lang w:eastAsia="zh-CN"/>
        </w:rPr>
        <w:t>磋商文件</w:t>
      </w:r>
      <w:r>
        <w:rPr>
          <w:rFonts w:hint="eastAsia" w:ascii="宋体" w:hAnsi="宋体" w:cs="宋体"/>
          <w:bCs/>
          <w:sz w:val="24"/>
          <w:szCs w:val="24"/>
          <w:highlight w:val="none"/>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4</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5</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w:t>
      </w:r>
      <w:r>
        <w:rPr>
          <w:rFonts w:hint="eastAsia" w:ascii="宋体" w:hAnsi="宋体" w:cs="宋体"/>
          <w:sz w:val="24"/>
          <w:lang w:val="zh-CN" w:eastAsia="zh-CN"/>
        </w:rPr>
        <w:t>强制性、</w:t>
      </w:r>
      <w:r>
        <w:rPr>
          <w:rFonts w:hint="eastAsia" w:ascii="宋体" w:hAnsi="宋体" w:cs="宋体"/>
          <w:sz w:val="24"/>
          <w:lang w:val="zh-CN"/>
        </w:rPr>
        <w:t>投入设备、资源配置计划、项目实施方案</w:t>
      </w:r>
      <w:r>
        <w:rPr>
          <w:rFonts w:hint="eastAsia" w:ascii="宋体" w:hAnsi="宋体" w:cs="宋体"/>
          <w:sz w:val="24"/>
          <w:szCs w:val="24"/>
          <w:lang w:eastAsia="zh-CN"/>
        </w:rPr>
        <w:t>、</w:t>
      </w:r>
      <w:r>
        <w:rPr>
          <w:rFonts w:hint="eastAsia" w:ascii="宋体" w:hAnsi="宋体" w:cs="宋体"/>
          <w:sz w:val="24"/>
          <w:lang w:val="zh-CN"/>
        </w:rPr>
        <w:t>安全管理体系与措施、环境保护管理体系与措施、承诺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企业技术、经济及综合实力描述、业绩等指标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lang w:val="en-US" w:eastAsia="zh-CN"/>
        </w:rPr>
        <w:t>70</w:t>
      </w:r>
      <w:r>
        <w:rPr>
          <w:rFonts w:hint="eastAsia" w:ascii="宋体" w:hAnsi="宋体" w:cs="宋体"/>
          <w:b/>
          <w:color w:val="000000"/>
          <w:sz w:val="24"/>
          <w:szCs w:val="24"/>
          <w:u w:val="single"/>
        </w:rPr>
        <w:t>%</w:t>
      </w:r>
      <w:r>
        <w:rPr>
          <w:rFonts w:hint="eastAsia" w:ascii="宋体" w:hAnsi="宋体" w:cs="宋体"/>
          <w:color w:val="000000"/>
          <w:sz w:val="24"/>
          <w:szCs w:val="24"/>
        </w:rPr>
        <w:t>，报价部分占总分的</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u w:val="single"/>
        </w:rPr>
        <w:t>%</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jc w:val="both"/>
        <w:rPr>
          <w:rFonts w:hint="eastAsia" w:ascii="宋体" w:hAnsi="宋体" w:cs="宋体"/>
          <w:b/>
          <w:sz w:val="32"/>
          <w:szCs w:val="32"/>
          <w:highlight w:val="none"/>
        </w:rPr>
      </w:pPr>
      <w:r>
        <w:rPr>
          <w:rFonts w:hint="eastAsia" w:ascii="宋体" w:hAnsi="宋体" w:cs="宋体"/>
          <w:b/>
          <w:sz w:val="32"/>
          <w:szCs w:val="32"/>
          <w:highlight w:val="none"/>
        </w:rPr>
        <w:t>技术商务部分其他项评分记录明细表</w:t>
      </w:r>
    </w:p>
    <w:tbl>
      <w:tblPr>
        <w:tblStyle w:val="36"/>
        <w:tblW w:w="967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06"/>
        <w:gridCol w:w="1252"/>
        <w:gridCol w:w="1921"/>
        <w:gridCol w:w="3757"/>
        <w:gridCol w:w="193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评分因素</w:t>
            </w: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评分点</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评分标准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详细评审</w:t>
            </w: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价格评审</w:t>
            </w:r>
          </w:p>
          <w:p>
            <w:pPr>
              <w:jc w:val="left"/>
              <w:rPr>
                <w:highlight w:val="none"/>
              </w:rPr>
            </w:pPr>
            <w:r>
              <w:rPr>
                <w:highlight w:val="none"/>
              </w:rPr>
              <w:t>（</w:t>
            </w:r>
            <w:r>
              <w:rPr>
                <w:rFonts w:hint="eastAsia"/>
                <w:highlight w:val="none"/>
                <w:lang w:val="en-US" w:eastAsia="zh-CN"/>
              </w:rPr>
              <w:t>30</w:t>
            </w:r>
            <w:r>
              <w:rPr>
                <w:highlight w:val="none"/>
              </w:rPr>
              <w:t>分）</w:t>
            </w: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投标报价</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评标基准价=有效投标报价的最低值，有效投标报价等于基准值的得满分，投标报价得分=（评标基准价/投标报价）×价格权重×100。有效投标报价为通过初步审查的供应商报价</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30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right w:val="outset" w:color="auto" w:sz="6" w:space="0"/>
            </w:tcBorders>
            <w:noWrap w:val="0"/>
            <w:vAlign w:val="center"/>
          </w:tcPr>
          <w:p>
            <w:pPr>
              <w:jc w:val="left"/>
              <w:rPr>
                <w:highlight w:val="none"/>
              </w:rPr>
            </w:pPr>
            <w:r>
              <w:rPr>
                <w:highlight w:val="none"/>
              </w:rPr>
              <w:t xml:space="preserve">商务标评审（ </w:t>
            </w:r>
            <w:r>
              <w:rPr>
                <w:rFonts w:hint="eastAsia"/>
                <w:highlight w:val="none"/>
                <w:lang w:val="en-US" w:eastAsia="zh-CN"/>
              </w:rPr>
              <w:t>10</w:t>
            </w:r>
            <w:r>
              <w:rPr>
                <w:highlight w:val="none"/>
              </w:rPr>
              <w:t>分）</w:t>
            </w: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投标文件总体响应</w:t>
            </w:r>
            <w:r>
              <w:rPr>
                <w:rFonts w:hint="eastAsia"/>
                <w:highlight w:val="none"/>
                <w:lang w:eastAsia="zh-CN"/>
              </w:rPr>
              <w:t>（</w:t>
            </w:r>
            <w:r>
              <w:rPr>
                <w:rFonts w:hint="eastAsia"/>
                <w:highlight w:val="none"/>
                <w:lang w:val="en-US" w:eastAsia="zh-CN"/>
              </w:rPr>
              <w:t>5分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投标文件编制质量对招标文件的总体响应程度:高于或完全响应得</w:t>
            </w:r>
            <w:r>
              <w:rPr>
                <w:rFonts w:hint="eastAsia"/>
                <w:highlight w:val="none"/>
                <w:lang w:val="en-US" w:eastAsia="zh-CN"/>
              </w:rPr>
              <w:t>5</w:t>
            </w:r>
            <w:r>
              <w:rPr>
                <w:highlight w:val="none"/>
              </w:rPr>
              <w:t>分,基本响应得</w:t>
            </w:r>
            <w:r>
              <w:rPr>
                <w:rFonts w:hint="eastAsia"/>
                <w:highlight w:val="none"/>
                <w:lang w:val="en-US" w:eastAsia="zh-CN"/>
              </w:rPr>
              <w:t>2</w:t>
            </w:r>
            <w:r>
              <w:rPr>
                <w:highlight w:val="none"/>
              </w:rPr>
              <w:t>分，不响应得0分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5</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left w:val="outset" w:color="auto" w:sz="6" w:space="0"/>
              <w:bottom w:val="outset" w:color="auto" w:sz="6" w:space="0"/>
              <w:right w:val="outset" w:color="auto" w:sz="6" w:space="0"/>
            </w:tcBorders>
            <w:noWrap w:val="0"/>
            <w:vAlign w:val="center"/>
          </w:tcPr>
          <w:p>
            <w:pPr>
              <w:pStyle w:val="2"/>
              <w:ind w:left="0" w:leftChars="0" w:firstLine="210" w:firstLineChars="100"/>
              <w:jc w:val="both"/>
              <w:rPr>
                <w:rFonts w:hint="eastAsia" w:eastAsia="宋体"/>
                <w:highlight w:val="none"/>
                <w:lang w:eastAsia="zh-CN"/>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eastAsia="宋体"/>
                <w:highlight w:val="none"/>
                <w:lang w:eastAsia="zh-CN"/>
              </w:rPr>
              <w:t>类似业绩</w:t>
            </w:r>
          </w:p>
          <w:p>
            <w:pPr>
              <w:jc w:val="left"/>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5分</w:t>
            </w:r>
            <w:r>
              <w:rPr>
                <w:rFonts w:hint="eastAsia" w:eastAsia="宋体"/>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highlight w:val="none"/>
              </w:rPr>
            </w:pPr>
            <w:r>
              <w:rPr>
                <w:rFonts w:hint="eastAsia"/>
                <w:highlight w:val="none"/>
                <w:lang w:eastAsia="zh-CN"/>
              </w:rPr>
              <w:t>企业近三年内类似</w:t>
            </w:r>
            <w:r>
              <w:rPr>
                <w:rFonts w:hint="eastAsia"/>
                <w:highlight w:val="none"/>
              </w:rPr>
              <w:t>项目业绩表（附中标通知书或合同关键页复印件包括项目名称、</w:t>
            </w:r>
            <w:r>
              <w:rPr>
                <w:rFonts w:hint="eastAsia"/>
                <w:highlight w:val="none"/>
                <w:lang w:eastAsia="zh-CN"/>
              </w:rPr>
              <w:t>施工内容</w:t>
            </w:r>
            <w:r>
              <w:rPr>
                <w:rFonts w:hint="eastAsia"/>
                <w:highlight w:val="none"/>
              </w:rPr>
              <w:t>、签章盖章页</w:t>
            </w:r>
            <w:r>
              <w:rPr>
                <w:rFonts w:hint="eastAsia"/>
                <w:highlight w:val="none"/>
                <w:lang w:eastAsia="zh-CN"/>
              </w:rPr>
              <w:t>等</w:t>
            </w:r>
            <w:r>
              <w:rPr>
                <w:rFonts w:hint="eastAsia"/>
                <w:highlight w:val="none"/>
              </w:rPr>
              <w:t>）每项得1分，没有不得分</w:t>
            </w:r>
            <w:r>
              <w:rPr>
                <w:rFonts w:hint="eastAsia"/>
                <w:highlight w:val="none"/>
                <w:lang w:eastAsia="zh-CN"/>
              </w:rPr>
              <w:t>，</w:t>
            </w:r>
            <w:r>
              <w:rPr>
                <w:rFonts w:hint="eastAsia"/>
                <w:highlight w:val="none"/>
              </w:rPr>
              <w:t>累计最高得3分。</w:t>
            </w:r>
            <w:r>
              <w:rPr>
                <w:rFonts w:hint="eastAsia"/>
                <w:highlight w:val="none"/>
                <w:lang w:eastAsia="zh-CN"/>
              </w:rPr>
              <w:t>项目负责人业绩，</w:t>
            </w:r>
            <w:r>
              <w:rPr>
                <w:rFonts w:hint="eastAsia"/>
                <w:highlight w:val="none"/>
              </w:rPr>
              <w:t>每项得1分，没有不得分</w:t>
            </w:r>
            <w:r>
              <w:rPr>
                <w:rFonts w:hint="eastAsia"/>
                <w:highlight w:val="none"/>
                <w:lang w:eastAsia="zh-CN"/>
              </w:rPr>
              <w:t>，</w:t>
            </w:r>
            <w:r>
              <w:rPr>
                <w:rFonts w:hint="eastAsia"/>
                <w:highlight w:val="none"/>
              </w:rPr>
              <w:t>累计最高得</w:t>
            </w:r>
            <w:r>
              <w:rPr>
                <w:rFonts w:hint="eastAsia"/>
                <w:highlight w:val="none"/>
                <w:lang w:val="en-US" w:eastAsia="zh-CN"/>
              </w:rPr>
              <w:t>2</w:t>
            </w:r>
            <w:r>
              <w:rPr>
                <w:rFonts w:hint="eastAsia"/>
                <w:highlight w:val="none"/>
              </w:rPr>
              <w:t>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highlight w:val="none"/>
                <w:lang w:val="en-US" w:eastAsia="zh-CN"/>
              </w:rPr>
            </w:pPr>
            <w:r>
              <w:rPr>
                <w:rFonts w:hint="eastAsia"/>
                <w:highlight w:val="none"/>
                <w:lang w:val="en-US" w:eastAsia="zh-CN"/>
              </w:rPr>
              <w:t>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技术标评审（</w:t>
            </w:r>
            <w:r>
              <w:rPr>
                <w:rFonts w:hint="eastAsia"/>
                <w:highlight w:val="none"/>
                <w:lang w:val="en-US" w:eastAsia="zh-CN"/>
              </w:rPr>
              <w:t>60</w:t>
            </w:r>
            <w:r>
              <w:rPr>
                <w:highlight w:val="none"/>
              </w:rPr>
              <w:t xml:space="preserve"> 分）</w:t>
            </w: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施工组织设计</w:t>
            </w:r>
          </w:p>
          <w:p>
            <w:pPr>
              <w:jc w:val="left"/>
              <w:rPr>
                <w:highlight w:val="none"/>
              </w:rPr>
            </w:pP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施工进度控制网络（附图）得</w:t>
            </w:r>
            <w:r>
              <w:rPr>
                <w:rFonts w:hint="eastAsia"/>
                <w:highlight w:val="none"/>
                <w:lang w:val="en-US" w:eastAsia="zh-CN"/>
              </w:rPr>
              <w:t>5</w:t>
            </w:r>
            <w:r>
              <w:rPr>
                <w:rFonts w:hint="eastAsia"/>
                <w:highlight w:val="none"/>
              </w:rPr>
              <w:t>分、施工现场平面布置（附图）得</w:t>
            </w:r>
            <w:r>
              <w:rPr>
                <w:rFonts w:hint="eastAsia"/>
                <w:highlight w:val="none"/>
                <w:lang w:val="en-US" w:eastAsia="zh-CN"/>
              </w:rPr>
              <w:t>3</w:t>
            </w:r>
            <w:r>
              <w:rPr>
                <w:rFonts w:hint="eastAsia"/>
                <w:highlight w:val="none"/>
              </w:rPr>
              <w:t>分、工序与主体及其他专业衔接合理，关键节点控制措施可行得</w:t>
            </w:r>
            <w:r>
              <w:rPr>
                <w:rFonts w:hint="eastAsia"/>
                <w:highlight w:val="none"/>
                <w:lang w:val="en-US" w:eastAsia="zh-CN"/>
              </w:rPr>
              <w:t>2</w:t>
            </w:r>
            <w:r>
              <w:rPr>
                <w:rFonts w:hint="eastAsia"/>
                <w:highlight w:val="none"/>
              </w:rPr>
              <w:t>分</w:t>
            </w:r>
          </w:p>
        </w:tc>
        <w:tc>
          <w:tcPr>
            <w:tcW w:w="1934"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60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施工机械设备投入</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施工机械投入与施工季度计划相呼应且能满足工序衔接的要求得</w:t>
            </w:r>
            <w:r>
              <w:rPr>
                <w:rFonts w:hint="eastAsia"/>
                <w:highlight w:val="none"/>
                <w:lang w:val="en-US" w:eastAsia="zh-CN"/>
              </w:rPr>
              <w:t>4</w:t>
            </w:r>
            <w:r>
              <w:rPr>
                <w:rFonts w:hint="eastAsia"/>
                <w:highlight w:val="none"/>
              </w:rPr>
              <w:t>分、施工机械与主体搭配周全合理得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劳动力安排计划及其保证措施</w:t>
            </w: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调配投入计划合理得3分、劳动力安排计划与施工进度计划相呼应得3分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管理人员投入</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项目管理人员针对工程实际配置且合理得3分、项目管理人员配置能满足该工程管理需要得3分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施工技术方案</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施工方案合理，施工部署全面得</w:t>
            </w:r>
            <w:r>
              <w:rPr>
                <w:rFonts w:hint="eastAsia"/>
                <w:highlight w:val="none"/>
                <w:lang w:val="en-US" w:eastAsia="zh-CN"/>
              </w:rPr>
              <w:t>3</w:t>
            </w:r>
            <w:r>
              <w:rPr>
                <w:rFonts w:hint="eastAsia"/>
                <w:highlight w:val="none"/>
              </w:rPr>
              <w:t>分、针对性强，对工程施工具有较强的指导性得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施工进度计划</w:t>
            </w:r>
            <w:r>
              <w:rPr>
                <w:rFonts w:hint="eastAsia"/>
                <w:highlight w:val="none"/>
                <w:lang w:val="en-US" w:eastAsia="zh-CN"/>
              </w:rPr>
              <w:t>及</w:t>
            </w:r>
            <w:r>
              <w:rPr>
                <w:rFonts w:hint="eastAsia" w:ascii="宋体" w:hAnsi="宋体"/>
                <w:szCs w:val="21"/>
                <w:highlight w:val="none"/>
              </w:rPr>
              <w:t>进度保证措施</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highlight w:val="none"/>
              </w:rPr>
              <w:t>工程总进度计划合理</w:t>
            </w:r>
            <w:r>
              <w:rPr>
                <w:rFonts w:hint="eastAsia"/>
                <w:highlight w:val="none"/>
                <w:lang w:val="en-US" w:eastAsia="zh-CN"/>
              </w:rPr>
              <w:t>可行</w:t>
            </w:r>
            <w:r>
              <w:rPr>
                <w:rFonts w:hint="eastAsia"/>
                <w:highlight w:val="none"/>
              </w:rPr>
              <w:t>得</w:t>
            </w:r>
            <w:r>
              <w:rPr>
                <w:rFonts w:hint="eastAsia"/>
                <w:highlight w:val="none"/>
                <w:lang w:val="en-US" w:eastAsia="zh-CN"/>
              </w:rPr>
              <w:t>3</w:t>
            </w:r>
            <w:r>
              <w:rPr>
                <w:rFonts w:hint="eastAsia"/>
                <w:highlight w:val="none"/>
              </w:rPr>
              <w:t>分、对施工进度安排有切实可行的保证措施得</w:t>
            </w:r>
            <w:r>
              <w:rPr>
                <w:rFonts w:hint="eastAsia"/>
                <w:highlight w:val="none"/>
                <w:lang w:val="en-US" w:eastAsia="zh-CN"/>
              </w:rPr>
              <w:t>2</w:t>
            </w:r>
            <w:r>
              <w:rPr>
                <w:rFonts w:hint="eastAsia"/>
                <w:highlight w:val="none"/>
              </w:rPr>
              <w:t>分</w:t>
            </w:r>
            <w:r>
              <w:rPr>
                <w:rFonts w:hint="eastAsia"/>
                <w:highlight w:val="none"/>
                <w:lang w:eastAsia="zh-CN"/>
              </w:rPr>
              <w:t>，</w:t>
            </w:r>
            <w:r>
              <w:rPr>
                <w:rFonts w:hint="eastAsia" w:ascii="宋体" w:hAnsi="宋体"/>
                <w:szCs w:val="21"/>
                <w:highlight w:val="none"/>
              </w:rPr>
              <w:t>有具体的违约责任</w:t>
            </w:r>
            <w:r>
              <w:rPr>
                <w:rFonts w:hint="eastAsia"/>
                <w:highlight w:val="none"/>
              </w:rPr>
              <w:t>得</w:t>
            </w:r>
            <w:r>
              <w:rPr>
                <w:rFonts w:hint="eastAsia"/>
                <w:highlight w:val="none"/>
                <w:lang w:val="en-US" w:eastAsia="zh-CN"/>
              </w:rPr>
              <w:t>2</w:t>
            </w:r>
            <w:r>
              <w:rPr>
                <w:rFonts w:hint="eastAsia"/>
                <w:highlight w:val="none"/>
              </w:rPr>
              <w:t>分</w:t>
            </w:r>
            <w:r>
              <w:rPr>
                <w:rFonts w:hint="eastAsia"/>
                <w:highlight w:val="none"/>
                <w:lang w:eastAsia="zh-CN"/>
              </w:rPr>
              <w:t>。</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质量安全文明施工保证措施</w:t>
            </w:r>
            <w:r>
              <w:rPr>
                <w:rFonts w:hint="eastAsia"/>
                <w:highlight w:val="none"/>
                <w:lang w:eastAsia="zh-CN"/>
              </w:rPr>
              <w:t>（</w:t>
            </w:r>
            <w:r>
              <w:rPr>
                <w:rFonts w:hint="eastAsia"/>
                <w:highlight w:val="none"/>
                <w:lang w:val="en-US" w:eastAsia="zh-CN"/>
              </w:rPr>
              <w:t>8分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有具体可行的保证措施，有具体的违约责任得2分、管理机构健全得2分、管理制度健全得2分、质量检测能力与手段完善得2分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技术难点及相应解决方案</w:t>
            </w: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技术难点及相应解决方案得5分、施工重点难点解决的方案得5分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合计</w:t>
            </w:r>
          </w:p>
        </w:tc>
        <w:tc>
          <w:tcPr>
            <w:tcW w:w="1921"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3757"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8864" w:type="dxa"/>
            <w:gridSpan w:val="4"/>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废标条款</w:t>
            </w:r>
          </w:p>
        </w:tc>
        <w:tc>
          <w:tcPr>
            <w:tcW w:w="7612" w:type="dxa"/>
            <w:gridSpan w:val="3"/>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(1) 未按照招标文件的规定提交投标保证金的</w:t>
            </w:r>
          </w:p>
          <w:p>
            <w:pPr>
              <w:jc w:val="left"/>
              <w:rPr>
                <w:rFonts w:hint="eastAsia" w:eastAsia="宋体"/>
                <w:highlight w:val="none"/>
                <w:lang w:eastAsia="zh-CN"/>
              </w:rPr>
            </w:pPr>
            <w:r>
              <w:rPr>
                <w:highlight w:val="none"/>
              </w:rPr>
              <w:t>(2) 投标文件未按招标文件要求签署、盖章的</w:t>
            </w:r>
          </w:p>
          <w:p>
            <w:pPr>
              <w:jc w:val="left"/>
              <w:rPr>
                <w:rFonts w:hint="eastAsia" w:eastAsia="宋体"/>
                <w:highlight w:val="none"/>
                <w:lang w:eastAsia="zh-CN"/>
              </w:rPr>
            </w:pPr>
            <w:r>
              <w:rPr>
                <w:highlight w:val="none"/>
              </w:rPr>
              <w:t>(3) 不具备招标文件中规定的资格要求</w:t>
            </w:r>
          </w:p>
          <w:p>
            <w:pPr>
              <w:jc w:val="left"/>
              <w:rPr>
                <w:rFonts w:hint="eastAsia" w:eastAsia="宋体"/>
                <w:highlight w:val="none"/>
                <w:lang w:eastAsia="zh-CN"/>
              </w:rPr>
            </w:pPr>
            <w:r>
              <w:rPr>
                <w:highlight w:val="none"/>
              </w:rPr>
              <w:t>(4) 报价超过招标文件中规定的最高限价的</w:t>
            </w:r>
          </w:p>
          <w:p>
            <w:pPr>
              <w:jc w:val="left"/>
              <w:rPr>
                <w:rFonts w:hint="eastAsia" w:eastAsia="宋体"/>
                <w:highlight w:val="none"/>
                <w:lang w:eastAsia="zh-CN"/>
              </w:rPr>
            </w:pPr>
            <w:r>
              <w:rPr>
                <w:highlight w:val="none"/>
              </w:rPr>
              <w:t>(5) 投标文件含有采购人不能接受的附加条件的</w:t>
            </w:r>
          </w:p>
          <w:p>
            <w:pPr>
              <w:jc w:val="left"/>
              <w:rPr>
                <w:highlight w:val="none"/>
              </w:rPr>
            </w:pPr>
            <w:r>
              <w:rPr>
                <w:highlight w:val="none"/>
              </w:rPr>
              <w:t>(6) 法律、法规和招标文件规定的其他无效情形</w:t>
            </w:r>
          </w:p>
        </w:tc>
      </w:tr>
    </w:tbl>
    <w:p>
      <w:pPr>
        <w:tabs>
          <w:tab w:val="left" w:pos="8280"/>
        </w:tabs>
        <w:spacing w:line="360" w:lineRule="auto"/>
        <w:rPr>
          <w:rFonts w:hint="eastAsia" w:ascii="仿宋" w:hAnsi="仿宋" w:eastAsia="仿宋" w:cs="仿宋"/>
          <w:b/>
          <w:bCs w:val="0"/>
          <w:sz w:val="24"/>
          <w:lang w:val="zh-CN"/>
        </w:rPr>
      </w:pPr>
    </w:p>
    <w:p>
      <w:pPr>
        <w:tabs>
          <w:tab w:val="left" w:pos="8280"/>
        </w:tabs>
        <w:spacing w:line="360" w:lineRule="auto"/>
        <w:rPr>
          <w:rFonts w:ascii="仿宋" w:hAnsi="仿宋" w:eastAsia="仿宋" w:cs="仿宋"/>
          <w:b/>
          <w:bCs w:val="0"/>
          <w:sz w:val="24"/>
          <w:lang w:val="zh-CN"/>
        </w:rPr>
      </w:pPr>
      <w:r>
        <w:rPr>
          <w:rFonts w:hint="eastAsia" w:ascii="仿宋" w:hAnsi="仿宋" w:eastAsia="仿宋" w:cs="仿宋"/>
          <w:b/>
          <w:bCs w:val="0"/>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w:t>
            </w:r>
            <w:r>
              <w:rPr>
                <w:rFonts w:hint="eastAsia" w:ascii="仿宋" w:hAnsi="仿宋" w:eastAsia="仿宋" w:cs="仿宋"/>
                <w:b/>
                <w:kern w:val="2"/>
                <w:sz w:val="24"/>
                <w:szCs w:val="22"/>
                <w:lang w:val="en-US" w:eastAsia="zh-CN"/>
              </w:rPr>
              <w:t>3</w:t>
            </w:r>
            <w:r>
              <w:rPr>
                <w:rFonts w:hint="eastAsia" w:ascii="仿宋" w:hAnsi="仿宋" w:eastAsia="仿宋" w:cs="仿宋"/>
                <w:b/>
                <w:kern w:val="2"/>
                <w:sz w:val="24"/>
                <w:szCs w:val="22"/>
                <w:lang w:val="zh-CN"/>
              </w:rPr>
              <w:t>%</w:t>
            </w:r>
            <w:r>
              <w:rPr>
                <w:rFonts w:hint="eastAsia" w:ascii="仿宋" w:hAnsi="仿宋" w:eastAsia="仿宋" w:cs="仿宋"/>
                <w:b/>
                <w:kern w:val="2"/>
                <w:sz w:val="24"/>
                <w:szCs w:val="22"/>
                <w:lang w:val="en-US" w:eastAsia="zh-CN"/>
              </w:rPr>
              <w:t>~5%</w:t>
            </w:r>
            <w:r>
              <w:rPr>
                <w:rFonts w:hint="eastAsia" w:ascii="仿宋" w:hAnsi="仿宋" w:eastAsia="仿宋" w:cs="仿宋"/>
                <w:b/>
                <w:kern w:val="2"/>
                <w:sz w:val="24"/>
                <w:szCs w:val="22"/>
                <w:lang w:val="zh-CN"/>
              </w:rPr>
              <w:t>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tabs>
          <w:tab w:val="left" w:pos="8280"/>
        </w:tabs>
        <w:spacing w:line="360" w:lineRule="auto"/>
        <w:ind w:right="-1"/>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w:t>
      </w:r>
      <w:r>
        <w:rPr>
          <w:rFonts w:hint="eastAsia" w:ascii="宋体" w:hAnsi="宋体" w:cs="宋体"/>
          <w:bCs/>
          <w:sz w:val="24"/>
        </w:rPr>
        <w:t>招标方</w:t>
      </w:r>
      <w:r>
        <w:rPr>
          <w:rFonts w:hint="eastAsia" w:ascii="宋体" w:hAnsi="宋体" w:cs="宋体"/>
          <w:sz w:val="24"/>
          <w:lang w:val="zh-CN"/>
        </w:rPr>
        <w:t>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w:t>
      </w:r>
      <w:r>
        <w:rPr>
          <w:rFonts w:hint="eastAsia" w:ascii="宋体" w:hAnsi="宋体" w:cs="宋体"/>
          <w:bCs/>
          <w:sz w:val="24"/>
        </w:rPr>
        <w:t>招标方</w:t>
      </w:r>
      <w:r>
        <w:rPr>
          <w:rFonts w:hint="eastAsia" w:ascii="宋体" w:hAnsi="宋体" w:cs="宋体"/>
          <w:sz w:val="24"/>
          <w:szCs w:val="24"/>
        </w:rPr>
        <w:t>。编写的评标报告要符合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本次</w:t>
      </w:r>
      <w:r>
        <w:rPr>
          <w:rFonts w:hint="eastAsia" w:ascii="宋体" w:hAnsi="宋体" w:cs="宋体"/>
          <w:sz w:val="24"/>
          <w:lang w:val="zh-CN"/>
        </w:rPr>
        <w:t>评标委员会</w:t>
      </w:r>
      <w:r>
        <w:rPr>
          <w:rFonts w:hint="eastAsia" w:ascii="宋体" w:hAnsi="宋体" w:cs="宋体"/>
          <w:sz w:val="24"/>
          <w:szCs w:val="24"/>
        </w:rPr>
        <w:t>推荐的第一拟成交供应商名单</w:t>
      </w:r>
      <w:r>
        <w:rPr>
          <w:rFonts w:hint="eastAsia" w:ascii="宋体" w:hAnsi="宋体" w:cs="宋体"/>
          <w:sz w:val="24"/>
          <w:szCs w:val="24"/>
          <w:lang w:eastAsia="zh-CN"/>
        </w:rPr>
        <w:t>，经</w:t>
      </w:r>
      <w:r>
        <w:rPr>
          <w:rFonts w:hint="eastAsia" w:ascii="宋体" w:hAnsi="宋体" w:cs="宋体"/>
          <w:bCs/>
          <w:sz w:val="24"/>
        </w:rPr>
        <w:t>招标方</w:t>
      </w:r>
      <w:r>
        <w:rPr>
          <w:rFonts w:hint="eastAsia" w:ascii="宋体" w:hAnsi="宋体" w:cs="宋体"/>
          <w:sz w:val="24"/>
          <w:szCs w:val="24"/>
          <w:lang w:eastAsia="zh-CN"/>
        </w:rPr>
        <w:t>确认后，代理机构在政府采购网上公布结果公告</w:t>
      </w:r>
      <w:r>
        <w:rPr>
          <w:rFonts w:hint="eastAsia" w:ascii="宋体" w:hAnsi="宋体" w:cs="宋体"/>
          <w:sz w:val="24"/>
          <w:szCs w:val="24"/>
        </w:rPr>
        <w:t>。</w:t>
      </w:r>
    </w:p>
    <w:p>
      <w:pPr>
        <w:pStyle w:val="5"/>
        <w:bidi w:val="0"/>
        <w:spacing w:after="0" w:afterAutospacing="0"/>
        <w:jc w:val="center"/>
      </w:pPr>
      <w:r>
        <w:rPr>
          <w:rFonts w:hint="eastAsia"/>
        </w:rPr>
        <w:t>第三章 定　标</w:t>
      </w:r>
    </w:p>
    <w:p>
      <w:pPr>
        <w:pStyle w:val="9"/>
        <w:spacing w:beforeAutospacing="0"/>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w:t>
      </w:r>
      <w:r>
        <w:rPr>
          <w:rFonts w:hint="eastAsia" w:ascii="宋体" w:hAnsi="宋体" w:cs="宋体"/>
          <w:bCs/>
          <w:sz w:val="24"/>
        </w:rPr>
        <w:t>招标方</w:t>
      </w:r>
      <w:r>
        <w:rPr>
          <w:rFonts w:hint="eastAsia" w:ascii="宋体" w:hAnsi="宋体" w:cs="宋体"/>
          <w:sz w:val="24"/>
          <w:szCs w:val="24"/>
        </w:rPr>
        <w:t>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如果</w:t>
      </w:r>
      <w:r>
        <w:rPr>
          <w:rFonts w:hint="eastAsia" w:ascii="宋体" w:hAnsi="宋体" w:cs="宋体"/>
          <w:bCs/>
          <w:sz w:val="24"/>
          <w:lang w:eastAsia="zh-CN"/>
        </w:rPr>
        <w:t>招标方</w:t>
      </w:r>
      <w:r>
        <w:rPr>
          <w:rFonts w:hint="eastAsia" w:ascii="宋体" w:hAnsi="宋体" w:cs="宋体"/>
          <w:bCs/>
          <w:sz w:val="24"/>
        </w:rPr>
        <w:t>确定该中标供应商无条件圆满履行合同，应由招标方将对下一个可能成交的投标供应商资格做出类似的审查。</w:t>
      </w:r>
    </w:p>
    <w:p>
      <w:pPr>
        <w:pStyle w:val="2"/>
      </w:pP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《中标通知书》是作为</w:t>
      </w:r>
      <w:r>
        <w:rPr>
          <w:rFonts w:hint="eastAsia" w:ascii="宋体" w:hAnsi="宋体" w:cs="宋体"/>
          <w:sz w:val="24"/>
          <w:szCs w:val="24"/>
          <w:lang w:eastAsia="zh-CN"/>
        </w:rPr>
        <w:t>采购人</w:t>
      </w:r>
      <w:r>
        <w:rPr>
          <w:rFonts w:hint="eastAsia" w:ascii="宋体" w:hAnsi="宋体" w:cs="宋体"/>
          <w:sz w:val="24"/>
          <w:szCs w:val="24"/>
        </w:rPr>
        <w:t>、中标供应商</w:t>
      </w:r>
      <w:r>
        <w:rPr>
          <w:rFonts w:hint="eastAsia" w:ascii="宋体" w:hAnsi="宋体" w:cs="宋体"/>
          <w:sz w:val="24"/>
          <w:lang w:val="zh-CN"/>
        </w:rPr>
        <w:t>双方签订盖章的合同依据。</w:t>
      </w:r>
    </w:p>
    <w:p>
      <w:pPr>
        <w:rPr>
          <w:rFonts w:hint="eastAsia"/>
        </w:rPr>
      </w:pPr>
      <w:r>
        <w:rPr>
          <w:rFonts w:hint="eastAsia"/>
        </w:rPr>
        <w:br w:type="page"/>
      </w:r>
    </w:p>
    <w:p>
      <w:pPr>
        <w:pStyle w:val="5"/>
        <w:bidi w:val="0"/>
        <w:spacing w:after="0" w:afterAutospacing="0"/>
        <w:jc w:val="center"/>
      </w:pPr>
      <w:r>
        <w:rPr>
          <w:rFonts w:hint="eastAsia"/>
        </w:rPr>
        <w:t>第四章 授予合同</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5</w:t>
      </w:r>
      <w:r>
        <w:rPr>
          <w:rFonts w:hint="eastAsia" w:ascii="宋体" w:hAnsi="宋体" w:cs="宋体"/>
          <w:sz w:val="24"/>
          <w:lang w:val="zh-CN"/>
        </w:rPr>
        <w:t xml:space="preserve">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6</w:t>
      </w:r>
      <w:r>
        <w:rPr>
          <w:rFonts w:hint="eastAsia" w:ascii="宋体" w:hAnsi="宋体" w:cs="宋体"/>
          <w:sz w:val="24"/>
          <w:lang w:val="zh-CN"/>
        </w:rPr>
        <w:t xml:space="preserve">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7</w:t>
      </w:r>
      <w:r>
        <w:rPr>
          <w:rFonts w:hint="eastAsia" w:ascii="宋体" w:hAnsi="宋体" w:cs="宋体"/>
          <w:sz w:val="24"/>
          <w:lang w:val="zh-CN"/>
        </w:rPr>
        <w:t xml:space="preserve"> 在未经招标方允许的情况下，不允许中标人将成交项目分包或转交他人承担。而且招标方也不得直接指定分包人。</w:t>
      </w:r>
    </w:p>
    <w:p>
      <w:pPr>
        <w:rPr>
          <w:rFonts w:hint="eastAsia"/>
          <w:sz w:val="44"/>
          <w:szCs w:val="44"/>
        </w:rPr>
      </w:pPr>
      <w:r>
        <w:rPr>
          <w:rFonts w:hint="eastAsia"/>
          <w:sz w:val="44"/>
          <w:szCs w:val="44"/>
        </w:rPr>
        <w:br w:type="page"/>
      </w:r>
    </w:p>
    <w:p>
      <w:pPr>
        <w:rPr>
          <w:rFonts w:hint="eastAsia"/>
        </w:rPr>
      </w:pPr>
    </w:p>
    <w:p>
      <w:pPr>
        <w:pStyle w:val="4"/>
        <w:bidi w:val="0"/>
        <w:jc w:val="center"/>
        <w:rPr>
          <w:rFonts w:hint="eastAsia"/>
          <w:sz w:val="44"/>
          <w:szCs w:val="44"/>
          <w:lang w:eastAsia="zh-CN"/>
        </w:rPr>
      </w:pPr>
      <w:r>
        <w:rPr>
          <w:rFonts w:hint="eastAsia"/>
          <w:sz w:val="44"/>
          <w:szCs w:val="44"/>
        </w:rPr>
        <w:t>第</w:t>
      </w:r>
      <w:r>
        <w:rPr>
          <w:rFonts w:hint="eastAsia"/>
          <w:sz w:val="44"/>
          <w:szCs w:val="44"/>
          <w:lang w:eastAsia="zh-CN"/>
        </w:rPr>
        <w:t>六</w:t>
      </w:r>
      <w:r>
        <w:rPr>
          <w:rFonts w:hint="eastAsia"/>
          <w:sz w:val="44"/>
          <w:szCs w:val="44"/>
        </w:rPr>
        <w:t xml:space="preserve">部分 </w:t>
      </w:r>
      <w:r>
        <w:rPr>
          <w:rFonts w:hint="eastAsia"/>
          <w:sz w:val="44"/>
          <w:szCs w:val="44"/>
          <w:lang w:eastAsia="zh-CN"/>
        </w:rPr>
        <w:t>项目</w:t>
      </w:r>
      <w:r>
        <w:rPr>
          <w:rFonts w:hint="eastAsia"/>
          <w:sz w:val="44"/>
          <w:szCs w:val="44"/>
        </w:rPr>
        <w:t>需求</w:t>
      </w:r>
    </w:p>
    <w:p>
      <w:pPr>
        <w:pStyle w:val="34"/>
        <w:spacing w:before="0" w:beforeAutospacing="0" w:after="0" w:afterAutospacing="0" w:line="360" w:lineRule="auto"/>
        <w:rPr>
          <w:rFonts w:hint="eastAsia"/>
          <w:b/>
          <w:bCs w:val="0"/>
          <w:color w:val="000000"/>
          <w:szCs w:val="21"/>
          <w:lang w:bidi="ar"/>
        </w:rPr>
      </w:pPr>
      <w:r>
        <w:rPr>
          <w:rFonts w:hint="eastAsia"/>
          <w:b/>
          <w:bCs w:val="0"/>
          <w:color w:val="000000"/>
        </w:rPr>
        <w:t>附件1</w:t>
      </w:r>
      <w:r>
        <w:rPr>
          <w:rFonts w:hint="eastAsia"/>
          <w:b/>
          <w:bCs w:val="0"/>
          <w:color w:val="000000"/>
          <w:lang w:eastAsia="zh-CN"/>
        </w:rPr>
        <w:t>详见清单附表及清单编制说明</w:t>
      </w:r>
      <w:r>
        <w:rPr>
          <w:rFonts w:hint="eastAsia"/>
          <w:b/>
          <w:bCs w:val="0"/>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highlight w:val="none"/>
        </w:rPr>
      </w:pPr>
      <w:r>
        <w:rPr>
          <w:rFonts w:ascii="宋体" w:hAnsi="宋体" w:cs="Times New Roman"/>
          <w:b/>
        </w:rPr>
        <w:t>1.</w:t>
      </w:r>
      <w:r>
        <w:rPr>
          <w:rFonts w:hint="eastAsia" w:ascii="宋体" w:hAnsi="宋体" w:cs="Times New Roman"/>
          <w:b/>
          <w:highlight w:val="none"/>
        </w:rPr>
        <w:t>工程说明</w:t>
      </w:r>
    </w:p>
    <w:p>
      <w:pPr>
        <w:widowControl w:val="0"/>
        <w:spacing w:line="320" w:lineRule="exact"/>
        <w:ind w:left="479" w:leftChars="228"/>
        <w:rPr>
          <w:rFonts w:ascii="宋体" w:cs="Times New Roman"/>
          <w:highlight w:val="none"/>
        </w:rPr>
      </w:pPr>
      <w:r>
        <w:rPr>
          <w:rFonts w:ascii="宋体" w:hAnsi="宋体" w:cs="Times New Roman"/>
          <w:highlight w:val="none"/>
        </w:rPr>
        <w:t xml:space="preserve">1.1 </w:t>
      </w:r>
      <w:r>
        <w:rPr>
          <w:rFonts w:hint="eastAsia" w:ascii="宋体" w:hAnsi="宋体" w:cs="Times New Roman"/>
          <w:highlight w:val="none"/>
        </w:rPr>
        <w:t>工程概况</w:t>
      </w:r>
    </w:p>
    <w:p>
      <w:pPr>
        <w:widowControl w:val="0"/>
        <w:spacing w:line="320" w:lineRule="exact"/>
        <w:ind w:left="479" w:leftChars="228"/>
        <w:rPr>
          <w:rFonts w:ascii="宋体" w:cs="Times New Roman"/>
          <w:highlight w:val="none"/>
        </w:rPr>
      </w:pPr>
      <w:r>
        <w:rPr>
          <w:rFonts w:ascii="宋体" w:hAnsi="宋体" w:cs="Times New Roman"/>
          <w:highlight w:val="none"/>
        </w:rPr>
        <w:t xml:space="preserve">l.1.1 </w:t>
      </w:r>
      <w:r>
        <w:rPr>
          <w:rFonts w:hint="eastAsia" w:ascii="宋体" w:hAnsi="宋体" w:cs="Times New Roman"/>
          <w:highlight w:val="none"/>
        </w:rPr>
        <w:t>本工程基本情况如下：</w:t>
      </w:r>
    </w:p>
    <w:p>
      <w:pPr>
        <w:spacing w:line="240" w:lineRule="auto"/>
        <w:ind w:firstLine="420" w:firstLineChars="200"/>
        <w:jc w:val="left"/>
        <w:rPr>
          <w:rFonts w:hint="eastAsia" w:ascii="宋体" w:hAnsi="宋体" w:cs="Times New Roman"/>
          <w:bCs/>
          <w:sz w:val="21"/>
          <w:szCs w:val="20"/>
          <w:highlight w:val="none"/>
          <w:lang w:eastAsia="zh-CN"/>
        </w:rPr>
      </w:pPr>
      <w:r>
        <w:rPr>
          <w:rFonts w:hint="eastAsia" w:ascii="宋体" w:hAnsi="宋体" w:cs="Times New Roman"/>
          <w:bCs/>
          <w:sz w:val="21"/>
          <w:szCs w:val="20"/>
          <w:highlight w:val="none"/>
        </w:rPr>
        <w:t>工程名称：</w:t>
      </w:r>
      <w:r>
        <w:rPr>
          <w:rFonts w:hint="eastAsia" w:ascii="宋体" w:hAnsi="宋体" w:cs="Times New Roman"/>
          <w:bCs/>
          <w:sz w:val="21"/>
          <w:szCs w:val="20"/>
          <w:highlight w:val="none"/>
          <w:lang w:eastAsia="zh-CN"/>
        </w:rPr>
        <w:t>吾塔木乡尤勒滚艾日克村人居环境综合整治项目</w:t>
      </w:r>
    </w:p>
    <w:p>
      <w:pPr>
        <w:spacing w:line="240" w:lineRule="auto"/>
        <w:jc w:val="left"/>
        <w:rPr>
          <w:rFonts w:hint="eastAsia" w:ascii="宋体" w:hAnsi="宋体" w:cs="Times New Roman"/>
          <w:sz w:val="21"/>
          <w:szCs w:val="20"/>
          <w:highlight w:val="none"/>
        </w:rPr>
      </w:pPr>
      <w:r>
        <w:rPr>
          <w:rFonts w:hint="eastAsia" w:ascii="宋体" w:hAnsi="宋体" w:cs="Times New Roman"/>
          <w:sz w:val="21"/>
          <w:szCs w:val="20"/>
          <w:highlight w:val="none"/>
          <w:lang w:eastAsia="zh-CN"/>
        </w:rPr>
        <w:t>采购内容</w:t>
      </w:r>
      <w:r>
        <w:rPr>
          <w:rFonts w:hint="eastAsia" w:ascii="宋体" w:hAnsi="宋体" w:cs="Times New Roman"/>
          <w:sz w:val="21"/>
          <w:szCs w:val="20"/>
          <w:highlight w:val="none"/>
        </w:rPr>
        <w:t>：</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1.枣乡路（315进口处）右侧修建围挡设施85米；</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2.枣乡路（315进口处）左侧制作宣传栏620㎡、下沿地面铺设彩砖路465㎡；</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3.在吐孜勒克喀什西路修围挡260米；</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4.对乐园路（520米）安装单项太阳能路灯17盏，万亩红枣基地观景台照明设施；</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5.对巴格艾日克路以北历年来形成非正规垃圾堆放点进行整治清理，并对银环北路历年形成的20亩高土防风林进行平整和修正，解决无法浇水问题。</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6.对枣乡路（学校至农科站路段）870米绿化带单边安装水泥路沿石870米，对进地路口搭建渠道桥12座，进行硬化240平米；</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7.对枣乡路公交车站突出红枣文化进行提升改造，新制作12处宣传栏；</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8.对枣乡路商铺统一规划制作牌匾12个；</w:t>
      </w:r>
    </w:p>
    <w:p>
      <w:pPr>
        <w:widowControl w:val="0"/>
        <w:spacing w:line="320" w:lineRule="exact"/>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9.在巴格艾日克村的污水处理站新建1座化粪池50m3；对30处全村破损的路面、21个老旧垃圾房、维修500米破损人行道、50个损坏污水检查井、150盏损坏路灯进行维修；采购吸污车1辆。</w:t>
      </w:r>
    </w:p>
    <w:p>
      <w:pPr>
        <w:widowControl w:val="0"/>
        <w:spacing w:line="320" w:lineRule="exact"/>
        <w:rPr>
          <w:rFonts w:hint="default" w:ascii="宋体" w:eastAsia="宋体" w:cs="Times New Roman"/>
          <w:sz w:val="20"/>
          <w:szCs w:val="18"/>
          <w:highlight w:val="none"/>
          <w:lang w:val="en-US" w:eastAsia="zh-CN"/>
        </w:rPr>
      </w:pPr>
      <w:r>
        <w:rPr>
          <w:rFonts w:ascii="宋体" w:hAnsi="宋体" w:cs="Times New Roman"/>
          <w:sz w:val="21"/>
          <w:szCs w:val="20"/>
          <w:highlight w:val="none"/>
        </w:rPr>
        <w:t xml:space="preserve">1.1.2 </w:t>
      </w:r>
      <w:r>
        <w:rPr>
          <w:rFonts w:hint="eastAsia" w:ascii="宋体" w:hAnsi="宋体" w:cs="Times New Roman"/>
          <w:sz w:val="21"/>
          <w:szCs w:val="20"/>
          <w:highlight w:val="none"/>
        </w:rPr>
        <w:t>本工程施工场地</w:t>
      </w:r>
      <w:r>
        <w:rPr>
          <w:rFonts w:ascii="宋体" w:hAnsi="宋体" w:cs="Times New Roman"/>
          <w:sz w:val="21"/>
          <w:szCs w:val="20"/>
          <w:highlight w:val="none"/>
        </w:rPr>
        <w:t>(</w:t>
      </w:r>
      <w:r>
        <w:rPr>
          <w:rFonts w:hint="eastAsia" w:ascii="宋体" w:hAnsi="宋体" w:cs="Times New Roman"/>
          <w:sz w:val="21"/>
          <w:szCs w:val="20"/>
          <w:highlight w:val="none"/>
        </w:rPr>
        <w:t>现场</w:t>
      </w:r>
      <w:r>
        <w:rPr>
          <w:rFonts w:ascii="宋体" w:hAnsi="宋体" w:cs="Times New Roman"/>
          <w:sz w:val="21"/>
          <w:szCs w:val="20"/>
          <w:highlight w:val="none"/>
        </w:rPr>
        <w:t>)</w:t>
      </w:r>
      <w:r>
        <w:rPr>
          <w:rFonts w:hint="eastAsia" w:ascii="宋体" w:hAnsi="宋体" w:cs="Times New Roman"/>
          <w:sz w:val="21"/>
          <w:szCs w:val="20"/>
          <w:highlight w:val="none"/>
        </w:rPr>
        <w:t>具体地理位置如下：</w:t>
      </w:r>
      <w:r>
        <w:rPr>
          <w:rFonts w:hint="eastAsia" w:ascii="宋体" w:hAnsi="宋体" w:cs="宋体"/>
          <w:sz w:val="22"/>
          <w:szCs w:val="22"/>
          <w:highlight w:val="none"/>
          <w:lang w:eastAsia="zh-CN"/>
        </w:rPr>
        <w:t>若羌县吾塔木乡</w:t>
      </w:r>
    </w:p>
    <w:p>
      <w:pPr>
        <w:widowControl w:val="0"/>
        <w:spacing w:line="320" w:lineRule="exact"/>
        <w:ind w:left="479" w:leftChars="228"/>
        <w:rPr>
          <w:rFonts w:ascii="宋体" w:cs="Times New Roman"/>
          <w:highlight w:val="none"/>
        </w:rPr>
      </w:pPr>
      <w:r>
        <w:rPr>
          <w:rFonts w:ascii="宋体" w:hAnsi="宋体" w:cs="Times New Roman"/>
          <w:highlight w:val="none"/>
        </w:rPr>
        <w:t xml:space="preserve">1.2  </w:t>
      </w:r>
      <w:r>
        <w:rPr>
          <w:rFonts w:hint="eastAsia" w:ascii="宋体" w:hAnsi="宋体" w:cs="Times New Roman"/>
          <w:highlight w:val="none"/>
        </w:rPr>
        <w:t>现场条件和周围环境</w:t>
      </w:r>
    </w:p>
    <w:p>
      <w:pPr>
        <w:widowControl w:val="0"/>
        <w:spacing w:line="320" w:lineRule="exact"/>
        <w:ind w:firstLine="420" w:firstLineChars="200"/>
        <w:rPr>
          <w:rFonts w:ascii="宋体" w:cs="Times New Roman"/>
          <w:highlight w:val="none"/>
        </w:rPr>
      </w:pPr>
      <w:r>
        <w:rPr>
          <w:rFonts w:ascii="宋体" w:hAnsi="宋体" w:cs="Times New Roman"/>
          <w:highlight w:val="none"/>
        </w:rPr>
        <w:t xml:space="preserve">1.2.1 </w:t>
      </w:r>
      <w:r>
        <w:rPr>
          <w:rFonts w:hint="eastAsia" w:ascii="宋体" w:hAnsi="宋体" w:cs="Times New Roman"/>
          <w:highlight w:val="none"/>
        </w:rPr>
        <w:t>本工程施工场地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已经具备施工条件。施工场地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临时水源接口位置、临时电源接口位置、临时排污口位置、建筑红线位置、道路交通和出入口、以及施工场地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和周围环境等情况。</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1.2.2</w:t>
      </w: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临时供水管径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临时排污管径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临时雨水管径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施工现场临时供电容量</w:t>
      </w:r>
      <w:r>
        <w:rPr>
          <w:rFonts w:ascii="宋体" w:hAnsi="宋体" w:cs="Times New Roman"/>
          <w:highlight w:val="none"/>
        </w:rPr>
        <w:t>(</w:t>
      </w:r>
      <w:r>
        <w:rPr>
          <w:rFonts w:hint="eastAsia" w:ascii="宋体" w:hAnsi="宋体" w:cs="Times New Roman"/>
          <w:highlight w:val="none"/>
        </w:rPr>
        <w:t>变压器输出功率</w:t>
      </w:r>
      <w:r>
        <w:rPr>
          <w:rFonts w:ascii="宋体" w:hAnsi="宋体" w:cs="Times New Roman"/>
          <w:highlight w:val="none"/>
        </w:rPr>
        <w:t>)</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479" w:leftChars="228"/>
        <w:rPr>
          <w:rFonts w:ascii="宋体" w:cs="Times New Roman"/>
          <w:highlight w:val="none"/>
        </w:rPr>
      </w:pPr>
      <w:r>
        <w:rPr>
          <w:rFonts w:ascii="宋体" w:hAnsi="宋体" w:cs="Times New Roman"/>
          <w:highlight w:val="none"/>
        </w:rPr>
        <w:t>1.2.3</w:t>
      </w:r>
      <w:r>
        <w:rPr>
          <w:rFonts w:hint="eastAsia" w:ascii="宋体" w:hAnsi="宋体" w:cs="Times New Roman"/>
          <w:highlight w:val="none"/>
        </w:rPr>
        <w:t>现场条件和周围环境的其他资料和信息数据如下：</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1" w:firstLine="420" w:firstLineChars="200"/>
        <w:rPr>
          <w:rFonts w:ascii="宋体" w:cs="Times New Roman"/>
          <w:highlight w:val="none"/>
        </w:rPr>
      </w:pPr>
      <w:r>
        <w:rPr>
          <w:rFonts w:ascii="宋体" w:hAnsi="宋体" w:cs="Times New Roman"/>
          <w:highlight w:val="none"/>
        </w:rPr>
        <w:t xml:space="preserve">1.2.4 </w:t>
      </w:r>
      <w:r>
        <w:rPr>
          <w:rFonts w:hint="eastAsia" w:ascii="宋体" w:hAnsi="宋体" w:cs="Times New Roman"/>
          <w:highlight w:val="none"/>
        </w:rPr>
        <w:t>承包人被认为已在本工程投标阶段踏勘现场时充分了解本工程现场条件和周围环境，并已在其投标时就此给予了充分的考虑。</w:t>
      </w:r>
    </w:p>
    <w:p>
      <w:pPr>
        <w:widowControl w:val="0"/>
        <w:spacing w:line="320" w:lineRule="exact"/>
        <w:ind w:left="479" w:leftChars="228"/>
        <w:jc w:val="left"/>
        <w:rPr>
          <w:rFonts w:ascii="宋体" w:cs="Times New Roman"/>
          <w:highlight w:val="none"/>
        </w:rPr>
      </w:pPr>
      <w:r>
        <w:rPr>
          <w:rFonts w:ascii="宋体" w:hAnsi="宋体" w:cs="Times New Roman"/>
          <w:highlight w:val="none"/>
        </w:rPr>
        <w:t xml:space="preserve">1.3 </w:t>
      </w:r>
      <w:r>
        <w:rPr>
          <w:rFonts w:hint="eastAsia" w:ascii="宋体" w:hAnsi="宋体" w:cs="Times New Roman"/>
          <w:highlight w:val="none"/>
        </w:rPr>
        <w:t>地质及水文资料</w:t>
      </w:r>
    </w:p>
    <w:p>
      <w:pPr>
        <w:widowControl w:val="0"/>
        <w:spacing w:line="320" w:lineRule="exact"/>
        <w:ind w:left="479" w:leftChars="228"/>
        <w:jc w:val="left"/>
        <w:rPr>
          <w:rFonts w:ascii="宋体" w:cs="Times New Roman"/>
          <w:color w:val="auto"/>
          <w:highlight w:val="none"/>
        </w:rPr>
      </w:pPr>
      <w:r>
        <w:rPr>
          <w:rFonts w:ascii="宋体" w:hAnsi="宋体" w:cs="Times New Roman"/>
          <w:highlight w:val="none"/>
        </w:rPr>
        <w:t xml:space="preserve">1.3.1 </w:t>
      </w:r>
      <w:r>
        <w:rPr>
          <w:rFonts w:hint="eastAsia" w:ascii="宋体" w:hAnsi="宋体" w:cs="Times New Roman"/>
          <w:highlight w:val="none"/>
        </w:rPr>
        <w:t>现场地质及水文资料和信息数据如下：</w:t>
      </w:r>
      <w:r>
        <w:rPr>
          <w:rFonts w:hint="eastAsia" w:ascii="宋体" w:hAnsi="宋体" w:cs="Times New Roman"/>
          <w:color w:val="auto"/>
          <w:highlight w:val="none"/>
          <w:u w:val="single"/>
          <w:lang w:val="en-US" w:eastAsia="zh-CN"/>
        </w:rPr>
        <w:t xml:space="preserve">      /     </w:t>
      </w:r>
      <w:r>
        <w:rPr>
          <w:rFonts w:hint="eastAsia" w:ascii="宋体" w:hAnsi="宋体" w:cs="Times New Roman"/>
          <w:color w:val="auto"/>
          <w:highlight w:val="none"/>
        </w:rPr>
        <w:t>。</w:t>
      </w:r>
    </w:p>
    <w:p>
      <w:pPr>
        <w:widowControl w:val="0"/>
        <w:spacing w:line="320" w:lineRule="exact"/>
        <w:ind w:left="1109" w:leftChars="228" w:hanging="630" w:hangingChars="300"/>
        <w:jc w:val="left"/>
        <w:rPr>
          <w:rFonts w:ascii="宋体" w:cs="Times New Roman"/>
          <w:color w:val="auto"/>
          <w:highlight w:val="none"/>
        </w:rPr>
      </w:pPr>
      <w:r>
        <w:rPr>
          <w:rFonts w:ascii="宋体" w:hAnsi="宋体" w:cs="Times New Roman"/>
          <w:color w:val="auto"/>
          <w:highlight w:val="none"/>
        </w:rPr>
        <w:t xml:space="preserve">1.4 </w:t>
      </w:r>
      <w:r>
        <w:rPr>
          <w:rFonts w:hint="eastAsia" w:ascii="宋体" w:hAnsi="宋体" w:cs="Times New Roman"/>
          <w:color w:val="auto"/>
          <w:highlight w:val="none"/>
        </w:rPr>
        <w:t>资料和信息的使用</w:t>
      </w:r>
    </w:p>
    <w:p>
      <w:pPr>
        <w:widowControl w:val="0"/>
        <w:spacing w:line="320" w:lineRule="exact"/>
        <w:ind w:firstLine="420" w:firstLineChars="200"/>
        <w:jc w:val="left"/>
        <w:rPr>
          <w:rFonts w:ascii="宋体" w:cs="Times New Roman"/>
          <w:highlight w:val="none"/>
        </w:rPr>
      </w:pPr>
      <w:r>
        <w:rPr>
          <w:rFonts w:ascii="宋体" w:hAnsi="宋体" w:cs="Times New Roman"/>
          <w:highlight w:val="none"/>
        </w:rPr>
        <w:t xml:space="preserve">1.4.1 </w:t>
      </w:r>
      <w:r>
        <w:rPr>
          <w:rFonts w:hint="eastAsia" w:ascii="宋体" w:hAnsi="宋体" w:cs="Times New Roman"/>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highlight w:val="none"/>
        </w:rPr>
      </w:pPr>
      <w:r>
        <w:rPr>
          <w:rFonts w:ascii="宋体" w:hAnsi="宋体" w:cs="Times New Roman"/>
          <w:b/>
          <w:highlight w:val="none"/>
        </w:rPr>
        <w:t>2.</w:t>
      </w:r>
      <w:r>
        <w:rPr>
          <w:rFonts w:hint="eastAsia" w:ascii="宋体" w:hAnsi="宋体" w:cs="Times New Roman"/>
          <w:b/>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 </w:t>
      </w:r>
      <w:r>
        <w:rPr>
          <w:rFonts w:hint="eastAsia" w:ascii="宋体" w:hAnsi="宋体" w:cs="Times New Roman"/>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2.1.1 </w:t>
      </w:r>
      <w:r>
        <w:rPr>
          <w:rFonts w:hint="eastAsia" w:ascii="宋体" w:hAnsi="宋体" w:cs="Times New Roman"/>
          <w:highlight w:val="none"/>
        </w:rPr>
        <w:t>承包人自行施工范围</w:t>
      </w:r>
    </w:p>
    <w:p>
      <w:pPr>
        <w:widowControl w:val="0"/>
        <w:spacing w:line="320" w:lineRule="exact"/>
        <w:ind w:firstLine="411" w:firstLineChars="196"/>
        <w:rPr>
          <w:rFonts w:hint="default" w:ascii="宋体" w:eastAsia="宋体" w:cs="Times New Roman"/>
          <w:bCs/>
          <w:highlight w:val="none"/>
          <w:u w:val="single"/>
          <w:lang w:val="en-US" w:eastAsia="zh-CN"/>
        </w:rPr>
      </w:pPr>
      <w:r>
        <w:rPr>
          <w:rFonts w:hint="eastAsia" w:ascii="宋体" w:hAnsi="宋体" w:cs="Times New Roman"/>
          <w:highlight w:val="none"/>
        </w:rPr>
        <w:t>本工程承包人自行施工的工程范围如下：</w:t>
      </w:r>
      <w:r>
        <w:rPr>
          <w:rFonts w:hint="eastAsia" w:ascii="宋体" w:hAnsi="宋体" w:cs="Times New Roman"/>
          <w:highlight w:val="none"/>
          <w:u w:val="single"/>
          <w:lang w:val="en-US" w:eastAsia="zh-CN"/>
        </w:rPr>
        <w:t xml:space="preserve">    /       </w:t>
      </w:r>
    </w:p>
    <w:p>
      <w:pPr>
        <w:widowControl w:val="0"/>
        <w:spacing w:line="320" w:lineRule="exact"/>
        <w:ind w:firstLine="411" w:firstLineChars="196"/>
        <w:rPr>
          <w:rFonts w:ascii="宋体" w:cs="Times New Roman"/>
          <w:highlight w:val="none"/>
        </w:rPr>
      </w:pPr>
      <w:r>
        <w:rPr>
          <w:rFonts w:ascii="宋体" w:hAnsi="宋体" w:cs="Times New Roman"/>
          <w:highlight w:val="none"/>
        </w:rPr>
        <w:t xml:space="preserve">2.1.2 </w:t>
      </w:r>
      <w:r>
        <w:rPr>
          <w:rFonts w:hint="eastAsia" w:ascii="宋体" w:hAnsi="宋体" w:cs="Times New Roman"/>
          <w:highlight w:val="none"/>
        </w:rPr>
        <w:t>承包范围内的暂估价项目</w:t>
      </w:r>
    </w:p>
    <w:p>
      <w:pPr>
        <w:widowControl w:val="0"/>
        <w:spacing w:line="320" w:lineRule="exact"/>
        <w:ind w:left="2" w:firstLine="417" w:firstLineChars="199"/>
        <w:rPr>
          <w:rFonts w:ascii="宋体" w:cs="Times New Roman"/>
        </w:rPr>
      </w:pPr>
      <w:r>
        <w:rPr>
          <w:rFonts w:ascii="宋体" w:hAnsi="宋体" w:cs="Times New Roman"/>
          <w:highlight w:val="none"/>
        </w:rPr>
        <w:t xml:space="preserve">2.1.2.1 </w:t>
      </w:r>
      <w:r>
        <w:rPr>
          <w:rFonts w:hint="eastAsia" w:ascii="宋体" w:hAnsi="宋体" w:cs="Times New Roman"/>
          <w:highlight w:val="none"/>
        </w:rPr>
        <w:t>承包范围</w:t>
      </w:r>
      <w:r>
        <w:rPr>
          <w:rFonts w:hint="eastAsia" w:ascii="宋体" w:hAnsi="宋体" w:cs="Times New Roman"/>
          <w:highlight w:val="none"/>
          <w:u w:val="single"/>
          <w:lang w:val="en-US" w:eastAsia="zh-CN"/>
        </w:rPr>
        <w:t xml:space="preserve">                </w:t>
      </w:r>
      <w:r>
        <w:rPr>
          <w:rFonts w:hint="eastAsia" w:ascii="宋体" w:hAnsi="宋体" w:cs="Times New Roman"/>
          <w:highlight w:val="none"/>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firstLine="420" w:firstLineChars="200"/>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0" w:leftChars="0" w:firstLine="478" w:firstLineChars="228"/>
        <w:rPr>
          <w:rFonts w:ascii="宋体" w:cs="Times New Roman"/>
        </w:rPr>
      </w:pPr>
      <w:r>
        <w:rPr>
          <w:rFonts w:ascii="宋体" w:hAnsi="宋体" w:cs="Times New Roman"/>
        </w:rPr>
        <w:t xml:space="preserve">5.2.2 </w:t>
      </w:r>
      <w:r>
        <w:rPr>
          <w:rFonts w:hint="eastAsia" w:ascii="宋体" w:hAnsi="宋体" w:cs="Times New Roman"/>
        </w:rPr>
        <w:t>有合同约束力的其他设计文件中的有关文字说明是本节的组成内容。</w:t>
      </w:r>
    </w:p>
    <w:p>
      <w:pPr>
        <w:widowControl w:val="0"/>
        <w:spacing w:line="320" w:lineRule="exact"/>
        <w:rPr>
          <w:rFonts w:ascii="宋体" w:hAnsi="宋体" w:cs="Times New Roman"/>
          <w:b/>
        </w:rPr>
      </w:pP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tabs>
          <w:tab w:val="left" w:pos="345"/>
        </w:tabs>
        <w:spacing w:line="320" w:lineRule="exact"/>
        <w:ind w:left="781" w:leftChars="122" w:hanging="525" w:hangingChars="250"/>
        <w:rPr>
          <w:rFonts w:ascii="宋体" w:cs="Times New Roman"/>
        </w:rPr>
      </w:pPr>
      <w:r>
        <w:rPr>
          <w:rFonts w:hint="eastAsia" w:ascii="宋体" w:hAnsi="宋体" w:cs="Times New Roman"/>
          <w:lang w:eastAsia="zh-CN"/>
        </w:rPr>
        <w:tab/>
      </w:r>
      <w:r>
        <w:rPr>
          <w:rFonts w:hint="eastAsia" w:ascii="宋体" w:hAnsi="宋体" w:cs="Times New Roman"/>
          <w:lang w:val="en-US" w:eastAsia="zh-CN"/>
        </w:rPr>
        <w:t xml:space="preserve"> </w:t>
      </w: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945" w:leftChars="200"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tabs>
          <w:tab w:val="left" w:pos="396"/>
        </w:tabs>
        <w:spacing w:line="320" w:lineRule="exact"/>
        <w:ind w:left="0" w:leftChars="0" w:right="42" w:rightChars="20" w:firstLine="42" w:firstLineChars="20"/>
        <w:rPr>
          <w:rFonts w:ascii="宋体" w:cs="Times New Roman"/>
        </w:rPr>
      </w:pPr>
      <w:r>
        <w:rPr>
          <w:rFonts w:hint="eastAsia" w:ascii="宋体" w:hAnsi="宋体" w:cs="Times New Roman"/>
          <w:lang w:eastAsia="zh-CN"/>
        </w:rPr>
        <w:tab/>
      </w: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afterAutospacing="0" w:line="400" w:lineRule="exact"/>
        <w:jc w:val="center"/>
        <w:rPr>
          <w:rFonts w:ascii="宋体" w:cs="Times New Roman"/>
          <w:b/>
          <w:sz w:val="32"/>
          <w:szCs w:val="24"/>
        </w:rPr>
      </w:pPr>
    </w:p>
    <w:p>
      <w:pPr>
        <w:rPr>
          <w:rFonts w:hint="eastAsia"/>
        </w:rPr>
      </w:pPr>
      <w:r>
        <w:rPr>
          <w:rFonts w:hint="eastAsia"/>
        </w:rPr>
        <w:br w:type="page"/>
      </w:r>
    </w:p>
    <w:p>
      <w:pPr>
        <w:pStyle w:val="6"/>
        <w:bidi w:val="0"/>
        <w:spacing w:after="0" w:afterAutospacing="0"/>
        <w:jc w:val="center"/>
        <w:rPr>
          <w:rFonts w:hint="eastAsia"/>
        </w:rPr>
      </w:pPr>
      <w:r>
        <w:rPr>
          <w:rFonts w:hint="eastAsia"/>
        </w:rPr>
        <w:t>第二节特殊技术标准和要求</w:t>
      </w:r>
    </w:p>
    <w:p>
      <w:pPr>
        <w:rPr>
          <w:rFonts w:hint="eastAsia" w:eastAsia="宋体"/>
          <w:lang w:eastAsia="zh-CN"/>
        </w:rPr>
      </w:pPr>
      <w:r>
        <w:rPr>
          <w:rFonts w:hint="eastAsia"/>
          <w:lang w:eastAsia="zh-CN"/>
        </w:rPr>
        <w:t>（本项目无特殊要求）</w:t>
      </w:r>
    </w:p>
    <w:p>
      <w:pPr>
        <w:pStyle w:val="115"/>
        <w:spacing w:before="0" w:beforeAutospacing="0"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pStyle w:val="6"/>
        <w:bidi w:val="0"/>
        <w:spacing w:after="0" w:afterAutospacing="0"/>
        <w:jc w:val="center"/>
        <w:rPr>
          <w:rFonts w:hint="eastAsia"/>
        </w:rPr>
      </w:pPr>
    </w:p>
    <w:p>
      <w:pPr>
        <w:pStyle w:val="6"/>
        <w:bidi w:val="0"/>
        <w:spacing w:after="0" w:afterAutospacing="0"/>
        <w:jc w:val="center"/>
      </w:pPr>
      <w:r>
        <w:rPr>
          <w:rFonts w:hint="eastAsia"/>
        </w:rPr>
        <w:t>第三节适用的国家、行业以及地方规范、标准和规程</w:t>
      </w:r>
    </w:p>
    <w:p>
      <w:pPr>
        <w:widowControl w:val="0"/>
        <w:spacing w:beforeAutospacing="0"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rPr>
          <w:b/>
          <w:bCs/>
          <w:sz w:val="36"/>
          <w:szCs w:val="32"/>
        </w:rPr>
      </w:pPr>
    </w:p>
    <w:p>
      <w:pPr>
        <w:jc w:val="center"/>
        <w:rPr>
          <w:b/>
          <w:bCs/>
          <w:sz w:val="36"/>
          <w:szCs w:val="32"/>
        </w:rPr>
      </w:pPr>
      <w:r>
        <w:rPr>
          <w:rFonts w:hint="eastAsia"/>
          <w:b/>
          <w:bCs/>
          <w:sz w:val="36"/>
          <w:szCs w:val="32"/>
        </w:rPr>
        <w:t>第七部分 商务部分合同条款及格式</w:t>
      </w:r>
    </w:p>
    <w:p>
      <w:pPr>
        <w:pStyle w:val="115"/>
        <w:numPr>
          <w:ilvl w:val="0"/>
          <w:numId w:val="10"/>
        </w:numPr>
        <w:spacing w:before="0" w:beforeAutospacing="0"/>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4"/>
          <w:szCs w:val="24"/>
        </w:rPr>
      </w:pPr>
      <w:r>
        <w:rPr>
          <w:rFonts w:hint="eastAsia" w:ascii="宋体" w:hAnsi="宋体" w:eastAsia="宋体"/>
          <w:sz w:val="24"/>
          <w:szCs w:val="24"/>
        </w:rPr>
        <w:t>通用合同条款详见</w:t>
      </w:r>
      <w:r>
        <w:rPr>
          <w:rFonts w:ascii="宋体" w:hAnsi="宋体" w:eastAsia="宋体"/>
          <w:sz w:val="24"/>
          <w:szCs w:val="24"/>
        </w:rPr>
        <w:t>GF-201</w:t>
      </w:r>
      <w:r>
        <w:rPr>
          <w:rFonts w:hint="eastAsia" w:ascii="宋体" w:hAnsi="宋体" w:eastAsia="宋体"/>
          <w:sz w:val="24"/>
          <w:szCs w:val="24"/>
        </w:rPr>
        <w:t>7</w:t>
      </w:r>
      <w:r>
        <w:rPr>
          <w:rFonts w:ascii="宋体" w:hAnsi="宋体" w:eastAsia="宋体"/>
          <w:sz w:val="24"/>
          <w:szCs w:val="24"/>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w:t>
      </w:r>
      <w:r>
        <w:rPr>
          <w:rFonts w:hint="eastAsia" w:ascii="宋体" w:hAnsi="宋体" w:cs="Times New Roman"/>
          <w:sz w:val="24"/>
          <w:szCs w:val="24"/>
          <w:lang w:val="en-US" w:eastAsia="zh-CN"/>
        </w:rPr>
        <w:t>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适用于工程的国家标准、行业标准、工程所在地的地方性标准、以及相应的规范、规程等</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hint="eastAsia" w:ascii="宋体" w:hAnsi="宋体" w:cs="Times New Roman"/>
          <w:spacing w:val="4"/>
          <w:sz w:val="24"/>
          <w:szCs w:val="24"/>
          <w:u w:val="single"/>
          <w:lang w:val="en-US" w:eastAsia="zh-CN"/>
        </w:rPr>
        <w:t>7</w:t>
      </w:r>
      <w:r>
        <w:rPr>
          <w:rFonts w:hint="eastAsia" w:ascii="宋体" w:hAnsi="宋体" w:cs="Times New Roman"/>
          <w:spacing w:val="4"/>
          <w:sz w:val="24"/>
          <w:szCs w:val="24"/>
          <w:u w:val="single"/>
        </w:rPr>
        <w:t>）已标价工程量清单或预算书；（</w:t>
      </w:r>
      <w:r>
        <w:rPr>
          <w:rFonts w:hint="eastAsia" w:ascii="宋体" w:hAnsi="宋体" w:cs="Times New Roman"/>
          <w:spacing w:val="4"/>
          <w:sz w:val="24"/>
          <w:szCs w:val="24"/>
          <w:u w:val="single"/>
          <w:lang w:val="en-US" w:eastAsia="zh-CN"/>
        </w:rPr>
        <w:t>8</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highlight w:val="none"/>
        </w:rPr>
      </w:pPr>
      <w:r>
        <w:rPr>
          <w:rFonts w:ascii="宋体" w:hAnsi="宋体" w:cs="Times New Roman"/>
          <w:sz w:val="24"/>
          <w:szCs w:val="24"/>
        </w:rPr>
        <w:t xml:space="preserve">1.6.1 </w:t>
      </w:r>
      <w:r>
        <w:rPr>
          <w:rFonts w:hint="eastAsia" w:ascii="宋体" w:hAnsi="宋体" w:cs="Times New Roman"/>
          <w:sz w:val="24"/>
          <w:szCs w:val="24"/>
          <w:highlight w:val="none"/>
        </w:rPr>
        <w:t>图纸的提供</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发包人向承包人提供图纸的期限：</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发包人向承包人提供图纸的数量：</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发包人向承包人提供图纸的内容：</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hint="eastAsia" w:ascii="宋体" w:hAnsi="宋体" w:cs="Times New Roman"/>
          <w:sz w:val="24"/>
          <w:szCs w:val="24"/>
          <w:u w:val="single"/>
          <w:lang w:val="en-US" w:eastAsia="zh-CN"/>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yellow"/>
        </w:rPr>
        <w:t>承包人提供的文件的形式为：</w:t>
      </w:r>
      <w:r>
        <w:rPr>
          <w:rFonts w:hint="eastAsia" w:ascii="宋体" w:hAnsi="宋体" w:cs="Times New Roman"/>
          <w:sz w:val="24"/>
          <w:szCs w:val="24"/>
          <w:highlight w:val="yellow"/>
          <w:u w:val="single"/>
        </w:rPr>
        <w:t>书面形式</w:t>
      </w:r>
      <w:r>
        <w:rPr>
          <w:rFonts w:hint="eastAsia" w:ascii="宋体" w:hAnsi="宋体" w:cs="Times New Roman"/>
          <w:sz w:val="24"/>
          <w:szCs w:val="24"/>
          <w:highlight w:val="yellow"/>
          <w:u w:val="single"/>
          <w:lang w:eastAsia="zh-CN"/>
        </w:rPr>
        <w:t>及</w:t>
      </w:r>
      <w:r>
        <w:rPr>
          <w:rFonts w:hint="eastAsia" w:ascii="MingLiU_HKSCS" w:hAnsi="MingLiU_HKSCS" w:cs="MingLiU_HKSCS"/>
          <w:color w:val="000000"/>
          <w:sz w:val="24"/>
          <w:szCs w:val="24"/>
          <w:highlight w:val="yellow"/>
          <w:u w:val="single"/>
        </w:rPr>
        <w:t>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z w:val="24"/>
          <w:szCs w:val="24"/>
          <w:u w:val="single"/>
        </w:rPr>
        <w:t>：</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u w:val="single"/>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highlight w:val="yellow"/>
          <w:u w:val="single"/>
        </w:rPr>
        <w:t>执行通用条款</w:t>
      </w:r>
      <w:r>
        <w:rPr>
          <w:rFonts w:ascii="宋体" w:hAnsi="宋体" w:cs="Times New Roman"/>
          <w:sz w:val="24"/>
          <w:szCs w:val="24"/>
          <w:highlight w:val="yellow"/>
          <w:u w:val="single"/>
        </w:rPr>
        <w:t xml:space="preserve">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宋体" w:hAnsi="宋体" w:cs="Times New Roman"/>
          <w:sz w:val="24"/>
          <w:szCs w:val="24"/>
          <w:highlight w:val="yellow"/>
          <w:u w:val="single"/>
        </w:rPr>
        <w:t>执行通用条款</w:t>
      </w:r>
      <w:r>
        <w:rPr>
          <w:rFonts w:ascii="宋体" w:hAnsi="宋体" w:cs="Times New Roman"/>
          <w:sz w:val="24"/>
          <w:szCs w:val="24"/>
          <w:highlight w:val="yellow"/>
          <w:u w:val="single"/>
        </w:rPr>
        <w:t xml:space="preserve">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w:t>
      </w:r>
      <w:r>
        <w:rPr>
          <w:rFonts w:hint="eastAsia" w:ascii="宋体" w:hAnsi="宋体" w:cs="Times New Roman"/>
          <w:sz w:val="24"/>
          <w:szCs w:val="24"/>
          <w:highlight w:val="none"/>
        </w:rPr>
        <w:t>图纸</w:t>
      </w:r>
      <w:r>
        <w:rPr>
          <w:rFonts w:hint="eastAsia" w:ascii="宋体" w:hAnsi="宋体" w:cs="Times New Roman"/>
          <w:sz w:val="24"/>
          <w:szCs w:val="24"/>
        </w:rPr>
        <w:t>、发包人为实施工程自行编制或委托编制的技术规范以及反映发包人关于合同要求或其他类似性质的文件的著作权的归属：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yellow"/>
        </w:rPr>
        <w:t>关于发包人提供的上述文件的使用限制的要求：</w:t>
      </w:r>
      <w:r>
        <w:rPr>
          <w:rFonts w:hint="eastAsia" w:ascii="宋体" w:hAnsi="宋体" w:cs="Times New Roman"/>
          <w:sz w:val="24"/>
          <w:szCs w:val="24"/>
          <w:highlight w:val="yellow"/>
          <w:u w:val="single"/>
        </w:rPr>
        <w:t>执行通用条款</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highlight w:val="yellow"/>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宋体" w:hAnsi="宋体" w:cs="Times New Roman"/>
          <w:sz w:val="24"/>
          <w:szCs w:val="24"/>
          <w:highlight w:val="yellow"/>
          <w:u w:val="single"/>
        </w:rPr>
        <w:t>执行通用条款</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highlight w:val="yellow"/>
        </w:rPr>
        <w:t>出现工程量清单错误时，是否调整合同价格：</w:t>
      </w:r>
      <w:r>
        <w:rPr>
          <w:rFonts w:hint="eastAsia" w:ascii="宋体" w:hAnsi="宋体" w:cs="Times New Roman"/>
          <w:sz w:val="24"/>
          <w:szCs w:val="24"/>
          <w:highlight w:val="yellow"/>
          <w:u w:val="single"/>
          <w:lang w:eastAsia="zh-CN"/>
        </w:rPr>
        <w:t>允许</w:t>
      </w:r>
      <w:r>
        <w:rPr>
          <w:rFonts w:hint="eastAsia" w:ascii="宋体" w:hAnsi="宋体" w:cs="Times New Roman"/>
          <w:sz w:val="24"/>
          <w:szCs w:val="24"/>
          <w:highlight w:val="yellow"/>
          <w:u w:val="single"/>
        </w:rPr>
        <w:t>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w:t>
      </w:r>
      <w:r>
        <w:rPr>
          <w:rFonts w:hint="eastAsia" w:ascii="宋体" w:hAnsi="宋体" w:cs="Times New Roman"/>
          <w:spacing w:val="4"/>
          <w:sz w:val="24"/>
          <w:szCs w:val="24"/>
          <w:u w:val="single"/>
          <w:lang w:eastAsia="zh-CN"/>
        </w:rPr>
        <w:t>解决</w:t>
      </w:r>
      <w:r>
        <w:rPr>
          <w:rFonts w:hint="eastAsia" w:ascii="宋体" w:hAnsi="宋体" w:cs="Times New Roman"/>
          <w:spacing w:val="4"/>
          <w:sz w:val="24"/>
          <w:szCs w:val="24"/>
          <w:u w:val="single"/>
        </w:rPr>
        <w:t>工程质量、进度和安全文明施工中存在的问题，</w:t>
      </w:r>
      <w:r>
        <w:rPr>
          <w:rFonts w:hint="eastAsia" w:ascii="宋体" w:hAnsi="宋体" w:cs="Times New Roman"/>
          <w:spacing w:val="4"/>
          <w:sz w:val="24"/>
          <w:szCs w:val="24"/>
          <w:u w:val="single"/>
          <w:lang w:eastAsia="zh-CN"/>
        </w:rPr>
        <w:t>审核</w:t>
      </w:r>
      <w:r>
        <w:rPr>
          <w:rFonts w:hint="eastAsia" w:ascii="宋体" w:hAnsi="宋体" w:cs="Times New Roman"/>
          <w:spacing w:val="4"/>
          <w:sz w:val="24"/>
          <w:szCs w:val="24"/>
          <w:u w:val="single"/>
        </w:rPr>
        <w:t>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lang w:val="en-US" w:eastAsia="zh-CN"/>
        </w:rPr>
        <w:t>3.1.1</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hint="eastAsia" w:ascii="宋体" w:hAnsi="宋体" w:cs="Times New Roman"/>
          <w:sz w:val="24"/>
          <w:szCs w:val="24"/>
          <w:u w:val="single"/>
          <w:lang w:val="en-US" w:eastAsia="zh-CN"/>
        </w:rPr>
        <w:t>4</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3.1.2</w:t>
      </w:r>
      <w:r>
        <w:rPr>
          <w:rFonts w:hint="eastAsia" w:ascii="宋体" w:hAnsi="宋体" w:cs="Times New Roman"/>
          <w:sz w:val="24"/>
          <w:szCs w:val="24"/>
        </w:rPr>
        <w:t>承包人应履行的其他义务：</w:t>
      </w:r>
      <w:r>
        <w:rPr>
          <w:rFonts w:ascii="宋体" w:hAnsi="宋体" w:cs="Times New Roman"/>
          <w:sz w:val="24"/>
          <w:szCs w:val="24"/>
          <w:u w:val="single"/>
        </w:rPr>
        <w:t xml:space="preserve">  </w:t>
      </w:r>
      <w:r>
        <w:rPr>
          <w:rFonts w:hint="eastAsia" w:ascii="宋体" w:hAnsi="宋体" w:cs="Times New Roman"/>
          <w:sz w:val="24"/>
          <w:szCs w:val="24"/>
          <w:u w:val="single"/>
          <w:lang w:eastAsia="zh-CN"/>
        </w:rPr>
        <w:t>由合同当事人在签订施工合同时约定</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lang w:eastAsia="zh-CN"/>
        </w:rPr>
        <w:t>在甲方授权范围内</w:t>
      </w:r>
      <w:r>
        <w:rPr>
          <w:rFonts w:hint="eastAsia" w:ascii="宋体" w:hAnsi="宋体" w:cs="Times New Roman"/>
          <w:sz w:val="24"/>
          <w:szCs w:val="24"/>
          <w:u w:val="single"/>
        </w:rPr>
        <w:t>处理本项目的事务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hint="eastAsia" w:ascii="宋体" w:hAnsi="宋体" w:cs="Times New Roman"/>
          <w:sz w:val="24"/>
          <w:szCs w:val="24"/>
          <w:u w:val="single"/>
          <w:lang w:val="en-US" w:eastAsia="zh-CN"/>
        </w:rPr>
        <w:t>90</w:t>
      </w:r>
      <w:r>
        <w:rPr>
          <w:rFonts w:ascii="宋体" w:hAnsi="宋体" w:cs="Times New Roman"/>
          <w:sz w:val="24"/>
          <w:szCs w:val="24"/>
          <w:u w:val="single"/>
        </w:rPr>
        <w:t xml:space="preserve">%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297048345"/>
      <w:bookmarkStart w:id="1" w:name="_Toc297216151"/>
      <w:bookmarkStart w:id="2" w:name="_Toc304295523"/>
      <w:bookmarkStart w:id="3" w:name="_Toc296944498"/>
      <w:bookmarkStart w:id="4" w:name="_Toc297120459"/>
      <w:bookmarkStart w:id="5" w:name="_Toc296891199"/>
      <w:bookmarkStart w:id="6" w:name="_Toc296890987"/>
      <w:bookmarkStart w:id="7" w:name="_Toc312677988"/>
      <w:bookmarkStart w:id="8" w:name="_Toc303539102"/>
      <w:bookmarkStart w:id="9" w:name="_Toc296347158"/>
      <w:bookmarkStart w:id="10" w:name="_Toc292559364"/>
      <w:bookmarkStart w:id="11" w:name="_Toc292559869"/>
      <w:bookmarkStart w:id="12" w:name="_Toc297123492"/>
      <w:bookmarkStart w:id="13" w:name="_Toc296503159"/>
      <w:bookmarkStart w:id="14" w:name="_Toc300934945"/>
      <w:bookmarkStart w:id="15" w:name="_Toc296346660"/>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891200"/>
      <w:bookmarkStart w:id="17" w:name="_Toc296347159"/>
      <w:bookmarkStart w:id="18" w:name="_Toc292559870"/>
      <w:bookmarkStart w:id="19" w:name="_Toc296346661"/>
      <w:bookmarkStart w:id="20" w:name="_Toc297120460"/>
      <w:bookmarkStart w:id="21" w:name="_Toc296944499"/>
      <w:bookmarkStart w:id="22" w:name="_Toc296890988"/>
      <w:bookmarkStart w:id="23" w:name="_Toc292559365"/>
      <w:bookmarkStart w:id="24" w:name="_Toc297216152"/>
      <w:bookmarkStart w:id="25" w:name="_Toc297123493"/>
      <w:bookmarkStart w:id="26" w:name="_Toc300934946"/>
      <w:bookmarkStart w:id="27" w:name="_Toc297048346"/>
      <w:bookmarkStart w:id="28" w:name="_Toc304295524"/>
      <w:bookmarkStart w:id="29" w:name="_Toc303539103"/>
      <w:bookmarkStart w:id="30" w:name="_Toc296503160"/>
      <w:bookmarkStart w:id="31" w:name="_Toc312677989"/>
      <w:bookmarkStart w:id="32" w:name="_Toc318581158"/>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347160"/>
      <w:bookmarkStart w:id="34" w:name="_Toc296944500"/>
      <w:bookmarkStart w:id="35" w:name="_Toc297216153"/>
      <w:bookmarkStart w:id="36" w:name="_Toc297048347"/>
      <w:bookmarkStart w:id="37" w:name="_Toc296891201"/>
      <w:bookmarkStart w:id="38" w:name="_Toc297123494"/>
      <w:bookmarkStart w:id="39" w:name="_Toc304295525"/>
      <w:bookmarkStart w:id="40" w:name="_Toc297120461"/>
      <w:bookmarkStart w:id="41" w:name="_Toc296346662"/>
      <w:bookmarkStart w:id="42" w:name="_Toc303539104"/>
      <w:bookmarkStart w:id="43" w:name="_Toc296503161"/>
      <w:bookmarkStart w:id="44" w:name="_Toc300934947"/>
      <w:bookmarkStart w:id="45" w:name="_Toc296890989"/>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8581159"/>
      <w:bookmarkStart w:id="47" w:name="_Toc312677990"/>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双方另行约定</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双方另行约定。</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300934966"/>
      <w:bookmarkStart w:id="49" w:name="_Toc304295541"/>
      <w:bookmarkStart w:id="50" w:name="_Toc297216173"/>
      <w:bookmarkStart w:id="51" w:name="_Toc312678005"/>
      <w:bookmarkStart w:id="52" w:name="_Toc303539123"/>
      <w:bookmarkStart w:id="53" w:name="_Toc312677479"/>
      <w:bookmarkStart w:id="54" w:name="_Toc297123514"/>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highlight w:val="yellow"/>
          <w:u w:val="single"/>
          <w:lang w:eastAsia="zh-CN"/>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297123516"/>
      <w:bookmarkStart w:id="56" w:name="_Toc312677484"/>
      <w:bookmarkStart w:id="57" w:name="_Toc297216175"/>
      <w:bookmarkStart w:id="58" w:name="_Toc312678010"/>
      <w:bookmarkStart w:id="59" w:name="_Toc304295546"/>
      <w:bookmarkStart w:id="60" w:name="_Toc303539125"/>
      <w:bookmarkStart w:id="61" w:name="_Toc300934968"/>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2677486"/>
      <w:bookmarkStart w:id="63" w:name="_Toc312678012"/>
      <w:bookmarkStart w:id="64" w:name="_Toc318581169"/>
      <w:bookmarkStart w:id="65" w:name="_Toc297216177"/>
      <w:bookmarkStart w:id="66" w:name="_Toc300934970"/>
      <w:bookmarkStart w:id="67" w:name="_Toc297123518"/>
      <w:bookmarkStart w:id="68" w:name="_Toc303539127"/>
      <w:bookmarkStart w:id="69" w:name="_Toc304295548"/>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8581171"/>
      <w:bookmarkStart w:id="74" w:name="_Toc312678014"/>
      <w:r>
        <w:rPr>
          <w:rFonts w:hint="eastAsia" w:ascii="宋体" w:hAnsi="宋体" w:cs="Times New Roman"/>
          <w:sz w:val="24"/>
          <w:szCs w:val="24"/>
        </w:rPr>
        <w:t>期竣工违约金的上限：</w:t>
      </w:r>
      <w:r>
        <w:rPr>
          <w:rFonts w:hint="eastAsia" w:ascii="宋体" w:hAnsi="宋体" w:cs="Times New Roman"/>
          <w:sz w:val="24"/>
          <w:szCs w:val="24"/>
          <w:highlight w:val="yellow"/>
          <w:u w:val="single"/>
        </w:rPr>
        <w:t>总额不超过合同价款的</w:t>
      </w:r>
      <w:r>
        <w:rPr>
          <w:rFonts w:hint="eastAsia" w:ascii="宋体" w:hAnsi="宋体" w:cs="Times New Roman"/>
          <w:sz w:val="24"/>
          <w:szCs w:val="24"/>
          <w:highlight w:val="yellow"/>
          <w:u w:val="single"/>
          <w:lang w:val="en-US" w:eastAsia="zh-CN"/>
        </w:rPr>
        <w:t>30</w:t>
      </w:r>
      <w:r>
        <w:rPr>
          <w:rFonts w:ascii="宋体" w:hAnsi="宋体" w:cs="Times New Roman"/>
          <w:sz w:val="24"/>
          <w:szCs w:val="24"/>
          <w:highlight w:val="yellow"/>
          <w:u w:val="single"/>
        </w:rPr>
        <w:t>%</w:t>
      </w:r>
      <w:r>
        <w:rPr>
          <w:rFonts w:ascii="宋体" w:hAnsi="宋体" w:cs="Times New Roman"/>
          <w:sz w:val="24"/>
          <w:szCs w:val="24"/>
          <w:u w:val="single"/>
        </w:rPr>
        <w:t xml:space="preserve">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04295549"/>
      <w:bookmarkStart w:id="76" w:name="_Toc297216178"/>
      <w:bookmarkStart w:id="77" w:name="_Toc303539128"/>
      <w:bookmarkStart w:id="78" w:name="_Toc297123519"/>
      <w:bookmarkStart w:id="79" w:name="_Toc312678015"/>
      <w:bookmarkStart w:id="80" w:name="_Toc300934971"/>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297123520"/>
      <w:bookmarkStart w:id="82" w:name="_Toc300934972"/>
      <w:bookmarkStart w:id="83" w:name="_Toc312678016"/>
      <w:bookmarkStart w:id="84" w:name="_Toc303539129"/>
      <w:bookmarkStart w:id="85" w:name="_Toc318581172"/>
      <w:bookmarkStart w:id="86" w:name="_Toc304295550"/>
      <w:bookmarkStart w:id="87" w:name="_Toc297216179"/>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300934973"/>
      <w:bookmarkStart w:id="89" w:name="_Toc297123521"/>
      <w:bookmarkStart w:id="90" w:name="_Toc312678017"/>
      <w:bookmarkStart w:id="91" w:name="_Toc297216180"/>
      <w:bookmarkStart w:id="92" w:name="_Toc304295551"/>
      <w:bookmarkStart w:id="93" w:name="_Toc303539130"/>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300934979"/>
      <w:bookmarkStart w:id="95" w:name="_Toc296944506"/>
      <w:bookmarkStart w:id="96" w:name="_Toc292559877"/>
      <w:bookmarkStart w:id="97" w:name="_Toc280868654"/>
      <w:bookmarkStart w:id="98" w:name="_Toc312678019"/>
      <w:bookmarkStart w:id="99" w:name="_Toc296890995"/>
      <w:bookmarkStart w:id="100" w:name="_Toc296346668"/>
      <w:bookmarkStart w:id="101" w:name="_Toc296347166"/>
      <w:bookmarkStart w:id="102" w:name="_Toc292559372"/>
      <w:bookmarkStart w:id="103" w:name="_Toc297216186"/>
      <w:bookmarkStart w:id="104" w:name="_Toc312677493"/>
      <w:bookmarkStart w:id="105" w:name="_Toc296891207"/>
      <w:bookmarkStart w:id="106" w:name="_Toc297120467"/>
      <w:bookmarkStart w:id="107" w:name="_Toc296503167"/>
      <w:bookmarkStart w:id="108" w:name="_Toc297123527"/>
      <w:bookmarkStart w:id="109" w:name="_Toc304295556"/>
      <w:bookmarkStart w:id="110" w:name="_Toc303539136"/>
      <w:bookmarkStart w:id="111" w:name="_Toc297048353"/>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373"/>
      <w:bookmarkStart w:id="113" w:name="_Toc292559878"/>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4295560"/>
      <w:bookmarkStart w:id="115" w:name="_Toc312678022"/>
      <w:bookmarkStart w:id="116" w:name="_Toc312677496"/>
      <w:bookmarkStart w:id="117" w:name="_Toc297216193"/>
      <w:bookmarkStart w:id="118" w:name="_Toc297123534"/>
      <w:bookmarkStart w:id="119" w:name="_Toc303539140"/>
      <w:bookmarkStart w:id="120" w:name="_Toc300934983"/>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3539141"/>
      <w:bookmarkStart w:id="122" w:name="_Toc297123535"/>
      <w:bookmarkStart w:id="123" w:name="_Toc297216194"/>
      <w:bookmarkStart w:id="124" w:name="_Toc312677497"/>
      <w:bookmarkStart w:id="125" w:name="_Toc304295561"/>
      <w:bookmarkStart w:id="126" w:name="_Toc300934984"/>
      <w:bookmarkStart w:id="127" w:name="_Toc312678023"/>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3539142"/>
      <w:bookmarkStart w:id="130" w:name="_Toc300934985"/>
      <w:bookmarkStart w:id="131" w:name="_Toc297216195"/>
      <w:bookmarkStart w:id="132" w:name="_Toc304295562"/>
      <w:bookmarkStart w:id="133" w:name="_Toc312678024"/>
      <w:bookmarkStart w:id="134" w:name="_Toc297123536"/>
      <w:bookmarkStart w:id="135" w:name="_Toc312677498"/>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720" w:firstLineChars="300"/>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highlight w:val="yellow"/>
        </w:rPr>
      </w:pPr>
      <w:bookmarkStart w:id="136" w:name="_Toc292559399"/>
      <w:bookmarkStart w:id="137" w:name="_Toc296891022"/>
      <w:bookmarkStart w:id="138" w:name="_Toc296346695"/>
      <w:bookmarkStart w:id="139" w:name="_Toc297048380"/>
      <w:bookmarkStart w:id="140" w:name="_Toc297216200"/>
      <w:bookmarkStart w:id="141" w:name="_Toc297123541"/>
      <w:bookmarkStart w:id="142" w:name="_Toc300934990"/>
      <w:bookmarkStart w:id="143" w:name="_Toc312678026"/>
      <w:bookmarkStart w:id="144" w:name="_Toc292559904"/>
      <w:bookmarkStart w:id="145" w:name="_Toc296944533"/>
      <w:bookmarkStart w:id="146" w:name="_Toc296347193"/>
      <w:bookmarkStart w:id="147" w:name="_Toc296503194"/>
      <w:bookmarkStart w:id="148" w:name="_Toc303539147"/>
      <w:bookmarkStart w:id="149" w:name="_Toc296891234"/>
      <w:bookmarkStart w:id="150" w:name="_Toc297120494"/>
      <w:bookmarkStart w:id="151" w:name="_Toc304295567"/>
      <w:bookmarkStart w:id="152" w:name="_Toc312677500"/>
      <w:r>
        <w:rPr>
          <w:rFonts w:ascii="宋体" w:hAnsi="宋体" w:cs="Times New Roman"/>
          <w:color w:val="000000"/>
          <w:sz w:val="24"/>
          <w:szCs w:val="24"/>
          <w:highlight w:val="yellow"/>
        </w:rPr>
        <w:t>10.1</w:t>
      </w:r>
      <w:r>
        <w:rPr>
          <w:rFonts w:hint="eastAsia" w:ascii="宋体" w:hAnsi="宋体" w:cs="Times New Roman"/>
          <w:color w:val="000000"/>
          <w:sz w:val="24"/>
          <w:szCs w:val="24"/>
          <w:highlight w:val="yellow"/>
        </w:rPr>
        <w:t>变更的范围</w:t>
      </w:r>
    </w:p>
    <w:p>
      <w:pPr>
        <w:widowControl w:val="0"/>
        <w:tabs>
          <w:tab w:val="left" w:pos="435"/>
        </w:tabs>
        <w:spacing w:line="320" w:lineRule="exact"/>
        <w:ind w:firstLine="540" w:firstLineChars="225"/>
        <w:jc w:val="left"/>
        <w:rPr>
          <w:rFonts w:ascii="宋体" w:cs="Times New Roman"/>
          <w:color w:val="000000"/>
          <w:sz w:val="24"/>
          <w:szCs w:val="24"/>
          <w:highlight w:val="yellow"/>
        </w:rPr>
      </w:pPr>
      <w:r>
        <w:rPr>
          <w:rFonts w:hint="eastAsia" w:ascii="宋体" w:hAnsi="宋体" w:cs="Times New Roman"/>
          <w:color w:val="000000"/>
          <w:sz w:val="24"/>
          <w:szCs w:val="24"/>
          <w:highlight w:val="yellow"/>
        </w:rPr>
        <w:t>关于变更的范围的约定：</w:t>
      </w:r>
      <w:r>
        <w:rPr>
          <w:rFonts w:hint="eastAsia" w:ascii="宋体" w:hAnsi="宋体" w:cs="Times New Roman"/>
          <w:color w:val="000000"/>
          <w:sz w:val="24"/>
          <w:szCs w:val="24"/>
          <w:highlight w:val="yellow"/>
          <w:u w:val="single"/>
          <w:lang w:eastAsia="zh-CN"/>
        </w:rPr>
        <w:t>执行通用条款和《建设工程工程量清单计价规范》（</w:t>
      </w:r>
      <w:r>
        <w:rPr>
          <w:rFonts w:hint="eastAsia" w:ascii="宋体" w:hAnsi="宋体" w:cs="Times New Roman"/>
          <w:color w:val="000000"/>
          <w:sz w:val="24"/>
          <w:szCs w:val="24"/>
          <w:highlight w:val="yellow"/>
          <w:u w:val="single"/>
          <w:lang w:val="en-US" w:eastAsia="zh-CN"/>
        </w:rPr>
        <w:t>GB50500-2013</w:t>
      </w:r>
      <w:r>
        <w:rPr>
          <w:rFonts w:hint="eastAsia" w:ascii="宋体" w:hAnsi="宋体" w:cs="Times New Roman"/>
          <w:color w:val="000000"/>
          <w:sz w:val="24"/>
          <w:szCs w:val="24"/>
          <w:highlight w:val="yellow"/>
          <w:u w:val="single"/>
          <w:lang w:eastAsia="zh-CN"/>
        </w:rPr>
        <w:t>）</w:t>
      </w:r>
      <w:r>
        <w:rPr>
          <w:rFonts w:hint="eastAsia" w:ascii="宋体" w:hAnsi="宋体" w:cs="Times New Roman"/>
          <w:color w:val="000000"/>
          <w:sz w:val="24"/>
          <w:szCs w:val="24"/>
          <w:highlight w:val="yellow"/>
        </w:rPr>
        <w:t>。</w:t>
      </w:r>
    </w:p>
    <w:p>
      <w:pPr>
        <w:widowControl w:val="0"/>
        <w:tabs>
          <w:tab w:val="left" w:pos="435"/>
        </w:tabs>
        <w:spacing w:line="320" w:lineRule="exact"/>
        <w:jc w:val="left"/>
        <w:rPr>
          <w:rFonts w:ascii="宋体" w:cs="Times New Roman"/>
          <w:color w:val="000000"/>
          <w:sz w:val="24"/>
          <w:szCs w:val="24"/>
          <w:highlight w:val="yellow"/>
        </w:rPr>
      </w:pPr>
      <w:r>
        <w:rPr>
          <w:rFonts w:ascii="宋体" w:hAnsi="宋体" w:cs="Times New Roman"/>
          <w:color w:val="000000"/>
          <w:sz w:val="24"/>
          <w:szCs w:val="24"/>
          <w:highlight w:val="yellow"/>
        </w:rPr>
        <w:t>10.</w:t>
      </w:r>
      <w:r>
        <w:rPr>
          <w:rFonts w:hint="eastAsia" w:ascii="宋体" w:hAnsi="宋体" w:cs="Times New Roman"/>
          <w:color w:val="000000"/>
          <w:sz w:val="24"/>
          <w:szCs w:val="24"/>
          <w:highlight w:val="yellow"/>
          <w:lang w:val="en-US" w:eastAsia="zh-CN"/>
        </w:rPr>
        <w:t>2</w:t>
      </w:r>
      <w:r>
        <w:rPr>
          <w:rFonts w:ascii="宋体" w:hAnsi="宋体" w:cs="Times New Roman"/>
          <w:color w:val="000000"/>
          <w:sz w:val="24"/>
          <w:szCs w:val="24"/>
          <w:highlight w:val="yellow"/>
        </w:rPr>
        <w:t xml:space="preserve"> </w:t>
      </w:r>
      <w:r>
        <w:rPr>
          <w:rFonts w:hint="eastAsia" w:ascii="宋体" w:hAnsi="宋体" w:cs="Times New Roman"/>
          <w:color w:val="000000"/>
          <w:sz w:val="24"/>
          <w:szCs w:val="24"/>
          <w:highlight w:val="yellow"/>
        </w:rPr>
        <w:t>变更估价</w:t>
      </w:r>
    </w:p>
    <w:p>
      <w:pPr>
        <w:widowControl w:val="0"/>
        <w:tabs>
          <w:tab w:val="left" w:pos="435"/>
        </w:tabs>
        <w:spacing w:line="320" w:lineRule="exact"/>
        <w:jc w:val="left"/>
        <w:rPr>
          <w:rFonts w:ascii="宋体" w:cs="Times New Roman"/>
          <w:color w:val="000000"/>
          <w:sz w:val="24"/>
          <w:szCs w:val="24"/>
          <w:highlight w:val="yellow"/>
        </w:rPr>
      </w:pPr>
      <w:r>
        <w:rPr>
          <w:rFonts w:ascii="宋体" w:hAnsi="宋体" w:cs="Times New Roman"/>
          <w:color w:val="000000"/>
          <w:sz w:val="24"/>
          <w:szCs w:val="24"/>
          <w:highlight w:val="yellow"/>
        </w:rPr>
        <w:t>10.</w:t>
      </w:r>
      <w:r>
        <w:rPr>
          <w:rFonts w:hint="eastAsia" w:ascii="宋体" w:hAnsi="宋体" w:cs="Times New Roman"/>
          <w:color w:val="000000"/>
          <w:sz w:val="24"/>
          <w:szCs w:val="24"/>
          <w:highlight w:val="yellow"/>
          <w:lang w:val="en-US" w:eastAsia="zh-CN"/>
        </w:rPr>
        <w:t>2</w:t>
      </w:r>
      <w:r>
        <w:rPr>
          <w:rFonts w:ascii="宋体" w:hAnsi="宋体" w:cs="Times New Roman"/>
          <w:color w:val="000000"/>
          <w:sz w:val="24"/>
          <w:szCs w:val="24"/>
          <w:highlight w:val="yellow"/>
        </w:rPr>
        <w:t xml:space="preserve">.1 </w:t>
      </w:r>
      <w:r>
        <w:rPr>
          <w:rFonts w:hint="eastAsia" w:ascii="宋体" w:hAnsi="宋体" w:cs="Times New Roman"/>
          <w:color w:val="000000"/>
          <w:sz w:val="24"/>
          <w:szCs w:val="24"/>
          <w:highlight w:val="yellow"/>
        </w:rPr>
        <w:t>变更估价原则</w:t>
      </w:r>
    </w:p>
    <w:p>
      <w:pPr>
        <w:widowControl w:val="0"/>
        <w:spacing w:line="320" w:lineRule="exact"/>
        <w:ind w:firstLine="480" w:firstLineChars="200"/>
        <w:jc w:val="left"/>
        <w:rPr>
          <w:rFonts w:ascii="宋体" w:cs="Times New Roman"/>
          <w:color w:val="000000"/>
          <w:sz w:val="24"/>
          <w:szCs w:val="24"/>
          <w:highlight w:val="yellow"/>
        </w:rPr>
      </w:pPr>
      <w:r>
        <w:rPr>
          <w:rFonts w:hint="eastAsia" w:ascii="宋体" w:hAnsi="宋体" w:cs="Times New Roman"/>
          <w:color w:val="000000"/>
          <w:sz w:val="24"/>
          <w:szCs w:val="24"/>
          <w:highlight w:val="yellow"/>
        </w:rPr>
        <w:t>关于变更估价的约定</w:t>
      </w:r>
      <w:r>
        <w:rPr>
          <w:rFonts w:ascii="宋体" w:hAnsi="宋体" w:cs="Times New Roman"/>
          <w:color w:val="000000"/>
          <w:sz w:val="24"/>
          <w:szCs w:val="24"/>
          <w:highlight w:val="yellow"/>
        </w:rPr>
        <w:t>:</w:t>
      </w:r>
      <w:r>
        <w:rPr>
          <w:rFonts w:hint="eastAsia" w:ascii="宋体" w:hAnsi="宋体" w:cs="Times New Roman"/>
          <w:kern w:val="0"/>
          <w:sz w:val="24"/>
          <w:szCs w:val="24"/>
          <w:highlight w:val="yellow"/>
          <w:u w:val="single"/>
        </w:rPr>
        <w:t>①合同中有相同或类似工程项目单价的，可以参照合同中相同或类似项目的综合单价计算确定</w:t>
      </w:r>
      <w:r>
        <w:rPr>
          <w:rFonts w:hint="eastAsia" w:ascii="宋体" w:hAnsi="宋体" w:cs="Times New Roman"/>
          <w:kern w:val="0"/>
          <w:sz w:val="24"/>
          <w:szCs w:val="24"/>
          <w:highlight w:val="yellow"/>
        </w:rPr>
        <w:t>；</w:t>
      </w:r>
      <w:r>
        <w:rPr>
          <w:rFonts w:hint="eastAsia" w:ascii="宋体" w:hAnsi="宋体" w:cs="Times New Roman"/>
          <w:kern w:val="0"/>
          <w:sz w:val="24"/>
          <w:szCs w:val="24"/>
          <w:highlight w:val="yellow"/>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highlight w:val="yellow"/>
        </w:rPr>
        <w:t>；</w:t>
      </w:r>
      <w:r>
        <w:rPr>
          <w:rFonts w:hint="eastAsia" w:ascii="宋体" w:hAnsi="宋体" w:cs="Times New Roman"/>
          <w:kern w:val="0"/>
          <w:sz w:val="24"/>
          <w:szCs w:val="24"/>
          <w:highlight w:val="yellow"/>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highlight w:val="yellow"/>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7048383"/>
      <w:bookmarkStart w:id="154" w:name="_Toc296503197"/>
      <w:bookmarkStart w:id="155" w:name="_Toc297120497"/>
      <w:bookmarkStart w:id="156" w:name="_Toc296347196"/>
      <w:bookmarkStart w:id="157" w:name="_Toc296891025"/>
      <w:bookmarkStart w:id="158" w:name="_Toc296346698"/>
      <w:bookmarkStart w:id="159" w:name="_Toc296944536"/>
      <w:bookmarkStart w:id="160" w:name="_Toc297123544"/>
      <w:bookmarkStart w:id="161" w:name="_Toc300934993"/>
      <w:bookmarkStart w:id="162" w:name="_Toc292559907"/>
      <w:bookmarkStart w:id="163" w:name="_Toc297216203"/>
      <w:bookmarkStart w:id="164" w:name="_Toc292559402"/>
      <w:bookmarkStart w:id="165" w:name="_Toc303539150"/>
      <w:bookmarkStart w:id="166" w:name="_Toc296891237"/>
      <w:bookmarkStart w:id="167" w:name="_Toc304295570"/>
      <w:bookmarkStart w:id="168" w:name="_Toc312678029"/>
      <w:bookmarkStart w:id="169" w:name="_Toc312677503"/>
      <w:r>
        <w:rPr>
          <w:rFonts w:ascii="宋体" w:hAnsi="宋体" w:cs="Times New Roman"/>
          <w:color w:val="000000"/>
          <w:sz w:val="24"/>
          <w:szCs w:val="24"/>
        </w:rPr>
        <w:t>0.</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0934994"/>
      <w:bookmarkStart w:id="171" w:name="_Toc297048389"/>
      <w:bookmarkStart w:id="172" w:name="_Toc297120503"/>
      <w:bookmarkStart w:id="173" w:name="_Toc296891243"/>
      <w:bookmarkStart w:id="174" w:name="_Toc297123545"/>
      <w:bookmarkStart w:id="175" w:name="_Toc296346704"/>
      <w:bookmarkStart w:id="176" w:name="_Toc296891031"/>
      <w:bookmarkStart w:id="177" w:name="_Toc296944542"/>
      <w:bookmarkStart w:id="178" w:name="_Toc297216204"/>
      <w:bookmarkStart w:id="179" w:name="_Toc292559408"/>
      <w:bookmarkStart w:id="180" w:name="_Toc292559913"/>
      <w:bookmarkStart w:id="181" w:name="_Toc296503203"/>
      <w:bookmarkStart w:id="182" w:name="_Toc296347202"/>
      <w:bookmarkStart w:id="183" w:name="_Toc303539151"/>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297048390"/>
      <w:bookmarkStart w:id="185" w:name="_Toc297123546"/>
      <w:bookmarkStart w:id="186" w:name="_Toc296944543"/>
      <w:bookmarkStart w:id="187" w:name="_Toc304295571"/>
      <w:bookmarkStart w:id="188" w:name="_Toc296346705"/>
      <w:bookmarkStart w:id="189" w:name="_Toc300934995"/>
      <w:bookmarkStart w:id="190" w:name="_Toc296347203"/>
      <w:bookmarkStart w:id="191" w:name="_Toc292559409"/>
      <w:bookmarkStart w:id="192" w:name="_Toc318581175"/>
      <w:bookmarkStart w:id="193" w:name="_Toc312678030"/>
      <w:bookmarkStart w:id="194" w:name="_Toc292559914"/>
      <w:bookmarkStart w:id="195" w:name="_Toc296503204"/>
      <w:bookmarkStart w:id="196" w:name="_Toc296891032"/>
      <w:bookmarkStart w:id="197" w:name="_Toc297216205"/>
      <w:bookmarkStart w:id="198" w:name="_Toc296891244"/>
      <w:bookmarkStart w:id="199" w:name="_Toc312677504"/>
      <w:bookmarkStart w:id="200" w:name="_Toc297120504"/>
      <w:bookmarkStart w:id="201" w:name="_Toc303539152"/>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7123548"/>
      <w:bookmarkStart w:id="203" w:name="_Toc292559404"/>
      <w:bookmarkStart w:id="204" w:name="_Toc297120499"/>
      <w:bookmarkStart w:id="205" w:name="_Toc297216207"/>
      <w:bookmarkStart w:id="206" w:name="_Toc312677507"/>
      <w:bookmarkStart w:id="207" w:name="_Toc297048385"/>
      <w:bookmarkStart w:id="208" w:name="_Toc296891239"/>
      <w:bookmarkStart w:id="209" w:name="_Toc292559909"/>
      <w:bookmarkStart w:id="210" w:name="_Toc300934997"/>
      <w:bookmarkStart w:id="211" w:name="_Toc296891027"/>
      <w:bookmarkStart w:id="212" w:name="_Toc296503199"/>
      <w:bookmarkStart w:id="213" w:name="_Toc296944538"/>
      <w:bookmarkStart w:id="214" w:name="_Toc296346700"/>
      <w:bookmarkStart w:id="215" w:name="_Toc312678033"/>
      <w:bookmarkStart w:id="216" w:name="_Toc303539154"/>
      <w:bookmarkStart w:id="217" w:name="_Toc304295574"/>
      <w:bookmarkStart w:id="218" w:name="_Toc296347198"/>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8581176"/>
      <w:bookmarkStart w:id="220" w:name="_Toc312677508"/>
      <w:bookmarkStart w:id="221" w:name="_Toc312678034"/>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7509"/>
      <w:bookmarkStart w:id="223" w:name="_Toc312678035"/>
      <w:bookmarkStart w:id="224" w:name="_Toc318581177"/>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7120507"/>
      <w:bookmarkStart w:id="226" w:name="_Toc296891035"/>
      <w:bookmarkStart w:id="227" w:name="_Toc296347206"/>
      <w:bookmarkStart w:id="228" w:name="_Toc297048393"/>
      <w:bookmarkStart w:id="229" w:name="_Toc292559917"/>
      <w:bookmarkStart w:id="230" w:name="_Toc292559412"/>
      <w:bookmarkStart w:id="231" w:name="_Toc296346708"/>
      <w:bookmarkStart w:id="232" w:name="_Toc296944546"/>
      <w:bookmarkStart w:id="233" w:name="_Toc296891247"/>
      <w:bookmarkStart w:id="234" w:name="_Toc296503207"/>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5</w:t>
      </w:r>
      <w:r>
        <w:rPr>
          <w:rFonts w:ascii="宋体" w:hAnsi="宋体" w:cs="Times New Roman"/>
          <w:color w:val="000000"/>
          <w:sz w:val="24"/>
          <w:szCs w:val="24"/>
        </w:rPr>
        <w:t xml:space="preserve">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hAns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6891029"/>
      <w:bookmarkStart w:id="236" w:name="_Toc296944540"/>
      <w:bookmarkStart w:id="237" w:name="_Toc296503201"/>
      <w:bookmarkStart w:id="238" w:name="_Toc300935000"/>
      <w:bookmarkStart w:id="239" w:name="_Toc312678039"/>
      <w:bookmarkStart w:id="240" w:name="_Toc292559406"/>
      <w:bookmarkStart w:id="241" w:name="_Toc297048387"/>
      <w:bookmarkStart w:id="242" w:name="_Toc297216209"/>
      <w:bookmarkStart w:id="243" w:name="_Toc303539157"/>
      <w:bookmarkStart w:id="244" w:name="_Toc297123550"/>
      <w:bookmarkStart w:id="245" w:name="_Toc296891241"/>
      <w:bookmarkStart w:id="246" w:name="_Toc296347200"/>
      <w:bookmarkStart w:id="247" w:name="_Toc296346702"/>
      <w:bookmarkStart w:id="248" w:name="_Toc292559911"/>
      <w:bookmarkStart w:id="249" w:name="_Toc297120501"/>
      <w:bookmarkStart w:id="250" w:name="_Toc304295577"/>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w:t>
      </w:r>
      <w:r>
        <w:rPr>
          <w:rFonts w:hint="eastAsia" w:ascii="宋体" w:hAnsi="宋体" w:cs="Times New Roman"/>
          <w:sz w:val="24"/>
          <w:szCs w:val="24"/>
          <w:highlight w:val="none"/>
        </w:rPr>
        <w:t>以下第</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w:t>
      </w:r>
      <w:r>
        <w:rPr>
          <w:rFonts w:ascii="宋体" w:hAnsi="宋体" w:cs="Times New Roman"/>
          <w:sz w:val="24"/>
          <w:szCs w:val="24"/>
          <w:highlight w:val="none"/>
          <w:u w:val="single"/>
        </w:rPr>
        <w:t xml:space="preserve">  </w:t>
      </w:r>
      <w:r>
        <w:rPr>
          <w:rFonts w:hint="eastAsia" w:ascii="宋体" w:hAnsi="宋体" w:cs="Times New Roman"/>
          <w:sz w:val="24"/>
          <w:szCs w:val="24"/>
          <w:highlight w:val="none"/>
        </w:rPr>
        <w:t>种方</w:t>
      </w:r>
      <w:r>
        <w:rPr>
          <w:rFonts w:hint="eastAsia" w:ascii="宋体" w:hAnsi="宋体" w:cs="Times New Roman"/>
          <w:sz w:val="24"/>
          <w:szCs w:val="24"/>
        </w:rPr>
        <w:t>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rPr>
          <w:rFonts w:ascii="宋体" w:hAnsi="宋体" w:cs="Times New Roman"/>
          <w:b/>
          <w:sz w:val="24"/>
          <w:szCs w:val="24"/>
        </w:rPr>
      </w:pPr>
      <w:r>
        <w:rPr>
          <w:rFonts w:ascii="宋体" w:hAnsi="宋体" w:cs="Times New Roman"/>
          <w:b/>
          <w:sz w:val="24"/>
          <w:szCs w:val="24"/>
        </w:rPr>
        <w:br w:type="page"/>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67251461"/>
      <w:bookmarkStart w:id="253" w:name="_Toc292559916"/>
      <w:bookmarkStart w:id="254" w:name="_Toc297048392"/>
      <w:bookmarkStart w:id="255" w:name="_Toc296944545"/>
      <w:bookmarkStart w:id="256" w:name="_Toc296347205"/>
      <w:bookmarkStart w:id="257" w:name="_Toc297120506"/>
      <w:bookmarkStart w:id="258" w:name="_Toc296503206"/>
      <w:bookmarkStart w:id="259" w:name="_Toc296891246"/>
      <w:bookmarkStart w:id="260" w:name="_Toc296346707"/>
      <w:bookmarkStart w:id="261" w:name="_Toc296891034"/>
      <w:bookmarkStart w:id="262" w:name="_Toc304295580"/>
      <w:bookmarkStart w:id="263" w:name="_Toc297216212"/>
      <w:bookmarkStart w:id="264" w:name="_Toc297123553"/>
      <w:bookmarkStart w:id="265" w:name="_Toc312678041"/>
      <w:bookmarkStart w:id="266" w:name="_Toc300935003"/>
      <w:bookmarkStart w:id="267" w:name="_Toc303539160"/>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综合单价包含的风险范围：</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u w:val="single"/>
        </w:rPr>
        <w:t>。</w:t>
      </w:r>
    </w:p>
    <w:p>
      <w:pPr>
        <w:widowControl w:val="0"/>
        <w:spacing w:line="276" w:lineRule="auto"/>
        <w:ind w:firstLine="360" w:firstLineChars="150"/>
        <w:rPr>
          <w:rFonts w:ascii="宋体" w:hAnsi="宋体" w:cs="Times New Roman"/>
          <w:sz w:val="24"/>
          <w:szCs w:val="24"/>
          <w:highlight w:val="yellow"/>
          <w:u w:val="single"/>
        </w:rPr>
      </w:pPr>
      <w:r>
        <w:rPr>
          <w:rFonts w:hint="eastAsia" w:ascii="宋体" w:hAnsi="宋体" w:cs="Times New Roman"/>
          <w:sz w:val="24"/>
          <w:szCs w:val="24"/>
          <w:highlight w:val="yellow"/>
        </w:rPr>
        <w:t>风险费用的计算方法：</w:t>
      </w:r>
      <w:r>
        <w:rPr>
          <w:rFonts w:hint="eastAsia" w:ascii="宋体" w:hAnsi="宋体" w:cs="Times New Roman"/>
          <w:sz w:val="24"/>
          <w:szCs w:val="24"/>
          <w:highlight w:val="yellow"/>
          <w:u w:val="single"/>
          <w:lang w:val="en-US" w:eastAsia="zh-CN"/>
        </w:rPr>
        <w:t xml:space="preserve">      /      </w:t>
      </w:r>
      <w:r>
        <w:rPr>
          <w:rFonts w:hint="eastAsia" w:ascii="宋体" w:hAnsi="宋体" w:cs="Times New Roman"/>
          <w:sz w:val="24"/>
          <w:szCs w:val="24"/>
          <w:highlight w:val="yellow"/>
          <w:u w:val="single"/>
        </w:rPr>
        <w:t>。</w:t>
      </w:r>
    </w:p>
    <w:p>
      <w:pPr>
        <w:widowControl w:val="0"/>
        <w:spacing w:line="276" w:lineRule="auto"/>
        <w:ind w:firstLine="360" w:firstLineChars="150"/>
        <w:rPr>
          <w:rFonts w:ascii="宋体" w:hAnsi="宋体" w:cs="Times New Roman"/>
          <w:sz w:val="24"/>
          <w:szCs w:val="24"/>
          <w:highlight w:val="yellow"/>
          <w:u w:val="single"/>
        </w:rPr>
      </w:pPr>
      <w:r>
        <w:rPr>
          <w:rFonts w:hint="eastAsia" w:ascii="宋体" w:hAnsi="宋体" w:cs="Times New Roman"/>
          <w:sz w:val="24"/>
          <w:szCs w:val="24"/>
          <w:highlight w:val="yellow"/>
        </w:rPr>
        <w:t>风险范围以外合同价格的调整方法：</w:t>
      </w:r>
      <w:r>
        <w:rPr>
          <w:rFonts w:hint="eastAsia" w:ascii="宋体" w:hAnsi="宋体" w:cs="Times New Roman"/>
          <w:sz w:val="24"/>
          <w:szCs w:val="24"/>
          <w:highlight w:val="yellow"/>
          <w:u w:val="single"/>
          <w:lang w:val="en-US" w:eastAsia="zh-CN"/>
        </w:rPr>
        <w:t xml:space="preserve"> </w:t>
      </w:r>
      <w:r>
        <w:rPr>
          <w:rFonts w:ascii="宋体" w:hAnsi="宋体" w:cs="Times New Roman"/>
          <w:sz w:val="24"/>
          <w:szCs w:val="24"/>
          <w:highlight w:val="yellow"/>
          <w:u w:val="single"/>
        </w:rPr>
        <w:t xml:space="preserve">     </w:t>
      </w:r>
      <w:r>
        <w:rPr>
          <w:rFonts w:hint="eastAsia" w:ascii="宋体" w:hAnsi="宋体" w:cs="Times New Roman"/>
          <w:sz w:val="24"/>
          <w:szCs w:val="24"/>
          <w:highlight w:val="yellow"/>
          <w:u w:val="single"/>
          <w:lang w:val="en-US" w:eastAsia="zh-CN"/>
        </w:rPr>
        <w:t>/</w:t>
      </w:r>
      <w:r>
        <w:rPr>
          <w:rFonts w:ascii="宋体" w:hAnsi="宋体" w:cs="Times New Roman"/>
          <w:sz w:val="24"/>
          <w:szCs w:val="24"/>
          <w:highlight w:val="yellow"/>
          <w:u w:val="single"/>
        </w:rPr>
        <w:t xml:space="preserve">      </w:t>
      </w:r>
      <w:r>
        <w:rPr>
          <w:rFonts w:hint="eastAsia" w:ascii="宋体" w:hAnsi="宋体" w:cs="Times New Roman"/>
          <w:sz w:val="24"/>
          <w:szCs w:val="24"/>
          <w:highlight w:val="yellow"/>
          <w:u w:val="single"/>
          <w:lang w:eastAsia="zh-CN"/>
        </w:rPr>
        <w:t>。</w:t>
      </w:r>
      <w:r>
        <w:rPr>
          <w:rFonts w:ascii="宋体" w:hAnsi="宋体" w:cs="Times New Roman"/>
          <w:sz w:val="24"/>
          <w:szCs w:val="24"/>
          <w:highlight w:val="yellow"/>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297123554"/>
      <w:bookmarkStart w:id="269" w:name="_Toc300935004"/>
      <w:bookmarkStart w:id="270" w:name="_Toc304295581"/>
      <w:bookmarkStart w:id="271" w:name="_Toc297216213"/>
      <w:bookmarkStart w:id="272" w:name="_Toc303539161"/>
      <w:bookmarkStart w:id="273" w:name="_Toc312678042"/>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lang w:val="en-US" w:eastAsia="zh-CN"/>
        </w:rPr>
        <w:t xml:space="preserve">    / </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7048397"/>
      <w:bookmarkStart w:id="275" w:name="_Toc296891251"/>
      <w:bookmarkStart w:id="276" w:name="_Toc296346712"/>
      <w:bookmarkStart w:id="277" w:name="_Toc297120511"/>
      <w:bookmarkStart w:id="278" w:name="_Toc296503211"/>
      <w:bookmarkStart w:id="279" w:name="_Toc296944550"/>
      <w:bookmarkStart w:id="280" w:name="_Toc296347210"/>
      <w:bookmarkStart w:id="281" w:name="_Toc297123556"/>
      <w:bookmarkStart w:id="282" w:name="_Toc303539163"/>
      <w:bookmarkStart w:id="283" w:name="_Toc292559921"/>
      <w:bookmarkStart w:id="284" w:name="_Toc300935006"/>
      <w:bookmarkStart w:id="285" w:name="_Toc292559416"/>
      <w:bookmarkStart w:id="286" w:name="_Toc297216215"/>
      <w:bookmarkStart w:id="287" w:name="_Toc296891039"/>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highlight w:val="none"/>
        </w:rPr>
        <w:t>关于付款周期的约定：</w:t>
      </w:r>
      <w:r>
        <w:rPr>
          <w:rFonts w:hint="eastAsia" w:ascii="宋体" w:hAnsi="宋体" w:cs="Times New Roman"/>
          <w:sz w:val="24"/>
          <w:szCs w:val="24"/>
          <w:highlight w:val="none"/>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highlight w:val="none"/>
        </w:rPr>
        <w:t>1</w:t>
      </w:r>
      <w:r>
        <w:rPr>
          <w:rFonts w:hint="eastAsia" w:ascii="宋体" w:hAnsi="宋体" w:cs="Times New Roman"/>
          <w:sz w:val="24"/>
          <w:szCs w:val="24"/>
          <w:highlight w:val="none"/>
        </w:rPr>
        <w:t>）单价合同进度付款申请单提交的约定：</w:t>
      </w:r>
      <w:r>
        <w:rPr>
          <w:rFonts w:hint="eastAsia" w:ascii="宋体" w:hAnsi="宋体" w:cs="Times New Roman"/>
          <w:sz w:val="24"/>
          <w:szCs w:val="24"/>
          <w:highlight w:val="none"/>
          <w:u w:val="single"/>
          <w:lang w:eastAsia="zh-CN"/>
        </w:rPr>
        <w:t>签订合同时约定</w:t>
      </w:r>
      <w:r>
        <w:rPr>
          <w:rFonts w:hint="eastAsia" w:ascii="宋体" w:hAnsi="宋体" w:cs="Times New Roman"/>
          <w:sz w:val="24"/>
          <w:szCs w:val="24"/>
          <w:highlight w:val="none"/>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w:t>
      </w:r>
      <w:r>
        <w:rPr>
          <w:rFonts w:hint="eastAsia" w:ascii="宋体" w:hAnsi="宋体" w:cs="Times New Roman"/>
          <w:sz w:val="24"/>
          <w:szCs w:val="24"/>
          <w:lang w:eastAsia="zh-CN"/>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297216224"/>
      <w:bookmarkStart w:id="289" w:name="_Toc312678056"/>
      <w:bookmarkStart w:id="290" w:name="_Toc292559933"/>
      <w:bookmarkStart w:id="291" w:name="_Toc296503223"/>
      <w:bookmarkStart w:id="292" w:name="_Toc297120523"/>
      <w:bookmarkStart w:id="293" w:name="_Toc296891051"/>
      <w:bookmarkStart w:id="294" w:name="_Toc297123565"/>
      <w:bookmarkStart w:id="295" w:name="_Toc296944562"/>
      <w:bookmarkStart w:id="296" w:name="_Toc296891263"/>
      <w:bookmarkStart w:id="297" w:name="_Toc304295596"/>
      <w:bookmarkStart w:id="298" w:name="_Toc297048409"/>
      <w:bookmarkStart w:id="299" w:name="_Toc292559428"/>
      <w:bookmarkStart w:id="300" w:name="_Toc303539173"/>
      <w:bookmarkStart w:id="301" w:name="_Toc296346724"/>
      <w:bookmarkStart w:id="302" w:name="_Toc296347222"/>
      <w:bookmarkStart w:id="303" w:name="_Toc300935016"/>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w:t>
      </w:r>
      <w:r>
        <w:rPr>
          <w:rFonts w:hint="eastAsia" w:ascii="宋体" w:hAnsi="宋体" w:cs="Times New Roman"/>
          <w:sz w:val="24"/>
          <w:szCs w:val="24"/>
          <w:lang w:val="en-US" w:eastAsia="zh-CN"/>
        </w:rPr>
        <w:t>1</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w:t>
      </w:r>
      <w:r>
        <w:rPr>
          <w:rFonts w:hint="eastAsia" w:ascii="宋体" w:hAnsi="宋体" w:cs="Times New Roman"/>
          <w:sz w:val="24"/>
          <w:szCs w:val="24"/>
          <w:lang w:val="en-US" w:eastAsia="zh-CN"/>
        </w:rPr>
        <w:t>2</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13.3.</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rPr>
          <w:rFonts w:ascii="宋体" w:hAnsi="宋体" w:cs="Times New Roman"/>
          <w:sz w:val="24"/>
          <w:szCs w:val="24"/>
          <w:u w:val="none"/>
        </w:rPr>
      </w:pPr>
      <w:r>
        <w:rPr>
          <w:rFonts w:ascii="宋体" w:hAnsi="宋体" w:cs="Times New Roman"/>
          <w:sz w:val="24"/>
          <w:szCs w:val="24"/>
          <w:u w:val="none"/>
        </w:rPr>
        <w:t>14.</w:t>
      </w:r>
      <w:r>
        <w:rPr>
          <w:rFonts w:hint="eastAsia" w:ascii="宋体" w:hAnsi="宋体" w:cs="Times New Roman"/>
          <w:sz w:val="24"/>
          <w:szCs w:val="24"/>
          <w:u w:val="none"/>
          <w:lang w:val="en-US" w:eastAsia="zh-CN"/>
        </w:rPr>
        <w:t>3</w:t>
      </w:r>
      <w:r>
        <w:rPr>
          <w:rFonts w:ascii="宋体" w:hAnsi="宋体" w:cs="Times New Roman"/>
          <w:sz w:val="24"/>
          <w:szCs w:val="24"/>
          <w:u w:val="none"/>
        </w:rPr>
        <w:t xml:space="preserve"> </w:t>
      </w:r>
      <w:r>
        <w:rPr>
          <w:rFonts w:hint="eastAsia" w:ascii="宋体" w:hAnsi="宋体" w:cs="Times New Roman"/>
          <w:sz w:val="24"/>
          <w:szCs w:val="24"/>
          <w:u w:val="none"/>
        </w:rPr>
        <w:t>最终结清</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lang w:val="en-US" w:eastAsia="zh-CN"/>
        </w:rPr>
        <w:t>1</w:t>
      </w:r>
      <w:r>
        <w:rPr>
          <w:rFonts w:ascii="宋体" w:hAnsi="宋体" w:cs="Times New Roman"/>
          <w:sz w:val="24"/>
          <w:szCs w:val="24"/>
        </w:rPr>
        <w:t xml:space="preserve">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b/>
          <w:bCs/>
          <w:sz w:val="24"/>
          <w:szCs w:val="24"/>
        </w:rPr>
      </w:pPr>
      <w:bookmarkStart w:id="309" w:name="_Toc351203647"/>
      <w:r>
        <w:rPr>
          <w:rFonts w:ascii="宋体" w:hAnsi="宋体" w:cs="Times New Roman"/>
          <w:b/>
          <w:bCs/>
          <w:sz w:val="24"/>
          <w:szCs w:val="24"/>
        </w:rPr>
        <w:t xml:space="preserve">15. </w:t>
      </w:r>
      <w:r>
        <w:rPr>
          <w:rFonts w:hint="eastAsia" w:ascii="宋体" w:hAnsi="宋体" w:cs="Times New Roman"/>
          <w:b/>
          <w:bCs/>
          <w:sz w:val="24"/>
          <w:szCs w:val="24"/>
        </w:rPr>
        <w:t>缺陷责任期与保修</w:t>
      </w:r>
      <w:bookmarkEnd w:id="309"/>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1</w:t>
      </w:r>
      <w:r>
        <w:rPr>
          <w:rFonts w:hint="eastAsia" w:ascii="宋体" w:hAnsi="宋体" w:cs="Times New Roman"/>
          <w:sz w:val="24"/>
          <w:szCs w:val="24"/>
          <w:highlight w:val="none"/>
        </w:rPr>
        <w:t>缺陷责任期</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缺陷责任期的具体期限：</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24</w:t>
      </w:r>
      <w:r>
        <w:rPr>
          <w:rFonts w:hint="eastAsia" w:ascii="宋体" w:hAnsi="宋体" w:cs="Times New Roman"/>
          <w:sz w:val="24"/>
          <w:szCs w:val="24"/>
          <w:highlight w:val="none"/>
          <w:u w:val="single"/>
        </w:rPr>
        <w:t>个月</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 </w:t>
      </w:r>
      <w:r>
        <w:rPr>
          <w:rFonts w:hint="eastAsia" w:ascii="宋体" w:hAnsi="宋体" w:cs="Times New Roman"/>
          <w:sz w:val="24"/>
          <w:szCs w:val="24"/>
          <w:highlight w:val="none"/>
        </w:rPr>
        <w:t>质量保证金</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关于是否扣留质量保证金的约定：</w:t>
      </w:r>
      <w:r>
        <w:rPr>
          <w:rFonts w:hint="eastAsia" w:ascii="宋体" w:hAnsi="宋体" w:cs="Times New Roman"/>
          <w:sz w:val="24"/>
          <w:szCs w:val="24"/>
          <w:highlight w:val="none"/>
          <w:u w:val="single"/>
        </w:rPr>
        <w:t>扣留</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.1 </w:t>
      </w:r>
      <w:r>
        <w:rPr>
          <w:rFonts w:hint="eastAsia" w:ascii="宋体" w:hAnsi="宋体" w:cs="Times New Roman"/>
          <w:sz w:val="24"/>
          <w:szCs w:val="24"/>
          <w:highlight w:val="none"/>
        </w:rPr>
        <w:t>承包人提供质量保证金的方式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质量保证金采用以下第</w:t>
      </w:r>
      <w:r>
        <w:rPr>
          <w:rFonts w:ascii="宋体" w:hAnsi="宋体" w:cs="Times New Roman"/>
          <w:sz w:val="24"/>
          <w:szCs w:val="24"/>
          <w:highlight w:val="none"/>
          <w:u w:val="single"/>
        </w:rPr>
        <w:t>2</w:t>
      </w:r>
      <w:r>
        <w:rPr>
          <w:rFonts w:hint="eastAsia" w:ascii="宋体" w:hAnsi="宋体" w:cs="Times New Roman"/>
          <w:sz w:val="24"/>
          <w:szCs w:val="24"/>
          <w:highlight w:val="none"/>
        </w:rPr>
        <w:t>种方式：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w:t>
      </w:r>
      <w:r>
        <w:rPr>
          <w:rFonts w:ascii="宋体" w:hAnsi="宋体" w:cs="Times New Roman"/>
          <w:sz w:val="24"/>
          <w:szCs w:val="24"/>
          <w:highlight w:val="none"/>
        </w:rPr>
        <w:t>1</w:t>
      </w:r>
      <w:r>
        <w:rPr>
          <w:rFonts w:hint="eastAsia" w:ascii="宋体" w:hAnsi="宋体" w:cs="Times New Roman"/>
          <w:sz w:val="24"/>
          <w:szCs w:val="24"/>
          <w:highlight w:val="none"/>
        </w:rPr>
        <w:t>）质量保证金保函，保证金额为：</w:t>
      </w:r>
      <w:r>
        <w:rPr>
          <w:rFonts w:hint="eastAsia" w:ascii="宋体" w:hAnsi="宋体" w:cs="Times New Roman"/>
          <w:sz w:val="24"/>
          <w:szCs w:val="24"/>
          <w:highlight w:val="none"/>
          <w:u w:val="single"/>
        </w:rPr>
        <w:t>无</w:t>
      </w:r>
      <w:r>
        <w:rPr>
          <w:rFonts w:hint="eastAsia" w:ascii="宋体" w:hAnsi="宋体" w:cs="Times New Roman"/>
          <w:sz w:val="24"/>
          <w:szCs w:val="24"/>
          <w:highlight w:val="none"/>
        </w:rPr>
        <w:t>；</w:t>
      </w:r>
    </w:p>
    <w:p>
      <w:pPr>
        <w:widowControl w:val="0"/>
        <w:ind w:firstLine="480" w:firstLineChars="200"/>
        <w:rPr>
          <w:rFonts w:ascii="宋体" w:hAnsi="宋体" w:cs="Times New Roman"/>
          <w:sz w:val="24"/>
          <w:szCs w:val="24"/>
          <w:highlight w:val="yellow"/>
        </w:rPr>
      </w:pPr>
      <w:r>
        <w:rPr>
          <w:rFonts w:hint="eastAsia" w:ascii="宋体" w:hAnsi="宋体" w:cs="Times New Roman"/>
          <w:sz w:val="24"/>
          <w:szCs w:val="24"/>
          <w:highlight w:val="none"/>
        </w:rPr>
        <w:t>（</w:t>
      </w:r>
      <w:r>
        <w:rPr>
          <w:rFonts w:ascii="宋体" w:hAnsi="宋体" w:cs="Times New Roman"/>
          <w:sz w:val="24"/>
          <w:szCs w:val="24"/>
          <w:highlight w:val="none"/>
        </w:rPr>
        <w:t>2</w:t>
      </w:r>
      <w:r>
        <w:rPr>
          <w:rFonts w:hint="eastAsia" w:ascii="宋体" w:hAnsi="宋体" w:cs="Times New Roman"/>
          <w:sz w:val="24"/>
          <w:szCs w:val="24"/>
          <w:highlight w:val="none"/>
        </w:rPr>
        <w:t>）经审定的竣工结算价款</w:t>
      </w:r>
      <w:r>
        <w:rPr>
          <w:rFonts w:hint="eastAsia" w:ascii="宋体" w:hAnsi="宋体" w:cs="Times New Roman"/>
          <w:sz w:val="24"/>
          <w:szCs w:val="24"/>
          <w:highlight w:val="none"/>
          <w:u w:val="single"/>
        </w:rPr>
        <w:t>3</w:t>
      </w:r>
      <w:r>
        <w:rPr>
          <w:rFonts w:ascii="宋体" w:hAnsi="宋体" w:cs="Times New Roman"/>
          <w:sz w:val="24"/>
          <w:szCs w:val="24"/>
          <w:highlight w:val="none"/>
          <w:u w:val="single"/>
        </w:rPr>
        <w:t>%</w:t>
      </w:r>
      <w:r>
        <w:rPr>
          <w:rFonts w:hint="eastAsia" w:ascii="宋体" w:hAnsi="宋体" w:cs="Times New Roman"/>
          <w:sz w:val="24"/>
          <w:szCs w:val="24"/>
          <w:highlight w:val="none"/>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15.</w:t>
      </w:r>
      <w:r>
        <w:rPr>
          <w:rFonts w:hint="eastAsia" w:ascii="宋体" w:hAnsi="宋体" w:cs="Times New Roman"/>
          <w:sz w:val="24"/>
          <w:szCs w:val="24"/>
          <w:lang w:val="en-US" w:eastAsia="zh-CN"/>
        </w:rPr>
        <w:t>2</w:t>
      </w:r>
      <w:r>
        <w:rPr>
          <w:rFonts w:ascii="宋体" w:hAnsi="宋体" w:cs="Times New Roman"/>
          <w:sz w:val="24"/>
          <w:szCs w:val="24"/>
        </w:rPr>
        <w:t xml:space="preserve">.2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保修</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.1 保修责任工程保修期为：见工程质量保修书。</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val="en-US" w:eastAsia="zh-CN"/>
        </w:rPr>
        <w:t>2</w:t>
      </w:r>
      <w:r>
        <w:rPr>
          <w:rFonts w:hint="eastAsia" w:ascii="宋体" w:hAnsi="宋体" w:cs="Times New Roman"/>
          <w:sz w:val="24"/>
          <w:szCs w:val="24"/>
        </w:rPr>
        <w:t xml:space="preserve"> 修复通知承包人收到保修通知并到达工程现场的合理时间： 24小时内。</w:t>
      </w:r>
    </w:p>
    <w:p>
      <w:pPr>
        <w:widowControl w:val="0"/>
        <w:jc w:val="both"/>
        <w:rPr>
          <w:rFonts w:hint="eastAsia" w:ascii="宋体" w:hAnsi="宋体" w:cs="Times New Roman"/>
          <w:b/>
          <w:bCs/>
          <w:sz w:val="24"/>
          <w:szCs w:val="24"/>
        </w:rPr>
      </w:pPr>
      <w:r>
        <w:rPr>
          <w:rFonts w:hint="eastAsia" w:ascii="宋体" w:hAnsi="宋体" w:cs="Times New Roman"/>
          <w:b/>
          <w:bCs/>
          <w:sz w:val="24"/>
          <w:szCs w:val="24"/>
        </w:rPr>
        <w:t>16. 违约</w:t>
      </w:r>
    </w:p>
    <w:p>
      <w:pPr>
        <w:widowControl w:val="0"/>
        <w:jc w:val="both"/>
        <w:rPr>
          <w:rFonts w:hint="eastAsia" w:ascii="宋体" w:hAnsi="宋体" w:cs="Times New Roman"/>
          <w:sz w:val="24"/>
          <w:szCs w:val="24"/>
        </w:rPr>
      </w:pPr>
      <w:r>
        <w:rPr>
          <w:rFonts w:hint="eastAsia" w:ascii="宋体" w:hAnsi="宋体" w:cs="Times New Roman"/>
          <w:sz w:val="24"/>
          <w:szCs w:val="24"/>
        </w:rPr>
        <w:t>16.1 发包人违约</w:t>
      </w:r>
    </w:p>
    <w:p>
      <w:pPr>
        <w:widowControl w:val="0"/>
        <w:jc w:val="both"/>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jc w:val="both"/>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2" w:firstLineChars="200"/>
        <w:rPr>
          <w:rFonts w:ascii="宋体" w:hAnsi="宋体" w:cs="Times New Roman"/>
          <w:b/>
          <w:bCs/>
          <w:sz w:val="24"/>
          <w:szCs w:val="24"/>
        </w:rPr>
      </w:pPr>
      <w:r>
        <w:rPr>
          <w:rFonts w:ascii="宋体" w:hAnsi="宋体" w:cs="Times New Roman"/>
          <w:b/>
          <w:bCs/>
          <w:sz w:val="24"/>
          <w:szCs w:val="24"/>
        </w:rPr>
        <w:t xml:space="preserve">17. </w:t>
      </w:r>
      <w:r>
        <w:rPr>
          <w:rFonts w:hint="eastAsia" w:ascii="宋体" w:hAnsi="宋体" w:cs="Times New Roman"/>
          <w:b/>
          <w:bCs/>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17.</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2" w:firstLineChars="200"/>
        <w:rPr>
          <w:rFonts w:ascii="宋体" w:hAnsi="宋体" w:cs="Times New Roman"/>
          <w:sz w:val="24"/>
          <w:szCs w:val="24"/>
        </w:rPr>
      </w:pPr>
      <w:r>
        <w:rPr>
          <w:rFonts w:ascii="宋体" w:hAnsi="宋体" w:cs="Times New Roman"/>
          <w:b/>
          <w:bCs/>
          <w:sz w:val="24"/>
          <w:szCs w:val="24"/>
        </w:rPr>
        <w:t xml:space="preserve">18. </w:t>
      </w:r>
      <w:r>
        <w:rPr>
          <w:rFonts w:hint="eastAsia" w:ascii="宋体" w:hAnsi="宋体" w:cs="Times New Roman"/>
          <w:b/>
          <w:bCs/>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18.</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w:t>
      </w:r>
      <w:r>
        <w:rPr>
          <w:rFonts w:hint="eastAsia" w:ascii="宋体" w:hAnsi="宋体" w:cs="Times New Roman"/>
          <w:sz w:val="24"/>
          <w:szCs w:val="24"/>
          <w:lang w:val="en-US" w:eastAsia="zh-CN"/>
        </w:rPr>
        <w:t>3</w:t>
      </w:r>
      <w:r>
        <w:rPr>
          <w:rFonts w:hint="eastAsia" w:ascii="宋体" w:hAnsi="宋体" w:cs="Times New Roman"/>
          <w:sz w:val="24"/>
          <w:szCs w:val="24"/>
        </w:rPr>
        <w:t xml:space="preserve">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hint="eastAsia" w:ascii="宋体" w:hAnsi="宋体" w:cs="Times New Roman"/>
          <w:b/>
          <w:sz w:val="24"/>
          <w:szCs w:val="24"/>
          <w:lang w:val="en-US" w:eastAsia="zh-CN"/>
        </w:rPr>
        <w:t>19</w:t>
      </w:r>
      <w:r>
        <w:rPr>
          <w:rFonts w:ascii="宋体" w:hAnsi="宋体" w:cs="Times New Roman"/>
          <w:b/>
          <w:sz w:val="24"/>
          <w:szCs w:val="24"/>
        </w:rPr>
        <w:t xml:space="preserve">. </w:t>
      </w:r>
      <w:r>
        <w:rPr>
          <w:rFonts w:hint="eastAsia" w:ascii="宋体" w:hAnsi="宋体" w:cs="Times New Roman"/>
          <w:b/>
          <w:sz w:val="24"/>
          <w:szCs w:val="24"/>
        </w:rPr>
        <w:t>争议解决</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19.1.3</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3"/>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rPr>
          <w:rFonts w:hint="eastAsia" w:ascii="宋体" w:hAnsi="宋体" w:cs="Times New Roman"/>
          <w:b/>
          <w:sz w:val="24"/>
          <w:szCs w:val="24"/>
        </w:rPr>
      </w:pPr>
      <w:r>
        <w:rPr>
          <w:rFonts w:hint="eastAsia" w:ascii="宋体" w:hAnsi="宋体" w:cs="Times New Roman"/>
          <w:b/>
          <w:sz w:val="24"/>
          <w:szCs w:val="24"/>
        </w:rPr>
        <w:br w:type="page"/>
      </w: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jc w:val="left"/>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工程名称：</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jc w:val="left"/>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jc w:val="left"/>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jc w:val="left"/>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jc w:val="left"/>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jc w:val="left"/>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jc w:val="left"/>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jc w:val="left"/>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jc w:val="left"/>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jc w:val="left"/>
        <w:rPr>
          <w:rFonts w:ascii="宋体" w:cs="Times New Roman"/>
          <w:sz w:val="24"/>
          <w:szCs w:val="24"/>
          <w:highlight w:val="none"/>
        </w:rPr>
      </w:pPr>
      <w:r>
        <w:rPr>
          <w:rFonts w:hint="eastAsia" w:ascii="宋体" w:hAnsi="宋体" w:cs="Times New Roman"/>
          <w:sz w:val="24"/>
          <w:szCs w:val="24"/>
          <w:highlight w:val="none"/>
        </w:rPr>
        <w:t>其中：安全文明施工费：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元，规费：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w:t>
      </w:r>
    </w:p>
    <w:p>
      <w:pPr>
        <w:widowControl w:val="0"/>
        <w:spacing w:line="360" w:lineRule="exact"/>
        <w:jc w:val="left"/>
        <w:rPr>
          <w:rFonts w:ascii="宋体" w:cs="Times New Roman"/>
          <w:sz w:val="24"/>
          <w:szCs w:val="24"/>
        </w:rPr>
      </w:pPr>
      <w:r>
        <w:rPr>
          <w:rFonts w:hint="eastAsia" w:ascii="宋体" w:hAnsi="宋体" w:cs="Times New Roman"/>
          <w:sz w:val="24"/>
          <w:szCs w:val="24"/>
          <w:highlight w:val="none"/>
        </w:rPr>
        <w:t>人工费：元，暂列金额：元（其中计日工金额元）</w:t>
      </w:r>
      <w:r>
        <w:rPr>
          <w:rFonts w:hint="eastAsia" w:ascii="宋体" w:hAnsi="宋体" w:cs="Times New Roman"/>
          <w:sz w:val="24"/>
          <w:szCs w:val="24"/>
        </w:rPr>
        <w:t>，专业工程暂估价：元。</w:t>
      </w:r>
    </w:p>
    <w:p>
      <w:pPr>
        <w:widowControl w:val="0"/>
        <w:spacing w:line="360" w:lineRule="exact"/>
        <w:jc w:val="left"/>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eastAsia="zh-CN"/>
        </w:rPr>
        <w:t>姓</w:t>
      </w:r>
      <w:r>
        <w:rPr>
          <w:rFonts w:hint="eastAsia" w:ascii="宋体" w:hAnsi="宋体" w:cs="Times New Roman"/>
          <w:sz w:val="24"/>
          <w:szCs w:val="24"/>
        </w:rPr>
        <w:t>名：</w:t>
      </w:r>
      <w:r>
        <w:rPr>
          <w:rFonts w:hint="eastAsia" w:ascii="宋体" w:hAnsi="宋体" w:cs="Times New Roman"/>
          <w:sz w:val="24"/>
          <w:szCs w:val="24"/>
          <w:lang w:val="en-US" w:eastAsia="zh-CN"/>
        </w:rPr>
        <w:t xml:space="preserve">   </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职称：</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身份证号：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建造师执业资格证书号：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建造师注册证书号：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7</w:t>
      </w:r>
      <w:r>
        <w:rPr>
          <w:rFonts w:hint="eastAsia" w:ascii="宋体" w:hAnsi="宋体" w:cs="Times New Roman"/>
          <w:sz w:val="24"/>
          <w:szCs w:val="24"/>
        </w:rPr>
        <w:t>、已标价工程量清单；</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8</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240" w:lineRule="auto"/>
        <w:rPr>
          <w:rFonts w:ascii="宋体" w:hAnsi="宋体"/>
          <w:sz w:val="24"/>
          <w:szCs w:val="24"/>
        </w:rPr>
      </w:pPr>
      <w:r>
        <w:rPr>
          <w:rFonts w:hint="eastAsia" w:ascii="宋体" w:hAnsi="宋体"/>
          <w:sz w:val="24"/>
          <w:szCs w:val="24"/>
          <w:lang w:eastAsia="zh-CN"/>
        </w:rPr>
        <w:t>其他：</w:t>
      </w:r>
      <w:r>
        <w:rPr>
          <w:rFonts w:hint="eastAsia" w:ascii="宋体" w:hAnsi="宋体"/>
          <w:sz w:val="24"/>
          <w:szCs w:val="24"/>
        </w:rPr>
        <w:t>1．付款币种</w:t>
      </w:r>
      <w:r>
        <w:rPr>
          <w:rFonts w:hint="eastAsia" w:ascii="宋体" w:hAnsi="宋体"/>
          <w:sz w:val="24"/>
          <w:szCs w:val="24"/>
          <w:lang w:val="en-US" w:eastAsia="zh-CN"/>
        </w:rPr>
        <w:t>:</w:t>
      </w:r>
      <w:r>
        <w:rPr>
          <w:rFonts w:hint="eastAsia" w:ascii="宋体" w:hAnsi="宋体"/>
          <w:sz w:val="24"/>
          <w:szCs w:val="24"/>
        </w:rPr>
        <w:t>本次招标所述的项目资金均以人民币支付。</w:t>
      </w:r>
    </w:p>
    <w:p>
      <w:pPr>
        <w:snapToGrid w:val="0"/>
        <w:spacing w:line="240" w:lineRule="auto"/>
        <w:ind w:firstLine="720" w:firstLineChars="300"/>
        <w:jc w:val="left"/>
        <w:rPr>
          <w:rFonts w:hint="eastAsia" w:ascii="宋体" w:hAnsi="宋体"/>
          <w:sz w:val="24"/>
          <w:szCs w:val="24"/>
          <w:highlight w:val="none"/>
        </w:rPr>
      </w:pPr>
      <w:r>
        <w:rPr>
          <w:rFonts w:hint="eastAsia" w:ascii="宋体" w:hAnsi="宋体"/>
          <w:sz w:val="24"/>
          <w:szCs w:val="24"/>
          <w:lang w:val="en-US" w:eastAsia="zh-CN"/>
        </w:rPr>
        <w:t>2.</w:t>
      </w:r>
      <w:r>
        <w:rPr>
          <w:rFonts w:hint="eastAsia" w:ascii="宋体" w:hAnsi="宋体"/>
          <w:sz w:val="24"/>
          <w:szCs w:val="24"/>
          <w:highlight w:val="none"/>
        </w:rPr>
        <w:t>付款方式：</w:t>
      </w:r>
    </w:p>
    <w:p>
      <w:pPr>
        <w:snapToGrid w:val="0"/>
        <w:spacing w:line="240" w:lineRule="auto"/>
        <w:ind w:firstLine="420"/>
        <w:jc w:val="left"/>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）中标人与发包人签订合同；</w:t>
      </w:r>
    </w:p>
    <w:p>
      <w:pPr>
        <w:snapToGrid w:val="0"/>
        <w:spacing w:line="240" w:lineRule="auto"/>
        <w:ind w:firstLine="42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（2）签订合同后，采购单位根据工程进度进行分批支付，预付款30%；</w:t>
      </w:r>
    </w:p>
    <w:p>
      <w:pPr>
        <w:pStyle w:val="2"/>
        <w:spacing w:line="240" w:lineRule="auto"/>
        <w:jc w:val="left"/>
        <w:rPr>
          <w:rFonts w:hint="default"/>
          <w:sz w:val="24"/>
          <w:szCs w:val="24"/>
          <w:highlight w:val="none"/>
          <w:lang w:val="en-US" w:eastAsia="zh-CN"/>
        </w:rPr>
      </w:pPr>
      <w:r>
        <w:rPr>
          <w:rFonts w:hint="eastAsia"/>
          <w:sz w:val="24"/>
          <w:szCs w:val="24"/>
          <w:highlight w:val="none"/>
          <w:lang w:val="en-US" w:eastAsia="zh-CN"/>
        </w:rPr>
        <w:t>（3）工程进行中期时，支付工程款40%；</w:t>
      </w:r>
    </w:p>
    <w:p>
      <w:pPr>
        <w:snapToGrid w:val="0"/>
        <w:spacing w:line="240" w:lineRule="auto"/>
        <w:ind w:firstLine="420"/>
        <w:jc w:val="left"/>
        <w:rPr>
          <w:rFonts w:hint="default" w:ascii="宋体" w:hAnsi="宋体"/>
          <w:sz w:val="24"/>
          <w:szCs w:val="24"/>
          <w:highlight w:val="yellow"/>
          <w:lang w:val="en-US" w:eastAsia="zh-CN"/>
        </w:rPr>
      </w:pPr>
      <w:r>
        <w:rPr>
          <w:rFonts w:hint="eastAsia" w:ascii="宋体" w:hAnsi="宋体"/>
          <w:sz w:val="24"/>
          <w:szCs w:val="24"/>
          <w:highlight w:val="none"/>
          <w:lang w:val="en-US" w:eastAsia="zh-CN"/>
        </w:rPr>
        <w:t>（4）工程完工，通过验收合格后，采购单位向中标人支付30%的款项。</w:t>
      </w:r>
    </w:p>
    <w:p>
      <w:pPr>
        <w:snapToGrid w:val="0"/>
        <w:spacing w:line="360" w:lineRule="auto"/>
        <w:ind w:firstLine="420"/>
        <w:jc w:val="left"/>
        <w:rPr>
          <w:rFonts w:ascii="宋体" w:cs="Times New Roman"/>
          <w:sz w:val="24"/>
          <w:szCs w:val="24"/>
          <w:highlight w:val="none"/>
        </w:rPr>
      </w:pPr>
      <w:r>
        <w:rPr>
          <w:rFonts w:ascii="宋体" w:cs="Times New Roman"/>
          <w:sz w:val="24"/>
          <w:szCs w:val="24"/>
          <w:highlight w:val="none"/>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hint="eastAsia" w:ascii="宋体" w:hAnsi="宋体" w:eastAsia="宋体" w:cs="Times New Roman"/>
          <w:sz w:val="24"/>
          <w:szCs w:val="24"/>
          <w:highlight w:val="none"/>
          <w:u w:val="single"/>
          <w:lang w:eastAsia="zh-CN"/>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r>
        <w:rPr>
          <w:rFonts w:hint="eastAsia" w:ascii="宋体" w:hAnsi="宋体" w:cs="Times New Roman"/>
          <w:sz w:val="24"/>
          <w:szCs w:val="24"/>
          <w:highlight w:val="none"/>
          <w:u w:val="single"/>
          <w:lang w:eastAsia="zh-CN"/>
        </w:rPr>
        <w:t>合同通用条款</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hint="eastAsia" w:ascii="宋体" w:hAnsi="宋体" w:cs="Times New Roman"/>
          <w:sz w:val="24"/>
          <w:szCs w:val="24"/>
          <w:highlight w:val="yellow"/>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w:t>
      </w:r>
      <w:r>
        <w:rPr>
          <w:rFonts w:hint="eastAsia" w:ascii="宋体" w:hAnsi="宋体" w:cs="Times New Roman"/>
          <w:sz w:val="24"/>
          <w:szCs w:val="24"/>
          <w:highlight w:val="none"/>
        </w:rPr>
        <w:t>，</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lang w:val="en-US" w:eastAsia="zh-CN"/>
        </w:rPr>
        <w:t>3、</w:t>
      </w:r>
      <w:r>
        <w:rPr>
          <w:rFonts w:hint="eastAsia" w:ascii="宋体" w:hAnsi="宋体" w:cs="Times New Roman"/>
          <w:sz w:val="24"/>
          <w:szCs w:val="24"/>
          <w:highlight w:val="none"/>
        </w:rPr>
        <w:t>质量保证金银行利率为：发包人在质量保修期满验收合格后一个月内支付，质量保证金不计息。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hint="eastAsia" w:ascii="宋体" w:hAnsi="宋体" w:cs="Times New Roman"/>
          <w:sz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pStyle w:val="9"/>
        <w:rPr>
          <w:rFonts w:hint="eastAsia" w:ascii="宋体" w:hAnsi="宋体" w:cs="Times New Roman"/>
          <w:sz w:val="24"/>
        </w:rPr>
      </w:pPr>
    </w:p>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both"/>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rPr>
          <w:rFonts w:hint="eastAsia" w:ascii="宋体" w:hAnsi="宋体" w:cs="Times New Roman"/>
          <w:sz w:val="24"/>
          <w:szCs w:val="24"/>
        </w:rPr>
      </w:pPr>
      <w:r>
        <w:rPr>
          <w:rFonts w:hint="eastAsia" w:ascii="宋体" w:hAnsi="宋体" w:cs="Times New Roman"/>
          <w:sz w:val="24"/>
          <w:szCs w:val="24"/>
        </w:rPr>
        <w:br w:type="page"/>
      </w: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21"/>
          <w:szCs w:val="21"/>
        </w:rPr>
      </w:pPr>
      <w:r>
        <w:rPr>
          <w:rFonts w:hint="eastAsia" w:ascii="宋体" w:hAnsi="宋体" w:cs="Times New Roman"/>
          <w:sz w:val="21"/>
          <w:szCs w:val="21"/>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5"/>
        <w:bidi w:val="0"/>
        <w:spacing w:after="0" w:afterAutospacing="0"/>
        <w:jc w:val="center"/>
        <w:rPr>
          <w:sz w:val="44"/>
          <w:szCs w:val="44"/>
        </w:rPr>
      </w:pPr>
      <w:r>
        <w:rPr>
          <w:rFonts w:hint="eastAsia"/>
          <w:sz w:val="44"/>
          <w:szCs w:val="44"/>
        </w:rPr>
        <w:t>第</w:t>
      </w:r>
      <w:r>
        <w:rPr>
          <w:rFonts w:hint="eastAsia"/>
          <w:sz w:val="44"/>
          <w:szCs w:val="44"/>
          <w:lang w:eastAsia="zh-CN"/>
        </w:rPr>
        <w:t>八</w:t>
      </w:r>
      <w:r>
        <w:rPr>
          <w:rFonts w:hint="eastAsia"/>
          <w:sz w:val="44"/>
          <w:szCs w:val="44"/>
        </w:rPr>
        <w:t xml:space="preserve">部分 </w:t>
      </w:r>
      <w:r>
        <w:rPr>
          <w:rFonts w:hint="eastAsia"/>
          <w:sz w:val="44"/>
          <w:szCs w:val="44"/>
          <w:lang w:eastAsia="zh-CN"/>
        </w:rPr>
        <w:t>响应文件</w:t>
      </w:r>
      <w:r>
        <w:rPr>
          <w:rFonts w:hint="eastAsia"/>
          <w:sz w:val="44"/>
          <w:szCs w:val="44"/>
        </w:rPr>
        <w:t>的编制装订</w:t>
      </w:r>
    </w:p>
    <w:p>
      <w:pPr>
        <w:spacing w:beforeAutospacing="0"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jc w:val="lef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w:t>
      </w:r>
      <w:r>
        <w:rPr>
          <w:rFonts w:ascii="宋体" w:hAnsi="宋体" w:eastAsia="宋体" w:cs="宋体"/>
          <w:sz w:val="22"/>
          <w:szCs w:val="22"/>
        </w:rPr>
        <w:t>营业执照副本</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eastAsia="宋体" w:cs="宋体"/>
          <w:sz w:val="22"/>
          <w:szCs w:val="22"/>
          <w:lang w:eastAsia="zh-CN"/>
        </w:rPr>
        <w:t>投标函</w:t>
      </w:r>
      <w:r>
        <w:rPr>
          <w:rFonts w:hint="eastAsia" w:ascii="宋体" w:hAnsi="宋体" w:cs="宋体"/>
          <w:sz w:val="22"/>
          <w:szCs w:val="22"/>
          <w:lang w:val="en-US" w:eastAsia="zh-CN"/>
        </w:rPr>
        <w:t>及投标函附录</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lang w:eastAsia="zh-CN"/>
        </w:rPr>
        <w:t>符合《政府采购法》第二十二条规定</w:t>
      </w:r>
    </w:p>
    <w:p>
      <w:pPr>
        <w:spacing w:line="360" w:lineRule="auto"/>
        <w:jc w:val="left"/>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9</w:t>
      </w:r>
      <w:r>
        <w:rPr>
          <w:rFonts w:hint="eastAsia" w:ascii="宋体" w:hAnsi="宋体" w:cs="宋体"/>
          <w:sz w:val="22"/>
          <w:szCs w:val="22"/>
          <w:lang w:eastAsia="zh-CN"/>
        </w:rPr>
        <w:t>）</w:t>
      </w:r>
      <w:r>
        <w:rPr>
          <w:rFonts w:hint="eastAsia" w:ascii="宋体" w:hAnsi="宋体" w:eastAsia="宋体" w:cs="宋体"/>
          <w:sz w:val="22"/>
          <w:szCs w:val="22"/>
          <w:lang w:eastAsia="zh-CN"/>
        </w:rPr>
        <w:t>反商业贿赂书</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）投标保证金缴纳凭证</w:t>
      </w:r>
      <w:r>
        <w:rPr>
          <w:rFonts w:hint="eastAsia" w:ascii="宋体" w:hAnsi="宋体" w:cs="宋体"/>
          <w:sz w:val="22"/>
          <w:szCs w:val="22"/>
          <w:lang w:eastAsia="zh-CN"/>
        </w:rPr>
        <w:t>或电子保函缴纳凭证</w:t>
      </w:r>
    </w:p>
    <w:p>
      <w:pPr>
        <w:spacing w:line="36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jc w:val="left"/>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企业业绩:近三年完成的类似工程业绩(须提供中标通知书、合同(第一部分)及竣工验收报告或竣工接受证书彩色扫描件，且中标通知书或发包通知书须经行政监督管理部门备案。)</w:t>
      </w:r>
    </w:p>
    <w:p>
      <w:pPr>
        <w:spacing w:line="360" w:lineRule="auto"/>
        <w:jc w:val="left"/>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1"/>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pStyle w:val="4"/>
        <w:bidi w:val="0"/>
        <w:jc w:val="center"/>
        <w:rPr>
          <w:rFonts w:hint="eastAsia"/>
          <w:sz w:val="44"/>
          <w:szCs w:val="44"/>
          <w:lang w:val="en-US" w:eastAsia="zh-CN"/>
        </w:rPr>
      </w:pPr>
      <w:r>
        <w:rPr>
          <w:rFonts w:hint="eastAsia"/>
          <w:sz w:val="44"/>
          <w:szCs w:val="44"/>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w:t>
      </w:r>
      <w:r>
        <w:rPr>
          <w:rFonts w:hint="eastAsia" w:ascii="宋体" w:hAnsi="宋体" w:cs="宋体"/>
          <w:b/>
          <w:color w:val="auto"/>
          <w:kern w:val="2"/>
          <w:sz w:val="30"/>
          <w:szCs w:val="22"/>
          <w:lang w:val="en-US" w:eastAsia="zh-CN"/>
        </w:rPr>
        <w:t>1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2.1.1</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b/>
                <w:bCs/>
              </w:rPr>
            </w:pPr>
            <w:r>
              <w:rPr>
                <w:rFonts w:ascii="宋体" w:hAnsi="宋体" w:cs="Times New Roman"/>
                <w:b/>
                <w:bCs/>
              </w:rPr>
              <w:t>2.1.2</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bCs/>
              </w:rPr>
            </w:pPr>
            <w:r>
              <w:rPr>
                <w:rFonts w:ascii="宋体" w:hAnsi="宋体" w:cs="Times New Roman"/>
                <w:b/>
                <w:bCs/>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b/>
                <w:bCs/>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b/>
          <w:bCs/>
          <w:sz w:val="30"/>
          <w:szCs w:val="30"/>
          <w:lang w:eastAsia="zh-CN"/>
        </w:rPr>
      </w:pPr>
      <w:r>
        <w:rPr>
          <w:rFonts w:hint="eastAsia"/>
          <w:b/>
          <w:bCs/>
          <w:sz w:val="30"/>
          <w:szCs w:val="30"/>
        </w:rPr>
        <w:t>附件</w:t>
      </w:r>
      <w:r>
        <w:rPr>
          <w:rFonts w:hint="eastAsia"/>
          <w:b/>
          <w:bCs/>
          <w:sz w:val="30"/>
          <w:szCs w:val="30"/>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u w:val="single"/>
        </w:rPr>
      </w:pP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highlight w:val="none"/>
                <w:lang w:eastAsia="zh-CN"/>
              </w:rPr>
            </w:pPr>
            <w:r>
              <w:rPr>
                <w:rFonts w:hint="eastAsia" w:ascii="宋体" w:hAnsi="宋体" w:cs="Times New Roman"/>
                <w:highlight w:val="none"/>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投标人须知</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合同价的</w:t>
            </w:r>
            <w:r>
              <w:rPr>
                <w:rFonts w:hint="eastAsia" w:ascii="宋体" w:hAnsi="宋体" w:cs="Times New Roman"/>
                <w:highlight w:val="none"/>
                <w:lang w:val="en-US" w:eastAsia="zh-CN"/>
              </w:rPr>
              <w:t>30</w:t>
            </w:r>
            <w:r>
              <w:rPr>
                <w:rFonts w:hint="eastAsia" w:ascii="宋体" w:hAnsi="宋体" w:cs="Times New Roman"/>
                <w:highlight w:val="none"/>
              </w:rPr>
              <w:t>%</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highlight w:val="none"/>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9"/>
        <w:rPr>
          <w:rFonts w:hint="eastAsia" w:ascii="宋体" w:hAnsi="宋体"/>
          <w:sz w:val="28"/>
          <w:szCs w:val="28"/>
          <w:lang w:val="en-US" w:eastAsia="zh-CN"/>
        </w:rPr>
      </w:pPr>
    </w:p>
    <w:p>
      <w:pPr>
        <w:rPr>
          <w:rFonts w:hint="eastAsia" w:ascii="宋体" w:hAnsi="宋体"/>
          <w:b/>
          <w:bCs/>
          <w:sz w:val="30"/>
          <w:szCs w:val="30"/>
          <w:lang w:val="en-US" w:eastAsia="zh-CN"/>
        </w:rPr>
      </w:pPr>
      <w:r>
        <w:rPr>
          <w:rFonts w:hint="eastAsia" w:ascii="宋体" w:hAnsi="宋体"/>
          <w:b/>
          <w:bCs/>
          <w:sz w:val="30"/>
          <w:szCs w:val="30"/>
          <w:lang w:val="en-US" w:eastAsia="zh-CN"/>
        </w:rPr>
        <w:t>附件3</w:t>
      </w:r>
    </w:p>
    <w:p>
      <w:pPr>
        <w:pStyle w:val="2"/>
        <w:rPr>
          <w:rFonts w:hint="default"/>
          <w:lang w:val="en-US" w:eastAsia="zh-CN"/>
        </w:rPr>
      </w:pPr>
    </w:p>
    <w:p>
      <w:pPr>
        <w:pStyle w:val="9"/>
        <w:numPr>
          <w:ilvl w:val="0"/>
          <w:numId w:val="0"/>
        </w:numPr>
        <w:spacing w:line="480" w:lineRule="auto"/>
        <w:jc w:val="center"/>
        <w:rPr>
          <w:rFonts w:hint="eastAsia" w:ascii="微软雅黑" w:hAnsi="微软雅黑" w:eastAsia="微软雅黑" w:cs="微软雅黑"/>
          <w:b/>
          <w:bCs/>
          <w:color w:val="111F2C"/>
          <w:sz w:val="22"/>
          <w:szCs w:val="22"/>
          <w:shd w:val="clear" w:color="auto" w:fill="FFFFFF"/>
        </w:rPr>
      </w:pPr>
      <w:r>
        <w:rPr>
          <w:rFonts w:hint="eastAsia" w:ascii="Times New Roman" w:hAnsi="Times New Roman" w:eastAsia="宋体" w:cs="Times New Roman"/>
          <w:b/>
          <w:bCs/>
          <w:kern w:val="2"/>
          <w:sz w:val="32"/>
          <w:szCs w:val="32"/>
          <w:lang w:val="en-US" w:eastAsia="zh-CN" w:bidi="ar-SA"/>
        </w:rPr>
        <w:t>符合《中华人民共和国政府采购法》第二十二条</w:t>
      </w:r>
      <w:r>
        <w:rPr>
          <w:rFonts w:hint="eastAsia" w:ascii="Times New Roman" w:hAnsi="Times New Roman" w:cs="Times New Roman"/>
          <w:b/>
          <w:bCs/>
          <w:kern w:val="2"/>
          <w:sz w:val="32"/>
          <w:szCs w:val="32"/>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（招标方）</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9"/>
        <w:spacing w:line="480" w:lineRule="auto"/>
        <w:ind w:firstLine="480"/>
        <w:jc w:val="left"/>
        <w:rPr>
          <w:rFonts w:hint="eastAsia" w:ascii="宋体" w:hAnsi="宋体" w:eastAsia="宋体" w:cs="宋体"/>
          <w:sz w:val="24"/>
          <w:szCs w:val="24"/>
          <w:lang w:eastAsia="zh-CN"/>
        </w:rPr>
      </w:pPr>
    </w:p>
    <w:p>
      <w:pPr>
        <w:pStyle w:val="9"/>
        <w:spacing w:line="480" w:lineRule="auto"/>
        <w:ind w:firstLine="480"/>
        <w:jc w:val="right"/>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rPr>
          <w:rFonts w:hint="eastAsia" w:ascii="宋体" w:hAnsi="宋体"/>
          <w:sz w:val="28"/>
          <w:szCs w:val="28"/>
          <w:lang w:val="en-US" w:eastAsia="zh-CN"/>
        </w:rPr>
      </w:pPr>
      <w:r>
        <w:rPr>
          <w:rFonts w:hint="eastAsia" w:ascii="宋体" w:hAnsi="宋体" w:cs="宋体"/>
          <w:sz w:val="24"/>
          <w:szCs w:val="24"/>
          <w:lang w:val="en-US" w:eastAsia="zh-CN"/>
        </w:rPr>
        <w:br w:type="page"/>
      </w:r>
    </w:p>
    <w:p>
      <w:pPr>
        <w:widowControl/>
        <w:topLinePunct/>
        <w:spacing w:line="440" w:lineRule="exact"/>
        <w:rPr>
          <w:rFonts w:ascii="宋体" w:hAnsi="宋体"/>
          <w:sz w:val="24"/>
          <w:szCs w:val="20"/>
        </w:rPr>
      </w:pPr>
      <w:r>
        <w:rPr>
          <w:rFonts w:hint="eastAsia"/>
          <w:sz w:val="28"/>
          <w:szCs w:val="28"/>
        </w:rPr>
        <w:t>附件4</w:t>
      </w: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jc w:val="center"/>
        <w:rPr>
          <w:b/>
          <w:bCs/>
          <w:sz w:val="32"/>
          <w:szCs w:val="32"/>
        </w:rPr>
      </w:pPr>
      <w:r>
        <w:rPr>
          <w:rFonts w:hint="eastAsia"/>
          <w:b/>
          <w:bCs/>
          <w:sz w:val="32"/>
          <w:szCs w:val="32"/>
        </w:rPr>
        <w:t>法定代表人的</w:t>
      </w:r>
      <w:r>
        <w:rPr>
          <w:b/>
          <w:bCs/>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3" w:type="default"/>
          <w:footerReference r:id="rId4"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sz w:val="28"/>
          <w:szCs w:val="28"/>
          <w:lang w:val="en-US" w:eastAsia="zh-CN"/>
        </w:rPr>
      </w:pPr>
      <w:r>
        <w:rPr>
          <w:rFonts w:hint="eastAsia"/>
          <w:sz w:val="28"/>
          <w:szCs w:val="28"/>
        </w:rPr>
        <w:t>附件</w:t>
      </w:r>
      <w:r>
        <w:rPr>
          <w:rFonts w:hint="eastAsia"/>
          <w:sz w:val="28"/>
          <w:szCs w:val="28"/>
          <w:lang w:val="en-US" w:eastAsia="zh-CN"/>
        </w:rPr>
        <w:t>5</w:t>
      </w:r>
    </w:p>
    <w:p>
      <w:pPr>
        <w:pStyle w:val="2"/>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7"/>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18" w:firstLineChars="1626"/>
        <w:jc w:val="left"/>
        <w:rPr>
          <w:rFonts w:hint="eastAsia" w:ascii="宋体" w:hAnsi="宋体" w:eastAsia="宋体" w:cs="宋体"/>
          <w:sz w:val="24"/>
          <w:lang w:val="en-US" w:eastAsia="zh-CN"/>
        </w:rPr>
      </w:pPr>
      <w:r>
        <w:rPr>
          <w:rFonts w:hint="eastAsia" w:ascii="宋体" w:hAnsi="宋体" w:cs="宋体"/>
          <w:b/>
          <w:bCs/>
          <w:sz w:val="24"/>
        </w:rPr>
        <w:t xml:space="preserve"> </w:t>
      </w:r>
      <w:r>
        <w:rPr>
          <w:rFonts w:hint="eastAsia" w:ascii="宋体" w:hAnsi="宋体" w:cs="宋体"/>
          <w:b w:val="0"/>
          <w:bCs w:val="0"/>
          <w:sz w:val="24"/>
        </w:rPr>
        <w:t>承诺日期：</w:t>
      </w:r>
      <w:r>
        <w:rPr>
          <w:rFonts w:hint="eastAsia" w:ascii="宋体" w:hAnsi="宋体" w:cs="宋体"/>
          <w:b/>
          <w:bCs/>
          <w:sz w:val="24"/>
          <w:lang w:val="en-US" w:eastAsia="zh-CN"/>
        </w:rPr>
        <w:t xml:space="preserve">  </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rPr>
          <w:rFonts w:hint="eastAsia" w:ascii="宋体" w:hAnsi="宋体" w:cs="宋体"/>
          <w:b/>
          <w:sz w:val="24"/>
          <w:lang w:eastAsia="zh-CN"/>
        </w:rPr>
      </w:pPr>
      <w:r>
        <w:rPr>
          <w:rFonts w:hint="eastAsia" w:ascii="宋体" w:hAnsi="宋体" w:cs="宋体"/>
          <w:b/>
          <w:sz w:val="24"/>
          <w:lang w:eastAsia="zh-CN"/>
        </w:rPr>
        <w:br w:type="page"/>
      </w:r>
    </w:p>
    <w:p>
      <w:pPr>
        <w:rPr>
          <w:rFonts w:hint="eastAsia" w:ascii="宋体" w:hAnsi="宋体" w:cs="宋体"/>
          <w:b/>
          <w:sz w:val="24"/>
          <w:lang w:val="en-US" w:eastAsia="zh-CN"/>
        </w:rPr>
      </w:pPr>
      <w:r>
        <w:rPr>
          <w:rFonts w:hint="eastAsia" w:ascii="宋体" w:hAnsi="宋体" w:cs="宋体"/>
          <w:b/>
          <w:sz w:val="24"/>
          <w:lang w:eastAsia="zh-CN"/>
        </w:rPr>
        <w:t>附件</w:t>
      </w:r>
      <w:r>
        <w:rPr>
          <w:rFonts w:hint="eastAsia" w:ascii="宋体" w:hAnsi="宋体" w:cs="宋体"/>
          <w:b/>
          <w:sz w:val="24"/>
          <w:lang w:val="en-US" w:eastAsia="zh-CN"/>
        </w:rPr>
        <w:t>6</w:t>
      </w:r>
    </w:p>
    <w:p>
      <w:pPr>
        <w:pStyle w:val="2"/>
        <w:jc w:val="center"/>
        <w:rPr>
          <w:rFonts w:hint="default"/>
          <w:b/>
          <w:bCs/>
          <w:lang w:val="en-US" w:eastAsia="zh-CN"/>
        </w:rPr>
      </w:pPr>
    </w:p>
    <w:p>
      <w:pPr>
        <w:widowControl/>
        <w:topLinePunct/>
        <w:spacing w:line="440" w:lineRule="exact"/>
        <w:jc w:val="center"/>
        <w:rPr>
          <w:rFonts w:hint="eastAsia" w:eastAsia="宋体"/>
          <w:b/>
          <w:bCs/>
          <w:sz w:val="32"/>
          <w:szCs w:val="32"/>
          <w:lang w:eastAsia="zh-CN"/>
        </w:rPr>
      </w:pPr>
      <w:r>
        <w:rPr>
          <w:rFonts w:hint="eastAsia"/>
          <w:b/>
          <w:bCs/>
          <w:sz w:val="32"/>
          <w:szCs w:val="32"/>
        </w:rPr>
        <w:t>投标保证金凭证</w:t>
      </w:r>
      <w:r>
        <w:rPr>
          <w:rFonts w:hint="eastAsia"/>
          <w:b/>
          <w:bCs/>
          <w:sz w:val="32"/>
          <w:szCs w:val="32"/>
          <w:lang w:eastAsia="zh-CN"/>
        </w:rPr>
        <w:t>或电子保函缴费凭证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w:t>
            </w:r>
            <w:r>
              <w:rPr>
                <w:rFonts w:hint="eastAsia" w:ascii="宋体" w:hAnsi="宋体"/>
                <w:sz w:val="28"/>
                <w:szCs w:val="28"/>
                <w:lang w:eastAsia="zh-CN"/>
              </w:rPr>
              <w:t>或电子保函缴费凭证</w:t>
            </w:r>
            <w:r>
              <w:rPr>
                <w:rFonts w:hint="eastAsia" w:ascii="宋体" w:hAnsi="宋体"/>
                <w:sz w:val="28"/>
                <w:szCs w:val="28"/>
              </w:rPr>
              <w:t>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附件7</w:t>
      </w:r>
    </w:p>
    <w:p>
      <w:pPr>
        <w:rPr>
          <w:rFonts w:hint="eastAsia" w:ascii="宋体" w:hAnsi="宋体" w:cs="宋体"/>
          <w:b/>
          <w:sz w:val="24"/>
          <w:szCs w:val="24"/>
        </w:rPr>
      </w:pP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val="0"/>
          <w:bCs/>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left"/>
        <w:rPr>
          <w:rFonts w:hint="default" w:eastAsia="宋体"/>
          <w:b/>
          <w:sz w:val="28"/>
          <w:lang w:val="en-US" w:eastAsia="zh-CN"/>
        </w:rPr>
      </w:pPr>
      <w:r>
        <w:rPr>
          <w:rFonts w:hint="eastAsia"/>
          <w:b/>
          <w:sz w:val="28"/>
          <w:lang w:eastAsia="zh-CN"/>
        </w:rPr>
        <w:t>附件</w:t>
      </w:r>
      <w:r>
        <w:rPr>
          <w:rFonts w:hint="eastAsia"/>
          <w:b/>
          <w:sz w:val="28"/>
          <w:lang w:val="en-US" w:eastAsia="zh-CN"/>
        </w:rPr>
        <w:t>8</w:t>
      </w: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2"/>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9"/>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left"/>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9</w:t>
      </w: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ind w:firstLine="210" w:firstLineChars="100"/>
              <w:rPr>
                <w:rFonts w:hint="eastAsia" w:ascii="宋体" w:hAnsi="宋体" w:cs="Times New Roman"/>
                <w:bCs/>
              </w:rPr>
            </w:pPr>
            <w:r>
              <w:rPr>
                <w:rFonts w:hint="eastAsia" w:ascii="宋体" w:hAnsi="宋体" w:cs="Times New Roman"/>
                <w:bCs/>
              </w:rPr>
              <w:t>技术员</w:t>
            </w:r>
          </w:p>
          <w:p>
            <w:pPr>
              <w:widowControl w:val="0"/>
              <w:rPr>
                <w:rFonts w:ascii="宋体" w:cs="Times New Roman"/>
                <w:bCs/>
              </w:rPr>
            </w:pPr>
            <w:r>
              <w:rPr>
                <w:rFonts w:hint="eastAsia" w:ascii="宋体" w:hAnsi="宋体" w:cs="Times New Roman"/>
                <w:bCs/>
              </w:rPr>
              <w:t>（施工员）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hint="eastAsia" w:ascii="宋体" w:hAnsi="宋体" w:eastAsia="宋体" w:cs="Times New Roman"/>
          <w:b/>
          <w:bCs/>
          <w:lang w:eastAsia="zh-CN"/>
        </w:rPr>
      </w:pPr>
    </w:p>
    <w:p>
      <w:pPr>
        <w:widowControl w:val="0"/>
        <w:jc w:val="center"/>
        <w:rPr>
          <w:rFonts w:ascii="宋体" w:hAnsi="宋体" w:cs="Times New Roman"/>
          <w:b/>
          <w:bCs/>
        </w:rPr>
      </w:pPr>
    </w:p>
    <w:p>
      <w:pPr>
        <w:widowControl w:val="0"/>
        <w:jc w:val="center"/>
        <w:rPr>
          <w:rFonts w:ascii="宋体" w:cs="Times New Roman"/>
          <w:b/>
          <w:bCs/>
          <w:sz w:val="28"/>
          <w:szCs w:val="28"/>
        </w:rPr>
      </w:pPr>
      <w:r>
        <w:rPr>
          <w:rFonts w:ascii="宋体" w:hAnsi="宋体" w:cs="Times New Roman"/>
          <w:b/>
          <w:bCs/>
          <w:sz w:val="28"/>
          <w:szCs w:val="28"/>
        </w:rPr>
        <w:t>1</w:t>
      </w:r>
      <w:r>
        <w:rPr>
          <w:rFonts w:hint="eastAsia" w:ascii="宋体" w:hAnsi="宋体" w:cs="Times New Roman"/>
          <w:b/>
          <w:bCs/>
          <w:sz w:val="28"/>
          <w:szCs w:val="28"/>
          <w:lang w:val="en-US" w:eastAsia="zh-CN"/>
        </w:rPr>
        <w:t>.</w:t>
      </w:r>
      <w:r>
        <w:rPr>
          <w:rFonts w:hint="eastAsia" w:ascii="宋体" w:hAnsi="宋体" w:cs="Times New Roman"/>
          <w:b/>
          <w:bCs/>
          <w:sz w:val="28"/>
          <w:szCs w:val="28"/>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ind w:left="0" w:leftChars="0" w:firstLine="0" w:firstLineChars="0"/>
        <w:rPr>
          <w:rFonts w:hint="eastAsia"/>
        </w:rPr>
      </w:pPr>
    </w:p>
    <w:p>
      <w:pPr>
        <w:pStyle w:val="9"/>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pStyle w:val="9"/>
      </w:pPr>
    </w:p>
    <w:p>
      <w:pPr>
        <w:spacing w:line="500" w:lineRule="exact"/>
        <w:jc w:val="left"/>
        <w:rPr>
          <w:rFonts w:hint="eastAsia" w:ascii="宋体" w:hAnsi="宋体" w:cs="宋体"/>
          <w:b/>
          <w:sz w:val="36"/>
        </w:rPr>
      </w:pPr>
    </w:p>
    <w:p>
      <w:pPr>
        <w:pStyle w:val="27"/>
        <w:ind w:left="0" w:leftChars="0" w:firstLine="0" w:firstLineChars="0"/>
        <w:jc w:val="left"/>
        <w:rPr>
          <w:rFonts w:ascii="宋体" w:hAnsi="宋体" w:cs="宋体"/>
          <w:b/>
          <w:sz w:val="24"/>
        </w:rPr>
      </w:pPr>
    </w:p>
    <w:sectPr>
      <w:headerReference r:id="rId5" w:type="default"/>
      <w:footerReference r:id="rId6"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57806D"/>
    <w:multiLevelType w:val="singleLevel"/>
    <w:tmpl w:val="1C57806D"/>
    <w:lvl w:ilvl="0" w:tentative="0">
      <w:start w:val="1"/>
      <w:numFmt w:val="decimal"/>
      <w:suff w:val="nothing"/>
      <w:lvlText w:val="%1、"/>
      <w:lvlJc w:val="left"/>
    </w:lvl>
  </w:abstractNum>
  <w:abstractNum w:abstractNumId="8">
    <w:nsid w:val="4B1F4628"/>
    <w:multiLevelType w:val="singleLevel"/>
    <w:tmpl w:val="4B1F4628"/>
    <w:lvl w:ilvl="0" w:tentative="0">
      <w:start w:val="1"/>
      <w:numFmt w:val="decimal"/>
      <w:suff w:val="space"/>
      <w:lvlText w:val="%1."/>
      <w:lvlJc w:val="left"/>
    </w:lvl>
  </w:abstractNum>
  <w:abstractNum w:abstractNumId="9">
    <w:nsid w:val="55B74ADF"/>
    <w:multiLevelType w:val="singleLevel"/>
    <w:tmpl w:val="55B74ADF"/>
    <w:lvl w:ilvl="0" w:tentative="0">
      <w:start w:val="1"/>
      <w:numFmt w:val="decimal"/>
      <w:suff w:val="nothing"/>
      <w:lvlText w:val="%1）"/>
      <w:lvlJc w:val="left"/>
    </w:lvl>
  </w:abstractNum>
  <w:abstractNum w:abstractNumId="10">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1"/>
  </w:num>
  <w:num w:numId="5">
    <w:abstractNumId w:val="7"/>
  </w:num>
  <w:num w:numId="6">
    <w:abstractNumId w:val="3"/>
  </w:num>
  <w:num w:numId="7">
    <w:abstractNumId w:val="2"/>
  </w:num>
  <w:num w:numId="8">
    <w:abstractNumId w:val="0"/>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MGM4NzM5MDYzNmJkZDU5NGExYWNhMTU5MWUxZG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535"/>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500"/>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320EC"/>
    <w:rsid w:val="016A112C"/>
    <w:rsid w:val="016C6D69"/>
    <w:rsid w:val="017E0CD4"/>
    <w:rsid w:val="01804A4C"/>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223059"/>
    <w:rsid w:val="043314BD"/>
    <w:rsid w:val="044F45C3"/>
    <w:rsid w:val="04792858"/>
    <w:rsid w:val="04935027"/>
    <w:rsid w:val="04A0094D"/>
    <w:rsid w:val="04A96EC4"/>
    <w:rsid w:val="04B93DA5"/>
    <w:rsid w:val="04D55A8D"/>
    <w:rsid w:val="04D72A67"/>
    <w:rsid w:val="04F3186F"/>
    <w:rsid w:val="04F438EE"/>
    <w:rsid w:val="04F472CE"/>
    <w:rsid w:val="04F97836"/>
    <w:rsid w:val="05416E84"/>
    <w:rsid w:val="05590EAF"/>
    <w:rsid w:val="05677820"/>
    <w:rsid w:val="05A61493"/>
    <w:rsid w:val="05B66C8F"/>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4402CA"/>
    <w:rsid w:val="07624FC4"/>
    <w:rsid w:val="07AE3082"/>
    <w:rsid w:val="07BE1E2B"/>
    <w:rsid w:val="07C27F98"/>
    <w:rsid w:val="07C66645"/>
    <w:rsid w:val="07DD202E"/>
    <w:rsid w:val="07E97FC1"/>
    <w:rsid w:val="07ED5706"/>
    <w:rsid w:val="07F16046"/>
    <w:rsid w:val="07F26F0E"/>
    <w:rsid w:val="08066829"/>
    <w:rsid w:val="08146279"/>
    <w:rsid w:val="08215D5F"/>
    <w:rsid w:val="082B3A5F"/>
    <w:rsid w:val="08657E01"/>
    <w:rsid w:val="08802565"/>
    <w:rsid w:val="08FA1588"/>
    <w:rsid w:val="09002674"/>
    <w:rsid w:val="09096454"/>
    <w:rsid w:val="094D1E04"/>
    <w:rsid w:val="09834BF4"/>
    <w:rsid w:val="09976FD2"/>
    <w:rsid w:val="09A305FF"/>
    <w:rsid w:val="09B33E32"/>
    <w:rsid w:val="09BF7CF7"/>
    <w:rsid w:val="09C54C03"/>
    <w:rsid w:val="09E212CC"/>
    <w:rsid w:val="0A054714"/>
    <w:rsid w:val="0A145343"/>
    <w:rsid w:val="0A2A7CFC"/>
    <w:rsid w:val="0A341712"/>
    <w:rsid w:val="0A48004B"/>
    <w:rsid w:val="0A4947FA"/>
    <w:rsid w:val="0A634F0B"/>
    <w:rsid w:val="0A6E6877"/>
    <w:rsid w:val="0A7C5280"/>
    <w:rsid w:val="0AA22947"/>
    <w:rsid w:val="0AA7304A"/>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865355"/>
    <w:rsid w:val="0B8D3CD5"/>
    <w:rsid w:val="0B9B02E6"/>
    <w:rsid w:val="0B9C3C55"/>
    <w:rsid w:val="0B9E73AA"/>
    <w:rsid w:val="0BD801AC"/>
    <w:rsid w:val="0BEB59B2"/>
    <w:rsid w:val="0BF30DCE"/>
    <w:rsid w:val="0BF939A4"/>
    <w:rsid w:val="0C175BE4"/>
    <w:rsid w:val="0C20552D"/>
    <w:rsid w:val="0C3B68F0"/>
    <w:rsid w:val="0C3B7A3C"/>
    <w:rsid w:val="0C641B02"/>
    <w:rsid w:val="0C785A6E"/>
    <w:rsid w:val="0C853937"/>
    <w:rsid w:val="0C872C5D"/>
    <w:rsid w:val="0C9413AC"/>
    <w:rsid w:val="0CBF2B50"/>
    <w:rsid w:val="0CC67C78"/>
    <w:rsid w:val="0CCD49B8"/>
    <w:rsid w:val="0CEF59E2"/>
    <w:rsid w:val="0CFB35E9"/>
    <w:rsid w:val="0CFD1647"/>
    <w:rsid w:val="0D052180"/>
    <w:rsid w:val="0D365E6D"/>
    <w:rsid w:val="0D9C6167"/>
    <w:rsid w:val="0DD4320E"/>
    <w:rsid w:val="0E326D6C"/>
    <w:rsid w:val="0E375D4C"/>
    <w:rsid w:val="0E564E46"/>
    <w:rsid w:val="0E774870"/>
    <w:rsid w:val="0E8E6ECC"/>
    <w:rsid w:val="0E950445"/>
    <w:rsid w:val="0E9B6326"/>
    <w:rsid w:val="0EB71334"/>
    <w:rsid w:val="0EF14258"/>
    <w:rsid w:val="0F027C00"/>
    <w:rsid w:val="0F1A7042"/>
    <w:rsid w:val="0F37317F"/>
    <w:rsid w:val="0F386791"/>
    <w:rsid w:val="0F4075C9"/>
    <w:rsid w:val="0F673850"/>
    <w:rsid w:val="0FAE5B95"/>
    <w:rsid w:val="0FD00FE3"/>
    <w:rsid w:val="0FD93F43"/>
    <w:rsid w:val="0FE66A0B"/>
    <w:rsid w:val="0FED7A27"/>
    <w:rsid w:val="10112018"/>
    <w:rsid w:val="10211EA3"/>
    <w:rsid w:val="105E1569"/>
    <w:rsid w:val="10633998"/>
    <w:rsid w:val="106731B0"/>
    <w:rsid w:val="10727C56"/>
    <w:rsid w:val="10795942"/>
    <w:rsid w:val="108A26B0"/>
    <w:rsid w:val="108E1E2D"/>
    <w:rsid w:val="10940963"/>
    <w:rsid w:val="10B606BC"/>
    <w:rsid w:val="10B620A9"/>
    <w:rsid w:val="10B718B1"/>
    <w:rsid w:val="10BF2856"/>
    <w:rsid w:val="10D177B4"/>
    <w:rsid w:val="10DA798F"/>
    <w:rsid w:val="10E962C6"/>
    <w:rsid w:val="10F835FF"/>
    <w:rsid w:val="10F91CA5"/>
    <w:rsid w:val="1110050A"/>
    <w:rsid w:val="111451B1"/>
    <w:rsid w:val="11247730"/>
    <w:rsid w:val="11454013"/>
    <w:rsid w:val="11826B07"/>
    <w:rsid w:val="119B75B5"/>
    <w:rsid w:val="11BD13A5"/>
    <w:rsid w:val="11C70538"/>
    <w:rsid w:val="11D30F31"/>
    <w:rsid w:val="11D81086"/>
    <w:rsid w:val="120C7C36"/>
    <w:rsid w:val="12232966"/>
    <w:rsid w:val="127A4E78"/>
    <w:rsid w:val="12871401"/>
    <w:rsid w:val="12C744D5"/>
    <w:rsid w:val="12DB1BC4"/>
    <w:rsid w:val="12DB3D35"/>
    <w:rsid w:val="12DC04D9"/>
    <w:rsid w:val="12E60488"/>
    <w:rsid w:val="130E001D"/>
    <w:rsid w:val="13250FB0"/>
    <w:rsid w:val="13624799"/>
    <w:rsid w:val="13833B5E"/>
    <w:rsid w:val="138B0B92"/>
    <w:rsid w:val="13BA4654"/>
    <w:rsid w:val="13E5142C"/>
    <w:rsid w:val="13FD1F2D"/>
    <w:rsid w:val="13FD6F2B"/>
    <w:rsid w:val="14136869"/>
    <w:rsid w:val="14165982"/>
    <w:rsid w:val="14352556"/>
    <w:rsid w:val="145558C5"/>
    <w:rsid w:val="14687AC4"/>
    <w:rsid w:val="14765AFE"/>
    <w:rsid w:val="14851100"/>
    <w:rsid w:val="1489741F"/>
    <w:rsid w:val="148D0298"/>
    <w:rsid w:val="14CF6A33"/>
    <w:rsid w:val="14D84912"/>
    <w:rsid w:val="14E07884"/>
    <w:rsid w:val="14E641E7"/>
    <w:rsid w:val="14ED59F4"/>
    <w:rsid w:val="14F61DEB"/>
    <w:rsid w:val="15106F2A"/>
    <w:rsid w:val="151168D8"/>
    <w:rsid w:val="151A161B"/>
    <w:rsid w:val="153227F4"/>
    <w:rsid w:val="15376F6C"/>
    <w:rsid w:val="154222ED"/>
    <w:rsid w:val="155B2859"/>
    <w:rsid w:val="159B6680"/>
    <w:rsid w:val="159D7523"/>
    <w:rsid w:val="15A703A2"/>
    <w:rsid w:val="15BF225D"/>
    <w:rsid w:val="15C355D4"/>
    <w:rsid w:val="15C5615E"/>
    <w:rsid w:val="15D57E3B"/>
    <w:rsid w:val="15DF1CB9"/>
    <w:rsid w:val="15EA2F3A"/>
    <w:rsid w:val="15FE4ECD"/>
    <w:rsid w:val="161B26B3"/>
    <w:rsid w:val="163F682C"/>
    <w:rsid w:val="16676D91"/>
    <w:rsid w:val="1675224E"/>
    <w:rsid w:val="167D33C8"/>
    <w:rsid w:val="16851CD5"/>
    <w:rsid w:val="168C371C"/>
    <w:rsid w:val="16B25A48"/>
    <w:rsid w:val="16D1282F"/>
    <w:rsid w:val="16E97413"/>
    <w:rsid w:val="16EA386C"/>
    <w:rsid w:val="16F15181"/>
    <w:rsid w:val="170D6465"/>
    <w:rsid w:val="1715298A"/>
    <w:rsid w:val="171D1030"/>
    <w:rsid w:val="171F4F07"/>
    <w:rsid w:val="17243AA6"/>
    <w:rsid w:val="17262A02"/>
    <w:rsid w:val="172717CD"/>
    <w:rsid w:val="17320956"/>
    <w:rsid w:val="17415E71"/>
    <w:rsid w:val="17446666"/>
    <w:rsid w:val="17B75394"/>
    <w:rsid w:val="17CF2860"/>
    <w:rsid w:val="17D62289"/>
    <w:rsid w:val="17DC4EBE"/>
    <w:rsid w:val="17E52AA6"/>
    <w:rsid w:val="17F5282C"/>
    <w:rsid w:val="17F8447E"/>
    <w:rsid w:val="180B4C32"/>
    <w:rsid w:val="180E6906"/>
    <w:rsid w:val="181E2242"/>
    <w:rsid w:val="1828574C"/>
    <w:rsid w:val="183B0934"/>
    <w:rsid w:val="185D11EC"/>
    <w:rsid w:val="18B80D08"/>
    <w:rsid w:val="18C342F6"/>
    <w:rsid w:val="18CD45C3"/>
    <w:rsid w:val="18E253C2"/>
    <w:rsid w:val="193D0FD7"/>
    <w:rsid w:val="194438B4"/>
    <w:rsid w:val="194F6D87"/>
    <w:rsid w:val="1962723C"/>
    <w:rsid w:val="19915349"/>
    <w:rsid w:val="199836C2"/>
    <w:rsid w:val="19AB0F5F"/>
    <w:rsid w:val="19AB3B3F"/>
    <w:rsid w:val="19FF5869"/>
    <w:rsid w:val="1A035A64"/>
    <w:rsid w:val="1A0B61BC"/>
    <w:rsid w:val="1A136006"/>
    <w:rsid w:val="1A185C4E"/>
    <w:rsid w:val="1A3D48E6"/>
    <w:rsid w:val="1A664C0F"/>
    <w:rsid w:val="1A6860A6"/>
    <w:rsid w:val="1A7E77D6"/>
    <w:rsid w:val="1AA44EB0"/>
    <w:rsid w:val="1AA4705B"/>
    <w:rsid w:val="1AA634A4"/>
    <w:rsid w:val="1AB7074B"/>
    <w:rsid w:val="1AE416CC"/>
    <w:rsid w:val="1AEE25CF"/>
    <w:rsid w:val="1AF54412"/>
    <w:rsid w:val="1B057750"/>
    <w:rsid w:val="1B063DBD"/>
    <w:rsid w:val="1B0F548C"/>
    <w:rsid w:val="1B282C08"/>
    <w:rsid w:val="1B34387B"/>
    <w:rsid w:val="1B417FDB"/>
    <w:rsid w:val="1B4E368C"/>
    <w:rsid w:val="1B990549"/>
    <w:rsid w:val="1BA057DC"/>
    <w:rsid w:val="1BB11F7A"/>
    <w:rsid w:val="1BDE33A2"/>
    <w:rsid w:val="1C1D576A"/>
    <w:rsid w:val="1C231E8E"/>
    <w:rsid w:val="1C3537FA"/>
    <w:rsid w:val="1C3861F8"/>
    <w:rsid w:val="1C406571"/>
    <w:rsid w:val="1CCE5F1E"/>
    <w:rsid w:val="1CEA50E3"/>
    <w:rsid w:val="1D0172A7"/>
    <w:rsid w:val="1D056B01"/>
    <w:rsid w:val="1D4643B9"/>
    <w:rsid w:val="1D5F55A1"/>
    <w:rsid w:val="1D7C20BD"/>
    <w:rsid w:val="1D7F6594"/>
    <w:rsid w:val="1DA47F76"/>
    <w:rsid w:val="1DA514DB"/>
    <w:rsid w:val="1DDB242E"/>
    <w:rsid w:val="1DED4409"/>
    <w:rsid w:val="1E0C2A47"/>
    <w:rsid w:val="1E260D4F"/>
    <w:rsid w:val="1E2C7696"/>
    <w:rsid w:val="1E2F139E"/>
    <w:rsid w:val="1E326C77"/>
    <w:rsid w:val="1E3C4707"/>
    <w:rsid w:val="1E3F0606"/>
    <w:rsid w:val="1E5028AD"/>
    <w:rsid w:val="1E6E3C78"/>
    <w:rsid w:val="1E734091"/>
    <w:rsid w:val="1E7C0BEC"/>
    <w:rsid w:val="1E7C2F3E"/>
    <w:rsid w:val="1EEE03B6"/>
    <w:rsid w:val="1F017093"/>
    <w:rsid w:val="1F552F93"/>
    <w:rsid w:val="1F6F70A1"/>
    <w:rsid w:val="1F7E26B7"/>
    <w:rsid w:val="1F82530A"/>
    <w:rsid w:val="1FF760CC"/>
    <w:rsid w:val="204E01F1"/>
    <w:rsid w:val="205B4E3E"/>
    <w:rsid w:val="206040F0"/>
    <w:rsid w:val="20623367"/>
    <w:rsid w:val="206661D9"/>
    <w:rsid w:val="206D69EE"/>
    <w:rsid w:val="20781221"/>
    <w:rsid w:val="20844890"/>
    <w:rsid w:val="20861396"/>
    <w:rsid w:val="20A62CC3"/>
    <w:rsid w:val="20B319D6"/>
    <w:rsid w:val="20FA3A7C"/>
    <w:rsid w:val="210054B5"/>
    <w:rsid w:val="21212901"/>
    <w:rsid w:val="21476657"/>
    <w:rsid w:val="214A5ABF"/>
    <w:rsid w:val="21615F66"/>
    <w:rsid w:val="216422CA"/>
    <w:rsid w:val="219C2D85"/>
    <w:rsid w:val="219F2026"/>
    <w:rsid w:val="21D379FF"/>
    <w:rsid w:val="21FC6824"/>
    <w:rsid w:val="2201105C"/>
    <w:rsid w:val="22110D3A"/>
    <w:rsid w:val="22283B9D"/>
    <w:rsid w:val="225B5689"/>
    <w:rsid w:val="227717B5"/>
    <w:rsid w:val="22A805E7"/>
    <w:rsid w:val="22BF7977"/>
    <w:rsid w:val="22D61310"/>
    <w:rsid w:val="22D72087"/>
    <w:rsid w:val="22F65B6F"/>
    <w:rsid w:val="2313431B"/>
    <w:rsid w:val="2357046D"/>
    <w:rsid w:val="23CE2F9E"/>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4F5207"/>
    <w:rsid w:val="258E1CBE"/>
    <w:rsid w:val="25951BD6"/>
    <w:rsid w:val="25B077E1"/>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04C1"/>
    <w:rsid w:val="278F5E1D"/>
    <w:rsid w:val="279A2EEC"/>
    <w:rsid w:val="27AC7A9A"/>
    <w:rsid w:val="27B34984"/>
    <w:rsid w:val="281F4CDD"/>
    <w:rsid w:val="2865396E"/>
    <w:rsid w:val="28706CB6"/>
    <w:rsid w:val="287B3BAC"/>
    <w:rsid w:val="288C403D"/>
    <w:rsid w:val="28C3477D"/>
    <w:rsid w:val="28CA5F7E"/>
    <w:rsid w:val="28F20A3C"/>
    <w:rsid w:val="28FB75FC"/>
    <w:rsid w:val="29004AA7"/>
    <w:rsid w:val="290B1DD6"/>
    <w:rsid w:val="290E1E79"/>
    <w:rsid w:val="292F2731"/>
    <w:rsid w:val="29323FCF"/>
    <w:rsid w:val="29573F32"/>
    <w:rsid w:val="298843CE"/>
    <w:rsid w:val="29936DA8"/>
    <w:rsid w:val="29A41802"/>
    <w:rsid w:val="29B72FC1"/>
    <w:rsid w:val="29E14434"/>
    <w:rsid w:val="29E97D7B"/>
    <w:rsid w:val="29F053C2"/>
    <w:rsid w:val="2A226AC7"/>
    <w:rsid w:val="2A257690"/>
    <w:rsid w:val="2A257FE4"/>
    <w:rsid w:val="2A8B2A22"/>
    <w:rsid w:val="2AD278C0"/>
    <w:rsid w:val="2AD7464D"/>
    <w:rsid w:val="2AEA2D0D"/>
    <w:rsid w:val="2AFB7814"/>
    <w:rsid w:val="2B4C1212"/>
    <w:rsid w:val="2B536559"/>
    <w:rsid w:val="2B5F42AF"/>
    <w:rsid w:val="2B624236"/>
    <w:rsid w:val="2B7130EA"/>
    <w:rsid w:val="2BCA5602"/>
    <w:rsid w:val="2BE72D29"/>
    <w:rsid w:val="2BE93DC7"/>
    <w:rsid w:val="2BEB4614"/>
    <w:rsid w:val="2BF0112D"/>
    <w:rsid w:val="2C3A2A46"/>
    <w:rsid w:val="2C3A3A91"/>
    <w:rsid w:val="2C641BB6"/>
    <w:rsid w:val="2C6C445B"/>
    <w:rsid w:val="2C6F5115"/>
    <w:rsid w:val="2C9C23A9"/>
    <w:rsid w:val="2C9E07BF"/>
    <w:rsid w:val="2CA9145D"/>
    <w:rsid w:val="2CE42D59"/>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76670C"/>
    <w:rsid w:val="2E805EEF"/>
    <w:rsid w:val="2E8B66E2"/>
    <w:rsid w:val="2F062FD7"/>
    <w:rsid w:val="2F120518"/>
    <w:rsid w:val="2F1877C3"/>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5758B"/>
    <w:rsid w:val="312713AC"/>
    <w:rsid w:val="313378D8"/>
    <w:rsid w:val="315B3C2E"/>
    <w:rsid w:val="31692558"/>
    <w:rsid w:val="317E482E"/>
    <w:rsid w:val="318F3870"/>
    <w:rsid w:val="318F6D8E"/>
    <w:rsid w:val="319C4322"/>
    <w:rsid w:val="31C55D2A"/>
    <w:rsid w:val="31CE3AD0"/>
    <w:rsid w:val="31D45D51"/>
    <w:rsid w:val="3200179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9935C8"/>
    <w:rsid w:val="33B3109B"/>
    <w:rsid w:val="33B96529"/>
    <w:rsid w:val="33C73C45"/>
    <w:rsid w:val="33D44B1F"/>
    <w:rsid w:val="33D9277D"/>
    <w:rsid w:val="33F36442"/>
    <w:rsid w:val="33FB64F6"/>
    <w:rsid w:val="342E7C37"/>
    <w:rsid w:val="34433B90"/>
    <w:rsid w:val="34486191"/>
    <w:rsid w:val="34500A6B"/>
    <w:rsid w:val="345E0AAB"/>
    <w:rsid w:val="3467223B"/>
    <w:rsid w:val="34843EFD"/>
    <w:rsid w:val="34B92B56"/>
    <w:rsid w:val="34D76562"/>
    <w:rsid w:val="34DF3856"/>
    <w:rsid w:val="34E735DB"/>
    <w:rsid w:val="3554543C"/>
    <w:rsid w:val="358D4088"/>
    <w:rsid w:val="35B232DF"/>
    <w:rsid w:val="35B773A0"/>
    <w:rsid w:val="35BC534F"/>
    <w:rsid w:val="35BE04B3"/>
    <w:rsid w:val="35BE3EA2"/>
    <w:rsid w:val="35DB07BB"/>
    <w:rsid w:val="35F3149E"/>
    <w:rsid w:val="3619236E"/>
    <w:rsid w:val="361F1372"/>
    <w:rsid w:val="36251143"/>
    <w:rsid w:val="36697A46"/>
    <w:rsid w:val="367F478E"/>
    <w:rsid w:val="36B427CF"/>
    <w:rsid w:val="36F362A8"/>
    <w:rsid w:val="373261D6"/>
    <w:rsid w:val="374604AF"/>
    <w:rsid w:val="375825D0"/>
    <w:rsid w:val="375D1FE7"/>
    <w:rsid w:val="3769496C"/>
    <w:rsid w:val="376A7124"/>
    <w:rsid w:val="3775450E"/>
    <w:rsid w:val="37A24F14"/>
    <w:rsid w:val="37D27B71"/>
    <w:rsid w:val="380D6907"/>
    <w:rsid w:val="38122144"/>
    <w:rsid w:val="381C55A1"/>
    <w:rsid w:val="381E0B97"/>
    <w:rsid w:val="382D2531"/>
    <w:rsid w:val="38340032"/>
    <w:rsid w:val="384D7318"/>
    <w:rsid w:val="38606D96"/>
    <w:rsid w:val="386933D9"/>
    <w:rsid w:val="38784659"/>
    <w:rsid w:val="38D54C68"/>
    <w:rsid w:val="38F20AD5"/>
    <w:rsid w:val="38FD0B19"/>
    <w:rsid w:val="39310040"/>
    <w:rsid w:val="39315CC0"/>
    <w:rsid w:val="394030D7"/>
    <w:rsid w:val="394571A4"/>
    <w:rsid w:val="39477622"/>
    <w:rsid w:val="395415CC"/>
    <w:rsid w:val="39A51930"/>
    <w:rsid w:val="39B71B49"/>
    <w:rsid w:val="39D61FC9"/>
    <w:rsid w:val="39E96183"/>
    <w:rsid w:val="39FC35ED"/>
    <w:rsid w:val="3A0500C9"/>
    <w:rsid w:val="3A0B19E4"/>
    <w:rsid w:val="3A4F5571"/>
    <w:rsid w:val="3A521272"/>
    <w:rsid w:val="3A6D3794"/>
    <w:rsid w:val="3A7D7266"/>
    <w:rsid w:val="3A9249CC"/>
    <w:rsid w:val="3AA765CB"/>
    <w:rsid w:val="3AB476F1"/>
    <w:rsid w:val="3ABB3E24"/>
    <w:rsid w:val="3AC60AFD"/>
    <w:rsid w:val="3AF81FE6"/>
    <w:rsid w:val="3AFA0DF0"/>
    <w:rsid w:val="3B070E17"/>
    <w:rsid w:val="3B2F1445"/>
    <w:rsid w:val="3B333B18"/>
    <w:rsid w:val="3B4368CA"/>
    <w:rsid w:val="3B6B48C7"/>
    <w:rsid w:val="3B841B76"/>
    <w:rsid w:val="3B8831F6"/>
    <w:rsid w:val="3B921271"/>
    <w:rsid w:val="3BA0533B"/>
    <w:rsid w:val="3BA2779B"/>
    <w:rsid w:val="3BBB74B6"/>
    <w:rsid w:val="3BFB6919"/>
    <w:rsid w:val="3C1374D9"/>
    <w:rsid w:val="3C6B1CBA"/>
    <w:rsid w:val="3CA15A6E"/>
    <w:rsid w:val="3CB97607"/>
    <w:rsid w:val="3CBE5E4E"/>
    <w:rsid w:val="3CDF7907"/>
    <w:rsid w:val="3CFB66E3"/>
    <w:rsid w:val="3D18555E"/>
    <w:rsid w:val="3D1E2758"/>
    <w:rsid w:val="3D3A2C2F"/>
    <w:rsid w:val="3D5877E0"/>
    <w:rsid w:val="3D5A1B72"/>
    <w:rsid w:val="3D7015A5"/>
    <w:rsid w:val="3D7F6418"/>
    <w:rsid w:val="3DD879B7"/>
    <w:rsid w:val="3E0A4B57"/>
    <w:rsid w:val="3E277073"/>
    <w:rsid w:val="3E6A2866"/>
    <w:rsid w:val="3EBA43F3"/>
    <w:rsid w:val="3ED01E68"/>
    <w:rsid w:val="3ED53E49"/>
    <w:rsid w:val="3EF67A4B"/>
    <w:rsid w:val="3F4436BC"/>
    <w:rsid w:val="3F4E2A86"/>
    <w:rsid w:val="3F5A67AF"/>
    <w:rsid w:val="3F7834AD"/>
    <w:rsid w:val="3F9C7E96"/>
    <w:rsid w:val="3FA042AD"/>
    <w:rsid w:val="3FAA22D4"/>
    <w:rsid w:val="3FB86106"/>
    <w:rsid w:val="3FBF5574"/>
    <w:rsid w:val="3FCE0156"/>
    <w:rsid w:val="3FD35B33"/>
    <w:rsid w:val="400D7809"/>
    <w:rsid w:val="40163A55"/>
    <w:rsid w:val="4040634A"/>
    <w:rsid w:val="40530E3F"/>
    <w:rsid w:val="409E4611"/>
    <w:rsid w:val="40B437EF"/>
    <w:rsid w:val="40B967C3"/>
    <w:rsid w:val="40CE015B"/>
    <w:rsid w:val="40DC0B3F"/>
    <w:rsid w:val="41024B6F"/>
    <w:rsid w:val="41214F96"/>
    <w:rsid w:val="41244E4B"/>
    <w:rsid w:val="41397268"/>
    <w:rsid w:val="416F7D5C"/>
    <w:rsid w:val="41A27E63"/>
    <w:rsid w:val="41A87AAF"/>
    <w:rsid w:val="41AB5430"/>
    <w:rsid w:val="41C25796"/>
    <w:rsid w:val="41CF5B16"/>
    <w:rsid w:val="41F1066F"/>
    <w:rsid w:val="420226E3"/>
    <w:rsid w:val="42072045"/>
    <w:rsid w:val="420E44AE"/>
    <w:rsid w:val="42221C64"/>
    <w:rsid w:val="423E6D52"/>
    <w:rsid w:val="42455670"/>
    <w:rsid w:val="425E60CF"/>
    <w:rsid w:val="42707BEA"/>
    <w:rsid w:val="42757250"/>
    <w:rsid w:val="428B4A24"/>
    <w:rsid w:val="429E65B1"/>
    <w:rsid w:val="42A920CB"/>
    <w:rsid w:val="42B16F25"/>
    <w:rsid w:val="42EA799C"/>
    <w:rsid w:val="42F80F09"/>
    <w:rsid w:val="432B551B"/>
    <w:rsid w:val="432D0837"/>
    <w:rsid w:val="43324E9F"/>
    <w:rsid w:val="434B600B"/>
    <w:rsid w:val="437211BC"/>
    <w:rsid w:val="4373635B"/>
    <w:rsid w:val="43751817"/>
    <w:rsid w:val="439856EC"/>
    <w:rsid w:val="43A01E09"/>
    <w:rsid w:val="43CB309D"/>
    <w:rsid w:val="440B53C6"/>
    <w:rsid w:val="442A4B9B"/>
    <w:rsid w:val="442F3366"/>
    <w:rsid w:val="443E3891"/>
    <w:rsid w:val="444A2EA2"/>
    <w:rsid w:val="44A01D49"/>
    <w:rsid w:val="44AE67A8"/>
    <w:rsid w:val="44B2014B"/>
    <w:rsid w:val="44BE5DF0"/>
    <w:rsid w:val="44CF471E"/>
    <w:rsid w:val="451944CD"/>
    <w:rsid w:val="4537594A"/>
    <w:rsid w:val="45442977"/>
    <w:rsid w:val="45673514"/>
    <w:rsid w:val="457206F1"/>
    <w:rsid w:val="45774DEB"/>
    <w:rsid w:val="45972390"/>
    <w:rsid w:val="459E681C"/>
    <w:rsid w:val="465A0995"/>
    <w:rsid w:val="46610328"/>
    <w:rsid w:val="468508B6"/>
    <w:rsid w:val="468B5AE6"/>
    <w:rsid w:val="46CD2660"/>
    <w:rsid w:val="46DC4FAF"/>
    <w:rsid w:val="47077689"/>
    <w:rsid w:val="473C3D1E"/>
    <w:rsid w:val="475B520F"/>
    <w:rsid w:val="475C0C0B"/>
    <w:rsid w:val="476D5523"/>
    <w:rsid w:val="47902D32"/>
    <w:rsid w:val="47D87C82"/>
    <w:rsid w:val="48057239"/>
    <w:rsid w:val="48086B74"/>
    <w:rsid w:val="482A01EF"/>
    <w:rsid w:val="483341FB"/>
    <w:rsid w:val="484615FA"/>
    <w:rsid w:val="48484582"/>
    <w:rsid w:val="48541414"/>
    <w:rsid w:val="48B84DED"/>
    <w:rsid w:val="48CE098E"/>
    <w:rsid w:val="48D94272"/>
    <w:rsid w:val="48E7595D"/>
    <w:rsid w:val="48EA055F"/>
    <w:rsid w:val="4907757E"/>
    <w:rsid w:val="49330DB4"/>
    <w:rsid w:val="495A15B0"/>
    <w:rsid w:val="498865CD"/>
    <w:rsid w:val="49971F00"/>
    <w:rsid w:val="49AB3386"/>
    <w:rsid w:val="49BA6006"/>
    <w:rsid w:val="49DB6EC2"/>
    <w:rsid w:val="49E071CA"/>
    <w:rsid w:val="49E44803"/>
    <w:rsid w:val="4A0A0924"/>
    <w:rsid w:val="4A0A2FA5"/>
    <w:rsid w:val="4A0C62AA"/>
    <w:rsid w:val="4A3B2F9A"/>
    <w:rsid w:val="4A8C758B"/>
    <w:rsid w:val="4AAA2F7A"/>
    <w:rsid w:val="4AAD6C37"/>
    <w:rsid w:val="4AB079B0"/>
    <w:rsid w:val="4AD625B4"/>
    <w:rsid w:val="4ADA16E1"/>
    <w:rsid w:val="4AE905D2"/>
    <w:rsid w:val="4AEA2B3A"/>
    <w:rsid w:val="4AF75825"/>
    <w:rsid w:val="4B1E7CCB"/>
    <w:rsid w:val="4B217CD3"/>
    <w:rsid w:val="4B4E4840"/>
    <w:rsid w:val="4B621966"/>
    <w:rsid w:val="4B9E4195"/>
    <w:rsid w:val="4BDA3AE4"/>
    <w:rsid w:val="4BE722B2"/>
    <w:rsid w:val="4BED7F7B"/>
    <w:rsid w:val="4BF21670"/>
    <w:rsid w:val="4C045532"/>
    <w:rsid w:val="4C182BE8"/>
    <w:rsid w:val="4C27406C"/>
    <w:rsid w:val="4C2C41CC"/>
    <w:rsid w:val="4C3C2562"/>
    <w:rsid w:val="4C404189"/>
    <w:rsid w:val="4C434D07"/>
    <w:rsid w:val="4C4A3135"/>
    <w:rsid w:val="4C5B13EB"/>
    <w:rsid w:val="4C994649"/>
    <w:rsid w:val="4CB50D41"/>
    <w:rsid w:val="4CB91648"/>
    <w:rsid w:val="4CC33979"/>
    <w:rsid w:val="4CCF5BD6"/>
    <w:rsid w:val="4CD34FFD"/>
    <w:rsid w:val="4D214204"/>
    <w:rsid w:val="4D576E1B"/>
    <w:rsid w:val="4D7E3FA1"/>
    <w:rsid w:val="4DA23F3E"/>
    <w:rsid w:val="4DA92202"/>
    <w:rsid w:val="4DD0143F"/>
    <w:rsid w:val="4DDA28B6"/>
    <w:rsid w:val="4E0A35DD"/>
    <w:rsid w:val="4E13342C"/>
    <w:rsid w:val="4E1F4272"/>
    <w:rsid w:val="4E2D5AD9"/>
    <w:rsid w:val="4E604CC1"/>
    <w:rsid w:val="4E691D61"/>
    <w:rsid w:val="4E7A1381"/>
    <w:rsid w:val="4E7B3F93"/>
    <w:rsid w:val="4E9B1F4A"/>
    <w:rsid w:val="4E9C46A7"/>
    <w:rsid w:val="4EA26DF4"/>
    <w:rsid w:val="4EA8165A"/>
    <w:rsid w:val="4EB00C83"/>
    <w:rsid w:val="4EDE18F6"/>
    <w:rsid w:val="4EF43E5C"/>
    <w:rsid w:val="4F041DE6"/>
    <w:rsid w:val="4F1105A1"/>
    <w:rsid w:val="4F726FF2"/>
    <w:rsid w:val="4F7404EC"/>
    <w:rsid w:val="4F78399F"/>
    <w:rsid w:val="4F846BC8"/>
    <w:rsid w:val="4FBA6948"/>
    <w:rsid w:val="4FCE4569"/>
    <w:rsid w:val="4FD116E0"/>
    <w:rsid w:val="4FEC7650"/>
    <w:rsid w:val="501D5CF9"/>
    <w:rsid w:val="503373BA"/>
    <w:rsid w:val="504315CE"/>
    <w:rsid w:val="505B2161"/>
    <w:rsid w:val="507A5DE6"/>
    <w:rsid w:val="507C59AC"/>
    <w:rsid w:val="508E3A28"/>
    <w:rsid w:val="509259C2"/>
    <w:rsid w:val="50A01F3E"/>
    <w:rsid w:val="50A13664"/>
    <w:rsid w:val="50A27F78"/>
    <w:rsid w:val="50A3379E"/>
    <w:rsid w:val="51287BC1"/>
    <w:rsid w:val="51857DDB"/>
    <w:rsid w:val="51A14108"/>
    <w:rsid w:val="51E92224"/>
    <w:rsid w:val="52183834"/>
    <w:rsid w:val="52347AF3"/>
    <w:rsid w:val="523830E4"/>
    <w:rsid w:val="52463502"/>
    <w:rsid w:val="524A1D38"/>
    <w:rsid w:val="52561809"/>
    <w:rsid w:val="525777E4"/>
    <w:rsid w:val="525A142D"/>
    <w:rsid w:val="525B1581"/>
    <w:rsid w:val="52781B65"/>
    <w:rsid w:val="527F6F6A"/>
    <w:rsid w:val="528111E9"/>
    <w:rsid w:val="528C79D8"/>
    <w:rsid w:val="529E6286"/>
    <w:rsid w:val="52DF2960"/>
    <w:rsid w:val="532E4582"/>
    <w:rsid w:val="535D2038"/>
    <w:rsid w:val="53650979"/>
    <w:rsid w:val="538A17A6"/>
    <w:rsid w:val="53945237"/>
    <w:rsid w:val="53AF2A31"/>
    <w:rsid w:val="53B16C9C"/>
    <w:rsid w:val="53D83259"/>
    <w:rsid w:val="53DF0CC7"/>
    <w:rsid w:val="540F5132"/>
    <w:rsid w:val="542B1822"/>
    <w:rsid w:val="5443031F"/>
    <w:rsid w:val="546A1C40"/>
    <w:rsid w:val="546D0593"/>
    <w:rsid w:val="54883E92"/>
    <w:rsid w:val="54A56F67"/>
    <w:rsid w:val="54B202A9"/>
    <w:rsid w:val="54D97503"/>
    <w:rsid w:val="54EC38DD"/>
    <w:rsid w:val="550C4880"/>
    <w:rsid w:val="551A447B"/>
    <w:rsid w:val="554514C8"/>
    <w:rsid w:val="554D5B69"/>
    <w:rsid w:val="556571B0"/>
    <w:rsid w:val="556829A3"/>
    <w:rsid w:val="55805FF7"/>
    <w:rsid w:val="55A94170"/>
    <w:rsid w:val="55AD42A8"/>
    <w:rsid w:val="55C23E61"/>
    <w:rsid w:val="55D80445"/>
    <w:rsid w:val="560F54DA"/>
    <w:rsid w:val="56120AE0"/>
    <w:rsid w:val="561E73D1"/>
    <w:rsid w:val="5658647C"/>
    <w:rsid w:val="56687A60"/>
    <w:rsid w:val="566B3B67"/>
    <w:rsid w:val="567315FF"/>
    <w:rsid w:val="567E50F6"/>
    <w:rsid w:val="56A674CD"/>
    <w:rsid w:val="56B07A4C"/>
    <w:rsid w:val="56B7652B"/>
    <w:rsid w:val="56BB1B45"/>
    <w:rsid w:val="56C854A7"/>
    <w:rsid w:val="56FC6A2C"/>
    <w:rsid w:val="572740D9"/>
    <w:rsid w:val="574D00A2"/>
    <w:rsid w:val="575A03C8"/>
    <w:rsid w:val="575B7942"/>
    <w:rsid w:val="57745307"/>
    <w:rsid w:val="577E200A"/>
    <w:rsid w:val="57E2186C"/>
    <w:rsid w:val="57E7423A"/>
    <w:rsid w:val="57EA0547"/>
    <w:rsid w:val="57EA3779"/>
    <w:rsid w:val="580F7106"/>
    <w:rsid w:val="581110D0"/>
    <w:rsid w:val="58132946"/>
    <w:rsid w:val="58214B95"/>
    <w:rsid w:val="58270455"/>
    <w:rsid w:val="58495567"/>
    <w:rsid w:val="58670D71"/>
    <w:rsid w:val="586C32A4"/>
    <w:rsid w:val="589752E6"/>
    <w:rsid w:val="5899035B"/>
    <w:rsid w:val="58CE680B"/>
    <w:rsid w:val="58CE6FC1"/>
    <w:rsid w:val="58D46218"/>
    <w:rsid w:val="58E476CA"/>
    <w:rsid w:val="58F033DB"/>
    <w:rsid w:val="58FF60BE"/>
    <w:rsid w:val="590D7AE9"/>
    <w:rsid w:val="590E4F6C"/>
    <w:rsid w:val="592941F7"/>
    <w:rsid w:val="599E4A89"/>
    <w:rsid w:val="59A65B86"/>
    <w:rsid w:val="59AA358A"/>
    <w:rsid w:val="59CA4BAA"/>
    <w:rsid w:val="59EA607C"/>
    <w:rsid w:val="59EC46A1"/>
    <w:rsid w:val="59FC28C5"/>
    <w:rsid w:val="59FD6209"/>
    <w:rsid w:val="59FE7432"/>
    <w:rsid w:val="5A1A6AB2"/>
    <w:rsid w:val="5A1E621D"/>
    <w:rsid w:val="5A577525"/>
    <w:rsid w:val="5A6E0A5B"/>
    <w:rsid w:val="5A6E4416"/>
    <w:rsid w:val="5AA0390E"/>
    <w:rsid w:val="5ABE6316"/>
    <w:rsid w:val="5AEC377D"/>
    <w:rsid w:val="5B12600C"/>
    <w:rsid w:val="5B172EA1"/>
    <w:rsid w:val="5B48305A"/>
    <w:rsid w:val="5B512866"/>
    <w:rsid w:val="5B630EC2"/>
    <w:rsid w:val="5B780EC0"/>
    <w:rsid w:val="5B8A16ED"/>
    <w:rsid w:val="5BA25DB8"/>
    <w:rsid w:val="5BA713F0"/>
    <w:rsid w:val="5BCD3194"/>
    <w:rsid w:val="5BE80399"/>
    <w:rsid w:val="5C13618A"/>
    <w:rsid w:val="5C356C2E"/>
    <w:rsid w:val="5C3830CF"/>
    <w:rsid w:val="5C4E1AA0"/>
    <w:rsid w:val="5C867668"/>
    <w:rsid w:val="5C8861B3"/>
    <w:rsid w:val="5C8F116F"/>
    <w:rsid w:val="5C9E286F"/>
    <w:rsid w:val="5CAF2C65"/>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912F6A"/>
    <w:rsid w:val="5EFF1FE6"/>
    <w:rsid w:val="5F05567F"/>
    <w:rsid w:val="5F090D52"/>
    <w:rsid w:val="5F3E165E"/>
    <w:rsid w:val="5F46368E"/>
    <w:rsid w:val="5F4F0E5B"/>
    <w:rsid w:val="5FE43A39"/>
    <w:rsid w:val="5FEB456E"/>
    <w:rsid w:val="60031006"/>
    <w:rsid w:val="600C3366"/>
    <w:rsid w:val="600E1319"/>
    <w:rsid w:val="60132C7C"/>
    <w:rsid w:val="60413B1F"/>
    <w:rsid w:val="605777C8"/>
    <w:rsid w:val="605A50A3"/>
    <w:rsid w:val="605F2A24"/>
    <w:rsid w:val="606049A2"/>
    <w:rsid w:val="606C1692"/>
    <w:rsid w:val="60991F2F"/>
    <w:rsid w:val="609A4435"/>
    <w:rsid w:val="60B45FBF"/>
    <w:rsid w:val="60E50889"/>
    <w:rsid w:val="60F06B9C"/>
    <w:rsid w:val="61031E42"/>
    <w:rsid w:val="611D2893"/>
    <w:rsid w:val="611D496C"/>
    <w:rsid w:val="61212E4D"/>
    <w:rsid w:val="613528C1"/>
    <w:rsid w:val="613D749B"/>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4820C6"/>
    <w:rsid w:val="63777C7C"/>
    <w:rsid w:val="63871B55"/>
    <w:rsid w:val="63B22625"/>
    <w:rsid w:val="63BB40E0"/>
    <w:rsid w:val="63E36016"/>
    <w:rsid w:val="63EA4CFB"/>
    <w:rsid w:val="63F93EF7"/>
    <w:rsid w:val="640968AD"/>
    <w:rsid w:val="640D1E0E"/>
    <w:rsid w:val="64214BD3"/>
    <w:rsid w:val="643B3D7C"/>
    <w:rsid w:val="64526CF8"/>
    <w:rsid w:val="645A795A"/>
    <w:rsid w:val="64E4565F"/>
    <w:rsid w:val="64F63BC2"/>
    <w:rsid w:val="651E0AF8"/>
    <w:rsid w:val="653D6DD1"/>
    <w:rsid w:val="6550145A"/>
    <w:rsid w:val="65826A4E"/>
    <w:rsid w:val="65A91A2C"/>
    <w:rsid w:val="65F51E89"/>
    <w:rsid w:val="66104F0F"/>
    <w:rsid w:val="662227AD"/>
    <w:rsid w:val="66461319"/>
    <w:rsid w:val="664E6B4E"/>
    <w:rsid w:val="665F3FB1"/>
    <w:rsid w:val="6672796A"/>
    <w:rsid w:val="667967E5"/>
    <w:rsid w:val="668B7226"/>
    <w:rsid w:val="66AD43EB"/>
    <w:rsid w:val="66BC5306"/>
    <w:rsid w:val="66C36047"/>
    <w:rsid w:val="66D24AEF"/>
    <w:rsid w:val="67073DC9"/>
    <w:rsid w:val="670C253E"/>
    <w:rsid w:val="672419F8"/>
    <w:rsid w:val="675863D3"/>
    <w:rsid w:val="676A4358"/>
    <w:rsid w:val="676B1AFC"/>
    <w:rsid w:val="676D13BE"/>
    <w:rsid w:val="67746F10"/>
    <w:rsid w:val="6779459B"/>
    <w:rsid w:val="67AE6FA0"/>
    <w:rsid w:val="67FC2BD0"/>
    <w:rsid w:val="681844CE"/>
    <w:rsid w:val="681A18DB"/>
    <w:rsid w:val="681B4BD2"/>
    <w:rsid w:val="683065FF"/>
    <w:rsid w:val="683A6F27"/>
    <w:rsid w:val="68733A0D"/>
    <w:rsid w:val="6898415D"/>
    <w:rsid w:val="68B608A5"/>
    <w:rsid w:val="68BB7B27"/>
    <w:rsid w:val="68DB5512"/>
    <w:rsid w:val="6907796F"/>
    <w:rsid w:val="6919767D"/>
    <w:rsid w:val="692E0E40"/>
    <w:rsid w:val="696E2E10"/>
    <w:rsid w:val="69734712"/>
    <w:rsid w:val="699219DD"/>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5477F9"/>
    <w:rsid w:val="6B6F7889"/>
    <w:rsid w:val="6B785296"/>
    <w:rsid w:val="6B793228"/>
    <w:rsid w:val="6B7D0E6D"/>
    <w:rsid w:val="6B8E6FFE"/>
    <w:rsid w:val="6BAE5F82"/>
    <w:rsid w:val="6BB26D21"/>
    <w:rsid w:val="6BC23E22"/>
    <w:rsid w:val="6BC60B31"/>
    <w:rsid w:val="6BCC3834"/>
    <w:rsid w:val="6BD536F5"/>
    <w:rsid w:val="6BD74973"/>
    <w:rsid w:val="6BE95FF8"/>
    <w:rsid w:val="6BEA27E1"/>
    <w:rsid w:val="6BEE37AA"/>
    <w:rsid w:val="6BF6453A"/>
    <w:rsid w:val="6BFB7366"/>
    <w:rsid w:val="6C2B71B7"/>
    <w:rsid w:val="6C4E5726"/>
    <w:rsid w:val="6C4F7A8C"/>
    <w:rsid w:val="6C67530A"/>
    <w:rsid w:val="6C77319D"/>
    <w:rsid w:val="6C7E06C2"/>
    <w:rsid w:val="6C8571A8"/>
    <w:rsid w:val="6CA974DE"/>
    <w:rsid w:val="6CB0532C"/>
    <w:rsid w:val="6CD73112"/>
    <w:rsid w:val="6CE226A4"/>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2932A7"/>
    <w:rsid w:val="6E4C0CC7"/>
    <w:rsid w:val="6E6A137F"/>
    <w:rsid w:val="6E7C119C"/>
    <w:rsid w:val="6E800A47"/>
    <w:rsid w:val="6E842053"/>
    <w:rsid w:val="6E910555"/>
    <w:rsid w:val="6EC6456A"/>
    <w:rsid w:val="6ECB7056"/>
    <w:rsid w:val="6ED72D4C"/>
    <w:rsid w:val="6EDE42B6"/>
    <w:rsid w:val="6F163377"/>
    <w:rsid w:val="6F1C2D7A"/>
    <w:rsid w:val="6F4377FF"/>
    <w:rsid w:val="6F5C4423"/>
    <w:rsid w:val="6FA9616E"/>
    <w:rsid w:val="6FCA78F6"/>
    <w:rsid w:val="6FCE5186"/>
    <w:rsid w:val="6FD72AAC"/>
    <w:rsid w:val="6FFF60FB"/>
    <w:rsid w:val="701B7E5F"/>
    <w:rsid w:val="702C45E9"/>
    <w:rsid w:val="70395809"/>
    <w:rsid w:val="70514307"/>
    <w:rsid w:val="709616AF"/>
    <w:rsid w:val="70A74031"/>
    <w:rsid w:val="71033003"/>
    <w:rsid w:val="71080E6A"/>
    <w:rsid w:val="71121CE9"/>
    <w:rsid w:val="71313D1E"/>
    <w:rsid w:val="71535FE5"/>
    <w:rsid w:val="71704C61"/>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0950EC"/>
    <w:rsid w:val="73102100"/>
    <w:rsid w:val="731C1DA2"/>
    <w:rsid w:val="73245E88"/>
    <w:rsid w:val="732B36CC"/>
    <w:rsid w:val="73406233"/>
    <w:rsid w:val="7346211D"/>
    <w:rsid w:val="7348417A"/>
    <w:rsid w:val="73910FAD"/>
    <w:rsid w:val="73BB3DA7"/>
    <w:rsid w:val="73C4630E"/>
    <w:rsid w:val="73C97B6A"/>
    <w:rsid w:val="73CD1EF7"/>
    <w:rsid w:val="73CE044B"/>
    <w:rsid w:val="73EC3532"/>
    <w:rsid w:val="73EC7715"/>
    <w:rsid w:val="7422210D"/>
    <w:rsid w:val="74495C8A"/>
    <w:rsid w:val="74531974"/>
    <w:rsid w:val="746C45C5"/>
    <w:rsid w:val="7479571E"/>
    <w:rsid w:val="747D25A8"/>
    <w:rsid w:val="747F58E7"/>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A45C9"/>
    <w:rsid w:val="781D7D5F"/>
    <w:rsid w:val="78232A2D"/>
    <w:rsid w:val="782F3C54"/>
    <w:rsid w:val="785806DE"/>
    <w:rsid w:val="78592056"/>
    <w:rsid w:val="78623155"/>
    <w:rsid w:val="787A6C0A"/>
    <w:rsid w:val="788B0A08"/>
    <w:rsid w:val="78BD69DE"/>
    <w:rsid w:val="78E23339"/>
    <w:rsid w:val="78E93747"/>
    <w:rsid w:val="78F64E36"/>
    <w:rsid w:val="78FF7AD1"/>
    <w:rsid w:val="791940AD"/>
    <w:rsid w:val="79246A5D"/>
    <w:rsid w:val="7942167F"/>
    <w:rsid w:val="795D1F6F"/>
    <w:rsid w:val="79651C67"/>
    <w:rsid w:val="79CB0B09"/>
    <w:rsid w:val="79D33044"/>
    <w:rsid w:val="79E451C5"/>
    <w:rsid w:val="79FA17EC"/>
    <w:rsid w:val="79FF3026"/>
    <w:rsid w:val="7A3959DF"/>
    <w:rsid w:val="7A39767E"/>
    <w:rsid w:val="7A4F5789"/>
    <w:rsid w:val="7A546ECE"/>
    <w:rsid w:val="7A7C5F15"/>
    <w:rsid w:val="7AAF665C"/>
    <w:rsid w:val="7ABE54CA"/>
    <w:rsid w:val="7B1C7D22"/>
    <w:rsid w:val="7B2E2850"/>
    <w:rsid w:val="7B831386"/>
    <w:rsid w:val="7B870590"/>
    <w:rsid w:val="7B8D3E0C"/>
    <w:rsid w:val="7B955650"/>
    <w:rsid w:val="7BB17EDD"/>
    <w:rsid w:val="7BBF393E"/>
    <w:rsid w:val="7BCC032C"/>
    <w:rsid w:val="7BE65728"/>
    <w:rsid w:val="7C143710"/>
    <w:rsid w:val="7C256C72"/>
    <w:rsid w:val="7CB2435F"/>
    <w:rsid w:val="7CD24A22"/>
    <w:rsid w:val="7CF1161A"/>
    <w:rsid w:val="7CF340DA"/>
    <w:rsid w:val="7D412852"/>
    <w:rsid w:val="7DA85E48"/>
    <w:rsid w:val="7DBC7909"/>
    <w:rsid w:val="7DCE51E9"/>
    <w:rsid w:val="7DEE3196"/>
    <w:rsid w:val="7E2633EF"/>
    <w:rsid w:val="7E3436B8"/>
    <w:rsid w:val="7E3A72E8"/>
    <w:rsid w:val="7E7F2AB6"/>
    <w:rsid w:val="7E8537AB"/>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58013</Words>
  <Characters>61444</Characters>
  <Lines>225</Lines>
  <Paragraphs>63</Paragraphs>
  <TotalTime>116</TotalTime>
  <ScaleCrop>false</ScaleCrop>
  <LinksUpToDate>false</LinksUpToDate>
  <CharactersWithSpaces>65481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Administrator</cp:lastModifiedBy>
  <cp:lastPrinted>2022-06-14T03:10:00Z</cp:lastPrinted>
  <dcterms:modified xsi:type="dcterms:W3CDTF">2023-03-27T08:24:10Z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