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p>
    <w:p>
      <w:pPr>
        <w:pStyle w:val="40"/>
        <w:rPr>
          <w:rFonts w:hint="eastAsia" w:ascii="宋体" w:hAnsi="宋体" w:eastAsia="宋体" w:cs="宋体"/>
          <w:b/>
          <w:color w:val="auto"/>
          <w:sz w:val="21"/>
          <w:szCs w:val="21"/>
          <w:highlight w:val="none"/>
        </w:rPr>
      </w:pPr>
    </w:p>
    <w:p>
      <w:pPr>
        <w:outlineLvl w:val="9"/>
        <w:rPr>
          <w:rFonts w:hint="eastAsia" w:ascii="宋体" w:hAnsi="宋体" w:eastAsia="宋体" w:cs="宋体"/>
          <w:color w:val="auto"/>
          <w:sz w:val="21"/>
          <w:szCs w:val="21"/>
          <w:highlight w:val="none"/>
        </w:rPr>
      </w:pPr>
    </w:p>
    <w:p>
      <w:pPr>
        <w:kinsoku/>
        <w:wordWrap/>
        <w:topLinePunct w:val="0"/>
        <w:bidi w:val="0"/>
        <w:spacing w:before="0" w:beforeAutospacing="0" w:after="0" w:afterAutospacing="0" w:line="400" w:lineRule="exact"/>
        <w:ind w:left="0" w:leftChars="0" w:right="0" w:rightChars="0"/>
        <w:outlineLvl w:val="9"/>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jc w:val="center"/>
        <w:outlineLvl w:val="9"/>
        <w:rPr>
          <w:rFonts w:hint="eastAsia" w:ascii="宋体" w:hAnsi="宋体" w:eastAsia="宋体" w:cs="宋体"/>
          <w:color w:val="auto"/>
          <w:sz w:val="21"/>
          <w:szCs w:val="21"/>
          <w:highlight w:val="none"/>
        </w:rPr>
      </w:pPr>
    </w:p>
    <w:p>
      <w:pPr>
        <w:pStyle w:val="12"/>
        <w:kinsoku/>
        <w:wordWrap/>
        <w:topLinePunct w:val="0"/>
        <w:bidi w:val="0"/>
        <w:spacing w:beforeAutospacing="0" w:afterAutospacing="0" w:line="400" w:lineRule="exact"/>
        <w:ind w:left="0" w:leftChars="0" w:right="0" w:rightChars="0"/>
        <w:jc w:val="center"/>
        <w:rPr>
          <w:rFonts w:hint="eastAsia" w:ascii="宋体" w:hAnsi="宋体" w:cs="宋体"/>
          <w:b/>
          <w:color w:val="auto"/>
          <w:sz w:val="36"/>
          <w:szCs w:val="36"/>
          <w:highlight w:val="none"/>
          <w:lang w:eastAsia="zh-CN"/>
        </w:rPr>
      </w:pPr>
      <w:r>
        <w:rPr>
          <w:rFonts w:hint="eastAsia" w:ascii="宋体" w:hAnsi="宋体" w:cs="宋体"/>
          <w:b/>
          <w:color w:val="auto"/>
          <w:sz w:val="36"/>
          <w:szCs w:val="36"/>
          <w:highlight w:val="none"/>
          <w:lang w:eastAsia="zh-CN"/>
        </w:rPr>
        <w:t>新疆维吾尔自治区水生态环境执法装备能力建设</w:t>
      </w:r>
    </w:p>
    <w:p>
      <w:pPr>
        <w:pStyle w:val="12"/>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项目（一期）</w:t>
      </w:r>
    </w:p>
    <w:p>
      <w:pPr>
        <w:pStyle w:val="12"/>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36"/>
          <w:szCs w:val="36"/>
          <w:highlight w:val="none"/>
          <w:lang w:eastAsia="zh-CN"/>
        </w:rPr>
      </w:pPr>
    </w:p>
    <w:p>
      <w:pPr>
        <w:pStyle w:val="12"/>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采购文件</w:t>
      </w:r>
    </w:p>
    <w:p>
      <w:pPr>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项目编号：</w:t>
      </w:r>
      <w:r>
        <w:rPr>
          <w:rFonts w:hint="eastAsia" w:ascii="宋体" w:hAnsi="宋体" w:cs="宋体"/>
          <w:b/>
          <w:color w:val="auto"/>
          <w:sz w:val="21"/>
          <w:szCs w:val="21"/>
          <w:highlight w:val="none"/>
          <w:lang w:eastAsia="zh-CN"/>
        </w:rPr>
        <w:t>HYGJ-ZFCG-2023-018</w:t>
      </w:r>
    </w:p>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p>
    <w:p>
      <w:pPr>
        <w:kinsoku/>
        <w:wordWrap/>
        <w:topLinePunct w:val="0"/>
        <w:bidi w:val="0"/>
        <w:spacing w:before="0" w:beforeAutospacing="0" w:after="0" w:afterAutospacing="0" w:line="400" w:lineRule="exact"/>
        <w:ind w:left="0" w:leftChars="0" w:right="0" w:rightChars="0"/>
        <w:outlineLvl w:val="9"/>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p>
      <w:pPr>
        <w:pStyle w:val="12"/>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firstLine="1256" w:firstLineChars="596"/>
        <w:rPr>
          <w:rFonts w:hint="eastAsia" w:ascii="宋体" w:hAnsi="宋体" w:eastAsia="宋体" w:cs="宋体"/>
          <w:b/>
          <w:color w:val="auto"/>
          <w:sz w:val="21"/>
          <w:szCs w:val="21"/>
          <w:highlight w:val="none"/>
        </w:rPr>
      </w:pP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采购人名称：</w:t>
      </w:r>
      <w:r>
        <w:rPr>
          <w:rFonts w:hint="eastAsia" w:ascii="宋体" w:hAnsi="宋体" w:cs="宋体"/>
          <w:b/>
          <w:color w:val="auto"/>
          <w:sz w:val="21"/>
          <w:szCs w:val="21"/>
          <w:highlight w:val="none"/>
          <w:lang w:eastAsia="zh-CN"/>
        </w:rPr>
        <w:t>新疆维吾尔自治区生态环境保护综合行政执法局</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联系人：</w:t>
      </w:r>
      <w:r>
        <w:rPr>
          <w:rFonts w:hint="eastAsia" w:ascii="宋体" w:hAnsi="宋体" w:cs="宋体"/>
          <w:b/>
          <w:color w:val="auto"/>
          <w:sz w:val="21"/>
          <w:szCs w:val="21"/>
          <w:highlight w:val="none"/>
          <w:lang w:val="en-US" w:eastAsia="zh-CN"/>
        </w:rPr>
        <w:t>弥艳</w:t>
      </w:r>
      <w:r>
        <w:rPr>
          <w:rFonts w:hint="eastAsia" w:ascii="宋体" w:hAnsi="宋体" w:eastAsia="宋体" w:cs="宋体"/>
          <w:b/>
          <w:color w:val="auto"/>
          <w:sz w:val="21"/>
          <w:szCs w:val="21"/>
          <w:highlight w:val="none"/>
        </w:rPr>
        <w:t> </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联系电话：</w:t>
      </w:r>
      <w:r>
        <w:rPr>
          <w:rFonts w:hint="eastAsia" w:ascii="宋体" w:hAnsi="宋体" w:cs="宋体"/>
          <w:b/>
          <w:color w:val="auto"/>
          <w:sz w:val="21"/>
          <w:szCs w:val="21"/>
          <w:highlight w:val="none"/>
          <w:lang w:val="en-US" w:eastAsia="zh-CN"/>
        </w:rPr>
        <w:t>0991-2332563</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地址：</w:t>
      </w:r>
      <w:r>
        <w:rPr>
          <w:rFonts w:hint="eastAsia" w:ascii="宋体" w:hAnsi="宋体" w:cs="宋体"/>
          <w:b/>
          <w:color w:val="auto"/>
          <w:sz w:val="21"/>
          <w:szCs w:val="21"/>
          <w:highlight w:val="none"/>
          <w:lang w:eastAsia="zh-CN"/>
        </w:rPr>
        <w:t>乌鲁木齐市天山区健康路221号</w:t>
      </w:r>
    </w:p>
    <w:p>
      <w:pPr>
        <w:pStyle w:val="39"/>
        <w:rPr>
          <w:rFonts w:hint="eastAsia" w:ascii="宋体" w:hAnsi="宋体" w:eastAsia="宋体" w:cs="宋体"/>
          <w:color w:val="auto"/>
          <w:sz w:val="21"/>
          <w:szCs w:val="21"/>
          <w:highlight w:val="none"/>
          <w:lang w:eastAsia="zh-CN"/>
        </w:rPr>
      </w:pP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采购代理机构：宏业国际项目管理有限公司</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联系人：李苗</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联系电话：15022921857</w:t>
      </w:r>
    </w:p>
    <w:p>
      <w:pPr>
        <w:kinsoku/>
        <w:wordWrap/>
        <w:topLinePunct w:val="0"/>
        <w:bidi w:val="0"/>
        <w:spacing w:beforeAutospacing="0" w:afterAutospacing="0" w:line="400" w:lineRule="exact"/>
        <w:ind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地址：乌鲁木齐水磨沟区红光山路万科大都会8号楼1202</w:t>
      </w:r>
    </w:p>
    <w:p>
      <w:pPr>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21"/>
          <w:szCs w:val="21"/>
          <w:highlight w:val="none"/>
        </w:rPr>
        <w:sectPr>
          <w:headerReference r:id="rId4" w:type="first"/>
          <w:headerReference r:id="rId3" w:type="default"/>
          <w:footerReference r:id="rId5" w:type="even"/>
          <w:pgSz w:w="11907" w:h="16840"/>
          <w:pgMar w:top="1077" w:right="1417" w:bottom="1417" w:left="1417" w:header="680" w:footer="799" w:gutter="0"/>
          <w:pgNumType w:fmt="decimal" w:start="1"/>
          <w:cols w:space="720" w:num="1"/>
          <w:titlePg/>
          <w:docGrid w:type="lines" w:linePitch="409" w:charSpace="0"/>
        </w:sect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目  录</w:t>
      </w:r>
    </w:p>
    <w:p>
      <w:pPr>
        <w:pStyle w:val="31"/>
        <w:tabs>
          <w:tab w:val="right" w:leader="dot" w:pos="9683"/>
        </w:tabs>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"_Toc462223629" </w:instrText>
      </w:r>
      <w:r>
        <w:rPr>
          <w:rFonts w:hint="eastAsia" w:ascii="宋体" w:hAnsi="宋体" w:eastAsia="宋体" w:cs="宋体"/>
          <w:color w:val="auto"/>
          <w:sz w:val="21"/>
          <w:szCs w:val="21"/>
          <w:highlight w:val="none"/>
        </w:rPr>
        <w:fldChar w:fldCharType="separate"/>
      </w:r>
      <w:r>
        <w:rPr>
          <w:rStyle w:val="48"/>
          <w:rFonts w:hint="eastAsia" w:ascii="宋体" w:hAnsi="宋体" w:eastAsia="宋体" w:cs="宋体"/>
          <w:color w:val="auto"/>
          <w:sz w:val="21"/>
          <w:szCs w:val="21"/>
          <w:highlight w:val="none"/>
        </w:rPr>
        <w:t xml:space="preserve">第一章 </w:t>
      </w:r>
      <w:r>
        <w:rPr>
          <w:rStyle w:val="48"/>
          <w:rFonts w:hint="eastAsia" w:ascii="宋体" w:hAnsi="宋体" w:eastAsia="宋体" w:cs="宋体"/>
          <w:color w:val="auto"/>
          <w:sz w:val="21"/>
          <w:szCs w:val="21"/>
          <w:highlight w:val="none"/>
          <w:lang w:eastAsia="zh-CN"/>
        </w:rPr>
        <w:t>招标</w:t>
      </w:r>
      <w:r>
        <w:rPr>
          <w:rStyle w:val="48"/>
          <w:rFonts w:hint="eastAsia" w:ascii="宋体" w:hAnsi="宋体" w:eastAsia="宋体" w:cs="宋体"/>
          <w:color w:val="auto"/>
          <w:sz w:val="21"/>
          <w:szCs w:val="21"/>
          <w:highlight w:val="none"/>
        </w:rPr>
        <w:t>公告</w:t>
      </w:r>
      <w:r>
        <w:rPr>
          <w:rFonts w:hint="eastAsia" w:ascii="宋体" w:hAnsi="宋体" w:eastAsia="宋体" w:cs="宋体"/>
          <w:color w:val="auto"/>
          <w:sz w:val="21"/>
          <w:szCs w:val="21"/>
          <w:highlight w:val="none"/>
        </w:rPr>
        <w:tab/>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fldChar w:fldCharType="end"/>
      </w:r>
    </w:p>
    <w:p>
      <w:pPr>
        <w:pStyle w:val="31"/>
        <w:tabs>
          <w:tab w:val="right" w:leader="dot" w:pos="9683"/>
        </w:tabs>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"_Toc462223630" </w:instrText>
      </w:r>
      <w:r>
        <w:rPr>
          <w:rFonts w:hint="eastAsia" w:ascii="宋体" w:hAnsi="宋体" w:eastAsia="宋体" w:cs="宋体"/>
          <w:color w:val="auto"/>
          <w:sz w:val="21"/>
          <w:szCs w:val="21"/>
          <w:highlight w:val="none"/>
        </w:rPr>
        <w:fldChar w:fldCharType="separate"/>
      </w:r>
      <w:r>
        <w:rPr>
          <w:rStyle w:val="48"/>
          <w:rFonts w:hint="eastAsia" w:ascii="宋体" w:hAnsi="宋体" w:eastAsia="宋体" w:cs="宋体"/>
          <w:color w:val="auto"/>
          <w:sz w:val="21"/>
          <w:szCs w:val="21"/>
          <w:highlight w:val="none"/>
        </w:rPr>
        <w:t>第二章 供应商须知</w:t>
      </w:r>
      <w:r>
        <w:rPr>
          <w:rFonts w:hint="eastAsia" w:ascii="宋体" w:hAnsi="宋体" w:eastAsia="宋体" w:cs="宋体"/>
          <w:color w:val="auto"/>
          <w:sz w:val="21"/>
          <w:szCs w:val="21"/>
          <w:highlight w:val="none"/>
        </w:rPr>
        <w:tab/>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fldChar w:fldCharType="end"/>
      </w:r>
    </w:p>
    <w:p>
      <w:pPr>
        <w:pStyle w:val="31"/>
        <w:tabs>
          <w:tab w:val="right" w:leader="dot" w:pos="9683"/>
        </w:tabs>
        <w:kinsoku/>
        <w:wordWrap/>
        <w:topLinePunct w:val="0"/>
        <w:bidi w:val="0"/>
        <w:spacing w:beforeAutospacing="0" w:afterAutospacing="0" w:line="400" w:lineRule="exact"/>
        <w:ind w:left="0" w:leftChars="0" w:right="0" w:right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"_Toc462223639" </w:instrText>
      </w:r>
      <w:r>
        <w:rPr>
          <w:rFonts w:hint="eastAsia" w:ascii="宋体" w:hAnsi="宋体" w:eastAsia="宋体" w:cs="宋体"/>
          <w:color w:val="auto"/>
          <w:sz w:val="21"/>
          <w:szCs w:val="21"/>
          <w:highlight w:val="none"/>
        </w:rPr>
        <w:fldChar w:fldCharType="separate"/>
      </w:r>
      <w:r>
        <w:rPr>
          <w:rStyle w:val="48"/>
          <w:rFonts w:hint="eastAsia" w:ascii="宋体" w:hAnsi="宋体" w:eastAsia="宋体" w:cs="宋体"/>
          <w:color w:val="auto"/>
          <w:sz w:val="21"/>
          <w:szCs w:val="21"/>
          <w:highlight w:val="none"/>
        </w:rPr>
        <w:t>第三章 项目需求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19</w:t>
      </w:r>
    </w:p>
    <w:p>
      <w:pPr>
        <w:pStyle w:val="31"/>
        <w:tabs>
          <w:tab w:val="right" w:leader="dot" w:pos="9683"/>
        </w:tabs>
        <w:kinsoku/>
        <w:wordWrap/>
        <w:topLinePunct w:val="0"/>
        <w:bidi w:val="0"/>
        <w:spacing w:beforeAutospacing="0" w:afterAutospacing="0" w:line="400" w:lineRule="exact"/>
        <w:ind w:left="0" w:leftChars="0" w:right="0" w:right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"_Toc462223647" </w:instrText>
      </w:r>
      <w:r>
        <w:rPr>
          <w:rFonts w:hint="eastAsia" w:ascii="宋体" w:hAnsi="宋体" w:eastAsia="宋体" w:cs="宋体"/>
          <w:color w:val="auto"/>
          <w:sz w:val="21"/>
          <w:szCs w:val="21"/>
          <w:highlight w:val="none"/>
        </w:rPr>
        <w:fldChar w:fldCharType="separate"/>
      </w:r>
      <w:r>
        <w:rPr>
          <w:rStyle w:val="48"/>
          <w:rFonts w:hint="eastAsia" w:ascii="宋体" w:hAnsi="宋体" w:eastAsia="宋体" w:cs="宋体"/>
          <w:color w:val="auto"/>
          <w:sz w:val="21"/>
          <w:szCs w:val="21"/>
          <w:highlight w:val="none"/>
        </w:rPr>
        <w:t>第四章 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26</w:t>
      </w:r>
    </w:p>
    <w:p>
      <w:pPr>
        <w:pStyle w:val="31"/>
        <w:tabs>
          <w:tab w:val="right" w:leader="dot" w:pos="9683"/>
        </w:tabs>
        <w:kinsoku/>
        <w:wordWrap/>
        <w:topLinePunct w:val="0"/>
        <w:bidi w:val="0"/>
        <w:spacing w:beforeAutospacing="0" w:afterAutospacing="0" w:line="400" w:lineRule="exact"/>
        <w:ind w:left="0" w:leftChars="0" w:right="0" w:right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"_Toc462223650" </w:instrText>
      </w:r>
      <w:r>
        <w:rPr>
          <w:rFonts w:hint="eastAsia" w:ascii="宋体" w:hAnsi="宋体" w:eastAsia="宋体" w:cs="宋体"/>
          <w:color w:val="auto"/>
          <w:sz w:val="21"/>
          <w:szCs w:val="21"/>
          <w:highlight w:val="none"/>
        </w:rPr>
        <w:fldChar w:fldCharType="separate"/>
      </w:r>
      <w:r>
        <w:rPr>
          <w:rStyle w:val="48"/>
          <w:rFonts w:hint="eastAsia" w:ascii="宋体" w:hAnsi="宋体" w:eastAsia="宋体" w:cs="宋体"/>
          <w:color w:val="auto"/>
          <w:sz w:val="21"/>
          <w:szCs w:val="21"/>
          <w:highlight w:val="none"/>
        </w:rPr>
        <w:t xml:space="preserve">第五章 </w:t>
      </w:r>
      <w:r>
        <w:rPr>
          <w:rStyle w:val="48"/>
          <w:rFonts w:hint="eastAsia" w:ascii="宋体" w:hAnsi="宋体" w:eastAsia="宋体" w:cs="宋体"/>
          <w:color w:val="auto"/>
          <w:sz w:val="21"/>
          <w:szCs w:val="21"/>
          <w:highlight w:val="none"/>
          <w:lang w:eastAsia="zh-CN"/>
        </w:rPr>
        <w:t>投标</w:t>
      </w:r>
      <w:r>
        <w:rPr>
          <w:rStyle w:val="48"/>
          <w:rFonts w:hint="eastAsia" w:ascii="宋体" w:hAnsi="宋体" w:eastAsia="宋体" w:cs="宋体"/>
          <w:color w:val="auto"/>
          <w:sz w:val="21"/>
          <w:szCs w:val="21"/>
          <w:highlight w:val="none"/>
        </w:rPr>
        <w:t>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35</w:t>
      </w:r>
    </w:p>
    <w:p>
      <w:pPr>
        <w:pStyle w:val="31"/>
        <w:tabs>
          <w:tab w:val="right" w:leader="dot" w:pos="8541"/>
        </w:tabs>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fldChar w:fldCharType="end"/>
      </w:r>
    </w:p>
    <w:p>
      <w:pPr>
        <w:pStyle w:val="31"/>
        <w:tabs>
          <w:tab w:val="right" w:leader="dot" w:pos="9683"/>
        </w:tabs>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fldChar w:fldCharType="end"/>
      </w:r>
    </w:p>
    <w:p>
      <w:pPr>
        <w:widowControl/>
        <w:kinsoku/>
        <w:wordWrap/>
        <w:topLinePunct w:val="0"/>
        <w:bidi w:val="0"/>
        <w:spacing w:beforeAutospacing="0" w:afterAutospacing="0" w:line="400" w:lineRule="exact"/>
        <w:ind w:left="0" w:leftChars="0" w:right="0" w:rightChars="0"/>
        <w:jc w:val="center"/>
        <w:outlineLvl w:val="0"/>
        <w:rPr>
          <w:rFonts w:hint="eastAsia" w:ascii="宋体" w:hAnsi="宋体" w:eastAsia="宋体" w:cs="宋体"/>
          <w:b/>
          <w:color w:val="auto"/>
          <w:sz w:val="21"/>
          <w:szCs w:val="21"/>
          <w:highlight w:val="none"/>
        </w:rPr>
        <w:sectPr>
          <w:footerReference r:id="rId7" w:type="first"/>
          <w:footerReference r:id="rId6" w:type="default"/>
          <w:pgSz w:w="11907" w:h="16840"/>
          <w:pgMar w:top="1077" w:right="1417" w:bottom="1417" w:left="1417" w:header="680" w:footer="799" w:gutter="0"/>
          <w:pgNumType w:fmt="decimal" w:start="1"/>
          <w:cols w:space="720" w:num="1"/>
          <w:docGrid w:type="lines" w:linePitch="409" w:charSpace="0"/>
        </w:sectPr>
      </w:pPr>
      <w:bookmarkStart w:id="0" w:name="_Toc349573118"/>
      <w:bookmarkStart w:id="1" w:name="_Toc349637917"/>
      <w:bookmarkStart w:id="2" w:name="_Toc462223629"/>
      <w:bookmarkStart w:id="3" w:name="_Toc298240402"/>
    </w:p>
    <w:p>
      <w:pPr>
        <w:widowControl/>
        <w:kinsoku/>
        <w:wordWrap/>
        <w:topLinePunct w:val="0"/>
        <w:bidi w:val="0"/>
        <w:spacing w:beforeAutospacing="0" w:afterAutospacing="0" w:line="400" w:lineRule="exact"/>
        <w:ind w:left="0" w:leftChars="0" w:right="0" w:rightChars="0"/>
        <w:jc w:val="center"/>
        <w:outlineLvl w:val="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第一章</w:t>
      </w:r>
      <w:bookmarkEnd w:id="0"/>
      <w:bookmarkEnd w:id="1"/>
      <w:bookmarkEnd w:id="2"/>
      <w:bookmarkEnd w:id="3"/>
      <w:bookmarkStart w:id="4" w:name="_Toc298240403"/>
      <w:bookmarkStart w:id="5" w:name="_Toc462223630"/>
      <w:bookmarkStart w:id="6" w:name="_Toc349637918"/>
      <w:bookmarkStart w:id="7" w:name="_Toc349573119"/>
      <w:bookmarkStart w:id="8" w:name="_Toc267301280"/>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招标公告</w:t>
      </w:r>
    </w:p>
    <w:p>
      <w:pPr>
        <w:pBdr>
          <w:top w:val="single" w:color="auto" w:sz="4" w:space="1"/>
          <w:left w:val="single" w:color="auto" w:sz="4" w:space="4"/>
          <w:bottom w:val="single" w:color="auto" w:sz="4" w:space="1"/>
          <w:right w:val="single" w:color="auto" w:sz="4" w:space="4"/>
        </w:pBdr>
        <w:kinsoku/>
        <w:wordWrap/>
        <w:overflowPunct/>
        <w:bidi w:val="0"/>
        <w:spacing w:line="500" w:lineRule="exact"/>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pBdr>
          <w:top w:val="single" w:color="auto" w:sz="4" w:space="1"/>
          <w:left w:val="single" w:color="auto" w:sz="4" w:space="4"/>
          <w:bottom w:val="single" w:color="auto" w:sz="4" w:space="1"/>
          <w:right w:val="single" w:color="auto" w:sz="4" w:space="4"/>
        </w:pBdr>
        <w:kinsoku/>
        <w:wordWrap/>
        <w:overflowPunct/>
        <w:bidi w:val="0"/>
        <w:spacing w:line="500" w:lineRule="exact"/>
        <w:ind w:left="0" w:firstLine="420" w:firstLineChars="200"/>
        <w:rPr>
          <w:rStyle w:val="44"/>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sz w:val="21"/>
          <w:szCs w:val="21"/>
          <w:highlight w:val="none"/>
          <w:lang w:eastAsia="zh-CN"/>
        </w:rPr>
        <w:t>新疆维吾尔自治区水生态环境执法装备能力建设项目（一期）</w:t>
      </w:r>
      <w:r>
        <w:rPr>
          <w:rFonts w:hint="eastAsia" w:ascii="宋体" w:hAnsi="宋体" w:eastAsia="宋体" w:cs="宋体"/>
          <w:color w:val="auto"/>
          <w:sz w:val="21"/>
          <w:szCs w:val="21"/>
          <w:highlight w:val="none"/>
        </w:rPr>
        <w:t>的潜在投标人应在线上免费获取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登陆政采云账户（网址：https://www.zcygov.cn/）,在线申请获取采购文件（登录政府采购云平台→采购项目→获取采购文件→申请，审核通过后可下载招标文件，如有操作性问题，可与政采云在线客服进行咨询，咨询电话400-881-7190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并于</w:t>
      </w:r>
      <w:r>
        <w:rPr>
          <w:rStyle w:val="44"/>
          <w:rFonts w:hint="eastAsia" w:ascii="宋体" w:hAnsi="宋体" w:cs="宋体"/>
          <w:b w:val="0"/>
          <w:bCs/>
          <w:color w:val="auto"/>
          <w:kern w:val="0"/>
          <w:sz w:val="21"/>
          <w:szCs w:val="21"/>
          <w:highlight w:val="none"/>
          <w:lang w:val="en-US" w:eastAsia="zh-CN" w:bidi="ar-SA"/>
        </w:rPr>
        <w:t>2023年4月10日16点00分</w:t>
      </w:r>
      <w:r>
        <w:rPr>
          <w:rStyle w:val="44"/>
          <w:rFonts w:hint="eastAsia" w:ascii="宋体" w:hAnsi="宋体" w:eastAsia="宋体" w:cs="宋体"/>
          <w:b w:val="0"/>
          <w:bCs/>
          <w:color w:val="auto"/>
          <w:kern w:val="0"/>
          <w:sz w:val="21"/>
          <w:szCs w:val="21"/>
          <w:highlight w:val="none"/>
          <w:lang w:val="en-US" w:eastAsia="zh-CN" w:bidi="ar-SA"/>
        </w:rPr>
        <w:t>（北京时间）</w:t>
      </w:r>
      <w:r>
        <w:rPr>
          <w:rStyle w:val="44"/>
          <w:rFonts w:hint="eastAsia" w:ascii="宋体" w:hAnsi="宋体" w:eastAsia="宋体" w:cs="宋体"/>
          <w:b w:val="0"/>
          <w:bCs w:val="0"/>
          <w:color w:val="auto"/>
          <w:kern w:val="0"/>
          <w:sz w:val="21"/>
          <w:szCs w:val="21"/>
          <w:highlight w:val="none"/>
          <w:lang w:val="en-US" w:eastAsia="zh-CN" w:bidi="ar-SA"/>
        </w:rPr>
        <w:t>前递交投标文件。</w:t>
      </w:r>
    </w:p>
    <w:p>
      <w:pPr>
        <w:pStyle w:val="37"/>
        <w:numPr>
          <w:ilvl w:val="0"/>
          <w:numId w:val="0"/>
        </w:numPr>
        <w:kinsoku/>
        <w:wordWrap/>
        <w:topLinePunct w:val="0"/>
        <w:bidi w:val="0"/>
        <w:spacing w:before="0" w:beforeAutospacing="0" w:after="0" w:afterAutospacing="0" w:line="400" w:lineRule="exact"/>
        <w:ind w:left="210" w:leftChars="0" w:right="0" w:rightChars="0"/>
        <w:outlineLvl w:val="2"/>
        <w:rPr>
          <w:rFonts w:hint="eastAsia" w:ascii="宋体" w:hAnsi="宋体" w:eastAsia="宋体" w:cs="宋体"/>
          <w:b/>
          <w:bCs/>
          <w:color w:val="auto"/>
          <w:sz w:val="21"/>
          <w:szCs w:val="21"/>
          <w:highlight w:val="none"/>
        </w:rPr>
      </w:pPr>
      <w:bookmarkStart w:id="9" w:name="_Toc28359002"/>
      <w:bookmarkStart w:id="10" w:name="_Toc35393621"/>
      <w:bookmarkStart w:id="11" w:name="_Toc86229022"/>
      <w:bookmarkStart w:id="12" w:name="_Toc35393790"/>
      <w:bookmarkStart w:id="13" w:name="_Toc28359079"/>
      <w:bookmarkStart w:id="14" w:name="_Hlk24379207"/>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项目基本情况</w:t>
      </w:r>
      <w:bookmarkEnd w:id="9"/>
      <w:bookmarkEnd w:id="10"/>
      <w:bookmarkEnd w:id="11"/>
      <w:bookmarkEnd w:id="12"/>
      <w:bookmarkEnd w:id="13"/>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采购项目名称：新疆维吾尔自治区水生态环境执法装备能力建设项目（一期）</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项目编号：HYGJ-ZFCG-2023-018</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采购方式：公开招标</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采购组织类型：分散采购-委托中介机构 </w:t>
      </w:r>
    </w:p>
    <w:bookmarkEnd w:id="14"/>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w:t>
      </w:r>
      <w:r>
        <w:rPr>
          <w:rFonts w:hint="eastAsia" w:ascii="宋体" w:hAnsi="宋体" w:eastAsia="宋体" w:cs="宋体"/>
          <w:i w:val="0"/>
          <w:iCs w:val="0"/>
          <w:color w:val="000000"/>
          <w:kern w:val="0"/>
          <w:sz w:val="21"/>
          <w:szCs w:val="21"/>
          <w:u w:val="none"/>
          <w:lang w:val="en-US" w:eastAsia="zh-CN" w:bidi="ar"/>
        </w:rPr>
        <w:t>2992000.00</w:t>
      </w:r>
      <w:r>
        <w:rPr>
          <w:rFonts w:hint="eastAsia" w:ascii="宋体" w:hAnsi="宋体" w:eastAsia="宋体" w:cs="宋体"/>
          <w:color w:val="auto"/>
          <w:sz w:val="21"/>
          <w:szCs w:val="21"/>
          <w:highlight w:val="none"/>
          <w:lang w:val="en-US" w:eastAsia="zh-CN"/>
        </w:rPr>
        <w:t>元</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r>
        <w:rPr>
          <w:rFonts w:hint="eastAsia" w:ascii="宋体" w:hAnsi="宋体" w:eastAsia="宋体" w:cs="宋体"/>
          <w:i w:val="0"/>
          <w:iCs w:val="0"/>
          <w:color w:val="000000"/>
          <w:kern w:val="0"/>
          <w:sz w:val="21"/>
          <w:szCs w:val="21"/>
          <w:u w:val="none"/>
          <w:lang w:val="en-US" w:eastAsia="zh-CN" w:bidi="ar"/>
        </w:rPr>
        <w:t>2992000.00</w:t>
      </w:r>
      <w:r>
        <w:rPr>
          <w:rFonts w:hint="eastAsia" w:ascii="宋体" w:hAnsi="宋体" w:eastAsia="宋体" w:cs="宋体"/>
          <w:color w:val="auto"/>
          <w:sz w:val="21"/>
          <w:szCs w:val="21"/>
          <w:highlight w:val="none"/>
          <w:lang w:val="en-US" w:eastAsia="zh-CN"/>
        </w:rPr>
        <w:t>元</w:t>
      </w:r>
    </w:p>
    <w:tbl>
      <w:tblPr>
        <w:tblStyle w:val="41"/>
        <w:tblW w:w="882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6"/>
        <w:gridCol w:w="3298"/>
        <w:gridCol w:w="1350"/>
        <w:gridCol w:w="135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3298"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设备名称</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数量（套）</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单位</w:t>
            </w:r>
          </w:p>
        </w:tc>
        <w:tc>
          <w:tcPr>
            <w:tcW w:w="1935"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0" w:hRule="atLeast"/>
        </w:trPr>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3298" w:type="dxa"/>
            <w:tcMar>
              <w:top w:w="75" w:type="dxa"/>
              <w:left w:w="150" w:type="dxa"/>
              <w:bottom w:w="75" w:type="dxa"/>
              <w:right w:w="150" w:type="dxa"/>
            </w:tcMar>
            <w:vAlign w:val="center"/>
          </w:tcPr>
          <w:p>
            <w:pPr>
              <w:rPr>
                <w:rFonts w:ascii="仿宋" w:hAnsi="仿宋" w:eastAsia="仿宋" w:cs="仿宋"/>
                <w:sz w:val="24"/>
                <w:szCs w:val="24"/>
              </w:rPr>
            </w:pPr>
            <w:r>
              <w:rPr>
                <w:rFonts w:hint="eastAsia"/>
                <w:lang w:val="en-US" w:eastAsia="zh-CN"/>
              </w:rPr>
              <w:t>便携式水质快速检测仪</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c>
          <w:tcPr>
            <w:tcW w:w="1935" w:type="dxa"/>
            <w:vMerge w:val="restart"/>
            <w:tcMar>
              <w:top w:w="75" w:type="dxa"/>
              <w:left w:w="150" w:type="dxa"/>
              <w:bottom w:w="75" w:type="dxa"/>
              <w:right w:w="150" w:type="dxa"/>
            </w:tcMar>
            <w:vAlign w:val="center"/>
          </w:tcPr>
          <w:p>
            <w:pPr>
              <w:widowControl/>
              <w:spacing w:line="400" w:lineRule="exact"/>
              <w:jc w:val="center"/>
              <w:rPr>
                <w:rFonts w:ascii="仿宋" w:hAnsi="仿宋" w:eastAsia="仿宋" w:cs="仿宋"/>
                <w:sz w:val="24"/>
                <w:szCs w:val="24"/>
              </w:rPr>
            </w:pPr>
            <w:r>
              <w:rPr>
                <w:rFonts w:hint="eastAsia" w:ascii="Times New Roman" w:hAnsi="Times New Roman" w:eastAsia="宋体" w:cs="Times New Roman"/>
                <w:lang w:val="en-US" w:eastAsia="zh-CN"/>
              </w:rPr>
              <w:t>具体设备参数详见采购文件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3298" w:type="dxa"/>
            <w:tcMar>
              <w:top w:w="75" w:type="dxa"/>
              <w:left w:w="150" w:type="dxa"/>
              <w:bottom w:w="75" w:type="dxa"/>
              <w:right w:w="150" w:type="dxa"/>
            </w:tcMar>
            <w:vAlign w:val="center"/>
          </w:tcPr>
          <w:p>
            <w:pPr>
              <w:rPr>
                <w:rFonts w:hint="eastAsia" w:ascii="宋体" w:hAnsi="宋体" w:eastAsia="宋体" w:cs="宋体"/>
                <w:color w:val="auto"/>
                <w:sz w:val="21"/>
                <w:szCs w:val="21"/>
                <w:highlight w:val="none"/>
                <w:lang w:val="en-US" w:eastAsia="zh-CN"/>
              </w:rPr>
            </w:pPr>
            <w:r>
              <w:rPr>
                <w:rFonts w:hint="eastAsia"/>
                <w:lang w:val="en-US" w:eastAsia="zh-CN"/>
              </w:rPr>
              <w:t>流量计（明渠流量计）</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c>
          <w:tcPr>
            <w:tcW w:w="1935" w:type="dxa"/>
            <w:vMerge w:val="continue"/>
            <w:tcMar>
              <w:top w:w="75" w:type="dxa"/>
              <w:left w:w="150" w:type="dxa"/>
              <w:bottom w:w="75" w:type="dxa"/>
              <w:right w:w="150" w:type="dxa"/>
            </w:tcMar>
            <w:vAlign w:val="center"/>
          </w:tcPr>
          <w:p>
            <w:pPr>
              <w:widowControl/>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3298" w:type="dxa"/>
            <w:tcMar>
              <w:top w:w="75" w:type="dxa"/>
              <w:left w:w="150" w:type="dxa"/>
              <w:bottom w:w="75" w:type="dxa"/>
              <w:right w:w="150" w:type="dxa"/>
            </w:tcMar>
            <w:vAlign w:val="center"/>
          </w:tcPr>
          <w:p>
            <w:pPr>
              <w:rPr>
                <w:rFonts w:hint="eastAsia" w:ascii="宋体" w:hAnsi="宋体" w:eastAsia="宋体" w:cs="宋体"/>
                <w:color w:val="auto"/>
                <w:sz w:val="21"/>
                <w:szCs w:val="21"/>
                <w:highlight w:val="none"/>
                <w:lang w:val="en-US" w:eastAsia="zh-CN"/>
              </w:rPr>
            </w:pPr>
            <w:r>
              <w:rPr>
                <w:rFonts w:hint="eastAsia"/>
                <w:lang w:val="en-US" w:eastAsia="zh-CN"/>
              </w:rPr>
              <w:t>便携式水质采样设备</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28</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c>
          <w:tcPr>
            <w:tcW w:w="1935" w:type="dxa"/>
            <w:vMerge w:val="continue"/>
            <w:tcMar>
              <w:top w:w="75" w:type="dxa"/>
              <w:left w:w="150" w:type="dxa"/>
              <w:bottom w:w="75" w:type="dxa"/>
              <w:right w:w="150" w:type="dxa"/>
            </w:tcMar>
            <w:vAlign w:val="center"/>
          </w:tcPr>
          <w:p>
            <w:pPr>
              <w:widowControl/>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3298" w:type="dxa"/>
            <w:tcMar>
              <w:top w:w="75" w:type="dxa"/>
              <w:left w:w="150" w:type="dxa"/>
              <w:bottom w:w="75" w:type="dxa"/>
              <w:right w:w="150" w:type="dxa"/>
            </w:tcMar>
            <w:vAlign w:val="center"/>
          </w:tcPr>
          <w:p>
            <w:pPr>
              <w:rPr>
                <w:rFonts w:hint="eastAsia" w:ascii="宋体" w:hAnsi="宋体" w:eastAsia="宋体" w:cs="宋体"/>
                <w:color w:val="auto"/>
                <w:sz w:val="21"/>
                <w:szCs w:val="21"/>
                <w:highlight w:val="none"/>
                <w:lang w:val="en-US" w:eastAsia="zh-CN"/>
              </w:rPr>
            </w:pPr>
            <w:r>
              <w:rPr>
                <w:rFonts w:hint="eastAsia"/>
                <w:lang w:val="en-US" w:eastAsia="zh-CN"/>
              </w:rPr>
              <w:t>水质快检试剂包</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51</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c>
          <w:tcPr>
            <w:tcW w:w="1935" w:type="dxa"/>
            <w:vMerge w:val="continue"/>
            <w:tcMar>
              <w:top w:w="75" w:type="dxa"/>
              <w:left w:w="150" w:type="dxa"/>
              <w:bottom w:w="75" w:type="dxa"/>
              <w:right w:w="150" w:type="dxa"/>
            </w:tcMar>
            <w:vAlign w:val="center"/>
          </w:tcPr>
          <w:p>
            <w:pPr>
              <w:widowControl/>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3298" w:type="dxa"/>
            <w:tcMar>
              <w:top w:w="75" w:type="dxa"/>
              <w:left w:w="150" w:type="dxa"/>
              <w:bottom w:w="75" w:type="dxa"/>
              <w:right w:w="150" w:type="dxa"/>
            </w:tcMar>
            <w:vAlign w:val="center"/>
          </w:tcPr>
          <w:p>
            <w:pPr>
              <w:rPr>
                <w:rFonts w:hint="eastAsia" w:ascii="宋体" w:hAnsi="宋体" w:eastAsia="宋体" w:cs="宋体"/>
                <w:color w:val="auto"/>
                <w:sz w:val="21"/>
                <w:szCs w:val="21"/>
                <w:highlight w:val="none"/>
                <w:lang w:val="en-US" w:eastAsia="zh-CN"/>
              </w:rPr>
            </w:pPr>
            <w:r>
              <w:rPr>
                <w:rFonts w:hint="eastAsia"/>
                <w:lang w:val="en-US" w:eastAsia="zh-CN"/>
              </w:rPr>
              <w:t>移动执法终端</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48</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c>
          <w:tcPr>
            <w:tcW w:w="1935" w:type="dxa"/>
            <w:vMerge w:val="continue"/>
            <w:tcMar>
              <w:top w:w="75" w:type="dxa"/>
              <w:left w:w="150" w:type="dxa"/>
              <w:bottom w:w="75" w:type="dxa"/>
              <w:right w:w="150" w:type="dxa"/>
            </w:tcMar>
            <w:vAlign w:val="center"/>
          </w:tcPr>
          <w:p>
            <w:pPr>
              <w:widowControl/>
              <w:spacing w:line="400" w:lineRule="exact"/>
              <w:jc w:val="center"/>
              <w:rPr>
                <w:rFonts w:hint="eastAsia" w:ascii="仿宋" w:hAnsi="仿宋" w:eastAsia="仿宋" w:cs="仿宋"/>
                <w:sz w:val="24"/>
                <w:szCs w:val="24"/>
              </w:rPr>
            </w:pPr>
          </w:p>
        </w:tc>
      </w:tr>
    </w:tbl>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lang w:val="en-US" w:eastAsia="zh-CN"/>
        </w:rPr>
      </w:pPr>
    </w:p>
    <w:p>
      <w:pPr>
        <w:pStyle w:val="37"/>
        <w:numPr>
          <w:ilvl w:val="0"/>
          <w:numId w:val="0"/>
        </w:numPr>
        <w:kinsoku/>
        <w:wordWrap/>
        <w:topLinePunct w:val="0"/>
        <w:bidi w:val="0"/>
        <w:spacing w:before="0" w:beforeAutospacing="0" w:after="0" w:afterAutospacing="0" w:line="400" w:lineRule="exact"/>
        <w:ind w:left="210" w:leftChars="0" w:right="0" w:rightChars="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供应商资格要求： </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1、满足《中华人民共和国政府采购法》第二十二条规定；</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（1）具有独立承担民事责任的能力；</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（2）具有良好的商业信誉和健全的财务会计制度；</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（3）具有履行合同所必需的设备和专业技术能力；</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（4）有依法缴纳税收和社会保障资金的良好记录；</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（5）参加政府采购活动前三年内，在经营活动中没有重大违法记录；</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（6）法律、行政法规规定的其他条件。</w:t>
      </w:r>
    </w:p>
    <w:p>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、投标人需</w:t>
      </w:r>
      <w:r>
        <w:rPr>
          <w:rFonts w:hint="eastAsia" w:ascii="宋体" w:hAnsi="宋体" w:eastAsia="宋体" w:cs="宋体"/>
          <w:color w:val="auto"/>
          <w:kern w:val="2"/>
          <w:sz w:val="21"/>
          <w:szCs w:val="21"/>
          <w:highlight w:val="none"/>
          <w:lang w:val="en-US" w:eastAsia="zh-CN" w:bidi="ar-SA"/>
        </w:rPr>
        <w:t>通过</w:t>
      </w:r>
      <w:r>
        <w:rPr>
          <w:rFonts w:hint="eastAsia" w:ascii="宋体" w:hAnsi="宋体" w:eastAsia="宋体" w:cs="宋体"/>
          <w:color w:val="000000"/>
          <w:sz w:val="21"/>
          <w:szCs w:val="21"/>
        </w:rPr>
        <w:t>在</w:t>
      </w:r>
      <w:r>
        <w:rPr>
          <w:rFonts w:hint="eastAsia" w:ascii="宋体" w:hAnsi="宋体" w:eastAsia="宋体" w:cs="宋体"/>
          <w:color w:val="auto"/>
          <w:kern w:val="2"/>
          <w:sz w:val="21"/>
          <w:szCs w:val="21"/>
          <w:highlight w:val="none"/>
          <w:lang w:val="en-US" w:eastAsia="zh-CN"/>
        </w:rPr>
        <w:t>“信用中国”（www.creditchina.gov.cn）网站上未被列入失信被执行人、</w:t>
      </w:r>
      <w:r>
        <w:rPr>
          <w:rFonts w:hint="eastAsia" w:ascii="宋体" w:hAnsi="宋体" w:cs="宋体"/>
          <w:color w:val="auto"/>
          <w:kern w:val="2"/>
          <w:sz w:val="21"/>
          <w:szCs w:val="21"/>
          <w:highlight w:val="none"/>
          <w:lang w:val="en-US" w:eastAsia="zh-CN"/>
        </w:rPr>
        <w:t>重大税收违法失信主体</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政府采购严重违法失信行为记录名单</w:t>
      </w:r>
      <w:r>
        <w:rPr>
          <w:rFonts w:hint="eastAsia" w:ascii="宋体" w:hAnsi="宋体" w:eastAsia="宋体" w:cs="宋体"/>
          <w:color w:val="auto"/>
          <w:kern w:val="2"/>
          <w:sz w:val="21"/>
          <w:szCs w:val="21"/>
          <w:highlight w:val="none"/>
          <w:lang w:val="en-US" w:eastAsia="zh-CN"/>
        </w:rPr>
        <w:t>和中国政府采购网（www.ccgp.gov.cn）网站上未被列入政府采购严重违法失信行为记录名单的网页打印件（网页打印件须自招标公告发布之日起至投标截止时间从上述网站中打印）。被列入以上条款尚在处罚期内的将拒绝其参本次采购活动；</w:t>
      </w:r>
    </w:p>
    <w:p>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供应商在人员、设备、资金等方面具有完成本项目的相应服务能力；</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、单位负责人为同一人或者存在直接控股、管理关系的不同供应商，不得同时参加本项目的投标。</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、投标人不得以其他公司资质投标或中标后转包。如发现执行开发的公司并非中标公司，则采购人有权终止合作，并向中标人追索由此造成的一切损失。</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本项目预算总额的30%以上专门面向中小企业采购，其中预留给小微企业的比例不低于60%。</w:t>
      </w:r>
      <w:r>
        <w:rPr>
          <w:rFonts w:hint="eastAsia" w:ascii="宋体" w:hAnsi="宋体" w:eastAsia="宋体" w:cs="宋体"/>
          <w:color w:val="auto"/>
          <w:kern w:val="2"/>
          <w:sz w:val="21"/>
          <w:szCs w:val="21"/>
          <w:highlight w:val="none"/>
          <w:lang w:eastAsia="zh-CN"/>
        </w:rPr>
        <w:t>（中小企业报名</w:t>
      </w:r>
      <w:r>
        <w:rPr>
          <w:rFonts w:hint="eastAsia" w:ascii="宋体" w:hAnsi="宋体" w:eastAsia="宋体" w:cs="宋体"/>
          <w:color w:val="auto"/>
          <w:kern w:val="2"/>
          <w:sz w:val="21"/>
          <w:szCs w:val="21"/>
          <w:highlight w:val="none"/>
        </w:rPr>
        <w:t>的供应商须提供《中小企业声明函》</w:t>
      </w:r>
      <w:r>
        <w:rPr>
          <w:rFonts w:hint="eastAsia" w:ascii="宋体" w:hAnsi="宋体" w:eastAsia="宋体" w:cs="宋体"/>
          <w:color w:val="auto"/>
          <w:kern w:val="2"/>
          <w:sz w:val="21"/>
          <w:szCs w:val="21"/>
          <w:highlight w:val="none"/>
          <w:lang w:eastAsia="zh-CN"/>
        </w:rPr>
        <w:t>）。</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、本项目不接受联合体投标。</w:t>
      </w:r>
    </w:p>
    <w:p>
      <w:pPr>
        <w:pStyle w:val="37"/>
        <w:numPr>
          <w:ilvl w:val="0"/>
          <w:numId w:val="0"/>
        </w:numPr>
        <w:kinsoku/>
        <w:wordWrap/>
        <w:topLinePunct w:val="0"/>
        <w:bidi w:val="0"/>
        <w:spacing w:before="0" w:beforeAutospacing="0" w:after="0" w:afterAutospacing="0" w:line="400" w:lineRule="exact"/>
        <w:ind w:right="0" w:rightChars="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lang w:val="en-US" w:eastAsia="zh-CN"/>
        </w:rPr>
        <w:t>获取招标文件</w:t>
      </w:r>
    </w:p>
    <w:p>
      <w:pPr>
        <w:pStyle w:val="37"/>
        <w:kinsoku/>
        <w:wordWrap/>
        <w:topLinePunct w:val="0"/>
        <w:bidi w:val="0"/>
        <w:spacing w:before="0" w:beforeAutospacing="0" w:after="0" w:afterAutospacing="0" w:line="400" w:lineRule="exact"/>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1.获取</w:t>
      </w:r>
      <w:r>
        <w:rPr>
          <w:rFonts w:hint="eastAsia" w:ascii="宋体" w:hAnsi="宋体" w:eastAsia="宋体" w:cs="宋体"/>
          <w:b w:val="0"/>
          <w:bCs w:val="0"/>
          <w:color w:val="auto"/>
          <w:sz w:val="21"/>
          <w:szCs w:val="21"/>
          <w:highlight w:val="none"/>
          <w:lang w:eastAsia="zh-CN"/>
        </w:rPr>
        <w:t>投标</w:t>
      </w:r>
      <w:r>
        <w:rPr>
          <w:rFonts w:hint="eastAsia" w:ascii="宋体" w:hAnsi="宋体" w:eastAsia="宋体" w:cs="宋体"/>
          <w:b w:val="0"/>
          <w:bCs w:val="0"/>
          <w:color w:val="auto"/>
          <w:sz w:val="21"/>
          <w:szCs w:val="21"/>
          <w:highlight w:val="none"/>
        </w:rPr>
        <w:t>文件时</w:t>
      </w:r>
      <w:r>
        <w:rPr>
          <w:rStyle w:val="44"/>
          <w:rFonts w:hint="eastAsia" w:ascii="宋体" w:hAnsi="宋体" w:eastAsia="宋体" w:cs="宋体"/>
          <w:b w:val="0"/>
          <w:bCs w:val="0"/>
          <w:color w:val="auto"/>
          <w:sz w:val="21"/>
          <w:szCs w:val="21"/>
          <w:highlight w:val="none"/>
          <w:lang w:val="en-US" w:eastAsia="zh-CN"/>
        </w:rPr>
        <w:t>间：2023年3月21日至2023年3月28日，每天上午10:00至14:00，下午15:30至19:30（北京时间，法定节假日除外）</w:t>
      </w:r>
    </w:p>
    <w:p>
      <w:pPr>
        <w:pStyle w:val="37"/>
        <w:kinsoku/>
        <w:wordWrap/>
        <w:topLinePunct w:val="0"/>
        <w:bidi w:val="0"/>
        <w:spacing w:before="0" w:beforeAutospacing="0" w:after="0" w:afterAutospacing="0" w:line="400" w:lineRule="exact"/>
        <w:ind w:left="0" w:leftChars="0" w:right="0" w:righ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2、获取</w:t>
      </w:r>
      <w:r>
        <w:rPr>
          <w:rFonts w:hint="eastAsia" w:ascii="宋体" w:hAnsi="宋体" w:eastAsia="宋体" w:cs="宋体"/>
          <w:b w:val="0"/>
          <w:bCs w:val="0"/>
          <w:color w:val="auto"/>
          <w:sz w:val="21"/>
          <w:szCs w:val="21"/>
          <w:highlight w:val="none"/>
          <w:lang w:eastAsia="zh-CN"/>
        </w:rPr>
        <w:t>投标</w:t>
      </w:r>
      <w:r>
        <w:rPr>
          <w:rFonts w:hint="eastAsia" w:ascii="宋体" w:hAnsi="宋体" w:eastAsia="宋体" w:cs="宋体"/>
          <w:b w:val="0"/>
          <w:bCs w:val="0"/>
          <w:color w:val="auto"/>
          <w:sz w:val="21"/>
          <w:szCs w:val="21"/>
          <w:highlight w:val="none"/>
        </w:rPr>
        <w:t>文件地址：线上免费获取，供应商登陆政采云账户（网址：https://www.zcygov.cn/）,在线申请获取采购文件（登录政府采购云平台→采购项目→获取采购文件→申请，审核通过后可下载招标文件，如有操作性问题，可与政采云在线客服进行咨询，咨询电话400-881-7190）。</w:t>
      </w:r>
    </w:p>
    <w:p>
      <w:pPr>
        <w:pStyle w:val="37"/>
        <w:spacing w:before="0" w:beforeAutospacing="0" w:after="0" w:afterAutospacing="0" w:line="400" w:lineRule="exact"/>
        <w:ind w:firstLine="420" w:firstLineChars="200"/>
        <w:rPr>
          <w:rStyle w:val="44"/>
          <w:rFonts w:hint="eastAsia" w:ascii="宋体" w:hAnsi="宋体" w:eastAsia="宋体" w:cs="宋体"/>
          <w:b w:val="0"/>
          <w:bCs w:val="0"/>
          <w:color w:val="auto"/>
          <w:sz w:val="21"/>
          <w:szCs w:val="21"/>
          <w:highlight w:val="none"/>
        </w:rPr>
      </w:pPr>
      <w:r>
        <w:rPr>
          <w:rStyle w:val="44"/>
          <w:rFonts w:hint="eastAsia" w:ascii="宋体" w:hAnsi="宋体" w:eastAsia="宋体" w:cs="宋体"/>
          <w:b w:val="0"/>
          <w:bCs w:val="0"/>
          <w:color w:val="auto"/>
          <w:sz w:val="21"/>
          <w:szCs w:val="21"/>
          <w:highlight w:val="none"/>
        </w:rPr>
        <w:t>3、获取</w:t>
      </w:r>
      <w:r>
        <w:rPr>
          <w:rStyle w:val="44"/>
          <w:rFonts w:hint="eastAsia" w:ascii="宋体" w:hAnsi="宋体" w:eastAsia="宋体" w:cs="宋体"/>
          <w:b w:val="0"/>
          <w:bCs w:val="0"/>
          <w:color w:val="auto"/>
          <w:sz w:val="21"/>
          <w:szCs w:val="21"/>
          <w:highlight w:val="none"/>
          <w:lang w:eastAsia="zh-CN"/>
        </w:rPr>
        <w:t>采购</w:t>
      </w:r>
      <w:r>
        <w:rPr>
          <w:rStyle w:val="44"/>
          <w:rFonts w:hint="eastAsia" w:ascii="宋体" w:hAnsi="宋体" w:eastAsia="宋体" w:cs="宋体"/>
          <w:b w:val="0"/>
          <w:bCs w:val="0"/>
          <w:color w:val="auto"/>
          <w:sz w:val="21"/>
          <w:szCs w:val="21"/>
          <w:highlight w:val="none"/>
        </w:rPr>
        <w:t>文件方式：</w:t>
      </w:r>
      <w:r>
        <w:rPr>
          <w:rFonts w:hint="eastAsia" w:ascii="宋体" w:hAnsi="宋体" w:eastAsia="宋体" w:cs="宋体"/>
          <w:b w:val="0"/>
          <w:bCs w:val="0"/>
          <w:color w:val="auto"/>
          <w:sz w:val="21"/>
          <w:szCs w:val="21"/>
          <w:highlight w:val="none"/>
        </w:rPr>
        <w:t>获取投标文件地址：线上免费获取，供应商登陆政采云账户（网址：https://www.zcygov.cn/）,在线申请获取采购文件（登录政府采购云平台→采购项目→获取采购文件→申请，审核通过后可下载招标文件，如有操作性问题，可与政采云在线客服进行咨询，咨询电话400-881-7190）。</w:t>
      </w:r>
    </w:p>
    <w:p>
      <w:pPr>
        <w:pStyle w:val="5"/>
        <w:pageBreakBefore w:val="0"/>
        <w:widowControl w:val="0"/>
        <w:kinsoku/>
        <w:wordWrap/>
        <w:overflowPunct/>
        <w:topLinePunct w:val="0"/>
        <w:autoSpaceDE/>
        <w:autoSpaceDN/>
        <w:bidi w:val="0"/>
        <w:spacing w:before="0" w:after="0" w:line="400" w:lineRule="exac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四、提交投标文件截止时间、开标时间和地点</w:t>
      </w:r>
    </w:p>
    <w:p>
      <w:pPr>
        <w:pageBreakBefore w:val="0"/>
        <w:widowControl w:val="0"/>
        <w:kinsoku/>
        <w:wordWrap/>
        <w:overflowPunct/>
        <w:topLinePunct w:val="0"/>
        <w:autoSpaceDE/>
        <w:autoSpaceDN/>
        <w:bidi w:val="0"/>
        <w:spacing w:line="400" w:lineRule="exact"/>
        <w:ind w:firstLine="420" w:firstLineChars="200"/>
        <w:rPr>
          <w:rStyle w:val="44"/>
          <w:rFonts w:hint="eastAsia" w:ascii="宋体" w:hAnsi="宋体" w:eastAsia="宋体" w:cs="宋体"/>
          <w:b w:val="0"/>
          <w:bCs w:val="0"/>
          <w:color w:val="auto"/>
          <w:kern w:val="0"/>
          <w:sz w:val="21"/>
          <w:szCs w:val="21"/>
          <w:highlight w:val="none"/>
          <w:lang w:val="en-US" w:eastAsia="zh-CN" w:bidi="ar-SA"/>
        </w:rPr>
      </w:pPr>
      <w:r>
        <w:rPr>
          <w:rStyle w:val="44"/>
          <w:rFonts w:hint="eastAsia" w:ascii="宋体" w:hAnsi="宋体" w:eastAsia="宋体" w:cs="宋体"/>
          <w:b w:val="0"/>
          <w:bCs w:val="0"/>
          <w:color w:val="auto"/>
          <w:kern w:val="0"/>
          <w:sz w:val="21"/>
          <w:szCs w:val="21"/>
          <w:highlight w:val="none"/>
          <w:lang w:val="en-US" w:eastAsia="zh-CN" w:bidi="ar-SA"/>
        </w:rPr>
        <w:t>1.提交投标文件截止时间、开标时间：</w:t>
      </w:r>
      <w:r>
        <w:rPr>
          <w:rStyle w:val="44"/>
          <w:rFonts w:hint="eastAsia" w:ascii="宋体" w:hAnsi="宋体" w:cs="宋体"/>
          <w:b w:val="0"/>
          <w:bCs w:val="0"/>
          <w:color w:val="auto"/>
          <w:kern w:val="0"/>
          <w:sz w:val="21"/>
          <w:szCs w:val="21"/>
          <w:highlight w:val="none"/>
          <w:lang w:val="en-US" w:eastAsia="zh-CN" w:bidi="ar-SA"/>
        </w:rPr>
        <w:t>2023年4月10日16点00分</w:t>
      </w:r>
      <w:r>
        <w:rPr>
          <w:rStyle w:val="44"/>
          <w:rFonts w:hint="eastAsia" w:ascii="宋体" w:hAnsi="宋体" w:eastAsia="宋体" w:cs="宋体"/>
          <w:b w:val="0"/>
          <w:bCs w:val="0"/>
          <w:color w:val="auto"/>
          <w:kern w:val="0"/>
          <w:sz w:val="21"/>
          <w:szCs w:val="21"/>
          <w:highlight w:val="none"/>
          <w:lang w:val="en-US" w:eastAsia="zh-CN" w:bidi="ar-SA"/>
        </w:rPr>
        <w:t>（北京时间）</w:t>
      </w:r>
    </w:p>
    <w:p>
      <w:pPr>
        <w:pageBreakBefore w:val="0"/>
        <w:widowControl w:val="0"/>
        <w:kinsoku/>
        <w:wordWrap/>
        <w:overflowPunct/>
        <w:topLinePunct w:val="0"/>
        <w:autoSpaceDE/>
        <w:autoSpaceDN/>
        <w:bidi w:val="0"/>
        <w:spacing w:line="400" w:lineRule="exact"/>
        <w:ind w:firstLine="420" w:firstLineChars="200"/>
        <w:rPr>
          <w:rStyle w:val="44"/>
          <w:rFonts w:hint="eastAsia" w:ascii="宋体" w:hAnsi="宋体" w:eastAsia="宋体" w:cs="宋体"/>
          <w:b w:val="0"/>
          <w:bCs w:val="0"/>
          <w:color w:val="auto"/>
          <w:kern w:val="0"/>
          <w:sz w:val="21"/>
          <w:szCs w:val="21"/>
          <w:highlight w:val="none"/>
          <w:lang w:val="en-US" w:eastAsia="zh-CN" w:bidi="ar-SA"/>
        </w:rPr>
      </w:pPr>
      <w:r>
        <w:rPr>
          <w:rStyle w:val="44"/>
          <w:rFonts w:hint="eastAsia" w:ascii="宋体" w:hAnsi="宋体" w:eastAsia="宋体" w:cs="宋体"/>
          <w:b w:val="0"/>
          <w:bCs w:val="0"/>
          <w:color w:val="auto"/>
          <w:kern w:val="0"/>
          <w:sz w:val="21"/>
          <w:szCs w:val="21"/>
          <w:highlight w:val="none"/>
          <w:lang w:val="en-US" w:eastAsia="zh-CN" w:bidi="ar-SA"/>
        </w:rPr>
        <w:t>2.地点：乌鲁木齐水磨沟区红光山</w:t>
      </w:r>
      <w:bookmarkStart w:id="62" w:name="_GoBack"/>
      <w:bookmarkEnd w:id="62"/>
      <w:r>
        <w:rPr>
          <w:rStyle w:val="44"/>
          <w:rFonts w:hint="eastAsia" w:ascii="宋体" w:hAnsi="宋体" w:eastAsia="宋体" w:cs="宋体"/>
          <w:b w:val="0"/>
          <w:bCs w:val="0"/>
          <w:color w:val="auto"/>
          <w:kern w:val="0"/>
          <w:sz w:val="21"/>
          <w:szCs w:val="21"/>
          <w:highlight w:val="none"/>
          <w:lang w:val="en-US" w:eastAsia="zh-CN" w:bidi="ar-SA"/>
        </w:rPr>
        <w:t>路万科大都会8号楼1202室</w:t>
      </w:r>
    </w:p>
    <w:p>
      <w:pPr>
        <w:pageBreakBefore w:val="0"/>
        <w:widowControl w:val="0"/>
        <w:kinsoku/>
        <w:wordWrap/>
        <w:overflowPunct/>
        <w:topLinePunct w:val="0"/>
        <w:autoSpaceDE/>
        <w:autoSpaceDN/>
        <w:bidi w:val="0"/>
        <w:spacing w:line="400" w:lineRule="exact"/>
        <w:ind w:firstLine="420" w:firstLineChars="200"/>
        <w:rPr>
          <w:rStyle w:val="44"/>
          <w:rFonts w:hint="eastAsia" w:ascii="宋体" w:hAnsi="宋体" w:eastAsia="宋体" w:cs="宋体"/>
          <w:b w:val="0"/>
          <w:bCs w:val="0"/>
          <w:color w:val="auto"/>
          <w:kern w:val="0"/>
          <w:sz w:val="21"/>
          <w:szCs w:val="21"/>
          <w:highlight w:val="none"/>
          <w:lang w:val="en-US" w:eastAsia="zh-CN" w:bidi="ar-SA"/>
        </w:rPr>
      </w:pPr>
      <w:r>
        <w:rPr>
          <w:rStyle w:val="44"/>
          <w:rFonts w:hint="eastAsia" w:ascii="宋体" w:hAnsi="宋体" w:eastAsia="宋体" w:cs="宋体"/>
          <w:b w:val="0"/>
          <w:bCs w:val="0"/>
          <w:color w:val="auto"/>
          <w:kern w:val="0"/>
          <w:sz w:val="21"/>
          <w:szCs w:val="21"/>
          <w:highlight w:val="none"/>
          <w:lang w:val="en-US" w:eastAsia="zh-CN" w:bidi="ar-SA"/>
        </w:rPr>
        <w:t>3.售价（元）：0。</w:t>
      </w:r>
    </w:p>
    <w:p>
      <w:pPr>
        <w:pStyle w:val="5"/>
        <w:pageBreakBefore w:val="0"/>
        <w:widowControl w:val="0"/>
        <w:kinsoku/>
        <w:wordWrap/>
        <w:overflowPunct/>
        <w:topLinePunct w:val="0"/>
        <w:autoSpaceDE/>
        <w:autoSpaceDN/>
        <w:bidi w:val="0"/>
        <w:spacing w:before="0" w:after="0" w:line="400" w:lineRule="exac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五、公告期限</w:t>
      </w:r>
    </w:p>
    <w:p>
      <w:pPr>
        <w:pageBreakBefore w:val="0"/>
        <w:widowControl w:val="0"/>
        <w:kinsoku/>
        <w:wordWrap/>
        <w:overflowPunct/>
        <w:topLinePunct w:val="0"/>
        <w:autoSpaceDE/>
        <w:autoSpaceDN/>
        <w:bidi w:val="0"/>
        <w:spacing w:before="0" w:after="0" w:line="400" w:lineRule="exact"/>
        <w:ind w:firstLine="420" w:firstLineChars="200"/>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招标公告及招标文件公告期限为自本公告发布之日起5个工作日。</w:t>
      </w:r>
    </w:p>
    <w:p>
      <w:pPr>
        <w:pStyle w:val="5"/>
        <w:pageBreakBefore w:val="0"/>
        <w:widowControl w:val="0"/>
        <w:kinsoku/>
        <w:wordWrap/>
        <w:overflowPunct/>
        <w:topLinePunct w:val="0"/>
        <w:autoSpaceDE/>
        <w:autoSpaceDN/>
        <w:bidi w:val="0"/>
        <w:spacing w:before="0" w:after="0" w:line="400" w:lineRule="exac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六、其他补充事宜</w:t>
      </w:r>
    </w:p>
    <w:p>
      <w:pPr>
        <w:pStyle w:val="37"/>
        <w:kinsoku/>
        <w:wordWrap/>
        <w:topLinePunct w:val="0"/>
        <w:bidi w:val="0"/>
        <w:spacing w:before="0" w:beforeAutospacing="0" w:after="0" w:afterAutospacing="0" w:line="400" w:lineRule="exact"/>
        <w:ind w:left="0" w:leftChars="0" w:right="0" w:rightChars="0"/>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1、各供应商应在开标前确保成为新疆维吾尔自治区政府采购网正式注册入库供应商，并完成CA数字证书申领。因未注册入库、未办理CA数字证书等原因造成无法投标或投标失败等后果由供应商自行承担。</w:t>
      </w:r>
    </w:p>
    <w:p>
      <w:pPr>
        <w:pStyle w:val="37"/>
        <w:kinsoku/>
        <w:wordWrap/>
        <w:topLinePunct w:val="0"/>
        <w:bidi w:val="0"/>
        <w:spacing w:before="0" w:beforeAutospacing="0" w:after="0" w:afterAutospacing="0" w:line="400" w:lineRule="exact"/>
        <w:ind w:left="0" w:leftChars="0" w:right="0" w:rightChars="0"/>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2、有意向参与新疆区域电子开评标的投标人，可访问新疆数字证书认证中心官方网站（https://www.xjca.com.cn/）或下载“新疆政务通”APP自行进行申领。如需咨询，请联系新疆CA服务热线0991-2819290。</w:t>
      </w:r>
    </w:p>
    <w:p>
      <w:pPr>
        <w:pStyle w:val="37"/>
        <w:kinsoku/>
        <w:wordWrap/>
        <w:topLinePunct w:val="0"/>
        <w:bidi w:val="0"/>
        <w:spacing w:before="0" w:beforeAutospacing="0" w:after="0" w:afterAutospacing="0" w:line="400" w:lineRule="exact"/>
        <w:ind w:left="0" w:leftChars="0" w:right="0" w:rightChars="0"/>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供应商可前往新疆政府采购网（http://www.ccgp-xinjiang.gov.cn/）下载专区，下载政采云电子投标客户端，安装完成后，可通过账号密码或CA登录客户端进行响应文件制作。如有问题可拨打政采云客户服务热线400-881-7190进行咨询。</w:t>
      </w:r>
    </w:p>
    <w:p>
      <w:pPr>
        <w:pStyle w:val="37"/>
        <w:kinsoku/>
        <w:wordWrap/>
        <w:topLinePunct w:val="0"/>
        <w:bidi w:val="0"/>
        <w:spacing w:before="0" w:beforeAutospacing="0" w:after="0" w:afterAutospacing="0" w:line="400" w:lineRule="exact"/>
        <w:ind w:left="0" w:leftChars="0" w:right="0" w:rightChars="0"/>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37"/>
        <w:kinsoku/>
        <w:wordWrap/>
        <w:topLinePunct w:val="0"/>
        <w:bidi w:val="0"/>
        <w:spacing w:before="0" w:beforeAutospacing="0" w:after="0" w:afterAutospacing="0" w:line="400" w:lineRule="exact"/>
        <w:ind w:left="0" w:leftChars="0" w:right="0" w:rightChars="0"/>
        <w:outlineLvl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供应商在开标前须提前配置好电脑浏览器（建议使用360浏览器或谷歌浏览器），开标时请使用制作加密电子响应文件的CA锁进行解密及报价确认。本项目响应文件解密时间定为60分钟，如因自身原因（如：浏览器故障、未安装相关驱动、网络故障、加密CA与解密CA不一致等）导致无法正常解密，后果由供应商自行承担。</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6、为了保证开评标顺利进行，投标人开标所使用的电脑设备须具有视频及语音功能。</w:t>
      </w: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、联系方式</w:t>
      </w:r>
    </w:p>
    <w:p>
      <w:pPr>
        <w:pStyle w:val="37"/>
        <w:kinsoku/>
        <w:wordWrap/>
        <w:topLinePunct w:val="0"/>
        <w:bidi w:val="0"/>
        <w:spacing w:before="0" w:beforeAutospacing="0" w:after="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1、采购代理机构名称：宏业国际项目管理有限公司</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联系人：李苗</w:t>
      </w:r>
    </w:p>
    <w:p>
      <w:pPr>
        <w:pStyle w:val="37"/>
        <w:kinsoku/>
        <w:wordWrap/>
        <w:topLinePunct w:val="0"/>
        <w:bidi w:val="0"/>
        <w:spacing w:before="0" w:beforeAutospacing="0" w:after="0" w:afterAutospacing="0" w:line="400" w:lineRule="exact"/>
        <w:ind w:left="0" w:leftChars="0" w:right="0" w:rightChars="0"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联系电话：15022921857</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地址：乌鲁木齐水磨沟区红光山路万科大都会8号楼1202。 </w:t>
      </w:r>
    </w:p>
    <w:p>
      <w:pPr>
        <w:kinsoku/>
        <w:wordWrap/>
        <w:topLinePunct w:val="0"/>
        <w:bidi w:val="0"/>
        <w:spacing w:beforeAutospacing="0" w:afterAutospacing="0" w:line="400" w:lineRule="exact"/>
        <w:ind w:right="0"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lang w:val="en-US" w:eastAsia="zh-CN" w:bidi="ar-SA"/>
        </w:rPr>
        <w:t>采购人名称：</w:t>
      </w:r>
      <w:r>
        <w:rPr>
          <w:rFonts w:hint="eastAsia" w:ascii="宋体" w:hAnsi="宋体" w:cs="宋体"/>
          <w:color w:val="auto"/>
          <w:kern w:val="0"/>
          <w:sz w:val="21"/>
          <w:szCs w:val="21"/>
          <w:highlight w:val="none"/>
          <w:lang w:val="en-US" w:eastAsia="zh-CN" w:bidi="ar-SA"/>
        </w:rPr>
        <w:t>新疆维吾尔自治区生态环境保护综合行政执法局</w:t>
      </w:r>
    </w:p>
    <w:p>
      <w:pPr>
        <w:kinsoku/>
        <w:wordWrap/>
        <w:topLinePunct w:val="0"/>
        <w:bidi w:val="0"/>
        <w:spacing w:beforeAutospacing="0" w:afterAutospacing="0" w:line="400" w:lineRule="exact"/>
        <w:ind w:right="0" w:rightChars="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联系人：</w:t>
      </w:r>
      <w:r>
        <w:rPr>
          <w:rFonts w:hint="eastAsia" w:ascii="宋体" w:hAnsi="宋体" w:cs="宋体"/>
          <w:color w:val="auto"/>
          <w:kern w:val="0"/>
          <w:sz w:val="21"/>
          <w:szCs w:val="21"/>
          <w:highlight w:val="none"/>
          <w:lang w:val="en-US" w:eastAsia="zh-CN" w:bidi="ar-SA"/>
        </w:rPr>
        <w:t>弥艳</w:t>
      </w:r>
      <w:r>
        <w:rPr>
          <w:rFonts w:hint="eastAsia" w:ascii="宋体" w:hAnsi="宋体" w:eastAsia="宋体" w:cs="宋体"/>
          <w:color w:val="auto"/>
          <w:kern w:val="0"/>
          <w:sz w:val="21"/>
          <w:szCs w:val="21"/>
          <w:highlight w:val="none"/>
          <w:lang w:val="en-US" w:eastAsia="zh-CN" w:bidi="ar-SA"/>
        </w:rPr>
        <w:t> </w:t>
      </w:r>
    </w:p>
    <w:p>
      <w:pPr>
        <w:kinsoku/>
        <w:wordWrap/>
        <w:topLinePunct w:val="0"/>
        <w:bidi w:val="0"/>
        <w:spacing w:beforeAutospacing="0" w:afterAutospacing="0" w:line="400" w:lineRule="exact"/>
        <w:ind w:right="0" w:rightChars="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w:t>
      </w:r>
      <w:r>
        <w:rPr>
          <w:rFonts w:hint="eastAsia" w:ascii="宋体" w:hAnsi="宋体" w:cs="宋体"/>
          <w:color w:val="auto"/>
          <w:kern w:val="0"/>
          <w:sz w:val="21"/>
          <w:szCs w:val="21"/>
          <w:highlight w:val="none"/>
          <w:lang w:val="en-US" w:eastAsia="zh-CN" w:bidi="ar-SA"/>
        </w:rPr>
        <w:t>0991-2332563</w:t>
      </w:r>
    </w:p>
    <w:p>
      <w:pPr>
        <w:widowControl/>
        <w:shd w:val="clear" w:color="auto" w:fill="FFFFFF"/>
        <w:kinsoku/>
        <w:wordWrap/>
        <w:topLinePunct w:val="0"/>
        <w:bidi w:val="0"/>
        <w:spacing w:beforeAutospacing="0" w:afterAutospacing="0" w:line="400" w:lineRule="exact"/>
        <w:ind w:right="0" w:rightChars="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地址：</w:t>
      </w:r>
      <w:r>
        <w:rPr>
          <w:rFonts w:hint="eastAsia" w:ascii="宋体" w:hAnsi="宋体" w:cs="宋体"/>
          <w:color w:val="auto"/>
          <w:kern w:val="0"/>
          <w:sz w:val="21"/>
          <w:szCs w:val="21"/>
          <w:highlight w:val="none"/>
          <w:lang w:val="en-US" w:eastAsia="zh-CN" w:bidi="ar-SA"/>
        </w:rPr>
        <w:t>乌鲁木齐市天山区健康路221号</w:t>
      </w:r>
    </w:p>
    <w:p>
      <w:pPr>
        <w:widowControl/>
        <w:shd w:val="clear" w:color="auto" w:fill="FFFFFF"/>
        <w:kinsoku/>
        <w:wordWrap/>
        <w:topLinePunct w:val="0"/>
        <w:bidi w:val="0"/>
        <w:spacing w:beforeAutospacing="0" w:afterAutospacing="0" w:line="400" w:lineRule="exact"/>
        <w:ind w:left="0" w:leftChars="0" w:right="0" w:rightChars="0" w:firstLine="308" w:firstLineChars="147"/>
        <w:jc w:val="left"/>
        <w:rPr>
          <w:rFonts w:hint="eastAsia" w:ascii="宋体" w:hAnsi="宋体" w:eastAsia="宋体" w:cs="宋体"/>
          <w:color w:val="auto"/>
          <w:kern w:val="0"/>
          <w:sz w:val="21"/>
          <w:szCs w:val="21"/>
          <w:highlight w:val="none"/>
          <w:lang w:val="en-US" w:eastAsia="zh-CN" w:bidi="ar-SA"/>
        </w:rPr>
      </w:pPr>
    </w:p>
    <w:p>
      <w:pPr>
        <w:kinsoku/>
        <w:wordWrap/>
        <w:topLinePunct w:val="0"/>
        <w:bidi w:val="0"/>
        <w:spacing w:beforeAutospacing="0" w:afterAutospacing="0" w:line="400" w:lineRule="exact"/>
        <w:ind w:left="0" w:leftChars="0" w:right="0" w:rightChars="0"/>
        <w:rPr>
          <w:rFonts w:hint="eastAsia" w:ascii="宋体" w:hAnsi="宋体" w:eastAsia="宋体" w:cs="宋体"/>
          <w:color w:val="auto"/>
          <w:kern w:val="0"/>
          <w:sz w:val="21"/>
          <w:szCs w:val="21"/>
          <w:highlight w:val="none"/>
          <w:lang w:val="en-US" w:eastAsia="zh-CN" w:bidi="ar-SA"/>
        </w:rPr>
      </w:pPr>
    </w:p>
    <w:p>
      <w:pPr>
        <w:pStyle w:val="13"/>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p>
      <w:pPr>
        <w:pStyle w:val="13"/>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p>
      <w:pPr>
        <w:pStyle w:val="13"/>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p>
      <w:pPr>
        <w:pStyle w:val="13"/>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p>
      <w:pPr>
        <w:pStyle w:val="13"/>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widowControl/>
        <w:kinsoku/>
        <w:wordWrap/>
        <w:topLinePunct w:val="0"/>
        <w:bidi w:val="0"/>
        <w:spacing w:beforeAutospacing="0" w:afterAutospacing="0" w:line="400" w:lineRule="exact"/>
        <w:ind w:left="0" w:leftChars="0" w:right="0" w:rightChars="0"/>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第二章  供应商须知</w:t>
      </w:r>
      <w:bookmarkEnd w:id="4"/>
      <w:bookmarkEnd w:id="5"/>
      <w:bookmarkEnd w:id="6"/>
      <w:bookmarkEnd w:id="7"/>
      <w:bookmarkEnd w:id="8"/>
      <w:bookmarkStart w:id="15" w:name="_Toc267301281"/>
      <w:bookmarkStart w:id="16" w:name="_Toc349573120"/>
      <w:bookmarkStart w:id="17" w:name="_Toc349637919"/>
      <w:bookmarkStart w:id="18" w:name="_Toc298240404"/>
    </w:p>
    <w:p>
      <w:pPr>
        <w:kinsoku/>
        <w:wordWrap/>
        <w:topLinePunct w:val="0"/>
        <w:bidi w:val="0"/>
        <w:spacing w:beforeAutospacing="0" w:afterAutospacing="0" w:line="400" w:lineRule="exact"/>
        <w:ind w:left="0" w:leftChars="0" w:right="0" w:rightChars="0"/>
        <w:jc w:val="center"/>
        <w:outlineLvl w:val="1"/>
        <w:rPr>
          <w:rFonts w:hint="eastAsia" w:ascii="宋体" w:hAnsi="宋体" w:eastAsia="宋体" w:cs="宋体"/>
          <w:b/>
          <w:color w:val="auto"/>
          <w:sz w:val="21"/>
          <w:szCs w:val="21"/>
          <w:highlight w:val="none"/>
        </w:rPr>
      </w:pPr>
      <w:bookmarkStart w:id="19" w:name="_Toc462223631"/>
      <w:r>
        <w:rPr>
          <w:rFonts w:hint="eastAsia" w:ascii="宋体" w:hAnsi="宋体" w:eastAsia="宋体" w:cs="宋体"/>
          <w:b/>
          <w:color w:val="auto"/>
          <w:sz w:val="21"/>
          <w:szCs w:val="21"/>
          <w:highlight w:val="none"/>
        </w:rPr>
        <w:t>供应商须知前附表</w:t>
      </w:r>
      <w:bookmarkEnd w:id="15"/>
      <w:bookmarkEnd w:id="16"/>
      <w:bookmarkEnd w:id="17"/>
      <w:bookmarkEnd w:id="18"/>
      <w:bookmarkEnd w:id="19"/>
    </w:p>
    <w:tbl>
      <w:tblPr>
        <w:tblStyle w:val="41"/>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0"/>
        <w:gridCol w:w="2246"/>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870" w:type="dxa"/>
            <w:vAlign w:val="center"/>
          </w:tcPr>
          <w:p>
            <w:pPr>
              <w:pageBreakBefore w:val="0"/>
              <w:kinsoku/>
              <w:topLinePunct w:val="0"/>
              <w:bidi w:val="0"/>
              <w:spacing w:line="400" w:lineRule="exact"/>
              <w:ind w:left="0" w:leftChars="0" w:firstLine="0" w:firstLineChars="0"/>
              <w:rPr>
                <w:rFonts w:hint="eastAsia" w:ascii="宋体" w:hAnsi="宋体" w:eastAsia="宋体" w:cs="宋体"/>
                <w:b/>
                <w:bCs w:val="0"/>
                <w:color w:val="auto"/>
                <w:sz w:val="21"/>
                <w:szCs w:val="21"/>
                <w:highlight w:val="none"/>
              </w:rPr>
            </w:pPr>
            <w:r>
              <w:rPr>
                <w:rFonts w:hint="eastAsia" w:ascii="宋体" w:hAnsi="宋体" w:eastAsia="宋体" w:cs="宋体"/>
                <w:b/>
                <w:bCs w:val="0"/>
                <w:sz w:val="21"/>
                <w:szCs w:val="21"/>
              </w:rPr>
              <w:br w:type="page"/>
            </w:r>
            <w:r>
              <w:rPr>
                <w:rFonts w:hint="eastAsia" w:ascii="宋体" w:hAnsi="宋体" w:eastAsia="宋体" w:cs="宋体"/>
                <w:b/>
                <w:bCs w:val="0"/>
                <w:color w:val="auto"/>
                <w:sz w:val="21"/>
                <w:szCs w:val="21"/>
                <w:highlight w:val="none"/>
              </w:rPr>
              <w:t>序列号</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条款名称</w:t>
            </w:r>
          </w:p>
        </w:tc>
        <w:tc>
          <w:tcPr>
            <w:tcW w:w="6583"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6583" w:type="dxa"/>
            <w:vAlign w:val="center"/>
          </w:tcPr>
          <w:p>
            <w:pPr>
              <w:pageBreakBefore w:val="0"/>
              <w:widowControl/>
              <w:kinsoku/>
              <w:wordWrap w:val="0"/>
              <w:topLinePunct w:val="0"/>
              <w:bidi w:val="0"/>
              <w:spacing w:line="400" w:lineRule="exact"/>
              <w:ind w:left="0" w:leftChars="0" w:firstLine="0" w:firstLineChars="0"/>
              <w:jc w:val="both"/>
              <w:rPr>
                <w:rFonts w:hint="eastAsia" w:ascii="宋体" w:hAnsi="宋体" w:eastAsia="宋体" w:cs="宋体"/>
                <w:b w:val="0"/>
                <w:bCs/>
                <w:color w:val="auto"/>
                <w:sz w:val="21"/>
                <w:szCs w:val="21"/>
                <w:highlight w:val="none"/>
              </w:rPr>
            </w:pPr>
            <w:r>
              <w:rPr>
                <w:rFonts w:hint="eastAsia" w:ascii="宋体" w:hAnsi="宋体" w:cs="宋体"/>
                <w:color w:val="auto"/>
                <w:sz w:val="21"/>
                <w:szCs w:val="21"/>
                <w:highlight w:val="none"/>
                <w:lang w:val="en-US" w:eastAsia="zh-CN"/>
              </w:rPr>
              <w:t>新疆维吾尔自治区水生态环境执法装备能力建设项目（一期）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w:t>
            </w:r>
          </w:p>
        </w:tc>
        <w:tc>
          <w:tcPr>
            <w:tcW w:w="658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采购人名称：</w:t>
            </w:r>
            <w:r>
              <w:rPr>
                <w:rFonts w:hint="eastAsia" w:ascii="宋体" w:hAnsi="宋体" w:cs="宋体"/>
                <w:b w:val="0"/>
                <w:bCs/>
                <w:color w:val="000000"/>
                <w:kern w:val="0"/>
                <w:sz w:val="21"/>
                <w:szCs w:val="21"/>
                <w:lang w:val="en-US" w:eastAsia="zh-CN" w:bidi="ar-SA"/>
              </w:rPr>
              <w:t>新疆维吾尔自治区生态环境保护综合行政执法局</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联系人：</w:t>
            </w:r>
            <w:r>
              <w:rPr>
                <w:rFonts w:hint="eastAsia" w:ascii="宋体" w:hAnsi="宋体" w:cs="宋体"/>
                <w:b w:val="0"/>
                <w:bCs/>
                <w:color w:val="000000"/>
                <w:kern w:val="0"/>
                <w:sz w:val="21"/>
                <w:szCs w:val="21"/>
                <w:lang w:val="en-US" w:eastAsia="zh-CN" w:bidi="ar-SA"/>
              </w:rPr>
              <w:t>弥艳</w:t>
            </w:r>
            <w:r>
              <w:rPr>
                <w:rFonts w:hint="eastAsia" w:ascii="宋体" w:hAnsi="宋体" w:eastAsia="宋体" w:cs="宋体"/>
                <w:b w:val="0"/>
                <w:bCs/>
                <w:color w:val="000000"/>
                <w:kern w:val="0"/>
                <w:sz w:val="21"/>
                <w:szCs w:val="21"/>
                <w:lang w:val="en-US" w:eastAsia="zh-CN" w:bidi="ar-SA"/>
              </w:rPr>
              <w:t>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联系电话：</w:t>
            </w:r>
            <w:r>
              <w:rPr>
                <w:rFonts w:hint="eastAsia" w:ascii="宋体" w:hAnsi="宋体" w:cs="宋体"/>
                <w:b w:val="0"/>
                <w:bCs/>
                <w:color w:val="000000"/>
                <w:kern w:val="0"/>
                <w:sz w:val="21"/>
                <w:szCs w:val="21"/>
                <w:lang w:val="en-US" w:eastAsia="zh-CN" w:bidi="ar-SA"/>
              </w:rPr>
              <w:t>0991-2332563</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地址：</w:t>
            </w:r>
            <w:r>
              <w:rPr>
                <w:rFonts w:hint="eastAsia" w:ascii="宋体" w:hAnsi="宋体" w:cs="宋体"/>
                <w:b w:val="0"/>
                <w:bCs/>
                <w:color w:val="000000"/>
                <w:kern w:val="0"/>
                <w:sz w:val="21"/>
                <w:szCs w:val="21"/>
                <w:lang w:val="en-US" w:eastAsia="zh-CN" w:bidi="ar-SA"/>
              </w:rPr>
              <w:t>乌鲁木齐市天山区健康路221号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采购代理机构</w:t>
            </w:r>
          </w:p>
        </w:tc>
        <w:tc>
          <w:tcPr>
            <w:tcW w:w="658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5</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采购方式</w:t>
            </w:r>
          </w:p>
        </w:tc>
        <w:tc>
          <w:tcPr>
            <w:tcW w:w="658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公开招标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6</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采购内容</w:t>
            </w:r>
          </w:p>
        </w:tc>
        <w:tc>
          <w:tcPr>
            <w:tcW w:w="658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highlight w:val="none"/>
                <w:lang w:val="en-US" w:eastAsia="zh-CN" w:bidi="ar-SA"/>
              </w:rPr>
            </w:pPr>
            <w:r>
              <w:rPr>
                <w:rFonts w:hint="eastAsia"/>
                <w:color w:val="auto"/>
                <w:highlight w:val="none"/>
                <w:lang w:val="en-US" w:eastAsia="zh-CN"/>
              </w:rPr>
              <w:t>详见第三章 项目需求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7</w:t>
            </w:r>
          </w:p>
        </w:tc>
        <w:tc>
          <w:tcPr>
            <w:tcW w:w="2246" w:type="dxa"/>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资格审查方式</w:t>
            </w:r>
          </w:p>
        </w:tc>
        <w:tc>
          <w:tcPr>
            <w:tcW w:w="6583" w:type="dxa"/>
            <w:vAlign w:val="center"/>
          </w:tcPr>
          <w:p>
            <w:pPr>
              <w:pageBreakBefore w:val="0"/>
              <w:kinsoku/>
              <w:topLinePunct w:val="0"/>
              <w:autoSpaceDE w:val="0"/>
              <w:autoSpaceDN w:val="0"/>
              <w:bidi w:val="0"/>
              <w:spacing w:line="400" w:lineRule="exact"/>
              <w:ind w:left="0" w:leftChars="0" w:firstLine="0" w:firstLineChars="0"/>
              <w:rPr>
                <w:rFonts w:hint="default" w:ascii="宋体" w:hAnsi="宋体" w:eastAsia="宋体" w:cs="宋体"/>
                <w:kern w:val="2"/>
                <w:sz w:val="21"/>
                <w:szCs w:val="21"/>
                <w:lang w:val="en-US" w:eastAsia="zh-CN" w:bidi="ar-SA"/>
              </w:rPr>
            </w:pPr>
            <w:r>
              <w:rPr>
                <w:rFonts w:hint="eastAsia" w:ascii="宋体" w:hAnsi="宋体" w:cs="宋体"/>
                <w:sz w:val="21"/>
                <w:szCs w:val="21"/>
                <w:lang w:eastAsia="zh-CN"/>
              </w:rPr>
              <w:t>资格审查小组开标现场查验，详见招标文件第</w:t>
            </w:r>
            <w:r>
              <w:rPr>
                <w:rFonts w:hint="eastAsia" w:ascii="宋体" w:hAnsi="宋体" w:cs="宋体"/>
                <w:sz w:val="21"/>
                <w:szCs w:val="21"/>
                <w:lang w:val="en-US" w:eastAsia="zh-CN"/>
              </w:rPr>
              <w:t>13页“投标程序”。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8</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项目预算（最高限价）</w:t>
            </w:r>
          </w:p>
        </w:tc>
        <w:tc>
          <w:tcPr>
            <w:tcW w:w="658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zh-CN" w:eastAsia="zh-CN" w:bidi="ar-SA"/>
              </w:rPr>
              <w:t>金额（小写）：</w:t>
            </w:r>
            <w:r>
              <w:rPr>
                <w:rFonts w:hint="eastAsia" w:ascii="宋体" w:hAnsi="宋体" w:cs="宋体"/>
                <w:b w:val="0"/>
                <w:bCs/>
                <w:color w:val="000000"/>
                <w:kern w:val="0"/>
                <w:sz w:val="21"/>
                <w:szCs w:val="21"/>
                <w:lang w:val="en-US" w:eastAsia="zh-CN" w:bidi="ar-SA"/>
              </w:rPr>
              <w:t>2992000.00</w:t>
            </w:r>
            <w:r>
              <w:rPr>
                <w:rFonts w:hint="eastAsia" w:ascii="宋体" w:hAnsi="宋体" w:eastAsia="宋体" w:cs="宋体"/>
                <w:b w:val="0"/>
                <w:bCs/>
                <w:color w:val="000000"/>
                <w:kern w:val="0"/>
                <w:sz w:val="21"/>
                <w:szCs w:val="21"/>
                <w:lang w:val="en-US" w:eastAsia="zh-CN" w:bidi="ar-SA"/>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供货期要求</w:t>
            </w:r>
          </w:p>
        </w:tc>
        <w:tc>
          <w:tcPr>
            <w:tcW w:w="6583" w:type="dxa"/>
            <w:vAlign w:val="center"/>
          </w:tcPr>
          <w:p>
            <w:pPr>
              <w:pageBreakBefore w:val="0"/>
              <w:widowControl w:val="0"/>
              <w:kinsoku/>
              <w:wordWrap/>
              <w:overflowPunct/>
              <w:topLinePunct w:val="0"/>
              <w:autoSpaceDE/>
              <w:autoSpaceDN/>
              <w:bidi w:val="0"/>
              <w:spacing w:line="400" w:lineRule="exact"/>
              <w:ind w:left="0" w:leftChars="0" w:firstLine="0" w:firstLineChars="0"/>
              <w:rPr>
                <w:rFonts w:hint="eastAsia" w:ascii="宋体" w:hAnsi="宋体" w:eastAsia="宋体" w:cs="宋体"/>
                <w:b w:val="0"/>
                <w:bCs/>
                <w:color w:val="000000"/>
                <w:kern w:val="0"/>
                <w:sz w:val="21"/>
                <w:szCs w:val="21"/>
                <w:highlight w:val="none"/>
                <w:lang w:val="zh-CN" w:eastAsia="zh-CN" w:bidi="ar-SA"/>
              </w:rPr>
            </w:pPr>
            <w:r>
              <w:rPr>
                <w:rFonts w:hint="eastAsia" w:ascii="宋体" w:hAnsi="宋体" w:eastAsia="宋体" w:cs="宋体"/>
                <w:b w:val="0"/>
                <w:bCs/>
                <w:color w:val="000000"/>
                <w:kern w:val="0"/>
                <w:sz w:val="21"/>
                <w:szCs w:val="21"/>
                <w:highlight w:val="none"/>
                <w:lang w:val="zh-CN" w:eastAsia="zh-CN" w:bidi="ar-SA"/>
              </w:rPr>
              <w:t>自合同签订60天起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10</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质保期</w:t>
            </w:r>
          </w:p>
        </w:tc>
        <w:tc>
          <w:tcPr>
            <w:tcW w:w="6583" w:type="dxa"/>
            <w:vAlign w:val="center"/>
          </w:tcPr>
          <w:p>
            <w:pPr>
              <w:pageBreakBefore w:val="0"/>
              <w:widowControl w:val="0"/>
              <w:kinsoku/>
              <w:wordWrap/>
              <w:overflowPunct/>
              <w:topLinePunct w:val="0"/>
              <w:autoSpaceDE/>
              <w:autoSpaceDN/>
              <w:bidi w:val="0"/>
              <w:spacing w:line="400" w:lineRule="exact"/>
              <w:ind w:left="0" w:leftChars="0" w:firstLine="0" w:firstLineChars="0"/>
              <w:rPr>
                <w:rFonts w:hint="eastAsia" w:ascii="宋体" w:hAnsi="宋体" w:eastAsia="宋体" w:cs="宋体"/>
                <w:b w:val="0"/>
                <w:bCs/>
                <w:color w:val="000000"/>
                <w:kern w:val="0"/>
                <w:sz w:val="21"/>
                <w:szCs w:val="21"/>
                <w:highlight w:val="none"/>
                <w:lang w:val="zh-CN" w:eastAsia="zh-CN" w:bidi="ar-SA"/>
              </w:rPr>
            </w:pPr>
            <w:r>
              <w:rPr>
                <w:rFonts w:hint="eastAsia"/>
              </w:rPr>
              <w:t>两年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11</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付款方式</w:t>
            </w:r>
          </w:p>
        </w:tc>
        <w:tc>
          <w:tcPr>
            <w:tcW w:w="658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kern w:val="0"/>
                <w:sz w:val="21"/>
                <w:szCs w:val="21"/>
                <w:highlight w:val="none"/>
                <w:lang w:val="zh-CN" w:eastAsia="zh-CN" w:bidi="ar-SA"/>
              </w:rPr>
            </w:pPr>
            <w:r>
              <w:rPr>
                <w:rFonts w:hint="eastAsia" w:ascii="宋体" w:hAnsi="宋体" w:eastAsia="宋体" w:cs="宋体"/>
                <w:b w:val="0"/>
                <w:bCs/>
                <w:color w:val="auto"/>
                <w:kern w:val="0"/>
                <w:sz w:val="21"/>
                <w:szCs w:val="21"/>
                <w:highlight w:val="none"/>
                <w:lang w:val="zh-CN" w:eastAsia="zh-CN" w:bidi="ar-SA"/>
              </w:rPr>
              <w:t>合同签订之日支付合同金额的</w:t>
            </w:r>
            <w:r>
              <w:rPr>
                <w:rFonts w:hint="eastAsia" w:ascii="宋体" w:hAnsi="宋体" w:cs="宋体"/>
                <w:b w:val="0"/>
                <w:bCs/>
                <w:color w:val="auto"/>
                <w:kern w:val="0"/>
                <w:sz w:val="21"/>
                <w:szCs w:val="21"/>
                <w:highlight w:val="none"/>
                <w:lang w:val="en-US" w:eastAsia="zh-CN" w:bidi="ar-SA"/>
              </w:rPr>
              <w:t>6</w:t>
            </w:r>
            <w:r>
              <w:rPr>
                <w:rFonts w:hint="eastAsia" w:ascii="宋体" w:hAnsi="宋体" w:eastAsia="宋体" w:cs="宋体"/>
                <w:b w:val="0"/>
                <w:bCs/>
                <w:color w:val="auto"/>
                <w:kern w:val="0"/>
                <w:sz w:val="21"/>
                <w:szCs w:val="21"/>
                <w:highlight w:val="none"/>
                <w:lang w:val="zh-CN" w:eastAsia="zh-CN" w:bidi="ar-SA"/>
              </w:rPr>
              <w:t>0%，设备到货验收合格后付合同总金额的</w:t>
            </w:r>
            <w:r>
              <w:rPr>
                <w:rFonts w:hint="eastAsia" w:ascii="宋体" w:hAnsi="宋体" w:cs="宋体"/>
                <w:b w:val="0"/>
                <w:bCs/>
                <w:color w:val="auto"/>
                <w:kern w:val="0"/>
                <w:sz w:val="21"/>
                <w:szCs w:val="21"/>
                <w:highlight w:val="none"/>
                <w:lang w:val="en-US" w:eastAsia="zh-CN" w:bidi="ar-SA"/>
              </w:rPr>
              <w:t>35</w:t>
            </w:r>
            <w:r>
              <w:rPr>
                <w:rFonts w:hint="eastAsia" w:ascii="宋体" w:hAnsi="宋体" w:eastAsia="宋体" w:cs="宋体"/>
                <w:b w:val="0"/>
                <w:bCs/>
                <w:color w:val="auto"/>
                <w:kern w:val="0"/>
                <w:sz w:val="21"/>
                <w:szCs w:val="21"/>
                <w:highlight w:val="none"/>
                <w:lang w:val="zh-CN" w:eastAsia="zh-CN" w:bidi="ar-SA"/>
              </w:rPr>
              <w:t>%，项目验收合格一年质保到期后支付合同总金额的</w:t>
            </w:r>
            <w:r>
              <w:rPr>
                <w:rFonts w:hint="eastAsia" w:ascii="宋体" w:hAnsi="宋体" w:cs="宋体"/>
                <w:b w:val="0"/>
                <w:bCs/>
                <w:color w:val="auto"/>
                <w:kern w:val="0"/>
                <w:sz w:val="21"/>
                <w:szCs w:val="21"/>
                <w:highlight w:val="none"/>
                <w:lang w:val="en-US" w:eastAsia="zh-CN" w:bidi="ar-SA"/>
              </w:rPr>
              <w:t>5</w:t>
            </w:r>
            <w:r>
              <w:rPr>
                <w:rFonts w:hint="eastAsia" w:ascii="宋体" w:hAnsi="宋体" w:eastAsia="宋体" w:cs="宋体"/>
                <w:b w:val="0"/>
                <w:bCs/>
                <w:color w:val="auto"/>
                <w:kern w:val="0"/>
                <w:sz w:val="21"/>
                <w:szCs w:val="21"/>
                <w:highlight w:val="none"/>
                <w:lang w:val="zh-CN"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12</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质量标准</w:t>
            </w:r>
          </w:p>
        </w:tc>
        <w:tc>
          <w:tcPr>
            <w:tcW w:w="6583" w:type="dxa"/>
            <w:vAlign w:val="center"/>
          </w:tcPr>
          <w:p>
            <w:pPr>
              <w:pageBreakBefore w:val="0"/>
              <w:kinsoku/>
              <w:wordWrap w:val="0"/>
              <w:topLinePunct w:val="0"/>
              <w:bidi w:val="0"/>
              <w:spacing w:line="400" w:lineRule="exact"/>
              <w:ind w:left="0" w:leftChars="0" w:firstLine="0" w:firstLineChars="0"/>
              <w:jc w:val="left"/>
              <w:rPr>
                <w:rFonts w:hint="eastAsia" w:ascii="宋体" w:hAnsi="宋体" w:eastAsia="宋体" w:cs="宋体"/>
                <w:b w:val="0"/>
                <w:bCs/>
                <w:color w:val="000000"/>
                <w:kern w:val="0"/>
                <w:sz w:val="21"/>
                <w:szCs w:val="21"/>
                <w:lang w:val="zh-CN" w:eastAsia="zh-CN" w:bidi="ar-SA"/>
              </w:rPr>
            </w:pPr>
            <w:r>
              <w:rPr>
                <w:rFonts w:hint="eastAsia" w:ascii="宋体" w:hAnsi="宋体" w:eastAsia="宋体" w:cs="宋体"/>
                <w:b w:val="0"/>
                <w:bCs/>
                <w:color w:val="auto"/>
                <w:sz w:val="21"/>
                <w:szCs w:val="21"/>
                <w:highlight w:val="none"/>
              </w:rPr>
              <w:t>合格</w:t>
            </w:r>
            <w:r>
              <w:rPr>
                <w:rFonts w:hint="eastAsia" w:ascii="宋体" w:hAnsi="宋体" w:eastAsia="宋体" w:cs="宋体"/>
                <w:b w:val="0"/>
                <w:bCs/>
                <w:color w:val="auto"/>
                <w:sz w:val="21"/>
                <w:szCs w:val="21"/>
                <w:highlight w:val="none"/>
                <w:lang w:eastAsia="zh-CN"/>
              </w:rPr>
              <w:t>（通过采购人及有关部门组织的项目验收）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13</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供应商资格条件</w:t>
            </w:r>
          </w:p>
        </w:tc>
        <w:tc>
          <w:tcPr>
            <w:tcW w:w="6583" w:type="dxa"/>
            <w:vAlign w:val="center"/>
          </w:tcPr>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1、满足《中华人民共和国政府采购法》第二十二条规定；</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（1）具有独立承担民事责任的能力；</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（2）具有良好的商业信誉和健全的财务会计制度；</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（3）具有履行合同所必需的设备和专业技术能力；</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（4）有依法缴纳税收和社会保障资金的良好记录；</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（5）参加政府采购活动前三年内，在经营活动中没有重大违法记录；</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（6）法律、行政法规规定的其他条件。</w:t>
            </w:r>
          </w:p>
          <w:p>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、投标人需</w:t>
            </w:r>
            <w:r>
              <w:rPr>
                <w:rFonts w:hint="eastAsia" w:ascii="宋体" w:hAnsi="宋体" w:eastAsia="宋体" w:cs="宋体"/>
                <w:color w:val="auto"/>
                <w:kern w:val="2"/>
                <w:sz w:val="21"/>
                <w:szCs w:val="21"/>
                <w:highlight w:val="none"/>
                <w:lang w:val="en-US" w:eastAsia="zh-CN" w:bidi="ar-SA"/>
              </w:rPr>
              <w:t>通过</w:t>
            </w:r>
            <w:r>
              <w:rPr>
                <w:rFonts w:hint="eastAsia" w:ascii="宋体" w:hAnsi="宋体" w:eastAsia="宋体" w:cs="宋体"/>
                <w:color w:val="000000"/>
                <w:sz w:val="21"/>
                <w:szCs w:val="21"/>
              </w:rPr>
              <w:t>在</w:t>
            </w:r>
            <w:r>
              <w:rPr>
                <w:rFonts w:hint="eastAsia" w:ascii="宋体" w:hAnsi="宋体" w:eastAsia="宋体" w:cs="宋体"/>
                <w:color w:val="auto"/>
                <w:kern w:val="2"/>
                <w:sz w:val="21"/>
                <w:szCs w:val="21"/>
                <w:highlight w:val="none"/>
                <w:lang w:val="en-US" w:eastAsia="zh-CN"/>
              </w:rPr>
              <w:t>“信用中国”（www.creditchina.gov.cn）网站上未被列入失信被执行人、</w:t>
            </w:r>
            <w:r>
              <w:rPr>
                <w:rFonts w:hint="eastAsia" w:ascii="宋体" w:hAnsi="宋体" w:cs="宋体"/>
                <w:color w:val="auto"/>
                <w:kern w:val="2"/>
                <w:sz w:val="21"/>
                <w:szCs w:val="21"/>
                <w:highlight w:val="none"/>
                <w:lang w:val="en-US" w:eastAsia="zh-CN"/>
              </w:rPr>
              <w:t>重大税收违法失信主体</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政府采购严重违法失信行为记录名单</w:t>
            </w:r>
            <w:r>
              <w:rPr>
                <w:rFonts w:hint="eastAsia" w:ascii="宋体" w:hAnsi="宋体" w:eastAsia="宋体" w:cs="宋体"/>
                <w:color w:val="auto"/>
                <w:kern w:val="2"/>
                <w:sz w:val="21"/>
                <w:szCs w:val="21"/>
                <w:highlight w:val="none"/>
                <w:lang w:val="en-US" w:eastAsia="zh-CN"/>
              </w:rPr>
              <w:t>和中国政府采购网（www.ccgp.gov.cn）网站上未被列入政府采购严重违法失信行为记录名单的网页打印件（网页打印件须自招标公告发布之日起至投标截止时间从上述网站中打印）。被列入以上条款尚在处罚期内的将拒绝其参本次采购活动；</w:t>
            </w:r>
          </w:p>
          <w:p>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供应商在人员、设备、资金等方面具有完成本项目的相应服务能力；</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、单位负责人为同一人或者存在直接控股、管理关系的不同供应商，不得同时参加本项目的投标。</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、投标人不得以其他公司资质投标或中标后转包。如发现执行开发的公司并非中标公司，则采购人有权终止合作，并向中标人追索由此造成的一切损失。</w:t>
            </w:r>
          </w:p>
          <w:p>
            <w:pPr>
              <w:pStyle w:val="37"/>
              <w:widowControl/>
              <w:kinsoku/>
              <w:wordWrap/>
              <w:topLinePunct w:val="0"/>
              <w:bidi w:val="0"/>
              <w:spacing w:before="0" w:beforeAutospacing="0" w:after="0" w:afterAutospacing="0" w:line="400" w:lineRule="exact"/>
              <w:ind w:left="0" w:leftChars="0" w:right="0" w:rightChars="0" w:firstLine="420" w:firstLineChars="200"/>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14</w:t>
            </w:r>
          </w:p>
        </w:tc>
        <w:tc>
          <w:tcPr>
            <w:tcW w:w="2246" w:type="dxa"/>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sz w:val="21"/>
                <w:szCs w:val="21"/>
              </w:rPr>
              <w:t>投标人不得存在的其他情形</w:t>
            </w:r>
          </w:p>
        </w:tc>
        <w:tc>
          <w:tcPr>
            <w:tcW w:w="6583" w:type="dxa"/>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15</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联合体投标    </w:t>
            </w:r>
          </w:p>
        </w:tc>
        <w:tc>
          <w:tcPr>
            <w:tcW w:w="658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16</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备选方案</w:t>
            </w:r>
          </w:p>
        </w:tc>
        <w:tc>
          <w:tcPr>
            <w:tcW w:w="658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17</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cyan"/>
                <w:lang w:eastAsia="zh-CN"/>
              </w:rPr>
            </w:pPr>
            <w:r>
              <w:rPr>
                <w:rFonts w:hint="eastAsia" w:ascii="宋体" w:hAnsi="宋体" w:eastAsia="宋体" w:cs="宋体"/>
                <w:b w:val="0"/>
                <w:bCs/>
                <w:color w:val="auto"/>
                <w:sz w:val="21"/>
                <w:szCs w:val="21"/>
                <w:highlight w:val="none"/>
              </w:rPr>
              <w:t>响应文件递交截止时间</w:t>
            </w:r>
            <w:r>
              <w:rPr>
                <w:rFonts w:hint="eastAsia" w:ascii="宋体" w:hAnsi="宋体" w:eastAsia="宋体" w:cs="宋体"/>
                <w:b w:val="0"/>
                <w:bCs/>
                <w:color w:val="auto"/>
                <w:sz w:val="21"/>
                <w:szCs w:val="21"/>
                <w:highlight w:val="none"/>
                <w:lang w:eastAsia="zh-CN"/>
              </w:rPr>
              <w:t>及开标时间</w:t>
            </w:r>
          </w:p>
        </w:tc>
        <w:tc>
          <w:tcPr>
            <w:tcW w:w="658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cyan"/>
              </w:rPr>
            </w:pPr>
            <w:r>
              <w:rPr>
                <w:rStyle w:val="44"/>
                <w:rFonts w:hint="eastAsia" w:ascii="宋体" w:hAnsi="宋体" w:cs="宋体"/>
                <w:b w:val="0"/>
                <w:bCs w:val="0"/>
                <w:color w:val="auto"/>
                <w:kern w:val="0"/>
                <w:sz w:val="21"/>
                <w:szCs w:val="21"/>
                <w:highlight w:val="none"/>
                <w:lang w:val="en-US" w:eastAsia="zh-CN" w:bidi="ar-SA"/>
              </w:rPr>
              <w:t>2023年4月10日16点00分</w:t>
            </w:r>
            <w:r>
              <w:rPr>
                <w:rStyle w:val="44"/>
                <w:rFonts w:hint="eastAsia" w:ascii="宋体" w:hAnsi="宋体" w:eastAsia="宋体" w:cs="宋体"/>
                <w:b w:val="0"/>
                <w:bCs w:val="0"/>
                <w:color w:val="auto"/>
                <w:kern w:val="0"/>
                <w:sz w:val="21"/>
                <w:szCs w:val="21"/>
                <w:highlight w:val="none"/>
                <w:lang w:val="en-US" w:eastAsia="zh-CN" w:bidi="ar-SA"/>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18</w:t>
            </w:r>
          </w:p>
        </w:tc>
        <w:tc>
          <w:tcPr>
            <w:tcW w:w="2246"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响应文件递交截止</w:t>
            </w:r>
            <w:r>
              <w:rPr>
                <w:rFonts w:hint="eastAsia" w:ascii="宋体" w:hAnsi="宋体" w:eastAsia="宋体" w:cs="宋体"/>
                <w:b w:val="0"/>
                <w:bCs/>
                <w:color w:val="auto"/>
                <w:sz w:val="21"/>
                <w:szCs w:val="21"/>
                <w:highlight w:val="none"/>
                <w:lang w:eastAsia="zh-CN"/>
              </w:rPr>
              <w:t>地点及开标地点</w:t>
            </w:r>
          </w:p>
        </w:tc>
        <w:tc>
          <w:tcPr>
            <w:tcW w:w="6583" w:type="dxa"/>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000000"/>
                <w:kern w:val="0"/>
                <w:sz w:val="21"/>
                <w:szCs w:val="21"/>
                <w:lang w:val="en-US" w:eastAsia="zh-CN" w:bidi="ar-SA"/>
              </w:rPr>
              <w:t>乌鲁木齐水磨沟区红光山路万科大都会8号楼1202室</w:t>
            </w: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19</w:t>
            </w:r>
          </w:p>
        </w:tc>
        <w:tc>
          <w:tcPr>
            <w:tcW w:w="2246" w:type="dxa"/>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小组的组建及评审专家的确定方式</w:t>
            </w:r>
          </w:p>
        </w:tc>
        <w:tc>
          <w:tcPr>
            <w:tcW w:w="6583" w:type="dxa"/>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招标采购单位依法组建</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小组共</w:t>
            </w:r>
            <w:r>
              <w:rPr>
                <w:rFonts w:hint="eastAsia" w:ascii="宋体" w:hAns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rPr>
              <w:t>人组成，其中采购人代表</w:t>
            </w:r>
            <w:r>
              <w:rPr>
                <w:rFonts w:hint="eastAsia" w:ascii="宋体" w:hAnsi="宋体" w:eastAsia="宋体" w:cs="宋体"/>
                <w:b w:val="0"/>
                <w:bCs/>
                <w:color w:val="auto"/>
                <w:sz w:val="21"/>
                <w:szCs w:val="21"/>
                <w:highlight w:val="none"/>
                <w:lang w:eastAsia="zh-CN"/>
              </w:rPr>
              <w:t>不得超过投标小组的三分之一</w:t>
            </w:r>
            <w:r>
              <w:rPr>
                <w:rFonts w:hint="eastAsia" w:ascii="宋体" w:hAnsi="宋体" w:eastAsia="宋体" w:cs="宋体"/>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小组确定方式：从采购专家库中随机抽取确定。 </w:t>
            </w:r>
            <w:r>
              <w:rPr>
                <w:rFonts w:hint="eastAsia" w:ascii="宋体" w:hAnsi="宋体" w:eastAsia="宋体" w:cs="宋体"/>
                <w:b w:val="0"/>
                <w:bCs/>
                <w:color w:val="FF0000"/>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20</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评审办法</w:t>
            </w:r>
          </w:p>
        </w:tc>
        <w:tc>
          <w:tcPr>
            <w:tcW w:w="6583"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综合评分法，即指</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满足</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文件全部实质性要求且按照评审因素的量化指标评审得分最高的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为中标候选人的评标方法。每一</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21</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有效期</w:t>
            </w:r>
          </w:p>
        </w:tc>
        <w:tc>
          <w:tcPr>
            <w:tcW w:w="6583" w:type="dxa"/>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9</w:t>
            </w:r>
            <w:r>
              <w:rPr>
                <w:rFonts w:hint="eastAsia" w:ascii="宋体" w:hAnsi="宋体" w:eastAsia="宋体" w:cs="宋体"/>
                <w:b w:val="0"/>
                <w:bCs/>
                <w:color w:val="auto"/>
                <w:sz w:val="21"/>
                <w:szCs w:val="21"/>
                <w:highlight w:val="none"/>
                <w:u w:val="single"/>
              </w:rPr>
              <w:t xml:space="preserve">0 </w:t>
            </w:r>
            <w:r>
              <w:rPr>
                <w:rFonts w:hint="eastAsia" w:ascii="宋体" w:hAnsi="宋体" w:eastAsia="宋体" w:cs="宋体"/>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w:t>
            </w:r>
          </w:p>
        </w:tc>
        <w:tc>
          <w:tcPr>
            <w:tcW w:w="2246"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投标预备会</w:t>
            </w:r>
          </w:p>
        </w:tc>
        <w:tc>
          <w:tcPr>
            <w:tcW w:w="6583" w:type="dxa"/>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23</w:t>
            </w:r>
          </w:p>
        </w:tc>
        <w:tc>
          <w:tcPr>
            <w:tcW w:w="2246"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踏勘现场</w:t>
            </w:r>
          </w:p>
        </w:tc>
        <w:tc>
          <w:tcPr>
            <w:tcW w:w="6583" w:type="dxa"/>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24</w:t>
            </w:r>
          </w:p>
        </w:tc>
        <w:tc>
          <w:tcPr>
            <w:tcW w:w="2246"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资料</w:t>
            </w:r>
            <w:r>
              <w:rPr>
                <w:rFonts w:hint="eastAsia" w:ascii="宋体" w:hAnsi="宋体" w:eastAsia="宋体" w:cs="宋体"/>
                <w:b w:val="0"/>
                <w:bCs/>
                <w:color w:val="auto"/>
                <w:sz w:val="21"/>
                <w:szCs w:val="21"/>
                <w:highlight w:val="none"/>
                <w:lang w:val="en-US" w:eastAsia="zh-CN"/>
              </w:rPr>
              <w:t>备查</w:t>
            </w:r>
          </w:p>
        </w:tc>
        <w:tc>
          <w:tcPr>
            <w:tcW w:w="6583" w:type="dxa"/>
            <w:vAlign w:val="center"/>
          </w:tcPr>
          <w:p>
            <w:pPr>
              <w:pageBreakBefore w:val="0"/>
              <w:widowControl/>
              <w:kinsoku/>
              <w:topLinePunct w:val="0"/>
              <w:bidi w:val="0"/>
              <w:spacing w:line="400" w:lineRule="exact"/>
              <w:ind w:left="0" w:leftChars="0" w:firstLine="0" w:firstLineChars="0"/>
              <w:jc w:val="left"/>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开标会现场需</w:t>
            </w:r>
            <w:r>
              <w:rPr>
                <w:rFonts w:hint="eastAsia" w:ascii="宋体" w:hAnsi="宋体" w:cs="宋体"/>
                <w:b w:val="0"/>
                <w:bCs/>
                <w:color w:val="auto"/>
                <w:sz w:val="21"/>
                <w:szCs w:val="21"/>
                <w:highlight w:val="none"/>
                <w:lang w:val="en-US" w:eastAsia="zh-CN"/>
              </w:rPr>
              <w:t>提供</w:t>
            </w:r>
            <w:r>
              <w:rPr>
                <w:rFonts w:hint="eastAsia" w:ascii="宋体" w:hAnsi="宋体" w:eastAsia="宋体" w:cs="宋体"/>
                <w:b w:val="0"/>
                <w:bCs/>
                <w:color w:val="auto"/>
                <w:sz w:val="21"/>
                <w:szCs w:val="21"/>
                <w:highlight w:val="none"/>
              </w:rPr>
              <w:t>以下</w:t>
            </w:r>
            <w:r>
              <w:rPr>
                <w:rFonts w:hint="eastAsia" w:ascii="宋体" w:hAnsi="宋体" w:eastAsia="宋体" w:cs="宋体"/>
                <w:b w:val="0"/>
                <w:bCs/>
                <w:color w:val="auto"/>
                <w:sz w:val="21"/>
                <w:szCs w:val="21"/>
                <w:highlight w:val="none"/>
                <w:lang w:val="en-US" w:eastAsia="zh-CN"/>
              </w:rPr>
              <w:t>资料备查</w:t>
            </w:r>
            <w:r>
              <w:rPr>
                <w:rFonts w:hint="eastAsia" w:ascii="宋体" w:hAnsi="宋体" w:cs="宋体"/>
                <w:b w:val="0"/>
                <w:bCs/>
                <w:color w:val="auto"/>
                <w:sz w:val="21"/>
                <w:szCs w:val="21"/>
                <w:highlight w:val="none"/>
                <w:lang w:val="en-US" w:eastAsia="zh-CN"/>
              </w:rPr>
              <w:t>，备查资料为加盖公章的PDF扫描件。</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（1）营业执照（三证合一）；</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（2）投标方</w:t>
            </w:r>
            <w:r>
              <w:rPr>
                <w:rFonts w:hint="eastAsia" w:ascii="宋体" w:hAnsi="宋体" w:eastAsia="宋体" w:cs="宋体"/>
                <w:b w:val="0"/>
                <w:bCs/>
                <w:color w:val="auto"/>
                <w:sz w:val="21"/>
                <w:szCs w:val="21"/>
                <w:highlight w:val="none"/>
                <w:lang w:eastAsia="zh-CN"/>
              </w:rPr>
              <w:t>为</w:t>
            </w:r>
            <w:r>
              <w:rPr>
                <w:rFonts w:hint="eastAsia" w:ascii="宋体" w:hAnsi="宋体" w:eastAsia="宋体" w:cs="宋体"/>
                <w:b w:val="0"/>
                <w:bCs/>
                <w:color w:val="auto"/>
                <w:sz w:val="21"/>
                <w:szCs w:val="21"/>
                <w:highlight w:val="none"/>
              </w:rPr>
              <w:t>法人投标需携带法人授权委托书原件及被授权人身份证原件或法人身份证明书</w:t>
            </w:r>
            <w:r>
              <w:rPr>
                <w:rFonts w:hint="eastAsia" w:ascii="宋体" w:hAnsi="宋体" w:eastAsia="宋体" w:cs="宋体"/>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SA"/>
              </w:rPr>
              <w:t>）投标保证金交纳凭证。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25</w:t>
            </w:r>
          </w:p>
        </w:tc>
        <w:tc>
          <w:tcPr>
            <w:tcW w:w="2246" w:type="dxa"/>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投标文件组成</w:t>
            </w:r>
          </w:p>
        </w:tc>
        <w:tc>
          <w:tcPr>
            <w:tcW w:w="6583" w:type="dxa"/>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本次开标：线</w:t>
            </w:r>
            <w:r>
              <w:rPr>
                <w:rFonts w:hint="eastAsia" w:ascii="宋体" w:hAnsi="宋体" w:cs="宋体"/>
                <w:b w:val="0"/>
                <w:bCs/>
                <w:color w:val="auto"/>
                <w:sz w:val="21"/>
                <w:szCs w:val="21"/>
                <w:highlight w:val="none"/>
                <w:lang w:val="en-US" w:eastAsia="zh-CN"/>
              </w:rPr>
              <w:t>上电子</w:t>
            </w:r>
            <w:r>
              <w:rPr>
                <w:rFonts w:hint="eastAsia" w:ascii="宋体" w:hAnsi="宋体" w:eastAsia="宋体" w:cs="宋体"/>
                <w:b w:val="0"/>
                <w:bCs/>
                <w:color w:val="auto"/>
                <w:sz w:val="21"/>
                <w:szCs w:val="21"/>
                <w:highlight w:val="none"/>
                <w:lang w:val="en-US" w:eastAsia="zh-CN"/>
              </w:rPr>
              <w:t>投标。投标人编制、提交的投标文件，须符合本项目采购文件要求的投标文件编制和提交要求。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响应文件的装订及密封要求：</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cs="宋体"/>
                <w:color w:val="auto"/>
                <w:sz w:val="21"/>
                <w:szCs w:val="21"/>
                <w:highlight w:val="none"/>
                <w:lang w:val="en-US" w:eastAsia="zh-CN"/>
              </w:rPr>
              <w:t>按政采云平台要求。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6</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eastAsia="zh-CN"/>
              </w:rPr>
              <w:t>投标</w:t>
            </w:r>
            <w:r>
              <w:rPr>
                <w:rFonts w:hint="eastAsia" w:ascii="宋体" w:hAnsi="宋体" w:eastAsia="宋体" w:cs="宋体"/>
                <w:b/>
                <w:bCs w:val="0"/>
                <w:color w:val="auto"/>
                <w:sz w:val="21"/>
                <w:szCs w:val="21"/>
                <w:highlight w:val="none"/>
              </w:rPr>
              <w:t>保证金</w:t>
            </w:r>
          </w:p>
        </w:tc>
        <w:tc>
          <w:tcPr>
            <w:tcW w:w="658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金额（小写）</w:t>
            </w:r>
            <w:r>
              <w:rPr>
                <w:rFonts w:hint="eastAsia" w:ascii="宋体" w:hAnsi="宋体" w:cs="宋体"/>
                <w:b w:val="0"/>
                <w:bCs/>
                <w:color w:val="auto"/>
                <w:sz w:val="21"/>
                <w:szCs w:val="21"/>
                <w:highlight w:val="none"/>
                <w:lang w:val="en-US" w:eastAsia="zh-CN"/>
              </w:rPr>
              <w:t>29920</w:t>
            </w:r>
            <w:r>
              <w:rPr>
                <w:rFonts w:hint="eastAsia" w:ascii="宋体" w:hAnsi="宋体" w:eastAsia="宋体" w:cs="宋体"/>
                <w:b w:val="0"/>
                <w:bCs/>
                <w:color w:val="auto"/>
                <w:sz w:val="21"/>
                <w:szCs w:val="21"/>
                <w:highlight w:val="none"/>
                <w:lang w:val="en-US" w:eastAsia="zh-CN"/>
              </w:rPr>
              <w:t>.00</w:t>
            </w:r>
            <w:r>
              <w:rPr>
                <w:rFonts w:hint="eastAsia" w:ascii="宋体" w:hAnsi="宋体" w:eastAsia="宋体" w:cs="宋体"/>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金额（大写）：</w:t>
            </w:r>
            <w:r>
              <w:rPr>
                <w:rFonts w:hint="eastAsia" w:ascii="宋体" w:hAnsi="宋体" w:cs="宋体"/>
                <w:b w:val="0"/>
                <w:bCs/>
                <w:color w:val="auto"/>
                <w:sz w:val="21"/>
                <w:szCs w:val="21"/>
                <w:highlight w:val="none"/>
                <w:lang w:val="en-US" w:eastAsia="zh-CN"/>
              </w:rPr>
              <w:t>贰万玖仟玖佰贰拾元整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备注项目</w:t>
            </w:r>
            <w:r>
              <w:rPr>
                <w:rFonts w:hint="eastAsia" w:ascii="宋体" w:hAnsi="宋体" w:eastAsia="宋体" w:cs="宋体"/>
                <w:b w:val="0"/>
                <w:bCs/>
                <w:color w:val="auto"/>
                <w:sz w:val="21"/>
                <w:szCs w:val="21"/>
                <w:highlight w:val="none"/>
                <w:lang w:eastAsia="zh-CN"/>
              </w:rPr>
              <w:t>编号、项目</w:t>
            </w:r>
            <w:r>
              <w:rPr>
                <w:rFonts w:hint="eastAsia" w:ascii="宋体" w:hAnsi="宋体" w:eastAsia="宋体" w:cs="宋体"/>
                <w:b w:val="0"/>
                <w:bCs/>
                <w:color w:val="auto"/>
                <w:sz w:val="21"/>
                <w:szCs w:val="21"/>
                <w:highlight w:val="none"/>
              </w:rPr>
              <w:t>名称</w:t>
            </w:r>
            <w:r>
              <w:rPr>
                <w:rFonts w:hint="eastAsia" w:ascii="宋体" w:hAnsi="宋体" w:eastAsia="宋体" w:cs="宋体"/>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开户名称：</w:t>
            </w:r>
            <w:r>
              <w:rPr>
                <w:rFonts w:hint="eastAsia" w:ascii="宋体" w:hAnsi="宋体" w:eastAsia="宋体" w:cs="宋体"/>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开户行：</w:t>
            </w:r>
            <w:r>
              <w:rPr>
                <w:rFonts w:hint="eastAsia" w:ascii="宋体" w:hAnsi="宋体" w:eastAsia="宋体" w:cs="宋体"/>
                <w:b w:val="0"/>
                <w:bCs/>
                <w:color w:val="auto"/>
                <w:sz w:val="21"/>
                <w:szCs w:val="21"/>
                <w:highlight w:val="none"/>
                <w:lang w:eastAsia="zh-CN"/>
              </w:rPr>
              <w:t>交通银行股份有限公司乌鲁木齐大西门支行</w:t>
            </w:r>
            <w:r>
              <w:rPr>
                <w:rFonts w:hint="eastAsia" w:ascii="宋体" w:hAnsi="宋体" w:eastAsia="宋体" w:cs="宋体"/>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   号：</w:t>
            </w:r>
            <w:r>
              <w:rPr>
                <w:rFonts w:hint="eastAsia" w:ascii="宋体" w:hAnsi="宋体" w:eastAsia="宋体" w:cs="宋体"/>
                <w:b w:val="0"/>
                <w:bCs/>
                <w:color w:val="auto"/>
                <w:sz w:val="21"/>
                <w:szCs w:val="21"/>
                <w:highlight w:val="none"/>
                <w:lang w:val="en-US" w:eastAsia="zh-CN"/>
              </w:rPr>
              <w:t>6516 5100 1013 0007 14104</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必须</w:t>
            </w:r>
            <w:r>
              <w:rPr>
                <w:rFonts w:hint="eastAsia" w:ascii="宋体" w:hAnsi="宋体" w:eastAsia="宋体" w:cs="宋体"/>
                <w:b w:val="0"/>
                <w:bCs/>
                <w:color w:val="auto"/>
                <w:sz w:val="21"/>
                <w:szCs w:val="21"/>
                <w:highlight w:val="none"/>
                <w:lang w:eastAsia="zh-CN"/>
              </w:rPr>
              <w:t>投标截止时间前</w:t>
            </w:r>
            <w:r>
              <w:rPr>
                <w:rFonts w:hint="eastAsia" w:ascii="宋体" w:hAnsi="宋体" w:eastAsia="宋体" w:cs="宋体"/>
                <w:b w:val="0"/>
                <w:bCs/>
                <w:color w:val="auto"/>
                <w:sz w:val="21"/>
                <w:szCs w:val="21"/>
                <w:highlight w:val="none"/>
              </w:rPr>
              <w:t>完成保证金缴纳工作。</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27</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履约保证金</w:t>
            </w:r>
          </w:p>
        </w:tc>
        <w:tc>
          <w:tcPr>
            <w:tcW w:w="6583" w:type="dxa"/>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履约</w:t>
            </w:r>
            <w:r>
              <w:rPr>
                <w:rFonts w:hint="eastAsia" w:ascii="宋体" w:hAnsi="宋体" w:eastAsia="宋体" w:cs="宋体"/>
                <w:b w:val="0"/>
                <w:bCs/>
                <w:color w:val="auto"/>
                <w:sz w:val="21"/>
                <w:szCs w:val="21"/>
                <w:highlight w:val="none"/>
              </w:rPr>
              <w:t xml:space="preserve">保证金金额：合同金额的 </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履约保证金递交：中标单位收到《</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通知书》</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签订合同</w:t>
            </w:r>
            <w:r>
              <w:rPr>
                <w:rFonts w:hint="eastAsia" w:ascii="宋体" w:hAnsi="宋体" w:eastAsia="宋体" w:cs="宋体"/>
                <w:b w:val="0"/>
                <w:bCs/>
                <w:color w:val="auto"/>
                <w:sz w:val="21"/>
                <w:szCs w:val="21"/>
                <w:highlight w:val="none"/>
                <w:lang w:val="en-US" w:eastAsia="zh-CN"/>
              </w:rPr>
              <w:t>前</w:t>
            </w:r>
            <w:r>
              <w:rPr>
                <w:rFonts w:hint="eastAsia" w:ascii="宋体" w:hAnsi="宋体" w:eastAsia="宋体" w:cs="宋体"/>
                <w:b w:val="0"/>
                <w:bCs/>
                <w:color w:val="auto"/>
                <w:sz w:val="21"/>
                <w:szCs w:val="21"/>
                <w:highlight w:val="none"/>
              </w:rPr>
              <w:t>缴纳</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履约保证金形式：银行转账形式（中标单位未按</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文件规定缴纳履约保证金的，其投标保证金将不予退还）</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zh-CN"/>
              </w:rPr>
              <w:t>履约保证金（质保金）退还：（1）履约保证金的有效期为该项目</w:t>
            </w:r>
            <w:r>
              <w:rPr>
                <w:rFonts w:hint="eastAsia" w:ascii="宋体" w:hAnsi="宋体" w:eastAsia="宋体" w:cs="宋体"/>
                <w:b w:val="0"/>
                <w:bCs/>
                <w:color w:val="auto"/>
                <w:sz w:val="21"/>
                <w:szCs w:val="21"/>
                <w:highlight w:val="none"/>
                <w:lang w:val="en-US" w:eastAsia="zh-CN"/>
              </w:rPr>
              <w:t>完成供货且通过采购人组织的项目验收</w:t>
            </w:r>
            <w:r>
              <w:rPr>
                <w:rFonts w:hint="eastAsia" w:ascii="宋体" w:hAnsi="宋体" w:eastAsia="宋体" w:cs="宋体"/>
                <w:b w:val="0"/>
                <w:bCs/>
                <w:color w:val="auto"/>
                <w:sz w:val="21"/>
                <w:szCs w:val="21"/>
                <w:highlight w:val="none"/>
                <w:lang w:val="zh-CN"/>
              </w:rPr>
              <w:t>止。（2）供应商在</w:t>
            </w:r>
            <w:r>
              <w:rPr>
                <w:rFonts w:hint="eastAsia" w:ascii="宋体" w:hAnsi="宋体" w:eastAsia="宋体" w:cs="宋体"/>
                <w:b w:val="0"/>
                <w:bCs/>
                <w:color w:val="auto"/>
                <w:sz w:val="21"/>
                <w:szCs w:val="21"/>
                <w:highlight w:val="none"/>
                <w:lang w:val="en-US" w:eastAsia="zh-CN"/>
              </w:rPr>
              <w:t>产品</w:t>
            </w:r>
            <w:r>
              <w:rPr>
                <w:rFonts w:hint="eastAsia" w:ascii="宋体" w:hAnsi="宋体" w:eastAsia="宋体" w:cs="宋体"/>
                <w:b w:val="0"/>
                <w:bCs/>
                <w:color w:val="auto"/>
                <w:sz w:val="21"/>
                <w:szCs w:val="21"/>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28</w:t>
            </w:r>
          </w:p>
        </w:tc>
        <w:tc>
          <w:tcPr>
            <w:tcW w:w="2246"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代理服务费</w:t>
            </w:r>
          </w:p>
        </w:tc>
        <w:tc>
          <w:tcPr>
            <w:tcW w:w="658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本项目招标代理服务费根据发改价格[2011]534 号及计价格[2002]1980 号文件计算的招标代理服务收费标准</w:t>
            </w:r>
            <w:r>
              <w:rPr>
                <w:rFonts w:hint="eastAsia" w:ascii="宋体" w:hAnsi="宋体" w:eastAsia="宋体" w:cs="宋体"/>
                <w:b w:val="0"/>
                <w:bCs/>
                <w:color w:val="auto"/>
                <w:sz w:val="21"/>
                <w:szCs w:val="21"/>
                <w:highlight w:val="none"/>
                <w:lang w:eastAsia="zh-CN"/>
              </w:rPr>
              <w:t>收取</w:t>
            </w:r>
            <w:r>
              <w:rPr>
                <w:rFonts w:hint="eastAsia" w:ascii="宋体" w:hAnsi="宋体" w:eastAsia="宋体" w:cs="宋体"/>
                <w:b w:val="0"/>
                <w:bCs/>
                <w:color w:val="auto"/>
                <w:sz w:val="21"/>
                <w:szCs w:val="21"/>
                <w:highlight w:val="none"/>
              </w:rPr>
              <w:t>。由中标</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29</w:t>
            </w:r>
          </w:p>
        </w:tc>
        <w:tc>
          <w:tcPr>
            <w:tcW w:w="2246"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有关政策</w:t>
            </w:r>
          </w:p>
        </w:tc>
        <w:tc>
          <w:tcPr>
            <w:tcW w:w="6583" w:type="dxa"/>
            <w:vAlign w:val="center"/>
          </w:tcPr>
          <w:p>
            <w:pPr>
              <w:pageBreakBefore w:val="0"/>
              <w:numPr>
                <w:ilvl w:val="0"/>
                <w:numId w:val="0"/>
              </w:numPr>
              <w:kinsoku/>
              <w:topLinePunct w:val="0"/>
              <w:bidi w:val="0"/>
              <w:spacing w:line="400" w:lineRule="exact"/>
              <w:ind w:left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pPr>
              <w:pageBreakBefore w:val="0"/>
              <w:numPr>
                <w:ilvl w:val="0"/>
                <w:numId w:val="0"/>
              </w:numPr>
              <w:kinsoku/>
              <w:topLinePunct w:val="0"/>
              <w:bidi w:val="0"/>
              <w:spacing w:line="400" w:lineRule="exact"/>
              <w:ind w:left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30</w:t>
            </w:r>
          </w:p>
        </w:tc>
        <w:tc>
          <w:tcPr>
            <w:tcW w:w="2246"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封套上应载明的信息</w:t>
            </w:r>
          </w:p>
        </w:tc>
        <w:tc>
          <w:tcPr>
            <w:tcW w:w="6583" w:type="dxa"/>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246" w:type="dxa"/>
            <w:vAlign w:val="center"/>
          </w:tcPr>
          <w:p>
            <w:pPr>
              <w:autoSpaceDE w:val="0"/>
              <w:autoSpaceDN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sz w:val="21"/>
                <w:szCs w:val="21"/>
              </w:rPr>
              <w:t>需要补充的其他内容</w:t>
            </w:r>
          </w:p>
        </w:tc>
        <w:tc>
          <w:tcPr>
            <w:tcW w:w="6583" w:type="dxa"/>
            <w:vAlign w:val="center"/>
          </w:tcPr>
          <w:p>
            <w:pPr>
              <w:pageBreakBefore w:val="0"/>
              <w:numPr>
                <w:ilvl w:val="0"/>
                <w:numId w:val="0"/>
              </w:numPr>
              <w:kinsoku/>
              <w:topLinePunct w:val="0"/>
              <w:bidi w:val="0"/>
              <w:spacing w:line="400" w:lineRule="exact"/>
              <w:ind w:leftChars="0"/>
              <w:rPr>
                <w:rStyle w:val="131"/>
                <w:rFonts w:hint="eastAsia" w:ascii="宋体" w:hAnsi="宋体" w:eastAsia="宋体" w:cs="宋体"/>
                <w:b w:val="0"/>
                <w:bCs/>
                <w:color w:val="auto"/>
                <w:sz w:val="21"/>
                <w:szCs w:val="21"/>
                <w:highlight w:val="none"/>
              </w:rPr>
            </w:pPr>
            <w:r>
              <w:rPr>
                <w:rStyle w:val="131"/>
                <w:rFonts w:hint="eastAsia" w:ascii="宋体" w:hAnsi="宋体" w:eastAsia="宋体" w:cs="宋体"/>
                <w:b w:val="0"/>
                <w:bCs/>
                <w:color w:val="auto"/>
                <w:sz w:val="21"/>
                <w:szCs w:val="21"/>
                <w:highlight w:val="none"/>
                <w:lang w:val="en-US" w:eastAsia="zh-CN"/>
              </w:rPr>
              <w:t>1</w:t>
            </w:r>
            <w:r>
              <w:rPr>
                <w:rStyle w:val="131"/>
                <w:rFonts w:hint="eastAsia" w:ascii="宋体" w:hAnsi="宋体" w:eastAsia="宋体" w:cs="宋体"/>
                <w:b w:val="0"/>
                <w:bCs/>
                <w:color w:val="auto"/>
                <w:sz w:val="21"/>
                <w:szCs w:val="21"/>
                <w:highlight w:val="none"/>
              </w:rPr>
              <w:t>、本项目投标应以人民币报价；</w:t>
            </w:r>
          </w:p>
          <w:p>
            <w:pPr>
              <w:pageBreakBefore w:val="0"/>
              <w:numPr>
                <w:ilvl w:val="0"/>
                <w:numId w:val="0"/>
              </w:numPr>
              <w:kinsoku/>
              <w:topLinePunct w:val="0"/>
              <w:bidi w:val="0"/>
              <w:spacing w:line="400" w:lineRule="exact"/>
              <w:ind w:leftChars="0"/>
              <w:rPr>
                <w:rStyle w:val="131"/>
                <w:rFonts w:hint="eastAsia" w:ascii="宋体" w:hAnsi="宋体" w:eastAsia="宋体" w:cs="宋体"/>
                <w:b w:val="0"/>
                <w:bCs/>
                <w:color w:val="auto"/>
                <w:sz w:val="21"/>
                <w:szCs w:val="21"/>
                <w:highlight w:val="none"/>
              </w:rPr>
            </w:pPr>
            <w:r>
              <w:rPr>
                <w:rStyle w:val="131"/>
                <w:rFonts w:hint="eastAsia" w:ascii="宋体" w:hAnsi="宋体" w:eastAsia="宋体" w:cs="宋体"/>
                <w:b w:val="0"/>
                <w:bCs/>
                <w:color w:val="auto"/>
                <w:sz w:val="21"/>
                <w:szCs w:val="21"/>
                <w:highlight w:val="none"/>
              </w:rPr>
              <w:t>2、不论投标结果如何，投标人均应自行承担所有与投标有关的全部费用</w:t>
            </w:r>
            <w:r>
              <w:rPr>
                <w:rStyle w:val="131"/>
                <w:rFonts w:hint="eastAsia" w:ascii="宋体" w:hAnsi="宋体" w:eastAsia="宋体" w:cs="宋体"/>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246" w:type="dxa"/>
            <w:vAlign w:val="center"/>
          </w:tcPr>
          <w:p>
            <w:pPr>
              <w:autoSpaceDE w:val="0"/>
              <w:autoSpaceDN w:val="0"/>
              <w:spacing w:line="360" w:lineRule="auto"/>
              <w:rPr>
                <w:rFonts w:hint="eastAsia" w:ascii="宋体" w:hAnsi="宋体" w:eastAsia="宋体" w:cs="宋体"/>
                <w:sz w:val="21"/>
                <w:szCs w:val="21"/>
              </w:rPr>
            </w:pPr>
            <w:r>
              <w:rPr>
                <w:rFonts w:hint="eastAsia" w:ascii="宋体" w:hAnsi="宋体" w:eastAsia="宋体" w:cs="宋体"/>
                <w:sz w:val="21"/>
                <w:szCs w:val="21"/>
              </w:rPr>
              <w:t>备注</w:t>
            </w:r>
          </w:p>
        </w:tc>
        <w:tc>
          <w:tcPr>
            <w:tcW w:w="6583" w:type="dxa"/>
            <w:vAlign w:val="center"/>
          </w:tcPr>
          <w:p>
            <w:pPr>
              <w:pageBreakBefore w:val="0"/>
              <w:numPr>
                <w:ilvl w:val="0"/>
                <w:numId w:val="0"/>
              </w:numPr>
              <w:kinsoku/>
              <w:topLinePunct w:val="0"/>
              <w:bidi w:val="0"/>
              <w:spacing w:line="400" w:lineRule="exact"/>
              <w:rPr>
                <w:rStyle w:val="131"/>
                <w:rFonts w:hint="eastAsia" w:ascii="宋体" w:hAnsi="宋体" w:eastAsia="宋体" w:cs="宋体"/>
                <w:b w:val="0"/>
                <w:bCs/>
                <w:color w:val="auto"/>
                <w:sz w:val="21"/>
                <w:szCs w:val="21"/>
                <w:highlight w:val="none"/>
              </w:rPr>
            </w:pPr>
            <w:r>
              <w:rPr>
                <w:rStyle w:val="131"/>
                <w:rFonts w:hint="eastAsia" w:ascii="宋体" w:hAnsi="宋体" w:eastAsia="宋体" w:cs="宋体"/>
                <w:b w:val="0"/>
                <w:bCs/>
                <w:color w:val="auto"/>
                <w:sz w:val="21"/>
                <w:szCs w:val="21"/>
                <w:highlight w:val="none"/>
                <w:lang w:val="en-US" w:eastAsia="zh-CN"/>
              </w:rPr>
              <w:t>1、</w:t>
            </w:r>
            <w:r>
              <w:rPr>
                <w:rStyle w:val="131"/>
                <w:rFonts w:hint="eastAsia" w:ascii="宋体" w:hAnsi="宋体" w:eastAsia="宋体" w:cs="宋体"/>
                <w:b w:val="0"/>
                <w:bCs/>
                <w:color w:val="auto"/>
                <w:sz w:val="21"/>
                <w:szCs w:val="21"/>
                <w:highlight w:val="none"/>
              </w:rPr>
              <w:t>为保证本项目质量，良好的售后服务，最低报价不作为中标的唯一依据。</w:t>
            </w:r>
          </w:p>
          <w:p>
            <w:pPr>
              <w:pageBreakBefore w:val="0"/>
              <w:numPr>
                <w:ilvl w:val="0"/>
                <w:numId w:val="0"/>
              </w:numPr>
              <w:kinsoku/>
              <w:topLinePunct w:val="0"/>
              <w:bidi w:val="0"/>
              <w:spacing w:line="400" w:lineRule="exact"/>
              <w:rPr>
                <w:rStyle w:val="131"/>
                <w:rFonts w:hint="eastAsia" w:ascii="宋体" w:hAnsi="宋体" w:eastAsia="宋体" w:cs="宋体"/>
                <w:b w:val="0"/>
                <w:bCs/>
                <w:color w:val="auto"/>
                <w:sz w:val="21"/>
                <w:szCs w:val="21"/>
                <w:highlight w:val="none"/>
              </w:rPr>
            </w:pPr>
            <w:r>
              <w:rPr>
                <w:rStyle w:val="131"/>
                <w:rFonts w:hint="eastAsia" w:ascii="宋体" w:hAnsi="宋体" w:eastAsia="宋体" w:cs="宋体"/>
                <w:b w:val="0"/>
                <w:bCs/>
                <w:color w:val="auto"/>
                <w:sz w:val="21"/>
                <w:szCs w:val="21"/>
                <w:highlight w:val="none"/>
                <w:lang w:val="en-US" w:eastAsia="zh-CN"/>
              </w:rPr>
              <w:t>2、</w:t>
            </w:r>
            <w:r>
              <w:rPr>
                <w:rStyle w:val="131"/>
                <w:rFonts w:hint="eastAsia" w:ascii="宋体" w:hAnsi="宋体" w:eastAsia="宋体" w:cs="宋体"/>
                <w:b w:val="0"/>
                <w:bCs/>
                <w:color w:val="auto"/>
                <w:sz w:val="21"/>
                <w:szCs w:val="21"/>
                <w:highlight w:val="none"/>
              </w:rPr>
              <w:t>采购人若发现</w:t>
            </w:r>
            <w:r>
              <w:rPr>
                <w:rStyle w:val="131"/>
                <w:rFonts w:hint="eastAsia" w:ascii="宋体" w:hAnsi="宋体" w:cs="宋体"/>
                <w:b w:val="0"/>
                <w:bCs/>
                <w:color w:val="auto"/>
                <w:sz w:val="21"/>
                <w:szCs w:val="21"/>
                <w:highlight w:val="none"/>
                <w:lang w:eastAsia="zh-CN"/>
              </w:rPr>
              <w:t>中标</w:t>
            </w:r>
            <w:r>
              <w:rPr>
                <w:rStyle w:val="131"/>
                <w:rFonts w:hint="eastAsia" w:ascii="宋体" w:hAnsi="宋体" w:eastAsia="宋体" w:cs="宋体"/>
                <w:b w:val="0"/>
                <w:bCs/>
                <w:color w:val="auto"/>
                <w:sz w:val="21"/>
                <w:szCs w:val="21"/>
                <w:highlight w:val="none"/>
              </w:rPr>
              <w:t>候选供应商在竞标过程中提供虚假证明文件，故意隐瞒公司不良信誉和财务状况，以及存在可能对合同圆满履行造成风险的其他因素等，则按规定取消其</w:t>
            </w:r>
            <w:r>
              <w:rPr>
                <w:rStyle w:val="131"/>
                <w:rFonts w:hint="eastAsia" w:ascii="宋体" w:hAnsi="宋体" w:cs="宋体"/>
                <w:b w:val="0"/>
                <w:bCs/>
                <w:color w:val="auto"/>
                <w:sz w:val="21"/>
                <w:szCs w:val="21"/>
                <w:highlight w:val="none"/>
                <w:lang w:eastAsia="zh-CN"/>
              </w:rPr>
              <w:t>中标</w:t>
            </w:r>
            <w:r>
              <w:rPr>
                <w:rStyle w:val="131"/>
                <w:rFonts w:hint="eastAsia" w:ascii="宋体" w:hAnsi="宋体" w:eastAsia="宋体" w:cs="宋体"/>
                <w:b w:val="0"/>
                <w:bCs/>
                <w:color w:val="auto"/>
                <w:sz w:val="21"/>
                <w:szCs w:val="21"/>
                <w:highlight w:val="none"/>
              </w:rPr>
              <w:t>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870" w:type="dxa"/>
            <w:vAlign w:val="center"/>
          </w:tcPr>
          <w:p>
            <w:pPr>
              <w:pStyle w:val="13"/>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注意</w:t>
            </w:r>
          </w:p>
          <w:p>
            <w:pPr>
              <w:pStyle w:val="13"/>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事项</w:t>
            </w:r>
          </w:p>
        </w:tc>
        <w:tc>
          <w:tcPr>
            <w:tcW w:w="8829" w:type="dxa"/>
            <w:gridSpan w:val="2"/>
            <w:vAlign w:val="center"/>
          </w:tcPr>
          <w:p>
            <w:pPr>
              <w:pStyle w:val="13"/>
              <w:pageBreakBefore w:val="0"/>
              <w:kinsoku/>
              <w:topLinePunct w:val="0"/>
              <w:bidi w:val="0"/>
              <w:spacing w:line="400" w:lineRule="exact"/>
              <w:ind w:left="0" w:leftChars="0" w:firstLine="0" w:firstLineChars="0"/>
              <w:contextualSpacing/>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各供应商应在本项目采购公告发布之日起到响应文件递交截止时间期间，通过“信用中国”网站（</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www.creditchina.gov.cn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）、中国政府采购网（</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www.ccgp.gov.cn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870" w:type="dxa"/>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8829" w:type="dxa"/>
            <w:gridSpan w:val="2"/>
            <w:vAlign w:val="center"/>
          </w:tcPr>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7"/>
              <w:pageBreakBefore w:val="0"/>
              <w:kinsoku/>
              <w:topLinePunct w:val="0"/>
              <w:bidi w:val="0"/>
              <w:spacing w:before="0"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特别说明：</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2.采购人若发现</w:t>
            </w:r>
            <w:r>
              <w:rPr>
                <w:rFonts w:hint="eastAsia" w:ascii="宋体" w:hAnsi="宋体" w:cs="宋体"/>
                <w:b w:val="0"/>
                <w:bCs/>
                <w:sz w:val="21"/>
                <w:szCs w:val="21"/>
                <w:lang w:eastAsia="zh-CN"/>
              </w:rPr>
              <w:t>中标</w:t>
            </w:r>
            <w:r>
              <w:rPr>
                <w:rFonts w:hint="eastAsia" w:ascii="宋体" w:hAnsi="宋体" w:eastAsia="宋体" w:cs="宋体"/>
                <w:b w:val="0"/>
                <w:bCs/>
                <w:sz w:val="21"/>
                <w:szCs w:val="21"/>
              </w:rPr>
              <w:t>候选供应商在竞标过程中提供虚假证明文件，故意隐瞒公司不良信誉和财务状况，以及存在可能对合同圆满履行造成风险的其他因素等，则按规定取消其</w:t>
            </w:r>
            <w:r>
              <w:rPr>
                <w:rFonts w:hint="eastAsia" w:ascii="宋体" w:hAnsi="宋体" w:cs="宋体"/>
                <w:b w:val="0"/>
                <w:bCs/>
                <w:sz w:val="21"/>
                <w:szCs w:val="21"/>
                <w:lang w:eastAsia="zh-CN"/>
              </w:rPr>
              <w:t>中标</w:t>
            </w:r>
            <w:r>
              <w:rPr>
                <w:rFonts w:hint="eastAsia" w:ascii="宋体" w:hAnsi="宋体" w:eastAsia="宋体" w:cs="宋体"/>
                <w:b w:val="0"/>
                <w:bCs/>
                <w:sz w:val="21"/>
                <w:szCs w:val="21"/>
              </w:rPr>
              <w:t>资格，监管部门依法进行处理。</w:t>
            </w:r>
          </w:p>
        </w:tc>
      </w:tr>
    </w:tbl>
    <w:p>
      <w:pPr>
        <w:pStyle w:val="39"/>
        <w:rPr>
          <w:rFonts w:hint="eastAsia" w:ascii="宋体" w:hAnsi="宋体" w:eastAsia="宋体" w:cs="宋体"/>
          <w:b/>
          <w:color w:val="auto"/>
          <w:sz w:val="21"/>
          <w:szCs w:val="21"/>
          <w:highlight w:val="none"/>
        </w:rPr>
      </w:pPr>
    </w:p>
    <w:p>
      <w:pPr>
        <w:pStyle w:val="40"/>
        <w:rPr>
          <w:rFonts w:hint="eastAsia" w:ascii="宋体" w:hAnsi="宋体" w:eastAsia="宋体" w:cs="宋体"/>
          <w:b/>
          <w:color w:val="auto"/>
          <w:sz w:val="21"/>
          <w:szCs w:val="21"/>
          <w:highlight w:val="none"/>
        </w:rPr>
      </w:pPr>
    </w:p>
    <w:p>
      <w:pPr>
        <w:rPr>
          <w:rFonts w:hint="eastAsia" w:ascii="宋体" w:hAnsi="宋体" w:eastAsia="宋体" w:cs="宋体"/>
          <w:color w:val="auto"/>
          <w:sz w:val="21"/>
          <w:szCs w:val="21"/>
          <w:highlight w:val="none"/>
        </w:rPr>
      </w:pPr>
    </w:p>
    <w:p>
      <w:pPr>
        <w:pStyle w:val="4"/>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20" w:name="_Toc298240405"/>
      <w:bookmarkStart w:id="21" w:name="_Toc267301282"/>
      <w:bookmarkStart w:id="22" w:name="_Toc462223632"/>
      <w:bookmarkStart w:id="23" w:name="_Toc349637920"/>
      <w:bookmarkStart w:id="24" w:name="_Toc349573121"/>
      <w:r>
        <w:rPr>
          <w:rFonts w:hint="eastAsia" w:ascii="宋体" w:hAnsi="宋体" w:eastAsia="宋体" w:cs="宋体"/>
          <w:color w:val="auto"/>
          <w:sz w:val="21"/>
          <w:szCs w:val="21"/>
          <w:highlight w:val="none"/>
        </w:rPr>
        <w:t>（一）说　明</w:t>
      </w:r>
      <w:bookmarkEnd w:id="20"/>
      <w:bookmarkEnd w:id="21"/>
      <w:bookmarkEnd w:id="22"/>
      <w:bookmarkEnd w:id="23"/>
      <w:bookmarkEnd w:id="24"/>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1、适用范围</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文件仅适用于本次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邀请中所叙述项目的货物及服务采购。</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2、定义</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“招标代理机构”系指宏业国际项目管理有限公司；</w:t>
      </w:r>
    </w:p>
    <w:p>
      <w:pPr>
        <w:kinsoku/>
        <w:wordWrap/>
        <w:topLinePunct w:val="0"/>
        <w:bidi w:val="0"/>
        <w:spacing w:beforeAutospacing="0" w:afterAutospacing="0" w:line="400" w:lineRule="exact"/>
        <w:ind w:right="0" w:rightChars="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2.2 “需方”系指</w:t>
      </w:r>
      <w:r>
        <w:rPr>
          <w:rFonts w:hint="eastAsia" w:ascii="宋体" w:hAnsi="宋体" w:eastAsia="宋体" w:cs="宋体"/>
          <w:color w:val="auto"/>
          <w:kern w:val="0"/>
          <w:sz w:val="21"/>
          <w:szCs w:val="21"/>
          <w:highlight w:val="none"/>
          <w:lang w:val="en-US" w:eastAsia="zh-CN" w:bidi="ar-SA"/>
        </w:rPr>
        <w:t>采购人名称：</w:t>
      </w:r>
      <w:r>
        <w:rPr>
          <w:rFonts w:hint="eastAsia" w:ascii="宋体" w:hAnsi="宋体" w:cs="宋体"/>
          <w:color w:val="auto"/>
          <w:kern w:val="0"/>
          <w:sz w:val="21"/>
          <w:szCs w:val="21"/>
          <w:highlight w:val="none"/>
          <w:lang w:val="en-US" w:eastAsia="zh-CN" w:bidi="ar-SA"/>
        </w:rPr>
        <w:t>新疆维吾尔自治区生态环境保护综合行政执法局</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供应商”系指向招标代理机构提交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性文件的制造商或代理商；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方”系指在本次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中</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，将被授予合同的供应商，即成为“</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方”。</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3、合格的供应商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有能力提供</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文件中所要求的货物及服务、资格审查合格的制造商或代理商为合格的供应商；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供应商必须遵守有关的国内法律和规章条例。</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4、供应商资格</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 xml:space="preserve">4.1 </w:t>
      </w:r>
      <w:r>
        <w:rPr>
          <w:rFonts w:hint="eastAsia" w:ascii="宋体" w:hAnsi="宋体" w:eastAsia="宋体" w:cs="宋体"/>
          <w:color w:val="auto"/>
          <w:kern w:val="2"/>
          <w:sz w:val="21"/>
          <w:szCs w:val="21"/>
          <w:highlight w:val="none"/>
          <w:lang w:val="en-US" w:eastAsia="zh-CN"/>
        </w:rPr>
        <w:t>、落实政府采购政策需满足的资格要求：详见政府采购法。 </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供应商须符合《中华人民共和国政府采购法》第二十二条规定,并提供《中华人民共和国政府采购法实施条例》第十七条所要求的材料； </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①供应商提供有效的统一社会信用代码的营业执照，供应商必须是中华人民共和国境内注册的，具有独立承担民事责任的能力；</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② 财务状况报告：供应商提供2021年度或2022年度经第三方权威机构出具的完整的财务审计报告或自发布公告之日起基本开户银行出具的资信证明； </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③ 依法缴纳税收：供应商提供自投标截止之日前半年内任意一个月依法缴纳税收的凭据，依法免税的供应商，应提供充足的证明材料； </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④ 供应商逐月缴纳社会保障资金的，提供自投标截止之日前半年内任意一个月缴纳社会保障资金的凭证；供应商逐年缴纳社会保障资金的，提供上年度缴纳社会保障资金的凭证； </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⑤ 供应商在人员、设备、资金等方面具有完成本项目的相应服务能力； </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⑥ 供应商提供参加政府采购活动前 3 年内在经营活动中没有重大违法记录的书面声明（截至开标日成立不满 3 年的供应商，可提供自成立以来无重大违法记录的书面声明）。 </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4.3、供应商提供法人授权委托书及被授权人身份证明原件； </w:t>
      </w:r>
    </w:p>
    <w:p>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4.4、供应商提供在“信用中国”（www.creditchina.gov.cn）网站上未被列入失信被执行人、</w:t>
      </w:r>
      <w:r>
        <w:rPr>
          <w:rFonts w:hint="eastAsia" w:ascii="宋体" w:hAnsi="宋体" w:cs="宋体"/>
          <w:color w:val="auto"/>
          <w:kern w:val="2"/>
          <w:sz w:val="21"/>
          <w:szCs w:val="21"/>
          <w:highlight w:val="none"/>
          <w:lang w:val="en-US" w:eastAsia="zh-CN"/>
        </w:rPr>
        <w:t>重大税收违法失信主体</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政府采购严重违法失信行为记录名单</w:t>
      </w:r>
      <w:r>
        <w:rPr>
          <w:rFonts w:hint="eastAsia" w:ascii="宋体" w:hAnsi="宋体" w:eastAsia="宋体" w:cs="宋体"/>
          <w:color w:val="auto"/>
          <w:kern w:val="2"/>
          <w:sz w:val="21"/>
          <w:szCs w:val="21"/>
          <w:highlight w:val="none"/>
          <w:lang w:val="en-US" w:eastAsia="zh-CN"/>
        </w:rPr>
        <w:t>和中国政府采购网（www.ccgp.gov.cn）网站上未被列入政府采购严重违法失信行为记录名单的网页打印件（网页打印件须自招标公告发布之日起至投标截止时间从上述网站中打印）。被列入以上条款尚在处罚期内的将拒绝其参本次采购活动；  </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4.5、本项目不接受联合体投标；</w:t>
      </w:r>
    </w:p>
    <w:p>
      <w:pPr>
        <w:pStyle w:val="37"/>
        <w:kinsoku/>
        <w:wordWrap/>
        <w:topLinePunct w:val="0"/>
        <w:bidi w:val="0"/>
        <w:spacing w:before="0" w:beforeAutospacing="0" w:after="0" w:afterAutospacing="0" w:line="400" w:lineRule="exact"/>
        <w:ind w:left="0" w:leftChars="0" w:right="0" w:rightChars="0" w:firstLine="409" w:firstLineChars="195"/>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4.6、单位负责人为同一人或者存在直接控股、管理关系的不同投标人，不得同时参加本项目的竞争。</w:t>
      </w:r>
      <w:r>
        <w:rPr>
          <w:rFonts w:hint="eastAsia" w:ascii="宋体" w:hAnsi="宋体" w:eastAsia="宋体" w:cs="宋体"/>
          <w:color w:val="auto"/>
          <w:sz w:val="21"/>
          <w:szCs w:val="21"/>
          <w:highlight w:val="none"/>
        </w:rPr>
        <w:t xml:space="preserve">        </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费用</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无论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过程中的作法和结果如何，供应商将自行承担所有与参加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有关的全部费用。</w:t>
      </w:r>
      <w:bookmarkStart w:id="25" w:name="_Toc349637921"/>
      <w:bookmarkStart w:id="26" w:name="_Toc462223633"/>
      <w:bookmarkStart w:id="27" w:name="_Toc349573122"/>
      <w:bookmarkStart w:id="28" w:name="_Toc267301283"/>
      <w:bookmarkStart w:id="29" w:name="_Toc298240406"/>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bookmarkEnd w:id="25"/>
      <w:bookmarkEnd w:id="26"/>
      <w:bookmarkEnd w:id="27"/>
      <w:bookmarkEnd w:id="28"/>
      <w:bookmarkEnd w:id="29"/>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文件构成</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文件包括：</w:t>
      </w:r>
    </w:p>
    <w:p>
      <w:pPr>
        <w:kinsoku/>
        <w:wordWrap/>
        <w:topLinePunct w:val="0"/>
        <w:bidi w:val="0"/>
        <w:spacing w:beforeAutospacing="0" w:afterAutospacing="0" w:line="400" w:lineRule="exact"/>
        <w:ind w:left="0" w:leftChars="0" w:right="0" w:rightChars="0" w:firstLine="659" w:firstLineChars="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公告；</w:t>
      </w:r>
    </w:p>
    <w:p>
      <w:pPr>
        <w:kinsoku/>
        <w:wordWrap/>
        <w:topLinePunct w:val="0"/>
        <w:bidi w:val="0"/>
        <w:spacing w:beforeAutospacing="0" w:afterAutospacing="0" w:line="400" w:lineRule="exact"/>
        <w:ind w:left="0" w:leftChars="0" w:right="0" w:rightChars="0" w:firstLine="659" w:firstLineChars="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供应商须知；</w:t>
      </w:r>
    </w:p>
    <w:p>
      <w:pPr>
        <w:kinsoku/>
        <w:wordWrap/>
        <w:topLinePunct w:val="0"/>
        <w:bidi w:val="0"/>
        <w:spacing w:beforeAutospacing="0" w:afterAutospacing="0" w:line="400" w:lineRule="exact"/>
        <w:ind w:left="0" w:leftChars="0" w:right="0" w:rightChars="0" w:firstLine="659" w:firstLineChars="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 项目需求；</w:t>
      </w:r>
    </w:p>
    <w:p>
      <w:pPr>
        <w:kinsoku/>
        <w:wordWrap/>
        <w:topLinePunct w:val="0"/>
        <w:bidi w:val="0"/>
        <w:spacing w:beforeAutospacing="0" w:afterAutospacing="0" w:line="400" w:lineRule="exact"/>
        <w:ind w:left="0" w:leftChars="0" w:right="0" w:rightChars="0" w:firstLine="659" w:firstLineChars="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合同条款；</w:t>
      </w:r>
    </w:p>
    <w:p>
      <w:pPr>
        <w:kinsoku/>
        <w:wordWrap/>
        <w:topLinePunct w:val="0"/>
        <w:bidi w:val="0"/>
        <w:spacing w:beforeAutospacing="0" w:afterAutospacing="0" w:line="400" w:lineRule="exact"/>
        <w:ind w:left="0" w:leftChars="0" w:right="0" w:rightChars="0" w:firstLine="659" w:firstLineChars="3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6.1.5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文件格式。</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文件以中文编写。</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供应商应认真阅读</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文件中所有的事项、格式、条款和规范等要求，从而对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文件作出实质性响应。如果没有按照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文件要求提交全部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文件或资料，没有对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文件作出实质性响应，其风险应由供应商自行承担。</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文件澄清</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供应商对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文件有疑问的，可以向招标代理机构提出询问，招标代理机构将及时做出答复；</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供应商对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文件有质疑，须在得到招标文件之日起至质疑截止时间止，以书面形式向招标机构提出质疑；招标机构在收到书面质疑后7个工作日内做出答复，并以书面形式通知质疑投标人。</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8.1 投标人对招标文</w:t>
      </w:r>
      <w:r>
        <w:rPr>
          <w:rFonts w:hint="eastAsia" w:ascii="宋体" w:hAnsi="宋体" w:eastAsia="宋体" w:cs="宋体"/>
          <w:color w:val="auto"/>
          <w:sz w:val="21"/>
          <w:szCs w:val="21"/>
          <w:highlight w:val="none"/>
          <w:lang w:eastAsia="zh-CN"/>
        </w:rPr>
        <w:t>件有疑问的，可以向招标代理机构提出询问，招标代理机构将及时做出答复；</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供应商在规定的时间内未对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文件提出澄清要求的，招标代理机构将视其为同意。</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在投标截止时间前，招标机构可视具体情况延长</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截止时间，并将变更时间书面通知所有购买</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文件的供应商。</w:t>
      </w:r>
    </w:p>
    <w:p>
      <w:pPr>
        <w:pStyle w:val="4"/>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bookmarkStart w:id="30" w:name="_Toc349637922"/>
      <w:bookmarkStart w:id="31" w:name="_Toc267301284"/>
      <w:bookmarkStart w:id="32" w:name="_Toc298240407"/>
      <w:bookmarkStart w:id="33" w:name="_Toc349573123"/>
      <w:bookmarkStart w:id="34" w:name="_Toc462223634"/>
      <w:r>
        <w:rPr>
          <w:rFonts w:hint="eastAsia" w:ascii="宋体" w:hAnsi="宋体" w:eastAsia="宋体" w:cs="宋体"/>
          <w:color w:val="auto"/>
          <w:sz w:val="21"/>
          <w:szCs w:val="21"/>
          <w:highlight w:val="none"/>
        </w:rPr>
        <w:t xml:space="preserve">（三）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性文件的编写</w:t>
      </w:r>
      <w:bookmarkEnd w:id="30"/>
      <w:bookmarkEnd w:id="31"/>
      <w:bookmarkEnd w:id="32"/>
      <w:bookmarkEnd w:id="33"/>
      <w:bookmarkEnd w:id="34"/>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9、要求</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供应商应仔细阅读</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文件的所有内容，按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文件的要求提供</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性文件，并保证所提供的全部资料的真实性，以使其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文件作出实质性响应，否则，其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可能被拒绝。</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语言</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性文件及供应商与招标代理机构就</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交换的文件和来往信件，应以中文书写（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供应商提交的支持文件和印刷的文献可以使用别的语言，但其相应内容必须附有中文翻译文本，在解释</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文件时以翻译文本为主）。</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性文件的构成</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供应商编写的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性文件应包括下列内容：</w:t>
      </w:r>
    </w:p>
    <w:p>
      <w:pPr>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 xml:space="preserve">一、 </w:t>
      </w:r>
      <w:r>
        <w:rPr>
          <w:rFonts w:hint="eastAsia" w:ascii="宋体" w:hAnsi="宋体" w:eastAsia="宋体" w:cs="宋体"/>
          <w:sz w:val="21"/>
          <w:szCs w:val="21"/>
          <w:lang w:eastAsia="zh-CN"/>
        </w:rPr>
        <w:t>投标函</w:t>
      </w:r>
    </w:p>
    <w:p>
      <w:pPr>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二、法定代表人身份证明</w:t>
      </w:r>
    </w:p>
    <w:p>
      <w:pPr>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三、法定代表人授权委托书</w:t>
      </w:r>
    </w:p>
    <w:p>
      <w:pPr>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四、投标报价表（开标一览表）</w:t>
      </w:r>
    </w:p>
    <w:p>
      <w:pPr>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五、</w:t>
      </w:r>
      <w:r>
        <w:rPr>
          <w:rFonts w:hint="eastAsia" w:ascii="宋体" w:hAnsi="宋体" w:eastAsia="宋体" w:cs="宋体"/>
          <w:color w:val="auto"/>
          <w:sz w:val="21"/>
          <w:szCs w:val="21"/>
        </w:rPr>
        <w:t>商务偏离表</w:t>
      </w:r>
    </w:p>
    <w:p>
      <w:pPr>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六、资格证明文件</w:t>
      </w:r>
    </w:p>
    <w:p>
      <w:pPr>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七、类似业绩</w:t>
      </w:r>
    </w:p>
    <w:p>
      <w:pPr>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八、技术偏离表</w:t>
      </w:r>
    </w:p>
    <w:p>
      <w:pPr>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九、技术部分</w:t>
      </w:r>
    </w:p>
    <w:p>
      <w:pPr>
        <w:spacing w:line="40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十、中小微企业证明文件等（如有）</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十一、投标人认为有必要提交的其他相关证明材料</w:t>
      </w:r>
    </w:p>
    <w:p>
      <w:pPr>
        <w:kinsoku/>
        <w:wordWrap/>
        <w:topLinePunct w:val="0"/>
        <w:bidi w:val="0"/>
        <w:spacing w:beforeAutospacing="0" w:afterAutospacing="0" w:line="400" w:lineRule="exact"/>
        <w:ind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供应商应将</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性文件装订成册，并填写文件资料清单。</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文件格式</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供应商应按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文件的范本格式中提供的文件格式填写。</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供应商应在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报价表上标明单价和总价。单价和总价要相符。小写和大写要相符。供应商应在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报价表中标明其提供的所有服务及其相关工作范围内所有费用的总价，不接受有任何选择性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算术性修正。算术性修正是指对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文件的报价明细进行校核，并对其算术上和运算上的差错给予修正。修正的原则如下：</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 当以数字表示的金额与文字表示的金额有差异时，以文字表示的金额为准；</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 当单价与数量相乘不等于合价时，以单价计算为准。如果单价有明显的小数点位置差错，应以标出的合价为准，同时对单价予以修正；</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 当各明细部分的价格累计不等于合价时，应以各明细的累计计数为准，修正合价。</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13.2.4 按以上原则对算术性差错修正，应取得供应商的同意，并确认修正后最终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报价。如果供应商拒绝确认，则其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文件将不予以评审并按废标处理，没收其投标担保。</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14、投标货币</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14.1人民币报价。</w:t>
      </w:r>
    </w:p>
    <w:p>
      <w:pPr>
        <w:pageBreakBefore w:val="0"/>
        <w:numPr>
          <w:ilvl w:val="0"/>
          <w:numId w:val="2"/>
        </w:numPr>
        <w:kinsoku/>
        <w:topLinePunct w:val="0"/>
        <w:bidi w:val="0"/>
        <w:spacing w:line="400" w:lineRule="exact"/>
        <w:ind w:left="0" w:leftChars="0" w:firstLine="0" w:firstLine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中小微型企业有关政策</w:t>
      </w:r>
    </w:p>
    <w:p>
      <w:pPr>
        <w:pageBreakBefore w:val="0"/>
        <w:numPr>
          <w:ilvl w:val="0"/>
          <w:numId w:val="0"/>
        </w:numPr>
        <w:kinsoku/>
        <w:topLinePunct w:val="0"/>
        <w:bidi w:val="0"/>
        <w:spacing w:line="400" w:lineRule="exact"/>
        <w:ind w:left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16、参数符合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文件规定的技术要求</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16.1供应商提交的成果资料符合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文件规定的要求，作为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文件的一部分。</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的有效期</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之日起，投标有效期为</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天。（如不满足将导致废标）</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在特殊情况下，招标代理机构可与供应商商量延长</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文件的有效期。</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性文件的书写要求。</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18.1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性文件应清楚工整，修改处应由</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供应商全权代表签章。</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性文件中要求由投标人法定代表人或被授权人签字的内容必须签字、盖章的内容必须盖章，否则视为无效投标。</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电报、电话、传真形式的投标概不接受。</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19、投标保证金</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19.1供应商按照供应商须知附表中要求缴纳</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本次招标仅接受网银或电汇作为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保证金有效期应当与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有效期一致。</w:t>
      </w:r>
    </w:p>
    <w:p>
      <w:pPr>
        <w:kinsoku/>
        <w:wordWrap/>
        <w:topLinePunct w:val="0"/>
        <w:bidi w:val="0"/>
        <w:spacing w:beforeAutospacing="0" w:afterAutospacing="0" w:line="400" w:lineRule="exact"/>
        <w:ind w:left="105" w:leftChars="0" w:right="0" w:rightChars="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保证金的退还时间：</w:t>
      </w:r>
    </w:p>
    <w:p>
      <w:pPr>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19.3.1中标供应商的投标保证金，将在合同签订后的5个工作日内予以退还；未中标供应商的投标保证金在中标通知书发出后5个工作日内予以退还。</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19.4未按规定提交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保证金的投标，将被视为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无效。</w:t>
      </w:r>
    </w:p>
    <w:p>
      <w:pPr>
        <w:pStyle w:val="25"/>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19.5下列任何情况发生时，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保证金将被没收：</w:t>
      </w:r>
    </w:p>
    <w:p>
      <w:pPr>
        <w:pStyle w:val="25"/>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19.5.1供应商在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文件规定的投标有效期内撤回其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w:t>
      </w:r>
    </w:p>
    <w:p>
      <w:pPr>
        <w:pStyle w:val="25"/>
        <w:kinsoku/>
        <w:wordWrap/>
        <w:topLinePunct w:val="0"/>
        <w:bidi w:val="0"/>
        <w:spacing w:beforeAutospacing="0" w:afterAutospacing="0" w:line="400" w:lineRule="exact"/>
        <w:ind w:left="0" w:leftChars="0" w:right="0" w:rightChars="0"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19.5.2</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方在规定期限内未能：</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19.5.2.</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按须知第</w:t>
      </w:r>
      <w:r>
        <w:rPr>
          <w:rFonts w:hint="eastAsia" w:hAnsi="宋体" w:cs="宋体"/>
          <w:color w:val="auto"/>
          <w:sz w:val="21"/>
          <w:szCs w:val="21"/>
          <w:highlight w:val="none"/>
          <w:lang w:val="en-US" w:eastAsia="zh-CN"/>
        </w:rPr>
        <w:t>27</w:t>
      </w:r>
      <w:r>
        <w:rPr>
          <w:rFonts w:hint="eastAsia" w:ascii="宋体" w:hAnsi="宋体" w:eastAsia="宋体" w:cs="宋体"/>
          <w:color w:val="auto"/>
          <w:sz w:val="21"/>
          <w:szCs w:val="21"/>
          <w:highlight w:val="none"/>
        </w:rPr>
        <w:t>条向买方提交履约保证金；</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按本须知第</w:t>
      </w:r>
      <w:r>
        <w:rPr>
          <w:rFonts w:hint="eastAsia" w:hAnsi="宋体" w:cs="宋体"/>
          <w:color w:val="auto"/>
          <w:sz w:val="21"/>
          <w:szCs w:val="21"/>
          <w:highlight w:val="none"/>
          <w:lang w:val="en-US" w:eastAsia="zh-CN"/>
        </w:rPr>
        <w:t>28</w:t>
      </w:r>
      <w:r>
        <w:rPr>
          <w:rFonts w:hint="eastAsia" w:ascii="宋体" w:hAnsi="宋体" w:eastAsia="宋体" w:cs="宋体"/>
          <w:color w:val="auto"/>
          <w:sz w:val="21"/>
          <w:szCs w:val="21"/>
          <w:highlight w:val="none"/>
        </w:rPr>
        <w:t>条规定向招标代理机构交纳代理服务费。</w:t>
      </w:r>
    </w:p>
    <w:p>
      <w:pPr>
        <w:pStyle w:val="4"/>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bookmarkStart w:id="35" w:name="_Toc267301285"/>
      <w:bookmarkStart w:id="36" w:name="_Toc298240408"/>
      <w:bookmarkStart w:id="37" w:name="_Toc462223635"/>
      <w:bookmarkStart w:id="38" w:name="_Toc349573124"/>
      <w:bookmarkStart w:id="39" w:name="_Toc349637923"/>
      <w:r>
        <w:rPr>
          <w:rFonts w:hint="eastAsia" w:ascii="宋体" w:hAnsi="宋体" w:eastAsia="宋体" w:cs="宋体"/>
          <w:color w:val="auto"/>
          <w:sz w:val="21"/>
          <w:szCs w:val="21"/>
          <w:highlight w:val="none"/>
        </w:rPr>
        <w:t xml:space="preserve">（四）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35"/>
      <w:bookmarkEnd w:id="36"/>
      <w:bookmarkEnd w:id="37"/>
      <w:bookmarkEnd w:id="38"/>
      <w:bookmarkEnd w:id="39"/>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bookmarkStart w:id="40" w:name="_Toc298240409"/>
      <w:bookmarkStart w:id="41" w:name="_Toc462223636"/>
      <w:bookmarkStart w:id="42" w:name="_Toc349637924"/>
      <w:bookmarkStart w:id="43" w:name="_Toc267301286"/>
      <w:bookmarkStart w:id="44" w:name="_Toc349573125"/>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性文件的密封与标记</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按政采云客户端要求提供。</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文件递交截止时间</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文件的递交截止时间为：</w:t>
      </w:r>
      <w:r>
        <w:rPr>
          <w:rFonts w:hint="eastAsia" w:ascii="宋体" w:hAnsi="宋体" w:eastAsia="宋体" w:cs="宋体"/>
          <w:color w:val="auto"/>
          <w:sz w:val="21"/>
          <w:szCs w:val="21"/>
          <w:highlight w:val="none"/>
          <w:lang w:val="en-US" w:eastAsia="zh-CN"/>
        </w:rPr>
        <w:t>2023年</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日</w:t>
      </w:r>
      <w:r>
        <w:rPr>
          <w:rFonts w:hint="eastAsia" w:hAnsi="宋体" w:cs="宋体"/>
          <w:color w:val="auto"/>
          <w:sz w:val="21"/>
          <w:szCs w:val="21"/>
          <w:highlight w:val="none"/>
          <w:lang w:val="en-US" w:eastAsia="zh-CN"/>
        </w:rPr>
        <w:t>下</w:t>
      </w:r>
      <w:r>
        <w:rPr>
          <w:rFonts w:hint="eastAsia" w:ascii="宋体" w:hAnsi="宋体" w:eastAsia="宋体" w:cs="宋体"/>
          <w:color w:val="auto"/>
          <w:sz w:val="21"/>
          <w:szCs w:val="21"/>
          <w:highlight w:val="none"/>
          <w:lang w:val="en-US" w:eastAsia="zh-CN"/>
        </w:rPr>
        <w:t>午</w:t>
      </w:r>
      <w:r>
        <w:rPr>
          <w:rFonts w:hint="eastAsia"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:00（北京时间）</w:t>
      </w:r>
      <w:r>
        <w:rPr>
          <w:rFonts w:hint="eastAsia" w:ascii="宋体" w:hAnsi="宋体" w:eastAsia="宋体" w:cs="宋体"/>
          <w:color w:val="auto"/>
          <w:sz w:val="21"/>
          <w:szCs w:val="21"/>
          <w:highlight w:val="none"/>
        </w:rPr>
        <w:t>。</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所有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文件都必须按招标代理机构在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邀请中规定的投标截止时间之前</w:t>
      </w:r>
      <w:r>
        <w:rPr>
          <w:rFonts w:hint="eastAsia" w:hAnsi="宋体" w:cs="宋体"/>
          <w:color w:val="auto"/>
          <w:sz w:val="21"/>
          <w:szCs w:val="21"/>
          <w:highlight w:val="none"/>
          <w:lang w:val="en-US" w:eastAsia="zh-CN"/>
        </w:rPr>
        <w:t>上传</w:t>
      </w:r>
      <w:r>
        <w:rPr>
          <w:rFonts w:hint="eastAsia" w:ascii="宋体" w:hAnsi="宋体" w:eastAsia="宋体" w:cs="宋体"/>
          <w:color w:val="auto"/>
          <w:sz w:val="21"/>
          <w:szCs w:val="21"/>
          <w:highlight w:val="none"/>
        </w:rPr>
        <w:t>到</w:t>
      </w:r>
      <w:r>
        <w:rPr>
          <w:rFonts w:hint="eastAsia" w:ascii="宋体" w:hAnsi="宋体" w:eastAsia="宋体" w:cs="宋体"/>
          <w:bCs/>
          <w:color w:val="auto"/>
          <w:sz w:val="21"/>
          <w:szCs w:val="21"/>
          <w:highlight w:val="none"/>
          <w:lang w:val="en-US" w:eastAsia="zh-CN"/>
        </w:rPr>
        <w:t>政采云客户端</w:t>
      </w:r>
      <w:r>
        <w:rPr>
          <w:rFonts w:hint="eastAsia" w:ascii="宋体" w:hAnsi="宋体" w:eastAsia="宋体" w:cs="宋体"/>
          <w:color w:val="auto"/>
          <w:sz w:val="21"/>
          <w:szCs w:val="21"/>
          <w:highlight w:val="none"/>
        </w:rPr>
        <w:t>。</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出现第8.2款因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文件的修改推迟投标截止时间时，则按招标代理机构修改通知规定的时间递交。</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文件的修改和撤销</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22.1 供应商在提交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文件后可对其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文件进行修改或撤销，修改或撤销</w:t>
      </w:r>
      <w:r>
        <w:rPr>
          <w:rFonts w:hint="eastAsia" w:ascii="宋体" w:hAnsi="宋体" w:eastAsia="宋体" w:cs="宋体"/>
          <w:color w:val="auto"/>
          <w:sz w:val="21"/>
          <w:szCs w:val="21"/>
          <w:highlight w:val="none"/>
          <w:lang w:val="en-US" w:eastAsia="zh-CN"/>
        </w:rPr>
        <w:t>时间应在投标截止时间之前。</w:t>
      </w:r>
    </w:p>
    <w:p>
      <w:pPr>
        <w:pStyle w:val="25"/>
        <w:kinsoku/>
        <w:wordWrap/>
        <w:topLinePunct w:val="0"/>
        <w:bidi w:val="0"/>
        <w:spacing w:beforeAutospacing="0" w:afterAutospacing="0"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供应商不得在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时间起至</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有效期期满前撤销</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文件。否则招标代理机构将没收其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w:t>
      </w:r>
    </w:p>
    <w:p>
      <w:pPr>
        <w:pStyle w:val="4"/>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（五）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程序</w:t>
      </w:r>
      <w:bookmarkEnd w:id="40"/>
      <w:bookmarkEnd w:id="41"/>
      <w:bookmarkEnd w:id="42"/>
      <w:bookmarkEnd w:id="43"/>
      <w:bookmarkEnd w:id="44"/>
    </w:p>
    <w:p>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23、</w:t>
      </w:r>
      <w:r>
        <w:rPr>
          <w:rFonts w:hint="eastAsia" w:ascii="宋体" w:hAnsi="宋体" w:eastAsia="宋体" w:cs="宋体"/>
          <w:sz w:val="21"/>
          <w:szCs w:val="21"/>
          <w:lang w:eastAsia="zh-CN"/>
        </w:rPr>
        <w:t>投标</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23.1资格审查方式</w:t>
      </w:r>
      <w:r>
        <w:rPr>
          <w:rFonts w:hint="eastAsia" w:ascii="宋体" w:hAnsi="宋体" w:cs="宋体"/>
          <w:sz w:val="21"/>
          <w:szCs w:val="21"/>
          <w:lang w:eastAsia="zh-CN"/>
        </w:rPr>
        <w:t>：</w:t>
      </w:r>
      <w:r>
        <w:rPr>
          <w:rFonts w:hint="eastAsia" w:ascii="宋体" w:hAnsi="宋体" w:eastAsia="宋体" w:cs="宋体"/>
          <w:sz w:val="21"/>
          <w:szCs w:val="21"/>
          <w:lang w:eastAsia="zh-CN"/>
        </w:rPr>
        <w:t>投标</w:t>
      </w:r>
      <w:r>
        <w:rPr>
          <w:rFonts w:hint="eastAsia" w:ascii="宋体" w:hAnsi="宋体" w:eastAsia="宋体" w:cs="宋体"/>
          <w:sz w:val="21"/>
          <w:szCs w:val="21"/>
        </w:rPr>
        <w:t>时，</w:t>
      </w:r>
      <w:r>
        <w:rPr>
          <w:rFonts w:hint="eastAsia" w:ascii="宋体" w:hAnsi="宋体" w:cs="宋体"/>
          <w:sz w:val="21"/>
          <w:szCs w:val="21"/>
          <w:lang w:eastAsia="zh-CN"/>
        </w:rPr>
        <w:t>资格审查小组</w:t>
      </w:r>
      <w:r>
        <w:rPr>
          <w:rFonts w:hint="eastAsia" w:ascii="宋体" w:hAnsi="宋体" w:eastAsia="宋体" w:cs="宋体"/>
          <w:sz w:val="21"/>
          <w:szCs w:val="21"/>
        </w:rPr>
        <w:t>将对供应商进行资格初审。</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供应商应在密封的</w:t>
      </w:r>
      <w:r>
        <w:rPr>
          <w:rFonts w:hint="eastAsia" w:ascii="宋体" w:hAnsi="宋体" w:eastAsia="宋体" w:cs="宋体"/>
          <w:sz w:val="21"/>
          <w:szCs w:val="21"/>
          <w:lang w:eastAsia="zh-CN"/>
        </w:rPr>
        <w:t>投标</w:t>
      </w:r>
      <w:r>
        <w:rPr>
          <w:rFonts w:hint="eastAsia" w:ascii="宋体" w:hAnsi="宋体" w:eastAsia="宋体" w:cs="宋体"/>
          <w:sz w:val="21"/>
          <w:szCs w:val="21"/>
        </w:rPr>
        <w:t>文件之外随身携带原件：</w:t>
      </w:r>
    </w:p>
    <w:p>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① </w:t>
      </w:r>
      <w:r>
        <w:rPr>
          <w:rFonts w:hint="eastAsia" w:ascii="宋体" w:hAnsi="宋体" w:eastAsia="宋体" w:cs="宋体"/>
          <w:sz w:val="21"/>
          <w:szCs w:val="21"/>
          <w:lang w:eastAsia="zh-CN"/>
        </w:rPr>
        <w:t>供应商提供有效的统一社会信用代码的营业执照（须有相应经营范围）副本，供应商必须是中华人民共和国境内注册的，具有独立承担民事责任的能力；</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② 供应商提供法人授权委托书及被授权人身份证明原件；</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③ 投标保证金缴纳凭证。</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注：以上</w:t>
      </w:r>
      <w:r>
        <w:rPr>
          <w:rFonts w:hint="eastAsia" w:ascii="宋体" w:hAnsi="宋体" w:eastAsia="宋体" w:cs="宋体"/>
          <w:sz w:val="21"/>
          <w:szCs w:val="21"/>
          <w:lang w:eastAsia="zh-CN"/>
        </w:rPr>
        <w:t>现场查验资料</w:t>
      </w:r>
      <w:r>
        <w:rPr>
          <w:rFonts w:hint="eastAsia" w:ascii="宋体" w:hAnsi="宋体" w:eastAsia="宋体" w:cs="宋体"/>
          <w:sz w:val="21"/>
          <w:szCs w:val="21"/>
        </w:rPr>
        <w:t>均为</w:t>
      </w:r>
      <w:r>
        <w:rPr>
          <w:rFonts w:hint="eastAsia" w:ascii="宋体" w:hAnsi="宋体" w:cs="宋体"/>
          <w:sz w:val="21"/>
          <w:szCs w:val="21"/>
          <w:lang w:val="en-US" w:eastAsia="zh-CN"/>
        </w:rPr>
        <w:t>加盖公章的扫描件</w:t>
      </w:r>
      <w:r>
        <w:rPr>
          <w:rFonts w:hint="eastAsia" w:ascii="宋体" w:hAnsi="宋体" w:eastAsia="宋体" w:cs="宋体"/>
          <w:sz w:val="21"/>
          <w:szCs w:val="21"/>
        </w:rPr>
        <w:t>单独提交审核</w:t>
      </w:r>
      <w:r>
        <w:rPr>
          <w:rFonts w:hint="eastAsia" w:ascii="宋体" w:hAnsi="宋体" w:cs="宋体"/>
          <w:sz w:val="21"/>
          <w:szCs w:val="21"/>
          <w:lang w:eastAsia="zh-CN"/>
        </w:rPr>
        <w:t>，</w:t>
      </w:r>
      <w:r>
        <w:rPr>
          <w:rFonts w:hint="eastAsia" w:ascii="宋体" w:hAnsi="宋体" w:eastAsia="宋体" w:cs="宋体"/>
          <w:sz w:val="21"/>
          <w:szCs w:val="21"/>
        </w:rPr>
        <w:t>不合格或缺少一项将被认为资格审查不合格，将取消其竞标资格。</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以备</w:t>
      </w:r>
      <w:r>
        <w:rPr>
          <w:rFonts w:hint="eastAsia" w:ascii="宋体" w:hAnsi="宋体" w:eastAsia="宋体" w:cs="宋体"/>
          <w:sz w:val="21"/>
          <w:szCs w:val="21"/>
          <w:lang w:eastAsia="zh-CN"/>
        </w:rPr>
        <w:t>投标</w:t>
      </w:r>
      <w:r>
        <w:rPr>
          <w:rFonts w:hint="eastAsia" w:ascii="宋体" w:hAnsi="宋体" w:eastAsia="宋体" w:cs="宋体"/>
          <w:sz w:val="21"/>
          <w:szCs w:val="21"/>
        </w:rPr>
        <w:t>前做初步的审查，确认其是否已具备提交</w:t>
      </w:r>
      <w:r>
        <w:rPr>
          <w:rFonts w:hint="eastAsia" w:ascii="宋体" w:hAnsi="宋体" w:eastAsia="宋体" w:cs="宋体"/>
          <w:sz w:val="21"/>
          <w:szCs w:val="21"/>
          <w:lang w:eastAsia="zh-CN"/>
        </w:rPr>
        <w:t>投标</w:t>
      </w:r>
      <w:r>
        <w:rPr>
          <w:rFonts w:hint="eastAsia" w:ascii="宋体" w:hAnsi="宋体" w:eastAsia="宋体" w:cs="宋体"/>
          <w:sz w:val="21"/>
          <w:szCs w:val="21"/>
        </w:rPr>
        <w:t>文件的资格。但该初步审查并不妨碍</w:t>
      </w:r>
      <w:r>
        <w:rPr>
          <w:rFonts w:hint="eastAsia" w:ascii="宋体" w:hAnsi="宋体" w:eastAsia="宋体" w:cs="宋体"/>
          <w:sz w:val="21"/>
          <w:szCs w:val="21"/>
          <w:lang w:eastAsia="zh-CN"/>
        </w:rPr>
        <w:t>投标</w:t>
      </w:r>
      <w:r>
        <w:rPr>
          <w:rFonts w:hint="eastAsia" w:ascii="宋体" w:hAnsi="宋体" w:eastAsia="宋体" w:cs="宋体"/>
          <w:sz w:val="21"/>
          <w:szCs w:val="21"/>
        </w:rPr>
        <w:t>小组对供应商进行的进一步资格详细审查。</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23.2 本次</w:t>
      </w:r>
      <w:r>
        <w:rPr>
          <w:rFonts w:hint="eastAsia" w:ascii="宋体" w:hAnsi="宋体" w:eastAsia="宋体" w:cs="宋体"/>
          <w:sz w:val="21"/>
          <w:szCs w:val="21"/>
          <w:lang w:eastAsia="zh-CN"/>
        </w:rPr>
        <w:t>投标</w:t>
      </w:r>
      <w:r>
        <w:rPr>
          <w:rFonts w:hint="eastAsia" w:ascii="宋体" w:hAnsi="宋体" w:eastAsia="宋体" w:cs="宋体"/>
          <w:sz w:val="21"/>
          <w:szCs w:val="21"/>
        </w:rPr>
        <w:t>按</w:t>
      </w:r>
      <w:r>
        <w:rPr>
          <w:rFonts w:hint="eastAsia" w:ascii="宋体" w:hAnsi="宋体" w:eastAsia="宋体" w:cs="宋体"/>
          <w:sz w:val="21"/>
          <w:szCs w:val="21"/>
          <w:lang w:eastAsia="zh-CN"/>
        </w:rPr>
        <w:t>投标</w:t>
      </w:r>
      <w:r>
        <w:rPr>
          <w:rFonts w:hint="eastAsia" w:ascii="宋体" w:hAnsi="宋体" w:eastAsia="宋体" w:cs="宋体"/>
          <w:sz w:val="21"/>
          <w:szCs w:val="21"/>
        </w:rPr>
        <w:t>文件中</w:t>
      </w:r>
      <w:r>
        <w:rPr>
          <w:rFonts w:hint="eastAsia" w:ascii="宋体" w:hAnsi="宋体" w:eastAsia="宋体" w:cs="宋体"/>
          <w:sz w:val="21"/>
          <w:szCs w:val="21"/>
          <w:lang w:eastAsia="zh-CN"/>
        </w:rPr>
        <w:t>投标</w:t>
      </w:r>
      <w:r>
        <w:rPr>
          <w:rFonts w:hint="eastAsia" w:ascii="宋体" w:hAnsi="宋体" w:eastAsia="宋体" w:cs="宋体"/>
          <w:sz w:val="21"/>
          <w:szCs w:val="21"/>
        </w:rPr>
        <w:t>邀请规定的时间进行</w:t>
      </w:r>
      <w:r>
        <w:rPr>
          <w:rFonts w:hint="eastAsia" w:ascii="宋体" w:hAnsi="宋体" w:eastAsia="宋体" w:cs="宋体"/>
          <w:sz w:val="21"/>
          <w:szCs w:val="21"/>
          <w:lang w:eastAsia="zh-CN"/>
        </w:rPr>
        <w:t>投标</w:t>
      </w:r>
      <w:r>
        <w:rPr>
          <w:rFonts w:hint="eastAsia" w:ascii="宋体" w:hAnsi="宋体" w:eastAsia="宋体" w:cs="宋体"/>
          <w:sz w:val="21"/>
          <w:szCs w:val="21"/>
        </w:rPr>
        <w:t>，将邀请供应商的法定代表人或其授权委托人准时参加</w:t>
      </w:r>
      <w:r>
        <w:rPr>
          <w:rFonts w:hint="eastAsia" w:ascii="宋体" w:hAnsi="宋体" w:eastAsia="宋体" w:cs="宋体"/>
          <w:sz w:val="21"/>
          <w:szCs w:val="21"/>
          <w:lang w:eastAsia="zh-CN"/>
        </w:rPr>
        <w:t>投标</w:t>
      </w:r>
      <w:r>
        <w:rPr>
          <w:rFonts w:hint="eastAsia" w:ascii="宋体" w:hAnsi="宋体" w:eastAsia="宋体" w:cs="宋体"/>
          <w:sz w:val="21"/>
          <w:szCs w:val="21"/>
        </w:rPr>
        <w:t>会。</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23.3宣布</w:t>
      </w:r>
      <w:r>
        <w:rPr>
          <w:rFonts w:hint="eastAsia" w:ascii="宋体" w:hAnsi="宋体" w:eastAsia="宋体" w:cs="宋体"/>
          <w:sz w:val="21"/>
          <w:szCs w:val="21"/>
          <w:lang w:eastAsia="zh-CN"/>
        </w:rPr>
        <w:t>投标</w:t>
      </w:r>
      <w:r>
        <w:rPr>
          <w:rFonts w:hint="eastAsia" w:ascii="宋体" w:hAnsi="宋体" w:eastAsia="宋体" w:cs="宋体"/>
          <w:sz w:val="21"/>
          <w:szCs w:val="21"/>
        </w:rPr>
        <w:t>文件开启顺序。</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23.4 </w:t>
      </w:r>
      <w:r>
        <w:rPr>
          <w:rFonts w:hint="eastAsia" w:ascii="宋体" w:hAnsi="宋体" w:eastAsia="宋体" w:cs="宋体"/>
          <w:sz w:val="21"/>
          <w:szCs w:val="21"/>
          <w:lang w:eastAsia="zh-CN"/>
        </w:rPr>
        <w:t>投标</w:t>
      </w:r>
      <w:r>
        <w:rPr>
          <w:rFonts w:hint="eastAsia" w:ascii="宋体" w:hAnsi="宋体" w:eastAsia="宋体" w:cs="宋体"/>
          <w:sz w:val="21"/>
          <w:szCs w:val="21"/>
        </w:rPr>
        <w:t>时检查</w:t>
      </w:r>
      <w:r>
        <w:rPr>
          <w:rFonts w:hint="eastAsia" w:ascii="宋体" w:hAnsi="宋体" w:eastAsia="宋体" w:cs="宋体"/>
          <w:sz w:val="21"/>
          <w:szCs w:val="21"/>
          <w:lang w:eastAsia="zh-CN"/>
        </w:rPr>
        <w:t>投标</w:t>
      </w:r>
      <w:r>
        <w:rPr>
          <w:rFonts w:hint="eastAsia" w:ascii="宋体" w:hAnsi="宋体" w:eastAsia="宋体" w:cs="宋体"/>
          <w:sz w:val="21"/>
          <w:szCs w:val="21"/>
        </w:rPr>
        <w:t>文件密封情况。</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23.5 </w:t>
      </w:r>
      <w:r>
        <w:rPr>
          <w:rFonts w:hint="eastAsia" w:ascii="宋体" w:hAnsi="宋体" w:eastAsia="宋体" w:cs="宋体"/>
          <w:sz w:val="21"/>
          <w:szCs w:val="21"/>
          <w:lang w:eastAsia="zh-CN"/>
        </w:rPr>
        <w:t>投标</w:t>
      </w:r>
      <w:r>
        <w:rPr>
          <w:rFonts w:hint="eastAsia" w:ascii="宋体" w:hAnsi="宋体" w:eastAsia="宋体" w:cs="宋体"/>
          <w:sz w:val="21"/>
          <w:szCs w:val="21"/>
        </w:rPr>
        <w:t>原则在</w:t>
      </w:r>
      <w:r>
        <w:rPr>
          <w:rFonts w:hint="eastAsia" w:ascii="宋体" w:hAnsi="宋体" w:eastAsia="宋体" w:cs="宋体"/>
          <w:sz w:val="21"/>
          <w:szCs w:val="21"/>
          <w:lang w:eastAsia="zh-CN"/>
        </w:rPr>
        <w:t>投标</w:t>
      </w:r>
      <w:r>
        <w:rPr>
          <w:rFonts w:hint="eastAsia" w:ascii="宋体" w:hAnsi="宋体" w:eastAsia="宋体" w:cs="宋体"/>
          <w:sz w:val="21"/>
          <w:szCs w:val="21"/>
        </w:rPr>
        <w:t>会议上宣布。</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23.6 对采购方的纪律要求</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采购方不得泄露</w:t>
      </w:r>
      <w:r>
        <w:rPr>
          <w:rFonts w:hint="eastAsia" w:ascii="宋体" w:hAnsi="宋体" w:eastAsia="宋体" w:cs="宋体"/>
          <w:sz w:val="21"/>
          <w:szCs w:val="21"/>
          <w:lang w:eastAsia="zh-CN"/>
        </w:rPr>
        <w:t>投标</w:t>
      </w:r>
      <w:r>
        <w:rPr>
          <w:rFonts w:hint="eastAsia" w:ascii="宋体" w:hAnsi="宋体" w:eastAsia="宋体" w:cs="宋体"/>
          <w:sz w:val="21"/>
          <w:szCs w:val="21"/>
        </w:rPr>
        <w:t>活动中应当保密的情况和资料，不得与供应商串通损害国家利益、社会公共利益或者他人合法权益。</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23.7对供应商的纪律要求</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供应商不得互相串通</w:t>
      </w:r>
      <w:r>
        <w:rPr>
          <w:rFonts w:hint="eastAsia" w:ascii="宋体" w:hAnsi="宋体" w:eastAsia="宋体" w:cs="宋体"/>
          <w:sz w:val="21"/>
          <w:szCs w:val="21"/>
          <w:lang w:eastAsia="zh-CN"/>
        </w:rPr>
        <w:t>投标</w:t>
      </w:r>
      <w:r>
        <w:rPr>
          <w:rFonts w:hint="eastAsia" w:ascii="宋体" w:hAnsi="宋体" w:eastAsia="宋体" w:cs="宋体"/>
          <w:sz w:val="21"/>
          <w:szCs w:val="21"/>
        </w:rPr>
        <w:t>或者与采购人串通</w:t>
      </w:r>
      <w:r>
        <w:rPr>
          <w:rFonts w:hint="eastAsia" w:ascii="宋体" w:hAnsi="宋体" w:eastAsia="宋体" w:cs="宋体"/>
          <w:sz w:val="21"/>
          <w:szCs w:val="21"/>
          <w:lang w:eastAsia="zh-CN"/>
        </w:rPr>
        <w:t>投标</w:t>
      </w:r>
      <w:r>
        <w:rPr>
          <w:rFonts w:hint="eastAsia" w:ascii="宋体" w:hAnsi="宋体" w:eastAsia="宋体" w:cs="宋体"/>
          <w:sz w:val="21"/>
          <w:szCs w:val="21"/>
        </w:rPr>
        <w:t>，不得向采购人或者</w:t>
      </w:r>
      <w:r>
        <w:rPr>
          <w:rFonts w:hint="eastAsia" w:ascii="宋体" w:hAnsi="宋体" w:eastAsia="宋体" w:cs="宋体"/>
          <w:sz w:val="21"/>
          <w:szCs w:val="21"/>
          <w:lang w:eastAsia="zh-CN"/>
        </w:rPr>
        <w:t>投标</w:t>
      </w:r>
      <w:r>
        <w:rPr>
          <w:rFonts w:hint="eastAsia" w:ascii="宋体" w:hAnsi="宋体" w:eastAsia="宋体" w:cs="宋体"/>
          <w:sz w:val="21"/>
          <w:szCs w:val="21"/>
        </w:rPr>
        <w:t>小组成员行贿谋取成交，不得以他人名义</w:t>
      </w:r>
      <w:r>
        <w:rPr>
          <w:rFonts w:hint="eastAsia" w:ascii="宋体" w:hAnsi="宋体" w:eastAsia="宋体" w:cs="宋体"/>
          <w:sz w:val="21"/>
          <w:szCs w:val="21"/>
          <w:lang w:eastAsia="zh-CN"/>
        </w:rPr>
        <w:t>投标</w:t>
      </w:r>
      <w:r>
        <w:rPr>
          <w:rFonts w:hint="eastAsia" w:ascii="宋体" w:hAnsi="宋体" w:eastAsia="宋体" w:cs="宋体"/>
          <w:sz w:val="21"/>
          <w:szCs w:val="21"/>
        </w:rPr>
        <w:t>或者以其他方式弄虚作假骗取成交；供应商不得以任何方式干扰、影响</w:t>
      </w:r>
      <w:r>
        <w:rPr>
          <w:rFonts w:hint="eastAsia" w:ascii="宋体" w:hAnsi="宋体" w:eastAsia="宋体" w:cs="宋体"/>
          <w:sz w:val="21"/>
          <w:szCs w:val="21"/>
          <w:lang w:eastAsia="zh-CN"/>
        </w:rPr>
        <w:t>投标</w:t>
      </w:r>
      <w:r>
        <w:rPr>
          <w:rFonts w:hint="eastAsia" w:ascii="宋体" w:hAnsi="宋体" w:eastAsia="宋体" w:cs="宋体"/>
          <w:sz w:val="21"/>
          <w:szCs w:val="21"/>
        </w:rPr>
        <w:t>工作。</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23.8 对与</w:t>
      </w:r>
      <w:r>
        <w:rPr>
          <w:rFonts w:hint="eastAsia" w:ascii="宋体" w:hAnsi="宋体" w:eastAsia="宋体" w:cs="宋体"/>
          <w:sz w:val="21"/>
          <w:szCs w:val="21"/>
          <w:lang w:eastAsia="zh-CN"/>
        </w:rPr>
        <w:t>投标</w:t>
      </w:r>
      <w:r>
        <w:rPr>
          <w:rFonts w:hint="eastAsia" w:ascii="宋体" w:hAnsi="宋体" w:eastAsia="宋体" w:cs="宋体"/>
          <w:sz w:val="21"/>
          <w:szCs w:val="21"/>
        </w:rPr>
        <w:t>活动有关的工作人员的纪律要求</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与</w:t>
      </w:r>
      <w:r>
        <w:rPr>
          <w:rFonts w:hint="eastAsia" w:ascii="宋体" w:hAnsi="宋体" w:eastAsia="宋体" w:cs="宋体"/>
          <w:sz w:val="21"/>
          <w:szCs w:val="21"/>
          <w:lang w:eastAsia="zh-CN"/>
        </w:rPr>
        <w:t>投标</w:t>
      </w:r>
      <w:r>
        <w:rPr>
          <w:rFonts w:hint="eastAsia" w:ascii="宋体" w:hAnsi="宋体" w:eastAsia="宋体" w:cs="宋体"/>
          <w:sz w:val="21"/>
          <w:szCs w:val="21"/>
        </w:rPr>
        <w:t>活动有关的工作人员不得收受他人的财物或者好处，不得向其他人透露对</w:t>
      </w:r>
      <w:r>
        <w:rPr>
          <w:rFonts w:hint="eastAsia" w:ascii="宋体" w:hAnsi="宋体" w:eastAsia="宋体" w:cs="宋体"/>
          <w:sz w:val="21"/>
          <w:szCs w:val="21"/>
          <w:lang w:eastAsia="zh-CN"/>
        </w:rPr>
        <w:t>投标</w:t>
      </w:r>
      <w:r>
        <w:rPr>
          <w:rFonts w:hint="eastAsia" w:ascii="宋体" w:hAnsi="宋体" w:eastAsia="宋体" w:cs="宋体"/>
          <w:sz w:val="21"/>
          <w:szCs w:val="21"/>
        </w:rPr>
        <w:t>文件的评审和比较、成交候选人的推荐情况及</w:t>
      </w:r>
      <w:r>
        <w:rPr>
          <w:rFonts w:hint="eastAsia" w:ascii="宋体" w:hAnsi="宋体" w:eastAsia="宋体" w:cs="宋体"/>
          <w:sz w:val="21"/>
          <w:szCs w:val="21"/>
          <w:lang w:eastAsia="zh-CN"/>
        </w:rPr>
        <w:t>投标</w:t>
      </w:r>
      <w:r>
        <w:rPr>
          <w:rFonts w:hint="eastAsia" w:ascii="宋体" w:hAnsi="宋体" w:eastAsia="宋体" w:cs="宋体"/>
          <w:sz w:val="21"/>
          <w:szCs w:val="21"/>
        </w:rPr>
        <w:t>有关其他情况。在</w:t>
      </w:r>
      <w:r>
        <w:rPr>
          <w:rFonts w:hint="eastAsia" w:ascii="宋体" w:hAnsi="宋体" w:eastAsia="宋体" w:cs="宋体"/>
          <w:sz w:val="21"/>
          <w:szCs w:val="21"/>
          <w:lang w:eastAsia="zh-CN"/>
        </w:rPr>
        <w:t>投标</w:t>
      </w:r>
      <w:r>
        <w:rPr>
          <w:rFonts w:hint="eastAsia" w:ascii="宋体" w:hAnsi="宋体" w:eastAsia="宋体" w:cs="宋体"/>
          <w:sz w:val="21"/>
          <w:szCs w:val="21"/>
        </w:rPr>
        <w:t>活动中，与</w:t>
      </w:r>
      <w:r>
        <w:rPr>
          <w:rFonts w:hint="eastAsia" w:ascii="宋体" w:hAnsi="宋体" w:eastAsia="宋体" w:cs="宋体"/>
          <w:sz w:val="21"/>
          <w:szCs w:val="21"/>
          <w:lang w:eastAsia="zh-CN"/>
        </w:rPr>
        <w:t>投标</w:t>
      </w:r>
      <w:r>
        <w:rPr>
          <w:rFonts w:hint="eastAsia" w:ascii="宋体" w:hAnsi="宋体" w:eastAsia="宋体" w:cs="宋体"/>
          <w:sz w:val="21"/>
          <w:szCs w:val="21"/>
        </w:rPr>
        <w:t>活动有关的工作人员不得擅离职守，影响</w:t>
      </w:r>
      <w:r>
        <w:rPr>
          <w:rFonts w:hint="eastAsia" w:ascii="宋体" w:hAnsi="宋体" w:eastAsia="宋体" w:cs="宋体"/>
          <w:sz w:val="21"/>
          <w:szCs w:val="21"/>
          <w:lang w:eastAsia="zh-CN"/>
        </w:rPr>
        <w:t>投标</w:t>
      </w:r>
      <w:r>
        <w:rPr>
          <w:rFonts w:hint="eastAsia" w:ascii="宋体" w:hAnsi="宋体" w:eastAsia="宋体" w:cs="宋体"/>
          <w:sz w:val="21"/>
          <w:szCs w:val="21"/>
        </w:rPr>
        <w:t>程序正常进行。</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23.9对</w:t>
      </w:r>
      <w:r>
        <w:rPr>
          <w:rFonts w:hint="eastAsia" w:ascii="宋体" w:hAnsi="宋体" w:eastAsia="宋体" w:cs="宋体"/>
          <w:sz w:val="21"/>
          <w:szCs w:val="21"/>
          <w:lang w:eastAsia="zh-CN"/>
        </w:rPr>
        <w:t>投标</w:t>
      </w:r>
      <w:r>
        <w:rPr>
          <w:rFonts w:hint="eastAsia" w:ascii="宋体" w:hAnsi="宋体" w:eastAsia="宋体" w:cs="宋体"/>
          <w:sz w:val="21"/>
          <w:szCs w:val="21"/>
        </w:rPr>
        <w:t>小组成员要求</w:t>
      </w:r>
      <w:r>
        <w:rPr>
          <w:rFonts w:hint="eastAsia" w:ascii="宋体" w:hAnsi="宋体" w:eastAsia="宋体" w:cs="宋体"/>
          <w:sz w:val="21"/>
          <w:szCs w:val="21"/>
          <w:lang w:eastAsia="zh-CN"/>
        </w:rPr>
        <w:t>投标</w:t>
      </w:r>
      <w:r>
        <w:rPr>
          <w:rFonts w:hint="eastAsia" w:ascii="宋体" w:hAnsi="宋体" w:eastAsia="宋体" w:cs="宋体"/>
          <w:sz w:val="21"/>
          <w:szCs w:val="21"/>
        </w:rPr>
        <w:t>纪律</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23.9.1</w:t>
      </w:r>
      <w:r>
        <w:rPr>
          <w:rFonts w:hint="eastAsia" w:ascii="宋体" w:hAnsi="宋体" w:eastAsia="宋体" w:cs="宋体"/>
          <w:sz w:val="21"/>
          <w:szCs w:val="21"/>
          <w:lang w:eastAsia="zh-CN"/>
        </w:rPr>
        <w:t>投标</w:t>
      </w:r>
      <w:r>
        <w:rPr>
          <w:rFonts w:hint="eastAsia" w:ascii="宋体" w:hAnsi="宋体" w:eastAsia="宋体" w:cs="宋体"/>
          <w:sz w:val="21"/>
          <w:szCs w:val="21"/>
        </w:rPr>
        <w:t>小组应当依照有关法律法规的规定，按照</w:t>
      </w:r>
      <w:r>
        <w:rPr>
          <w:rFonts w:hint="eastAsia" w:ascii="宋体" w:hAnsi="宋体" w:eastAsia="宋体" w:cs="宋体"/>
          <w:sz w:val="21"/>
          <w:szCs w:val="21"/>
          <w:lang w:eastAsia="zh-CN"/>
        </w:rPr>
        <w:t>投标</w:t>
      </w:r>
      <w:r>
        <w:rPr>
          <w:rFonts w:hint="eastAsia" w:ascii="宋体" w:hAnsi="宋体" w:eastAsia="宋体" w:cs="宋体"/>
          <w:sz w:val="21"/>
          <w:szCs w:val="21"/>
        </w:rPr>
        <w:t>文件确定的</w:t>
      </w:r>
      <w:r>
        <w:rPr>
          <w:rFonts w:hint="eastAsia" w:ascii="宋体" w:hAnsi="宋体" w:eastAsia="宋体" w:cs="宋体"/>
          <w:sz w:val="21"/>
          <w:szCs w:val="21"/>
          <w:lang w:eastAsia="zh-CN"/>
        </w:rPr>
        <w:t>投标</w:t>
      </w:r>
      <w:r>
        <w:rPr>
          <w:rFonts w:hint="eastAsia" w:ascii="宋体" w:hAnsi="宋体" w:eastAsia="宋体" w:cs="宋体"/>
          <w:sz w:val="21"/>
          <w:szCs w:val="21"/>
        </w:rPr>
        <w:t>标准和办法客观、公正的对</w:t>
      </w:r>
      <w:r>
        <w:rPr>
          <w:rFonts w:hint="eastAsia" w:ascii="宋体" w:hAnsi="宋体" w:eastAsia="宋体" w:cs="宋体"/>
          <w:sz w:val="21"/>
          <w:szCs w:val="21"/>
          <w:lang w:eastAsia="zh-CN"/>
        </w:rPr>
        <w:t>投标</w:t>
      </w:r>
      <w:r>
        <w:rPr>
          <w:rFonts w:hint="eastAsia" w:ascii="宋体" w:hAnsi="宋体" w:eastAsia="宋体" w:cs="宋体"/>
          <w:sz w:val="21"/>
          <w:szCs w:val="21"/>
        </w:rPr>
        <w:t>文件提出评审意见。</w:t>
      </w:r>
      <w:r>
        <w:rPr>
          <w:rFonts w:hint="eastAsia" w:ascii="宋体" w:hAnsi="宋体" w:eastAsia="宋体" w:cs="宋体"/>
          <w:sz w:val="21"/>
          <w:szCs w:val="21"/>
          <w:lang w:eastAsia="zh-CN"/>
        </w:rPr>
        <w:t>投标</w:t>
      </w:r>
      <w:r>
        <w:rPr>
          <w:rFonts w:hint="eastAsia" w:ascii="宋体" w:hAnsi="宋体" w:eastAsia="宋体" w:cs="宋体"/>
          <w:sz w:val="21"/>
          <w:szCs w:val="21"/>
        </w:rPr>
        <w:t>文件设有规定的</w:t>
      </w:r>
      <w:r>
        <w:rPr>
          <w:rFonts w:hint="eastAsia" w:ascii="宋体" w:hAnsi="宋体" w:eastAsia="宋体" w:cs="宋体"/>
          <w:sz w:val="21"/>
          <w:szCs w:val="21"/>
          <w:lang w:eastAsia="zh-CN"/>
        </w:rPr>
        <w:t>投标</w:t>
      </w:r>
      <w:r>
        <w:rPr>
          <w:rFonts w:hint="eastAsia" w:ascii="宋体" w:hAnsi="宋体" w:eastAsia="宋体" w:cs="宋体"/>
          <w:sz w:val="21"/>
          <w:szCs w:val="21"/>
        </w:rPr>
        <w:t>标准和方法不得作为</w:t>
      </w:r>
      <w:r>
        <w:rPr>
          <w:rFonts w:hint="eastAsia" w:ascii="宋体" w:hAnsi="宋体" w:eastAsia="宋体" w:cs="宋体"/>
          <w:sz w:val="21"/>
          <w:szCs w:val="21"/>
          <w:lang w:eastAsia="zh-CN"/>
        </w:rPr>
        <w:t>投标</w:t>
      </w:r>
      <w:r>
        <w:rPr>
          <w:rFonts w:hint="eastAsia" w:ascii="宋体" w:hAnsi="宋体" w:eastAsia="宋体" w:cs="宋体"/>
          <w:sz w:val="21"/>
          <w:szCs w:val="21"/>
        </w:rPr>
        <w:t>依据。</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23.9.2</w:t>
      </w:r>
      <w:r>
        <w:rPr>
          <w:rFonts w:hint="eastAsia" w:ascii="宋体" w:hAnsi="宋体" w:eastAsia="宋体" w:cs="宋体"/>
          <w:sz w:val="21"/>
          <w:szCs w:val="21"/>
          <w:lang w:eastAsia="zh-CN"/>
        </w:rPr>
        <w:t>投标</w:t>
      </w:r>
      <w:r>
        <w:rPr>
          <w:rFonts w:hint="eastAsia" w:ascii="宋体" w:hAnsi="宋体" w:eastAsia="宋体" w:cs="宋体"/>
          <w:sz w:val="21"/>
          <w:szCs w:val="21"/>
        </w:rPr>
        <w:t>小组成员不得私下接触供应商，不得收受供应商给予的财务或者其他好处，不得向采购方征询确定成交方意向。</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23.9.3不得接受任何单位或个人明示或暗示提出的倾向或排斥特定供应商的要求。</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23.9.4不得有其他不客观，不公正履行职务的行为。</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24、</w:t>
      </w:r>
      <w:r>
        <w:rPr>
          <w:rFonts w:hint="eastAsia" w:ascii="宋体" w:hAnsi="宋体" w:eastAsia="宋体" w:cs="宋体"/>
          <w:sz w:val="21"/>
          <w:szCs w:val="21"/>
          <w:lang w:eastAsia="zh-CN"/>
        </w:rPr>
        <w:t>投标</w:t>
      </w:r>
      <w:r>
        <w:rPr>
          <w:rFonts w:hint="eastAsia" w:ascii="宋体" w:hAnsi="宋体" w:eastAsia="宋体" w:cs="宋体"/>
          <w:sz w:val="21"/>
          <w:szCs w:val="21"/>
        </w:rPr>
        <w:t>过程</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24.1 </w:t>
      </w:r>
      <w:r>
        <w:rPr>
          <w:rFonts w:hint="eastAsia" w:ascii="宋体" w:hAnsi="宋体" w:eastAsia="宋体" w:cs="宋体"/>
          <w:sz w:val="21"/>
          <w:szCs w:val="21"/>
          <w:lang w:eastAsia="zh-CN"/>
        </w:rPr>
        <w:t>投标</w:t>
      </w:r>
      <w:r>
        <w:rPr>
          <w:rFonts w:hint="eastAsia" w:ascii="宋体" w:hAnsi="宋体" w:eastAsia="宋体" w:cs="宋体"/>
          <w:sz w:val="21"/>
          <w:szCs w:val="21"/>
        </w:rPr>
        <w:t>的依据为</w:t>
      </w:r>
      <w:r>
        <w:rPr>
          <w:rFonts w:hint="eastAsia" w:ascii="宋体" w:hAnsi="宋体" w:eastAsia="宋体" w:cs="宋体"/>
          <w:sz w:val="21"/>
          <w:szCs w:val="21"/>
          <w:lang w:eastAsia="zh-CN"/>
        </w:rPr>
        <w:t>投标</w:t>
      </w:r>
      <w:r>
        <w:rPr>
          <w:rFonts w:hint="eastAsia" w:ascii="宋体" w:hAnsi="宋体" w:eastAsia="宋体" w:cs="宋体"/>
          <w:sz w:val="21"/>
          <w:szCs w:val="21"/>
        </w:rPr>
        <w:t>文件和</w:t>
      </w:r>
      <w:r>
        <w:rPr>
          <w:rFonts w:hint="eastAsia" w:ascii="宋体" w:hAnsi="宋体" w:eastAsia="宋体" w:cs="宋体"/>
          <w:sz w:val="21"/>
          <w:szCs w:val="21"/>
          <w:lang w:eastAsia="zh-CN"/>
        </w:rPr>
        <w:t>投标</w:t>
      </w:r>
      <w:r>
        <w:rPr>
          <w:rFonts w:hint="eastAsia" w:ascii="宋体" w:hAnsi="宋体" w:eastAsia="宋体" w:cs="宋体"/>
          <w:sz w:val="21"/>
          <w:szCs w:val="21"/>
        </w:rPr>
        <w:t>文件。</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24.2 </w:t>
      </w:r>
      <w:r>
        <w:rPr>
          <w:rFonts w:hint="eastAsia" w:ascii="宋体" w:hAnsi="宋体" w:eastAsia="宋体" w:cs="宋体"/>
          <w:sz w:val="21"/>
          <w:szCs w:val="21"/>
          <w:lang w:eastAsia="zh-CN"/>
        </w:rPr>
        <w:t>投标</w:t>
      </w:r>
      <w:r>
        <w:rPr>
          <w:rFonts w:hint="eastAsia" w:ascii="宋体" w:hAnsi="宋体" w:eastAsia="宋体" w:cs="宋体"/>
          <w:sz w:val="21"/>
          <w:szCs w:val="21"/>
        </w:rPr>
        <w:t>后</w:t>
      </w:r>
      <w:r>
        <w:rPr>
          <w:rFonts w:hint="eastAsia" w:ascii="宋体" w:hAnsi="宋体" w:eastAsia="宋体" w:cs="宋体"/>
          <w:sz w:val="21"/>
          <w:szCs w:val="21"/>
          <w:lang w:eastAsia="zh-CN"/>
        </w:rPr>
        <w:t>投标</w:t>
      </w:r>
      <w:r>
        <w:rPr>
          <w:rFonts w:hint="eastAsia" w:ascii="宋体" w:hAnsi="宋体" w:eastAsia="宋体" w:cs="宋体"/>
          <w:sz w:val="21"/>
          <w:szCs w:val="21"/>
        </w:rPr>
        <w:t>小组审查</w:t>
      </w:r>
      <w:r>
        <w:rPr>
          <w:rFonts w:hint="eastAsia" w:ascii="宋体" w:hAnsi="宋体" w:eastAsia="宋体" w:cs="宋体"/>
          <w:sz w:val="21"/>
          <w:szCs w:val="21"/>
          <w:lang w:eastAsia="zh-CN"/>
        </w:rPr>
        <w:t>投标</w:t>
      </w:r>
      <w:r>
        <w:rPr>
          <w:rFonts w:hint="eastAsia" w:ascii="宋体" w:hAnsi="宋体" w:eastAsia="宋体" w:cs="宋体"/>
          <w:sz w:val="21"/>
          <w:szCs w:val="21"/>
        </w:rPr>
        <w:t>文件是否完整，是否有计算错误，要求的保证金是否提供，文件是否恰当地签署。</w:t>
      </w:r>
    </w:p>
    <w:p>
      <w:pPr>
        <w:pStyle w:val="50"/>
        <w:rPr>
          <w:rFonts w:hint="eastAsia"/>
        </w:rPr>
      </w:pPr>
    </w:p>
    <w:p>
      <w:pPr>
        <w:pStyle w:val="50"/>
        <w:jc w:val="center"/>
        <w:rPr>
          <w:rFonts w:hint="eastAsia"/>
        </w:rPr>
      </w:pPr>
      <w:r>
        <w:rPr>
          <w:rFonts w:hint="eastAsia"/>
          <w:lang w:eastAsia="zh-CN"/>
        </w:rPr>
        <w:t>初步评审（符合性审查）</w:t>
      </w:r>
    </w:p>
    <w:tbl>
      <w:tblPr>
        <w:tblStyle w:val="41"/>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eastAsia="zh-CN"/>
              </w:rPr>
              <w:t>投标文件需求没有采购人不可接收的重大偏离。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firstLine="422" w:firstLineChars="200"/>
        <w:rPr>
          <w:rFonts w:hint="eastAsia" w:ascii="宋体" w:hAnsi="宋体" w:cs="宋体"/>
          <w:b/>
          <w:bCs/>
          <w:color w:val="auto"/>
          <w:sz w:val="21"/>
          <w:szCs w:val="21"/>
          <w:highlight w:val="none"/>
          <w:lang w:eastAsia="zh-CN"/>
        </w:rPr>
      </w:pPr>
      <w:r>
        <w:rPr>
          <w:rFonts w:hint="eastAsia" w:ascii="宋体" w:hAnsi="宋体" w:eastAsia="宋体" w:cs="宋体"/>
          <w:b/>
          <w:bCs/>
          <w:color w:val="auto"/>
          <w:sz w:val="21"/>
          <w:szCs w:val="21"/>
          <w:highlight w:val="none"/>
        </w:rPr>
        <w:t xml:space="preserve">24.3 </w:t>
      </w:r>
      <w:r>
        <w:rPr>
          <w:rFonts w:hint="eastAsia" w:ascii="宋体" w:hAnsi="宋体" w:cs="宋体"/>
          <w:b/>
          <w:bCs/>
          <w:color w:val="auto"/>
          <w:sz w:val="21"/>
          <w:szCs w:val="21"/>
          <w:highlight w:val="none"/>
          <w:lang w:eastAsia="zh-CN"/>
        </w:rPr>
        <w:t>评标办法</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文件进行详细评估之前，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小组将依据供应商提供的资格证明文件审查供应商的财务、技术和生产能力。如果确定供应商无资格履行合同，其投标将被拒绝。</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24.4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小组将确定每一</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文件是否对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文件的要求作出了实质性的响应，而没有重大偏离。实质性响应的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文件是指符合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文件的所有条款、条件和规定且没有重大偏离或保留。重大偏离或保留系指影响到</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 xml:space="preserve">文件规定的供货范围、质量和性能，或限制了买方的权利和供应商的义务的规定，而纠正这些偏离将影响到其他提交实质性响应投标的供应商的公平竞争地位。 </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文件的澄清</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25.1为有助于对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文件进行审查、评估和比较，</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小组将对供应商进行</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，请供应商澄清其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内容，供应商有责任按照招标代理机构通知的时间、地点指派专人进行答疑和澄清。</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时供应商代表应作书面记录。并对重要内容作出书面答复。</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 要澄清的答复应是书面的，但不得对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内容进行实质性修改。澄清文件须由供应商法人代表或法人授权代表签字和/或加盖公章并作为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25.3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结束后，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小组要求所有参加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的供应商在规定的时间内进行最后报价。</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26、确定</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供应商的办法</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26.1</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小组按照</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文件要求对</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文件中的供应商资格、供应商资格证明文件、重要技术指标以及技术和商务上要求的其它重要内容进行审核。</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26.2</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小组和供应商</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过程中作出的书面承诺是否符合</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文件中对质量、技术和服务的要求。</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26.3</w:t>
      </w:r>
      <w:r>
        <w:rPr>
          <w:rFonts w:hint="eastAsia" w:ascii="宋体" w:hAnsi="宋体" w:eastAsia="宋体" w:cs="宋体"/>
          <w:color w:val="auto"/>
          <w:sz w:val="21"/>
          <w:szCs w:val="21"/>
          <w:highlight w:val="none"/>
          <w:shd w:val="clear" w:color="auto" w:fill="FFFFFF"/>
        </w:rPr>
        <w:t>经</w:t>
      </w:r>
      <w:r>
        <w:rPr>
          <w:rFonts w:hint="eastAsia" w:ascii="宋体" w:hAnsi="宋体" w:eastAsia="宋体" w:cs="宋体"/>
          <w:color w:val="auto"/>
          <w:sz w:val="21"/>
          <w:szCs w:val="21"/>
          <w:highlight w:val="none"/>
          <w:shd w:val="clear" w:color="auto" w:fill="FFFFFF"/>
          <w:lang w:eastAsia="zh-CN"/>
        </w:rPr>
        <w:t>投标</w:t>
      </w:r>
      <w:r>
        <w:rPr>
          <w:rFonts w:hint="eastAsia" w:ascii="宋体" w:hAnsi="宋体" w:eastAsia="宋体" w:cs="宋体"/>
          <w:color w:val="auto"/>
          <w:sz w:val="21"/>
          <w:szCs w:val="21"/>
          <w:highlight w:val="none"/>
          <w:shd w:val="clear" w:color="auto" w:fill="FFFFFF"/>
        </w:rPr>
        <w:t>确定最终采购需求和提交最后报价的供应商后，由</w:t>
      </w:r>
      <w:r>
        <w:rPr>
          <w:rFonts w:hint="eastAsia" w:ascii="宋体" w:hAnsi="宋体" w:eastAsia="宋体" w:cs="宋体"/>
          <w:color w:val="auto"/>
          <w:sz w:val="21"/>
          <w:szCs w:val="21"/>
          <w:highlight w:val="none"/>
          <w:shd w:val="clear" w:color="auto" w:fill="FFFFFF"/>
          <w:lang w:eastAsia="zh-CN"/>
        </w:rPr>
        <w:t>投标</w:t>
      </w:r>
      <w:r>
        <w:rPr>
          <w:rFonts w:hint="eastAsia" w:ascii="宋体" w:hAnsi="宋体" w:eastAsia="宋体" w:cs="宋体"/>
          <w:color w:val="auto"/>
          <w:sz w:val="21"/>
          <w:szCs w:val="21"/>
          <w:highlight w:val="none"/>
          <w:shd w:val="clear" w:color="auto" w:fill="FFFFFF"/>
        </w:rPr>
        <w:t>小组采用综合评分法对提交最后报价的供应商的响应文件和最后报价进行综合评分。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对响应文件的评估和比较分为两步进行，</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小组会按照</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分，技术、商务、售后服务因素占</w:t>
      </w:r>
      <w:r>
        <w:rPr>
          <w:rFonts w:hint="eastAsia" w:ascii="宋体" w:hAnsi="宋体" w:eastAsia="宋体" w:cs="宋体"/>
          <w:bCs/>
          <w:color w:val="auto"/>
          <w:sz w:val="21"/>
          <w:szCs w:val="21"/>
          <w:highlight w:val="none"/>
          <w:lang w:val="en-US" w:eastAsia="zh-CN"/>
        </w:rPr>
        <w:t>70</w:t>
      </w:r>
      <w:r>
        <w:rPr>
          <w:rFonts w:hint="eastAsia" w:ascii="宋体" w:hAnsi="宋体" w:eastAsia="宋体" w:cs="宋体"/>
          <w:bCs/>
          <w:color w:val="auto"/>
          <w:sz w:val="21"/>
          <w:szCs w:val="21"/>
          <w:highlight w:val="none"/>
        </w:rPr>
        <w:t>分。将每位投标商的价格得分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商务得分、技术得分相加即为该投标商的总得分。详细评分标准如下：</w:t>
      </w:r>
    </w:p>
    <w:p>
      <w:pPr>
        <w:pStyle w:val="4"/>
        <w:numPr>
          <w:ilvl w:val="0"/>
          <w:numId w:val="0"/>
        </w:numPr>
        <w:tabs>
          <w:tab w:val="left" w:pos="576"/>
        </w:tabs>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（一）报价部分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0分） </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7065"/>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182" w:type="dxa"/>
            <w:shd w:val="pct10" w:color="auto" w:fill="auto"/>
            <w:vAlign w:val="center"/>
          </w:tcPr>
          <w:p>
            <w:pPr>
              <w:pStyle w:val="132"/>
              <w:spacing w:before="0" w:after="0"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7065" w:type="dxa"/>
            <w:shd w:val="pct10" w:color="auto" w:fill="auto"/>
            <w:vAlign w:val="center"/>
          </w:tcPr>
          <w:p>
            <w:pPr>
              <w:pStyle w:val="132"/>
              <w:spacing w:before="0" w:after="0"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1042" w:type="dxa"/>
            <w:shd w:val="pct10" w:color="auto" w:fill="auto"/>
            <w:vAlign w:val="center"/>
          </w:tcPr>
          <w:p>
            <w:pPr>
              <w:pStyle w:val="132"/>
              <w:spacing w:before="0" w:after="0"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1182" w:type="dxa"/>
            <w:vMerge w:val="restart"/>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30分</w:t>
            </w:r>
            <w:r>
              <w:rPr>
                <w:rFonts w:hint="eastAsia" w:ascii="宋体" w:hAnsi="宋体" w:eastAsia="宋体" w:cs="宋体"/>
                <w:color w:val="auto"/>
                <w:sz w:val="21"/>
                <w:szCs w:val="21"/>
                <w:highlight w:val="none"/>
              </w:rPr>
              <w:t>）</w:t>
            </w:r>
          </w:p>
        </w:tc>
        <w:tc>
          <w:tcPr>
            <w:tcW w:w="7065"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一、价格分（权值</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p>
            <w:pPr>
              <w:pageBreakBefore w:val="0"/>
              <w:widowControl w:val="0"/>
              <w:kinsoku/>
              <w:wordWrap/>
              <w:overflowPunct/>
              <w:topLinePunct w:val="0"/>
              <w:bidi w:val="0"/>
              <w:adjustRightInd/>
              <w:snapToGrid/>
              <w:spacing w:line="440" w:lineRule="exact"/>
              <w:ind w:left="0" w:firstLine="360" w:firstLineChars="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rPr>
              <w:t>经评标委员会一致认定满足招标文件要求且投标价格最低的 投标报价为评标基准价，其价格得分计</w:t>
            </w:r>
            <w:r>
              <w:rPr>
                <w:rFonts w:hint="eastAsia" w:ascii="宋体" w:hAnsi="宋体" w:eastAsia="宋体" w:cs="宋体"/>
                <w:bCs w:val="0"/>
                <w:color w:val="auto"/>
                <w:kern w:val="0"/>
                <w:sz w:val="21"/>
                <w:szCs w:val="21"/>
                <w:highlight w:val="none"/>
                <w:lang w:val="en-US" w:eastAsia="zh-CN"/>
              </w:rPr>
              <w:t>3</w:t>
            </w:r>
            <w:r>
              <w:rPr>
                <w:rFonts w:hint="eastAsia" w:ascii="宋体" w:hAnsi="宋体" w:eastAsia="宋体" w:cs="宋体"/>
                <w:bCs w:val="0"/>
                <w:color w:val="auto"/>
                <w:kern w:val="0"/>
                <w:sz w:val="21"/>
                <w:szCs w:val="21"/>
                <w:highlight w:val="none"/>
              </w:rPr>
              <w:t>0 分。其他供应商的价格 得分统一按公式计算：价格得分＝（评标基准价÷投标报价）×</w:t>
            </w:r>
            <w:r>
              <w:rPr>
                <w:rFonts w:hint="eastAsia" w:ascii="宋体" w:hAnsi="宋体" w:eastAsia="宋体" w:cs="宋体"/>
                <w:bCs w:val="0"/>
                <w:color w:val="auto"/>
                <w:kern w:val="0"/>
                <w:sz w:val="21"/>
                <w:szCs w:val="21"/>
                <w:highlight w:val="none"/>
                <w:lang w:val="en-US" w:eastAsia="zh-CN"/>
              </w:rPr>
              <w:t>3</w:t>
            </w:r>
            <w:r>
              <w:rPr>
                <w:rFonts w:hint="eastAsia" w:ascii="宋体" w:hAnsi="宋体" w:eastAsia="宋体" w:cs="宋体"/>
                <w:bCs w:val="0"/>
                <w:color w:val="auto"/>
                <w:kern w:val="0"/>
                <w:sz w:val="21"/>
                <w:szCs w:val="21"/>
                <w:highlight w:val="none"/>
              </w:rPr>
              <w:t xml:space="preserve">0*100%     </w:t>
            </w:r>
          </w:p>
          <w:p>
            <w:pPr>
              <w:pageBreakBefore w:val="0"/>
              <w:widowControl w:val="0"/>
              <w:kinsoku/>
              <w:wordWrap/>
              <w:overflowPunct/>
              <w:topLinePunct w:val="0"/>
              <w:bidi w:val="0"/>
              <w:adjustRightInd/>
              <w:snapToGrid/>
              <w:spacing w:line="440" w:lineRule="exact"/>
              <w:ind w:left="0" w:firstLine="36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注：根据财政部第 87 号令第六十条规定：评标委员会认为供应商的报价明显低于其他通过符合性审查供应商的报价，供应商不能证明其报价合理性的，评标委员会将其作为无效投标处理。</w:t>
            </w:r>
          </w:p>
        </w:tc>
        <w:tc>
          <w:tcPr>
            <w:tcW w:w="1042" w:type="dxa"/>
            <w:vMerge w:val="restart"/>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182" w:type="dxa"/>
            <w:vMerge w:val="continue"/>
            <w:vAlign w:val="center"/>
          </w:tcPr>
          <w:p>
            <w:pPr>
              <w:snapToGrid w:val="0"/>
              <w:jc w:val="center"/>
              <w:rPr>
                <w:rFonts w:hint="eastAsia" w:ascii="宋体" w:hAnsi="宋体" w:eastAsia="宋体" w:cs="宋体"/>
                <w:color w:val="auto"/>
                <w:sz w:val="21"/>
                <w:szCs w:val="21"/>
                <w:highlight w:val="none"/>
              </w:rPr>
            </w:pPr>
          </w:p>
        </w:tc>
        <w:tc>
          <w:tcPr>
            <w:tcW w:w="7065" w:type="dxa"/>
            <w:vAlign w:val="center"/>
          </w:tcPr>
          <w:p>
            <w:pPr>
              <w:widowControl/>
              <w:jc w:val="left"/>
              <w:rPr>
                <w:rFonts w:hint="eastAsia" w:ascii="宋体" w:hAnsi="宋体" w:eastAsia="宋体" w:cs="宋体"/>
                <w:color w:val="auto"/>
                <w:kern w:val="0"/>
                <w:sz w:val="21"/>
                <w:szCs w:val="21"/>
                <w:highlight w:val="none"/>
                <w:lang w:val="zh-CN"/>
              </w:rPr>
            </w:pPr>
            <w:r>
              <w:rPr>
                <w:rFonts w:hint="eastAsia" w:ascii="宋体" w:hAnsi="宋体" w:eastAsia="宋体" w:cs="宋体"/>
                <w:bCs w:val="0"/>
                <w:color w:val="auto"/>
                <w:kern w:val="0"/>
                <w:sz w:val="21"/>
                <w:szCs w:val="21"/>
                <w:highlight w:val="none"/>
              </w:rPr>
              <w:t>对小型和微型企业产品的价格给予</w:t>
            </w:r>
            <w:r>
              <w:rPr>
                <w:rFonts w:hint="eastAsia" w:ascii="宋体" w:hAnsi="宋体" w:cs="宋体"/>
                <w:bCs w:val="0"/>
                <w:color w:val="auto"/>
                <w:kern w:val="0"/>
                <w:sz w:val="21"/>
                <w:szCs w:val="21"/>
                <w:highlight w:val="none"/>
                <w:lang w:val="en-US" w:eastAsia="zh-CN"/>
              </w:rPr>
              <w:t>10</w:t>
            </w:r>
            <w:r>
              <w:rPr>
                <w:rFonts w:hint="eastAsia" w:ascii="宋体" w:hAnsi="宋体" w:eastAsia="宋体" w:cs="宋体"/>
                <w:bCs w:val="0"/>
                <w:color w:val="auto"/>
                <w:kern w:val="0"/>
                <w:sz w:val="21"/>
                <w:szCs w:val="21"/>
                <w:highlight w:val="none"/>
              </w:rPr>
              <w:t>%的扣除，用扣除后的价格参与评审。</w:t>
            </w:r>
          </w:p>
        </w:tc>
        <w:tc>
          <w:tcPr>
            <w:tcW w:w="1042" w:type="dxa"/>
            <w:vMerge w:val="continue"/>
            <w:vAlign w:val="center"/>
          </w:tcPr>
          <w:p>
            <w:pPr>
              <w:snapToGrid w:val="0"/>
              <w:rPr>
                <w:rFonts w:hint="eastAsia" w:ascii="宋体" w:hAnsi="宋体" w:eastAsia="宋体" w:cs="宋体"/>
                <w:color w:val="auto"/>
                <w:sz w:val="21"/>
                <w:szCs w:val="21"/>
                <w:highlight w:val="none"/>
              </w:rPr>
            </w:pPr>
          </w:p>
        </w:tc>
      </w:tr>
    </w:tbl>
    <w:p>
      <w:pPr>
        <w:pStyle w:val="4"/>
        <w:numPr>
          <w:ilvl w:val="0"/>
          <w:numId w:val="0"/>
        </w:numPr>
        <w:tabs>
          <w:tab w:val="left" w:pos="576"/>
        </w:tabs>
        <w:spacing w:line="560" w:lineRule="exact"/>
        <w:rPr>
          <w:rFonts w:hint="eastAsia"/>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tbl>
      <w:tblPr>
        <w:tblStyle w:val="41"/>
        <w:tblpPr w:leftFromText="180" w:rightFromText="180" w:vertAnchor="text" w:horzAnchor="page" w:tblpX="1436" w:tblpY="419"/>
        <w:tblOverlap w:val="never"/>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35"/>
        <w:gridCol w:w="107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30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hanging="420" w:hangingChars="200"/>
              <w:jc w:val="center"/>
              <w:rPr>
                <w:rFonts w:hint="eastAsia" w:ascii="宋体" w:hAnsi="宋体" w:eastAsia="宋体" w:cs="宋体"/>
                <w:bCs w:val="0"/>
                <w:color w:val="auto"/>
                <w:kern w:val="0"/>
                <w:sz w:val="21"/>
                <w:szCs w:val="21"/>
                <w:highlight w:val="none"/>
                <w:lang w:val="zh-CN"/>
              </w:rPr>
            </w:pPr>
          </w:p>
        </w:tc>
        <w:tc>
          <w:tcPr>
            <w:tcW w:w="133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jc w:val="left"/>
              <w:rPr>
                <w:rFonts w:hint="eastAsia" w:ascii="宋体" w:hAnsi="宋体" w:eastAsia="宋体" w:cs="宋体"/>
                <w:bCs w:val="0"/>
                <w:color w:val="auto"/>
                <w:kern w:val="0"/>
                <w:sz w:val="21"/>
                <w:szCs w:val="21"/>
                <w:highlight w:val="none"/>
                <w:lang w:val="zh-CN"/>
              </w:rPr>
            </w:pPr>
            <w:r>
              <w:rPr>
                <w:rFonts w:hint="eastAsia" w:ascii="宋体" w:hAnsi="宋体" w:eastAsia="宋体" w:cs="宋体"/>
                <w:b/>
                <w:color w:val="auto"/>
                <w:kern w:val="2"/>
                <w:sz w:val="21"/>
                <w:szCs w:val="21"/>
                <w:highlight w:val="none"/>
              </w:rPr>
              <w:t>评审要素</w:t>
            </w:r>
          </w:p>
        </w:tc>
        <w:tc>
          <w:tcPr>
            <w:tcW w:w="107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firstLine="0" w:firstLineChars="0"/>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4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firstLine="211" w:firstLineChars="100"/>
              <w:jc w:val="center"/>
              <w:rPr>
                <w:rFonts w:hint="eastAsia" w:ascii="宋体" w:hAnsi="宋体" w:eastAsia="宋体" w:cs="宋体"/>
                <w:bCs w:val="0"/>
                <w:color w:val="auto"/>
                <w:kern w:val="0"/>
                <w:sz w:val="21"/>
                <w:szCs w:val="21"/>
                <w:highlight w:val="none"/>
                <w:lang w:val="zh-CN"/>
              </w:rPr>
            </w:pPr>
            <w:r>
              <w:rPr>
                <w:rFonts w:hint="eastAsia" w:ascii="宋体" w:hAnsi="宋体" w:eastAsia="宋体" w:cs="宋体"/>
                <w:b/>
                <w:color w:val="auto"/>
                <w:kern w:val="2"/>
                <w:sz w:val="21"/>
                <w:szCs w:val="21"/>
                <w:highlight w:val="none"/>
              </w:rPr>
              <w:t>考评的主要内容（评分细则）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0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highlight w:val="none"/>
                <w:u w:val="none"/>
                <w:lang w:val="zh-CN" w:eastAsia="zh-CN" w:bidi="ar"/>
              </w:rPr>
            </w:pPr>
            <w:r>
              <w:rPr>
                <w:rFonts w:hint="eastAsia" w:ascii="宋体" w:hAnsi="宋体" w:eastAsia="宋体" w:cs="宋体"/>
                <w:i w:val="0"/>
                <w:color w:val="000000"/>
                <w:kern w:val="0"/>
                <w:sz w:val="21"/>
                <w:szCs w:val="21"/>
                <w:highlight w:val="none"/>
                <w:u w:val="none"/>
                <w:lang w:val="zh-CN" w:eastAsia="zh-CN" w:bidi="ar"/>
              </w:rPr>
              <w:t>商务部分</w:t>
            </w:r>
          </w:p>
          <w:p>
            <w:pPr>
              <w:pageBreakBefore w:val="0"/>
              <w:widowControl w:val="0"/>
              <w:kinsoku/>
              <w:wordWrap/>
              <w:overflowPunct/>
              <w:topLinePunct w:val="0"/>
              <w:bidi w:val="0"/>
              <w:adjustRightInd/>
              <w:snapToGrid/>
              <w:spacing w:line="440" w:lineRule="exact"/>
              <w:ind w:left="0" w:hanging="420" w:hangingChars="200"/>
              <w:jc w:val="center"/>
              <w:rPr>
                <w:rFonts w:hint="eastAsia" w:ascii="宋体" w:hAnsi="宋体" w:eastAsia="宋体" w:cs="宋体"/>
                <w:bCs w:val="0"/>
                <w:color w:val="auto"/>
                <w:kern w:val="0"/>
                <w:sz w:val="21"/>
                <w:szCs w:val="21"/>
                <w:highlight w:val="none"/>
                <w:lang w:val="zh-CN"/>
              </w:rPr>
            </w:pPr>
            <w:r>
              <w:rPr>
                <w:rFonts w:hint="eastAsia" w:ascii="宋体" w:hAnsi="宋体" w:eastAsia="宋体" w:cs="宋体"/>
                <w:i w:val="0"/>
                <w:color w:val="000000"/>
                <w:kern w:val="0"/>
                <w:sz w:val="21"/>
                <w:szCs w:val="21"/>
                <w:highlight w:val="none"/>
                <w:u w:val="none"/>
                <w:lang w:val="zh-CN" w:eastAsia="zh-CN" w:bidi="ar"/>
              </w:rPr>
              <w:t>（</w:t>
            </w:r>
            <w:r>
              <w:rPr>
                <w:rFonts w:hint="eastAsia" w:ascii="宋体" w:hAnsi="宋体" w:eastAsia="宋体" w:cs="宋体"/>
                <w:i w:val="0"/>
                <w:color w:val="000000"/>
                <w:kern w:val="0"/>
                <w:sz w:val="21"/>
                <w:szCs w:val="21"/>
                <w:highlight w:val="none"/>
                <w:u w:val="none"/>
                <w:lang w:val="en-US" w:eastAsia="zh-CN" w:bidi="ar"/>
              </w:rPr>
              <w:t>20</w:t>
            </w:r>
            <w:r>
              <w:rPr>
                <w:rFonts w:hint="eastAsia" w:ascii="宋体" w:hAnsi="宋体" w:eastAsia="宋体" w:cs="宋体"/>
                <w:i w:val="0"/>
                <w:color w:val="000000"/>
                <w:kern w:val="0"/>
                <w:sz w:val="21"/>
                <w:szCs w:val="21"/>
                <w:highlight w:val="none"/>
                <w:u w:val="none"/>
                <w:lang w:val="zh-CN" w:eastAsia="zh-CN" w:bidi="ar"/>
              </w:rPr>
              <w:t>分）</w:t>
            </w:r>
          </w:p>
        </w:tc>
        <w:tc>
          <w:tcPr>
            <w:tcW w:w="133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企业能力</w:t>
            </w: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12</w:t>
            </w:r>
            <w:r>
              <w:rPr>
                <w:rFonts w:hint="eastAsia" w:ascii="宋体" w:hAnsi="宋体" w:eastAsia="宋体" w:cs="宋体"/>
                <w:sz w:val="21"/>
                <w:szCs w:val="21"/>
                <w:lang w:val="en-US" w:eastAsia="zh-CN"/>
              </w:rPr>
              <w:t>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投标人近3年类似业绩，提供</w:t>
            </w:r>
            <w:r>
              <w:rPr>
                <w:rFonts w:hint="eastAsia" w:ascii="宋体" w:hAnsi="宋体" w:eastAsia="宋体" w:cs="宋体"/>
                <w:color w:val="auto"/>
                <w:kern w:val="2"/>
                <w:sz w:val="21"/>
                <w:szCs w:val="21"/>
                <w:lang w:val="en-US" w:eastAsia="zh-CN" w:bidi="ar-SA"/>
              </w:rPr>
              <w:t>2020年至今类似业绩</w:t>
            </w:r>
            <w:r>
              <w:rPr>
                <w:rFonts w:hint="eastAsia" w:ascii="宋体" w:hAnsi="宋体" w:eastAsia="宋体" w:cs="宋体"/>
                <w:color w:val="auto"/>
                <w:kern w:val="2"/>
                <w:sz w:val="21"/>
                <w:szCs w:val="21"/>
                <w:lang w:val="zh-CN" w:eastAsia="zh-CN" w:bidi="ar-SA"/>
              </w:rPr>
              <w:t>合同关键页复印件（包括：合同金额、买卖双方名称及盖章、合同清单。）每个业绩</w:t>
            </w: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zh-CN" w:eastAsia="zh-CN" w:bidi="ar-SA"/>
              </w:rPr>
              <w:t>分，最多得</w:t>
            </w:r>
            <w:r>
              <w:rPr>
                <w:rFonts w:hint="eastAsia" w:ascii="宋体" w:hAnsi="宋体" w:cs="宋体"/>
                <w:color w:val="auto"/>
                <w:kern w:val="2"/>
                <w:sz w:val="21"/>
                <w:szCs w:val="21"/>
                <w:lang w:val="en-US" w:eastAsia="zh-CN" w:bidi="ar-SA"/>
              </w:rPr>
              <w:t>12</w:t>
            </w:r>
            <w:r>
              <w:rPr>
                <w:rFonts w:hint="eastAsia" w:ascii="宋体" w:hAnsi="宋体" w:eastAsia="宋体" w:cs="宋体"/>
                <w:color w:val="auto"/>
                <w:kern w:val="2"/>
                <w:sz w:val="21"/>
                <w:szCs w:val="21"/>
                <w:lang w:val="zh-CN" w:eastAsia="zh-CN" w:bidi="ar-SA"/>
              </w:rPr>
              <w:t>分</w:t>
            </w:r>
            <w:r>
              <w:rPr>
                <w:rFonts w:hint="eastAsia" w:ascii="宋体" w:hAnsi="宋体" w:cs="宋体"/>
                <w:color w:val="auto"/>
                <w:kern w:val="2"/>
                <w:sz w:val="21"/>
                <w:szCs w:val="21"/>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04" w:type="dxa"/>
            <w:vMerge w:val="continue"/>
            <w:tcBorders>
              <w:left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hanging="420" w:hangingChars="200"/>
              <w:jc w:val="center"/>
              <w:rPr>
                <w:rFonts w:hint="eastAsia" w:ascii="宋体" w:hAnsi="宋体" w:eastAsia="宋体" w:cs="宋体"/>
                <w:bCs w:val="0"/>
                <w:color w:val="auto"/>
                <w:kern w:val="0"/>
                <w:sz w:val="21"/>
                <w:szCs w:val="21"/>
                <w:highlight w:val="none"/>
                <w:lang w:val="zh-CN"/>
              </w:rPr>
            </w:pPr>
          </w:p>
        </w:tc>
        <w:tc>
          <w:tcPr>
            <w:tcW w:w="133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6</w:t>
            </w:r>
            <w:r>
              <w:rPr>
                <w:rFonts w:hint="eastAsia" w:ascii="宋体" w:hAnsi="宋体" w:eastAsia="宋体" w:cs="宋体"/>
                <w:sz w:val="21"/>
                <w:szCs w:val="21"/>
                <w:lang w:val="en-US" w:eastAsia="zh-CN"/>
              </w:rPr>
              <w:t>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根据</w:t>
            </w:r>
            <w:r>
              <w:rPr>
                <w:rFonts w:hint="eastAsia" w:ascii="宋体" w:hAnsi="宋体" w:eastAsia="宋体" w:cs="宋体"/>
                <w:color w:val="auto"/>
                <w:kern w:val="2"/>
                <w:sz w:val="21"/>
                <w:szCs w:val="21"/>
                <w:lang w:val="en-US" w:eastAsia="zh-CN" w:bidi="ar-SA"/>
              </w:rPr>
              <w:t>供应商</w:t>
            </w:r>
            <w:r>
              <w:rPr>
                <w:rFonts w:hint="eastAsia" w:ascii="宋体" w:hAnsi="宋体" w:eastAsia="宋体" w:cs="宋体"/>
                <w:color w:val="auto"/>
                <w:kern w:val="2"/>
                <w:sz w:val="21"/>
                <w:szCs w:val="21"/>
                <w:lang w:val="zh-CN" w:eastAsia="zh-CN" w:bidi="ar-SA"/>
              </w:rPr>
              <w:t>提供的生产厂家供应能力证明，包括但不限于：①生产厂家的生产场地、②生产加工设备、③检测设备。</w:t>
            </w:r>
          </w:p>
          <w:p>
            <w:pPr>
              <w:keepNext w:val="0"/>
              <w:keepLines w:val="0"/>
              <w:widowControl/>
              <w:suppressLineNumbers w:val="0"/>
              <w:jc w:val="both"/>
              <w:textAlignment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针对以上3项内容进行评审，逐项打分，每项</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zh-CN" w:eastAsia="zh-CN" w:bidi="ar-SA"/>
              </w:rPr>
              <w:t>分，共</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kern w:val="2"/>
                <w:sz w:val="21"/>
                <w:szCs w:val="21"/>
                <w:lang w:val="zh-CN" w:eastAsia="zh-CN" w:bidi="ar-SA"/>
              </w:rPr>
              <w:t>分：每项评审标准：①生产供应能力证明材料内容全面详细、具体、合理、针对性强、有利于项目履约得2分；②生产供应能力证明材料内容不够全面、不够详细、不够具体、不够合理，针对性有所欠缺得1分；③无法达到采购要求或未提供相应证明材料每项得0分。</w:t>
            </w:r>
          </w:p>
          <w:p>
            <w:pPr>
              <w:keepNext w:val="0"/>
              <w:keepLines w:val="0"/>
              <w:widowControl/>
              <w:suppressLineNumbers w:val="0"/>
              <w:jc w:val="both"/>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zh-CN" w:eastAsia="zh-CN" w:bidi="ar-SA"/>
              </w:rPr>
              <w:t>注：须提供生产场地产权证明或租赁合同证明、厂房及设备照片等相关证明文件复印件。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04" w:type="dxa"/>
            <w:vMerge w:val="continue"/>
            <w:tcBorders>
              <w:left w:val="single" w:color="auto" w:sz="4" w:space="0"/>
              <w:right w:val="single" w:color="auto" w:sz="4" w:space="0"/>
            </w:tcBorders>
            <w:vAlign w:val="center"/>
          </w:tcPr>
          <w:p>
            <w:pPr>
              <w:pageBreakBefore w:val="0"/>
              <w:widowControl w:val="0"/>
              <w:kinsoku/>
              <w:wordWrap/>
              <w:overflowPunct/>
              <w:topLinePunct w:val="0"/>
              <w:bidi w:val="0"/>
              <w:adjustRightInd/>
              <w:snapToGrid/>
              <w:spacing w:line="440" w:lineRule="exact"/>
              <w:ind w:left="0" w:hanging="420" w:hangingChars="200"/>
              <w:jc w:val="center"/>
              <w:rPr>
                <w:rFonts w:hint="eastAsia" w:ascii="宋体" w:hAnsi="宋体" w:eastAsia="宋体" w:cs="宋体"/>
                <w:bCs w:val="0"/>
                <w:color w:val="auto"/>
                <w:kern w:val="0"/>
                <w:sz w:val="21"/>
                <w:szCs w:val="21"/>
                <w:highlight w:val="none"/>
                <w:lang w:val="zh-CN"/>
              </w:rPr>
            </w:pP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kern w:val="2"/>
                <w:sz w:val="21"/>
                <w:szCs w:val="21"/>
                <w:lang w:val="zh-CN" w:eastAsia="zh-CN" w:bidi="ar-SA"/>
              </w:rPr>
            </w:pPr>
            <w:r>
              <w:rPr>
                <w:rFonts w:hint="eastAsia" w:ascii="宋体" w:hAnsi="宋体" w:cs="宋体"/>
                <w:sz w:val="21"/>
                <w:szCs w:val="21"/>
                <w:lang w:val="en-US" w:eastAsia="zh-CN"/>
              </w:rPr>
              <w:t>财务状况</w:t>
            </w: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提供2021年</w:t>
            </w:r>
            <w:r>
              <w:rPr>
                <w:rFonts w:hint="eastAsia" w:ascii="宋体" w:hAnsi="宋体" w:cs="宋体"/>
                <w:color w:val="auto"/>
                <w:kern w:val="2"/>
                <w:sz w:val="21"/>
                <w:szCs w:val="21"/>
                <w:lang w:val="en-US" w:eastAsia="zh-CN" w:bidi="ar-SA"/>
              </w:rPr>
              <w:t>或2022年</w:t>
            </w:r>
            <w:r>
              <w:rPr>
                <w:rFonts w:hint="eastAsia" w:ascii="宋体" w:hAnsi="宋体" w:eastAsia="宋体" w:cs="宋体"/>
                <w:color w:val="auto"/>
                <w:kern w:val="2"/>
                <w:sz w:val="21"/>
                <w:szCs w:val="21"/>
                <w:lang w:val="zh-CN" w:eastAsia="zh-CN" w:bidi="ar-SA"/>
              </w:rPr>
              <w:t>由第三方机构出具的财务审计报告，公司成立未满一年的需提供资信证明。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304" w:type="dxa"/>
            <w:vMerge w:val="restart"/>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zh-CN" w:eastAsia="zh-CN" w:bidi="ar"/>
              </w:rPr>
            </w:pPr>
            <w:r>
              <w:rPr>
                <w:rFonts w:hint="eastAsia" w:ascii="宋体" w:hAnsi="宋体" w:eastAsia="宋体" w:cs="宋体"/>
                <w:i w:val="0"/>
                <w:color w:val="000000"/>
                <w:kern w:val="0"/>
                <w:sz w:val="21"/>
                <w:szCs w:val="21"/>
                <w:highlight w:val="none"/>
                <w:u w:val="none"/>
                <w:lang w:val="zh-CN" w:eastAsia="zh-CN" w:bidi="ar"/>
              </w:rPr>
              <w:t>技术部分</w:t>
            </w:r>
          </w:p>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zh-CN" w:eastAsia="zh-CN" w:bidi="ar"/>
              </w:rPr>
            </w:pPr>
            <w:r>
              <w:rPr>
                <w:rFonts w:hint="eastAsia" w:ascii="宋体" w:hAnsi="宋体" w:eastAsia="宋体" w:cs="宋体"/>
                <w:i w:val="0"/>
                <w:color w:val="000000"/>
                <w:kern w:val="0"/>
                <w:sz w:val="21"/>
                <w:szCs w:val="21"/>
                <w:highlight w:val="none"/>
                <w:u w:val="none"/>
                <w:lang w:val="zh-CN" w:eastAsia="zh-CN" w:bidi="ar"/>
              </w:rPr>
              <w:t>（</w:t>
            </w:r>
            <w:r>
              <w:rPr>
                <w:rFonts w:hint="eastAsia" w:ascii="宋体" w:hAnsi="宋体" w:eastAsia="宋体" w:cs="宋体"/>
                <w:i w:val="0"/>
                <w:color w:val="000000"/>
                <w:kern w:val="0"/>
                <w:sz w:val="21"/>
                <w:szCs w:val="21"/>
                <w:highlight w:val="none"/>
                <w:u w:val="none"/>
                <w:lang w:val="en-US" w:eastAsia="zh-CN" w:bidi="ar"/>
              </w:rPr>
              <w:t>50</w:t>
            </w:r>
            <w:r>
              <w:rPr>
                <w:rFonts w:hint="eastAsia" w:ascii="宋体" w:hAnsi="宋体" w:eastAsia="宋体" w:cs="宋体"/>
                <w:i w:val="0"/>
                <w:color w:val="000000"/>
                <w:kern w:val="0"/>
                <w:sz w:val="21"/>
                <w:szCs w:val="21"/>
                <w:highlight w:val="none"/>
                <w:u w:val="none"/>
                <w:lang w:val="zh-CN" w:eastAsia="zh-CN" w:bidi="ar"/>
              </w:rPr>
              <w:t>分）</w:t>
            </w:r>
          </w:p>
        </w:tc>
        <w:tc>
          <w:tcPr>
            <w:tcW w:w="1335"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产品配置 </w:t>
            </w:r>
          </w:p>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及技术参 </w:t>
            </w:r>
          </w:p>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数 </w:t>
            </w:r>
          </w:p>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bidi="ar"/>
              </w:rPr>
              <w:t>20</w:t>
            </w:r>
            <w:r>
              <w:rPr>
                <w:rFonts w:hint="eastAsia" w:ascii="宋体" w:hAnsi="宋体" w:eastAsia="宋体" w:cs="宋体"/>
                <w:color w:val="000000"/>
                <w:kern w:val="0"/>
                <w:sz w:val="21"/>
                <w:szCs w:val="21"/>
                <w:lang w:val="en-US" w:eastAsia="zh-CN" w:bidi="ar"/>
              </w:rPr>
              <w:t xml:space="preserve"> 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根据投标货物详细技术参数、性能及功能指标的响应程度，完全符合要求的得基础分</w:t>
            </w:r>
            <w:r>
              <w:rPr>
                <w:rFonts w:hint="eastAsia" w:ascii="宋体" w:hAnsi="宋体" w:cs="宋体"/>
                <w:color w:val="auto"/>
                <w:kern w:val="0"/>
                <w:sz w:val="21"/>
                <w:szCs w:val="21"/>
                <w:lang w:val="en-US" w:eastAsia="zh-CN" w:bidi="ar"/>
              </w:rPr>
              <w:t>20</w:t>
            </w:r>
            <w:r>
              <w:rPr>
                <w:rFonts w:hint="eastAsia" w:ascii="宋体" w:hAnsi="宋体" w:eastAsia="宋体" w:cs="宋体"/>
                <w:color w:val="auto"/>
                <w:kern w:val="0"/>
                <w:sz w:val="21"/>
                <w:szCs w:val="21"/>
                <w:lang w:val="en-US" w:eastAsia="zh-CN" w:bidi="ar"/>
              </w:rPr>
              <w:t xml:space="preserve"> 分。参数及指标不清、有缺漏项或不满足的，每处扣 </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 xml:space="preserve"> 分，扣完为止。（粘贴复制采购需求的本项不得分）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zh-CN" w:eastAsia="zh-CN" w:bidi="ar"/>
              </w:rPr>
            </w:pPr>
          </w:p>
        </w:tc>
        <w:tc>
          <w:tcPr>
            <w:tcW w:w="1335"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产品的使用维护</w:t>
            </w:r>
          </w:p>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投标货物易于使用、方便维修维护，对使用人员限制要求低，简单实用、后期升级维修更换成本较低且所需配件易采购， 全能满足采购需求的得</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分，出现一处瑕疵或不符合的扣</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highlight w:val="none"/>
                <w:u w:val="none"/>
                <w:lang w:val="zh-CN" w:eastAsia="zh-CN" w:bidi="ar"/>
              </w:rPr>
            </w:pPr>
          </w:p>
        </w:tc>
        <w:tc>
          <w:tcPr>
            <w:tcW w:w="1335"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项目实施 </w:t>
            </w:r>
          </w:p>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w:t>
            </w:r>
          </w:p>
          <w:p>
            <w:pPr>
              <w:keepNext w:val="0"/>
              <w:keepLines w:val="0"/>
              <w:widowControl/>
              <w:suppressLineNumbers w:val="0"/>
              <w:jc w:val="both"/>
              <w:textAlignment w:val="center"/>
              <w:rPr>
                <w:rFonts w:hint="eastAsia" w:ascii="宋体" w:hAnsi="宋体" w:eastAsia="宋体" w:cs="宋体"/>
                <w:sz w:val="21"/>
                <w:szCs w:val="21"/>
                <w:lang w:val="en-US" w:eastAsia="zh-CN"/>
              </w:rPr>
            </w:pP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投标人的设备的运输、安装、调试方案科学完整计 </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 xml:space="preserve"> 分；运输、安装、调试方案合理性完整性一般的记 </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 xml:space="preserve"> 分；设备的运输、安装、调试、服务方案差的计 1 分。无方案不计分。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highlight w:val="none"/>
                <w:u w:val="none"/>
                <w:lang w:val="zh-CN" w:eastAsia="zh-CN" w:bidi="ar"/>
              </w:rPr>
            </w:pPr>
          </w:p>
        </w:tc>
        <w:tc>
          <w:tcPr>
            <w:tcW w:w="1335"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售后服务方案</w:t>
            </w: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评审小组对投标人的售后服务方案中综合服务体系满足项目需求的要素等进行综合评判：方案完整、合理，针对性强的计</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分；方案较完整、较合理、针对性较强的计</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分；方案有缺陷，合理性和针对性一般的计 </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分；未提供方案的计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304" w:type="dxa"/>
            <w:vMerge w:val="continue"/>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highlight w:val="none"/>
                <w:u w:val="none"/>
                <w:lang w:val="zh-CN" w:eastAsia="zh-CN" w:bidi="ar"/>
              </w:rPr>
            </w:pPr>
          </w:p>
        </w:tc>
        <w:tc>
          <w:tcPr>
            <w:tcW w:w="1335" w:type="dxa"/>
            <w:tcBorders>
              <w:left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标书质量</w:t>
            </w:r>
          </w:p>
        </w:tc>
        <w:tc>
          <w:tcPr>
            <w:tcW w:w="10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2分</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标书制作规范，有目录索引、编页、排版等制作规范得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分，每有一处错误或材料缺失扣1分，扣完为止；</w:t>
            </w:r>
          </w:p>
        </w:tc>
      </w:tr>
    </w:tbl>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bCs/>
          <w:color w:val="auto"/>
          <w:sz w:val="21"/>
          <w:szCs w:val="21"/>
          <w:highlight w:val="none"/>
        </w:rPr>
        <w:t>26.4</w:t>
      </w:r>
      <w:r>
        <w:rPr>
          <w:rFonts w:hint="eastAsia" w:ascii="宋体" w:hAnsi="宋体" w:eastAsia="宋体" w:cs="宋体"/>
          <w:color w:val="auto"/>
          <w:sz w:val="21"/>
          <w:szCs w:val="21"/>
          <w:highlight w:val="none"/>
          <w:shd w:val="clear" w:color="auto" w:fill="FFFFFF"/>
          <w:lang w:eastAsia="zh-CN"/>
        </w:rPr>
        <w:t>投标</w:t>
      </w:r>
      <w:r>
        <w:rPr>
          <w:rFonts w:hint="eastAsia" w:ascii="宋体" w:hAnsi="宋体" w:eastAsia="宋体" w:cs="宋体"/>
          <w:color w:val="auto"/>
          <w:sz w:val="21"/>
          <w:szCs w:val="21"/>
          <w:highlight w:val="none"/>
          <w:shd w:val="clear" w:color="auto" w:fill="FFFFFF"/>
        </w:rPr>
        <w:t>小组应当根据综合评分情况，按照评审得分由高到低顺序推荐3名以上</w:t>
      </w:r>
      <w:r>
        <w:rPr>
          <w:rFonts w:hint="eastAsia" w:ascii="宋体" w:hAnsi="宋体" w:cs="宋体"/>
          <w:color w:val="auto"/>
          <w:sz w:val="21"/>
          <w:szCs w:val="21"/>
          <w:highlight w:val="none"/>
          <w:shd w:val="clear" w:color="auto" w:fill="FFFFFF"/>
          <w:lang w:eastAsia="zh-CN"/>
        </w:rPr>
        <w:t>中标</w:t>
      </w:r>
      <w:r>
        <w:rPr>
          <w:rFonts w:hint="eastAsia" w:ascii="宋体" w:hAnsi="宋体" w:eastAsia="宋体" w:cs="宋体"/>
          <w:color w:val="auto"/>
          <w:sz w:val="21"/>
          <w:szCs w:val="21"/>
          <w:highlight w:val="none"/>
          <w:shd w:val="clear" w:color="auto" w:fill="FFFFFF"/>
        </w:rPr>
        <w:t>候选供应商。评审得分相同的，按照最后报价由低到高的顺序推荐。评审得分且最后报价相同的，按照设计指标优劣顺序推荐。</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26.5采购人根据</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小组推荐的</w:t>
      </w:r>
      <w:r>
        <w:rPr>
          <w:rFonts w:hint="eastAsia" w:ascii="宋体" w:hAnsi="宋体" w:cs="宋体"/>
          <w:bCs/>
          <w:color w:val="auto"/>
          <w:sz w:val="21"/>
          <w:szCs w:val="21"/>
          <w:highlight w:val="none"/>
          <w:lang w:eastAsia="zh-CN"/>
        </w:rPr>
        <w:t>中标</w:t>
      </w:r>
      <w:r>
        <w:rPr>
          <w:rFonts w:hint="eastAsia" w:ascii="宋体" w:hAnsi="宋体" w:eastAsia="宋体" w:cs="宋体"/>
          <w:bCs/>
          <w:color w:val="auto"/>
          <w:sz w:val="21"/>
          <w:szCs w:val="21"/>
          <w:highlight w:val="none"/>
        </w:rPr>
        <w:t>候选供应商名单，根据相关法律法规的规定确定最终</w:t>
      </w:r>
      <w:r>
        <w:rPr>
          <w:rFonts w:hint="eastAsia" w:ascii="宋体" w:hAnsi="宋体" w:cs="宋体"/>
          <w:bCs/>
          <w:color w:val="auto"/>
          <w:sz w:val="21"/>
          <w:szCs w:val="21"/>
          <w:highlight w:val="none"/>
          <w:lang w:eastAsia="zh-CN"/>
        </w:rPr>
        <w:t>中标</w:t>
      </w:r>
      <w:r>
        <w:rPr>
          <w:rFonts w:hint="eastAsia" w:ascii="宋体" w:hAnsi="宋体" w:eastAsia="宋体" w:cs="宋体"/>
          <w:bCs/>
          <w:color w:val="auto"/>
          <w:sz w:val="21"/>
          <w:szCs w:val="21"/>
          <w:highlight w:val="none"/>
        </w:rPr>
        <w:t>商。如果排名第一的</w:t>
      </w:r>
      <w:r>
        <w:rPr>
          <w:rFonts w:hint="eastAsia" w:ascii="宋体" w:hAnsi="宋体" w:cs="宋体"/>
          <w:bCs/>
          <w:color w:val="auto"/>
          <w:sz w:val="21"/>
          <w:szCs w:val="21"/>
          <w:highlight w:val="none"/>
          <w:lang w:eastAsia="zh-CN"/>
        </w:rPr>
        <w:t>中标</w:t>
      </w:r>
      <w:r>
        <w:rPr>
          <w:rFonts w:hint="eastAsia" w:ascii="宋体" w:hAnsi="宋体" w:eastAsia="宋体" w:cs="宋体"/>
          <w:bCs/>
          <w:color w:val="auto"/>
          <w:sz w:val="21"/>
          <w:szCs w:val="21"/>
          <w:highlight w:val="none"/>
        </w:rPr>
        <w:t>候选供应商的实际情况与其</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资料不相符，将取消其</w:t>
      </w:r>
      <w:r>
        <w:rPr>
          <w:rFonts w:hint="eastAsia" w:ascii="宋体" w:hAnsi="宋体" w:cs="宋体"/>
          <w:bCs/>
          <w:color w:val="auto"/>
          <w:sz w:val="21"/>
          <w:szCs w:val="21"/>
          <w:highlight w:val="none"/>
          <w:lang w:eastAsia="zh-CN"/>
        </w:rPr>
        <w:t>中标</w:t>
      </w:r>
      <w:r>
        <w:rPr>
          <w:rFonts w:hint="eastAsia" w:ascii="宋体" w:hAnsi="宋体" w:eastAsia="宋体" w:cs="宋体"/>
          <w:bCs/>
          <w:color w:val="auto"/>
          <w:sz w:val="21"/>
          <w:szCs w:val="21"/>
          <w:highlight w:val="none"/>
        </w:rPr>
        <w:t>资格，由排名第二的</w:t>
      </w:r>
      <w:r>
        <w:rPr>
          <w:rFonts w:hint="eastAsia" w:ascii="宋体" w:hAnsi="宋体" w:cs="宋体"/>
          <w:bCs/>
          <w:color w:val="auto"/>
          <w:sz w:val="21"/>
          <w:szCs w:val="21"/>
          <w:highlight w:val="none"/>
          <w:lang w:eastAsia="zh-CN"/>
        </w:rPr>
        <w:t>中标</w:t>
      </w:r>
      <w:r>
        <w:rPr>
          <w:rFonts w:hint="eastAsia" w:ascii="宋体" w:hAnsi="宋体" w:eastAsia="宋体" w:cs="宋体"/>
          <w:bCs/>
          <w:color w:val="auto"/>
          <w:sz w:val="21"/>
          <w:szCs w:val="21"/>
          <w:highlight w:val="none"/>
        </w:rPr>
        <w:t>候选供应商递补，以此类推。</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26.6本项目将对小型和微型企业产品的价格给予</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 投标人报价中不属于小型和微型企业产品的价格部分；否则，其评标价=投标人报价。</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过程的保密性</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后，直到授予合同为止，凡是属于审查、澄清、评价和比较的有关资料以及授予</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方的建议等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小组成员或参与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的有关工作人员均不得向供应商或其他无关的人员透露，违者给予警告、取消担任</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小组成员的资格，不得再参加任何项目的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供应商在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过程中，所进行的力图影响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结果的，不符合《政府采购法》及本次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中有关规定的活动，将被取消其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资格。</w:t>
      </w:r>
    </w:p>
    <w:p>
      <w:pPr>
        <w:pStyle w:val="4"/>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bookmarkStart w:id="45" w:name="_Toc349573126"/>
      <w:bookmarkStart w:id="46" w:name="_Toc298240410"/>
      <w:bookmarkStart w:id="47" w:name="_Toc462223637"/>
      <w:bookmarkStart w:id="48" w:name="_Toc349637925"/>
      <w:bookmarkStart w:id="49" w:name="_Toc267301287"/>
      <w:r>
        <w:rPr>
          <w:rFonts w:hint="eastAsia" w:ascii="宋体" w:hAnsi="宋体" w:eastAsia="宋体" w:cs="宋体"/>
          <w:color w:val="auto"/>
          <w:sz w:val="21"/>
          <w:szCs w:val="21"/>
          <w:highlight w:val="none"/>
        </w:rPr>
        <w:t>（六）  授予合同</w:t>
      </w:r>
      <w:bookmarkEnd w:id="45"/>
      <w:bookmarkEnd w:id="46"/>
      <w:bookmarkEnd w:id="47"/>
      <w:bookmarkEnd w:id="48"/>
      <w:bookmarkEnd w:id="49"/>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28、合同授予标准</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r>
        <w:rPr>
          <w:rFonts w:hint="eastAsia" w:ascii="宋体" w:hAnsi="宋体" w:eastAsia="宋体" w:cs="宋体"/>
          <w:bCs/>
          <w:color w:val="auto"/>
          <w:sz w:val="21"/>
          <w:szCs w:val="21"/>
          <w:highlight w:val="none"/>
        </w:rPr>
        <w:t>合同将授予被确定为实质上响应</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文件要求，符合采购需求、质量和服务相等且报价最低的供应商</w:t>
      </w:r>
      <w:r>
        <w:rPr>
          <w:rFonts w:hint="eastAsia" w:ascii="宋体" w:hAnsi="宋体" w:eastAsia="宋体" w:cs="宋体"/>
          <w:color w:val="auto"/>
          <w:sz w:val="21"/>
          <w:szCs w:val="21"/>
          <w:highlight w:val="none"/>
        </w:rPr>
        <w:t>。</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最低报价不一定是被授予合同的保证。</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 如果确定该供应商无法圆满履行合同，招标代理机构将对下一个可能中标的供应商资格作出类似的审查。</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29、接受和拒绝任何或所有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的权力</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29.1为维护国家利益，买方在授予合同之前仍有选择或拒绝任何全部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的权力，并对所采取的行为不作任何解释。</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通知书</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30.1 </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公告期满后，招标代理机构将以书面形式发出《</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通知书》，但发出时间不超过</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有效期，《</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通知书》一经发出即发生法律效力。</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 《</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通知书》将作为签订合同的依据。</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 招标代理机构将在</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方按规定签订合同并提交履约保证金后退还其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31、签订合同</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供应商收到《</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通知书》后，按《</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通知书》中规定的时间地点与买方签订合同。买方和</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方不得再订立背离合同实质性内容的其他协议。</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31.2如</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方拒签合同，则按违约处理。招标代理机构没收其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w:t>
      </w:r>
    </w:p>
    <w:p>
      <w:pPr>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文件及其澄清文件等，均为签订经济合同的依据。</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32、履约保证金</w:t>
      </w:r>
    </w:p>
    <w:p>
      <w:pPr>
        <w:kinsoku/>
        <w:wordWrap/>
        <w:topLinePunct w:val="0"/>
        <w:bidi w:val="0"/>
        <w:spacing w:beforeAutospacing="0" w:afterAutospacing="0" w:line="400" w:lineRule="exact"/>
        <w:ind w:left="298" w:leftChars="0" w:right="0" w:rightChars="0" w:hanging="298" w:hangingChars="1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方应按合同规定的方式、时间和金额向买方提交履约保证金。</w:t>
      </w:r>
    </w:p>
    <w:p>
      <w:pPr>
        <w:kinsoku/>
        <w:wordWrap/>
        <w:topLinePunct w:val="0"/>
        <w:bidi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33、招标代理服务费</w:t>
      </w:r>
    </w:p>
    <w:p>
      <w:pPr>
        <w:pStyle w:val="25"/>
        <w:kinsoku/>
        <w:wordWrap/>
        <w:topLinePunct w:val="0"/>
        <w:bidi w:val="0"/>
        <w:spacing w:beforeAutospacing="0" w:afterAutospacing="0"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r>
        <w:rPr>
          <w:rFonts w:hint="eastAsia" w:hAnsi="宋体" w:cs="宋体"/>
          <w:color w:val="auto"/>
          <w:sz w:val="21"/>
          <w:szCs w:val="21"/>
          <w:highlight w:val="none"/>
          <w:lang w:eastAsia="zh-CN"/>
        </w:rPr>
        <w:t>中标</w:t>
      </w:r>
      <w:r>
        <w:rPr>
          <w:rFonts w:hint="eastAsia" w:ascii="宋体" w:hAnsi="宋体" w:eastAsia="宋体" w:cs="宋体"/>
          <w:color w:val="auto"/>
          <w:sz w:val="21"/>
          <w:szCs w:val="21"/>
          <w:highlight w:val="none"/>
        </w:rPr>
        <w:t>方须向招标代理机构按如下标准和期限交纳招标代理代理服务费：</w:t>
      </w:r>
    </w:p>
    <w:p>
      <w:pPr>
        <w:pStyle w:val="25"/>
        <w:kinsoku/>
        <w:wordWrap/>
        <w:topLinePunct w:val="0"/>
        <w:bidi w:val="0"/>
        <w:adjustRightInd w:val="0"/>
        <w:spacing w:beforeAutospacing="0" w:afterAutospacing="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33.1.1</w:t>
      </w:r>
      <w:r>
        <w:rPr>
          <w:rFonts w:hint="eastAsia" w:hAnsi="宋体" w:cs="宋体"/>
          <w:color w:val="auto"/>
          <w:sz w:val="21"/>
          <w:szCs w:val="21"/>
          <w:highlight w:val="none"/>
          <w:lang w:eastAsia="zh-CN"/>
        </w:rPr>
        <w:t>中标</w:t>
      </w:r>
      <w:r>
        <w:rPr>
          <w:rFonts w:hint="eastAsia" w:ascii="宋体" w:hAnsi="宋体" w:eastAsia="宋体" w:cs="宋体"/>
          <w:color w:val="auto"/>
          <w:sz w:val="21"/>
          <w:szCs w:val="21"/>
          <w:highlight w:val="none"/>
        </w:rPr>
        <w:t>方须向宏业国际项目管理有限公司</w:t>
      </w:r>
      <w:r>
        <w:rPr>
          <w:rFonts w:hint="eastAsia" w:ascii="宋体" w:hAnsi="宋体" w:eastAsia="宋体" w:cs="宋体"/>
          <w:color w:val="auto"/>
          <w:sz w:val="21"/>
          <w:szCs w:val="21"/>
          <w:highlight w:val="none"/>
          <w:lang w:eastAsia="zh-CN"/>
        </w:rPr>
        <w:t>新疆分公司</w:t>
      </w:r>
      <w:r>
        <w:rPr>
          <w:rFonts w:hint="eastAsia" w:ascii="宋体" w:hAnsi="宋体" w:eastAsia="宋体" w:cs="宋体"/>
          <w:color w:val="auto"/>
          <w:sz w:val="21"/>
          <w:szCs w:val="21"/>
          <w:highlight w:val="none"/>
        </w:rPr>
        <w:t>支付招标代理服务费。</w:t>
      </w:r>
    </w:p>
    <w:p>
      <w:pPr>
        <w:pStyle w:val="25"/>
        <w:kinsoku/>
        <w:wordWrap/>
        <w:topLinePunct w:val="0"/>
        <w:bidi w:val="0"/>
        <w:adjustRightInd w:val="0"/>
        <w:spacing w:beforeAutospacing="0" w:afterAutospacing="0" w:line="400" w:lineRule="exact"/>
        <w:ind w:left="0" w:leftChars="0" w:right="0" w:rightChars="0"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33.1.2 在合同签订后一周内，</w:t>
      </w:r>
      <w:r>
        <w:rPr>
          <w:rFonts w:hint="eastAsia" w:hAnsi="宋体" w:cs="宋体"/>
          <w:bCs/>
          <w:color w:val="auto"/>
          <w:sz w:val="21"/>
          <w:szCs w:val="21"/>
          <w:highlight w:val="none"/>
          <w:lang w:eastAsia="zh-CN"/>
        </w:rPr>
        <w:t>中标</w:t>
      </w:r>
      <w:r>
        <w:rPr>
          <w:rFonts w:hint="eastAsia" w:ascii="宋体" w:hAnsi="宋体" w:eastAsia="宋体" w:cs="宋体"/>
          <w:bCs/>
          <w:color w:val="auto"/>
          <w:sz w:val="21"/>
          <w:szCs w:val="21"/>
          <w:highlight w:val="none"/>
        </w:rPr>
        <w:t>方须按规定的标准以网银或电汇的方式一次性向招标代理机构缴纳</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代理服务费。</w:t>
      </w:r>
      <w:bookmarkStart w:id="50" w:name="_Toc267301288"/>
    </w:p>
    <w:p>
      <w:pPr>
        <w:pStyle w:val="4"/>
        <w:kinsoku/>
        <w:wordWrap/>
        <w:topLinePunct w:val="0"/>
        <w:bidi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rPr>
      </w:pPr>
      <w:bookmarkStart w:id="51" w:name="_Toc462223638"/>
      <w:r>
        <w:rPr>
          <w:rFonts w:hint="eastAsia" w:ascii="宋体" w:hAnsi="宋体" w:eastAsia="宋体" w:cs="宋体"/>
          <w:color w:val="auto"/>
          <w:sz w:val="21"/>
          <w:szCs w:val="21"/>
          <w:highlight w:val="none"/>
        </w:rPr>
        <w:t xml:space="preserve">（七）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失败条件</w:t>
      </w:r>
      <w:bookmarkEnd w:id="51"/>
    </w:p>
    <w:p>
      <w:pPr>
        <w:pStyle w:val="25"/>
        <w:tabs>
          <w:tab w:val="left" w:pos="720"/>
          <w:tab w:val="left" w:pos="900"/>
          <w:tab w:val="left" w:pos="1260"/>
        </w:tabs>
        <w:kinsoku/>
        <w:wordWrap/>
        <w:topLinePunct w:val="0"/>
        <w:bidi w:val="0"/>
        <w:adjustRightInd w:val="0"/>
        <w:spacing w:beforeAutospacing="0" w:afterAutospacing="0" w:line="400" w:lineRule="exact"/>
        <w:ind w:left="630" w:leftChars="0" w:right="0" w:rightChars="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34、出现影响采购公正的违法、违规行为的；</w:t>
      </w:r>
    </w:p>
    <w:p>
      <w:pPr>
        <w:pStyle w:val="25"/>
        <w:tabs>
          <w:tab w:val="left" w:pos="720"/>
          <w:tab w:val="left" w:pos="900"/>
          <w:tab w:val="left" w:pos="1260"/>
        </w:tabs>
        <w:kinsoku/>
        <w:wordWrap/>
        <w:topLinePunct w:val="0"/>
        <w:bidi w:val="0"/>
        <w:adjustRightInd w:val="0"/>
        <w:spacing w:beforeAutospacing="0" w:afterAutospacing="0" w:line="400" w:lineRule="exact"/>
        <w:ind w:left="630" w:leftChars="0" w:right="0" w:rightChars="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35、因重大变故，采购任务取消的；</w:t>
      </w:r>
    </w:p>
    <w:p>
      <w:pPr>
        <w:pStyle w:val="25"/>
        <w:tabs>
          <w:tab w:val="left" w:pos="720"/>
          <w:tab w:val="left" w:pos="900"/>
          <w:tab w:val="left" w:pos="1260"/>
        </w:tabs>
        <w:kinsoku/>
        <w:wordWrap/>
        <w:topLinePunct w:val="0"/>
        <w:bidi w:val="0"/>
        <w:adjustRightInd w:val="0"/>
        <w:spacing w:beforeAutospacing="0" w:afterAutospacing="0" w:line="400" w:lineRule="exact"/>
        <w:ind w:left="630" w:leftChars="0" w:right="0" w:rightChars="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文件截止时间后，实际参与的供应商不足法定家数的；</w:t>
      </w:r>
    </w:p>
    <w:p>
      <w:pPr>
        <w:pStyle w:val="25"/>
        <w:tabs>
          <w:tab w:val="left" w:pos="720"/>
          <w:tab w:val="left" w:pos="900"/>
          <w:tab w:val="left" w:pos="1260"/>
        </w:tabs>
        <w:kinsoku/>
        <w:wordWrap/>
        <w:topLinePunct w:val="0"/>
        <w:bidi w:val="0"/>
        <w:adjustRightInd w:val="0"/>
        <w:spacing w:beforeAutospacing="0" w:afterAutospacing="0" w:line="400" w:lineRule="exact"/>
        <w:ind w:left="630" w:leftChars="0" w:right="0" w:rightChars="0" w:hanging="630" w:hanging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37、最终报价均超过采购预算的；</w:t>
      </w:r>
    </w:p>
    <w:p>
      <w:pPr>
        <w:kinsoku/>
        <w:wordWrap/>
        <w:topLinePunct w:val="0"/>
        <w:bidi w:val="0"/>
        <w:spacing w:beforeAutospacing="0" w:afterAutospacing="0" w:line="400" w:lineRule="exact"/>
        <w:ind w:left="0" w:leftChars="0" w:right="0" w:right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38、对</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文件作出实质性响应的供应商不足法定家数的；</w:t>
      </w:r>
    </w:p>
    <w:p>
      <w:pPr>
        <w:widowControl/>
        <w:kinsoku/>
        <w:wordWrap/>
        <w:topLinePunct w:val="0"/>
        <w:bidi w:val="0"/>
        <w:spacing w:beforeAutospacing="0" w:afterAutospacing="0" w:line="400" w:lineRule="exact"/>
        <w:ind w:left="0" w:leftChars="0" w:right="0" w:rightChars="0"/>
        <w:jc w:val="center"/>
        <w:outlineLvl w:val="0"/>
        <w:rPr>
          <w:rFonts w:hint="eastAsia" w:ascii="宋体" w:hAnsi="宋体" w:eastAsia="宋体" w:cs="宋体"/>
          <w:color w:val="auto"/>
          <w:sz w:val="21"/>
          <w:szCs w:val="21"/>
          <w:highlight w:val="none"/>
        </w:rPr>
        <w:sectPr>
          <w:footerReference r:id="rId9" w:type="first"/>
          <w:footerReference r:id="rId8" w:type="default"/>
          <w:pgSz w:w="11907" w:h="16840"/>
          <w:pgMar w:top="1077" w:right="1417" w:bottom="1417" w:left="1417" w:header="680" w:footer="799" w:gutter="0"/>
          <w:pgNumType w:fmt="decimal" w:start="1"/>
          <w:cols w:space="720" w:num="1"/>
          <w:titlePg/>
          <w:docGrid w:type="lines" w:linePitch="409" w:charSpace="0"/>
        </w:sectPr>
      </w:pPr>
    </w:p>
    <w:bookmarkEnd w:id="50"/>
    <w:p>
      <w:pPr>
        <w:widowControl/>
        <w:numPr>
          <w:ilvl w:val="0"/>
          <w:numId w:val="3"/>
        </w:numPr>
        <w:kinsoku/>
        <w:wordWrap/>
        <w:topLinePunct w:val="0"/>
        <w:bidi w:val="0"/>
        <w:spacing w:beforeAutospacing="0" w:afterAutospacing="0" w:line="400" w:lineRule="exact"/>
        <w:ind w:left="0" w:leftChars="0" w:right="0" w:rightChars="0"/>
        <w:jc w:val="center"/>
        <w:outlineLv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项目需求</w:t>
      </w:r>
    </w:p>
    <w:p>
      <w:pPr>
        <w:pStyle w:val="2"/>
        <w:jc w:val="center"/>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项目采购设备基本参数</w:t>
      </w:r>
    </w:p>
    <w:p>
      <w:pPr>
        <w:rPr>
          <w:rFonts w:hint="eastAsia"/>
          <w:lang w:val="en-US" w:eastAsia="zh-CN"/>
        </w:rPr>
      </w:pPr>
      <w:r>
        <w:rPr>
          <w:rFonts w:hint="eastAsia"/>
          <w:lang w:val="en-US" w:eastAsia="zh-CN"/>
        </w:rPr>
        <w:t>采购内容：</w:t>
      </w:r>
    </w:p>
    <w:tbl>
      <w:tblPr>
        <w:tblStyle w:val="41"/>
        <w:tblW w:w="92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7"/>
        <w:gridCol w:w="5767"/>
        <w:gridCol w:w="2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序号</w:t>
            </w:r>
          </w:p>
        </w:tc>
        <w:tc>
          <w:tcPr>
            <w:tcW w:w="57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设备名称</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rPr>
            </w:pPr>
            <w:r>
              <w:rPr>
                <w:rFonts w:hint="eastAsia"/>
                <w:lang w:val="en-US" w:eastAsia="zh-CN"/>
              </w:rPr>
              <w:t>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w:t>
            </w:r>
          </w:p>
        </w:tc>
        <w:tc>
          <w:tcPr>
            <w:tcW w:w="57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便携式水质快速检测仪</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w:t>
            </w:r>
          </w:p>
        </w:tc>
        <w:tc>
          <w:tcPr>
            <w:tcW w:w="57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流量计（明渠流量计）</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w:t>
            </w:r>
          </w:p>
        </w:tc>
        <w:tc>
          <w:tcPr>
            <w:tcW w:w="57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便携式水质采样设备</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w:t>
            </w:r>
          </w:p>
        </w:tc>
        <w:tc>
          <w:tcPr>
            <w:tcW w:w="57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水质快检试剂包</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w:t>
            </w:r>
          </w:p>
        </w:tc>
        <w:tc>
          <w:tcPr>
            <w:tcW w:w="57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移动执法终端</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48</w:t>
            </w:r>
          </w:p>
        </w:tc>
      </w:tr>
    </w:tbl>
    <w:p>
      <w:pPr>
        <w:rPr>
          <w:rFonts w:hint="eastAsia"/>
          <w:lang w:eastAsia="zh-CN"/>
        </w:rPr>
      </w:pPr>
    </w:p>
    <w:p>
      <w:pPr>
        <w:rPr>
          <w:rFonts w:hint="eastAsia"/>
        </w:rPr>
      </w:pPr>
      <w:r>
        <w:rPr>
          <w:rFonts w:hint="eastAsia"/>
          <w:lang w:eastAsia="zh-CN"/>
        </w:rPr>
        <w:t>一、</w:t>
      </w:r>
      <w:r>
        <w:rPr>
          <w:rFonts w:hint="eastAsia"/>
        </w:rPr>
        <w:t>便携式水质快速检测仪</w:t>
      </w:r>
    </w:p>
    <w:p>
      <w:pPr>
        <w:rPr>
          <w:rFonts w:hint="eastAsia"/>
          <w:lang w:val="en-US" w:eastAsia="zh-CN"/>
        </w:rPr>
      </w:pPr>
      <w:r>
        <w:rPr>
          <w:rFonts w:hint="eastAsia"/>
          <w:lang w:val="en-US" w:eastAsia="zh-CN"/>
        </w:rPr>
        <w:t>检测项目：直接测定化学需氧量（COD）高低量程、氨氮纳氏比色法和水杨酸比色法、总磷高低量程、总氮、浊度浓度直读；并可根据用户需求扩展60余种检测参数，满足不同用户的检测需求；</w:t>
      </w:r>
    </w:p>
    <w:p>
      <w:pPr>
        <w:rPr>
          <w:rFonts w:hint="eastAsia"/>
          <w:lang w:val="en-US" w:eastAsia="zh-CN"/>
        </w:rPr>
      </w:pPr>
      <w:r>
        <w:rPr>
          <w:rFonts w:hint="eastAsia"/>
          <w:lang w:val="en-US" w:eastAsia="zh-CN"/>
        </w:rPr>
        <w:t>360°旋转比色：确保φ25mm、φ16mm比色管都可以旋转管比色，加上管径的增加，增加对COD、氨氮、总磷等指标的检测精度；</w:t>
      </w:r>
    </w:p>
    <w:p>
      <w:pPr>
        <w:rPr>
          <w:rFonts w:hint="eastAsia"/>
          <w:lang w:val="en-US" w:eastAsia="zh-CN"/>
        </w:rPr>
      </w:pPr>
      <w:r>
        <w:rPr>
          <w:rFonts w:hint="eastAsia"/>
          <w:lang w:val="en-US" w:eastAsia="zh-CN"/>
        </w:rPr>
        <w:t>多功能比色池：多功能比色池设计，兼容φ25mm、φ16mm比色管和（10-30）mm比色皿比色，同时保证实验室的精确比色皿检测和野外的快速管比色；</w:t>
      </w:r>
    </w:p>
    <w:p>
      <w:pPr>
        <w:rPr>
          <w:rFonts w:hint="eastAsia"/>
          <w:lang w:val="en-US" w:eastAsia="zh-CN"/>
        </w:rPr>
      </w:pPr>
      <w:r>
        <w:rPr>
          <w:rFonts w:hint="eastAsia"/>
          <w:lang w:val="en-US" w:eastAsia="zh-CN"/>
        </w:rPr>
        <w:t>内置曲线：内置40条工作曲线和120条用户自定义曲线，适合不同行业不同用户的检测需求；</w:t>
      </w:r>
    </w:p>
    <w:p>
      <w:pPr>
        <w:rPr>
          <w:rFonts w:hint="eastAsia"/>
          <w:lang w:val="en-US" w:eastAsia="zh-CN"/>
        </w:rPr>
      </w:pPr>
      <w:r>
        <w:rPr>
          <w:rFonts w:hint="eastAsia"/>
          <w:lang w:val="en-US" w:eastAsia="zh-CN"/>
        </w:rPr>
        <w:t>智能化校准：仪器内置单点、多点校正，支持制作标准曲线；自动保存校正记录，可直接调用历史校准数据；</w:t>
      </w:r>
    </w:p>
    <w:p>
      <w:pPr>
        <w:rPr>
          <w:rFonts w:hint="eastAsia"/>
          <w:lang w:val="en-US" w:eastAsia="zh-CN"/>
        </w:rPr>
      </w:pPr>
      <w:r>
        <w:rPr>
          <w:rFonts w:hint="eastAsia"/>
          <w:lang w:val="en-US" w:eastAsia="zh-CN"/>
        </w:rPr>
        <w:t>最近模式：智能记忆最近频繁使用的8项测量模式，无需人工添加选择；</w:t>
      </w:r>
    </w:p>
    <w:p>
      <w:pPr>
        <w:rPr>
          <w:rFonts w:hint="eastAsia"/>
          <w:lang w:val="en-US" w:eastAsia="zh-CN"/>
        </w:rPr>
      </w:pPr>
      <w:r>
        <w:rPr>
          <w:rFonts w:hint="eastAsia"/>
          <w:lang w:val="en-US" w:eastAsia="zh-CN"/>
        </w:rPr>
        <w:t>双温区设计：采用6+6双温区设计，独立工作与比色互不干涉，不同指标可同时测定，大大减少测定时间，满足野外应急测定需求。对于单指标又可以设定同一消解模式，灵活调整消解样品的数量；</w:t>
      </w:r>
    </w:p>
    <w:p>
      <w:pPr>
        <w:rPr>
          <w:rFonts w:hint="eastAsia"/>
          <w:lang w:val="en-US" w:eastAsia="zh-CN"/>
        </w:rPr>
      </w:pPr>
      <w:r>
        <w:rPr>
          <w:rFonts w:hint="eastAsia"/>
          <w:lang w:val="en-US" w:eastAsia="zh-CN"/>
        </w:rPr>
        <w:t>权限管理：内置管理员与实验员登录系统，可自行设置使用人员权限，便于管理、防止误校准、误删除，保障数据安全；</w:t>
      </w:r>
    </w:p>
    <w:p>
      <w:pPr>
        <w:rPr>
          <w:rFonts w:hint="eastAsia"/>
          <w:lang w:val="en-US" w:eastAsia="zh-CN"/>
        </w:rPr>
      </w:pPr>
      <w:r>
        <w:rPr>
          <w:rFonts w:hint="eastAsia"/>
          <w:lang w:val="en-US" w:eastAsia="zh-CN"/>
        </w:rPr>
        <w:t>野外便携：便携式设计，内置锂电池，搭配专业配件箱，实现野外无电源条件下测量。</w:t>
      </w:r>
    </w:p>
    <w:p>
      <w:pPr>
        <w:rPr>
          <w:rFonts w:hint="eastAsia"/>
          <w:lang w:val="en-US" w:eastAsia="zh-CN"/>
        </w:rPr>
      </w:pPr>
      <w:r>
        <w:rPr>
          <w:rFonts w:hint="eastAsia"/>
          <w:lang w:val="en-US" w:eastAsia="zh-CN"/>
        </w:rPr>
        <w:t>内置电池的三防设计：三防（防水防尘防摔）便携式设计，内置高容量锂电池，搭配专业防水配件箱，实现野外无电源条件下测量。大容量电池与优秀节电系统的组合，10分钟即可升到165°C，支持综合工况工作8小时，最多可连续消解108支COD水样；</w:t>
      </w:r>
    </w:p>
    <w:p>
      <w:pPr>
        <w:rPr>
          <w:rFonts w:hint="eastAsia"/>
          <w:lang w:val="en-US" w:eastAsia="zh-CN"/>
        </w:rPr>
        <w:sectPr>
          <w:footerReference r:id="rId11" w:type="first"/>
          <w:footerReference r:id="rId10" w:type="default"/>
          <w:pgSz w:w="11907" w:h="16840"/>
          <w:pgMar w:top="1440" w:right="1247" w:bottom="1440" w:left="1361" w:header="851" w:footer="799" w:gutter="0"/>
          <w:pgNumType w:fmt="decimal"/>
          <w:cols w:space="720" w:num="1"/>
          <w:titlePg/>
          <w:docGrid w:type="lines" w:linePitch="409" w:charSpace="0"/>
        </w:sectPr>
      </w:pPr>
      <w:r>
        <w:rPr>
          <w:rFonts w:hint="eastAsia"/>
          <w:lang w:val="en-US" w:eastAsia="zh-CN"/>
        </w:rPr>
        <w:t>强大的数据管理能力：数据输出可通过内置打印机直接打印输出，也可通过USB传输至电脑；仪器内</w:t>
      </w:r>
    </w:p>
    <w:p>
      <w:pPr>
        <w:rPr>
          <w:rFonts w:hint="eastAsia"/>
          <w:lang w:val="en-US" w:eastAsia="zh-CN"/>
        </w:rPr>
      </w:pPr>
      <w:r>
        <w:rPr>
          <w:rFonts w:hint="eastAsia"/>
          <w:lang w:val="en-US" w:eastAsia="zh-CN"/>
        </w:rPr>
        <w:t>置SD卡功能或其它存储芯片可储存5000万条数据，所有存储数据均支持U盘导出Excel、打印机打印。仪器内置数据分析功能，可对保存数据进行分析；</w:t>
      </w:r>
    </w:p>
    <w:p>
      <w:pPr>
        <w:rPr>
          <w:rFonts w:hint="eastAsia"/>
          <w:lang w:val="en-US" w:eastAsia="zh-CN"/>
        </w:rPr>
      </w:pPr>
      <w:r>
        <w:rPr>
          <w:rFonts w:hint="eastAsia"/>
          <w:lang w:val="en-US" w:eastAsia="zh-CN"/>
        </w:rPr>
        <w:t>优秀的触屏体验：搭载7吋高清彩色触屏与安卓操作系统，触屏操作如丝般顺滑，操作符合日常使用习惯，非专业人员也可以快速上手专业设备，使用方便，易学易懂；</w:t>
      </w:r>
    </w:p>
    <w:p>
      <w:pPr>
        <w:rPr>
          <w:rFonts w:hint="eastAsia"/>
          <w:lang w:val="en-US" w:eastAsia="zh-CN"/>
        </w:rPr>
      </w:pPr>
      <w:r>
        <w:rPr>
          <w:rFonts w:hint="eastAsia"/>
          <w:lang w:val="en-US" w:eastAsia="zh-CN"/>
        </w:rPr>
        <w:t>完善的配套：仪器标配标准配件箱，赠送包括移液枪、冷却槽、试剂耗材等配套，确保野外实验方便快捷</w:t>
      </w:r>
    </w:p>
    <w:p>
      <w:pPr>
        <w:rPr>
          <w:rFonts w:hint="eastAsia"/>
          <w:lang w:val="en-US" w:eastAsia="zh-CN"/>
        </w:rPr>
      </w:pPr>
      <w:r>
        <w:rPr>
          <w:rFonts w:hint="eastAsia"/>
          <w:lang w:val="en-US" w:eastAsia="zh-CN"/>
        </w:rPr>
        <w:t>性能参数</w:t>
      </w:r>
    </w:p>
    <w:p>
      <w:pPr>
        <w:rPr>
          <w:rFonts w:hint="eastAsia"/>
          <w:lang w:val="en-US" w:eastAsia="zh-CN"/>
        </w:rPr>
      </w:pPr>
      <w:r>
        <w:rPr>
          <w:rFonts w:hint="eastAsia"/>
          <w:lang w:val="en-US" w:eastAsia="zh-CN"/>
        </w:rPr>
        <w:t>曲线数量：40条工作曲线和120条用户自定义</w:t>
      </w:r>
    </w:p>
    <w:p>
      <w:pPr>
        <w:rPr>
          <w:rFonts w:hint="eastAsia"/>
          <w:lang w:val="en-US" w:eastAsia="zh-CN"/>
        </w:rPr>
      </w:pPr>
      <w:r>
        <w:rPr>
          <w:rFonts w:hint="eastAsia"/>
          <w:lang w:val="en-US" w:eastAsia="zh-CN"/>
        </w:rPr>
        <w:t>示值误差：≤±5%</w:t>
      </w:r>
    </w:p>
    <w:p>
      <w:pPr>
        <w:rPr>
          <w:rFonts w:hint="eastAsia"/>
          <w:lang w:val="en-US" w:eastAsia="zh-CN"/>
        </w:rPr>
      </w:pPr>
      <w:r>
        <w:rPr>
          <w:rFonts w:hint="eastAsia"/>
          <w:lang w:val="en-US" w:eastAsia="zh-CN"/>
        </w:rPr>
        <w:t>重复性：≤3%</w:t>
      </w:r>
    </w:p>
    <w:p>
      <w:pPr>
        <w:rPr>
          <w:rFonts w:hint="eastAsia"/>
          <w:lang w:val="en-US" w:eastAsia="zh-CN"/>
        </w:rPr>
      </w:pPr>
      <w:r>
        <w:rPr>
          <w:rFonts w:hint="eastAsia"/>
          <w:lang w:val="en-US" w:eastAsia="zh-CN"/>
        </w:rPr>
        <w:t>比色方式：16mm/25mm比色管；10mm/30mm比色皿</w:t>
      </w:r>
    </w:p>
    <w:p>
      <w:pPr>
        <w:rPr>
          <w:rFonts w:hint="eastAsia"/>
          <w:lang w:val="en-US" w:eastAsia="zh-CN"/>
        </w:rPr>
      </w:pPr>
      <w:r>
        <w:rPr>
          <w:rFonts w:hint="eastAsia"/>
          <w:lang w:val="en-US" w:eastAsia="zh-CN"/>
        </w:rPr>
        <w:t>分辨率：0.001Abs</w:t>
      </w:r>
    </w:p>
    <w:p>
      <w:pPr>
        <w:rPr>
          <w:rFonts w:hint="eastAsia"/>
          <w:lang w:val="en-US" w:eastAsia="zh-CN"/>
        </w:rPr>
      </w:pPr>
      <w:r>
        <w:rPr>
          <w:rFonts w:hint="eastAsia"/>
          <w:lang w:val="en-US" w:eastAsia="zh-CN"/>
        </w:rPr>
        <w:t>控温范围：室温-190℃</w:t>
      </w:r>
    </w:p>
    <w:p>
      <w:pPr>
        <w:rPr>
          <w:rFonts w:hint="eastAsia"/>
          <w:lang w:val="en-US" w:eastAsia="zh-CN"/>
        </w:rPr>
      </w:pPr>
      <w:r>
        <w:rPr>
          <w:rFonts w:hint="eastAsia"/>
          <w:lang w:val="en-US" w:eastAsia="zh-CN"/>
        </w:rPr>
        <w:t>升温速度：10分钟内升温至165℃</w:t>
      </w:r>
    </w:p>
    <w:p>
      <w:pPr>
        <w:rPr>
          <w:rFonts w:hint="eastAsia"/>
          <w:lang w:val="en-US" w:eastAsia="zh-CN"/>
        </w:rPr>
      </w:pPr>
      <w:r>
        <w:rPr>
          <w:rFonts w:hint="eastAsia"/>
          <w:lang w:val="en-US" w:eastAsia="zh-CN"/>
        </w:rPr>
        <w:t>温度示值误差：＜±2℃</w:t>
      </w:r>
    </w:p>
    <w:p>
      <w:pPr>
        <w:rPr>
          <w:rFonts w:hint="eastAsia"/>
          <w:lang w:val="en-US" w:eastAsia="zh-CN"/>
        </w:rPr>
      </w:pPr>
      <w:r>
        <w:rPr>
          <w:rFonts w:hint="eastAsia"/>
          <w:lang w:val="en-US" w:eastAsia="zh-CN"/>
        </w:rPr>
        <w:t>温场均匀性：≤2℃</w:t>
      </w:r>
    </w:p>
    <w:p>
      <w:pPr>
        <w:rPr>
          <w:rFonts w:hint="eastAsia"/>
          <w:lang w:val="en-US" w:eastAsia="zh-CN"/>
        </w:rPr>
      </w:pPr>
      <w:r>
        <w:rPr>
          <w:rFonts w:hint="eastAsia"/>
          <w:lang w:val="en-US" w:eastAsia="zh-CN"/>
        </w:rPr>
        <w:t>定时范围：1-600分钟</w:t>
      </w:r>
    </w:p>
    <w:p>
      <w:pPr>
        <w:rPr>
          <w:rFonts w:hint="eastAsia"/>
          <w:lang w:val="en-US" w:eastAsia="zh-CN"/>
        </w:rPr>
      </w:pPr>
      <w:r>
        <w:rPr>
          <w:rFonts w:hint="eastAsia"/>
          <w:lang w:val="en-US" w:eastAsia="zh-CN"/>
        </w:rPr>
        <w:t>定时精度：0.2秒/小时</w:t>
      </w:r>
    </w:p>
    <w:p>
      <w:pPr>
        <w:rPr>
          <w:rFonts w:hint="eastAsia"/>
          <w:lang w:val="en-US" w:eastAsia="zh-CN"/>
        </w:rPr>
      </w:pPr>
      <w:r>
        <w:rPr>
          <w:rFonts w:hint="eastAsia"/>
          <w:lang w:val="en-US" w:eastAsia="zh-CN"/>
        </w:rPr>
        <w:t>显示屏：7吋高清彩色触屏</w:t>
      </w:r>
    </w:p>
    <w:p>
      <w:pPr>
        <w:rPr>
          <w:rFonts w:hint="eastAsia"/>
          <w:lang w:val="en-US" w:eastAsia="zh-CN"/>
        </w:rPr>
      </w:pPr>
      <w:r>
        <w:rPr>
          <w:rFonts w:hint="eastAsia"/>
          <w:lang w:val="en-US" w:eastAsia="zh-CN"/>
        </w:rPr>
        <w:t>存储数据：5000万条</w:t>
      </w:r>
    </w:p>
    <w:p>
      <w:pPr>
        <w:rPr>
          <w:rFonts w:hint="eastAsia"/>
          <w:lang w:val="en-US" w:eastAsia="zh-CN"/>
        </w:rPr>
      </w:pPr>
      <w:r>
        <w:rPr>
          <w:rFonts w:hint="eastAsia"/>
          <w:lang w:val="en-US" w:eastAsia="zh-CN"/>
        </w:rPr>
        <w:t>电池容量：24V 19.2Ah</w:t>
      </w:r>
    </w:p>
    <w:p>
      <w:pPr>
        <w:rPr>
          <w:rFonts w:hint="eastAsia"/>
          <w:lang w:val="en-US" w:eastAsia="zh-CN"/>
        </w:rPr>
      </w:pPr>
      <w:r>
        <w:rPr>
          <w:rFonts w:hint="eastAsia"/>
          <w:lang w:val="en-US" w:eastAsia="zh-CN"/>
        </w:rPr>
        <w:t>充电方式：AC 220V</w:t>
      </w:r>
    </w:p>
    <w:p>
      <w:pPr>
        <w:rPr>
          <w:rFonts w:hint="eastAsia"/>
          <w:lang w:val="en-US" w:eastAsia="zh-CN"/>
        </w:rPr>
      </w:pPr>
      <w:r>
        <w:rPr>
          <w:rFonts w:hint="eastAsia"/>
          <w:lang w:val="en-US" w:eastAsia="zh-CN"/>
        </w:rPr>
        <w:t>打印机：热敏行式打印机</w:t>
      </w:r>
    </w:p>
    <w:p>
      <w:pPr>
        <w:rPr>
          <w:rFonts w:hint="eastAsia"/>
          <w:lang w:val="en-US" w:eastAsia="zh-CN"/>
        </w:rPr>
      </w:pPr>
      <w:r>
        <w:rPr>
          <w:rFonts w:hint="eastAsia"/>
          <w:lang w:val="en-US" w:eastAsia="zh-CN"/>
        </w:rPr>
        <w:t>主机重量：≤12Kg</w:t>
      </w:r>
    </w:p>
    <w:p>
      <w:pPr>
        <w:rPr>
          <w:rFonts w:hint="eastAsia"/>
          <w:lang w:val="en-US" w:eastAsia="zh-CN"/>
        </w:rPr>
      </w:pPr>
      <w:r>
        <w:rPr>
          <w:rFonts w:hint="eastAsia"/>
          <w:lang w:val="en-US" w:eastAsia="zh-CN"/>
        </w:rPr>
        <w:t>实验箱重量：≤7Kg</w:t>
      </w:r>
    </w:p>
    <w:p>
      <w:pPr>
        <w:rPr>
          <w:rFonts w:hint="eastAsia"/>
          <w:lang w:val="en-US" w:eastAsia="zh-CN"/>
        </w:rPr>
      </w:pPr>
      <w:r>
        <w:rPr>
          <w:rFonts w:hint="eastAsia"/>
          <w:lang w:val="en-US" w:eastAsia="zh-CN"/>
        </w:rPr>
        <w:t>环境温度（5-40）℃</w:t>
      </w:r>
    </w:p>
    <w:p>
      <w:pPr>
        <w:rPr>
          <w:rFonts w:hint="eastAsia"/>
          <w:lang w:val="en-US" w:eastAsia="zh-CN"/>
        </w:rPr>
      </w:pPr>
      <w:r>
        <w:rPr>
          <w:rFonts w:hint="eastAsia"/>
          <w:lang w:val="en-US" w:eastAsia="zh-CN"/>
        </w:rPr>
        <w:t>环境湿度：≤85%（无冷凝）</w:t>
      </w:r>
    </w:p>
    <w:p>
      <w:pPr>
        <w:rPr>
          <w:rFonts w:hint="eastAsia"/>
          <w:lang w:val="en-US" w:eastAsia="zh-CN"/>
        </w:rPr>
      </w:pPr>
      <w:r>
        <w:rPr>
          <w:rFonts w:hint="eastAsia"/>
          <w:lang w:val="en-US" w:eastAsia="zh-CN"/>
        </w:rPr>
        <w:t>测定项目</w:t>
      </w:r>
    </w:p>
    <w:p>
      <w:pPr>
        <w:rPr>
          <w:rFonts w:hint="eastAsia"/>
          <w:lang w:val="en-US" w:eastAsia="zh-CN"/>
        </w:rPr>
      </w:pPr>
      <w:r>
        <w:rPr>
          <w:rFonts w:hint="eastAsia"/>
          <w:lang w:val="en-US" w:eastAsia="zh-CN"/>
        </w:rPr>
        <w:t>COD：</w:t>
      </w:r>
    </w:p>
    <w:p>
      <w:pPr>
        <w:rPr>
          <w:rFonts w:hint="eastAsia"/>
          <w:lang w:val="en-US" w:eastAsia="zh-CN"/>
        </w:rPr>
      </w:pPr>
      <w:r>
        <w:rPr>
          <w:rFonts w:hint="eastAsia"/>
          <w:lang w:val="en-US" w:eastAsia="zh-CN"/>
        </w:rPr>
        <w:t>分析方法：快速消解分光光度法</w:t>
      </w:r>
    </w:p>
    <w:p>
      <w:pPr>
        <w:rPr>
          <w:rFonts w:hint="eastAsia"/>
          <w:lang w:val="en-US" w:eastAsia="zh-CN"/>
        </w:rPr>
      </w:pPr>
      <w:r>
        <w:rPr>
          <w:rFonts w:hint="eastAsia"/>
          <w:lang w:val="en-US" w:eastAsia="zh-CN"/>
        </w:rPr>
        <w:t>依据标准：《HJ 399-2007》</w:t>
      </w:r>
    </w:p>
    <w:p>
      <w:pPr>
        <w:rPr>
          <w:rFonts w:hint="eastAsia"/>
          <w:lang w:val="en-US" w:eastAsia="zh-CN"/>
        </w:rPr>
      </w:pPr>
      <w:r>
        <w:rPr>
          <w:rFonts w:hint="eastAsia"/>
          <w:lang w:val="en-US" w:eastAsia="zh-CN"/>
        </w:rPr>
        <w:t>量程范围：</w:t>
      </w:r>
    </w:p>
    <w:p>
      <w:pPr>
        <w:rPr>
          <w:rFonts w:hint="eastAsia"/>
          <w:lang w:val="en-US" w:eastAsia="zh-CN"/>
        </w:rPr>
      </w:pPr>
      <w:r>
        <w:rPr>
          <w:rFonts w:hint="eastAsia"/>
          <w:lang w:val="en-US" w:eastAsia="zh-CN"/>
        </w:rPr>
        <w:t>COD高量程：预制试剂：（0~15000）mg/L；普通试剂：（20~10000）mg/L(分段)</w:t>
      </w:r>
    </w:p>
    <w:p>
      <w:pPr>
        <w:rPr>
          <w:rFonts w:hint="eastAsia"/>
          <w:lang w:val="en-US" w:eastAsia="zh-CN"/>
        </w:rPr>
      </w:pPr>
      <w:r>
        <w:rPr>
          <w:rFonts w:hint="eastAsia"/>
          <w:lang w:val="en-US" w:eastAsia="zh-CN"/>
        </w:rPr>
        <w:t>COD低量程：预制试剂：（2~150）mg/L；普通试剂：（2~100）mg/L</w:t>
      </w:r>
    </w:p>
    <w:p>
      <w:pPr>
        <w:rPr>
          <w:rFonts w:hint="eastAsia"/>
          <w:lang w:val="en-US" w:eastAsia="zh-CN"/>
        </w:rPr>
      </w:pPr>
      <w:r>
        <w:rPr>
          <w:rFonts w:hint="eastAsia"/>
          <w:lang w:val="en-US" w:eastAsia="zh-CN"/>
        </w:rPr>
        <w:t>检测限：COD高量程 3mg/L；COD低量程0.5mg/L</w:t>
      </w:r>
    </w:p>
    <w:p>
      <w:pPr>
        <w:rPr>
          <w:rFonts w:hint="eastAsia"/>
          <w:lang w:val="en-US" w:eastAsia="zh-CN"/>
        </w:rPr>
      </w:pPr>
      <w:r>
        <w:rPr>
          <w:rFonts w:hint="eastAsia"/>
          <w:lang w:val="en-US" w:eastAsia="zh-CN"/>
        </w:rPr>
        <w:t>氨氮1：</w:t>
      </w:r>
    </w:p>
    <w:p>
      <w:pPr>
        <w:rPr>
          <w:rFonts w:hint="eastAsia"/>
          <w:lang w:val="en-US" w:eastAsia="zh-CN"/>
        </w:rPr>
      </w:pPr>
      <w:r>
        <w:rPr>
          <w:rFonts w:hint="eastAsia"/>
          <w:lang w:val="en-US" w:eastAsia="zh-CN"/>
        </w:rPr>
        <w:t>分析方法：纳氏试剂分光光度法</w:t>
      </w:r>
    </w:p>
    <w:p>
      <w:pPr>
        <w:rPr>
          <w:rFonts w:hint="eastAsia"/>
          <w:lang w:val="en-US" w:eastAsia="zh-CN"/>
        </w:rPr>
      </w:pPr>
      <w:r>
        <w:rPr>
          <w:rFonts w:hint="eastAsia"/>
          <w:lang w:val="en-US" w:eastAsia="zh-CN"/>
        </w:rPr>
        <w:t>依据标准：《HJ 535-2009》</w:t>
      </w:r>
    </w:p>
    <w:p>
      <w:pPr>
        <w:rPr>
          <w:rFonts w:hint="eastAsia"/>
          <w:lang w:val="en-US" w:eastAsia="zh-CN"/>
        </w:rPr>
      </w:pPr>
      <w:r>
        <w:rPr>
          <w:rFonts w:hint="eastAsia"/>
          <w:lang w:val="en-US" w:eastAsia="zh-CN"/>
        </w:rPr>
        <w:t>量程范围：（0~160）mg/L(分段)</w:t>
      </w:r>
    </w:p>
    <w:p>
      <w:pPr>
        <w:rPr>
          <w:rFonts w:hint="eastAsia"/>
          <w:lang w:val="en-US" w:eastAsia="zh-CN"/>
        </w:rPr>
      </w:pPr>
      <w:r>
        <w:rPr>
          <w:rFonts w:hint="eastAsia"/>
          <w:lang w:val="en-US" w:eastAsia="zh-CN"/>
        </w:rPr>
        <w:t>检测限：0.01mg/L</w:t>
      </w:r>
    </w:p>
    <w:p>
      <w:pPr>
        <w:rPr>
          <w:rFonts w:hint="eastAsia"/>
          <w:lang w:val="en-US" w:eastAsia="zh-CN"/>
        </w:rPr>
      </w:pPr>
      <w:r>
        <w:rPr>
          <w:rFonts w:hint="eastAsia"/>
          <w:lang w:val="en-US" w:eastAsia="zh-CN"/>
        </w:rPr>
        <w:t>氨氮2：</w:t>
      </w:r>
    </w:p>
    <w:p>
      <w:pPr>
        <w:rPr>
          <w:rFonts w:hint="eastAsia"/>
          <w:lang w:val="en-US" w:eastAsia="zh-CN"/>
        </w:rPr>
      </w:pPr>
      <w:r>
        <w:rPr>
          <w:rFonts w:hint="eastAsia"/>
          <w:lang w:val="en-US" w:eastAsia="zh-CN"/>
        </w:rPr>
        <w:t>分析方法：水杨酸分光光度法</w:t>
      </w:r>
    </w:p>
    <w:p>
      <w:pPr>
        <w:rPr>
          <w:rFonts w:hint="eastAsia"/>
          <w:lang w:val="en-US" w:eastAsia="zh-CN"/>
        </w:rPr>
      </w:pPr>
      <w:r>
        <w:rPr>
          <w:rFonts w:hint="eastAsia"/>
          <w:lang w:val="en-US" w:eastAsia="zh-CN"/>
        </w:rPr>
        <w:t>依据标准：《HJ 536-2009》</w:t>
      </w:r>
    </w:p>
    <w:p>
      <w:pPr>
        <w:rPr>
          <w:rFonts w:hint="eastAsia"/>
          <w:lang w:val="en-US" w:eastAsia="zh-CN"/>
        </w:rPr>
      </w:pPr>
      <w:r>
        <w:rPr>
          <w:rFonts w:hint="eastAsia"/>
          <w:lang w:val="en-US" w:eastAsia="zh-CN"/>
        </w:rPr>
        <w:t>量程范围：高量程：（0.02~50）mg/L；低量程：（0~2.5）mg/L</w:t>
      </w:r>
    </w:p>
    <w:p>
      <w:pPr>
        <w:rPr>
          <w:rFonts w:hint="eastAsia"/>
          <w:lang w:val="en-US" w:eastAsia="zh-CN"/>
        </w:rPr>
      </w:pPr>
      <w:r>
        <w:rPr>
          <w:rFonts w:hint="eastAsia"/>
          <w:lang w:val="en-US" w:eastAsia="zh-CN"/>
        </w:rPr>
        <w:t>检测限：0.001mg/L</w:t>
      </w:r>
    </w:p>
    <w:p>
      <w:pPr>
        <w:rPr>
          <w:rFonts w:hint="eastAsia"/>
          <w:lang w:val="en-US" w:eastAsia="zh-CN"/>
        </w:rPr>
      </w:pPr>
      <w:r>
        <w:rPr>
          <w:rFonts w:hint="eastAsia"/>
          <w:lang w:val="en-US" w:eastAsia="zh-CN"/>
        </w:rPr>
        <w:t>总磷：</w:t>
      </w:r>
    </w:p>
    <w:p>
      <w:pPr>
        <w:rPr>
          <w:rFonts w:hint="eastAsia"/>
          <w:lang w:val="en-US" w:eastAsia="zh-CN"/>
        </w:rPr>
      </w:pPr>
      <w:r>
        <w:rPr>
          <w:rFonts w:hint="eastAsia"/>
          <w:lang w:val="en-US" w:eastAsia="zh-CN"/>
        </w:rPr>
        <w:t>分析方法：钼酸铵分光光度法</w:t>
      </w:r>
    </w:p>
    <w:p>
      <w:pPr>
        <w:rPr>
          <w:rFonts w:hint="eastAsia"/>
          <w:lang w:val="en-US" w:eastAsia="zh-CN"/>
        </w:rPr>
      </w:pPr>
      <w:r>
        <w:rPr>
          <w:rFonts w:hint="eastAsia"/>
          <w:lang w:val="en-US" w:eastAsia="zh-CN"/>
        </w:rPr>
        <w:t>依据标准：《GB11894-89》</w:t>
      </w:r>
    </w:p>
    <w:p>
      <w:pPr>
        <w:rPr>
          <w:rFonts w:hint="eastAsia"/>
          <w:lang w:val="en-US" w:eastAsia="zh-CN"/>
        </w:rPr>
      </w:pPr>
      <w:r>
        <w:rPr>
          <w:rFonts w:hint="eastAsia"/>
          <w:lang w:val="en-US" w:eastAsia="zh-CN"/>
        </w:rPr>
        <w:t>量程范围：（0~12）mg/L (分段）</w:t>
      </w:r>
    </w:p>
    <w:p>
      <w:pPr>
        <w:rPr>
          <w:rFonts w:hint="eastAsia"/>
          <w:lang w:val="en-US" w:eastAsia="zh-CN"/>
        </w:rPr>
      </w:pPr>
      <w:r>
        <w:rPr>
          <w:rFonts w:hint="eastAsia"/>
          <w:lang w:val="en-US" w:eastAsia="zh-CN"/>
        </w:rPr>
        <w:t>检测限：0.002mg/L</w:t>
      </w:r>
    </w:p>
    <w:p>
      <w:pPr>
        <w:rPr>
          <w:rFonts w:hint="eastAsia"/>
          <w:lang w:val="en-US" w:eastAsia="zh-CN"/>
        </w:rPr>
      </w:pPr>
      <w:r>
        <w:rPr>
          <w:rFonts w:hint="eastAsia"/>
          <w:lang w:val="en-US" w:eastAsia="zh-CN"/>
        </w:rPr>
        <w:t>总磷高量程：</w:t>
      </w:r>
    </w:p>
    <w:p>
      <w:pPr>
        <w:rPr>
          <w:rFonts w:hint="eastAsia"/>
          <w:lang w:val="en-US" w:eastAsia="zh-CN"/>
        </w:rPr>
      </w:pPr>
      <w:r>
        <w:rPr>
          <w:rFonts w:hint="eastAsia"/>
          <w:lang w:val="en-US" w:eastAsia="zh-CN"/>
        </w:rPr>
        <w:t>分析方法：钒钼黄分光光度法</w:t>
      </w:r>
    </w:p>
    <w:p>
      <w:pPr>
        <w:rPr>
          <w:rFonts w:hint="eastAsia"/>
          <w:lang w:val="en-US" w:eastAsia="zh-CN"/>
        </w:rPr>
      </w:pPr>
      <w:r>
        <w:rPr>
          <w:rFonts w:hint="eastAsia"/>
          <w:lang w:val="en-US" w:eastAsia="zh-CN"/>
        </w:rPr>
        <w:t>依据标准：《GB/T21931.3-2008》</w:t>
      </w:r>
    </w:p>
    <w:p>
      <w:pPr>
        <w:rPr>
          <w:rFonts w:hint="eastAsia"/>
          <w:lang w:val="en-US" w:eastAsia="zh-CN"/>
        </w:rPr>
      </w:pPr>
      <w:r>
        <w:rPr>
          <w:rFonts w:hint="eastAsia"/>
          <w:lang w:val="en-US" w:eastAsia="zh-CN"/>
        </w:rPr>
        <w:t xml:space="preserve">量程范围：（0~100）mg/L  </w:t>
      </w:r>
    </w:p>
    <w:p>
      <w:pPr>
        <w:rPr>
          <w:rFonts w:hint="eastAsia"/>
          <w:lang w:val="en-US" w:eastAsia="zh-CN"/>
        </w:rPr>
      </w:pPr>
      <w:r>
        <w:rPr>
          <w:rFonts w:hint="eastAsia"/>
          <w:lang w:val="en-US" w:eastAsia="zh-CN"/>
        </w:rPr>
        <w:t>检测限：0.5mg/L</w:t>
      </w:r>
    </w:p>
    <w:p>
      <w:pPr>
        <w:rPr>
          <w:rFonts w:hint="eastAsia"/>
          <w:lang w:val="en-US" w:eastAsia="zh-CN"/>
        </w:rPr>
      </w:pPr>
      <w:r>
        <w:rPr>
          <w:rFonts w:hint="eastAsia"/>
          <w:lang w:val="en-US" w:eastAsia="zh-CN"/>
        </w:rPr>
        <w:t>总氮：</w:t>
      </w:r>
    </w:p>
    <w:p>
      <w:pPr>
        <w:rPr>
          <w:rFonts w:hint="eastAsia"/>
          <w:lang w:val="en-US" w:eastAsia="zh-CN"/>
        </w:rPr>
      </w:pPr>
      <w:r>
        <w:rPr>
          <w:rFonts w:hint="eastAsia"/>
          <w:lang w:val="en-US" w:eastAsia="zh-CN"/>
        </w:rPr>
        <w:t>分析方法：变色酸分光光度法</w:t>
      </w:r>
    </w:p>
    <w:p>
      <w:pPr>
        <w:rPr>
          <w:rFonts w:hint="eastAsia"/>
          <w:lang w:val="en-US" w:eastAsia="zh-CN"/>
        </w:rPr>
      </w:pPr>
      <w:r>
        <w:rPr>
          <w:rFonts w:hint="eastAsia"/>
          <w:lang w:val="en-US" w:eastAsia="zh-CN"/>
        </w:rPr>
        <w:t>量程范围：（0~150）mg/L</w:t>
      </w:r>
    </w:p>
    <w:p>
      <w:pPr>
        <w:rPr>
          <w:rFonts w:hint="eastAsia"/>
          <w:lang w:val="en-US" w:eastAsia="zh-CN"/>
        </w:rPr>
      </w:pPr>
      <w:r>
        <w:rPr>
          <w:rFonts w:hint="eastAsia"/>
          <w:lang w:val="en-US" w:eastAsia="zh-CN"/>
        </w:rPr>
        <w:t>检测限：0.5mg/L</w:t>
      </w:r>
    </w:p>
    <w:p>
      <w:pPr>
        <w:rPr>
          <w:rFonts w:hint="eastAsia"/>
          <w:lang w:val="en-US" w:eastAsia="zh-CN"/>
        </w:rPr>
      </w:pPr>
      <w:r>
        <w:rPr>
          <w:rFonts w:hint="eastAsia"/>
          <w:lang w:val="en-US" w:eastAsia="zh-CN"/>
        </w:rPr>
        <w:t>浊度：</w:t>
      </w:r>
    </w:p>
    <w:p>
      <w:pPr>
        <w:rPr>
          <w:rFonts w:hint="eastAsia"/>
          <w:lang w:val="en-US" w:eastAsia="zh-CN"/>
        </w:rPr>
      </w:pPr>
      <w:r>
        <w:rPr>
          <w:rFonts w:hint="eastAsia"/>
          <w:lang w:val="en-US" w:eastAsia="zh-CN"/>
        </w:rPr>
        <w:t>分析方法：福尔马肼分光光度法</w:t>
      </w:r>
    </w:p>
    <w:p>
      <w:pPr>
        <w:rPr>
          <w:rFonts w:hint="eastAsia"/>
          <w:lang w:val="en-US" w:eastAsia="zh-CN"/>
        </w:rPr>
      </w:pPr>
      <w:r>
        <w:rPr>
          <w:rFonts w:hint="eastAsia"/>
          <w:lang w:val="en-US" w:eastAsia="zh-CN"/>
        </w:rPr>
        <w:t>量程范围：（0~400）NTU</w:t>
      </w:r>
    </w:p>
    <w:p>
      <w:pPr>
        <w:rPr>
          <w:rFonts w:hint="eastAsia"/>
          <w:lang w:val="en-US" w:eastAsia="zh-CN"/>
        </w:rPr>
      </w:pPr>
      <w:r>
        <w:rPr>
          <w:rFonts w:hint="eastAsia"/>
          <w:lang w:val="en-US" w:eastAsia="zh-CN"/>
        </w:rPr>
        <w:t>检测限：0.5NTU</w:t>
      </w:r>
    </w:p>
    <w:p>
      <w:pPr>
        <w:rPr>
          <w:rFonts w:hint="eastAsia"/>
          <w:lang w:val="en-US" w:eastAsia="zh-CN"/>
        </w:rPr>
      </w:pPr>
    </w:p>
    <w:p>
      <w:pPr>
        <w:rPr>
          <w:rFonts w:hint="eastAsia"/>
        </w:rPr>
      </w:pPr>
      <w:r>
        <w:rPr>
          <w:rFonts w:hint="eastAsia"/>
          <w:lang w:val="en-US" w:eastAsia="zh-CN"/>
        </w:rPr>
        <w:t>二、</w:t>
      </w:r>
      <w:r>
        <w:rPr>
          <w:rFonts w:hint="eastAsia"/>
        </w:rPr>
        <w:t>流量计（明渠流量计）</w:t>
      </w:r>
    </w:p>
    <w:p>
      <w:pPr>
        <w:rPr>
          <w:rFonts w:hint="eastAsia"/>
          <w:lang w:val="en-US" w:eastAsia="zh-CN"/>
        </w:rPr>
      </w:pPr>
      <w:r>
        <w:rPr>
          <w:rFonts w:hint="eastAsia"/>
          <w:lang w:val="en-US" w:eastAsia="zh-CN"/>
        </w:rPr>
        <w:t>(一)执行标准：</w:t>
      </w:r>
    </w:p>
    <w:p>
      <w:pPr>
        <w:rPr>
          <w:rFonts w:hint="eastAsia"/>
          <w:lang w:val="en-US" w:eastAsia="zh-CN"/>
        </w:rPr>
      </w:pPr>
      <w:r>
        <w:rPr>
          <w:rFonts w:hint="eastAsia"/>
          <w:lang w:val="en-US" w:eastAsia="zh-CN"/>
        </w:rPr>
        <w:t>HJ354-2019水污染源在线监测系统(CODCr、NH3-N等)验收技术规范；</w:t>
      </w:r>
    </w:p>
    <w:p>
      <w:pPr>
        <w:rPr>
          <w:rFonts w:hint="eastAsia"/>
          <w:lang w:val="en-US" w:eastAsia="zh-CN"/>
        </w:rPr>
      </w:pPr>
      <w:r>
        <w:rPr>
          <w:rFonts w:hint="eastAsia"/>
          <w:lang w:val="en-US" w:eastAsia="zh-CN"/>
        </w:rPr>
        <w:t>HJ355-2019水污染源在线监测系统运行规范；</w:t>
      </w:r>
    </w:p>
    <w:p>
      <w:pPr>
        <w:rPr>
          <w:rFonts w:hint="eastAsia"/>
          <w:lang w:val="en-US" w:eastAsia="zh-CN"/>
        </w:rPr>
      </w:pPr>
      <w:r>
        <w:rPr>
          <w:rFonts w:hint="eastAsia"/>
          <w:lang w:val="en-US" w:eastAsia="zh-CN"/>
        </w:rPr>
        <w:t>JJG711-1990明渠堰槽流量计试行检定规程；</w:t>
      </w:r>
    </w:p>
    <w:p>
      <w:pPr>
        <w:rPr>
          <w:rFonts w:hint="eastAsia"/>
          <w:lang w:val="en-US" w:eastAsia="zh-CN"/>
        </w:rPr>
      </w:pPr>
      <w:r>
        <w:rPr>
          <w:rFonts w:hint="eastAsia"/>
          <w:lang w:val="en-US" w:eastAsia="zh-CN"/>
        </w:rPr>
        <w:t>HJ15-2019超声波明渠污水流量计技术要求及检测方法；</w:t>
      </w:r>
    </w:p>
    <w:p>
      <w:pPr>
        <w:rPr>
          <w:rFonts w:hint="eastAsia"/>
          <w:lang w:val="en-US" w:eastAsia="zh-CN"/>
        </w:rPr>
      </w:pPr>
      <w:r>
        <w:rPr>
          <w:rFonts w:hint="eastAsia"/>
          <w:lang w:val="en-US" w:eastAsia="zh-CN"/>
        </w:rPr>
        <w:t>(二)主要特点：</w:t>
      </w:r>
    </w:p>
    <w:p>
      <w:pPr>
        <w:rPr>
          <w:rFonts w:hint="eastAsia"/>
          <w:lang w:val="en-US" w:eastAsia="zh-CN"/>
        </w:rPr>
      </w:pPr>
      <w:r>
        <w:rPr>
          <w:rFonts w:hint="eastAsia"/>
          <w:lang w:val="en-US" w:eastAsia="zh-CN"/>
        </w:rPr>
        <w:t>1、 适应于九种基本堰型：三角堰、矩形堰、等宽堰、矩形宽顶堰、圆宽顶堰、三角形剖面堰、平坦 V 型堰、巴歇尔槽、无喉道槽，方便客户选取；</w:t>
      </w:r>
    </w:p>
    <w:p>
      <w:pPr>
        <w:rPr>
          <w:rFonts w:hint="eastAsia"/>
          <w:lang w:val="en-US" w:eastAsia="zh-CN"/>
        </w:rPr>
      </w:pPr>
      <w:r>
        <w:rPr>
          <w:rFonts w:hint="eastAsia"/>
          <w:lang w:val="en-US" w:eastAsia="zh-CN"/>
        </w:rPr>
        <w:t>2、高精度信号采集模块，24 位采集精度，测量数据真实有效；</w:t>
      </w:r>
    </w:p>
    <w:p>
      <w:pPr>
        <w:rPr>
          <w:rFonts w:hint="eastAsia"/>
          <w:lang w:val="en-US" w:eastAsia="zh-CN"/>
        </w:rPr>
      </w:pPr>
      <w:r>
        <w:rPr>
          <w:rFonts w:hint="eastAsia"/>
          <w:lang w:val="en-US" w:eastAsia="zh-CN"/>
        </w:rPr>
        <w:t>3、搭载便携式明渠流量计操作系统，数据采集速率 400kbit/s，数据采集迅速，比对结果准确；</w:t>
      </w:r>
    </w:p>
    <w:p>
      <w:pPr>
        <w:rPr>
          <w:rFonts w:hint="eastAsia"/>
          <w:lang w:val="en-US" w:eastAsia="zh-CN"/>
        </w:rPr>
      </w:pPr>
      <w:r>
        <w:rPr>
          <w:rFonts w:hint="eastAsia"/>
          <w:lang w:val="en-US" w:eastAsia="zh-CN"/>
        </w:rPr>
        <w:t>4、不低于7 寸超清晰彩色液晶触摸屏与仪器一体式设计，开机密码进入，有效保护测量比对数据及结果；</w:t>
      </w:r>
    </w:p>
    <w:p>
      <w:pPr>
        <w:rPr>
          <w:rFonts w:hint="eastAsia"/>
          <w:lang w:val="en-US" w:eastAsia="zh-CN"/>
        </w:rPr>
      </w:pPr>
      <w:r>
        <w:rPr>
          <w:rFonts w:hint="eastAsia"/>
          <w:lang w:val="en-US" w:eastAsia="zh-CN"/>
        </w:rPr>
        <w:t>5、仪器测量过程液位及流量实时曲线显示，液位、流量变化趋势可视并可以在历史数据查询中回放测量过程中液位与流量的变化曲线；</w:t>
      </w:r>
    </w:p>
    <w:p>
      <w:pPr>
        <w:rPr>
          <w:rFonts w:hint="eastAsia"/>
          <w:lang w:val="en-US" w:eastAsia="zh-CN"/>
        </w:rPr>
      </w:pPr>
      <w:r>
        <w:rPr>
          <w:rFonts w:hint="eastAsia"/>
          <w:lang w:val="en-US" w:eastAsia="zh-CN"/>
        </w:rPr>
        <w:t>6、支持国标验收比对模式与连续测量模式双模式，连续测量模式用户可自定义测量时间及持续不间断测量；</w:t>
      </w:r>
    </w:p>
    <w:p>
      <w:pPr>
        <w:rPr>
          <w:rFonts w:hint="eastAsia"/>
          <w:lang w:val="en-US" w:eastAsia="zh-CN"/>
        </w:rPr>
      </w:pPr>
      <w:r>
        <w:rPr>
          <w:rFonts w:hint="eastAsia"/>
          <w:lang w:val="en-US" w:eastAsia="zh-CN"/>
        </w:rPr>
        <w:t>7、测量比对过程增加大气压及温度、实时经纬度定位等环境数据，使比对数据更具代表性；</w:t>
      </w:r>
    </w:p>
    <w:p>
      <w:pPr>
        <w:rPr>
          <w:rFonts w:hint="eastAsia"/>
          <w:lang w:val="en-US" w:eastAsia="zh-CN"/>
        </w:rPr>
      </w:pPr>
      <w:r>
        <w:rPr>
          <w:rFonts w:hint="eastAsia"/>
          <w:lang w:val="en-US" w:eastAsia="zh-CN"/>
        </w:rPr>
        <w:t>8、可自定义设置仪器启动时间，预留操作时间长，方便获取代表性数据.</w:t>
      </w:r>
    </w:p>
    <w:p>
      <w:pPr>
        <w:rPr>
          <w:rFonts w:hint="eastAsia"/>
          <w:lang w:val="en-US" w:eastAsia="zh-CN"/>
        </w:rPr>
      </w:pPr>
      <w:r>
        <w:rPr>
          <w:rFonts w:hint="eastAsia"/>
          <w:lang w:val="en-US" w:eastAsia="zh-CN"/>
        </w:rPr>
        <w:t>9、全中文人机交互界面，槽型及数据尺寸选择式、引导式输入操作，无专业知识人员也可完成比对工作；</w:t>
      </w:r>
    </w:p>
    <w:p>
      <w:pPr>
        <w:rPr>
          <w:rFonts w:hint="eastAsia"/>
          <w:lang w:val="en-US" w:eastAsia="zh-CN"/>
        </w:rPr>
      </w:pPr>
      <w:r>
        <w:rPr>
          <w:rFonts w:hint="eastAsia"/>
          <w:lang w:val="en-US" w:eastAsia="zh-CN"/>
        </w:rPr>
        <w:t>10、 仪器内置微型打印机，可现场直接打印测量数据同时可对历史数据进行打印；</w:t>
      </w:r>
    </w:p>
    <w:p>
      <w:pPr>
        <w:rPr>
          <w:rFonts w:hint="eastAsia"/>
          <w:lang w:val="en-US" w:eastAsia="zh-CN"/>
        </w:rPr>
      </w:pPr>
      <w:r>
        <w:rPr>
          <w:rFonts w:hint="eastAsia"/>
          <w:lang w:val="en-US" w:eastAsia="zh-CN"/>
        </w:rPr>
        <w:t>11、 配套软件，可将测量数据输出至电脑，便于用户对数据进行统计分析及比对报告的查询；</w:t>
      </w:r>
    </w:p>
    <w:p>
      <w:pPr>
        <w:rPr>
          <w:rFonts w:hint="eastAsia"/>
          <w:lang w:val="en-US" w:eastAsia="zh-CN"/>
        </w:rPr>
      </w:pPr>
      <w:r>
        <w:rPr>
          <w:rFonts w:hint="eastAsia"/>
          <w:lang w:val="en-US" w:eastAsia="zh-CN"/>
        </w:rPr>
        <w:t>12、 自带手机 APP 软件，可通过蓝牙将测量比对结果快速导出至手机，方便进行比对报告的存储、分享；</w:t>
      </w:r>
    </w:p>
    <w:p>
      <w:pPr>
        <w:rPr>
          <w:rFonts w:hint="eastAsia"/>
          <w:lang w:val="en-US" w:eastAsia="zh-CN"/>
        </w:rPr>
      </w:pPr>
      <w:r>
        <w:rPr>
          <w:rFonts w:hint="eastAsia"/>
          <w:lang w:val="en-US" w:eastAsia="zh-CN"/>
        </w:rPr>
        <w:t>13、比对报告以 Excel 文件形式存储，以邮件的方式自动发送至用户指定的邮箱；</w:t>
      </w:r>
    </w:p>
    <w:p>
      <w:pPr>
        <w:rPr>
          <w:rFonts w:hint="eastAsia"/>
          <w:lang w:val="en-US" w:eastAsia="zh-CN"/>
        </w:rPr>
      </w:pPr>
      <w:r>
        <w:rPr>
          <w:rFonts w:hint="eastAsia"/>
          <w:lang w:val="en-US" w:eastAsia="zh-CN"/>
        </w:rPr>
        <w:t>★14、仪器内置大容量 FLASH 储存器，可存储至少 10 年的测量历史记录；</w:t>
      </w:r>
    </w:p>
    <w:p>
      <w:pPr>
        <w:rPr>
          <w:rFonts w:hint="eastAsia"/>
          <w:lang w:val="en-US" w:eastAsia="zh-CN"/>
        </w:rPr>
      </w:pPr>
      <w:r>
        <w:rPr>
          <w:rFonts w:hint="eastAsia"/>
          <w:lang w:val="en-US" w:eastAsia="zh-CN"/>
        </w:rPr>
        <w:t>15、仪器内置 10000mAH 的大容量环保高效钾电池,配置智能化电源管理系统延长电池使用寿命，有效提高续航测量比对次数；</w:t>
      </w:r>
    </w:p>
    <w:p>
      <w:pPr>
        <w:rPr>
          <w:rFonts w:hint="eastAsia"/>
          <w:lang w:val="en-US" w:eastAsia="zh-CN"/>
        </w:rPr>
      </w:pPr>
      <w:r>
        <w:rPr>
          <w:rFonts w:hint="eastAsia"/>
          <w:lang w:val="en-US" w:eastAsia="zh-CN"/>
        </w:rPr>
        <w:t>★16、采用便携手提箱式设计，配备肩带，方便携带，不低于IP67 防护等级，有效防水、防尘，可抵抗雨淋、水浸等恶劣环境，同时兼具轻盈抗摔耐腐蚀特性。</w:t>
      </w:r>
    </w:p>
    <w:p>
      <w:pPr>
        <w:rPr>
          <w:rFonts w:hint="eastAsia"/>
          <w:lang w:val="en-US" w:eastAsia="zh-CN"/>
        </w:rPr>
      </w:pPr>
      <w:r>
        <w:rPr>
          <w:rFonts w:hint="eastAsia"/>
          <w:lang w:val="en-US" w:eastAsia="zh-CN"/>
        </w:rPr>
        <w:t>（</w:t>
      </w:r>
      <w:r>
        <w:rPr>
          <w:rFonts w:hint="eastAsia"/>
          <w:lang w:val="en-US" w:eastAsia="zh-Hans"/>
        </w:rPr>
        <w:t>三</w:t>
      </w:r>
      <w:r>
        <w:rPr>
          <w:rFonts w:hint="eastAsia"/>
          <w:lang w:val="en-US" w:eastAsia="zh-CN"/>
        </w:rPr>
        <w:t>）技术指标及参数：</w:t>
      </w:r>
    </w:p>
    <w:p>
      <w:pPr>
        <w:rPr>
          <w:rFonts w:hint="eastAsia"/>
          <w:lang w:val="en-US" w:eastAsia="zh-CN"/>
        </w:rPr>
      </w:pPr>
      <w:r>
        <w:rPr>
          <w:rFonts w:hint="eastAsia"/>
          <w:lang w:val="en-US" w:eastAsia="zh-CN"/>
        </w:rPr>
        <w:t>显示方式:不低于 7 寸超清液晶触摸屏 (分辨率不低于 800 X480)；</w:t>
      </w:r>
    </w:p>
    <w:p>
      <w:pPr>
        <w:rPr>
          <w:rFonts w:hint="eastAsia"/>
          <w:lang w:val="en-US" w:eastAsia="zh-CN"/>
        </w:rPr>
      </w:pPr>
      <w:r>
        <w:rPr>
          <w:rFonts w:hint="eastAsia"/>
          <w:lang w:val="en-US" w:eastAsia="zh-CN"/>
        </w:rPr>
        <w:t>流量测量范围: 0~40m3/S；</w:t>
      </w:r>
    </w:p>
    <w:p>
      <w:pPr>
        <w:rPr>
          <w:rFonts w:hint="eastAsia"/>
          <w:lang w:val="en-US" w:eastAsia="zh-CN"/>
        </w:rPr>
      </w:pPr>
      <w:r>
        <w:rPr>
          <w:rFonts w:hint="eastAsia"/>
          <w:lang w:val="en-US" w:eastAsia="zh-CN"/>
        </w:rPr>
        <w:t>流量测量频次：3次/秒；</w:t>
      </w:r>
    </w:p>
    <w:p>
      <w:pPr>
        <w:rPr>
          <w:rFonts w:hint="eastAsia"/>
          <w:lang w:val="en-US" w:eastAsia="zh-CN"/>
        </w:rPr>
      </w:pPr>
      <w:r>
        <w:rPr>
          <w:rFonts w:hint="eastAsia"/>
          <w:lang w:val="en-US" w:eastAsia="zh-CN"/>
        </w:rPr>
        <w:t>液位分辨率: 0.1mm；</w:t>
      </w:r>
    </w:p>
    <w:p>
      <w:pPr>
        <w:rPr>
          <w:rFonts w:hint="eastAsia"/>
          <w:lang w:val="en-US" w:eastAsia="zh-CN"/>
        </w:rPr>
      </w:pPr>
      <w:r>
        <w:rPr>
          <w:rFonts w:hint="eastAsia"/>
          <w:lang w:val="en-US" w:eastAsia="zh-CN"/>
        </w:rPr>
        <w:t>液位测量误差: ≤0.5mm；</w:t>
      </w:r>
    </w:p>
    <w:p>
      <w:pPr>
        <w:rPr>
          <w:rFonts w:hint="eastAsia"/>
          <w:lang w:val="en-US" w:eastAsia="zh-CN"/>
        </w:rPr>
      </w:pPr>
      <w:r>
        <w:rPr>
          <w:rFonts w:hint="eastAsia"/>
          <w:lang w:val="en-US" w:eastAsia="zh-CN"/>
        </w:rPr>
        <w:t>流量测量误差: ≤±1%；</w:t>
      </w:r>
    </w:p>
    <w:p>
      <w:pPr>
        <w:rPr>
          <w:rFonts w:hint="eastAsia"/>
          <w:lang w:val="en-US" w:eastAsia="zh-CN"/>
        </w:rPr>
      </w:pPr>
      <w:r>
        <w:rPr>
          <w:rFonts w:hint="eastAsia"/>
          <w:lang w:val="en-US" w:eastAsia="zh-CN"/>
        </w:rPr>
        <w:t>传感器量程: 1米(标配)；</w:t>
      </w:r>
    </w:p>
    <w:p>
      <w:pPr>
        <w:rPr>
          <w:rFonts w:hint="eastAsia"/>
          <w:lang w:val="en-US" w:eastAsia="zh-CN"/>
        </w:rPr>
      </w:pPr>
      <w:r>
        <w:rPr>
          <w:rFonts w:hint="eastAsia"/>
          <w:lang w:val="en-US" w:eastAsia="zh-CN"/>
        </w:rPr>
        <w:t>打印方式:自带内嵌式热敏打印机；</w:t>
      </w:r>
    </w:p>
    <w:p>
      <w:pPr>
        <w:rPr>
          <w:rFonts w:hint="eastAsia"/>
          <w:lang w:val="en-US" w:eastAsia="zh-CN"/>
        </w:rPr>
      </w:pPr>
      <w:r>
        <w:rPr>
          <w:rFonts w:hint="eastAsia"/>
          <w:lang w:val="en-US" w:eastAsia="zh-CN"/>
        </w:rPr>
        <w:t>信号输出方式： USB、蓝牙；</w:t>
      </w:r>
    </w:p>
    <w:p>
      <w:pPr>
        <w:rPr>
          <w:rFonts w:hint="eastAsia"/>
          <w:lang w:val="en-US" w:eastAsia="zh-CN"/>
        </w:rPr>
      </w:pPr>
      <w:r>
        <w:rPr>
          <w:rFonts w:hint="eastAsia"/>
          <w:lang w:val="en-US" w:eastAsia="zh-CN"/>
        </w:rPr>
        <w:t>软件配置:：电脑软件、APP 软件；</w:t>
      </w:r>
    </w:p>
    <w:p>
      <w:pPr>
        <w:rPr>
          <w:rFonts w:hint="eastAsia"/>
          <w:lang w:val="en-US" w:eastAsia="zh-CN"/>
        </w:rPr>
      </w:pPr>
      <w:r>
        <w:rPr>
          <w:rFonts w:hint="eastAsia"/>
          <w:lang w:val="en-US" w:eastAsia="zh-CN"/>
        </w:rPr>
        <w:t>环境数据:：内置温度、气压、GPS 经纬度模块，数据实时显示并可打</w:t>
      </w:r>
    </w:p>
    <w:p>
      <w:pPr>
        <w:rPr>
          <w:rFonts w:hint="eastAsia"/>
          <w:lang w:val="en-US" w:eastAsia="zh-CN"/>
        </w:rPr>
      </w:pPr>
      <w:r>
        <w:rPr>
          <w:rFonts w:hint="eastAsia"/>
          <w:lang w:val="en-US" w:eastAsia="zh-CN"/>
        </w:rPr>
        <w:t>印；</w:t>
      </w:r>
    </w:p>
    <w:p>
      <w:pPr>
        <w:rPr>
          <w:rFonts w:hint="eastAsia"/>
          <w:lang w:val="en-US" w:eastAsia="zh-CN"/>
        </w:rPr>
      </w:pPr>
      <w:r>
        <w:rPr>
          <w:rFonts w:hint="eastAsia"/>
          <w:lang w:val="en-US" w:eastAsia="zh-CN"/>
        </w:rPr>
        <w:t>定位功能:：具备经纬度定位功能；</w:t>
      </w:r>
    </w:p>
    <w:p>
      <w:pPr>
        <w:rPr>
          <w:rFonts w:hint="eastAsia"/>
          <w:lang w:val="en-US" w:eastAsia="zh-CN"/>
        </w:rPr>
      </w:pPr>
      <w:r>
        <w:rPr>
          <w:rFonts w:hint="eastAsia"/>
          <w:lang w:val="en-US" w:eastAsia="zh-CN"/>
        </w:rPr>
        <w:t>★主机防护等级:：不低于IP67 (出具双 C 检测报告)；</w:t>
      </w:r>
    </w:p>
    <w:p>
      <w:pPr>
        <w:rPr>
          <w:rFonts w:hint="eastAsia"/>
          <w:lang w:val="en-US" w:eastAsia="zh-CN"/>
        </w:rPr>
      </w:pPr>
      <w:r>
        <w:rPr>
          <w:rFonts w:hint="eastAsia"/>
          <w:lang w:val="en-US" w:eastAsia="zh-CN"/>
        </w:rPr>
        <w:t>工作环境湿度:：&lt; 85%(无冷凝)；</w:t>
      </w:r>
    </w:p>
    <w:p>
      <w:pPr>
        <w:rPr>
          <w:rFonts w:hint="eastAsia"/>
          <w:lang w:val="en-US" w:eastAsia="zh-CN"/>
        </w:rPr>
      </w:pPr>
      <w:r>
        <w:rPr>
          <w:rFonts w:hint="eastAsia"/>
          <w:lang w:val="en-US" w:eastAsia="zh-CN"/>
        </w:rPr>
        <w:t>工作环境温度：-10C~+50C；</w:t>
      </w:r>
    </w:p>
    <w:p>
      <w:pPr>
        <w:rPr>
          <w:rFonts w:hint="eastAsia"/>
          <w:lang w:val="en-US" w:eastAsia="zh-CN"/>
        </w:rPr>
      </w:pPr>
      <w:r>
        <w:rPr>
          <w:rFonts w:hint="eastAsia"/>
          <w:lang w:val="en-US" w:eastAsia="zh-CN"/>
        </w:rPr>
        <w:t>充电电源:：AC 220V士15% 50Hz；</w:t>
      </w:r>
    </w:p>
    <w:p>
      <w:pPr>
        <w:rPr>
          <w:rFonts w:hint="eastAsia"/>
          <w:lang w:val="en-US" w:eastAsia="zh-CN"/>
        </w:rPr>
      </w:pPr>
      <w:r>
        <w:rPr>
          <w:rFonts w:hint="eastAsia"/>
          <w:lang w:val="en-US" w:eastAsia="zh-CN"/>
        </w:rPr>
        <w:t>内置电池： DC 16.8V 鲤电池；</w:t>
      </w:r>
    </w:p>
    <w:p>
      <w:pPr>
        <w:rPr>
          <w:rFonts w:hint="eastAsia"/>
          <w:lang w:val="en-US" w:eastAsia="zh-CN"/>
        </w:rPr>
      </w:pPr>
    </w:p>
    <w:p>
      <w:pPr>
        <w:rPr>
          <w:rFonts w:hint="eastAsia"/>
          <w:lang w:val="en-US" w:eastAsia="zh-CN"/>
        </w:rPr>
      </w:pPr>
    </w:p>
    <w:p>
      <w:pPr>
        <w:rPr>
          <w:rFonts w:hint="eastAsia"/>
        </w:rPr>
      </w:pPr>
      <w:r>
        <w:rPr>
          <w:rFonts w:hint="eastAsia"/>
          <w:lang w:val="en-US" w:eastAsia="zh-CN"/>
        </w:rPr>
        <w:t>三、</w:t>
      </w:r>
      <w:r>
        <w:rPr>
          <w:rFonts w:hint="eastAsia"/>
        </w:rPr>
        <w:t>便携式水质采样设备</w:t>
      </w:r>
    </w:p>
    <w:p>
      <w:pPr>
        <w:rPr>
          <w:rFonts w:hint="eastAsia"/>
          <w:lang w:eastAsia="zh-CN"/>
        </w:rPr>
      </w:pPr>
      <w:r>
        <w:rPr>
          <w:rFonts w:hint="eastAsia"/>
          <w:lang w:val="en-US" w:eastAsia="zh-CN"/>
        </w:rPr>
        <w:t>1、仪器</w:t>
      </w:r>
      <w:r>
        <w:rPr>
          <w:rFonts w:hint="eastAsia"/>
        </w:rPr>
        <w:t>采样方式</w:t>
      </w:r>
    </w:p>
    <w:p>
      <w:pPr>
        <w:rPr>
          <w:rFonts w:hint="eastAsia"/>
        </w:rPr>
      </w:pPr>
      <w:r>
        <w:rPr>
          <w:rFonts w:hint="eastAsia"/>
        </w:rPr>
        <w:t>标准采样：采样延迟时间：(1～9999分钟)任意设定，增量1分钟</w:t>
      </w:r>
    </w:p>
    <w:p>
      <w:pPr>
        <w:rPr>
          <w:rFonts w:hint="eastAsia"/>
        </w:rPr>
      </w:pPr>
      <w:r>
        <w:rPr>
          <w:rFonts w:hint="eastAsia"/>
        </w:rPr>
        <w:t>采样间隔时间：(1～9999分钟)任意设定，增量1分钟</w:t>
      </w:r>
    </w:p>
    <w:p>
      <w:pPr>
        <w:rPr>
          <w:rFonts w:hint="eastAsia"/>
        </w:rPr>
      </w:pPr>
      <w:r>
        <w:rPr>
          <w:rFonts w:hint="eastAsia"/>
        </w:rPr>
        <w:t>采样量：(5～1000 mL)任意设定，增量1毫升</w:t>
      </w:r>
    </w:p>
    <w:p>
      <w:pPr>
        <w:rPr>
          <w:rFonts w:hint="eastAsia"/>
        </w:rPr>
      </w:pPr>
      <w:r>
        <w:rPr>
          <w:rFonts w:hint="eastAsia"/>
        </w:rPr>
        <w:t>混合采样：采样延迟时间：(1～9999分钟)任意设定，增量1分钟</w:t>
      </w:r>
    </w:p>
    <w:p>
      <w:pPr>
        <w:rPr>
          <w:rFonts w:hint="eastAsia"/>
        </w:rPr>
      </w:pPr>
      <w:r>
        <w:rPr>
          <w:rFonts w:hint="eastAsia"/>
        </w:rPr>
        <w:t>采样间隔时间：(1～9999分钟)任意设定，增量1分钟</w:t>
      </w:r>
    </w:p>
    <w:p>
      <w:pPr>
        <w:rPr>
          <w:rFonts w:hint="eastAsia"/>
        </w:rPr>
      </w:pPr>
      <w:r>
        <w:rPr>
          <w:rFonts w:hint="eastAsia"/>
        </w:rPr>
        <w:t>采样量：(5～1000 mL)任意设定，增量1毫升</w:t>
      </w:r>
    </w:p>
    <w:p>
      <w:pPr>
        <w:rPr>
          <w:rFonts w:hint="eastAsia"/>
        </w:rPr>
      </w:pPr>
      <w:r>
        <w:rPr>
          <w:rFonts w:hint="eastAsia"/>
        </w:rPr>
        <w:t>混合采样个数：（1～20）</w:t>
      </w:r>
    </w:p>
    <w:p>
      <w:pPr>
        <w:rPr>
          <w:rFonts w:hint="eastAsia"/>
        </w:rPr>
      </w:pPr>
      <w:r>
        <w:rPr>
          <w:rFonts w:hint="eastAsia"/>
        </w:rPr>
        <w:t>平行采样：采样延迟时间：(1～9999分钟)任意设定，增量1分钟</w:t>
      </w:r>
    </w:p>
    <w:p>
      <w:pPr>
        <w:rPr>
          <w:rFonts w:hint="eastAsia"/>
        </w:rPr>
      </w:pPr>
      <w:r>
        <w:rPr>
          <w:rFonts w:hint="eastAsia"/>
        </w:rPr>
        <w:t>采样间隔时间：(1～9999分钟)任意设定，增量1分钟</w:t>
      </w:r>
    </w:p>
    <w:p>
      <w:pPr>
        <w:rPr>
          <w:rFonts w:hint="eastAsia"/>
        </w:rPr>
      </w:pPr>
      <w:r>
        <w:rPr>
          <w:rFonts w:hint="eastAsia"/>
        </w:rPr>
        <w:t>采样量：(5～1000 mL)任意设定，增量1毫升</w:t>
      </w:r>
    </w:p>
    <w:p>
      <w:pPr>
        <w:rPr>
          <w:rFonts w:hint="eastAsia"/>
        </w:rPr>
      </w:pPr>
      <w:r>
        <w:rPr>
          <w:rFonts w:hint="eastAsia"/>
        </w:rPr>
        <w:t>平行采样个数：（1～24）</w:t>
      </w:r>
    </w:p>
    <w:p>
      <w:pPr>
        <w:rPr>
          <w:rFonts w:hint="eastAsia"/>
        </w:rPr>
      </w:pPr>
      <w:r>
        <w:rPr>
          <w:rFonts w:hint="eastAsia"/>
        </w:rPr>
        <w:t>流量触发：采样专用流量计控制采样。需要选配流量计探头，1～9999立方米水任意设定，增量1立方米</w:t>
      </w:r>
    </w:p>
    <w:p>
      <w:pPr>
        <w:rPr>
          <w:rFonts w:hint="eastAsia"/>
        </w:rPr>
      </w:pPr>
      <w:r>
        <w:rPr>
          <w:rFonts w:hint="eastAsia"/>
        </w:rPr>
        <w:t>脉冲触发：采样1～9999个脉冲任意设定，增量1个脉冲。接收的脉冲为无源脉冲，闭合时间大于1秒。</w:t>
      </w:r>
    </w:p>
    <w:p>
      <w:pPr>
        <w:rPr>
          <w:rFonts w:hint="eastAsia"/>
          <w:lang w:val="en-US" w:eastAsia="zh-CN"/>
        </w:rPr>
      </w:pPr>
      <w:r>
        <w:rPr>
          <w:rFonts w:hint="eastAsia"/>
          <w:lang w:val="en-US" w:eastAsia="zh-CN"/>
        </w:rPr>
        <w:t>2、仪器采样泵特性</w:t>
      </w:r>
    </w:p>
    <w:p>
      <w:pPr>
        <w:rPr>
          <w:rFonts w:hint="eastAsia"/>
        </w:rPr>
      </w:pPr>
      <w:r>
        <w:rPr>
          <w:rFonts w:hint="eastAsia"/>
        </w:rPr>
        <w:t>采样流速：3</w:t>
      </w:r>
      <w:r>
        <w:rPr>
          <w:rFonts w:hint="eastAsia"/>
          <w:lang w:val="en-US" w:eastAsia="zh-CN"/>
        </w:rPr>
        <w:t>7</w:t>
      </w:r>
      <w:r>
        <w:rPr>
          <w:rFonts w:hint="eastAsia"/>
        </w:rPr>
        <w:t>00 mL/min</w:t>
      </w:r>
    </w:p>
    <w:p>
      <w:pPr>
        <w:rPr>
          <w:rFonts w:hint="eastAsia"/>
        </w:rPr>
      </w:pPr>
      <w:r>
        <w:rPr>
          <w:rFonts w:hint="eastAsia"/>
        </w:rPr>
        <w:t>泵管内径：10 mm</w:t>
      </w:r>
    </w:p>
    <w:p>
      <w:pPr>
        <w:rPr>
          <w:rFonts w:hint="eastAsia"/>
        </w:rPr>
      </w:pPr>
      <w:r>
        <w:rPr>
          <w:rFonts w:hint="eastAsia"/>
        </w:rPr>
        <w:t>泵管材质：高强度医用硅胶管</w:t>
      </w:r>
    </w:p>
    <w:p>
      <w:pPr>
        <w:rPr>
          <w:rFonts w:hint="eastAsia"/>
        </w:rPr>
      </w:pPr>
      <w:r>
        <w:rPr>
          <w:rFonts w:hint="eastAsia"/>
        </w:rPr>
        <w:t>泵总成材质：泵体为增强工程塑料，快速拆装模块组合，电机轴、泵管滚轮支架为不锈钢材质</w:t>
      </w:r>
    </w:p>
    <w:p>
      <w:pPr>
        <w:rPr>
          <w:rFonts w:hint="eastAsia"/>
        </w:rPr>
      </w:pPr>
      <w:r>
        <w:rPr>
          <w:rFonts w:hint="eastAsia"/>
        </w:rPr>
        <w:t xml:space="preserve">采样量误差：±5% </w:t>
      </w:r>
    </w:p>
    <w:p>
      <w:pPr>
        <w:rPr>
          <w:rFonts w:hint="eastAsia"/>
        </w:rPr>
      </w:pPr>
      <w:r>
        <w:rPr>
          <w:rFonts w:hint="eastAsia"/>
        </w:rPr>
        <w:t>采样重复精度：±5 mL</w:t>
      </w:r>
    </w:p>
    <w:p>
      <w:pPr>
        <w:rPr>
          <w:rFonts w:hint="eastAsia"/>
        </w:rPr>
      </w:pPr>
      <w:r>
        <w:rPr>
          <w:rFonts w:hint="eastAsia"/>
        </w:rPr>
        <w:t>垂直扬程：8 m</w:t>
      </w:r>
    </w:p>
    <w:p>
      <w:pPr>
        <w:rPr>
          <w:rFonts w:hint="eastAsia"/>
        </w:rPr>
      </w:pPr>
      <w:r>
        <w:rPr>
          <w:rFonts w:hint="eastAsia"/>
        </w:rPr>
        <w:t xml:space="preserve">水平吸程：50 m </w:t>
      </w:r>
    </w:p>
    <w:p>
      <w:pPr>
        <w:rPr>
          <w:rFonts w:hint="eastAsia"/>
        </w:rPr>
      </w:pPr>
      <w:r>
        <w:rPr>
          <w:rFonts w:hint="eastAsia"/>
        </w:rPr>
        <w:t>管路系统气密性</w:t>
      </w:r>
      <w:r>
        <w:rPr>
          <w:rFonts w:hint="eastAsia"/>
          <w:lang w:eastAsia="zh-CN"/>
        </w:rPr>
        <w:t>：</w:t>
      </w:r>
      <w:r>
        <w:rPr>
          <w:rFonts w:hint="eastAsia"/>
        </w:rPr>
        <w:t>≤-0.08MPa</w:t>
      </w:r>
    </w:p>
    <w:p>
      <w:pPr>
        <w:rPr>
          <w:rFonts w:hint="eastAsia"/>
          <w:lang w:val="en-US" w:eastAsia="zh-CN"/>
        </w:rPr>
      </w:pPr>
      <w:r>
        <w:rPr>
          <w:rFonts w:hint="eastAsia"/>
          <w:lang w:val="en-US" w:eastAsia="zh-CN"/>
        </w:rPr>
        <w:t>3、仪器软件功能</w:t>
      </w:r>
    </w:p>
    <w:p>
      <w:pPr>
        <w:rPr>
          <w:rFonts w:hint="eastAsia"/>
        </w:rPr>
      </w:pPr>
      <w:r>
        <w:rPr>
          <w:rFonts w:hint="eastAsia"/>
        </w:rPr>
        <w:t>操作界面：大屏幕2.8TFT彩色液晶显示屏，全部中文菜单，人机对话方式，需要人为干预的时候均有中文提示</w:t>
      </w:r>
    </w:p>
    <w:p>
      <w:pPr>
        <w:rPr>
          <w:rFonts w:hint="eastAsia"/>
        </w:rPr>
      </w:pPr>
      <w:r>
        <w:rPr>
          <w:rFonts w:hint="eastAsia"/>
        </w:rPr>
        <w:t>分瓶采样：仪器可实现1-24瓶分瓶采样，瓶数可自由设定，分配系统自润滑、定位自锁型</w:t>
      </w:r>
    </w:p>
    <w:p>
      <w:pPr>
        <w:rPr>
          <w:rFonts w:hint="eastAsia"/>
        </w:rPr>
      </w:pPr>
      <w:r>
        <w:rPr>
          <w:rFonts w:hint="eastAsia"/>
        </w:rPr>
        <w:t>管路润洗：采用“吹-吸-吹”的方式对管路进行润洗，避免样品交叉污染。</w:t>
      </w:r>
    </w:p>
    <w:p>
      <w:pPr>
        <w:rPr>
          <w:rFonts w:hint="eastAsia"/>
        </w:rPr>
      </w:pPr>
      <w:r>
        <w:rPr>
          <w:rFonts w:hint="eastAsia"/>
        </w:rPr>
        <w:t>软件密码锁：可以保护仪器内设置的程序不被修改</w:t>
      </w:r>
    </w:p>
    <w:p>
      <w:pPr>
        <w:rPr>
          <w:rFonts w:hint="eastAsia"/>
        </w:rPr>
      </w:pPr>
      <w:r>
        <w:rPr>
          <w:rFonts w:hint="eastAsia"/>
        </w:rPr>
        <w:t>采样程序预设：可以根据采样要求预设并存储10个常用工作程序，以后可直接调用</w:t>
      </w:r>
    </w:p>
    <w:p>
      <w:pPr>
        <w:rPr>
          <w:rFonts w:hint="eastAsia"/>
        </w:rPr>
      </w:pPr>
      <w:r>
        <w:rPr>
          <w:rFonts w:hint="eastAsia"/>
        </w:rPr>
        <w:t>外置泵控制：可通过控制外置的潜水泵或自吸泵延长采样距</w:t>
      </w:r>
    </w:p>
    <w:p>
      <w:pPr>
        <w:rPr>
          <w:rFonts w:hint="eastAsia"/>
          <w:lang w:val="en-US" w:eastAsia="zh-CN"/>
        </w:rPr>
      </w:pPr>
      <w:r>
        <w:rPr>
          <w:rFonts w:hint="eastAsia"/>
        </w:rPr>
        <w:t>历史记录：采样记录：采样量、采样瓶号、采样时间。可存储</w:t>
      </w:r>
      <w:r>
        <w:rPr>
          <w:rFonts w:hint="eastAsia"/>
          <w:lang w:val="en-US" w:eastAsia="zh-CN"/>
        </w:rPr>
        <w:t>5000</w:t>
      </w:r>
      <w:r>
        <w:rPr>
          <w:rFonts w:hint="eastAsia"/>
        </w:rPr>
        <w:t>条</w:t>
      </w:r>
      <w:r>
        <w:rPr>
          <w:rFonts w:hint="eastAsia"/>
          <w:lang w:val="en-US" w:eastAsia="zh-CN"/>
        </w:rPr>
        <w:t>；</w:t>
      </w:r>
    </w:p>
    <w:p>
      <w:pPr>
        <w:rPr>
          <w:rFonts w:hint="eastAsia"/>
          <w:lang w:val="en-US" w:eastAsia="zh-CN"/>
        </w:rPr>
      </w:pPr>
      <w:r>
        <w:rPr>
          <w:rFonts w:hint="eastAsia"/>
          <w:lang w:val="en-US" w:eastAsia="zh-CN"/>
        </w:rPr>
        <w:t>可用</w:t>
      </w:r>
      <w:r>
        <w:rPr>
          <w:rFonts w:hint="eastAsia"/>
        </w:rPr>
        <w:t>流量记录：瞬时流量、累计流量、时间。可存储60000条</w:t>
      </w:r>
      <w:r>
        <w:rPr>
          <w:rFonts w:hint="eastAsia"/>
          <w:lang w:val="en-US" w:eastAsia="zh-CN"/>
        </w:rPr>
        <w:t xml:space="preserve"> </w:t>
      </w:r>
    </w:p>
    <w:p>
      <w:pPr>
        <w:rPr>
          <w:rFonts w:hint="eastAsia"/>
          <w:lang w:val="en-US" w:eastAsia="zh-CN"/>
        </w:rPr>
      </w:pPr>
      <w:r>
        <w:rPr>
          <w:rFonts w:hint="eastAsia"/>
          <w:lang w:val="en-US" w:eastAsia="zh-CN"/>
        </w:rPr>
        <w:t>可用智慧平台控制。</w:t>
      </w:r>
    </w:p>
    <w:p>
      <w:pPr>
        <w:rPr>
          <w:rFonts w:hint="eastAsia"/>
          <w:lang w:val="en-US" w:eastAsia="zh-CN"/>
        </w:rPr>
      </w:pPr>
      <w:r>
        <w:rPr>
          <w:rFonts w:hint="eastAsia"/>
          <w:lang w:val="en-US" w:eastAsia="zh-CN"/>
        </w:rPr>
        <w:t>4、其他参数</w:t>
      </w:r>
    </w:p>
    <w:p>
      <w:pPr>
        <w:rPr>
          <w:rFonts w:hint="eastAsia"/>
        </w:rPr>
      </w:pPr>
      <w:r>
        <w:rPr>
          <w:rFonts w:hint="eastAsia"/>
          <w:lang w:val="en-US" w:eastAsia="zh-CN"/>
        </w:rPr>
        <w:t>★</w:t>
      </w:r>
      <w:r>
        <w:rPr>
          <w:rFonts w:hint="eastAsia"/>
        </w:rPr>
        <w:t>储水容器：</w:t>
      </w:r>
      <w:r>
        <w:rPr>
          <w:rFonts w:hint="eastAsia"/>
          <w:lang w:eastAsia="zh-Hans"/>
        </w:rPr>
        <w:t>24个1000ml聚乙烯储水瓶</w:t>
      </w:r>
    </w:p>
    <w:p>
      <w:pPr>
        <w:rPr>
          <w:rFonts w:hint="eastAsia"/>
          <w:lang w:val="en-US" w:eastAsia="zh-CN"/>
        </w:rPr>
      </w:pPr>
      <w:r>
        <w:rPr>
          <w:rFonts w:hint="eastAsia"/>
        </w:rPr>
        <w:t>前置过滤：专用过滤头。可根据水质情况选用相应目数的不锈钢过滤网</w:t>
      </w:r>
      <w:r>
        <w:rPr>
          <w:rFonts w:hint="eastAsia"/>
          <w:lang w:val="en-US" w:eastAsia="zh-CN"/>
        </w:rPr>
        <w:t>；</w:t>
      </w:r>
    </w:p>
    <w:p>
      <w:pPr>
        <w:rPr>
          <w:rFonts w:hint="eastAsia"/>
        </w:rPr>
      </w:pPr>
      <w:r>
        <w:rPr>
          <w:rFonts w:hint="eastAsia"/>
        </w:rPr>
        <w:t>系统时钟时间控制：误差△1≤0.1%及△24≤30S</w:t>
      </w:r>
    </w:p>
    <w:p>
      <w:pPr>
        <w:rPr>
          <w:rFonts w:hint="eastAsia"/>
        </w:rPr>
      </w:pPr>
      <w:r>
        <w:rPr>
          <w:rFonts w:hint="eastAsia"/>
        </w:rPr>
        <w:t>平均无故障连续运行时间(MTBF)</w:t>
      </w:r>
      <w:r>
        <w:rPr>
          <w:rFonts w:hint="eastAsia"/>
          <w:lang w:eastAsia="zh-CN"/>
        </w:rPr>
        <w:t>：</w:t>
      </w:r>
      <w:r>
        <w:rPr>
          <w:rFonts w:hint="eastAsia"/>
        </w:rPr>
        <w:t>≥1440h/次</w:t>
      </w:r>
    </w:p>
    <w:p>
      <w:pPr>
        <w:rPr>
          <w:rFonts w:hint="eastAsia"/>
        </w:rPr>
      </w:pPr>
      <w:r>
        <w:rPr>
          <w:rFonts w:hint="eastAsia"/>
        </w:rPr>
        <w:t>绝缘阻抗</w:t>
      </w:r>
      <w:r>
        <w:rPr>
          <w:rFonts w:hint="eastAsia"/>
          <w:lang w:eastAsia="zh-CN"/>
        </w:rPr>
        <w:t>：</w:t>
      </w:r>
      <w:r>
        <w:rPr>
          <w:rFonts w:hint="eastAsia"/>
        </w:rPr>
        <w:t>&gt;20MΩ</w:t>
      </w:r>
    </w:p>
    <w:p>
      <w:pPr>
        <w:rPr>
          <w:rFonts w:hint="eastAsia"/>
          <w:lang w:val="en-US" w:eastAsia="zh-CN"/>
        </w:rPr>
      </w:pPr>
      <w:r>
        <w:rPr>
          <w:rFonts w:hint="eastAsia"/>
        </w:rPr>
        <w:t>通讯接口：</w:t>
      </w:r>
      <w:r>
        <w:rPr>
          <w:rFonts w:hint="eastAsia"/>
          <w:lang w:val="en-US" w:eastAsia="zh-CN"/>
        </w:rPr>
        <w:t>内部MODBUS协议</w:t>
      </w:r>
    </w:p>
    <w:p>
      <w:pPr>
        <w:rPr>
          <w:rFonts w:hint="eastAsia"/>
        </w:rPr>
      </w:pPr>
      <w:r>
        <w:rPr>
          <w:rFonts w:hint="eastAsia"/>
        </w:rPr>
        <w:t>1 路RS232/RS485数字接口 (默认RS232)</w:t>
      </w:r>
    </w:p>
    <w:p>
      <w:pPr>
        <w:rPr>
          <w:rFonts w:hint="eastAsia"/>
        </w:rPr>
      </w:pPr>
      <w:r>
        <w:rPr>
          <w:rFonts w:hint="eastAsia"/>
        </w:rPr>
        <w:t>模拟量输入1路4~20mA，12位分辨率</w:t>
      </w:r>
    </w:p>
    <w:p>
      <w:pPr>
        <w:rPr>
          <w:rFonts w:hint="eastAsia"/>
        </w:rPr>
      </w:pPr>
      <w:r>
        <w:rPr>
          <w:rFonts w:hint="eastAsia"/>
        </w:rPr>
        <w:t>开关量输入1路无源</w:t>
      </w:r>
    </w:p>
    <w:p>
      <w:pPr>
        <w:rPr>
          <w:rFonts w:hint="eastAsia"/>
        </w:rPr>
      </w:pPr>
      <w:r>
        <w:rPr>
          <w:rFonts w:hint="eastAsia"/>
        </w:rPr>
        <w:t>开关量输出1路有源，15VDC/200mA</w:t>
      </w:r>
    </w:p>
    <w:p>
      <w:pPr>
        <w:rPr>
          <w:rFonts w:hint="eastAsia"/>
          <w:lang w:val="en-US" w:eastAsia="zh-CN"/>
        </w:rPr>
      </w:pPr>
      <w:r>
        <w:rPr>
          <w:rFonts w:hint="eastAsia"/>
          <w:lang w:val="en-US" w:eastAsia="zh-CN"/>
        </w:rPr>
        <w:t>5、仪器使用条件</w:t>
      </w:r>
    </w:p>
    <w:p>
      <w:pPr>
        <w:rPr>
          <w:rFonts w:hint="eastAsia"/>
        </w:rPr>
      </w:pPr>
      <w:r>
        <w:rPr>
          <w:rFonts w:hint="eastAsia"/>
        </w:rPr>
        <w:t>供电电源：DC12V-16.8V   外置14.8V  7.8AH 大容量锂电池</w:t>
      </w:r>
    </w:p>
    <w:p>
      <w:pPr>
        <w:rPr>
          <w:rFonts w:hint="eastAsia"/>
        </w:rPr>
      </w:pPr>
      <w:r>
        <w:rPr>
          <w:rFonts w:hint="eastAsia"/>
        </w:rPr>
        <w:t>额定功率：35W</w:t>
      </w:r>
    </w:p>
    <w:p>
      <w:pPr>
        <w:rPr>
          <w:rFonts w:hint="eastAsia"/>
        </w:rPr>
      </w:pPr>
      <w:r>
        <w:rPr>
          <w:rFonts w:hint="eastAsia"/>
        </w:rPr>
        <w:t>工作环境温度：-5℃ 至 +50℃</w:t>
      </w:r>
    </w:p>
    <w:p>
      <w:pPr>
        <w:rPr>
          <w:rFonts w:hint="eastAsia"/>
        </w:rPr>
      </w:pPr>
      <w:r>
        <w:rPr>
          <w:rFonts w:hint="eastAsia"/>
        </w:rPr>
        <w:t>工作环境湿度：5-85%RH</w:t>
      </w:r>
    </w:p>
    <w:p>
      <w:pPr>
        <w:rPr>
          <w:rFonts w:hint="eastAsia"/>
          <w:lang w:val="en-US" w:eastAsia="zh-CN"/>
        </w:rPr>
      </w:pPr>
      <w:r>
        <w:rPr>
          <w:rFonts w:hint="eastAsia"/>
        </w:rPr>
        <w:t>外壳材质：</w:t>
      </w:r>
      <w:r>
        <w:rPr>
          <w:rFonts w:hint="eastAsia"/>
          <w:lang w:val="en-US" w:eastAsia="zh-CN"/>
        </w:rPr>
        <w:t>防暑等级IP65.ABS</w:t>
      </w:r>
      <w:r>
        <w:rPr>
          <w:rFonts w:hint="eastAsia"/>
        </w:rPr>
        <w:t>材质，</w:t>
      </w:r>
      <w:r>
        <w:rPr>
          <w:rFonts w:hint="eastAsia"/>
          <w:lang w:val="en-US" w:eastAsia="zh-CN"/>
        </w:rPr>
        <w:t>轻便，</w:t>
      </w:r>
      <w:r>
        <w:rPr>
          <w:rFonts w:hint="eastAsia"/>
        </w:rPr>
        <w:t>耐酸碱，腐蚀，抗老化</w:t>
      </w:r>
    </w:p>
    <w:p>
      <w:pPr>
        <w:rPr>
          <w:rFonts w:hint="eastAsia"/>
        </w:rPr>
      </w:pPr>
      <w:r>
        <w:rPr>
          <w:rFonts w:hint="eastAsia"/>
        </w:rPr>
        <w:t>防护等级：IP65</w:t>
      </w:r>
    </w:p>
    <w:p>
      <w:pPr>
        <w:rPr>
          <w:rFonts w:hint="eastAsia"/>
          <w:lang w:val="en-US" w:eastAsia="zh-CN"/>
        </w:rPr>
      </w:pPr>
    </w:p>
    <w:p>
      <w:pPr>
        <w:rPr>
          <w:rFonts w:hint="eastAsia"/>
          <w:lang w:eastAsia="zh-CN"/>
        </w:rPr>
      </w:pPr>
      <w:r>
        <w:rPr>
          <w:rFonts w:hint="eastAsia"/>
          <w:lang w:eastAsia="zh-CN"/>
        </w:rPr>
        <w:t>四、快检试剂包</w:t>
      </w:r>
    </w:p>
    <w:tbl>
      <w:tblPr>
        <w:tblStyle w:val="41"/>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8"/>
        <w:gridCol w:w="2173"/>
        <w:gridCol w:w="1916"/>
        <w:gridCol w:w="935"/>
        <w:gridCol w:w="984"/>
        <w:gridCol w:w="16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编号</w:t>
            </w:r>
          </w:p>
        </w:tc>
        <w:tc>
          <w:tcPr>
            <w:tcW w:w="2173"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产 品 名 称</w:t>
            </w:r>
          </w:p>
        </w:tc>
        <w:tc>
          <w:tcPr>
            <w:tcW w:w="1916"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检测范围</w:t>
            </w:r>
          </w:p>
        </w:tc>
        <w:tc>
          <w:tcPr>
            <w:tcW w:w="935"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规格</w:t>
            </w:r>
          </w:p>
        </w:tc>
        <w:tc>
          <w:tcPr>
            <w:tcW w:w="98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数量</w:t>
            </w:r>
          </w:p>
        </w:tc>
        <w:tc>
          <w:tcPr>
            <w:tcW w:w="165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1</w:t>
            </w:r>
          </w:p>
        </w:tc>
        <w:tc>
          <w:tcPr>
            <w:tcW w:w="2173"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氨氮检测试纸</w:t>
            </w:r>
          </w:p>
        </w:tc>
        <w:tc>
          <w:tcPr>
            <w:tcW w:w="1916"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0-1000mg/l</w:t>
            </w:r>
          </w:p>
        </w:tc>
        <w:tc>
          <w:tcPr>
            <w:tcW w:w="935"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盒</w:t>
            </w:r>
          </w:p>
        </w:tc>
        <w:tc>
          <w:tcPr>
            <w:tcW w:w="98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1</w:t>
            </w:r>
          </w:p>
        </w:tc>
        <w:tc>
          <w:tcPr>
            <w:tcW w:w="165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50 次/盒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2</w:t>
            </w:r>
          </w:p>
        </w:tc>
        <w:tc>
          <w:tcPr>
            <w:tcW w:w="2173"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COD 试剂盒</w:t>
            </w:r>
          </w:p>
        </w:tc>
        <w:tc>
          <w:tcPr>
            <w:tcW w:w="1916"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0-250mg/l</w:t>
            </w:r>
          </w:p>
        </w:tc>
        <w:tc>
          <w:tcPr>
            <w:tcW w:w="935"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盒</w:t>
            </w:r>
          </w:p>
        </w:tc>
        <w:tc>
          <w:tcPr>
            <w:tcW w:w="98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1</w:t>
            </w:r>
          </w:p>
        </w:tc>
        <w:tc>
          <w:tcPr>
            <w:tcW w:w="165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50 次/盒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3</w:t>
            </w:r>
          </w:p>
        </w:tc>
        <w:tc>
          <w:tcPr>
            <w:tcW w:w="2173"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总磷比色管</w:t>
            </w:r>
          </w:p>
        </w:tc>
        <w:tc>
          <w:tcPr>
            <w:tcW w:w="1916"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0.5-20mg/l</w:t>
            </w:r>
          </w:p>
        </w:tc>
        <w:tc>
          <w:tcPr>
            <w:tcW w:w="935"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盒</w:t>
            </w:r>
          </w:p>
        </w:tc>
        <w:tc>
          <w:tcPr>
            <w:tcW w:w="98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1</w:t>
            </w:r>
          </w:p>
        </w:tc>
        <w:tc>
          <w:tcPr>
            <w:tcW w:w="165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50 次/盒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4</w:t>
            </w:r>
          </w:p>
        </w:tc>
        <w:tc>
          <w:tcPr>
            <w:tcW w:w="2173"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总氮比色管</w:t>
            </w:r>
          </w:p>
        </w:tc>
        <w:tc>
          <w:tcPr>
            <w:tcW w:w="1916"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0-100mg/l</w:t>
            </w:r>
          </w:p>
        </w:tc>
        <w:tc>
          <w:tcPr>
            <w:tcW w:w="935"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盒</w:t>
            </w:r>
          </w:p>
        </w:tc>
        <w:tc>
          <w:tcPr>
            <w:tcW w:w="98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1</w:t>
            </w:r>
          </w:p>
        </w:tc>
        <w:tc>
          <w:tcPr>
            <w:tcW w:w="165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50 次/盒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5</w:t>
            </w:r>
          </w:p>
        </w:tc>
        <w:tc>
          <w:tcPr>
            <w:tcW w:w="2173"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六价铬比色管</w:t>
            </w:r>
          </w:p>
        </w:tc>
        <w:tc>
          <w:tcPr>
            <w:tcW w:w="1916"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0.05-5mg/l</w:t>
            </w:r>
          </w:p>
        </w:tc>
        <w:tc>
          <w:tcPr>
            <w:tcW w:w="935"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盒</w:t>
            </w:r>
          </w:p>
        </w:tc>
        <w:tc>
          <w:tcPr>
            <w:tcW w:w="98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1</w:t>
            </w:r>
          </w:p>
        </w:tc>
        <w:tc>
          <w:tcPr>
            <w:tcW w:w="165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50 次/盒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8</w:t>
            </w:r>
          </w:p>
        </w:tc>
        <w:tc>
          <w:tcPr>
            <w:tcW w:w="2173"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PH 试剂盒</w:t>
            </w:r>
          </w:p>
        </w:tc>
        <w:tc>
          <w:tcPr>
            <w:tcW w:w="1916"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6.5-9.5</w:t>
            </w:r>
          </w:p>
        </w:tc>
        <w:tc>
          <w:tcPr>
            <w:tcW w:w="935"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盒</w:t>
            </w:r>
          </w:p>
        </w:tc>
        <w:tc>
          <w:tcPr>
            <w:tcW w:w="98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1</w:t>
            </w:r>
          </w:p>
        </w:tc>
        <w:tc>
          <w:tcPr>
            <w:tcW w:w="1658"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lang w:val="en-US" w:eastAsia="zh-CN"/>
              </w:rPr>
              <w:t>50 次/盒</w:t>
            </w:r>
          </w:p>
        </w:tc>
      </w:tr>
    </w:tbl>
    <w:p>
      <w:pPr>
        <w:rPr>
          <w:rFonts w:hint="eastAsia"/>
          <w:lang w:eastAsia="zh-CN"/>
        </w:rPr>
      </w:pPr>
    </w:p>
    <w:p>
      <w:pPr>
        <w:rPr>
          <w:rFonts w:hint="eastAsia"/>
          <w:lang w:eastAsia="zh-CN"/>
        </w:rPr>
      </w:pPr>
    </w:p>
    <w:p>
      <w:pPr>
        <w:rPr>
          <w:rFonts w:hint="eastAsia"/>
          <w:lang w:eastAsia="zh-CN"/>
        </w:rPr>
      </w:pPr>
      <w:r>
        <w:rPr>
          <w:rFonts w:hint="eastAsia"/>
          <w:lang w:eastAsia="zh-CN"/>
        </w:rPr>
        <w:t>五、移动执法终端</w:t>
      </w:r>
    </w:p>
    <w:p>
      <w:pPr>
        <w:rPr>
          <w:rFonts w:hint="eastAsia"/>
          <w:lang w:val="en-US" w:eastAsia="zh-CN"/>
        </w:rPr>
      </w:pPr>
      <w:r>
        <w:rPr>
          <w:rFonts w:hint="eastAsia"/>
          <w:lang w:val="en-US" w:eastAsia="zh-CN"/>
        </w:rPr>
        <w:t>主要参数：国产移动执法终端；操作系统为：安卓或者鸿蒙系统；内存：屏幕尺寸大于6.5英寸以上；机身内存大于等于128G；运行内存大于等于8G；后摄主像素大于等于5000万像素；支持5G；双卡双待。</w:t>
      </w:r>
    </w:p>
    <w:p>
      <w:pPr>
        <w:rPr>
          <w:rFonts w:hint="eastAsia"/>
          <w:lang w:val="en-US" w:eastAsia="zh-CN"/>
        </w:rPr>
      </w:pPr>
    </w:p>
    <w:p>
      <w:pPr>
        <w:rPr>
          <w:rFonts w:hint="eastAsia"/>
        </w:rPr>
      </w:pPr>
    </w:p>
    <w:p>
      <w:pPr>
        <w:pStyle w:val="2"/>
        <w:rPr>
          <w:rFonts w:hint="eastAsia"/>
        </w:rPr>
      </w:pPr>
    </w:p>
    <w:p>
      <w:pPr>
        <w:keepNext w:val="0"/>
        <w:keepLines w:val="0"/>
        <w:pageBreakBefore/>
        <w:widowControl/>
        <w:kinsoku/>
        <w:wordWrap/>
        <w:overflowPunct/>
        <w:topLinePunct w:val="0"/>
        <w:autoSpaceDE/>
        <w:autoSpaceDN/>
        <w:bidi w:val="0"/>
        <w:adjustRightInd/>
        <w:snapToGrid/>
        <w:spacing w:beforeAutospacing="0" w:afterAutospacing="0" w:line="400" w:lineRule="exact"/>
        <w:ind w:left="0" w:leftChars="0" w:right="0" w:rightChars="0"/>
        <w:jc w:val="center"/>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第四章  合同条款（仅供参考）</w:t>
      </w:r>
    </w:p>
    <w:p>
      <w:pPr>
        <w:widowControl/>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新疆维吾尔自治区水生态环境执法装备能力建设</w:t>
      </w:r>
    </w:p>
    <w:p>
      <w:pPr>
        <w:widowControl/>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项目（一期）</w:t>
      </w:r>
    </w:p>
    <w:p>
      <w:pPr>
        <w:widowControl/>
        <w:jc w:val="center"/>
        <w:rPr>
          <w:rFonts w:hint="eastAsia" w:ascii="宋体" w:hAnsi="宋体" w:eastAsia="宋体" w:cs="宋体"/>
          <w:b/>
          <w:bCs/>
          <w:sz w:val="32"/>
          <w:szCs w:val="32"/>
        </w:rPr>
      </w:pPr>
    </w:p>
    <w:p>
      <w:pPr>
        <w:widowControl/>
        <w:jc w:val="center"/>
        <w:rPr>
          <w:rFonts w:hint="eastAsia" w:ascii="宋体" w:hAnsi="宋体" w:eastAsia="宋体" w:cs="宋体"/>
          <w:b/>
          <w:bCs/>
          <w:sz w:val="32"/>
          <w:szCs w:val="32"/>
        </w:rPr>
      </w:pPr>
    </w:p>
    <w:p>
      <w:pPr>
        <w:widowControl/>
        <w:jc w:val="center"/>
        <w:rPr>
          <w:rFonts w:hint="eastAsia" w:ascii="宋体" w:hAnsi="宋体" w:eastAsia="宋体" w:cs="宋体"/>
          <w:b/>
          <w:bCs/>
          <w:sz w:val="32"/>
          <w:szCs w:val="32"/>
        </w:rPr>
      </w:pPr>
    </w:p>
    <w:p>
      <w:pPr>
        <w:widowControl/>
        <w:jc w:val="center"/>
        <w:rPr>
          <w:rFonts w:hint="eastAsia" w:ascii="宋体" w:hAnsi="宋体" w:eastAsia="宋体" w:cs="宋体"/>
          <w:b/>
          <w:bCs/>
          <w:sz w:val="32"/>
          <w:szCs w:val="32"/>
        </w:rPr>
      </w:pPr>
      <w:r>
        <w:rPr>
          <w:rFonts w:hint="eastAsia" w:ascii="宋体" w:hAnsi="宋体" w:eastAsia="宋体" w:cs="宋体"/>
          <w:b/>
          <w:bCs/>
          <w:sz w:val="32"/>
          <w:szCs w:val="32"/>
        </w:rPr>
        <w:t>采购合同</w:t>
      </w:r>
    </w:p>
    <w:p>
      <w:pPr>
        <w:widowControl/>
        <w:jc w:val="center"/>
        <w:rPr>
          <w:rFonts w:hint="eastAsia" w:ascii="宋体" w:hAnsi="宋体" w:eastAsia="宋体" w:cs="宋体"/>
          <w:b/>
          <w:bCs/>
          <w:sz w:val="32"/>
          <w:szCs w:val="32"/>
        </w:rPr>
      </w:pPr>
    </w:p>
    <w:p>
      <w:pPr>
        <w:widowControl/>
        <w:jc w:val="center"/>
        <w:rPr>
          <w:rFonts w:hint="eastAsia" w:ascii="宋体" w:hAnsi="宋体" w:eastAsia="宋体" w:cs="宋体"/>
          <w:b/>
          <w:bCs/>
          <w:sz w:val="32"/>
          <w:szCs w:val="32"/>
        </w:rPr>
      </w:pPr>
    </w:p>
    <w:p>
      <w:pPr>
        <w:widowControl/>
        <w:jc w:val="both"/>
        <w:rPr>
          <w:rFonts w:hint="eastAsia" w:ascii="宋体" w:hAnsi="宋体" w:eastAsia="宋体" w:cs="宋体"/>
          <w:b/>
          <w:bCs/>
          <w:sz w:val="32"/>
          <w:szCs w:val="32"/>
        </w:rPr>
      </w:pPr>
    </w:p>
    <w:p>
      <w:pPr>
        <w:widowControl/>
        <w:jc w:val="center"/>
        <w:rPr>
          <w:rFonts w:hint="eastAsia" w:ascii="宋体" w:hAnsi="宋体" w:eastAsia="宋体" w:cs="宋体"/>
          <w:b/>
          <w:bCs/>
          <w:sz w:val="32"/>
          <w:szCs w:val="32"/>
        </w:rPr>
      </w:pPr>
    </w:p>
    <w:p>
      <w:pPr>
        <w:widowControl/>
        <w:rPr>
          <w:rFonts w:hint="eastAsia" w:ascii="宋体" w:hAnsi="宋体" w:eastAsia="宋体" w:cs="宋体"/>
          <w:b/>
          <w:bCs/>
          <w:sz w:val="32"/>
          <w:szCs w:val="32"/>
        </w:rPr>
      </w:pPr>
    </w:p>
    <w:p>
      <w:pPr>
        <w:widowControl/>
        <w:jc w:val="center"/>
        <w:rPr>
          <w:rFonts w:hint="eastAsia" w:ascii="宋体" w:hAnsi="宋体" w:eastAsia="宋体" w:cs="宋体"/>
          <w:b/>
          <w:bCs/>
          <w:sz w:val="32"/>
          <w:szCs w:val="32"/>
        </w:rPr>
      </w:pPr>
    </w:p>
    <w:p>
      <w:pPr>
        <w:widowControl/>
        <w:rPr>
          <w:rFonts w:hint="eastAsia" w:ascii="宋体" w:hAnsi="宋体" w:eastAsia="宋体" w:cs="宋体"/>
          <w:b/>
          <w:bCs/>
          <w:sz w:val="28"/>
          <w:szCs w:val="28"/>
        </w:rPr>
      </w:pPr>
      <w:r>
        <w:rPr>
          <w:rFonts w:hint="eastAsia" w:ascii="宋体" w:hAnsi="宋体" w:eastAsia="宋体" w:cs="宋体"/>
          <w:b/>
          <w:bCs/>
          <w:sz w:val="28"/>
          <w:szCs w:val="28"/>
        </w:rPr>
        <w:t>买方（甲方）：新疆维吾尔自治区生态环境保护综合行政执法局</w:t>
      </w:r>
    </w:p>
    <w:p>
      <w:pPr>
        <w:widowControl/>
        <w:jc w:val="left"/>
        <w:rPr>
          <w:rFonts w:hint="eastAsia" w:ascii="宋体" w:hAnsi="宋体" w:eastAsia="宋体" w:cs="宋体"/>
          <w:b/>
          <w:bCs/>
          <w:sz w:val="28"/>
          <w:szCs w:val="28"/>
          <w:lang w:eastAsia="zh-CN"/>
        </w:rPr>
      </w:pPr>
      <w:r>
        <w:rPr>
          <w:rFonts w:hint="eastAsia" w:ascii="宋体" w:hAnsi="宋体" w:eastAsia="宋体" w:cs="宋体"/>
          <w:b/>
          <w:bCs/>
          <w:sz w:val="28"/>
          <w:szCs w:val="28"/>
        </w:rPr>
        <w:t>卖方（乙方）：</w:t>
      </w:r>
      <w:r>
        <w:rPr>
          <w:rFonts w:hint="eastAsia" w:ascii="宋体" w:hAnsi="宋体" w:eastAsia="宋体" w:cs="宋体"/>
          <w:b/>
          <w:bCs/>
          <w:sz w:val="28"/>
          <w:szCs w:val="28"/>
          <w:lang w:val="en-US" w:eastAsia="zh-CN"/>
        </w:rPr>
        <w:t xml:space="preserve"> </w:t>
      </w:r>
    </w:p>
    <w:p>
      <w:pPr>
        <w:widowControl/>
        <w:rPr>
          <w:rFonts w:hint="eastAsia" w:ascii="宋体" w:hAnsi="宋体" w:eastAsia="宋体" w:cs="宋体"/>
          <w:b/>
          <w:bCs/>
          <w:sz w:val="32"/>
          <w:szCs w:val="32"/>
        </w:rPr>
      </w:pPr>
    </w:p>
    <w:p>
      <w:pPr>
        <w:pStyle w:val="2"/>
        <w:rPr>
          <w:rFonts w:hint="eastAsia" w:ascii="宋体" w:hAnsi="宋体" w:eastAsia="宋体" w:cs="宋体"/>
        </w:rPr>
      </w:pPr>
    </w:p>
    <w:p>
      <w:pPr>
        <w:widowControl/>
        <w:jc w:val="center"/>
        <w:rPr>
          <w:rFonts w:hint="eastAsia" w:ascii="宋体" w:hAnsi="宋体" w:eastAsia="宋体" w:cs="宋体"/>
          <w:b/>
          <w:bCs/>
          <w:sz w:val="32"/>
          <w:szCs w:val="32"/>
        </w:rPr>
      </w:pPr>
      <w:r>
        <w:rPr>
          <w:rFonts w:hint="eastAsia" w:ascii="宋体" w:hAnsi="宋体" w:eastAsia="宋体" w:cs="宋体"/>
          <w:u w:val="single"/>
          <w:lang w:val="en-US" w:eastAsia="zh-CN"/>
        </w:rPr>
        <w:t xml:space="preserve">     </w:t>
      </w:r>
      <w:r>
        <w:rPr>
          <w:rFonts w:hint="eastAsia" w:ascii="宋体" w:hAnsi="宋体" w:eastAsia="宋体" w:cs="宋体"/>
          <w:b/>
          <w:bCs/>
          <w:sz w:val="32"/>
          <w:szCs w:val="32"/>
        </w:rPr>
        <w:t>年</w:t>
      </w:r>
      <w:r>
        <w:rPr>
          <w:rFonts w:hint="eastAsia" w:ascii="宋体" w:hAnsi="宋体" w:eastAsia="宋体" w:cs="宋体"/>
          <w:u w:val="single"/>
          <w:lang w:val="en-US" w:eastAsia="zh-CN"/>
        </w:rPr>
        <w:t xml:space="preserve">     </w:t>
      </w:r>
      <w:r>
        <w:rPr>
          <w:rFonts w:hint="eastAsia" w:ascii="宋体" w:hAnsi="宋体" w:eastAsia="宋体" w:cs="宋体"/>
          <w:b/>
          <w:bCs/>
          <w:sz w:val="32"/>
          <w:szCs w:val="32"/>
        </w:rPr>
        <w:t>月</w:t>
      </w:r>
      <w:r>
        <w:rPr>
          <w:rFonts w:hint="eastAsia" w:ascii="宋体" w:hAnsi="宋体" w:eastAsia="宋体" w:cs="宋体"/>
          <w:u w:val="single"/>
          <w:lang w:val="en-US" w:eastAsia="zh-CN"/>
        </w:rPr>
        <w:t xml:space="preserve">     </w:t>
      </w:r>
      <w:r>
        <w:rPr>
          <w:rFonts w:hint="eastAsia" w:ascii="宋体" w:hAnsi="宋体" w:eastAsia="宋体" w:cs="宋体"/>
          <w:b/>
          <w:bCs/>
          <w:sz w:val="32"/>
          <w:szCs w:val="32"/>
        </w:rPr>
        <w:t>日</w:t>
      </w:r>
    </w:p>
    <w:p>
      <w:pPr>
        <w:widowControl/>
        <w:spacing w:line="360" w:lineRule="auto"/>
        <w:jc w:val="center"/>
        <w:rPr>
          <w:rFonts w:hint="eastAsia" w:ascii="宋体" w:hAnsi="宋体" w:eastAsia="宋体" w:cs="宋体"/>
        </w:rPr>
      </w:pPr>
      <w:r>
        <w:rPr>
          <w:rFonts w:hint="eastAsia" w:ascii="宋体" w:hAnsi="宋体" w:eastAsia="宋体" w:cs="宋体"/>
        </w:rPr>
        <w:br w:type="page"/>
      </w:r>
      <w:r>
        <w:rPr>
          <w:rFonts w:hint="eastAsia" w:ascii="黑体" w:hAnsi="黑体" w:eastAsia="黑体" w:cs="宋体"/>
          <w:sz w:val="36"/>
          <w:szCs w:val="36"/>
        </w:rPr>
        <w:t>新疆维吾尔自治区政府采购合同</w:t>
      </w:r>
    </w:p>
    <w:p>
      <w:pPr>
        <w:widowControl/>
        <w:snapToGrid w:val="0"/>
        <w:spacing w:line="288" w:lineRule="auto"/>
        <w:rPr>
          <w:rFonts w:ascii="宋体" w:hAnsi="宋体" w:eastAsia="宋体" w:cs="宋体"/>
        </w:rPr>
      </w:pPr>
    </w:p>
    <w:p>
      <w:pPr>
        <w:widowControl/>
        <w:snapToGrid w:val="0"/>
        <w:spacing w:line="288" w:lineRule="auto"/>
        <w:rPr>
          <w:rFonts w:hint="eastAsia" w:ascii="宋体" w:hAnsi="宋体" w:eastAsia="宋体" w:cs="宋体"/>
          <w:b/>
          <w:bCs/>
        </w:rPr>
      </w:pPr>
      <w:r>
        <w:rPr>
          <w:rFonts w:hint="eastAsia" w:ascii="宋体" w:hAnsi="宋体" w:eastAsia="宋体" w:cs="宋体"/>
        </w:rPr>
        <w:t>甲方：新疆维吾尔自治区生态环境保护综合行政执法局</w:t>
      </w:r>
    </w:p>
    <w:p>
      <w:pPr>
        <w:widowControl/>
        <w:snapToGrid w:val="0"/>
        <w:spacing w:line="288" w:lineRule="auto"/>
        <w:rPr>
          <w:rFonts w:hint="eastAsia" w:ascii="宋体" w:hAnsi="宋体" w:eastAsia="宋体" w:cs="宋体"/>
          <w:lang w:eastAsia="zh-CN"/>
        </w:rPr>
      </w:pPr>
      <w:r>
        <w:rPr>
          <w:rFonts w:hint="eastAsia" w:ascii="宋体" w:hAnsi="宋体" w:eastAsia="宋体" w:cs="宋体"/>
        </w:rPr>
        <w:t>乙方：</w:t>
      </w:r>
      <w:r>
        <w:rPr>
          <w:rFonts w:hint="eastAsia" w:ascii="宋体" w:hAnsi="宋体" w:eastAsia="宋体" w:cs="宋体"/>
          <w:lang w:val="en-US" w:eastAsia="zh-CN"/>
        </w:rPr>
        <w:t xml:space="preserve"> </w:t>
      </w:r>
    </w:p>
    <w:p>
      <w:pPr>
        <w:pStyle w:val="13"/>
        <w:ind w:firstLine="480"/>
        <w:rPr>
          <w:rFonts w:ascii="宋体" w:hAnsi="宋体" w:eastAsia="宋体" w:cs="宋体"/>
        </w:rPr>
      </w:pPr>
    </w:p>
    <w:p>
      <w:pPr>
        <w:pStyle w:val="13"/>
        <w:ind w:firstLine="480"/>
        <w:rPr>
          <w:rFonts w:hint="eastAsia" w:eastAsia="宋体"/>
        </w:rPr>
      </w:pPr>
      <w:r>
        <w:rPr>
          <w:rFonts w:hint="eastAsia" w:ascii="宋体" w:hAnsi="宋体" w:eastAsia="宋体" w:cs="宋体"/>
        </w:rPr>
        <w:t>在</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（代理公司名称）</w:t>
      </w:r>
      <w:r>
        <w:rPr>
          <w:rFonts w:hint="eastAsia" w:ascii="宋体" w:hAnsi="宋体" w:eastAsia="宋体" w:cs="宋体"/>
        </w:rPr>
        <w:t>于</w:t>
      </w:r>
      <w:r>
        <w:rPr>
          <w:rFonts w:hint="eastAsia" w:ascii="宋体" w:hAnsi="宋体" w:eastAsia="宋体" w:cs="宋体"/>
          <w:u w:val="single"/>
          <w:lang w:val="en-US" w:eastAsia="zh-CN"/>
        </w:rPr>
        <w:t xml:space="preserve">     </w:t>
      </w:r>
      <w:r>
        <w:t xml:space="preserve">  </w:t>
      </w:r>
      <w:r>
        <w:rPr>
          <w:rFonts w:hint="eastAsia" w:ascii="宋体" w:hAnsi="宋体" w:eastAsia="宋体" w:cs="宋体"/>
        </w:rPr>
        <w:t>年</w:t>
      </w:r>
      <w:r>
        <w:rPr>
          <w:rFonts w:hint="eastAsia" w:ascii="宋体" w:hAnsi="宋体" w:eastAsia="宋体" w:cs="宋体"/>
          <w:u w:val="single"/>
          <w:lang w:val="en-US" w:eastAsia="zh-CN"/>
        </w:rPr>
        <w:t xml:space="preserve">     </w:t>
      </w:r>
      <w:r>
        <w:t xml:space="preserve"> </w:t>
      </w:r>
      <w:r>
        <w:rPr>
          <w:rFonts w:hint="eastAsia" w:ascii="宋体" w:hAnsi="宋体" w:eastAsia="宋体" w:cs="宋体"/>
        </w:rPr>
        <w:t>月</w:t>
      </w:r>
      <w:r>
        <w:rPr>
          <w:rFonts w:hint="eastAsia" w:ascii="宋体" w:hAnsi="宋体" w:eastAsia="宋体" w:cs="宋体"/>
          <w:u w:val="single"/>
          <w:lang w:val="en-US" w:eastAsia="zh-CN"/>
        </w:rPr>
        <w:t xml:space="preserve">     </w:t>
      </w:r>
      <w:r>
        <w:t xml:space="preserve"> </w:t>
      </w:r>
      <w:r>
        <w:rPr>
          <w:rFonts w:hint="eastAsia" w:ascii="宋体" w:hAnsi="宋体" w:eastAsia="宋体" w:cs="宋体"/>
        </w:rPr>
        <w:t>日组织的、招标文件编号为</w:t>
      </w:r>
      <w:r>
        <w:rPr>
          <w:u w:val="single"/>
        </w:rPr>
        <w:t xml:space="preserve"> </w:t>
      </w:r>
      <w:r>
        <w:rPr>
          <w:rFonts w:hint="eastAsia" w:ascii="宋体" w:hAnsi="宋体" w:eastAsia="宋体" w:cs="宋体"/>
          <w:u w:val="single"/>
          <w:lang w:val="en-US" w:eastAsia="zh-CN"/>
        </w:rPr>
        <w:t xml:space="preserve">         </w:t>
      </w:r>
      <w:r>
        <w:t xml:space="preserve"> </w:t>
      </w:r>
      <w:r>
        <w:rPr>
          <w:rFonts w:hint="eastAsia" w:ascii="宋体" w:hAnsi="宋体" w:eastAsia="宋体" w:cs="宋体"/>
        </w:rPr>
        <w:t>的</w:t>
      </w:r>
      <w:r>
        <w:rPr>
          <w:rFonts w:hint="eastAsia" w:ascii="宋体" w:hAnsi="宋体" w:eastAsia="宋体" w:cs="宋体"/>
          <w:u w:val="single"/>
          <w:lang w:val="en-US" w:eastAsia="zh-CN"/>
        </w:rPr>
        <w:t>新疆维吾尔自治区水生态环境执法装备能力建设项目（一期）</w:t>
      </w:r>
      <w:r>
        <w:t xml:space="preserve"> </w:t>
      </w:r>
      <w:r>
        <w:rPr>
          <w:rFonts w:hint="eastAsia" w:ascii="宋体" w:hAnsi="宋体" w:eastAsia="宋体" w:cs="宋体"/>
        </w:rPr>
        <w:t>的招标采购中，经评定，乙方</w:t>
      </w:r>
      <w:r>
        <w:t xml:space="preserve"> </w:t>
      </w:r>
      <w:r>
        <w:rPr>
          <w:rFonts w:hint="eastAsia" w:ascii="宋体" w:hAnsi="宋体" w:eastAsia="宋体" w:cs="宋体"/>
          <w:u w:val="single"/>
          <w:lang w:val="en-US" w:eastAsia="zh-CN"/>
        </w:rPr>
        <w:t xml:space="preserve">      </w:t>
      </w:r>
      <w:r>
        <w:rPr>
          <w:rFonts w:ascii="宋体" w:hAnsi="宋体" w:eastAsia="宋体" w:cs="宋体"/>
        </w:rPr>
        <w:t xml:space="preserve"> </w:t>
      </w:r>
      <w:r>
        <w:rPr>
          <w:rFonts w:hint="eastAsia" w:ascii="宋体" w:hAnsi="宋体" w:eastAsia="宋体" w:cs="宋体"/>
        </w:rPr>
        <w:t>为中标方，中标金额为人民币大写</w:t>
      </w:r>
      <w:r>
        <w:rPr>
          <w:rFonts w:hint="eastAsia" w:ascii="宋体" w:hAnsi="宋体" w:eastAsia="宋体" w:cs="宋体"/>
          <w:u w:val="single"/>
          <w:lang w:val="en-US" w:eastAsia="zh-CN"/>
        </w:rPr>
        <w:t xml:space="preserve">           </w:t>
      </w:r>
      <w:r>
        <w:rPr>
          <w:rFonts w:hint="eastAsia" w:ascii="宋体" w:hAnsi="宋体" w:eastAsia="宋体" w:cs="宋体"/>
        </w:rPr>
        <w:t>（</w:t>
      </w:r>
      <w:r>
        <w:rPr>
          <w:u w:val="single"/>
        </w:rPr>
        <w:t>¥</w:t>
      </w:r>
      <w:r>
        <w:rPr>
          <w:rFonts w:hint="eastAsia" w:eastAsia="宋体"/>
          <w:u w:val="single"/>
          <w:lang w:val="en-US" w:eastAsia="zh-CN"/>
        </w:rPr>
        <w:t xml:space="preserve">      </w:t>
      </w:r>
      <w:r>
        <w:rPr>
          <w:rFonts w:hint="eastAsia" w:ascii="宋体" w:hAnsi="宋体" w:eastAsia="宋体" w:cs="宋体"/>
        </w:rPr>
        <w:t>）</w:t>
      </w:r>
    </w:p>
    <w:p>
      <w:pPr>
        <w:widowControl/>
        <w:snapToGrid w:val="0"/>
        <w:spacing w:line="288" w:lineRule="auto"/>
        <w:ind w:firstLine="630" w:firstLineChars="300"/>
        <w:rPr>
          <w:rFonts w:hint="eastAsia" w:ascii="宋体" w:hAnsi="宋体" w:eastAsia="宋体" w:cs="宋体"/>
        </w:rPr>
      </w:pPr>
      <w:r>
        <w:rPr>
          <w:rFonts w:hint="eastAsia" w:ascii="宋体" w:hAnsi="宋体" w:eastAsia="宋体" w:cs="宋体"/>
        </w:rPr>
        <w:t>甲乙双方根据《中华人民共和国民法典》、《中华人民共和国政府采购法》等相关法律法规及本项目招投标文件的要求及承诺，甲、乙双方经平等协商达成协议如下：</w:t>
      </w:r>
    </w:p>
    <w:p>
      <w:pPr>
        <w:widowControl/>
        <w:snapToGrid w:val="0"/>
        <w:spacing w:line="288" w:lineRule="auto"/>
        <w:jc w:val="left"/>
        <w:rPr>
          <w:rFonts w:hint="eastAsia" w:ascii="宋体" w:hAnsi="宋体" w:eastAsia="宋体" w:cs="宋体"/>
        </w:rPr>
      </w:pPr>
      <w:r>
        <w:rPr>
          <w:rFonts w:hint="eastAsia" w:ascii="宋体" w:hAnsi="宋体" w:eastAsia="宋体" w:cs="宋体"/>
          <w:b/>
          <w:bCs/>
        </w:rPr>
        <w:t>一、设备名称、规格（型号）、数量、价格</w:t>
      </w:r>
    </w:p>
    <w:p>
      <w:pPr>
        <w:widowControl/>
        <w:snapToGrid w:val="0"/>
        <w:spacing w:line="288" w:lineRule="auto"/>
        <w:rPr>
          <w:rFonts w:hint="eastAsia" w:ascii="宋体" w:hAnsi="宋体" w:eastAsia="宋体" w:cs="宋体"/>
          <w:b/>
          <w:bCs/>
        </w:rPr>
      </w:pPr>
      <w:r>
        <w:rPr>
          <w:rFonts w:hint="eastAsia" w:ascii="宋体" w:hAnsi="宋体" w:eastAsia="宋体" w:cs="宋体"/>
        </w:rPr>
        <w:t>注：1、除合同规定的金额，甲方不再增加税金，运费，手续费等任何费用。</w:t>
      </w:r>
    </w:p>
    <w:p>
      <w:pPr>
        <w:widowControl/>
        <w:spacing w:line="360" w:lineRule="auto"/>
        <w:jc w:val="left"/>
        <w:rPr>
          <w:rFonts w:hint="eastAsia" w:ascii="宋体" w:hAnsi="宋体" w:eastAsia="宋体" w:cs="宋体"/>
        </w:rPr>
      </w:pPr>
      <w:r>
        <w:rPr>
          <w:rFonts w:hint="eastAsia" w:ascii="宋体" w:hAnsi="宋体" w:eastAsia="宋体" w:cs="宋体"/>
        </w:rPr>
        <w:t xml:space="preserve">                                                            单位：元                    </w:t>
      </w:r>
    </w:p>
    <w:tbl>
      <w:tblPr>
        <w:tblStyle w:val="41"/>
        <w:tblW w:w="882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6"/>
        <w:gridCol w:w="3298"/>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3298"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设备名称</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数量（套）</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0" w:hRule="atLeast"/>
        </w:trPr>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3298" w:type="dxa"/>
            <w:tcMar>
              <w:top w:w="75" w:type="dxa"/>
              <w:left w:w="150" w:type="dxa"/>
              <w:bottom w:w="75" w:type="dxa"/>
              <w:right w:w="150" w:type="dxa"/>
            </w:tcMar>
            <w:vAlign w:val="center"/>
          </w:tcPr>
          <w:p>
            <w:pPr>
              <w:rPr>
                <w:rFonts w:ascii="仿宋" w:hAnsi="仿宋" w:eastAsia="仿宋" w:cs="仿宋"/>
                <w:sz w:val="24"/>
                <w:szCs w:val="24"/>
              </w:rPr>
            </w:pPr>
            <w:r>
              <w:rPr>
                <w:rFonts w:hint="eastAsia"/>
                <w:lang w:val="en-US" w:eastAsia="zh-CN"/>
              </w:rPr>
              <w:t>便携式水质快速检测仪</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3298" w:type="dxa"/>
            <w:tcMar>
              <w:top w:w="75" w:type="dxa"/>
              <w:left w:w="150" w:type="dxa"/>
              <w:bottom w:w="75" w:type="dxa"/>
              <w:right w:w="150" w:type="dxa"/>
            </w:tcMar>
            <w:vAlign w:val="center"/>
          </w:tcPr>
          <w:p>
            <w:pPr>
              <w:rPr>
                <w:rFonts w:hint="eastAsia" w:ascii="宋体" w:hAnsi="宋体" w:eastAsia="宋体" w:cs="宋体"/>
                <w:color w:val="auto"/>
                <w:sz w:val="21"/>
                <w:szCs w:val="21"/>
                <w:highlight w:val="none"/>
                <w:lang w:val="en-US" w:eastAsia="zh-CN"/>
              </w:rPr>
            </w:pPr>
            <w:r>
              <w:rPr>
                <w:rFonts w:hint="eastAsia"/>
                <w:lang w:val="en-US" w:eastAsia="zh-CN"/>
              </w:rPr>
              <w:t>流量计（明渠流量计）</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25</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3298" w:type="dxa"/>
            <w:tcMar>
              <w:top w:w="75" w:type="dxa"/>
              <w:left w:w="150" w:type="dxa"/>
              <w:bottom w:w="75" w:type="dxa"/>
              <w:right w:w="150" w:type="dxa"/>
            </w:tcMar>
            <w:vAlign w:val="center"/>
          </w:tcPr>
          <w:p>
            <w:pPr>
              <w:rPr>
                <w:rFonts w:hint="eastAsia" w:ascii="宋体" w:hAnsi="宋体" w:eastAsia="宋体" w:cs="宋体"/>
                <w:color w:val="auto"/>
                <w:sz w:val="21"/>
                <w:szCs w:val="21"/>
                <w:highlight w:val="none"/>
                <w:lang w:val="en-US" w:eastAsia="zh-CN"/>
              </w:rPr>
            </w:pPr>
            <w:r>
              <w:rPr>
                <w:rFonts w:hint="eastAsia"/>
                <w:lang w:val="en-US" w:eastAsia="zh-CN"/>
              </w:rPr>
              <w:t>便携式水质采样设备</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28</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3298" w:type="dxa"/>
            <w:tcMar>
              <w:top w:w="75" w:type="dxa"/>
              <w:left w:w="150" w:type="dxa"/>
              <w:bottom w:w="75" w:type="dxa"/>
              <w:right w:w="150" w:type="dxa"/>
            </w:tcMar>
            <w:vAlign w:val="center"/>
          </w:tcPr>
          <w:p>
            <w:pPr>
              <w:rPr>
                <w:rFonts w:hint="eastAsia" w:ascii="宋体" w:hAnsi="宋体" w:eastAsia="宋体" w:cs="宋体"/>
                <w:color w:val="auto"/>
                <w:sz w:val="21"/>
                <w:szCs w:val="21"/>
                <w:highlight w:val="none"/>
                <w:lang w:val="en-US" w:eastAsia="zh-CN"/>
              </w:rPr>
            </w:pPr>
            <w:r>
              <w:rPr>
                <w:rFonts w:hint="eastAsia"/>
                <w:lang w:val="en-US" w:eastAsia="zh-CN"/>
              </w:rPr>
              <w:t>水质快检试剂包</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51</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6"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3298" w:type="dxa"/>
            <w:tcMar>
              <w:top w:w="75" w:type="dxa"/>
              <w:left w:w="150" w:type="dxa"/>
              <w:bottom w:w="75" w:type="dxa"/>
              <w:right w:w="150" w:type="dxa"/>
            </w:tcMar>
            <w:vAlign w:val="center"/>
          </w:tcPr>
          <w:p>
            <w:pPr>
              <w:rPr>
                <w:rFonts w:hint="eastAsia" w:ascii="宋体" w:hAnsi="宋体" w:eastAsia="宋体" w:cs="宋体"/>
                <w:color w:val="auto"/>
                <w:sz w:val="21"/>
                <w:szCs w:val="21"/>
                <w:highlight w:val="none"/>
                <w:lang w:val="en-US" w:eastAsia="zh-CN"/>
              </w:rPr>
            </w:pPr>
            <w:r>
              <w:rPr>
                <w:rFonts w:hint="eastAsia"/>
                <w:lang w:val="en-US" w:eastAsia="zh-CN"/>
              </w:rPr>
              <w:t>移动执法终端</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48</w:t>
            </w:r>
          </w:p>
        </w:tc>
        <w:tc>
          <w:tcPr>
            <w:tcW w:w="1350" w:type="dxa"/>
            <w:tcMar>
              <w:top w:w="75" w:type="dxa"/>
              <w:left w:w="150" w:type="dxa"/>
              <w:bottom w:w="75" w:type="dxa"/>
              <w:right w:w="150" w:type="dxa"/>
            </w:tcMar>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套</w:t>
            </w:r>
          </w:p>
        </w:tc>
      </w:tr>
    </w:tbl>
    <w:p>
      <w:pPr>
        <w:pStyle w:val="13"/>
        <w:ind w:firstLine="0" w:firstLineChars="0"/>
        <w:rPr>
          <w:rFonts w:hint="eastAsia" w:ascii="宋体" w:hAnsi="宋体" w:eastAsia="宋体" w:cs="宋体"/>
        </w:rPr>
      </w:pPr>
    </w:p>
    <w:p>
      <w:pPr>
        <w:widowControl/>
        <w:snapToGrid w:val="0"/>
        <w:spacing w:line="288" w:lineRule="auto"/>
        <w:rPr>
          <w:rFonts w:ascii="宋体" w:hAnsi="宋体" w:eastAsia="宋体" w:cs="宋体"/>
          <w:b/>
          <w:bCs/>
        </w:rPr>
      </w:pPr>
    </w:p>
    <w:p>
      <w:pPr>
        <w:widowControl/>
        <w:snapToGrid w:val="0"/>
        <w:spacing w:line="288" w:lineRule="auto"/>
        <w:rPr>
          <w:rFonts w:ascii="宋体" w:hAnsi="宋体" w:eastAsia="宋体" w:cs="宋体"/>
          <w:b/>
          <w:bCs/>
        </w:rPr>
      </w:pPr>
      <w:r>
        <w:rPr>
          <w:rFonts w:hint="eastAsia" w:ascii="宋体" w:hAnsi="宋体" w:eastAsia="宋体" w:cs="宋体"/>
          <w:b/>
          <w:bCs/>
        </w:rPr>
        <w:t>二、报价种币、合同总价</w:t>
      </w:r>
    </w:p>
    <w:p>
      <w:pPr>
        <w:widowControl/>
        <w:snapToGrid w:val="0"/>
        <w:spacing w:line="288" w:lineRule="auto"/>
        <w:ind w:firstLine="420" w:firstLineChars="200"/>
        <w:rPr>
          <w:rFonts w:ascii="宋体" w:hAnsi="宋体" w:eastAsia="宋体" w:cs="宋体"/>
        </w:rPr>
      </w:pPr>
      <w:r>
        <w:rPr>
          <w:rFonts w:hint="eastAsia" w:ascii="宋体" w:hAnsi="宋体" w:eastAsia="宋体" w:cs="宋体"/>
        </w:rPr>
        <w:t>本合同总计金额为：人民币小写</w:t>
      </w:r>
      <w:r>
        <w:rPr>
          <w:rFonts w:hint="eastAsia" w:ascii="宋体" w:hAnsi="宋体" w:eastAsia="宋体" w:cs="宋体"/>
          <w:u w:val="single"/>
        </w:rPr>
        <w:t>：¥</w:t>
      </w:r>
      <w:r>
        <w:rPr>
          <w:rFonts w:hint="eastAsia" w:ascii="宋体" w:hAnsi="宋体" w:eastAsia="宋体" w:cs="宋体"/>
          <w:u w:val="single"/>
          <w:lang w:val="en-US" w:eastAsia="zh-CN"/>
        </w:rPr>
        <w:t xml:space="preserve">     </w:t>
      </w:r>
      <w:r>
        <w:rPr>
          <w:rFonts w:hint="eastAsia" w:ascii="宋体" w:hAnsi="宋体" w:eastAsia="宋体" w:cs="宋体"/>
          <w:u w:val="single"/>
        </w:rPr>
        <w:t>元</w:t>
      </w:r>
      <w:r>
        <w:rPr>
          <w:rFonts w:hint="eastAsia" w:ascii="宋体" w:hAnsi="宋体" w:eastAsia="宋体" w:cs="宋体"/>
        </w:rPr>
        <w:t>，大写：</w:t>
      </w:r>
      <w:r>
        <w:rPr>
          <w:rFonts w:hint="eastAsia" w:ascii="宋体" w:hAnsi="宋体" w:eastAsia="宋体" w:cs="宋体"/>
          <w:u w:val="single"/>
          <w:lang w:val="en-US" w:eastAsia="zh-CN"/>
        </w:rPr>
        <w:t xml:space="preserve">       </w:t>
      </w:r>
      <w:r>
        <w:rPr>
          <w:rFonts w:hint="eastAsia" w:ascii="宋体" w:hAnsi="宋体" w:eastAsia="宋体" w:cs="宋体"/>
        </w:rPr>
        <w:t>。（含设备采购、物流运输、卸货、搬运、安装调试、施工、技术服务费、技术指导和培训费、交付、税金、手续费、验收、质保维保费等）</w:t>
      </w:r>
    </w:p>
    <w:p>
      <w:pPr>
        <w:widowControl/>
        <w:snapToGrid w:val="0"/>
        <w:spacing w:line="288" w:lineRule="auto"/>
        <w:ind w:firstLine="420" w:firstLineChars="200"/>
        <w:rPr>
          <w:rFonts w:hint="eastAsia" w:ascii="宋体" w:hAnsi="宋体" w:eastAsia="宋体" w:cs="宋体"/>
        </w:rPr>
      </w:pPr>
    </w:p>
    <w:p>
      <w:pPr>
        <w:pStyle w:val="14"/>
        <w:ind w:left="0" w:leftChars="0"/>
        <w:jc w:val="left"/>
        <w:rPr>
          <w:rFonts w:ascii="宋体" w:hAnsi="宋体" w:eastAsia="宋体" w:cs="宋体"/>
          <w:b/>
          <w:bCs/>
        </w:rPr>
      </w:pPr>
      <w:r>
        <w:rPr>
          <w:rFonts w:hint="eastAsia" w:ascii="宋体" w:hAnsi="宋体" w:eastAsia="宋体" w:cs="宋体"/>
          <w:b/>
          <w:bCs/>
        </w:rPr>
        <w:t>三、付款方式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Arial" w:hAnsi="Arial" w:eastAsia="宋体" w:cs="Arial"/>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合同签订后</w:t>
      </w:r>
      <w:r>
        <w:rPr>
          <w:rFonts w:hint="eastAsia" w:ascii="宋体" w:hAnsi="宋体" w:eastAsia="宋体" w:cs="宋体"/>
          <w:u w:val="single"/>
          <w:lang w:val="en-US" w:eastAsia="zh-CN"/>
        </w:rPr>
        <w:t xml:space="preserve">   </w:t>
      </w:r>
      <w:r>
        <w:rPr>
          <w:rFonts w:hint="eastAsia" w:ascii="宋体" w:hAnsi="宋体" w:eastAsia="宋体" w:cs="宋体"/>
          <w:color w:val="000000"/>
          <w:kern w:val="0"/>
          <w:sz w:val="24"/>
          <w:szCs w:val="24"/>
          <w:lang w:val="en-US" w:eastAsia="zh-CN" w:bidi="ar"/>
        </w:rPr>
        <w:t xml:space="preserve">个工作日内，乙方支付给甲方合同总价的  </w:t>
      </w:r>
      <w:r>
        <w:rPr>
          <w:rFonts w:hint="default" w:ascii="Arial" w:hAnsi="Arial" w:eastAsia="宋体" w:cs="Arial"/>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作为项目质量保证金</w:t>
      </w:r>
      <w:r>
        <w:rPr>
          <w:rFonts w:hint="default" w:ascii="Arial" w:hAnsi="Arial" w:eastAsia="宋体" w:cs="Arial"/>
          <w:b/>
          <w:bCs/>
          <w:color w:val="000000"/>
          <w:kern w:val="0"/>
          <w:sz w:val="24"/>
          <w:szCs w:val="24"/>
          <w:lang w:val="en-US" w:eastAsia="zh-CN" w:bidi="ar"/>
        </w:rPr>
        <w:t>¥</w:t>
      </w:r>
      <w:r>
        <w:rPr>
          <w:rFonts w:hint="eastAsia" w:ascii="Arial" w:hAnsi="Arial" w:eastAsia="宋体" w:cs="Arial"/>
          <w:b/>
          <w:bCs/>
          <w:color w:val="000000"/>
          <w:kern w:val="0"/>
          <w:sz w:val="24"/>
          <w:szCs w:val="24"/>
          <w:lang w:val="en-US" w:eastAsia="zh-CN" w:bidi="ar"/>
        </w:rPr>
        <w:t xml:space="preserve">     元整</w:t>
      </w:r>
      <w:r>
        <w:rPr>
          <w:rFonts w:hint="eastAsia" w:ascii="宋体" w:hAnsi="宋体" w:eastAsia="宋体" w:cs="宋体"/>
          <w:b/>
          <w:bCs/>
          <w:color w:val="000000"/>
          <w:kern w:val="0"/>
          <w:sz w:val="24"/>
          <w:szCs w:val="24"/>
          <w:lang w:val="en-US" w:eastAsia="zh-CN" w:bidi="ar"/>
        </w:rPr>
        <w:t>（大写:</w:t>
      </w:r>
      <w:r>
        <w:rPr>
          <w:rFonts w:hint="eastAsia" w:ascii="宋体" w:hAnsi="宋体" w:eastAsia="宋体" w:cs="宋体"/>
          <w:color w:val="000000"/>
          <w:kern w:val="0"/>
          <w:sz w:val="24"/>
          <w:szCs w:val="24"/>
          <w:lang w:val="en-US" w:eastAsia="zh-CN" w:bidi="ar"/>
        </w:rPr>
        <w:t xml:space="preserve">），逾期未缴纳甲方有权解除合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default" w:ascii="Arial" w:hAnsi="Arial" w:eastAsia="宋体" w:cs="Arial"/>
          <w:color w:val="000000"/>
          <w:kern w:val="0"/>
          <w:sz w:val="24"/>
          <w:szCs w:val="24"/>
          <w:lang w:val="en-US" w:eastAsia="zh-CN" w:bidi="ar"/>
        </w:rPr>
        <w:t>2</w:t>
      </w:r>
      <w:r>
        <w:rPr>
          <w:rFonts w:hint="eastAsia" w:ascii="Arial" w:hAnsi="Arial" w:eastAsia="宋体" w:cs="Arial"/>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甲方在收到乙方的质量保证金和合同全额发票后，于</w:t>
      </w:r>
      <w:r>
        <w:rPr>
          <w:rFonts w:hint="eastAsia" w:ascii="宋体" w:hAnsi="宋体" w:eastAsia="宋体" w:cs="宋体"/>
          <w:u w:val="single"/>
          <w:lang w:val="en-US" w:eastAsia="zh-CN"/>
        </w:rPr>
        <w:t xml:space="preserve">   </w:t>
      </w:r>
      <w:r>
        <w:rPr>
          <w:rFonts w:hint="eastAsia" w:ascii="宋体" w:hAnsi="宋体" w:eastAsia="宋体" w:cs="宋体"/>
          <w:color w:val="000000"/>
          <w:kern w:val="0"/>
          <w:sz w:val="24"/>
          <w:szCs w:val="24"/>
          <w:lang w:val="en-US" w:eastAsia="zh-CN" w:bidi="ar"/>
        </w:rPr>
        <w:t>个工作日内向乙方全额支付合同总价，</w:t>
      </w:r>
      <w:r>
        <w:rPr>
          <w:rFonts w:hint="eastAsia" w:ascii="Arial" w:hAnsi="Arial" w:eastAsia="宋体" w:cs="Arial"/>
          <w:b/>
          <w:bCs/>
          <w:color w:val="000000"/>
          <w:kern w:val="0"/>
          <w:sz w:val="24"/>
          <w:szCs w:val="24"/>
          <w:lang w:val="en-US" w:eastAsia="zh-CN" w:bidi="ar"/>
        </w:rPr>
        <w:t>计¥     元整（大写：）</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本合同生效后，若无型号、品种、规格、数量、颜色、交货期等事宜上的重大变更，合同总价款不再做任何调整，甲方为此项目不再向乙方支付任何其他费用。 </w:t>
      </w:r>
    </w:p>
    <w:p>
      <w:pPr>
        <w:keepNext w:val="0"/>
        <w:keepLines w:val="0"/>
        <w:pageBreakBefore w:val="0"/>
        <w:widowControl/>
        <w:numPr>
          <w:ilvl w:val="0"/>
          <w:numId w:val="4"/>
        </w:numPr>
        <w:suppressLineNumbers w:val="0"/>
        <w:kinsoku/>
        <w:wordWrap/>
        <w:overflowPunct/>
        <w:topLinePunct w:val="0"/>
        <w:autoSpaceDE/>
        <w:autoSpaceDN/>
        <w:bidi w:val="0"/>
        <w:adjustRightInd/>
        <w:snapToGrid/>
        <w:ind w:firstLine="480" w:firstLineChars="200"/>
        <w:jc w:val="left"/>
        <w:textAlignment w:val="auto"/>
        <w:rPr>
          <w:rFonts w:hint="default" w:ascii="Arial" w:hAnsi="Arial" w:eastAsia="宋体" w:cs="Arial"/>
          <w:color w:val="000000"/>
          <w:kern w:val="0"/>
          <w:sz w:val="24"/>
          <w:szCs w:val="24"/>
          <w:lang w:val="en-US" w:eastAsia="zh-CN" w:bidi="ar"/>
        </w:rPr>
      </w:pPr>
      <w:r>
        <w:rPr>
          <w:rFonts w:hint="default" w:ascii="Arial" w:hAnsi="Arial" w:eastAsia="宋体" w:cs="Arial"/>
          <w:color w:val="000000"/>
          <w:kern w:val="0"/>
          <w:sz w:val="24"/>
          <w:szCs w:val="24"/>
          <w:lang w:val="en-US" w:eastAsia="zh-CN" w:bidi="ar"/>
        </w:rPr>
        <w:t>设备验收合格，甲方向乙方退还质量保证金的</w:t>
      </w:r>
      <w:r>
        <w:rPr>
          <w:rFonts w:hint="eastAsia" w:ascii="Arial" w:hAnsi="Arial" w:eastAsia="宋体" w:cs="Arial"/>
          <w:color w:val="000000"/>
          <w:kern w:val="0"/>
          <w:sz w:val="24"/>
          <w:szCs w:val="24"/>
          <w:lang w:val="en-US" w:eastAsia="zh-CN" w:bidi="ar"/>
        </w:rPr>
        <w:t xml:space="preserve">  </w:t>
      </w:r>
      <w:r>
        <w:rPr>
          <w:rFonts w:hint="default" w:ascii="Arial" w:hAnsi="Arial" w:eastAsia="宋体" w:cs="Arial"/>
          <w:color w:val="000000"/>
          <w:kern w:val="0"/>
          <w:sz w:val="24"/>
          <w:szCs w:val="24"/>
          <w:lang w:val="en-US" w:eastAsia="zh-CN" w:bidi="ar"/>
        </w:rPr>
        <w:t>%，计¥</w:t>
      </w:r>
      <w:r>
        <w:rPr>
          <w:rFonts w:hint="eastAsia" w:ascii="Arial" w:hAnsi="Arial" w:eastAsia="宋体" w:cs="Arial"/>
          <w:color w:val="000000"/>
          <w:kern w:val="0"/>
          <w:sz w:val="24"/>
          <w:szCs w:val="24"/>
          <w:lang w:val="en-US" w:eastAsia="zh-CN" w:bidi="ar"/>
        </w:rPr>
        <w:t xml:space="preserve">      </w:t>
      </w:r>
      <w:r>
        <w:rPr>
          <w:rFonts w:hint="default" w:ascii="Arial" w:hAnsi="Arial" w:eastAsia="宋体" w:cs="Arial"/>
          <w:color w:val="000000"/>
          <w:kern w:val="0"/>
          <w:sz w:val="24"/>
          <w:szCs w:val="24"/>
          <w:lang w:val="en-US" w:eastAsia="zh-CN" w:bidi="ar"/>
        </w:rPr>
        <w:t>元整（大写：</w:t>
      </w:r>
      <w:r>
        <w:rPr>
          <w:rFonts w:hint="eastAsia" w:ascii="Arial" w:hAnsi="Arial" w:eastAsia="宋体" w:cs="Arial"/>
          <w:color w:val="000000"/>
          <w:kern w:val="0"/>
          <w:sz w:val="24"/>
          <w:szCs w:val="24"/>
          <w:lang w:val="en-US" w:eastAsia="zh-CN" w:bidi="ar"/>
        </w:rPr>
        <w:t xml:space="preserve">     </w:t>
      </w:r>
      <w:r>
        <w:rPr>
          <w:rFonts w:hint="default" w:ascii="Arial" w:hAnsi="Arial" w:eastAsia="宋体" w:cs="Arial"/>
          <w:color w:val="000000"/>
          <w:kern w:val="0"/>
          <w:sz w:val="24"/>
          <w:szCs w:val="24"/>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bCs/>
        </w:rPr>
      </w:pPr>
      <w:r>
        <w:rPr>
          <w:rFonts w:hint="default" w:ascii="Arial" w:hAnsi="Arial" w:eastAsia="宋体" w:cs="Arial"/>
          <w:color w:val="000000"/>
          <w:kern w:val="0"/>
          <w:sz w:val="24"/>
          <w:szCs w:val="24"/>
          <w:lang w:val="en-US" w:eastAsia="zh-CN" w:bidi="ar"/>
        </w:rPr>
        <w:t>设备验收合格满一年后无质量缺陷，甲方向乙方退还质量保证金的</w:t>
      </w:r>
      <w:r>
        <w:rPr>
          <w:rFonts w:hint="eastAsia" w:ascii="Arial" w:hAnsi="Arial" w:eastAsia="宋体" w:cs="Arial"/>
          <w:color w:val="000000"/>
          <w:kern w:val="0"/>
          <w:sz w:val="24"/>
          <w:szCs w:val="24"/>
          <w:lang w:val="en-US" w:eastAsia="zh-CN" w:bidi="ar"/>
        </w:rPr>
        <w:t xml:space="preserve">  </w:t>
      </w:r>
      <w:r>
        <w:rPr>
          <w:rFonts w:hint="default" w:ascii="Arial" w:hAnsi="Arial" w:eastAsia="宋体" w:cs="Arial"/>
          <w:color w:val="000000"/>
          <w:kern w:val="0"/>
          <w:sz w:val="24"/>
          <w:szCs w:val="24"/>
          <w:lang w:val="en-US" w:eastAsia="zh-CN" w:bidi="ar"/>
        </w:rPr>
        <w:t>%，计¥</w:t>
      </w:r>
      <w:r>
        <w:rPr>
          <w:rFonts w:hint="eastAsia" w:ascii="Arial" w:hAnsi="Arial" w:eastAsia="宋体" w:cs="Arial"/>
          <w:color w:val="000000"/>
          <w:kern w:val="0"/>
          <w:sz w:val="24"/>
          <w:szCs w:val="24"/>
          <w:lang w:val="en-US" w:eastAsia="zh-CN" w:bidi="ar"/>
        </w:rPr>
        <w:t xml:space="preserve">    </w:t>
      </w:r>
      <w:r>
        <w:rPr>
          <w:rFonts w:hint="default" w:ascii="Arial" w:hAnsi="Arial" w:eastAsia="宋体" w:cs="Arial"/>
          <w:color w:val="000000"/>
          <w:kern w:val="0"/>
          <w:sz w:val="24"/>
          <w:szCs w:val="24"/>
          <w:lang w:val="en-US" w:eastAsia="zh-CN" w:bidi="ar"/>
        </w:rPr>
        <w:t>元整（大写：</w:t>
      </w:r>
      <w:r>
        <w:rPr>
          <w:rFonts w:hint="eastAsia" w:ascii="Arial" w:hAnsi="Arial" w:eastAsia="宋体" w:cs="Arial"/>
          <w:color w:val="000000"/>
          <w:kern w:val="0"/>
          <w:sz w:val="24"/>
          <w:szCs w:val="24"/>
          <w:lang w:val="en-US" w:eastAsia="zh-CN" w:bidi="ar"/>
        </w:rPr>
        <w:t xml:space="preserve">   </w:t>
      </w:r>
      <w:r>
        <w:rPr>
          <w:rFonts w:hint="default" w:ascii="Arial" w:hAnsi="Arial" w:eastAsia="宋体" w:cs="Arial"/>
          <w:color w:val="000000"/>
          <w:kern w:val="0"/>
          <w:sz w:val="24"/>
          <w:szCs w:val="24"/>
          <w:lang w:val="en-US" w:eastAsia="zh-CN" w:bidi="ar"/>
        </w:rPr>
        <w:t>）。</w:t>
      </w:r>
    </w:p>
    <w:p>
      <w:pPr>
        <w:pStyle w:val="13"/>
        <w:rPr>
          <w:rFonts w:hint="eastAsia"/>
        </w:rPr>
      </w:pPr>
    </w:p>
    <w:p>
      <w:pPr>
        <w:widowControl/>
        <w:snapToGrid w:val="0"/>
        <w:spacing w:line="288" w:lineRule="auto"/>
        <w:rPr>
          <w:rFonts w:ascii="宋体" w:hAnsi="宋体" w:eastAsia="宋体" w:cs="宋体"/>
          <w:b/>
          <w:bCs/>
        </w:rPr>
      </w:pPr>
      <w:r>
        <w:rPr>
          <w:rFonts w:hint="eastAsia" w:ascii="宋体" w:hAnsi="宋体" w:eastAsia="宋体" w:cs="宋体"/>
          <w:b/>
          <w:bCs/>
        </w:rPr>
        <w:t>四、交货日期</w:t>
      </w:r>
    </w:p>
    <w:p>
      <w:pPr>
        <w:pStyle w:val="14"/>
        <w:ind w:left="0" w:leftChars="0" w:firstLine="420" w:firstLineChars="200"/>
        <w:rPr>
          <w:rFonts w:ascii="宋体" w:hAnsi="宋体" w:eastAsia="宋体" w:cs="宋体"/>
        </w:rPr>
      </w:pPr>
      <w:r>
        <w:rPr>
          <w:rFonts w:hint="eastAsia" w:ascii="宋体" w:hAnsi="宋体" w:eastAsia="宋体" w:cs="宋体"/>
        </w:rPr>
        <w:t>自合同签订之日</w:t>
      </w:r>
      <w:r>
        <w:rPr>
          <w:rFonts w:hint="eastAsia" w:ascii="宋体" w:hAnsi="宋体" w:eastAsia="宋体" w:cs="宋体"/>
          <w:lang w:val="en-US" w:eastAsia="zh-CN"/>
        </w:rPr>
        <w:t>60</w:t>
      </w:r>
      <w:r>
        <w:rPr>
          <w:rFonts w:hint="eastAsia" w:ascii="宋体" w:hAnsi="宋体" w:eastAsia="宋体" w:cs="宋体"/>
        </w:rPr>
        <w:t>天</w:t>
      </w:r>
      <w:r>
        <w:rPr>
          <w:rFonts w:hint="eastAsia" w:ascii="宋体" w:hAnsi="宋体" w:eastAsia="宋体" w:cs="宋体"/>
          <w:lang w:eastAsia="zh-CN"/>
        </w:rPr>
        <w:t>起</w:t>
      </w:r>
      <w:r>
        <w:rPr>
          <w:rFonts w:hint="eastAsia" w:ascii="宋体" w:hAnsi="宋体" w:eastAsia="宋体" w:cs="宋体"/>
        </w:rPr>
        <w:t>。</w:t>
      </w:r>
    </w:p>
    <w:p>
      <w:pPr>
        <w:pStyle w:val="14"/>
        <w:ind w:left="0" w:leftChars="0"/>
        <w:rPr>
          <w:rFonts w:ascii="宋体" w:hAnsi="宋体" w:eastAsia="宋体" w:cs="宋体"/>
          <w:b/>
          <w:bCs/>
        </w:rPr>
      </w:pPr>
    </w:p>
    <w:p>
      <w:pPr>
        <w:pStyle w:val="14"/>
        <w:ind w:left="0" w:leftChars="0"/>
        <w:rPr>
          <w:rFonts w:ascii="宋体" w:hAnsi="宋体" w:eastAsia="宋体" w:cs="宋体"/>
          <w:b/>
          <w:bCs/>
        </w:rPr>
      </w:pPr>
      <w:r>
        <w:rPr>
          <w:rFonts w:hint="eastAsia" w:ascii="宋体" w:hAnsi="宋体" w:eastAsia="宋体" w:cs="宋体"/>
          <w:b/>
          <w:bCs/>
        </w:rPr>
        <w:t>五、交货地点及联系人</w:t>
      </w:r>
    </w:p>
    <w:p>
      <w:pPr>
        <w:pStyle w:val="14"/>
        <w:ind w:left="0" w:leftChars="0" w:firstLine="420" w:firstLineChars="200"/>
        <w:rPr>
          <w:rFonts w:eastAsia="宋体"/>
        </w:rPr>
      </w:pPr>
      <w:r>
        <w:rPr>
          <w:rFonts w:hint="eastAsia" w:eastAsia="宋体"/>
        </w:rPr>
        <w:t>由甲方指定</w:t>
      </w:r>
      <w:r>
        <w:rPr>
          <w:rFonts w:hint="eastAsia" w:eastAsia="宋体"/>
          <w:lang w:eastAsia="zh-CN"/>
        </w:rPr>
        <w:t>相关地州交货地点和联系人</w:t>
      </w:r>
      <w:r>
        <w:rPr>
          <w:rFonts w:hint="eastAsia" w:eastAsia="宋体"/>
        </w:rPr>
        <w:t>。</w:t>
      </w:r>
    </w:p>
    <w:p>
      <w:pPr>
        <w:rPr>
          <w:rFonts w:hint="eastAsia" w:ascii="宋体" w:hAnsi="宋体" w:eastAsia="宋体" w:cs="宋体"/>
          <w:b/>
          <w:bCs/>
        </w:rPr>
      </w:pPr>
    </w:p>
    <w:p>
      <w:pPr>
        <w:rPr>
          <w:rFonts w:ascii="宋体" w:hAnsi="宋体" w:eastAsia="宋体" w:cs="宋体"/>
          <w:b/>
          <w:bCs/>
        </w:rPr>
      </w:pPr>
      <w:r>
        <w:rPr>
          <w:rFonts w:hint="eastAsia" w:ascii="宋体" w:hAnsi="宋体" w:eastAsia="宋体" w:cs="宋体"/>
          <w:b/>
          <w:bCs/>
        </w:rPr>
        <w:t>六、产品质量保证</w:t>
      </w:r>
    </w:p>
    <w:p>
      <w:pPr>
        <w:pStyle w:val="13"/>
        <w:ind w:firstLine="480"/>
        <w:rPr>
          <w:rFonts w:ascii="宋体" w:hAnsi="宋体" w:eastAsia="宋体" w:cs="宋体"/>
        </w:rPr>
      </w:pPr>
      <w:r>
        <w:rPr>
          <w:rFonts w:hint="eastAsia" w:ascii="宋体" w:hAnsi="宋体" w:eastAsia="宋体" w:cs="宋体"/>
        </w:rPr>
        <w:t>安装验收合格之日起</w:t>
      </w:r>
      <w:r>
        <w:rPr>
          <w:rFonts w:hint="eastAsia" w:ascii="宋体" w:hAnsi="宋体" w:eastAsia="宋体" w:cs="宋体"/>
          <w:u w:val="single"/>
        </w:rPr>
        <w:t>2</w:t>
      </w:r>
      <w:r>
        <w:rPr>
          <w:rFonts w:hint="eastAsia" w:ascii="宋体" w:hAnsi="宋体" w:eastAsia="宋体" w:cs="宋体"/>
        </w:rPr>
        <w:t>年，如按规定时间验收出现问题，按实际停机天数顺延壹倍保修期，并承担停机期间的经济损失。</w:t>
      </w:r>
    </w:p>
    <w:p>
      <w:pPr>
        <w:pStyle w:val="14"/>
        <w:ind w:left="1440"/>
        <w:rPr>
          <w:rFonts w:hint="eastAsia" w:eastAsia="宋体"/>
        </w:rPr>
      </w:pPr>
    </w:p>
    <w:p>
      <w:pPr>
        <w:rPr>
          <w:rFonts w:ascii="宋体" w:hAnsi="宋体" w:eastAsia="宋体" w:cs="宋体"/>
          <w:b/>
          <w:bCs/>
        </w:rPr>
      </w:pPr>
      <w:r>
        <w:rPr>
          <w:rFonts w:hint="eastAsia" w:ascii="宋体" w:hAnsi="宋体" w:eastAsia="宋体" w:cs="宋体"/>
          <w:b/>
          <w:bCs/>
        </w:rPr>
        <w:t>七、安装</w:t>
      </w:r>
      <w:r>
        <w:rPr>
          <w:rFonts w:hint="eastAsia" w:ascii="宋体" w:hAnsi="宋体" w:eastAsia="宋体" w:cs="宋体"/>
          <w:b/>
          <w:bCs/>
          <w:lang w:eastAsia="zh-CN"/>
        </w:rPr>
        <w:t>、</w:t>
      </w:r>
      <w:r>
        <w:rPr>
          <w:rFonts w:hint="eastAsia" w:ascii="宋体" w:hAnsi="宋体" w:eastAsia="宋体" w:cs="宋体"/>
          <w:b/>
          <w:bCs/>
        </w:rPr>
        <w:t>验收及售后要求</w:t>
      </w:r>
    </w:p>
    <w:p>
      <w:pPr>
        <w:widowControl/>
        <w:snapToGrid w:val="0"/>
        <w:spacing w:line="288" w:lineRule="auto"/>
        <w:ind w:firstLine="422" w:firstLineChars="200"/>
        <w:rPr>
          <w:rFonts w:hint="eastAsia" w:ascii="宋体" w:hAnsi="宋体" w:eastAsia="宋体" w:cs="宋体"/>
          <w:b/>
          <w:bCs/>
        </w:rPr>
      </w:pPr>
      <w:r>
        <w:rPr>
          <w:rFonts w:hint="eastAsia" w:ascii="宋体" w:hAnsi="宋体" w:eastAsia="宋体" w:cs="宋体"/>
          <w:b/>
          <w:bCs/>
          <w:lang w:val="en-US" w:eastAsia="zh-CN"/>
        </w:rPr>
        <w:t xml:space="preserve">1.交货要求： </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lang w:val="en-US" w:eastAsia="zh-CN"/>
        </w:rPr>
        <w:t>（1）安装完成时间：货到之日起</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 xml:space="preserve">日内（特殊情况以合同为准）。 </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lang w:val="en-US" w:eastAsia="zh-CN"/>
        </w:rPr>
        <w:t xml:space="preserve">（2）提供制造商完整的随机资料，包括完整的使用和维修手册等。 </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lang w:val="en-US" w:eastAsia="zh-CN"/>
        </w:rPr>
        <w:t xml:space="preserve">（3）货物到达安装指定现场后，受甲方委托的单位和乙方共同打开包装验货检查货物数量。乙方应提供详细货物清单。如果货物质量或技术规格与合同不符，或货物有明显损坏，甲方有权提出索赔。只有经安装调试并且技术性能达到本合同附件所述的技术要求后，甲方才能接受全部货物。仪器设备不满足招标文件要求的，甲方有权解除合同并追究中标人法律责任。 </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lang w:val="en-US" w:eastAsia="zh-CN"/>
        </w:rPr>
        <w:t>（4）乙方提供的货物必须符合国家最新颁布的与之相关的技术规范与标准（如有），同时必须满足招标要求。乙方须在仪器到货后30天内完成所有仪器设备的安装、调试和性能测试</w:t>
      </w:r>
    </w:p>
    <w:p>
      <w:pPr>
        <w:widowControl/>
        <w:snapToGrid w:val="0"/>
        <w:spacing w:line="288" w:lineRule="auto"/>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2.验收要求：</w:t>
      </w:r>
    </w:p>
    <w:p>
      <w:pPr>
        <w:widowControl/>
        <w:snapToGrid w:val="0"/>
        <w:spacing w:line="288"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（1）乙方按国家相关规范（如有）以及招标要求和合同内容开展调试。调试初验后，经试运行期（30 天）结束，设备运行稳定性，再进行整体最终验收。</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lang w:val="en-US" w:eastAsia="zh-CN"/>
        </w:rPr>
        <w:t xml:space="preserve">（2）验收时须提供产品适应性检测合格报告、设备出厂检验报告、关键技术参数清单、出厂初始设置值、仪器硬件配置清单、供应商承诺书以及主要设备的安装调试报告、试运行报告等。 </w:t>
      </w:r>
    </w:p>
    <w:p>
      <w:pPr>
        <w:widowControl/>
        <w:snapToGrid w:val="0"/>
        <w:spacing w:line="288"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（3）乙方必须接受甲方的监督，甲方提出的合理意见与建议乙方必须采纳。如果由于仪器本身的原因未能在三十天内调试通过，必须更换新的同型号仪器。</w:t>
      </w:r>
    </w:p>
    <w:p>
      <w:pPr>
        <w:widowControl/>
        <w:snapToGrid w:val="0"/>
        <w:spacing w:line="288" w:lineRule="auto"/>
        <w:ind w:firstLine="480" w:firstLineChars="200"/>
        <w:rPr>
          <w:rFonts w:hint="eastAsia"/>
        </w:rPr>
      </w:pPr>
      <w:r>
        <w:rPr>
          <w:rFonts w:hint="eastAsia" w:ascii="宋体" w:hAnsi="宋体" w:eastAsia="宋体" w:cs="宋体"/>
          <w:color w:val="000000"/>
          <w:kern w:val="0"/>
          <w:sz w:val="24"/>
          <w:szCs w:val="24"/>
          <w:lang w:val="en-US" w:eastAsia="zh-CN" w:bidi="ar"/>
        </w:rPr>
        <w:t>（4）验收标准：按投标文件规定的型号、技术参数、数量、产地，并根据制造商签发的《产品合格证》、《出厂清单》、《技术文件》进行现场验收，达到应答水平后，由甲、乙双方签署验收报告。如有异议，验收七天内以书面形式通知对方。对技术参数达不到招标文件要求的设备，甲方有权予以退货或调换设备，乙方收到甲方书面通知</w:t>
      </w:r>
      <w:r>
        <w:rPr>
          <w:rFonts w:ascii="Arial" w:hAnsi="Arial" w:eastAsia="宋体" w:cs="Arial"/>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个工作日内不回复甲方的。视为同意甲方的异议和处理方式。验收合格前，乙方负责设备的保管和安全；验收合格后，甲方负责设备的保管和安全</w:t>
      </w:r>
    </w:p>
    <w:p>
      <w:pPr>
        <w:widowControl/>
        <w:snapToGrid w:val="0"/>
        <w:spacing w:line="288" w:lineRule="auto"/>
        <w:ind w:firstLine="422" w:firstLineChars="200"/>
        <w:rPr>
          <w:rFonts w:hint="eastAsia" w:ascii="宋体" w:hAnsi="宋体" w:eastAsia="宋体" w:cs="宋体"/>
          <w:b/>
          <w:bCs/>
        </w:rPr>
      </w:pPr>
      <w:r>
        <w:rPr>
          <w:rFonts w:hint="eastAsia" w:ascii="宋体" w:hAnsi="宋体" w:eastAsia="宋体" w:cs="宋体"/>
          <w:b/>
          <w:bCs/>
          <w:lang w:val="en-US" w:eastAsia="zh-CN"/>
        </w:rPr>
        <w:t>3.售后要求：</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在质保期内，乙方需提供免费的维修及零配件更换，乙方有义务向甲方提供合同项下设备的终生技术支持，包括技术咨询及技术人员的支持和零配件在设备使用寿命内的供应保证，更换配件的质保期应从更换之日起另行计算；</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在甲方发出要求服务通知的24小时内，乙方指派的服务人员必须到达用户方现场，对设备出现的较大的问题，解决时间不超过2个日历日；</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如设备维修调试后达不到合同规定的质量或技术指标要求，甲方有权提出退货，并要求乙方退回货款；</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对于隐蔽性的、合理的检查和试验都不能发觉的缺陷，即使质量保证期已过，由于其产品本身的设计缺陷、制造缺陷、安装缺陷造成的故障，仍由乙方免费负责维修、更换；</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保修期外，终身维修，定期保养，最优惠提供零配件、易损件和耗材。</w:t>
      </w:r>
    </w:p>
    <w:p>
      <w:pPr>
        <w:pStyle w:val="13"/>
        <w:rPr>
          <w:rFonts w:hint="eastAsia"/>
          <w:lang w:val="en-US" w:eastAsia="zh-CN"/>
        </w:rPr>
      </w:pPr>
      <w:r>
        <w:rPr>
          <w:rFonts w:hint="eastAsia"/>
          <w:lang w:val="en-US" w:eastAsia="zh-CN"/>
        </w:rPr>
        <w:t>（6）乙方必须免费提供技术水平高、质量高的培训服务，提供现场操作培训及集中培训，2年质保期内，每年每个地州现场操作和集中培训不少于 2 天，最终需达到预定的培训目标。</w:t>
      </w:r>
    </w:p>
    <w:p>
      <w:pPr>
        <w:pStyle w:val="13"/>
        <w:rPr>
          <w:rFonts w:hint="eastAsia" w:ascii="宋体" w:hAnsi="宋体" w:eastAsia="宋体" w:cs="宋体"/>
          <w:color w:val="000000"/>
          <w:kern w:val="0"/>
          <w:sz w:val="24"/>
          <w:szCs w:val="24"/>
          <w:lang w:val="en-US" w:eastAsia="zh-CN" w:bidi="ar"/>
        </w:rPr>
      </w:pPr>
      <w:r>
        <w:rPr>
          <w:rFonts w:hint="eastAsia"/>
          <w:lang w:val="en-US" w:eastAsia="zh-CN"/>
        </w:rPr>
        <w:t>（7）</w:t>
      </w:r>
      <w:r>
        <w:rPr>
          <w:rFonts w:hint="eastAsia" w:ascii="宋体" w:hAnsi="宋体" w:eastAsia="宋体" w:cs="宋体"/>
          <w:color w:val="000000"/>
          <w:kern w:val="0"/>
          <w:sz w:val="24"/>
          <w:szCs w:val="24"/>
          <w:lang w:val="en-US" w:eastAsia="zh-CN" w:bidi="ar"/>
        </w:rPr>
        <w:t xml:space="preserve">本项目仪器设备安装、调试、验收、质保等工作产生的运输费、运输保险费、装卸费、安装调试费、验收、质保及其他应有的费用均由乙方全权负责。本合同的全部都不得转让与分包，一经发现，甲方有权终止合同，因此产生的一切损失由乙方承担并追究其法律责任。项目总价为一次性报定，包括完成该项目全部服务和货物、耗材、安装、调试、维护（含货物安装过程中对原站房的维护）、人工、机械、保险、劳保、各种税费、专利技术、技术支持与培训、政策性文件规定及合同包含的所有风险、责任等各项应有费用等一切费用。 </w:t>
      </w:r>
    </w:p>
    <w:p>
      <w:pPr>
        <w:pStyle w:val="13"/>
      </w:pPr>
      <w:r>
        <w:rPr>
          <w:rFonts w:hint="eastAsia" w:ascii="宋体" w:hAnsi="宋体" w:eastAsia="宋体" w:cs="宋体"/>
          <w:color w:val="000000"/>
          <w:kern w:val="0"/>
          <w:sz w:val="24"/>
          <w:szCs w:val="24"/>
          <w:lang w:val="en-US" w:eastAsia="zh-CN" w:bidi="ar"/>
        </w:rPr>
        <w:t>（8）在设备验收后，乙方免费提供1年设备运维所需的耗材和备件。</w:t>
      </w:r>
    </w:p>
    <w:p>
      <w:pPr>
        <w:pStyle w:val="13"/>
        <w:ind w:firstLine="480"/>
        <w:rPr>
          <w:rFonts w:hint="eastAsia" w:eastAsia="宋体"/>
        </w:rPr>
      </w:pPr>
    </w:p>
    <w:p>
      <w:pPr>
        <w:widowControl/>
        <w:snapToGrid w:val="0"/>
        <w:spacing w:line="288" w:lineRule="auto"/>
        <w:rPr>
          <w:rFonts w:hint="eastAsia" w:ascii="宋体" w:hAnsi="宋体" w:eastAsia="宋体" w:cs="宋体"/>
          <w:b/>
          <w:bCs/>
        </w:rPr>
      </w:pPr>
      <w:r>
        <w:rPr>
          <w:rFonts w:hint="eastAsia" w:ascii="宋体" w:hAnsi="宋体" w:eastAsia="宋体" w:cs="宋体"/>
          <w:b/>
          <w:bCs/>
        </w:rPr>
        <w:t xml:space="preserve">八、随机的必备品、配件、工具及其数量 </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rPr>
        <w:t>乙方应按投标文件承诺、产品说明书、装箱单、出厂要求配备及投标文件中必须的备品、配件和专用工具。</w:t>
      </w:r>
    </w:p>
    <w:p>
      <w:pPr>
        <w:pStyle w:val="14"/>
        <w:ind w:left="0" w:leftChars="0"/>
        <w:jc w:val="left"/>
        <w:rPr>
          <w:rFonts w:hint="eastAsia" w:eastAsia="宋体"/>
        </w:rPr>
      </w:pPr>
    </w:p>
    <w:p>
      <w:pPr>
        <w:rPr>
          <w:rFonts w:ascii="宋体" w:hAnsi="宋体" w:eastAsia="宋体" w:cs="宋体"/>
          <w:b/>
          <w:bCs/>
        </w:rPr>
      </w:pPr>
      <w:r>
        <w:rPr>
          <w:rFonts w:hint="eastAsia" w:ascii="宋体" w:hAnsi="宋体" w:eastAsia="宋体" w:cs="宋体"/>
          <w:b/>
          <w:bCs/>
        </w:rPr>
        <w:t>九、技术资料</w:t>
      </w:r>
    </w:p>
    <w:p>
      <w:pPr>
        <w:ind w:firstLine="420" w:firstLineChars="200"/>
      </w:pPr>
      <w:r>
        <w:rPr>
          <w:rFonts w:hint="eastAsia" w:ascii="宋体" w:hAnsi="宋体" w:eastAsia="宋体" w:cs="宋体"/>
        </w:rPr>
        <w:t>乙方需向甲方提供下述资料（交货时必须同时提交）：</w:t>
      </w:r>
      <w:r>
        <w:t xml:space="preserve"> </w:t>
      </w:r>
    </w:p>
    <w:p>
      <w:pPr>
        <w:ind w:left="420" w:leftChars="200"/>
        <w:rPr>
          <w:rFonts w:ascii="宋体" w:hAnsi="宋体" w:eastAsia="宋体" w:cs="宋体"/>
        </w:rPr>
      </w:pPr>
      <w:r>
        <w:rPr>
          <w:rFonts w:hint="eastAsia" w:ascii="宋体" w:hAnsi="宋体" w:eastAsia="宋体" w:cs="宋体"/>
        </w:rPr>
        <w:t>所供货物的型号、规格、数量及生产厂家的产品检验证书、出厂检验报告。</w:t>
      </w:r>
      <w:r>
        <w:t xml:space="preserve"> </w:t>
      </w:r>
      <w:r>
        <w:rPr>
          <w:rFonts w:hint="eastAsia" w:ascii="宋体" w:hAnsi="宋体" w:eastAsia="宋体" w:cs="宋体"/>
        </w:rPr>
        <w:t>提供使用、维修、故障查询中文文字版说明，如有电子版一并提供。</w:t>
      </w:r>
    </w:p>
    <w:p>
      <w:pPr>
        <w:pStyle w:val="13"/>
        <w:ind w:firstLine="480"/>
        <w:rPr>
          <w:rFonts w:hint="eastAsia" w:eastAsia="宋体"/>
        </w:rPr>
      </w:pPr>
    </w:p>
    <w:p>
      <w:pPr>
        <w:rPr>
          <w:rFonts w:hint="eastAsia" w:ascii="宋体" w:hAnsi="宋体" w:eastAsia="宋体" w:cs="宋体"/>
          <w:b/>
          <w:bCs/>
          <w:lang w:eastAsia="zh-CN"/>
        </w:rPr>
      </w:pPr>
      <w:r>
        <w:rPr>
          <w:rFonts w:hint="eastAsia" w:ascii="宋体" w:hAnsi="宋体" w:eastAsia="宋体" w:cs="宋体"/>
          <w:b/>
          <w:bCs/>
        </w:rPr>
        <w:t>十、包装及</w:t>
      </w:r>
      <w:r>
        <w:rPr>
          <w:rFonts w:hint="eastAsia" w:ascii="宋体" w:hAnsi="宋体" w:eastAsia="宋体" w:cs="宋体"/>
          <w:b/>
          <w:bCs/>
          <w:lang w:eastAsia="zh-CN"/>
        </w:rPr>
        <w:t>运输要求</w:t>
      </w:r>
    </w:p>
    <w:p>
      <w:pPr>
        <w:pStyle w:val="13"/>
        <w:ind w:firstLine="48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乙方必须提供未经使用的全新产品，采用厂家原装包装。</w:t>
      </w:r>
    </w:p>
    <w:p>
      <w:pPr>
        <w:pStyle w:val="13"/>
        <w:ind w:firstLine="480"/>
        <w:rPr>
          <w:rFonts w:cs="宋体"/>
          <w:b/>
          <w:bCs/>
        </w:rPr>
      </w:pPr>
      <w:r>
        <w:rPr>
          <w:rFonts w:hint="eastAsia" w:ascii="宋体" w:hAnsi="宋体" w:eastAsia="宋体" w:cs="宋体"/>
          <w:lang w:val="en-US" w:eastAsia="zh-CN"/>
        </w:rPr>
        <w:t>2.</w:t>
      </w:r>
      <w:r>
        <w:rPr>
          <w:rFonts w:hint="eastAsia" w:ascii="宋体" w:hAnsi="宋体" w:eastAsia="宋体" w:cs="宋体"/>
          <w:color w:val="000000"/>
          <w:kern w:val="0"/>
          <w:sz w:val="24"/>
          <w:szCs w:val="24"/>
          <w:lang w:val="en-US" w:eastAsia="zh-CN" w:bidi="ar"/>
        </w:rPr>
        <w:t>因包装不妥在运输过程中发生丢失的，损坏由乙方承担完全责任，运输过程中造成破损的，无条件换货。</w:t>
      </w:r>
    </w:p>
    <w:p>
      <w:pPr>
        <w:rPr>
          <w:rFonts w:hint="eastAsia" w:ascii="宋体" w:hAnsi="宋体" w:eastAsia="宋体" w:cs="宋体"/>
          <w:b/>
          <w:bCs/>
        </w:rPr>
      </w:pPr>
    </w:p>
    <w:p>
      <w:pPr>
        <w:rPr>
          <w:rFonts w:ascii="宋体" w:hAnsi="宋体" w:eastAsia="宋体" w:cs="宋体"/>
          <w:b/>
          <w:bCs/>
        </w:rPr>
      </w:pPr>
      <w:r>
        <w:rPr>
          <w:rFonts w:hint="eastAsia" w:ascii="宋体" w:hAnsi="宋体" w:eastAsia="宋体" w:cs="宋体"/>
          <w:b/>
          <w:bCs/>
        </w:rPr>
        <w:t>十一、甲、乙双方的权利及义务</w:t>
      </w:r>
    </w:p>
    <w:p>
      <w:pPr>
        <w:pStyle w:val="13"/>
        <w:ind w:firstLine="480"/>
      </w:pPr>
      <w:r>
        <w:t>1</w:t>
      </w:r>
      <w:r>
        <w:rPr>
          <w:rFonts w:hint="eastAsia" w:ascii="宋体" w:hAnsi="宋体" w:eastAsia="宋体" w:cs="宋体"/>
        </w:rPr>
        <w:t>、若甲方对订购的货物有任何更改，包括货物的型号、品种、规格、数量、颜色、交货期等事宜，必须在双方签订合同后七天内书面通知乙方，交货期相应从变更之日起顺延。</w:t>
      </w:r>
      <w:r>
        <w:t xml:space="preserve"> </w:t>
      </w:r>
      <w:r>
        <w:rPr>
          <w:rFonts w:hint="eastAsia" w:ascii="宋体" w:hAnsi="宋体" w:eastAsia="宋体" w:cs="宋体"/>
        </w:rPr>
        <w:t>由于变更引起的合同总额的增减，则由甲、乙双方友好协商后，多退少补。</w:t>
      </w:r>
      <w:r>
        <w:t xml:space="preserve"> </w:t>
      </w:r>
    </w:p>
    <w:p>
      <w:pPr>
        <w:pStyle w:val="13"/>
        <w:ind w:firstLine="480"/>
      </w:pPr>
      <w:r>
        <w:t>2</w:t>
      </w:r>
      <w:r>
        <w:rPr>
          <w:rFonts w:hint="eastAsia" w:ascii="宋体" w:hAnsi="宋体" w:eastAsia="宋体" w:cs="宋体"/>
        </w:rPr>
        <w:t>、若甲方在验收后的质量保证期内，发现货物内有部分出现质量问题，应及时通知乙方，若需要更换时，乙方应在接到通知后</w:t>
      </w:r>
      <w:r>
        <w:t>10</w:t>
      </w:r>
      <w:r>
        <w:rPr>
          <w:rFonts w:hint="eastAsia" w:ascii="宋体" w:hAnsi="宋体" w:eastAsia="宋体" w:cs="宋体"/>
        </w:rPr>
        <w:t>天内给予更换，如不更换甲方有权退货，并单</w:t>
      </w:r>
      <w:r>
        <w:t xml:space="preserve"> </w:t>
      </w:r>
      <w:r>
        <w:rPr>
          <w:rFonts w:hint="eastAsia" w:ascii="宋体" w:hAnsi="宋体" w:eastAsia="宋体" w:cs="宋体"/>
        </w:rPr>
        <w:t>方面解除合同。</w:t>
      </w:r>
      <w:r>
        <w:t xml:space="preserve"> </w:t>
      </w:r>
    </w:p>
    <w:p>
      <w:pPr>
        <w:pStyle w:val="13"/>
        <w:ind w:firstLine="480"/>
      </w:pPr>
      <w:r>
        <w:t>3</w:t>
      </w:r>
      <w:r>
        <w:rPr>
          <w:rFonts w:hint="eastAsia" w:ascii="宋体" w:hAnsi="宋体" w:eastAsia="宋体" w:cs="宋体"/>
        </w:rPr>
        <w:t>、乙方须按合同要求提供质量合格的货物，如期交付甲方指定的交货地点。</w:t>
      </w:r>
      <w:r>
        <w:t xml:space="preserve"> </w:t>
      </w:r>
    </w:p>
    <w:p>
      <w:pPr>
        <w:pStyle w:val="13"/>
        <w:ind w:firstLine="480"/>
      </w:pPr>
      <w:r>
        <w:t>4</w:t>
      </w:r>
      <w:r>
        <w:rPr>
          <w:rFonts w:hint="eastAsia" w:ascii="宋体" w:hAnsi="宋体" w:eastAsia="宋体" w:cs="宋体"/>
        </w:rPr>
        <w:t>、乙方对售予甲方的货物提供的质量保证期的质量保证范围，不包括意外事件、不可</w:t>
      </w:r>
      <w:r>
        <w:t xml:space="preserve"> </w:t>
      </w:r>
      <w:r>
        <w:rPr>
          <w:rFonts w:hint="eastAsia" w:ascii="宋体" w:hAnsi="宋体" w:eastAsia="宋体" w:cs="宋体"/>
        </w:rPr>
        <w:t>抗力原因及违规使用。</w:t>
      </w:r>
      <w:r>
        <w:t xml:space="preserve"> </w:t>
      </w:r>
    </w:p>
    <w:p>
      <w:pPr>
        <w:pStyle w:val="13"/>
        <w:ind w:firstLine="480"/>
        <w:rPr>
          <w:rFonts w:ascii="宋体" w:hAnsi="宋体" w:eastAsia="宋体" w:cs="宋体"/>
        </w:rPr>
      </w:pPr>
      <w:r>
        <w:t>5</w:t>
      </w:r>
      <w:r>
        <w:rPr>
          <w:rFonts w:hint="eastAsia" w:ascii="宋体" w:hAnsi="宋体" w:eastAsia="宋体" w:cs="宋体"/>
        </w:rPr>
        <w:t>、乙方在供货同时向供货单位提供本项目招标文件、合同以及答疑记录复印件一份。</w:t>
      </w:r>
    </w:p>
    <w:p>
      <w:pPr>
        <w:pStyle w:val="13"/>
        <w:ind w:firstLine="480"/>
        <w:rPr>
          <w:rFonts w:ascii="宋体" w:hAnsi="宋体" w:eastAsia="宋体" w:cs="宋体"/>
        </w:rPr>
      </w:pPr>
      <w:r>
        <w:t xml:space="preserve"> 6</w:t>
      </w:r>
      <w:r>
        <w:rPr>
          <w:rFonts w:hint="eastAsia" w:ascii="宋体" w:hAnsi="宋体" w:eastAsia="宋体" w:cs="宋体"/>
        </w:rPr>
        <w:t>、货物验收不合格，甲方有权退货，并单方面解除合同。</w:t>
      </w:r>
    </w:p>
    <w:p>
      <w:pPr>
        <w:pStyle w:val="14"/>
        <w:ind w:left="1440"/>
        <w:rPr>
          <w:rFonts w:hint="eastAsia" w:eastAsia="宋体"/>
        </w:rPr>
      </w:pPr>
    </w:p>
    <w:p>
      <w:pPr>
        <w:widowControl/>
        <w:snapToGrid w:val="0"/>
        <w:spacing w:line="288" w:lineRule="auto"/>
        <w:rPr>
          <w:rFonts w:hint="eastAsia" w:ascii="宋体" w:hAnsi="宋体" w:eastAsia="宋体" w:cs="宋体"/>
          <w:b/>
          <w:bCs/>
        </w:rPr>
      </w:pPr>
      <w:r>
        <w:rPr>
          <w:rFonts w:hint="eastAsia" w:ascii="宋体" w:hAnsi="宋体" w:eastAsia="宋体" w:cs="宋体"/>
          <w:b/>
          <w:bCs/>
        </w:rPr>
        <w:t>十二、合同修改、变更、转让及专利权</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rPr>
        <w:t>1、未经甲方书面同意，乙方不得对合同条款及服务内容进行任何修改、变更。并且不得转让其应履行的义务。否则，甲方有权终止合同，所发生的损失由乙方全部承担。</w:t>
      </w:r>
    </w:p>
    <w:p>
      <w:pPr>
        <w:widowControl/>
        <w:snapToGrid w:val="0"/>
        <w:spacing w:line="288" w:lineRule="auto"/>
        <w:ind w:firstLine="420" w:firstLineChars="200"/>
        <w:rPr>
          <w:rFonts w:ascii="宋体" w:hAnsi="宋体" w:eastAsia="宋体" w:cs="宋体"/>
        </w:rPr>
      </w:pPr>
      <w:r>
        <w:rPr>
          <w:rFonts w:hint="eastAsia" w:ascii="宋体" w:hAnsi="宋体" w:eastAsia="宋体" w:cs="宋体"/>
        </w:rPr>
        <w:t>2、乙方须保障甲方在使用其设备、服务及其任何部分不受到第三方关于侵犯专利权、商标权或工业设计权的指控。任何第三方如果提供侵权指控，乙方须与第三方交涉并承担由此而引起的一切法律责任和费用。</w:t>
      </w:r>
    </w:p>
    <w:p>
      <w:pPr>
        <w:pStyle w:val="13"/>
        <w:ind w:firstLine="480"/>
        <w:rPr>
          <w:rFonts w:hint="eastAsia" w:eastAsia="宋体"/>
        </w:rPr>
      </w:pPr>
    </w:p>
    <w:p>
      <w:pPr>
        <w:rPr>
          <w:rFonts w:ascii="宋体" w:hAnsi="宋体" w:eastAsia="宋体" w:cs="宋体"/>
          <w:b/>
          <w:bCs/>
        </w:rPr>
      </w:pPr>
      <w:r>
        <w:rPr>
          <w:rFonts w:hint="eastAsia" w:ascii="宋体" w:hAnsi="宋体" w:eastAsia="宋体" w:cs="宋体"/>
          <w:b/>
          <w:bCs/>
        </w:rPr>
        <w:t>十三、技术资料及知识产权</w:t>
      </w:r>
    </w:p>
    <w:p>
      <w:pPr>
        <w:pStyle w:val="13"/>
        <w:ind w:firstLine="482"/>
        <w:rPr>
          <w:b/>
          <w:bCs/>
        </w:rPr>
      </w:pPr>
      <w:r>
        <w:rPr>
          <w:b/>
          <w:bCs/>
        </w:rPr>
        <w:t>1</w:t>
      </w:r>
      <w:r>
        <w:rPr>
          <w:rFonts w:hint="eastAsia" w:ascii="宋体" w:hAnsi="宋体" w:eastAsia="宋体" w:cs="宋体"/>
          <w:b/>
          <w:bCs/>
        </w:rPr>
        <w:t>、知识产权归属</w:t>
      </w:r>
      <w:r>
        <w:rPr>
          <w:b/>
          <w:bCs/>
        </w:rPr>
        <w:t xml:space="preserve"> </w:t>
      </w:r>
    </w:p>
    <w:p>
      <w:pPr>
        <w:pStyle w:val="13"/>
        <w:ind w:firstLine="480"/>
      </w:pPr>
      <w:r>
        <w:t>1</w:t>
      </w:r>
      <w:r>
        <w:rPr>
          <w:rFonts w:hint="eastAsia" w:ascii="宋体" w:hAnsi="宋体" w:eastAsia="宋体" w:cs="宋体"/>
        </w:rPr>
        <w:t>）乙方向甲方提交的成果以及乙方在本项目服务过程中形成的专利、秘密信息、技术</w:t>
      </w:r>
      <w:r>
        <w:t xml:space="preserve"> </w:t>
      </w:r>
      <w:r>
        <w:rPr>
          <w:rFonts w:hint="eastAsia" w:ascii="宋体" w:hAnsi="宋体" w:eastAsia="宋体" w:cs="宋体"/>
        </w:rPr>
        <w:t>资料和文件的知识产权归甲方单独所有。乙方在本合同签署之前已经拥有的知识产权和乙</w:t>
      </w:r>
      <w:r>
        <w:t xml:space="preserve"> </w:t>
      </w:r>
      <w:r>
        <w:rPr>
          <w:rFonts w:hint="eastAsia" w:ascii="宋体" w:hAnsi="宋体" w:eastAsia="宋体" w:cs="宋体"/>
        </w:rPr>
        <w:t>方按照本合同约定使用的第三方的知识产权以及通用科学技术方法除外。</w:t>
      </w:r>
      <w:r>
        <w:t xml:space="preserve"> </w:t>
      </w:r>
    </w:p>
    <w:p>
      <w:pPr>
        <w:pStyle w:val="13"/>
        <w:ind w:firstLine="480"/>
      </w:pPr>
      <w:r>
        <w:t>2</w:t>
      </w:r>
      <w:r>
        <w:rPr>
          <w:rFonts w:hint="eastAsia" w:ascii="宋体" w:hAnsi="宋体" w:eastAsia="宋体" w:cs="宋体"/>
        </w:rPr>
        <w:t>）除非甲方书面同意，乙方不得以任何方式向第三方披露、转让和许可有关的技术成</w:t>
      </w:r>
      <w:r>
        <w:t xml:space="preserve"> </w:t>
      </w:r>
      <w:r>
        <w:rPr>
          <w:rFonts w:hint="eastAsia" w:ascii="宋体" w:hAnsi="宋体" w:eastAsia="宋体" w:cs="宋体"/>
        </w:rPr>
        <w:t>果、秘密信息、技术资料、文件等。</w:t>
      </w:r>
      <w:r>
        <w:t xml:space="preserve"> </w:t>
      </w:r>
    </w:p>
    <w:p>
      <w:pPr>
        <w:pStyle w:val="13"/>
        <w:ind w:firstLine="480"/>
      </w:pPr>
      <w:r>
        <w:t>3</w:t>
      </w:r>
      <w:r>
        <w:rPr>
          <w:rFonts w:hint="eastAsia" w:ascii="宋体" w:hAnsi="宋体" w:eastAsia="宋体" w:cs="宋体"/>
        </w:rPr>
        <w:t>）除本项目服务需要之外，未得到甲方的书面许可，乙方不得以任何方式商业性地利</w:t>
      </w:r>
      <w:r>
        <w:t xml:space="preserve"> </w:t>
      </w:r>
      <w:r>
        <w:rPr>
          <w:rFonts w:hint="eastAsia" w:ascii="宋体" w:hAnsi="宋体" w:eastAsia="宋体" w:cs="宋体"/>
        </w:rPr>
        <w:t>用上述资料和技术。</w:t>
      </w:r>
      <w:r>
        <w:t xml:space="preserve"> </w:t>
      </w:r>
    </w:p>
    <w:p>
      <w:pPr>
        <w:pStyle w:val="13"/>
        <w:ind w:firstLine="480"/>
        <w:rPr>
          <w:rFonts w:hint="eastAsia" w:eastAsia="宋体"/>
          <w:b/>
          <w:bCs/>
          <w:lang w:val="en-US" w:eastAsia="zh-CN"/>
        </w:rPr>
      </w:pPr>
      <w:r>
        <w:rPr>
          <w:rFonts w:hint="eastAsia" w:ascii="宋体" w:hAnsi="宋体" w:eastAsia="宋体" w:cs="宋体"/>
          <w:lang w:val="en-US" w:eastAsia="zh-CN"/>
        </w:rPr>
        <w:t>4）</w:t>
      </w:r>
      <w:r>
        <w:rPr>
          <w:rFonts w:hint="eastAsia" w:ascii="宋体" w:hAnsi="宋体" w:eastAsia="宋体" w:cs="宋体"/>
        </w:rPr>
        <w:t>乙方</w:t>
      </w:r>
      <w:r>
        <w:rPr>
          <w:rFonts w:hint="eastAsia" w:ascii="宋体" w:hAnsi="宋体" w:eastAsia="宋体" w:cs="宋体"/>
          <w:lang w:val="en-US" w:eastAsia="zh-CN"/>
        </w:rPr>
        <w:t>向甲方</w:t>
      </w:r>
      <w:r>
        <w:rPr>
          <w:rFonts w:hint="eastAsia" w:ascii="宋体" w:hAnsi="宋体" w:eastAsia="宋体" w:cs="宋体"/>
        </w:rPr>
        <w:t>提供其工商资料（加盖公章）作为附件，以确定主体合法资格</w:t>
      </w:r>
      <w:r>
        <w:rPr>
          <w:rFonts w:hint="eastAsia" w:ascii="宋体" w:hAnsi="宋体" w:eastAsia="宋体" w:cs="宋体"/>
          <w:lang w:eastAsia="zh-CN"/>
        </w:rPr>
        <w:t>。</w:t>
      </w:r>
    </w:p>
    <w:p>
      <w:pPr>
        <w:pStyle w:val="13"/>
        <w:ind w:firstLine="482"/>
      </w:pPr>
      <w:r>
        <w:rPr>
          <w:b/>
          <w:bCs/>
        </w:rPr>
        <w:t>2</w:t>
      </w:r>
      <w:r>
        <w:rPr>
          <w:rFonts w:hint="eastAsia" w:ascii="宋体" w:hAnsi="宋体" w:eastAsia="宋体" w:cs="宋体"/>
          <w:b/>
          <w:bCs/>
        </w:rPr>
        <w:t>、禁止对第三方造成侵权</w:t>
      </w:r>
    </w:p>
    <w:p>
      <w:pPr>
        <w:pStyle w:val="13"/>
        <w:ind w:firstLine="480"/>
        <w:rPr>
          <w:rFonts w:ascii="宋体" w:hAnsi="宋体" w:eastAsia="宋体" w:cs="宋体"/>
        </w:rPr>
      </w:pPr>
      <w:r>
        <w:rPr>
          <w:rFonts w:hint="eastAsia" w:ascii="宋体" w:hAnsi="宋体" w:eastAsia="宋体" w:cs="宋体"/>
        </w:rPr>
        <w:t>乙方应当保证其提供的成果及服务过程不侵害任何第三方的知识产权。如乙方需要使</w:t>
      </w:r>
      <w:r>
        <w:t xml:space="preserve"> </w:t>
      </w:r>
      <w:r>
        <w:rPr>
          <w:rFonts w:hint="eastAsia" w:ascii="宋体" w:hAnsi="宋体" w:eastAsia="宋体" w:cs="宋体"/>
        </w:rPr>
        <w:t>用第三方的知识产权，应当在使用前合法的获得使用该知识产权的许可，并在获得许可后</w:t>
      </w:r>
      <w:r>
        <w:t xml:space="preserve">7 </w:t>
      </w:r>
      <w:r>
        <w:rPr>
          <w:rFonts w:hint="eastAsia" w:ascii="宋体" w:hAnsi="宋体" w:eastAsia="宋体" w:cs="宋体"/>
        </w:rPr>
        <w:t>日内将相关协议及许可文件复印件报甲方备案。乙方为本合同履行之目的使用自身或第三</w:t>
      </w:r>
      <w:r>
        <w:t xml:space="preserve"> </w:t>
      </w:r>
      <w:r>
        <w:rPr>
          <w:rFonts w:hint="eastAsia" w:ascii="宋体" w:hAnsi="宋体" w:eastAsia="宋体" w:cs="宋体"/>
        </w:rPr>
        <w:t>方知识产权的费用已包含在合同价款中，甲方不再另行支付。</w:t>
      </w:r>
    </w:p>
    <w:p>
      <w:pPr>
        <w:pStyle w:val="13"/>
        <w:ind w:firstLine="480"/>
        <w:rPr>
          <w:b/>
          <w:bCs/>
        </w:rPr>
      </w:pPr>
      <w:r>
        <w:t xml:space="preserve"> </w:t>
      </w:r>
      <w:r>
        <w:rPr>
          <w:b/>
          <w:bCs/>
        </w:rPr>
        <w:t>3</w:t>
      </w:r>
      <w:r>
        <w:rPr>
          <w:rFonts w:hint="eastAsia" w:ascii="宋体" w:hAnsi="宋体" w:eastAsia="宋体" w:cs="宋体"/>
          <w:b/>
          <w:bCs/>
        </w:rPr>
        <w:t>、乙方保证</w:t>
      </w:r>
      <w:r>
        <w:rPr>
          <w:b/>
          <w:bCs/>
        </w:rPr>
        <w:t xml:space="preserve"> </w:t>
      </w:r>
    </w:p>
    <w:p>
      <w:pPr>
        <w:pStyle w:val="13"/>
        <w:ind w:firstLine="480"/>
        <w:rPr>
          <w:rFonts w:ascii="宋体" w:hAnsi="宋体" w:eastAsia="宋体" w:cs="宋体"/>
        </w:rPr>
      </w:pPr>
      <w:r>
        <w:rPr>
          <w:rFonts w:hint="eastAsia" w:ascii="宋体" w:hAnsi="宋体" w:eastAsia="宋体" w:cs="宋体"/>
        </w:rPr>
        <w:t>乙方保证甲方及其授权的第三方能够合法地使用其提供的成果。如果任何第三人因甲</w:t>
      </w:r>
      <w:r>
        <w:t xml:space="preserve"> </w:t>
      </w:r>
      <w:r>
        <w:rPr>
          <w:rFonts w:hint="eastAsia" w:ascii="宋体" w:hAnsi="宋体" w:eastAsia="宋体" w:cs="宋体"/>
        </w:rPr>
        <w:t>方及其授权的第三方使用成果向甲方及其授权的第三方提出有关知识产权的任何索赔、要</w:t>
      </w:r>
      <w:r>
        <w:t xml:space="preserve"> </w:t>
      </w:r>
      <w:r>
        <w:rPr>
          <w:rFonts w:hint="eastAsia" w:ascii="宋体" w:hAnsi="宋体" w:eastAsia="宋体" w:cs="宋体"/>
        </w:rPr>
        <w:t>求停止使用、要求支付费用、诉讼、仲裁或其它不利于甲方及其授权的第三方之行为，乙</w:t>
      </w:r>
      <w:r>
        <w:t xml:space="preserve"> </w:t>
      </w:r>
      <w:r>
        <w:rPr>
          <w:rFonts w:hint="eastAsia" w:ascii="宋体" w:hAnsi="宋体" w:eastAsia="宋体" w:cs="宋体"/>
        </w:rPr>
        <w:t>方应当自费为甲方及其授权的第三方进行处理，并保证甲方及其授权的第三方能够正常使</w:t>
      </w:r>
      <w:r>
        <w:t xml:space="preserve"> </w:t>
      </w:r>
      <w:r>
        <w:rPr>
          <w:rFonts w:hint="eastAsia" w:ascii="宋体" w:hAnsi="宋体" w:eastAsia="宋体" w:cs="宋体"/>
        </w:rPr>
        <w:t>用成果，由此给甲方及其授权的第三方造成的一切损失由乙方承担（包括但不限于赔偿、</w:t>
      </w:r>
      <w:r>
        <w:t xml:space="preserve"> </w:t>
      </w:r>
      <w:r>
        <w:rPr>
          <w:rFonts w:hint="eastAsia" w:ascii="宋体" w:hAnsi="宋体" w:eastAsia="宋体" w:cs="宋体"/>
        </w:rPr>
        <w:t>补偿、诉讼费、仲裁费用、律师费、甲方的其他损失等）</w:t>
      </w:r>
    </w:p>
    <w:p>
      <w:pPr>
        <w:pStyle w:val="14"/>
        <w:ind w:left="1440"/>
        <w:rPr>
          <w:rFonts w:hint="eastAsia" w:eastAsia="宋体"/>
        </w:rPr>
      </w:pPr>
    </w:p>
    <w:p>
      <w:pPr>
        <w:widowControl/>
        <w:snapToGrid w:val="0"/>
        <w:spacing w:line="288" w:lineRule="auto"/>
        <w:rPr>
          <w:rFonts w:hint="eastAsia" w:ascii="宋体" w:hAnsi="宋体" w:eastAsia="宋体" w:cs="宋体"/>
          <w:b/>
          <w:bCs/>
        </w:rPr>
      </w:pPr>
      <w:r>
        <w:rPr>
          <w:rFonts w:hint="eastAsia" w:ascii="宋体" w:hAnsi="宋体" w:eastAsia="宋体" w:cs="宋体"/>
          <w:b/>
          <w:bCs/>
        </w:rPr>
        <w:t>十四、不可抗力</w:t>
      </w:r>
    </w:p>
    <w:p>
      <w:pPr>
        <w:keepNext w:val="0"/>
        <w:keepLines w:val="0"/>
        <w:pageBreakBefore w:val="0"/>
        <w:widowControl/>
        <w:kinsoku/>
        <w:wordWrap/>
        <w:overflowPunct/>
        <w:topLinePunct w:val="0"/>
        <w:autoSpaceDE/>
        <w:autoSpaceDN/>
        <w:bidi w:val="0"/>
        <w:adjustRightInd/>
        <w:snapToGrid w:val="0"/>
        <w:spacing w:line="288" w:lineRule="auto"/>
        <w:ind w:firstLine="420" w:firstLineChars="200"/>
        <w:textAlignment w:val="auto"/>
        <w:rPr>
          <w:rFonts w:ascii="宋体" w:hAnsi="宋体" w:eastAsia="宋体" w:cs="宋体"/>
        </w:rPr>
      </w:pPr>
      <w:r>
        <w:rPr>
          <w:rFonts w:hint="eastAsia" w:ascii="宋体" w:hAnsi="宋体" w:eastAsia="宋体" w:cs="宋体"/>
        </w:rPr>
        <w:t>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widowControl/>
        <w:snapToGrid w:val="0"/>
        <w:spacing w:line="288" w:lineRule="auto"/>
        <w:rPr>
          <w:rFonts w:hint="eastAsia" w:ascii="宋体" w:hAnsi="宋体" w:eastAsia="宋体" w:cs="宋体"/>
          <w:b/>
          <w:bCs/>
        </w:rPr>
      </w:pPr>
      <w:r>
        <w:rPr>
          <w:rFonts w:hint="eastAsia" w:ascii="宋体" w:hAnsi="宋体" w:eastAsia="宋体" w:cs="宋体"/>
          <w:b/>
          <w:bCs/>
        </w:rPr>
        <w:t>十五、违约责任</w:t>
      </w:r>
    </w:p>
    <w:p>
      <w:pPr>
        <w:widowControl/>
        <w:snapToGrid w:val="0"/>
        <w:spacing w:line="288" w:lineRule="auto"/>
        <w:ind w:firstLine="420" w:firstLineChars="200"/>
        <w:rPr>
          <w:rFonts w:hint="eastAsia" w:ascii="宋体" w:hAnsi="宋体" w:eastAsia="宋体" w:cs="宋体"/>
          <w:u w:val="none"/>
          <w:lang w:eastAsia="zh-CN"/>
        </w:rPr>
      </w:pPr>
      <w:r>
        <w:rPr>
          <w:rFonts w:hint="eastAsia" w:ascii="宋体" w:hAnsi="宋体" w:eastAsia="宋体" w:cs="宋体"/>
        </w:rPr>
        <w:t>1、乙方未按招、投标文件及合同约定完成相应服务的，每发生一次，应向甲方支付合同金</w:t>
      </w:r>
      <w:r>
        <w:rPr>
          <w:rFonts w:hint="eastAsia" w:ascii="宋体" w:hAnsi="宋体" w:eastAsia="宋体" w:cs="宋体"/>
          <w:u w:val="none"/>
        </w:rPr>
        <w:t>额0.5%的违约金</w:t>
      </w:r>
      <w:r>
        <w:rPr>
          <w:rFonts w:hint="eastAsia" w:ascii="宋体" w:hAnsi="宋体" w:eastAsia="宋体" w:cs="宋体"/>
          <w:u w:val="none"/>
          <w:lang w:eastAsia="zh-CN"/>
        </w:rPr>
        <w:t>；</w:t>
      </w:r>
    </w:p>
    <w:p>
      <w:pPr>
        <w:widowControl/>
        <w:snapToGrid w:val="0"/>
        <w:spacing w:line="288" w:lineRule="auto"/>
        <w:ind w:firstLine="420" w:firstLineChars="200"/>
        <w:rPr>
          <w:rFonts w:hint="eastAsia" w:ascii="宋体" w:hAnsi="宋体" w:eastAsia="宋体" w:cs="宋体"/>
          <w:u w:val="none"/>
          <w:lang w:eastAsia="zh-CN"/>
        </w:rPr>
      </w:pPr>
      <w:r>
        <w:rPr>
          <w:rFonts w:hint="eastAsia" w:ascii="宋体" w:hAnsi="宋体" w:eastAsia="宋体" w:cs="宋体"/>
          <w:u w:val="none"/>
        </w:rPr>
        <w:t>2、乙方未按合同约定时间完成项目验收交货，每逾期一天，应向甲方支付合同金额0.5%的违约金</w:t>
      </w:r>
      <w:r>
        <w:rPr>
          <w:rFonts w:hint="eastAsia" w:ascii="宋体" w:hAnsi="宋体" w:eastAsia="宋体" w:cs="宋体"/>
          <w:u w:val="none"/>
          <w:lang w:eastAsia="zh-CN"/>
        </w:rPr>
        <w:t>；</w:t>
      </w:r>
    </w:p>
    <w:p>
      <w:pPr>
        <w:pStyle w:val="13"/>
        <w:rPr>
          <w:rFonts w:hint="eastAsia"/>
          <w:u w:val="none"/>
          <w:lang w:val="en-US" w:eastAsia="zh-CN"/>
        </w:rPr>
      </w:pPr>
      <w:r>
        <w:rPr>
          <w:rFonts w:hint="eastAsia"/>
          <w:u w:val="none"/>
          <w:lang w:val="en-US" w:eastAsia="zh-CN"/>
        </w:rPr>
        <w:t>3、若乙方最终提供的产品或服务不符合验收标准，经补正后仍不符合验收标准的，应向甲方支付合同价款 30% 的违约金；</w:t>
      </w:r>
    </w:p>
    <w:p>
      <w:pPr>
        <w:widowControl/>
        <w:snapToGrid w:val="0"/>
        <w:spacing w:line="288" w:lineRule="auto"/>
        <w:ind w:firstLine="420" w:firstLineChars="200"/>
        <w:rPr>
          <w:rFonts w:ascii="宋体" w:hAnsi="宋体" w:eastAsia="宋体" w:cs="宋体"/>
        </w:rPr>
      </w:pPr>
      <w:r>
        <w:rPr>
          <w:rFonts w:hint="eastAsia" w:ascii="宋体" w:hAnsi="宋体" w:eastAsia="宋体" w:cs="宋体"/>
          <w:u w:val="none"/>
          <w:lang w:val="en-US" w:eastAsia="zh-CN"/>
        </w:rPr>
        <w:t>4</w:t>
      </w:r>
      <w:r>
        <w:rPr>
          <w:rFonts w:hint="eastAsia" w:ascii="宋体" w:hAnsi="宋体" w:eastAsia="宋体" w:cs="宋体"/>
          <w:u w:val="none"/>
        </w:rPr>
        <w:t>、本合同中所涉及到的乙方应支付甲方</w:t>
      </w:r>
      <w:r>
        <w:rPr>
          <w:rFonts w:hint="eastAsia" w:ascii="宋体" w:hAnsi="宋体" w:eastAsia="宋体" w:cs="宋体"/>
        </w:rPr>
        <w:t>的损害赔偿、违约金等，在质保期内，甲方有权从合同总金额5%的质保金中直接扣除，对不足以抵偿的部分，甲方保留追索权；设备质保期以外，甲方保留追索的权利，包括从甲、乙双方所签署的其他合同乙方的权利中，追偿和抵偿上述经济损失。</w:t>
      </w:r>
    </w:p>
    <w:p>
      <w:pPr>
        <w:pStyle w:val="13"/>
        <w:ind w:firstLine="480"/>
        <w:rPr>
          <w:rFonts w:hint="eastAsia" w:eastAsia="宋体"/>
        </w:rPr>
      </w:pPr>
    </w:p>
    <w:p>
      <w:pPr>
        <w:widowControl/>
        <w:snapToGrid w:val="0"/>
        <w:spacing w:line="288" w:lineRule="auto"/>
        <w:rPr>
          <w:rFonts w:hint="eastAsia" w:ascii="宋体" w:hAnsi="宋体" w:eastAsia="宋体" w:cs="宋体"/>
          <w:b/>
          <w:bCs/>
        </w:rPr>
      </w:pPr>
      <w:r>
        <w:rPr>
          <w:rFonts w:hint="eastAsia" w:ascii="宋体" w:hAnsi="宋体" w:eastAsia="宋体" w:cs="宋体"/>
          <w:b/>
          <w:bCs/>
        </w:rPr>
        <w:t>十六、解决合同纠纷的方式</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rPr>
        <w:t>1、合同双方本着诚实、公平合理的原则协商解决，协商仍不能达成共识，向甲方所在地的人民法院提起诉讼。</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rPr>
        <w:t>2、在诉讼期间，合同未发生争议部分应当继续履行。</w:t>
      </w:r>
    </w:p>
    <w:p>
      <w:pPr>
        <w:widowControl/>
        <w:snapToGrid w:val="0"/>
        <w:spacing w:line="288" w:lineRule="auto"/>
        <w:rPr>
          <w:rFonts w:hint="eastAsia" w:ascii="宋体" w:hAnsi="宋体" w:eastAsia="宋体" w:cs="宋体"/>
          <w:b/>
          <w:bCs/>
        </w:rPr>
      </w:pPr>
      <w:r>
        <w:rPr>
          <w:rFonts w:hint="eastAsia" w:ascii="宋体" w:hAnsi="宋体" w:eastAsia="宋体" w:cs="宋体"/>
          <w:b/>
          <w:bCs/>
        </w:rPr>
        <w:t>十七、其它</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rPr>
        <w:t>1、乙方保证合同中提供的电话、传真、开户银行、账号等信息准确无误。否则造成的责任及损失由乙方承担。</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rPr>
        <w:t>2、本合同文本一式四份，甲方执三份、乙方执一份。</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rPr>
        <w:t>3、本合同自甲、乙双方签字、盖章之日起生效，双方如有未尽事宜，可友好协商解决。</w:t>
      </w:r>
    </w:p>
    <w:p>
      <w:pPr>
        <w:widowControl/>
        <w:snapToGrid w:val="0"/>
        <w:spacing w:line="288" w:lineRule="auto"/>
        <w:ind w:firstLine="420" w:firstLineChars="200"/>
        <w:rPr>
          <w:rFonts w:hint="eastAsia" w:ascii="宋体" w:hAnsi="宋体" w:eastAsia="宋体" w:cs="宋体"/>
        </w:rPr>
      </w:pPr>
      <w:r>
        <w:rPr>
          <w:rFonts w:hint="eastAsia" w:ascii="宋体" w:hAnsi="宋体" w:eastAsia="宋体" w:cs="宋体"/>
        </w:rPr>
        <w:t>4、本合同附《廉洁协议书》作为合同组成部分与本合同具有同等法律效力</w:t>
      </w:r>
    </w:p>
    <w:p>
      <w:pPr>
        <w:pStyle w:val="13"/>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3"/>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3"/>
        <w:rPr>
          <w:rFonts w:hint="eastAsia" w:ascii="宋体" w:hAnsi="宋体" w:eastAsia="宋体" w:cs="宋体"/>
        </w:rPr>
      </w:pPr>
    </w:p>
    <w:p>
      <w:pPr>
        <w:pStyle w:val="14"/>
        <w:ind w:left="0" w:leftChars="0" w:firstLine="0" w:firstLineChars="0"/>
        <w:rPr>
          <w:rFonts w:hint="eastAsia" w:eastAsia="宋体"/>
          <w:lang w:eastAsia="zh-CN"/>
        </w:rPr>
      </w:pPr>
      <w:r>
        <w:rPr>
          <w:rFonts w:hint="eastAsia" w:ascii="宋体" w:hAnsi="宋体" w:eastAsia="宋体" w:cs="宋体"/>
          <w:lang w:eastAsia="zh-CN"/>
        </w:rPr>
        <w:br w:type="page"/>
      </w:r>
      <w:r>
        <w:rPr>
          <w:rFonts w:hint="eastAsia" w:ascii="宋体" w:hAnsi="宋体" w:eastAsia="宋体" w:cs="宋体"/>
          <w:lang w:eastAsia="zh-CN"/>
        </w:rPr>
        <w:t>此页无正文</w:t>
      </w:r>
    </w:p>
    <w:p>
      <w:pPr>
        <w:pStyle w:val="13"/>
        <w:rPr>
          <w:rFonts w:hint="eastAsia"/>
        </w:rPr>
      </w:pPr>
    </w:p>
    <w:tbl>
      <w:tblPr>
        <w:tblStyle w:val="41"/>
        <w:tblW w:w="0" w:type="auto"/>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0" w:type="dxa"/>
          <w:bottom w:w="0" w:type="dxa"/>
          <w:right w:w="0" w:type="dxa"/>
        </w:tblCellMar>
      </w:tblPr>
      <w:tblGrid>
        <w:gridCol w:w="4426"/>
        <w:gridCol w:w="4655"/>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0" w:type="dxa"/>
            <w:bottom w:w="0" w:type="dxa"/>
            <w:right w:w="0" w:type="dxa"/>
          </w:tblCellMar>
        </w:tblPrEx>
        <w:trPr>
          <w:trHeight w:val="248" w:hRule="atLeast"/>
        </w:trPr>
        <w:tc>
          <w:tcPr>
            <w:tcW w:w="4426" w:type="dxa"/>
            <w:tcBorders>
              <w:bottom w:val="single" w:color="auto" w:sz="4" w:space="0"/>
            </w:tcBorders>
            <w:noWrap w:val="0"/>
            <w:vAlign w:val="center"/>
          </w:tcPr>
          <w:p>
            <w:pPr>
              <w:spacing w:line="360" w:lineRule="auto"/>
              <w:rPr>
                <w:rFonts w:hint="eastAsia" w:ascii="宋体" w:hAnsi="宋体" w:eastAsia="宋体" w:cs="宋体"/>
                <w:lang w:val="en-US" w:eastAsia="zh-CN"/>
              </w:rPr>
            </w:pPr>
            <w:r>
              <w:rPr>
                <w:rFonts w:hint="eastAsia" w:ascii="宋体" w:hAnsi="宋体" w:eastAsia="宋体" w:cs="宋体"/>
                <w:lang w:val="en-US" w:eastAsia="zh-CN"/>
              </w:rPr>
              <w:t>甲    方</w:t>
            </w:r>
          </w:p>
        </w:tc>
        <w:tc>
          <w:tcPr>
            <w:tcW w:w="4655" w:type="dxa"/>
            <w:tcBorders>
              <w:bottom w:val="single" w:color="auto" w:sz="4" w:space="0"/>
            </w:tcBorders>
            <w:noWrap w:val="0"/>
            <w:vAlign w:val="center"/>
          </w:tcPr>
          <w:p>
            <w:pPr>
              <w:spacing w:line="360" w:lineRule="auto"/>
              <w:rPr>
                <w:rFonts w:hint="eastAsia" w:ascii="宋体" w:hAnsi="宋体" w:eastAsia="宋体" w:cs="宋体"/>
                <w:lang w:eastAsia="zh-CN"/>
              </w:rPr>
            </w:pPr>
            <w:r>
              <w:rPr>
                <w:rFonts w:hint="eastAsia" w:ascii="宋体" w:hAnsi="宋体" w:eastAsia="宋体" w:cs="宋体"/>
                <w:lang w:val="en-US" w:eastAsia="zh-CN"/>
              </w:rPr>
              <w:t>乙    方</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0" w:type="dxa"/>
            <w:bottom w:w="0" w:type="dxa"/>
            <w:right w:w="0" w:type="dxa"/>
          </w:tblCellMar>
        </w:tblPrEx>
        <w:trPr>
          <w:trHeight w:val="3284" w:hRule="atLeast"/>
        </w:trPr>
        <w:tc>
          <w:tcPr>
            <w:tcW w:w="4426" w:type="dxa"/>
            <w:tcBorders>
              <w:top w:val="single" w:color="auto" w:sz="4" w:space="0"/>
              <w:bottom w:val="single" w:color="auto" w:sz="12" w:space="0"/>
            </w:tcBorders>
            <w:noWrap w:val="0"/>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b/>
                <w:bCs/>
              </w:rPr>
              <w:t>单位名称（</w:t>
            </w:r>
            <w:r>
              <w:rPr>
                <w:rFonts w:hint="eastAsia" w:ascii="宋体" w:hAnsi="宋体" w:eastAsia="宋体" w:cs="宋体"/>
                <w:b/>
                <w:bCs/>
                <w:lang w:eastAsia="zh-CN"/>
              </w:rPr>
              <w:t>公</w:t>
            </w:r>
            <w:r>
              <w:rPr>
                <w:rFonts w:hint="eastAsia" w:ascii="宋体" w:hAnsi="宋体" w:eastAsia="宋体" w:cs="宋体"/>
                <w:b/>
                <w:bCs/>
              </w:rPr>
              <w:t>章）：</w:t>
            </w:r>
            <w:r>
              <w:rPr>
                <w:rFonts w:hint="eastAsia" w:ascii="宋体" w:hAnsi="宋体" w:eastAsia="宋体" w:cs="宋体"/>
              </w:rPr>
              <w:t>新疆维吾尔自治区生态环境保护综合行政执法局</w:t>
            </w:r>
          </w:p>
          <w:p>
            <w:pPr>
              <w:keepNext w:val="0"/>
              <w:keepLines w:val="0"/>
              <w:pageBreakBefore w:val="0"/>
              <w:widowControl/>
              <w:suppressLineNumbers w:val="0"/>
              <w:kinsoku/>
              <w:wordWrap/>
              <w:overflowPunct/>
              <w:topLinePunct w:val="0"/>
              <w:autoSpaceDE/>
              <w:autoSpaceDN/>
              <w:bidi w:val="0"/>
              <w:adjustRightInd/>
              <w:snapToGrid/>
              <w:spacing w:line="100" w:lineRule="exact"/>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lang w:val="en-US" w:eastAsia="zh-CN"/>
              </w:rPr>
            </w:pPr>
            <w:r>
              <w:rPr>
                <w:rFonts w:hint="eastAsia" w:ascii="宋体" w:hAnsi="宋体" w:eastAsia="宋体" w:cs="宋体"/>
                <w:b/>
                <w:bCs/>
                <w:color w:val="000000"/>
                <w:kern w:val="0"/>
                <w:sz w:val="24"/>
                <w:szCs w:val="24"/>
                <w:lang w:val="en-US" w:eastAsia="zh-CN" w:bidi="ar"/>
              </w:rPr>
              <w:t>法人或授权代表签字：</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b w:val="0"/>
                <w:bCs w:val="0"/>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项目联系人：</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宋体"/>
                <w:b w:val="0"/>
                <w:bCs w:val="0"/>
                <w:lang w:val="en-US" w:eastAsia="zh-CN"/>
              </w:rPr>
            </w:pPr>
          </w:p>
          <w:p>
            <w:pPr>
              <w:pStyle w:val="13"/>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b w:val="0"/>
                <w:bCs w:val="0"/>
                <w:lang w:val="en-US"/>
              </w:rPr>
            </w:pPr>
            <w:r>
              <w:rPr>
                <w:rFonts w:hint="eastAsia" w:ascii="宋体" w:hAnsi="宋体" w:eastAsia="宋体" w:cs="宋体"/>
                <w:b w:val="0"/>
                <w:bCs w:val="0"/>
                <w:lang w:val="en-US" w:eastAsia="zh-CN"/>
              </w:rPr>
              <w:t>联系电话：</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eastAsia="宋体" w:cs="宋体"/>
                <w:b w:val="0"/>
                <w:bCs w:val="0"/>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rPr>
            </w:pPr>
            <w:r>
              <w:rPr>
                <w:rFonts w:hint="eastAsia" w:ascii="宋体" w:hAnsi="宋体" w:eastAsia="宋体" w:cs="宋体"/>
                <w:b w:val="0"/>
                <w:bCs w:val="0"/>
              </w:rPr>
              <w:t>开户行：</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宋体"/>
                <w:b w:val="0"/>
                <w:bCs w:val="0"/>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rPr>
            </w:pPr>
            <w:r>
              <w:rPr>
                <w:rFonts w:hint="eastAsia" w:ascii="宋体" w:hAnsi="宋体" w:eastAsia="宋体" w:cs="宋体"/>
                <w:b w:val="0"/>
                <w:bCs w:val="0"/>
              </w:rPr>
              <w:t>账号：</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宋体"/>
                <w:b w:val="0"/>
                <w:bCs w:val="0"/>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rPr>
            </w:pPr>
            <w:r>
              <w:rPr>
                <w:rFonts w:hint="eastAsia" w:ascii="宋体" w:hAnsi="宋体" w:eastAsia="宋体" w:cs="宋体"/>
                <w:b w:val="0"/>
                <w:bCs w:val="0"/>
              </w:rPr>
              <w:t>纳税人识别号：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lang w:eastAsia="zh-CN"/>
              </w:rPr>
            </w:pPr>
          </w:p>
          <w:p>
            <w:pPr>
              <w:pStyle w:val="13"/>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eastAsia="宋体"/>
                <w:b w:val="0"/>
                <w:bCs w:val="0"/>
                <w:lang w:val="en-US" w:eastAsia="zh-CN"/>
              </w:rPr>
            </w:pPr>
            <w:r>
              <w:rPr>
                <w:rFonts w:hint="eastAsia" w:ascii="宋体" w:hAnsi="宋体" w:eastAsia="宋体" w:cs="宋体"/>
                <w:b w:val="0"/>
                <w:bCs w:val="0"/>
                <w:lang w:eastAsia="zh-CN"/>
              </w:rPr>
              <w:t>签订日期：</w:t>
            </w:r>
            <w:r>
              <w:rPr>
                <w:rFonts w:hint="eastAsia" w:ascii="宋体" w:hAnsi="宋体" w:eastAsia="宋体" w:cs="宋体"/>
                <w:b w:val="0"/>
                <w:bCs w:val="0"/>
                <w:lang w:val="en-US" w:eastAsia="zh-CN"/>
              </w:rPr>
              <w:t xml:space="preserve">    年  月   日</w:t>
            </w:r>
          </w:p>
          <w:p>
            <w:pPr>
              <w:spacing w:line="360" w:lineRule="auto"/>
              <w:rPr>
                <w:rFonts w:hint="eastAsia" w:ascii="宋体" w:hAnsi="宋体" w:eastAsia="宋体" w:cs="宋体"/>
                <w:lang w:val="en-US" w:eastAsia="zh-CN"/>
              </w:rPr>
            </w:pPr>
          </w:p>
        </w:tc>
        <w:tc>
          <w:tcPr>
            <w:tcW w:w="4655" w:type="dxa"/>
            <w:tcBorders>
              <w:top w:val="single" w:color="auto" w:sz="4" w:space="0"/>
              <w:bottom w:val="single" w:color="auto" w:sz="12" w:space="0"/>
            </w:tcBorders>
            <w:noWrap w:val="0"/>
            <w:vAlign w:val="top"/>
          </w:tcPr>
          <w:p>
            <w:pPr>
              <w:spacing w:line="360" w:lineRule="auto"/>
              <w:rPr>
                <w:rFonts w:hint="eastAsia"/>
                <w:b/>
                <w:bCs/>
              </w:rPr>
            </w:pPr>
            <w:r>
              <w:rPr>
                <w:rFonts w:hint="eastAsia"/>
                <w:b/>
                <w:bCs/>
              </w:rPr>
              <w:t>单位名称（</w:t>
            </w:r>
            <w:r>
              <w:rPr>
                <w:rFonts w:hint="eastAsia"/>
                <w:b/>
                <w:bCs/>
                <w:lang w:eastAsia="zh-CN"/>
              </w:rPr>
              <w:t>公</w:t>
            </w:r>
            <w:r>
              <w:rPr>
                <w:rFonts w:hint="eastAsia"/>
                <w:b/>
                <w:bCs/>
              </w:rPr>
              <w:t>章）：</w:t>
            </w:r>
          </w:p>
          <w:p>
            <w:pPr>
              <w:spacing w:line="360" w:lineRule="auto"/>
              <w:rPr>
                <w:rFonts w:hint="eastAsia" w:ascii="Times New Roman" w:hAnsi="Times New Roman" w:eastAsia="Times New Roman"/>
                <w:lang w:val="en-US" w:eastAsia="zh-CN"/>
              </w:rPr>
            </w:pPr>
            <w:r>
              <w:rPr>
                <w:rFonts w:hint="eastAsia" w:ascii="Times New Roman" w:hAnsi="Times New Roman" w:eastAsia="Times New Roman"/>
                <w:lang w:val="en-US" w:eastAsia="zh-CN"/>
              </w:rPr>
              <w:t>统一</w:t>
            </w:r>
            <w:r>
              <w:rPr>
                <w:rFonts w:hint="eastAsia"/>
                <w:lang w:val="en-US" w:eastAsia="zh-CN"/>
              </w:rPr>
              <w:t>社会</w:t>
            </w:r>
            <w:r>
              <w:rPr>
                <w:rFonts w:hint="eastAsia" w:ascii="Times New Roman" w:hAnsi="Times New Roman" w:eastAsia="Times New Roman"/>
                <w:lang w:val="en-US" w:eastAsia="zh-CN"/>
              </w:rPr>
              <w:t>信用代码：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b/>
                <w:bCs/>
              </w:rPr>
            </w:pPr>
            <w:r>
              <w:rPr>
                <w:rFonts w:hint="eastAsia"/>
                <w:b/>
                <w:bCs/>
                <w:lang w:val="en-US" w:eastAsia="zh-CN"/>
              </w:rPr>
              <w:t>法人或授权代表签字：</w:t>
            </w: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lang w:val="en-US" w:eastAsia="zh-CN"/>
              </w:rPr>
            </w:pPr>
          </w:p>
          <w:p>
            <w:pPr>
              <w:spacing w:line="360" w:lineRule="auto"/>
              <w:rPr>
                <w:rFonts w:hint="eastAsia" w:ascii="Times New Roman" w:hAnsi="Times New Roman" w:eastAsia="Times New Roman"/>
                <w:lang w:val="en-US" w:eastAsia="zh-CN"/>
              </w:rPr>
            </w:pPr>
            <w:r>
              <w:rPr>
                <w:rFonts w:hint="eastAsia" w:ascii="Times New Roman" w:hAnsi="Times New Roman" w:eastAsia="Times New Roman"/>
                <w:lang w:val="en-US" w:eastAsia="zh-CN"/>
              </w:rPr>
              <w:t>项目联系人：</w:t>
            </w:r>
          </w:p>
          <w:p>
            <w:pPr>
              <w:spacing w:line="360" w:lineRule="auto"/>
              <w:rPr>
                <w:rFonts w:hint="eastAsia" w:ascii="Times New Roman" w:hAnsi="Times New Roman" w:eastAsia="Times New Roman"/>
                <w:lang w:val="en-US" w:eastAsia="zh-CN"/>
              </w:rPr>
            </w:pPr>
            <w:r>
              <w:rPr>
                <w:rFonts w:hint="eastAsia" w:ascii="Times New Roman" w:hAnsi="Times New Roman" w:eastAsia="Times New Roman"/>
                <w:lang w:val="en-US" w:eastAsia="zh-CN"/>
              </w:rPr>
              <w:t>单位地址：</w:t>
            </w:r>
          </w:p>
          <w:p>
            <w:pPr>
              <w:spacing w:line="360" w:lineRule="auto"/>
              <w:rPr>
                <w:rFonts w:hint="default"/>
                <w:lang w:val="en-US" w:eastAsia="zh-CN"/>
              </w:rPr>
            </w:pPr>
            <w:r>
              <w:rPr>
                <w:rFonts w:hint="eastAsia"/>
                <w:lang w:val="en-US" w:eastAsia="zh-CN"/>
              </w:rPr>
              <w:t>电话：</w:t>
            </w:r>
          </w:p>
          <w:p>
            <w:pPr>
              <w:spacing w:line="360" w:lineRule="auto"/>
              <w:rPr>
                <w:rFonts w:hint="eastAsia"/>
                <w:lang w:val="en-US" w:eastAsia="zh-CN"/>
              </w:rPr>
            </w:pPr>
            <w:r>
              <w:rPr>
                <w:rFonts w:hint="eastAsia"/>
                <w:lang w:val="en-US" w:eastAsia="zh-CN"/>
              </w:rPr>
              <w:t>传真：</w:t>
            </w:r>
          </w:p>
          <w:p>
            <w:pPr>
              <w:spacing w:line="360" w:lineRule="auto"/>
              <w:rPr>
                <w:rFonts w:hint="eastAsia"/>
                <w:lang w:val="en-US" w:eastAsia="zh-CN"/>
              </w:rPr>
            </w:pPr>
            <w:r>
              <w:rPr>
                <w:rFonts w:hint="eastAsia"/>
              </w:rPr>
              <w:t>开户行：</w:t>
            </w:r>
          </w:p>
          <w:p>
            <w:pPr>
              <w:spacing w:line="360" w:lineRule="auto"/>
              <w:rPr>
                <w:rFonts w:hint="eastAsia"/>
              </w:rPr>
            </w:pPr>
            <w:r>
              <w:rPr>
                <w:rFonts w:hint="eastAsia"/>
              </w:rPr>
              <w:t>银行账号：</w:t>
            </w:r>
          </w:p>
          <w:p>
            <w:pPr>
              <w:spacing w:line="360" w:lineRule="auto"/>
              <w:rPr>
                <w:rFonts w:hint="eastAsia"/>
              </w:rPr>
            </w:pPr>
            <w:r>
              <w:rPr>
                <w:rFonts w:hint="eastAsia"/>
              </w:rPr>
              <w:t>税号：</w:t>
            </w:r>
          </w:p>
          <w:p>
            <w:pPr>
              <w:spacing w:line="360" w:lineRule="auto"/>
              <w:rPr>
                <w:rFonts w:hint="eastAsia"/>
              </w:rPr>
            </w:pPr>
            <w:r>
              <w:rPr>
                <w:rFonts w:hint="eastAsia"/>
              </w:rPr>
              <w:t>纳税人识别号：</w:t>
            </w:r>
          </w:p>
          <w:p>
            <w:pPr>
              <w:pStyle w:val="13"/>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eastAsia="宋体"/>
                <w:lang w:eastAsia="zh-CN"/>
              </w:rPr>
            </w:pPr>
            <w:r>
              <w:rPr>
                <w:rFonts w:hint="eastAsia" w:ascii="宋体" w:hAnsi="宋体" w:eastAsia="宋体" w:cs="宋体"/>
                <w:lang w:eastAsia="zh-CN"/>
              </w:rPr>
              <w:t>签订日期：</w:t>
            </w:r>
            <w:r>
              <w:rPr>
                <w:rFonts w:hint="eastAsia" w:ascii="宋体" w:hAnsi="宋体" w:eastAsia="宋体" w:cs="宋体"/>
                <w:lang w:val="en-US" w:eastAsia="zh-CN"/>
              </w:rPr>
              <w:t xml:space="preserve">    年  月   日</w:t>
            </w:r>
          </w:p>
        </w:tc>
      </w:tr>
    </w:tbl>
    <w:p>
      <w:pPr>
        <w:pStyle w:val="13"/>
        <w:ind w:firstLine="480"/>
        <w:rPr>
          <w:rFonts w:ascii="宋体" w:hAnsi="宋体" w:eastAsia="宋体" w:cs="宋体"/>
        </w:rPr>
      </w:pPr>
    </w:p>
    <w:p>
      <w:pP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附件1</w:t>
      </w:r>
    </w:p>
    <w:p>
      <w:pPr>
        <w:spacing w:line="440" w:lineRule="exact"/>
        <w:jc w:val="center"/>
        <w:rPr>
          <w:rFonts w:hint="eastAsia" w:ascii="宋体" w:hAnsi="宋体" w:eastAsia="宋体" w:cs="宋体"/>
          <w:b/>
        </w:rPr>
      </w:pPr>
      <w:r>
        <w:rPr>
          <w:rFonts w:hint="eastAsia" w:ascii="宋体" w:hAnsi="宋体" w:eastAsia="宋体" w:cs="宋体"/>
          <w:b/>
        </w:rPr>
        <w:t>购销廉洁协议书</w:t>
      </w:r>
    </w:p>
    <w:p>
      <w:pPr>
        <w:spacing w:line="360" w:lineRule="auto"/>
        <w:rPr>
          <w:rFonts w:hint="eastAsia" w:ascii="宋体" w:hAnsi="宋体" w:eastAsia="宋体" w:cs="宋体"/>
        </w:rPr>
      </w:pPr>
      <w:r>
        <w:rPr>
          <w:rFonts w:hint="eastAsia" w:ascii="宋体" w:hAnsi="宋体" w:eastAsia="宋体" w:cs="宋体"/>
        </w:rPr>
        <w:t>为了进一步加强党风廉政建设，预防业务活动中不规范和违纪违法行为的发生，根据上级有关法律法规和单位行风建设规章制度，（甲方）</w:t>
      </w:r>
      <w:r>
        <w:rPr>
          <w:rFonts w:hint="eastAsia" w:ascii="宋体" w:hAnsi="宋体" w:eastAsia="宋体" w:cs="宋体"/>
          <w:u w:val="single"/>
          <w:lang w:val="en-US" w:eastAsia="zh-CN"/>
        </w:rPr>
        <w:t xml:space="preserve">        </w:t>
      </w:r>
      <w:r>
        <w:rPr>
          <w:rFonts w:hint="eastAsia" w:ascii="宋体" w:hAnsi="宋体" w:cs="宋体"/>
          <w:u w:val="single"/>
          <w:lang w:val="en-US" w:eastAsia="zh-CN"/>
        </w:rPr>
        <w:t xml:space="preserve">         </w:t>
      </w:r>
      <w:r>
        <w:rPr>
          <w:rFonts w:hint="eastAsia" w:ascii="宋体" w:hAnsi="宋体" w:eastAsia="宋体" w:cs="宋体"/>
        </w:rPr>
        <w:t>（乙方）</w:t>
      </w:r>
      <w:r>
        <w:rPr>
          <w:rFonts w:hint="eastAsia" w:ascii="宋体" w:hAnsi="宋体" w:eastAsia="宋体" w:cs="宋体"/>
          <w:u w:val="single"/>
          <w:lang w:val="en-US" w:eastAsia="zh-CN"/>
        </w:rPr>
        <w:t xml:space="preserve">   </w:t>
      </w:r>
      <w:r>
        <w:rPr>
          <w:rFonts w:hint="eastAsia" w:ascii="宋体" w:hAnsi="宋体" w:cs="宋体"/>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rPr>
        <w:t>特订立如下协议。</w:t>
      </w:r>
    </w:p>
    <w:p>
      <w:pPr>
        <w:spacing w:line="420" w:lineRule="exact"/>
        <w:ind w:firstLine="420" w:firstLineChars="200"/>
        <w:rPr>
          <w:rFonts w:hint="eastAsia" w:ascii="宋体" w:hAnsi="宋体" w:eastAsia="宋体" w:cs="宋体"/>
        </w:rPr>
      </w:pPr>
      <w:r>
        <w:rPr>
          <w:rFonts w:hint="eastAsia" w:ascii="宋体" w:hAnsi="宋体" w:eastAsia="宋体" w:cs="宋体"/>
        </w:rPr>
        <w:t>一、甲乙双方的权利和义务</w:t>
      </w:r>
    </w:p>
    <w:p>
      <w:pPr>
        <w:spacing w:line="420" w:lineRule="exact"/>
        <w:ind w:firstLine="420" w:firstLineChars="200"/>
        <w:rPr>
          <w:rFonts w:hint="eastAsia" w:ascii="宋体" w:hAnsi="宋体" w:eastAsia="宋体" w:cs="宋体"/>
        </w:rPr>
      </w:pPr>
      <w:r>
        <w:rPr>
          <w:rFonts w:hint="eastAsia" w:ascii="宋体" w:hAnsi="宋体" w:eastAsia="宋体" w:cs="宋体"/>
        </w:rPr>
        <w:t>（一）双方严格遵守国家有关法律法规及党风廉政的规定。</w:t>
      </w:r>
    </w:p>
    <w:p>
      <w:pPr>
        <w:pStyle w:val="21"/>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（二）双方的业务活动坚持公开、公正、诚信、透明的原则，不得损害国家、集体和病人的利益，违反行业管理的各项规章制度。</w:t>
      </w:r>
    </w:p>
    <w:p>
      <w:pPr>
        <w:spacing w:line="420" w:lineRule="exact"/>
        <w:ind w:firstLine="420" w:firstLineChars="200"/>
        <w:rPr>
          <w:rFonts w:hint="eastAsia" w:ascii="宋体" w:hAnsi="宋体" w:eastAsia="宋体" w:cs="宋体"/>
        </w:rPr>
      </w:pPr>
      <w:r>
        <w:rPr>
          <w:rFonts w:hint="eastAsia" w:ascii="宋体" w:hAnsi="宋体" w:eastAsia="宋体" w:cs="宋体"/>
        </w:rPr>
        <w:t>（三）发现对方在业务活动中有违反廉政规定的行为，有及时提醒对方纠正的权利和义务。</w:t>
      </w:r>
    </w:p>
    <w:p>
      <w:pPr>
        <w:spacing w:line="420" w:lineRule="exact"/>
        <w:ind w:firstLine="420" w:firstLineChars="200"/>
        <w:rPr>
          <w:rFonts w:hint="eastAsia" w:ascii="宋体" w:hAnsi="宋体" w:eastAsia="宋体" w:cs="宋体"/>
        </w:rPr>
      </w:pPr>
      <w:r>
        <w:rPr>
          <w:rFonts w:hint="eastAsia" w:ascii="宋体" w:hAnsi="宋体" w:eastAsia="宋体" w:cs="宋体"/>
        </w:rPr>
        <w:t>（四）双方承诺严格遵守本协议，自觉接受双方纪检监察审计部门的监督。</w:t>
      </w:r>
    </w:p>
    <w:p>
      <w:pPr>
        <w:spacing w:line="420" w:lineRule="exact"/>
        <w:ind w:firstLine="420" w:firstLineChars="200"/>
        <w:rPr>
          <w:rFonts w:hint="eastAsia" w:ascii="宋体" w:hAnsi="宋体" w:eastAsia="宋体" w:cs="宋体"/>
        </w:rPr>
      </w:pPr>
      <w:r>
        <w:rPr>
          <w:rFonts w:hint="eastAsia" w:ascii="宋体" w:hAnsi="宋体" w:eastAsia="宋体" w:cs="宋体"/>
        </w:rPr>
        <w:t>二、甲方的义务</w:t>
      </w:r>
    </w:p>
    <w:p>
      <w:pPr>
        <w:spacing w:line="420" w:lineRule="exact"/>
        <w:ind w:firstLine="420" w:firstLineChars="200"/>
        <w:rPr>
          <w:rFonts w:hint="eastAsia" w:ascii="宋体" w:hAnsi="宋体" w:eastAsia="宋体" w:cs="宋体"/>
        </w:rPr>
      </w:pPr>
      <w:r>
        <w:rPr>
          <w:rFonts w:hint="eastAsia" w:ascii="宋体" w:hAnsi="宋体" w:eastAsia="宋体" w:cs="宋体"/>
        </w:rPr>
        <w:t>（一）甲方及其工作人员不得索要或接受乙方的钱物。</w:t>
      </w:r>
    </w:p>
    <w:p>
      <w:pPr>
        <w:spacing w:line="420" w:lineRule="exact"/>
        <w:ind w:firstLine="420" w:firstLineChars="200"/>
        <w:rPr>
          <w:rFonts w:hint="eastAsia" w:ascii="宋体" w:hAnsi="宋体" w:eastAsia="宋体" w:cs="宋体"/>
        </w:rPr>
      </w:pPr>
      <w:r>
        <w:rPr>
          <w:rFonts w:hint="eastAsia" w:ascii="宋体" w:hAnsi="宋体" w:eastAsia="宋体" w:cs="宋体"/>
        </w:rPr>
        <w:t>（二）甲方工作人员不得私自接受乙方承担费用的旅游、参观、学习培训等活动。</w:t>
      </w:r>
    </w:p>
    <w:p>
      <w:pPr>
        <w:spacing w:line="420" w:lineRule="exact"/>
        <w:ind w:firstLine="420" w:firstLineChars="200"/>
        <w:rPr>
          <w:rFonts w:hint="eastAsia" w:ascii="宋体" w:hAnsi="宋体" w:eastAsia="宋体" w:cs="宋体"/>
        </w:rPr>
      </w:pPr>
      <w:r>
        <w:rPr>
          <w:rFonts w:hint="eastAsia" w:ascii="宋体" w:hAnsi="宋体" w:eastAsia="宋体" w:cs="宋体"/>
        </w:rPr>
        <w:t>（三）甲方工作人员要秉公办事，不得营私舞弊，不得以权谋私，获得非法利益。</w:t>
      </w:r>
    </w:p>
    <w:p>
      <w:pPr>
        <w:spacing w:line="420" w:lineRule="exact"/>
        <w:ind w:firstLine="420" w:firstLineChars="200"/>
        <w:rPr>
          <w:rFonts w:hint="eastAsia" w:ascii="宋体" w:hAnsi="宋体" w:eastAsia="宋体" w:cs="宋体"/>
        </w:rPr>
      </w:pPr>
      <w:r>
        <w:rPr>
          <w:rFonts w:hint="eastAsia" w:ascii="宋体" w:hAnsi="宋体" w:eastAsia="宋体" w:cs="宋体"/>
        </w:rPr>
        <w:t>三、乙方的承诺</w:t>
      </w:r>
    </w:p>
    <w:p>
      <w:pPr>
        <w:spacing w:line="420" w:lineRule="exact"/>
        <w:ind w:firstLine="420" w:firstLineChars="200"/>
        <w:rPr>
          <w:rFonts w:hint="eastAsia" w:ascii="宋体" w:hAnsi="宋体" w:eastAsia="宋体" w:cs="宋体"/>
        </w:rPr>
      </w:pPr>
      <w:r>
        <w:rPr>
          <w:rFonts w:hint="eastAsia" w:ascii="宋体" w:hAnsi="宋体" w:eastAsia="宋体" w:cs="宋体"/>
        </w:rPr>
        <w:t>1、不以现金、有价证券、实物或变相组织旅游和娱乐活动等形式贿赂本院管理及医务人员。</w:t>
      </w:r>
    </w:p>
    <w:p>
      <w:pPr>
        <w:spacing w:line="420" w:lineRule="exact"/>
        <w:ind w:firstLine="420" w:firstLineChars="200"/>
        <w:rPr>
          <w:rFonts w:hint="eastAsia" w:ascii="宋体" w:hAnsi="宋体" w:eastAsia="宋体" w:cs="宋体"/>
        </w:rPr>
      </w:pPr>
      <w:r>
        <w:rPr>
          <w:rFonts w:hint="eastAsia" w:ascii="宋体" w:hAnsi="宋体" w:eastAsia="宋体" w:cs="宋体"/>
        </w:rPr>
        <w:t>2、不以任何名义为甲方工作人员报销应由个人支付的任何费用。</w:t>
      </w:r>
    </w:p>
    <w:p>
      <w:pPr>
        <w:spacing w:line="420" w:lineRule="exact"/>
        <w:ind w:firstLine="420" w:firstLineChars="200"/>
        <w:rPr>
          <w:rFonts w:hint="eastAsia" w:ascii="宋体" w:hAnsi="宋体" w:eastAsia="宋体" w:cs="宋体"/>
        </w:rPr>
      </w:pPr>
      <w:r>
        <w:rPr>
          <w:rFonts w:hint="eastAsia" w:ascii="宋体" w:hAnsi="宋体" w:eastAsia="宋体" w:cs="宋体"/>
        </w:rPr>
        <w:t>3、不以任何理由安排甲方工作人员参加高消费宴请及娱乐活动。</w:t>
      </w:r>
    </w:p>
    <w:p>
      <w:pPr>
        <w:spacing w:line="420" w:lineRule="exact"/>
        <w:ind w:firstLine="420" w:firstLineChars="200"/>
        <w:rPr>
          <w:rFonts w:hint="eastAsia" w:ascii="宋体" w:hAnsi="宋体" w:eastAsia="宋体" w:cs="宋体"/>
        </w:rPr>
      </w:pPr>
      <w:r>
        <w:rPr>
          <w:rFonts w:hint="eastAsia" w:ascii="宋体" w:hAnsi="宋体" w:eastAsia="宋体" w:cs="宋体"/>
        </w:rPr>
        <w:t>4、不为甲方工作人员及其家属购置或提供通讯工具、交通工具、高档办公用品和一些其他服务。</w:t>
      </w:r>
    </w:p>
    <w:p>
      <w:pPr>
        <w:spacing w:line="420" w:lineRule="exact"/>
        <w:ind w:firstLine="420" w:firstLineChars="200"/>
        <w:rPr>
          <w:rFonts w:hint="eastAsia" w:ascii="宋体" w:hAnsi="宋体" w:eastAsia="宋体" w:cs="宋体"/>
        </w:rPr>
      </w:pPr>
      <w:r>
        <w:rPr>
          <w:rFonts w:hint="eastAsia" w:ascii="宋体" w:hAnsi="宋体" w:eastAsia="宋体" w:cs="宋体"/>
        </w:rPr>
        <w:t>四、违约责任</w:t>
      </w:r>
    </w:p>
    <w:p>
      <w:pPr>
        <w:spacing w:line="420" w:lineRule="exact"/>
        <w:ind w:firstLine="420" w:firstLineChars="200"/>
        <w:rPr>
          <w:rFonts w:hint="eastAsia" w:ascii="宋体" w:hAnsi="宋体" w:eastAsia="宋体" w:cs="宋体"/>
        </w:rPr>
      </w:pPr>
      <w:r>
        <w:rPr>
          <w:rFonts w:hint="eastAsia" w:ascii="宋体" w:hAnsi="宋体" w:eastAsia="宋体" w:cs="宋体"/>
        </w:rPr>
        <w:t>（一）甲方及其工作人员违反本协议，按管理权限，依据有关规定给予党纪、政纪或组织处理；涉嫌犯罪的，移交司法机关追究刑事责任。</w:t>
      </w:r>
    </w:p>
    <w:p>
      <w:pPr>
        <w:spacing w:line="420" w:lineRule="exact"/>
        <w:ind w:firstLine="420" w:firstLineChars="200"/>
        <w:rPr>
          <w:rFonts w:hint="eastAsia" w:ascii="宋体" w:hAnsi="宋体" w:eastAsia="宋体" w:cs="宋体"/>
        </w:rPr>
      </w:pPr>
      <w:r>
        <w:rPr>
          <w:rFonts w:hint="eastAsia" w:ascii="宋体" w:hAnsi="宋体" w:eastAsia="宋体" w:cs="宋体"/>
        </w:rPr>
        <w:t>（二）乙方及其工作人员违反本协议的，按管理权限，依据有关规定，给予相应处分。实施商业贿赂行为的，将被列入商业贿赂不良记录；涉嫌犯罪的，移交司法机关追究刑事责任。同时，甲方有权终止其业务往来。</w:t>
      </w:r>
    </w:p>
    <w:p>
      <w:pPr>
        <w:spacing w:line="360" w:lineRule="auto"/>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spacing w:line="360" w:lineRule="auto"/>
        <w:rPr>
          <w:rFonts w:hint="eastAsia" w:ascii="宋体" w:hAnsi="宋体" w:eastAsia="宋体" w:cs="宋体"/>
        </w:rPr>
      </w:pPr>
      <w:r>
        <w:rPr>
          <w:rFonts w:hint="eastAsia" w:ascii="宋体" w:hAnsi="宋体" w:eastAsia="宋体" w:cs="宋体"/>
        </w:rPr>
        <w:t>附件2：</w:t>
      </w:r>
    </w:p>
    <w:p>
      <w:pPr>
        <w:rPr>
          <w:rFonts w:hint="eastAsia" w:ascii="宋体" w:hAnsi="宋体" w:eastAsia="宋体" w:cs="宋体"/>
          <w:b/>
          <w:bCs/>
        </w:rPr>
      </w:pPr>
    </w:p>
    <w:p>
      <w:pPr>
        <w:spacing w:line="360" w:lineRule="auto"/>
        <w:jc w:val="center"/>
        <w:rPr>
          <w:rFonts w:hint="eastAsia" w:ascii="宋体" w:hAnsi="宋体" w:eastAsia="宋体" w:cs="宋体"/>
          <w:b/>
          <w:bCs/>
        </w:rPr>
      </w:pPr>
      <w:r>
        <w:rPr>
          <w:rFonts w:hint="eastAsia" w:ascii="宋体" w:hAnsi="宋体" w:eastAsia="宋体" w:cs="宋体"/>
          <w:b/>
          <w:bCs/>
        </w:rPr>
        <w:t>设备名称明细表</w:t>
      </w:r>
    </w:p>
    <w:p>
      <w:pPr>
        <w:widowControl/>
        <w:spacing w:line="360" w:lineRule="auto"/>
        <w:rPr>
          <w:rFonts w:hint="eastAsia" w:ascii="宋体" w:hAnsi="宋体" w:eastAsia="宋体" w:cs="宋体"/>
          <w:b/>
          <w:bCs/>
        </w:rPr>
      </w:pPr>
      <w:r>
        <w:rPr>
          <w:rFonts w:hint="eastAsia" w:ascii="宋体" w:hAnsi="宋体" w:eastAsia="宋体" w:cs="宋体"/>
        </w:rPr>
        <w:t>甲方：新疆维吾尔自治区生态环境保护综合行政执法局</w:t>
      </w:r>
    </w:p>
    <w:p>
      <w:pPr>
        <w:widowControl/>
        <w:spacing w:line="360" w:lineRule="auto"/>
        <w:jc w:val="left"/>
        <w:rPr>
          <w:rFonts w:hint="eastAsia" w:ascii="宋体" w:hAnsi="宋体" w:eastAsia="宋体" w:cs="宋体"/>
        </w:rPr>
      </w:pPr>
      <w:r>
        <w:rPr>
          <w:rFonts w:hint="eastAsia" w:ascii="宋体" w:hAnsi="宋体" w:eastAsia="宋体" w:cs="宋体"/>
        </w:rPr>
        <w:t xml:space="preserve">乙方：                                                 </w:t>
      </w:r>
    </w:p>
    <w:p>
      <w:pPr>
        <w:widowControl/>
        <w:spacing w:line="360" w:lineRule="auto"/>
        <w:jc w:val="left"/>
        <w:rPr>
          <w:rFonts w:hint="eastAsia" w:ascii="宋体" w:hAnsi="宋体" w:cs="宋体"/>
          <w:color w:val="auto"/>
          <w:sz w:val="21"/>
          <w:szCs w:val="21"/>
          <w:highlight w:val="none"/>
          <w:lang w:val="en-US" w:eastAsia="zh-CN"/>
        </w:rPr>
      </w:pPr>
      <w:r>
        <w:rPr>
          <w:rFonts w:hint="eastAsia" w:ascii="宋体" w:hAnsi="宋体" w:eastAsia="宋体" w:cs="宋体"/>
        </w:rPr>
        <w:t>项目名称：</w:t>
      </w:r>
      <w:r>
        <w:rPr>
          <w:rFonts w:hint="eastAsia" w:ascii="宋体" w:hAnsi="宋体" w:cs="宋体"/>
          <w:color w:val="auto"/>
          <w:sz w:val="21"/>
          <w:szCs w:val="21"/>
          <w:highlight w:val="none"/>
          <w:lang w:val="en-US" w:eastAsia="zh-CN"/>
        </w:rPr>
        <w:t>新疆维吾尔自治区水生态环境执法装备能力建设项目（一期）</w:t>
      </w:r>
    </w:p>
    <w:p>
      <w:pPr>
        <w:widowControl/>
        <w:spacing w:line="360" w:lineRule="auto"/>
        <w:jc w:val="left"/>
        <w:rPr>
          <w:rFonts w:hint="eastAsia" w:ascii="宋体" w:hAnsi="宋体" w:eastAsia="宋体" w:cs="宋体"/>
          <w:color w:val="000000"/>
        </w:rPr>
      </w:pPr>
      <w:r>
        <w:rPr>
          <w:rFonts w:hint="eastAsia" w:ascii="宋体" w:hAnsi="宋体" w:eastAsia="宋体" w:cs="宋体"/>
          <w:color w:val="000000"/>
        </w:rPr>
        <w:t>（</w:t>
      </w:r>
      <w:r>
        <w:rPr>
          <w:rFonts w:hint="eastAsia" w:ascii="宋体" w:hAnsi="宋体" w:eastAsia="宋体" w:cs="宋体"/>
        </w:rPr>
        <w:t>项目编号：</w:t>
      </w:r>
      <w:r>
        <w:rPr>
          <w:rFonts w:hint="eastAsia" w:ascii="宋体" w:hAnsi="宋体" w:eastAsia="宋体" w:cs="宋体"/>
          <w:szCs w:val="21"/>
          <w:lang w:val="en-US" w:eastAsia="zh-CN"/>
        </w:rPr>
        <w:t xml:space="preserve">             </w:t>
      </w:r>
      <w:r>
        <w:rPr>
          <w:rFonts w:hint="eastAsia" w:ascii="宋体" w:hAnsi="宋体" w:eastAsia="宋体" w:cs="宋体"/>
          <w:color w:val="000000"/>
        </w:rPr>
        <w:t>）</w:t>
      </w:r>
    </w:p>
    <w:p>
      <w:pPr>
        <w:pStyle w:val="13"/>
        <w:ind w:firstLine="0" w:firstLineChars="0"/>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3"/>
        <w:kinsoku/>
        <w:wordWrap/>
        <w:topLinePunct w:val="0"/>
        <w:bidi w:val="0"/>
        <w:spacing w:beforeAutospacing="0" w:afterAutospacing="0" w:line="400" w:lineRule="exact"/>
        <w:ind w:left="0" w:leftChars="0" w:right="0" w:rightChars="0"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第五章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文件格式</w:t>
      </w:r>
    </w:p>
    <w:p>
      <w:pPr>
        <w:rPr>
          <w:rFonts w:hint="eastAsia" w:ascii="宋体" w:hAnsi="宋体" w:eastAsia="宋体" w:cs="宋体"/>
          <w:b/>
          <w:bCs/>
          <w:color w:val="auto"/>
          <w:sz w:val="21"/>
          <w:szCs w:val="21"/>
          <w:highlight w:val="none"/>
        </w:rPr>
      </w:pPr>
    </w:p>
    <w:p>
      <w:pPr>
        <w:pageBreakBefore w:val="0"/>
        <w:kinsoku/>
        <w:topLinePunct w:val="0"/>
        <w:bidi w:val="0"/>
        <w:spacing w:line="400" w:lineRule="exact"/>
        <w:ind w:left="0" w:leftChars="0" w:firstLine="0" w:firstLineChars="0"/>
        <w:jc w:val="center"/>
        <w:outlineLvl w:val="0"/>
        <w:rPr>
          <w:rFonts w:hint="eastAsia" w:ascii="宋体" w:hAnsi="宋体" w:eastAsia="宋体" w:cs="宋体"/>
          <w:b/>
          <w:bCs/>
          <w:sz w:val="21"/>
          <w:szCs w:val="21"/>
        </w:rPr>
      </w:pPr>
      <w:bookmarkStart w:id="52" w:name="_Toc10875"/>
      <w:r>
        <w:rPr>
          <w:rFonts w:hint="eastAsia" w:ascii="宋体" w:hAnsi="宋体" w:eastAsia="宋体" w:cs="宋体"/>
          <w:b/>
          <w:bCs/>
          <w:sz w:val="21"/>
          <w:szCs w:val="21"/>
        </w:rPr>
        <w:t>开标一览表</w:t>
      </w:r>
      <w:bookmarkEnd w:id="52"/>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cs="宋体"/>
          <w:color w:val="000000"/>
          <w:sz w:val="21"/>
          <w:szCs w:val="21"/>
          <w:lang w:eastAsia="zh-CN"/>
        </w:rPr>
        <w:t>供应商名称</w:t>
      </w:r>
      <w:r>
        <w:rPr>
          <w:rFonts w:hint="eastAsia" w:ascii="宋体" w:hAnsi="宋体" w:eastAsia="宋体" w:cs="宋体"/>
          <w:color w:val="000000"/>
          <w:sz w:val="21"/>
          <w:szCs w:val="21"/>
        </w:rPr>
        <w:t>：</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    </w:t>
      </w:r>
      <w:r>
        <w:rPr>
          <w:rFonts w:hint="eastAsia" w:ascii="宋体" w:hAnsi="宋体" w:eastAsia="宋体" w:cs="宋体"/>
          <w:sz w:val="21"/>
          <w:szCs w:val="21"/>
        </w:rPr>
        <w:t xml:space="preserve">   </w:t>
      </w:r>
    </w:p>
    <w:tbl>
      <w:tblPr>
        <w:tblStyle w:val="4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（小写）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供货</w:t>
            </w:r>
            <w:r>
              <w:rPr>
                <w:rFonts w:hint="eastAsia" w:ascii="宋体" w:hAnsi="宋体" w:eastAsia="宋体" w:cs="宋体"/>
                <w:sz w:val="21"/>
                <w:szCs w:val="21"/>
              </w:rPr>
              <w:t>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质量标准</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4、本表须按采购文件要求，单独封装、标识后提交。</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2"/>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u w:val="single"/>
        </w:rPr>
      </w:pPr>
      <w:bookmarkStart w:id="53" w:name="_Toc22719"/>
      <w:r>
        <w:rPr>
          <w:rFonts w:hint="eastAsia" w:ascii="宋体" w:hAnsi="宋体" w:eastAsia="宋体" w:cs="宋体"/>
          <w:color w:val="000000"/>
          <w:sz w:val="21"/>
          <w:szCs w:val="21"/>
        </w:rPr>
        <w:t>投标供应商名称（公章）：</w:t>
      </w:r>
      <w:bookmarkEnd w:id="53"/>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u w:val="single"/>
        </w:rPr>
      </w:pPr>
      <w:bookmarkStart w:id="54" w:name="_Toc13389"/>
      <w:r>
        <w:rPr>
          <w:rFonts w:hint="eastAsia" w:ascii="宋体" w:hAnsi="宋体" w:eastAsia="宋体" w:cs="宋体"/>
          <w:color w:val="000000"/>
          <w:sz w:val="21"/>
          <w:szCs w:val="21"/>
        </w:rPr>
        <w:t>法定代表人或授权代表人（签字）：</w:t>
      </w:r>
      <w:bookmarkEnd w:id="54"/>
    </w:p>
    <w:p>
      <w:pPr>
        <w:pStyle w:val="40"/>
        <w:jc w:val="center"/>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rPr>
        <w:t>日期：</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p>
    <w:p>
      <w:pPr>
        <w:pStyle w:val="50"/>
        <w:rPr>
          <w:rFonts w:hint="eastAsia" w:ascii="宋体" w:hAnsi="宋体" w:eastAsia="宋体" w:cs="宋体"/>
          <w:sz w:val="21"/>
          <w:szCs w:val="21"/>
        </w:rPr>
        <w:sectPr>
          <w:footerReference r:id="rId13" w:type="first"/>
          <w:footerReference r:id="rId12" w:type="default"/>
          <w:pgSz w:w="11907" w:h="16840"/>
          <w:pgMar w:top="1440" w:right="1247" w:bottom="1440" w:left="1361" w:header="851" w:footer="799" w:gutter="0"/>
          <w:pgNumType w:fmt="decimal"/>
          <w:cols w:space="720" w:num="1"/>
          <w:titlePg/>
          <w:docGrid w:type="lines" w:linePitch="409" w:charSpace="0"/>
        </w:sectPr>
      </w:pPr>
    </w:p>
    <w:p>
      <w:pPr>
        <w:pStyle w:val="50"/>
        <w:rPr>
          <w:rFonts w:hint="eastAsia" w:ascii="宋体" w:hAnsi="宋体" w:eastAsia="宋体" w:cs="宋体"/>
          <w:sz w:val="21"/>
          <w:szCs w:val="21"/>
        </w:rPr>
      </w:pPr>
    </w:p>
    <w:p>
      <w:pPr>
        <w:kinsoku/>
        <w:wordWrap/>
        <w:topLinePunct w:val="0"/>
        <w:autoSpaceDE w:val="0"/>
        <w:autoSpaceDN w:val="0"/>
        <w:bidi w:val="0"/>
        <w:adjustRightInd w:val="0"/>
        <w:spacing w:beforeAutospacing="0" w:afterAutospacing="0" w:line="400" w:lineRule="exact"/>
        <w:ind w:left="0" w:leftChars="0" w:right="0" w:rightChars="0"/>
        <w:jc w:val="right"/>
        <w:rPr>
          <w:rFonts w:hint="eastAsia" w:ascii="宋体" w:hAnsi="宋体" w:eastAsia="宋体" w:cs="宋体"/>
          <w:b/>
          <w:color w:val="auto"/>
          <w:spacing w:val="-6"/>
          <w:kern w:val="0"/>
          <w:sz w:val="21"/>
          <w:szCs w:val="21"/>
          <w:highlight w:val="none"/>
          <w:bdr w:val="single" w:color="auto" w:sz="4" w:space="0"/>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pacing w:val="-6"/>
          <w:kern w:val="0"/>
          <w:sz w:val="21"/>
          <w:szCs w:val="21"/>
          <w:highlight w:val="none"/>
          <w:bdr w:val="single" w:color="auto" w:sz="4" w:space="0"/>
        </w:rPr>
        <w:t>正本(或副本)</w:t>
      </w:r>
    </w:p>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p>
    <w:p>
      <w:pPr>
        <w:pStyle w:val="2"/>
        <w:rPr>
          <w:rFonts w:hint="eastAsia" w:ascii="宋体" w:hAnsi="宋体" w:eastAsia="宋体" w:cs="宋体"/>
          <w:b/>
          <w:color w:val="auto"/>
          <w:sz w:val="21"/>
          <w:szCs w:val="21"/>
          <w:highlight w:val="none"/>
        </w:rPr>
      </w:pPr>
    </w:p>
    <w:p>
      <w:pPr>
        <w:rPr>
          <w:rFonts w:hint="eastAsia" w:ascii="宋体" w:hAnsi="宋体" w:eastAsia="宋体" w:cs="宋体"/>
          <w:b/>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w:t>
      </w:r>
    </w:p>
    <w:p>
      <w:pPr>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p>
    <w:p>
      <w:pPr>
        <w:kinsoku/>
        <w:wordWrap/>
        <w:topLinePunct w:val="0"/>
        <w:bidi w:val="0"/>
        <w:spacing w:beforeAutospacing="0" w:afterAutospacing="0"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w:t>
      </w:r>
      <w:r>
        <w:rPr>
          <w:rFonts w:hint="eastAsia" w:ascii="宋体" w:hAnsi="宋体" w:eastAsia="宋体" w:cs="宋体"/>
          <w:b w:val="0"/>
          <w:bCs/>
          <w:color w:val="auto"/>
          <w:sz w:val="21"/>
          <w:szCs w:val="21"/>
          <w:highlight w:val="none"/>
          <w:lang w:eastAsia="zh-CN"/>
        </w:rPr>
        <w:t>得开启</w:t>
      </w:r>
    </w:p>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p>
    <w:p>
      <w:pPr>
        <w:kinsoku/>
        <w:wordWrap/>
        <w:topLinePunct w:val="0"/>
        <w:bidi w:val="0"/>
        <w:spacing w:beforeAutospacing="0" w:afterAutospacing="0" w:line="400" w:lineRule="exact"/>
        <w:ind w:left="0" w:leftChars="0" w:right="0" w:rightChars="0"/>
        <w:rPr>
          <w:rFonts w:hint="eastAsia" w:ascii="宋体" w:hAnsi="宋体" w:eastAsia="宋体" w:cs="宋体"/>
          <w:b/>
          <w:color w:val="auto"/>
          <w:sz w:val="21"/>
          <w:szCs w:val="21"/>
          <w:highlight w:val="none"/>
        </w:rPr>
      </w:pPr>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rPr>
      </w:pPr>
    </w:p>
    <w:p>
      <w:pPr>
        <w:pageBreakBefore w:val="0"/>
        <w:kinsoku/>
        <w:topLinePunct w:val="0"/>
        <w:bidi w:val="0"/>
        <w:spacing w:line="400" w:lineRule="exact"/>
        <w:ind w:left="0" w:lef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目录</w:t>
      </w:r>
    </w:p>
    <w:p>
      <w:pPr>
        <w:spacing w:line="400" w:lineRule="exact"/>
        <w:ind w:firstLine="480" w:firstLineChars="200"/>
        <w:textAlignment w:val="baseline"/>
        <w:rPr>
          <w:rFonts w:hint="eastAsia" w:asciiTheme="minorEastAsia" w:hAnsiTheme="minorEastAsia" w:eastAsiaTheme="minorEastAsia" w:cstheme="minorEastAsia"/>
          <w:sz w:val="24"/>
          <w:szCs w:val="24"/>
        </w:rPr>
      </w:pPr>
      <w:bookmarkStart w:id="55" w:name="_Toc16702"/>
      <w:r>
        <w:rPr>
          <w:rFonts w:hint="eastAsia" w:asciiTheme="minorEastAsia" w:hAnsiTheme="minorEastAsia" w:eastAsiaTheme="minorEastAsia" w:cstheme="minorEastAsia"/>
          <w:sz w:val="24"/>
          <w:szCs w:val="24"/>
        </w:rPr>
        <w:t xml:space="preserve">一、 </w:t>
      </w:r>
      <w:r>
        <w:rPr>
          <w:rFonts w:hint="eastAsia" w:asciiTheme="minorEastAsia" w:hAnsiTheme="minorEastAsia" w:eastAsiaTheme="minorEastAsia" w:cstheme="minorEastAsia"/>
          <w:sz w:val="24"/>
          <w:szCs w:val="24"/>
          <w:lang w:eastAsia="zh-CN"/>
        </w:rPr>
        <w:t>投标函</w:t>
      </w:r>
      <w:r>
        <w:rPr>
          <w:rFonts w:hint="eastAsia" w:asciiTheme="minorEastAsia" w:hAnsiTheme="minorEastAsia" w:eastAsiaTheme="minorEastAsia" w:cstheme="minorEastAsia"/>
          <w:sz w:val="24"/>
          <w:szCs w:val="24"/>
        </w:rPr>
        <w:t>（附件1）</w:t>
      </w:r>
    </w:p>
    <w:p>
      <w:pPr>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二、法定代表人身份证明（附件2）</w:t>
      </w:r>
    </w:p>
    <w:p>
      <w:pPr>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三、法定代表人授权委托书（附件3）</w:t>
      </w:r>
    </w:p>
    <w:p>
      <w:pPr>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四、投标报价表（开标一览表）（附件4）</w:t>
      </w:r>
    </w:p>
    <w:p>
      <w:pPr>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五、商务偏离表（附件5）</w:t>
      </w:r>
    </w:p>
    <w:p>
      <w:pPr>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六、资格证明文件</w:t>
      </w:r>
    </w:p>
    <w:p>
      <w:pPr>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七、类似业绩（附件6）</w:t>
      </w:r>
    </w:p>
    <w:p>
      <w:pPr>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八、技术偏离表（附件7）</w:t>
      </w:r>
    </w:p>
    <w:p>
      <w:pPr>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九、技术部分</w:t>
      </w:r>
    </w:p>
    <w:p>
      <w:pPr>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十、中小微企业证明文件等（如有）（附件11）</w:t>
      </w:r>
    </w:p>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十一、投标人认为有必要提交的其他相关证明材料</w:t>
      </w:r>
    </w:p>
    <w:p>
      <w:pPr>
        <w:rPr>
          <w:rFonts w:ascii="仿宋" w:hAnsi="仿宋" w:eastAsia="仿宋" w:cs="仿宋"/>
          <w:b/>
          <w:sz w:val="24"/>
          <w:szCs w:val="24"/>
        </w:rPr>
      </w:pPr>
      <w:r>
        <w:rPr>
          <w:rFonts w:ascii="仿宋" w:hAnsi="仿宋" w:eastAsia="仿宋" w:cs="仿宋"/>
          <w:b/>
          <w:sz w:val="24"/>
          <w:szCs w:val="24"/>
        </w:rPr>
        <w:br w:type="page"/>
      </w:r>
    </w:p>
    <w:p>
      <w:pPr>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附件1：</w:t>
      </w:r>
    </w:p>
    <w:p>
      <w:pPr>
        <w:spacing w:line="400" w:lineRule="exact"/>
        <w:jc w:val="center"/>
        <w:outlineLvl w:val="1"/>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一、投标函</w:t>
      </w:r>
    </w:p>
    <w:p>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14:textFill>
            <w14:solidFill>
              <w14:schemeClr w14:val="tx1"/>
            </w14:solidFill>
          </w14:textFill>
        </w:rPr>
        <w:t>宏业国际项目管理有限公司</w:t>
      </w:r>
    </w:p>
    <w:p>
      <w:pPr>
        <w:spacing w:line="400" w:lineRule="exact"/>
        <w:ind w:firstLine="396"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根据贵方</w:t>
      </w:r>
      <w:r>
        <w:rPr>
          <w:rFonts w:hint="eastAsia" w:ascii="宋体" w:hAnsi="宋体" w:eastAsia="宋体" w:cs="宋体"/>
          <w:color w:val="000000" w:themeColor="text1"/>
          <w:spacing w:val="-6"/>
          <w:sz w:val="21"/>
          <w:szCs w:val="21"/>
          <w:u w:val="single"/>
          <w14:textFill>
            <w14:solidFill>
              <w14:schemeClr w14:val="tx1"/>
            </w14:solidFill>
          </w14:textFill>
        </w:rPr>
        <w:t xml:space="preserve">                             </w:t>
      </w:r>
      <w:r>
        <w:rPr>
          <w:rFonts w:hint="eastAsia" w:ascii="宋体" w:hAnsi="宋体" w:eastAsia="宋体" w:cs="宋体"/>
          <w:color w:val="000000" w:themeColor="text1"/>
          <w:spacing w:val="-6"/>
          <w:sz w:val="21"/>
          <w:szCs w:val="21"/>
          <w14:textFill>
            <w14:solidFill>
              <w14:schemeClr w14:val="tx1"/>
            </w14:solidFill>
          </w14:textFill>
        </w:rPr>
        <w:t>项目</w:t>
      </w:r>
      <w:r>
        <w:rPr>
          <w:rFonts w:hint="eastAsia" w:ascii="宋体" w:hAnsi="宋体" w:eastAsia="宋体" w:cs="宋体"/>
          <w:color w:val="000000" w:themeColor="text1"/>
          <w:sz w:val="21"/>
          <w:szCs w:val="21"/>
          <w14:textFill>
            <w14:solidFill>
              <w14:schemeClr w14:val="tx1"/>
            </w14:solidFill>
          </w14:textFill>
        </w:rPr>
        <w:t>的</w:t>
      </w:r>
      <w:r>
        <w:rPr>
          <w:rFonts w:hint="eastAsia" w:ascii="宋体" w:hAnsi="宋体" w:eastAsia="宋体" w:cs="宋体"/>
          <w:color w:val="000000" w:themeColor="text1"/>
          <w:spacing w:val="-6"/>
          <w:sz w:val="21"/>
          <w:szCs w:val="21"/>
          <w14:textFill>
            <w14:solidFill>
              <w14:schemeClr w14:val="tx1"/>
            </w14:solidFill>
          </w14:textFill>
        </w:rPr>
        <w:t>招标采购</w:t>
      </w:r>
      <w:r>
        <w:rPr>
          <w:rFonts w:hint="eastAsia" w:ascii="宋体" w:hAnsi="宋体" w:eastAsia="宋体" w:cs="宋体"/>
          <w:color w:val="000000" w:themeColor="text1"/>
          <w:sz w:val="21"/>
          <w:szCs w:val="21"/>
          <w14:textFill>
            <w14:solidFill>
              <w14:schemeClr w14:val="tx1"/>
            </w14:solidFill>
          </w14:textFill>
        </w:rPr>
        <w:t>(项目编号:</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)，正式授权的下述签字人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（姓名和职务）代表供应商</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（投标供应商名称），</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1.投标函</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2.开标一览表</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3.投标报价表</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4.投标保证金</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5.按投标文件要求供应商提交的全部文件</w:t>
      </w:r>
    </w:p>
    <w:p>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据此函，签字人兹宣布同意如下条款：</w:t>
      </w:r>
    </w:p>
    <w:p>
      <w:pPr>
        <w:numPr>
          <w:ilvl w:val="0"/>
          <w:numId w:val="5"/>
        </w:numPr>
        <w:spacing w:line="400" w:lineRule="exact"/>
        <w:ind w:lef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所附投标价格表中规定的应提供和交付的货物投标总报价为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（大写）。</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⑵ 我们将按投标文件的规定履行合同责任和义务。</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⑶ 我们已详细审查全部投标文件，包括修改意见（如有则附）以及全部参考资料和有关附件。我们完全理解并同意放弃对这方面有不明及误解而要求招标方解释和承担责任的权利。</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⑷ 在供应商须知规定的投标有效期内遵循本投标性文件，并在投标须知规定的投标有效期期满之前具有约束力。</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⑸ 如果在规定的投标有效期内撤回投标，我们的投标保证金可被贵方没收。</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⑹ 同意提供贵方可能要求的与本投标有关的任何证据或资料。</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⑺ 我们同意提供按照招标单位可能出示的与其投标有关的一切数据或资料。</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⑻ 我们理解贵方不一定要接受最低报价的投标或收到的任何投标。</w:t>
      </w:r>
    </w:p>
    <w:p>
      <w:pPr>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⑼ 与本投标有关的一切正式往来通讯请寄至：</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传真：</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pPr>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投标供应商名称（公章）：</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法定代表人或授权代表人（签字）：</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日期：</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月</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日</w:t>
      </w: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附件2：</w:t>
      </w:r>
      <w:bookmarkStart w:id="56" w:name="_Toc139965362"/>
    </w:p>
    <w:p>
      <w:pPr>
        <w:spacing w:line="400" w:lineRule="exact"/>
        <w:jc w:val="center"/>
        <w:outlineLvl w:val="1"/>
        <w:rPr>
          <w:rFonts w:hint="eastAsia" w:ascii="宋体" w:hAnsi="宋体" w:eastAsia="宋体" w:cs="宋体"/>
          <w:b/>
          <w:color w:val="000000" w:themeColor="text1"/>
          <w:sz w:val="21"/>
          <w:szCs w:val="21"/>
          <w14:textFill>
            <w14:solidFill>
              <w14:schemeClr w14:val="tx1"/>
            </w14:solidFill>
          </w14:textFill>
        </w:rPr>
      </w:pPr>
      <w:bookmarkStart w:id="57" w:name="_Toc327439494"/>
      <w:r>
        <w:rPr>
          <w:rFonts w:hint="eastAsia" w:ascii="宋体" w:hAnsi="宋体" w:eastAsia="宋体" w:cs="宋体"/>
          <w:b/>
          <w:color w:val="000000" w:themeColor="text1"/>
          <w:sz w:val="21"/>
          <w:szCs w:val="21"/>
          <w14:textFill>
            <w14:solidFill>
              <w14:schemeClr w14:val="tx1"/>
            </w14:solidFill>
          </w14:textFill>
        </w:rPr>
        <w:t>二、法定代表人身份证明</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投标供应商名称：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单位性质：</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成立时间：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经营期限：</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姓名：</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性别：</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年龄：</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职务：</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身份证号码：</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（投标供应商名称）的法定代表人。</w:t>
      </w:r>
    </w:p>
    <w:p>
      <w:pPr>
        <w:spacing w:line="400" w:lineRule="exact"/>
        <w:ind w:firstLine="840" w:firstLineChars="4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特此证明。</w:t>
      </w:r>
    </w:p>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p>
    <w:p>
      <w:pPr>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投标供应商名称（公章）：</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法定代表人（签字或盖章）：</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日期：</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月</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日</w:t>
      </w:r>
    </w:p>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p>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p>
    <w:tbl>
      <w:tblPr>
        <w:tblStyle w:val="41"/>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法定代表人身份证</w:t>
            </w:r>
          </w:p>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复印件正面</w:t>
            </w:r>
          </w:p>
        </w:tc>
        <w:tc>
          <w:tcPr>
            <w:tcW w:w="4610" w:type="dxa"/>
            <w:vAlign w:val="center"/>
          </w:tcPr>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法定代表人身份证</w:t>
            </w:r>
          </w:p>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复印件反面</w:t>
            </w:r>
          </w:p>
        </w:tc>
      </w:tr>
    </w:tbl>
    <w:p>
      <w:pPr>
        <w:spacing w:line="400" w:lineRule="exact"/>
        <w:jc w:val="center"/>
        <w:rPr>
          <w:rFonts w:ascii="仿宋" w:hAnsi="仿宋" w:eastAsia="仿宋" w:cs="仿宋"/>
          <w:b/>
          <w:color w:val="000000" w:themeColor="text1"/>
          <w:sz w:val="24"/>
          <w:szCs w:val="24"/>
          <w14:textFill>
            <w14:solidFill>
              <w14:schemeClr w14:val="tx1"/>
            </w14:solidFill>
          </w14:textFill>
        </w:rPr>
      </w:pPr>
    </w:p>
    <w:p>
      <w:pPr>
        <w:spacing w:line="400" w:lineRule="exact"/>
        <w:jc w:val="center"/>
        <w:rPr>
          <w:rFonts w:ascii="仿宋" w:hAnsi="仿宋" w:eastAsia="仿宋" w:cs="仿宋"/>
          <w:b/>
          <w:color w:val="000000" w:themeColor="text1"/>
          <w:sz w:val="24"/>
          <w:szCs w:val="24"/>
          <w14:textFill>
            <w14:solidFill>
              <w14:schemeClr w14:val="tx1"/>
            </w14:solidFill>
          </w14:textFill>
        </w:rPr>
      </w:pPr>
    </w:p>
    <w:p>
      <w:pPr>
        <w:spacing w:line="400" w:lineRule="exact"/>
        <w:jc w:val="center"/>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附件3：</w:t>
      </w:r>
    </w:p>
    <w:p>
      <w:pPr>
        <w:spacing w:line="400" w:lineRule="exact"/>
        <w:jc w:val="center"/>
        <w:outlineLvl w:val="1"/>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三、法定代表人授权委托书</w:t>
      </w:r>
    </w:p>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p>
      <w:pPr>
        <w:spacing w:line="400" w:lineRule="exact"/>
        <w:ind w:firstLine="420" w:firstLineChars="200"/>
        <w:jc w:val="lef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本授权书声明：我单位的</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（法人代表姓名、职务）代表本单位授权</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jc w:val="lef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（被授权人的姓名、职务）为本单位的合法代理人，就</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项目的投标及合同的执行、完成，以本单位的名义处理一切与之有关的事务。</w:t>
      </w:r>
    </w:p>
    <w:p>
      <w:pPr>
        <w:spacing w:line="400" w:lineRule="exact"/>
        <w:ind w:firstLine="538"/>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本授权书于</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日签字生效，特此声明。</w:t>
      </w:r>
    </w:p>
    <w:p>
      <w:pPr>
        <w:spacing w:line="400" w:lineRule="exact"/>
        <w:ind w:firstLine="538"/>
        <w:jc w:val="left"/>
        <w:rPr>
          <w:rFonts w:hint="eastAsia" w:ascii="宋体" w:hAnsi="宋体" w:eastAsia="宋体" w:cs="宋体"/>
          <w:color w:val="000000" w:themeColor="text1"/>
          <w:sz w:val="21"/>
          <w:szCs w:val="21"/>
          <w14:textFill>
            <w14:solidFill>
              <w14:schemeClr w14:val="tx1"/>
            </w14:solidFill>
          </w14:textFill>
        </w:rPr>
      </w:pPr>
    </w:p>
    <w:p>
      <w:pPr>
        <w:spacing w:line="400" w:lineRule="exact"/>
        <w:ind w:firstLine="538"/>
        <w:jc w:val="left"/>
        <w:rPr>
          <w:rFonts w:hint="eastAsia" w:ascii="宋体" w:hAnsi="宋体" w:eastAsia="宋体" w:cs="宋体"/>
          <w:color w:val="000000" w:themeColor="text1"/>
          <w:sz w:val="21"/>
          <w:szCs w:val="21"/>
          <w14:textFill>
            <w14:solidFill>
              <w14:schemeClr w14:val="tx1"/>
            </w14:solidFill>
          </w14:textFill>
        </w:rPr>
      </w:pPr>
    </w:p>
    <w:p>
      <w:pPr>
        <w:spacing w:line="400" w:lineRule="exact"/>
        <w:ind w:firstLine="437"/>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投标供应商名称（公章）：</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3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法定代表人（签字或盖章）：</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pPr>
        <w:spacing w:line="400" w:lineRule="exact"/>
        <w:ind w:firstLine="437"/>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授权代表人（签字或盖章）：</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日   </w:t>
      </w:r>
    </w:p>
    <w:p>
      <w:pPr>
        <w:spacing w:line="400" w:lineRule="exact"/>
        <w:jc w:val="right"/>
        <w:rPr>
          <w:rFonts w:hint="eastAsia" w:ascii="宋体" w:hAnsi="宋体" w:eastAsia="宋体" w:cs="宋体"/>
          <w:color w:val="000000" w:themeColor="text1"/>
          <w:sz w:val="21"/>
          <w:szCs w:val="21"/>
          <w14:textFill>
            <w14:solidFill>
              <w14:schemeClr w14:val="tx1"/>
            </w14:solidFill>
          </w14:textFill>
        </w:rPr>
      </w:pPr>
    </w:p>
    <w:tbl>
      <w:tblPr>
        <w:tblStyle w:val="41"/>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法定代表人身份证</w:t>
            </w:r>
          </w:p>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复印件（正、反面）</w:t>
            </w:r>
          </w:p>
        </w:tc>
        <w:tc>
          <w:tcPr>
            <w:tcW w:w="4610" w:type="dxa"/>
            <w:vAlign w:val="center"/>
          </w:tcPr>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被授权人身份证</w:t>
            </w:r>
          </w:p>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复印件（正、反面）</w:t>
            </w:r>
          </w:p>
        </w:tc>
      </w:tr>
    </w:tbl>
    <w:p>
      <w:pPr>
        <w:spacing w:line="400" w:lineRule="exact"/>
        <w:rPr>
          <w:rFonts w:hint="eastAsia" w:ascii="宋体" w:hAnsi="宋体" w:eastAsia="宋体" w:cs="宋体"/>
          <w:color w:val="000000" w:themeColor="text1"/>
          <w:spacing w:val="10"/>
          <w:sz w:val="21"/>
          <w:szCs w:val="21"/>
          <w14:textFill>
            <w14:solidFill>
              <w14:schemeClr w14:val="tx1"/>
            </w14:solidFill>
          </w14:textFill>
        </w:rPr>
      </w:pPr>
    </w:p>
    <w:p>
      <w:pPr>
        <w:spacing w:line="400" w:lineRule="exact"/>
        <w:rPr>
          <w:rFonts w:hint="eastAsia" w:ascii="宋体" w:hAnsi="宋体" w:eastAsia="宋体" w:cs="宋体"/>
          <w:color w:val="000000" w:themeColor="text1"/>
          <w:sz w:val="21"/>
          <w:szCs w:val="21"/>
          <w14:textFill>
            <w14:solidFill>
              <w14:schemeClr w14:val="tx1"/>
            </w14:solidFill>
          </w14:textFill>
        </w:rPr>
      </w:pPr>
    </w:p>
    <w:p>
      <w:pPr>
        <w:spacing w:line="400" w:lineRule="exact"/>
        <w:rPr>
          <w:rFonts w:ascii="仿宋" w:hAnsi="仿宋" w:eastAsia="仿宋" w:cs="仿宋"/>
          <w:color w:val="000000" w:themeColor="text1"/>
          <w:sz w:val="24"/>
          <w:szCs w:val="24"/>
          <w14:textFill>
            <w14:solidFill>
              <w14:schemeClr w14:val="tx1"/>
            </w14:solidFill>
          </w14:textFill>
        </w:rPr>
      </w:pPr>
    </w:p>
    <w:p>
      <w:pPr>
        <w:spacing w:line="400" w:lineRule="exact"/>
        <w:rPr>
          <w:rFonts w:ascii="仿宋" w:hAnsi="仿宋" w:eastAsia="仿宋" w:cs="仿宋"/>
          <w:color w:val="000000" w:themeColor="text1"/>
          <w:sz w:val="24"/>
          <w:szCs w:val="24"/>
          <w14:textFill>
            <w14:solidFill>
              <w14:schemeClr w14:val="tx1"/>
            </w14:solidFill>
          </w14:textFill>
        </w:rPr>
      </w:pPr>
    </w:p>
    <w:p>
      <w:pPr>
        <w:spacing w:line="400" w:lineRule="exact"/>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pPr>
        <w:pStyle w:val="39"/>
        <w:ind w:firstLine="240"/>
        <w:rPr>
          <w:color w:val="000000" w:themeColor="text1"/>
          <w14:textFill>
            <w14:solidFill>
              <w14:schemeClr w14:val="tx1"/>
            </w14:solidFill>
          </w14:textFill>
        </w:rPr>
        <w:sectPr>
          <w:pgSz w:w="11906" w:h="16838"/>
          <w:pgMar w:top="1304" w:right="1247" w:bottom="1418" w:left="1247" w:header="851" w:footer="992" w:gutter="0"/>
          <w:pgNumType w:fmt="decimal"/>
          <w:cols w:space="720" w:num="1"/>
          <w:docGrid w:linePitch="312" w:charSpace="0"/>
        </w:sectPr>
      </w:pPr>
    </w:p>
    <w:bookmarkEnd w:id="56"/>
    <w:bookmarkEnd w:id="57"/>
    <w:p>
      <w:pPr>
        <w:spacing w:line="400" w:lineRule="exact"/>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附件4：</w:t>
      </w:r>
    </w:p>
    <w:p>
      <w:pPr>
        <w:pStyle w:val="25"/>
        <w:adjustRightInd w:val="0"/>
        <w:snapToGrid w:val="0"/>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开标一览表</w:t>
      </w:r>
    </w:p>
    <w:p>
      <w:pPr>
        <w:pStyle w:val="25"/>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p>
    <w:p>
      <w:pPr>
        <w:pStyle w:val="25"/>
        <w:adjustRightInd w:val="0"/>
        <w:snapToGrid w:val="0"/>
        <w:spacing w:line="360" w:lineRule="auto"/>
        <w:jc w:val="left"/>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 xml:space="preserve">项目名称： </w:t>
      </w:r>
    </w:p>
    <w:p>
      <w:pPr>
        <w:pStyle w:val="25"/>
        <w:adjustRightInd w:val="0"/>
        <w:snapToGrid w:val="0"/>
        <w:spacing w:line="360" w:lineRule="auto"/>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 xml:space="preserve">项目编号： </w:t>
      </w:r>
    </w:p>
    <w:tbl>
      <w:tblPr>
        <w:tblStyle w:val="41"/>
        <w:tblW w:w="983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496"/>
        <w:gridCol w:w="3645"/>
        <w:gridCol w:w="1740"/>
        <w:gridCol w:w="1460"/>
        <w:gridCol w:w="7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720" w:type="dxa"/>
            <w:vAlign w:val="center"/>
          </w:tcPr>
          <w:p>
            <w:pPr>
              <w:pStyle w:val="25"/>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序号</w:t>
            </w:r>
          </w:p>
        </w:tc>
        <w:tc>
          <w:tcPr>
            <w:tcW w:w="1496" w:type="dxa"/>
            <w:vAlign w:val="center"/>
          </w:tcPr>
          <w:p>
            <w:pPr>
              <w:pStyle w:val="25"/>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货物名称</w:t>
            </w:r>
          </w:p>
        </w:tc>
        <w:tc>
          <w:tcPr>
            <w:tcW w:w="3645" w:type="dxa"/>
            <w:vAlign w:val="center"/>
          </w:tcPr>
          <w:p>
            <w:pPr>
              <w:pStyle w:val="25"/>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投标报价（总价）</w:t>
            </w:r>
          </w:p>
        </w:tc>
        <w:tc>
          <w:tcPr>
            <w:tcW w:w="1740" w:type="dxa"/>
            <w:vAlign w:val="center"/>
          </w:tcPr>
          <w:p>
            <w:pPr>
              <w:pStyle w:val="25"/>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供货期限</w:t>
            </w:r>
          </w:p>
        </w:tc>
        <w:tc>
          <w:tcPr>
            <w:tcW w:w="1460" w:type="dxa"/>
            <w:vAlign w:val="center"/>
          </w:tcPr>
          <w:p>
            <w:pPr>
              <w:pStyle w:val="25"/>
              <w:adjustRightInd w:val="0"/>
              <w:snapToGrid w:val="0"/>
              <w:spacing w:line="360" w:lineRule="auto"/>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质保期</w:t>
            </w:r>
          </w:p>
        </w:tc>
        <w:tc>
          <w:tcPr>
            <w:tcW w:w="771" w:type="dxa"/>
            <w:vAlign w:val="center"/>
          </w:tcPr>
          <w:p>
            <w:pPr>
              <w:pStyle w:val="25"/>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5" w:hRule="atLeast"/>
          <w:jc w:val="center"/>
        </w:trPr>
        <w:tc>
          <w:tcPr>
            <w:tcW w:w="720" w:type="dxa"/>
            <w:vAlign w:val="center"/>
          </w:tcPr>
          <w:p>
            <w:pPr>
              <w:pStyle w:val="25"/>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496" w:type="dxa"/>
            <w:vAlign w:val="center"/>
          </w:tcPr>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p>
        </w:tc>
        <w:tc>
          <w:tcPr>
            <w:tcW w:w="3645" w:type="dxa"/>
            <w:vAlign w:val="center"/>
          </w:tcPr>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大写：       </w:t>
            </w:r>
            <w:r>
              <w:rPr>
                <w:rFonts w:hint="eastAsia" w:ascii="宋体" w:hAnsi="宋体" w:eastAsia="宋体" w:cs="宋体"/>
                <w:color w:val="000000" w:themeColor="text1"/>
                <w:sz w:val="21"/>
                <w:szCs w:val="21"/>
                <w14:textFill>
                  <w14:solidFill>
                    <w14:schemeClr w14:val="tx1"/>
                  </w14:solidFill>
                </w14:textFill>
              </w:rPr>
              <w:t>（元）</w:t>
            </w: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小写：       </w:t>
            </w:r>
            <w:r>
              <w:rPr>
                <w:rFonts w:hint="eastAsia" w:ascii="宋体" w:hAnsi="宋体" w:eastAsia="宋体" w:cs="宋体"/>
                <w:color w:val="000000" w:themeColor="text1"/>
                <w:sz w:val="21"/>
                <w:szCs w:val="21"/>
                <w14:textFill>
                  <w14:solidFill>
                    <w14:schemeClr w14:val="tx1"/>
                  </w14:solidFill>
                </w14:textFill>
              </w:rPr>
              <w:t>（元）</w:t>
            </w:r>
          </w:p>
        </w:tc>
        <w:tc>
          <w:tcPr>
            <w:tcW w:w="1740" w:type="dxa"/>
            <w:vAlign w:val="center"/>
          </w:tcPr>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p>
        </w:tc>
        <w:tc>
          <w:tcPr>
            <w:tcW w:w="1460" w:type="dxa"/>
            <w:vAlign w:val="center"/>
          </w:tcPr>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p>
        </w:tc>
        <w:tc>
          <w:tcPr>
            <w:tcW w:w="771" w:type="dxa"/>
            <w:vAlign w:val="center"/>
          </w:tcPr>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p>
        </w:tc>
      </w:tr>
    </w:tbl>
    <w:p>
      <w:pPr>
        <w:pStyle w:val="25"/>
        <w:adjustRightInd w:val="0"/>
        <w:snapToGrid w:val="0"/>
        <w:spacing w:line="360" w:lineRule="auto"/>
        <w:rPr>
          <w:rFonts w:hint="eastAsia" w:ascii="宋体" w:hAnsi="宋体" w:eastAsia="宋体" w:cs="宋体"/>
          <w:bCs/>
          <w:color w:val="000000" w:themeColor="text1"/>
          <w:sz w:val="24"/>
          <w:szCs w:val="24"/>
          <w14:textFill>
            <w14:solidFill>
              <w14:schemeClr w14:val="tx1"/>
            </w14:solidFill>
          </w14:textFill>
        </w:rPr>
      </w:pPr>
    </w:p>
    <w:p>
      <w:pPr>
        <w:pStyle w:val="25"/>
        <w:adjustRightInd w:val="0"/>
        <w:snapToGrid w:val="0"/>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注: </w:t>
      </w:r>
      <w:r>
        <w:rPr>
          <w:rFonts w:hint="eastAsia" w:ascii="宋体" w:hAnsi="宋体" w:eastAsia="宋体" w:cs="宋体"/>
          <w:b/>
          <w:color w:val="000000" w:themeColor="text1"/>
          <w:sz w:val="21"/>
          <w:szCs w:val="21"/>
          <w14:textFill>
            <w14:solidFill>
              <w14:schemeClr w14:val="tx1"/>
            </w14:solidFill>
          </w14:textFill>
        </w:rPr>
        <w:t>1、此表</w:t>
      </w:r>
      <w:r>
        <w:rPr>
          <w:rFonts w:hint="eastAsia" w:ascii="宋体" w:hAnsi="宋体" w:eastAsia="宋体" w:cs="宋体"/>
          <w:b/>
          <w:color w:val="000000" w:themeColor="text1"/>
          <w:sz w:val="21"/>
          <w:szCs w:val="21"/>
          <w:lang w:eastAsia="zh-CN"/>
          <w14:textFill>
            <w14:solidFill>
              <w14:schemeClr w14:val="tx1"/>
            </w14:solidFill>
          </w14:textFill>
        </w:rPr>
        <w:t>及“分项价格表”</w:t>
      </w:r>
      <w:r>
        <w:rPr>
          <w:rFonts w:hint="eastAsia" w:ascii="宋体" w:hAnsi="宋体" w:eastAsia="宋体" w:cs="宋体"/>
          <w:b/>
          <w:color w:val="000000" w:themeColor="text1"/>
          <w:sz w:val="21"/>
          <w:szCs w:val="21"/>
          <w14:textFill>
            <w14:solidFill>
              <w14:schemeClr w14:val="tx1"/>
            </w14:solidFill>
          </w14:textFill>
        </w:rPr>
        <w:t>需密封后单独提交。</w:t>
      </w:r>
    </w:p>
    <w:p>
      <w:pPr>
        <w:pStyle w:val="25"/>
        <w:adjustRightInd w:val="0"/>
        <w:snapToGrid w:val="0"/>
        <w:spacing w:line="360" w:lineRule="auto"/>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2、报价一经涂改，应在涂改处加盖单位公章或者由法定代表人或授权委托人签字或盖章，否则其投标作无效标处理。</w:t>
      </w:r>
    </w:p>
    <w:p>
      <w:pPr>
        <w:pStyle w:val="25"/>
        <w:adjustRightInd w:val="0"/>
        <w:snapToGrid w:val="0"/>
        <w:spacing w:line="360" w:lineRule="auto"/>
        <w:ind w:left="210" w:firstLine="210" w:firstLineChars="1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3、投标报价应与“分项价格表”中的“投标总价”相一致。</w:t>
      </w: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投标人（盖单位章）：</w:t>
      </w:r>
    </w:p>
    <w:p>
      <w:pPr>
        <w:pStyle w:val="25"/>
        <w:adjustRightInd w:val="0"/>
        <w:snapToGrid w:val="0"/>
        <w:spacing w:line="360" w:lineRule="auto"/>
        <w:rPr>
          <w:rFonts w:hint="eastAsia" w:ascii="宋体" w:hAnsi="宋体" w:eastAsia="宋体" w:cs="宋体"/>
          <w:bCs/>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法定代表人或其委托代理人（</w:t>
      </w:r>
      <w:r>
        <w:rPr>
          <w:rFonts w:hint="eastAsia" w:ascii="宋体" w:hAnsi="宋体" w:eastAsia="宋体" w:cs="宋体"/>
          <w:color w:val="000000" w:themeColor="text1"/>
          <w:sz w:val="21"/>
          <w:szCs w:val="21"/>
          <w14:textFill>
            <w14:solidFill>
              <w14:schemeClr w14:val="tx1"/>
            </w14:solidFill>
          </w14:textFill>
        </w:rPr>
        <w:t>签字或盖章</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pStyle w:val="25"/>
        <w:adjustRightInd w:val="0"/>
        <w:snapToGrid w:val="0"/>
        <w:spacing w:line="360" w:lineRule="auto"/>
        <w:rPr>
          <w:rFonts w:hint="eastAsia" w:ascii="宋体" w:hAnsi="宋体" w:eastAsia="宋体" w:cs="宋体"/>
          <w:b/>
          <w:color w:val="000000" w:themeColor="text1"/>
          <w:sz w:val="21"/>
          <w:szCs w:val="21"/>
          <w14:textFill>
            <w14:solidFill>
              <w14:schemeClr w14:val="tx1"/>
            </w14:solidFill>
          </w14:textFill>
        </w:rPr>
        <w:sectPr>
          <w:pgSz w:w="11906" w:h="16838"/>
          <w:pgMar w:top="1440" w:right="1117" w:bottom="1440" w:left="1117" w:header="851" w:footer="992" w:gutter="0"/>
          <w:pgNumType w:fmt="decimal"/>
          <w:cols w:space="720" w:num="1"/>
          <w:docGrid w:linePitch="312" w:charSpace="0"/>
        </w:sectPr>
      </w:pPr>
      <w:r>
        <w:rPr>
          <w:rFonts w:hint="eastAsia" w:ascii="宋体" w:hAnsi="宋体" w:eastAsia="宋体" w:cs="宋体"/>
          <w:bCs/>
          <w:color w:val="000000" w:themeColor="text1"/>
          <w:sz w:val="21"/>
          <w:szCs w:val="21"/>
          <w14:textFill>
            <w14:solidFill>
              <w14:schemeClr w14:val="tx1"/>
            </w14:solidFill>
          </w14:textFill>
        </w:rPr>
        <w:t xml:space="preserve">日期： </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月</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日</w:t>
      </w:r>
    </w:p>
    <w:p>
      <w:pPr>
        <w:rPr>
          <w:rFonts w:ascii="宋体" w:hAnsi="宋体" w:cs="宋体"/>
          <w:b/>
          <w:bCs/>
          <w:color w:val="000000" w:themeColor="text1"/>
          <w:sz w:val="24"/>
          <w:szCs w:val="24"/>
          <w14:textFill>
            <w14:solidFill>
              <w14:schemeClr w14:val="tx1"/>
            </w14:solidFill>
          </w14:textFill>
        </w:rPr>
      </w:pPr>
    </w:p>
    <w:p>
      <w:pPr>
        <w:pStyle w:val="25"/>
        <w:adjustRightInd w:val="0"/>
        <w:snapToGrid w:val="0"/>
        <w:spacing w:line="360" w:lineRule="auto"/>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分项价格表</w:t>
      </w:r>
    </w:p>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项目名称： </w:t>
      </w:r>
    </w:p>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项目编号：                                                    金额单位：元</w:t>
      </w:r>
    </w:p>
    <w:tbl>
      <w:tblPr>
        <w:tblStyle w:val="41"/>
        <w:tblW w:w="10405" w:type="dxa"/>
        <w:tblInd w:w="-38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34"/>
        <w:gridCol w:w="706"/>
        <w:gridCol w:w="964"/>
        <w:gridCol w:w="896"/>
        <w:gridCol w:w="991"/>
        <w:gridCol w:w="1266"/>
        <w:gridCol w:w="2475"/>
        <w:gridCol w:w="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41" w:type="dxa"/>
            <w:vAlign w:val="center"/>
          </w:tcPr>
          <w:p>
            <w:pPr>
              <w:pStyle w:val="25"/>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534" w:type="dxa"/>
            <w:vAlign w:val="center"/>
          </w:tcPr>
          <w:p>
            <w:pPr>
              <w:pStyle w:val="25"/>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货物名称</w:t>
            </w:r>
          </w:p>
        </w:tc>
        <w:tc>
          <w:tcPr>
            <w:tcW w:w="706" w:type="dxa"/>
            <w:vAlign w:val="center"/>
          </w:tcPr>
          <w:p>
            <w:pPr>
              <w:pStyle w:val="25"/>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单位</w:t>
            </w:r>
          </w:p>
        </w:tc>
        <w:tc>
          <w:tcPr>
            <w:tcW w:w="964" w:type="dxa"/>
            <w:vAlign w:val="center"/>
          </w:tcPr>
          <w:p>
            <w:pPr>
              <w:pStyle w:val="25"/>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数量</w:t>
            </w:r>
          </w:p>
        </w:tc>
        <w:tc>
          <w:tcPr>
            <w:tcW w:w="896" w:type="dxa"/>
            <w:vAlign w:val="center"/>
          </w:tcPr>
          <w:p>
            <w:pPr>
              <w:pStyle w:val="25"/>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单价</w:t>
            </w:r>
          </w:p>
        </w:tc>
        <w:tc>
          <w:tcPr>
            <w:tcW w:w="991" w:type="dxa"/>
            <w:vAlign w:val="center"/>
          </w:tcPr>
          <w:p>
            <w:pPr>
              <w:pStyle w:val="25"/>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合计</w:t>
            </w:r>
          </w:p>
        </w:tc>
        <w:tc>
          <w:tcPr>
            <w:tcW w:w="1266" w:type="dxa"/>
            <w:vAlign w:val="center"/>
          </w:tcPr>
          <w:p>
            <w:pPr>
              <w:pStyle w:val="25"/>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规格/型号</w:t>
            </w:r>
          </w:p>
        </w:tc>
        <w:tc>
          <w:tcPr>
            <w:tcW w:w="2475" w:type="dxa"/>
            <w:vAlign w:val="center"/>
          </w:tcPr>
          <w:p>
            <w:pPr>
              <w:pStyle w:val="25"/>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主要技术参数</w:t>
            </w:r>
          </w:p>
        </w:tc>
        <w:tc>
          <w:tcPr>
            <w:tcW w:w="832" w:type="dxa"/>
            <w:vAlign w:val="center"/>
          </w:tcPr>
          <w:p>
            <w:pPr>
              <w:pStyle w:val="25"/>
              <w:adjustRightInd w:val="0"/>
              <w:snapToGrid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1"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1534"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706"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964"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896"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991"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1266"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2475"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832"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1"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1534"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706"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964"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896"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991"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1266"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2475"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832"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41"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1534"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合计</w:t>
            </w:r>
          </w:p>
        </w:tc>
        <w:tc>
          <w:tcPr>
            <w:tcW w:w="706"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964"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896"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991"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1266" w:type="dxa"/>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2475"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832"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8" w:type="dxa"/>
            <w:gridSpan w:val="7"/>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投标总价：小写：                      大写：                      </w:t>
            </w:r>
          </w:p>
        </w:tc>
        <w:tc>
          <w:tcPr>
            <w:tcW w:w="2475"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c>
          <w:tcPr>
            <w:tcW w:w="832" w:type="dxa"/>
            <w:vAlign w:val="center"/>
          </w:tcPr>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tc>
      </w:tr>
    </w:tbl>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备注：1、上述全部报价均应包括项目实施所需的设备费、包装运输费、装卸费、培训费、管理费、利润、税费及其他一切费用。</w:t>
      </w:r>
    </w:p>
    <w:p>
      <w:pPr>
        <w:pStyle w:val="25"/>
        <w:adjustRightInd w:val="0"/>
        <w:snapToGrid w:val="0"/>
        <w:spacing w:line="360" w:lineRule="auto"/>
        <w:ind w:firstLine="632" w:firstLineChars="300"/>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2、投标企业需根据招标文件第三章的采购需求进行报价，不得缺项、漏项，否则将被视为无效投标。</w:t>
      </w:r>
    </w:p>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p>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投标人（盖单位章）：</w:t>
      </w:r>
    </w:p>
    <w:p>
      <w:pPr>
        <w:pStyle w:val="25"/>
        <w:adjustRightInd w:val="0"/>
        <w:snapToGrid w:val="0"/>
        <w:spacing w:line="36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法定代表人或其委托代理人（签字或盖章）：       </w:t>
      </w:r>
    </w:p>
    <w:p>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日期：         年    月  </w:t>
      </w:r>
      <w:r>
        <w:rPr>
          <w:rFonts w:hint="eastAsia" w:ascii="宋体" w:hAnsi="宋体" w:eastAsia="宋体" w:cs="宋体"/>
          <w:b/>
          <w:color w:val="000000" w:themeColor="text1"/>
          <w:sz w:val="21"/>
          <w:szCs w:val="21"/>
          <w14:textFill>
            <w14:solidFill>
              <w14:schemeClr w14:val="tx1"/>
            </w14:solidFill>
          </w14:textFill>
        </w:rPr>
        <w:br w:type="page"/>
      </w:r>
    </w:p>
    <w:p>
      <w:pPr>
        <w:spacing w:line="40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附件5：</w:t>
      </w:r>
    </w:p>
    <w:p>
      <w:pPr>
        <w:spacing w:line="400" w:lineRule="exact"/>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五、商务偏离表</w:t>
      </w:r>
    </w:p>
    <w:p>
      <w:pPr>
        <w:spacing w:line="400" w:lineRule="exact"/>
        <w:jc w:val="center"/>
        <w:rPr>
          <w:rFonts w:hint="eastAsia" w:ascii="宋体" w:hAnsi="宋体" w:eastAsia="宋体" w:cs="宋体"/>
          <w:b/>
          <w:color w:val="000000" w:themeColor="text1"/>
          <w:sz w:val="24"/>
          <w:szCs w:val="24"/>
          <w14:textFill>
            <w14:solidFill>
              <w14:schemeClr w14:val="tx1"/>
            </w14:solidFill>
          </w14:textFill>
        </w:rPr>
      </w:pPr>
    </w:p>
    <w:tbl>
      <w:tblPr>
        <w:tblStyle w:val="41"/>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序号</w:t>
            </w:r>
          </w:p>
        </w:tc>
        <w:tc>
          <w:tcPr>
            <w:tcW w:w="1983"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招标文件条目号</w:t>
            </w:r>
          </w:p>
        </w:tc>
        <w:tc>
          <w:tcPr>
            <w:tcW w:w="234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招标文件的商务条款</w:t>
            </w:r>
          </w:p>
        </w:tc>
        <w:tc>
          <w:tcPr>
            <w:tcW w:w="2345" w:type="dxa"/>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投标文件的商务条款</w:t>
            </w:r>
          </w:p>
        </w:tc>
        <w:tc>
          <w:tcPr>
            <w:tcW w:w="1274" w:type="dxa"/>
            <w:tcBorders>
              <w:righ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偏离情况</w:t>
            </w:r>
          </w:p>
        </w:tc>
        <w:tc>
          <w:tcPr>
            <w:tcW w:w="900" w:type="dxa"/>
            <w:tcBorders>
              <w:lef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5" w:type="dxa"/>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5" w:type="dxa"/>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5" w:type="dxa"/>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5" w:type="dxa"/>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5" w:type="dxa"/>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5" w:type="dxa"/>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2345" w:type="dxa"/>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c>
          <w:tcPr>
            <w:tcW w:w="900" w:type="dxa"/>
            <w:tcBorders>
              <w:left w:val="single" w:color="auto" w:sz="4" w:space="0"/>
            </w:tcBorders>
            <w:vAlign w:val="center"/>
          </w:tcPr>
          <w:p>
            <w:pPr>
              <w:spacing w:line="400" w:lineRule="exact"/>
              <w:jc w:val="center"/>
              <w:rPr>
                <w:rFonts w:hint="eastAsia" w:ascii="宋体" w:hAnsi="宋体" w:eastAsia="宋体" w:cs="宋体"/>
                <w:bCs/>
                <w:color w:val="000000" w:themeColor="text1"/>
                <w:sz w:val="21"/>
                <w:szCs w:val="21"/>
                <w14:textFill>
                  <w14:solidFill>
                    <w14:schemeClr w14:val="tx1"/>
                  </w14:solidFill>
                </w14:textFill>
              </w:rPr>
            </w:pPr>
          </w:p>
        </w:tc>
      </w:tr>
    </w:tbl>
    <w:p>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注：除本商务偏离表中所列的偏离内容外，其他所有商务条款均应完全响应“投标文件”中的要求。</w:t>
      </w:r>
    </w:p>
    <w:p>
      <w:pPr>
        <w:spacing w:line="400" w:lineRule="exact"/>
        <w:rPr>
          <w:rFonts w:hint="eastAsia" w:ascii="宋体" w:hAnsi="宋体" w:eastAsia="宋体" w:cs="宋体"/>
          <w:color w:val="000000" w:themeColor="text1"/>
          <w:sz w:val="21"/>
          <w:szCs w:val="21"/>
          <w14:textFill>
            <w14:solidFill>
              <w14:schemeClr w14:val="tx1"/>
            </w14:solidFill>
          </w14:textFill>
        </w:rPr>
      </w:pPr>
    </w:p>
    <w:p>
      <w:pPr>
        <w:spacing w:line="400" w:lineRule="exact"/>
        <w:rPr>
          <w:rFonts w:hint="eastAsia" w:ascii="宋体" w:hAnsi="宋体" w:eastAsia="宋体" w:cs="宋体"/>
          <w:color w:val="000000" w:themeColor="text1"/>
          <w:sz w:val="21"/>
          <w:szCs w:val="21"/>
          <w14:textFill>
            <w14:solidFill>
              <w14:schemeClr w14:val="tx1"/>
            </w14:solidFill>
          </w14:textFill>
        </w:rPr>
      </w:pPr>
    </w:p>
    <w:p>
      <w:pPr>
        <w:spacing w:line="400" w:lineRule="exact"/>
        <w:rPr>
          <w:rFonts w:hint="eastAsia" w:ascii="宋体" w:hAnsi="宋体" w:eastAsia="宋体" w:cs="宋体"/>
          <w:color w:val="000000" w:themeColor="text1"/>
          <w:sz w:val="21"/>
          <w:szCs w:val="21"/>
          <w:u w:val="single"/>
          <w14:textFill>
            <w14:solidFill>
              <w14:schemeClr w14:val="tx1"/>
            </w14:solidFill>
          </w14:textFill>
        </w:rPr>
      </w:pPr>
      <w:bookmarkStart w:id="58" w:name="_Toc327439493"/>
      <w:r>
        <w:rPr>
          <w:rFonts w:hint="eastAsia" w:ascii="宋体" w:hAnsi="宋体" w:eastAsia="宋体" w:cs="宋体"/>
          <w:color w:val="000000" w:themeColor="text1"/>
          <w:sz w:val="21"/>
          <w:szCs w:val="21"/>
          <w14:textFill>
            <w14:solidFill>
              <w14:schemeClr w14:val="tx1"/>
            </w14:solidFill>
          </w14:textFill>
        </w:rPr>
        <w:t>投标供应商名称（公章）：</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法定代表人或授权代表人（签字）：</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日期：</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月</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日</w:t>
      </w:r>
    </w:p>
    <w:p>
      <w:pPr>
        <w:snapToGrid w:val="0"/>
        <w:spacing w:line="400" w:lineRule="exact"/>
        <w:ind w:firstLine="5880" w:firstLineChars="2450"/>
        <w:rPr>
          <w:rFonts w:hint="eastAsia" w:ascii="宋体" w:hAnsi="宋体" w:eastAsia="宋体" w:cs="宋体"/>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u w:val="single"/>
          <w14:textFill>
            <w14:solidFill>
              <w14:schemeClr w14:val="tx1"/>
            </w14:solidFill>
          </w14:textFill>
        </w:rPr>
      </w:pPr>
    </w:p>
    <w:p>
      <w:pPr>
        <w:snapToGrid w:val="0"/>
        <w:spacing w:line="400" w:lineRule="exact"/>
        <w:rPr>
          <w:rFonts w:ascii="仿宋" w:hAnsi="仿宋" w:eastAsia="仿宋" w:cs="仿宋"/>
          <w:bCs/>
          <w:color w:val="000000" w:themeColor="text1"/>
          <w:sz w:val="24"/>
          <w:szCs w:val="24"/>
          <w:u w:val="single"/>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六、资格证明文件</w:t>
      </w:r>
    </w:p>
    <w:p>
      <w:pPr>
        <w:pStyle w:val="37"/>
        <w:spacing w:before="0" w:beforeAutospacing="0" w:after="0" w:afterAutospacing="0" w:line="40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满足《中华人民共和国政府采购法》第二十二条规定；</w:t>
      </w:r>
    </w:p>
    <w:p>
      <w:pPr>
        <w:pStyle w:val="37"/>
        <w:spacing w:before="0" w:beforeAutospacing="0" w:after="0" w:afterAutospacing="0" w:line="40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具有独立承担民事责任的能力，有效的营业执照和相应的经营范围、良好的信誉，能够独立承担民事责任，承认并履行招标文件的各项规定；</w:t>
      </w:r>
    </w:p>
    <w:p>
      <w:pPr>
        <w:pStyle w:val="36"/>
        <w:spacing w:line="400" w:lineRule="exact"/>
        <w:rPr>
          <w:rFonts w:hint="eastAsia" w:ascii="宋体" w:hAnsi="宋体" w:eastAsia="宋体" w:cs="宋体"/>
          <w:b/>
          <w:color w:val="000000" w:themeColor="text1"/>
          <w:sz w:val="21"/>
          <w:szCs w:val="21"/>
          <w14:textFill>
            <w14:solidFill>
              <w14:schemeClr w14:val="tx1"/>
            </w14:solidFill>
          </w14:textFill>
        </w:rPr>
      </w:pPr>
    </w:p>
    <w:p>
      <w:pPr>
        <w:pStyle w:val="2"/>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供应商提供有效的统一社会信用代码的营业执照（须有相应经营范围）副本，供应商必须是中华人民共和国境内注册的，具有独立承担民事责任的能力；</w:t>
      </w:r>
    </w:p>
    <w:p>
      <w:pPr>
        <w:pStyle w:val="2"/>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 xml:space="preserve"> 财务状况报告：供应商提供2021年度</w:t>
      </w:r>
      <w:r>
        <w:rPr>
          <w:rFonts w:hint="eastAsia" w:ascii="宋体" w:hAnsi="宋体" w:eastAsia="宋体" w:cs="宋体"/>
          <w:color w:val="000000" w:themeColor="text1"/>
          <w:sz w:val="21"/>
          <w:szCs w:val="21"/>
          <w:lang w:val="en-US" w:eastAsia="zh-CN"/>
          <w14:textFill>
            <w14:solidFill>
              <w14:schemeClr w14:val="tx1"/>
            </w14:solidFill>
          </w14:textFill>
        </w:rPr>
        <w:t>或2022年度</w:t>
      </w:r>
      <w:r>
        <w:rPr>
          <w:rFonts w:hint="eastAsia" w:ascii="宋体" w:hAnsi="宋体" w:eastAsia="宋体" w:cs="宋体"/>
          <w:color w:val="000000" w:themeColor="text1"/>
          <w:sz w:val="21"/>
          <w:szCs w:val="21"/>
          <w14:textFill>
            <w14:solidFill>
              <w14:schemeClr w14:val="tx1"/>
            </w14:solidFill>
          </w14:textFill>
        </w:rPr>
        <w:t>经第三方权威机构出具的完整的财务审计报告或自发布公告之日起基本开户银行出具的资信证明；</w:t>
      </w:r>
    </w:p>
    <w:p>
      <w:pPr>
        <w:pStyle w:val="2"/>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 xml:space="preserve"> 依法缴纳税收：供应商提供自投标截止之日前半年内任意一个月依法缴纳税收的凭据，依法免税的供应商，应提供充足的证明材料；</w:t>
      </w:r>
    </w:p>
    <w:p>
      <w:pPr>
        <w:pStyle w:val="2"/>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供应商逐月缴纳社会保障资金的，提供自投标截止之日前半年内任意一个月缴纳社会保障资金的凭证；供应商逐年缴纳社会保障资金的，提供上年度缴纳社会保障资金的凭证；</w:t>
      </w:r>
    </w:p>
    <w:p>
      <w:pPr>
        <w:pStyle w:val="2"/>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具有履行合同所必须的设备、人员、专业等方面相应的技术能力；</w:t>
      </w:r>
    </w:p>
    <w:p>
      <w:pPr>
        <w:pStyle w:val="2"/>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供应商提供参加政府采购活动前 3 年内在经营活动中没有重大违法记录的书面声明（截至开标日成立不满 3 年的供应商，可提供自成立以来无重大违法记录的书面声明）。（附件9）</w:t>
      </w:r>
    </w:p>
    <w:p>
      <w:pPr>
        <w:pStyle w:val="2"/>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供应商提供在“信用中国”（www.creditchina.Sov.cn）网站上未被列入失信被执行人、重大税收违法失信主体、政府采购严重违法失信名单和中国政府采购网（www.ccSp.Sov.cn）网站上未被列入政府采购严重违法失信行为记录名单的网页打印件（网页打印件须自投标公告发布之日起至投标截止时间从上述网站中打印）。被列入以上条款尚在处罚期内的将拒绝其参本次采购活动；</w:t>
      </w:r>
    </w:p>
    <w:p>
      <w:pPr>
        <w:pStyle w:val="2"/>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供应商反商业贿赂承诺书（附件10）</w:t>
      </w:r>
    </w:p>
    <w:p>
      <w:pPr>
        <w:pStyle w:val="2"/>
        <w:spacing w:line="400" w:lineRule="exact"/>
        <w:ind w:firstLine="420"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投标保证金提交证明</w:t>
      </w: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sectPr>
          <w:pgSz w:w="11906" w:h="16838"/>
          <w:pgMar w:top="1304" w:right="1247" w:bottom="1418" w:left="1247" w:header="851" w:footer="992" w:gutter="0"/>
          <w:pgNumType w:fmt="decimal"/>
          <w:cols w:space="720" w:num="1"/>
          <w:docGrid w:linePitch="312" w:charSpace="0"/>
        </w:sectPr>
      </w:pPr>
    </w:p>
    <w:p>
      <w:pPr>
        <w:spacing w:line="40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附件6：</w:t>
      </w:r>
    </w:p>
    <w:p>
      <w:pPr>
        <w:spacing w:line="400" w:lineRule="exact"/>
        <w:jc w:val="center"/>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七、类似业绩</w:t>
      </w:r>
    </w:p>
    <w:p>
      <w:pPr>
        <w:spacing w:line="400" w:lineRule="exact"/>
        <w:jc w:val="center"/>
        <w:rPr>
          <w:rFonts w:ascii="仿宋" w:hAnsi="仿宋" w:eastAsia="仿宋" w:cs="仿宋"/>
          <w:color w:val="000000" w:themeColor="text1"/>
          <w:sz w:val="24"/>
          <w:szCs w:val="24"/>
          <w14:textFill>
            <w14:solidFill>
              <w14:schemeClr w14:val="tx1"/>
            </w14:solidFill>
          </w14:textFill>
        </w:rPr>
      </w:pPr>
    </w:p>
    <w:tbl>
      <w:tblPr>
        <w:tblStyle w:val="41"/>
        <w:tblW w:w="9224" w:type="dxa"/>
        <w:jc w:val="center"/>
        <w:tblLayout w:type="fixed"/>
        <w:tblCellMar>
          <w:top w:w="0" w:type="dxa"/>
          <w:left w:w="108" w:type="dxa"/>
          <w:bottom w:w="0" w:type="dxa"/>
          <w:right w:w="108" w:type="dxa"/>
        </w:tblCellMar>
      </w:tblPr>
      <w:tblGrid>
        <w:gridCol w:w="727"/>
        <w:gridCol w:w="2445"/>
        <w:gridCol w:w="1704"/>
        <w:gridCol w:w="1543"/>
        <w:gridCol w:w="1440"/>
        <w:gridCol w:w="1365"/>
      </w:tblGrid>
      <w:tr>
        <w:tblPrEx>
          <w:tblCellMar>
            <w:top w:w="0" w:type="dxa"/>
            <w:left w:w="108" w:type="dxa"/>
            <w:bottom w:w="0" w:type="dxa"/>
            <w:right w:w="108" w:type="dxa"/>
          </w:tblCellMar>
        </w:tblPrEx>
        <w:trPr>
          <w:trHeight w:val="102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24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17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采购单位名称</w:t>
            </w:r>
          </w:p>
        </w:tc>
        <w:tc>
          <w:tcPr>
            <w:tcW w:w="15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采购单位联系人及电话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签订日期</w:t>
            </w: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themeColor="text1"/>
                <w:sz w:val="21"/>
                <w:szCs w:val="21"/>
                <w14:textFill>
                  <w14:solidFill>
                    <w14:schemeClr w14:val="tx1"/>
                  </w14:solidFill>
                </w14:textFill>
              </w:rPr>
            </w:pPr>
          </w:p>
        </w:tc>
      </w:tr>
    </w:tbl>
    <w:p>
      <w:pPr>
        <w:spacing w:line="40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注：后附相关证明材料</w:t>
      </w:r>
    </w:p>
    <w:p>
      <w:pPr>
        <w:spacing w:line="400" w:lineRule="exact"/>
        <w:rPr>
          <w:rFonts w:hint="eastAsia" w:ascii="宋体" w:hAnsi="宋体" w:eastAsia="宋体" w:cs="宋体"/>
          <w:b/>
          <w:color w:val="000000" w:themeColor="text1"/>
          <w:sz w:val="21"/>
          <w:szCs w:val="21"/>
          <w14:textFill>
            <w14:solidFill>
              <w14:schemeClr w14:val="tx1"/>
            </w14:solidFill>
          </w14:textFill>
        </w:rPr>
      </w:pPr>
    </w:p>
    <w:p>
      <w:pPr>
        <w:spacing w:line="400" w:lineRule="exact"/>
        <w:rPr>
          <w:rFonts w:hint="eastAsia" w:ascii="宋体" w:hAnsi="宋体" w:eastAsia="宋体" w:cs="宋体"/>
          <w:b/>
          <w:color w:val="000000" w:themeColor="text1"/>
          <w:sz w:val="21"/>
          <w:szCs w:val="21"/>
          <w14:textFill>
            <w14:solidFill>
              <w14:schemeClr w14:val="tx1"/>
            </w14:solidFill>
          </w14:textFill>
        </w:rPr>
      </w:pPr>
    </w:p>
    <w:p>
      <w:pPr>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投标供应商名称（公章）：</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法定代表人或授权代表人（签字）：</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日期：</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月</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日</w:t>
      </w:r>
    </w:p>
    <w:p>
      <w:pPr>
        <w:spacing w:line="400" w:lineRule="exact"/>
        <w:rPr>
          <w:rFonts w:hint="eastAsia" w:ascii="宋体" w:hAnsi="宋体" w:eastAsia="宋体" w:cs="宋体"/>
          <w:b/>
          <w:bCs/>
          <w:color w:val="000000" w:themeColor="text1"/>
          <w:sz w:val="21"/>
          <w:szCs w:val="21"/>
          <w14:textFill>
            <w14:solidFill>
              <w14:schemeClr w14:val="tx1"/>
            </w14:solidFill>
          </w14:textFill>
        </w:rPr>
      </w:pPr>
    </w:p>
    <w:p>
      <w:pPr>
        <w:snapToGrid w:val="0"/>
        <w:spacing w:line="400" w:lineRule="exact"/>
        <w:jc w:val="center"/>
        <w:rPr>
          <w:rFonts w:hint="eastAsia" w:ascii="宋体" w:hAnsi="宋体" w:eastAsia="宋体" w:cs="宋体"/>
          <w:b/>
          <w:color w:val="000000" w:themeColor="text1"/>
          <w:sz w:val="21"/>
          <w:szCs w:val="21"/>
          <w14:textFill>
            <w14:solidFill>
              <w14:schemeClr w14:val="tx1"/>
            </w14:solidFill>
          </w14:textFill>
        </w:rPr>
      </w:pPr>
    </w:p>
    <w:p>
      <w:pPr>
        <w:snapToGrid w:val="0"/>
        <w:spacing w:line="400" w:lineRule="exact"/>
        <w:jc w:val="center"/>
        <w:rPr>
          <w:rFonts w:hint="eastAsia" w:ascii="宋体" w:hAnsi="宋体" w:eastAsia="宋体" w:cs="宋体"/>
          <w:b/>
          <w:color w:val="000000" w:themeColor="text1"/>
          <w:sz w:val="21"/>
          <w:szCs w:val="21"/>
          <w14:textFill>
            <w14:solidFill>
              <w14:schemeClr w14:val="tx1"/>
            </w14:solidFill>
          </w14:textFill>
        </w:rPr>
      </w:pPr>
    </w:p>
    <w:p>
      <w:pPr>
        <w:pStyle w:val="36"/>
        <w:spacing w:line="400" w:lineRule="exact"/>
        <w:rPr>
          <w:rFonts w:hint="eastAsia" w:ascii="宋体" w:hAnsi="宋体" w:eastAsia="宋体" w:cs="宋体"/>
          <w:b/>
          <w:color w:val="000000" w:themeColor="text1"/>
          <w:sz w:val="21"/>
          <w:szCs w:val="21"/>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附件7：</w:t>
      </w:r>
    </w:p>
    <w:p>
      <w:pPr>
        <w:snapToGrid w:val="0"/>
        <w:spacing w:line="400" w:lineRule="exact"/>
        <w:jc w:val="center"/>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八、技术偏离表</w:t>
      </w:r>
    </w:p>
    <w:tbl>
      <w:tblPr>
        <w:tblStyle w:val="41"/>
        <w:tblW w:w="9755" w:type="dxa"/>
        <w:jc w:val="center"/>
        <w:tblLayout w:type="fixed"/>
        <w:tblCellMar>
          <w:top w:w="0" w:type="dxa"/>
          <w:left w:w="0" w:type="dxa"/>
          <w:bottom w:w="0" w:type="dxa"/>
          <w:right w:w="0" w:type="dxa"/>
        </w:tblCellMar>
      </w:tblPr>
      <w:tblGrid>
        <w:gridCol w:w="672"/>
        <w:gridCol w:w="2383"/>
        <w:gridCol w:w="2302"/>
        <w:gridCol w:w="2495"/>
        <w:gridCol w:w="1203"/>
        <w:gridCol w:w="700"/>
      </w:tblGrid>
      <w:tr>
        <w:tblPrEx>
          <w:tblCellMar>
            <w:top w:w="0" w:type="dxa"/>
            <w:left w:w="0" w:type="dxa"/>
            <w:bottom w:w="0" w:type="dxa"/>
            <w:right w:w="0" w:type="dxa"/>
          </w:tblCellMar>
        </w:tblPrEx>
        <w:trPr>
          <w:cantSplit/>
          <w:trHeight w:val="549"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23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招标内容</w:t>
            </w:r>
          </w:p>
        </w:tc>
        <w:tc>
          <w:tcPr>
            <w:tcW w:w="479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规格响应情况</w:t>
            </w:r>
          </w:p>
        </w:tc>
        <w:tc>
          <w:tcPr>
            <w:tcW w:w="12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偏离情况</w:t>
            </w:r>
          </w:p>
        </w:tc>
        <w:tc>
          <w:tcPr>
            <w:tcW w:w="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说明</w:t>
            </w:r>
          </w:p>
        </w:tc>
      </w:tr>
      <w:tr>
        <w:tblPrEx>
          <w:tblCellMar>
            <w:top w:w="0" w:type="dxa"/>
            <w:left w:w="0" w:type="dxa"/>
            <w:bottom w:w="0" w:type="dxa"/>
            <w:right w:w="0" w:type="dxa"/>
          </w:tblCellMar>
        </w:tblPrEx>
        <w:trPr>
          <w:cantSplit/>
          <w:trHeight w:val="1048"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pStyle w:val="25"/>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投标文件技术要求</w:t>
            </w:r>
          </w:p>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的内容与数值</w:t>
            </w: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pStyle w:val="25"/>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投标供应商的技术响</w:t>
            </w:r>
          </w:p>
          <w:p>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应内容与数值</w:t>
            </w: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bottom"/>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59" w:hRule="atLeast"/>
          <w:jc w:val="center"/>
        </w:trPr>
        <w:tc>
          <w:tcPr>
            <w:tcW w:w="672" w:type="dxa"/>
            <w:tcBorders>
              <w:top w:val="nil"/>
              <w:left w:val="single" w:color="auto" w:sz="4" w:space="0"/>
              <w:bottom w:val="single" w:color="auto" w:sz="4" w:space="0"/>
              <w:right w:val="single" w:color="auto" w:sz="4" w:space="0"/>
            </w:tcBorders>
            <w:vAlign w:val="bottom"/>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hint="eastAsia" w:ascii="宋体" w:hAnsi="宋体" w:eastAsia="宋体" w:cs="宋体"/>
                <w:color w:val="000000" w:themeColor="text1"/>
                <w:sz w:val="21"/>
                <w:szCs w:val="21"/>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宋体" w:hAnsi="宋体" w:eastAsia="宋体" w:cs="宋体"/>
                <w:color w:val="000000" w:themeColor="text1"/>
                <w:sz w:val="21"/>
                <w:szCs w:val="21"/>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hint="eastAsia" w:ascii="宋体" w:hAnsi="宋体" w:eastAsia="宋体" w:cs="宋体"/>
                <w:color w:val="000000" w:themeColor="text1"/>
                <w:sz w:val="21"/>
                <w:szCs w:val="21"/>
                <w14:textFill>
                  <w14:solidFill>
                    <w14:schemeClr w14:val="tx1"/>
                  </w14:solidFill>
                </w14:textFill>
              </w:rPr>
            </w:pPr>
          </w:p>
        </w:tc>
      </w:tr>
    </w:tbl>
    <w:p>
      <w:pPr>
        <w:snapToGrid w:val="0"/>
        <w:spacing w:line="400" w:lineRule="exact"/>
        <w:jc w:val="center"/>
        <w:rPr>
          <w:rFonts w:hint="eastAsia" w:ascii="宋体" w:hAnsi="宋体" w:eastAsia="宋体" w:cs="宋体"/>
          <w:b/>
          <w:color w:val="000000" w:themeColor="text1"/>
          <w:sz w:val="21"/>
          <w:szCs w:val="21"/>
          <w14:textFill>
            <w14:solidFill>
              <w14:schemeClr w14:val="tx1"/>
            </w14:solidFill>
          </w14:textFill>
        </w:rPr>
      </w:pPr>
    </w:p>
    <w:p>
      <w:pPr>
        <w:pStyle w:val="36"/>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注：无论正偏离或负偏离,供应商均需在“技术偏离表”一栏中列明响应的详细内容，否则视同供应商响应情况为“响应”。</w:t>
      </w:r>
    </w:p>
    <w:p>
      <w:pPr>
        <w:pStyle w:val="25"/>
        <w:spacing w:line="400" w:lineRule="exact"/>
        <w:jc w:val="center"/>
        <w:rPr>
          <w:rFonts w:hint="eastAsia" w:ascii="宋体" w:hAnsi="宋体" w:eastAsia="宋体" w:cs="宋体"/>
          <w:b/>
          <w:color w:val="000000" w:themeColor="text1"/>
          <w:sz w:val="21"/>
          <w:szCs w:val="21"/>
          <w14:textFill>
            <w14:solidFill>
              <w14:schemeClr w14:val="tx1"/>
            </w14:solidFill>
          </w14:textFill>
        </w:rPr>
      </w:pPr>
    </w:p>
    <w:p>
      <w:pPr>
        <w:pStyle w:val="33"/>
        <w:spacing w:line="400" w:lineRule="exact"/>
        <w:ind w:left="480" w:hanging="480"/>
        <w:rPr>
          <w:rFonts w:hint="eastAsia" w:ascii="宋体" w:hAnsi="宋体" w:eastAsia="宋体" w:cs="宋体"/>
          <w:b w:val="0"/>
          <w:color w:val="000000" w:themeColor="text1"/>
          <w:sz w:val="21"/>
          <w:szCs w:val="21"/>
          <w14:textFill>
            <w14:solidFill>
              <w14:schemeClr w14:val="tx1"/>
            </w14:solidFill>
          </w14:textFill>
        </w:rPr>
      </w:pPr>
    </w:p>
    <w:p>
      <w:pPr>
        <w:pStyle w:val="33"/>
        <w:spacing w:line="400" w:lineRule="exact"/>
        <w:ind w:left="480" w:hanging="480"/>
        <w:rPr>
          <w:rFonts w:hint="eastAsia" w:ascii="宋体" w:hAnsi="宋体" w:eastAsia="宋体" w:cs="宋体"/>
          <w:b w:val="0"/>
          <w:color w:val="000000" w:themeColor="text1"/>
          <w:sz w:val="21"/>
          <w:szCs w:val="21"/>
          <w14:textFill>
            <w14:solidFill>
              <w14:schemeClr w14:val="tx1"/>
            </w14:solidFill>
          </w14:textFill>
        </w:rPr>
      </w:pPr>
    </w:p>
    <w:p>
      <w:pPr>
        <w:spacing w:line="400" w:lineRule="exact"/>
        <w:rPr>
          <w:rFonts w:hint="eastAsia" w:ascii="宋体" w:hAnsi="宋体" w:eastAsia="宋体" w:cs="宋体"/>
          <w:bCs/>
          <w:color w:val="000000" w:themeColor="text1"/>
          <w:sz w:val="21"/>
          <w:szCs w:val="21"/>
          <w14:textFill>
            <w14:solidFill>
              <w14:schemeClr w14:val="tx1"/>
            </w14:solidFill>
          </w14:textFill>
        </w:rPr>
      </w:pPr>
    </w:p>
    <w:p>
      <w:pPr>
        <w:spacing w:line="400" w:lineRule="exact"/>
        <w:rPr>
          <w:rFonts w:hint="eastAsia" w:ascii="宋体" w:hAnsi="宋体" w:eastAsia="宋体" w:cs="宋体"/>
          <w:bCs/>
          <w:color w:val="000000" w:themeColor="text1"/>
          <w:sz w:val="21"/>
          <w:szCs w:val="21"/>
          <w14:textFill>
            <w14:solidFill>
              <w14:schemeClr w14:val="tx1"/>
            </w14:solidFill>
          </w14:textFill>
        </w:rPr>
      </w:pPr>
    </w:p>
    <w:p>
      <w:pPr>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投标供应商名称（公章）：</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法定代表人或授权代表人（签字）：</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ind w:firstLine="42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日期：</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月</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日</w:t>
      </w:r>
    </w:p>
    <w:p>
      <w:pPr>
        <w:spacing w:line="400" w:lineRule="exact"/>
        <w:rPr>
          <w:rFonts w:hint="eastAsia" w:ascii="宋体" w:hAnsi="宋体" w:eastAsia="宋体" w:cs="宋体"/>
          <w:b/>
          <w:bCs/>
          <w:color w:val="000000" w:themeColor="text1"/>
          <w:sz w:val="24"/>
          <w:szCs w:val="24"/>
          <w14:textFill>
            <w14:solidFill>
              <w14:schemeClr w14:val="tx1"/>
            </w14:solidFill>
          </w14:textFill>
        </w:rPr>
      </w:pPr>
    </w:p>
    <w:bookmarkEnd w:id="58"/>
    <w:p>
      <w:pPr>
        <w:pStyle w:val="5"/>
        <w:spacing w:line="400" w:lineRule="exact"/>
        <w:rPr>
          <w:rFonts w:hint="eastAsia" w:ascii="宋体" w:hAnsi="宋体" w:eastAsia="宋体" w:cs="宋体"/>
          <w:color w:val="000000" w:themeColor="text1"/>
          <w:sz w:val="24"/>
          <w:szCs w:val="24"/>
          <w14:textFill>
            <w14:solidFill>
              <w14:schemeClr w14:val="tx1"/>
            </w14:solidFill>
          </w14:textFill>
        </w:rPr>
        <w:sectPr>
          <w:pgSz w:w="11906" w:h="16838"/>
          <w:pgMar w:top="1304" w:right="1247" w:bottom="1418" w:left="1247" w:header="851" w:footer="992" w:gutter="0"/>
          <w:pgNumType w:fmt="decimal"/>
          <w:cols w:space="720" w:num="1"/>
          <w:docGrid w:linePitch="312" w:charSpace="0"/>
        </w:sectPr>
      </w:pPr>
      <w:bookmarkStart w:id="59" w:name="_Toc400536597"/>
      <w:bookmarkStart w:id="60" w:name="_Toc258923314"/>
    </w:p>
    <w:bookmarkEnd w:id="59"/>
    <w:bookmarkEnd w:id="60"/>
    <w:p>
      <w:pPr>
        <w:snapToGrid w:val="0"/>
        <w:spacing w:line="400" w:lineRule="exact"/>
        <w:jc w:val="center"/>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九、技术部分</w:t>
      </w:r>
    </w:p>
    <w:p>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技术部分包含但不限于以下内容：</w:t>
      </w:r>
    </w:p>
    <w:p>
      <w:pPr>
        <w:numPr>
          <w:ilvl w:val="0"/>
          <w:numId w:val="6"/>
        </w:num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产品配置及技术参数</w:t>
      </w:r>
    </w:p>
    <w:p>
      <w:pPr>
        <w:numPr>
          <w:ilvl w:val="0"/>
          <w:numId w:val="6"/>
        </w:num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产品的使用及维护</w:t>
      </w:r>
    </w:p>
    <w:p>
      <w:pPr>
        <w:numPr>
          <w:ilvl w:val="0"/>
          <w:numId w:val="6"/>
        </w:num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售后服务</w:t>
      </w:r>
      <w:r>
        <w:rPr>
          <w:rFonts w:hint="eastAsia" w:ascii="宋体" w:hAnsi="宋体" w:eastAsia="宋体" w:cs="宋体"/>
          <w:color w:val="000000" w:themeColor="text1"/>
          <w:sz w:val="21"/>
          <w:szCs w:val="21"/>
          <w:lang w:eastAsia="zh-CN"/>
          <w14:textFill>
            <w14:solidFill>
              <w14:schemeClr w14:val="tx1"/>
            </w14:solidFill>
          </w14:textFill>
        </w:rPr>
        <w:t>方案</w:t>
      </w:r>
    </w:p>
    <w:p>
      <w:pPr>
        <w:numPr>
          <w:ilvl w:val="0"/>
          <w:numId w:val="6"/>
        </w:num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投标人需要说明的其他文件和说明(格式略)。</w:t>
      </w:r>
    </w:p>
    <w:p>
      <w:pPr>
        <w:spacing w:line="400" w:lineRule="exact"/>
        <w:rPr>
          <w:rFonts w:hint="eastAsia" w:ascii="宋体" w:hAnsi="宋体" w:eastAsia="宋体" w:cs="宋体"/>
          <w:b/>
          <w:color w:val="000000" w:themeColor="text1"/>
          <w:sz w:val="21"/>
          <w:szCs w:val="21"/>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pStyle w:val="36"/>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rPr>
          <w:rFonts w:ascii="仿宋" w:hAnsi="仿宋" w:eastAsia="仿宋" w:cs="仿宋"/>
          <w:b/>
          <w:color w:val="000000" w:themeColor="text1"/>
          <w:sz w:val="24"/>
          <w:szCs w:val="24"/>
          <w14:textFill>
            <w14:solidFill>
              <w14:schemeClr w14:val="tx1"/>
            </w14:solidFill>
          </w14:textFill>
        </w:rPr>
        <w:sectPr>
          <w:pgSz w:w="11906" w:h="16838"/>
          <w:pgMar w:top="1304" w:right="1247" w:bottom="1417" w:left="1247" w:header="851" w:footer="992" w:gutter="0"/>
          <w:pgNumType w:fmt="decimal"/>
          <w:cols w:space="720" w:num="1"/>
          <w:docGrid w:type="lines" w:linePitch="312" w:charSpace="0"/>
        </w:sectPr>
      </w:pPr>
    </w:p>
    <w:p>
      <w:pPr>
        <w:spacing w:line="40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附件</w:t>
      </w:r>
      <w:r>
        <w:rPr>
          <w:rFonts w:hint="eastAsia" w:ascii="宋体" w:hAnsi="宋体" w:eastAsia="宋体" w:cs="宋体"/>
          <w:b/>
          <w:color w:val="000000" w:themeColor="text1"/>
          <w:sz w:val="21"/>
          <w:szCs w:val="21"/>
          <w:lang w:val="en-US" w:eastAsia="zh-CN"/>
          <w14:textFill>
            <w14:solidFill>
              <w14:schemeClr w14:val="tx1"/>
            </w14:solidFill>
          </w14:textFill>
        </w:rPr>
        <w:t>8</w:t>
      </w: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w:t>
      </w:r>
    </w:p>
    <w:p>
      <w:pPr>
        <w:spacing w:line="400" w:lineRule="exact"/>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无重大违法记录声明</w:t>
      </w:r>
    </w:p>
    <w:p>
      <w:pPr>
        <w:spacing w:line="400" w:lineRule="exact"/>
        <w:jc w:val="center"/>
        <w:rPr>
          <w:rFonts w:hint="eastAsia" w:ascii="宋体" w:hAnsi="宋体" w:eastAsia="宋体" w:cs="宋体"/>
          <w:b/>
          <w:bCs/>
          <w:color w:val="000000" w:themeColor="text1"/>
          <w:sz w:val="21"/>
          <w:szCs w:val="21"/>
          <w14:textFill>
            <w14:solidFill>
              <w14:schemeClr w14:val="tx1"/>
            </w14:solidFill>
          </w14:textFill>
        </w:rPr>
      </w:pPr>
    </w:p>
    <w:p>
      <w:pPr>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致：宏业国际项目管理有限公司</w:t>
      </w:r>
    </w:p>
    <w:p>
      <w:pPr>
        <w:spacing w:line="400" w:lineRule="exact"/>
        <w:ind w:firstLine="48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我单位参加政府采购活动前三年内，在经营活动中没有重大违法记录。</w:t>
      </w:r>
    </w:p>
    <w:p>
      <w:pPr>
        <w:spacing w:line="400" w:lineRule="exact"/>
        <w:ind w:firstLine="48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若采购单位在本项目采购过程中发现我单位近三年内在经营活动中有重大违法记录，我单位将无条件地退出本项目的招标，并承担因此引起的一切后果。</w:t>
      </w:r>
    </w:p>
    <w:p>
      <w:pPr>
        <w:spacing w:line="400" w:lineRule="exact"/>
        <w:ind w:firstLine="480"/>
        <w:rPr>
          <w:rFonts w:hint="eastAsia" w:ascii="宋体" w:hAnsi="宋体" w:eastAsia="宋体" w:cs="宋体"/>
          <w:bCs/>
          <w:color w:val="000000" w:themeColor="text1"/>
          <w:sz w:val="21"/>
          <w:szCs w:val="21"/>
          <w14:textFill>
            <w14:solidFill>
              <w14:schemeClr w14:val="tx1"/>
            </w14:solidFill>
          </w14:textFill>
        </w:rPr>
      </w:pPr>
    </w:p>
    <w:p>
      <w:pPr>
        <w:spacing w:line="400" w:lineRule="exact"/>
        <w:ind w:firstLine="480"/>
        <w:rPr>
          <w:rFonts w:hint="eastAsia" w:ascii="宋体" w:hAnsi="宋体" w:eastAsia="宋体" w:cs="宋体"/>
          <w:bCs/>
          <w:color w:val="000000" w:themeColor="text1"/>
          <w:sz w:val="21"/>
          <w:szCs w:val="21"/>
          <w14:textFill>
            <w14:solidFill>
              <w14:schemeClr w14:val="tx1"/>
            </w14:solidFill>
          </w14:textFill>
        </w:rPr>
      </w:pPr>
    </w:p>
    <w:p>
      <w:pPr>
        <w:spacing w:line="400" w:lineRule="exact"/>
        <w:ind w:firstLine="48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特此声明!</w:t>
      </w:r>
    </w:p>
    <w:p>
      <w:pPr>
        <w:spacing w:line="400" w:lineRule="exact"/>
        <w:ind w:firstLine="480"/>
        <w:rPr>
          <w:rFonts w:hint="eastAsia" w:ascii="宋体" w:hAnsi="宋体" w:eastAsia="宋体" w:cs="宋体"/>
          <w:bCs/>
          <w:color w:val="000000" w:themeColor="text1"/>
          <w:sz w:val="21"/>
          <w:szCs w:val="21"/>
          <w14:textFill>
            <w14:solidFill>
              <w14:schemeClr w14:val="tx1"/>
            </w14:solidFill>
          </w14:textFill>
        </w:rPr>
      </w:pPr>
    </w:p>
    <w:p>
      <w:pPr>
        <w:spacing w:line="400" w:lineRule="exact"/>
        <w:rPr>
          <w:rFonts w:hint="eastAsia" w:ascii="宋体" w:hAnsi="宋体" w:eastAsia="宋体" w:cs="宋体"/>
          <w:bCs/>
          <w:color w:val="000000" w:themeColor="text1"/>
          <w:sz w:val="21"/>
          <w:szCs w:val="21"/>
          <w14:textFill>
            <w14:solidFill>
              <w14:schemeClr w14:val="tx1"/>
            </w14:solidFill>
          </w14:textFill>
        </w:rPr>
      </w:pPr>
    </w:p>
    <w:p>
      <w:pPr>
        <w:spacing w:line="400" w:lineRule="exact"/>
        <w:rPr>
          <w:rFonts w:hint="eastAsia" w:ascii="宋体" w:hAnsi="宋体" w:eastAsia="宋体" w:cs="宋体"/>
          <w:bCs/>
          <w:color w:val="000000" w:themeColor="text1"/>
          <w:sz w:val="21"/>
          <w:szCs w:val="21"/>
          <w14:textFill>
            <w14:solidFill>
              <w14:schemeClr w14:val="tx1"/>
            </w14:solidFill>
          </w14:textFill>
        </w:rPr>
      </w:pPr>
    </w:p>
    <w:p>
      <w:pPr>
        <w:spacing w:line="400" w:lineRule="exact"/>
        <w:rPr>
          <w:rFonts w:hint="eastAsia" w:ascii="宋体" w:hAnsi="宋体" w:eastAsia="宋体" w:cs="宋体"/>
          <w:bCs/>
          <w:color w:val="000000" w:themeColor="text1"/>
          <w:sz w:val="21"/>
          <w:szCs w:val="21"/>
          <w14:textFill>
            <w14:solidFill>
              <w14:schemeClr w14:val="tx1"/>
            </w14:solidFill>
          </w14:textFill>
        </w:rPr>
      </w:pPr>
    </w:p>
    <w:p>
      <w:pPr>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投标供应商名称（公章）：</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法定代表人或授权代表人（签字）：</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日期：</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月</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日</w:t>
      </w:r>
    </w:p>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p>
    <w:p>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spacing w:line="400" w:lineRule="exact"/>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附件</w:t>
      </w:r>
      <w:r>
        <w:rPr>
          <w:rFonts w:hint="eastAsia" w:ascii="宋体" w:hAnsi="宋体" w:eastAsia="宋体" w:cs="宋体"/>
          <w:b/>
          <w:color w:val="000000" w:themeColor="text1"/>
          <w:sz w:val="21"/>
          <w:szCs w:val="21"/>
          <w:lang w:val="en-US" w:eastAsia="zh-CN"/>
          <w14:textFill>
            <w14:solidFill>
              <w14:schemeClr w14:val="tx1"/>
            </w14:solidFill>
          </w14:textFill>
        </w:rPr>
        <w:t>9</w:t>
      </w:r>
      <w:r>
        <w:rPr>
          <w:rFonts w:hint="eastAsia" w:ascii="宋体" w:hAnsi="宋体" w:eastAsia="宋体" w:cs="宋体"/>
          <w:b/>
          <w:color w:val="000000" w:themeColor="text1"/>
          <w:sz w:val="21"/>
          <w:szCs w:val="21"/>
          <w14:textFill>
            <w14:solidFill>
              <w14:schemeClr w14:val="tx1"/>
            </w14:solidFill>
          </w14:textFill>
        </w:rPr>
        <w:t>：</w:t>
      </w:r>
    </w:p>
    <w:p>
      <w:pPr>
        <w:spacing w:line="400" w:lineRule="exac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供应商反商业贿赂承诺书</w:t>
      </w:r>
    </w:p>
    <w:p>
      <w:pPr>
        <w:autoSpaceDE w:val="0"/>
        <w:autoSpaceDN w:val="0"/>
        <w:adjustRightInd w:val="0"/>
        <w:spacing w:line="400" w:lineRule="exact"/>
        <w:jc w:val="left"/>
        <w:rPr>
          <w:rFonts w:hint="eastAsia" w:ascii="宋体" w:hAnsi="宋体" w:eastAsia="宋体" w:cs="宋体"/>
          <w:color w:val="000000" w:themeColor="text1"/>
          <w:kern w:val="0"/>
          <w:sz w:val="21"/>
          <w:szCs w:val="21"/>
          <w14:textFill>
            <w14:solidFill>
              <w14:schemeClr w14:val="tx1"/>
            </w14:solidFill>
          </w14:textFill>
        </w:rPr>
      </w:pPr>
    </w:p>
    <w:p>
      <w:pPr>
        <w:autoSpaceDE w:val="0"/>
        <w:autoSpaceDN w:val="0"/>
        <w:adjustRightInd w:val="0"/>
        <w:spacing w:line="400" w:lineRule="exact"/>
        <w:ind w:firstLine="432"/>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我公司承诺在</w:t>
      </w:r>
      <w:r>
        <w:rPr>
          <w:rFonts w:hint="eastAsia" w:ascii="宋体" w:hAnsi="宋体" w:eastAsia="宋体" w:cs="宋体"/>
          <w:color w:val="000000" w:themeColor="text1"/>
          <w:kern w:val="0"/>
          <w:sz w:val="21"/>
          <w:szCs w:val="21"/>
          <w:u w:val="single"/>
          <w14:textFill>
            <w14:solidFill>
              <w14:schemeClr w14:val="tx1"/>
            </w14:solidFill>
          </w14:textFill>
        </w:rPr>
        <w:t>（项目编号、项目名称）</w:t>
      </w:r>
      <w:r>
        <w:rPr>
          <w:rFonts w:hint="eastAsia" w:ascii="宋体" w:hAnsi="宋体" w:eastAsia="宋体" w:cs="宋体"/>
          <w:color w:val="000000" w:themeColor="text1"/>
          <w:kern w:val="0"/>
          <w:sz w:val="21"/>
          <w:szCs w:val="21"/>
          <w14:textFill>
            <w14:solidFill>
              <w14:schemeClr w14:val="tx1"/>
            </w14:solidFill>
          </w14:textFill>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pPr>
        <w:autoSpaceDE w:val="0"/>
        <w:autoSpaceDN w:val="0"/>
        <w:adjustRightInd w:val="0"/>
        <w:spacing w:line="400" w:lineRule="exact"/>
        <w:jc w:val="left"/>
        <w:rPr>
          <w:rFonts w:hint="eastAsia" w:ascii="宋体" w:hAnsi="宋体" w:eastAsia="宋体" w:cs="宋体"/>
          <w:color w:val="000000" w:themeColor="text1"/>
          <w:kern w:val="0"/>
          <w:sz w:val="21"/>
          <w:szCs w:val="21"/>
          <w14:textFill>
            <w14:solidFill>
              <w14:schemeClr w14:val="tx1"/>
            </w14:solidFill>
          </w14:textFill>
        </w:rPr>
      </w:pPr>
    </w:p>
    <w:p>
      <w:pPr>
        <w:autoSpaceDE w:val="0"/>
        <w:autoSpaceDN w:val="0"/>
        <w:adjustRightInd w:val="0"/>
        <w:spacing w:line="400" w:lineRule="exact"/>
        <w:ind w:firstLine="897"/>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法定代表人：</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 xml:space="preserve"> </w:t>
      </w:r>
    </w:p>
    <w:p>
      <w:pPr>
        <w:autoSpaceDE w:val="0"/>
        <w:autoSpaceDN w:val="0"/>
        <w:adjustRightInd w:val="0"/>
        <w:spacing w:line="400" w:lineRule="exact"/>
        <w:ind w:firstLine="897"/>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法人授权代表：</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 xml:space="preserve"> </w:t>
      </w:r>
    </w:p>
    <w:p>
      <w:pPr>
        <w:autoSpaceDE w:val="0"/>
        <w:autoSpaceDN w:val="0"/>
        <w:adjustRightInd w:val="0"/>
        <w:spacing w:line="400" w:lineRule="exact"/>
        <w:ind w:firstLine="897"/>
        <w:jc w:val="left"/>
        <w:rPr>
          <w:rFonts w:hint="eastAsia" w:ascii="宋体" w:hAnsi="宋体" w:eastAsia="宋体" w:cs="宋体"/>
          <w:b/>
          <w:bCs/>
          <w:color w:val="000000" w:themeColor="text1"/>
          <w:kern w:val="0"/>
          <w:sz w:val="21"/>
          <w:szCs w:val="21"/>
          <w:u w:val="singl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项目经办人： </w:t>
      </w:r>
      <w:r>
        <w:rPr>
          <w:rFonts w:hint="eastAsia" w:ascii="宋体" w:hAnsi="宋体" w:eastAsia="宋体" w:cs="宋体"/>
          <w:color w:val="000000" w:themeColor="text1"/>
          <w:kern w:val="0"/>
          <w:sz w:val="21"/>
          <w:szCs w:val="21"/>
          <w:u w:val="single"/>
          <w14:textFill>
            <w14:solidFill>
              <w14:schemeClr w14:val="tx1"/>
            </w14:solidFill>
          </w14:textFill>
        </w:rPr>
        <w:t xml:space="preserve">                          </w:t>
      </w:r>
    </w:p>
    <w:p>
      <w:pPr>
        <w:autoSpaceDE w:val="0"/>
        <w:autoSpaceDN w:val="0"/>
        <w:adjustRightInd w:val="0"/>
        <w:spacing w:line="400" w:lineRule="exact"/>
        <w:jc w:val="left"/>
        <w:rPr>
          <w:rFonts w:hint="eastAsia" w:ascii="宋体" w:hAnsi="宋体" w:eastAsia="宋体" w:cs="宋体"/>
          <w:color w:val="000000" w:themeColor="text1"/>
          <w:kern w:val="0"/>
          <w:sz w:val="21"/>
          <w:szCs w:val="21"/>
          <w14:textFill>
            <w14:solidFill>
              <w14:schemeClr w14:val="tx1"/>
            </w14:solidFill>
          </w14:textFill>
        </w:rPr>
      </w:pPr>
    </w:p>
    <w:p>
      <w:pPr>
        <w:autoSpaceDE w:val="0"/>
        <w:autoSpaceDN w:val="0"/>
        <w:adjustRightInd w:val="0"/>
        <w:spacing w:line="400" w:lineRule="exact"/>
        <w:ind w:firstLine="480"/>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我公司承诺在参加本次投标前三年内，无以下行为： </w:t>
      </w:r>
    </w:p>
    <w:p>
      <w:pPr>
        <w:autoSpaceDE w:val="0"/>
        <w:autoSpaceDN w:val="0"/>
        <w:adjustRightInd w:val="0"/>
        <w:spacing w:line="400" w:lineRule="exact"/>
        <w:ind w:firstLine="480"/>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重大违法行为； </w:t>
      </w:r>
    </w:p>
    <w:p>
      <w:pPr>
        <w:autoSpaceDE w:val="0"/>
        <w:autoSpaceDN w:val="0"/>
        <w:adjustRightInd w:val="0"/>
        <w:spacing w:line="400" w:lineRule="exact"/>
        <w:ind w:firstLine="480"/>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商业贿赂行为； </w:t>
      </w:r>
    </w:p>
    <w:p>
      <w:pPr>
        <w:autoSpaceDE w:val="0"/>
        <w:autoSpaceDN w:val="0"/>
        <w:adjustRightInd w:val="0"/>
        <w:spacing w:line="400" w:lineRule="exact"/>
        <w:ind w:firstLine="480"/>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政府采购法《第七十七条》，列入不良行为记录名单的各种行为； </w:t>
      </w:r>
    </w:p>
    <w:p>
      <w:pPr>
        <w:autoSpaceDE w:val="0"/>
        <w:autoSpaceDN w:val="0"/>
        <w:adjustRightInd w:val="0"/>
        <w:spacing w:line="400" w:lineRule="exact"/>
        <w:jc w:val="left"/>
        <w:rPr>
          <w:rFonts w:hint="eastAsia" w:ascii="宋体" w:hAnsi="宋体" w:eastAsia="宋体" w:cs="宋体"/>
          <w:color w:val="000000" w:themeColor="text1"/>
          <w:kern w:val="0"/>
          <w:sz w:val="21"/>
          <w:szCs w:val="21"/>
          <w14:textFill>
            <w14:solidFill>
              <w14:schemeClr w14:val="tx1"/>
            </w14:solidFill>
          </w14:textFill>
        </w:rPr>
      </w:pPr>
    </w:p>
    <w:p>
      <w:pPr>
        <w:autoSpaceDE w:val="0"/>
        <w:autoSpaceDN w:val="0"/>
        <w:adjustRightInd w:val="0"/>
        <w:spacing w:line="400" w:lineRule="exact"/>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如有上述行为，我公司及项目参与人员自愿放弃本次项目的投标、报价资格，若为预中标、成交人，也自愿放弃中标、成交资格 </w:t>
      </w:r>
    </w:p>
    <w:p>
      <w:pPr>
        <w:autoSpaceDE w:val="0"/>
        <w:autoSpaceDN w:val="0"/>
        <w:adjustRightInd w:val="0"/>
        <w:spacing w:line="400" w:lineRule="exact"/>
        <w:ind w:firstLine="480"/>
        <w:jc w:val="left"/>
        <w:rPr>
          <w:rFonts w:hint="eastAsia" w:ascii="宋体" w:hAnsi="宋体" w:eastAsia="宋体" w:cs="宋体"/>
          <w:b/>
          <w:bCs/>
          <w:color w:val="000000" w:themeColor="text1"/>
          <w:kern w:val="0"/>
          <w:sz w:val="21"/>
          <w:szCs w:val="21"/>
          <w14:textFill>
            <w14:solidFill>
              <w14:schemeClr w14:val="tx1"/>
            </w14:solidFill>
          </w14:textFill>
        </w:rPr>
      </w:pPr>
    </w:p>
    <w:p>
      <w:pPr>
        <w:spacing w:line="400" w:lineRule="exact"/>
        <w:rPr>
          <w:rFonts w:hint="eastAsia" w:ascii="宋体" w:hAnsi="宋体" w:eastAsia="宋体" w:cs="宋体"/>
          <w:color w:val="000000" w:themeColor="text1"/>
          <w:sz w:val="21"/>
          <w:szCs w:val="21"/>
          <w14:textFill>
            <w14:solidFill>
              <w14:schemeClr w14:val="tx1"/>
            </w14:solidFill>
          </w14:textFill>
        </w:rPr>
      </w:pPr>
    </w:p>
    <w:p>
      <w:pPr>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投标供应商名称（公章）：</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法定代表人或授权代表人（签字）：</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400" w:lineRule="exact"/>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日期：</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月</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日</w:t>
      </w:r>
    </w:p>
    <w:p>
      <w:pPr>
        <w:spacing w:line="400" w:lineRule="exact"/>
        <w:rPr>
          <w:rFonts w:hint="eastAsia" w:ascii="宋体" w:hAnsi="宋体" w:eastAsia="宋体" w:cs="宋体"/>
          <w:color w:val="000000" w:themeColor="text1"/>
          <w:sz w:val="21"/>
          <w:szCs w:val="21"/>
          <w14:textFill>
            <w14:solidFill>
              <w14:schemeClr w14:val="tx1"/>
            </w14:solidFill>
          </w14:textFill>
        </w:rPr>
      </w:pPr>
    </w:p>
    <w:p>
      <w:pPr>
        <w:spacing w:line="400" w:lineRule="exact"/>
        <w:rPr>
          <w:rFonts w:hint="eastAsia" w:ascii="宋体" w:hAnsi="宋体" w:eastAsia="宋体" w:cs="宋体"/>
          <w:color w:val="000000" w:themeColor="text1"/>
          <w:sz w:val="21"/>
          <w:szCs w:val="21"/>
          <w14:textFill>
            <w14:solidFill>
              <w14:schemeClr w14:val="tx1"/>
            </w14:solidFill>
          </w14:textFill>
        </w:rPr>
      </w:pPr>
    </w:p>
    <w:p>
      <w:pPr>
        <w:spacing w:line="400" w:lineRule="exact"/>
        <w:rPr>
          <w:rFonts w:ascii="仿宋" w:hAnsi="仿宋" w:eastAsia="仿宋" w:cs="仿宋"/>
          <w:color w:val="000000" w:themeColor="text1"/>
          <w:sz w:val="24"/>
          <w:szCs w:val="24"/>
          <w14:textFill>
            <w14:solidFill>
              <w14:schemeClr w14:val="tx1"/>
            </w14:solidFill>
          </w14:textFill>
        </w:rPr>
      </w:pPr>
    </w:p>
    <w:p>
      <w:pPr>
        <w:pStyle w:val="36"/>
        <w:spacing w:line="400" w:lineRule="exact"/>
        <w:rPr>
          <w:rFonts w:ascii="仿宋" w:hAnsi="仿宋" w:eastAsia="仿宋" w:cs="仿宋"/>
          <w:color w:val="000000" w:themeColor="text1"/>
          <w:sz w:val="24"/>
          <w:szCs w:val="24"/>
          <w14:textFill>
            <w14:solidFill>
              <w14:schemeClr w14:val="tx1"/>
            </w14:solidFill>
          </w14:textFill>
        </w:rPr>
      </w:pPr>
    </w:p>
    <w:p>
      <w:pP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pPr>
        <w:widowControl/>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附件</w:t>
      </w:r>
      <w:r>
        <w:rPr>
          <w:rFonts w:hint="eastAsia" w:ascii="宋体" w:hAnsi="宋体" w:eastAsia="宋体" w:cs="宋体"/>
          <w:b/>
          <w:color w:val="000000" w:themeColor="text1"/>
          <w:sz w:val="21"/>
          <w:szCs w:val="21"/>
          <w:lang w:val="en-US" w:eastAsia="zh-CN"/>
          <w14:textFill>
            <w14:solidFill>
              <w14:schemeClr w14:val="tx1"/>
            </w14:solidFill>
          </w14:textFill>
        </w:rPr>
        <w:t>10</w:t>
      </w:r>
      <w:r>
        <w:rPr>
          <w:rFonts w:hint="eastAsia" w:ascii="宋体" w:hAnsi="宋体" w:eastAsia="宋体" w:cs="宋体"/>
          <w:b/>
          <w:color w:val="000000" w:themeColor="text1"/>
          <w:sz w:val="21"/>
          <w:szCs w:val="21"/>
          <w14:textFill>
            <w14:solidFill>
              <w14:schemeClr w14:val="tx1"/>
            </w14:solidFill>
          </w14:textFill>
        </w:rPr>
        <w:t>：</w:t>
      </w:r>
    </w:p>
    <w:p>
      <w:pPr>
        <w:widowControl/>
        <w:spacing w:line="40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中小微企业证明文件等（如有）</w:t>
      </w:r>
    </w:p>
    <w:p>
      <w:pPr>
        <w:widowControl/>
        <w:spacing w:line="400" w:lineRule="exact"/>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12-1中小微企业证明文件</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小微企业声明函（按附表1格式填写，格式附后）。</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pPr>
        <w:spacing w:line="400" w:lineRule="exact"/>
        <w:rPr>
          <w:rFonts w:ascii="仿宋" w:hAnsi="仿宋" w:eastAsia="仿宋" w:cs="仿宋"/>
          <w:b/>
          <w:color w:val="000000" w:themeColor="text1"/>
          <w:sz w:val="24"/>
          <w:szCs w:val="24"/>
          <w14:textFill>
            <w14:solidFill>
              <w14:schemeClr w14:val="tx1"/>
            </w14:solidFill>
          </w14:textFill>
        </w:rPr>
      </w:pPr>
    </w:p>
    <w:p>
      <w:pPr>
        <w:spacing w:line="400" w:lineRule="exact"/>
        <w:jc w:val="center"/>
        <w:rPr>
          <w:rFonts w:ascii="仿宋" w:hAnsi="仿宋" w:eastAsia="仿宋" w:cs="仿宋"/>
          <w:b/>
          <w:color w:val="000000" w:themeColor="text1"/>
          <w:sz w:val="24"/>
          <w:szCs w:val="24"/>
          <w14:textFill>
            <w14:solidFill>
              <w14:schemeClr w14:val="tx1"/>
            </w14:solidFill>
          </w14:textFill>
        </w:rPr>
      </w:pPr>
    </w:p>
    <w:p>
      <w:pPr>
        <w:pStyle w:val="25"/>
        <w:adjustRightInd w:val="0"/>
        <w:snapToGrid w:val="0"/>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投标人（2021年</w:t>
      </w:r>
      <w:r>
        <w:rPr>
          <w:rFonts w:hint="eastAsia" w:hAnsi="宋体" w:cs="宋体"/>
          <w:b/>
          <w:color w:val="000000" w:themeColor="text1"/>
          <w:sz w:val="32"/>
          <w:szCs w:val="32"/>
          <w:lang w:val="en-US" w:eastAsia="zh-CN"/>
          <w14:textFill>
            <w14:solidFill>
              <w14:schemeClr w14:val="tx1"/>
            </w14:solidFill>
          </w14:textFill>
        </w:rPr>
        <w:t>或2022年</w:t>
      </w:r>
      <w:r>
        <w:rPr>
          <w:rFonts w:hint="eastAsia" w:ascii="宋体" w:hAnsi="宋体" w:eastAsia="宋体" w:cs="宋体"/>
          <w:b/>
          <w:color w:val="000000" w:themeColor="text1"/>
          <w:sz w:val="32"/>
          <w:szCs w:val="32"/>
          <w14:textFill>
            <w14:solidFill>
              <w14:schemeClr w14:val="tx1"/>
            </w14:solidFill>
          </w14:textFill>
        </w:rPr>
        <w:t>）财务状况</w:t>
      </w:r>
    </w:p>
    <w:p>
      <w:pPr>
        <w:pStyle w:val="25"/>
        <w:adjustRightInd w:val="0"/>
        <w:snapToGrid w:val="0"/>
        <w:spacing w:line="360" w:lineRule="auto"/>
        <w:rPr>
          <w:rFonts w:hint="eastAsia" w:ascii="宋体" w:hAnsi="宋体" w:eastAsia="宋体" w:cs="宋体"/>
          <w:b/>
          <w:color w:val="000000" w:themeColor="text1"/>
          <w:sz w:val="24"/>
          <w:szCs w:val="24"/>
          <w14:textFill>
            <w14:solidFill>
              <w14:schemeClr w14:val="tx1"/>
            </w14:solidFill>
          </w14:textFill>
        </w:rPr>
      </w:pPr>
    </w:p>
    <w:p>
      <w:pPr>
        <w:pStyle w:val="25"/>
        <w:adjustRightInd w:val="0"/>
        <w:snapToGrid w:val="0"/>
        <w:spacing w:line="360" w:lineRule="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一、开户情况</w:t>
      </w:r>
    </w:p>
    <w:tbl>
      <w:tblPr>
        <w:tblStyle w:val="41"/>
        <w:tblW w:w="8651" w:type="dxa"/>
        <w:jc w:val="center"/>
        <w:tblLayout w:type="fixed"/>
        <w:tblCellMar>
          <w:top w:w="0" w:type="dxa"/>
          <w:left w:w="28" w:type="dxa"/>
          <w:bottom w:w="0" w:type="dxa"/>
          <w:right w:w="28" w:type="dxa"/>
        </w:tblCellMar>
      </w:tblPr>
      <w:tblGrid>
        <w:gridCol w:w="1451"/>
        <w:gridCol w:w="3480"/>
        <w:gridCol w:w="3720"/>
      </w:tblGrid>
      <w:tr>
        <w:tblPrEx>
          <w:tblCellMar>
            <w:top w:w="0" w:type="dxa"/>
            <w:left w:w="28" w:type="dxa"/>
            <w:bottom w:w="0" w:type="dxa"/>
            <w:right w:w="28" w:type="dxa"/>
          </w:tblCellMar>
        </w:tblPrEx>
        <w:trPr>
          <w:cantSplit/>
          <w:trHeight w:val="380" w:hRule="atLeast"/>
          <w:jc w:val="center"/>
        </w:trPr>
        <w:tc>
          <w:tcPr>
            <w:tcW w:w="1451" w:type="dxa"/>
            <w:vMerge w:val="restart"/>
            <w:tcBorders>
              <w:top w:val="single" w:color="auto" w:sz="6" w:space="0"/>
              <w:left w:val="single" w:color="auto" w:sz="6" w:space="0"/>
              <w:bottom w:val="nil"/>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开户银行</w:t>
            </w:r>
          </w:p>
        </w:tc>
        <w:tc>
          <w:tcPr>
            <w:tcW w:w="7200" w:type="dxa"/>
            <w:gridSpan w:val="2"/>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银行名称：</w:t>
            </w:r>
          </w:p>
        </w:tc>
      </w:tr>
      <w:tr>
        <w:tblPrEx>
          <w:tblCellMar>
            <w:top w:w="0" w:type="dxa"/>
            <w:left w:w="28" w:type="dxa"/>
            <w:bottom w:w="0" w:type="dxa"/>
            <w:right w:w="28" w:type="dxa"/>
          </w:tblCellMar>
        </w:tblPrEx>
        <w:trPr>
          <w:cantSplit/>
          <w:trHeight w:val="380" w:hRule="atLeast"/>
          <w:jc w:val="center"/>
        </w:trPr>
        <w:tc>
          <w:tcPr>
            <w:tcW w:w="1451" w:type="dxa"/>
            <w:vMerge w:val="continue"/>
            <w:tcBorders>
              <w:top w:val="nil"/>
              <w:left w:val="single" w:color="auto" w:sz="6" w:space="0"/>
              <w:bottom w:val="nil"/>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p>
        </w:tc>
        <w:tc>
          <w:tcPr>
            <w:tcW w:w="7200" w:type="dxa"/>
            <w:gridSpan w:val="2"/>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银行地址：</w:t>
            </w:r>
          </w:p>
        </w:tc>
      </w:tr>
      <w:tr>
        <w:tblPrEx>
          <w:tblCellMar>
            <w:top w:w="0" w:type="dxa"/>
            <w:left w:w="28" w:type="dxa"/>
            <w:bottom w:w="0" w:type="dxa"/>
            <w:right w:w="28" w:type="dxa"/>
          </w:tblCellMar>
        </w:tblPrEx>
        <w:trPr>
          <w:cantSplit/>
          <w:trHeight w:val="380" w:hRule="atLeast"/>
          <w:jc w:val="center"/>
        </w:trPr>
        <w:tc>
          <w:tcPr>
            <w:tcW w:w="1451" w:type="dxa"/>
            <w:vMerge w:val="continue"/>
            <w:tcBorders>
              <w:top w:val="nil"/>
              <w:left w:val="single" w:color="auto" w:sz="6" w:space="0"/>
              <w:bottom w:val="nil"/>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p>
        </w:tc>
        <w:tc>
          <w:tcPr>
            <w:tcW w:w="3480" w:type="dxa"/>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电话：</w:t>
            </w:r>
          </w:p>
        </w:tc>
        <w:tc>
          <w:tcPr>
            <w:tcW w:w="3720"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联系人及职务：</w:t>
            </w:r>
          </w:p>
        </w:tc>
      </w:tr>
      <w:tr>
        <w:tblPrEx>
          <w:tblCellMar>
            <w:top w:w="0" w:type="dxa"/>
            <w:left w:w="28" w:type="dxa"/>
            <w:bottom w:w="0" w:type="dxa"/>
            <w:right w:w="28" w:type="dxa"/>
          </w:tblCellMar>
        </w:tblPrEx>
        <w:trPr>
          <w:cantSplit/>
          <w:trHeight w:val="380" w:hRule="atLeast"/>
          <w:jc w:val="center"/>
        </w:trPr>
        <w:tc>
          <w:tcPr>
            <w:tcW w:w="1451" w:type="dxa"/>
            <w:vMerge w:val="continue"/>
            <w:tcBorders>
              <w:top w:val="nil"/>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p>
        </w:tc>
        <w:tc>
          <w:tcPr>
            <w:tcW w:w="3480" w:type="dxa"/>
            <w:tcBorders>
              <w:top w:val="single" w:color="auto" w:sz="6" w:space="0"/>
              <w:left w:val="nil"/>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传真：</w:t>
            </w:r>
          </w:p>
        </w:tc>
        <w:tc>
          <w:tcPr>
            <w:tcW w:w="3720"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电传：</w:t>
            </w:r>
          </w:p>
        </w:tc>
      </w:tr>
    </w:tbl>
    <w:p>
      <w:pPr>
        <w:pStyle w:val="25"/>
        <w:adjustRightInd w:val="0"/>
        <w:snapToGrid w:val="0"/>
        <w:spacing w:line="360" w:lineRule="auto"/>
        <w:rPr>
          <w:rFonts w:hint="eastAsia" w:ascii="宋体" w:hAnsi="宋体" w:eastAsia="宋体" w:cs="宋体"/>
          <w:b/>
          <w:color w:val="000000" w:themeColor="text1"/>
          <w:sz w:val="21"/>
          <w:szCs w:val="21"/>
          <w:lang w:val="zh-CN"/>
          <w14:textFill>
            <w14:solidFill>
              <w14:schemeClr w14:val="tx1"/>
            </w14:solidFill>
          </w14:textFill>
        </w:rPr>
      </w:pPr>
    </w:p>
    <w:p>
      <w:pPr>
        <w:pStyle w:val="25"/>
        <w:adjustRightInd w:val="0"/>
        <w:snapToGrid w:val="0"/>
        <w:spacing w:line="360" w:lineRule="auto"/>
        <w:rPr>
          <w:rFonts w:hint="eastAsia" w:ascii="宋体" w:hAnsi="宋体" w:eastAsia="宋体" w:cs="宋体"/>
          <w:b/>
          <w:color w:val="000000" w:themeColor="text1"/>
          <w:sz w:val="21"/>
          <w:szCs w:val="21"/>
          <w:lang w:val="zh-CN"/>
          <w14:textFill>
            <w14:solidFill>
              <w14:schemeClr w14:val="tx1"/>
            </w14:solidFill>
          </w14:textFill>
        </w:rPr>
      </w:pPr>
      <w:r>
        <w:rPr>
          <w:rFonts w:hint="eastAsia" w:ascii="宋体" w:hAnsi="宋体" w:eastAsia="宋体" w:cs="宋体"/>
          <w:b/>
          <w:color w:val="000000" w:themeColor="text1"/>
          <w:sz w:val="21"/>
          <w:szCs w:val="21"/>
          <w:lang w:val="zh-CN"/>
          <w14:textFill>
            <w14:solidFill>
              <w14:schemeClr w14:val="tx1"/>
            </w14:solidFill>
          </w14:textFill>
        </w:rPr>
        <w:t>二、资产负债情况</w:t>
      </w:r>
    </w:p>
    <w:tbl>
      <w:tblPr>
        <w:tblStyle w:val="41"/>
        <w:tblW w:w="8600" w:type="dxa"/>
        <w:jc w:val="center"/>
        <w:tblLayout w:type="fixed"/>
        <w:tblCellMar>
          <w:top w:w="0" w:type="dxa"/>
          <w:left w:w="28" w:type="dxa"/>
          <w:bottom w:w="0" w:type="dxa"/>
          <w:right w:w="28" w:type="dxa"/>
        </w:tblCellMar>
      </w:tblPr>
      <w:tblGrid>
        <w:gridCol w:w="2128"/>
        <w:gridCol w:w="6472"/>
      </w:tblGrid>
      <w:tr>
        <w:tblPrEx>
          <w:tblCellMar>
            <w:top w:w="0" w:type="dxa"/>
            <w:left w:w="28" w:type="dxa"/>
            <w:bottom w:w="0" w:type="dxa"/>
            <w:right w:w="28" w:type="dxa"/>
          </w:tblCellMar>
        </w:tblPrEx>
        <w:trPr>
          <w:cantSplit/>
          <w:trHeight w:val="467" w:hRule="atLeast"/>
          <w:jc w:val="center"/>
        </w:trPr>
        <w:tc>
          <w:tcPr>
            <w:tcW w:w="2128" w:type="dxa"/>
            <w:vMerge w:val="restart"/>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财务状况</w:t>
            </w:r>
          </w:p>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单位：元</w:t>
            </w:r>
          </w:p>
        </w:tc>
        <w:tc>
          <w:tcPr>
            <w:tcW w:w="6472" w:type="dxa"/>
            <w:vMerge w:val="restart"/>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default" w:ascii="宋体" w:hAnsi="宋体" w:eastAsia="宋体" w:cs="宋体"/>
                <w:bCs/>
                <w:color w:val="000000" w:themeColor="text1"/>
                <w:sz w:val="21"/>
                <w:szCs w:val="21"/>
                <w:lang w:val="en-US" w:eastAsia="zh-CN"/>
                <w14:textFill>
                  <w14:solidFill>
                    <w14:schemeClr w14:val="tx1"/>
                  </w14:solidFill>
                </w14:textFill>
              </w:rPr>
            </w:pPr>
          </w:p>
        </w:tc>
      </w:tr>
      <w:tr>
        <w:tblPrEx>
          <w:tblCellMar>
            <w:top w:w="0" w:type="dxa"/>
            <w:left w:w="28" w:type="dxa"/>
            <w:bottom w:w="0" w:type="dxa"/>
            <w:right w:w="28" w:type="dxa"/>
          </w:tblCellMar>
        </w:tblPrEx>
        <w:trPr>
          <w:cantSplit/>
          <w:trHeight w:val="467" w:hRule="atLeast"/>
          <w:jc w:val="center"/>
        </w:trPr>
        <w:tc>
          <w:tcPr>
            <w:tcW w:w="2128" w:type="dxa"/>
            <w:vMerge w:val="continue"/>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p>
        </w:tc>
        <w:tc>
          <w:tcPr>
            <w:tcW w:w="6472" w:type="dxa"/>
            <w:vMerge w:val="continue"/>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1.总资产</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2.流动资产</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3.总负债</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4.流动负债</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5.税前利润</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p>
        </w:tc>
      </w:tr>
      <w:tr>
        <w:tblPrEx>
          <w:tblCellMar>
            <w:top w:w="0" w:type="dxa"/>
            <w:left w:w="28" w:type="dxa"/>
            <w:bottom w:w="0" w:type="dxa"/>
            <w:right w:w="28" w:type="dxa"/>
          </w:tblCellMar>
        </w:tblPrEx>
        <w:trPr>
          <w:trHeight w:val="450" w:hRule="atLeast"/>
          <w:jc w:val="center"/>
        </w:trPr>
        <w:tc>
          <w:tcPr>
            <w:tcW w:w="2128"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r>
              <w:rPr>
                <w:rFonts w:hint="eastAsia" w:ascii="宋体" w:hAnsi="宋体" w:eastAsia="宋体" w:cs="宋体"/>
                <w:bCs/>
                <w:color w:val="000000" w:themeColor="text1"/>
                <w:sz w:val="21"/>
                <w:szCs w:val="21"/>
                <w:lang w:val="zh-CN"/>
                <w14:textFill>
                  <w14:solidFill>
                    <w14:schemeClr w14:val="tx1"/>
                  </w14:solidFill>
                </w14:textFill>
              </w:rPr>
              <w:t>6.税后利润</w:t>
            </w:r>
          </w:p>
        </w:tc>
        <w:tc>
          <w:tcPr>
            <w:tcW w:w="6472" w:type="dxa"/>
            <w:tcBorders>
              <w:top w:val="single" w:color="auto" w:sz="6" w:space="0"/>
              <w:left w:val="single" w:color="auto" w:sz="6" w:space="0"/>
              <w:bottom w:val="single" w:color="auto" w:sz="6" w:space="0"/>
              <w:right w:val="single" w:color="auto" w:sz="6" w:space="0"/>
            </w:tcBorders>
            <w:vAlign w:val="center"/>
          </w:tcPr>
          <w:p>
            <w:pPr>
              <w:pStyle w:val="25"/>
              <w:adjustRightInd w:val="0"/>
              <w:snapToGrid w:val="0"/>
              <w:spacing w:line="360" w:lineRule="auto"/>
              <w:rPr>
                <w:rFonts w:hint="eastAsia" w:ascii="宋体" w:hAnsi="宋体" w:eastAsia="宋体" w:cs="宋体"/>
                <w:bCs/>
                <w:color w:val="000000" w:themeColor="text1"/>
                <w:sz w:val="21"/>
                <w:szCs w:val="21"/>
                <w:lang w:val="zh-CN"/>
                <w14:textFill>
                  <w14:solidFill>
                    <w14:schemeClr w14:val="tx1"/>
                  </w14:solidFill>
                </w14:textFill>
              </w:rPr>
            </w:pPr>
          </w:p>
        </w:tc>
      </w:tr>
    </w:tbl>
    <w:p>
      <w:pPr>
        <w:pStyle w:val="25"/>
        <w:adjustRightInd w:val="0"/>
        <w:snapToGrid w:val="0"/>
        <w:spacing w:line="360" w:lineRule="auto"/>
        <w:rPr>
          <w:rFonts w:hint="eastAsia" w:ascii="宋体" w:hAnsi="宋体" w:eastAsia="宋体" w:cs="宋体"/>
          <w:b/>
          <w:color w:val="000000" w:themeColor="text1"/>
          <w:sz w:val="21"/>
          <w:szCs w:val="21"/>
          <w:lang w:val="zh-CN"/>
          <w14:textFill>
            <w14:solidFill>
              <w14:schemeClr w14:val="tx1"/>
            </w14:solidFill>
          </w14:textFill>
        </w:rPr>
      </w:pPr>
    </w:p>
    <w:p>
      <w:pPr>
        <w:pStyle w:val="25"/>
        <w:adjustRightInd w:val="0"/>
        <w:snapToGrid w:val="0"/>
        <w:spacing w:line="360" w:lineRule="auto"/>
        <w:ind w:firstLine="482" w:firstLineChars="200"/>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说明：后附20</w:t>
      </w:r>
      <w:r>
        <w:rPr>
          <w:rFonts w:hint="eastAsia" w:ascii="宋体" w:hAnsi="宋体" w:eastAsia="宋体" w:cs="宋体"/>
          <w:b/>
          <w:color w:val="000000" w:themeColor="text1"/>
          <w:sz w:val="24"/>
          <w:szCs w:val="24"/>
          <w14:textFill>
            <w14:solidFill>
              <w14:schemeClr w14:val="tx1"/>
            </w14:solidFill>
          </w14:textFill>
        </w:rPr>
        <w:t>21</w:t>
      </w:r>
      <w:r>
        <w:rPr>
          <w:rFonts w:hint="eastAsia" w:ascii="宋体" w:hAnsi="宋体" w:eastAsia="宋体" w:cs="宋体"/>
          <w:b/>
          <w:color w:val="000000" w:themeColor="text1"/>
          <w:sz w:val="24"/>
          <w:szCs w:val="24"/>
          <w:lang w:val="zh-CN"/>
          <w14:textFill>
            <w14:solidFill>
              <w14:schemeClr w14:val="tx1"/>
            </w14:solidFill>
          </w14:textFill>
        </w:rPr>
        <w:t>年度</w:t>
      </w:r>
      <w:r>
        <w:rPr>
          <w:rFonts w:hint="eastAsia" w:hAnsi="宋体" w:cs="宋体"/>
          <w:b/>
          <w:color w:val="000000" w:themeColor="text1"/>
          <w:sz w:val="24"/>
          <w:szCs w:val="24"/>
          <w:lang w:val="en-US" w:eastAsia="zh-CN"/>
          <w14:textFill>
            <w14:solidFill>
              <w14:schemeClr w14:val="tx1"/>
            </w14:solidFill>
          </w14:textFill>
        </w:rPr>
        <w:t>或2022年度</w:t>
      </w:r>
      <w:r>
        <w:rPr>
          <w:rFonts w:hint="eastAsia" w:ascii="宋体" w:hAnsi="宋体" w:eastAsia="宋体" w:cs="宋体"/>
          <w:b/>
          <w:color w:val="000000" w:themeColor="text1"/>
          <w:sz w:val="24"/>
          <w:szCs w:val="24"/>
          <w:lang w:val="zh-CN"/>
          <w14:textFill>
            <w14:solidFill>
              <w14:schemeClr w14:val="tx1"/>
            </w14:solidFill>
          </w14:textFill>
        </w:rPr>
        <w:t>的财务报表，包括资产负债表、现金流量表和损益表（全本）。</w:t>
      </w:r>
    </w:p>
    <w:p>
      <w:pPr>
        <w:pStyle w:val="25"/>
        <w:adjustRightInd w:val="0"/>
        <w:snapToGrid w:val="0"/>
        <w:spacing w:line="360" w:lineRule="auto"/>
        <w:rPr>
          <w:rFonts w:hint="eastAsia" w:ascii="宋体" w:hAnsi="宋体" w:eastAsia="宋体" w:cs="宋体"/>
          <w:b/>
          <w:color w:val="000000" w:themeColor="text1"/>
          <w:sz w:val="24"/>
          <w:szCs w:val="24"/>
          <w:lang w:val="zh-CN"/>
          <w14:textFill>
            <w14:solidFill>
              <w14:schemeClr w14:val="tx1"/>
            </w14:solidFill>
          </w14:textFill>
        </w:rPr>
      </w:pPr>
    </w:p>
    <w:p>
      <w:pPr>
        <w:pStyle w:val="25"/>
        <w:adjustRightInd w:val="0"/>
        <w:snapToGrid w:val="0"/>
        <w:spacing w:line="360" w:lineRule="auto"/>
        <w:rPr>
          <w:rFonts w:hint="eastAsia" w:ascii="宋体" w:hAnsi="宋体" w:eastAsia="宋体" w:cs="宋体"/>
          <w:b/>
          <w:color w:val="000000" w:themeColor="text1"/>
          <w:sz w:val="21"/>
          <w:szCs w:val="21"/>
          <w14:textFill>
            <w14:solidFill>
              <w14:schemeClr w14:val="tx1"/>
            </w14:solidFill>
          </w14:textFill>
        </w:rPr>
      </w:pPr>
    </w:p>
    <w:p>
      <w:pPr>
        <w:pStyle w:val="25"/>
        <w:adjustRightInd w:val="0"/>
        <w:snapToGrid w:val="0"/>
        <w:spacing w:line="360" w:lineRule="auto"/>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投标人：（盖章）：</w:t>
      </w:r>
      <w:r>
        <w:rPr>
          <w:rFonts w:hint="eastAsia" w:ascii="宋体" w:hAnsi="宋体" w:eastAsia="宋体" w:cs="宋体"/>
          <w:bCs/>
          <w:color w:val="000000" w:themeColor="text1"/>
          <w:sz w:val="21"/>
          <w:szCs w:val="21"/>
          <w:u w:val="single"/>
          <w14:textFill>
            <w14:solidFill>
              <w14:schemeClr w14:val="tx1"/>
            </w14:solidFill>
          </w14:textFill>
        </w:rPr>
        <w:t xml:space="preserve">                           </w:t>
      </w:r>
    </w:p>
    <w:p>
      <w:pPr>
        <w:pStyle w:val="25"/>
        <w:adjustRightInd w:val="0"/>
        <w:snapToGrid w:val="0"/>
        <w:spacing w:line="360" w:lineRule="auto"/>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法定代表人或其委托代理人(签字或盖章)：</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 xml:space="preserve">        </w:t>
      </w:r>
    </w:p>
    <w:p>
      <w:pPr>
        <w:pStyle w:val="25"/>
        <w:adjustRightInd w:val="0"/>
        <w:snapToGrid w:val="0"/>
        <w:spacing w:line="360" w:lineRule="auto"/>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日          期：</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年</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 xml:space="preserve"> 月</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日</w:t>
      </w:r>
    </w:p>
    <w:p>
      <w:pPr>
        <w:pStyle w:val="25"/>
        <w:adjustRightInd w:val="0"/>
        <w:snapToGrid w:val="0"/>
        <w:spacing w:line="360" w:lineRule="auto"/>
        <w:rPr>
          <w:rFonts w:hint="eastAsia" w:ascii="宋体" w:hAnsi="宋体" w:eastAsia="宋体" w:cs="宋体"/>
          <w:b/>
          <w:color w:val="000000" w:themeColor="text1"/>
          <w:sz w:val="21"/>
          <w:szCs w:val="21"/>
          <w14:textFill>
            <w14:solidFill>
              <w14:schemeClr w14:val="tx1"/>
            </w14:solidFill>
          </w14:textFill>
        </w:rPr>
      </w:pPr>
    </w:p>
    <w:p>
      <w:pPr>
        <w:pStyle w:val="25"/>
        <w:adjustRightInd w:val="0"/>
        <w:snapToGrid w:val="0"/>
        <w:spacing w:line="360" w:lineRule="auto"/>
        <w:outlineLvl w:val="0"/>
        <w:rPr>
          <w:rFonts w:hint="eastAsia" w:ascii="宋体" w:hAnsi="宋体" w:eastAsia="宋体" w:cs="宋体"/>
          <w:b/>
          <w:color w:val="000000" w:themeColor="text1"/>
          <w:sz w:val="22"/>
          <w:szCs w:val="28"/>
          <w14:textFill>
            <w14:solidFill>
              <w14:schemeClr w14:val="tx1"/>
            </w14:solidFill>
          </w14:textFill>
        </w:rPr>
      </w:pPr>
    </w:p>
    <w:p>
      <w:pPr>
        <w:pStyle w:val="25"/>
        <w:adjustRightInd w:val="0"/>
        <w:snapToGrid w:val="0"/>
        <w:spacing w:line="360" w:lineRule="auto"/>
        <w:jc w:val="center"/>
        <w:rPr>
          <w:rFonts w:hint="eastAsia" w:ascii="宋体" w:hAnsi="宋体" w:eastAsia="宋体" w:cs="宋体"/>
          <w:b/>
          <w:color w:val="000000" w:themeColor="text1"/>
          <w:sz w:val="32"/>
          <w:szCs w:val="32"/>
          <w14:textFill>
            <w14:solidFill>
              <w14:schemeClr w14:val="tx1"/>
            </w14:solidFill>
          </w14:textFill>
        </w:rPr>
        <w:sectPr>
          <w:pgSz w:w="11906" w:h="16838"/>
          <w:pgMar w:top="1440" w:right="1117" w:bottom="1440" w:left="1117" w:header="851" w:footer="992" w:gutter="0"/>
          <w:pgNumType w:fmt="decimal"/>
          <w:cols w:space="720" w:num="1"/>
          <w:docGrid w:linePitch="312" w:charSpace="0"/>
        </w:sectPr>
      </w:pPr>
    </w:p>
    <w:p>
      <w:pPr>
        <w:pStyle w:val="25"/>
        <w:adjustRightInd w:val="0"/>
        <w:snapToGrid w:val="0"/>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资格、能力证明材料</w:t>
      </w:r>
    </w:p>
    <w:p>
      <w:pPr>
        <w:pStyle w:val="25"/>
        <w:adjustRightInd w:val="0"/>
        <w:snapToGrid w:val="0"/>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pStyle w:val="25"/>
        <w:adjustRightInd w:val="0"/>
        <w:snapToGrid w:val="0"/>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一、资格性证明材料</w:t>
      </w: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1）营业执照复印件；</w:t>
      </w: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2）税务登记证复印件或依法缴纳税收证明材料的复印件；</w:t>
      </w: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3）社保登记证复印件或由社保机构出具的近半年社保缴纳证明复印件；</w:t>
      </w: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4）法人授权委托书原件、法定代表人和委托代理人身份证复印件；</w:t>
      </w: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5）提供2021年度</w:t>
      </w:r>
      <w:r>
        <w:rPr>
          <w:rFonts w:hint="eastAsia" w:hAnsi="宋体" w:cs="宋体"/>
          <w:bCs/>
          <w:color w:val="000000" w:themeColor="text1"/>
          <w:sz w:val="21"/>
          <w:szCs w:val="21"/>
          <w:lang w:val="en-US" w:eastAsia="zh-CN"/>
          <w14:textFill>
            <w14:solidFill>
              <w14:schemeClr w14:val="tx1"/>
            </w14:solidFill>
          </w14:textFill>
        </w:rPr>
        <w:t>或2022年度</w:t>
      </w:r>
      <w:r>
        <w:rPr>
          <w:rFonts w:hint="eastAsia" w:ascii="宋体" w:hAnsi="宋体" w:eastAsia="宋体" w:cs="宋体"/>
          <w:bCs/>
          <w:color w:val="000000" w:themeColor="text1"/>
          <w:sz w:val="21"/>
          <w:szCs w:val="21"/>
          <w14:textFill>
            <w14:solidFill>
              <w14:schemeClr w14:val="tx1"/>
            </w14:solidFill>
          </w14:textFill>
        </w:rPr>
        <w:t>财务会计报表/审计报告复印件；</w:t>
      </w:r>
    </w:p>
    <w:p>
      <w:pPr>
        <w:adjustRightInd w:val="0"/>
        <w:snapToGrid w:val="0"/>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提供网站截图复印件（查询渠道：“信用中国”网站（www.creditchina.gov.cn）、中国政府采购网（www.ccgp.gov.cn））。</w:t>
      </w:r>
    </w:p>
    <w:p>
      <w:pPr>
        <w:adjustRightInd w:val="0"/>
        <w:snapToGrid w:val="0"/>
        <w:spacing w:line="360" w:lineRule="auto"/>
        <w:rPr>
          <w:rFonts w:ascii="仿宋" w:hAnsi="仿宋" w:eastAsia="仿宋" w:cs="仿宋"/>
          <w:color w:val="000000" w:themeColor="text1"/>
          <w:kern w:val="0"/>
          <w:sz w:val="24"/>
          <w:szCs w:val="24"/>
          <w14:textFill>
            <w14:solidFill>
              <w14:schemeClr w14:val="tx1"/>
            </w14:solidFill>
          </w14:textFill>
        </w:rPr>
      </w:pPr>
    </w:p>
    <w:p>
      <w:pPr>
        <w:pStyle w:val="25"/>
        <w:adjustRightInd w:val="0"/>
        <w:snapToGrid w:val="0"/>
        <w:spacing w:line="360" w:lineRule="auto"/>
        <w:rPr>
          <w:rFonts w:ascii="仿宋" w:hAnsi="仿宋" w:eastAsia="仿宋" w:cs="仿宋"/>
          <w:b/>
          <w:color w:val="000000" w:themeColor="text1"/>
          <w:sz w:val="24"/>
          <w:szCs w:val="24"/>
          <w14:textFill>
            <w14:solidFill>
              <w14:schemeClr w14:val="tx1"/>
            </w14:solidFill>
          </w14:textFill>
        </w:rPr>
      </w:pPr>
    </w:p>
    <w:p>
      <w:pPr>
        <w:pStyle w:val="25"/>
        <w:adjustRightInd w:val="0"/>
        <w:snapToGrid w:val="0"/>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二、能力证明材料</w:t>
      </w: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（1）结合评标办法补充的其他资料或投标人认为有必要提供的其他能力证明材料；</w:t>
      </w: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pPr>
    </w:p>
    <w:p>
      <w:pPr>
        <w:pStyle w:val="25"/>
        <w:adjustRightInd w:val="0"/>
        <w:snapToGrid w:val="0"/>
        <w:spacing w:line="360" w:lineRule="auto"/>
        <w:rPr>
          <w:rFonts w:hint="eastAsia" w:ascii="宋体" w:hAnsi="宋体" w:eastAsia="宋体" w:cs="宋体"/>
          <w:bCs/>
          <w:color w:val="000000" w:themeColor="text1"/>
          <w:sz w:val="21"/>
          <w:szCs w:val="21"/>
          <w14:textFill>
            <w14:solidFill>
              <w14:schemeClr w14:val="tx1"/>
            </w14:solidFill>
          </w14:textFill>
        </w:rPr>
        <w:sectPr>
          <w:footerReference r:id="rId14" w:type="default"/>
          <w:pgSz w:w="11906" w:h="16838"/>
          <w:pgMar w:top="1440" w:right="1117" w:bottom="1440" w:left="1117" w:header="851" w:footer="992" w:gutter="0"/>
          <w:pgNumType w:fmt="decimal"/>
          <w:cols w:space="720" w:num="1"/>
          <w:docGrid w:linePitch="312" w:charSpace="0"/>
        </w:sectPr>
      </w:pPr>
      <w:r>
        <w:rPr>
          <w:rFonts w:hint="eastAsia" w:ascii="宋体" w:hAnsi="宋体" w:eastAsia="宋体" w:cs="宋体"/>
          <w:bCs/>
          <w:color w:val="000000" w:themeColor="text1"/>
          <w:sz w:val="21"/>
          <w:szCs w:val="21"/>
          <w14:textFill>
            <w14:solidFill>
              <w14:schemeClr w14:val="tx1"/>
            </w14:solidFill>
          </w14:textFill>
        </w:rPr>
        <w:t>注：以上复印件均需要加盖投标人公章</w:t>
      </w:r>
    </w:p>
    <w:p>
      <w:pPr>
        <w:pStyle w:val="25"/>
        <w:adjustRightInd w:val="0"/>
        <w:snapToGrid w:val="0"/>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售后服务方案</w:t>
      </w:r>
    </w:p>
    <w:p>
      <w:pPr>
        <w:pStyle w:val="25"/>
        <w:adjustRightInd w:val="0"/>
        <w:snapToGrid w:val="0"/>
        <w:spacing w:line="360" w:lineRule="auto"/>
        <w:jc w:val="center"/>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格式自拟</w:t>
      </w:r>
    </w:p>
    <w:p>
      <w:pPr>
        <w:rPr>
          <w:rFonts w:hint="eastAsia" w:ascii="宋体" w:hAnsi="宋体" w:eastAsia="宋体" w:cs="宋体"/>
          <w:bCs/>
          <w:color w:val="000000" w:themeColor="text1"/>
          <w:sz w:val="22"/>
          <w14:textFill>
            <w14:solidFill>
              <w14:schemeClr w14:val="tx1"/>
            </w14:solidFill>
          </w14:textFill>
        </w:rPr>
      </w:pPr>
      <w:r>
        <w:rPr>
          <w:rFonts w:hint="eastAsia" w:ascii="宋体" w:hAnsi="宋体" w:eastAsia="宋体" w:cs="宋体"/>
          <w:bCs/>
          <w:color w:val="000000" w:themeColor="text1"/>
          <w:sz w:val="22"/>
          <w14:textFill>
            <w14:solidFill>
              <w14:schemeClr w14:val="tx1"/>
            </w14:solidFill>
          </w14:textFill>
        </w:rPr>
        <w:br w:type="page"/>
      </w:r>
    </w:p>
    <w:p>
      <w:pPr>
        <w:pStyle w:val="25"/>
        <w:adjustRightInd w:val="0"/>
        <w:snapToGrid w:val="0"/>
        <w:spacing w:line="360" w:lineRule="auto"/>
        <w:rPr>
          <w:rFonts w:hint="eastAsia" w:ascii="宋体" w:hAnsi="宋体" w:eastAsia="宋体" w:cs="宋体"/>
          <w:bCs/>
          <w:color w:val="000000" w:themeColor="text1"/>
          <w:sz w:val="22"/>
          <w14:textFill>
            <w14:solidFill>
              <w14:schemeClr w14:val="tx1"/>
            </w14:solidFill>
          </w14:textFill>
        </w:rPr>
      </w:pPr>
    </w:p>
    <w:p>
      <w:pPr>
        <w:widowControl/>
        <w:spacing w:line="400" w:lineRule="exact"/>
        <w:rPr>
          <w:rFonts w:hint="eastAsia" w:ascii="宋体" w:hAnsi="宋体" w:eastAsia="宋体" w:cs="宋体"/>
          <w:b/>
          <w:color w:val="000000" w:themeColor="text1"/>
          <w:sz w:val="24"/>
          <w:szCs w:val="24"/>
          <w14:textFill>
            <w14:solidFill>
              <w14:schemeClr w14:val="tx1"/>
            </w14:solidFill>
          </w14:textFill>
        </w:rPr>
      </w:pPr>
      <w:bookmarkStart w:id="61" w:name="_Toc12421_WPSOffice_Level2"/>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11</w:t>
      </w:r>
      <w:r>
        <w:rPr>
          <w:rFonts w:hint="eastAsia" w:ascii="宋体" w:hAnsi="宋体" w:eastAsia="宋体" w:cs="宋体"/>
          <w:b/>
          <w:color w:val="000000" w:themeColor="text1"/>
          <w:sz w:val="24"/>
          <w:szCs w:val="24"/>
          <w14:textFill>
            <w14:solidFill>
              <w14:schemeClr w14:val="tx1"/>
            </w14:solidFill>
          </w14:textFill>
        </w:rPr>
        <w:t>：</w:t>
      </w:r>
    </w:p>
    <w:p>
      <w:pPr>
        <w:pStyle w:val="25"/>
        <w:adjustRightInd w:val="0"/>
        <w:snapToGrid w:val="0"/>
        <w:spacing w:line="360" w:lineRule="auto"/>
        <w:ind w:firstLine="2249" w:firstLineChars="700"/>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供应商认为需要提供的其它资料</w:t>
      </w:r>
      <w:bookmarkEnd w:id="61"/>
    </w:p>
    <w:p>
      <w:pPr>
        <w:pStyle w:val="25"/>
        <w:adjustRightInd w:val="0"/>
        <w:snapToGrid w:val="0"/>
        <w:spacing w:line="360" w:lineRule="auto"/>
        <w:jc w:val="center"/>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格式自拟</w:t>
      </w:r>
    </w:p>
    <w:p>
      <w:pPr>
        <w:pStyle w:val="149"/>
        <w:ind w:firstLine="640"/>
        <w:rPr>
          <w:rFonts w:cs="仿宋"/>
          <w:bCs/>
          <w:color w:val="000000" w:themeColor="text1"/>
          <w:sz w:val="32"/>
          <w:szCs w:val="32"/>
          <w14:textFill>
            <w14:solidFill>
              <w14:schemeClr w14:val="tx1"/>
            </w14:solidFill>
          </w14:textFill>
        </w:rPr>
      </w:pPr>
    </w:p>
    <w:p>
      <w:pP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br w:type="page"/>
      </w:r>
    </w:p>
    <w:p>
      <w:pPr>
        <w:pStyle w:val="25"/>
        <w:adjustRightInd w:val="0"/>
        <w:snapToGrid w:val="0"/>
        <w:spacing w:line="360" w:lineRule="auto"/>
        <w:jc w:val="center"/>
        <w:outlineLvl w:val="0"/>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补充条款</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投标保证金退还申请书</w:t>
      </w:r>
    </w:p>
    <w:p>
      <w:pPr>
        <w:spacing w:line="360" w:lineRule="auto"/>
        <w:rPr>
          <w:rFonts w:ascii="宋体" w:hAnsi="宋体" w:cs="宋体"/>
          <w:color w:val="000000" w:themeColor="text1"/>
          <w:sz w:val="22"/>
          <w:szCs w:val="22"/>
          <w14:textFill>
            <w14:solidFill>
              <w14:schemeClr w14:val="tx1"/>
            </w14:solidFill>
          </w14:textFill>
        </w:rPr>
      </w:pP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（招标代理机构）</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我公司报名参加了</w:t>
      </w:r>
      <w:r>
        <w:rPr>
          <w:rFonts w:hint="eastAsia" w:ascii="宋体" w:hAnsi="宋体" w:eastAsia="宋体" w:cs="宋体"/>
          <w:color w:val="000000" w:themeColor="text1"/>
          <w:sz w:val="21"/>
          <w:szCs w:val="21"/>
          <w:u w:val="single"/>
          <w14:textFill>
            <w14:solidFill>
              <w14:schemeClr w14:val="tx1"/>
            </w14:solidFill>
          </w14:textFill>
        </w:rPr>
        <w:t xml:space="preserve">                                    （项目名称标包号、项目编号）</w:t>
      </w:r>
      <w:r>
        <w:rPr>
          <w:rFonts w:hint="eastAsia" w:ascii="宋体" w:hAnsi="宋体" w:eastAsia="宋体" w:cs="宋体"/>
          <w:color w:val="000000" w:themeColor="text1"/>
          <w:sz w:val="21"/>
          <w:szCs w:val="21"/>
          <w14:textFill>
            <w14:solidFill>
              <w14:schemeClr w14:val="tx1"/>
            </w14:solidFill>
          </w14:textFill>
        </w:rPr>
        <w:t>的投标并递交了投标保证金人民币</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拾</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万</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仟</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拾</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元整，￥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元），在此我方说明如下：</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1、根据投标要求，我公司向贵单位缴纳了投标保证金现该项目已定标，我公司未中标，因此，请将我司缴纳的投标保证金金额退还至以下账户。</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2、如我单位中标，我们将按照规定缴纳招标代理服务费。我方承诺，如我单位未按规定缴纳招标代理服务费，承诺同意贵方可从我单位提交的投标保证金内抵销。</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3、如果我单位未遵守有关招标文件关于招标保证金的规定，贵方可以抵销我单位投标保证金。</w:t>
      </w:r>
    </w:p>
    <w:p>
      <w:pPr>
        <w:pStyle w:val="2"/>
        <w:rPr>
          <w:rFonts w:hint="eastAsia"/>
          <w:sz w:val="24"/>
          <w:szCs w:val="22"/>
        </w:rPr>
      </w:pPr>
    </w:p>
    <w:tbl>
      <w:tblPr>
        <w:tblStyle w:val="4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408" w:type="dxa"/>
            <w:vAlign w:val="center"/>
          </w:tcPr>
          <w:p>
            <w:pPr>
              <w:tabs>
                <w:tab w:val="left" w:pos="78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投标人（收款单位）名称</w:t>
            </w:r>
          </w:p>
        </w:tc>
        <w:tc>
          <w:tcPr>
            <w:tcW w:w="4064" w:type="dxa"/>
            <w:vAlign w:val="center"/>
          </w:tcPr>
          <w:p>
            <w:pPr>
              <w:tabs>
                <w:tab w:val="left" w:pos="780"/>
              </w:tabs>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408" w:type="dxa"/>
            <w:vAlign w:val="center"/>
          </w:tcPr>
          <w:p>
            <w:pPr>
              <w:tabs>
                <w:tab w:val="left" w:pos="78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投标人（收款单位）纳税人识别号</w:t>
            </w:r>
          </w:p>
        </w:tc>
        <w:tc>
          <w:tcPr>
            <w:tcW w:w="4064" w:type="dxa"/>
            <w:vAlign w:val="center"/>
          </w:tcPr>
          <w:p>
            <w:pPr>
              <w:tabs>
                <w:tab w:val="left" w:pos="780"/>
              </w:tabs>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08" w:type="dxa"/>
            <w:vAlign w:val="center"/>
          </w:tcPr>
          <w:p>
            <w:pPr>
              <w:tabs>
                <w:tab w:val="left" w:pos="78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投标人（收款单位）注册地址、电话</w:t>
            </w:r>
          </w:p>
        </w:tc>
        <w:tc>
          <w:tcPr>
            <w:tcW w:w="4064" w:type="dxa"/>
            <w:vAlign w:val="center"/>
          </w:tcPr>
          <w:p>
            <w:pPr>
              <w:tabs>
                <w:tab w:val="left" w:pos="780"/>
              </w:tabs>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408" w:type="dxa"/>
            <w:vAlign w:val="center"/>
          </w:tcPr>
          <w:p>
            <w:pPr>
              <w:tabs>
                <w:tab w:val="left" w:pos="78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开户银行、行号、账号</w:t>
            </w:r>
          </w:p>
        </w:tc>
        <w:tc>
          <w:tcPr>
            <w:tcW w:w="4064" w:type="dxa"/>
            <w:vAlign w:val="center"/>
          </w:tcPr>
          <w:p>
            <w:pPr>
              <w:tabs>
                <w:tab w:val="left" w:pos="780"/>
              </w:tabs>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08" w:type="dxa"/>
            <w:vAlign w:val="center"/>
          </w:tcPr>
          <w:p>
            <w:pPr>
              <w:tabs>
                <w:tab w:val="left" w:pos="78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联系人、联系电话（手机）</w:t>
            </w:r>
          </w:p>
        </w:tc>
        <w:tc>
          <w:tcPr>
            <w:tcW w:w="4064" w:type="dxa"/>
            <w:vAlign w:val="center"/>
          </w:tcPr>
          <w:p>
            <w:pPr>
              <w:tabs>
                <w:tab w:val="left" w:pos="780"/>
              </w:tabs>
              <w:spacing w:line="360" w:lineRule="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408" w:type="dxa"/>
            <w:vAlign w:val="center"/>
          </w:tcPr>
          <w:p>
            <w:pPr>
              <w:tabs>
                <w:tab w:val="left" w:pos="78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投标人地址（很重要：如中标通知书、发票等直接寄往该地址）</w:t>
            </w:r>
          </w:p>
        </w:tc>
        <w:tc>
          <w:tcPr>
            <w:tcW w:w="4064" w:type="dxa"/>
            <w:vAlign w:val="center"/>
          </w:tcPr>
          <w:p>
            <w:pPr>
              <w:tabs>
                <w:tab w:val="left" w:pos="780"/>
              </w:tabs>
              <w:spacing w:line="360" w:lineRule="auto"/>
              <w:rPr>
                <w:rFonts w:hint="eastAsia" w:ascii="宋体" w:hAnsi="宋体" w:eastAsia="宋体" w:cs="宋体"/>
                <w:color w:val="000000" w:themeColor="text1"/>
                <w:sz w:val="24"/>
                <w:szCs w:val="24"/>
                <w14:textFill>
                  <w14:solidFill>
                    <w14:schemeClr w14:val="tx1"/>
                  </w14:solidFill>
                </w14:textFill>
              </w:rPr>
            </w:pPr>
          </w:p>
        </w:tc>
      </w:tr>
    </w:tbl>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特此承诺！</w:t>
      </w:r>
    </w:p>
    <w:p>
      <w:pPr>
        <w:tabs>
          <w:tab w:val="left" w:pos="5580"/>
        </w:tabs>
        <w:spacing w:line="360" w:lineRule="auto"/>
        <w:ind w:firstLine="2730" w:firstLineChars="1300"/>
        <w:rPr>
          <w:rFonts w:hint="eastAsia" w:ascii="宋体" w:hAnsi="宋体" w:eastAsia="宋体" w:cs="宋体"/>
          <w:color w:val="000000" w:themeColor="text1"/>
          <w:sz w:val="21"/>
          <w:szCs w:val="21"/>
          <w14:textFill>
            <w14:solidFill>
              <w14:schemeClr w14:val="tx1"/>
            </w14:solidFill>
          </w14:textFill>
        </w:rPr>
      </w:pPr>
    </w:p>
    <w:p>
      <w:pPr>
        <w:tabs>
          <w:tab w:val="left" w:pos="5580"/>
        </w:tabs>
        <w:spacing w:line="360" w:lineRule="auto"/>
        <w:ind w:firstLine="2730" w:firstLineChars="1300"/>
        <w:rPr>
          <w:rFonts w:hint="eastAsia" w:ascii="宋体" w:hAnsi="宋体" w:eastAsia="宋体" w:cs="宋体"/>
          <w:color w:val="000000" w:themeColor="text1"/>
          <w:sz w:val="21"/>
          <w:szCs w:val="21"/>
          <w14:textFill>
            <w14:solidFill>
              <w14:schemeClr w14:val="tx1"/>
            </w14:solidFill>
          </w14:textFill>
        </w:rPr>
      </w:pPr>
    </w:p>
    <w:p>
      <w:pPr>
        <w:tabs>
          <w:tab w:val="left" w:pos="5580"/>
        </w:tabs>
        <w:spacing w:line="360" w:lineRule="auto"/>
        <w:ind w:firstLine="2730" w:firstLineChars="1300"/>
        <w:rPr>
          <w:rFonts w:hint="eastAsia" w:ascii="宋体" w:hAnsi="宋体" w:eastAsia="宋体" w:cs="宋体"/>
          <w:color w:val="000000" w:themeColor="text1"/>
          <w:sz w:val="21"/>
          <w:szCs w:val="21"/>
          <w14:textFill>
            <w14:solidFill>
              <w14:schemeClr w14:val="tx1"/>
            </w14:solidFill>
          </w14:textFill>
        </w:rPr>
      </w:pPr>
    </w:p>
    <w:p>
      <w:pPr>
        <w:tabs>
          <w:tab w:val="left" w:pos="5580"/>
        </w:tabs>
        <w:spacing w:line="360" w:lineRule="auto"/>
        <w:ind w:firstLine="2730" w:firstLineChars="1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投标人（盖章）：</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pPr>
        <w:tabs>
          <w:tab w:val="left" w:pos="5580"/>
        </w:tabs>
        <w:spacing w:line="360" w:lineRule="auto"/>
        <w:ind w:firstLine="2730" w:firstLineChars="1300"/>
        <w:rPr>
          <w:rFonts w:hint="eastAsia" w:ascii="宋体" w:hAnsi="宋体" w:eastAsia="宋体" w:cs="宋体"/>
          <w:color w:val="000000" w:themeColor="text1"/>
          <w:kern w:val="0"/>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w:t>
      </w:r>
      <w:r>
        <w:rPr>
          <w:rFonts w:hint="eastAsia" w:ascii="宋体" w:hAnsi="宋体" w:eastAsia="宋体" w:cs="宋体"/>
          <w:color w:val="000000" w:themeColor="text1"/>
          <w:kern w:val="0"/>
          <w:sz w:val="21"/>
          <w:szCs w:val="21"/>
          <w14:textFill>
            <w14:solidFill>
              <w14:schemeClr w14:val="tx1"/>
            </w14:solidFill>
          </w14:textFill>
        </w:rPr>
        <w:t>委托代理人</w:t>
      </w:r>
      <w:r>
        <w:rPr>
          <w:rFonts w:hint="eastAsia" w:ascii="宋体" w:hAnsi="宋体" w:eastAsia="宋体" w:cs="宋体"/>
          <w:color w:val="000000" w:themeColor="text1"/>
          <w:sz w:val="21"/>
          <w:szCs w:val="21"/>
          <w14:textFill>
            <w14:solidFill>
              <w14:schemeClr w14:val="tx1"/>
            </w14:solidFill>
          </w14:textFill>
        </w:rPr>
        <w:t>（签字）</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u w:val="single"/>
          <w14:textFill>
            <w14:solidFill>
              <w14:schemeClr w14:val="tx1"/>
            </w14:solidFill>
          </w14:textFill>
        </w:rPr>
        <w:t xml:space="preserve">             </w:t>
      </w:r>
    </w:p>
    <w:p>
      <w:pPr>
        <w:spacing w:line="360" w:lineRule="auto"/>
        <w:ind w:firstLine="2730" w:firstLineChars="1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       年   月   日</w:t>
      </w:r>
    </w:p>
    <w:p>
      <w:pPr>
        <w:tabs>
          <w:tab w:val="left" w:pos="780"/>
        </w:tabs>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附件：</w:t>
      </w:r>
      <w:r>
        <w:rPr>
          <w:rFonts w:hint="eastAsia" w:ascii="宋体" w:hAnsi="宋体" w:eastAsia="宋体" w:cs="宋体"/>
          <w:color w:val="000000" w:themeColor="text1"/>
          <w:sz w:val="21"/>
          <w:szCs w:val="21"/>
          <w14:textFill>
            <w14:solidFill>
              <w14:schemeClr w14:val="tx1"/>
            </w14:solidFill>
          </w14:textFill>
        </w:rPr>
        <w:t>1．经办人授权委托书、经办人身份证复印件、投标保证金回执单复印件（以上均需加盖公章）。</w:t>
      </w:r>
    </w:p>
    <w:p>
      <w:pPr>
        <w:tabs>
          <w:tab w:val="left" w:pos="78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说明：</w:t>
      </w:r>
      <w:r>
        <w:rPr>
          <w:rFonts w:hint="eastAsia" w:ascii="宋体" w:hAnsi="宋体" w:eastAsia="宋体" w:cs="宋体"/>
          <w:color w:val="000000" w:themeColor="text1"/>
          <w:sz w:val="21"/>
          <w:szCs w:val="21"/>
          <w14:textFill>
            <w14:solidFill>
              <w14:schemeClr w14:val="tx1"/>
            </w14:solidFill>
          </w14:textFill>
        </w:rPr>
        <w:t>1．为保障资金安全，上述账户不能为私人账户。 </w:t>
      </w:r>
    </w:p>
    <w:p>
      <w:pPr>
        <w:tabs>
          <w:tab w:val="left" w:pos="780"/>
        </w:tabs>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2．如因上述账户信息有误或账户信息变更未及时通知导致投标保证金无法退还或丢失等可能产生的一切后果由投标人自行负责。 </w:t>
      </w:r>
    </w:p>
    <w:p>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3．招标方退还该笔投标保证金后，无论是否开具收据，均不再作为招标方已收款依据。</w:t>
      </w:r>
    </w:p>
    <w:bookmarkEnd w:id="55"/>
    <w:p>
      <w:pPr>
        <w:tabs>
          <w:tab w:val="left" w:pos="8274"/>
        </w:tabs>
        <w:bidi w:val="0"/>
        <w:jc w:val="left"/>
        <w:rPr>
          <w:rFonts w:hint="default" w:eastAsia="宋体"/>
          <w:lang w:val="en-US" w:eastAsia="zh-CN"/>
        </w:rPr>
      </w:pPr>
      <w:r>
        <w:rPr>
          <w:rFonts w:hint="eastAsia" w:ascii="宋体" w:hAnsi="宋体" w:eastAsia="宋体" w:cs="宋体"/>
          <w:b/>
          <w:bCs/>
          <w:color w:val="000000" w:themeColor="text1"/>
          <w:sz w:val="21"/>
          <w:szCs w:val="21"/>
          <w14:textFill>
            <w14:solidFill>
              <w14:schemeClr w14:val="tx1"/>
            </w14:solidFill>
          </w14:textFill>
        </w:rPr>
        <w:t>标结束后将此表发送至</w:t>
      </w:r>
      <w:r>
        <w:rPr>
          <w:rFonts w:hint="eastAsia" w:ascii="宋体" w:hAnsi="宋体" w:eastAsia="宋体" w:cs="宋体"/>
          <w:b/>
          <w:bCs/>
          <w:color w:val="000000" w:themeColor="text1"/>
          <w:sz w:val="21"/>
          <w:szCs w:val="21"/>
          <w:highlight w:val="none"/>
          <w14:textFill>
            <w14:solidFill>
              <w14:schemeClr w14:val="tx1"/>
            </w14:solidFill>
          </w14:textFill>
        </w:rPr>
        <w:t>邮箱</w:t>
      </w:r>
      <w:r>
        <w:rPr>
          <w:rFonts w:hint="eastAsia" w:ascii="宋体" w:hAnsi="宋体" w:cs="宋体"/>
          <w:b/>
          <w:bCs/>
          <w:color w:val="000000" w:themeColor="text1"/>
          <w:sz w:val="21"/>
          <w:szCs w:val="21"/>
          <w:highlight w:val="none"/>
          <w:lang w:val="en-US" w:eastAsia="zh-CN"/>
          <w14:textFill>
            <w14:solidFill>
              <w14:schemeClr w14:val="tx1"/>
            </w14:solidFill>
          </w14:textFill>
        </w:rPr>
        <w:t>:781580213@qq.com</w:t>
      </w:r>
    </w:p>
    <w:sectPr>
      <w:headerReference r:id="rId15" w:type="default"/>
      <w:footerReference r:id="rId16" w:type="default"/>
      <w:pgSz w:w="11906" w:h="16838"/>
      <w:pgMar w:top="1304" w:right="1247" w:bottom="1417"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5"/>
      </w:rPr>
    </w:pPr>
    <w:r>
      <w:fldChar w:fldCharType="begin"/>
    </w:r>
    <w:r>
      <w:rPr>
        <w:rStyle w:val="45"/>
      </w:rPr>
      <w:instrText xml:space="preserve">PAGE  </w:instrText>
    </w:r>
    <w:r>
      <w:fldChar w:fldCharType="end"/>
    </w:r>
  </w:p>
  <w:p>
    <w:pPr>
      <w:pStyle w:val="2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49"/>
      </w:tabs>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29"/>
                      <w:rPr>
                        <w:rFonts w:hint="default" w:eastAsia="宋体"/>
                        <w:lang w:val="en-US" w:eastAsia="zh-CN"/>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49"/>
      </w:tabs>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47</w:t>
                    </w:r>
                    <w:r>
                      <w:fldChar w:fldCharType="end"/>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29"/>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9"/>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49"/>
      </w:tabs>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default" w:eastAsia="宋体"/>
                              <w:lang w:val="en-US" w:eastAsia="zh-CN"/>
                            </w:rPr>
                          </w:pPr>
                          <w:r>
                            <w:rPr>
                              <w:rFonts w:hint="eastAsia"/>
                              <w:lang w:val="en-US" w:eastAsia="zh-CN"/>
                            </w:rPr>
                            <w:t>25</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9"/>
                      <w:rPr>
                        <w:rFonts w:hint="default" w:eastAsia="宋体"/>
                        <w:lang w:val="en-US" w:eastAsia="zh-CN"/>
                      </w:rPr>
                    </w:pPr>
                    <w:r>
                      <w:rPr>
                        <w:rFonts w:hint="eastAsia"/>
                        <w:lang w:val="en-US" w:eastAsia="zh-CN"/>
                      </w:rPr>
                      <w:t>25</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49"/>
      </w:tabs>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29"/>
                      <w:rPr>
                        <w:rFonts w:hint="default" w:eastAsia="宋体"/>
                        <w:lang w:val="en-US" w:eastAsia="zh-C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thickThinSmallGap" w:color="622423" w:themeColor="accent2" w:themeShade="7F" w:sz="24" w:space="1"/>
      </w:pBdr>
      <w:jc w:val="both"/>
      <w:rPr>
        <w:rFonts w:hint="eastAsia" w:ascii="宋体" w:hAnsi="宋体" w:eastAsia="宋体" w:cs="宋体"/>
        <w:sz w:val="24"/>
        <w:szCs w:val="24"/>
        <w:lang w:eastAsia="zh-CN"/>
      </w:rPr>
    </w:pPr>
    <w:r>
      <w:rPr>
        <w:rFonts w:hint="eastAsia"/>
      </w:rPr>
      <w:t xml:space="preserve">                                  </w:t>
    </w:r>
    <w:r>
      <w:rPr>
        <w:rFonts w:hint="eastAsia"/>
        <w:sz w:val="22"/>
        <w:szCs w:val="22"/>
      </w:rPr>
      <w:t xml:space="preserve">宏业国际项目管理有限公司 </w:t>
    </w:r>
    <w:r>
      <w:rPr>
        <w:rFonts w:hint="eastAsia"/>
      </w:rPr>
      <w:t xml:space="preserve">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thickThinSmallGap" w:color="auto" w:sz="12" w:space="1"/>
      </w:pBdr>
      <w:jc w:val="center"/>
      <w:rPr>
        <w:rFonts w:hint="eastAsia" w:eastAsia="宋体"/>
        <w:lang w:eastAsia="zh-CN"/>
      </w:rPr>
    </w:pPr>
    <w:r>
      <w:rPr>
        <w:rFonts w:hint="eastAsia"/>
        <w:sz w:val="21"/>
        <w:szCs w:val="21"/>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08008"/>
    <w:multiLevelType w:val="singleLevel"/>
    <w:tmpl w:val="B6708008"/>
    <w:lvl w:ilvl="0" w:tentative="0">
      <w:start w:val="1"/>
      <w:numFmt w:val="decimal"/>
      <w:lvlText w:val="(%1)"/>
      <w:lvlJc w:val="left"/>
      <w:pPr>
        <w:tabs>
          <w:tab w:val="left" w:pos="312"/>
        </w:tabs>
      </w:pPr>
    </w:lvl>
  </w:abstractNum>
  <w:abstractNum w:abstractNumId="1">
    <w:nsid w:val="12CF4F13"/>
    <w:multiLevelType w:val="singleLevel"/>
    <w:tmpl w:val="12CF4F13"/>
    <w:lvl w:ilvl="0" w:tentative="0">
      <w:start w:val="3"/>
      <w:numFmt w:val="chineseCounting"/>
      <w:suff w:val="space"/>
      <w:lvlText w:val="第%1章"/>
      <w:lvlJc w:val="left"/>
      <w:rPr>
        <w:rFonts w:hint="eastAsia"/>
      </w:rPr>
    </w:lvl>
  </w:abstractNum>
  <w:abstractNum w:abstractNumId="2">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8763553"/>
    <w:multiLevelType w:val="singleLevel"/>
    <w:tmpl w:val="38763553"/>
    <w:lvl w:ilvl="0" w:tentative="0">
      <w:start w:val="15"/>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F1BA146"/>
    <w:multiLevelType w:val="singleLevel"/>
    <w:tmpl w:val="5F1BA146"/>
    <w:lvl w:ilvl="0" w:tentative="0">
      <w:start w:val="3"/>
      <w:numFmt w:val="decimal"/>
      <w:lvlText w:val="%1."/>
      <w:lvlJc w:val="left"/>
      <w:pPr>
        <w:tabs>
          <w:tab w:val="left" w:pos="312"/>
        </w:tabs>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5NTg5MmViZDEyNTJhZTFhMTcxMzA3YWQ4YmI1MmQifQ=="/>
  </w:docVars>
  <w:rsids>
    <w:rsidRoot w:val="0010740B"/>
    <w:rsid w:val="000803B9"/>
    <w:rsid w:val="0010740B"/>
    <w:rsid w:val="00107556"/>
    <w:rsid w:val="00115D85"/>
    <w:rsid w:val="001E5D32"/>
    <w:rsid w:val="00285158"/>
    <w:rsid w:val="00386A79"/>
    <w:rsid w:val="00394B2D"/>
    <w:rsid w:val="004569CB"/>
    <w:rsid w:val="00507446"/>
    <w:rsid w:val="00587F3C"/>
    <w:rsid w:val="005A0D51"/>
    <w:rsid w:val="0067479A"/>
    <w:rsid w:val="006942A6"/>
    <w:rsid w:val="006F34D9"/>
    <w:rsid w:val="007A4A0E"/>
    <w:rsid w:val="0086449A"/>
    <w:rsid w:val="008C6C96"/>
    <w:rsid w:val="009C1207"/>
    <w:rsid w:val="00A37DE8"/>
    <w:rsid w:val="00A4090B"/>
    <w:rsid w:val="00A67013"/>
    <w:rsid w:val="00A841B5"/>
    <w:rsid w:val="00A92772"/>
    <w:rsid w:val="00AB2218"/>
    <w:rsid w:val="00B2314D"/>
    <w:rsid w:val="00B413EA"/>
    <w:rsid w:val="00C603FA"/>
    <w:rsid w:val="00CF572F"/>
    <w:rsid w:val="00D17727"/>
    <w:rsid w:val="00E04D5D"/>
    <w:rsid w:val="00E259D7"/>
    <w:rsid w:val="00E30544"/>
    <w:rsid w:val="00E93FAB"/>
    <w:rsid w:val="00EC795C"/>
    <w:rsid w:val="00F0096B"/>
    <w:rsid w:val="00F22A61"/>
    <w:rsid w:val="00F43C45"/>
    <w:rsid w:val="00F6344F"/>
    <w:rsid w:val="00F64A8A"/>
    <w:rsid w:val="00F64D95"/>
    <w:rsid w:val="01540852"/>
    <w:rsid w:val="01831A44"/>
    <w:rsid w:val="0307187B"/>
    <w:rsid w:val="035538CC"/>
    <w:rsid w:val="03782B4D"/>
    <w:rsid w:val="04C43110"/>
    <w:rsid w:val="0507235C"/>
    <w:rsid w:val="054F07D9"/>
    <w:rsid w:val="05ED58B4"/>
    <w:rsid w:val="061463D3"/>
    <w:rsid w:val="067F7261"/>
    <w:rsid w:val="083C2724"/>
    <w:rsid w:val="09215888"/>
    <w:rsid w:val="097E79A1"/>
    <w:rsid w:val="098D39B7"/>
    <w:rsid w:val="09AA0CC1"/>
    <w:rsid w:val="09E412E0"/>
    <w:rsid w:val="0A5813A7"/>
    <w:rsid w:val="0AA11E2C"/>
    <w:rsid w:val="0BA646DA"/>
    <w:rsid w:val="0BF90AE4"/>
    <w:rsid w:val="0CD12600"/>
    <w:rsid w:val="0CDD0064"/>
    <w:rsid w:val="0D223219"/>
    <w:rsid w:val="0DB8037C"/>
    <w:rsid w:val="0DEB1BBD"/>
    <w:rsid w:val="0E0E07EC"/>
    <w:rsid w:val="0E8620DE"/>
    <w:rsid w:val="0EA31D7A"/>
    <w:rsid w:val="0ECD1AB4"/>
    <w:rsid w:val="0F0626FC"/>
    <w:rsid w:val="0FD03957"/>
    <w:rsid w:val="0FE4089C"/>
    <w:rsid w:val="107D2FD6"/>
    <w:rsid w:val="10832DE9"/>
    <w:rsid w:val="10D93C93"/>
    <w:rsid w:val="111067F1"/>
    <w:rsid w:val="11107C6D"/>
    <w:rsid w:val="115C5A72"/>
    <w:rsid w:val="12481FCC"/>
    <w:rsid w:val="12AD766B"/>
    <w:rsid w:val="12C66037"/>
    <w:rsid w:val="13241D62"/>
    <w:rsid w:val="1410707E"/>
    <w:rsid w:val="14716B73"/>
    <w:rsid w:val="15095B9A"/>
    <w:rsid w:val="15367EF7"/>
    <w:rsid w:val="169549F0"/>
    <w:rsid w:val="17113909"/>
    <w:rsid w:val="17544CDD"/>
    <w:rsid w:val="17D84C98"/>
    <w:rsid w:val="17F31A8A"/>
    <w:rsid w:val="1912647A"/>
    <w:rsid w:val="19237869"/>
    <w:rsid w:val="19EC0A79"/>
    <w:rsid w:val="1ACA3B0B"/>
    <w:rsid w:val="1B3100E4"/>
    <w:rsid w:val="1B383CEE"/>
    <w:rsid w:val="1C6074FD"/>
    <w:rsid w:val="1D296C19"/>
    <w:rsid w:val="1D954F84"/>
    <w:rsid w:val="1E297676"/>
    <w:rsid w:val="1E4A2472"/>
    <w:rsid w:val="1E637F72"/>
    <w:rsid w:val="1EC33ECA"/>
    <w:rsid w:val="1F204D21"/>
    <w:rsid w:val="1F420031"/>
    <w:rsid w:val="204D0ECC"/>
    <w:rsid w:val="20DD0C14"/>
    <w:rsid w:val="21316864"/>
    <w:rsid w:val="2329410C"/>
    <w:rsid w:val="2368771E"/>
    <w:rsid w:val="23871813"/>
    <w:rsid w:val="247826A7"/>
    <w:rsid w:val="24887E37"/>
    <w:rsid w:val="25667607"/>
    <w:rsid w:val="267A2947"/>
    <w:rsid w:val="276509B1"/>
    <w:rsid w:val="2771610F"/>
    <w:rsid w:val="27924ABA"/>
    <w:rsid w:val="288914B1"/>
    <w:rsid w:val="28BD4CDE"/>
    <w:rsid w:val="293E3166"/>
    <w:rsid w:val="29742136"/>
    <w:rsid w:val="29A30A29"/>
    <w:rsid w:val="2A1711BC"/>
    <w:rsid w:val="2BAA609E"/>
    <w:rsid w:val="2CAB4BAB"/>
    <w:rsid w:val="2D0B0DBF"/>
    <w:rsid w:val="2D346567"/>
    <w:rsid w:val="2DBF0527"/>
    <w:rsid w:val="2DCD42C6"/>
    <w:rsid w:val="2E0E30F7"/>
    <w:rsid w:val="2E3D5918"/>
    <w:rsid w:val="2E651BA4"/>
    <w:rsid w:val="2ED17F0A"/>
    <w:rsid w:val="2F296A92"/>
    <w:rsid w:val="304A18F5"/>
    <w:rsid w:val="31450057"/>
    <w:rsid w:val="31FB58A6"/>
    <w:rsid w:val="320A7897"/>
    <w:rsid w:val="328A7B87"/>
    <w:rsid w:val="33076A80"/>
    <w:rsid w:val="330D1186"/>
    <w:rsid w:val="339A7735"/>
    <w:rsid w:val="34DB551B"/>
    <w:rsid w:val="350358D7"/>
    <w:rsid w:val="35447E48"/>
    <w:rsid w:val="354B4A67"/>
    <w:rsid w:val="35A02E2C"/>
    <w:rsid w:val="362515F7"/>
    <w:rsid w:val="36865185"/>
    <w:rsid w:val="376C7344"/>
    <w:rsid w:val="38054762"/>
    <w:rsid w:val="385E0D11"/>
    <w:rsid w:val="38680FA1"/>
    <w:rsid w:val="388A24AF"/>
    <w:rsid w:val="38A10829"/>
    <w:rsid w:val="38B22964"/>
    <w:rsid w:val="39043B1B"/>
    <w:rsid w:val="394A23F6"/>
    <w:rsid w:val="39AC2C5A"/>
    <w:rsid w:val="3A577D39"/>
    <w:rsid w:val="3A6B730F"/>
    <w:rsid w:val="3A6C5593"/>
    <w:rsid w:val="3CE0063C"/>
    <w:rsid w:val="3D0B1D9E"/>
    <w:rsid w:val="3DB715D3"/>
    <w:rsid w:val="3E706750"/>
    <w:rsid w:val="3E9311F2"/>
    <w:rsid w:val="3F7D5E55"/>
    <w:rsid w:val="3FDC6F95"/>
    <w:rsid w:val="3FFB42F3"/>
    <w:rsid w:val="400C7775"/>
    <w:rsid w:val="403E1F5F"/>
    <w:rsid w:val="40B82A44"/>
    <w:rsid w:val="41662610"/>
    <w:rsid w:val="41E22DC7"/>
    <w:rsid w:val="41E865B2"/>
    <w:rsid w:val="41FA7DE9"/>
    <w:rsid w:val="420A5691"/>
    <w:rsid w:val="427C42B0"/>
    <w:rsid w:val="43052D95"/>
    <w:rsid w:val="43482915"/>
    <w:rsid w:val="43CA6E72"/>
    <w:rsid w:val="44B40DFC"/>
    <w:rsid w:val="4551331B"/>
    <w:rsid w:val="45620E8D"/>
    <w:rsid w:val="45D50049"/>
    <w:rsid w:val="46032F36"/>
    <w:rsid w:val="46DD2912"/>
    <w:rsid w:val="478B4A59"/>
    <w:rsid w:val="47A3169B"/>
    <w:rsid w:val="47D1337E"/>
    <w:rsid w:val="48022AA8"/>
    <w:rsid w:val="483D3A2C"/>
    <w:rsid w:val="486D24D6"/>
    <w:rsid w:val="48716169"/>
    <w:rsid w:val="48853780"/>
    <w:rsid w:val="494F7F54"/>
    <w:rsid w:val="4991736E"/>
    <w:rsid w:val="49951CE4"/>
    <w:rsid w:val="49E72937"/>
    <w:rsid w:val="4A280DAA"/>
    <w:rsid w:val="4AB573FC"/>
    <w:rsid w:val="4B450FC6"/>
    <w:rsid w:val="4BDE6AB3"/>
    <w:rsid w:val="4BE17AFB"/>
    <w:rsid w:val="4C63431C"/>
    <w:rsid w:val="4C6D441A"/>
    <w:rsid w:val="4CCE5C39"/>
    <w:rsid w:val="4D706D4F"/>
    <w:rsid w:val="4DFA6940"/>
    <w:rsid w:val="4F3C45A3"/>
    <w:rsid w:val="4FA15887"/>
    <w:rsid w:val="50130FBD"/>
    <w:rsid w:val="50E5707E"/>
    <w:rsid w:val="50FF0ED4"/>
    <w:rsid w:val="517D5E7F"/>
    <w:rsid w:val="51B95704"/>
    <w:rsid w:val="51E00991"/>
    <w:rsid w:val="5263221D"/>
    <w:rsid w:val="528648C0"/>
    <w:rsid w:val="53850DE6"/>
    <w:rsid w:val="543D5452"/>
    <w:rsid w:val="546E406F"/>
    <w:rsid w:val="549F716F"/>
    <w:rsid w:val="54B9335E"/>
    <w:rsid w:val="54F2345A"/>
    <w:rsid w:val="56A5017F"/>
    <w:rsid w:val="57547DC2"/>
    <w:rsid w:val="576C0DA0"/>
    <w:rsid w:val="57C1416F"/>
    <w:rsid w:val="58006BC0"/>
    <w:rsid w:val="58E40770"/>
    <w:rsid w:val="598C3104"/>
    <w:rsid w:val="5A490FF5"/>
    <w:rsid w:val="5B6B5022"/>
    <w:rsid w:val="5BD34399"/>
    <w:rsid w:val="5BE52E11"/>
    <w:rsid w:val="5C314037"/>
    <w:rsid w:val="5CDA6199"/>
    <w:rsid w:val="5D2C42B6"/>
    <w:rsid w:val="5DA24E17"/>
    <w:rsid w:val="5DCC5999"/>
    <w:rsid w:val="5F0B0627"/>
    <w:rsid w:val="5F7D3905"/>
    <w:rsid w:val="5F973A30"/>
    <w:rsid w:val="607E307A"/>
    <w:rsid w:val="61287234"/>
    <w:rsid w:val="61641B17"/>
    <w:rsid w:val="61905AF4"/>
    <w:rsid w:val="62400EAD"/>
    <w:rsid w:val="627D67C3"/>
    <w:rsid w:val="62D022B3"/>
    <w:rsid w:val="63807109"/>
    <w:rsid w:val="63C27722"/>
    <w:rsid w:val="64206061"/>
    <w:rsid w:val="6429463C"/>
    <w:rsid w:val="647014C5"/>
    <w:rsid w:val="64C35501"/>
    <w:rsid w:val="64ED1AE5"/>
    <w:rsid w:val="65897414"/>
    <w:rsid w:val="66B94E0C"/>
    <w:rsid w:val="66F41BC6"/>
    <w:rsid w:val="6790162E"/>
    <w:rsid w:val="681870EF"/>
    <w:rsid w:val="682855FA"/>
    <w:rsid w:val="687B3C27"/>
    <w:rsid w:val="687D3777"/>
    <w:rsid w:val="698A0CE2"/>
    <w:rsid w:val="6A23497C"/>
    <w:rsid w:val="6A2D2040"/>
    <w:rsid w:val="6A3E7B36"/>
    <w:rsid w:val="6B217251"/>
    <w:rsid w:val="6BC1359C"/>
    <w:rsid w:val="6BF846D1"/>
    <w:rsid w:val="6C027255"/>
    <w:rsid w:val="6C192F45"/>
    <w:rsid w:val="6C6B0957"/>
    <w:rsid w:val="6CDE3BFC"/>
    <w:rsid w:val="6D0843F7"/>
    <w:rsid w:val="6D201C56"/>
    <w:rsid w:val="6D8F5D9E"/>
    <w:rsid w:val="6D9608C0"/>
    <w:rsid w:val="6E2B11CE"/>
    <w:rsid w:val="6E700F68"/>
    <w:rsid w:val="6E916532"/>
    <w:rsid w:val="6ED04B50"/>
    <w:rsid w:val="6F2B6D0F"/>
    <w:rsid w:val="701029C9"/>
    <w:rsid w:val="71760D0C"/>
    <w:rsid w:val="7178316E"/>
    <w:rsid w:val="721372E8"/>
    <w:rsid w:val="732D61CF"/>
    <w:rsid w:val="7347064A"/>
    <w:rsid w:val="739D56FE"/>
    <w:rsid w:val="73C3376E"/>
    <w:rsid w:val="741B2C62"/>
    <w:rsid w:val="74204E87"/>
    <w:rsid w:val="74FF3956"/>
    <w:rsid w:val="757523DB"/>
    <w:rsid w:val="757C3BD5"/>
    <w:rsid w:val="765E2E38"/>
    <w:rsid w:val="76937428"/>
    <w:rsid w:val="76A16F3E"/>
    <w:rsid w:val="76E65A48"/>
    <w:rsid w:val="772E53A2"/>
    <w:rsid w:val="77764F2C"/>
    <w:rsid w:val="779E3753"/>
    <w:rsid w:val="78A14715"/>
    <w:rsid w:val="78BD0159"/>
    <w:rsid w:val="78EE0B2B"/>
    <w:rsid w:val="791D747D"/>
    <w:rsid w:val="79525D55"/>
    <w:rsid w:val="79B81E08"/>
    <w:rsid w:val="79DE21A4"/>
    <w:rsid w:val="7A4D46B7"/>
    <w:rsid w:val="7B186783"/>
    <w:rsid w:val="7B7E0A21"/>
    <w:rsid w:val="7BD019F5"/>
    <w:rsid w:val="7C1761F8"/>
    <w:rsid w:val="7CD10C1B"/>
    <w:rsid w:val="7D6F6B10"/>
    <w:rsid w:val="7DAC056D"/>
    <w:rsid w:val="7E146715"/>
    <w:rsid w:val="7E80598D"/>
    <w:rsid w:val="7EAE3FE5"/>
    <w:rsid w:val="7EED78F1"/>
    <w:rsid w:val="7F135CCD"/>
    <w:rsid w:val="7F3B6C94"/>
    <w:rsid w:val="7F4C0ABC"/>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3"/>
    <w:qFormat/>
    <w:uiPriority w:val="0"/>
    <w:pPr>
      <w:keepNext/>
      <w:tabs>
        <w:tab w:val="left" w:pos="360"/>
      </w:tabs>
      <w:ind w:left="360" w:hanging="360"/>
      <w:outlineLvl w:val="0"/>
    </w:pPr>
    <w:rPr>
      <w:b/>
    </w:rPr>
  </w:style>
  <w:style w:type="paragraph" w:styleId="4">
    <w:name w:val="heading 2"/>
    <w:basedOn w:val="1"/>
    <w:next w:val="1"/>
    <w:link w:val="54"/>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55"/>
    <w:qFormat/>
    <w:uiPriority w:val="0"/>
    <w:pPr>
      <w:outlineLvl w:val="2"/>
    </w:pPr>
    <w:rPr>
      <w:bCs/>
      <w:szCs w:val="32"/>
    </w:rPr>
  </w:style>
  <w:style w:type="paragraph" w:styleId="6">
    <w:name w:val="heading 4"/>
    <w:basedOn w:val="1"/>
    <w:next w:val="1"/>
    <w:link w:val="5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7"/>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8"/>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9"/>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60"/>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61"/>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3"/>
    <w:qFormat/>
    <w:uiPriority w:val="0"/>
    <w:rPr>
      <w:rFonts w:ascii="Arial" w:hAnsi="Arial" w:cs="Arial" w:eastAsiaTheme="minorEastAsia"/>
      <w:sz w:val="24"/>
      <w:szCs w:val="22"/>
    </w:rPr>
  </w:style>
  <w:style w:type="paragraph" w:styleId="12">
    <w:name w:val="table of authorities"/>
    <w:basedOn w:val="1"/>
    <w:next w:val="1"/>
    <w:unhideWhenUsed/>
    <w:qFormat/>
    <w:uiPriority w:val="99"/>
    <w:pPr>
      <w:ind w:left="420" w:leftChars="200"/>
    </w:pPr>
  </w:style>
  <w:style w:type="paragraph" w:styleId="13">
    <w:name w:val="Normal Indent"/>
    <w:basedOn w:val="1"/>
    <w:next w:val="14"/>
    <w:link w:val="86"/>
    <w:qFormat/>
    <w:uiPriority w:val="99"/>
    <w:pPr>
      <w:ind w:firstLine="420" w:firstLineChars="200"/>
    </w:pPr>
    <w:rPr>
      <w:rFonts w:asciiTheme="minorHAnsi" w:hAnsiTheme="minorHAnsi" w:eastAsiaTheme="minorEastAsia" w:cstheme="minorBidi"/>
      <w:szCs w:val="24"/>
    </w:rPr>
  </w:style>
  <w:style w:type="paragraph" w:styleId="14">
    <w:name w:val="toc 4"/>
    <w:basedOn w:val="1"/>
    <w:next w:val="1"/>
    <w:unhideWhenUsed/>
    <w:qFormat/>
    <w:uiPriority w:val="39"/>
    <w:pPr>
      <w:ind w:left="1260" w:leftChars="600"/>
    </w:pPr>
  </w:style>
  <w:style w:type="paragraph" w:styleId="15">
    <w:name w:val="caption"/>
    <w:basedOn w:val="1"/>
    <w:next w:val="1"/>
    <w:qFormat/>
    <w:uiPriority w:val="0"/>
    <w:rPr>
      <w:rFonts w:ascii="Arial" w:hAnsi="Arial" w:eastAsia="黑体" w:cs="Arial"/>
      <w:sz w:val="20"/>
    </w:rPr>
  </w:style>
  <w:style w:type="paragraph" w:styleId="16">
    <w:name w:val="Document Map"/>
    <w:basedOn w:val="1"/>
    <w:link w:val="99"/>
    <w:qFormat/>
    <w:uiPriority w:val="0"/>
    <w:pPr>
      <w:shd w:val="clear" w:color="auto" w:fill="000080"/>
    </w:pPr>
    <w:rPr>
      <w:rFonts w:asciiTheme="minorHAnsi" w:hAnsiTheme="minorHAnsi" w:eastAsiaTheme="minorEastAsia" w:cstheme="minorBidi"/>
      <w:szCs w:val="22"/>
    </w:rPr>
  </w:style>
  <w:style w:type="paragraph" w:styleId="17">
    <w:name w:val="toa heading"/>
    <w:basedOn w:val="1"/>
    <w:next w:val="1"/>
    <w:qFormat/>
    <w:uiPriority w:val="0"/>
    <w:pPr>
      <w:spacing w:before="120"/>
    </w:pPr>
    <w:rPr>
      <w:rFonts w:ascii="Arial" w:hAnsi="Arial"/>
      <w:sz w:val="24"/>
      <w:szCs w:val="21"/>
    </w:rPr>
  </w:style>
  <w:style w:type="paragraph" w:styleId="18">
    <w:name w:val="annotation text"/>
    <w:basedOn w:val="1"/>
    <w:link w:val="127"/>
    <w:unhideWhenUsed/>
    <w:qFormat/>
    <w:uiPriority w:val="99"/>
    <w:pPr>
      <w:jc w:val="left"/>
    </w:pPr>
  </w:style>
  <w:style w:type="paragraph" w:styleId="19">
    <w:name w:val="index 6"/>
    <w:basedOn w:val="1"/>
    <w:next w:val="1"/>
    <w:qFormat/>
    <w:uiPriority w:val="99"/>
    <w:pPr>
      <w:ind w:left="2100"/>
    </w:pPr>
  </w:style>
  <w:style w:type="paragraph" w:styleId="20">
    <w:name w:val="Salutation"/>
    <w:basedOn w:val="1"/>
    <w:next w:val="1"/>
    <w:link w:val="63"/>
    <w:qFormat/>
    <w:uiPriority w:val="0"/>
    <w:rPr>
      <w:rFonts w:ascii="宋体"/>
      <w:b/>
      <w:sz w:val="28"/>
    </w:rPr>
  </w:style>
  <w:style w:type="paragraph" w:styleId="21">
    <w:name w:val="Body Text Indent"/>
    <w:basedOn w:val="1"/>
    <w:next w:val="22"/>
    <w:link w:val="65"/>
    <w:qFormat/>
    <w:uiPriority w:val="0"/>
    <w:pPr>
      <w:ind w:firstLine="480"/>
    </w:pPr>
    <w:rPr>
      <w:rFonts w:ascii="宋体" w:hAnsi="宋体"/>
      <w:sz w:val="24"/>
    </w:rPr>
  </w:style>
  <w:style w:type="paragraph" w:styleId="22">
    <w:name w:val="envelope return"/>
    <w:basedOn w:val="1"/>
    <w:qFormat/>
    <w:uiPriority w:val="0"/>
    <w:pPr>
      <w:topLinePunct/>
      <w:snapToGrid w:val="0"/>
      <w:spacing w:line="240" w:lineRule="auto"/>
      <w:ind w:firstLine="0" w:firstLineChars="0"/>
    </w:pPr>
    <w:rPr>
      <w:rFonts w:ascii="Arial" w:hAnsi="Arial" w:cs="Arial"/>
      <w:sz w:val="21"/>
    </w:rPr>
  </w:style>
  <w:style w:type="paragraph" w:styleId="23">
    <w:name w:val="Block Text"/>
    <w:basedOn w:val="2"/>
    <w:qFormat/>
    <w:uiPriority w:val="99"/>
    <w:pPr>
      <w:ind w:left="1171" w:right="91" w:hanging="1080"/>
    </w:pPr>
    <w:rPr>
      <w:rFonts w:eastAsia="楷体_GB2312"/>
    </w:rPr>
  </w:style>
  <w:style w:type="paragraph" w:styleId="24">
    <w:name w:val="toc 3"/>
    <w:basedOn w:val="1"/>
    <w:next w:val="1"/>
    <w:qFormat/>
    <w:uiPriority w:val="39"/>
    <w:pPr>
      <w:ind w:left="840" w:leftChars="400"/>
    </w:pPr>
  </w:style>
  <w:style w:type="paragraph" w:styleId="25">
    <w:name w:val="Plain Text"/>
    <w:basedOn w:val="1"/>
    <w:link w:val="105"/>
    <w:qFormat/>
    <w:uiPriority w:val="0"/>
    <w:rPr>
      <w:rFonts w:ascii="宋体" w:hAnsi="Courier New" w:cstheme="minorBidi"/>
      <w:szCs w:val="22"/>
    </w:rPr>
  </w:style>
  <w:style w:type="paragraph" w:styleId="26">
    <w:name w:val="Date"/>
    <w:basedOn w:val="1"/>
    <w:next w:val="1"/>
    <w:link w:val="67"/>
    <w:qFormat/>
    <w:uiPriority w:val="0"/>
    <w:pPr>
      <w:ind w:left="100"/>
    </w:pPr>
    <w:rPr>
      <w:sz w:val="24"/>
    </w:rPr>
  </w:style>
  <w:style w:type="paragraph" w:styleId="27">
    <w:name w:val="Body Text Indent 2"/>
    <w:basedOn w:val="1"/>
    <w:link w:val="98"/>
    <w:qFormat/>
    <w:uiPriority w:val="0"/>
    <w:pPr>
      <w:ind w:firstLine="435"/>
    </w:pPr>
    <w:rPr>
      <w:rFonts w:ascii="宋体" w:hAnsi="宋体" w:eastAsiaTheme="minorEastAsia" w:cstheme="minorBidi"/>
      <w:sz w:val="24"/>
      <w:szCs w:val="22"/>
    </w:rPr>
  </w:style>
  <w:style w:type="paragraph" w:styleId="28">
    <w:name w:val="Balloon Text"/>
    <w:basedOn w:val="1"/>
    <w:link w:val="69"/>
    <w:semiHidden/>
    <w:qFormat/>
    <w:uiPriority w:val="0"/>
    <w:rPr>
      <w:sz w:val="18"/>
      <w:szCs w:val="18"/>
    </w:rPr>
  </w:style>
  <w:style w:type="paragraph" w:styleId="29">
    <w:name w:val="footer"/>
    <w:basedOn w:val="1"/>
    <w:link w:val="70"/>
    <w:unhideWhenUsed/>
    <w:qFormat/>
    <w:uiPriority w:val="99"/>
    <w:pPr>
      <w:tabs>
        <w:tab w:val="center" w:pos="4153"/>
        <w:tab w:val="right" w:pos="8306"/>
      </w:tabs>
      <w:snapToGrid w:val="0"/>
      <w:jc w:val="left"/>
    </w:pPr>
    <w:rPr>
      <w:sz w:val="18"/>
      <w:szCs w:val="18"/>
    </w:rPr>
  </w:style>
  <w:style w:type="paragraph" w:styleId="30">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footnote text"/>
    <w:basedOn w:val="1"/>
    <w:qFormat/>
    <w:uiPriority w:val="0"/>
    <w:pPr>
      <w:snapToGrid w:val="0"/>
    </w:pPr>
    <w:rPr>
      <w:sz w:val="18"/>
    </w:rPr>
  </w:style>
  <w:style w:type="paragraph" w:styleId="33">
    <w:name w:val="Body Text Indent 3"/>
    <w:basedOn w:val="1"/>
    <w:link w:val="72"/>
    <w:qFormat/>
    <w:uiPriority w:val="0"/>
    <w:pPr>
      <w:ind w:left="471" w:hanging="471" w:hangingChars="200"/>
    </w:pPr>
    <w:rPr>
      <w:rFonts w:ascii="Arial" w:hAnsi="Arial" w:cs="Arial"/>
      <w:b/>
      <w:bCs/>
      <w:sz w:val="24"/>
    </w:rPr>
  </w:style>
  <w:style w:type="paragraph" w:styleId="34">
    <w:name w:val="toc 2"/>
    <w:basedOn w:val="1"/>
    <w:next w:val="1"/>
    <w:qFormat/>
    <w:uiPriority w:val="39"/>
    <w:pPr>
      <w:ind w:left="420" w:leftChars="200"/>
    </w:pPr>
  </w:style>
  <w:style w:type="paragraph" w:styleId="35">
    <w:name w:val="Body Text 2"/>
    <w:basedOn w:val="1"/>
    <w:link w:val="73"/>
    <w:qFormat/>
    <w:uiPriority w:val="0"/>
    <w:pPr>
      <w:spacing w:line="360" w:lineRule="auto"/>
    </w:pPr>
    <w:rPr>
      <w:b/>
      <w:sz w:val="28"/>
      <w:szCs w:val="21"/>
    </w:rPr>
  </w:style>
  <w:style w:type="paragraph" w:styleId="36">
    <w:name w:val="HTML Preformatted"/>
    <w:basedOn w:val="1"/>
    <w:qFormat/>
    <w:uiPriority w:val="0"/>
    <w:rPr>
      <w:rFonts w:ascii="Courier New" w:hAnsi="Courier New"/>
      <w:sz w:val="20"/>
    </w:rPr>
  </w:style>
  <w:style w:type="paragraph" w:styleId="37">
    <w:name w:val="Normal (Web)"/>
    <w:basedOn w:val="1"/>
    <w:link w:val="115"/>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8">
    <w:name w:val="annotation subject"/>
    <w:basedOn w:val="18"/>
    <w:next w:val="18"/>
    <w:link w:val="128"/>
    <w:semiHidden/>
    <w:unhideWhenUsed/>
    <w:qFormat/>
    <w:uiPriority w:val="99"/>
    <w:rPr>
      <w:b/>
      <w:bCs/>
    </w:rPr>
  </w:style>
  <w:style w:type="paragraph" w:styleId="39">
    <w:name w:val="Body Text First Indent"/>
    <w:basedOn w:val="2"/>
    <w:next w:val="40"/>
    <w:link w:val="110"/>
    <w:qFormat/>
    <w:uiPriority w:val="0"/>
    <w:pPr>
      <w:spacing w:after="120"/>
      <w:ind w:firstLine="420" w:firstLineChars="100"/>
    </w:pPr>
  </w:style>
  <w:style w:type="paragraph" w:styleId="40">
    <w:name w:val="Body Text First Indent 2"/>
    <w:basedOn w:val="21"/>
    <w:next w:val="21"/>
    <w:unhideWhenUsed/>
    <w:qFormat/>
    <w:uiPriority w:val="99"/>
    <w:pPr>
      <w:ind w:firstLine="420"/>
    </w:pPr>
    <w:rPr>
      <w:rFonts w:ascii="Arial" w:hAnsi="Arial" w:eastAsia="仿宋_GB2312"/>
      <w:sz w:val="28"/>
    </w:rPr>
  </w:style>
  <w:style w:type="table" w:styleId="42">
    <w:name w:val="Table Grid"/>
    <w:basedOn w:val="41"/>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basedOn w:val="43"/>
    <w:qFormat/>
    <w:uiPriority w:val="99"/>
    <w:rPr>
      <w:color w:val="0000FF"/>
      <w:u w:val="single"/>
    </w:rPr>
  </w:style>
  <w:style w:type="character" w:styleId="49">
    <w:name w:val="annotation reference"/>
    <w:basedOn w:val="43"/>
    <w:semiHidden/>
    <w:unhideWhenUsed/>
    <w:qFormat/>
    <w:uiPriority w:val="99"/>
    <w:rPr>
      <w:sz w:val="21"/>
      <w:szCs w:val="21"/>
    </w:rPr>
  </w:style>
  <w:style w:type="paragraph" w:customStyle="1" w:styleId="5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标题 5（有编号）（绿盟科技）"/>
    <w:basedOn w:val="1"/>
    <w:next w:val="5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5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3">
    <w:name w:val="标题 1 字符"/>
    <w:basedOn w:val="43"/>
    <w:link w:val="3"/>
    <w:qFormat/>
    <w:uiPriority w:val="0"/>
    <w:rPr>
      <w:rFonts w:ascii="Times New Roman" w:hAnsi="Times New Roman" w:eastAsia="宋体" w:cs="Times New Roman"/>
      <w:b/>
      <w:szCs w:val="20"/>
    </w:rPr>
  </w:style>
  <w:style w:type="character" w:customStyle="1" w:styleId="54">
    <w:name w:val="标题 2 字符"/>
    <w:basedOn w:val="43"/>
    <w:link w:val="4"/>
    <w:qFormat/>
    <w:uiPriority w:val="0"/>
    <w:rPr>
      <w:rFonts w:ascii="Arial" w:hAnsi="Arial" w:eastAsia="黑体" w:cs="Times New Roman"/>
      <w:b/>
      <w:sz w:val="32"/>
      <w:szCs w:val="20"/>
    </w:rPr>
  </w:style>
  <w:style w:type="character" w:customStyle="1" w:styleId="55">
    <w:name w:val="标题 3 字符"/>
    <w:basedOn w:val="43"/>
    <w:link w:val="5"/>
    <w:qFormat/>
    <w:uiPriority w:val="0"/>
    <w:rPr>
      <w:rFonts w:ascii="Times New Roman" w:hAnsi="Times New Roman" w:eastAsia="宋体" w:cs="Times New Roman"/>
      <w:b/>
      <w:bCs/>
      <w:sz w:val="32"/>
      <w:szCs w:val="32"/>
    </w:rPr>
  </w:style>
  <w:style w:type="character" w:customStyle="1" w:styleId="56">
    <w:name w:val="标题 4 字符"/>
    <w:basedOn w:val="43"/>
    <w:link w:val="6"/>
    <w:qFormat/>
    <w:uiPriority w:val="0"/>
    <w:rPr>
      <w:rFonts w:ascii="Arial" w:hAnsi="Arial" w:eastAsia="黑体" w:cs="Times New Roman"/>
      <w:b/>
      <w:bCs/>
      <w:sz w:val="28"/>
      <w:szCs w:val="28"/>
    </w:rPr>
  </w:style>
  <w:style w:type="character" w:customStyle="1" w:styleId="57">
    <w:name w:val="标题 5 字符"/>
    <w:basedOn w:val="43"/>
    <w:link w:val="7"/>
    <w:qFormat/>
    <w:uiPriority w:val="0"/>
    <w:rPr>
      <w:rFonts w:ascii="Times New Roman" w:hAnsi="Times New Roman" w:eastAsia="宋体" w:cs="Times New Roman"/>
      <w:b/>
      <w:sz w:val="28"/>
      <w:szCs w:val="20"/>
    </w:rPr>
  </w:style>
  <w:style w:type="character" w:customStyle="1" w:styleId="58">
    <w:name w:val="标题 6 字符"/>
    <w:basedOn w:val="43"/>
    <w:link w:val="8"/>
    <w:qFormat/>
    <w:uiPriority w:val="0"/>
    <w:rPr>
      <w:rFonts w:ascii="Arial" w:hAnsi="Arial" w:eastAsia="黑体" w:cs="Times New Roman"/>
      <w:b/>
      <w:sz w:val="24"/>
      <w:szCs w:val="20"/>
    </w:rPr>
  </w:style>
  <w:style w:type="character" w:customStyle="1" w:styleId="59">
    <w:name w:val="标题 7 字符"/>
    <w:basedOn w:val="43"/>
    <w:link w:val="9"/>
    <w:qFormat/>
    <w:uiPriority w:val="0"/>
    <w:rPr>
      <w:rFonts w:ascii="Times New Roman" w:hAnsi="Times New Roman" w:eastAsia="宋体" w:cs="Times New Roman"/>
      <w:b/>
      <w:sz w:val="24"/>
      <w:szCs w:val="20"/>
    </w:rPr>
  </w:style>
  <w:style w:type="character" w:customStyle="1" w:styleId="60">
    <w:name w:val="标题 8 字符"/>
    <w:basedOn w:val="43"/>
    <w:link w:val="10"/>
    <w:qFormat/>
    <w:uiPriority w:val="0"/>
    <w:rPr>
      <w:rFonts w:ascii="Arial" w:hAnsi="Arial" w:eastAsia="黑体" w:cs="Times New Roman"/>
      <w:sz w:val="24"/>
      <w:szCs w:val="20"/>
    </w:rPr>
  </w:style>
  <w:style w:type="character" w:customStyle="1" w:styleId="61">
    <w:name w:val="标题 9 字符"/>
    <w:basedOn w:val="43"/>
    <w:link w:val="11"/>
    <w:qFormat/>
    <w:uiPriority w:val="0"/>
    <w:rPr>
      <w:rFonts w:ascii="Arial" w:hAnsi="Arial" w:eastAsia="黑体" w:cs="Times New Roman"/>
      <w:szCs w:val="20"/>
    </w:rPr>
  </w:style>
  <w:style w:type="character" w:customStyle="1" w:styleId="62">
    <w:name w:val="文档结构图 Char"/>
    <w:basedOn w:val="43"/>
    <w:qFormat/>
    <w:uiPriority w:val="0"/>
    <w:rPr>
      <w:rFonts w:ascii="宋体" w:hAnsi="Times New Roman" w:eastAsia="宋体" w:cs="Times New Roman"/>
      <w:sz w:val="18"/>
      <w:szCs w:val="18"/>
    </w:rPr>
  </w:style>
  <w:style w:type="character" w:customStyle="1" w:styleId="63">
    <w:name w:val="称呼 字符"/>
    <w:basedOn w:val="43"/>
    <w:link w:val="20"/>
    <w:qFormat/>
    <w:uiPriority w:val="0"/>
    <w:rPr>
      <w:rFonts w:ascii="宋体" w:hAnsi="Times New Roman" w:eastAsia="宋体" w:cs="Times New Roman"/>
      <w:b/>
      <w:sz w:val="28"/>
      <w:szCs w:val="20"/>
    </w:rPr>
  </w:style>
  <w:style w:type="character" w:customStyle="1" w:styleId="64">
    <w:name w:val="正文文本 Char"/>
    <w:basedOn w:val="43"/>
    <w:qFormat/>
    <w:uiPriority w:val="0"/>
    <w:rPr>
      <w:rFonts w:ascii="Times New Roman" w:hAnsi="Times New Roman" w:eastAsia="宋体" w:cs="Times New Roman"/>
      <w:szCs w:val="20"/>
    </w:rPr>
  </w:style>
  <w:style w:type="character" w:customStyle="1" w:styleId="65">
    <w:name w:val="正文文本缩进 字符"/>
    <w:basedOn w:val="43"/>
    <w:link w:val="21"/>
    <w:qFormat/>
    <w:uiPriority w:val="0"/>
    <w:rPr>
      <w:rFonts w:ascii="宋体" w:hAnsi="宋体" w:eastAsia="宋体" w:cs="Times New Roman"/>
      <w:sz w:val="24"/>
      <w:szCs w:val="20"/>
    </w:rPr>
  </w:style>
  <w:style w:type="character" w:customStyle="1" w:styleId="66">
    <w:name w:val="纯文本 Char"/>
    <w:basedOn w:val="43"/>
    <w:qFormat/>
    <w:uiPriority w:val="0"/>
    <w:rPr>
      <w:rFonts w:ascii="宋体" w:hAnsi="Courier New" w:eastAsia="宋体" w:cs="Courier New"/>
      <w:szCs w:val="21"/>
    </w:rPr>
  </w:style>
  <w:style w:type="character" w:customStyle="1" w:styleId="67">
    <w:name w:val="日期 字符"/>
    <w:basedOn w:val="43"/>
    <w:link w:val="26"/>
    <w:qFormat/>
    <w:uiPriority w:val="0"/>
    <w:rPr>
      <w:rFonts w:ascii="Times New Roman" w:hAnsi="Times New Roman" w:eastAsia="宋体" w:cs="Times New Roman"/>
      <w:sz w:val="24"/>
      <w:szCs w:val="20"/>
    </w:rPr>
  </w:style>
  <w:style w:type="character" w:customStyle="1" w:styleId="68">
    <w:name w:val="正文文本缩进 2 Char"/>
    <w:basedOn w:val="43"/>
    <w:qFormat/>
    <w:uiPriority w:val="0"/>
    <w:rPr>
      <w:rFonts w:ascii="Times New Roman" w:hAnsi="Times New Roman" w:eastAsia="宋体" w:cs="Times New Roman"/>
      <w:szCs w:val="20"/>
    </w:rPr>
  </w:style>
  <w:style w:type="character" w:customStyle="1" w:styleId="69">
    <w:name w:val="批注框文本 字符"/>
    <w:basedOn w:val="43"/>
    <w:link w:val="28"/>
    <w:semiHidden/>
    <w:qFormat/>
    <w:uiPriority w:val="0"/>
    <w:rPr>
      <w:rFonts w:ascii="Times New Roman" w:hAnsi="Times New Roman" w:eastAsia="宋体" w:cs="Times New Roman"/>
      <w:sz w:val="18"/>
      <w:szCs w:val="18"/>
    </w:rPr>
  </w:style>
  <w:style w:type="character" w:customStyle="1" w:styleId="70">
    <w:name w:val="页脚 字符"/>
    <w:basedOn w:val="43"/>
    <w:link w:val="29"/>
    <w:qFormat/>
    <w:uiPriority w:val="99"/>
    <w:rPr>
      <w:rFonts w:ascii="Times New Roman" w:hAnsi="Times New Roman" w:eastAsia="宋体" w:cs="Times New Roman"/>
      <w:sz w:val="18"/>
      <w:szCs w:val="18"/>
    </w:rPr>
  </w:style>
  <w:style w:type="character" w:customStyle="1" w:styleId="71">
    <w:name w:val="页眉 字符"/>
    <w:basedOn w:val="43"/>
    <w:link w:val="30"/>
    <w:qFormat/>
    <w:uiPriority w:val="99"/>
    <w:rPr>
      <w:rFonts w:ascii="Times New Roman" w:hAnsi="Times New Roman" w:eastAsia="宋体" w:cs="Times New Roman"/>
      <w:sz w:val="18"/>
      <w:szCs w:val="18"/>
    </w:rPr>
  </w:style>
  <w:style w:type="character" w:customStyle="1" w:styleId="72">
    <w:name w:val="正文文本缩进 3 字符"/>
    <w:basedOn w:val="43"/>
    <w:link w:val="33"/>
    <w:qFormat/>
    <w:uiPriority w:val="0"/>
    <w:rPr>
      <w:rFonts w:ascii="Arial" w:hAnsi="Arial" w:eastAsia="宋体" w:cs="Arial"/>
      <w:b/>
      <w:bCs/>
      <w:sz w:val="24"/>
      <w:szCs w:val="20"/>
    </w:rPr>
  </w:style>
  <w:style w:type="character" w:customStyle="1" w:styleId="73">
    <w:name w:val="正文文本 2 字符"/>
    <w:basedOn w:val="43"/>
    <w:link w:val="35"/>
    <w:qFormat/>
    <w:uiPriority w:val="0"/>
    <w:rPr>
      <w:rFonts w:ascii="Times New Roman" w:hAnsi="Times New Roman" w:eastAsia="宋体" w:cs="Times New Roman"/>
      <w:b/>
      <w:sz w:val="28"/>
      <w:szCs w:val="21"/>
    </w:rPr>
  </w:style>
  <w:style w:type="character" w:customStyle="1" w:styleId="74">
    <w:name w:val="正文首行缩进 Char"/>
    <w:basedOn w:val="64"/>
    <w:qFormat/>
    <w:uiPriority w:val="0"/>
    <w:rPr>
      <w:rFonts w:ascii="Times New Roman" w:hAnsi="Times New Roman" w:eastAsia="宋体" w:cs="Times New Roman"/>
      <w:szCs w:val="20"/>
    </w:rPr>
  </w:style>
  <w:style w:type="character" w:customStyle="1" w:styleId="75">
    <w:name w:val="p21"/>
    <w:qFormat/>
    <w:uiPriority w:val="0"/>
    <w:rPr>
      <w:rFonts w:hint="default" w:ascii="Arial" w:hAnsi="Arial" w:cs="Arial"/>
      <w:color w:val="333333"/>
      <w:sz w:val="18"/>
      <w:szCs w:val="18"/>
      <w:u w:val="none"/>
    </w:rPr>
  </w:style>
  <w:style w:type="character" w:customStyle="1" w:styleId="76">
    <w:name w:val="font21"/>
    <w:basedOn w:val="43"/>
    <w:qFormat/>
    <w:uiPriority w:val="0"/>
    <w:rPr>
      <w:rFonts w:hint="eastAsia" w:ascii="宋体" w:hAnsi="宋体" w:eastAsia="宋体" w:cs="宋体"/>
      <w:color w:val="000000"/>
      <w:sz w:val="22"/>
      <w:szCs w:val="22"/>
      <w:u w:val="none"/>
    </w:rPr>
  </w:style>
  <w:style w:type="character" w:customStyle="1" w:styleId="77">
    <w:name w:val="所标正文 Char Char"/>
    <w:link w:val="78"/>
    <w:qFormat/>
    <w:uiPriority w:val="0"/>
    <w:rPr>
      <w:rFonts w:ascii="仿宋_GB2312" w:hAnsi="Calibri" w:eastAsia="仿宋_GB2312"/>
      <w:sz w:val="30"/>
      <w:szCs w:val="28"/>
    </w:rPr>
  </w:style>
  <w:style w:type="paragraph" w:customStyle="1" w:styleId="78">
    <w:name w:val="所标正文"/>
    <w:basedOn w:val="1"/>
    <w:link w:val="77"/>
    <w:qFormat/>
    <w:uiPriority w:val="0"/>
    <w:pPr>
      <w:spacing w:line="360" w:lineRule="auto"/>
      <w:ind w:firstLine="200" w:firstLineChars="200"/>
    </w:pPr>
    <w:rPr>
      <w:rFonts w:ascii="仿宋_GB2312" w:hAnsi="Calibri" w:eastAsia="仿宋_GB2312" w:cstheme="minorBidi"/>
      <w:sz w:val="30"/>
      <w:szCs w:val="28"/>
    </w:rPr>
  </w:style>
  <w:style w:type="character" w:customStyle="1" w:styleId="79">
    <w:name w:val="正文文字 Char1"/>
    <w:link w:val="80"/>
    <w:qFormat/>
    <w:uiPriority w:val="0"/>
    <w:rPr>
      <w:rFonts w:ascii="宋体" w:eastAsia="宋体"/>
      <w:color w:val="000000"/>
      <w:sz w:val="28"/>
      <w:u w:color="000000"/>
    </w:rPr>
  </w:style>
  <w:style w:type="paragraph" w:customStyle="1" w:styleId="80">
    <w:name w:val="正文文字"/>
    <w:basedOn w:val="1"/>
    <w:link w:val="79"/>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81">
    <w:name w:val="marklong"/>
    <w:basedOn w:val="43"/>
    <w:qFormat/>
    <w:uiPriority w:val="0"/>
  </w:style>
  <w:style w:type="character" w:customStyle="1" w:styleId="82">
    <w:name w:val="unnamed1"/>
    <w:basedOn w:val="43"/>
    <w:qFormat/>
    <w:uiPriority w:val="0"/>
  </w:style>
  <w:style w:type="character" w:customStyle="1" w:styleId="83">
    <w:name w:val="css21"/>
    <w:qFormat/>
    <w:uiPriority w:val="0"/>
    <w:rPr>
      <w:sz w:val="18"/>
      <w:szCs w:val="18"/>
    </w:rPr>
  </w:style>
  <w:style w:type="character" w:customStyle="1" w:styleId="84">
    <w:name w:val="font01"/>
    <w:basedOn w:val="43"/>
    <w:qFormat/>
    <w:uiPriority w:val="0"/>
    <w:rPr>
      <w:rFonts w:hint="eastAsia" w:ascii="宋体" w:hAnsi="宋体" w:eastAsia="宋体" w:cs="宋体"/>
      <w:color w:val="000000"/>
      <w:sz w:val="22"/>
      <w:szCs w:val="22"/>
      <w:u w:val="none"/>
    </w:rPr>
  </w:style>
  <w:style w:type="character" w:customStyle="1" w:styleId="85">
    <w:name w:val="纯文本 Char Char Char Char Char Char"/>
    <w:qFormat/>
    <w:locked/>
    <w:uiPriority w:val="0"/>
    <w:rPr>
      <w:rFonts w:ascii="宋体" w:hAnsi="Courier New" w:eastAsia="宋体"/>
      <w:kern w:val="2"/>
      <w:sz w:val="21"/>
      <w:lang w:val="en-US" w:eastAsia="zh-CN" w:bidi="ar-SA"/>
    </w:rPr>
  </w:style>
  <w:style w:type="character" w:customStyle="1" w:styleId="86">
    <w:name w:val="正文缩进 字符"/>
    <w:link w:val="13"/>
    <w:qFormat/>
    <w:uiPriority w:val="99"/>
    <w:rPr>
      <w:szCs w:val="24"/>
    </w:rPr>
  </w:style>
  <w:style w:type="character" w:customStyle="1" w:styleId="87">
    <w:name w:val="样式 正文缩进 + 首行缩进:  2 字符 Char"/>
    <w:link w:val="88"/>
    <w:qFormat/>
    <w:uiPriority w:val="0"/>
    <w:rPr>
      <w:sz w:val="24"/>
    </w:rPr>
  </w:style>
  <w:style w:type="paragraph" w:customStyle="1" w:styleId="88">
    <w:name w:val="样式 正文缩进 + 首行缩进:  2 字符"/>
    <w:basedOn w:val="13"/>
    <w:link w:val="87"/>
    <w:qFormat/>
    <w:uiPriority w:val="0"/>
    <w:pPr>
      <w:spacing w:line="360" w:lineRule="auto"/>
      <w:ind w:firstLine="200"/>
    </w:pPr>
    <w:rPr>
      <w:sz w:val="24"/>
      <w:szCs w:val="22"/>
    </w:rPr>
  </w:style>
  <w:style w:type="character" w:customStyle="1" w:styleId="89">
    <w:name w:val="标准段落正文 Char"/>
    <w:link w:val="90"/>
    <w:qFormat/>
    <w:uiPriority w:val="0"/>
    <w:rPr>
      <w:rFonts w:cs="宋体"/>
      <w:sz w:val="24"/>
    </w:rPr>
  </w:style>
  <w:style w:type="paragraph" w:customStyle="1" w:styleId="90">
    <w:name w:val="标准段落正文"/>
    <w:basedOn w:val="1"/>
    <w:link w:val="89"/>
    <w:qFormat/>
    <w:uiPriority w:val="0"/>
    <w:pPr>
      <w:spacing w:line="360" w:lineRule="auto"/>
      <w:ind w:firstLine="482"/>
    </w:pPr>
    <w:rPr>
      <w:rFonts w:cs="宋体" w:asciiTheme="minorHAnsi" w:hAnsiTheme="minorHAnsi" w:eastAsiaTheme="minorEastAsia"/>
      <w:sz w:val="24"/>
      <w:szCs w:val="22"/>
    </w:rPr>
  </w:style>
  <w:style w:type="character" w:customStyle="1" w:styleId="91">
    <w:name w:val="正文文字 Char"/>
    <w:qFormat/>
    <w:uiPriority w:val="0"/>
    <w:rPr>
      <w:rFonts w:ascii="Arial" w:hAnsi="Arial" w:eastAsia="宋体" w:cs="Arial"/>
      <w:kern w:val="2"/>
      <w:sz w:val="24"/>
      <w:lang w:val="en-US" w:eastAsia="zh-CN" w:bidi="ar-SA"/>
    </w:rPr>
  </w:style>
  <w:style w:type="character" w:customStyle="1" w:styleId="92">
    <w:name w:val="书籍标题1"/>
    <w:qFormat/>
    <w:uiPriority w:val="0"/>
    <w:rPr>
      <w:b/>
      <w:bCs/>
      <w:smallCaps/>
      <w:spacing w:val="5"/>
    </w:rPr>
  </w:style>
  <w:style w:type="character" w:customStyle="1" w:styleId="93">
    <w:name w:val="con"/>
    <w:qFormat/>
    <w:uiPriority w:val="0"/>
  </w:style>
  <w:style w:type="character" w:customStyle="1" w:styleId="94">
    <w:name w:val="明显参考1"/>
    <w:qFormat/>
    <w:uiPriority w:val="0"/>
    <w:rPr>
      <w:b/>
      <w:bCs/>
      <w:smallCaps/>
      <w:color w:val="C0504D"/>
      <w:spacing w:val="5"/>
      <w:u w:val="single"/>
    </w:rPr>
  </w:style>
  <w:style w:type="character" w:customStyle="1" w:styleId="95">
    <w:name w:val="grame"/>
    <w:basedOn w:val="43"/>
    <w:qFormat/>
    <w:uiPriority w:val="0"/>
  </w:style>
  <w:style w:type="paragraph" w:customStyle="1" w:styleId="96">
    <w:name w:val="列出段落1"/>
    <w:basedOn w:val="1"/>
    <w:qFormat/>
    <w:uiPriority w:val="34"/>
    <w:pPr>
      <w:ind w:firstLine="420" w:firstLineChars="200"/>
    </w:pPr>
    <w:rPr>
      <w:rFonts w:ascii="Calibri" w:hAnsi="Calibri"/>
      <w:szCs w:val="22"/>
    </w:rPr>
  </w:style>
  <w:style w:type="paragraph" w:customStyle="1" w:styleId="97">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8">
    <w:name w:val="正文文本缩进 2 字符"/>
    <w:basedOn w:val="43"/>
    <w:link w:val="27"/>
    <w:qFormat/>
    <w:uiPriority w:val="0"/>
    <w:rPr>
      <w:rFonts w:ascii="宋体" w:hAnsi="宋体"/>
      <w:sz w:val="24"/>
    </w:rPr>
  </w:style>
  <w:style w:type="character" w:customStyle="1" w:styleId="99">
    <w:name w:val="文档结构图 字符"/>
    <w:basedOn w:val="43"/>
    <w:link w:val="16"/>
    <w:qFormat/>
    <w:uiPriority w:val="0"/>
    <w:rPr>
      <w:shd w:val="clear" w:color="auto" w:fill="000080"/>
    </w:rPr>
  </w:style>
  <w:style w:type="paragraph" w:customStyle="1" w:styleId="100">
    <w:name w:val="Char"/>
    <w:basedOn w:val="1"/>
    <w:semiHidden/>
    <w:qFormat/>
    <w:uiPriority w:val="0"/>
    <w:rPr>
      <w:rFonts w:ascii="Tahoma" w:hAnsi="Tahoma" w:cs="仿宋_GB2312"/>
      <w:sz w:val="24"/>
      <w:szCs w:val="28"/>
    </w:rPr>
  </w:style>
  <w:style w:type="paragraph" w:customStyle="1" w:styleId="101">
    <w:name w:val="正文缩进1"/>
    <w:basedOn w:val="1"/>
    <w:qFormat/>
    <w:uiPriority w:val="0"/>
    <w:pPr>
      <w:ind w:firstLine="420" w:firstLineChars="200"/>
    </w:pPr>
    <w:rPr>
      <w:rFonts w:ascii="Calibri" w:hAnsi="Calibri"/>
    </w:rPr>
  </w:style>
  <w:style w:type="paragraph" w:customStyle="1" w:styleId="102">
    <w:name w:val="条目3"/>
    <w:basedOn w:val="25"/>
    <w:qFormat/>
    <w:uiPriority w:val="0"/>
  </w:style>
  <w:style w:type="character" w:customStyle="1" w:styleId="103">
    <w:name w:val="正文文本 字符"/>
    <w:basedOn w:val="43"/>
    <w:link w:val="2"/>
    <w:qFormat/>
    <w:uiPriority w:val="0"/>
    <w:rPr>
      <w:rFonts w:ascii="Arial" w:hAnsi="Arial" w:cs="Arial"/>
      <w:sz w:val="24"/>
    </w:rPr>
  </w:style>
  <w:style w:type="paragraph" w:customStyle="1" w:styleId="10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5">
    <w:name w:val="纯文本 字符"/>
    <w:basedOn w:val="43"/>
    <w:link w:val="25"/>
    <w:qFormat/>
    <w:uiPriority w:val="0"/>
    <w:rPr>
      <w:rFonts w:ascii="宋体" w:hAnsi="Courier New" w:eastAsia="宋体"/>
    </w:rPr>
  </w:style>
  <w:style w:type="paragraph" w:customStyle="1" w:styleId="10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7">
    <w:name w:val="列出段落11"/>
    <w:basedOn w:val="1"/>
    <w:qFormat/>
    <w:uiPriority w:val="0"/>
    <w:pPr>
      <w:ind w:firstLine="420" w:firstLineChars="200"/>
    </w:pPr>
  </w:style>
  <w:style w:type="paragraph" w:customStyle="1" w:styleId="108">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9">
    <w:name w:val="首页大标题"/>
    <w:basedOn w:val="78"/>
    <w:qFormat/>
    <w:uiPriority w:val="0"/>
    <w:pPr>
      <w:ind w:firstLine="0" w:firstLineChars="0"/>
      <w:jc w:val="center"/>
    </w:pPr>
    <w:rPr>
      <w:rFonts w:ascii="黑体" w:eastAsia="黑体"/>
      <w:b/>
      <w:sz w:val="52"/>
    </w:rPr>
  </w:style>
  <w:style w:type="character" w:customStyle="1" w:styleId="110">
    <w:name w:val="正文文本首行缩进 字符"/>
    <w:basedOn w:val="103"/>
    <w:link w:val="39"/>
    <w:qFormat/>
    <w:uiPriority w:val="0"/>
    <w:rPr>
      <w:rFonts w:ascii="Arial" w:hAnsi="Arial" w:cs="Arial"/>
      <w:sz w:val="24"/>
    </w:rPr>
  </w:style>
  <w:style w:type="paragraph" w:customStyle="1" w:styleId="11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2">
    <w:name w:val="p0"/>
    <w:basedOn w:val="1"/>
    <w:qFormat/>
    <w:uiPriority w:val="0"/>
    <w:pPr>
      <w:widowControl/>
    </w:pPr>
    <w:rPr>
      <w:kern w:val="0"/>
      <w:szCs w:val="21"/>
    </w:rPr>
  </w:style>
  <w:style w:type="paragraph" w:customStyle="1" w:styleId="113">
    <w:name w:val="条目2"/>
    <w:basedOn w:val="25"/>
    <w:qFormat/>
    <w:uiPriority w:val="0"/>
    <w:pPr>
      <w:tabs>
        <w:tab w:val="left" w:pos="420"/>
      </w:tabs>
      <w:spacing w:line="360" w:lineRule="auto"/>
      <w:ind w:left="420" w:hanging="420"/>
    </w:pPr>
    <w:rPr>
      <w:color w:val="000000"/>
      <w:sz w:val="30"/>
    </w:rPr>
  </w:style>
  <w:style w:type="paragraph" w:customStyle="1" w:styleId="114">
    <w:name w:val="1 Char Char Char Char"/>
    <w:basedOn w:val="1"/>
    <w:qFormat/>
    <w:uiPriority w:val="0"/>
    <w:rPr>
      <w:rFonts w:ascii="Tahoma" w:hAnsi="Tahoma"/>
      <w:sz w:val="24"/>
    </w:rPr>
  </w:style>
  <w:style w:type="character" w:customStyle="1" w:styleId="115">
    <w:name w:val="普通(网站) 字符"/>
    <w:link w:val="37"/>
    <w:qFormat/>
    <w:uiPriority w:val="99"/>
    <w:rPr>
      <w:rFonts w:ascii="Arial Unicode MS" w:hAnsi="Arial Unicode MS" w:eastAsia="Arial Unicode MS" w:cs="Arial Unicode MS"/>
      <w:kern w:val="0"/>
      <w:sz w:val="24"/>
      <w:szCs w:val="24"/>
    </w:rPr>
  </w:style>
  <w:style w:type="paragraph" w:styleId="11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17">
    <w:name w:val="宋体小四"/>
    <w:basedOn w:val="1"/>
    <w:qFormat/>
    <w:uiPriority w:val="0"/>
    <w:pPr>
      <w:spacing w:line="360" w:lineRule="auto"/>
      <w:ind w:firstLine="480" w:firstLineChars="200"/>
    </w:pPr>
    <w:rPr>
      <w:rFonts w:ascii="Arial" w:hAnsi="Arial"/>
      <w:sz w:val="24"/>
    </w:rPr>
  </w:style>
  <w:style w:type="paragraph" w:customStyle="1" w:styleId="118">
    <w:name w:val="列出段落2"/>
    <w:basedOn w:val="1"/>
    <w:qFormat/>
    <w:uiPriority w:val="34"/>
    <w:pPr>
      <w:ind w:firstLine="420" w:firstLineChars="200"/>
    </w:pPr>
    <w:rPr>
      <w:rFonts w:asciiTheme="minorHAnsi" w:hAnsiTheme="minorHAnsi" w:cstheme="minorBidi"/>
      <w:szCs w:val="24"/>
    </w:rPr>
  </w:style>
  <w:style w:type="paragraph" w:customStyle="1" w:styleId="119">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20">
    <w:name w:val="样式1"/>
    <w:basedOn w:val="5"/>
    <w:qFormat/>
    <w:uiPriority w:val="0"/>
    <w:rPr>
      <w:rFonts w:ascii="宋体" w:hAnsi="宋体"/>
      <w:szCs w:val="21"/>
    </w:rPr>
  </w:style>
  <w:style w:type="paragraph" w:customStyle="1" w:styleId="121">
    <w:name w:val="验收文档-首页主标题"/>
    <w:basedOn w:val="1"/>
    <w:qFormat/>
    <w:uiPriority w:val="0"/>
    <w:pPr>
      <w:jc w:val="center"/>
    </w:pPr>
    <w:rPr>
      <w:rFonts w:ascii="黑体" w:eastAsia="黑体"/>
      <w:sz w:val="52"/>
      <w:szCs w:val="52"/>
    </w:rPr>
  </w:style>
  <w:style w:type="paragraph" w:customStyle="1" w:styleId="122">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2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24">
    <w:name w:val="表头"/>
    <w:basedOn w:val="1"/>
    <w:qFormat/>
    <w:uiPriority w:val="0"/>
    <w:pPr>
      <w:widowControl/>
      <w:spacing w:line="276" w:lineRule="auto"/>
      <w:jc w:val="center"/>
    </w:pPr>
    <w:rPr>
      <w:rFonts w:ascii="宋体" w:hAnsi="宋体"/>
      <w:b/>
    </w:rPr>
  </w:style>
  <w:style w:type="paragraph" w:customStyle="1" w:styleId="125">
    <w:name w:val="表格内容"/>
    <w:basedOn w:val="1"/>
    <w:qFormat/>
    <w:uiPriority w:val="0"/>
    <w:pPr>
      <w:widowControl/>
      <w:spacing w:line="276" w:lineRule="auto"/>
      <w:jc w:val="left"/>
    </w:pPr>
    <w:rPr>
      <w:rFonts w:ascii="宋体" w:hAnsi="宋体"/>
      <w:kern w:val="0"/>
    </w:rPr>
  </w:style>
  <w:style w:type="paragraph" w:customStyle="1" w:styleId="126">
    <w:name w:val="表格内容左对齐"/>
    <w:basedOn w:val="1"/>
    <w:qFormat/>
    <w:uiPriority w:val="2"/>
    <w:pPr>
      <w:widowControl/>
      <w:jc w:val="left"/>
    </w:pPr>
    <w:rPr>
      <w:rFonts w:asciiTheme="minorHAnsi" w:hAnsiTheme="minorHAnsi"/>
      <w:kern w:val="0"/>
    </w:rPr>
  </w:style>
  <w:style w:type="character" w:customStyle="1" w:styleId="127">
    <w:name w:val="批注文字 字符"/>
    <w:basedOn w:val="43"/>
    <w:link w:val="18"/>
    <w:qFormat/>
    <w:uiPriority w:val="99"/>
    <w:rPr>
      <w:kern w:val="2"/>
      <w:sz w:val="21"/>
    </w:rPr>
  </w:style>
  <w:style w:type="character" w:customStyle="1" w:styleId="128">
    <w:name w:val="批注主题 字符"/>
    <w:basedOn w:val="127"/>
    <w:link w:val="38"/>
    <w:semiHidden/>
    <w:qFormat/>
    <w:uiPriority w:val="99"/>
    <w:rPr>
      <w:b/>
      <w:bCs/>
      <w:kern w:val="2"/>
      <w:sz w:val="21"/>
    </w:rPr>
  </w:style>
  <w:style w:type="paragraph" w:customStyle="1" w:styleId="129">
    <w:name w:val="List Paragraph1"/>
    <w:basedOn w:val="1"/>
    <w:semiHidden/>
    <w:qFormat/>
    <w:uiPriority w:val="0"/>
    <w:pPr>
      <w:ind w:firstLine="420" w:firstLineChars="200"/>
    </w:pPr>
    <w:rPr>
      <w:rFonts w:ascii="Calibri" w:hAnsi="Calibri"/>
      <w:szCs w:val="24"/>
    </w:rPr>
  </w:style>
  <w:style w:type="table" w:customStyle="1" w:styleId="130">
    <w:name w:val="Grid Table 5 Dark Accent 3"/>
    <w:basedOn w:val="4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character" w:customStyle="1" w:styleId="131">
    <w:name w:val="bookmark-item"/>
    <w:basedOn w:val="43"/>
    <w:qFormat/>
    <w:uiPriority w:val="0"/>
  </w:style>
  <w:style w:type="paragraph" w:customStyle="1" w:styleId="13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133">
    <w:name w:val="正文1"/>
    <w:qFormat/>
    <w:uiPriority w:val="99"/>
    <w:rPr>
      <w:rFonts w:ascii="Times New Roman" w:hAnsi="Times New Roman" w:eastAsia="Times New Roman" w:cs="Times New Roman"/>
      <w:sz w:val="24"/>
      <w:szCs w:val="24"/>
      <w:lang w:val="en-US" w:eastAsia="zh-CN" w:bidi="ar-SA"/>
    </w:rPr>
  </w:style>
  <w:style w:type="paragraph" w:customStyle="1" w:styleId="134">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35">
    <w:name w:val="!正文ctrl+q"/>
    <w:basedOn w:val="1"/>
    <w:qFormat/>
    <w:uiPriority w:val="0"/>
    <w:pPr>
      <w:widowControl w:val="0"/>
      <w:ind w:firstLine="200"/>
    </w:pPr>
    <w:rPr>
      <w:rFonts w:ascii="Times New Roman" w:hAnsi="Times New Roman" w:eastAsia="仿宋_GB2312"/>
      <w:kern w:val="0"/>
      <w:sz w:val="28"/>
      <w:szCs w:val="24"/>
    </w:rPr>
  </w:style>
  <w:style w:type="paragraph" w:customStyle="1" w:styleId="136">
    <w:name w:val="0正文"/>
    <w:basedOn w:val="1"/>
    <w:link w:val="137"/>
    <w:qFormat/>
    <w:uiPriority w:val="0"/>
    <w:pPr>
      <w:widowControl w:val="0"/>
    </w:pPr>
    <w:rPr>
      <w:rFonts w:asciiTheme="minorHAnsi" w:hAnsiTheme="minorHAnsi" w:cstheme="minorBidi"/>
      <w:kern w:val="2"/>
      <w:szCs w:val="22"/>
    </w:rPr>
  </w:style>
  <w:style w:type="character" w:customStyle="1" w:styleId="137">
    <w:name w:val="0正文 Char"/>
    <w:link w:val="136"/>
    <w:qFormat/>
    <w:uiPriority w:val="0"/>
    <w:rPr>
      <w:rFonts w:asciiTheme="minorHAnsi" w:hAnsiTheme="minorHAnsi" w:cstheme="minorBidi"/>
      <w:kern w:val="2"/>
      <w:szCs w:val="22"/>
    </w:rPr>
  </w:style>
  <w:style w:type="paragraph" w:customStyle="1" w:styleId="138">
    <w:name w:val="Normal_9"/>
    <w:qFormat/>
    <w:uiPriority w:val="0"/>
    <w:rPr>
      <w:rFonts w:ascii="黑体" w:hAnsi="黑体" w:eastAsia="黑体" w:cs="Times New Roman"/>
      <w:b/>
      <w:sz w:val="32"/>
      <w:szCs w:val="24"/>
      <w:lang w:bidi="ar-SA"/>
    </w:rPr>
  </w:style>
  <w:style w:type="paragraph" w:customStyle="1" w:styleId="13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40">
    <w:name w:val="Normal_10"/>
    <w:qFormat/>
    <w:uiPriority w:val="0"/>
    <w:rPr>
      <w:rFonts w:ascii="黑体" w:hAnsi="黑体" w:eastAsia="黑体" w:cs="Times New Roman"/>
      <w:b/>
      <w:sz w:val="32"/>
      <w:szCs w:val="24"/>
      <w:lang w:bidi="ar-SA"/>
    </w:rPr>
  </w:style>
  <w:style w:type="paragraph" w:customStyle="1" w:styleId="14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Normal_11"/>
    <w:qFormat/>
    <w:uiPriority w:val="0"/>
    <w:rPr>
      <w:rFonts w:ascii="黑体" w:hAnsi="黑体" w:eastAsia="黑体" w:cs="Times New Roman"/>
      <w:b/>
      <w:sz w:val="32"/>
      <w:szCs w:val="24"/>
      <w:lang w:bidi="ar-SA"/>
    </w:rPr>
  </w:style>
  <w:style w:type="paragraph" w:customStyle="1" w:styleId="143">
    <w:name w:val="Normal_20"/>
    <w:qFormat/>
    <w:uiPriority w:val="0"/>
    <w:rPr>
      <w:rFonts w:ascii="黑体" w:hAnsi="黑体" w:eastAsia="黑体" w:cs="Times New Roman"/>
      <w:b/>
      <w:sz w:val="32"/>
      <w:szCs w:val="24"/>
      <w:lang w:bidi="ar-SA"/>
    </w:rPr>
  </w:style>
  <w:style w:type="paragraph" w:customStyle="1" w:styleId="144">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5">
    <w:name w:val="font61"/>
    <w:basedOn w:val="43"/>
    <w:qFormat/>
    <w:uiPriority w:val="0"/>
    <w:rPr>
      <w:rFonts w:hint="eastAsia" w:ascii="宋体" w:hAnsi="宋体" w:eastAsia="宋体" w:cs="宋体"/>
      <w:color w:val="FF0000"/>
      <w:sz w:val="22"/>
      <w:szCs w:val="22"/>
      <w:u w:val="none"/>
    </w:rPr>
  </w:style>
  <w:style w:type="character" w:customStyle="1" w:styleId="146">
    <w:name w:val="font31"/>
    <w:basedOn w:val="43"/>
    <w:qFormat/>
    <w:uiPriority w:val="0"/>
    <w:rPr>
      <w:rFonts w:hint="eastAsia" w:ascii="宋体" w:hAnsi="宋体" w:eastAsia="宋体" w:cs="宋体"/>
      <w:color w:val="000000"/>
      <w:sz w:val="24"/>
      <w:szCs w:val="24"/>
      <w:u w:val="none"/>
    </w:rPr>
  </w:style>
  <w:style w:type="character" w:customStyle="1" w:styleId="147">
    <w:name w:val="font51"/>
    <w:basedOn w:val="43"/>
    <w:qFormat/>
    <w:uiPriority w:val="0"/>
    <w:rPr>
      <w:rFonts w:hint="eastAsia" w:ascii="宋体" w:hAnsi="宋体" w:eastAsia="宋体" w:cs="宋体"/>
      <w:color w:val="FF0000"/>
      <w:sz w:val="24"/>
      <w:szCs w:val="24"/>
      <w:u w:val="none"/>
    </w:rPr>
  </w:style>
  <w:style w:type="character" w:customStyle="1" w:styleId="148">
    <w:name w:val="fontstyle01"/>
    <w:basedOn w:val="43"/>
    <w:qFormat/>
    <w:uiPriority w:val="0"/>
    <w:rPr>
      <w:rFonts w:ascii="宋体" w:hAnsi="宋体" w:eastAsia="宋体" w:cs="宋体"/>
      <w:color w:val="000000"/>
      <w:sz w:val="24"/>
      <w:szCs w:val="24"/>
    </w:rPr>
  </w:style>
  <w:style w:type="paragraph" w:customStyle="1" w:styleId="149">
    <w:name w:val="采购正文"/>
    <w:basedOn w:val="1"/>
    <w:qFormat/>
    <w:uiPriority w:val="0"/>
    <w:pPr>
      <w:snapToGrid w:val="0"/>
      <w:spacing w:line="560" w:lineRule="exact"/>
      <w:ind w:firstLine="480" w:firstLineChars="200"/>
    </w:pPr>
    <w:rPr>
      <w:rFonts w:ascii="仿宋" w:hAnsi="仿宋" w:eastAsia="仿宋"/>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26512</Words>
  <Characters>28511</Characters>
  <Lines>211</Lines>
  <Paragraphs>59</Paragraphs>
  <TotalTime>35</TotalTime>
  <ScaleCrop>false</ScaleCrop>
  <LinksUpToDate>false</LinksUpToDate>
  <CharactersWithSpaces>31449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2021-06-18T01:34:00Z</dcterms:created>
  <dc:creator>Administrator</dc:creator>
  <cp:lastModifiedBy>Administrator</cp:lastModifiedBy>
  <cp:lastPrinted>2021-07-13T03:13:00Z</cp:lastPrinted>
  <dcterms:modified xsi:type="dcterms:W3CDTF">2023-03-18T10:02:13Z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A7943BF0AF8D4102A50FD28C1D8C5455</vt:lpwstr>
  </property>
</Properties>
</file>